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E4FA">
      <w:pPr>
        <w:ind w:firstLine="0" w:firstLineChars="0"/>
        <w:jc w:val="center"/>
        <w:rPr>
          <w:rFonts w:hint="eastAsia" w:ascii="宋体" w:hAnsi="宋体" w:cs="宋体"/>
          <w:b/>
          <w:color w:val="auto"/>
          <w:szCs w:val="21"/>
          <w:highlight w:val="none"/>
        </w:rPr>
      </w:pPr>
    </w:p>
    <w:p w14:paraId="648E2E40">
      <w:pPr>
        <w:pStyle w:val="2"/>
        <w:ind w:firstLine="480"/>
        <w:rPr>
          <w:color w:val="auto"/>
          <w:highlight w:val="none"/>
        </w:rPr>
      </w:pPr>
    </w:p>
    <w:p w14:paraId="3D912883">
      <w:pPr>
        <w:ind w:firstLine="0" w:firstLineChars="0"/>
        <w:rPr>
          <w:rFonts w:hint="eastAsia" w:ascii="宋体" w:hAnsi="宋体" w:cs="宋体"/>
          <w:b/>
          <w:color w:val="auto"/>
          <w:szCs w:val="21"/>
          <w:highlight w:val="none"/>
        </w:rPr>
      </w:pPr>
    </w:p>
    <w:p w14:paraId="04CC0C93">
      <w:pPr>
        <w:pStyle w:val="3"/>
        <w:keepNext w:val="0"/>
        <w:spacing w:beforeLines="0" w:afterLines="0" w:line="360" w:lineRule="auto"/>
        <w:rPr>
          <w:rFonts w:hint="eastAsia" w:ascii="宋体" w:hAnsi="宋体" w:cs="宋体"/>
          <w:color w:val="auto"/>
          <w:sz w:val="84"/>
          <w:szCs w:val="84"/>
          <w:highlight w:val="none"/>
        </w:rPr>
      </w:pPr>
      <w:bookmarkStart w:id="0" w:name="_Toc21940"/>
      <w:bookmarkStart w:id="1" w:name="_Toc3343"/>
      <w:bookmarkStart w:id="2" w:name="_Toc30450"/>
      <w:bookmarkStart w:id="3" w:name="_Toc23510"/>
      <w:bookmarkStart w:id="4" w:name="_Toc9127"/>
      <w:bookmarkStart w:id="5" w:name="_Toc26439"/>
      <w:bookmarkStart w:id="6" w:name="_Toc7872"/>
      <w:bookmarkStart w:id="7" w:name="_Toc12145"/>
      <w:bookmarkStart w:id="8" w:name="_Toc20034"/>
      <w:bookmarkStart w:id="9" w:name="_Toc18186"/>
      <w:bookmarkStart w:id="10" w:name="_Toc3664"/>
      <w:bookmarkStart w:id="11" w:name="_Toc17237"/>
      <w:bookmarkStart w:id="12" w:name="_Toc19845"/>
      <w:bookmarkStart w:id="13" w:name="_Toc31809"/>
      <w:bookmarkStart w:id="14" w:name="_Toc23726"/>
      <w:bookmarkStart w:id="15" w:name="_Toc28752"/>
      <w:bookmarkStart w:id="16" w:name="_Toc18799"/>
      <w:bookmarkStart w:id="17" w:name="_Toc10689"/>
      <w:bookmarkStart w:id="18" w:name="_Toc5877"/>
      <w:bookmarkStart w:id="19" w:name="_Toc9714"/>
      <w:bookmarkStart w:id="20" w:name="_Toc2742"/>
      <w:bookmarkStart w:id="21" w:name="_Toc16930"/>
      <w:bookmarkStart w:id="22" w:name="_Toc23152"/>
      <w:bookmarkStart w:id="23" w:name="_Toc16990"/>
      <w:bookmarkStart w:id="24" w:name="_Toc14242"/>
      <w:bookmarkStart w:id="25" w:name="_Toc9838"/>
      <w:bookmarkStart w:id="26" w:name="_Toc7648"/>
      <w:bookmarkStart w:id="27" w:name="_Toc19143"/>
      <w:bookmarkStart w:id="28" w:name="_Toc20534"/>
      <w:bookmarkStart w:id="29" w:name="_Toc27741"/>
      <w:bookmarkStart w:id="30" w:name="_Toc15316"/>
      <w:bookmarkStart w:id="31" w:name="_Toc9235"/>
      <w:bookmarkStart w:id="32" w:name="_Toc10631"/>
      <w:bookmarkStart w:id="33" w:name="_Toc19417"/>
      <w:bookmarkStart w:id="34" w:name="_Toc4495"/>
      <w:bookmarkStart w:id="35" w:name="_Toc108"/>
      <w:bookmarkStart w:id="36" w:name="_Toc18753"/>
      <w:r>
        <w:rPr>
          <w:rFonts w:hint="eastAsia" w:ascii="宋体" w:hAnsi="宋体" w:cs="宋体"/>
          <w:color w:val="auto"/>
          <w:sz w:val="84"/>
          <w:szCs w:val="84"/>
          <w:highlight w:val="none"/>
        </w:rPr>
        <w:t>竞争性磋商文件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30B14DB">
      <w:pPr>
        <w:ind w:firstLine="0" w:firstLineChars="0"/>
        <w:jc w:val="center"/>
        <w:rPr>
          <w:rFonts w:hint="eastAsia" w:ascii="宋体" w:hAnsi="宋体" w:cs="宋体"/>
          <w:b/>
          <w:color w:val="auto"/>
          <w:szCs w:val="21"/>
          <w:highlight w:val="none"/>
        </w:rPr>
      </w:pPr>
    </w:p>
    <w:p w14:paraId="7B2BEAE6">
      <w:pPr>
        <w:ind w:firstLine="0" w:firstLineChars="0"/>
        <w:jc w:val="center"/>
        <w:rPr>
          <w:rFonts w:hint="eastAsia" w:ascii="宋体" w:hAnsi="宋体" w:cs="宋体"/>
          <w:b/>
          <w:color w:val="auto"/>
          <w:sz w:val="44"/>
          <w:szCs w:val="44"/>
          <w:highlight w:val="none"/>
        </w:rPr>
      </w:pPr>
      <w:r>
        <w:rPr>
          <w:rFonts w:hint="eastAsia"/>
          <w:b/>
          <w:color w:val="auto"/>
          <w:sz w:val="44"/>
          <w:szCs w:val="44"/>
          <w:highlight w:val="none"/>
        </w:rPr>
        <w:t>（线上电子招投标）</w:t>
      </w:r>
    </w:p>
    <w:p w14:paraId="5EDF757C">
      <w:pPr>
        <w:ind w:firstLine="0" w:firstLineChars="0"/>
        <w:jc w:val="center"/>
        <w:rPr>
          <w:rFonts w:hint="eastAsia" w:ascii="宋体" w:hAnsi="宋体" w:cs="宋体"/>
          <w:b/>
          <w:color w:val="auto"/>
          <w:szCs w:val="21"/>
          <w:highlight w:val="none"/>
        </w:rPr>
      </w:pPr>
    </w:p>
    <w:p w14:paraId="3DAB00AC">
      <w:pPr>
        <w:snapToGrid w:val="0"/>
        <w:spacing w:line="360" w:lineRule="auto"/>
        <w:ind w:firstLine="0" w:firstLineChars="0"/>
        <w:rPr>
          <w:rFonts w:hint="eastAsia" w:ascii="宋体" w:hAnsi="宋体" w:cs="宋体"/>
          <w:b/>
          <w:color w:val="auto"/>
          <w:sz w:val="32"/>
          <w:szCs w:val="32"/>
          <w:highlight w:val="none"/>
          <w:lang w:val="zh-CN"/>
        </w:rPr>
      </w:pPr>
    </w:p>
    <w:p w14:paraId="64458C2A">
      <w:pPr>
        <w:ind w:firstLine="0" w:firstLineChars="0"/>
        <w:jc w:val="center"/>
        <w:rPr>
          <w:rFonts w:hint="eastAsia" w:ascii="宋体" w:hAnsi="宋体" w:cs="宋体"/>
          <w:b/>
          <w:color w:val="auto"/>
          <w:sz w:val="28"/>
          <w:szCs w:val="28"/>
          <w:highlight w:val="none"/>
          <w:lang w:val="zh-CN"/>
        </w:rPr>
      </w:pPr>
    </w:p>
    <w:p w14:paraId="5B1F249D">
      <w:pPr>
        <w:snapToGrid w:val="0"/>
        <w:spacing w:line="360" w:lineRule="auto"/>
        <w:ind w:firstLine="1285" w:firstLineChars="400"/>
        <w:rPr>
          <w:rFonts w:hint="eastAsia" w:ascii="宋体" w:hAnsi="宋体" w:cs="宋体"/>
          <w:b/>
          <w:color w:val="auto"/>
          <w:sz w:val="32"/>
          <w:szCs w:val="32"/>
          <w:highlight w:val="none"/>
          <w:lang w:val="zh-CN"/>
        </w:rPr>
      </w:pPr>
    </w:p>
    <w:p w14:paraId="54CC7074">
      <w:pPr>
        <w:snapToGrid w:val="0"/>
        <w:spacing w:line="360" w:lineRule="auto"/>
        <w:ind w:firstLine="1285" w:firstLineChars="400"/>
        <w:rPr>
          <w:rFonts w:hint="eastAsia" w:ascii="宋体" w:hAnsi="宋体" w:cs="宋体"/>
          <w:b/>
          <w:color w:val="auto"/>
          <w:sz w:val="32"/>
          <w:szCs w:val="32"/>
          <w:highlight w:val="none"/>
          <w:lang w:val="zh-CN"/>
        </w:rPr>
      </w:pPr>
    </w:p>
    <w:p w14:paraId="4202EEAD">
      <w:pPr>
        <w:snapToGrid w:val="0"/>
        <w:spacing w:line="360" w:lineRule="auto"/>
        <w:ind w:firstLine="1285" w:firstLineChars="400"/>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项目编号：XDLYCG-2025002</w:t>
      </w:r>
    </w:p>
    <w:p w14:paraId="058B4934">
      <w:pPr>
        <w:snapToGrid w:val="0"/>
        <w:spacing w:line="360" w:lineRule="auto"/>
        <w:ind w:firstLine="1285" w:firstLineChars="400"/>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采购计划文号：临[2025]1354号</w:t>
      </w:r>
    </w:p>
    <w:p w14:paraId="4B840803">
      <w:pPr>
        <w:snapToGrid w:val="0"/>
        <w:spacing w:line="360" w:lineRule="auto"/>
        <w:ind w:left="2883" w:leftChars="532" w:hanging="1606" w:hangingChars="500"/>
        <w:rPr>
          <w:rFonts w:hint="eastAsia" w:ascii="宋体" w:hAnsi="宋体" w:cs="宋体"/>
          <w:b/>
          <w:color w:val="auto"/>
          <w:sz w:val="32"/>
          <w:szCs w:val="32"/>
          <w:highlight w:val="none"/>
          <w:lang w:val="zh-CN"/>
        </w:rPr>
      </w:pPr>
      <w:r>
        <w:rPr>
          <w:rFonts w:hint="eastAsia" w:ascii="宋体" w:hAnsi="宋体" w:cs="宋体"/>
          <w:b/>
          <w:color w:val="auto"/>
          <w:sz w:val="32"/>
          <w:szCs w:val="32"/>
          <w:highlight w:val="none"/>
          <w:lang w:val="zh-CN"/>
        </w:rPr>
        <w:t>项目名称：龙游县森林资源质量核查年度数据更新以及补充林地规划项目</w:t>
      </w:r>
    </w:p>
    <w:p w14:paraId="233436CE">
      <w:pPr>
        <w:pStyle w:val="37"/>
        <w:ind w:firstLine="240"/>
        <w:rPr>
          <w:color w:val="auto"/>
          <w:highlight w:val="none"/>
          <w:lang w:val="zh-CN"/>
        </w:rPr>
      </w:pPr>
    </w:p>
    <w:p w14:paraId="25273CE7">
      <w:pPr>
        <w:ind w:firstLine="480"/>
        <w:rPr>
          <w:color w:val="auto"/>
          <w:highlight w:val="none"/>
          <w:lang w:val="zh-CN"/>
        </w:rPr>
      </w:pPr>
    </w:p>
    <w:p w14:paraId="6D582901">
      <w:pPr>
        <w:pStyle w:val="2"/>
        <w:ind w:firstLine="0" w:firstLineChars="0"/>
        <w:rPr>
          <w:color w:val="auto"/>
          <w:highlight w:val="none"/>
          <w:lang w:val="zh-CN"/>
        </w:rPr>
      </w:pPr>
    </w:p>
    <w:p w14:paraId="6A2A0951">
      <w:pPr>
        <w:adjustRightInd w:val="0"/>
        <w:snapToGrid w:val="0"/>
        <w:spacing w:line="800" w:lineRule="exact"/>
        <w:ind w:firstLine="2268" w:firstLineChars="0"/>
        <w:rPr>
          <w:rFonts w:hint="eastAsia" w:ascii="宋体" w:hAnsi="宋体"/>
          <w:b/>
          <w:bCs/>
          <w:color w:val="auto"/>
          <w:sz w:val="36"/>
          <w:szCs w:val="36"/>
          <w:highlight w:val="none"/>
          <w:lang w:val="zh-CN"/>
        </w:rPr>
      </w:pPr>
      <w:r>
        <w:rPr>
          <w:rFonts w:hint="eastAsia" w:ascii="宋体" w:hAnsi="宋体"/>
          <w:b/>
          <w:bCs/>
          <w:color w:val="auto"/>
          <w:spacing w:val="90"/>
          <w:kern w:val="0"/>
          <w:sz w:val="36"/>
          <w:szCs w:val="36"/>
          <w:highlight w:val="none"/>
          <w:fitText w:val="1440" w:id="1374562727"/>
          <w:lang w:val="zh-CN"/>
        </w:rPr>
        <w:t>采购</w:t>
      </w:r>
      <w:r>
        <w:rPr>
          <w:rFonts w:hint="eastAsia" w:ascii="宋体" w:hAnsi="宋体"/>
          <w:b/>
          <w:bCs/>
          <w:color w:val="auto"/>
          <w:spacing w:val="0"/>
          <w:kern w:val="0"/>
          <w:sz w:val="36"/>
          <w:szCs w:val="36"/>
          <w:highlight w:val="none"/>
          <w:fitText w:val="1440" w:id="1374562727"/>
          <w:lang w:val="zh-CN"/>
        </w:rPr>
        <w:t>人</w:t>
      </w:r>
      <w:r>
        <w:rPr>
          <w:rFonts w:hint="eastAsia" w:ascii="宋体" w:hAnsi="宋体"/>
          <w:b/>
          <w:bCs/>
          <w:color w:val="auto"/>
          <w:sz w:val="36"/>
          <w:szCs w:val="36"/>
          <w:highlight w:val="none"/>
          <w:lang w:val="zh-CN"/>
        </w:rPr>
        <w:t>：龙游县林业水利局</w:t>
      </w:r>
    </w:p>
    <w:p w14:paraId="69B44F4D">
      <w:pPr>
        <w:adjustRightInd w:val="0"/>
        <w:snapToGrid w:val="0"/>
        <w:spacing w:line="800" w:lineRule="exact"/>
        <w:ind w:firstLine="2268" w:firstLineChars="0"/>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代理机构：浙江信达工程咨询有限公司</w:t>
      </w:r>
    </w:p>
    <w:p w14:paraId="455325DF">
      <w:pPr>
        <w:adjustRightInd w:val="0"/>
        <w:snapToGrid w:val="0"/>
        <w:spacing w:line="800" w:lineRule="exact"/>
        <w:ind w:firstLine="0" w:firstLineChars="0"/>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二〇二</w:t>
      </w:r>
      <w:r>
        <w:rPr>
          <w:rFonts w:hint="eastAsia" w:ascii="宋体" w:hAnsi="宋体"/>
          <w:b/>
          <w:bCs/>
          <w:color w:val="auto"/>
          <w:sz w:val="36"/>
          <w:szCs w:val="36"/>
          <w:highlight w:val="none"/>
        </w:rPr>
        <w:t>五</w:t>
      </w:r>
      <w:r>
        <w:rPr>
          <w:rFonts w:hint="eastAsia" w:ascii="宋体" w:hAnsi="宋体"/>
          <w:b/>
          <w:bCs/>
          <w:color w:val="auto"/>
          <w:sz w:val="36"/>
          <w:szCs w:val="36"/>
          <w:highlight w:val="none"/>
          <w:lang w:val="zh-CN"/>
        </w:rPr>
        <w:t>年</w:t>
      </w:r>
      <w:r>
        <w:rPr>
          <w:rFonts w:hint="eastAsia" w:ascii="宋体" w:hAnsi="宋体"/>
          <w:b/>
          <w:bCs/>
          <w:color w:val="auto"/>
          <w:sz w:val="36"/>
          <w:szCs w:val="36"/>
          <w:highlight w:val="none"/>
        </w:rPr>
        <w:t>七</w:t>
      </w:r>
      <w:r>
        <w:rPr>
          <w:rFonts w:hint="eastAsia" w:ascii="宋体" w:hAnsi="宋体"/>
          <w:b/>
          <w:bCs/>
          <w:color w:val="auto"/>
          <w:sz w:val="36"/>
          <w:szCs w:val="36"/>
          <w:highlight w:val="none"/>
          <w:lang w:val="zh-CN"/>
        </w:rPr>
        <w:t>月</w:t>
      </w:r>
    </w:p>
    <w:p w14:paraId="21E0C13E">
      <w:pPr>
        <w:ind w:firstLine="0" w:firstLineChars="0"/>
        <w:jc w:val="center"/>
        <w:rPr>
          <w:rFonts w:hint="eastAsia" w:ascii="宋体" w:hAnsi="宋体" w:cs="宋体"/>
          <w:b/>
          <w:color w:val="auto"/>
          <w:szCs w:val="21"/>
          <w:highlight w:val="none"/>
          <w:lang w:val="zh-CN"/>
        </w:rPr>
        <w:sectPr>
          <w:headerReference r:id="rId7" w:type="first"/>
          <w:headerReference r:id="rId5" w:type="default"/>
          <w:footerReference r:id="rId8" w:type="default"/>
          <w:headerReference r:id="rId6" w:type="even"/>
          <w:pgSz w:w="11906" w:h="16838"/>
          <w:pgMar w:top="1440" w:right="1080" w:bottom="1440" w:left="1080" w:header="964" w:footer="964" w:gutter="0"/>
          <w:pgBorders>
            <w:top w:val="thinThickSmallGap" w:color="000000" w:sz="12" w:space="10"/>
            <w:bottom w:val="thinThickSmallGap" w:color="000000" w:sz="12" w:space="10"/>
          </w:pgBorders>
          <w:pgNumType w:fmt="numberInDash" w:start="0"/>
          <w:cols w:space="720" w:num="1"/>
          <w:docGrid w:type="lines" w:linePitch="312" w:charSpace="0"/>
        </w:sectPr>
      </w:pPr>
    </w:p>
    <w:p w14:paraId="46622A36">
      <w:pPr>
        <w:spacing w:line="240" w:lineRule="auto"/>
        <w:ind w:firstLine="0" w:firstLineChars="0"/>
        <w:jc w:val="center"/>
        <w:rPr>
          <w:rFonts w:hint="eastAsia" w:ascii="宋体" w:hAnsi="宋体" w:cs="宋体"/>
          <w:bCs/>
          <w:color w:val="auto"/>
          <w:highlight w:val="none"/>
        </w:rPr>
      </w:pPr>
      <w:bookmarkStart w:id="37" w:name="_Toc5764"/>
      <w:bookmarkStart w:id="38" w:name="_Toc3830"/>
      <w:bookmarkStart w:id="39" w:name="_Toc391298954"/>
      <w:bookmarkStart w:id="40" w:name="_Toc21528"/>
      <w:bookmarkStart w:id="41" w:name="_Toc820"/>
      <w:bookmarkStart w:id="42" w:name="_Toc29731"/>
      <w:bookmarkStart w:id="43" w:name="_Toc20589"/>
      <w:bookmarkStart w:id="44" w:name="_Toc661"/>
      <w:bookmarkStart w:id="45" w:name="_Toc17399"/>
      <w:bookmarkStart w:id="46" w:name="_Toc11234"/>
      <w:bookmarkStart w:id="47" w:name="_Toc385234427"/>
      <w:bookmarkStart w:id="48" w:name="_Toc4140"/>
      <w:bookmarkStart w:id="49" w:name="_Toc390250466"/>
      <w:bookmarkStart w:id="50" w:name="_Toc31893"/>
      <w:bookmarkStart w:id="51" w:name="_Toc14973"/>
      <w:bookmarkStart w:id="52" w:name="_Toc19180"/>
      <w:bookmarkStart w:id="53" w:name="_Toc14239"/>
      <w:bookmarkStart w:id="54" w:name="_Toc25645"/>
      <w:bookmarkStart w:id="55" w:name="_Toc28598"/>
      <w:bookmarkStart w:id="56" w:name="_Toc28638"/>
      <w:bookmarkStart w:id="57" w:name="_Toc8451"/>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Start w:id="58" w:name="_Toc23246"/>
      <w:bookmarkStart w:id="59" w:name="_Toc29151"/>
      <w:bookmarkStart w:id="60" w:name="_Toc25268"/>
      <w:bookmarkStart w:id="61" w:name="_Toc30992"/>
      <w:bookmarkStart w:id="62" w:name="_Toc5117"/>
      <w:bookmarkStart w:id="63" w:name="_Toc29862"/>
      <w:bookmarkStart w:id="64" w:name="_Toc32602"/>
      <w:bookmarkStart w:id="65" w:name="_Toc9611"/>
      <w:bookmarkStart w:id="66" w:name="_Toc9590"/>
      <w:bookmarkStart w:id="67" w:name="_Toc4469"/>
      <w:bookmarkStart w:id="68" w:name="_Toc622"/>
      <w:bookmarkStart w:id="69" w:name="_Toc3779"/>
      <w:bookmarkStart w:id="70" w:name="_Toc29625"/>
      <w:bookmarkStart w:id="71" w:name="_Toc8602"/>
      <w:bookmarkStart w:id="72" w:name="_Toc17098"/>
      <w:bookmarkStart w:id="73" w:name="_Toc27367"/>
      <w:bookmarkStart w:id="74" w:name="_Toc6224"/>
      <w:bookmarkStart w:id="75" w:name="_Toc28742"/>
      <w:bookmarkStart w:id="76" w:name="_Toc12381"/>
      <w:bookmarkStart w:id="77" w:name="_Toc19715"/>
      <w:bookmarkStart w:id="78" w:name="_Toc25730"/>
      <w:bookmarkStart w:id="79" w:name="_Toc24961"/>
      <w:bookmarkStart w:id="80" w:name="_Toc16257"/>
      <w:bookmarkStart w:id="81" w:name="_Toc15313"/>
      <w:bookmarkStart w:id="82" w:name="_Toc30126"/>
      <w:bookmarkStart w:id="83" w:name="_Toc322"/>
      <w:bookmarkStart w:id="84" w:name="_Toc10062"/>
      <w:bookmarkStart w:id="85" w:name="_Toc12958"/>
      <w:bookmarkStart w:id="86" w:name="_Toc27241"/>
      <w:bookmarkStart w:id="87" w:name="_Toc24478"/>
      <w:bookmarkStart w:id="88" w:name="_Toc391298955"/>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p>
    <w:p w14:paraId="3EFA266B">
      <w:pPr>
        <w:tabs>
          <w:tab w:val="center" w:pos="4933"/>
          <w:tab w:val="left" w:pos="6718"/>
        </w:tabs>
        <w:spacing w:line="240" w:lineRule="auto"/>
        <w:ind w:firstLine="0" w:firstLineChars="0"/>
        <w:jc w:val="left"/>
        <w:rPr>
          <w:color w:val="auto"/>
          <w:highlight w:val="none"/>
        </w:rPr>
      </w:pPr>
      <w:r>
        <w:rPr>
          <w:rFonts w:hint="eastAsia" w:ascii="宋体" w:hAnsi="宋体" w:cs="宋体"/>
          <w:bCs/>
          <w:color w:val="auto"/>
          <w:sz w:val="21"/>
          <w:szCs w:val="21"/>
          <w:highlight w:val="none"/>
        </w:rPr>
        <w:tab/>
      </w:r>
      <w:r>
        <w:rPr>
          <w:rFonts w:hint="eastAsia" w:ascii="宋体" w:hAnsi="宋体" w:cs="宋体"/>
          <w:bCs/>
          <w:color w:val="auto"/>
          <w:sz w:val="21"/>
          <w:szCs w:val="21"/>
          <w:highlight w:val="none"/>
        </w:rPr>
        <w:tab/>
      </w:r>
      <w:r>
        <w:rPr>
          <w:rFonts w:hint="eastAsia" w:ascii="宋体" w:hAnsi="宋体" w:cs="宋体"/>
          <w:bCs/>
          <w:color w:val="auto"/>
          <w:sz w:val="21"/>
          <w:szCs w:val="21"/>
          <w:highlight w:val="none"/>
        </w:rPr>
        <w:fldChar w:fldCharType="begin"/>
      </w:r>
      <w:r>
        <w:rPr>
          <w:rFonts w:hint="eastAsia" w:ascii="宋体" w:hAnsi="宋体" w:cs="宋体"/>
          <w:bCs/>
          <w:color w:val="auto"/>
          <w:sz w:val="21"/>
          <w:szCs w:val="21"/>
          <w:highlight w:val="none"/>
        </w:rPr>
        <w:instrText xml:space="preserve">TOC \o "1-2" \h \u </w:instrText>
      </w:r>
      <w:r>
        <w:rPr>
          <w:rFonts w:hint="eastAsia" w:ascii="宋体" w:hAnsi="宋体" w:cs="宋体"/>
          <w:bCs/>
          <w:color w:val="auto"/>
          <w:sz w:val="21"/>
          <w:szCs w:val="21"/>
          <w:highlight w:val="none"/>
        </w:rPr>
        <w:fldChar w:fldCharType="separate"/>
      </w:r>
    </w:p>
    <w:p w14:paraId="1DA0B7AE">
      <w:pPr>
        <w:pStyle w:val="124"/>
        <w:tabs>
          <w:tab w:val="right" w:leader="dot" w:pos="9746"/>
        </w:tabs>
        <w:spacing w:line="360" w:lineRule="auto"/>
        <w:ind w:firstLine="442" w:firstLineChars="200"/>
        <w:rPr>
          <w:rFonts w:hint="eastAsia" w:ascii="宋体" w:hAnsi="宋体" w:cs="宋体"/>
          <w:b/>
          <w:color w:val="auto"/>
          <w:sz w:val="24"/>
          <w:szCs w:val="24"/>
          <w:highlight w:val="none"/>
        </w:rPr>
      </w:pPr>
      <w:r>
        <w:rPr>
          <w:rFonts w:hint="eastAsia" w:ascii="宋体" w:hAnsi="宋体" w:cs="宋体"/>
          <w:b/>
          <w:bCs/>
          <w:color w:val="auto"/>
          <w:sz w:val="22"/>
          <w:szCs w:val="22"/>
          <w:highlight w:val="none"/>
        </w:rPr>
        <w:fldChar w:fldCharType="begin"/>
      </w:r>
      <w:r>
        <w:rPr>
          <w:rFonts w:hint="eastAsia" w:ascii="宋体" w:hAnsi="宋体" w:cs="宋体"/>
          <w:b/>
          <w:bCs/>
          <w:color w:val="auto"/>
          <w:sz w:val="22"/>
          <w:szCs w:val="22"/>
          <w:highlight w:val="none"/>
        </w:rPr>
        <w:instrText xml:space="preserve">TOC \o "1-2" \h \u </w:instrText>
      </w:r>
      <w:r>
        <w:rPr>
          <w:rFonts w:hint="eastAsia" w:ascii="宋体" w:hAnsi="宋体" w:cs="宋体"/>
          <w:b/>
          <w:bCs/>
          <w:color w:val="auto"/>
          <w:sz w:val="22"/>
          <w:szCs w:val="22"/>
          <w:highlight w:val="none"/>
        </w:rPr>
        <w:fldChar w:fldCharType="separate"/>
      </w:r>
    </w:p>
    <w:p w14:paraId="39B35BC3">
      <w:pPr>
        <w:pStyle w:val="124"/>
        <w:tabs>
          <w:tab w:val="right" w:leader="dot" w:pos="9746"/>
        </w:tabs>
        <w:spacing w:line="360" w:lineRule="auto"/>
        <w:ind w:firstLine="400" w:firstLineChars="200"/>
        <w:rPr>
          <w:rFonts w:hint="eastAsia"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"_Toc22588" </w:instrText>
      </w:r>
      <w:r>
        <w:rPr>
          <w:color w:val="auto"/>
          <w:highlight w:val="none"/>
        </w:rPr>
        <w:fldChar w:fldCharType="separate"/>
      </w:r>
      <w:r>
        <w:rPr>
          <w:rFonts w:hint="eastAsia" w:ascii="宋体" w:hAnsi="宋体" w:cs="宋体"/>
          <w:b/>
          <w:bCs/>
          <w:color w:val="auto"/>
          <w:kern w:val="2"/>
          <w:sz w:val="24"/>
          <w:szCs w:val="24"/>
          <w:highlight w:val="none"/>
        </w:rPr>
        <w:t>第一章 磋商公告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_Toc22588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0D4219B">
      <w:pPr>
        <w:pStyle w:val="124"/>
        <w:tabs>
          <w:tab w:val="right" w:leader="dot" w:pos="9746"/>
        </w:tabs>
        <w:spacing w:line="360" w:lineRule="auto"/>
        <w:ind w:firstLine="400" w:firstLineChars="200"/>
        <w:rPr>
          <w:rFonts w:hint="eastAsia"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"_Toc25746" </w:instrText>
      </w:r>
      <w:r>
        <w:rPr>
          <w:color w:val="auto"/>
          <w:highlight w:val="none"/>
        </w:rPr>
        <w:fldChar w:fldCharType="separate"/>
      </w:r>
      <w:r>
        <w:rPr>
          <w:rFonts w:hint="eastAsia" w:ascii="宋体" w:hAnsi="宋体" w:cs="宋体"/>
          <w:b/>
          <w:color w:val="auto"/>
          <w:sz w:val="24"/>
          <w:szCs w:val="24"/>
          <w:highlight w:val="none"/>
        </w:rPr>
        <w:t>第二章  供应商须知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_Toc25746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551A0203">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"_Toc20522" </w:instrText>
      </w:r>
      <w:r>
        <w:rPr>
          <w:color w:val="auto"/>
          <w:highlight w:val="none"/>
        </w:rPr>
        <w:fldChar w:fldCharType="separate"/>
      </w:r>
      <w:r>
        <w:rPr>
          <w:rFonts w:hint="eastAsia" w:ascii="宋体" w:hAnsi="宋体" w:cs="宋体"/>
          <w:color w:val="auto"/>
          <w:sz w:val="24"/>
          <w:szCs w:val="24"/>
          <w:highlight w:val="none"/>
        </w:rPr>
        <w:t>供应商须知前附表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_Toc20522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CC0A99">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"_Toc27470" </w:instrText>
      </w:r>
      <w:r>
        <w:rPr>
          <w:color w:val="auto"/>
          <w:highlight w:val="none"/>
        </w:rPr>
        <w:fldChar w:fldCharType="separate"/>
      </w:r>
      <w:r>
        <w:rPr>
          <w:rFonts w:hint="eastAsia" w:ascii="宋体" w:hAnsi="宋体" w:cs="宋体"/>
          <w:bCs/>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_Toc27470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BBF83CB">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"_Toc4299" </w:instrText>
      </w:r>
      <w:r>
        <w:rPr>
          <w:color w:val="auto"/>
          <w:highlight w:val="none"/>
        </w:rPr>
        <w:fldChar w:fldCharType="separate"/>
      </w:r>
      <w:r>
        <w:rPr>
          <w:rFonts w:hint="eastAsia" w:ascii="宋体" w:hAnsi="宋体" w:cs="宋体"/>
          <w:bCs/>
          <w:color w:val="auto"/>
          <w:sz w:val="24"/>
          <w:szCs w:val="24"/>
          <w:highlight w:val="none"/>
        </w:rPr>
        <w:t>二、竞争性磋商文件的组成</w:t>
      </w:r>
      <w:r>
        <w:rPr>
          <w:rFonts w:hint="eastAsia" w:ascii="宋体" w:hAnsi="宋体" w:cs="宋体"/>
          <w:color w:val="auto"/>
          <w:sz w:val="24"/>
          <w:szCs w:val="24"/>
          <w:highlight w:val="none"/>
        </w:rPr>
        <w:tab/>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bCs/>
          <w:color w:val="auto"/>
          <w:sz w:val="24"/>
          <w:szCs w:val="24"/>
          <w:highlight w:val="none"/>
        </w:rPr>
        <w:t>2</w:t>
      </w:r>
    </w:p>
    <w:p w14:paraId="2D2FF863">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"_Toc18822" </w:instrText>
      </w:r>
      <w:r>
        <w:rPr>
          <w:color w:val="auto"/>
          <w:highlight w:val="none"/>
        </w:rPr>
        <w:fldChar w:fldCharType="separate"/>
      </w:r>
      <w:r>
        <w:rPr>
          <w:rFonts w:hint="eastAsia" w:ascii="宋体" w:hAnsi="宋体" w:cs="宋体"/>
          <w:color w:val="auto"/>
          <w:sz w:val="24"/>
          <w:szCs w:val="24"/>
          <w:highlight w:val="none"/>
        </w:rPr>
        <w:t>三、竞争性磋商响应文件的编写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_Toc18822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458A856">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"_Toc14836" </w:instrText>
      </w:r>
      <w:r>
        <w:rPr>
          <w:color w:val="auto"/>
          <w:highlight w:val="none"/>
        </w:rPr>
        <w:fldChar w:fldCharType="separate"/>
      </w:r>
      <w:r>
        <w:rPr>
          <w:rFonts w:hint="eastAsia" w:ascii="宋体" w:hAnsi="宋体" w:cs="宋体"/>
          <w:color w:val="auto"/>
          <w:sz w:val="24"/>
          <w:szCs w:val="24"/>
          <w:highlight w:val="none"/>
        </w:rPr>
        <w:t>四、开 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_Toc14836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83EB1D2">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"_Toc5689" </w:instrText>
      </w:r>
      <w:r>
        <w:rPr>
          <w:color w:val="auto"/>
          <w:highlight w:val="none"/>
        </w:rPr>
        <w:fldChar w:fldCharType="separate"/>
      </w:r>
      <w:r>
        <w:rPr>
          <w:rFonts w:hint="eastAsia" w:ascii="宋体" w:hAnsi="宋体" w:cs="宋体"/>
          <w:color w:val="auto"/>
          <w:sz w:val="24"/>
          <w:szCs w:val="24"/>
          <w:highlight w:val="none"/>
        </w:rPr>
        <w:t>五、竞争性磋商响应文件的评审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_Toc5689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838C98A">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"_Toc16496" </w:instrText>
      </w:r>
      <w:r>
        <w:rPr>
          <w:color w:val="auto"/>
          <w:highlight w:val="none"/>
        </w:rPr>
        <w:fldChar w:fldCharType="separate"/>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、磋商无效的情形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_Toc16496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5987D89">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"_Toc28073" </w:instrText>
      </w:r>
      <w:r>
        <w:rPr>
          <w:color w:val="auto"/>
          <w:highlight w:val="none"/>
        </w:rPr>
        <w:fldChar w:fldCharType="separate"/>
      </w:r>
      <w:r>
        <w:rPr>
          <w:rFonts w:hint="eastAsia" w:ascii="宋体" w:hAnsi="宋体" w:cs="宋体"/>
          <w:color w:val="auto"/>
          <w:sz w:val="24"/>
          <w:szCs w:val="24"/>
          <w:highlight w:val="none"/>
        </w:rPr>
        <w:t>七、废标的情形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_Toc28073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614D8C5">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"_Toc26511" </w:instrText>
      </w:r>
      <w:r>
        <w:rPr>
          <w:color w:val="auto"/>
          <w:highlight w:val="none"/>
        </w:rPr>
        <w:fldChar w:fldCharType="separate"/>
      </w:r>
      <w:r>
        <w:rPr>
          <w:rFonts w:hint="eastAsia" w:ascii="宋体" w:hAnsi="宋体" w:cs="宋体"/>
          <w:color w:val="auto"/>
          <w:sz w:val="24"/>
          <w:szCs w:val="24"/>
          <w:highlight w:val="none"/>
        </w:rPr>
        <w:t>八、确定成交供应商与签订合同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_Toc26511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8CCDBE6">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"_Toc9625" </w:instrText>
      </w:r>
      <w:r>
        <w:rPr>
          <w:color w:val="auto"/>
          <w:highlight w:val="none"/>
        </w:rPr>
        <w:fldChar w:fldCharType="separate"/>
      </w:r>
      <w:r>
        <w:rPr>
          <w:rFonts w:hint="eastAsia" w:ascii="宋体" w:hAnsi="宋体" w:cs="宋体"/>
          <w:color w:val="auto"/>
          <w:sz w:val="24"/>
          <w:szCs w:val="24"/>
          <w:highlight w:val="none"/>
        </w:rPr>
        <w:t>九、法律责任</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_Toc9625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1CFAB1">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"_Toc5880" </w:instrText>
      </w:r>
      <w:r>
        <w:rPr>
          <w:color w:val="auto"/>
          <w:highlight w:val="none"/>
        </w:rPr>
        <w:fldChar w:fldCharType="separate"/>
      </w:r>
      <w:r>
        <w:rPr>
          <w:rFonts w:hint="eastAsia" w:ascii="宋体" w:hAnsi="宋体" w:cs="宋体"/>
          <w:bCs/>
          <w:color w:val="auto"/>
          <w:sz w:val="24"/>
          <w:szCs w:val="24"/>
          <w:highlight w:val="none"/>
        </w:rPr>
        <w:t>十、质疑与投诉</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_Toc5880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0CA4720">
      <w:pPr>
        <w:pStyle w:val="121"/>
        <w:tabs>
          <w:tab w:val="right" w:leader="dot" w:pos="9746"/>
        </w:tabs>
        <w:spacing w:line="360" w:lineRule="auto"/>
        <w:ind w:leftChars="0"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"_Toc29783" </w:instrText>
      </w:r>
      <w:r>
        <w:rPr>
          <w:color w:val="auto"/>
          <w:highlight w:val="none"/>
        </w:rPr>
        <w:fldChar w:fldCharType="separate"/>
      </w:r>
      <w:r>
        <w:rPr>
          <w:rFonts w:hint="eastAsia" w:ascii="宋体" w:hAnsi="宋体" w:cs="宋体"/>
          <w:color w:val="auto"/>
          <w:sz w:val="24"/>
          <w:szCs w:val="24"/>
          <w:highlight w:val="none"/>
        </w:rPr>
        <w:t>十一、其他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_Toc29783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B173C89">
      <w:pPr>
        <w:pStyle w:val="124"/>
        <w:tabs>
          <w:tab w:val="right" w:leader="dot" w:pos="9746"/>
        </w:tabs>
        <w:spacing w:line="360" w:lineRule="auto"/>
        <w:ind w:firstLine="400" w:firstLineChars="200"/>
        <w:rPr>
          <w:rFonts w:hint="eastAsia"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"_Toc27639" </w:instrText>
      </w:r>
      <w:r>
        <w:rPr>
          <w:color w:val="auto"/>
          <w:highlight w:val="none"/>
        </w:rPr>
        <w:fldChar w:fldCharType="separate"/>
      </w:r>
      <w:r>
        <w:rPr>
          <w:rFonts w:hint="eastAsia" w:ascii="宋体" w:hAnsi="宋体" w:cs="宋体"/>
          <w:b/>
          <w:color w:val="auto"/>
          <w:sz w:val="24"/>
          <w:szCs w:val="24"/>
          <w:highlight w:val="none"/>
        </w:rPr>
        <w:t>第三章 采购内容及要求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_Toc27639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21</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757A5086">
      <w:pPr>
        <w:pStyle w:val="124"/>
        <w:tabs>
          <w:tab w:val="right" w:leader="dot" w:pos="9746"/>
        </w:tabs>
        <w:spacing w:line="360" w:lineRule="auto"/>
        <w:ind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"_Toc10572" </w:instrText>
      </w:r>
      <w:r>
        <w:rPr>
          <w:color w:val="auto"/>
          <w:highlight w:val="none"/>
        </w:rPr>
        <w:fldChar w:fldCharType="separate"/>
      </w:r>
      <w:r>
        <w:rPr>
          <w:rFonts w:hint="eastAsia" w:ascii="宋体" w:hAnsi="宋体" w:cs="宋体"/>
          <w:b/>
          <w:color w:val="auto"/>
          <w:sz w:val="24"/>
          <w:szCs w:val="24"/>
          <w:highlight w:val="none"/>
        </w:rPr>
        <w:t>第四章 磋商原则和磋商方法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_Toc10572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23</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70701AB0">
      <w:pPr>
        <w:pStyle w:val="124"/>
        <w:tabs>
          <w:tab w:val="right" w:leader="dot" w:pos="9746"/>
        </w:tabs>
        <w:spacing w:line="360" w:lineRule="auto"/>
        <w:ind w:firstLine="40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"_Toc32490" </w:instrText>
      </w:r>
      <w:r>
        <w:rPr>
          <w:color w:val="auto"/>
          <w:highlight w:val="none"/>
        </w:rPr>
        <w:fldChar w:fldCharType="separate"/>
      </w:r>
      <w:r>
        <w:rPr>
          <w:rFonts w:hint="eastAsia" w:ascii="宋体" w:hAnsi="宋体" w:cs="宋体"/>
          <w:b/>
          <w:color w:val="auto"/>
          <w:sz w:val="24"/>
          <w:szCs w:val="24"/>
          <w:highlight w:val="none"/>
        </w:rPr>
        <w:t>第五章 合同主要条款</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_Toc32490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30</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7BCD570">
      <w:pPr>
        <w:pStyle w:val="124"/>
        <w:tabs>
          <w:tab w:val="right" w:leader="dot" w:pos="9746"/>
        </w:tabs>
        <w:spacing w:line="360" w:lineRule="auto"/>
        <w:ind w:firstLine="400" w:firstLineChars="200"/>
        <w:rPr>
          <w:rFonts w:hint="eastAsia"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"_Toc10924" </w:instrText>
      </w:r>
      <w:r>
        <w:rPr>
          <w:color w:val="auto"/>
          <w:highlight w:val="none"/>
        </w:rPr>
        <w:fldChar w:fldCharType="separate"/>
      </w:r>
      <w:r>
        <w:rPr>
          <w:rFonts w:hint="eastAsia" w:ascii="宋体" w:hAnsi="宋体" w:cs="宋体"/>
          <w:b/>
          <w:color w:val="auto"/>
          <w:sz w:val="24"/>
          <w:szCs w:val="24"/>
          <w:highlight w:val="none"/>
        </w:rPr>
        <w:t>第六章 竞争性磋商响应文件格式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_Toc10924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34</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4254FB22">
      <w:pPr>
        <w:pStyle w:val="124"/>
        <w:tabs>
          <w:tab w:val="right" w:leader="dot" w:pos="9746"/>
        </w:tabs>
        <w:rPr>
          <w:b/>
          <w:color w:val="auto"/>
          <w:highlight w:val="none"/>
        </w:rPr>
      </w:pPr>
    </w:p>
    <w:p w14:paraId="51333233">
      <w:pPr>
        <w:pStyle w:val="124"/>
        <w:tabs>
          <w:tab w:val="right" w:leader="dot" w:pos="9746"/>
        </w:tabs>
        <w:spacing w:line="312" w:lineRule="auto"/>
        <w:ind w:firstLine="402" w:firstLineChars="200"/>
        <w:rPr>
          <w:rFonts w:hint="eastAsia" w:ascii="宋体" w:hAnsi="宋体" w:cs="宋体"/>
          <w:b/>
          <w:bCs/>
          <w:color w:val="auto"/>
          <w:sz w:val="22"/>
          <w:szCs w:val="22"/>
          <w:highlight w:val="none"/>
        </w:rPr>
      </w:pPr>
      <w:r>
        <w:rPr>
          <w:rFonts w:hint="eastAsia" w:ascii="宋体" w:hAnsi="宋体" w:cs="宋体"/>
          <w:b/>
          <w:bCs/>
          <w:color w:val="auto"/>
          <w:szCs w:val="22"/>
          <w:highlight w:val="none"/>
        </w:rPr>
        <w:fldChar w:fldCharType="end"/>
      </w:r>
    </w:p>
    <w:p w14:paraId="3419A91E">
      <w:pPr>
        <w:pStyle w:val="124"/>
        <w:tabs>
          <w:tab w:val="right" w:leader="dot" w:pos="9746"/>
        </w:tabs>
        <w:spacing w:line="312" w:lineRule="auto"/>
        <w:ind w:firstLine="420" w:firstLineChars="200"/>
        <w:rPr>
          <w:b/>
          <w:color w:val="auto"/>
          <w:highlight w:val="none"/>
        </w:rPr>
      </w:pPr>
      <w:r>
        <w:rPr>
          <w:rFonts w:hint="eastAsia" w:ascii="宋体" w:hAnsi="宋体" w:cs="宋体"/>
          <w:bCs/>
          <w:color w:val="auto"/>
          <w:sz w:val="21"/>
          <w:szCs w:val="21"/>
          <w:highlight w:val="none"/>
        </w:rPr>
        <w:fldChar w:fldCharType="end"/>
      </w:r>
    </w:p>
    <w:p w14:paraId="5779AE87">
      <w:pPr>
        <w:pStyle w:val="124"/>
        <w:tabs>
          <w:tab w:val="right" w:leader="dot" w:pos="9746"/>
        </w:tabs>
        <w:spacing w:line="312" w:lineRule="auto"/>
        <w:ind w:firstLine="402" w:firstLineChars="200"/>
        <w:rPr>
          <w:color w:val="auto"/>
          <w:highlight w:val="none"/>
        </w:rPr>
      </w:pPr>
      <w:r>
        <w:rPr>
          <w:rFonts w:hint="eastAsia"/>
          <w:b/>
          <w:color w:val="auto"/>
          <w:highlight w:val="none"/>
        </w:rPr>
        <w:fldChar w:fldCharType="end"/>
      </w:r>
    </w:p>
    <w:p w14:paraId="72294795">
      <w:pPr>
        <w:pStyle w:val="124"/>
        <w:tabs>
          <w:tab w:val="right" w:leader="dot" w:pos="9746"/>
        </w:tabs>
        <w:rPr>
          <w:b/>
          <w:color w:val="auto"/>
          <w:highlight w:val="none"/>
        </w:rPr>
      </w:pPr>
    </w:p>
    <w:p w14:paraId="34AC1777">
      <w:pPr>
        <w:ind w:firstLine="482"/>
        <w:rPr>
          <w:b/>
          <w:color w:val="auto"/>
          <w:highlight w:val="none"/>
        </w:rPr>
      </w:pPr>
      <w:r>
        <w:rPr>
          <w:b/>
          <w:color w:val="auto"/>
          <w:highlight w:val="none"/>
        </w:rPr>
        <w:fldChar w:fldCharType="end"/>
      </w:r>
      <w:bookmarkStart w:id="89" w:name="_Toc21544"/>
    </w:p>
    <w:p w14:paraId="490CFF48">
      <w:pPr>
        <w:ind w:firstLine="480"/>
        <w:rPr>
          <w:color w:val="auto"/>
          <w:highlight w:val="none"/>
        </w:rPr>
      </w:pPr>
      <w:bookmarkStart w:id="90" w:name="_Toc10424"/>
      <w:bookmarkStart w:id="91" w:name="_Toc30202"/>
      <w:bookmarkStart w:id="92" w:name="_Toc18851"/>
      <w:bookmarkStart w:id="93" w:name="_Toc7586"/>
      <w:bookmarkStart w:id="94" w:name="_Toc5565"/>
      <w:bookmarkStart w:id="95" w:name="_Toc18061"/>
      <w:bookmarkStart w:id="96" w:name="_Toc15219"/>
      <w:bookmarkStart w:id="97" w:name="_Toc22588"/>
      <w:bookmarkStart w:id="98" w:name="_Toc14647"/>
    </w:p>
    <w:p w14:paraId="12AA38D6">
      <w:pPr>
        <w:pStyle w:val="3"/>
        <w:spacing w:beforeLines="0" w:afterLines="0" w:line="500" w:lineRule="exact"/>
        <w:rPr>
          <w:bCs/>
          <w:color w:val="auto"/>
          <w:kern w:val="2"/>
          <w:szCs w:val="36"/>
          <w:highlight w:val="none"/>
        </w:rPr>
      </w:pPr>
      <w:r>
        <w:rPr>
          <w:rFonts w:hint="eastAsia"/>
          <w:bCs/>
          <w:color w:val="auto"/>
          <w:kern w:val="2"/>
          <w:szCs w:val="36"/>
          <w:highlight w:val="none"/>
        </w:rPr>
        <w:t>第一章 磋商公告</w:t>
      </w:r>
      <w:bookmarkEnd w:id="58"/>
      <w:bookmarkEnd w:id="59"/>
      <w:bookmarkEnd w:id="60"/>
      <w:bookmarkEnd w:id="61"/>
      <w:bookmarkEnd w:id="62"/>
      <w:bookmarkEnd w:id="63"/>
      <w:bookmarkEnd w:id="64"/>
      <w:bookmarkEnd w:id="65"/>
      <w:bookmarkEnd w:id="66"/>
      <w:bookmarkEnd w:id="67"/>
      <w:bookmarkEnd w:id="68"/>
      <w:bookmarkEnd w:id="69"/>
      <w:bookmarkEnd w:id="89"/>
      <w:bookmarkEnd w:id="90"/>
      <w:bookmarkEnd w:id="91"/>
      <w:bookmarkEnd w:id="92"/>
      <w:bookmarkEnd w:id="93"/>
      <w:bookmarkEnd w:id="94"/>
      <w:bookmarkEnd w:id="95"/>
      <w:bookmarkEnd w:id="96"/>
      <w:bookmarkEnd w:id="97"/>
      <w:bookmarkEnd w:id="98"/>
    </w:p>
    <w:p w14:paraId="27532EC1">
      <w:pPr>
        <w:tabs>
          <w:tab w:val="left" w:pos="0"/>
        </w:tabs>
        <w:spacing w:line="440" w:lineRule="exact"/>
        <w:ind w:firstLine="0" w:firstLineChars="0"/>
        <w:jc w:val="center"/>
        <w:outlineLvl w:val="1"/>
        <w:rPr>
          <w:rFonts w:hint="eastAsia" w:ascii="宋体" w:hAnsi="宋体" w:cs="宋体"/>
          <w:b/>
          <w:bCs/>
          <w:color w:val="auto"/>
          <w:sz w:val="32"/>
          <w:szCs w:val="32"/>
          <w:highlight w:val="none"/>
        </w:rPr>
      </w:pPr>
      <w:bookmarkStart w:id="99" w:name="_Toc28704"/>
      <w:bookmarkStart w:id="100" w:name="_Toc12882"/>
      <w:bookmarkStart w:id="101" w:name="_Toc28352"/>
      <w:bookmarkStart w:id="102" w:name="_Toc9453"/>
      <w:bookmarkStart w:id="103" w:name="_Toc30261"/>
      <w:bookmarkStart w:id="104" w:name="_Toc11455"/>
      <w:bookmarkStart w:id="105" w:name="_Toc12220"/>
      <w:bookmarkStart w:id="106" w:name="_Toc8337"/>
      <w:bookmarkStart w:id="107" w:name="_Toc9444"/>
      <w:bookmarkStart w:id="108" w:name="_Toc5506"/>
      <w:bookmarkStart w:id="109" w:name="_Toc7621"/>
      <w:bookmarkStart w:id="110" w:name="_Toc22446"/>
      <w:bookmarkStart w:id="111" w:name="_Toc21233"/>
      <w:bookmarkStart w:id="112" w:name="_Toc872"/>
      <w:bookmarkStart w:id="113" w:name="_Toc11566"/>
      <w:bookmarkStart w:id="114" w:name="_Toc11127"/>
      <w:bookmarkStart w:id="115" w:name="_Toc23928"/>
      <w:bookmarkStart w:id="116" w:name="_Toc16272"/>
      <w:bookmarkStart w:id="117" w:name="_Toc30751"/>
      <w:bookmarkStart w:id="118" w:name="_Toc14611"/>
      <w:bookmarkStart w:id="119" w:name="_Toc32321"/>
      <w:r>
        <w:rPr>
          <w:rFonts w:hint="eastAsia" w:ascii="宋体" w:hAnsi="宋体" w:cs="宋体"/>
          <w:b/>
          <w:bCs/>
          <w:color w:val="auto"/>
          <w:sz w:val="32"/>
          <w:szCs w:val="32"/>
          <w:highlight w:val="none"/>
        </w:rPr>
        <w:t>（线上电子招投标）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Style w:val="39"/>
        <w:tblpPr w:leftFromText="180" w:rightFromText="180" w:vertAnchor="text" w:tblpXSpec="center" w:tblpY="1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4289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855" w:type="dxa"/>
          </w:tcPr>
          <w:p w14:paraId="3D3560C1">
            <w:pPr>
              <w:pStyle w:val="34"/>
              <w:shd w:val="clear" w:color="auto" w:fill="FFFFFF"/>
              <w:spacing w:before="0" w:beforeAutospacing="0" w:after="0" w:afterAutospacing="0" w:line="240" w:lineRule="auto"/>
              <w:ind w:firstLine="643"/>
              <w:rPr>
                <w:rFonts w:hint="eastAsia" w:cs="宋体"/>
                <w:color w:val="auto"/>
                <w:highlight w:val="none"/>
              </w:rPr>
            </w:pPr>
            <w:bookmarkStart w:id="120" w:name="_Toc3081"/>
            <w:r>
              <w:rPr>
                <w:rFonts w:hint="eastAsia"/>
                <w:b/>
                <w:bCs/>
                <w:color w:val="auto"/>
                <w:sz w:val="32"/>
                <w:szCs w:val="32"/>
                <w:highlight w:val="none"/>
              </w:rPr>
              <w:t>项目概况</w:t>
            </w:r>
          </w:p>
          <w:p w14:paraId="43CDA042">
            <w:pPr>
              <w:pStyle w:val="34"/>
              <w:shd w:val="clear" w:color="auto" w:fill="FFFFFF"/>
              <w:spacing w:before="0" w:beforeAutospacing="0" w:after="0" w:afterAutospacing="0" w:line="240" w:lineRule="auto"/>
              <w:ind w:firstLine="480"/>
              <w:rPr>
                <w:rFonts w:hint="eastAsia" w:cs="宋体"/>
                <w:color w:val="auto"/>
                <w:highlight w:val="none"/>
                <w:u w:val="single"/>
              </w:rPr>
            </w:pPr>
            <w:r>
              <w:rPr>
                <w:rFonts w:hint="eastAsia" w:cs="宋体"/>
                <w:color w:val="auto"/>
                <w:highlight w:val="none"/>
              </w:rPr>
              <w:t>龙游县森林资源质量核查年度数据更新以及补充林地规划项目的潜在供应商应在政采云平台线上获取（下载）采购文件，并于2025年07月</w:t>
            </w:r>
            <w:r>
              <w:rPr>
                <w:rFonts w:hint="eastAsia" w:cs="宋体"/>
                <w:color w:val="auto"/>
                <w:highlight w:val="none"/>
                <w:lang w:val="en-US" w:eastAsia="zh-CN"/>
              </w:rPr>
              <w:t>29</w:t>
            </w:r>
            <w:r>
              <w:rPr>
                <w:rFonts w:hint="eastAsia" w:cs="宋体"/>
                <w:color w:val="auto"/>
                <w:highlight w:val="none"/>
              </w:rPr>
              <w:t>日</w:t>
            </w:r>
            <w:r>
              <w:rPr>
                <w:rFonts w:hint="eastAsia" w:cs="宋体"/>
                <w:color w:val="auto"/>
                <w:highlight w:val="none"/>
                <w:lang w:val="en-US" w:eastAsia="zh-CN"/>
              </w:rPr>
              <w:t>09:00</w:t>
            </w:r>
            <w:r>
              <w:rPr>
                <w:rFonts w:hint="eastAsia" w:cs="宋体"/>
                <w:color w:val="auto"/>
                <w:highlight w:val="none"/>
              </w:rPr>
              <w:t>（北京时间）前提交（上传）响应文件。     </w:t>
            </w:r>
          </w:p>
        </w:tc>
      </w:tr>
    </w:tbl>
    <w:p w14:paraId="3DF58DC3">
      <w:pPr>
        <w:pStyle w:val="34"/>
        <w:shd w:val="clear" w:color="auto" w:fill="FFFFFF"/>
        <w:spacing w:before="0" w:beforeAutospacing="0" w:after="0" w:afterAutospacing="0" w:line="312" w:lineRule="auto"/>
        <w:ind w:firstLine="482"/>
        <w:outlineLvl w:val="1"/>
        <w:rPr>
          <w:rFonts w:hint="eastAsia" w:cs="宋体"/>
          <w:color w:val="auto"/>
          <w:highlight w:val="none"/>
        </w:rPr>
      </w:pPr>
      <w:bookmarkStart w:id="121" w:name="_Toc29502"/>
      <w:bookmarkStart w:id="122" w:name="_Toc2276"/>
      <w:bookmarkStart w:id="123" w:name="_Toc3390"/>
      <w:bookmarkStart w:id="124" w:name="_Toc4690"/>
      <w:bookmarkStart w:id="125" w:name="_Toc3533"/>
      <w:bookmarkStart w:id="126" w:name="_Toc4276"/>
      <w:bookmarkStart w:id="127" w:name="_Toc975"/>
      <w:bookmarkStart w:id="128" w:name="_Toc23631"/>
      <w:bookmarkStart w:id="129" w:name="_Toc17030"/>
      <w:bookmarkStart w:id="130" w:name="_Toc13671"/>
      <w:bookmarkStart w:id="131" w:name="_Toc28564"/>
      <w:bookmarkStart w:id="132" w:name="_Toc7966"/>
      <w:bookmarkStart w:id="133" w:name="_Toc6984"/>
      <w:bookmarkStart w:id="134" w:name="_Toc24605"/>
      <w:bookmarkStart w:id="135" w:name="_Toc17986"/>
      <w:bookmarkStart w:id="136" w:name="_Toc580"/>
      <w:bookmarkStart w:id="137" w:name="_Toc23293"/>
      <w:bookmarkStart w:id="138" w:name="_Toc2248"/>
      <w:bookmarkStart w:id="139" w:name="_Toc3843"/>
      <w:bookmarkStart w:id="140" w:name="_Toc2065"/>
      <w:bookmarkStart w:id="141" w:name="_Toc25543"/>
      <w:r>
        <w:rPr>
          <w:rFonts w:hint="eastAsia" w:cs="宋体"/>
          <w:b/>
          <w:bCs/>
          <w:color w:val="auto"/>
          <w:highlight w:val="none"/>
        </w:rPr>
        <w:t>一、项目基本情况</w:t>
      </w:r>
      <w:bookmarkEnd w:id="121"/>
    </w:p>
    <w:p w14:paraId="104C49F5">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1.项目编号：XDLYCG-2025002</w:t>
      </w:r>
    </w:p>
    <w:p w14:paraId="59BE06DB">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2.项目名称：龙游县森林资源质量核查年度数据更新以及补充林地规划项目</w:t>
      </w:r>
    </w:p>
    <w:p w14:paraId="6A19EB01">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3.预算金额（元）：650000</w:t>
      </w:r>
    </w:p>
    <w:p w14:paraId="7F597155">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4.最高限价（元）：650000</w:t>
      </w:r>
    </w:p>
    <w:p w14:paraId="255DC044">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5.采购需求：</w:t>
      </w:r>
    </w:p>
    <w:p w14:paraId="18A5CA3F">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5.1标项名称：龙游县森林资源质量核查年度数据更新以及补充林地规划项目</w:t>
      </w:r>
    </w:p>
    <w:p w14:paraId="2B4C88B0">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5.2数量：1</w:t>
      </w:r>
    </w:p>
    <w:p w14:paraId="32248B73">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5.3预算金额（元）：650000</w:t>
      </w:r>
    </w:p>
    <w:p w14:paraId="3F068781">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5.4简要规格描述或项目基本概况介绍、用途：详见磋商文件“第三章 采购内容及需求”（包括但不限于标的的名称、数量、简要技术需求或服务要求等）。</w:t>
      </w:r>
    </w:p>
    <w:p w14:paraId="788939B3">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5.6备注：无</w:t>
      </w:r>
    </w:p>
    <w:p w14:paraId="43778010">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6.合同履约期限：根据浙江省林业局要求的时间，完成龙游县林草湿年度调查监测及补充林地规划工作</w:t>
      </w:r>
      <w:r>
        <w:rPr>
          <w:rFonts w:hint="eastAsia" w:cs="宋体"/>
          <w:color w:val="auto"/>
          <w:szCs w:val="22"/>
          <w:highlight w:val="none"/>
        </w:rPr>
        <w:t>。</w:t>
      </w:r>
    </w:p>
    <w:p w14:paraId="5A78BF5A">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7.本项目不接受联合体投标。</w:t>
      </w:r>
    </w:p>
    <w:p w14:paraId="6551BBDB">
      <w:pPr>
        <w:pStyle w:val="34"/>
        <w:shd w:val="clear" w:color="auto" w:fill="FFFFFF"/>
        <w:spacing w:before="0" w:beforeAutospacing="0" w:after="0" w:afterAutospacing="0" w:line="312" w:lineRule="auto"/>
        <w:ind w:firstLine="482"/>
        <w:rPr>
          <w:rFonts w:hint="eastAsia" w:cs="宋体"/>
          <w:b/>
          <w:bCs/>
          <w:color w:val="auto"/>
          <w:highlight w:val="none"/>
        </w:rPr>
      </w:pPr>
      <w:bookmarkStart w:id="142" w:name="_Toc13265"/>
      <w:r>
        <w:rPr>
          <w:rFonts w:hint="eastAsia" w:cs="宋体"/>
          <w:b/>
          <w:bCs/>
          <w:color w:val="auto"/>
          <w:highlight w:val="none"/>
        </w:rPr>
        <w:t>二、申请人的资格要求</w:t>
      </w:r>
      <w:bookmarkEnd w:id="142"/>
    </w:p>
    <w:p w14:paraId="0BA0AA70">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DB7310D">
      <w:pPr>
        <w:pStyle w:val="34"/>
        <w:shd w:val="clear" w:color="auto" w:fill="FFFFFF"/>
        <w:spacing w:before="0" w:beforeAutospacing="0" w:after="0" w:afterAutospacing="0" w:line="312" w:lineRule="auto"/>
        <w:ind w:firstLine="480"/>
        <w:rPr>
          <w:rFonts w:hint="eastAsia" w:cs="宋体"/>
          <w:color w:val="auto"/>
          <w:highlight w:val="none"/>
        </w:rPr>
      </w:pPr>
      <w:r>
        <w:rPr>
          <w:rFonts w:hint="eastAsia" w:cs="宋体"/>
          <w:color w:val="auto"/>
          <w:highlight w:val="none"/>
        </w:rPr>
        <w:t>2.落实政府采购政策需满足的资格要求：本项目专门面向中小企业采购，供应商应为中小微企业、监狱企业、残疾人福利性单位。 </w:t>
      </w:r>
    </w:p>
    <w:p w14:paraId="67E1998F">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zh-CN"/>
        </w:rPr>
        <w:t>供应商具有林业调查规划设计乙级及以上资质</w:t>
      </w:r>
      <w:r>
        <w:rPr>
          <w:rFonts w:hint="eastAsia" w:ascii="宋体" w:hAnsi="宋体" w:cs="宋体"/>
          <w:color w:val="auto"/>
          <w:szCs w:val="22"/>
          <w:highlight w:val="none"/>
        </w:rPr>
        <w:t>。</w:t>
      </w:r>
    </w:p>
    <w:p w14:paraId="54CCFAFC">
      <w:pPr>
        <w:pStyle w:val="33"/>
        <w:spacing w:line="312" w:lineRule="auto"/>
        <w:ind w:firstLine="482"/>
        <w:outlineLvl w:val="1"/>
        <w:rPr>
          <w:rFonts w:hint="eastAsia" w:ascii="宋体" w:hAnsi="宋体" w:cs="宋体"/>
          <w:b/>
          <w:bCs/>
          <w:color w:val="auto"/>
          <w:kern w:val="0"/>
          <w:highlight w:val="none"/>
        </w:rPr>
      </w:pPr>
      <w:r>
        <w:rPr>
          <w:rFonts w:hint="eastAsia" w:ascii="宋体" w:hAnsi="宋体" w:cs="宋体"/>
          <w:b/>
          <w:bCs/>
          <w:color w:val="auto"/>
          <w:kern w:val="0"/>
          <w:highlight w:val="none"/>
        </w:rPr>
        <w:t>三、获取</w:t>
      </w:r>
      <w:bookmarkEnd w:id="122"/>
      <w:bookmarkEnd w:id="123"/>
      <w:bookmarkEnd w:id="124"/>
      <w:bookmarkEnd w:id="125"/>
      <w:bookmarkEnd w:id="126"/>
      <w:bookmarkEnd w:id="127"/>
      <w:bookmarkEnd w:id="128"/>
      <w:bookmarkEnd w:id="129"/>
      <w:bookmarkEnd w:id="130"/>
      <w:bookmarkEnd w:id="131"/>
      <w:r>
        <w:rPr>
          <w:rFonts w:hint="eastAsia" w:ascii="宋体" w:hAnsi="宋体" w:cs="宋体"/>
          <w:b/>
          <w:bCs/>
          <w:color w:val="auto"/>
          <w:kern w:val="0"/>
          <w:highlight w:val="none"/>
        </w:rPr>
        <w:t>磋商文件</w:t>
      </w:r>
    </w:p>
    <w:p w14:paraId="56C56EEF">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1.时间:/至2025年7月</w:t>
      </w:r>
      <w:r>
        <w:rPr>
          <w:rFonts w:hint="eastAsia" w:ascii="宋体" w:hAnsi="宋体" w:cs="宋体"/>
          <w:color w:val="auto"/>
          <w:highlight w:val="none"/>
          <w:lang w:val="en-US" w:eastAsia="zh-CN"/>
        </w:rPr>
        <w:t>29</w:t>
      </w:r>
      <w:r>
        <w:rPr>
          <w:rFonts w:hint="eastAsia" w:ascii="宋体" w:hAnsi="宋体" w:cs="宋体"/>
          <w:color w:val="auto"/>
          <w:highlight w:val="none"/>
        </w:rPr>
        <w:t>日，每天上午00:00至12:00，下午12:00至23:59(北京时间，线上获取法定节假日均可，线下获取文件法定节假日除外)。</w:t>
      </w:r>
    </w:p>
    <w:p w14:paraId="6F3DBB69">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2.地点(网址)：浙江政府采购网政府采购云平台，潜在供应商获取磋商文件前应先完成政府采购云平台的账号注册。</w:t>
      </w:r>
    </w:p>
    <w:p w14:paraId="2E4B9D43">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3.方式：供应商登录政采云平台https://www.zcygov.cn在线申请获取采购文件（进入“项目采购”应用，在获取采购文件菜单中选择项目，申请获取采购文件）。</w:t>
      </w:r>
    </w:p>
    <w:p w14:paraId="25DCDF65">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4.售价(元):0</w:t>
      </w:r>
    </w:p>
    <w:p w14:paraId="2572E72E">
      <w:pPr>
        <w:pStyle w:val="33"/>
        <w:spacing w:line="312" w:lineRule="auto"/>
        <w:ind w:firstLine="482"/>
        <w:outlineLvl w:val="1"/>
        <w:rPr>
          <w:rFonts w:hint="eastAsia" w:ascii="宋体" w:hAnsi="宋体" w:cs="宋体"/>
          <w:b/>
          <w:bCs/>
          <w:color w:val="auto"/>
          <w:kern w:val="0"/>
          <w:highlight w:val="none"/>
        </w:rPr>
      </w:pPr>
      <w:bookmarkStart w:id="143" w:name="_Toc26723"/>
      <w:bookmarkStart w:id="144" w:name="_Toc32548"/>
      <w:bookmarkStart w:id="145" w:name="_Toc7640"/>
      <w:bookmarkStart w:id="146" w:name="_Toc15611"/>
      <w:bookmarkStart w:id="147" w:name="_Toc9813"/>
      <w:bookmarkStart w:id="148" w:name="_Toc8801"/>
      <w:bookmarkStart w:id="149" w:name="_Toc20925"/>
      <w:bookmarkStart w:id="150" w:name="_Toc27151"/>
      <w:bookmarkStart w:id="151" w:name="_Toc13133"/>
      <w:bookmarkStart w:id="152" w:name="_Toc4459"/>
      <w:r>
        <w:rPr>
          <w:rFonts w:hint="eastAsia" w:ascii="宋体" w:hAnsi="宋体" w:cs="宋体"/>
          <w:b/>
          <w:bCs/>
          <w:color w:val="auto"/>
          <w:kern w:val="0"/>
          <w:highlight w:val="none"/>
        </w:rPr>
        <w:t>四、响应文件提交（上传） </w:t>
      </w:r>
      <w:bookmarkEnd w:id="143"/>
      <w:bookmarkEnd w:id="144"/>
      <w:bookmarkEnd w:id="145"/>
      <w:bookmarkEnd w:id="146"/>
      <w:bookmarkEnd w:id="147"/>
      <w:bookmarkEnd w:id="148"/>
      <w:bookmarkEnd w:id="149"/>
      <w:bookmarkEnd w:id="150"/>
      <w:bookmarkEnd w:id="151"/>
      <w:bookmarkEnd w:id="152"/>
    </w:p>
    <w:p w14:paraId="441BA01C">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1.截止时间：2025年7月</w:t>
      </w:r>
      <w:r>
        <w:rPr>
          <w:rFonts w:hint="eastAsia" w:ascii="宋体" w:hAnsi="宋体" w:cs="宋体"/>
          <w:color w:val="auto"/>
          <w:highlight w:val="none"/>
          <w:lang w:val="en-US" w:eastAsia="zh-CN"/>
        </w:rPr>
        <w:t>29</w:t>
      </w:r>
      <w:r>
        <w:rPr>
          <w:rFonts w:hint="eastAsia" w:ascii="宋体" w:hAnsi="宋体" w:cs="宋体"/>
          <w:color w:val="auto"/>
          <w:highlight w:val="none"/>
        </w:rPr>
        <w:t>日</w:t>
      </w:r>
      <w:r>
        <w:rPr>
          <w:rFonts w:hint="eastAsia" w:ascii="宋体" w:hAnsi="宋体" w:cs="宋体"/>
          <w:color w:val="auto"/>
          <w:highlight w:val="none"/>
          <w:lang w:val="en-US" w:eastAsia="zh-CN"/>
        </w:rPr>
        <w:t>09:00</w:t>
      </w:r>
      <w:r>
        <w:rPr>
          <w:rFonts w:hint="eastAsia" w:ascii="宋体" w:hAnsi="宋体" w:cs="宋体"/>
          <w:color w:val="auto"/>
          <w:highlight w:val="none"/>
        </w:rPr>
        <w:t>（北京时间）</w:t>
      </w:r>
    </w:p>
    <w:p w14:paraId="72DA2830">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2.地点（网址）：政采云平台 </w:t>
      </w:r>
    </w:p>
    <w:p w14:paraId="3644A75C">
      <w:pPr>
        <w:pStyle w:val="33"/>
        <w:spacing w:line="312" w:lineRule="auto"/>
        <w:ind w:firstLine="482"/>
        <w:outlineLvl w:val="1"/>
        <w:rPr>
          <w:rFonts w:hint="eastAsia" w:ascii="宋体" w:hAnsi="宋体" w:cs="宋体"/>
          <w:b/>
          <w:bCs/>
          <w:color w:val="auto"/>
          <w:kern w:val="0"/>
          <w:highlight w:val="none"/>
        </w:rPr>
      </w:pPr>
      <w:bookmarkStart w:id="153" w:name="_Toc31470"/>
      <w:bookmarkStart w:id="154" w:name="_Toc21461"/>
      <w:bookmarkStart w:id="155" w:name="_Toc23761"/>
      <w:bookmarkStart w:id="156" w:name="_Toc14216"/>
      <w:bookmarkStart w:id="157" w:name="_Toc12879"/>
      <w:bookmarkStart w:id="158" w:name="_Toc7660"/>
      <w:bookmarkStart w:id="159" w:name="_Toc32000"/>
      <w:bookmarkStart w:id="160" w:name="_Toc7510"/>
      <w:bookmarkStart w:id="161" w:name="_Toc17426"/>
      <w:bookmarkStart w:id="162" w:name="_Toc3991"/>
      <w:r>
        <w:rPr>
          <w:rFonts w:hint="eastAsia" w:ascii="宋体" w:hAnsi="宋体" w:cs="宋体"/>
          <w:b/>
          <w:bCs/>
          <w:color w:val="auto"/>
          <w:kern w:val="0"/>
          <w:highlight w:val="none"/>
        </w:rPr>
        <w:t>五、响应文件开启 </w:t>
      </w:r>
      <w:bookmarkEnd w:id="153"/>
      <w:bookmarkEnd w:id="154"/>
      <w:bookmarkEnd w:id="155"/>
      <w:bookmarkEnd w:id="156"/>
      <w:bookmarkEnd w:id="157"/>
      <w:bookmarkEnd w:id="158"/>
      <w:bookmarkEnd w:id="159"/>
      <w:bookmarkEnd w:id="160"/>
      <w:bookmarkEnd w:id="161"/>
      <w:bookmarkEnd w:id="162"/>
    </w:p>
    <w:p w14:paraId="02D539E2">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1.开启时间：2025年7月</w:t>
      </w:r>
      <w:r>
        <w:rPr>
          <w:rFonts w:hint="eastAsia" w:ascii="宋体" w:hAnsi="宋体" w:cs="宋体"/>
          <w:color w:val="auto"/>
          <w:highlight w:val="none"/>
          <w:lang w:val="en-US" w:eastAsia="zh-CN"/>
        </w:rPr>
        <w:t>29</w:t>
      </w:r>
      <w:r>
        <w:rPr>
          <w:rFonts w:hint="eastAsia" w:ascii="宋体" w:hAnsi="宋体" w:cs="宋体"/>
          <w:color w:val="auto"/>
          <w:highlight w:val="none"/>
        </w:rPr>
        <w:t>日</w:t>
      </w:r>
      <w:r>
        <w:rPr>
          <w:rFonts w:hint="eastAsia" w:ascii="宋体" w:hAnsi="宋体" w:cs="宋体"/>
          <w:color w:val="auto"/>
          <w:highlight w:val="none"/>
          <w:lang w:val="en-US" w:eastAsia="zh-CN"/>
        </w:rPr>
        <w:t>09:00</w:t>
      </w:r>
      <w:r>
        <w:rPr>
          <w:rFonts w:hint="eastAsia" w:ascii="宋体" w:hAnsi="宋体" w:cs="宋体"/>
          <w:color w:val="auto"/>
          <w:highlight w:val="none"/>
        </w:rPr>
        <w:t>（北京时间）</w:t>
      </w:r>
    </w:p>
    <w:p w14:paraId="491A5530">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2.地点（网址）：政采云平台 </w:t>
      </w:r>
    </w:p>
    <w:p w14:paraId="1242F439">
      <w:pPr>
        <w:pStyle w:val="33"/>
        <w:spacing w:line="312" w:lineRule="auto"/>
        <w:ind w:firstLine="482"/>
        <w:outlineLvl w:val="1"/>
        <w:rPr>
          <w:rFonts w:hint="eastAsia" w:ascii="宋体" w:hAnsi="宋体" w:cs="宋体"/>
          <w:b/>
          <w:bCs/>
          <w:color w:val="auto"/>
          <w:kern w:val="0"/>
          <w:highlight w:val="none"/>
        </w:rPr>
      </w:pPr>
      <w:bookmarkStart w:id="163" w:name="_Toc15437"/>
      <w:bookmarkStart w:id="164" w:name="_Toc4052"/>
      <w:bookmarkStart w:id="165" w:name="_Toc20502"/>
      <w:bookmarkStart w:id="166" w:name="_Toc19693"/>
      <w:bookmarkStart w:id="167" w:name="_Toc10659"/>
      <w:bookmarkStart w:id="168" w:name="_Toc1626"/>
      <w:bookmarkStart w:id="169" w:name="_Toc14540"/>
      <w:bookmarkStart w:id="170" w:name="_Toc2704"/>
      <w:bookmarkStart w:id="171" w:name="_Toc3701"/>
      <w:bookmarkStart w:id="172" w:name="_Toc9399"/>
      <w:r>
        <w:rPr>
          <w:rFonts w:hint="eastAsia" w:ascii="宋体" w:hAnsi="宋体" w:cs="宋体"/>
          <w:b/>
          <w:bCs/>
          <w:color w:val="auto"/>
          <w:kern w:val="0"/>
          <w:highlight w:val="none"/>
        </w:rPr>
        <w:t>六、公告期限</w:t>
      </w:r>
      <w:bookmarkEnd w:id="163"/>
      <w:bookmarkEnd w:id="164"/>
      <w:bookmarkEnd w:id="165"/>
      <w:bookmarkEnd w:id="166"/>
      <w:bookmarkEnd w:id="167"/>
      <w:bookmarkEnd w:id="168"/>
      <w:bookmarkEnd w:id="169"/>
      <w:bookmarkEnd w:id="170"/>
      <w:bookmarkEnd w:id="171"/>
      <w:bookmarkEnd w:id="172"/>
    </w:p>
    <w:p w14:paraId="2D9FFAC3">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自本公告发布之日起3个工作日。</w:t>
      </w:r>
    </w:p>
    <w:p w14:paraId="6D63CC53">
      <w:pPr>
        <w:pStyle w:val="33"/>
        <w:spacing w:line="312" w:lineRule="auto"/>
        <w:ind w:firstLine="482"/>
        <w:outlineLvl w:val="1"/>
        <w:rPr>
          <w:rFonts w:hint="eastAsia" w:ascii="宋体" w:hAnsi="宋体" w:cs="宋体"/>
          <w:b/>
          <w:bCs/>
          <w:color w:val="auto"/>
          <w:kern w:val="0"/>
          <w:highlight w:val="none"/>
        </w:rPr>
      </w:pPr>
      <w:bookmarkStart w:id="173" w:name="_Toc1202"/>
      <w:bookmarkStart w:id="174" w:name="_Toc22430"/>
      <w:bookmarkStart w:id="175" w:name="_Toc20900"/>
      <w:bookmarkStart w:id="176" w:name="_Toc6830"/>
      <w:bookmarkStart w:id="177" w:name="_Toc25621"/>
      <w:bookmarkStart w:id="178" w:name="_Toc13391"/>
      <w:bookmarkStart w:id="179" w:name="_Toc14748"/>
      <w:bookmarkStart w:id="180" w:name="_Toc14943"/>
      <w:bookmarkStart w:id="181" w:name="_Toc12019"/>
      <w:bookmarkStart w:id="182" w:name="_Toc27009"/>
      <w:r>
        <w:rPr>
          <w:rFonts w:hint="eastAsia" w:ascii="宋体" w:hAnsi="宋体" w:cs="宋体"/>
          <w:b/>
          <w:bCs/>
          <w:color w:val="auto"/>
          <w:kern w:val="0"/>
          <w:highlight w:val="none"/>
        </w:rPr>
        <w:t>七、其他补充事宜 </w:t>
      </w:r>
      <w:bookmarkEnd w:id="173"/>
      <w:bookmarkEnd w:id="174"/>
      <w:bookmarkEnd w:id="175"/>
      <w:bookmarkEnd w:id="176"/>
      <w:bookmarkEnd w:id="177"/>
      <w:bookmarkEnd w:id="178"/>
      <w:bookmarkEnd w:id="179"/>
      <w:bookmarkEnd w:id="180"/>
      <w:bookmarkEnd w:id="181"/>
      <w:bookmarkEnd w:id="182"/>
    </w:p>
    <w:p w14:paraId="28A282EA">
      <w:pPr>
        <w:tabs>
          <w:tab w:val="left" w:pos="5940"/>
        </w:tabs>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D852119">
      <w:pPr>
        <w:tabs>
          <w:tab w:val="left" w:pos="5940"/>
        </w:tabs>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53B0F8">
      <w:pPr>
        <w:tabs>
          <w:tab w:val="left" w:pos="5940"/>
        </w:tabs>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B901B8">
      <w:pPr>
        <w:tabs>
          <w:tab w:val="left" w:pos="5940"/>
        </w:tabs>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4.其他事项：为支持和促进中小企业发展，有需要的成交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3483D1C7">
      <w:pPr>
        <w:tabs>
          <w:tab w:val="left" w:pos="5940"/>
        </w:tabs>
        <w:snapToGrid w:val="0"/>
        <w:spacing w:line="312" w:lineRule="auto"/>
        <w:ind w:firstLine="480"/>
        <w:jc w:val="left"/>
        <w:rPr>
          <w:rFonts w:hint="eastAsia" w:ascii="宋体" w:hAnsi="宋体" w:cs="宋体"/>
          <w:color w:val="auto"/>
          <w:highlight w:val="none"/>
          <w:lang w:val="zh-CN"/>
        </w:rPr>
      </w:pPr>
    </w:p>
    <w:p w14:paraId="40138247">
      <w:pPr>
        <w:tabs>
          <w:tab w:val="left" w:pos="5940"/>
        </w:tabs>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lang w:val="zh-CN"/>
        </w:rPr>
        <w:t>公告未显示完全内容详见磋商文件“供应商须知</w:t>
      </w:r>
      <w:r>
        <w:rPr>
          <w:rFonts w:hint="eastAsia" w:ascii="宋体" w:hAnsi="宋体" w:cs="宋体"/>
          <w:color w:val="auto"/>
          <w:highlight w:val="none"/>
        </w:rPr>
        <w:t>及供应商须知前附表</w:t>
      </w:r>
      <w:r>
        <w:rPr>
          <w:rFonts w:hint="eastAsia" w:ascii="宋体" w:hAnsi="宋体" w:cs="宋体"/>
          <w:color w:val="auto"/>
          <w:highlight w:val="none"/>
          <w:lang w:val="zh-CN"/>
        </w:rPr>
        <w:t>”。</w:t>
      </w:r>
    </w:p>
    <w:p w14:paraId="4779C678">
      <w:pPr>
        <w:pStyle w:val="33"/>
        <w:spacing w:line="312" w:lineRule="auto"/>
        <w:ind w:firstLine="482"/>
        <w:outlineLvl w:val="1"/>
        <w:rPr>
          <w:rFonts w:hint="eastAsia" w:ascii="宋体" w:hAnsi="宋体" w:cs="宋体"/>
          <w:b/>
          <w:bCs/>
          <w:color w:val="auto"/>
          <w:kern w:val="0"/>
          <w:highlight w:val="none"/>
        </w:rPr>
      </w:pPr>
      <w:bookmarkStart w:id="183" w:name="_Toc4382"/>
      <w:bookmarkStart w:id="184" w:name="_Toc8736"/>
      <w:bookmarkStart w:id="185" w:name="_Toc10000"/>
      <w:bookmarkStart w:id="186" w:name="_Toc11376"/>
      <w:bookmarkStart w:id="187" w:name="_Toc16166"/>
      <w:bookmarkStart w:id="188" w:name="_Toc16026"/>
      <w:bookmarkStart w:id="189" w:name="_Toc7878"/>
      <w:bookmarkStart w:id="190" w:name="_Toc20927"/>
      <w:bookmarkStart w:id="191" w:name="_Toc14404"/>
      <w:bookmarkStart w:id="192" w:name="_Toc18930"/>
      <w:r>
        <w:rPr>
          <w:rFonts w:hint="eastAsia" w:ascii="宋体" w:hAnsi="宋体" w:cs="宋体"/>
          <w:b/>
          <w:bCs/>
          <w:color w:val="auto"/>
          <w:kern w:val="0"/>
          <w:highlight w:val="none"/>
        </w:rPr>
        <w:t>八、凡对本次招标提出询问、质疑、投诉，请按以下方式联系</w:t>
      </w:r>
      <w:bookmarkEnd w:id="183"/>
      <w:bookmarkEnd w:id="184"/>
      <w:bookmarkEnd w:id="185"/>
      <w:bookmarkEnd w:id="186"/>
      <w:bookmarkEnd w:id="187"/>
      <w:bookmarkEnd w:id="188"/>
      <w:bookmarkEnd w:id="189"/>
      <w:bookmarkEnd w:id="190"/>
      <w:bookmarkEnd w:id="191"/>
      <w:bookmarkEnd w:id="192"/>
    </w:p>
    <w:bookmarkEnd w:id="120"/>
    <w:bookmarkEnd w:id="132"/>
    <w:bookmarkEnd w:id="133"/>
    <w:bookmarkEnd w:id="134"/>
    <w:bookmarkEnd w:id="135"/>
    <w:bookmarkEnd w:id="136"/>
    <w:bookmarkEnd w:id="137"/>
    <w:bookmarkEnd w:id="138"/>
    <w:bookmarkEnd w:id="139"/>
    <w:bookmarkEnd w:id="140"/>
    <w:bookmarkEnd w:id="141"/>
    <w:p w14:paraId="25BFB9EB">
      <w:pPr>
        <w:spacing w:line="312" w:lineRule="auto"/>
        <w:ind w:left="480" w:leftChars="200" w:firstLine="0" w:firstLineChars="0"/>
        <w:outlineLvl w:val="2"/>
        <w:rPr>
          <w:rFonts w:hint="eastAsia" w:ascii="宋体" w:hAnsi="宋体" w:cs="宋体"/>
          <w:color w:val="auto"/>
          <w:highlight w:val="none"/>
        </w:rPr>
      </w:pPr>
      <w:bookmarkStart w:id="193" w:name="_Toc5085"/>
      <w:bookmarkStart w:id="194" w:name="_Toc22236"/>
      <w:bookmarkStart w:id="195" w:name="_Toc342"/>
      <w:bookmarkStart w:id="196" w:name="_Toc22400"/>
      <w:bookmarkStart w:id="197" w:name="_Toc4772"/>
      <w:bookmarkStart w:id="198" w:name="_Toc16275"/>
      <w:bookmarkStart w:id="199" w:name="_Toc13440"/>
      <w:bookmarkStart w:id="200" w:name="_Toc25014"/>
      <w:bookmarkStart w:id="201" w:name="_Toc12374"/>
      <w:bookmarkStart w:id="202" w:name="_Toc14488"/>
      <w:bookmarkStart w:id="203" w:name="_Toc30123"/>
      <w:bookmarkStart w:id="204" w:name="_Toc38"/>
      <w:bookmarkStart w:id="205" w:name="_Toc4410"/>
      <w:bookmarkStart w:id="206" w:name="_Toc14749"/>
      <w:bookmarkStart w:id="207" w:name="_Toc28540"/>
      <w:bookmarkStart w:id="208" w:name="_Toc9475"/>
      <w:bookmarkStart w:id="209" w:name="_Toc15018"/>
      <w:bookmarkStart w:id="210" w:name="_Toc6215"/>
      <w:bookmarkStart w:id="211" w:name="_Toc4381"/>
      <w:bookmarkStart w:id="212" w:name="_Toc18409"/>
      <w:bookmarkStart w:id="213" w:name="_Toc7194"/>
      <w:bookmarkStart w:id="214" w:name="_Toc7606"/>
      <w:bookmarkStart w:id="215" w:name="_Toc30472"/>
      <w:bookmarkStart w:id="216" w:name="_Toc30979"/>
      <w:bookmarkStart w:id="217" w:name="_Toc31555"/>
      <w:bookmarkStart w:id="218" w:name="_Toc15709"/>
      <w:bookmarkStart w:id="219" w:name="_Toc19436"/>
      <w:bookmarkStart w:id="220" w:name="_Toc19795"/>
      <w:bookmarkStart w:id="221" w:name="_Toc7350"/>
      <w:bookmarkStart w:id="222" w:name="_Toc28565"/>
      <w:bookmarkStart w:id="223" w:name="_Toc27888"/>
      <w:bookmarkStart w:id="224" w:name="_Toc17571"/>
      <w:bookmarkStart w:id="225" w:name="_Toc28048"/>
      <w:r>
        <w:rPr>
          <w:rFonts w:hint="eastAsia" w:ascii="宋体" w:hAnsi="宋体" w:cs="宋体"/>
          <w:color w:val="auto"/>
          <w:highlight w:val="none"/>
        </w:rPr>
        <w:t>1.采购人信息</w:t>
      </w:r>
      <w:bookmarkEnd w:id="193"/>
    </w:p>
    <w:p w14:paraId="474C3B6C">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名称：龙游县林业水利局</w:t>
      </w:r>
    </w:p>
    <w:p w14:paraId="5644B242">
      <w:pPr>
        <w:spacing w:line="312" w:lineRule="auto"/>
        <w:ind w:left="480" w:leftChars="200" w:firstLine="0" w:firstLineChars="0"/>
        <w:outlineLvl w:val="2"/>
        <w:rPr>
          <w:rFonts w:hint="eastAsia" w:ascii="宋体" w:hAnsi="宋体" w:cs="宋体"/>
          <w:color w:val="auto"/>
          <w:highlight w:val="none"/>
        </w:rPr>
      </w:pPr>
      <w:bookmarkStart w:id="226" w:name="_Toc18967"/>
      <w:bookmarkStart w:id="227" w:name="_Toc31955"/>
      <w:bookmarkStart w:id="228" w:name="_Toc10932"/>
      <w:bookmarkStart w:id="229" w:name="_Toc13155"/>
      <w:bookmarkStart w:id="230" w:name="_Toc24852"/>
      <w:bookmarkStart w:id="231" w:name="_Toc19471"/>
      <w:bookmarkStart w:id="232" w:name="_Toc14996"/>
      <w:bookmarkStart w:id="233" w:name="_Toc30487"/>
      <w:bookmarkStart w:id="234" w:name="_Toc19721"/>
      <w:bookmarkStart w:id="235" w:name="_Toc12166"/>
      <w:bookmarkStart w:id="236" w:name="_Toc12403"/>
      <w:r>
        <w:rPr>
          <w:rFonts w:hint="eastAsia" w:ascii="宋体" w:hAnsi="宋体" w:cs="宋体"/>
          <w:color w:val="auto"/>
          <w:highlight w:val="none"/>
          <w:lang w:val="en-US" w:eastAsia="zh-CN"/>
        </w:rPr>
        <w:t>项目</w:t>
      </w:r>
      <w:r>
        <w:rPr>
          <w:rFonts w:hint="eastAsia" w:ascii="宋体" w:hAnsi="宋体" w:cs="宋体"/>
          <w:color w:val="auto"/>
          <w:highlight w:val="none"/>
        </w:rPr>
        <w:t xml:space="preserve">联系人：胡先生  </w:t>
      </w:r>
    </w:p>
    <w:p w14:paraId="5F10F99A">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lang w:val="en-US" w:eastAsia="zh-CN"/>
        </w:rPr>
        <w:t>联系方式</w:t>
      </w:r>
      <w:r>
        <w:rPr>
          <w:rFonts w:hint="eastAsia" w:ascii="宋体" w:hAnsi="宋体" w:cs="宋体"/>
          <w:color w:val="auto"/>
          <w:highlight w:val="none"/>
        </w:rPr>
        <w:t>：13587030650</w:t>
      </w:r>
    </w:p>
    <w:p w14:paraId="6F0CD563">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 xml:space="preserve">质疑联系人：胡先生  </w:t>
      </w:r>
    </w:p>
    <w:p w14:paraId="70A484A1">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lang w:val="en-US" w:eastAsia="zh-CN"/>
        </w:rPr>
        <w:t>联系方式</w:t>
      </w:r>
      <w:r>
        <w:rPr>
          <w:rFonts w:hint="eastAsia" w:ascii="宋体" w:hAnsi="宋体" w:cs="宋体"/>
          <w:color w:val="auto"/>
          <w:highlight w:val="none"/>
        </w:rPr>
        <w:t>：13587030650</w:t>
      </w:r>
    </w:p>
    <w:p w14:paraId="17B6FA79">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地址：龙游县谷水路106号</w:t>
      </w:r>
    </w:p>
    <w:p w14:paraId="61B3AD47">
      <w:pPr>
        <w:spacing w:line="312" w:lineRule="auto"/>
        <w:ind w:firstLine="480"/>
        <w:outlineLvl w:val="2"/>
        <w:rPr>
          <w:rFonts w:hint="eastAsia" w:ascii="宋体" w:hAnsi="宋体" w:cs="宋体"/>
          <w:color w:val="auto"/>
          <w:highlight w:val="none"/>
        </w:rPr>
      </w:pPr>
      <w:bookmarkStart w:id="237" w:name="_Toc25693"/>
    </w:p>
    <w:p w14:paraId="450B54E9">
      <w:pPr>
        <w:spacing w:line="312" w:lineRule="auto"/>
        <w:ind w:firstLine="480"/>
        <w:outlineLvl w:val="2"/>
        <w:rPr>
          <w:rFonts w:hint="eastAsia" w:ascii="宋体" w:hAnsi="宋体" w:cs="宋体"/>
          <w:color w:val="auto"/>
          <w:highlight w:val="none"/>
        </w:rPr>
      </w:pPr>
      <w:r>
        <w:rPr>
          <w:rFonts w:hint="eastAsia" w:ascii="宋体" w:hAnsi="宋体" w:cs="宋体"/>
          <w:color w:val="auto"/>
          <w:highlight w:val="none"/>
        </w:rPr>
        <w:t>2.采购代理机构信息</w:t>
      </w:r>
    </w:p>
    <w:p w14:paraId="5EC5397F">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名称：</w:t>
      </w:r>
      <w:bookmarkEnd w:id="226"/>
      <w:bookmarkEnd w:id="227"/>
      <w:bookmarkEnd w:id="228"/>
      <w:bookmarkEnd w:id="229"/>
      <w:bookmarkEnd w:id="230"/>
      <w:bookmarkEnd w:id="231"/>
      <w:bookmarkEnd w:id="232"/>
      <w:bookmarkEnd w:id="233"/>
      <w:bookmarkEnd w:id="234"/>
      <w:bookmarkEnd w:id="235"/>
      <w:bookmarkEnd w:id="236"/>
      <w:bookmarkEnd w:id="237"/>
      <w:r>
        <w:rPr>
          <w:rFonts w:hint="eastAsia" w:ascii="宋体" w:hAnsi="宋体" w:cs="宋体"/>
          <w:color w:val="auto"/>
          <w:highlight w:val="none"/>
        </w:rPr>
        <w:t>浙江信达工程咨询有限公司</w:t>
      </w:r>
    </w:p>
    <w:p w14:paraId="4F3BA895">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 xml:space="preserve">项目联系人：姜女士 </w:t>
      </w:r>
    </w:p>
    <w:p w14:paraId="3EBF481A">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项目联系方式：18767070136（657126）</w:t>
      </w:r>
    </w:p>
    <w:p w14:paraId="4B3DDD78">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 xml:space="preserve">质疑联系人：徐女士 </w:t>
      </w:r>
    </w:p>
    <w:p w14:paraId="1F661E23">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lang w:eastAsia="zh-CN"/>
        </w:rPr>
        <w:t>0570-8856800</w:t>
      </w:r>
      <w:r>
        <w:rPr>
          <w:rFonts w:hint="eastAsia" w:ascii="宋体" w:hAnsi="宋体" w:cs="宋体"/>
          <w:color w:val="auto"/>
          <w:highlight w:val="none"/>
        </w:rPr>
        <w:t xml:space="preserve">　 </w:t>
      </w:r>
    </w:p>
    <w:p w14:paraId="2B9EDA84">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地址：龙游县龙洲街道人民南路158号A704室</w:t>
      </w:r>
    </w:p>
    <w:p w14:paraId="0831BD78">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　</w:t>
      </w:r>
    </w:p>
    <w:bookmarkEnd w:id="194"/>
    <w:bookmarkEnd w:id="195"/>
    <w:bookmarkEnd w:id="196"/>
    <w:bookmarkEnd w:id="197"/>
    <w:bookmarkEnd w:id="198"/>
    <w:bookmarkEnd w:id="199"/>
    <w:p w14:paraId="773E4AF4">
      <w:pPr>
        <w:spacing w:line="312" w:lineRule="auto"/>
        <w:ind w:left="480" w:leftChars="200" w:firstLine="0" w:firstLineChars="0"/>
        <w:outlineLvl w:val="2"/>
        <w:rPr>
          <w:rFonts w:hint="eastAsia" w:ascii="宋体" w:hAnsi="宋体" w:cs="宋体"/>
          <w:color w:val="auto"/>
          <w:highlight w:val="none"/>
        </w:rPr>
      </w:pPr>
      <w:bookmarkStart w:id="238" w:name="_Toc14336"/>
      <w:r>
        <w:rPr>
          <w:rFonts w:hint="eastAsia" w:ascii="宋体" w:hAnsi="宋体" w:cs="宋体"/>
          <w:color w:val="auto"/>
          <w:highlight w:val="none"/>
        </w:rPr>
        <w:t>3.同级政府采购监督管理部门</w:t>
      </w:r>
    </w:p>
    <w:p w14:paraId="2BCE72D8">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名称：龙游县财政局政府采购监管科</w:t>
      </w:r>
      <w:bookmarkEnd w:id="238"/>
    </w:p>
    <w:p w14:paraId="2A189A38">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联系人：严先生</w:t>
      </w:r>
    </w:p>
    <w:p w14:paraId="0CE11057">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监督投诉电话：0570-7011687</w:t>
      </w:r>
    </w:p>
    <w:p w14:paraId="313CA3B6">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地址：龙游县龙洲街道莲湖路69号</w:t>
      </w:r>
    </w:p>
    <w:p w14:paraId="7E61493E">
      <w:pPr>
        <w:spacing w:line="312" w:lineRule="auto"/>
        <w:ind w:left="480" w:leftChars="200" w:firstLine="0" w:firstLineChars="0"/>
        <w:outlineLvl w:val="2"/>
        <w:rPr>
          <w:rFonts w:hint="eastAsia" w:ascii="宋体" w:hAnsi="宋体" w:cs="宋体"/>
          <w:color w:val="auto"/>
          <w:highlight w:val="none"/>
        </w:rPr>
      </w:pPr>
      <w:r>
        <w:rPr>
          <w:rFonts w:hint="eastAsia" w:ascii="宋体" w:hAnsi="宋体" w:cs="宋体"/>
          <w:color w:val="auto"/>
          <w:highlight w:val="none"/>
        </w:rPr>
        <w:t xml:space="preserve">                      </w:t>
      </w:r>
      <w:bookmarkStart w:id="239" w:name="_Toc17933"/>
      <w:r>
        <w:rPr>
          <w:rFonts w:hint="eastAsia" w:ascii="宋体" w:hAnsi="宋体" w:cs="宋体"/>
          <w:color w:val="auto"/>
          <w:highlight w:val="none"/>
        </w:rPr>
        <w:t xml:space="preserve">  </w:t>
      </w:r>
      <w:bookmarkEnd w:id="239"/>
      <w:r>
        <w:rPr>
          <w:rFonts w:hint="eastAsia" w:ascii="宋体" w:hAnsi="宋体" w:cs="宋体"/>
          <w:color w:val="auto"/>
          <w:highlight w:val="none"/>
        </w:rPr>
        <w:t xml:space="preserve">                 </w:t>
      </w:r>
      <w:bookmarkStart w:id="240" w:name="_Toc6416"/>
      <w:bookmarkStart w:id="241" w:name="_Toc11419"/>
      <w:bookmarkStart w:id="242" w:name="_Toc7103"/>
      <w:bookmarkStart w:id="243" w:name="_Toc21527"/>
      <w:bookmarkStart w:id="244" w:name="_Toc4620"/>
      <w:bookmarkStart w:id="245" w:name="_Toc14224"/>
      <w:bookmarkStart w:id="246" w:name="_Toc388"/>
      <w:bookmarkStart w:id="247" w:name="_Toc9404"/>
      <w:bookmarkStart w:id="248" w:name="_Toc32352"/>
      <w:bookmarkStart w:id="249" w:name="_Toc1643"/>
    </w:p>
    <w:p w14:paraId="7543BE57">
      <w:pPr>
        <w:spacing w:line="312" w:lineRule="auto"/>
        <w:ind w:left="480" w:leftChars="200" w:firstLine="0" w:firstLineChars="0"/>
        <w:jc w:val="right"/>
        <w:outlineLvl w:val="2"/>
        <w:rPr>
          <w:rFonts w:hint="eastAsia" w:ascii="宋体" w:hAnsi="宋体" w:cs="宋体"/>
          <w:color w:val="auto"/>
          <w:highlight w:val="none"/>
        </w:rPr>
      </w:pPr>
      <w:r>
        <w:rPr>
          <w:rFonts w:hint="eastAsia" w:ascii="宋体" w:hAnsi="宋体" w:cs="宋体"/>
          <w:color w:val="auto"/>
          <w:highlight w:val="none"/>
        </w:rPr>
        <w:t>2025年7月</w:t>
      </w:r>
      <w:r>
        <w:rPr>
          <w:rFonts w:hint="eastAsia" w:ascii="宋体" w:hAnsi="宋体" w:cs="宋体"/>
          <w:color w:val="auto"/>
          <w:highlight w:val="none"/>
          <w:lang w:val="en-US" w:eastAsia="zh-CN"/>
        </w:rPr>
        <w:t>18</w:t>
      </w:r>
      <w:r>
        <w:rPr>
          <w:rFonts w:hint="eastAsia" w:ascii="宋体" w:hAnsi="宋体" w:cs="宋体"/>
          <w:color w:val="auto"/>
          <w:highlight w:val="none"/>
        </w:rPr>
        <w:t>日</w:t>
      </w:r>
      <w:bookmarkEnd w:id="240"/>
      <w:bookmarkEnd w:id="241"/>
      <w:bookmarkEnd w:id="242"/>
      <w:bookmarkEnd w:id="243"/>
      <w:bookmarkEnd w:id="244"/>
      <w:bookmarkEnd w:id="245"/>
      <w:bookmarkEnd w:id="246"/>
      <w:bookmarkEnd w:id="247"/>
      <w:bookmarkEnd w:id="248"/>
      <w:bookmarkEnd w:id="249"/>
    </w:p>
    <w:bookmarkEnd w:id="200"/>
    <w:p w14:paraId="42EA0252">
      <w:pPr>
        <w:pStyle w:val="3"/>
        <w:spacing w:beforeLines="0" w:afterLines="0"/>
        <w:jc w:val="right"/>
        <w:rPr>
          <w:rFonts w:hint="eastAsia" w:ascii="宋体" w:hAnsi="宋体" w:cs="宋体"/>
          <w:color w:val="auto"/>
          <w:highlight w:val="none"/>
        </w:rPr>
      </w:pPr>
      <w:bookmarkStart w:id="250" w:name="_Toc21447"/>
      <w:bookmarkStart w:id="251" w:name="_Toc2678"/>
      <w:bookmarkStart w:id="252" w:name="_Toc25746"/>
    </w:p>
    <w:p w14:paraId="2667E13A">
      <w:pPr>
        <w:pStyle w:val="3"/>
        <w:spacing w:beforeLines="0" w:afterLines="0"/>
        <w:rPr>
          <w:rFonts w:hint="eastAsia" w:ascii="宋体" w:hAnsi="宋体" w:cs="宋体"/>
          <w:color w:val="auto"/>
          <w:highlight w:val="none"/>
        </w:rPr>
      </w:pPr>
    </w:p>
    <w:p w14:paraId="7A3834F3">
      <w:pPr>
        <w:ind w:firstLine="480"/>
        <w:rPr>
          <w:color w:val="auto"/>
          <w:highlight w:val="none"/>
        </w:rPr>
      </w:pPr>
    </w:p>
    <w:p w14:paraId="59544809">
      <w:pPr>
        <w:pStyle w:val="3"/>
        <w:spacing w:beforeLines="0" w:afterLines="0"/>
        <w:rPr>
          <w:rFonts w:hint="eastAsia" w:ascii="宋体" w:hAnsi="宋体" w:cs="宋体"/>
          <w:color w:val="auto"/>
          <w:highlight w:val="none"/>
        </w:rPr>
      </w:pPr>
      <w:r>
        <w:rPr>
          <w:rFonts w:hint="eastAsia" w:ascii="宋体" w:hAnsi="宋体" w:cs="宋体"/>
          <w:color w:val="auto"/>
          <w:highlight w:val="none"/>
        </w:rPr>
        <w:t xml:space="preserve">第二章 </w:t>
      </w:r>
      <w:bookmarkEnd w:id="201"/>
      <w:bookmarkEnd w:id="202"/>
      <w:bookmarkEnd w:id="203"/>
      <w:bookmarkEnd w:id="204"/>
      <w:bookmarkEnd w:id="205"/>
      <w:bookmarkEnd w:id="206"/>
      <w:bookmarkEnd w:id="207"/>
      <w:r>
        <w:rPr>
          <w:rFonts w:hint="eastAsia" w:ascii="宋体" w:hAnsi="宋体" w:cs="宋体"/>
          <w:color w:val="auto"/>
          <w:highlight w:val="none"/>
        </w:rPr>
        <w:t xml:space="preserve"> 供应商须知</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50"/>
      <w:bookmarkEnd w:id="251"/>
      <w:bookmarkEnd w:id="252"/>
    </w:p>
    <w:p w14:paraId="115C618E">
      <w:pPr>
        <w:pStyle w:val="4"/>
        <w:spacing w:before="163" w:after="163"/>
        <w:rPr>
          <w:rFonts w:hint="eastAsia" w:ascii="宋体" w:hAnsi="宋体" w:cs="宋体"/>
          <w:color w:val="auto"/>
          <w:highlight w:val="none"/>
        </w:rPr>
      </w:pPr>
      <w:bookmarkStart w:id="253" w:name="_Toc10929"/>
      <w:bookmarkStart w:id="254" w:name="_Toc15093"/>
      <w:bookmarkStart w:id="255" w:name="_Toc8250"/>
      <w:bookmarkStart w:id="256" w:name="_Toc1244"/>
      <w:bookmarkStart w:id="257" w:name="_Toc26242"/>
      <w:bookmarkStart w:id="258" w:name="_Toc2823"/>
      <w:bookmarkStart w:id="259" w:name="_Toc9243"/>
      <w:bookmarkStart w:id="260" w:name="_Toc18207"/>
      <w:bookmarkStart w:id="261" w:name="_Toc25183"/>
      <w:bookmarkStart w:id="262" w:name="_Toc2286"/>
      <w:bookmarkStart w:id="263" w:name="_Toc18954"/>
      <w:bookmarkStart w:id="264" w:name="_Toc20522"/>
      <w:bookmarkStart w:id="265" w:name="_Toc16451"/>
      <w:bookmarkStart w:id="266" w:name="_Toc6862"/>
      <w:bookmarkStart w:id="267" w:name="_Toc13830"/>
      <w:bookmarkStart w:id="268" w:name="_Toc16227"/>
      <w:bookmarkStart w:id="269" w:name="_Toc2504"/>
      <w:bookmarkStart w:id="270" w:name="_Toc1709"/>
      <w:bookmarkStart w:id="271" w:name="_Toc2093"/>
      <w:bookmarkStart w:id="272" w:name="_Toc19869"/>
      <w:bookmarkStart w:id="273" w:name="_Toc25611"/>
      <w:bookmarkStart w:id="274" w:name="_Toc1847"/>
      <w:bookmarkStart w:id="275" w:name="_Toc16050"/>
      <w:bookmarkStart w:id="276" w:name="_Toc31801"/>
      <w:bookmarkStart w:id="277" w:name="_Toc26910"/>
      <w:bookmarkStart w:id="278" w:name="_Toc1101"/>
      <w:bookmarkStart w:id="279" w:name="_Toc25506"/>
      <w:bookmarkStart w:id="280" w:name="_Toc1422"/>
      <w:bookmarkStart w:id="281" w:name="_Toc14554"/>
      <w:bookmarkStart w:id="282" w:name="_Toc9555"/>
      <w:bookmarkStart w:id="283" w:name="_Toc14813"/>
      <w:bookmarkStart w:id="284" w:name="_Toc16460"/>
      <w:bookmarkStart w:id="285" w:name="_Toc1675"/>
      <w:bookmarkStart w:id="286" w:name="_Toc26033"/>
      <w:bookmarkStart w:id="287" w:name="_Toc16904"/>
      <w:bookmarkStart w:id="288" w:name="_Toc22989"/>
      <w:bookmarkStart w:id="289" w:name="_Toc27636"/>
      <w:bookmarkStart w:id="290" w:name="_Toc26543"/>
      <w:bookmarkStart w:id="291" w:name="_Toc29275"/>
      <w:bookmarkStart w:id="292" w:name="_Toc7175"/>
      <w:bookmarkStart w:id="293" w:name="_Toc13831"/>
      <w:bookmarkStart w:id="294" w:name="_Toc20715"/>
      <w:bookmarkStart w:id="295" w:name="_Toc12142"/>
      <w:bookmarkStart w:id="296" w:name="_Toc17010"/>
      <w:bookmarkStart w:id="297" w:name="_Toc22167"/>
      <w:bookmarkStart w:id="298" w:name="_Toc20403"/>
      <w:r>
        <w:rPr>
          <w:rFonts w:hint="eastAsia"/>
          <w:color w:val="auto"/>
          <w:highlight w:val="none"/>
        </w:rPr>
        <w:t>供应商须知前附表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bl>
      <w:tblPr>
        <w:tblStyle w:val="39"/>
        <w:tblW w:w="10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83"/>
        <w:gridCol w:w="2096"/>
        <w:gridCol w:w="7367"/>
      </w:tblGrid>
      <w:tr w14:paraId="40EB4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201747B9">
            <w:pPr>
              <w:spacing w:line="240" w:lineRule="auto"/>
              <w:ind w:firstLine="0" w:firstLineChars="0"/>
              <w:jc w:val="center"/>
              <w:rPr>
                <w:color w:val="auto"/>
                <w:highlight w:val="none"/>
              </w:rPr>
            </w:pPr>
            <w:r>
              <w:rPr>
                <w:rFonts w:hint="eastAsia"/>
                <w:color w:val="auto"/>
                <w:highlight w:val="none"/>
              </w:rPr>
              <w:t>序号</w:t>
            </w:r>
          </w:p>
        </w:tc>
        <w:tc>
          <w:tcPr>
            <w:tcW w:w="2096" w:type="dxa"/>
            <w:vAlign w:val="center"/>
          </w:tcPr>
          <w:p w14:paraId="38275475">
            <w:pPr>
              <w:spacing w:line="240" w:lineRule="auto"/>
              <w:ind w:firstLine="0" w:firstLineChars="0"/>
              <w:jc w:val="center"/>
              <w:rPr>
                <w:color w:val="auto"/>
                <w:highlight w:val="none"/>
              </w:rPr>
            </w:pPr>
            <w:r>
              <w:rPr>
                <w:rFonts w:hint="eastAsia"/>
                <w:color w:val="auto"/>
                <w:highlight w:val="none"/>
              </w:rPr>
              <w:t>内容</w:t>
            </w:r>
          </w:p>
        </w:tc>
        <w:tc>
          <w:tcPr>
            <w:tcW w:w="7367" w:type="dxa"/>
            <w:vAlign w:val="center"/>
          </w:tcPr>
          <w:p w14:paraId="57DFD495">
            <w:pPr>
              <w:spacing w:line="240" w:lineRule="auto"/>
              <w:ind w:firstLine="0" w:firstLineChars="0"/>
              <w:jc w:val="center"/>
              <w:rPr>
                <w:color w:val="auto"/>
                <w:highlight w:val="none"/>
              </w:rPr>
            </w:pPr>
            <w:r>
              <w:rPr>
                <w:rFonts w:hint="eastAsia"/>
                <w:color w:val="auto"/>
                <w:highlight w:val="none"/>
              </w:rPr>
              <w:t>说明与要求</w:t>
            </w:r>
          </w:p>
        </w:tc>
      </w:tr>
      <w:tr w14:paraId="4ACC2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1E2757E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096" w:type="dxa"/>
            <w:vAlign w:val="center"/>
          </w:tcPr>
          <w:p w14:paraId="66633B43">
            <w:pPr>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采购人</w:t>
            </w:r>
          </w:p>
        </w:tc>
        <w:tc>
          <w:tcPr>
            <w:tcW w:w="7367" w:type="dxa"/>
            <w:vAlign w:val="center"/>
          </w:tcPr>
          <w:p w14:paraId="07E56218">
            <w:pPr>
              <w:tabs>
                <w:tab w:val="left" w:pos="0"/>
              </w:tabs>
              <w:adjustRightInd w:val="0"/>
              <w:snapToGrid w:val="0"/>
              <w:spacing w:line="240" w:lineRule="auto"/>
              <w:ind w:right="120" w:rightChars="50" w:firstLine="0" w:firstLineChars="0"/>
              <w:jc w:val="left"/>
              <w:rPr>
                <w:rFonts w:hint="eastAsia" w:ascii="宋体" w:hAnsi="宋体" w:cs="宋体"/>
                <w:color w:val="auto"/>
                <w:highlight w:val="none"/>
              </w:rPr>
            </w:pPr>
            <w:r>
              <w:rPr>
                <w:rFonts w:hint="eastAsia" w:ascii="宋体" w:hAnsi="宋体" w:cs="宋体"/>
                <w:color w:val="auto"/>
                <w:highlight w:val="none"/>
              </w:rPr>
              <w:t xml:space="preserve">名称：龙游县林业水利局        </w:t>
            </w:r>
          </w:p>
          <w:p w14:paraId="05F0E3A7">
            <w:pPr>
              <w:widowControl/>
              <w:tabs>
                <w:tab w:val="left" w:pos="0"/>
              </w:tabs>
              <w:adjustRightInd w:val="0"/>
              <w:snapToGrid w:val="0"/>
              <w:spacing w:line="240" w:lineRule="auto"/>
              <w:ind w:right="120" w:rightChars="50"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val="zh-CN"/>
              </w:rPr>
              <w:t>人：</w:t>
            </w:r>
            <w:r>
              <w:rPr>
                <w:rFonts w:hint="eastAsia" w:ascii="宋体" w:hAnsi="宋体" w:cs="宋体"/>
                <w:color w:val="auto"/>
                <w:highlight w:val="none"/>
                <w:lang w:eastAsia="zh-CN"/>
              </w:rPr>
              <w:t>胡先生</w:t>
            </w:r>
          </w:p>
          <w:p w14:paraId="055A223D">
            <w:pPr>
              <w:widowControl/>
              <w:tabs>
                <w:tab w:val="left" w:pos="0"/>
              </w:tabs>
              <w:adjustRightInd w:val="0"/>
              <w:snapToGrid w:val="0"/>
              <w:spacing w:line="240" w:lineRule="auto"/>
              <w:ind w:right="120" w:rightChars="50"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rPr>
              <w:t>联系方式：</w:t>
            </w:r>
            <w:r>
              <w:rPr>
                <w:rFonts w:hint="eastAsia" w:ascii="宋体" w:hAnsi="宋体" w:cs="宋体"/>
                <w:color w:val="auto"/>
                <w:highlight w:val="none"/>
                <w:lang w:eastAsia="zh-CN"/>
              </w:rPr>
              <w:t>13587030650</w:t>
            </w:r>
          </w:p>
          <w:p w14:paraId="6DE023D9">
            <w:pPr>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地址：</w:t>
            </w:r>
            <w:r>
              <w:rPr>
                <w:rFonts w:hint="eastAsia" w:ascii="宋体" w:hAnsi="宋体" w:cs="宋体"/>
                <w:bCs/>
                <w:color w:val="auto"/>
                <w:highlight w:val="none"/>
              </w:rPr>
              <w:t>龙游县谷水路106号</w:t>
            </w:r>
            <w:r>
              <w:rPr>
                <w:rFonts w:hint="eastAsia" w:ascii="宋体" w:hAnsi="宋体" w:cs="宋体"/>
                <w:color w:val="auto"/>
                <w:highlight w:val="none"/>
              </w:rPr>
              <w:t xml:space="preserve"> </w:t>
            </w:r>
          </w:p>
        </w:tc>
      </w:tr>
      <w:tr w14:paraId="23FAD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1481C120">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2096" w:type="dxa"/>
            <w:vAlign w:val="center"/>
          </w:tcPr>
          <w:p w14:paraId="50DAA637">
            <w:pPr>
              <w:spacing w:line="240" w:lineRule="auto"/>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采购代理机构</w:t>
            </w:r>
          </w:p>
        </w:tc>
        <w:tc>
          <w:tcPr>
            <w:tcW w:w="7367" w:type="dxa"/>
            <w:vAlign w:val="center"/>
          </w:tcPr>
          <w:p w14:paraId="6F2771A8">
            <w:pPr>
              <w:widowControl/>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 xml:space="preserve">名称：浙江信达工程咨询有限公司  </w:t>
            </w:r>
          </w:p>
          <w:p w14:paraId="57402687">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联系人：</w:t>
            </w:r>
            <w:r>
              <w:rPr>
                <w:rFonts w:hint="eastAsia" w:ascii="宋体" w:hAnsi="宋体" w:cs="宋体"/>
                <w:color w:val="auto"/>
                <w:highlight w:val="none"/>
              </w:rPr>
              <w:t>姜女士</w:t>
            </w:r>
          </w:p>
          <w:p w14:paraId="5312E37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联系</w:t>
            </w:r>
            <w:r>
              <w:rPr>
                <w:rFonts w:hint="eastAsia" w:ascii="宋体" w:hAnsi="宋体" w:cs="宋体"/>
                <w:color w:val="auto"/>
                <w:highlight w:val="none"/>
              </w:rPr>
              <w:t>方式：18767070136（657126）</w:t>
            </w:r>
          </w:p>
          <w:p w14:paraId="16ADC8BE">
            <w:pPr>
              <w:spacing w:line="240" w:lineRule="auto"/>
              <w:ind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浙江省衢州市龙游县龙洲街道人民南路158号A704室</w:t>
            </w:r>
            <w:r>
              <w:rPr>
                <w:rFonts w:hint="eastAsia" w:ascii="宋体" w:hAnsi="宋体" w:cs="宋体"/>
                <w:color w:val="auto"/>
                <w:highlight w:val="none"/>
                <w:lang w:val="zh-CN"/>
              </w:rPr>
              <w:t xml:space="preserve"> </w:t>
            </w:r>
          </w:p>
        </w:tc>
      </w:tr>
      <w:tr w14:paraId="7112D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783" w:type="dxa"/>
            <w:vAlign w:val="center"/>
          </w:tcPr>
          <w:p w14:paraId="6974BBA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2096" w:type="dxa"/>
            <w:vAlign w:val="center"/>
          </w:tcPr>
          <w:p w14:paraId="3E4F3228">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项目名称及编号</w:t>
            </w:r>
          </w:p>
        </w:tc>
        <w:tc>
          <w:tcPr>
            <w:tcW w:w="7367" w:type="dxa"/>
            <w:vAlign w:val="center"/>
          </w:tcPr>
          <w:p w14:paraId="7F440F7B">
            <w:pPr>
              <w:pStyle w:val="34"/>
              <w:shd w:val="clear" w:color="auto" w:fill="FFFFFF"/>
              <w:spacing w:before="0" w:beforeAutospacing="0" w:after="0" w:afterAutospacing="0" w:line="240" w:lineRule="auto"/>
              <w:ind w:firstLine="0" w:firstLineChars="0"/>
              <w:rPr>
                <w:rFonts w:hint="eastAsia" w:cs="宋体"/>
                <w:color w:val="auto"/>
                <w:highlight w:val="none"/>
              </w:rPr>
            </w:pPr>
            <w:r>
              <w:rPr>
                <w:rFonts w:hint="eastAsia" w:cs="宋体"/>
                <w:color w:val="auto"/>
                <w:highlight w:val="none"/>
              </w:rPr>
              <w:t>龙游县森林资源质量核查年度数据更新以及补充林地规划项目（项目编号：XDLYCG-2025002）</w:t>
            </w:r>
          </w:p>
        </w:tc>
      </w:tr>
      <w:tr w14:paraId="4C1F4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83" w:type="dxa"/>
            <w:vAlign w:val="center"/>
          </w:tcPr>
          <w:p w14:paraId="79FDEF67">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2096" w:type="dxa"/>
            <w:vAlign w:val="center"/>
          </w:tcPr>
          <w:p w14:paraId="1DD632E3">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资金来源及采购计划文号</w:t>
            </w:r>
          </w:p>
        </w:tc>
        <w:tc>
          <w:tcPr>
            <w:tcW w:w="7367" w:type="dxa"/>
            <w:vAlign w:val="center"/>
          </w:tcPr>
          <w:p w14:paraId="3D6AFAAB">
            <w:pPr>
              <w:pStyle w:val="34"/>
              <w:shd w:val="clear" w:color="auto" w:fill="FFFFFF"/>
              <w:spacing w:before="0" w:beforeAutospacing="0" w:after="0" w:afterAutospacing="0" w:line="240" w:lineRule="auto"/>
              <w:ind w:firstLine="0" w:firstLineChars="0"/>
              <w:rPr>
                <w:rFonts w:hint="eastAsia" w:cs="宋体"/>
                <w:color w:val="auto"/>
                <w:highlight w:val="none"/>
              </w:rPr>
            </w:pPr>
            <w:r>
              <w:rPr>
                <w:rFonts w:hint="eastAsia" w:cs="宋体"/>
                <w:color w:val="auto"/>
                <w:highlight w:val="none"/>
              </w:rPr>
              <w:t>财政资金（采购计划文号：临[2025]1354号）</w:t>
            </w:r>
          </w:p>
        </w:tc>
      </w:tr>
      <w:tr w14:paraId="4DDC5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83" w:type="dxa"/>
            <w:vAlign w:val="center"/>
          </w:tcPr>
          <w:p w14:paraId="66226003">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5</w:t>
            </w:r>
          </w:p>
        </w:tc>
        <w:tc>
          <w:tcPr>
            <w:tcW w:w="2096" w:type="dxa"/>
            <w:vAlign w:val="center"/>
          </w:tcPr>
          <w:p w14:paraId="4FCA5038">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申请人资格要求</w:t>
            </w:r>
          </w:p>
        </w:tc>
        <w:tc>
          <w:tcPr>
            <w:tcW w:w="7367" w:type="dxa"/>
            <w:vAlign w:val="center"/>
          </w:tcPr>
          <w:p w14:paraId="1F745B39">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详见“第一章 磋商公告”。</w:t>
            </w:r>
          </w:p>
        </w:tc>
      </w:tr>
      <w:tr w14:paraId="2DE6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83" w:type="dxa"/>
            <w:vAlign w:val="center"/>
          </w:tcPr>
          <w:p w14:paraId="19CB9BC1">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6</w:t>
            </w:r>
          </w:p>
        </w:tc>
        <w:tc>
          <w:tcPr>
            <w:tcW w:w="2096" w:type="dxa"/>
            <w:vAlign w:val="center"/>
          </w:tcPr>
          <w:p w14:paraId="3322FDCD">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获取磋商文件</w:t>
            </w:r>
          </w:p>
        </w:tc>
        <w:tc>
          <w:tcPr>
            <w:tcW w:w="7367" w:type="dxa"/>
            <w:vAlign w:val="center"/>
          </w:tcPr>
          <w:p w14:paraId="606F6E46">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lang w:val="zh-CN"/>
              </w:rPr>
              <w:t>详见“第一章 磋商公告”。</w:t>
            </w:r>
          </w:p>
        </w:tc>
      </w:tr>
      <w:tr w14:paraId="6E042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783A75B5">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7</w:t>
            </w:r>
          </w:p>
        </w:tc>
        <w:tc>
          <w:tcPr>
            <w:tcW w:w="2096" w:type="dxa"/>
            <w:vAlign w:val="center"/>
          </w:tcPr>
          <w:p w14:paraId="75C2A0E1">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询问与答复</w:t>
            </w:r>
          </w:p>
        </w:tc>
        <w:tc>
          <w:tcPr>
            <w:tcW w:w="7367" w:type="dxa"/>
            <w:vAlign w:val="center"/>
          </w:tcPr>
          <w:p w14:paraId="46A2C8F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潜在供应商对磋商公告、磋商文件有疑问的，在2025年7月</w:t>
            </w:r>
            <w:r>
              <w:rPr>
                <w:rFonts w:hint="eastAsia" w:ascii="宋体" w:hAnsi="宋体" w:cs="宋体"/>
                <w:color w:val="auto"/>
                <w:highlight w:val="none"/>
                <w:lang w:val="en-US" w:eastAsia="zh-CN"/>
              </w:rPr>
              <w:t>23</w:t>
            </w:r>
            <w:r>
              <w:rPr>
                <w:rFonts w:hint="eastAsia" w:ascii="宋体" w:hAnsi="宋体" w:cs="宋体"/>
                <w:color w:val="auto"/>
                <w:highlight w:val="none"/>
              </w:rPr>
              <w:t>日17:00时前以书面形式向采购人和采购代理机构提出询问，逾期提出不予受理。如需修改或补充的，采购代理机构以补充公告形式于2025年7月</w:t>
            </w:r>
            <w:r>
              <w:rPr>
                <w:rFonts w:hint="eastAsia" w:ascii="宋体" w:hAnsi="宋体" w:cs="宋体"/>
                <w:color w:val="auto"/>
                <w:highlight w:val="none"/>
                <w:lang w:val="en-US" w:eastAsia="zh-CN"/>
              </w:rPr>
              <w:t>24</w:t>
            </w:r>
            <w:r>
              <w:rPr>
                <w:rFonts w:hint="eastAsia" w:ascii="宋体" w:hAnsi="宋体" w:cs="宋体"/>
                <w:color w:val="auto"/>
                <w:highlight w:val="none"/>
              </w:rPr>
              <w:t>日17:00时前在浙江政府采购网公告。</w:t>
            </w:r>
          </w:p>
        </w:tc>
      </w:tr>
      <w:tr w14:paraId="442BB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2FEC2BD6">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8</w:t>
            </w:r>
          </w:p>
        </w:tc>
        <w:tc>
          <w:tcPr>
            <w:tcW w:w="2096" w:type="dxa"/>
            <w:vAlign w:val="center"/>
          </w:tcPr>
          <w:p w14:paraId="125A7CC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最高限价</w:t>
            </w:r>
          </w:p>
        </w:tc>
        <w:tc>
          <w:tcPr>
            <w:tcW w:w="7367" w:type="dxa"/>
            <w:vAlign w:val="center"/>
          </w:tcPr>
          <w:p w14:paraId="34725F99">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1.本项目最高限价为650000元。供应商应按此最高限价并结合企业自身情况及管理经验自主报价，报价不得超过最高限价，否则作为废标处理。</w:t>
            </w:r>
          </w:p>
          <w:p w14:paraId="22CA40FB">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投标报价应以人民币为结算货币。投标报价应为供应商在正确地完全履行合同义务后采购人应支付的全部服务价款，包括但不限于管理费用、服务费用、专业工具费、耗材费用、日常开支费、验收、会务费、差旅费、后续服务费用、税金和利润、保险、采购代理费、风险、不可预见、政策性文件规定及合同包含的所有风险及责任等一切直接、间接成本和费用以及利润的全部。如有漏项，视为已包含在其他项目中。</w:t>
            </w:r>
          </w:p>
        </w:tc>
      </w:tr>
      <w:tr w14:paraId="005D3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5B86997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9</w:t>
            </w:r>
          </w:p>
        </w:tc>
        <w:tc>
          <w:tcPr>
            <w:tcW w:w="2096" w:type="dxa"/>
            <w:vAlign w:val="center"/>
          </w:tcPr>
          <w:p w14:paraId="55B9962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采购方式</w:t>
            </w:r>
          </w:p>
        </w:tc>
        <w:tc>
          <w:tcPr>
            <w:tcW w:w="7367" w:type="dxa"/>
            <w:vAlign w:val="center"/>
          </w:tcPr>
          <w:p w14:paraId="4BC2846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竞争性磋商。</w:t>
            </w:r>
          </w:p>
        </w:tc>
      </w:tr>
      <w:tr w14:paraId="32B15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13F17955">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10</w:t>
            </w:r>
          </w:p>
        </w:tc>
        <w:tc>
          <w:tcPr>
            <w:tcW w:w="2096" w:type="dxa"/>
            <w:vAlign w:val="bottom"/>
          </w:tcPr>
          <w:p w14:paraId="31C87FF5">
            <w:pPr>
              <w:spacing w:line="240" w:lineRule="auto"/>
              <w:ind w:firstLine="0" w:firstLineChars="0"/>
              <w:jc w:val="center"/>
              <w:rPr>
                <w:color w:val="auto"/>
                <w:highlight w:val="none"/>
              </w:rPr>
            </w:pPr>
            <w:r>
              <w:rPr>
                <w:rFonts w:hint="eastAsia" w:ascii="宋体" w:hAnsi="宋体" w:cs="宋体"/>
                <w:color w:val="auto"/>
                <w:highlight w:val="none"/>
              </w:rPr>
              <w:t>采购活动流程</w:t>
            </w:r>
          </w:p>
        </w:tc>
        <w:tc>
          <w:tcPr>
            <w:tcW w:w="7367" w:type="dxa"/>
            <w:vAlign w:val="bottom"/>
          </w:tcPr>
          <w:p w14:paraId="73E1A62F">
            <w:pPr>
              <w:spacing w:line="240" w:lineRule="auto"/>
              <w:ind w:firstLine="0" w:firstLineChars="0"/>
              <w:rPr>
                <w:color w:val="auto"/>
                <w:highlight w:val="none"/>
              </w:rPr>
            </w:pPr>
            <w:r>
              <w:rPr>
                <w:rFonts w:hint="eastAsia" w:ascii="宋体" w:hAnsi="宋体" w:cs="宋体"/>
                <w:color w:val="auto"/>
                <w:highlight w:val="none"/>
              </w:rPr>
              <w:t>电子投标、电子开标、电子评标的全流程电子化。</w:t>
            </w:r>
          </w:p>
        </w:tc>
      </w:tr>
      <w:tr w14:paraId="74597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58590EF0">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11</w:t>
            </w:r>
          </w:p>
        </w:tc>
        <w:tc>
          <w:tcPr>
            <w:tcW w:w="2096" w:type="dxa"/>
            <w:vAlign w:val="center"/>
          </w:tcPr>
          <w:p w14:paraId="6B9EE035">
            <w:pPr>
              <w:spacing w:line="240" w:lineRule="auto"/>
              <w:ind w:firstLine="0" w:firstLineChars="0"/>
              <w:jc w:val="center"/>
              <w:rPr>
                <w:color w:val="auto"/>
                <w:highlight w:val="none"/>
              </w:rPr>
            </w:pPr>
            <w:r>
              <w:rPr>
                <w:rFonts w:hint="eastAsia"/>
                <w:color w:val="auto"/>
                <w:highlight w:val="none"/>
              </w:rPr>
              <w:t>评标办法</w:t>
            </w:r>
          </w:p>
        </w:tc>
        <w:tc>
          <w:tcPr>
            <w:tcW w:w="7367" w:type="dxa"/>
            <w:vAlign w:val="center"/>
          </w:tcPr>
          <w:p w14:paraId="490C34FC">
            <w:pPr>
              <w:spacing w:line="240" w:lineRule="auto"/>
              <w:ind w:firstLine="0" w:firstLineChars="0"/>
              <w:rPr>
                <w:color w:val="auto"/>
                <w:highlight w:val="none"/>
              </w:rPr>
            </w:pPr>
            <w:r>
              <w:rPr>
                <w:rFonts w:hint="eastAsia"/>
                <w:color w:val="auto"/>
                <w:highlight w:val="none"/>
              </w:rPr>
              <w:t>综合评分法。</w:t>
            </w:r>
          </w:p>
        </w:tc>
      </w:tr>
      <w:tr w14:paraId="077DA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783" w:type="dxa"/>
            <w:vAlign w:val="center"/>
          </w:tcPr>
          <w:p w14:paraId="276C9428">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12</w:t>
            </w:r>
          </w:p>
        </w:tc>
        <w:tc>
          <w:tcPr>
            <w:tcW w:w="2096" w:type="dxa"/>
            <w:vAlign w:val="center"/>
          </w:tcPr>
          <w:p w14:paraId="0B7C97E1">
            <w:pPr>
              <w:spacing w:line="240" w:lineRule="auto"/>
              <w:ind w:firstLine="0" w:firstLineChars="0"/>
              <w:jc w:val="center"/>
              <w:rPr>
                <w:rFonts w:hint="eastAsia" w:ascii="宋体" w:hAnsi="宋体" w:cs="宋体"/>
                <w:color w:val="auto"/>
                <w:highlight w:val="none"/>
              </w:rPr>
            </w:pPr>
            <w:r>
              <w:rPr>
                <w:rFonts w:hint="eastAsia"/>
                <w:color w:val="auto"/>
                <w:highlight w:val="none"/>
              </w:rPr>
              <w:t>磋商内容</w:t>
            </w:r>
          </w:p>
        </w:tc>
        <w:tc>
          <w:tcPr>
            <w:tcW w:w="7367" w:type="dxa"/>
            <w:vAlign w:val="center"/>
          </w:tcPr>
          <w:p w14:paraId="45DB41F1">
            <w:pPr>
              <w:spacing w:line="240" w:lineRule="auto"/>
              <w:ind w:firstLine="0" w:firstLineChars="0"/>
              <w:rPr>
                <w:color w:val="auto"/>
                <w:highlight w:val="none"/>
              </w:rPr>
            </w:pPr>
            <w:r>
              <w:rPr>
                <w:rFonts w:hint="eastAsia"/>
                <w:color w:val="auto"/>
                <w:highlight w:val="none"/>
              </w:rPr>
              <w:t>具体内容见磋商文件。</w:t>
            </w:r>
          </w:p>
        </w:tc>
      </w:tr>
      <w:tr w14:paraId="7C843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783" w:type="dxa"/>
            <w:vAlign w:val="center"/>
          </w:tcPr>
          <w:p w14:paraId="7A30B54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13</w:t>
            </w:r>
          </w:p>
        </w:tc>
        <w:tc>
          <w:tcPr>
            <w:tcW w:w="2096" w:type="dxa"/>
            <w:vAlign w:val="center"/>
          </w:tcPr>
          <w:p w14:paraId="39A7B71E">
            <w:pPr>
              <w:spacing w:line="240" w:lineRule="auto"/>
              <w:ind w:firstLine="0" w:firstLineChars="0"/>
              <w:jc w:val="center"/>
              <w:rPr>
                <w:color w:val="auto"/>
                <w:highlight w:val="none"/>
              </w:rPr>
            </w:pPr>
            <w:r>
              <w:rPr>
                <w:rFonts w:hint="eastAsia"/>
                <w:color w:val="auto"/>
                <w:highlight w:val="none"/>
              </w:rPr>
              <w:t>是否接受联合体投标</w:t>
            </w:r>
          </w:p>
        </w:tc>
        <w:tc>
          <w:tcPr>
            <w:tcW w:w="7367" w:type="dxa"/>
            <w:vAlign w:val="center"/>
          </w:tcPr>
          <w:p w14:paraId="7228CEA4">
            <w:pPr>
              <w:spacing w:line="240" w:lineRule="auto"/>
              <w:ind w:firstLine="0" w:firstLineChars="0"/>
              <w:rPr>
                <w:color w:val="auto"/>
                <w:highlight w:val="none"/>
              </w:rPr>
            </w:pPr>
            <w:r>
              <w:rPr>
                <w:rFonts w:hint="eastAsia"/>
                <w:color w:val="auto"/>
                <w:highlight w:val="none"/>
              </w:rPr>
              <w:t>☑不接受</w:t>
            </w:r>
          </w:p>
          <w:p w14:paraId="228C5421">
            <w:pPr>
              <w:spacing w:line="240" w:lineRule="auto"/>
              <w:ind w:firstLine="0" w:firstLineChars="0"/>
              <w:rPr>
                <w:color w:val="auto"/>
                <w:highlight w:val="none"/>
              </w:rPr>
            </w:pPr>
            <w:r>
              <w:rPr>
                <w:rFonts w:hint="eastAsia"/>
                <w:color w:val="auto"/>
                <w:highlight w:val="none"/>
              </w:rPr>
              <w:t>□接受，应满足下列要求：</w:t>
            </w:r>
          </w:p>
        </w:tc>
      </w:tr>
      <w:tr w14:paraId="09A28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783" w:type="dxa"/>
            <w:vAlign w:val="center"/>
          </w:tcPr>
          <w:p w14:paraId="76EC783E">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14</w:t>
            </w:r>
          </w:p>
        </w:tc>
        <w:tc>
          <w:tcPr>
            <w:tcW w:w="2096" w:type="dxa"/>
            <w:vAlign w:val="center"/>
          </w:tcPr>
          <w:p w14:paraId="68CDD5D6">
            <w:pPr>
              <w:spacing w:line="240" w:lineRule="auto"/>
              <w:ind w:firstLine="0" w:firstLineChars="0"/>
              <w:jc w:val="center"/>
              <w:rPr>
                <w:color w:val="auto"/>
                <w:highlight w:val="none"/>
              </w:rPr>
            </w:pPr>
            <w:r>
              <w:rPr>
                <w:rFonts w:hint="eastAsia"/>
                <w:color w:val="auto"/>
                <w:highlight w:val="none"/>
              </w:rPr>
              <w:t>踏勘现场</w:t>
            </w:r>
          </w:p>
        </w:tc>
        <w:tc>
          <w:tcPr>
            <w:tcW w:w="7367" w:type="dxa"/>
            <w:vAlign w:val="center"/>
          </w:tcPr>
          <w:p w14:paraId="3B916190">
            <w:pPr>
              <w:spacing w:line="240" w:lineRule="auto"/>
              <w:ind w:firstLine="0" w:firstLineChars="0"/>
              <w:rPr>
                <w:color w:val="auto"/>
                <w:highlight w:val="none"/>
              </w:rPr>
            </w:pPr>
            <w:r>
              <w:rPr>
                <w:rFonts w:hint="eastAsia"/>
                <w:color w:val="auto"/>
                <w:highlight w:val="none"/>
              </w:rPr>
              <w:t>☑不组织</w:t>
            </w:r>
          </w:p>
          <w:p w14:paraId="53589D97">
            <w:pPr>
              <w:spacing w:line="240" w:lineRule="auto"/>
              <w:ind w:firstLine="0" w:firstLineChars="0"/>
              <w:rPr>
                <w:color w:val="auto"/>
                <w:highlight w:val="none"/>
              </w:rPr>
            </w:pPr>
            <w:r>
              <w:rPr>
                <w:rFonts w:hint="eastAsia"/>
                <w:color w:val="auto"/>
                <w:highlight w:val="none"/>
              </w:rPr>
              <w:t>□组织。</w:t>
            </w:r>
          </w:p>
        </w:tc>
      </w:tr>
      <w:tr w14:paraId="54229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783" w:type="dxa"/>
            <w:vAlign w:val="center"/>
          </w:tcPr>
          <w:p w14:paraId="3A1EDB4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15</w:t>
            </w:r>
          </w:p>
        </w:tc>
        <w:tc>
          <w:tcPr>
            <w:tcW w:w="2096" w:type="dxa"/>
            <w:vAlign w:val="center"/>
          </w:tcPr>
          <w:p w14:paraId="4CCF56A9">
            <w:pPr>
              <w:spacing w:line="240" w:lineRule="auto"/>
              <w:ind w:firstLine="0" w:firstLineChars="0"/>
              <w:jc w:val="center"/>
              <w:rPr>
                <w:color w:val="auto"/>
                <w:highlight w:val="none"/>
              </w:rPr>
            </w:pPr>
            <w:r>
              <w:rPr>
                <w:rFonts w:hint="eastAsia"/>
                <w:color w:val="auto"/>
                <w:highlight w:val="none"/>
              </w:rPr>
              <w:t>是否允许递交备选投标方案</w:t>
            </w:r>
          </w:p>
        </w:tc>
        <w:tc>
          <w:tcPr>
            <w:tcW w:w="7367" w:type="dxa"/>
            <w:vAlign w:val="center"/>
          </w:tcPr>
          <w:p w14:paraId="493C74C0">
            <w:pPr>
              <w:spacing w:line="240" w:lineRule="auto"/>
              <w:ind w:firstLine="0" w:firstLineChars="0"/>
              <w:rPr>
                <w:color w:val="auto"/>
                <w:highlight w:val="none"/>
              </w:rPr>
            </w:pPr>
            <w:r>
              <w:rPr>
                <w:rFonts w:hint="eastAsia"/>
                <w:color w:val="auto"/>
                <w:highlight w:val="none"/>
              </w:rPr>
              <w:t>☑不允许</w:t>
            </w:r>
          </w:p>
          <w:p w14:paraId="2F57BE0C">
            <w:pPr>
              <w:spacing w:line="240" w:lineRule="auto"/>
              <w:ind w:firstLine="0" w:firstLineChars="0"/>
              <w:rPr>
                <w:color w:val="auto"/>
                <w:highlight w:val="none"/>
              </w:rPr>
            </w:pPr>
            <w:r>
              <w:rPr>
                <w:rFonts w:hint="eastAsia"/>
                <w:color w:val="auto"/>
                <w:highlight w:val="none"/>
              </w:rPr>
              <w:t>□ 允许。</w:t>
            </w:r>
          </w:p>
        </w:tc>
      </w:tr>
      <w:tr w14:paraId="7F519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783" w:type="dxa"/>
            <w:vAlign w:val="center"/>
          </w:tcPr>
          <w:p w14:paraId="4D71FD86">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16</w:t>
            </w:r>
          </w:p>
        </w:tc>
        <w:tc>
          <w:tcPr>
            <w:tcW w:w="2096" w:type="dxa"/>
            <w:vAlign w:val="center"/>
          </w:tcPr>
          <w:p w14:paraId="2917D68C">
            <w:pPr>
              <w:spacing w:line="240" w:lineRule="auto"/>
              <w:ind w:firstLine="0" w:firstLineChars="0"/>
              <w:jc w:val="center"/>
              <w:rPr>
                <w:color w:val="auto"/>
                <w:highlight w:val="none"/>
              </w:rPr>
            </w:pPr>
            <w:r>
              <w:rPr>
                <w:rFonts w:hint="eastAsia"/>
                <w:color w:val="auto"/>
                <w:highlight w:val="none"/>
              </w:rPr>
              <w:t>投标货币</w:t>
            </w:r>
          </w:p>
        </w:tc>
        <w:tc>
          <w:tcPr>
            <w:tcW w:w="7367" w:type="dxa"/>
            <w:vAlign w:val="center"/>
          </w:tcPr>
          <w:p w14:paraId="128E7CAC">
            <w:pPr>
              <w:spacing w:line="240" w:lineRule="auto"/>
              <w:ind w:firstLine="0" w:firstLineChars="0"/>
              <w:rPr>
                <w:color w:val="auto"/>
                <w:highlight w:val="none"/>
              </w:rPr>
            </w:pPr>
            <w:r>
              <w:rPr>
                <w:rFonts w:hint="eastAsia"/>
                <w:color w:val="auto"/>
                <w:highlight w:val="none"/>
              </w:rPr>
              <w:t>人民币。</w:t>
            </w:r>
          </w:p>
        </w:tc>
      </w:tr>
      <w:tr w14:paraId="3097A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783" w:type="dxa"/>
            <w:vAlign w:val="center"/>
          </w:tcPr>
          <w:p w14:paraId="77C3468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17</w:t>
            </w:r>
          </w:p>
        </w:tc>
        <w:tc>
          <w:tcPr>
            <w:tcW w:w="2096" w:type="dxa"/>
            <w:vAlign w:val="center"/>
          </w:tcPr>
          <w:p w14:paraId="1976D58F">
            <w:pPr>
              <w:spacing w:line="240" w:lineRule="auto"/>
              <w:ind w:firstLine="0" w:firstLineChars="0"/>
              <w:jc w:val="center"/>
              <w:rPr>
                <w:color w:val="auto"/>
                <w:highlight w:val="none"/>
              </w:rPr>
            </w:pPr>
            <w:r>
              <w:rPr>
                <w:rFonts w:hint="eastAsia"/>
                <w:color w:val="auto"/>
                <w:highlight w:val="none"/>
              </w:rPr>
              <w:t>投标语言</w:t>
            </w:r>
          </w:p>
        </w:tc>
        <w:tc>
          <w:tcPr>
            <w:tcW w:w="7367" w:type="dxa"/>
            <w:vAlign w:val="center"/>
          </w:tcPr>
          <w:p w14:paraId="7EEBA14B">
            <w:pPr>
              <w:spacing w:line="240" w:lineRule="auto"/>
              <w:ind w:firstLine="0" w:firstLineChars="0"/>
              <w:rPr>
                <w:color w:val="auto"/>
                <w:highlight w:val="none"/>
              </w:rPr>
            </w:pPr>
            <w:r>
              <w:rPr>
                <w:rFonts w:hint="eastAsia"/>
                <w:color w:val="auto"/>
                <w:highlight w:val="none"/>
              </w:rPr>
              <w:t>中文。</w:t>
            </w:r>
          </w:p>
        </w:tc>
      </w:tr>
      <w:tr w14:paraId="2F6E0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783" w:type="dxa"/>
            <w:vAlign w:val="center"/>
          </w:tcPr>
          <w:p w14:paraId="45ADD88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18</w:t>
            </w:r>
          </w:p>
        </w:tc>
        <w:tc>
          <w:tcPr>
            <w:tcW w:w="2096" w:type="dxa"/>
            <w:vAlign w:val="center"/>
          </w:tcPr>
          <w:p w14:paraId="3959C303">
            <w:pPr>
              <w:spacing w:line="240" w:lineRule="auto"/>
              <w:ind w:firstLine="0" w:firstLineChars="0"/>
              <w:jc w:val="center"/>
              <w:rPr>
                <w:color w:val="auto"/>
                <w:highlight w:val="none"/>
              </w:rPr>
            </w:pPr>
            <w:r>
              <w:rPr>
                <w:rFonts w:hint="eastAsia"/>
                <w:color w:val="auto"/>
                <w:highlight w:val="none"/>
              </w:rPr>
              <w:t>磋商响应文件的组成</w:t>
            </w:r>
          </w:p>
        </w:tc>
        <w:tc>
          <w:tcPr>
            <w:tcW w:w="7367" w:type="dxa"/>
            <w:vAlign w:val="center"/>
          </w:tcPr>
          <w:p w14:paraId="439B147E">
            <w:pPr>
              <w:spacing w:line="240" w:lineRule="auto"/>
              <w:ind w:firstLine="0" w:firstLineChars="0"/>
              <w:rPr>
                <w:color w:val="auto"/>
                <w:highlight w:val="none"/>
              </w:rPr>
            </w:pPr>
            <w:r>
              <w:rPr>
                <w:rFonts w:hint="eastAsia"/>
                <w:color w:val="auto"/>
                <w:highlight w:val="none"/>
              </w:rPr>
              <w:t>完整的《磋商响应文件》由“资格文件”“报价文件”和“资信商务技术文件”三个部分组成。</w:t>
            </w:r>
          </w:p>
        </w:tc>
      </w:tr>
      <w:tr w14:paraId="79D92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783" w:type="dxa"/>
            <w:vAlign w:val="center"/>
          </w:tcPr>
          <w:p w14:paraId="2C134344">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19</w:t>
            </w:r>
          </w:p>
        </w:tc>
        <w:tc>
          <w:tcPr>
            <w:tcW w:w="2096" w:type="dxa"/>
            <w:vAlign w:val="center"/>
          </w:tcPr>
          <w:p w14:paraId="7A08557A">
            <w:pPr>
              <w:spacing w:line="240" w:lineRule="auto"/>
              <w:ind w:firstLine="0" w:firstLineChars="0"/>
              <w:jc w:val="center"/>
              <w:rPr>
                <w:color w:val="auto"/>
                <w:highlight w:val="none"/>
              </w:rPr>
            </w:pPr>
            <w:r>
              <w:rPr>
                <w:rFonts w:hint="eastAsia"/>
                <w:color w:val="auto"/>
                <w:highlight w:val="none"/>
              </w:rPr>
              <w:t>磋商响应文件的编制</w:t>
            </w:r>
          </w:p>
        </w:tc>
        <w:tc>
          <w:tcPr>
            <w:tcW w:w="7367" w:type="dxa"/>
            <w:vAlign w:val="center"/>
          </w:tcPr>
          <w:p w14:paraId="2CC417FE">
            <w:pPr>
              <w:spacing w:line="240" w:lineRule="auto"/>
              <w:ind w:firstLine="0" w:firstLineChars="0"/>
              <w:rPr>
                <w:color w:val="auto"/>
                <w:highlight w:val="none"/>
              </w:rPr>
            </w:pPr>
            <w:r>
              <w:rPr>
                <w:rFonts w:hint="eastAsia"/>
                <w:color w:val="auto"/>
                <w:highlight w:val="none"/>
              </w:rPr>
              <w:t>供应商应先安装“政采云电子交易客户端”，并按照本磋商文件和“政府采购云平台”的要求，通过“政采云电子交易客户端”编制并加密磋商响应文件。</w:t>
            </w:r>
          </w:p>
        </w:tc>
      </w:tr>
      <w:tr w14:paraId="0EC4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783" w:type="dxa"/>
            <w:vAlign w:val="center"/>
          </w:tcPr>
          <w:p w14:paraId="1B212A8B">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20</w:t>
            </w:r>
          </w:p>
        </w:tc>
        <w:tc>
          <w:tcPr>
            <w:tcW w:w="2096" w:type="dxa"/>
            <w:vAlign w:val="center"/>
          </w:tcPr>
          <w:p w14:paraId="6269D5A9">
            <w:pPr>
              <w:spacing w:line="240" w:lineRule="auto"/>
              <w:ind w:firstLine="0" w:firstLineChars="0"/>
              <w:jc w:val="center"/>
              <w:rPr>
                <w:color w:val="auto"/>
                <w:highlight w:val="none"/>
              </w:rPr>
            </w:pPr>
            <w:r>
              <w:rPr>
                <w:rFonts w:hint="eastAsia"/>
                <w:color w:val="auto"/>
                <w:highlight w:val="none"/>
              </w:rPr>
              <w:t>签字或盖章要求</w:t>
            </w:r>
          </w:p>
        </w:tc>
        <w:tc>
          <w:tcPr>
            <w:tcW w:w="7367" w:type="dxa"/>
            <w:vAlign w:val="center"/>
          </w:tcPr>
          <w:p w14:paraId="113692F5">
            <w:pPr>
              <w:spacing w:line="240" w:lineRule="auto"/>
              <w:ind w:firstLine="0" w:firstLineChars="0"/>
              <w:rPr>
                <w:color w:val="auto"/>
                <w:highlight w:val="none"/>
              </w:rPr>
            </w:pPr>
            <w:r>
              <w:rPr>
                <w:rFonts w:hint="eastAsia"/>
                <w:color w:val="auto"/>
                <w:highlight w:val="none"/>
              </w:rPr>
              <w:t>采购文件所指的加盖单位公章为电子签章。</w:t>
            </w:r>
          </w:p>
          <w:p w14:paraId="75B07D51">
            <w:pPr>
              <w:spacing w:line="240" w:lineRule="auto"/>
              <w:ind w:firstLine="0" w:firstLineChars="0"/>
              <w:rPr>
                <w:color w:val="auto"/>
                <w:highlight w:val="none"/>
              </w:rPr>
            </w:pPr>
            <w:r>
              <w:rPr>
                <w:rFonts w:hint="eastAsia"/>
                <w:color w:val="auto"/>
                <w:highlight w:val="none"/>
              </w:rPr>
              <w:t>磋商响应文件须按采购文件格式要求，由供应商加盖单位公章和法定代表人或其授权代表印章（或签字）。</w:t>
            </w:r>
          </w:p>
        </w:tc>
      </w:tr>
      <w:tr w14:paraId="7F156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783" w:type="dxa"/>
            <w:vAlign w:val="center"/>
          </w:tcPr>
          <w:p w14:paraId="26989F8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21</w:t>
            </w:r>
          </w:p>
        </w:tc>
        <w:tc>
          <w:tcPr>
            <w:tcW w:w="2096" w:type="dxa"/>
            <w:vAlign w:val="center"/>
          </w:tcPr>
          <w:p w14:paraId="482D91EE">
            <w:pPr>
              <w:spacing w:line="240" w:lineRule="auto"/>
              <w:ind w:firstLine="0" w:firstLineChars="0"/>
              <w:jc w:val="center"/>
              <w:rPr>
                <w:color w:val="auto"/>
                <w:highlight w:val="none"/>
              </w:rPr>
            </w:pPr>
            <w:r>
              <w:rPr>
                <w:rFonts w:hint="eastAsia"/>
                <w:color w:val="auto"/>
                <w:highlight w:val="none"/>
              </w:rPr>
              <w:t>磋商响应文件的形式</w:t>
            </w:r>
          </w:p>
        </w:tc>
        <w:tc>
          <w:tcPr>
            <w:tcW w:w="7367" w:type="dxa"/>
            <w:vAlign w:val="center"/>
          </w:tcPr>
          <w:p w14:paraId="174429A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☑电子磋商响应文件（包括“电子加密磋商响应文件”和“备份磋商响应文件”，在磋商响应文件编制完成后同时生成）；</w:t>
            </w:r>
          </w:p>
          <w:p w14:paraId="2CFEF5D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1.“电子加密磋商响应文件”是指通过“政采云电子交易客户端”完成磋商响应文件编制后生成并加密的数据电文形式的磋商响应文件。</w:t>
            </w:r>
          </w:p>
          <w:p w14:paraId="4C29EA7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2.“备份磋商响应文件”是指与“电子加密磋商响应文件”同时生成的数据电文形式的电子文件（备份标书），其他方式编制的备份磋商响应文件视为无效备份磋商响应文件。</w:t>
            </w:r>
          </w:p>
        </w:tc>
      </w:tr>
      <w:tr w14:paraId="4CDAE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783" w:type="dxa"/>
            <w:vAlign w:val="center"/>
          </w:tcPr>
          <w:p w14:paraId="72E0B9E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22</w:t>
            </w:r>
          </w:p>
        </w:tc>
        <w:tc>
          <w:tcPr>
            <w:tcW w:w="2096" w:type="dxa"/>
            <w:vAlign w:val="center"/>
          </w:tcPr>
          <w:p w14:paraId="32497CE9">
            <w:pPr>
              <w:spacing w:line="240" w:lineRule="auto"/>
              <w:ind w:firstLine="0" w:firstLineChars="0"/>
              <w:jc w:val="center"/>
              <w:rPr>
                <w:color w:val="auto"/>
                <w:highlight w:val="none"/>
              </w:rPr>
            </w:pPr>
            <w:r>
              <w:rPr>
                <w:rFonts w:hint="eastAsia"/>
                <w:color w:val="auto"/>
                <w:highlight w:val="none"/>
              </w:rPr>
              <w:t>磋商响应文件份数</w:t>
            </w:r>
          </w:p>
        </w:tc>
        <w:tc>
          <w:tcPr>
            <w:tcW w:w="7367" w:type="dxa"/>
            <w:vAlign w:val="center"/>
          </w:tcPr>
          <w:p w14:paraId="4849B8F5">
            <w:pPr>
              <w:numPr>
                <w:ilvl w:val="0"/>
                <w:numId w:val="3"/>
              </w:num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“电子加密磋商响应文件”：在线上传递交、一份。</w:t>
            </w:r>
          </w:p>
          <w:p w14:paraId="4F495F54">
            <w:pPr>
              <w:numPr>
                <w:ilvl w:val="0"/>
                <w:numId w:val="3"/>
              </w:num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“备份磋商响应文件”：</w:t>
            </w:r>
            <w:r>
              <w:rPr>
                <w:rFonts w:hint="eastAsia"/>
                <w:color w:val="auto"/>
                <w:highlight w:val="none"/>
              </w:rPr>
              <w:t>在线发送邮箱，一份</w:t>
            </w:r>
            <w:r>
              <w:rPr>
                <w:rFonts w:hint="eastAsia" w:ascii="宋体" w:hAnsi="宋体" w:cs="宋体"/>
                <w:color w:val="auto"/>
                <w:highlight w:val="none"/>
              </w:rPr>
              <w:t>；</w:t>
            </w:r>
          </w:p>
        </w:tc>
      </w:tr>
      <w:tr w14:paraId="460B2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783" w:type="dxa"/>
            <w:vAlign w:val="center"/>
          </w:tcPr>
          <w:p w14:paraId="0518CE5B">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23</w:t>
            </w:r>
          </w:p>
        </w:tc>
        <w:tc>
          <w:tcPr>
            <w:tcW w:w="2096" w:type="dxa"/>
            <w:vAlign w:val="center"/>
          </w:tcPr>
          <w:p w14:paraId="23B13E12">
            <w:pPr>
              <w:spacing w:line="240" w:lineRule="auto"/>
              <w:ind w:firstLine="0" w:firstLineChars="0"/>
              <w:jc w:val="center"/>
              <w:rPr>
                <w:color w:val="auto"/>
                <w:highlight w:val="none"/>
              </w:rPr>
            </w:pPr>
            <w:r>
              <w:rPr>
                <w:rFonts w:hint="eastAsia"/>
                <w:color w:val="auto"/>
                <w:highlight w:val="none"/>
              </w:rPr>
              <w:t>磋商响应文件的上传和递交</w:t>
            </w:r>
          </w:p>
        </w:tc>
        <w:tc>
          <w:tcPr>
            <w:tcW w:w="7367" w:type="dxa"/>
            <w:vAlign w:val="center"/>
          </w:tcPr>
          <w:p w14:paraId="61A6F72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1.“电子加密磋商响应文件”的上传、递交：</w:t>
            </w:r>
          </w:p>
          <w:p w14:paraId="5D6573D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1.1供应商应在磋商响应截止时间前将“电子加密磋商响应文件”成功上传递交至“政府采购云平台”，否则磋商响应无效。</w:t>
            </w:r>
          </w:p>
          <w:p w14:paraId="181A71BA">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1.2“电子加密磋商响应文件”成功上传递交后，供应商可自行打印磋商响应文件接收回执。</w:t>
            </w:r>
          </w:p>
          <w:p w14:paraId="4989A5E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2.“备份磋商响应文件”的</w:t>
            </w:r>
            <w:r>
              <w:rPr>
                <w:rFonts w:hint="eastAsia"/>
                <w:color w:val="auto"/>
                <w:highlight w:val="none"/>
              </w:rPr>
              <w:t>递交</w:t>
            </w:r>
            <w:r>
              <w:rPr>
                <w:rFonts w:hint="eastAsia" w:ascii="宋体" w:hAnsi="宋体" w:cs="宋体"/>
                <w:color w:val="auto"/>
                <w:highlight w:val="none"/>
              </w:rPr>
              <w:t>：</w:t>
            </w:r>
          </w:p>
          <w:p w14:paraId="40ADF3F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2.1供应商可以在投标截止时间将备份投标文件（经政采云电子交易客户端和CA驱动制作出的后缀名“BFBS”的加密备份投标文件）发送至邮箱：1536570342@qq.com，邮件内容写上单位名称，逾期发送或发错后缀名的备份磋商响应文件将视为无效；备份磋商响应文件的提交不作强制要求，若因供应商未提供备份磋商响应文件而造成投标无效等一切后果和风险由供应商自行承担；</w:t>
            </w:r>
          </w:p>
          <w:p w14:paraId="6C7455C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2.2 通过“政府采购云平台”成功上传递交的“电子加密磋商响应文件”已按时解密的，“备份磋商响应文件”自动失效。投标截止时间前，</w:t>
            </w:r>
            <w:r>
              <w:rPr>
                <w:rFonts w:hint="eastAsia"/>
                <w:color w:val="auto"/>
                <w:highlight w:val="none"/>
              </w:rPr>
              <w:t>供应商仅递交了“</w:t>
            </w:r>
            <w:r>
              <w:rPr>
                <w:rFonts w:hint="eastAsia" w:ascii="宋体" w:hAnsi="宋体" w:cs="宋体"/>
                <w:color w:val="auto"/>
                <w:highlight w:val="none"/>
              </w:rPr>
              <w:t>备份磋商响应文件</w:t>
            </w:r>
            <w:r>
              <w:rPr>
                <w:rFonts w:hint="eastAsia"/>
                <w:color w:val="auto"/>
                <w:highlight w:val="none"/>
              </w:rPr>
              <w:t>”而未将“</w:t>
            </w:r>
            <w:r>
              <w:rPr>
                <w:rFonts w:hint="eastAsia" w:ascii="宋体" w:hAnsi="宋体" w:cs="宋体"/>
                <w:color w:val="auto"/>
                <w:highlight w:val="none"/>
              </w:rPr>
              <w:t>电子加密磋商响应文件</w:t>
            </w:r>
            <w:r>
              <w:rPr>
                <w:rFonts w:hint="eastAsia"/>
                <w:color w:val="auto"/>
                <w:highlight w:val="none"/>
              </w:rPr>
              <w:t>”成功上传至“政府采购云平台”的，投标无效。</w:t>
            </w:r>
          </w:p>
        </w:tc>
      </w:tr>
      <w:tr w14:paraId="60A16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783" w:type="dxa"/>
            <w:vAlign w:val="center"/>
          </w:tcPr>
          <w:p w14:paraId="35966B6D">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24</w:t>
            </w:r>
          </w:p>
        </w:tc>
        <w:tc>
          <w:tcPr>
            <w:tcW w:w="2096" w:type="dxa"/>
            <w:vAlign w:val="center"/>
          </w:tcPr>
          <w:p w14:paraId="66A4128E">
            <w:pPr>
              <w:spacing w:line="240" w:lineRule="auto"/>
              <w:ind w:firstLine="0" w:firstLineChars="0"/>
              <w:jc w:val="center"/>
              <w:rPr>
                <w:color w:val="auto"/>
                <w:highlight w:val="none"/>
              </w:rPr>
            </w:pPr>
            <w:r>
              <w:rPr>
                <w:rFonts w:hint="eastAsia"/>
                <w:color w:val="auto"/>
                <w:highlight w:val="none"/>
              </w:rPr>
              <w:t>电子加密磋商响应文件的解密和异常情况处理</w:t>
            </w:r>
          </w:p>
        </w:tc>
        <w:tc>
          <w:tcPr>
            <w:tcW w:w="7367" w:type="dxa"/>
            <w:vAlign w:val="center"/>
          </w:tcPr>
          <w:p w14:paraId="3F68C93F">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1.开标后，采购组织机构将向各供应商发出“电子加密磋商响应文件”的解密通知，各供应商代表应当在接到解密通知后30分钟内自行完成“电子加密磋商响应文件”的在线解密。</w:t>
            </w:r>
          </w:p>
          <w:p w14:paraId="31FD52C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通过“政府采购云平台”成功上传递交的“电子加密磋商响应文件”无法按时解密，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14:paraId="5E5E3EF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3.磋商响应截止时间前，供应商仅递交了“备份磋商响应文件”而未将电子加密磋商响应文件上传至“政府采购云平台”的，磋商响应无效。</w:t>
            </w:r>
          </w:p>
        </w:tc>
      </w:tr>
      <w:tr w14:paraId="384BB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783" w:type="dxa"/>
            <w:vAlign w:val="center"/>
          </w:tcPr>
          <w:p w14:paraId="2BEFF28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25</w:t>
            </w:r>
          </w:p>
        </w:tc>
        <w:tc>
          <w:tcPr>
            <w:tcW w:w="2096" w:type="dxa"/>
            <w:vAlign w:val="center"/>
          </w:tcPr>
          <w:p w14:paraId="2F38B9AE">
            <w:pPr>
              <w:spacing w:line="240" w:lineRule="auto"/>
              <w:ind w:firstLine="0" w:firstLineChars="0"/>
              <w:jc w:val="center"/>
              <w:rPr>
                <w:color w:val="auto"/>
                <w:highlight w:val="none"/>
              </w:rPr>
            </w:pPr>
            <w:r>
              <w:rPr>
                <w:rFonts w:hint="eastAsia"/>
                <w:color w:val="auto"/>
                <w:highlight w:val="none"/>
              </w:rPr>
              <w:t>磋商响应有效期</w:t>
            </w:r>
          </w:p>
        </w:tc>
        <w:tc>
          <w:tcPr>
            <w:tcW w:w="7367" w:type="dxa"/>
            <w:vAlign w:val="center"/>
          </w:tcPr>
          <w:p w14:paraId="2E38135E">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提交磋商响应文件截止日起90天内。</w:t>
            </w:r>
          </w:p>
        </w:tc>
      </w:tr>
      <w:tr w14:paraId="1BD6C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783" w:type="dxa"/>
            <w:vAlign w:val="center"/>
          </w:tcPr>
          <w:p w14:paraId="4BD4CF83">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26</w:t>
            </w:r>
          </w:p>
        </w:tc>
        <w:tc>
          <w:tcPr>
            <w:tcW w:w="2096" w:type="dxa"/>
            <w:vAlign w:val="center"/>
          </w:tcPr>
          <w:p w14:paraId="3E29A61D">
            <w:pPr>
              <w:spacing w:line="240" w:lineRule="auto"/>
              <w:ind w:firstLine="0" w:firstLineChars="0"/>
              <w:jc w:val="center"/>
              <w:rPr>
                <w:color w:val="auto"/>
                <w:highlight w:val="none"/>
              </w:rPr>
            </w:pPr>
            <w:r>
              <w:rPr>
                <w:rFonts w:hint="eastAsia"/>
                <w:color w:val="auto"/>
                <w:highlight w:val="none"/>
              </w:rPr>
              <w:t>磋商响应样品</w:t>
            </w:r>
          </w:p>
        </w:tc>
        <w:tc>
          <w:tcPr>
            <w:tcW w:w="7367" w:type="dxa"/>
            <w:vAlign w:val="center"/>
          </w:tcPr>
          <w:p w14:paraId="5ED671F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☑不需要</w:t>
            </w:r>
          </w:p>
          <w:p w14:paraId="63DFCD6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□需要</w:t>
            </w:r>
          </w:p>
        </w:tc>
      </w:tr>
      <w:tr w14:paraId="0AF62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783" w:type="dxa"/>
            <w:vAlign w:val="center"/>
          </w:tcPr>
          <w:p w14:paraId="1A8C968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27</w:t>
            </w:r>
          </w:p>
        </w:tc>
        <w:tc>
          <w:tcPr>
            <w:tcW w:w="2096" w:type="dxa"/>
            <w:vAlign w:val="center"/>
          </w:tcPr>
          <w:p w14:paraId="1E78363A">
            <w:pPr>
              <w:spacing w:line="240" w:lineRule="auto"/>
              <w:ind w:firstLine="0" w:firstLineChars="0"/>
              <w:jc w:val="center"/>
              <w:rPr>
                <w:color w:val="auto"/>
                <w:highlight w:val="none"/>
              </w:rPr>
            </w:pPr>
            <w:r>
              <w:rPr>
                <w:rFonts w:hint="eastAsia"/>
                <w:color w:val="auto"/>
                <w:highlight w:val="none"/>
              </w:rPr>
              <w:t>履约保证金</w:t>
            </w:r>
          </w:p>
        </w:tc>
        <w:tc>
          <w:tcPr>
            <w:tcW w:w="7367" w:type="dxa"/>
            <w:vAlign w:val="center"/>
          </w:tcPr>
          <w:p w14:paraId="04C51FD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☑不需要</w:t>
            </w:r>
          </w:p>
          <w:p w14:paraId="196373F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□需要 </w:t>
            </w:r>
          </w:p>
          <w:p w14:paraId="1764A40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合同签订后五个工作日内，成交供应商按合同总价1.0%的比例向采购人提交履约保证金，缴纳形式为以银行、保险公司出具的保函（保函有效期至合同履行结束后之日），合同履行结束后30日内退还。</w:t>
            </w:r>
          </w:p>
        </w:tc>
      </w:tr>
      <w:tr w14:paraId="34A67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783" w:type="dxa"/>
            <w:vAlign w:val="center"/>
          </w:tcPr>
          <w:p w14:paraId="205AA846">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28</w:t>
            </w:r>
          </w:p>
        </w:tc>
        <w:tc>
          <w:tcPr>
            <w:tcW w:w="2096" w:type="dxa"/>
            <w:vAlign w:val="center"/>
          </w:tcPr>
          <w:p w14:paraId="50F65108">
            <w:pPr>
              <w:spacing w:line="240" w:lineRule="auto"/>
              <w:ind w:firstLine="0" w:firstLineChars="0"/>
              <w:jc w:val="center"/>
              <w:rPr>
                <w:color w:val="auto"/>
                <w:highlight w:val="none"/>
              </w:rPr>
            </w:pPr>
            <w:r>
              <w:rPr>
                <w:rFonts w:hint="eastAsia"/>
                <w:color w:val="auto"/>
                <w:highlight w:val="none"/>
              </w:rPr>
              <w:t>磋商响应保证金</w:t>
            </w:r>
          </w:p>
        </w:tc>
        <w:tc>
          <w:tcPr>
            <w:tcW w:w="7367" w:type="dxa"/>
            <w:vAlign w:val="center"/>
          </w:tcPr>
          <w:p w14:paraId="148F845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☑不需要</w:t>
            </w:r>
          </w:p>
          <w:p w14:paraId="60D3B3D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□需要  </w:t>
            </w:r>
          </w:p>
        </w:tc>
      </w:tr>
      <w:tr w14:paraId="39FDA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39" w:hRule="atLeast"/>
          <w:jc w:val="center"/>
        </w:trPr>
        <w:tc>
          <w:tcPr>
            <w:tcW w:w="783" w:type="dxa"/>
            <w:vAlign w:val="center"/>
          </w:tcPr>
          <w:p w14:paraId="718D00EB">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29</w:t>
            </w:r>
          </w:p>
        </w:tc>
        <w:tc>
          <w:tcPr>
            <w:tcW w:w="2096" w:type="dxa"/>
            <w:vAlign w:val="center"/>
          </w:tcPr>
          <w:p w14:paraId="49692BA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质疑受理联系方式</w:t>
            </w:r>
          </w:p>
        </w:tc>
        <w:tc>
          <w:tcPr>
            <w:tcW w:w="7367" w:type="dxa"/>
            <w:vAlign w:val="center"/>
          </w:tcPr>
          <w:p w14:paraId="62BCC8A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代理机构名称：浙江信达工程咨询有限公司</w:t>
            </w:r>
          </w:p>
          <w:p w14:paraId="7F69F1A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地点：衢州市龙游县龙洲街道人民南路158号A704室</w:t>
            </w:r>
          </w:p>
          <w:p w14:paraId="1E69593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质疑联系人：徐女士  </w:t>
            </w:r>
          </w:p>
          <w:p w14:paraId="4A910F1D">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质疑联系方式：</w:t>
            </w:r>
            <w:r>
              <w:rPr>
                <w:rFonts w:hint="eastAsia" w:ascii="宋体" w:hAnsi="宋体" w:cs="宋体"/>
                <w:color w:val="auto"/>
                <w:highlight w:val="none"/>
                <w:lang w:eastAsia="zh-CN"/>
              </w:rPr>
              <w:t>0570-8856800</w:t>
            </w:r>
            <w:r>
              <w:rPr>
                <w:rFonts w:hint="eastAsia" w:ascii="宋体" w:hAnsi="宋体" w:cs="宋体"/>
                <w:color w:val="auto"/>
                <w:highlight w:val="none"/>
              </w:rPr>
              <w:t xml:space="preserve">　 </w:t>
            </w:r>
          </w:p>
        </w:tc>
      </w:tr>
      <w:tr w14:paraId="4EF10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783" w:type="dxa"/>
            <w:vAlign w:val="center"/>
          </w:tcPr>
          <w:p w14:paraId="5402F6E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30</w:t>
            </w:r>
          </w:p>
        </w:tc>
        <w:tc>
          <w:tcPr>
            <w:tcW w:w="2096" w:type="dxa"/>
            <w:vAlign w:val="center"/>
          </w:tcPr>
          <w:p w14:paraId="10C802E6">
            <w:pPr>
              <w:spacing w:line="240" w:lineRule="auto"/>
              <w:ind w:firstLine="0" w:firstLineChars="0"/>
              <w:jc w:val="center"/>
              <w:rPr>
                <w:color w:val="auto"/>
                <w:highlight w:val="none"/>
              </w:rPr>
            </w:pPr>
            <w:r>
              <w:rPr>
                <w:rFonts w:hint="eastAsia"/>
                <w:color w:val="auto"/>
                <w:highlight w:val="none"/>
              </w:rPr>
              <w:t>投诉</w:t>
            </w:r>
          </w:p>
        </w:tc>
        <w:tc>
          <w:tcPr>
            <w:tcW w:w="7367" w:type="dxa"/>
            <w:vAlign w:val="center"/>
          </w:tcPr>
          <w:p w14:paraId="6423DD63">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根据《政府采购质疑和投诉办法》的规定，质疑供应商对采购人、采购代理机构的答复不满意或者采购人、采购代理机构未在规定的时间内作出答复的，可以在答复期满后十五个工作日内向同级政府采购监督管理部门投诉。</w:t>
            </w:r>
          </w:p>
        </w:tc>
      </w:tr>
      <w:tr w14:paraId="14A0F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8" w:hRule="atLeast"/>
          <w:jc w:val="center"/>
        </w:trPr>
        <w:tc>
          <w:tcPr>
            <w:tcW w:w="783" w:type="dxa"/>
            <w:vAlign w:val="center"/>
          </w:tcPr>
          <w:p w14:paraId="0F041750">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31</w:t>
            </w:r>
          </w:p>
        </w:tc>
        <w:tc>
          <w:tcPr>
            <w:tcW w:w="2096" w:type="dxa"/>
            <w:vAlign w:val="center"/>
          </w:tcPr>
          <w:p w14:paraId="2AFF0013">
            <w:pPr>
              <w:spacing w:line="240" w:lineRule="auto"/>
              <w:ind w:firstLine="0" w:firstLineChars="0"/>
              <w:jc w:val="center"/>
              <w:rPr>
                <w:color w:val="auto"/>
                <w:highlight w:val="none"/>
              </w:rPr>
            </w:pPr>
            <w:r>
              <w:rPr>
                <w:rFonts w:hint="eastAsia"/>
                <w:color w:val="auto"/>
                <w:highlight w:val="none"/>
              </w:rPr>
              <w:t>投诉受理联系方式</w:t>
            </w:r>
          </w:p>
        </w:tc>
        <w:tc>
          <w:tcPr>
            <w:tcW w:w="7367" w:type="dxa"/>
            <w:vAlign w:val="center"/>
          </w:tcPr>
          <w:p w14:paraId="13B2B29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名称：龙游县财政局政府采购监管科</w:t>
            </w:r>
          </w:p>
          <w:p w14:paraId="497A34F4">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联系人：严先生</w:t>
            </w:r>
          </w:p>
          <w:p w14:paraId="704E5645">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监督投诉电话：0570-7011687</w:t>
            </w:r>
          </w:p>
          <w:p w14:paraId="085088E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地址：龙游县莲湖路69号</w:t>
            </w:r>
          </w:p>
        </w:tc>
      </w:tr>
      <w:tr w14:paraId="2888A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8" w:hRule="atLeast"/>
          <w:jc w:val="center"/>
        </w:trPr>
        <w:tc>
          <w:tcPr>
            <w:tcW w:w="783" w:type="dxa"/>
            <w:vAlign w:val="center"/>
          </w:tcPr>
          <w:p w14:paraId="7F6C30D4">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32</w:t>
            </w:r>
          </w:p>
        </w:tc>
        <w:tc>
          <w:tcPr>
            <w:tcW w:w="2096" w:type="dxa"/>
            <w:vAlign w:val="center"/>
          </w:tcPr>
          <w:p w14:paraId="749A3045">
            <w:pPr>
              <w:spacing w:line="240" w:lineRule="auto"/>
              <w:ind w:firstLine="0" w:firstLineChars="0"/>
              <w:jc w:val="center"/>
              <w:rPr>
                <w:color w:val="auto"/>
                <w:highlight w:val="none"/>
              </w:rPr>
            </w:pPr>
            <w:r>
              <w:rPr>
                <w:rFonts w:hint="eastAsia" w:ascii="宋体" w:hAnsi="宋体" w:cs="宋体"/>
                <w:color w:val="auto"/>
                <w:highlight w:val="none"/>
              </w:rPr>
              <w:t>面向中小企业预留情况及小微企业报价扣除标准</w:t>
            </w:r>
          </w:p>
        </w:tc>
        <w:tc>
          <w:tcPr>
            <w:tcW w:w="7367" w:type="dxa"/>
            <w:vAlign w:val="center"/>
          </w:tcPr>
          <w:p w14:paraId="5A3ABFA0">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☑本项目为专门面向中小企业采购，小微企业不享受价格折扣优惠。</w:t>
            </w:r>
          </w:p>
          <w:p w14:paraId="1AD64102">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□非专门面向中小企业采购项目，小微企业报价给予10%（工程项目为5%)的扣除，用扣除后的价格参与评审。</w:t>
            </w:r>
          </w:p>
        </w:tc>
      </w:tr>
      <w:tr w14:paraId="2696A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8" w:hRule="atLeast"/>
          <w:jc w:val="center"/>
        </w:trPr>
        <w:tc>
          <w:tcPr>
            <w:tcW w:w="783" w:type="dxa"/>
            <w:vAlign w:val="center"/>
          </w:tcPr>
          <w:p w14:paraId="1CBE7D2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33</w:t>
            </w:r>
          </w:p>
        </w:tc>
        <w:tc>
          <w:tcPr>
            <w:tcW w:w="2096" w:type="dxa"/>
            <w:vAlign w:val="center"/>
          </w:tcPr>
          <w:p w14:paraId="52D44198">
            <w:pPr>
              <w:spacing w:line="240" w:lineRule="auto"/>
              <w:ind w:firstLine="0" w:firstLineChars="0"/>
              <w:jc w:val="center"/>
              <w:rPr>
                <w:color w:val="auto"/>
                <w:highlight w:val="none"/>
              </w:rPr>
            </w:pPr>
            <w:r>
              <w:rPr>
                <w:rFonts w:hint="eastAsia" w:ascii="宋体" w:hAnsi="宋体" w:cs="宋体"/>
                <w:color w:val="auto"/>
                <w:highlight w:val="none"/>
              </w:rPr>
              <w:t>行业划分标准和对应所属行业</w:t>
            </w:r>
          </w:p>
        </w:tc>
        <w:tc>
          <w:tcPr>
            <w:tcW w:w="7367" w:type="dxa"/>
            <w:vAlign w:val="center"/>
          </w:tcPr>
          <w:p w14:paraId="33E54ACC">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1.所属行业：</w:t>
            </w:r>
            <w:r>
              <w:rPr>
                <w:rFonts w:hint="eastAsia" w:ascii="宋体" w:hAnsi="宋体" w:cs="宋体"/>
                <w:b/>
                <w:bCs/>
                <w:color w:val="auto"/>
                <w:highlight w:val="none"/>
              </w:rPr>
              <w:t>其他未列明行业</w:t>
            </w:r>
            <w:r>
              <w:rPr>
                <w:rFonts w:hint="eastAsia" w:ascii="宋体" w:hAnsi="宋体" w:cs="宋体"/>
                <w:color w:val="auto"/>
                <w:highlight w:val="none"/>
              </w:rPr>
              <w:t>。</w:t>
            </w:r>
          </w:p>
          <w:p w14:paraId="7E734122">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2.中小企业行业划分标准：</w:t>
            </w:r>
            <w:r>
              <w:rPr>
                <w:rFonts w:hint="eastAsia" w:ascii="宋体" w:hAnsi="宋体" w:cs="宋体"/>
                <w:color w:val="auto"/>
                <w:highlight w:val="none"/>
                <w:lang w:val="zh-CN"/>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highlight w:val="none"/>
              </w:rPr>
              <w:t>。</w:t>
            </w:r>
          </w:p>
        </w:tc>
      </w:tr>
      <w:tr w14:paraId="071AA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783" w:type="dxa"/>
            <w:vAlign w:val="center"/>
          </w:tcPr>
          <w:p w14:paraId="7D2D6C6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34</w:t>
            </w:r>
          </w:p>
        </w:tc>
        <w:tc>
          <w:tcPr>
            <w:tcW w:w="2096" w:type="dxa"/>
            <w:vAlign w:val="center"/>
          </w:tcPr>
          <w:p w14:paraId="52A5E68B">
            <w:pPr>
              <w:spacing w:line="240" w:lineRule="auto"/>
              <w:ind w:firstLine="0" w:firstLineChars="0"/>
              <w:jc w:val="center"/>
              <w:rPr>
                <w:color w:val="auto"/>
                <w:highlight w:val="none"/>
              </w:rPr>
            </w:pPr>
            <w:r>
              <w:rPr>
                <w:rFonts w:hint="eastAsia"/>
                <w:color w:val="auto"/>
                <w:highlight w:val="none"/>
              </w:rPr>
              <w:t>开标时间及评标地点</w:t>
            </w:r>
          </w:p>
        </w:tc>
        <w:tc>
          <w:tcPr>
            <w:tcW w:w="7367" w:type="dxa"/>
            <w:vAlign w:val="center"/>
          </w:tcPr>
          <w:p w14:paraId="418A4507">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1.开标时间：2025年7月</w:t>
            </w:r>
            <w:r>
              <w:rPr>
                <w:rFonts w:hint="eastAsia" w:ascii="宋体" w:hAnsi="宋体" w:cs="宋体"/>
                <w:color w:val="auto"/>
                <w:highlight w:val="none"/>
                <w:lang w:val="en-US" w:eastAsia="zh-CN"/>
              </w:rPr>
              <w:t>29</w:t>
            </w:r>
            <w:r>
              <w:rPr>
                <w:rFonts w:hint="eastAsia" w:ascii="宋体" w:hAnsi="宋体" w:cs="宋体"/>
                <w:color w:val="auto"/>
                <w:highlight w:val="none"/>
              </w:rPr>
              <w:t>日</w:t>
            </w:r>
            <w:r>
              <w:rPr>
                <w:rFonts w:hint="eastAsia" w:ascii="宋体" w:hAnsi="宋体" w:cs="宋体"/>
                <w:color w:val="auto"/>
                <w:highlight w:val="none"/>
                <w:lang w:val="en-US" w:eastAsia="zh-CN"/>
              </w:rPr>
              <w:t>09:00</w:t>
            </w:r>
            <w:r>
              <w:rPr>
                <w:rFonts w:hint="eastAsia" w:ascii="宋体" w:hAnsi="宋体" w:cs="宋体"/>
                <w:color w:val="auto"/>
                <w:highlight w:val="none"/>
              </w:rPr>
              <w:t>(北京时间)。</w:t>
            </w:r>
          </w:p>
          <w:p w14:paraId="7086F1E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2.地址：政采云平台。</w:t>
            </w:r>
          </w:p>
          <w:p w14:paraId="03FB65B8">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注意事项：本项目不要求供应商到开标现场开标，但供应商应由法定代表人或委托代理人在线准时出席电子开标会议，随时关注开标进度，如在开标过程中有电子询标，应在规定的时间内对电子询标函进行澄清、答复。否则视同认可开标结果，不得对开标过程及开标结果质疑。</w:t>
            </w:r>
          </w:p>
          <w:p w14:paraId="5E79F0E0">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4.评审地点：衢州市公共资源交易龙游县分中心1楼评标室</w:t>
            </w:r>
            <w:r>
              <w:rPr>
                <w:rFonts w:hint="eastAsia" w:ascii="宋体" w:hAnsi="宋体" w:cs="宋体"/>
                <w:color w:val="auto"/>
                <w:highlight w:val="none"/>
                <w:lang w:val="en-US" w:eastAsia="zh-CN"/>
              </w:rPr>
              <w:t>3</w:t>
            </w:r>
            <w:r>
              <w:rPr>
                <w:rFonts w:hint="eastAsia" w:ascii="宋体" w:hAnsi="宋体" w:cs="宋体"/>
                <w:color w:val="auto"/>
                <w:highlight w:val="none"/>
              </w:rPr>
              <w:t>。</w:t>
            </w:r>
          </w:p>
        </w:tc>
      </w:tr>
      <w:tr w14:paraId="7B504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783" w:type="dxa"/>
            <w:vAlign w:val="center"/>
          </w:tcPr>
          <w:p w14:paraId="23B5B3A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35</w:t>
            </w:r>
          </w:p>
        </w:tc>
        <w:tc>
          <w:tcPr>
            <w:tcW w:w="2096" w:type="dxa"/>
            <w:vAlign w:val="center"/>
          </w:tcPr>
          <w:p w14:paraId="0CBA2EC4">
            <w:pPr>
              <w:spacing w:line="240" w:lineRule="auto"/>
              <w:ind w:firstLine="0" w:firstLineChars="0"/>
              <w:jc w:val="center"/>
              <w:rPr>
                <w:color w:val="auto"/>
                <w:highlight w:val="none"/>
              </w:rPr>
            </w:pPr>
            <w:r>
              <w:rPr>
                <w:rFonts w:hint="eastAsia"/>
                <w:color w:val="auto"/>
                <w:highlight w:val="none"/>
              </w:rPr>
              <w:t>评审委员会的</w:t>
            </w:r>
          </w:p>
          <w:p w14:paraId="5DA0DCE8">
            <w:pPr>
              <w:spacing w:line="240" w:lineRule="auto"/>
              <w:ind w:firstLine="0" w:firstLineChars="0"/>
              <w:jc w:val="center"/>
              <w:rPr>
                <w:color w:val="auto"/>
                <w:highlight w:val="none"/>
              </w:rPr>
            </w:pPr>
            <w:r>
              <w:rPr>
                <w:rFonts w:hint="eastAsia"/>
                <w:color w:val="auto"/>
                <w:highlight w:val="none"/>
              </w:rPr>
              <w:t>组建</w:t>
            </w:r>
          </w:p>
        </w:tc>
        <w:tc>
          <w:tcPr>
            <w:tcW w:w="7367" w:type="dxa"/>
            <w:vAlign w:val="center"/>
          </w:tcPr>
          <w:p w14:paraId="7F47A9F6">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评审委员会构成：成员为3人及以上单数，其中评审专家不得少于总人数的2/3；评标专家确定方式：按相关规定从专家库中抽取。</w:t>
            </w:r>
          </w:p>
        </w:tc>
      </w:tr>
      <w:tr w14:paraId="1F6F6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783" w:type="dxa"/>
            <w:vAlign w:val="center"/>
          </w:tcPr>
          <w:p w14:paraId="50FFADD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36</w:t>
            </w:r>
          </w:p>
        </w:tc>
        <w:tc>
          <w:tcPr>
            <w:tcW w:w="2096" w:type="dxa"/>
            <w:vAlign w:val="center"/>
          </w:tcPr>
          <w:p w14:paraId="7BBC2C53">
            <w:pPr>
              <w:spacing w:line="240" w:lineRule="auto"/>
              <w:ind w:firstLine="0" w:firstLineChars="0"/>
              <w:jc w:val="center"/>
              <w:rPr>
                <w:color w:val="auto"/>
                <w:highlight w:val="none"/>
              </w:rPr>
            </w:pPr>
            <w:r>
              <w:rPr>
                <w:rFonts w:hint="eastAsia" w:ascii="宋体" w:hAnsi="宋体" w:cs="宋体"/>
                <w:color w:val="auto"/>
                <w:highlight w:val="none"/>
              </w:rPr>
              <w:t>投标文件的效力</w:t>
            </w:r>
          </w:p>
        </w:tc>
        <w:tc>
          <w:tcPr>
            <w:tcW w:w="7367" w:type="dxa"/>
            <w:vAlign w:val="center"/>
          </w:tcPr>
          <w:p w14:paraId="7CFD6096">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文件的启用顺序：首先是电子加密磋商响应文件，其次是备份磋商响应文件。因网络或者其他非供应商自身问题造成电子加密磋商响应文件无法正常解密，才能启用备份磋商响应文件。备份磋商响应文件一旦启用，则电子加密磋商响应文件失效，不予启用。</w:t>
            </w:r>
          </w:p>
        </w:tc>
      </w:tr>
      <w:tr w14:paraId="1A3D0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783" w:type="dxa"/>
            <w:vAlign w:val="center"/>
          </w:tcPr>
          <w:p w14:paraId="0F899E4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37</w:t>
            </w:r>
          </w:p>
        </w:tc>
        <w:tc>
          <w:tcPr>
            <w:tcW w:w="2096" w:type="dxa"/>
            <w:vAlign w:val="center"/>
          </w:tcPr>
          <w:p w14:paraId="2D8AF53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合同签订</w:t>
            </w:r>
          </w:p>
        </w:tc>
        <w:tc>
          <w:tcPr>
            <w:tcW w:w="7367" w:type="dxa"/>
            <w:vAlign w:val="center"/>
          </w:tcPr>
          <w:p w14:paraId="46ED575B">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成交供应商须在成交通知书发出之日起30日内与采购人签订合同。</w:t>
            </w:r>
          </w:p>
        </w:tc>
      </w:tr>
      <w:tr w14:paraId="2006E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89" w:hRule="atLeast"/>
          <w:jc w:val="center"/>
        </w:trPr>
        <w:tc>
          <w:tcPr>
            <w:tcW w:w="783" w:type="dxa"/>
            <w:vAlign w:val="center"/>
          </w:tcPr>
          <w:p w14:paraId="33971211">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38</w:t>
            </w:r>
          </w:p>
        </w:tc>
        <w:tc>
          <w:tcPr>
            <w:tcW w:w="2096" w:type="dxa"/>
            <w:vAlign w:val="center"/>
          </w:tcPr>
          <w:p w14:paraId="459CDC29">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纸质响应文件提交</w:t>
            </w:r>
          </w:p>
        </w:tc>
        <w:tc>
          <w:tcPr>
            <w:tcW w:w="7367" w:type="dxa"/>
            <w:vAlign w:val="center"/>
          </w:tcPr>
          <w:p w14:paraId="2DB6DD66">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1.提交时间：成交供应商在成交结果公告结束后。</w:t>
            </w:r>
          </w:p>
          <w:p w14:paraId="5B5856FD">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2.邮寄地址：浙江省衢州市龙游县龙洲街道人民南路158号A704室。</w:t>
            </w:r>
          </w:p>
          <w:p w14:paraId="670E05F1">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3.份数：与电子加密磋商响应文件相一致的纸质响应文件3份，作为存档资料。</w:t>
            </w:r>
          </w:p>
        </w:tc>
      </w:tr>
      <w:tr w14:paraId="557B3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4" w:hRule="atLeast"/>
          <w:jc w:val="center"/>
        </w:trPr>
        <w:tc>
          <w:tcPr>
            <w:tcW w:w="783" w:type="dxa"/>
            <w:vAlign w:val="center"/>
          </w:tcPr>
          <w:p w14:paraId="44C5D680">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39</w:t>
            </w:r>
          </w:p>
        </w:tc>
        <w:tc>
          <w:tcPr>
            <w:tcW w:w="2096" w:type="dxa"/>
            <w:vAlign w:val="center"/>
          </w:tcPr>
          <w:p w14:paraId="74C2CFB4">
            <w:pPr>
              <w:spacing w:line="240" w:lineRule="auto"/>
              <w:ind w:firstLine="0" w:firstLineChars="0"/>
              <w:jc w:val="center"/>
              <w:rPr>
                <w:color w:val="auto"/>
                <w:highlight w:val="none"/>
              </w:rPr>
            </w:pPr>
            <w:r>
              <w:rPr>
                <w:rFonts w:hint="eastAsia"/>
                <w:color w:val="auto"/>
                <w:highlight w:val="none"/>
              </w:rPr>
              <w:t>合同履约管理</w:t>
            </w:r>
          </w:p>
        </w:tc>
        <w:tc>
          <w:tcPr>
            <w:tcW w:w="7367" w:type="dxa"/>
            <w:vAlign w:val="center"/>
          </w:tcPr>
          <w:p w14:paraId="70A7191C">
            <w:pPr>
              <w:spacing w:line="240" w:lineRule="auto"/>
              <w:ind w:firstLine="0" w:firstLineChars="0"/>
              <w:rPr>
                <w:color w:val="auto"/>
                <w:highlight w:val="none"/>
              </w:rPr>
            </w:pPr>
            <w:r>
              <w:rPr>
                <w:rFonts w:hint="eastAsia"/>
                <w:color w:val="auto"/>
                <w:highlight w:val="none"/>
              </w:rPr>
              <w:t>合同签订后，采购人依法加强对合同履约进行管理，并在成交供应商供货、项目验收等重要环节，如实填写《合同验收报告》（或考核资料），并及时向同级财政部门报告验收过程中遇到的问题。</w:t>
            </w:r>
          </w:p>
        </w:tc>
      </w:tr>
      <w:tr w14:paraId="75DAA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783" w:type="dxa"/>
            <w:vAlign w:val="center"/>
          </w:tcPr>
          <w:p w14:paraId="72EA1C97">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40</w:t>
            </w:r>
          </w:p>
        </w:tc>
        <w:tc>
          <w:tcPr>
            <w:tcW w:w="2096" w:type="dxa"/>
            <w:vAlign w:val="center"/>
          </w:tcPr>
          <w:p w14:paraId="1A57AF9D">
            <w:pPr>
              <w:spacing w:line="240" w:lineRule="auto"/>
              <w:ind w:firstLine="0" w:firstLineChars="0"/>
              <w:jc w:val="center"/>
              <w:rPr>
                <w:color w:val="auto"/>
                <w:highlight w:val="none"/>
              </w:rPr>
            </w:pPr>
            <w:r>
              <w:rPr>
                <w:rFonts w:hint="eastAsia"/>
                <w:color w:val="auto"/>
                <w:highlight w:val="none"/>
              </w:rPr>
              <w:t>免责声明</w:t>
            </w:r>
          </w:p>
        </w:tc>
        <w:tc>
          <w:tcPr>
            <w:tcW w:w="7367" w:type="dxa"/>
            <w:vAlign w:val="center"/>
          </w:tcPr>
          <w:p w14:paraId="30F8DD1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1.供应商自行承担磋商响应过程中产生的费用。无论何种因素导致采购项目延期开标、废标（流标）、供应商未成交、项目终止采购的，采购人与代理机构均不承担供应商磋商响应费用。</w:t>
            </w:r>
          </w:p>
          <w:p w14:paraId="5646D15C">
            <w:pPr>
              <w:spacing w:line="240" w:lineRule="auto"/>
              <w:ind w:firstLine="0" w:firstLineChars="0"/>
              <w:rPr>
                <w:color w:val="auto"/>
                <w:highlight w:val="none"/>
              </w:rPr>
            </w:pPr>
            <w:r>
              <w:rPr>
                <w:rFonts w:hint="eastAsia" w:ascii="宋体" w:hAnsi="宋体" w:cs="宋体"/>
                <w:color w:val="auto"/>
                <w:highlight w:val="none"/>
              </w:rPr>
              <w:t>2.供应商在投标、合同履行过程中必须做好安全保障工作，不因项目实施而</w:t>
            </w:r>
            <w:r>
              <w:rPr>
                <w:rFonts w:hint="eastAsia"/>
                <w:color w:val="auto"/>
                <w:highlight w:val="none"/>
              </w:rPr>
              <w:t>危及自身及第三方人员、财产安全。若发生任何安全事故，由成交供应商自行承担一切责任并赔偿损失。</w:t>
            </w:r>
          </w:p>
        </w:tc>
      </w:tr>
      <w:tr w14:paraId="4504A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783" w:type="dxa"/>
            <w:vAlign w:val="center"/>
          </w:tcPr>
          <w:p w14:paraId="6091C155">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41</w:t>
            </w:r>
          </w:p>
        </w:tc>
        <w:tc>
          <w:tcPr>
            <w:tcW w:w="2096" w:type="dxa"/>
            <w:vAlign w:val="center"/>
          </w:tcPr>
          <w:p w14:paraId="52B2C866">
            <w:pPr>
              <w:spacing w:line="240" w:lineRule="auto"/>
              <w:ind w:firstLine="0" w:firstLineChars="0"/>
              <w:jc w:val="center"/>
              <w:rPr>
                <w:color w:val="auto"/>
                <w:highlight w:val="none"/>
              </w:rPr>
            </w:pPr>
            <w:r>
              <w:rPr>
                <w:rFonts w:hint="eastAsia"/>
                <w:color w:val="auto"/>
                <w:highlight w:val="none"/>
              </w:rPr>
              <w:t>解释权</w:t>
            </w:r>
          </w:p>
        </w:tc>
        <w:tc>
          <w:tcPr>
            <w:tcW w:w="7367" w:type="dxa"/>
            <w:vAlign w:val="center"/>
          </w:tcPr>
          <w:p w14:paraId="2FBEC7D3">
            <w:pPr>
              <w:spacing w:line="240" w:lineRule="auto"/>
              <w:ind w:firstLine="0" w:firstLineChars="0"/>
              <w:rPr>
                <w:color w:val="auto"/>
                <w:highlight w:val="none"/>
              </w:rPr>
            </w:pPr>
            <w:r>
              <w:rPr>
                <w:rFonts w:hint="eastAsia"/>
                <w:color w:val="auto"/>
                <w:highlight w:val="none"/>
              </w:rPr>
              <w:t>构成本磋商文件的各个组成文件应互为解释，互为说明；如有不明确或不一致，构成合同文件组成内容的，以合同文件约定内容为准，且以专用合同条款约定的合同文件优先顺序解释；仅适用于磋商响应阶段的约定，按磋商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2433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783" w:type="dxa"/>
            <w:vAlign w:val="center"/>
          </w:tcPr>
          <w:p w14:paraId="5F00F628">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42</w:t>
            </w:r>
          </w:p>
        </w:tc>
        <w:tc>
          <w:tcPr>
            <w:tcW w:w="2096" w:type="dxa"/>
            <w:vAlign w:val="center"/>
          </w:tcPr>
          <w:p w14:paraId="42F041C2">
            <w:pPr>
              <w:spacing w:line="240" w:lineRule="auto"/>
              <w:ind w:firstLine="0" w:firstLineChars="0"/>
              <w:jc w:val="center"/>
              <w:rPr>
                <w:color w:val="auto"/>
                <w:highlight w:val="none"/>
              </w:rPr>
            </w:pPr>
            <w:r>
              <w:rPr>
                <w:rFonts w:hint="eastAsia"/>
                <w:color w:val="auto"/>
                <w:highlight w:val="none"/>
              </w:rPr>
              <w:t>政采贷政策</w:t>
            </w:r>
          </w:p>
        </w:tc>
        <w:tc>
          <w:tcPr>
            <w:tcW w:w="7367" w:type="dxa"/>
            <w:vAlign w:val="center"/>
          </w:tcPr>
          <w:p w14:paraId="16179887">
            <w:pPr>
              <w:spacing w:line="240" w:lineRule="auto"/>
              <w:ind w:firstLine="0" w:firstLineChars="0"/>
              <w:rPr>
                <w:color w:val="auto"/>
                <w:highlight w:val="none"/>
              </w:rPr>
            </w:pPr>
            <w:r>
              <w:rPr>
                <w:rFonts w:hint="eastAsia"/>
                <w:color w:val="auto"/>
                <w:highlight w:val="none"/>
              </w:rPr>
              <w:t>为支持和促进中小企业发展，有需要的成交供应商可根据需要申请办理政府采购合同贷款（以下简称“政采贷”），具体要求、条件和操作教程可通过政采云首页右上角—网站导航—金融服务查看，也可拨打</w:t>
            </w:r>
            <w:r>
              <w:rPr>
                <w:rFonts w:hint="eastAsia" w:ascii="宋体" w:hAnsi="宋体" w:cs="宋体"/>
                <w:color w:val="auto"/>
                <w:highlight w:val="none"/>
              </w:rPr>
              <w:t>政采云客服热线95763咨询，或向各地已开通政采贷的银行咨询办理。</w:t>
            </w:r>
          </w:p>
        </w:tc>
      </w:tr>
    </w:tbl>
    <w:p w14:paraId="08F52248">
      <w:pPr>
        <w:pStyle w:val="4"/>
        <w:spacing w:beforeLines="0" w:afterLines="0" w:line="312" w:lineRule="auto"/>
        <w:rPr>
          <w:rFonts w:hint="eastAsia" w:ascii="宋体" w:hAnsi="宋体" w:cs="宋体"/>
          <w:color w:val="auto"/>
          <w:sz w:val="32"/>
          <w:highlight w:val="none"/>
        </w:rPr>
      </w:pPr>
      <w:bookmarkStart w:id="299" w:name="_Toc4395"/>
      <w:bookmarkStart w:id="300" w:name="_Toc24590"/>
      <w:bookmarkStart w:id="301" w:name="_Toc291"/>
      <w:bookmarkStart w:id="302" w:name="_Toc1945"/>
      <w:bookmarkStart w:id="303" w:name="_Toc12686"/>
      <w:bookmarkStart w:id="304" w:name="_Toc32472"/>
      <w:bookmarkStart w:id="305" w:name="_Toc13054"/>
      <w:bookmarkStart w:id="306" w:name="_Toc30902"/>
      <w:bookmarkStart w:id="307" w:name="_Toc20180"/>
      <w:bookmarkStart w:id="308" w:name="_Toc11503"/>
      <w:bookmarkStart w:id="309" w:name="_Toc6080"/>
      <w:bookmarkStart w:id="310" w:name="_Toc19873"/>
      <w:bookmarkStart w:id="311" w:name="_Toc3451"/>
      <w:bookmarkStart w:id="312" w:name="_Toc12122"/>
      <w:bookmarkStart w:id="313" w:name="_Toc13411"/>
      <w:bookmarkStart w:id="314" w:name="_Toc739"/>
      <w:bookmarkStart w:id="315" w:name="_Toc9260"/>
      <w:bookmarkStart w:id="316" w:name="_Toc23540"/>
      <w:bookmarkStart w:id="317" w:name="_Toc5337"/>
      <w:bookmarkStart w:id="318" w:name="_Toc23316"/>
      <w:bookmarkStart w:id="319" w:name="_Toc17580"/>
      <w:bookmarkStart w:id="320" w:name="_Toc2310"/>
      <w:bookmarkStart w:id="321" w:name="_Toc18350"/>
      <w:bookmarkStart w:id="322" w:name="_Toc13881"/>
      <w:bookmarkStart w:id="323" w:name="_Toc2482"/>
      <w:bookmarkStart w:id="324" w:name="_Toc4757"/>
      <w:bookmarkStart w:id="325" w:name="_Toc27470"/>
      <w:bookmarkStart w:id="326" w:name="_Toc28529"/>
      <w:bookmarkStart w:id="327" w:name="_Toc27161"/>
      <w:bookmarkStart w:id="328" w:name="_Toc15522"/>
      <w:r>
        <w:rPr>
          <w:rStyle w:val="55"/>
          <w:rFonts w:hint="eastAsia" w:ascii="宋体" w:hAnsi="宋体" w:cs="宋体"/>
          <w:b/>
          <w:bCs/>
          <w:color w:val="auto"/>
          <w:highlight w:val="none"/>
        </w:rPr>
        <w:t>一、说明</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3F30CB58">
      <w:pPr>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1.编制依据</w:t>
      </w:r>
    </w:p>
    <w:p w14:paraId="4DF5C8BB">
      <w:pPr>
        <w:pStyle w:val="33"/>
        <w:widowControl w:val="0"/>
        <w:adjustRightInd w:val="0"/>
        <w:snapToGrid w:val="0"/>
        <w:spacing w:line="312" w:lineRule="auto"/>
        <w:ind w:firstLine="480"/>
        <w:jc w:val="both"/>
        <w:rPr>
          <w:rFonts w:hint="eastAsia" w:ascii="宋体" w:hAnsi="宋体" w:cs="宋体"/>
          <w:color w:val="auto"/>
          <w:highlight w:val="none"/>
        </w:rPr>
      </w:pPr>
      <w:r>
        <w:rPr>
          <w:rFonts w:hint="eastAsia" w:ascii="宋体" w:hAnsi="宋体" w:cs="宋体"/>
          <w:color w:val="auto"/>
          <w:highlight w:val="none"/>
        </w:rPr>
        <w:t>根据《中华人民共和国政府采购法》《中华人民共和国政府采购法实施条例》《政府采购货物和服务招标投标管理办法》（财政部令第87号令）等有关政府采购管理有关规定，编制本磋商文件。</w:t>
      </w:r>
    </w:p>
    <w:p w14:paraId="69229F00">
      <w:pPr>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2.定义</w:t>
      </w:r>
    </w:p>
    <w:p w14:paraId="703AA082">
      <w:pPr>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rPr>
        <w:t>2.1“</w:t>
      </w:r>
      <w:r>
        <w:rPr>
          <w:rFonts w:hint="eastAsia" w:ascii="宋体" w:hAnsi="宋体" w:cs="宋体"/>
          <w:color w:val="auto"/>
          <w:highlight w:val="none"/>
          <w:lang w:val="zh-CN"/>
        </w:rPr>
        <w:t>采购人”系指“龙游县林业水利局”。</w:t>
      </w:r>
    </w:p>
    <w:p w14:paraId="142C8F71">
      <w:pPr>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2.2“</w:t>
      </w:r>
      <w:r>
        <w:rPr>
          <w:rFonts w:hint="eastAsia" w:ascii="宋体" w:hAnsi="宋体" w:cs="宋体"/>
          <w:color w:val="auto"/>
          <w:highlight w:val="none"/>
          <w:lang w:val="zh-CN"/>
        </w:rPr>
        <w:t>供应商</w:t>
      </w:r>
      <w:r>
        <w:rPr>
          <w:rFonts w:hint="eastAsia" w:ascii="宋体" w:hAnsi="宋体" w:cs="宋体"/>
          <w:color w:val="auto"/>
          <w:highlight w:val="none"/>
        </w:rPr>
        <w:t>”系指向</w:t>
      </w:r>
      <w:r>
        <w:rPr>
          <w:rFonts w:hint="eastAsia" w:ascii="宋体" w:hAnsi="宋体" w:cs="宋体"/>
          <w:color w:val="auto"/>
          <w:highlight w:val="none"/>
          <w:lang w:val="zh-CN"/>
        </w:rPr>
        <w:t>采购人</w:t>
      </w:r>
      <w:r>
        <w:rPr>
          <w:rFonts w:hint="eastAsia" w:ascii="宋体" w:hAnsi="宋体" w:cs="宋体"/>
          <w:color w:val="auto"/>
          <w:highlight w:val="none"/>
        </w:rPr>
        <w:t>提交</w:t>
      </w:r>
      <w:r>
        <w:rPr>
          <w:rFonts w:hint="eastAsia" w:ascii="宋体" w:hAnsi="宋体" w:cs="宋体"/>
          <w:color w:val="auto"/>
          <w:highlight w:val="none"/>
          <w:lang w:val="zh-CN"/>
        </w:rPr>
        <w:t>磋商响应</w:t>
      </w:r>
      <w:r>
        <w:rPr>
          <w:rFonts w:hint="eastAsia" w:ascii="宋体" w:hAnsi="宋体" w:cs="宋体"/>
          <w:color w:val="auto"/>
          <w:highlight w:val="none"/>
        </w:rPr>
        <w:t>文件的供应商。</w:t>
      </w:r>
    </w:p>
    <w:p w14:paraId="0C87B167">
      <w:pPr>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2.3</w:t>
      </w:r>
      <w:r>
        <w:rPr>
          <w:rFonts w:hint="eastAsia" w:ascii="宋体" w:hAnsi="宋体" w:cs="宋体"/>
          <w:color w:val="auto"/>
          <w:highlight w:val="none"/>
          <w:lang w:val="zh-CN"/>
        </w:rPr>
        <w:t>“磋商组织人”系指“</w:t>
      </w:r>
      <w:r>
        <w:rPr>
          <w:rFonts w:hint="eastAsia" w:ascii="宋体" w:hAnsi="宋体" w:cs="宋体"/>
          <w:color w:val="auto"/>
          <w:highlight w:val="none"/>
        </w:rPr>
        <w:t>浙江信达工程咨询有限公司</w:t>
      </w:r>
      <w:r>
        <w:rPr>
          <w:rFonts w:hint="eastAsia" w:ascii="宋体" w:hAnsi="宋体" w:cs="宋体"/>
          <w:color w:val="auto"/>
          <w:highlight w:val="none"/>
          <w:lang w:val="zh-CN"/>
        </w:rPr>
        <w:t>”。</w:t>
      </w:r>
    </w:p>
    <w:p w14:paraId="4CAD7D9B">
      <w:pPr>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2.4</w:t>
      </w:r>
      <w:r>
        <w:rPr>
          <w:rFonts w:hint="eastAsia" w:ascii="宋体" w:hAnsi="宋体" w:cs="宋体"/>
          <w:color w:val="auto"/>
          <w:highlight w:val="none"/>
          <w:lang w:val="zh-CN"/>
        </w:rPr>
        <w:t>“货物”系指按本磋商文件中采购人所要求的</w:t>
      </w:r>
      <w:r>
        <w:rPr>
          <w:rFonts w:hint="eastAsia" w:ascii="宋体" w:hAnsi="宋体" w:cs="宋体"/>
          <w:color w:val="auto"/>
          <w:highlight w:val="none"/>
        </w:rPr>
        <w:t>设备</w:t>
      </w:r>
      <w:r>
        <w:rPr>
          <w:rFonts w:hint="eastAsia" w:ascii="宋体" w:hAnsi="宋体" w:cs="宋体"/>
          <w:color w:val="auto"/>
          <w:highlight w:val="none"/>
          <w:lang w:val="zh-CN"/>
        </w:rPr>
        <w:t>。</w:t>
      </w:r>
    </w:p>
    <w:p w14:paraId="36B87E33">
      <w:pPr>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2.5“服务”系指供应商按磋商文件规定为采购人提供货物的相关服务。</w:t>
      </w:r>
    </w:p>
    <w:p w14:paraId="5ECE2AAA">
      <w:pPr>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2.6“产品”系指供应商按磋商文件规定，须向采购人（使用单位或买方）提供一切设备、机械、仪器仪表、备品备件、工具、手册及其他有关技术资料和材料。</w:t>
      </w:r>
    </w:p>
    <w:p w14:paraId="2647A82E">
      <w:pPr>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2.7“▲”系指按照本磋商文件要求供应商必须实质性响应的条款，有任何一项缺失或非实质性响应即刻取消其磋商资格。供应商自行承担其参加磋商所涉及的一切费用。</w:t>
      </w:r>
    </w:p>
    <w:p w14:paraId="260BC02F">
      <w:pPr>
        <w:snapToGrid w:val="0"/>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3.合格的供应商：详见第一章 磋商公告二、申请人的资格要求。</w:t>
      </w:r>
    </w:p>
    <w:p w14:paraId="2BD88BE4">
      <w:pPr>
        <w:spacing w:line="312" w:lineRule="auto"/>
        <w:ind w:firstLine="480"/>
        <w:rPr>
          <w:rFonts w:hint="eastAsia" w:ascii="宋体" w:hAnsi="宋体" w:cs="宋体"/>
          <w:color w:val="auto"/>
          <w:highlight w:val="none"/>
        </w:rPr>
      </w:pPr>
      <w:r>
        <w:rPr>
          <w:rFonts w:hint="eastAsia" w:ascii="宋体" w:hAnsi="宋体" w:cs="宋体"/>
          <w:color w:val="auto"/>
          <w:highlight w:val="none"/>
        </w:rPr>
        <w:t>4.响应费用</w:t>
      </w:r>
    </w:p>
    <w:p w14:paraId="2D7B61E0">
      <w:pPr>
        <w:spacing w:line="312" w:lineRule="auto"/>
        <w:ind w:firstLine="480"/>
        <w:rPr>
          <w:rFonts w:hint="eastAsia" w:ascii="宋体" w:hAnsi="宋体" w:cs="宋体"/>
          <w:color w:val="auto"/>
          <w:highlight w:val="none"/>
        </w:rPr>
      </w:pPr>
      <w:r>
        <w:rPr>
          <w:rFonts w:hint="eastAsia" w:ascii="宋体" w:hAnsi="宋体" w:cs="宋体"/>
          <w:color w:val="auto"/>
          <w:highlight w:val="none"/>
        </w:rPr>
        <w:t>4.1供应商自行承担其参加磋商所涉及的一切费用。</w:t>
      </w:r>
    </w:p>
    <w:p w14:paraId="7166A31E">
      <w:pPr>
        <w:spacing w:line="312" w:lineRule="auto"/>
        <w:ind w:firstLine="480"/>
        <w:rPr>
          <w:rFonts w:hint="eastAsia" w:ascii="宋体" w:hAnsi="宋体" w:cs="宋体"/>
          <w:color w:val="auto"/>
          <w:highlight w:val="none"/>
        </w:rPr>
      </w:pPr>
      <w:bookmarkStart w:id="329" w:name="_Toc17350"/>
      <w:bookmarkStart w:id="330" w:name="_Toc19830"/>
      <w:bookmarkStart w:id="331" w:name="_Toc7125"/>
      <w:bookmarkStart w:id="332" w:name="_Toc19378"/>
      <w:bookmarkStart w:id="333" w:name="_Toc17188"/>
      <w:bookmarkStart w:id="334" w:name="_Toc8086"/>
      <w:bookmarkStart w:id="335" w:name="_Toc14263"/>
      <w:bookmarkStart w:id="336" w:name="_Toc9348"/>
      <w:bookmarkStart w:id="337" w:name="_Toc9334"/>
      <w:bookmarkStart w:id="338" w:name="_Toc23326"/>
      <w:bookmarkStart w:id="339" w:name="_Toc23325"/>
      <w:bookmarkStart w:id="340" w:name="_Toc17275"/>
      <w:bookmarkStart w:id="341" w:name="_Toc29806"/>
      <w:bookmarkStart w:id="342" w:name="_Toc391298956"/>
      <w:bookmarkStart w:id="343" w:name="_Toc22127"/>
      <w:bookmarkStart w:id="344" w:name="_Toc1767"/>
      <w:bookmarkStart w:id="345" w:name="_Toc16017"/>
      <w:bookmarkStart w:id="346" w:name="_Toc19671"/>
      <w:bookmarkStart w:id="347" w:name="_Toc4162"/>
      <w:bookmarkStart w:id="348" w:name="_Toc6566"/>
      <w:bookmarkStart w:id="349" w:name="_Toc26493"/>
      <w:bookmarkStart w:id="350" w:name="_Toc32145"/>
      <w:bookmarkStart w:id="351" w:name="_Toc13953"/>
      <w:bookmarkStart w:id="352" w:name="_Toc11923"/>
      <w:bookmarkStart w:id="353" w:name="_Toc29008"/>
      <w:bookmarkStart w:id="354" w:name="_Toc13038"/>
      <w:bookmarkStart w:id="355" w:name="_Toc13452"/>
      <w:bookmarkStart w:id="356" w:name="_Toc1924"/>
      <w:bookmarkStart w:id="357" w:name="_Toc863"/>
      <w:bookmarkStart w:id="358" w:name="_Toc9386"/>
      <w:bookmarkStart w:id="359" w:name="_Toc14662"/>
      <w:bookmarkStart w:id="360" w:name="_Toc13198"/>
      <w:bookmarkStart w:id="361" w:name="_Toc29952"/>
      <w:bookmarkStart w:id="362" w:name="_Toc24650"/>
      <w:bookmarkStart w:id="363" w:name="_Toc27482"/>
      <w:bookmarkStart w:id="364" w:name="_Toc8767"/>
      <w:bookmarkStart w:id="365" w:name="_Toc26608"/>
      <w:bookmarkStart w:id="366" w:name="_Toc31841"/>
      <w:bookmarkStart w:id="367" w:name="_Toc25835"/>
      <w:bookmarkStart w:id="368" w:name="_Toc15844"/>
      <w:bookmarkStart w:id="369" w:name="_Toc30423"/>
      <w:bookmarkStart w:id="370" w:name="_Toc15167"/>
      <w:bookmarkStart w:id="371" w:name="_Toc21337"/>
      <w:bookmarkStart w:id="372" w:name="_Toc11606"/>
      <w:bookmarkStart w:id="373" w:name="_Toc11088"/>
      <w:bookmarkStart w:id="374" w:name="_Toc29130"/>
      <w:bookmarkStart w:id="375" w:name="_Toc28065"/>
      <w:bookmarkStart w:id="376" w:name="_Toc12938"/>
      <w:bookmarkStart w:id="377" w:name="_Toc30012"/>
      <w:bookmarkStart w:id="378" w:name="_Toc15453"/>
      <w:bookmarkStart w:id="379" w:name="_Toc8860"/>
      <w:bookmarkStart w:id="380" w:name="_Toc31316"/>
      <w:bookmarkStart w:id="381" w:name="_Toc32571"/>
      <w:bookmarkStart w:id="382" w:name="_Toc10657"/>
      <w:bookmarkStart w:id="383" w:name="_Toc18702"/>
      <w:bookmarkStart w:id="384" w:name="_Toc24497"/>
      <w:bookmarkStart w:id="385" w:name="_Toc391298957"/>
      <w:bookmarkStart w:id="386" w:name="_Toc13017"/>
      <w:bookmarkStart w:id="387" w:name="_Toc26178"/>
      <w:bookmarkStart w:id="388" w:name="_Toc27763"/>
      <w:bookmarkStart w:id="389" w:name="_Toc29616"/>
      <w:bookmarkStart w:id="390" w:name="_Toc17880"/>
      <w:bookmarkStart w:id="391" w:name="_Toc1828"/>
      <w:bookmarkStart w:id="392" w:name="_Toc6563"/>
      <w:bookmarkStart w:id="393" w:name="_Toc6273"/>
      <w:bookmarkStart w:id="394" w:name="_Toc31238"/>
      <w:bookmarkStart w:id="395" w:name="_Toc24622"/>
      <w:bookmarkStart w:id="396" w:name="_Toc7782"/>
      <w:bookmarkStart w:id="397" w:name="_Toc2226"/>
      <w:bookmarkStart w:id="398" w:name="_Toc30162"/>
      <w:bookmarkStart w:id="399" w:name="_Toc26603"/>
      <w:bookmarkStart w:id="400" w:name="_Toc21191"/>
      <w:bookmarkStart w:id="401" w:name="_Toc31968"/>
      <w:bookmarkStart w:id="402" w:name="_Toc8183"/>
      <w:r>
        <w:rPr>
          <w:rFonts w:hint="eastAsia" w:ascii="宋体" w:hAnsi="宋体" w:cs="宋体"/>
          <w:color w:val="auto"/>
          <w:highlight w:val="none"/>
        </w:rPr>
        <w:t>5.落实政府采购政府需满足的要求</w:t>
      </w:r>
    </w:p>
    <w:p w14:paraId="098CA073">
      <w:pPr>
        <w:spacing w:line="312" w:lineRule="auto"/>
        <w:ind w:firstLine="480"/>
        <w:rPr>
          <w:rFonts w:hint="eastAsia" w:ascii="宋体" w:hAnsi="宋体" w:cs="宋体"/>
          <w:color w:val="auto"/>
          <w:highlight w:val="none"/>
        </w:rPr>
      </w:pPr>
      <w:r>
        <w:rPr>
          <w:rFonts w:hint="eastAsia" w:ascii="宋体" w:hAnsi="宋体" w:cs="宋体"/>
          <w:color w:val="auto"/>
          <w:highlight w:val="none"/>
        </w:rPr>
        <w:t>5.1小微企业</w:t>
      </w:r>
    </w:p>
    <w:p w14:paraId="72F41AA4">
      <w:pPr>
        <w:pStyle w:val="33"/>
        <w:spacing w:line="312" w:lineRule="auto"/>
        <w:ind w:firstLine="480"/>
        <w:rPr>
          <w:rFonts w:hint="eastAsia" w:ascii="宋体" w:hAnsi="宋体" w:cs="宋体"/>
          <w:color w:val="auto"/>
          <w:highlight w:val="none"/>
        </w:rPr>
      </w:pPr>
      <w:r>
        <w:rPr>
          <w:rFonts w:hint="eastAsia" w:ascii="宋体" w:hAnsi="宋体" w:cs="宋体"/>
          <w:color w:val="auto"/>
          <w:highlight w:val="none"/>
        </w:rPr>
        <w:t>5.1.1可享受中小企业扶持政策的条件</w:t>
      </w:r>
    </w:p>
    <w:p w14:paraId="19AEEEA1">
      <w:pPr>
        <w:spacing w:line="312" w:lineRule="auto"/>
        <w:ind w:firstLine="480"/>
        <w:rPr>
          <w:rFonts w:hint="eastAsia" w:ascii="宋体" w:hAnsi="宋体" w:cs="宋体"/>
          <w:color w:val="auto"/>
          <w:highlight w:val="none"/>
        </w:rPr>
      </w:pPr>
      <w:r>
        <w:rPr>
          <w:rFonts w:hint="eastAsia" w:ascii="宋体" w:hAnsi="宋体" w:cs="宋体"/>
          <w:color w:val="auto"/>
          <w:highlight w:val="none"/>
        </w:rPr>
        <w:t>依照财政部工业和信息化部《政府采购促进中小企业发展管理办法》（财库(2020）46号)规定，中型、小型和微型企业参加政府采购活动的须提供《中小企业声明函》（格式见附件14），否则不得享受相关中小企业扶持政策。</w:t>
      </w:r>
    </w:p>
    <w:p w14:paraId="67056370">
      <w:pPr>
        <w:spacing w:line="312" w:lineRule="auto"/>
        <w:ind w:firstLine="480"/>
        <w:rPr>
          <w:rFonts w:hint="eastAsia" w:ascii="宋体" w:hAnsi="宋体" w:cs="宋体"/>
          <w:color w:val="auto"/>
          <w:highlight w:val="none"/>
        </w:rPr>
      </w:pPr>
      <w:r>
        <w:rPr>
          <w:rFonts w:hint="eastAsia" w:ascii="宋体" w:hAnsi="宋体" w:cs="宋体"/>
          <w:color w:val="auto"/>
          <w:highlight w:val="none"/>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14:paraId="54C4AE6E">
      <w:pPr>
        <w:spacing w:line="312" w:lineRule="auto"/>
        <w:ind w:firstLine="480"/>
        <w:rPr>
          <w:rFonts w:hint="eastAsia" w:ascii="宋体" w:hAnsi="宋体" w:cs="宋体"/>
          <w:color w:val="auto"/>
          <w:highlight w:val="none"/>
        </w:rPr>
      </w:pPr>
      <w:r>
        <w:rPr>
          <w:rFonts w:hint="eastAsia" w:ascii="宋体" w:hAnsi="宋体" w:cs="宋体"/>
          <w:color w:val="auto"/>
          <w:highlight w:val="none"/>
        </w:rPr>
        <w:t>(2)在工程采购项目中，工程应当由中小企业承建，不对其中涉及的货物的制造商和服务的承接商作出要求。</w:t>
      </w:r>
    </w:p>
    <w:p w14:paraId="18649DA3">
      <w:pPr>
        <w:spacing w:line="312" w:lineRule="auto"/>
        <w:ind w:firstLine="480"/>
        <w:rPr>
          <w:rFonts w:hint="eastAsia" w:ascii="宋体" w:hAnsi="宋体" w:cs="宋体"/>
          <w:color w:val="auto"/>
          <w:highlight w:val="none"/>
        </w:rPr>
      </w:pPr>
      <w:r>
        <w:rPr>
          <w:rFonts w:hint="eastAsia" w:ascii="宋体" w:hAnsi="宋体" w:cs="宋体"/>
          <w:color w:val="auto"/>
          <w:highlight w:val="none"/>
        </w:rPr>
        <w:t>(3)在服务采购项目中，服务的承接商应当为中小企业，不对其中涉及的货物的制造商作出要求。</w:t>
      </w:r>
    </w:p>
    <w:p w14:paraId="67002A5D">
      <w:pPr>
        <w:spacing w:line="312" w:lineRule="auto"/>
        <w:ind w:firstLine="480"/>
        <w:rPr>
          <w:rFonts w:hint="eastAsia" w:ascii="宋体" w:hAnsi="宋体" w:cs="宋体"/>
          <w:color w:val="auto"/>
          <w:highlight w:val="none"/>
        </w:rPr>
      </w:pPr>
      <w:r>
        <w:rPr>
          <w:rFonts w:hint="eastAsia" w:ascii="宋体" w:hAnsi="宋体" w:cs="宋体"/>
          <w:color w:val="auto"/>
          <w:highlight w:val="none"/>
        </w:rPr>
        <w:t>5.1.2中小企业划型标准</w:t>
      </w:r>
    </w:p>
    <w:p w14:paraId="0C661BD0">
      <w:pPr>
        <w:spacing w:line="312" w:lineRule="auto"/>
        <w:ind w:firstLine="480"/>
        <w:rPr>
          <w:rFonts w:hint="eastAsia" w:ascii="宋体" w:hAnsi="宋体" w:cs="宋体"/>
          <w:color w:val="auto"/>
          <w:highlight w:val="none"/>
        </w:rPr>
      </w:pPr>
      <w:r>
        <w:rPr>
          <w:rFonts w:hint="eastAsia" w:ascii="宋体" w:hAnsi="宋体" w:cs="宋体"/>
          <w:color w:val="auto"/>
          <w:highlight w:val="none"/>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4445AEDD">
      <w:pPr>
        <w:spacing w:line="312" w:lineRule="auto"/>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405225E2">
      <w:pPr>
        <w:spacing w:line="312" w:lineRule="auto"/>
        <w:ind w:firstLine="480"/>
        <w:rPr>
          <w:rFonts w:hint="eastAsia" w:ascii="宋体" w:hAnsi="宋体" w:cs="宋体"/>
          <w:color w:val="auto"/>
          <w:highlight w:val="none"/>
        </w:rPr>
      </w:pPr>
      <w:r>
        <w:rPr>
          <w:rFonts w:hint="eastAsia" w:ascii="宋体" w:hAnsi="宋体" w:cs="宋体"/>
          <w:color w:val="auto"/>
          <w:highlight w:val="none"/>
        </w:rPr>
        <w:t>5.1.3中小企业行业划分标准和对应所属行业</w:t>
      </w:r>
    </w:p>
    <w:p w14:paraId="2A842186">
      <w:pPr>
        <w:spacing w:line="312" w:lineRule="auto"/>
        <w:ind w:firstLine="480"/>
        <w:rPr>
          <w:rFonts w:hint="eastAsia" w:ascii="宋体" w:hAnsi="宋体" w:cs="宋体"/>
          <w:color w:val="auto"/>
          <w:highlight w:val="none"/>
        </w:rPr>
      </w:pPr>
      <w:r>
        <w:rPr>
          <w:rFonts w:hint="eastAsia" w:ascii="宋体" w:hAnsi="宋体" w:cs="宋体"/>
          <w:color w:val="auto"/>
          <w:highlight w:val="none"/>
        </w:rPr>
        <w:t>详见供应商须知前附表。</w:t>
      </w:r>
    </w:p>
    <w:p w14:paraId="2A06E407">
      <w:pPr>
        <w:spacing w:line="312" w:lineRule="auto"/>
        <w:ind w:firstLine="480"/>
        <w:rPr>
          <w:rFonts w:hint="eastAsia" w:ascii="宋体" w:hAnsi="宋体" w:cs="宋体"/>
          <w:color w:val="auto"/>
          <w:highlight w:val="none"/>
        </w:rPr>
      </w:pPr>
      <w:r>
        <w:rPr>
          <w:rFonts w:hint="eastAsia" w:ascii="宋体" w:hAnsi="宋体" w:cs="宋体"/>
          <w:color w:val="auto"/>
          <w:highlight w:val="none"/>
        </w:rPr>
        <w:t>5.1.4不可享受中小企业扶持政策的情形</w:t>
      </w:r>
    </w:p>
    <w:p w14:paraId="6566ABEB">
      <w:pPr>
        <w:spacing w:line="312" w:lineRule="auto"/>
        <w:ind w:firstLine="480"/>
        <w:rPr>
          <w:rFonts w:hint="eastAsia" w:ascii="宋体" w:hAnsi="宋体" w:cs="宋体"/>
          <w:color w:val="auto"/>
          <w:highlight w:val="none"/>
        </w:rPr>
      </w:pPr>
      <w:r>
        <w:rPr>
          <w:rFonts w:hint="eastAsia" w:ascii="宋体" w:hAnsi="宋体" w:cs="宋体"/>
          <w:color w:val="auto"/>
          <w:highlight w:val="none"/>
        </w:rPr>
        <w:t>1)监狱企业、残疾人福利性单位属于小型微型企业的，不重复享受小微企业优惠政策。</w:t>
      </w:r>
    </w:p>
    <w:p w14:paraId="2EDE4C3C">
      <w:pPr>
        <w:spacing w:line="312" w:lineRule="auto"/>
        <w:ind w:firstLine="480"/>
        <w:rPr>
          <w:rFonts w:hint="eastAsia" w:ascii="宋体" w:hAnsi="宋体" w:cs="宋体"/>
          <w:color w:val="auto"/>
          <w:highlight w:val="none"/>
        </w:rPr>
      </w:pPr>
      <w:r>
        <w:rPr>
          <w:rFonts w:hint="eastAsia" w:ascii="宋体" w:hAnsi="宋体" w:cs="宋体"/>
          <w:color w:val="auto"/>
          <w:highlight w:val="none"/>
        </w:rPr>
        <w:t>2)事业单位和社会组织不属于企业。参加货物采购项目，其提供的货物属于中小企业制造的，可以享受该办法规定的中小企业扶持政策。参加工程、服务采购项目不享受小微企业扶持政策。</w:t>
      </w:r>
    </w:p>
    <w:p w14:paraId="211F68EC">
      <w:pPr>
        <w:spacing w:line="312" w:lineRule="auto"/>
        <w:ind w:firstLine="480"/>
        <w:rPr>
          <w:rFonts w:hint="eastAsia" w:ascii="宋体" w:hAnsi="宋体" w:cs="宋体"/>
          <w:color w:val="auto"/>
          <w:highlight w:val="none"/>
        </w:rPr>
      </w:pPr>
      <w:r>
        <w:rPr>
          <w:rFonts w:hint="eastAsia" w:ascii="宋体" w:hAnsi="宋体" w:cs="宋体"/>
          <w:color w:val="auto"/>
          <w:highlight w:val="none"/>
        </w:rPr>
        <w:t>5.2监狱企业</w:t>
      </w:r>
    </w:p>
    <w:p w14:paraId="4D08F861">
      <w:pPr>
        <w:spacing w:line="312" w:lineRule="auto"/>
        <w:ind w:firstLine="480"/>
        <w:rPr>
          <w:rFonts w:hint="eastAsia" w:ascii="宋体" w:hAnsi="宋体" w:cs="宋体"/>
          <w:color w:val="auto"/>
          <w:highlight w:val="none"/>
        </w:rPr>
      </w:pPr>
      <w:bookmarkStart w:id="403" w:name="_Toc31884"/>
      <w:bookmarkStart w:id="404" w:name="_Toc16766"/>
      <w:bookmarkStart w:id="405" w:name="_Toc32444"/>
      <w:bookmarkStart w:id="406" w:name="_Toc29052"/>
      <w:bookmarkStart w:id="407" w:name="_Toc6174"/>
      <w:r>
        <w:rPr>
          <w:rFonts w:hint="eastAsia" w:ascii="宋体" w:hAnsi="宋体" w:cs="宋体"/>
          <w:color w:val="auto"/>
          <w:highlight w:val="none"/>
        </w:rPr>
        <w:t>（1）根据财政部、司法部《关于政府采购支持监狱企业发展有关问题的通知》(财库〔2014〕68号)文件精神，监狱企业视同小微企业。</w:t>
      </w:r>
    </w:p>
    <w:p w14:paraId="6C2D887D">
      <w:pPr>
        <w:spacing w:line="312" w:lineRule="auto"/>
        <w:ind w:firstLine="480"/>
        <w:rPr>
          <w:rFonts w:hint="eastAsia" w:ascii="宋体" w:hAnsi="宋体" w:cs="宋体"/>
          <w:color w:val="auto"/>
          <w:highlight w:val="none"/>
        </w:rPr>
      </w:pPr>
      <w:r>
        <w:rPr>
          <w:rFonts w:hint="eastAsia" w:ascii="宋体" w:hAnsi="宋体" w:cs="宋体"/>
          <w:color w:val="auto"/>
          <w:highlight w:val="none"/>
        </w:rPr>
        <w:t>（2）监狱企业应当提供《监狱企业声明函》及由省级以上监狱管理局、戒毒管理局(含新疆生产建设兵团)出具的属于监狱企业的证明文件，否则不予认可。</w:t>
      </w:r>
    </w:p>
    <w:p w14:paraId="29DA08CA">
      <w:pPr>
        <w:spacing w:line="312" w:lineRule="auto"/>
        <w:ind w:firstLine="480"/>
        <w:rPr>
          <w:rFonts w:hint="eastAsia" w:ascii="宋体" w:hAnsi="宋体" w:cs="宋体"/>
          <w:color w:val="auto"/>
          <w:highlight w:val="none"/>
        </w:rPr>
      </w:pPr>
      <w:r>
        <w:rPr>
          <w:rFonts w:hint="eastAsia" w:ascii="宋体" w:hAnsi="宋体" w:cs="宋体"/>
          <w:color w:val="auto"/>
          <w:highlight w:val="none"/>
        </w:rPr>
        <w:t>5.3 残疾人福利性单位</w:t>
      </w:r>
    </w:p>
    <w:p w14:paraId="2C8FFE15">
      <w:pPr>
        <w:spacing w:line="312" w:lineRule="auto"/>
        <w:ind w:firstLine="480"/>
        <w:rPr>
          <w:rFonts w:hint="eastAsia" w:ascii="宋体" w:hAnsi="宋体" w:cs="宋体"/>
          <w:color w:val="auto"/>
          <w:highlight w:val="none"/>
        </w:rPr>
      </w:pPr>
      <w:r>
        <w:rPr>
          <w:rFonts w:hint="eastAsia" w:ascii="宋体" w:hAnsi="宋体" w:cs="宋体"/>
          <w:color w:val="auto"/>
          <w:highlight w:val="none"/>
        </w:rPr>
        <w:t>（1）根据财政部 民政部 中国残疾人联合会《关于促进残疾人就业政府采购政策的通知》(财库〔2017〕141号)文件精神，残疾人福利性单位视同小微企业。</w:t>
      </w:r>
    </w:p>
    <w:p w14:paraId="2B133729">
      <w:pPr>
        <w:spacing w:line="312" w:lineRule="auto"/>
        <w:ind w:firstLine="480"/>
        <w:rPr>
          <w:color w:val="auto"/>
          <w:highlight w:val="none"/>
        </w:rPr>
      </w:pPr>
      <w:r>
        <w:rPr>
          <w:rFonts w:hint="eastAsia" w:ascii="宋体" w:hAnsi="宋体" w:cs="宋体"/>
          <w:color w:val="auto"/>
          <w:highlight w:val="none"/>
        </w:rPr>
        <w:t>（2）残疾人福利性单位应当提供《残疾人福利性单位声明函》，否则不予认可。</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403"/>
      <w:bookmarkEnd w:id="404"/>
      <w:bookmarkEnd w:id="405"/>
      <w:bookmarkEnd w:id="406"/>
      <w:bookmarkEnd w:id="407"/>
      <w:bookmarkStart w:id="408" w:name="_Toc4299"/>
    </w:p>
    <w:p w14:paraId="1B37D6F8">
      <w:pPr>
        <w:pStyle w:val="4"/>
        <w:spacing w:beforeLines="0" w:afterLines="0" w:line="312" w:lineRule="auto"/>
        <w:ind w:firstLine="3092" w:firstLineChars="1100"/>
        <w:jc w:val="both"/>
        <w:rPr>
          <w:rStyle w:val="55"/>
          <w:rFonts w:hint="eastAsia" w:ascii="宋体" w:hAnsi="宋体" w:cs="宋体"/>
          <w:b/>
          <w:bCs/>
          <w:color w:val="auto"/>
          <w:highlight w:val="none"/>
        </w:rPr>
      </w:pPr>
      <w:r>
        <w:rPr>
          <w:rStyle w:val="55"/>
          <w:rFonts w:hint="eastAsia" w:ascii="宋体" w:hAnsi="宋体" w:cs="宋体"/>
          <w:b/>
          <w:bCs/>
          <w:color w:val="auto"/>
          <w:highlight w:val="none"/>
        </w:rPr>
        <w:t>二、竞争性磋商文件的组成</w:t>
      </w:r>
      <w:bookmarkEnd w:id="364"/>
      <w:bookmarkEnd w:id="365"/>
      <w:bookmarkEnd w:id="366"/>
      <w:bookmarkEnd w:id="367"/>
      <w:bookmarkEnd w:id="368"/>
      <w:bookmarkEnd w:id="369"/>
      <w:bookmarkEnd w:id="370"/>
      <w:bookmarkEnd w:id="371"/>
      <w:bookmarkEnd w:id="408"/>
    </w:p>
    <w:p w14:paraId="483EAEFA">
      <w:pPr>
        <w:spacing w:line="312" w:lineRule="auto"/>
        <w:ind w:firstLine="480"/>
        <w:rPr>
          <w:rFonts w:hint="eastAsia" w:ascii="宋体" w:hAnsi="宋体" w:cs="宋体"/>
          <w:color w:val="auto"/>
          <w:highlight w:val="none"/>
        </w:rPr>
      </w:pPr>
      <w:r>
        <w:rPr>
          <w:rFonts w:hint="eastAsia" w:ascii="宋体" w:hAnsi="宋体" w:cs="宋体"/>
          <w:color w:val="auto"/>
          <w:highlight w:val="none"/>
        </w:rPr>
        <w:t>6.竞争性磋商文件用于阐明所需采购磋商程序和合同主要条款。竞争性磋商文件由下述部分组成：</w:t>
      </w:r>
    </w:p>
    <w:p w14:paraId="27CB8038">
      <w:pPr>
        <w:spacing w:line="312" w:lineRule="auto"/>
        <w:ind w:firstLine="480"/>
        <w:rPr>
          <w:rFonts w:hint="eastAsia" w:ascii="宋体" w:hAnsi="宋体" w:cs="宋体"/>
          <w:color w:val="auto"/>
          <w:highlight w:val="none"/>
        </w:rPr>
      </w:pPr>
      <w:r>
        <w:rPr>
          <w:rFonts w:hint="eastAsia" w:ascii="宋体" w:hAnsi="宋体" w:cs="宋体"/>
          <w:color w:val="auto"/>
          <w:highlight w:val="none"/>
        </w:rPr>
        <w:t>6.1磋商公告</w:t>
      </w:r>
    </w:p>
    <w:p w14:paraId="45029E30">
      <w:pPr>
        <w:spacing w:line="312" w:lineRule="auto"/>
        <w:ind w:firstLine="480"/>
        <w:rPr>
          <w:rFonts w:hint="eastAsia" w:ascii="宋体" w:hAnsi="宋体" w:cs="宋体"/>
          <w:color w:val="auto"/>
          <w:highlight w:val="none"/>
        </w:rPr>
      </w:pPr>
      <w:r>
        <w:rPr>
          <w:rFonts w:hint="eastAsia" w:ascii="宋体" w:hAnsi="宋体" w:cs="宋体"/>
          <w:color w:val="auto"/>
          <w:highlight w:val="none"/>
        </w:rPr>
        <w:t>6.2供应商须知</w:t>
      </w:r>
    </w:p>
    <w:p w14:paraId="107B79F9">
      <w:pPr>
        <w:spacing w:line="312" w:lineRule="auto"/>
        <w:ind w:firstLine="480"/>
        <w:rPr>
          <w:rFonts w:hint="eastAsia" w:ascii="宋体" w:hAnsi="宋体" w:cs="宋体"/>
          <w:color w:val="auto"/>
          <w:highlight w:val="none"/>
        </w:rPr>
      </w:pPr>
      <w:r>
        <w:rPr>
          <w:rFonts w:hint="eastAsia" w:ascii="宋体" w:hAnsi="宋体" w:cs="宋体"/>
          <w:color w:val="auto"/>
          <w:highlight w:val="none"/>
        </w:rPr>
        <w:t>6.3采购内容及要求</w:t>
      </w:r>
    </w:p>
    <w:p w14:paraId="6C02F376">
      <w:pPr>
        <w:spacing w:line="312" w:lineRule="auto"/>
        <w:ind w:firstLine="480"/>
        <w:rPr>
          <w:rFonts w:hint="eastAsia" w:ascii="宋体" w:hAnsi="宋体" w:cs="宋体"/>
          <w:color w:val="auto"/>
          <w:highlight w:val="none"/>
        </w:rPr>
      </w:pPr>
      <w:bookmarkStart w:id="409" w:name="_Toc430492126"/>
      <w:bookmarkStart w:id="410" w:name="_Toc430489119"/>
      <w:bookmarkStart w:id="411" w:name="_Toc430422413"/>
      <w:bookmarkStart w:id="412" w:name="_Toc430490612"/>
      <w:bookmarkStart w:id="413" w:name="_Toc430488851"/>
      <w:bookmarkStart w:id="414" w:name="_Toc430488644"/>
      <w:bookmarkStart w:id="415" w:name="_Toc415567497"/>
      <w:r>
        <w:rPr>
          <w:rFonts w:hint="eastAsia" w:ascii="宋体" w:hAnsi="宋体" w:cs="宋体"/>
          <w:color w:val="auto"/>
          <w:highlight w:val="none"/>
        </w:rPr>
        <w:t>6.4</w:t>
      </w:r>
      <w:r>
        <w:rPr>
          <w:rFonts w:hint="eastAsia" w:ascii="宋体" w:hAnsi="宋体" w:cs="宋体"/>
          <w:bCs/>
          <w:color w:val="auto"/>
          <w:highlight w:val="none"/>
        </w:rPr>
        <w:t>磋商原则和磋商方法</w:t>
      </w:r>
    </w:p>
    <w:p w14:paraId="4842E3F0">
      <w:pPr>
        <w:spacing w:line="312" w:lineRule="auto"/>
        <w:ind w:firstLine="480"/>
        <w:rPr>
          <w:rFonts w:hint="eastAsia" w:ascii="宋体" w:hAnsi="宋体" w:cs="宋体"/>
          <w:color w:val="auto"/>
          <w:highlight w:val="none"/>
        </w:rPr>
      </w:pPr>
      <w:r>
        <w:rPr>
          <w:rFonts w:hint="eastAsia" w:ascii="宋体" w:hAnsi="宋体" w:cs="宋体"/>
          <w:color w:val="auto"/>
          <w:highlight w:val="none"/>
        </w:rPr>
        <w:t>6.5合同主要条款及规范文本</w:t>
      </w:r>
    </w:p>
    <w:p w14:paraId="492F4195">
      <w:pPr>
        <w:spacing w:line="312" w:lineRule="auto"/>
        <w:ind w:firstLine="480"/>
        <w:rPr>
          <w:rFonts w:hint="eastAsia" w:ascii="宋体" w:hAnsi="宋体" w:cs="宋体"/>
          <w:color w:val="auto"/>
          <w:highlight w:val="none"/>
        </w:rPr>
      </w:pPr>
      <w:r>
        <w:rPr>
          <w:rFonts w:hint="eastAsia" w:ascii="宋体" w:hAnsi="宋体" w:cs="宋体"/>
          <w:color w:val="auto"/>
          <w:highlight w:val="none"/>
        </w:rPr>
        <w:t>6.6竞争性磋商响应文件格式</w:t>
      </w:r>
    </w:p>
    <w:bookmarkEnd w:id="409"/>
    <w:bookmarkEnd w:id="410"/>
    <w:bookmarkEnd w:id="411"/>
    <w:bookmarkEnd w:id="412"/>
    <w:bookmarkEnd w:id="413"/>
    <w:bookmarkEnd w:id="414"/>
    <w:bookmarkEnd w:id="415"/>
    <w:p w14:paraId="34F3D156">
      <w:pPr>
        <w:spacing w:line="312" w:lineRule="auto"/>
        <w:ind w:firstLine="480"/>
        <w:rPr>
          <w:rFonts w:hint="eastAsia" w:ascii="宋体" w:hAnsi="宋体" w:cs="宋体"/>
          <w:color w:val="auto"/>
          <w:highlight w:val="none"/>
        </w:rPr>
      </w:pPr>
      <w:r>
        <w:rPr>
          <w:rFonts w:hint="eastAsia" w:ascii="宋体" w:hAnsi="宋体" w:cs="宋体"/>
          <w:color w:val="auto"/>
          <w:highlight w:val="none"/>
        </w:rPr>
        <w:t>7.竞争性磋商文件的澄清与修改</w:t>
      </w:r>
    </w:p>
    <w:p w14:paraId="08B2B2C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7.1供应商对竞争性磋商文件如有疑点，可要求澄清。按磋商</w:t>
      </w:r>
      <w:r>
        <w:rPr>
          <w:rFonts w:hint="eastAsia" w:ascii="宋体" w:hAnsi="宋体" w:cs="宋体"/>
          <w:color w:val="auto"/>
          <w:highlight w:val="none"/>
        </w:rPr>
        <w:t>公告中的规定时间前在浙江政府采购网予以公布答复，请所有获取磋商文件的供应商必须注意。</w:t>
      </w:r>
      <w:r>
        <w:rPr>
          <w:rFonts w:hint="eastAsia" w:ascii="宋体" w:hAnsi="宋体" w:cs="宋体"/>
          <w:bCs/>
          <w:color w:val="auto"/>
          <w:highlight w:val="none"/>
        </w:rPr>
        <w:t>该澄清内容为竞争性磋商文件的组成部分。</w:t>
      </w:r>
    </w:p>
    <w:p w14:paraId="4A812A4C">
      <w:pPr>
        <w:spacing w:line="312" w:lineRule="auto"/>
        <w:ind w:firstLine="480"/>
        <w:rPr>
          <w:rFonts w:hint="eastAsia" w:ascii="宋体" w:hAnsi="宋体" w:cs="宋体"/>
          <w:color w:val="auto"/>
          <w:highlight w:val="none"/>
        </w:rPr>
      </w:pPr>
      <w:bookmarkStart w:id="416" w:name="_Toc430488852"/>
      <w:bookmarkStart w:id="417" w:name="_Toc415567498"/>
      <w:bookmarkStart w:id="418" w:name="_Toc430488645"/>
      <w:bookmarkStart w:id="419" w:name="_Toc430490613"/>
      <w:bookmarkStart w:id="420" w:name="_Toc430492127"/>
      <w:bookmarkStart w:id="421" w:name="_Toc430489120"/>
      <w:bookmarkStart w:id="422" w:name="_Toc430422414"/>
      <w:r>
        <w:rPr>
          <w:rFonts w:hint="eastAsia" w:ascii="宋体" w:hAnsi="宋体" w:cs="宋体"/>
          <w:bCs/>
          <w:color w:val="auto"/>
          <w:highlight w:val="none"/>
        </w:rPr>
        <w:t>7.2</w:t>
      </w:r>
      <w:bookmarkEnd w:id="416"/>
      <w:bookmarkEnd w:id="417"/>
      <w:bookmarkEnd w:id="418"/>
      <w:bookmarkEnd w:id="419"/>
      <w:bookmarkEnd w:id="420"/>
      <w:bookmarkEnd w:id="421"/>
      <w:bookmarkEnd w:id="422"/>
      <w:r>
        <w:rPr>
          <w:rFonts w:hint="eastAsia" w:ascii="宋体" w:hAnsi="宋体" w:cs="宋体"/>
          <w:bCs/>
          <w:color w:val="auto"/>
          <w:kern w:val="0"/>
          <w:highlight w:val="none"/>
        </w:rPr>
        <w:t>采购人或者评审小组可以对已发出的磋商文件进行必要的澄清或者修改，以补充文件的形式</w:t>
      </w:r>
      <w:r>
        <w:rPr>
          <w:rFonts w:hint="eastAsia" w:ascii="宋体" w:hAnsi="宋体" w:cs="宋体"/>
          <w:color w:val="auto"/>
          <w:highlight w:val="none"/>
        </w:rPr>
        <w:t>在浙江政府采购网予以公布</w:t>
      </w:r>
      <w:r>
        <w:rPr>
          <w:rFonts w:hint="eastAsia" w:ascii="宋体" w:hAnsi="宋体" w:cs="宋体"/>
          <w:bCs/>
          <w:color w:val="auto"/>
          <w:kern w:val="0"/>
          <w:highlight w:val="none"/>
        </w:rPr>
        <w:t>，澄清或者修改的内容作为磋商文件的组成部分。</w:t>
      </w:r>
    </w:p>
    <w:p w14:paraId="584093AE">
      <w:pPr>
        <w:snapToGrid w:val="0"/>
        <w:spacing w:line="312" w:lineRule="auto"/>
        <w:ind w:firstLine="480"/>
        <w:rPr>
          <w:rFonts w:hint="eastAsia" w:ascii="宋体" w:hAnsi="宋体" w:cs="宋体"/>
          <w:bCs/>
          <w:color w:val="auto"/>
          <w:kern w:val="0"/>
          <w:highlight w:val="none"/>
        </w:rPr>
      </w:pPr>
      <w:r>
        <w:rPr>
          <w:rFonts w:hint="eastAsia" w:ascii="宋体" w:hAnsi="宋体" w:cs="宋体"/>
          <w:bCs/>
          <w:color w:val="auto"/>
          <w:kern w:val="0"/>
          <w:highlight w:val="none"/>
        </w:rPr>
        <w:t>8.▲特别说明：</w:t>
      </w:r>
    </w:p>
    <w:p w14:paraId="406E4D88">
      <w:pPr>
        <w:spacing w:line="312" w:lineRule="auto"/>
        <w:ind w:firstLine="480"/>
        <w:rPr>
          <w:rFonts w:hint="eastAsia" w:ascii="宋体" w:hAnsi="宋体" w:cs="宋体"/>
          <w:bCs/>
          <w:color w:val="auto"/>
          <w:highlight w:val="none"/>
        </w:rPr>
      </w:pPr>
      <w:bookmarkStart w:id="423" w:name="_Toc27772"/>
      <w:bookmarkStart w:id="424" w:name="_Toc22447"/>
      <w:bookmarkStart w:id="425" w:name="_Toc13117"/>
      <w:bookmarkStart w:id="426" w:name="_Toc28670"/>
      <w:bookmarkStart w:id="427" w:name="_Toc23206"/>
      <w:bookmarkStart w:id="428" w:name="_Toc20052"/>
      <w:bookmarkStart w:id="429" w:name="_Toc10760"/>
      <w:bookmarkStart w:id="430" w:name="_Toc9079"/>
      <w:bookmarkStart w:id="431" w:name="_Toc19179"/>
      <w:bookmarkStart w:id="432" w:name="_Toc27994"/>
      <w:r>
        <w:rPr>
          <w:rFonts w:hint="eastAsia" w:ascii="宋体" w:hAnsi="宋体" w:cs="宋体"/>
          <w:bCs/>
          <w:color w:val="auto"/>
          <w:highlight w:val="none"/>
        </w:rPr>
        <w:t>8.1单位负责人为同一人或者存在直接控股、管理关系的不同供应商，不得参加本项目的政府采购活动。</w:t>
      </w:r>
    </w:p>
    <w:p w14:paraId="62A133A5">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8.2为采购项目提供整体设计、规范编制或者项目管理、监理、检测等服务的供应商，不得再参加该采购项目的其他采购活动</w:t>
      </w:r>
    </w:p>
    <w:p w14:paraId="5D47279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8.3供应商投标所使用的资格、信誉、荣誉、业绩与企业认证必须为本法人所拥有。供应商母公司（总机构）或者同一母公司下属的其他子公司（同一总机构下属的其他分支机构）的资格、信誉、荣誉、业绩与企业认证等，不为该供应商所拥有。</w:t>
      </w:r>
    </w:p>
    <w:p w14:paraId="0DC6C63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8.4供应商应仔细阅读磋商文件的所有内容，按照磋商文件的要求提交投标文件，并对所提供的全部资料的真实性承担法律责任。</w:t>
      </w:r>
    </w:p>
    <w:p w14:paraId="1DAEF736">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8.5供应商在投标活动中提供任何虚假材料，其投标无效，并报监管部门查处成交后发现的，成交供应商须依照《中华人民共和国消费者权益保护法》第四十九条之规定双倍赔偿采购人，且民事赔偿并不免除违法供应商的行政与刑事责任。</w:t>
      </w:r>
    </w:p>
    <w:p w14:paraId="5C4E942E">
      <w:pPr>
        <w:spacing w:line="312" w:lineRule="auto"/>
        <w:ind w:firstLine="480"/>
        <w:rPr>
          <w:color w:val="auto"/>
          <w:highlight w:val="none"/>
        </w:rPr>
      </w:pPr>
      <w:r>
        <w:rPr>
          <w:rFonts w:hint="eastAsia" w:ascii="宋体" w:hAnsi="宋体" w:cs="宋体"/>
          <w:bCs/>
          <w:color w:val="auto"/>
          <w:highlight w:val="none"/>
        </w:rPr>
        <w:t>8.6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bookmarkStart w:id="433" w:name="_Toc13228"/>
      <w:bookmarkStart w:id="434" w:name="_Toc22078"/>
      <w:bookmarkStart w:id="435" w:name="_Toc32382"/>
      <w:bookmarkStart w:id="436" w:name="_Toc32559"/>
      <w:bookmarkStart w:id="437" w:name="_Toc19530"/>
      <w:bookmarkStart w:id="438" w:name="_Toc18822"/>
      <w:bookmarkStart w:id="439" w:name="_Toc31466"/>
      <w:bookmarkStart w:id="440" w:name="_Toc11710"/>
    </w:p>
    <w:p w14:paraId="4D978014">
      <w:pPr>
        <w:pStyle w:val="4"/>
        <w:spacing w:beforeLines="0" w:afterLines="0" w:line="312" w:lineRule="auto"/>
        <w:rPr>
          <w:rFonts w:hint="eastAsia" w:ascii="宋体" w:hAnsi="宋体" w:cs="宋体"/>
          <w:color w:val="auto"/>
          <w:highlight w:val="none"/>
        </w:rPr>
      </w:pPr>
      <w:r>
        <w:rPr>
          <w:rFonts w:hint="eastAsia" w:ascii="宋体" w:hAnsi="宋体" w:cs="宋体"/>
          <w:color w:val="auto"/>
          <w:highlight w:val="none"/>
        </w:rPr>
        <w:t>三、竞争性磋商响应文件的编写</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8195129">
      <w:pPr>
        <w:spacing w:line="312" w:lineRule="auto"/>
        <w:ind w:firstLine="480"/>
        <w:rPr>
          <w:rFonts w:hint="eastAsia" w:ascii="宋体" w:hAnsi="宋体" w:cs="宋体"/>
          <w:color w:val="auto"/>
          <w:highlight w:val="none"/>
        </w:rPr>
      </w:pPr>
      <w:r>
        <w:rPr>
          <w:rFonts w:hint="eastAsia" w:ascii="宋体" w:hAnsi="宋体" w:cs="宋体"/>
          <w:color w:val="auto"/>
          <w:highlight w:val="none"/>
        </w:rPr>
        <w:t>9.要求</w:t>
      </w:r>
    </w:p>
    <w:p w14:paraId="0E4B8031">
      <w:pPr>
        <w:spacing w:line="312" w:lineRule="auto"/>
        <w:ind w:firstLine="480"/>
        <w:rPr>
          <w:rFonts w:hint="eastAsia" w:ascii="宋体" w:hAnsi="宋体" w:cs="宋体"/>
          <w:color w:val="auto"/>
          <w:highlight w:val="none"/>
        </w:rPr>
      </w:pPr>
      <w:r>
        <w:rPr>
          <w:rFonts w:hint="eastAsia" w:ascii="宋体" w:hAnsi="宋体" w:cs="宋体"/>
          <w:color w:val="auto"/>
          <w:highlight w:val="none"/>
        </w:rPr>
        <w:t>9.1供应商应仔细阅读竞争性磋商文件的所有内容，按照竞争性磋商文件的要求提交竞争性磋商响应文件。竞争性磋商响应文件应对竞争性磋商文件的要求作出实质性响应，并保证所提供的全部资料的真实性，否则视其为虚假响应，其响应将被否决。</w:t>
      </w:r>
    </w:p>
    <w:p w14:paraId="018199AB">
      <w:pPr>
        <w:spacing w:line="312" w:lineRule="auto"/>
        <w:ind w:firstLine="480"/>
        <w:rPr>
          <w:rFonts w:hint="eastAsia" w:ascii="宋体" w:hAnsi="宋体" w:cs="宋体"/>
          <w:color w:val="auto"/>
          <w:highlight w:val="none"/>
        </w:rPr>
      </w:pPr>
      <w:r>
        <w:rPr>
          <w:rFonts w:hint="eastAsia" w:ascii="宋体" w:hAnsi="宋体" w:cs="宋体"/>
          <w:color w:val="auto"/>
          <w:highlight w:val="none"/>
        </w:rPr>
        <w:t>9.2报价</w:t>
      </w:r>
    </w:p>
    <w:p w14:paraId="63F0DBA2">
      <w:pPr>
        <w:spacing w:line="312" w:lineRule="auto"/>
        <w:ind w:firstLine="480"/>
        <w:rPr>
          <w:rFonts w:hint="eastAsia" w:ascii="宋体" w:hAnsi="宋体" w:cs="宋体"/>
          <w:color w:val="auto"/>
          <w:highlight w:val="none"/>
        </w:rPr>
      </w:pPr>
      <w:r>
        <w:rPr>
          <w:rFonts w:hint="eastAsia" w:ascii="宋体" w:hAnsi="宋体" w:cs="宋体"/>
          <w:color w:val="auto"/>
          <w:highlight w:val="none"/>
          <w:shd w:val="clear" w:color="FFFFFF" w:fill="D9D9D9"/>
        </w:rPr>
        <w:t>9.2.1</w:t>
      </w:r>
      <w:r>
        <w:rPr>
          <w:rFonts w:hint="eastAsia" w:ascii="宋体" w:hAnsi="宋体" w:cs="宋体"/>
          <w:color w:val="auto"/>
          <w:highlight w:val="none"/>
          <w:u w:val="single"/>
          <w:shd w:val="clear" w:color="FFFFFF" w:fill="D9D9D9"/>
        </w:rPr>
        <w:t>本次报价非一次性报价，报价币种为人民币。在磋商后根据磋商情况（包括细化采购人方案和要求，增补部分采购内容等），供应商须最终报价</w:t>
      </w:r>
      <w:r>
        <w:rPr>
          <w:rFonts w:hint="eastAsia" w:ascii="宋体" w:hAnsi="宋体" w:cs="宋体"/>
          <w:color w:val="auto"/>
          <w:highlight w:val="none"/>
          <w:shd w:val="clear" w:color="FFFFFF" w:fill="D9D9D9"/>
        </w:rPr>
        <w:t>。</w:t>
      </w:r>
      <w:r>
        <w:rPr>
          <w:rFonts w:hint="eastAsia" w:ascii="宋体" w:hAnsi="宋体" w:cs="宋体"/>
          <w:color w:val="auto"/>
          <w:highlight w:val="none"/>
        </w:rPr>
        <w:t>投标报价应为供应商在正确地完全履行合同义务后采购人应支付的全部服务价款，包括但不限于管理费用、服务费用、专业工具费、耗材费用、日常开支费、验收、会务费、差旅费、后续服务费用、税金和利润、保险、采购代理费、风险、不可预见、政策性文件规定及合同包含的所有风险及责任等一切直接、间接成本和费用以及利润的全部。如有漏项，视为已包含在其他项目中。</w:t>
      </w:r>
    </w:p>
    <w:p w14:paraId="2A26BDA1">
      <w:pPr>
        <w:spacing w:line="312" w:lineRule="auto"/>
        <w:ind w:firstLine="480"/>
        <w:rPr>
          <w:rFonts w:hint="eastAsia" w:ascii="宋体" w:hAnsi="宋体" w:cs="宋体"/>
          <w:color w:val="auto"/>
          <w:highlight w:val="none"/>
        </w:rPr>
      </w:pPr>
      <w:r>
        <w:rPr>
          <w:rFonts w:hint="eastAsia" w:ascii="宋体" w:hAnsi="宋体" w:cs="宋体"/>
          <w:color w:val="auto"/>
          <w:highlight w:val="none"/>
        </w:rPr>
        <w:t>9.2.2供应商的报价作为供应商计算单价或总价的依据，应是完成技术内容中的所有要求，不得以任何理由予以重复，供应商对报价若有说明应在报价一览表备注处注明。任何有选择的报价方案及价格将不予接受。</w:t>
      </w:r>
    </w:p>
    <w:p w14:paraId="2B459E62">
      <w:pPr>
        <w:spacing w:line="312" w:lineRule="auto"/>
        <w:ind w:firstLine="480"/>
        <w:rPr>
          <w:rFonts w:hint="eastAsia" w:ascii="宋体" w:hAnsi="宋体" w:cs="宋体"/>
          <w:color w:val="auto"/>
          <w:highlight w:val="none"/>
        </w:rPr>
      </w:pPr>
      <w:r>
        <w:rPr>
          <w:rFonts w:hint="eastAsia" w:ascii="宋体" w:hAnsi="宋体" w:cs="宋体"/>
          <w:color w:val="auto"/>
          <w:highlight w:val="none"/>
        </w:rPr>
        <w:t>10.磋商响应文件</w:t>
      </w:r>
    </w:p>
    <w:p w14:paraId="28D9E7BA">
      <w:pPr>
        <w:spacing w:line="312" w:lineRule="auto"/>
        <w:ind w:firstLine="480"/>
        <w:rPr>
          <w:rFonts w:hint="eastAsia"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val="zh-CN"/>
        </w:rPr>
        <w:t>.1</w:t>
      </w:r>
      <w:r>
        <w:rPr>
          <w:rFonts w:hint="eastAsia" w:ascii="宋体" w:hAnsi="宋体" w:cs="宋体"/>
          <w:color w:val="auto"/>
          <w:highlight w:val="none"/>
        </w:rPr>
        <w:t>供应商应仔细阅读磋商文件中的所有内容，按照采购文件要求，详细编制磋商响应文件。并对采购文件的要求做出实质上响应。实质上响应的磋商响应应该是与采购文件要求的条款没有重大偏离的磋商响应。未实质上响应的磋商响应文件将被拒绝，但允许磋商响应在基本满足采购文件要求的前提下出现的微小差异。</w:t>
      </w:r>
    </w:p>
    <w:p w14:paraId="4A9B810B">
      <w:pPr>
        <w:spacing w:line="312" w:lineRule="auto"/>
        <w:ind w:firstLine="480"/>
        <w:rPr>
          <w:rFonts w:hint="eastAsia"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val="zh-CN"/>
        </w:rPr>
        <w:t>.2</w:t>
      </w:r>
      <w:r>
        <w:rPr>
          <w:rFonts w:hint="eastAsia" w:ascii="宋体" w:hAnsi="宋体" w:cs="宋体"/>
          <w:color w:val="auto"/>
          <w:highlight w:val="none"/>
        </w:rPr>
        <w:t>供应商必须按照采购文件的要求提供相关技术参数、资料，包括采用的计量单位，并保证磋商响应文件的正确性和真实性。磋商响应文件全部内容应保持一致，否则可能导致不利于其磋商响应的评定甚至被拒绝。技术和商务如有偏离均应填写偏离表。</w:t>
      </w:r>
    </w:p>
    <w:p w14:paraId="4AB25EDC">
      <w:pPr>
        <w:spacing w:line="312" w:lineRule="auto"/>
        <w:ind w:firstLine="480"/>
        <w:rPr>
          <w:rFonts w:hint="eastAsia"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val="zh-CN"/>
        </w:rPr>
        <w:t>.3供应商应仔细阅读采购文件中的所有内容，按照采购文件要求，详细编制磋商响应文件，所有文件资料必须是针对本次磋商响应。不按采购文件的要求提供的磋商响应文件可能导致被拒绝。</w:t>
      </w:r>
    </w:p>
    <w:p w14:paraId="37EDEBEC">
      <w:pPr>
        <w:spacing w:line="312" w:lineRule="auto"/>
        <w:ind w:firstLine="482"/>
        <w:rPr>
          <w:rFonts w:hint="eastAsia" w:ascii="宋体" w:hAnsi="宋体" w:cs="宋体"/>
          <w:b/>
          <w:bCs/>
          <w:color w:val="auto"/>
          <w:highlight w:val="none"/>
        </w:rPr>
      </w:pPr>
      <w:r>
        <w:rPr>
          <w:rFonts w:hint="eastAsia" w:ascii="宋体" w:hAnsi="宋体" w:cs="宋体"/>
          <w:b/>
          <w:bCs/>
          <w:color w:val="auto"/>
          <w:highlight w:val="none"/>
        </w:rPr>
        <w:t>10</w:t>
      </w:r>
      <w:r>
        <w:rPr>
          <w:rFonts w:hint="eastAsia" w:ascii="宋体" w:hAnsi="宋体" w:cs="宋体"/>
          <w:b/>
          <w:bCs/>
          <w:color w:val="auto"/>
          <w:highlight w:val="none"/>
          <w:lang w:val="zh-CN"/>
        </w:rPr>
        <w:t>.</w:t>
      </w:r>
      <w:r>
        <w:rPr>
          <w:rFonts w:hint="eastAsia" w:ascii="宋体" w:hAnsi="宋体" w:cs="宋体"/>
          <w:b/>
          <w:bCs/>
          <w:color w:val="auto"/>
          <w:highlight w:val="none"/>
        </w:rPr>
        <w:t xml:space="preserve">4 磋商响应文件的组成  </w:t>
      </w:r>
    </w:p>
    <w:p w14:paraId="3D8099F2">
      <w:pPr>
        <w:autoSpaceDE w:val="0"/>
        <w:autoSpaceDN w:val="0"/>
        <w:adjustRightInd w:val="0"/>
        <w:snapToGrid w:val="0"/>
        <w:spacing w:line="312" w:lineRule="auto"/>
        <w:ind w:firstLine="482"/>
        <w:rPr>
          <w:rFonts w:hint="eastAsia" w:ascii="宋体" w:hAnsi="宋体" w:cs="宋体"/>
          <w:b/>
          <w:color w:val="auto"/>
          <w:highlight w:val="none"/>
          <w:lang w:val="zh-CN"/>
        </w:rPr>
      </w:pPr>
      <w:r>
        <w:rPr>
          <w:rFonts w:hint="eastAsia" w:ascii="宋体" w:hAnsi="宋体" w:cs="宋体"/>
          <w:b/>
          <w:color w:val="auto"/>
          <w:highlight w:val="none"/>
          <w:u w:val="single"/>
        </w:rPr>
        <w:t>磋商响应文件应当包括以下主要内容：资格审查文件、报价文件、资信商务技术文件。资格文件、资信商务技术文件不得含报价，否则磋商响应将被拒绝。</w:t>
      </w:r>
    </w:p>
    <w:p w14:paraId="099EB142">
      <w:pPr>
        <w:autoSpaceDE w:val="0"/>
        <w:autoSpaceDN w:val="0"/>
        <w:adjustRightInd w:val="0"/>
        <w:snapToGrid w:val="0"/>
        <w:spacing w:line="312" w:lineRule="auto"/>
        <w:ind w:firstLine="482"/>
        <w:rPr>
          <w:rFonts w:hint="eastAsia" w:ascii="宋体" w:hAnsi="宋体" w:cs="宋体"/>
          <w:b/>
          <w:color w:val="auto"/>
          <w:highlight w:val="none"/>
          <w:u w:val="single"/>
        </w:rPr>
      </w:pPr>
      <w:r>
        <w:rPr>
          <w:rFonts w:hint="eastAsia" w:ascii="宋体" w:hAnsi="宋体" w:cs="宋体"/>
          <w:b/>
          <w:color w:val="auto"/>
          <w:highlight w:val="none"/>
        </w:rPr>
        <w:t>10</w:t>
      </w:r>
      <w:r>
        <w:rPr>
          <w:rFonts w:hint="eastAsia" w:ascii="宋体" w:hAnsi="宋体" w:cs="宋体"/>
          <w:b/>
          <w:color w:val="auto"/>
          <w:highlight w:val="none"/>
          <w:lang w:val="zh-CN"/>
        </w:rPr>
        <w:t>.</w:t>
      </w:r>
      <w:r>
        <w:rPr>
          <w:rFonts w:hint="eastAsia" w:ascii="宋体" w:hAnsi="宋体" w:cs="宋体"/>
          <w:b/>
          <w:color w:val="auto"/>
          <w:highlight w:val="none"/>
        </w:rPr>
        <w:t>4.1 资格审查文件组成</w:t>
      </w:r>
    </w:p>
    <w:p w14:paraId="2802EA60">
      <w:pPr>
        <w:numPr>
          <w:ilvl w:val="0"/>
          <w:numId w:val="4"/>
        </w:numPr>
        <w:autoSpaceDE w:val="0"/>
        <w:autoSpaceDN w:val="0"/>
        <w:adjustRightInd w:val="0"/>
        <w:snapToGrid w:val="0"/>
        <w:spacing w:line="312" w:lineRule="auto"/>
        <w:ind w:firstLine="480" w:firstLineChars="0"/>
        <w:textAlignment w:val="bottom"/>
        <w:rPr>
          <w:rFonts w:hint="eastAsia" w:ascii="宋体" w:hAnsi="宋体" w:cs="宋体"/>
          <w:color w:val="auto"/>
          <w:highlight w:val="none"/>
        </w:rPr>
      </w:pPr>
      <w:r>
        <w:rPr>
          <w:rFonts w:hint="eastAsia" w:ascii="宋体" w:hAnsi="宋体" w:cs="宋体"/>
          <w:color w:val="auto"/>
          <w:highlight w:val="none"/>
        </w:rPr>
        <w:t>供应商基本情况表；（格式见附件1）</w:t>
      </w:r>
    </w:p>
    <w:p w14:paraId="12E61D99">
      <w:pPr>
        <w:numPr>
          <w:ilvl w:val="0"/>
          <w:numId w:val="4"/>
        </w:numPr>
        <w:autoSpaceDE w:val="0"/>
        <w:autoSpaceDN w:val="0"/>
        <w:adjustRightInd w:val="0"/>
        <w:snapToGrid w:val="0"/>
        <w:spacing w:line="312" w:lineRule="auto"/>
        <w:ind w:firstLine="480" w:firstLineChars="0"/>
        <w:textAlignment w:val="bottom"/>
        <w:rPr>
          <w:rFonts w:hint="eastAsia" w:ascii="宋体" w:hAnsi="宋体" w:cs="宋体"/>
          <w:color w:val="auto"/>
          <w:highlight w:val="none"/>
          <w:lang w:val="zh-CN"/>
        </w:rPr>
      </w:pPr>
      <w:r>
        <w:rPr>
          <w:rFonts w:hint="eastAsia" w:ascii="宋体" w:hAnsi="宋体" w:cs="宋体"/>
          <w:color w:val="auto"/>
          <w:highlight w:val="none"/>
        </w:rPr>
        <w:t>提供有效的《营业执照》原件扫描件</w:t>
      </w:r>
      <w:r>
        <w:rPr>
          <w:rFonts w:hint="eastAsia" w:ascii="宋体" w:hAnsi="宋体" w:cs="宋体"/>
          <w:color w:val="auto"/>
          <w:highlight w:val="none"/>
          <w:lang w:val="zh-CN"/>
        </w:rPr>
        <w:t>；</w:t>
      </w:r>
    </w:p>
    <w:p w14:paraId="210A3D51">
      <w:pPr>
        <w:numPr>
          <w:ilvl w:val="0"/>
          <w:numId w:val="4"/>
        </w:numPr>
        <w:autoSpaceDE w:val="0"/>
        <w:autoSpaceDN w:val="0"/>
        <w:adjustRightInd w:val="0"/>
        <w:snapToGrid w:val="0"/>
        <w:spacing w:line="312" w:lineRule="auto"/>
        <w:ind w:firstLine="480" w:firstLineChars="0"/>
        <w:textAlignment w:val="bottom"/>
        <w:rPr>
          <w:rFonts w:hint="eastAsia" w:ascii="宋体" w:hAnsi="宋体" w:cs="宋体"/>
          <w:color w:val="auto"/>
          <w:highlight w:val="none"/>
        </w:rPr>
      </w:pPr>
      <w:r>
        <w:rPr>
          <w:rFonts w:hint="eastAsia" w:ascii="宋体" w:hAnsi="宋体" w:cs="宋体"/>
          <w:color w:val="auto"/>
          <w:highlight w:val="none"/>
        </w:rPr>
        <w:t>提供有效的林业调查规划设计乙级及以上资质证书原件扫描件</w:t>
      </w:r>
      <w:r>
        <w:rPr>
          <w:rFonts w:hint="eastAsia" w:ascii="宋体" w:hAnsi="宋体" w:cs="宋体"/>
          <w:color w:val="auto"/>
          <w:highlight w:val="none"/>
          <w:lang w:eastAsia="zh-CN"/>
        </w:rPr>
        <w:t>；</w:t>
      </w:r>
    </w:p>
    <w:p w14:paraId="20DF11E3">
      <w:pPr>
        <w:numPr>
          <w:ilvl w:val="0"/>
          <w:numId w:val="4"/>
        </w:numPr>
        <w:autoSpaceDE w:val="0"/>
        <w:autoSpaceDN w:val="0"/>
        <w:adjustRightInd w:val="0"/>
        <w:snapToGrid w:val="0"/>
        <w:spacing w:line="312" w:lineRule="auto"/>
        <w:ind w:firstLine="480" w:firstLineChars="0"/>
        <w:textAlignment w:val="bottom"/>
        <w:rPr>
          <w:rFonts w:hint="eastAsia" w:ascii="宋体" w:hAnsi="宋体" w:cs="宋体"/>
          <w:color w:val="auto"/>
          <w:highlight w:val="none"/>
        </w:rPr>
      </w:pPr>
      <w:r>
        <w:rPr>
          <w:rFonts w:hint="eastAsia" w:ascii="宋体" w:hAnsi="宋体" w:cs="宋体"/>
          <w:color w:val="auto"/>
          <w:highlight w:val="none"/>
        </w:rPr>
        <w:t>符合参加政府采购活动应当具备的一般条件的承诺函；（格式见附件2）</w:t>
      </w:r>
    </w:p>
    <w:p w14:paraId="28BDF38E">
      <w:pPr>
        <w:numPr>
          <w:ilvl w:val="0"/>
          <w:numId w:val="4"/>
        </w:numPr>
        <w:autoSpaceDE w:val="0"/>
        <w:autoSpaceDN w:val="0"/>
        <w:adjustRightInd w:val="0"/>
        <w:snapToGrid w:val="0"/>
        <w:spacing w:line="312" w:lineRule="auto"/>
        <w:ind w:firstLine="480" w:firstLineChars="0"/>
        <w:textAlignment w:val="bottom"/>
        <w:rPr>
          <w:rFonts w:hint="eastAsia" w:ascii="宋体" w:hAnsi="宋体" w:cs="宋体"/>
          <w:color w:val="auto"/>
          <w:highlight w:val="none"/>
        </w:rPr>
      </w:pPr>
      <w:r>
        <w:rPr>
          <w:rFonts w:hint="eastAsia" w:ascii="宋体" w:hAnsi="宋体" w:cs="宋体"/>
          <w:color w:val="auto"/>
          <w:highlight w:val="none"/>
        </w:rPr>
        <w:t>落实政府采购政策需满足的资格要求：提供《中小企业声明函（服务）》（格式见附件3）、《监狱企业声明函》（格式见附件4）；《残疾人福利性单位声明函》（格式见附件5）。</w:t>
      </w:r>
    </w:p>
    <w:p w14:paraId="1A354A02">
      <w:pPr>
        <w:autoSpaceDE w:val="0"/>
        <w:autoSpaceDN w:val="0"/>
        <w:adjustRightInd w:val="0"/>
        <w:snapToGrid w:val="0"/>
        <w:spacing w:line="312" w:lineRule="auto"/>
        <w:ind w:firstLine="482"/>
        <w:textAlignment w:val="bottom"/>
        <w:rPr>
          <w:rFonts w:hint="eastAsia" w:ascii="宋体" w:hAnsi="宋体" w:cs="宋体"/>
          <w:b/>
          <w:color w:val="auto"/>
          <w:highlight w:val="none"/>
        </w:rPr>
      </w:pPr>
      <w:r>
        <w:rPr>
          <w:rFonts w:hint="eastAsia" w:ascii="宋体" w:hAnsi="宋体" w:cs="宋体"/>
          <w:b/>
          <w:color w:val="auto"/>
          <w:highlight w:val="none"/>
        </w:rPr>
        <w:t>▲注：以上资格文件为通过式评审，如有缺少或不符合要求的，则视为资格审查不予通过。</w:t>
      </w:r>
    </w:p>
    <w:p w14:paraId="0964E3C8">
      <w:pPr>
        <w:tabs>
          <w:tab w:val="center" w:pos="4715"/>
        </w:tabs>
        <w:spacing w:line="312" w:lineRule="auto"/>
        <w:ind w:firstLine="482"/>
        <w:rPr>
          <w:rFonts w:hint="eastAsia" w:ascii="宋体" w:hAnsi="宋体" w:cs="宋体"/>
          <w:b/>
          <w:bCs/>
          <w:color w:val="auto"/>
          <w:kern w:val="0"/>
          <w:highlight w:val="none"/>
        </w:rPr>
      </w:pPr>
      <w:r>
        <w:rPr>
          <w:rFonts w:hint="eastAsia" w:ascii="宋体" w:hAnsi="宋体" w:cs="宋体"/>
          <w:b/>
          <w:bCs/>
          <w:color w:val="auto"/>
          <w:highlight w:val="none"/>
        </w:rPr>
        <w:t xml:space="preserve">10.4.2 </w:t>
      </w:r>
      <w:r>
        <w:rPr>
          <w:rFonts w:hint="eastAsia" w:ascii="宋体" w:hAnsi="宋体" w:cs="宋体"/>
          <w:b/>
          <w:color w:val="auto"/>
          <w:highlight w:val="none"/>
        </w:rPr>
        <w:t>资信商务技术文件组成</w:t>
      </w:r>
    </w:p>
    <w:p w14:paraId="7E8313D8">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（1）▲磋商函；（格式见附件</w:t>
      </w:r>
      <w:r>
        <w:rPr>
          <w:rFonts w:hint="eastAsia" w:ascii="宋体" w:hAnsi="宋体" w:cs="宋体"/>
          <w:color w:val="auto"/>
          <w:highlight w:val="none"/>
        </w:rPr>
        <w:t>6</w:t>
      </w:r>
      <w:r>
        <w:rPr>
          <w:rFonts w:hint="eastAsia" w:ascii="宋体" w:hAnsi="宋体" w:cs="宋体"/>
          <w:color w:val="auto"/>
          <w:highlight w:val="none"/>
          <w:lang w:val="zh-CN"/>
        </w:rPr>
        <w:t>）</w:t>
      </w:r>
    </w:p>
    <w:p w14:paraId="059D3B69">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（2）▲法定代表人身份证明或法定代表人授权委托书；（格式见附件</w:t>
      </w:r>
      <w:r>
        <w:rPr>
          <w:rFonts w:hint="eastAsia" w:ascii="宋体" w:hAnsi="宋体" w:cs="宋体"/>
          <w:color w:val="auto"/>
          <w:highlight w:val="none"/>
        </w:rPr>
        <w:t>7</w:t>
      </w:r>
      <w:r>
        <w:rPr>
          <w:rFonts w:hint="eastAsia" w:ascii="宋体" w:hAnsi="宋体" w:cs="宋体"/>
          <w:color w:val="auto"/>
          <w:highlight w:val="none"/>
          <w:lang w:val="zh-CN"/>
        </w:rPr>
        <w:t>）</w:t>
      </w:r>
    </w:p>
    <w:p w14:paraId="7BFCDB05">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类似业绩一览表</w:t>
      </w:r>
      <w:r>
        <w:rPr>
          <w:rFonts w:hint="eastAsia" w:ascii="宋体" w:hAnsi="宋体" w:cs="宋体"/>
          <w:color w:val="auto"/>
          <w:highlight w:val="none"/>
          <w:lang w:val="zh-CN"/>
        </w:rPr>
        <w:t>；（格式见附件</w:t>
      </w:r>
      <w:r>
        <w:rPr>
          <w:rFonts w:hint="eastAsia" w:ascii="宋体" w:hAnsi="宋体" w:cs="宋体"/>
          <w:color w:val="auto"/>
          <w:highlight w:val="none"/>
        </w:rPr>
        <w:t>8</w:t>
      </w:r>
      <w:r>
        <w:rPr>
          <w:rFonts w:hint="eastAsia" w:ascii="宋体" w:hAnsi="宋体" w:cs="宋体"/>
          <w:color w:val="auto"/>
          <w:highlight w:val="none"/>
          <w:lang w:val="zh-CN"/>
        </w:rPr>
        <w:t>）</w:t>
      </w:r>
    </w:p>
    <w:p w14:paraId="2E6B51A5">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）拟派本项目团队人员一览表；（格式见附件</w:t>
      </w:r>
      <w:r>
        <w:rPr>
          <w:rFonts w:hint="eastAsia" w:ascii="宋体" w:hAnsi="宋体" w:cs="宋体"/>
          <w:color w:val="auto"/>
          <w:highlight w:val="none"/>
        </w:rPr>
        <w:t>9</w:t>
      </w:r>
      <w:r>
        <w:rPr>
          <w:rFonts w:hint="eastAsia" w:ascii="宋体" w:hAnsi="宋体" w:cs="宋体"/>
          <w:color w:val="auto"/>
          <w:highlight w:val="none"/>
          <w:lang w:val="zh-CN"/>
        </w:rPr>
        <w:t>）</w:t>
      </w:r>
    </w:p>
    <w:p w14:paraId="6627E01C">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5</w:t>
      </w:r>
      <w:r>
        <w:rPr>
          <w:rFonts w:hint="eastAsia" w:ascii="宋体" w:hAnsi="宋体" w:cs="宋体"/>
          <w:color w:val="auto"/>
          <w:highlight w:val="none"/>
          <w:lang w:val="zh-CN"/>
        </w:rPr>
        <w:t>）商务响应表；（格式见附件</w:t>
      </w:r>
      <w:r>
        <w:rPr>
          <w:rFonts w:hint="eastAsia" w:ascii="宋体" w:hAnsi="宋体" w:cs="宋体"/>
          <w:color w:val="auto"/>
          <w:highlight w:val="none"/>
        </w:rPr>
        <w:t>10</w:t>
      </w:r>
      <w:r>
        <w:rPr>
          <w:rFonts w:hint="eastAsia" w:ascii="宋体" w:hAnsi="宋体" w:cs="宋体"/>
          <w:color w:val="auto"/>
          <w:highlight w:val="none"/>
          <w:lang w:val="zh-CN"/>
        </w:rPr>
        <w:t>）</w:t>
      </w:r>
    </w:p>
    <w:p w14:paraId="22CD82B7">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6</w:t>
      </w:r>
      <w:r>
        <w:rPr>
          <w:rFonts w:hint="eastAsia" w:ascii="宋体" w:hAnsi="宋体" w:cs="宋体"/>
          <w:color w:val="auto"/>
          <w:highlight w:val="none"/>
          <w:lang w:val="zh-CN"/>
        </w:rPr>
        <w:t>）</w:t>
      </w:r>
      <w:r>
        <w:rPr>
          <w:rFonts w:hint="eastAsia" w:ascii="宋体" w:hAnsi="宋体" w:cs="宋体"/>
          <w:color w:val="auto"/>
          <w:highlight w:val="none"/>
        </w:rPr>
        <w:t>企业荣誉；</w:t>
      </w:r>
      <w:r>
        <w:rPr>
          <w:rFonts w:hint="eastAsia" w:ascii="宋体" w:hAnsi="宋体" w:cs="宋体"/>
          <w:color w:val="auto"/>
          <w:highlight w:val="none"/>
          <w:lang w:val="zh-CN"/>
        </w:rPr>
        <w:t>（格式自拟）</w:t>
      </w:r>
    </w:p>
    <w:p w14:paraId="411C7994">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7</w:t>
      </w:r>
      <w:r>
        <w:rPr>
          <w:rFonts w:hint="eastAsia" w:ascii="宋体" w:hAnsi="宋体" w:cs="宋体"/>
          <w:color w:val="auto"/>
          <w:highlight w:val="none"/>
          <w:lang w:val="zh-CN"/>
        </w:rPr>
        <w:t>）</w:t>
      </w:r>
      <w:r>
        <w:rPr>
          <w:rFonts w:hint="eastAsia" w:ascii="宋体" w:hAnsi="宋体" w:cs="宋体"/>
          <w:color w:val="auto"/>
          <w:highlight w:val="none"/>
        </w:rPr>
        <w:t>项目理解；</w:t>
      </w:r>
      <w:r>
        <w:rPr>
          <w:rFonts w:hint="eastAsia" w:ascii="宋体" w:hAnsi="宋体" w:cs="宋体"/>
          <w:color w:val="auto"/>
          <w:highlight w:val="none"/>
          <w:lang w:val="zh-CN"/>
        </w:rPr>
        <w:t>（格式自拟）</w:t>
      </w:r>
    </w:p>
    <w:p w14:paraId="7C70E719">
      <w:pPr>
        <w:widowControl/>
        <w:spacing w:line="312" w:lineRule="auto"/>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w:t>
      </w:r>
      <w:r>
        <w:rPr>
          <w:rFonts w:hint="eastAsia" w:ascii="宋体" w:hAnsi="宋体" w:cs="宋体"/>
          <w:color w:val="auto"/>
          <w:highlight w:val="none"/>
        </w:rPr>
        <w:t>实施方案</w:t>
      </w:r>
      <w:r>
        <w:rPr>
          <w:rFonts w:hint="eastAsia" w:ascii="宋体" w:hAnsi="宋体" w:cs="宋体"/>
          <w:color w:val="auto"/>
          <w:highlight w:val="none"/>
          <w:lang w:val="zh-CN"/>
        </w:rPr>
        <w:t xml:space="preserve">；（格式自拟） </w:t>
      </w:r>
    </w:p>
    <w:p w14:paraId="125E9D1A">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（9）项目重难点分析和解决方案</w:t>
      </w:r>
      <w:r>
        <w:rPr>
          <w:rFonts w:hint="eastAsia" w:ascii="宋体" w:hAnsi="宋体" w:cs="宋体"/>
          <w:color w:val="auto"/>
          <w:highlight w:val="none"/>
          <w:lang w:val="zh-CN"/>
        </w:rPr>
        <w:t xml:space="preserve">；（格式自拟） </w:t>
      </w:r>
    </w:p>
    <w:p w14:paraId="52BD9B07">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（10）售后服务方案</w:t>
      </w:r>
      <w:r>
        <w:rPr>
          <w:rFonts w:hint="eastAsia" w:ascii="宋体" w:hAnsi="宋体" w:cs="宋体"/>
          <w:color w:val="auto"/>
          <w:highlight w:val="none"/>
          <w:lang w:val="zh-CN"/>
        </w:rPr>
        <w:t xml:space="preserve">；（格式自拟） </w:t>
      </w:r>
    </w:p>
    <w:p w14:paraId="4EF1384E">
      <w:pPr>
        <w:widowControl/>
        <w:spacing w:line="312" w:lineRule="auto"/>
        <w:ind w:firstLine="480"/>
        <w:jc w:val="left"/>
        <w:rPr>
          <w:rFonts w:hint="eastAsia" w:ascii="宋体" w:hAnsi="宋体" w:cs="宋体"/>
          <w:color w:val="auto"/>
          <w:highlight w:val="none"/>
          <w:u w:val="single"/>
        </w:rPr>
      </w:pPr>
      <w:r>
        <w:rPr>
          <w:rFonts w:hint="eastAsia" w:ascii="宋体" w:hAnsi="宋体" w:cs="宋体"/>
          <w:color w:val="auto"/>
          <w:highlight w:val="none"/>
        </w:rPr>
        <w:t>（11）供应商根据评标细则内容提供其余的相关评分所需资料（如有）</w:t>
      </w:r>
    </w:p>
    <w:p w14:paraId="1709DD3C">
      <w:pPr>
        <w:spacing w:line="312" w:lineRule="auto"/>
        <w:ind w:firstLine="482"/>
        <w:rPr>
          <w:rFonts w:hint="eastAsia" w:ascii="宋体" w:hAnsi="宋体" w:cs="宋体"/>
          <w:b/>
          <w:bCs/>
          <w:color w:val="auto"/>
          <w:highlight w:val="none"/>
        </w:rPr>
      </w:pPr>
      <w:r>
        <w:rPr>
          <w:rFonts w:hint="eastAsia" w:ascii="宋体" w:hAnsi="宋体" w:cs="宋体"/>
          <w:b/>
          <w:bCs/>
          <w:color w:val="auto"/>
          <w:highlight w:val="none"/>
        </w:rPr>
        <w:t>10.4.3</w:t>
      </w:r>
      <w:r>
        <w:rPr>
          <w:rFonts w:hint="eastAsia" w:ascii="宋体" w:hAnsi="宋体" w:cs="宋体"/>
          <w:b/>
          <w:color w:val="auto"/>
          <w:highlight w:val="none"/>
        </w:rPr>
        <w:t>报价文件</w:t>
      </w:r>
    </w:p>
    <w:p w14:paraId="7078F28D">
      <w:pPr>
        <w:spacing w:line="312" w:lineRule="auto"/>
        <w:ind w:firstLine="480"/>
        <w:rPr>
          <w:rFonts w:hint="eastAsia" w:ascii="宋体" w:hAnsi="宋体" w:cs="宋体"/>
          <w:color w:val="auto"/>
          <w:highlight w:val="none"/>
        </w:rPr>
      </w:pPr>
      <w:r>
        <w:rPr>
          <w:rFonts w:hint="eastAsia" w:ascii="宋体" w:hAnsi="宋体" w:cs="宋体"/>
          <w:color w:val="auto"/>
          <w:highlight w:val="none"/>
        </w:rPr>
        <w:t>▲（1）首次报价一览表；（格式见附件11）</w:t>
      </w:r>
    </w:p>
    <w:p w14:paraId="6AFE0E6B">
      <w:pPr>
        <w:spacing w:line="312" w:lineRule="auto"/>
        <w:ind w:firstLine="480"/>
        <w:rPr>
          <w:rFonts w:hint="eastAsia" w:ascii="宋体" w:hAnsi="宋体" w:cs="宋体"/>
          <w:color w:val="auto"/>
          <w:highlight w:val="none"/>
        </w:rPr>
      </w:pPr>
      <w:r>
        <w:rPr>
          <w:rFonts w:hint="eastAsia" w:ascii="宋体" w:hAnsi="宋体" w:cs="宋体"/>
          <w:color w:val="auto"/>
          <w:highlight w:val="none"/>
        </w:rPr>
        <w:t>以上文件组成磋商响应文件。</w:t>
      </w:r>
    </w:p>
    <w:p w14:paraId="2F7C212C">
      <w:pPr>
        <w:spacing w:line="312" w:lineRule="auto"/>
        <w:ind w:firstLine="480"/>
        <w:rPr>
          <w:rFonts w:hint="eastAsia" w:ascii="宋体" w:hAnsi="宋体" w:cs="宋体"/>
          <w:color w:val="auto"/>
          <w:highlight w:val="none"/>
        </w:rPr>
      </w:pPr>
      <w:r>
        <w:rPr>
          <w:rFonts w:hint="eastAsia" w:ascii="宋体" w:hAnsi="宋体" w:cs="宋体"/>
          <w:color w:val="auto"/>
          <w:highlight w:val="none"/>
        </w:rPr>
        <w:t>供应商应对磋商文件作出实质性响应，该项内容将作为磋商响应的重要指标。一旦开标后，经审核确定磋商响应资格和技术能力不能响应磋商文件要求，则供应商即刻被废标或被拒绝进入最终报价阶段。</w:t>
      </w:r>
    </w:p>
    <w:p w14:paraId="48116A07">
      <w:pPr>
        <w:spacing w:line="312" w:lineRule="auto"/>
        <w:ind w:firstLine="480"/>
        <w:rPr>
          <w:rFonts w:hint="eastAsia" w:ascii="宋体" w:hAnsi="宋体" w:cs="宋体"/>
          <w:color w:val="auto"/>
          <w:highlight w:val="none"/>
        </w:rPr>
      </w:pPr>
      <w:r>
        <w:rPr>
          <w:rFonts w:hint="eastAsia" w:ascii="宋体" w:hAnsi="宋体" w:cs="宋体"/>
          <w:color w:val="auto"/>
          <w:highlight w:val="none"/>
        </w:rPr>
        <w:t>11.竞争性磋商响应文件有效期</w:t>
      </w:r>
    </w:p>
    <w:p w14:paraId="5F1D6E99">
      <w:pPr>
        <w:spacing w:line="312" w:lineRule="auto"/>
        <w:ind w:firstLine="480"/>
        <w:rPr>
          <w:rFonts w:hint="eastAsia" w:ascii="宋体" w:hAnsi="宋体" w:cs="宋体"/>
          <w:color w:val="auto"/>
          <w:highlight w:val="none"/>
        </w:rPr>
      </w:pPr>
      <w:r>
        <w:rPr>
          <w:rFonts w:hint="eastAsia" w:ascii="宋体" w:hAnsi="宋体" w:cs="宋体"/>
          <w:color w:val="auto"/>
          <w:highlight w:val="none"/>
        </w:rPr>
        <w:t>11.1竞争性磋商响应文件从竞争性磋商响应文件递交截止时间之日起90个日历天内有效。</w:t>
      </w:r>
    </w:p>
    <w:p w14:paraId="0728DE8B">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11.2特殊情况下采购人可于竞争性磋商响应文件有效期届满前书面要求供应商同意延长有效期，供应商应在采购人规定的期限内以书面形式予以答复。供应商答复不明确或者逾期未答复的，均视为拒绝上述要求。对于接受该要求的供应商，既不要求也不允许其修改竞争性磋</w:t>
      </w:r>
      <w:r>
        <w:rPr>
          <w:rFonts w:hint="eastAsia" w:ascii="宋体" w:hAnsi="宋体" w:cs="宋体"/>
          <w:color w:val="auto"/>
          <w:highlight w:val="none"/>
          <w:lang w:val="zh-CN"/>
        </w:rPr>
        <w:t>商响应文件。</w:t>
      </w:r>
    </w:p>
    <w:p w14:paraId="45EE30BF">
      <w:pPr>
        <w:spacing w:line="312" w:lineRule="auto"/>
        <w:ind w:firstLine="480"/>
        <w:rPr>
          <w:rFonts w:hint="eastAsia" w:ascii="宋体" w:hAnsi="宋体" w:cs="宋体"/>
          <w:color w:val="auto"/>
          <w:highlight w:val="none"/>
          <w:lang w:val="zh-CN"/>
        </w:rPr>
      </w:pPr>
      <w:bookmarkStart w:id="441" w:name="_Toc9753"/>
      <w:bookmarkStart w:id="442" w:name="_Toc7875"/>
      <w:bookmarkStart w:id="443" w:name="_Toc3937"/>
      <w:bookmarkStart w:id="444" w:name="_Toc24177"/>
      <w:bookmarkStart w:id="445" w:name="_Toc19227"/>
      <w:bookmarkStart w:id="446" w:name="_Toc31540"/>
      <w:bookmarkStart w:id="447" w:name="_Toc31353"/>
      <w:bookmarkStart w:id="448" w:name="_Toc804"/>
      <w:bookmarkStart w:id="449" w:name="_Toc12914"/>
      <w:bookmarkStart w:id="450" w:name="_Toc24759"/>
      <w:bookmarkStart w:id="451" w:name="_Toc3636"/>
      <w:bookmarkStart w:id="452" w:name="_Toc25660"/>
      <w:bookmarkStart w:id="453" w:name="_Toc12241"/>
      <w:bookmarkStart w:id="454" w:name="_Toc2080"/>
      <w:bookmarkStart w:id="455" w:name="_Toc11986"/>
      <w:bookmarkStart w:id="456" w:name="_Toc23317"/>
      <w:bookmarkStart w:id="457" w:name="_Toc26527"/>
      <w:bookmarkStart w:id="458" w:name="_Toc391298959"/>
      <w:bookmarkStart w:id="459" w:name="_Toc25308"/>
      <w:r>
        <w:rPr>
          <w:rFonts w:hint="eastAsia" w:ascii="宋体" w:hAnsi="宋体" w:cs="宋体"/>
          <w:color w:val="auto"/>
          <w:highlight w:val="none"/>
          <w:lang w:val="zh-CN"/>
        </w:rPr>
        <w:t>12.电子磋商响应文件制作、加密和提交</w:t>
      </w:r>
    </w:p>
    <w:p w14:paraId="5DD0D658">
      <w:pPr>
        <w:spacing w:line="312" w:lineRule="auto"/>
        <w:ind w:firstLine="480"/>
        <w:rPr>
          <w:rFonts w:hint="eastAsia" w:ascii="宋体" w:hAnsi="宋体" w:cs="宋体"/>
          <w:color w:val="auto"/>
          <w:highlight w:val="none"/>
        </w:rPr>
      </w:pPr>
      <w:r>
        <w:rPr>
          <w:rFonts w:hint="eastAsia" w:ascii="宋体" w:hAnsi="宋体" w:cs="宋体"/>
          <w:color w:val="auto"/>
          <w:highlight w:val="none"/>
        </w:rPr>
        <w:t>12.1▲供应商通过“政采云电子磋商响应客户端”磋商响应工具制作，具体详情请查看《〔浙江省〕供应商－政府采购项目电子交易操作视频》网址：https://help.zcygov.cn/web/site_2/2019/08-20/58.5906.html；电子磋商响应具体流程文档网址：</w:t>
      </w:r>
      <w:r>
        <w:rPr>
          <w:color w:val="auto"/>
          <w:highlight w:val="none"/>
        </w:rPr>
        <w:fldChar w:fldCharType="begin"/>
      </w:r>
      <w:r>
        <w:rPr>
          <w:color w:val="auto"/>
          <w:highlight w:val="none"/>
        </w:rPr>
        <w:instrText xml:space="preserve"> HYPERLINK "https://help.zcygov.cn/web/site_2/2018/12-28/2573.html。及本招标文件规定要求进行编制电子投标文件并进行关联定位。" </w:instrText>
      </w:r>
      <w:r>
        <w:rPr>
          <w:color w:val="auto"/>
          <w:highlight w:val="none"/>
        </w:rPr>
        <w:fldChar w:fldCharType="separate"/>
      </w:r>
      <w:r>
        <w:rPr>
          <w:rStyle w:val="47"/>
          <w:rFonts w:hint="eastAsia" w:ascii="宋体" w:hAnsi="宋体" w:cs="宋体"/>
          <w:bCs/>
          <w:color w:val="auto"/>
          <w:highlight w:val="none"/>
        </w:rPr>
        <w:t>https://help.zcygov.cn/web/site_2/2018/12-28/2573.html，及本采购文件规定要求进行编制电子磋商响应文件，</w:t>
      </w:r>
      <w:r>
        <w:rPr>
          <w:rFonts w:hint="eastAsia" w:ascii="宋体" w:hAnsi="宋体" w:cs="宋体"/>
          <w:color w:val="auto"/>
          <w:highlight w:val="none"/>
        </w:rPr>
        <w:t>并</w:t>
      </w:r>
      <w:r>
        <w:rPr>
          <w:rStyle w:val="47"/>
          <w:rFonts w:hint="eastAsia" w:ascii="宋体" w:hAnsi="宋体" w:cs="宋体"/>
          <w:bCs/>
          <w:color w:val="auto"/>
          <w:highlight w:val="none"/>
        </w:rPr>
        <w:t>进行关联定位、</w:t>
      </w:r>
      <w:r>
        <w:rPr>
          <w:rStyle w:val="47"/>
          <w:rFonts w:hint="eastAsia" w:ascii="宋体" w:hAnsi="宋体" w:cs="宋体"/>
          <w:bCs/>
          <w:color w:val="auto"/>
          <w:highlight w:val="none"/>
        </w:rPr>
        <w:fldChar w:fldCharType="end"/>
      </w:r>
      <w:r>
        <w:rPr>
          <w:rFonts w:hint="eastAsia" w:ascii="宋体" w:hAnsi="宋体" w:cs="宋体"/>
          <w:color w:val="auto"/>
          <w:highlight w:val="none"/>
        </w:rPr>
        <w:t>加密和提交。</w:t>
      </w:r>
    </w:p>
    <w:p w14:paraId="2FBBC855">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12.2▲</w:t>
      </w:r>
      <w:r>
        <w:rPr>
          <w:rStyle w:val="47"/>
          <w:rFonts w:hint="eastAsia" w:ascii="宋体" w:hAnsi="宋体" w:cs="宋体"/>
          <w:b/>
          <w:color w:val="auto"/>
          <w:highlight w:val="none"/>
        </w:rPr>
        <w:t>电子磋商响应文件</w:t>
      </w:r>
      <w:r>
        <w:rPr>
          <w:rFonts w:hint="eastAsia" w:ascii="宋体" w:hAnsi="宋体" w:cs="宋体"/>
          <w:color w:val="auto"/>
          <w:highlight w:val="none"/>
        </w:rPr>
        <w:t>采用CA电子签章。采购文件注明需签字盖章部位、资格资信商务证明材料扫描件，以及任何行间插字、涂改或增删位置和澄清说明函等均须采用CA电子签</w:t>
      </w:r>
      <w:r>
        <w:rPr>
          <w:rFonts w:hint="eastAsia" w:ascii="宋体" w:hAnsi="宋体" w:cs="宋体"/>
          <w:color w:val="auto"/>
          <w:highlight w:val="none"/>
          <w:lang w:val="zh-CN"/>
        </w:rPr>
        <w:t>章。</w:t>
      </w:r>
    </w:p>
    <w:p w14:paraId="520140F7">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13.备份磋商响应文件制作、密封和提交</w:t>
      </w:r>
    </w:p>
    <w:p w14:paraId="152626A4">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13.1制作、密封和提交详见供应商须知前附表。是否提交备份磋商响应文件由供应商决定，并自行承担不提交备份磋商响应文件的风险。</w:t>
      </w:r>
    </w:p>
    <w:p w14:paraId="73A50C0F">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14.磋商响应文件修改与撤回</w:t>
      </w:r>
    </w:p>
    <w:p w14:paraId="1DCC9B48">
      <w:pPr>
        <w:spacing w:line="312" w:lineRule="auto"/>
        <w:ind w:firstLine="480"/>
        <w:rPr>
          <w:rFonts w:hint="eastAsia" w:ascii="宋体" w:hAnsi="宋体" w:cs="宋体"/>
          <w:color w:val="auto"/>
          <w:highlight w:val="none"/>
        </w:rPr>
      </w:pPr>
      <w:r>
        <w:rPr>
          <w:rFonts w:hint="eastAsia" w:ascii="宋体" w:hAnsi="宋体" w:cs="宋体"/>
          <w:color w:val="auto"/>
          <w:highlight w:val="none"/>
        </w:rPr>
        <w:t>14.1供应商在磋商响应截止时间之前可以对已提交磋商响应文件进行修改、补充或撤回，应当先行撤回原文件，补充、修改后重新传输提交。</w:t>
      </w:r>
    </w:p>
    <w:p w14:paraId="4D6DC823">
      <w:pPr>
        <w:spacing w:line="312" w:lineRule="auto"/>
        <w:ind w:firstLine="480"/>
        <w:rPr>
          <w:rFonts w:hint="eastAsia" w:ascii="宋体" w:hAnsi="宋体" w:cs="宋体"/>
          <w:color w:val="auto"/>
          <w:highlight w:val="none"/>
        </w:rPr>
      </w:pPr>
      <w:r>
        <w:rPr>
          <w:rFonts w:hint="eastAsia" w:ascii="宋体" w:hAnsi="宋体" w:cs="宋体"/>
          <w:color w:val="auto"/>
          <w:highlight w:val="none"/>
        </w:rPr>
        <w:t>14.2磋商响应截止时间后，磋商响应不得撤回、修改磋商响应文件。</w:t>
      </w:r>
    </w:p>
    <w:p w14:paraId="07A3BC49">
      <w:pPr>
        <w:spacing w:line="312" w:lineRule="auto"/>
        <w:ind w:firstLine="480"/>
        <w:rPr>
          <w:rFonts w:hint="eastAsia" w:ascii="宋体" w:hAnsi="宋体" w:cs="宋体"/>
          <w:color w:val="auto"/>
          <w:highlight w:val="none"/>
        </w:rPr>
      </w:pPr>
      <w:bookmarkStart w:id="460" w:name="_Toc17633"/>
      <w:bookmarkStart w:id="461" w:name="_Toc25826"/>
      <w:bookmarkStart w:id="462" w:name="_Toc15901"/>
      <w:bookmarkStart w:id="463" w:name="_Toc3004"/>
      <w:bookmarkStart w:id="464" w:name="_Toc32015"/>
      <w:bookmarkStart w:id="465" w:name="_Toc23980"/>
      <w:bookmarkStart w:id="466" w:name="_Toc22551"/>
      <w:bookmarkStart w:id="467" w:name="_Toc1715"/>
      <w:bookmarkStart w:id="468" w:name="_Toc3139"/>
      <w:bookmarkStart w:id="469" w:name="_Toc18216"/>
      <w:bookmarkStart w:id="470" w:name="_Toc25627"/>
      <w:bookmarkStart w:id="471" w:name="_Toc1681"/>
      <w:bookmarkStart w:id="472" w:name="_Toc8021"/>
      <w:bookmarkStart w:id="473" w:name="_Toc26938"/>
      <w:bookmarkStart w:id="474" w:name="_Toc15231"/>
      <w:bookmarkStart w:id="475" w:name="_Toc17312"/>
      <w:bookmarkStart w:id="476" w:name="_Toc1409"/>
      <w:bookmarkStart w:id="477" w:name="_Toc3645"/>
      <w:bookmarkStart w:id="478" w:name="_Toc5657"/>
      <w:bookmarkStart w:id="479" w:name="_Toc8825"/>
      <w:bookmarkStart w:id="480" w:name="_Toc16427"/>
      <w:bookmarkStart w:id="481" w:name="_Toc6381"/>
      <w:bookmarkStart w:id="482" w:name="_Toc4712"/>
      <w:bookmarkStart w:id="483" w:name="_Toc1554"/>
      <w:bookmarkStart w:id="484" w:name="_Toc19730"/>
      <w:bookmarkStart w:id="485" w:name="_Toc16674"/>
      <w:bookmarkStart w:id="486" w:name="_Toc13368"/>
      <w:bookmarkStart w:id="487" w:name="_Toc16612"/>
      <w:bookmarkStart w:id="488" w:name="_Toc9865"/>
      <w:bookmarkStart w:id="489" w:name="_Toc14836"/>
      <w:r>
        <w:rPr>
          <w:rFonts w:hint="eastAsia" w:ascii="宋体" w:hAnsi="宋体" w:cs="宋体"/>
          <w:color w:val="auto"/>
          <w:highlight w:val="none"/>
        </w:rPr>
        <w:t>14.3修改后重新提交的响应文件应当符合上述第</w:t>
      </w:r>
      <w:r>
        <w:rPr>
          <w:rFonts w:hint="eastAsia" w:ascii="宋体" w:hAnsi="宋体" w:cs="宋体"/>
          <w:b/>
          <w:color w:val="auto"/>
          <w:highlight w:val="none"/>
          <w:u w:val="single"/>
        </w:rPr>
        <w:t>12条、第13条</w:t>
      </w:r>
      <w:r>
        <w:rPr>
          <w:rFonts w:hint="eastAsia" w:ascii="宋体" w:hAnsi="宋体" w:cs="宋体"/>
          <w:color w:val="auto"/>
          <w:highlight w:val="none"/>
        </w:rPr>
        <w:t>规定。</w:t>
      </w:r>
    </w:p>
    <w:p w14:paraId="2F7B00A1">
      <w:pPr>
        <w:pStyle w:val="4"/>
        <w:spacing w:beforeLines="0" w:afterLines="0" w:line="312" w:lineRule="auto"/>
        <w:rPr>
          <w:rFonts w:hint="eastAsia" w:ascii="宋体" w:hAnsi="宋体" w:cs="宋体"/>
          <w:color w:val="auto"/>
          <w:highlight w:val="none"/>
        </w:rPr>
      </w:pPr>
      <w:r>
        <w:rPr>
          <w:rFonts w:hint="eastAsia" w:ascii="宋体" w:hAnsi="宋体" w:cs="宋体"/>
          <w:color w:val="auto"/>
          <w:highlight w:val="none"/>
        </w:rPr>
        <w:t>四、开 标</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CD3FE9A">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15.开标时间及地点</w:t>
      </w:r>
    </w:p>
    <w:p w14:paraId="0BDB12D2">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采购组织机构按照供应商须知前附表规定的开标时间及地点进行公开开标。</w:t>
      </w:r>
    </w:p>
    <w:p w14:paraId="6E6DB098">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16.开评标程序</w:t>
      </w:r>
    </w:p>
    <w:p w14:paraId="011C9ACD">
      <w:pPr>
        <w:spacing w:line="312" w:lineRule="auto"/>
        <w:ind w:firstLine="480"/>
        <w:rPr>
          <w:rFonts w:hint="eastAsia" w:ascii="宋体" w:hAnsi="宋体" w:cs="宋体"/>
          <w:color w:val="auto"/>
          <w:highlight w:val="none"/>
        </w:rPr>
      </w:pPr>
      <w:bookmarkStart w:id="490" w:name="_Toc13386"/>
      <w:r>
        <w:rPr>
          <w:rFonts w:hint="eastAsia" w:ascii="宋体" w:hAnsi="宋体" w:cs="宋体"/>
          <w:color w:val="auto"/>
          <w:highlight w:val="none"/>
          <w:lang w:val="zh-CN"/>
        </w:rPr>
        <w:t>16.1本项目原则上采用</w:t>
      </w:r>
      <w:r>
        <w:rPr>
          <w:rFonts w:hint="eastAsia" w:ascii="宋体" w:hAnsi="宋体" w:cs="宋体"/>
          <w:color w:val="auto"/>
          <w:highlight w:val="none"/>
        </w:rPr>
        <w:t>政采云电子开标及评审程序。</w:t>
      </w:r>
      <w:r>
        <w:rPr>
          <w:rFonts w:hint="eastAsia" w:ascii="宋体" w:hAnsi="宋体" w:cs="宋体"/>
          <w:color w:val="auto"/>
          <w:highlight w:val="none"/>
          <w:lang w:val="zh-CN"/>
        </w:rPr>
        <w:t>若</w:t>
      </w:r>
      <w:r>
        <w:rPr>
          <w:rFonts w:hint="eastAsia" w:ascii="宋体" w:hAnsi="宋体" w:cs="宋体"/>
          <w:color w:val="auto"/>
          <w:highlight w:val="none"/>
        </w:rPr>
        <w:t>出现下列情形的处理方式：</w:t>
      </w:r>
      <w:bookmarkEnd w:id="490"/>
    </w:p>
    <w:p w14:paraId="416B6D62">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供应商的</w:t>
      </w:r>
      <w:r>
        <w:rPr>
          <w:rFonts w:hint="eastAsia" w:ascii="宋体" w:hAnsi="宋体" w:cs="宋体"/>
          <w:color w:val="auto"/>
          <w:highlight w:val="none"/>
        </w:rPr>
        <w:t>电子磋商响应文件</w:t>
      </w:r>
      <w:r>
        <w:rPr>
          <w:rFonts w:hint="eastAsia" w:ascii="宋体" w:hAnsi="宋体" w:cs="宋体"/>
          <w:color w:val="auto"/>
          <w:highlight w:val="none"/>
          <w:lang w:val="zh-CN"/>
        </w:rPr>
        <w:t>在规定时间内无法解密或解密失败，工作人员将开启该供应商提交的备份</w:t>
      </w:r>
      <w:r>
        <w:rPr>
          <w:rFonts w:hint="eastAsia" w:ascii="宋体" w:hAnsi="宋体" w:cs="宋体"/>
          <w:color w:val="auto"/>
          <w:highlight w:val="none"/>
        </w:rPr>
        <w:t>电子磋商响应文</w:t>
      </w:r>
      <w:r>
        <w:rPr>
          <w:rFonts w:hint="eastAsia" w:ascii="宋体" w:hAnsi="宋体" w:cs="宋体"/>
          <w:color w:val="auto"/>
          <w:highlight w:val="none"/>
          <w:lang w:val="zh-CN"/>
        </w:rPr>
        <w:t>件，以完成开标。</w:t>
      </w:r>
    </w:p>
    <w:p w14:paraId="51502A4F">
      <w:pPr>
        <w:spacing w:line="312" w:lineRule="auto"/>
        <w:ind w:firstLine="480"/>
        <w:rPr>
          <w:rFonts w:hint="eastAsia" w:ascii="宋体" w:hAnsi="宋体" w:cs="宋体"/>
          <w:color w:val="auto"/>
          <w:highlight w:val="none"/>
        </w:rPr>
      </w:pPr>
      <w:bookmarkStart w:id="491" w:name="_Toc81"/>
      <w:r>
        <w:rPr>
          <w:rFonts w:hint="eastAsia" w:ascii="宋体" w:hAnsi="宋体" w:cs="宋体"/>
          <w:color w:val="auto"/>
          <w:highlight w:val="none"/>
        </w:rPr>
        <w:t>16.2电子磋商响应开标及评审程序</w:t>
      </w:r>
      <w:bookmarkEnd w:id="491"/>
    </w:p>
    <w:p w14:paraId="0B73F89C">
      <w:pPr>
        <w:spacing w:line="312" w:lineRule="auto"/>
        <w:ind w:firstLine="480"/>
        <w:rPr>
          <w:rFonts w:hint="eastAsia" w:ascii="宋体" w:hAnsi="宋体" w:cs="宋体"/>
          <w:color w:val="auto"/>
          <w:highlight w:val="none"/>
        </w:rPr>
      </w:pPr>
      <w:r>
        <w:rPr>
          <w:rFonts w:hint="eastAsia" w:ascii="宋体" w:hAnsi="宋体" w:cs="宋体"/>
          <w:color w:val="auto"/>
          <w:highlight w:val="none"/>
        </w:rPr>
        <w:t>16.2.1开启电子磋商响应文件，磋商响应截止时间后，供应商登录政采云平台，使用“项目采购－开标评标”功能对电子磋商响应文件进行在线解密。在线解密电子磋商响应文件时间为磋商响应截止时间起30分钟内。</w:t>
      </w:r>
    </w:p>
    <w:p w14:paraId="7B153F53">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16.2.2由评标委员会对供应商资格进行审查和资信商务技术部分评审。</w:t>
      </w:r>
    </w:p>
    <w:p w14:paraId="792B5E5E">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16.2.3现场公布资格审查和资信技术商务评审结果。</w:t>
      </w:r>
    </w:p>
    <w:p w14:paraId="0FD028DF">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16.2.4系统上公开供应商报价</w:t>
      </w:r>
      <w:r>
        <w:rPr>
          <w:rFonts w:hint="eastAsia" w:ascii="宋体" w:hAnsi="宋体" w:cs="宋体"/>
          <w:color w:val="auto"/>
          <w:highlight w:val="none"/>
          <w:lang w:val="zh-CN"/>
        </w:rPr>
        <w:t>并在开标室现场宣读</w:t>
      </w:r>
      <w:r>
        <w:rPr>
          <w:rFonts w:hint="eastAsia" w:ascii="宋体" w:hAnsi="宋体" w:cs="宋体"/>
          <w:color w:val="auto"/>
          <w:highlight w:val="none"/>
        </w:rPr>
        <w:t>。</w:t>
      </w:r>
    </w:p>
    <w:p w14:paraId="3FBCBC11">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16.2.5由评标委员会对报价文件进行评审。</w:t>
      </w:r>
    </w:p>
    <w:p w14:paraId="4687B5D6">
      <w:pPr>
        <w:spacing w:line="312" w:lineRule="auto"/>
        <w:ind w:firstLine="480"/>
        <w:rPr>
          <w:rFonts w:hint="eastAsia" w:ascii="宋体" w:hAnsi="宋体" w:cs="宋体"/>
          <w:color w:val="auto"/>
          <w:highlight w:val="none"/>
        </w:rPr>
      </w:pPr>
      <w:r>
        <w:rPr>
          <w:rFonts w:hint="eastAsia" w:ascii="宋体" w:hAnsi="宋体" w:cs="宋体"/>
          <w:color w:val="auto"/>
          <w:highlight w:val="none"/>
        </w:rPr>
        <w:t>16.2.6</w:t>
      </w:r>
      <w:r>
        <w:rPr>
          <w:rFonts w:hint="eastAsia" w:ascii="宋体" w:hAnsi="宋体" w:cs="宋体"/>
          <w:color w:val="auto"/>
          <w:highlight w:val="none"/>
          <w:lang w:val="zh-CN"/>
        </w:rPr>
        <w:t>在系统上公布评审结果并在开标室现场宣布。</w:t>
      </w:r>
    </w:p>
    <w:p w14:paraId="5F57AE87">
      <w:pPr>
        <w:spacing w:line="312" w:lineRule="auto"/>
        <w:ind w:firstLine="480"/>
        <w:rPr>
          <w:rFonts w:hint="eastAsia" w:ascii="宋体" w:hAnsi="宋体" w:cs="宋体"/>
          <w:color w:val="auto"/>
          <w:highlight w:val="none"/>
        </w:rPr>
      </w:pPr>
      <w:r>
        <w:rPr>
          <w:rFonts w:hint="eastAsia" w:ascii="宋体" w:hAnsi="宋体" w:cs="宋体"/>
          <w:color w:val="auto"/>
          <w:highlight w:val="none"/>
        </w:rPr>
        <w:t>注：政采云公司如对电子化开标及评审程序有调整的，按调整后的程序操作。</w:t>
      </w:r>
    </w:p>
    <w:p w14:paraId="41CF5E70">
      <w:pPr>
        <w:spacing w:line="312" w:lineRule="auto"/>
        <w:ind w:firstLine="480"/>
        <w:rPr>
          <w:rFonts w:hint="eastAsia" w:ascii="宋体" w:hAnsi="宋体" w:cs="宋体"/>
          <w:color w:val="auto"/>
          <w:highlight w:val="none"/>
        </w:rPr>
      </w:pPr>
      <w:bookmarkStart w:id="492" w:name="_Toc28955"/>
      <w:r>
        <w:rPr>
          <w:rFonts w:hint="eastAsia" w:ascii="宋体" w:hAnsi="宋体" w:cs="宋体"/>
          <w:color w:val="auto"/>
          <w:highlight w:val="none"/>
        </w:rPr>
        <w:t>16.3开标会议结束。</w:t>
      </w:r>
      <w:bookmarkEnd w:id="492"/>
    </w:p>
    <w:p w14:paraId="4B66D005">
      <w:pPr>
        <w:spacing w:line="312" w:lineRule="auto"/>
        <w:ind w:firstLine="480"/>
        <w:rPr>
          <w:rFonts w:hint="eastAsia" w:ascii="宋体" w:hAnsi="宋体" w:cs="宋体"/>
          <w:color w:val="auto"/>
          <w:highlight w:val="none"/>
        </w:rPr>
      </w:pPr>
      <w:r>
        <w:rPr>
          <w:rFonts w:hint="eastAsia" w:ascii="宋体" w:hAnsi="宋体" w:cs="宋体"/>
          <w:color w:val="auto"/>
          <w:highlight w:val="none"/>
        </w:rPr>
        <w:t>特别说明：如遇“政府采购云平台”电子化开标或评审程序调整的，按调整后程序执行。</w:t>
      </w:r>
    </w:p>
    <w:p w14:paraId="424727C8">
      <w:pPr>
        <w:pStyle w:val="4"/>
        <w:spacing w:beforeLines="0" w:afterLines="0" w:line="312" w:lineRule="auto"/>
        <w:rPr>
          <w:rFonts w:hint="eastAsia" w:ascii="宋体" w:hAnsi="宋体" w:cs="宋体"/>
          <w:color w:val="auto"/>
          <w:highlight w:val="none"/>
        </w:rPr>
      </w:pPr>
      <w:bookmarkStart w:id="493" w:name="_Toc1791"/>
      <w:bookmarkStart w:id="494" w:name="_Toc18301"/>
      <w:bookmarkStart w:id="495" w:name="_Toc8167"/>
      <w:bookmarkStart w:id="496" w:name="_Toc32268"/>
      <w:bookmarkStart w:id="497" w:name="_Toc31309"/>
      <w:bookmarkStart w:id="498" w:name="_Toc16316"/>
      <w:bookmarkStart w:id="499" w:name="_Toc7376"/>
      <w:bookmarkStart w:id="500" w:name="_Toc18948"/>
      <w:bookmarkStart w:id="501" w:name="_Toc6687"/>
      <w:bookmarkStart w:id="502" w:name="_Toc28361"/>
      <w:bookmarkStart w:id="503" w:name="_Toc28459"/>
      <w:bookmarkStart w:id="504" w:name="_Toc631"/>
      <w:bookmarkStart w:id="505" w:name="_Toc1683"/>
      <w:bookmarkStart w:id="506" w:name="_Toc26323"/>
      <w:bookmarkStart w:id="507" w:name="_Toc14797"/>
      <w:bookmarkStart w:id="508" w:name="_Toc26885"/>
      <w:bookmarkStart w:id="509" w:name="_Toc31842"/>
      <w:bookmarkStart w:id="510" w:name="_Toc5129"/>
      <w:bookmarkStart w:id="511" w:name="_Toc23099"/>
      <w:bookmarkStart w:id="512" w:name="_Toc17039"/>
      <w:bookmarkStart w:id="513" w:name="_Toc16848"/>
      <w:bookmarkStart w:id="514" w:name="_Toc5689"/>
      <w:bookmarkStart w:id="515" w:name="_Toc21645"/>
      <w:bookmarkStart w:id="516" w:name="_Toc28974"/>
      <w:bookmarkStart w:id="517" w:name="_Toc16101"/>
      <w:bookmarkStart w:id="518" w:name="_Toc32509"/>
      <w:bookmarkStart w:id="519" w:name="_Toc29957"/>
      <w:bookmarkStart w:id="520" w:name="_Toc21180"/>
      <w:bookmarkStart w:id="521" w:name="_Toc31578"/>
      <w:r>
        <w:rPr>
          <w:rFonts w:hint="eastAsia" w:ascii="宋体" w:hAnsi="宋体" w:cs="宋体"/>
          <w:color w:val="auto"/>
          <w:highlight w:val="none"/>
        </w:rPr>
        <w:t>五、竞争性磋商响应文件的评审</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ECE06F0">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1</w:t>
      </w:r>
      <w:r>
        <w:rPr>
          <w:rFonts w:hint="eastAsia" w:ascii="宋体" w:hAnsi="宋体" w:cs="宋体"/>
          <w:color w:val="auto"/>
          <w:highlight w:val="none"/>
        </w:rPr>
        <w:t>7.</w:t>
      </w:r>
      <w:r>
        <w:rPr>
          <w:rFonts w:hint="eastAsia" w:ascii="宋体" w:hAnsi="宋体" w:cs="宋体"/>
          <w:color w:val="auto"/>
          <w:highlight w:val="none"/>
          <w:lang w:val="zh-CN"/>
        </w:rPr>
        <w:t>评审、磋商时间</w:t>
      </w:r>
    </w:p>
    <w:p w14:paraId="00ECF285">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17.1采购组织机构按照供应商须知前附表规定的磋商时间及地点进行公开进行。</w:t>
      </w:r>
    </w:p>
    <w:p w14:paraId="1D2076D1">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17.2开启评审磋商程序</w:t>
      </w:r>
    </w:p>
    <w:p w14:paraId="017AE0A2">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17.2.1本项目原则上采用政采云电子开标及评审程序。</w:t>
      </w:r>
      <w:r>
        <w:rPr>
          <w:rFonts w:hint="eastAsia" w:ascii="宋体" w:hAnsi="宋体" w:cs="宋体"/>
          <w:color w:val="auto"/>
          <w:sz w:val="24"/>
          <w:szCs w:val="24"/>
          <w:highlight w:val="none"/>
          <w:lang w:val="zh-CN"/>
        </w:rPr>
        <w:t>若</w:t>
      </w:r>
      <w:r>
        <w:rPr>
          <w:rFonts w:hint="eastAsia" w:ascii="宋体" w:hAnsi="宋体" w:cs="宋体"/>
          <w:color w:val="auto"/>
          <w:sz w:val="24"/>
          <w:szCs w:val="24"/>
          <w:highlight w:val="none"/>
        </w:rPr>
        <w:t>出现下列情形的处理方式：</w:t>
      </w:r>
    </w:p>
    <w:p w14:paraId="62086860">
      <w:pPr>
        <w:pStyle w:val="116"/>
        <w:tabs>
          <w:tab w:val="left" w:pos="0"/>
          <w:tab w:val="left" w:pos="397"/>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17.2.2</w:t>
      </w:r>
      <w:r>
        <w:rPr>
          <w:rFonts w:hint="eastAsia" w:ascii="宋体" w:hAnsi="宋体" w:cs="宋体"/>
          <w:color w:val="auto"/>
          <w:sz w:val="24"/>
          <w:szCs w:val="24"/>
          <w:highlight w:val="none"/>
          <w:lang w:val="zh-CN"/>
        </w:rPr>
        <w:t>供应商的</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磋商响应文件</w:t>
      </w:r>
      <w:r>
        <w:rPr>
          <w:rFonts w:hint="eastAsia" w:ascii="宋体" w:hAnsi="宋体" w:cs="宋体"/>
          <w:color w:val="auto"/>
          <w:sz w:val="24"/>
          <w:szCs w:val="24"/>
          <w:highlight w:val="none"/>
          <w:lang w:val="zh-CN"/>
        </w:rPr>
        <w:t>在规定时间内无法解密或解密失败，工作人员将开启该供应商提交的备份</w:t>
      </w:r>
      <w:r>
        <w:rPr>
          <w:rFonts w:hint="eastAsia" w:ascii="宋体" w:hAnsi="宋体" w:cs="宋体"/>
          <w:color w:val="auto"/>
          <w:sz w:val="24"/>
          <w:szCs w:val="24"/>
          <w:highlight w:val="none"/>
        </w:rPr>
        <w:t>电子</w:t>
      </w:r>
      <w:r>
        <w:rPr>
          <w:rFonts w:hint="eastAsia" w:ascii="宋体" w:hAnsi="宋体" w:cs="宋体"/>
          <w:bCs/>
          <w:iCs/>
          <w:color w:val="auto"/>
          <w:sz w:val="24"/>
          <w:szCs w:val="24"/>
          <w:highlight w:val="none"/>
        </w:rPr>
        <w:t>响应文</w:t>
      </w:r>
      <w:r>
        <w:rPr>
          <w:rFonts w:hint="eastAsia" w:ascii="宋体" w:hAnsi="宋体" w:cs="宋体"/>
          <w:color w:val="auto"/>
          <w:sz w:val="24"/>
          <w:szCs w:val="24"/>
          <w:highlight w:val="none"/>
          <w:lang w:val="zh-CN"/>
        </w:rPr>
        <w:t>件，以完成开标。</w:t>
      </w:r>
    </w:p>
    <w:p w14:paraId="779911F0">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17.2.3电子响应文件开启及评审程序</w:t>
      </w:r>
    </w:p>
    <w:p w14:paraId="465216D4">
      <w:pPr>
        <w:pStyle w:val="116"/>
        <w:tabs>
          <w:tab w:val="left" w:pos="0"/>
          <w:tab w:val="left" w:pos="397"/>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17.2.4开启电子响应文件，磋商截止时间后，供应商登录政采云平台，用“项目采购－开标评标”功能对电子响应文件进行在线解密。在线解密电子响应文件时间为截止时间起30分钟内。</w:t>
      </w:r>
    </w:p>
    <w:p w14:paraId="5642998F">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17.2.5由评审小组对供应商资格进行审查，</w:t>
      </w:r>
      <w:r>
        <w:rPr>
          <w:rFonts w:hint="eastAsia" w:ascii="宋体" w:hAnsi="宋体" w:cs="宋体"/>
          <w:bCs/>
          <w:iCs/>
          <w:color w:val="auto"/>
          <w:sz w:val="24"/>
          <w:szCs w:val="24"/>
          <w:highlight w:val="none"/>
        </w:rPr>
        <w:t>资信商务和技术部分</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w:t>
      </w:r>
    </w:p>
    <w:p w14:paraId="5409D4EB">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17.2.6在系统上公开资格审查和</w:t>
      </w:r>
      <w:r>
        <w:rPr>
          <w:rFonts w:hint="eastAsia" w:ascii="宋体" w:hAnsi="宋体" w:cs="宋体"/>
          <w:bCs/>
          <w:iCs/>
          <w:color w:val="auto"/>
          <w:sz w:val="24"/>
          <w:szCs w:val="24"/>
          <w:highlight w:val="none"/>
        </w:rPr>
        <w:t>资信</w:t>
      </w:r>
      <w:r>
        <w:rPr>
          <w:rFonts w:hint="eastAsia" w:ascii="宋体" w:hAnsi="宋体" w:cs="宋体"/>
          <w:color w:val="auto"/>
          <w:sz w:val="24"/>
          <w:szCs w:val="24"/>
          <w:highlight w:val="none"/>
        </w:rPr>
        <w:t>技术商务评审符合性结果，不公开评分结果。</w:t>
      </w:r>
    </w:p>
    <w:p w14:paraId="183A30A3">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17.2.7评审小组按照磋商方法</w:t>
      </w:r>
      <w:r>
        <w:rPr>
          <w:rFonts w:hint="eastAsia" w:ascii="宋体" w:hAnsi="宋体" w:cs="宋体"/>
          <w:b/>
          <w:bCs/>
          <w:color w:val="auto"/>
          <w:sz w:val="24"/>
          <w:szCs w:val="24"/>
          <w:highlight w:val="none"/>
        </w:rPr>
        <w:t>在系统上</w:t>
      </w:r>
      <w:r>
        <w:rPr>
          <w:rFonts w:hint="eastAsia" w:ascii="宋体" w:hAnsi="宋体" w:cs="宋体"/>
          <w:color w:val="auto"/>
          <w:sz w:val="24"/>
          <w:szCs w:val="24"/>
          <w:highlight w:val="none"/>
        </w:rPr>
        <w:t>与各供应商就服务质量、技术要求等进行磋商，磋商结束后供应商在规定时间内提交最后报价一览表（实际以政采云系统操作方法为准）。</w:t>
      </w:r>
    </w:p>
    <w:p w14:paraId="0B689AF6">
      <w:pPr>
        <w:pStyle w:val="116"/>
        <w:tabs>
          <w:tab w:val="left" w:pos="0"/>
        </w:tabs>
        <w:adjustRightInd w:val="0"/>
        <w:snapToGrid w:val="0"/>
        <w:spacing w:line="312"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17.2.8由评审小组对报价进行评审。</w:t>
      </w:r>
    </w:p>
    <w:p w14:paraId="470D7641">
      <w:pPr>
        <w:pStyle w:val="116"/>
        <w:tabs>
          <w:tab w:val="left" w:pos="0"/>
        </w:tabs>
        <w:adjustRightInd w:val="0"/>
        <w:snapToGrid w:val="0"/>
        <w:spacing w:line="312" w:lineRule="auto"/>
        <w:ind w:firstLine="480" w:firstLineChars="20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17.2.9</w:t>
      </w:r>
      <w:r>
        <w:rPr>
          <w:rFonts w:hint="eastAsia" w:ascii="宋体" w:hAnsi="宋体" w:cs="宋体"/>
          <w:color w:val="auto"/>
          <w:sz w:val="24"/>
          <w:szCs w:val="24"/>
          <w:highlight w:val="none"/>
          <w:lang w:val="zh-CN"/>
        </w:rPr>
        <w:t>在系统上公布评审结果。</w:t>
      </w:r>
    </w:p>
    <w:p w14:paraId="6A7E7FDD">
      <w:pPr>
        <w:pStyle w:val="116"/>
        <w:tabs>
          <w:tab w:val="left" w:pos="0"/>
        </w:tabs>
        <w:adjustRightInd w:val="0"/>
        <w:snapToGrid w:val="0"/>
        <w:spacing w:line="312"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注：政采云公司如对电子化开标及评审程序有调整的，按调整后的程序操作。</w:t>
      </w:r>
    </w:p>
    <w:p w14:paraId="11FC42D7">
      <w:pPr>
        <w:spacing w:line="312" w:lineRule="auto"/>
        <w:ind w:firstLine="480"/>
        <w:rPr>
          <w:rFonts w:hint="eastAsia" w:ascii="宋体" w:hAnsi="宋体" w:cs="宋体"/>
          <w:color w:val="auto"/>
          <w:highlight w:val="none"/>
        </w:rPr>
      </w:pPr>
      <w:r>
        <w:rPr>
          <w:rFonts w:hint="eastAsia" w:ascii="宋体" w:hAnsi="宋体" w:cs="宋体"/>
          <w:color w:val="auto"/>
          <w:highlight w:val="none"/>
        </w:rPr>
        <w:t>18.组建评审小组</w:t>
      </w:r>
    </w:p>
    <w:p w14:paraId="159CE7C2">
      <w:pPr>
        <w:spacing w:line="312" w:lineRule="auto"/>
        <w:ind w:firstLine="480"/>
        <w:rPr>
          <w:rFonts w:hint="eastAsia" w:ascii="宋体" w:hAnsi="宋体" w:cs="宋体"/>
          <w:color w:val="auto"/>
          <w:highlight w:val="none"/>
        </w:rPr>
      </w:pPr>
      <w:r>
        <w:rPr>
          <w:rFonts w:hint="eastAsia" w:ascii="宋体" w:hAnsi="宋体" w:cs="宋体"/>
          <w:color w:val="auto"/>
          <w:highlight w:val="none"/>
        </w:rPr>
        <w:t>18.1采购人根据项目的特点依法组建评审小组，评审小组成员共3人。评审小组负责对竞争性磋商响应文件进行评审和比较，并出具评审结果。</w:t>
      </w:r>
    </w:p>
    <w:p w14:paraId="3F73B30D">
      <w:pP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19.资格性检查和符合性检查 </w:t>
      </w:r>
    </w:p>
    <w:p w14:paraId="54A8CEB1">
      <w:pPr>
        <w:spacing w:line="312" w:lineRule="auto"/>
        <w:ind w:firstLine="480"/>
        <w:rPr>
          <w:rFonts w:hint="eastAsia" w:ascii="宋体" w:hAnsi="宋体" w:cs="宋体"/>
          <w:color w:val="auto"/>
          <w:highlight w:val="none"/>
        </w:rPr>
      </w:pPr>
      <w:r>
        <w:rPr>
          <w:rFonts w:hint="eastAsia" w:ascii="宋体" w:hAnsi="宋体" w:cs="宋体"/>
          <w:color w:val="auto"/>
          <w:highlight w:val="none"/>
        </w:rPr>
        <w:t>19.1资格性检查。依据法律法规和竞争性磋商文件的规定，在对竞争性磋商响应文件详细评估之前，评审小组将依据</w:t>
      </w:r>
      <w:r>
        <w:rPr>
          <w:rFonts w:hint="eastAsia" w:ascii="宋体" w:hAnsi="宋体" w:cs="宋体"/>
          <w:bCs/>
          <w:color w:val="auto"/>
          <w:highlight w:val="none"/>
        </w:rPr>
        <w:t>供应商</w:t>
      </w:r>
      <w:r>
        <w:rPr>
          <w:rFonts w:hint="eastAsia" w:ascii="宋体" w:hAnsi="宋体" w:cs="宋体"/>
          <w:color w:val="auto"/>
          <w:highlight w:val="none"/>
        </w:rPr>
        <w:t>提交的竞争性磋商响应文件按</w:t>
      </w:r>
      <w:r>
        <w:rPr>
          <w:rFonts w:hint="eastAsia" w:ascii="宋体" w:hAnsi="宋体" w:cs="宋体"/>
          <w:bCs/>
          <w:color w:val="auto"/>
          <w:highlight w:val="none"/>
        </w:rPr>
        <w:t>供应商</w:t>
      </w:r>
      <w:r>
        <w:rPr>
          <w:rFonts w:hint="eastAsia" w:ascii="宋体" w:hAnsi="宋体" w:cs="宋体"/>
          <w:color w:val="auto"/>
          <w:highlight w:val="none"/>
        </w:rPr>
        <w:t>须知前附表所述的资格标准对供应商进行资格审查。如果</w:t>
      </w:r>
      <w:r>
        <w:rPr>
          <w:rFonts w:hint="eastAsia" w:ascii="宋体" w:hAnsi="宋体" w:cs="宋体"/>
          <w:bCs/>
          <w:color w:val="auto"/>
          <w:highlight w:val="none"/>
        </w:rPr>
        <w:t>供应商</w:t>
      </w:r>
      <w:r>
        <w:rPr>
          <w:rFonts w:hint="eastAsia" w:ascii="宋体" w:hAnsi="宋体" w:cs="宋体"/>
          <w:color w:val="auto"/>
          <w:highlight w:val="none"/>
        </w:rPr>
        <w:t>不满足竞争性磋商文件所规定的资格标准或提供资格证明文件不全的， 其竞争性磋商响应文件将被否决。</w:t>
      </w:r>
    </w:p>
    <w:p w14:paraId="6B0E3563">
      <w:pPr>
        <w:spacing w:line="312" w:lineRule="auto"/>
        <w:ind w:firstLine="480"/>
        <w:rPr>
          <w:rFonts w:hint="eastAsia" w:ascii="宋体" w:hAnsi="宋体" w:cs="宋体"/>
          <w:color w:val="auto"/>
          <w:highlight w:val="none"/>
        </w:rPr>
      </w:pPr>
      <w:r>
        <w:rPr>
          <w:rFonts w:hint="eastAsia" w:ascii="宋体" w:hAnsi="宋体" w:cs="宋体"/>
          <w:color w:val="auto"/>
          <w:highlight w:val="none"/>
        </w:rPr>
        <w:t>19.2符合性检查。依据竞争性磋商文件的规定，评审小组还将从竞争性磋商响应文件的有效性、完整性和对竞争性磋商文件的响应程度进行审查，以确定是否符合对竞争性磋商文件的实质性要求做出响应。实质性偏离是指：(1)实质性影响合同规定的范围、质量；(2)实质性违背竞争性磋商文件，限制了采购人的权利和供应商合同项下的义务；(3)不公正地影响了其他做出实质性响应的供应商的竞争地位。对没有实质性响应的竞争性磋商响应文件将不进行详细评审，其磋商响应性文件将被否决。</w:t>
      </w:r>
    </w:p>
    <w:p w14:paraId="1B23160C">
      <w:pPr>
        <w:spacing w:line="312" w:lineRule="auto"/>
        <w:ind w:firstLine="480"/>
        <w:rPr>
          <w:rFonts w:hint="eastAsia" w:ascii="宋体" w:hAnsi="宋体" w:cs="宋体"/>
          <w:color w:val="auto"/>
          <w:highlight w:val="none"/>
        </w:rPr>
      </w:pPr>
      <w:r>
        <w:rPr>
          <w:rFonts w:hint="eastAsia" w:ascii="宋体" w:hAnsi="宋体" w:cs="宋体"/>
          <w:color w:val="auto"/>
          <w:highlight w:val="none"/>
        </w:rPr>
        <w:t>20.竞争性磋商响应文件的详细评审</w:t>
      </w:r>
    </w:p>
    <w:p w14:paraId="2C11803C">
      <w:pPr>
        <w:spacing w:line="312" w:lineRule="auto"/>
        <w:ind w:firstLine="480"/>
        <w:rPr>
          <w:rFonts w:hint="eastAsia" w:ascii="宋体" w:hAnsi="宋体" w:cs="宋体"/>
          <w:color w:val="auto"/>
          <w:highlight w:val="none"/>
        </w:rPr>
      </w:pPr>
      <w:r>
        <w:rPr>
          <w:rFonts w:hint="eastAsia" w:ascii="宋体" w:hAnsi="宋体" w:cs="宋体"/>
          <w:color w:val="auto"/>
          <w:highlight w:val="none"/>
        </w:rPr>
        <w:t>20.1对所有</w:t>
      </w:r>
      <w:r>
        <w:rPr>
          <w:rFonts w:hint="eastAsia" w:ascii="宋体" w:hAnsi="宋体" w:cs="宋体"/>
          <w:bCs/>
          <w:color w:val="auto"/>
          <w:highlight w:val="none"/>
        </w:rPr>
        <w:t>供应商</w:t>
      </w:r>
      <w:r>
        <w:rPr>
          <w:rFonts w:hint="eastAsia" w:ascii="宋体" w:hAnsi="宋体" w:cs="宋体"/>
          <w:color w:val="auto"/>
          <w:highlight w:val="none"/>
        </w:rPr>
        <w:t>的评审，都采用相同的程序和标准。评审过程将严格按照竞争性磋商文件的要求和规定进行。</w:t>
      </w:r>
    </w:p>
    <w:p w14:paraId="36714847">
      <w:pPr>
        <w:spacing w:line="312" w:lineRule="auto"/>
        <w:ind w:firstLine="480"/>
        <w:rPr>
          <w:rFonts w:hint="eastAsia" w:ascii="宋体" w:hAnsi="宋体" w:cs="宋体"/>
          <w:color w:val="auto"/>
          <w:highlight w:val="none"/>
        </w:rPr>
      </w:pPr>
      <w:r>
        <w:rPr>
          <w:rFonts w:hint="eastAsia" w:ascii="宋体" w:hAnsi="宋体" w:cs="宋体"/>
          <w:color w:val="auto"/>
          <w:highlight w:val="none"/>
        </w:rPr>
        <w:t>20.2有关竞争性磋商响应文件的审查、评估和比较以及推荐成交候选人的一切情况都不得透露给任何</w:t>
      </w:r>
      <w:r>
        <w:rPr>
          <w:rFonts w:hint="eastAsia" w:ascii="宋体" w:hAnsi="宋体" w:cs="宋体"/>
          <w:bCs/>
          <w:color w:val="auto"/>
          <w:highlight w:val="none"/>
        </w:rPr>
        <w:t>供应商</w:t>
      </w:r>
      <w:r>
        <w:rPr>
          <w:rFonts w:hint="eastAsia" w:ascii="宋体" w:hAnsi="宋体" w:cs="宋体"/>
          <w:color w:val="auto"/>
          <w:highlight w:val="none"/>
        </w:rPr>
        <w:t>或与上述磋商工作无关的人员。</w:t>
      </w:r>
    </w:p>
    <w:p w14:paraId="32EE9466">
      <w:pPr>
        <w:spacing w:line="312" w:lineRule="auto"/>
        <w:ind w:firstLine="480"/>
        <w:rPr>
          <w:rFonts w:hint="eastAsia" w:ascii="宋体" w:hAnsi="宋体" w:cs="宋体"/>
          <w:color w:val="auto"/>
          <w:highlight w:val="none"/>
        </w:rPr>
      </w:pPr>
      <w:r>
        <w:rPr>
          <w:rFonts w:hint="eastAsia" w:ascii="宋体" w:hAnsi="宋体" w:cs="宋体"/>
          <w:color w:val="auto"/>
          <w:highlight w:val="none"/>
        </w:rPr>
        <w:t>20.3</w:t>
      </w:r>
      <w:r>
        <w:rPr>
          <w:rFonts w:hint="eastAsia" w:ascii="宋体" w:hAnsi="宋体" w:cs="宋体"/>
          <w:bCs/>
          <w:color w:val="auto"/>
          <w:highlight w:val="none"/>
        </w:rPr>
        <w:t>供应商</w:t>
      </w:r>
      <w:r>
        <w:rPr>
          <w:rFonts w:hint="eastAsia" w:ascii="宋体" w:hAnsi="宋体" w:cs="宋体"/>
          <w:color w:val="auto"/>
          <w:highlight w:val="none"/>
        </w:rPr>
        <w:t>任何试图影响评委会对竞争性磋商响应文件的评审、比较或者推荐成交候选人的行为，都将导致其磋商响应文件被否决。</w:t>
      </w:r>
    </w:p>
    <w:p w14:paraId="05BFE746">
      <w:pPr>
        <w:spacing w:line="312" w:lineRule="auto"/>
        <w:ind w:firstLine="480"/>
        <w:rPr>
          <w:rFonts w:hint="eastAsia" w:ascii="宋体" w:hAnsi="宋体" w:cs="宋体"/>
          <w:color w:val="auto"/>
          <w:highlight w:val="none"/>
        </w:rPr>
      </w:pPr>
      <w:r>
        <w:rPr>
          <w:rFonts w:hint="eastAsia" w:ascii="宋体" w:hAnsi="宋体" w:cs="宋体"/>
          <w:color w:val="auto"/>
          <w:highlight w:val="none"/>
        </w:rPr>
        <w:t>20.4评审小组将对竞争性磋商响应文件进行检查，以确定竞争性磋商响应文件是否完整、有无计算上的错误、文件是否已正确签署等。</w:t>
      </w:r>
    </w:p>
    <w:p w14:paraId="2E181038">
      <w:pPr>
        <w:spacing w:line="312" w:lineRule="auto"/>
        <w:ind w:firstLine="480"/>
        <w:rPr>
          <w:rFonts w:hint="eastAsia" w:ascii="宋体" w:hAnsi="宋体" w:cs="宋体"/>
          <w:color w:val="auto"/>
          <w:highlight w:val="none"/>
        </w:rPr>
      </w:pPr>
      <w:r>
        <w:rPr>
          <w:rFonts w:hint="eastAsia" w:ascii="宋体" w:hAnsi="宋体" w:cs="宋体"/>
          <w:color w:val="auto"/>
          <w:highlight w:val="none"/>
        </w:rPr>
        <w:t>20.5 算术错误将按以下方法更正：</w:t>
      </w:r>
    </w:p>
    <w:p w14:paraId="6C32F920">
      <w:pPr>
        <w:spacing w:line="312" w:lineRule="auto"/>
        <w:ind w:firstLine="480"/>
        <w:rPr>
          <w:rFonts w:hint="eastAsia" w:ascii="宋体" w:hAnsi="宋体" w:cs="宋体"/>
          <w:color w:val="auto"/>
          <w:highlight w:val="none"/>
        </w:rPr>
      </w:pPr>
      <w:r>
        <w:rPr>
          <w:rFonts w:hint="eastAsia" w:ascii="宋体" w:hAnsi="宋体" w:cs="宋体"/>
          <w:color w:val="auto"/>
          <w:highlight w:val="none"/>
        </w:rPr>
        <w:t>20.5.1竞争性磋商响应文件中评审一览表(首次报价一览表)内容与竞争性磋商响应文件中明细表内容不一致的，以评审一览表(首次报价一览表)为准。</w:t>
      </w:r>
    </w:p>
    <w:p w14:paraId="7A8C3715">
      <w:pPr>
        <w:spacing w:line="312" w:lineRule="auto"/>
        <w:ind w:firstLine="480"/>
        <w:rPr>
          <w:rFonts w:hint="eastAsia" w:ascii="宋体" w:hAnsi="宋体" w:cs="宋体"/>
          <w:color w:val="auto"/>
          <w:highlight w:val="none"/>
        </w:rPr>
      </w:pPr>
      <w:r>
        <w:rPr>
          <w:rFonts w:hint="eastAsia" w:ascii="宋体" w:hAnsi="宋体" w:cs="宋体"/>
          <w:color w:val="auto"/>
          <w:highlight w:val="none"/>
        </w:rPr>
        <w:t>20.5.2竞争性磋商响应文件的大写金额和小写金额不一致的，以大写金额为准；总价金额与按单价汇总金额不一致的，以单价金额计算结果为准；对不同文字文本导致竞争性磋商响应文件的解释发生异议的，以中文文本为准。</w:t>
      </w:r>
    </w:p>
    <w:p w14:paraId="702A2792">
      <w:pPr>
        <w:spacing w:line="312" w:lineRule="auto"/>
        <w:ind w:firstLine="480"/>
        <w:rPr>
          <w:rFonts w:hint="eastAsia" w:ascii="宋体" w:hAnsi="宋体" w:cs="宋体"/>
          <w:color w:val="auto"/>
          <w:highlight w:val="none"/>
        </w:rPr>
      </w:pPr>
      <w:r>
        <w:rPr>
          <w:rFonts w:hint="eastAsia" w:ascii="宋体" w:hAnsi="宋体" w:cs="宋体"/>
          <w:color w:val="auto"/>
          <w:highlight w:val="none"/>
        </w:rPr>
        <w:t>20.5.3如果</w:t>
      </w:r>
      <w:r>
        <w:rPr>
          <w:rFonts w:hint="eastAsia" w:ascii="宋体" w:hAnsi="宋体" w:cs="宋体"/>
          <w:bCs/>
          <w:color w:val="auto"/>
          <w:highlight w:val="none"/>
        </w:rPr>
        <w:t>供应商</w:t>
      </w:r>
      <w:r>
        <w:rPr>
          <w:rFonts w:hint="eastAsia" w:ascii="宋体" w:hAnsi="宋体" w:cs="宋体"/>
          <w:color w:val="auto"/>
          <w:highlight w:val="none"/>
        </w:rPr>
        <w:t>不接受按上述方法对竞争性磋商响应文件中的算术错误进行更正，其磋商响应文件将被否决。</w:t>
      </w:r>
    </w:p>
    <w:p w14:paraId="1C3D117D">
      <w:pPr>
        <w:spacing w:line="312" w:lineRule="auto"/>
        <w:ind w:firstLine="480"/>
        <w:rPr>
          <w:rFonts w:hint="eastAsia" w:ascii="宋体" w:hAnsi="宋体" w:cs="宋体"/>
          <w:color w:val="auto"/>
          <w:highlight w:val="none"/>
        </w:rPr>
      </w:pPr>
      <w:r>
        <w:rPr>
          <w:rFonts w:hint="eastAsia" w:ascii="宋体" w:hAnsi="宋体" w:cs="宋体"/>
          <w:color w:val="auto"/>
          <w:highlight w:val="none"/>
        </w:rPr>
        <w:t>21.竞争性评审小组在评审过程中发现供应商存在下列情形之一的，可认定其有串通响应行为，并做出其响应无效的决定：</w:t>
      </w:r>
    </w:p>
    <w:p w14:paraId="6DD4AF37">
      <w:pPr>
        <w:spacing w:line="312" w:lineRule="auto"/>
        <w:ind w:firstLine="480"/>
        <w:rPr>
          <w:rFonts w:hint="eastAsia" w:ascii="宋体" w:hAnsi="宋体" w:cs="宋体"/>
          <w:color w:val="auto"/>
          <w:highlight w:val="none"/>
        </w:rPr>
      </w:pPr>
      <w:r>
        <w:rPr>
          <w:rFonts w:hint="eastAsia" w:ascii="宋体" w:hAnsi="宋体" w:cs="宋体"/>
          <w:color w:val="auto"/>
          <w:highlight w:val="none"/>
        </w:rPr>
        <w:t>21.1不同</w:t>
      </w:r>
      <w:r>
        <w:rPr>
          <w:rFonts w:hint="eastAsia" w:ascii="宋体" w:hAnsi="宋体" w:cs="宋体"/>
          <w:bCs/>
          <w:color w:val="auto"/>
          <w:highlight w:val="none"/>
        </w:rPr>
        <w:t>供应商</w:t>
      </w:r>
      <w:r>
        <w:rPr>
          <w:rFonts w:hint="eastAsia" w:ascii="宋体" w:hAnsi="宋体" w:cs="宋体"/>
          <w:color w:val="auto"/>
          <w:highlight w:val="none"/>
        </w:rPr>
        <w:t>的竞争性磋商响应文件错、漏之处一致或雷同，且不能合理解释的；</w:t>
      </w:r>
    </w:p>
    <w:p w14:paraId="1352C3C6">
      <w:pPr>
        <w:spacing w:line="312" w:lineRule="auto"/>
        <w:ind w:firstLine="480"/>
        <w:rPr>
          <w:rFonts w:hint="eastAsia" w:ascii="宋体" w:hAnsi="宋体" w:cs="宋体"/>
          <w:color w:val="auto"/>
          <w:highlight w:val="none"/>
        </w:rPr>
      </w:pPr>
      <w:r>
        <w:rPr>
          <w:rFonts w:hint="eastAsia" w:ascii="宋体" w:hAnsi="宋体" w:cs="宋体"/>
          <w:color w:val="auto"/>
          <w:highlight w:val="none"/>
        </w:rPr>
        <w:t>21.2不同的</w:t>
      </w:r>
      <w:r>
        <w:rPr>
          <w:rFonts w:hint="eastAsia" w:ascii="宋体" w:hAnsi="宋体" w:cs="宋体"/>
          <w:bCs/>
          <w:color w:val="auto"/>
          <w:highlight w:val="none"/>
        </w:rPr>
        <w:t>供应商</w:t>
      </w:r>
      <w:r>
        <w:rPr>
          <w:rFonts w:hint="eastAsia" w:ascii="宋体" w:hAnsi="宋体" w:cs="宋体"/>
          <w:color w:val="auto"/>
          <w:highlight w:val="none"/>
        </w:rPr>
        <w:t>的法定代表人、委托代理人等由同一个单位缴纳社会保险的；</w:t>
      </w:r>
    </w:p>
    <w:p w14:paraId="692D40E5">
      <w:pPr>
        <w:spacing w:line="312" w:lineRule="auto"/>
        <w:ind w:firstLine="480"/>
        <w:rPr>
          <w:rFonts w:hint="eastAsia" w:ascii="宋体" w:hAnsi="宋体" w:cs="宋体"/>
          <w:color w:val="auto"/>
          <w:highlight w:val="none"/>
        </w:rPr>
      </w:pPr>
      <w:r>
        <w:rPr>
          <w:rFonts w:hint="eastAsia" w:ascii="宋体" w:hAnsi="宋体" w:cs="宋体"/>
          <w:color w:val="auto"/>
          <w:highlight w:val="none"/>
        </w:rPr>
        <w:t>21.3有关法律法规或规章规定的其他串通磋商活动的行为。</w:t>
      </w:r>
    </w:p>
    <w:p w14:paraId="081F735A">
      <w:pPr>
        <w:spacing w:line="312" w:lineRule="auto"/>
        <w:ind w:firstLine="480"/>
        <w:rPr>
          <w:rFonts w:hint="eastAsia" w:ascii="宋体" w:hAnsi="宋体" w:cs="宋体"/>
          <w:color w:val="auto"/>
          <w:highlight w:val="none"/>
        </w:rPr>
      </w:pPr>
      <w:r>
        <w:rPr>
          <w:rFonts w:hint="eastAsia" w:ascii="宋体" w:hAnsi="宋体" w:cs="宋体"/>
          <w:color w:val="auto"/>
          <w:highlight w:val="none"/>
        </w:rPr>
        <w:t>22.评审小组决定磋商的响应性只根据竞争性磋商响应文件本身的内容，而不寻求其他的外部证据。</w:t>
      </w:r>
    </w:p>
    <w:p w14:paraId="3998F539">
      <w:pPr>
        <w:spacing w:line="312" w:lineRule="auto"/>
        <w:ind w:firstLine="480"/>
        <w:rPr>
          <w:rFonts w:hint="eastAsia" w:ascii="宋体" w:hAnsi="宋体" w:cs="宋体"/>
          <w:color w:val="auto"/>
          <w:highlight w:val="none"/>
        </w:rPr>
      </w:pPr>
      <w:r>
        <w:rPr>
          <w:rFonts w:hint="eastAsia" w:ascii="宋体" w:hAnsi="宋体" w:cs="宋体"/>
          <w:color w:val="auto"/>
          <w:highlight w:val="none"/>
        </w:rPr>
        <w:t>23.竞争性磋商响应文件的澄清</w:t>
      </w:r>
    </w:p>
    <w:p w14:paraId="3C046805">
      <w:pPr>
        <w:spacing w:line="312" w:lineRule="auto"/>
        <w:ind w:firstLine="480"/>
        <w:rPr>
          <w:rFonts w:hint="eastAsia" w:ascii="宋体" w:hAnsi="宋体" w:cs="宋体"/>
          <w:color w:val="auto"/>
          <w:highlight w:val="none"/>
        </w:rPr>
      </w:pPr>
      <w:r>
        <w:rPr>
          <w:rFonts w:hint="eastAsia" w:ascii="宋体" w:hAnsi="宋体" w:cs="宋体"/>
          <w:color w:val="auto"/>
          <w:highlight w:val="none"/>
        </w:rPr>
        <w:t>23.1对竞争性磋商响应文件中含义不明确、同类问题表述不一致或者有明显文字和计算错误的内容，评审小组可以书面形式或口头形式要求供应商做出必要的澄清、说明或者纠正。</w:t>
      </w:r>
      <w:r>
        <w:rPr>
          <w:rFonts w:hint="eastAsia" w:ascii="宋体" w:hAnsi="宋体" w:cs="宋体"/>
          <w:bCs/>
          <w:color w:val="auto"/>
          <w:highlight w:val="none"/>
        </w:rPr>
        <w:t>供应商</w:t>
      </w:r>
      <w:r>
        <w:rPr>
          <w:rFonts w:hint="eastAsia" w:ascii="宋体" w:hAnsi="宋体" w:cs="宋体"/>
          <w:color w:val="auto"/>
          <w:highlight w:val="none"/>
        </w:rPr>
        <w:t>的澄清、说明或者纠正应当在评审小组规定的时间内以书面形式做出，由其法定代表人或者授权代表签字，并不得超出竞争性磋商响应文件的范围或者改变竞争性磋商响应文件的实质性内容。</w:t>
      </w:r>
    </w:p>
    <w:p w14:paraId="10175944">
      <w:pPr>
        <w:spacing w:line="312" w:lineRule="auto"/>
        <w:ind w:firstLine="480"/>
        <w:rPr>
          <w:rFonts w:hint="eastAsia" w:ascii="宋体" w:hAnsi="宋体" w:cs="宋体"/>
          <w:color w:val="auto"/>
          <w:highlight w:val="none"/>
        </w:rPr>
      </w:pPr>
      <w:r>
        <w:rPr>
          <w:rFonts w:hint="eastAsia" w:ascii="宋体" w:hAnsi="宋体" w:cs="宋体"/>
          <w:color w:val="auto"/>
          <w:highlight w:val="none"/>
        </w:rPr>
        <w:t>24.比较与评审</w:t>
      </w:r>
    </w:p>
    <w:p w14:paraId="6AC84A2F">
      <w:pPr>
        <w:spacing w:line="312" w:lineRule="auto"/>
        <w:ind w:firstLine="480"/>
        <w:rPr>
          <w:rFonts w:hint="eastAsia" w:ascii="宋体" w:hAnsi="宋体" w:cs="宋体"/>
          <w:color w:val="auto"/>
          <w:highlight w:val="none"/>
        </w:rPr>
      </w:pPr>
      <w:r>
        <w:rPr>
          <w:rFonts w:hint="eastAsia" w:ascii="宋体" w:hAnsi="宋体" w:cs="宋体"/>
          <w:color w:val="auto"/>
          <w:highlight w:val="none"/>
        </w:rPr>
        <w:t>24.1评审小组将按竞争性磋商文件第四章规定的磋商原则和磋商方法，对资格性</w:t>
      </w:r>
      <w:r>
        <w:rPr>
          <w:rFonts w:hint="eastAsia" w:ascii="宋体" w:hAnsi="宋体" w:cs="宋体"/>
          <w:color w:val="auto"/>
          <w:highlight w:val="none"/>
          <w:lang w:val="en-US" w:eastAsia="zh-CN"/>
        </w:rPr>
        <w:t>审查</w:t>
      </w:r>
      <w:r>
        <w:rPr>
          <w:rFonts w:hint="eastAsia" w:ascii="宋体" w:hAnsi="宋体" w:cs="宋体"/>
          <w:color w:val="auto"/>
          <w:highlight w:val="none"/>
        </w:rPr>
        <w:t>和符合性</w:t>
      </w:r>
      <w:r>
        <w:rPr>
          <w:rFonts w:hint="eastAsia" w:ascii="宋体" w:hAnsi="宋体" w:cs="宋体"/>
          <w:color w:val="auto"/>
          <w:highlight w:val="none"/>
          <w:lang w:val="en-US" w:eastAsia="zh-CN"/>
        </w:rPr>
        <w:t>审查</w:t>
      </w:r>
      <w:r>
        <w:rPr>
          <w:rFonts w:hint="eastAsia" w:ascii="宋体" w:hAnsi="宋体" w:cs="宋体"/>
          <w:color w:val="auto"/>
          <w:highlight w:val="none"/>
        </w:rPr>
        <w:t>合格的竞争性磋商响应文件进行资信技术部分和报价部分详细评审，进行综合打分。</w:t>
      </w:r>
    </w:p>
    <w:p w14:paraId="20D2EE07">
      <w:pPr>
        <w:spacing w:line="312" w:lineRule="auto"/>
        <w:ind w:firstLine="480"/>
        <w:rPr>
          <w:rFonts w:hint="eastAsia" w:ascii="宋体" w:hAnsi="宋体" w:cs="宋体"/>
          <w:color w:val="auto"/>
          <w:highlight w:val="none"/>
        </w:rPr>
      </w:pPr>
      <w:r>
        <w:rPr>
          <w:rFonts w:hint="eastAsia" w:ascii="宋体" w:hAnsi="宋体" w:cs="宋体"/>
          <w:color w:val="auto"/>
          <w:highlight w:val="none"/>
        </w:rPr>
        <w:t>24.2若</w:t>
      </w:r>
      <w:r>
        <w:rPr>
          <w:rFonts w:hint="eastAsia" w:ascii="宋体" w:hAnsi="宋体" w:cs="宋体"/>
          <w:bCs/>
          <w:color w:val="auto"/>
          <w:highlight w:val="none"/>
        </w:rPr>
        <w:t>供应商</w:t>
      </w:r>
      <w:r>
        <w:rPr>
          <w:rFonts w:hint="eastAsia" w:ascii="宋体" w:hAnsi="宋体" w:cs="宋体"/>
          <w:color w:val="auto"/>
          <w:highlight w:val="none"/>
        </w:rPr>
        <w:t>的报价明显低于其他报价，使得其项目报价可能低于其个别成本的，有可能影响服务质量或诚信履约的，</w:t>
      </w:r>
      <w:r>
        <w:rPr>
          <w:rFonts w:hint="eastAsia" w:ascii="宋体" w:hAnsi="宋体" w:cs="宋体"/>
          <w:bCs/>
          <w:color w:val="auto"/>
          <w:highlight w:val="none"/>
        </w:rPr>
        <w:t>供应商</w:t>
      </w:r>
      <w:r>
        <w:rPr>
          <w:rFonts w:hint="eastAsia" w:ascii="宋体" w:hAnsi="宋体" w:cs="宋体"/>
          <w:color w:val="auto"/>
          <w:highlight w:val="none"/>
        </w:rPr>
        <w:t>应按评审小组要求作出书面说明并提供相关证明材料，否则其响应文件将被否决。</w:t>
      </w:r>
    </w:p>
    <w:p w14:paraId="57024D3F">
      <w:pPr>
        <w:spacing w:line="312" w:lineRule="auto"/>
        <w:ind w:firstLine="480"/>
        <w:rPr>
          <w:rFonts w:hint="eastAsia" w:ascii="宋体" w:hAnsi="宋体" w:cs="宋体"/>
          <w:color w:val="auto"/>
          <w:highlight w:val="none"/>
        </w:rPr>
      </w:pPr>
      <w:r>
        <w:rPr>
          <w:rFonts w:hint="eastAsia" w:ascii="宋体" w:hAnsi="宋体" w:cs="宋体"/>
          <w:color w:val="auto"/>
          <w:highlight w:val="none"/>
        </w:rPr>
        <w:t>24.3</w:t>
      </w:r>
      <w:r>
        <w:rPr>
          <w:rFonts w:hint="eastAsia" w:ascii="宋体" w:hAnsi="宋体" w:cs="宋体"/>
          <w:bCs/>
          <w:color w:val="auto"/>
          <w:kern w:val="0"/>
          <w:highlight w:val="none"/>
        </w:rPr>
        <w:t>评审小组应当从质量和规格均能满足竞争性磋商文件实质性要求的供应商中，按照综合得分由高到低的顺序推荐3名成交候选人。</w:t>
      </w:r>
    </w:p>
    <w:p w14:paraId="0E5A4767">
      <w:pPr>
        <w:pStyle w:val="4"/>
        <w:spacing w:beforeLines="0" w:afterLines="0" w:line="312" w:lineRule="auto"/>
        <w:rPr>
          <w:rFonts w:hint="eastAsia" w:ascii="宋体" w:hAnsi="宋体" w:cs="宋体"/>
          <w:color w:val="auto"/>
          <w:highlight w:val="none"/>
        </w:rPr>
      </w:pPr>
      <w:bookmarkStart w:id="522" w:name="_Toc19370"/>
      <w:bookmarkStart w:id="523" w:name="_Toc12195"/>
      <w:bookmarkStart w:id="524" w:name="_Toc13427"/>
      <w:bookmarkStart w:id="525" w:name="_Toc20942"/>
      <w:bookmarkStart w:id="526" w:name="_Toc8659"/>
      <w:bookmarkStart w:id="527" w:name="_Toc31660"/>
      <w:bookmarkStart w:id="528" w:name="_Toc25658"/>
      <w:bookmarkStart w:id="529" w:name="_Toc1694"/>
      <w:bookmarkStart w:id="530" w:name="_Toc18454"/>
      <w:bookmarkStart w:id="531" w:name="_Toc9028"/>
      <w:bookmarkStart w:id="532" w:name="_Toc9920"/>
      <w:bookmarkStart w:id="533" w:name="_Toc14940"/>
      <w:bookmarkStart w:id="534" w:name="_Toc13658"/>
      <w:bookmarkStart w:id="535" w:name="_Toc14206"/>
      <w:bookmarkStart w:id="536" w:name="_Toc3021"/>
      <w:bookmarkStart w:id="537" w:name="_Toc3030"/>
      <w:bookmarkStart w:id="538" w:name="_Toc1838"/>
      <w:bookmarkStart w:id="539" w:name="_Toc27563"/>
      <w:bookmarkStart w:id="540" w:name="_Toc10715"/>
      <w:bookmarkStart w:id="541" w:name="_Toc5304"/>
      <w:bookmarkStart w:id="542" w:name="_Toc2986"/>
      <w:bookmarkStart w:id="543" w:name="_Toc8382"/>
      <w:bookmarkStart w:id="544" w:name="_Toc3232"/>
      <w:bookmarkStart w:id="545" w:name="_Toc20686"/>
      <w:bookmarkStart w:id="546" w:name="_Toc888"/>
      <w:bookmarkStart w:id="547" w:name="_Toc28489"/>
      <w:bookmarkStart w:id="548" w:name="_Toc4559"/>
      <w:bookmarkStart w:id="549" w:name="_Toc29322"/>
      <w:bookmarkStart w:id="550" w:name="_Toc16496"/>
      <w:bookmarkStart w:id="551" w:name="_Toc26501"/>
      <w:bookmarkStart w:id="552" w:name="_Toc11572"/>
      <w:bookmarkStart w:id="553" w:name="_Toc6683"/>
      <w:bookmarkStart w:id="554" w:name="_Toc30523"/>
      <w:bookmarkStart w:id="555" w:name="_Toc18447"/>
      <w:bookmarkStart w:id="556" w:name="_Toc31543"/>
      <w:bookmarkStart w:id="557" w:name="_Toc19834"/>
      <w:bookmarkStart w:id="558" w:name="_Toc31581"/>
      <w:bookmarkStart w:id="559" w:name="_Toc23102"/>
      <w:bookmarkStart w:id="560" w:name="_Toc9208"/>
      <w:bookmarkStart w:id="561" w:name="_Toc11323"/>
      <w:bookmarkStart w:id="562" w:name="_Toc16616"/>
      <w:bookmarkStart w:id="563" w:name="_Toc17604"/>
      <w:bookmarkStart w:id="564" w:name="_Toc7610"/>
      <w:bookmarkStart w:id="565" w:name="_Toc27036"/>
      <w:bookmarkStart w:id="566" w:name="_Toc24664"/>
      <w:bookmarkStart w:id="567" w:name="_Toc4715"/>
      <w:bookmarkStart w:id="568" w:name="_Toc27820"/>
      <w:bookmarkStart w:id="569" w:name="_Toc391298960"/>
      <w:r>
        <w:rPr>
          <w:rFonts w:hint="eastAsia" w:ascii="宋体" w:hAnsi="宋体" w:cs="宋体"/>
          <w:color w:val="auto"/>
          <w:highlight w:val="none"/>
        </w:rPr>
        <w:t>六</w:t>
      </w:r>
      <w:r>
        <w:rPr>
          <w:rFonts w:hint="eastAsia" w:ascii="宋体" w:hAnsi="宋体" w:cs="宋体"/>
          <w:color w:val="auto"/>
          <w:highlight w:val="none"/>
          <w:lang w:val="zh-CN"/>
        </w:rPr>
        <w:t>、磋商无效的情形</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871E1E8">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25.实质上没有响应磋商文件要求的响应文件将被视为无效磋商。供应商不得通过修正或撤销不合要求的偏离或保留从而使其磋商成为实质上响应的磋商。如发生下列情况之一的，其响应文件视为无效：</w:t>
      </w:r>
    </w:p>
    <w:p w14:paraId="03F4508F">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25.1响应文件逾期送达的；</w:t>
      </w:r>
    </w:p>
    <w:p w14:paraId="4EC3382B">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25.2不具备磋商文件规定的资格要求；</w:t>
      </w:r>
    </w:p>
    <w:p w14:paraId="324EA8A2">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25.3响应文件有应盖而未盖公章、应签字而未签字；未按规定装订、胶装、密封、未有效授权的；</w:t>
      </w:r>
    </w:p>
    <w:p w14:paraId="0EA80E9E">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25.4磋商响应文件中有▲处条款供应商未作实质性响应的；</w:t>
      </w:r>
    </w:p>
    <w:p w14:paraId="60458CFA">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25.5供应商的报价</w:t>
      </w:r>
      <w:r>
        <w:rPr>
          <w:rFonts w:hint="eastAsia" w:ascii="宋体" w:hAnsi="宋体" w:cs="宋体"/>
          <w:bCs/>
          <w:color w:val="auto"/>
          <w:highlight w:val="none"/>
          <w:lang w:val="zh-CN"/>
        </w:rPr>
        <w:t>明显低于其他通过符合性审查供应商的报价，有可能影响产品质量或者不能诚信履约的</w:t>
      </w:r>
      <w:r>
        <w:rPr>
          <w:rFonts w:hint="eastAsia" w:ascii="宋体" w:hAnsi="宋体" w:cs="宋体"/>
          <w:bCs/>
          <w:color w:val="auto"/>
          <w:highlight w:val="none"/>
        </w:rPr>
        <w:t>，不能合理说明原因并提供证明材料的；</w:t>
      </w:r>
    </w:p>
    <w:p w14:paraId="673E3AE5">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25.6响应文件关键内容字迹模糊、无法辨认的；</w:t>
      </w:r>
    </w:p>
    <w:p w14:paraId="5966487E">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25.7商务技术得分低于商务技术总分60%</w:t>
      </w:r>
      <w:r>
        <w:rPr>
          <w:rFonts w:hint="eastAsia" w:ascii="宋体" w:hAnsi="宋体" w:cs="宋体"/>
          <w:b/>
          <w:color w:val="auto"/>
          <w:highlight w:val="none"/>
        </w:rPr>
        <w:t>；</w:t>
      </w:r>
    </w:p>
    <w:p w14:paraId="43F7F9CB">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25.8 政采云系统显示MAC地址相同、计算机硬盘序列号相同、IP地址相同；投标文件细节错误一致且无合理解释的；</w:t>
      </w:r>
    </w:p>
    <w:p w14:paraId="1B36A96E">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25.9报价超出采购预算价的；</w:t>
      </w:r>
    </w:p>
    <w:p w14:paraId="1B0E9BC8">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25.10提供虚假材料谋取成交的；</w:t>
      </w:r>
    </w:p>
    <w:p w14:paraId="1A7B11B0">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25.11不符合法律法规和磋商文件规定的其他实质性要求的。</w:t>
      </w:r>
    </w:p>
    <w:p w14:paraId="7E625218">
      <w:pPr>
        <w:pStyle w:val="4"/>
        <w:spacing w:beforeLines="0" w:afterLines="0" w:line="312" w:lineRule="auto"/>
        <w:rPr>
          <w:rFonts w:hint="eastAsia" w:ascii="宋体" w:hAnsi="宋体" w:cs="宋体"/>
          <w:color w:val="auto"/>
          <w:highlight w:val="none"/>
        </w:rPr>
      </w:pPr>
      <w:bookmarkStart w:id="570" w:name="_Toc21577"/>
      <w:bookmarkStart w:id="571" w:name="_Toc31993"/>
      <w:bookmarkStart w:id="572" w:name="_Toc24122"/>
      <w:bookmarkStart w:id="573" w:name="_Toc9363"/>
      <w:bookmarkStart w:id="574" w:name="_Toc31113"/>
      <w:bookmarkStart w:id="575" w:name="_Toc3135"/>
      <w:bookmarkStart w:id="576" w:name="_Toc10195"/>
      <w:bookmarkStart w:id="577" w:name="_Toc14426"/>
      <w:bookmarkStart w:id="578" w:name="_Toc13023"/>
      <w:bookmarkStart w:id="579" w:name="_Toc26099"/>
      <w:bookmarkStart w:id="580" w:name="_Toc2096"/>
      <w:bookmarkStart w:id="581" w:name="_Toc20007"/>
      <w:bookmarkStart w:id="582" w:name="_Toc30533"/>
      <w:bookmarkStart w:id="583" w:name="_Toc15744"/>
      <w:bookmarkStart w:id="584" w:name="_Toc10576"/>
      <w:bookmarkStart w:id="585" w:name="_Toc28073"/>
      <w:bookmarkStart w:id="586" w:name="_Toc14987"/>
      <w:bookmarkStart w:id="587" w:name="_Toc29288"/>
      <w:bookmarkStart w:id="588" w:name="_Toc14913"/>
      <w:bookmarkStart w:id="589" w:name="_Toc26374"/>
      <w:bookmarkStart w:id="590" w:name="_Toc29578"/>
      <w:bookmarkStart w:id="591" w:name="_Toc1760"/>
      <w:bookmarkStart w:id="592" w:name="_Toc3812"/>
      <w:bookmarkStart w:id="593" w:name="_Toc9408"/>
      <w:bookmarkStart w:id="594" w:name="_Toc23319"/>
      <w:bookmarkStart w:id="595" w:name="_Toc10296"/>
      <w:bookmarkStart w:id="596" w:name="_Toc28522"/>
      <w:bookmarkStart w:id="597" w:name="_Toc30714"/>
      <w:bookmarkStart w:id="598" w:name="_Toc11948"/>
      <w:bookmarkStart w:id="599" w:name="_Toc32745"/>
      <w:bookmarkStart w:id="600" w:name="_Toc27983"/>
      <w:bookmarkStart w:id="601" w:name="_Toc8740"/>
      <w:bookmarkStart w:id="602" w:name="_Toc17884"/>
      <w:bookmarkStart w:id="603" w:name="_Toc8516"/>
      <w:bookmarkStart w:id="604" w:name="_Toc15409"/>
      <w:bookmarkStart w:id="605" w:name="_Toc15865"/>
      <w:bookmarkStart w:id="606" w:name="_Toc3245"/>
      <w:bookmarkStart w:id="607" w:name="_Toc7938"/>
      <w:bookmarkStart w:id="608" w:name="_Toc27232"/>
      <w:bookmarkStart w:id="609" w:name="_Toc11430"/>
      <w:bookmarkStart w:id="610" w:name="_Toc28251"/>
      <w:r>
        <w:rPr>
          <w:rFonts w:hint="eastAsia" w:ascii="宋体" w:hAnsi="宋体" w:cs="宋体"/>
          <w:color w:val="auto"/>
          <w:highlight w:val="none"/>
        </w:rPr>
        <w:t>七、废标的情形</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1CF455A9">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26.采购中，出现下列情形之一的，应予废标。废标后，采购人应将废标理由通知所有供应商：</w:t>
      </w:r>
    </w:p>
    <w:p w14:paraId="64870072">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26.1因情况变化，不再符合规定的竞争性磋商采购方式适用情形的；</w:t>
      </w:r>
    </w:p>
    <w:p w14:paraId="2A28FD44">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26.2符合专业条件的供应商或者对磋商文件实质响应的供应商不足三家的；</w:t>
      </w:r>
    </w:p>
    <w:p w14:paraId="0188EA1B">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26.3出现影响采购公正的违法、违规行为的；</w:t>
      </w:r>
    </w:p>
    <w:p w14:paraId="7C89BD76">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26.4供应商的报价均超过了采购预算，采购人不能支付的；</w:t>
      </w:r>
    </w:p>
    <w:p w14:paraId="4B3645CA">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26.5因重大变故，采购任务取消的；</w:t>
      </w:r>
    </w:p>
    <w:p w14:paraId="7C202760">
      <w:pPr>
        <w:pStyle w:val="4"/>
        <w:spacing w:beforeLines="0" w:afterLines="0" w:line="312" w:lineRule="auto"/>
        <w:rPr>
          <w:rFonts w:hint="eastAsia" w:ascii="宋体" w:hAnsi="宋体" w:cs="宋体"/>
          <w:color w:val="auto"/>
          <w:highlight w:val="none"/>
        </w:rPr>
      </w:pPr>
      <w:bookmarkStart w:id="611" w:name="_Toc26511"/>
      <w:bookmarkStart w:id="612" w:name="_Toc20359"/>
      <w:bookmarkStart w:id="613" w:name="_Toc13782"/>
      <w:bookmarkStart w:id="614" w:name="_Toc12242"/>
      <w:bookmarkStart w:id="615" w:name="_Toc15120"/>
      <w:bookmarkStart w:id="616" w:name="_Toc19293"/>
      <w:bookmarkStart w:id="617" w:name="_Toc23284"/>
      <w:bookmarkStart w:id="618" w:name="_Toc21714"/>
      <w:bookmarkStart w:id="619" w:name="_Toc4966"/>
      <w:bookmarkStart w:id="620" w:name="_Toc29182"/>
      <w:bookmarkStart w:id="621" w:name="_Toc13267"/>
      <w:bookmarkStart w:id="622" w:name="_Toc24019"/>
      <w:bookmarkStart w:id="623" w:name="_Toc23207"/>
      <w:bookmarkStart w:id="624" w:name="_Toc5245"/>
      <w:bookmarkStart w:id="625" w:name="_Toc24803"/>
      <w:bookmarkStart w:id="626" w:name="_Toc5925"/>
      <w:bookmarkStart w:id="627" w:name="_Toc11229"/>
      <w:bookmarkStart w:id="628" w:name="_Toc26913"/>
      <w:bookmarkStart w:id="629" w:name="_Toc11733"/>
      <w:bookmarkStart w:id="630" w:name="_Toc11181"/>
      <w:bookmarkStart w:id="631" w:name="_Toc29713"/>
      <w:bookmarkStart w:id="632" w:name="_Toc9986"/>
      <w:bookmarkStart w:id="633" w:name="_Toc5181"/>
      <w:bookmarkStart w:id="634" w:name="_Toc2355"/>
      <w:bookmarkStart w:id="635" w:name="_Toc5579"/>
      <w:bookmarkStart w:id="636" w:name="_Toc13792"/>
      <w:bookmarkStart w:id="637" w:name="_Toc19003"/>
      <w:bookmarkStart w:id="638" w:name="_Toc29067"/>
      <w:bookmarkStart w:id="639" w:name="_Toc27510"/>
      <w:bookmarkStart w:id="640" w:name="_Toc27233"/>
      <w:bookmarkStart w:id="641" w:name="_Toc30059"/>
      <w:bookmarkStart w:id="642" w:name="_Toc22658"/>
      <w:bookmarkStart w:id="643" w:name="_Toc10246"/>
      <w:bookmarkStart w:id="644" w:name="_Toc7356"/>
      <w:bookmarkStart w:id="645" w:name="_Toc20271"/>
      <w:bookmarkStart w:id="646" w:name="_Toc5477"/>
      <w:bookmarkStart w:id="647" w:name="_Toc6271"/>
      <w:bookmarkStart w:id="648" w:name="_Toc23403"/>
      <w:bookmarkStart w:id="649" w:name="_Toc8737"/>
      <w:bookmarkStart w:id="650" w:name="_Toc17004"/>
      <w:bookmarkStart w:id="651" w:name="_Toc11014"/>
      <w:r>
        <w:rPr>
          <w:rFonts w:hint="eastAsia" w:ascii="宋体" w:hAnsi="宋体" w:cs="宋体"/>
          <w:color w:val="auto"/>
          <w:highlight w:val="none"/>
        </w:rPr>
        <w:t>八、确定成交供应商与签订合同</w:t>
      </w:r>
      <w:bookmarkEnd w:id="563"/>
      <w:bookmarkEnd w:id="564"/>
      <w:bookmarkEnd w:id="565"/>
      <w:bookmarkEnd w:id="566"/>
      <w:bookmarkEnd w:id="567"/>
      <w:bookmarkEnd w:id="568"/>
      <w:bookmarkEnd w:id="569"/>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78939BA3">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27.确定成交供应商准则</w:t>
      </w:r>
    </w:p>
    <w:p w14:paraId="51C6AF8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27.1本项目采用综合评分法，评审出得分最高的3名成交候选人。</w:t>
      </w:r>
    </w:p>
    <w:p w14:paraId="4E48BCDD">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27.2采购人原则上应确定排名第一位的成交候选人作为成交供应商。</w:t>
      </w:r>
    </w:p>
    <w:p w14:paraId="57823690">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27.3采购人只对评审结果负责，不对评审结果做任何解释。</w:t>
      </w:r>
    </w:p>
    <w:p w14:paraId="397408B5">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28.成交通知</w:t>
      </w:r>
    </w:p>
    <w:p w14:paraId="337ECBCA">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28.1采购人确定成交供应商后应及时向成交供应商发出《成交通知书》。《成交通知书》对采购人和成交供应商具有同等法律效力。《成交通知书》发出后，采购人改变成交结果，或者成交供应商放弃成交，应按相关法律、规章、规范性文件的要求承担相应的法律责任。</w:t>
      </w:r>
    </w:p>
    <w:p w14:paraId="225CDB8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28.2《成交通知书》将作为签订合同的依据。《合同》签订后，《成交通知书》成为《合同》的一部分。</w:t>
      </w:r>
    </w:p>
    <w:p w14:paraId="5F5E8708">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29.签订合同</w:t>
      </w:r>
    </w:p>
    <w:p w14:paraId="486F3890">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29.1采购人、成交供应商应在《成交通知书》发出之日起30日内，根据竞争性磋商文件确定的事项和成交供应商根据竞争性磋商响应文件的内容签署服务采购合同，双方所签订的合同不得对竞争性磋商文件和成交供应商根据竞争性磋商响应文件作实质性修改。成交供应商逾期未签订合同，按照有关法律规定承担相应的法律责任。</w:t>
      </w:r>
    </w:p>
    <w:p w14:paraId="6DD9D369">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29.2竞争性磋商文件、竞争性磋商文件的修改文件、成交供应商的竞争性磋商响应文件、补充或修改的文件及澄清或承诺文件等，均为双方签订合同的组成部分，与合同具体条款具有同等法律效力。</w:t>
      </w:r>
    </w:p>
    <w:p w14:paraId="589060F3">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29.3成交供应商因不可抗力或者自身原因不能履行合同的，采购人可以重新招标，且应追究其行为并责令其赔偿采购人因重新招标造成的成本增加等的损失。</w:t>
      </w:r>
    </w:p>
    <w:p w14:paraId="35E42338">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30.付款方式：（见第五章合同主要条款）。</w:t>
      </w:r>
    </w:p>
    <w:p w14:paraId="0C27E620">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31.采购代理服务费</w:t>
      </w:r>
    </w:p>
    <w:p w14:paraId="71B417BD">
      <w:pPr>
        <w:spacing w:line="312" w:lineRule="auto"/>
        <w:ind w:firstLine="480"/>
        <w:rPr>
          <w:rFonts w:hint="eastAsia" w:ascii="宋体" w:hAnsi="宋体" w:cs="宋体"/>
          <w:bCs/>
          <w:color w:val="auto"/>
          <w:highlight w:val="none"/>
        </w:rPr>
      </w:pPr>
      <w:bookmarkStart w:id="652" w:name="_Toc10822"/>
      <w:bookmarkStart w:id="653" w:name="_Toc31746"/>
      <w:bookmarkStart w:id="654" w:name="_Toc32460"/>
      <w:bookmarkStart w:id="655" w:name="_Toc14468"/>
      <w:bookmarkStart w:id="656" w:name="_Toc29020"/>
      <w:bookmarkStart w:id="657" w:name="_Toc6487"/>
      <w:bookmarkStart w:id="658" w:name="_Toc8112"/>
      <w:bookmarkStart w:id="659" w:name="_Toc26749"/>
      <w:bookmarkStart w:id="660" w:name="_Toc30660"/>
      <w:bookmarkStart w:id="661" w:name="_Toc25612"/>
      <w:bookmarkStart w:id="662" w:name="_Toc31043"/>
      <w:bookmarkStart w:id="663" w:name="_Toc1171"/>
      <w:bookmarkStart w:id="664" w:name="_Toc21388"/>
      <w:bookmarkStart w:id="665" w:name="_Toc14401"/>
      <w:bookmarkStart w:id="666" w:name="_Toc356371441"/>
      <w:bookmarkStart w:id="667" w:name="_Toc32498"/>
      <w:bookmarkStart w:id="668" w:name="_Toc7892"/>
      <w:bookmarkStart w:id="669" w:name="_Toc28896"/>
      <w:bookmarkStart w:id="670" w:name="_Toc20774"/>
      <w:bookmarkStart w:id="671" w:name="_Toc19495"/>
      <w:bookmarkStart w:id="672" w:name="_Toc10535"/>
      <w:bookmarkStart w:id="673" w:name="_Toc19656"/>
      <w:bookmarkStart w:id="674" w:name="_Toc10795"/>
      <w:bookmarkStart w:id="675" w:name="_Toc13933"/>
      <w:bookmarkStart w:id="676" w:name="_Toc6115"/>
      <w:bookmarkStart w:id="677" w:name="_Toc26941"/>
      <w:bookmarkStart w:id="678" w:name="_Toc31012"/>
      <w:bookmarkStart w:id="679" w:name="_Toc366144040"/>
      <w:bookmarkStart w:id="680" w:name="_Toc21287"/>
      <w:bookmarkStart w:id="681" w:name="_Toc1380"/>
      <w:bookmarkStart w:id="682" w:name="_Toc31641"/>
      <w:bookmarkStart w:id="683" w:name="_Toc25717"/>
      <w:bookmarkStart w:id="684" w:name="_Toc24985"/>
      <w:bookmarkStart w:id="685" w:name="_Toc14871"/>
      <w:bookmarkStart w:id="686" w:name="_Toc11236"/>
      <w:bookmarkStart w:id="687" w:name="_Toc4845"/>
      <w:bookmarkStart w:id="688" w:name="_Toc29631"/>
      <w:bookmarkStart w:id="689" w:name="_Toc28609"/>
      <w:bookmarkStart w:id="690" w:name="_Toc12578"/>
      <w:bookmarkStart w:id="691" w:name="_Toc23307"/>
      <w:bookmarkStart w:id="692" w:name="_Toc30579"/>
      <w:bookmarkStart w:id="693" w:name="_Toc12922"/>
      <w:bookmarkStart w:id="694" w:name="_Toc391298961"/>
      <w:bookmarkStart w:id="695" w:name="_Toc16590"/>
      <w:bookmarkStart w:id="696" w:name="_Toc7744"/>
      <w:bookmarkStart w:id="697" w:name="_Toc16318"/>
      <w:r>
        <w:rPr>
          <w:rFonts w:hint="eastAsia" w:ascii="宋体" w:hAnsi="宋体" w:cs="宋体"/>
          <w:bCs/>
          <w:color w:val="auto"/>
          <w:highlight w:val="none"/>
        </w:rPr>
        <w:t>31.1本项目招标代理费参照《招标代理服务收费管理暂行办法》的通知（原国家计委计价格〔2002〕1980号)规定</w:t>
      </w:r>
      <w:r>
        <w:rPr>
          <w:rFonts w:hint="eastAsia" w:ascii="宋体" w:hAnsi="宋体" w:cs="宋体"/>
          <w:bCs/>
          <w:color w:val="auto"/>
          <w:highlight w:val="none"/>
          <w:lang w:val="zh-CN"/>
        </w:rPr>
        <w:t>收费标准</w:t>
      </w:r>
      <w:r>
        <w:rPr>
          <w:rFonts w:hint="eastAsia" w:ascii="宋体" w:hAnsi="宋体" w:cs="宋体"/>
          <w:bCs/>
          <w:color w:val="auto"/>
          <w:highlight w:val="none"/>
        </w:rPr>
        <w:t>的70%计取，由中标（成交）供应商支付，在领取中标（成交）通知书时交与采购代理机构。</w:t>
      </w:r>
    </w:p>
    <w:p w14:paraId="24FF9DC1">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31.2评审费按实结算，由采购人支付。</w:t>
      </w:r>
    </w:p>
    <w:p w14:paraId="7D53C4C2">
      <w:pPr>
        <w:spacing w:line="312" w:lineRule="auto"/>
        <w:ind w:firstLine="480"/>
        <w:rPr>
          <w:color w:val="auto"/>
          <w:highlight w:val="none"/>
        </w:rPr>
      </w:pPr>
      <w:r>
        <w:rPr>
          <w:rFonts w:hint="eastAsia" w:ascii="宋体" w:hAnsi="宋体" w:cs="宋体"/>
          <w:bCs/>
          <w:color w:val="auto"/>
          <w:highlight w:val="none"/>
        </w:rPr>
        <w:t>31.3若出现终止采购情形的，上述费用由采购人支付。</w:t>
      </w:r>
    </w:p>
    <w:p w14:paraId="11B049E7">
      <w:pPr>
        <w:pStyle w:val="4"/>
        <w:spacing w:beforeLines="0" w:afterLines="0" w:line="312" w:lineRule="auto"/>
        <w:rPr>
          <w:rFonts w:hint="eastAsia" w:ascii="宋体" w:hAnsi="宋体" w:cs="宋体"/>
          <w:color w:val="auto"/>
          <w:highlight w:val="none"/>
        </w:rPr>
      </w:pPr>
      <w:bookmarkStart w:id="698" w:name="_Toc15761"/>
      <w:bookmarkStart w:id="699" w:name="_Toc32115"/>
      <w:bookmarkStart w:id="700" w:name="_Toc12128"/>
      <w:bookmarkStart w:id="701" w:name="_Toc11112"/>
      <w:bookmarkStart w:id="702" w:name="_Toc30594"/>
      <w:bookmarkStart w:id="703" w:name="_Toc9013"/>
      <w:bookmarkStart w:id="704" w:name="_Toc18913"/>
      <w:bookmarkStart w:id="705" w:name="_Toc9625"/>
      <w:r>
        <w:rPr>
          <w:rFonts w:hint="eastAsia" w:ascii="宋体" w:hAnsi="宋体" w:cs="宋体"/>
          <w:color w:val="auto"/>
          <w:highlight w:val="none"/>
        </w:rPr>
        <w:t>九、法律责任</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8"/>
      <w:bookmarkEnd w:id="699"/>
      <w:bookmarkEnd w:id="700"/>
      <w:bookmarkEnd w:id="701"/>
      <w:bookmarkEnd w:id="702"/>
      <w:bookmarkEnd w:id="703"/>
      <w:bookmarkEnd w:id="704"/>
      <w:bookmarkEnd w:id="705"/>
    </w:p>
    <w:bookmarkEnd w:id="693"/>
    <w:bookmarkEnd w:id="694"/>
    <w:bookmarkEnd w:id="695"/>
    <w:bookmarkEnd w:id="696"/>
    <w:bookmarkEnd w:id="697"/>
    <w:p w14:paraId="330FED79">
      <w:pPr>
        <w:spacing w:line="312" w:lineRule="auto"/>
        <w:ind w:firstLine="480"/>
        <w:rPr>
          <w:rFonts w:hint="eastAsia" w:ascii="宋体" w:hAnsi="宋体" w:cs="宋体"/>
          <w:bCs/>
          <w:color w:val="auto"/>
          <w:highlight w:val="none"/>
        </w:rPr>
      </w:pPr>
      <w:bookmarkStart w:id="706" w:name="_Toc391298962"/>
      <w:bookmarkStart w:id="707" w:name="_Toc12832"/>
      <w:bookmarkStart w:id="708" w:name="_Toc29262"/>
      <w:bookmarkStart w:id="709" w:name="_Toc20114"/>
      <w:bookmarkStart w:id="710" w:name="_Toc23781"/>
      <w:bookmarkStart w:id="711" w:name="_Toc11412"/>
      <w:bookmarkStart w:id="712" w:name="_Toc28000"/>
      <w:bookmarkStart w:id="713" w:name="_Toc17078"/>
      <w:bookmarkStart w:id="714" w:name="_Toc332"/>
      <w:bookmarkStart w:id="715" w:name="_Toc26194"/>
      <w:bookmarkStart w:id="716" w:name="_Toc24287"/>
      <w:bookmarkStart w:id="717" w:name="_Toc2410"/>
      <w:bookmarkStart w:id="718" w:name="_Toc15077"/>
      <w:bookmarkStart w:id="719" w:name="_Toc2176"/>
      <w:bookmarkStart w:id="720" w:name="_Toc7897"/>
      <w:bookmarkStart w:id="721" w:name="_Toc4045"/>
      <w:bookmarkStart w:id="722" w:name="_Toc13536"/>
      <w:bookmarkStart w:id="723" w:name="_Toc24355"/>
      <w:bookmarkStart w:id="724" w:name="_Toc21609"/>
      <w:bookmarkStart w:id="725" w:name="_Toc1500"/>
      <w:r>
        <w:rPr>
          <w:rFonts w:hint="eastAsia" w:ascii="宋体" w:hAnsi="宋体" w:cs="宋体"/>
          <w:bCs/>
          <w:color w:val="auto"/>
          <w:highlight w:val="none"/>
        </w:rPr>
        <w:t>32.供应商有下列情形之一的，处以政府采购项目成交金额千分之五以上千分之十以下的罚款，列入不良行为记录名单，在一至三年内禁止参加政府采购活动，并予以公告，没有违法所得的，并处没收违法所得，情节严重的，由工商行政管理机关吊销营业执照；构成犯罪的，依法追究刑事责任：</w:t>
      </w:r>
    </w:p>
    <w:p w14:paraId="05160A89">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32.1提供虚假材料谋取成交的；</w:t>
      </w:r>
    </w:p>
    <w:p w14:paraId="399ED980">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32.2采取不正当手段诋毁、排挤其他供应商的；</w:t>
      </w:r>
    </w:p>
    <w:p w14:paraId="1E0AD207">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32.3与采购人、采购代理机构、其他供应商恶意串通的；</w:t>
      </w:r>
    </w:p>
    <w:p w14:paraId="202817CF">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32.4向采购人、采购代理机构行贿或者提供其他不正当利益的；</w:t>
      </w:r>
    </w:p>
    <w:p w14:paraId="3D261BB1">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32.5在磋商过程中与采购人进行协商磋商、不按照磋商文件和成交供应商的磋商响应文件订立合同，或者与采购人另行订立背离合同实质性内容的协议的；</w:t>
      </w:r>
    </w:p>
    <w:p w14:paraId="7A0137AE">
      <w:pPr>
        <w:spacing w:line="312" w:lineRule="auto"/>
        <w:ind w:firstLine="480"/>
        <w:rPr>
          <w:rFonts w:hint="eastAsia" w:ascii="宋体" w:hAnsi="宋体" w:cs="宋体"/>
          <w:bCs/>
          <w:color w:val="auto"/>
          <w:highlight w:val="none"/>
        </w:rPr>
      </w:pPr>
      <w:r>
        <w:rPr>
          <w:rFonts w:hint="eastAsia" w:ascii="宋体" w:hAnsi="宋体" w:cs="宋体"/>
          <w:bCs/>
          <w:color w:val="auto"/>
          <w:highlight w:val="none"/>
        </w:rPr>
        <w:t>32.6拒绝有关部门监督检查或者提供虚假情况的</w:t>
      </w:r>
      <w:bookmarkStart w:id="726" w:name="_Toc356371442"/>
      <w:bookmarkStart w:id="727" w:name="_Toc366144042"/>
      <w:r>
        <w:rPr>
          <w:rFonts w:hint="eastAsia" w:ascii="宋体" w:hAnsi="宋体" w:cs="宋体"/>
          <w:bCs/>
          <w:color w:val="auto"/>
          <w:highlight w:val="none"/>
        </w:rPr>
        <w:t>；</w:t>
      </w:r>
    </w:p>
    <w:p w14:paraId="1BC1FB02">
      <w:pPr>
        <w:pStyle w:val="19"/>
        <w:adjustRightInd w:val="0"/>
        <w:snapToGrid w:val="0"/>
        <w:spacing w:line="312" w:lineRule="auto"/>
        <w:ind w:firstLine="0" w:firstLineChars="0"/>
        <w:jc w:val="center"/>
        <w:outlineLvl w:val="1"/>
        <w:rPr>
          <w:rFonts w:hint="eastAsia" w:hAnsi="宋体" w:cs="宋体"/>
          <w:b/>
          <w:bCs/>
          <w:color w:val="auto"/>
          <w:sz w:val="28"/>
          <w:szCs w:val="32"/>
          <w:highlight w:val="none"/>
        </w:rPr>
      </w:pPr>
      <w:bookmarkStart w:id="728" w:name="_Toc11602"/>
      <w:bookmarkStart w:id="729" w:name="_Toc22764"/>
      <w:bookmarkStart w:id="730" w:name="_Toc12985"/>
      <w:bookmarkStart w:id="731" w:name="_Toc20547"/>
      <w:bookmarkStart w:id="732" w:name="_Toc13109"/>
      <w:bookmarkStart w:id="733" w:name="_Toc28202"/>
      <w:bookmarkStart w:id="734" w:name="_Toc4752"/>
      <w:bookmarkStart w:id="735" w:name="_Toc19882"/>
      <w:bookmarkStart w:id="736" w:name="_Toc6943"/>
      <w:bookmarkStart w:id="737" w:name="_Toc10514"/>
      <w:bookmarkStart w:id="738" w:name="_Toc11460"/>
      <w:bookmarkStart w:id="739" w:name="_Toc26974"/>
      <w:bookmarkStart w:id="740" w:name="_Toc14457"/>
      <w:bookmarkStart w:id="741" w:name="_Toc16220"/>
      <w:bookmarkStart w:id="742" w:name="_Toc9052"/>
      <w:bookmarkStart w:id="743" w:name="_Toc24570"/>
      <w:bookmarkStart w:id="744" w:name="_Toc15652"/>
      <w:bookmarkStart w:id="745" w:name="_Toc923"/>
      <w:bookmarkStart w:id="746" w:name="_Toc1308"/>
      <w:bookmarkStart w:id="747" w:name="_Toc14464"/>
      <w:bookmarkStart w:id="748" w:name="_Toc5880"/>
      <w:bookmarkStart w:id="749" w:name="_Toc4361"/>
      <w:bookmarkStart w:id="750" w:name="_Toc4192"/>
      <w:bookmarkStart w:id="751" w:name="_Toc20117"/>
      <w:bookmarkStart w:id="752" w:name="_Toc258"/>
      <w:bookmarkStart w:id="753" w:name="_Toc12027"/>
      <w:bookmarkStart w:id="754" w:name="_Toc6927"/>
      <w:bookmarkStart w:id="755" w:name="_Toc27706"/>
      <w:bookmarkStart w:id="756" w:name="_Toc19742"/>
      <w:bookmarkStart w:id="757" w:name="_Toc28363"/>
      <w:bookmarkStart w:id="758" w:name="_Toc13095"/>
      <w:bookmarkStart w:id="759" w:name="_Toc11060"/>
      <w:bookmarkStart w:id="760" w:name="_Toc22501"/>
      <w:bookmarkStart w:id="761" w:name="_Toc2982"/>
      <w:bookmarkStart w:id="762" w:name="_Toc26105"/>
      <w:bookmarkStart w:id="763" w:name="_Toc22953"/>
      <w:bookmarkStart w:id="764" w:name="_Toc25928"/>
      <w:bookmarkStart w:id="765" w:name="_Toc27317"/>
      <w:bookmarkStart w:id="766" w:name="_Toc12991"/>
      <w:bookmarkStart w:id="767" w:name="_Toc32254"/>
      <w:bookmarkStart w:id="768" w:name="_Toc22223"/>
      <w:bookmarkStart w:id="769" w:name="_Toc18234"/>
      <w:bookmarkStart w:id="770" w:name="_Toc25686"/>
      <w:bookmarkStart w:id="771" w:name="_Toc26121"/>
      <w:bookmarkStart w:id="772" w:name="_Toc6276"/>
      <w:bookmarkStart w:id="773" w:name="_Toc26738"/>
      <w:bookmarkStart w:id="774" w:name="_Toc9263"/>
      <w:r>
        <w:rPr>
          <w:rFonts w:hint="eastAsia" w:hAnsi="宋体" w:cs="宋体"/>
          <w:b/>
          <w:bCs/>
          <w:color w:val="auto"/>
          <w:sz w:val="28"/>
          <w:szCs w:val="32"/>
          <w:highlight w:val="none"/>
        </w:rPr>
        <w:t>十、质疑与投诉</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7BC74BAC">
      <w:pPr>
        <w:spacing w:line="312" w:lineRule="auto"/>
        <w:ind w:firstLine="480"/>
        <w:rPr>
          <w:rFonts w:hint="eastAsia" w:ascii="宋体" w:hAnsi="宋体" w:cs="宋体"/>
          <w:color w:val="auto"/>
          <w:highlight w:val="none"/>
        </w:rPr>
      </w:pPr>
      <w:bookmarkStart w:id="775" w:name="_Toc361434900"/>
      <w:bookmarkStart w:id="776" w:name="_Toc452528604"/>
      <w:bookmarkStart w:id="777" w:name="_Toc361434564"/>
      <w:bookmarkStart w:id="778" w:name="_Toc16162"/>
      <w:bookmarkStart w:id="779" w:name="_Toc361434804"/>
      <w:bookmarkStart w:id="780" w:name="_Toc361437150"/>
      <w:bookmarkStart w:id="781" w:name="_Toc2882"/>
      <w:bookmarkStart w:id="782" w:name="_Toc15164"/>
      <w:bookmarkStart w:id="783" w:name="_Toc22748"/>
      <w:bookmarkStart w:id="784" w:name="_Toc14839"/>
      <w:bookmarkStart w:id="785" w:name="_Toc12599"/>
      <w:bookmarkStart w:id="786" w:name="_Toc15818"/>
      <w:bookmarkStart w:id="787" w:name="_Toc361434465"/>
      <w:r>
        <w:rPr>
          <w:rFonts w:hint="eastAsia" w:ascii="宋体" w:hAnsi="宋体" w:cs="宋体"/>
          <w:color w:val="auto"/>
          <w:highlight w:val="none"/>
        </w:rPr>
        <w:t>33.质疑提出</w:t>
      </w:r>
    </w:p>
    <w:p w14:paraId="27AEFE6C">
      <w:pPr>
        <w:spacing w:line="312" w:lineRule="auto"/>
        <w:ind w:firstLine="480"/>
        <w:rPr>
          <w:rFonts w:hint="eastAsia" w:ascii="宋体" w:hAnsi="宋体" w:cs="宋体"/>
          <w:color w:val="auto"/>
          <w:highlight w:val="none"/>
        </w:rPr>
      </w:pPr>
      <w:r>
        <w:rPr>
          <w:rFonts w:hint="eastAsia" w:ascii="宋体" w:hAnsi="宋体" w:cs="宋体"/>
          <w:color w:val="auto"/>
          <w:highlight w:val="none"/>
        </w:rPr>
        <w:t>33.1符合《中华人民共和国政府采购法》《中华人民共和国政府采购法实施条例》《政府采购质疑和投诉办法》（财政部令第94号）等有关法律法规规定。</w:t>
      </w:r>
    </w:p>
    <w:p w14:paraId="7F632F4D">
      <w:pPr>
        <w:spacing w:line="312" w:lineRule="auto"/>
        <w:ind w:firstLine="480"/>
        <w:rPr>
          <w:rFonts w:hint="eastAsia" w:ascii="宋体" w:hAnsi="宋体" w:cs="宋体"/>
          <w:color w:val="auto"/>
          <w:highlight w:val="none"/>
        </w:rPr>
      </w:pPr>
      <w:r>
        <w:rPr>
          <w:rFonts w:hint="eastAsia" w:ascii="宋体" w:hAnsi="宋体" w:cs="宋体"/>
          <w:color w:val="auto"/>
          <w:highlight w:val="none"/>
        </w:rPr>
        <w:t>33.2供应商提交的质疑函与投诉书应符合财政部《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rPr>
        <w:t>政府采购</w:t>
      </w:r>
      <w:r>
        <w:rPr>
          <w:rFonts w:hint="eastAsia" w:ascii="宋体" w:hAnsi="宋体" w:cs="宋体"/>
          <w:color w:val="auto"/>
          <w:highlight w:val="none"/>
        </w:rPr>
        <w:fldChar w:fldCharType="end"/>
      </w:r>
      <w:r>
        <w:rPr>
          <w:rFonts w:hint="eastAsia" w:ascii="宋体" w:hAnsi="宋体" w:cs="宋体"/>
          <w:color w:val="auto"/>
          <w:highlight w:val="none"/>
        </w:rPr>
        <w:t>供应商质疑函范本》《</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rPr>
        <w:t>政府采购</w:t>
      </w:r>
      <w:r>
        <w:rPr>
          <w:rFonts w:hint="eastAsia" w:ascii="宋体" w:hAnsi="宋体" w:cs="宋体"/>
          <w:color w:val="auto"/>
          <w:highlight w:val="none"/>
        </w:rPr>
        <w:fldChar w:fldCharType="end"/>
      </w:r>
      <w:r>
        <w:rPr>
          <w:rFonts w:hint="eastAsia" w:ascii="宋体" w:hAnsi="宋体" w:cs="宋体"/>
          <w:color w:val="auto"/>
          <w:highlight w:val="none"/>
        </w:rPr>
        <w:t>供应商投诉书范本》的要求。</w:t>
      </w:r>
    </w:p>
    <w:p w14:paraId="1B1A9469">
      <w:pPr>
        <w:spacing w:line="312" w:lineRule="auto"/>
        <w:ind w:firstLine="480"/>
        <w:rPr>
          <w:rFonts w:hint="eastAsia" w:ascii="宋体" w:hAnsi="宋体" w:cs="宋体"/>
          <w:color w:val="auto"/>
          <w:highlight w:val="none"/>
        </w:rPr>
      </w:pPr>
      <w:r>
        <w:rPr>
          <w:rFonts w:hint="eastAsia" w:ascii="宋体" w:hAnsi="宋体" w:cs="宋体"/>
          <w:color w:val="auto"/>
          <w:highlight w:val="none"/>
        </w:rPr>
        <w:t>33.3供应商认为采购公告、采购文件、采购过程和成交结果使自己的权益受到损害的，可以在知道或者应知其权益受到损害之日起7个工作日内，以书面形式向采购人、采购代理机构提出质疑。供应商在法定质疑期内一次性提出针对同一采购程序环节的质疑。</w:t>
      </w:r>
    </w:p>
    <w:p w14:paraId="65BC484C">
      <w:pPr>
        <w:spacing w:line="312" w:lineRule="auto"/>
        <w:ind w:firstLine="480"/>
        <w:rPr>
          <w:rFonts w:hint="eastAsia" w:ascii="宋体" w:hAnsi="宋体" w:cs="宋体"/>
          <w:color w:val="auto"/>
          <w:highlight w:val="none"/>
        </w:rPr>
      </w:pPr>
      <w:r>
        <w:rPr>
          <w:rFonts w:hint="eastAsia" w:ascii="宋体" w:hAnsi="宋体" w:cs="宋体"/>
          <w:color w:val="auto"/>
          <w:highlight w:val="none"/>
        </w:rPr>
        <w:t>33.4质疑提出起算日期：</w:t>
      </w:r>
    </w:p>
    <w:p w14:paraId="032E88BE">
      <w:pPr>
        <w:spacing w:line="312" w:lineRule="auto"/>
        <w:ind w:firstLine="480"/>
        <w:rPr>
          <w:rFonts w:hint="eastAsia" w:ascii="宋体" w:hAnsi="宋体" w:cs="宋体"/>
          <w:color w:val="auto"/>
          <w:highlight w:val="none"/>
        </w:rPr>
      </w:pPr>
      <w:r>
        <w:rPr>
          <w:rFonts w:hint="eastAsia" w:ascii="宋体" w:hAnsi="宋体" w:cs="宋体"/>
          <w:color w:val="auto"/>
          <w:highlight w:val="none"/>
        </w:rPr>
        <w:t>33.4.1对采购公告和采购文件提出质疑的，自公告发布后的第4个工作日开始计算，且应当在磋商截止前24小时前提出，否则，被质疑人可不予受理。</w:t>
      </w:r>
    </w:p>
    <w:p w14:paraId="2B40A18A">
      <w:pPr>
        <w:spacing w:line="312" w:lineRule="auto"/>
        <w:ind w:firstLine="480"/>
        <w:rPr>
          <w:rFonts w:hint="eastAsia" w:ascii="宋体" w:hAnsi="宋体" w:cs="宋体"/>
          <w:color w:val="auto"/>
          <w:highlight w:val="none"/>
        </w:rPr>
      </w:pPr>
      <w:r>
        <w:rPr>
          <w:rFonts w:hint="eastAsia" w:ascii="宋体" w:hAnsi="宋体" w:cs="宋体"/>
          <w:color w:val="auto"/>
          <w:highlight w:val="none"/>
        </w:rPr>
        <w:t>33.4.2对磋商开启有异议的，应当在开启现场提出，采购人当场作出答复。</w:t>
      </w:r>
    </w:p>
    <w:p w14:paraId="6981EDAB">
      <w:pPr>
        <w:spacing w:line="312" w:lineRule="auto"/>
        <w:ind w:firstLine="480"/>
        <w:rPr>
          <w:rFonts w:hint="eastAsia" w:ascii="宋体" w:hAnsi="宋体" w:cs="宋体"/>
          <w:color w:val="auto"/>
          <w:highlight w:val="none"/>
        </w:rPr>
      </w:pPr>
      <w:r>
        <w:rPr>
          <w:rFonts w:hint="eastAsia" w:ascii="宋体" w:hAnsi="宋体" w:cs="宋体"/>
          <w:color w:val="auto"/>
          <w:highlight w:val="none"/>
        </w:rPr>
        <w:t>33.4.3对磋商过程提出质疑的，质疑期限自各采购程序环节结束之日起计算。</w:t>
      </w:r>
    </w:p>
    <w:p w14:paraId="3887B55A">
      <w:pPr>
        <w:spacing w:line="312" w:lineRule="auto"/>
        <w:ind w:firstLine="480"/>
        <w:rPr>
          <w:rFonts w:hint="eastAsia" w:ascii="宋体" w:hAnsi="宋体" w:cs="宋体"/>
          <w:color w:val="auto"/>
          <w:highlight w:val="none"/>
        </w:rPr>
      </w:pPr>
      <w:r>
        <w:rPr>
          <w:rFonts w:hint="eastAsia" w:ascii="宋体" w:hAnsi="宋体" w:cs="宋体"/>
          <w:color w:val="auto"/>
          <w:highlight w:val="none"/>
        </w:rPr>
        <w:t>33.4.4对采购结果提出质疑的，质疑期限自采购结果公告（包括公示、预公告、结果变更公告等）之日起计算。</w:t>
      </w:r>
    </w:p>
    <w:p w14:paraId="49451DAE">
      <w:pPr>
        <w:spacing w:line="312" w:lineRule="auto"/>
        <w:ind w:firstLine="480"/>
        <w:rPr>
          <w:rFonts w:hint="eastAsia" w:ascii="宋体" w:hAnsi="宋体" w:cs="宋体"/>
          <w:color w:val="auto"/>
          <w:highlight w:val="none"/>
        </w:rPr>
      </w:pPr>
      <w:r>
        <w:rPr>
          <w:rFonts w:hint="eastAsia" w:ascii="宋体" w:hAnsi="宋体" w:cs="宋体"/>
          <w:color w:val="auto"/>
          <w:highlight w:val="none"/>
        </w:rPr>
        <w:t>33.4.5供应商逾期提出质疑的，采购人或采购代理机构均不予受理和答复。</w:t>
      </w:r>
    </w:p>
    <w:p w14:paraId="7B9069D5">
      <w:pPr>
        <w:spacing w:line="312" w:lineRule="auto"/>
        <w:ind w:firstLine="480"/>
        <w:rPr>
          <w:rFonts w:hint="eastAsia" w:ascii="宋体" w:hAnsi="宋体" w:cs="宋体"/>
          <w:color w:val="auto"/>
          <w:highlight w:val="none"/>
        </w:rPr>
      </w:pPr>
      <w:r>
        <w:rPr>
          <w:rFonts w:hint="eastAsia" w:ascii="宋体" w:hAnsi="宋体" w:cs="宋体"/>
          <w:color w:val="auto"/>
          <w:highlight w:val="none"/>
        </w:rPr>
        <w:t>33.5采购人拒绝受理未参加本项目报名或已报名但未提交响应文件的供应商对采购公告、磋商文件、评审过程、评审结果的质疑。</w:t>
      </w:r>
    </w:p>
    <w:p w14:paraId="6E391779">
      <w:pPr>
        <w:spacing w:line="312" w:lineRule="auto"/>
        <w:ind w:firstLine="480"/>
        <w:rPr>
          <w:rFonts w:hint="eastAsia" w:ascii="宋体" w:hAnsi="宋体" w:cs="宋体"/>
          <w:color w:val="auto"/>
          <w:highlight w:val="none"/>
        </w:rPr>
      </w:pPr>
      <w:r>
        <w:rPr>
          <w:rFonts w:hint="eastAsia" w:ascii="宋体" w:hAnsi="宋体" w:cs="宋体"/>
          <w:color w:val="auto"/>
          <w:highlight w:val="none"/>
        </w:rPr>
        <w:t>33.5.1质疑处理</w:t>
      </w:r>
    </w:p>
    <w:p w14:paraId="1F4669FB">
      <w:pPr>
        <w:spacing w:line="312" w:lineRule="auto"/>
        <w:ind w:firstLine="480"/>
        <w:rPr>
          <w:rFonts w:hint="eastAsia" w:ascii="宋体" w:hAnsi="宋体" w:cs="宋体"/>
          <w:color w:val="auto"/>
          <w:highlight w:val="none"/>
        </w:rPr>
      </w:pPr>
      <w:r>
        <w:rPr>
          <w:rFonts w:hint="eastAsia" w:ascii="宋体" w:hAnsi="宋体" w:cs="宋体"/>
          <w:color w:val="auto"/>
          <w:highlight w:val="none"/>
        </w:rPr>
        <w:t>采购人应当在收到供应商的书面质疑后7个工作日内作出答复，并以书面形式通知质疑供应商和其他与质疑处理结果有利害关系的政府采购当事人，但答复的内容不得涉及商业秘密。</w:t>
      </w:r>
    </w:p>
    <w:p w14:paraId="6B5C80BF">
      <w:pPr>
        <w:spacing w:line="312" w:lineRule="auto"/>
        <w:ind w:firstLine="480"/>
        <w:rPr>
          <w:rFonts w:hint="eastAsia" w:ascii="宋体" w:hAnsi="宋体" w:cs="宋体"/>
          <w:color w:val="auto"/>
          <w:highlight w:val="none"/>
        </w:rPr>
      </w:pPr>
      <w:r>
        <w:rPr>
          <w:rFonts w:hint="eastAsia" w:ascii="宋体" w:hAnsi="宋体" w:cs="宋体"/>
          <w:color w:val="auto"/>
          <w:highlight w:val="none"/>
        </w:rPr>
        <w:t>33.5.2投诉</w:t>
      </w:r>
    </w:p>
    <w:p w14:paraId="56C412ED">
      <w:pPr>
        <w:spacing w:line="312" w:lineRule="auto"/>
        <w:ind w:firstLine="480"/>
        <w:rPr>
          <w:rFonts w:hint="eastAsia" w:ascii="宋体" w:hAnsi="宋体" w:cs="宋体"/>
          <w:color w:val="auto"/>
          <w:highlight w:val="none"/>
        </w:rPr>
      </w:pPr>
      <w:r>
        <w:rPr>
          <w:rFonts w:hint="eastAsia" w:ascii="宋体" w:hAnsi="宋体" w:cs="宋体"/>
          <w:color w:val="auto"/>
          <w:highlight w:val="none"/>
        </w:rPr>
        <w:t>质疑供应商对采购人未在规定时间内作出答复的，可以在答复期满后15个工作日内向龙游县财政局采监科投诉。若对质疑答复不满意的，应当自答复的次日起15个工作日内向龙游县财政局采监科投诉。</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3B16EB89">
      <w:pPr>
        <w:pStyle w:val="4"/>
        <w:spacing w:beforeLines="0" w:afterLines="0" w:line="312" w:lineRule="auto"/>
        <w:rPr>
          <w:rFonts w:hint="eastAsia" w:ascii="宋体" w:hAnsi="宋体" w:cs="宋体"/>
          <w:color w:val="auto"/>
          <w:highlight w:val="none"/>
        </w:rPr>
      </w:pPr>
      <w:bookmarkStart w:id="788" w:name="_Toc19218"/>
      <w:bookmarkStart w:id="789" w:name="_Toc31102"/>
      <w:bookmarkStart w:id="790" w:name="_Toc26044"/>
      <w:bookmarkStart w:id="791" w:name="_Toc27383"/>
      <w:bookmarkStart w:id="792" w:name="_Toc31005"/>
      <w:bookmarkStart w:id="793" w:name="_Toc6571"/>
      <w:bookmarkStart w:id="794" w:name="_Toc30697"/>
      <w:bookmarkStart w:id="795" w:name="_Toc9184"/>
      <w:bookmarkStart w:id="796" w:name="_Toc9699"/>
      <w:bookmarkStart w:id="797" w:name="_Toc20408"/>
      <w:bookmarkStart w:id="798" w:name="_Toc8600"/>
      <w:bookmarkStart w:id="799" w:name="_Toc14250"/>
      <w:bookmarkStart w:id="800" w:name="_Toc15103"/>
      <w:bookmarkStart w:id="801" w:name="_Toc9553"/>
      <w:bookmarkStart w:id="802" w:name="_Toc7668"/>
      <w:bookmarkStart w:id="803" w:name="_Toc14241"/>
      <w:bookmarkStart w:id="804" w:name="_Toc28416"/>
      <w:bookmarkStart w:id="805" w:name="_Toc24844"/>
      <w:bookmarkStart w:id="806" w:name="_Toc29783"/>
      <w:bookmarkStart w:id="807" w:name="_Toc698"/>
      <w:bookmarkStart w:id="808" w:name="_Toc27659"/>
      <w:bookmarkStart w:id="809" w:name="_Toc29372"/>
      <w:bookmarkStart w:id="810" w:name="_Toc16229"/>
      <w:bookmarkStart w:id="811" w:name="_Toc31465"/>
      <w:bookmarkStart w:id="812" w:name="_Toc16194"/>
      <w:bookmarkStart w:id="813" w:name="_Toc22911"/>
      <w:bookmarkStart w:id="814" w:name="_Toc17392"/>
      <w:bookmarkStart w:id="815" w:name="_Toc12238"/>
      <w:bookmarkStart w:id="816" w:name="_Toc1021"/>
      <w:r>
        <w:rPr>
          <w:rFonts w:hint="eastAsia" w:ascii="宋体" w:hAnsi="宋体" w:cs="宋体"/>
          <w:color w:val="auto"/>
          <w:highlight w:val="none"/>
        </w:rPr>
        <w:t>十一、其他</w:t>
      </w:r>
      <w:bookmarkEnd w:id="726"/>
      <w:bookmarkEnd w:id="72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7956ADA6">
      <w:pPr>
        <w:spacing w:line="312" w:lineRule="auto"/>
        <w:ind w:firstLine="480"/>
        <w:rPr>
          <w:rFonts w:hint="eastAsia" w:ascii="宋体" w:hAnsi="宋体" w:cs="宋体"/>
          <w:color w:val="auto"/>
          <w:highlight w:val="none"/>
        </w:rPr>
      </w:pPr>
      <w:r>
        <w:rPr>
          <w:rFonts w:hint="eastAsia" w:ascii="宋体" w:hAnsi="宋体" w:cs="宋体"/>
          <w:color w:val="auto"/>
          <w:highlight w:val="none"/>
        </w:rPr>
        <w:t>34.解释权：本磋商文件是依据《中华人民共和国政府采购法》及有关规定编制的，解释权属采购人。</w:t>
      </w:r>
    </w:p>
    <w:p w14:paraId="0D50B311">
      <w:pPr>
        <w:spacing w:line="312" w:lineRule="auto"/>
        <w:ind w:firstLine="480"/>
        <w:rPr>
          <w:rFonts w:hint="eastAsia" w:ascii="宋体" w:hAnsi="宋体" w:cs="宋体"/>
          <w:color w:val="auto"/>
          <w:highlight w:val="none"/>
        </w:rPr>
      </w:pPr>
      <w:r>
        <w:rPr>
          <w:rFonts w:hint="eastAsia" w:ascii="宋体" w:hAnsi="宋体" w:cs="宋体"/>
          <w:color w:val="auto"/>
          <w:highlight w:val="none"/>
        </w:rPr>
        <w:t>35.联系方式：所有与采购有关的函电请按下面联系，其他任何方式或信息来源均无效。</w:t>
      </w:r>
    </w:p>
    <w:p w14:paraId="6BF24D18">
      <w:pPr>
        <w:spacing w:line="312" w:lineRule="auto"/>
        <w:ind w:firstLine="480"/>
        <w:rPr>
          <w:rFonts w:hint="eastAsia" w:ascii="宋体" w:hAnsi="宋体" w:cs="宋体"/>
          <w:color w:val="auto"/>
          <w:highlight w:val="none"/>
        </w:rPr>
      </w:pPr>
      <w:r>
        <w:rPr>
          <w:rFonts w:hint="eastAsia" w:ascii="宋体" w:hAnsi="宋体" w:cs="宋体"/>
          <w:color w:val="auto"/>
          <w:highlight w:val="none"/>
        </w:rPr>
        <w:t>36.通讯地址：浙江信达工程咨询有限公司（龙游县龙洲街道人民南路158号A704室）</w:t>
      </w:r>
    </w:p>
    <w:p w14:paraId="49847B38">
      <w:pPr>
        <w:spacing w:line="312" w:lineRule="auto"/>
        <w:ind w:firstLine="480"/>
        <w:rPr>
          <w:rFonts w:hint="eastAsia" w:ascii="宋体" w:hAnsi="宋体" w:cs="宋体"/>
          <w:color w:val="auto"/>
          <w:highlight w:val="none"/>
        </w:rPr>
      </w:pPr>
      <w:r>
        <w:rPr>
          <w:rFonts w:hint="eastAsia" w:ascii="宋体" w:hAnsi="宋体" w:cs="宋体"/>
          <w:color w:val="auto"/>
          <w:highlight w:val="none"/>
        </w:rPr>
        <w:t>联系人：姜女士</w:t>
      </w:r>
    </w:p>
    <w:p w14:paraId="7A77E397">
      <w:pPr>
        <w:spacing w:line="312" w:lineRule="auto"/>
        <w:ind w:firstLine="480"/>
        <w:rPr>
          <w:rFonts w:hint="eastAsia" w:ascii="宋体" w:hAnsi="宋体" w:cs="宋体"/>
          <w:color w:val="auto"/>
          <w:highlight w:val="none"/>
        </w:rPr>
      </w:pPr>
      <w:r>
        <w:rPr>
          <w:rFonts w:hint="eastAsia" w:ascii="宋体" w:hAnsi="宋体" w:cs="宋体"/>
          <w:color w:val="auto"/>
          <w:highlight w:val="none"/>
          <w:lang w:val="zh-CN"/>
        </w:rPr>
        <w:t>项目联系方式</w:t>
      </w:r>
      <w:r>
        <w:rPr>
          <w:rFonts w:hint="eastAsia" w:ascii="宋体" w:hAnsi="宋体" w:cs="宋体"/>
          <w:color w:val="auto"/>
          <w:highlight w:val="none"/>
        </w:rPr>
        <w:t>：18767070136（657126）</w:t>
      </w:r>
    </w:p>
    <w:p w14:paraId="6463064C">
      <w:pPr>
        <w:spacing w:line="312" w:lineRule="auto"/>
        <w:ind w:firstLine="480"/>
        <w:rPr>
          <w:rFonts w:hint="eastAsia" w:ascii="宋体" w:hAnsi="宋体" w:cs="宋体"/>
          <w:color w:val="auto"/>
          <w:highlight w:val="none"/>
        </w:rPr>
        <w:sectPr>
          <w:headerReference r:id="rId9" w:type="default"/>
          <w:footerReference r:id="rId10" w:type="default"/>
          <w:pgSz w:w="11906" w:h="16838"/>
          <w:pgMar w:top="1440" w:right="1080" w:bottom="1440" w:left="1080" w:header="964" w:footer="964" w:gutter="0"/>
          <w:pgBorders>
            <w:top w:val="thinThickSmallGap" w:color="000000" w:sz="12" w:space="10"/>
            <w:bottom w:val="thinThickSmallGap" w:color="000000" w:sz="12" w:space="10"/>
          </w:pgBorders>
          <w:pgNumType w:fmt="numberInDash" w:start="1"/>
          <w:cols w:space="720" w:num="1"/>
          <w:docGrid w:type="lines" w:linePitch="326" w:charSpace="0"/>
        </w:sectPr>
      </w:pPr>
      <w:r>
        <w:rPr>
          <w:rFonts w:hint="eastAsia" w:ascii="宋体" w:hAnsi="宋体" w:cs="宋体"/>
          <w:color w:val="auto"/>
          <w:highlight w:val="none"/>
        </w:rPr>
        <w:t>公告网址：http://zfcg.czt.zj.gov.cn/（浙江政府采购网）</w:t>
      </w:r>
    </w:p>
    <w:p w14:paraId="45F587EC">
      <w:pPr>
        <w:pStyle w:val="3"/>
        <w:spacing w:before="312" w:after="312" w:line="460" w:lineRule="exact"/>
        <w:rPr>
          <w:color w:val="auto"/>
          <w:highlight w:val="none"/>
        </w:rPr>
      </w:pPr>
      <w:bookmarkStart w:id="817" w:name="_Toc7151"/>
      <w:bookmarkStart w:id="818" w:name="_Toc410"/>
      <w:bookmarkStart w:id="819" w:name="_Toc24804"/>
      <w:bookmarkStart w:id="820" w:name="_Toc2060"/>
      <w:bookmarkStart w:id="821" w:name="_Toc27639"/>
      <w:bookmarkStart w:id="822" w:name="_Toc27673"/>
      <w:bookmarkStart w:id="823" w:name="_Toc5673"/>
      <w:bookmarkStart w:id="824" w:name="_Toc9101"/>
      <w:bookmarkStart w:id="825" w:name="_Toc11847"/>
      <w:bookmarkStart w:id="826" w:name="_Toc2698"/>
      <w:bookmarkStart w:id="827" w:name="_Toc15952"/>
      <w:bookmarkStart w:id="828" w:name="_Toc19076"/>
      <w:bookmarkStart w:id="829" w:name="_Toc28741"/>
      <w:bookmarkStart w:id="830" w:name="_Toc28009"/>
      <w:bookmarkStart w:id="831" w:name="_Toc25685"/>
      <w:bookmarkStart w:id="832" w:name="_Toc9768"/>
      <w:bookmarkStart w:id="833" w:name="_Toc21823"/>
      <w:bookmarkStart w:id="834" w:name="_Toc29177"/>
      <w:bookmarkStart w:id="835" w:name="_Toc26377"/>
      <w:bookmarkStart w:id="836" w:name="_Toc9332"/>
      <w:bookmarkStart w:id="837" w:name="_Toc20056"/>
      <w:bookmarkStart w:id="838" w:name="_Toc13325"/>
      <w:bookmarkStart w:id="839" w:name="_Toc30099"/>
      <w:bookmarkStart w:id="840" w:name="_Toc23496"/>
      <w:bookmarkStart w:id="841" w:name="_Toc11611"/>
      <w:bookmarkStart w:id="842" w:name="_Toc18453"/>
      <w:bookmarkStart w:id="843" w:name="_Toc11159"/>
      <w:bookmarkStart w:id="844" w:name="_Toc23954"/>
      <w:bookmarkStart w:id="845" w:name="_Toc30184"/>
      <w:bookmarkStart w:id="846" w:name="_Toc28858"/>
      <w:r>
        <w:rPr>
          <w:rFonts w:hint="eastAsia" w:ascii="宋体" w:hAnsi="宋体" w:cs="宋体"/>
          <w:color w:val="auto"/>
          <w:highlight w:val="none"/>
        </w:rPr>
        <w:t>第三章  采购内容</w:t>
      </w:r>
      <w:bookmarkEnd w:id="706"/>
      <w:bookmarkStart w:id="847" w:name="_Toc244666291"/>
      <w:r>
        <w:rPr>
          <w:rFonts w:hint="eastAsia" w:ascii="宋体" w:hAnsi="宋体" w:cs="宋体"/>
          <w:color w:val="auto"/>
          <w:highlight w:val="none"/>
        </w:rPr>
        <w:t>及要求</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Start w:id="848" w:name="_Toc12592"/>
      <w:bookmarkStart w:id="849" w:name="_Toc10368"/>
      <w:bookmarkStart w:id="850" w:name="_Toc24682"/>
      <w:bookmarkStart w:id="851" w:name="_Toc19099"/>
      <w:bookmarkStart w:id="852" w:name="_Toc5985"/>
      <w:bookmarkStart w:id="853" w:name="_Toc2124"/>
      <w:bookmarkStart w:id="854" w:name="_Toc391298963"/>
      <w:bookmarkStart w:id="855" w:name="_Toc3828"/>
      <w:bookmarkStart w:id="856" w:name="_Toc19613"/>
      <w:bookmarkStart w:id="857" w:name="_Toc18254"/>
      <w:bookmarkStart w:id="858" w:name="_Toc10724"/>
      <w:bookmarkStart w:id="859" w:name="_Toc25560"/>
      <w:bookmarkStart w:id="860" w:name="_Toc27295"/>
      <w:bookmarkStart w:id="861" w:name="_Toc24232"/>
    </w:p>
    <w:bookmarkEnd w:id="848"/>
    <w:p w14:paraId="776C3B4D">
      <w:pPr>
        <w:spacing w:line="360" w:lineRule="auto"/>
        <w:ind w:firstLine="482"/>
        <w:rPr>
          <w:rFonts w:hint="eastAsia" w:ascii="宋体" w:hAnsi="宋体" w:cs="宋体"/>
          <w:b/>
          <w:bCs/>
          <w:color w:val="auto"/>
          <w:highlight w:val="none"/>
        </w:rPr>
      </w:pPr>
      <w:bookmarkStart w:id="862" w:name="_Toc10021"/>
      <w:bookmarkStart w:id="863" w:name="_Toc22212"/>
      <w:bookmarkStart w:id="864" w:name="_Toc22061"/>
      <w:bookmarkStart w:id="865" w:name="_Toc2628"/>
      <w:bookmarkStart w:id="866" w:name="_Toc27661"/>
      <w:bookmarkStart w:id="867" w:name="_Toc29609"/>
      <w:bookmarkStart w:id="868" w:name="_Toc16578"/>
      <w:bookmarkStart w:id="869" w:name="_Toc7447"/>
      <w:bookmarkStart w:id="870" w:name="_Toc503"/>
      <w:bookmarkStart w:id="871" w:name="_Toc32721"/>
      <w:bookmarkStart w:id="872" w:name="_Toc20793"/>
      <w:bookmarkStart w:id="873" w:name="_Toc55"/>
      <w:bookmarkStart w:id="874" w:name="_Toc5431"/>
      <w:bookmarkStart w:id="875" w:name="_Toc16620"/>
      <w:bookmarkStart w:id="876" w:name="_Toc24894"/>
      <w:bookmarkStart w:id="877" w:name="_Toc23407"/>
      <w:bookmarkStart w:id="878" w:name="_Toc10615"/>
      <w:bookmarkStart w:id="879" w:name="_Toc16938"/>
      <w:bookmarkStart w:id="880" w:name="_Toc25970"/>
      <w:bookmarkStart w:id="881" w:name="_Toc23809"/>
      <w:bookmarkStart w:id="882" w:name="_Toc21774"/>
      <w:bookmarkStart w:id="883" w:name="_Toc12283"/>
      <w:bookmarkStart w:id="884" w:name="_Toc21674"/>
      <w:bookmarkStart w:id="885" w:name="_Toc14521"/>
      <w:bookmarkStart w:id="886" w:name="_Toc5038"/>
      <w:bookmarkStart w:id="887" w:name="_Toc16377"/>
      <w:bookmarkStart w:id="888" w:name="_Toc2876"/>
      <w:bookmarkStart w:id="889" w:name="_Toc3466"/>
      <w:bookmarkStart w:id="890" w:name="_Toc3066"/>
      <w:bookmarkStart w:id="891" w:name="_Toc26486"/>
      <w:bookmarkStart w:id="892" w:name="_Toc27538"/>
      <w:bookmarkStart w:id="893" w:name="_Toc16905"/>
      <w:bookmarkStart w:id="894" w:name="_Toc9805"/>
      <w:bookmarkStart w:id="895" w:name="_Toc15228"/>
      <w:bookmarkStart w:id="896" w:name="_Toc1120"/>
      <w:bookmarkStart w:id="897" w:name="_Toc21917"/>
      <w:bookmarkStart w:id="898" w:name="_Toc30426"/>
      <w:bookmarkStart w:id="899" w:name="_Toc10572"/>
      <w:bookmarkStart w:id="900" w:name="_Toc21156"/>
      <w:r>
        <w:rPr>
          <w:rFonts w:hint="eastAsia" w:ascii="宋体" w:hAnsi="宋体" w:cs="宋体"/>
          <w:b/>
          <w:bCs/>
          <w:color w:val="auto"/>
          <w:highlight w:val="none"/>
        </w:rPr>
        <w:t>一</w:t>
      </w:r>
      <w:r>
        <w:rPr>
          <w:rFonts w:hint="eastAsia" w:ascii="宋体" w:hAnsi="宋体" w:cs="宋体"/>
          <w:b/>
          <w:bCs/>
          <w:color w:val="auto"/>
          <w:highlight w:val="none"/>
          <w:lang w:val="zh-CN"/>
        </w:rPr>
        <w:t>、项目概况</w:t>
      </w:r>
      <w:bookmarkEnd w:id="862"/>
      <w:bookmarkEnd w:id="863"/>
    </w:p>
    <w:p w14:paraId="0E2BFF9F">
      <w:pPr>
        <w:spacing w:line="360" w:lineRule="auto"/>
        <w:ind w:firstLine="480"/>
        <w:rPr>
          <w:rFonts w:hint="eastAsia" w:ascii="宋体" w:hAnsi="宋体" w:cs="宋体"/>
          <w:color w:val="auto"/>
          <w:highlight w:val="none"/>
        </w:rPr>
      </w:pPr>
      <w:r>
        <w:rPr>
          <w:rFonts w:hint="eastAsia" w:ascii="宋体" w:hAnsi="宋体" w:cs="宋体"/>
          <w:color w:val="auto"/>
          <w:highlight w:val="none"/>
        </w:rPr>
        <w:t>根据《自然资源部 国家林业和草原局关于共同做好森林、草原、湿地调查监测工作的意见》（自然资发〔2022〕5号）、《浙江省林业局关于实施林地占补平衡管理的通知》（浙林资〔2021〕34号）等文件要求，为摸清全县林草湿资源的种类、数量、结构、分布、质量、功能、保护与利用状况，及时掌握林草湿资源及其生态系统状况和变化趋势，开展龙游县2025年常态化林草湿资源调查监测工作。同时，为进一步统筹协调林地保护与利用的关系，加强林地占补平衡管理，确保林地保有量不减少，开展龙游县补充林地规划工作。此项工作可以为科学开展生态系统保护修复、林草资源监督管理、林长制督查考核、实施碳达峰碳中和战略等提供决策支撑，为生态文明建设目标评价考核提供科学依据。</w:t>
      </w:r>
    </w:p>
    <w:p w14:paraId="48FA39F9">
      <w:pPr>
        <w:spacing w:line="360" w:lineRule="auto"/>
        <w:ind w:firstLine="482"/>
        <w:rPr>
          <w:rFonts w:hint="eastAsia" w:ascii="宋体" w:hAnsi="宋体" w:cs="宋体"/>
          <w:b/>
          <w:bCs/>
          <w:color w:val="auto"/>
          <w:highlight w:val="none"/>
        </w:rPr>
      </w:pPr>
      <w:bookmarkStart w:id="901" w:name="_Toc7845"/>
      <w:bookmarkStart w:id="902" w:name="_Toc11253"/>
      <w:r>
        <w:rPr>
          <w:rFonts w:hint="eastAsia" w:ascii="宋体" w:hAnsi="宋体" w:cs="宋体"/>
          <w:b/>
          <w:bCs/>
          <w:color w:val="auto"/>
          <w:highlight w:val="none"/>
        </w:rPr>
        <w:t>二、工作内容</w:t>
      </w:r>
      <w:bookmarkEnd w:id="901"/>
      <w:bookmarkEnd w:id="902"/>
    </w:p>
    <w:p w14:paraId="428EDCAC">
      <w:pPr>
        <w:spacing w:line="360" w:lineRule="auto"/>
        <w:ind w:firstLine="480"/>
        <w:rPr>
          <w:rFonts w:hint="eastAsia" w:ascii="宋体" w:hAnsi="宋体" w:cs="宋体"/>
          <w:color w:val="auto"/>
          <w:highlight w:val="none"/>
        </w:rPr>
      </w:pPr>
      <w:r>
        <w:rPr>
          <w:rFonts w:hint="eastAsia" w:ascii="宋体" w:hAnsi="宋体" w:cs="宋体"/>
          <w:color w:val="auto"/>
          <w:highlight w:val="none"/>
        </w:rPr>
        <w:t>按照林草湿年度调查监测要求，以2024年度国土变更调查和最新林草湿普查成果为工作底图，对森林、草地、湿地图斑年度变化及国土调查范围内全口径植被覆盖进行更新，完成主要测算因子和蓄积量、生物量、碳储量等属性因子的更新，产出林草湿年度调查监测成果。同时根据龙游县林地资源现状，结合城镇化建设用地需求，深挖后备林地资源，开展全县补充林地规划工作，确保林地保有量不减少，生态功能持续稳步提升。</w:t>
      </w:r>
    </w:p>
    <w:p w14:paraId="7DB49CCE">
      <w:pPr>
        <w:spacing w:line="360" w:lineRule="auto"/>
        <w:ind w:firstLine="482"/>
        <w:rPr>
          <w:rFonts w:hint="eastAsia" w:ascii="宋体" w:hAnsi="宋体" w:cs="宋体"/>
          <w:b/>
          <w:bCs/>
          <w:color w:val="auto"/>
          <w:highlight w:val="none"/>
          <w:lang w:val="zh-CN"/>
        </w:rPr>
      </w:pPr>
      <w:bookmarkStart w:id="903" w:name="_Toc14627"/>
      <w:bookmarkStart w:id="904" w:name="_Toc12095"/>
      <w:r>
        <w:rPr>
          <w:rFonts w:hint="eastAsia" w:ascii="宋体" w:hAnsi="宋体" w:cs="宋体"/>
          <w:b/>
          <w:bCs/>
          <w:color w:val="auto"/>
          <w:highlight w:val="none"/>
          <w:lang w:val="zh-CN"/>
        </w:rPr>
        <w:t>三、项目依据及技术标准</w:t>
      </w:r>
      <w:bookmarkEnd w:id="903"/>
      <w:bookmarkEnd w:id="904"/>
    </w:p>
    <w:p w14:paraId="14F08160">
      <w:pPr>
        <w:spacing w:line="360" w:lineRule="auto"/>
        <w:ind w:firstLine="480"/>
        <w:rPr>
          <w:rFonts w:hint="eastAsia" w:ascii="宋体" w:hAnsi="宋体" w:cs="宋体"/>
          <w:color w:val="auto"/>
          <w:highlight w:val="none"/>
        </w:rPr>
      </w:pPr>
      <w:r>
        <w:rPr>
          <w:rFonts w:hint="eastAsia" w:ascii="宋体" w:hAnsi="宋体" w:cs="宋体"/>
          <w:color w:val="auto"/>
          <w:highlight w:val="none"/>
        </w:rPr>
        <w:t>1.《浙江省林业局关于实施林地占补平衡管理的通知》（浙林资〔2021〕34号）；</w:t>
      </w:r>
    </w:p>
    <w:p w14:paraId="69A00123">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2.《自然资源部 国家林业和草原局关于共同做好森林、草原、湿地调查监测工作的意见》（自然资发〔2022〕5号）；</w:t>
      </w:r>
    </w:p>
    <w:p w14:paraId="3A587D92">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3.《中共浙江省委办公厅 浙江省人民政府办公厅&lt;关于全面推行林长制的实施意见&gt;的通知》(厅字〔2021〕16号）；</w:t>
      </w:r>
    </w:p>
    <w:p w14:paraId="6FD62C6B">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4.《自然资源部 国家林业和草原局关于开展2023年全国森林、草原、湿地调查监测工作的通知》（自然资发〔2023〕78号）；</w:t>
      </w:r>
    </w:p>
    <w:p w14:paraId="0672F1AC">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5.《浙江省人民政府办公厅关于公布省级以上公益林建设规模和天然商品林停伐管护规模的通知》（浙政办发〔2023〕43号）；</w:t>
      </w:r>
    </w:p>
    <w:p w14:paraId="02ADFD13">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6.《自然资源部 国家林业和草原局关于以第三次全国国土调查成果为基础明确林地管理边界规范林地管理的通知》（自然资发〔2023〕53号）；</w:t>
      </w:r>
    </w:p>
    <w:p w14:paraId="67D26E1C">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7.</w:t>
      </w:r>
      <w:r>
        <w:rPr>
          <w:rFonts w:hint="eastAsia" w:ascii="宋体" w:hAnsi="宋体" w:cs="宋体"/>
          <w:color w:val="auto"/>
          <w:highlight w:val="none"/>
        </w:rPr>
        <w:t>《浙江省林业厅 浙江省林业局关于开展全省森林草地湿地普查工作的通知》（浙自然资发〔2024〕4号）。</w:t>
      </w:r>
    </w:p>
    <w:p w14:paraId="0ED70876">
      <w:pPr>
        <w:spacing w:line="360" w:lineRule="auto"/>
        <w:ind w:firstLine="482"/>
        <w:rPr>
          <w:rFonts w:hint="eastAsia" w:ascii="宋体" w:hAnsi="宋体" w:cs="宋体"/>
          <w:b/>
          <w:bCs/>
          <w:color w:val="auto"/>
          <w:highlight w:val="none"/>
          <w:lang w:val="zh-CN"/>
        </w:rPr>
      </w:pPr>
      <w:bookmarkStart w:id="905" w:name="_Toc6787"/>
      <w:bookmarkStart w:id="906" w:name="_Toc24787"/>
      <w:r>
        <w:rPr>
          <w:rFonts w:hint="eastAsia" w:ascii="宋体" w:hAnsi="宋体" w:cs="宋体"/>
          <w:b/>
          <w:bCs/>
          <w:color w:val="auto"/>
          <w:highlight w:val="none"/>
        </w:rPr>
        <w:t>四</w:t>
      </w:r>
      <w:r>
        <w:rPr>
          <w:rFonts w:hint="eastAsia" w:ascii="宋体" w:hAnsi="宋体" w:cs="宋体"/>
          <w:b/>
          <w:bCs/>
          <w:color w:val="auto"/>
          <w:highlight w:val="none"/>
          <w:lang w:val="zh-CN"/>
        </w:rPr>
        <w:t>、成果要求</w:t>
      </w:r>
      <w:bookmarkEnd w:id="905"/>
      <w:bookmarkEnd w:id="906"/>
    </w:p>
    <w:p w14:paraId="6A6C4AA4">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（一）数据库成果</w:t>
      </w:r>
    </w:p>
    <w:p w14:paraId="5778631F">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以全县为单位，产出林草湿资源成果数据库，提交格式为shp或gdb。</w:t>
      </w:r>
    </w:p>
    <w:p w14:paraId="407F8B88">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（二）补充林地规划文本</w:t>
      </w:r>
    </w:p>
    <w:p w14:paraId="7818B020">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以全县为单位，编制龙游县补充林地规划文本，提交格式为pdf或doc。</w:t>
      </w:r>
    </w:p>
    <w:p w14:paraId="6629C604">
      <w:pPr>
        <w:spacing w:line="360" w:lineRule="auto"/>
        <w:ind w:firstLine="482"/>
        <w:rPr>
          <w:rFonts w:hint="eastAsia" w:ascii="宋体" w:hAnsi="宋体" w:cs="宋体"/>
          <w:b/>
          <w:bCs/>
          <w:color w:val="auto"/>
          <w:highlight w:val="none"/>
        </w:rPr>
      </w:pPr>
      <w:bookmarkStart w:id="907" w:name="_Toc26228"/>
      <w:r>
        <w:rPr>
          <w:rFonts w:hint="eastAsia" w:ascii="宋体" w:hAnsi="宋体" w:cs="宋体"/>
          <w:b/>
          <w:bCs/>
          <w:color w:val="auto"/>
          <w:highlight w:val="none"/>
        </w:rPr>
        <w:t>五、商务要求</w:t>
      </w:r>
      <w:bookmarkEnd w:id="907"/>
    </w:p>
    <w:p w14:paraId="6B9E742C">
      <w:pPr>
        <w:spacing w:line="360" w:lineRule="auto"/>
        <w:ind w:firstLine="480"/>
        <w:rPr>
          <w:rFonts w:hint="eastAsia" w:ascii="宋体" w:hAnsi="宋体" w:cs="宋体"/>
          <w:color w:val="auto"/>
          <w:highlight w:val="none"/>
        </w:rPr>
      </w:pPr>
      <w:r>
        <w:rPr>
          <w:rFonts w:hint="eastAsia" w:ascii="宋体" w:hAnsi="宋体" w:cs="宋体"/>
          <w:color w:val="auto"/>
          <w:highlight w:val="none"/>
        </w:rPr>
        <w:t>1、履约期限</w:t>
      </w:r>
    </w:p>
    <w:p w14:paraId="38DBAB54">
      <w:pPr>
        <w:spacing w:line="360" w:lineRule="auto"/>
        <w:ind w:firstLine="480"/>
        <w:rPr>
          <w:rFonts w:hint="eastAsia" w:ascii="宋体" w:hAnsi="宋体" w:cs="宋体"/>
          <w:color w:val="auto"/>
          <w:highlight w:val="none"/>
        </w:rPr>
      </w:pPr>
      <w:r>
        <w:rPr>
          <w:rFonts w:hint="eastAsia" w:ascii="宋体" w:hAnsi="宋体" w:cs="宋体"/>
          <w:color w:val="auto"/>
          <w:highlight w:val="none"/>
        </w:rPr>
        <w:t>根据浙江省林业局要求的时间，完成龙游县林草湿年度调查监测及补充林地规划工作。</w:t>
      </w:r>
    </w:p>
    <w:p w14:paraId="5E488C5B">
      <w:pPr>
        <w:spacing w:line="360" w:lineRule="auto"/>
        <w:ind w:firstLine="480"/>
        <w:rPr>
          <w:rFonts w:hint="eastAsia" w:ascii="宋体" w:hAnsi="宋体" w:cs="宋体"/>
          <w:color w:val="auto"/>
          <w:highlight w:val="none"/>
        </w:rPr>
      </w:pPr>
      <w:r>
        <w:rPr>
          <w:rFonts w:hint="eastAsia" w:ascii="宋体" w:hAnsi="宋体" w:cs="宋体"/>
          <w:color w:val="auto"/>
          <w:highlight w:val="none"/>
        </w:rPr>
        <w:t>2、售后要求</w:t>
      </w:r>
    </w:p>
    <w:p w14:paraId="203D6CE8">
      <w:pPr>
        <w:spacing w:line="360" w:lineRule="auto"/>
        <w:ind w:firstLine="480"/>
        <w:rPr>
          <w:color w:val="auto"/>
          <w:highlight w:val="none"/>
        </w:rPr>
      </w:pPr>
      <w:r>
        <w:rPr>
          <w:rFonts w:hint="eastAsia" w:ascii="宋体" w:hAnsi="宋体" w:cs="宋体"/>
          <w:color w:val="auto"/>
          <w:highlight w:val="none"/>
          <w:lang w:val="zh-CN"/>
        </w:rPr>
        <w:t>要求在项目工作完成后，根据采购人及浙江省林业局相关要求，免费完善项目成果报告。</w:t>
      </w:r>
    </w:p>
    <w:p w14:paraId="6F87BEB2">
      <w:pPr>
        <w:spacing w:line="360" w:lineRule="auto"/>
        <w:ind w:firstLine="480"/>
        <w:rPr>
          <w:rFonts w:hint="eastAsia" w:ascii="宋体" w:hAnsi="宋体" w:cs="宋体"/>
          <w:color w:val="auto"/>
          <w:highlight w:val="none"/>
        </w:rPr>
      </w:pPr>
      <w:r>
        <w:rPr>
          <w:rFonts w:hint="eastAsia" w:ascii="宋体" w:hAnsi="宋体" w:cs="宋体"/>
          <w:color w:val="auto"/>
          <w:highlight w:val="none"/>
        </w:rPr>
        <w:t>3、付款方式</w:t>
      </w:r>
    </w:p>
    <w:p w14:paraId="45AB9844">
      <w:pPr>
        <w:spacing w:line="360" w:lineRule="auto"/>
        <w:ind w:firstLine="480"/>
        <w:rPr>
          <w:color w:val="auto"/>
          <w:highlight w:val="none"/>
        </w:rPr>
      </w:pPr>
      <w:r>
        <w:rPr>
          <w:rFonts w:hint="eastAsia" w:ascii="宋体" w:hAnsi="宋体" w:cs="宋体"/>
          <w:color w:val="auto"/>
          <w:highlight w:val="none"/>
          <w:lang w:val="zh-CN"/>
        </w:rPr>
        <w:t>合同签订后，支付合同金额的40%；提交林草湿资源</w:t>
      </w:r>
      <w:r>
        <w:rPr>
          <w:rFonts w:hint="eastAsia" w:ascii="宋体" w:hAnsi="宋体" w:cs="宋体"/>
          <w:color w:val="auto"/>
          <w:highlight w:val="none"/>
        </w:rPr>
        <w:t>调查监测</w:t>
      </w:r>
      <w:r>
        <w:rPr>
          <w:rFonts w:hint="eastAsia" w:ascii="宋体" w:hAnsi="宋体" w:cs="宋体"/>
          <w:color w:val="auto"/>
          <w:highlight w:val="none"/>
          <w:lang w:val="zh-CN"/>
        </w:rPr>
        <w:t>成果以及经专家评审后的</w:t>
      </w:r>
      <w:r>
        <w:rPr>
          <w:rFonts w:hint="eastAsia" w:ascii="宋体" w:hAnsi="宋体" w:cs="宋体"/>
          <w:color w:val="auto"/>
          <w:highlight w:val="none"/>
        </w:rPr>
        <w:t>补充林地规划本文</w:t>
      </w:r>
      <w:r>
        <w:rPr>
          <w:rFonts w:hint="eastAsia" w:ascii="宋体" w:hAnsi="宋体" w:cs="宋体"/>
          <w:color w:val="auto"/>
          <w:highlight w:val="none"/>
          <w:lang w:val="zh-CN"/>
        </w:rPr>
        <w:t>后，支付合同余款。</w:t>
      </w:r>
    </w:p>
    <w:p w14:paraId="62FD4E3B">
      <w:pPr>
        <w:pStyle w:val="3"/>
        <w:spacing w:before="312" w:after="312"/>
        <w:rPr>
          <w:color w:val="auto"/>
          <w:highlight w:val="none"/>
        </w:rPr>
      </w:pPr>
    </w:p>
    <w:p w14:paraId="2AAF0BFF">
      <w:pPr>
        <w:pStyle w:val="3"/>
        <w:spacing w:before="312" w:after="312"/>
        <w:rPr>
          <w:color w:val="auto"/>
          <w:highlight w:val="none"/>
        </w:rPr>
      </w:pPr>
    </w:p>
    <w:p w14:paraId="186BF1F5">
      <w:pPr>
        <w:pStyle w:val="3"/>
        <w:spacing w:before="312" w:after="312"/>
        <w:rPr>
          <w:color w:val="auto"/>
          <w:highlight w:val="none"/>
        </w:rPr>
      </w:pPr>
    </w:p>
    <w:p w14:paraId="002DFFF3">
      <w:pPr>
        <w:pStyle w:val="3"/>
        <w:spacing w:before="312" w:after="312"/>
        <w:rPr>
          <w:color w:val="auto"/>
          <w:highlight w:val="none"/>
        </w:rPr>
      </w:pPr>
    </w:p>
    <w:p w14:paraId="7FC0CCBD">
      <w:pPr>
        <w:pStyle w:val="3"/>
        <w:spacing w:before="312" w:after="312"/>
        <w:jc w:val="both"/>
        <w:rPr>
          <w:color w:val="auto"/>
          <w:highlight w:val="none"/>
        </w:rPr>
      </w:pPr>
    </w:p>
    <w:p w14:paraId="227B6919">
      <w:pPr>
        <w:pStyle w:val="3"/>
        <w:spacing w:before="312" w:after="312"/>
        <w:jc w:val="both"/>
        <w:rPr>
          <w:color w:val="auto"/>
          <w:highlight w:val="none"/>
        </w:rPr>
      </w:pPr>
    </w:p>
    <w:p w14:paraId="737B9E4C">
      <w:pPr>
        <w:ind w:firstLine="480"/>
        <w:rPr>
          <w:color w:val="auto"/>
          <w:highlight w:val="none"/>
        </w:rPr>
      </w:pPr>
    </w:p>
    <w:p w14:paraId="6874CEFB">
      <w:pPr>
        <w:pStyle w:val="3"/>
        <w:spacing w:before="312" w:after="312"/>
        <w:rPr>
          <w:color w:val="auto"/>
          <w:highlight w:val="none"/>
        </w:rPr>
      </w:pPr>
      <w:r>
        <w:rPr>
          <w:rFonts w:hint="eastAsia"/>
          <w:color w:val="auto"/>
          <w:highlight w:val="none"/>
        </w:rPr>
        <w:t>第四章  磋商原则和磋商方法</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6435594F">
      <w:pPr>
        <w:spacing w:line="312" w:lineRule="auto"/>
        <w:ind w:firstLine="480"/>
        <w:outlineLvl w:val="1"/>
        <w:rPr>
          <w:rFonts w:hint="eastAsia" w:ascii="宋体" w:hAnsi="宋体" w:cs="宋体"/>
          <w:color w:val="auto"/>
          <w:highlight w:val="none"/>
        </w:rPr>
      </w:pPr>
      <w:bookmarkStart w:id="908" w:name="_Toc11721"/>
      <w:bookmarkStart w:id="909" w:name="_Toc31174"/>
      <w:bookmarkStart w:id="910" w:name="_Toc32194"/>
      <w:bookmarkStart w:id="911" w:name="_Toc20320"/>
      <w:bookmarkStart w:id="912" w:name="_Toc24437"/>
      <w:bookmarkStart w:id="913" w:name="_Toc19113"/>
      <w:bookmarkStart w:id="914" w:name="_Toc19474"/>
      <w:bookmarkStart w:id="915" w:name="_Toc6145"/>
      <w:bookmarkStart w:id="916" w:name="_Toc10428"/>
      <w:bookmarkStart w:id="917" w:name="_Toc18358"/>
      <w:bookmarkStart w:id="918" w:name="_Toc9965"/>
      <w:bookmarkStart w:id="919" w:name="_Toc4467"/>
      <w:bookmarkStart w:id="920" w:name="_Toc7910"/>
      <w:bookmarkStart w:id="921" w:name="_Toc5228"/>
      <w:bookmarkStart w:id="922" w:name="_Toc28145"/>
      <w:bookmarkStart w:id="923" w:name="_Toc4160"/>
      <w:bookmarkStart w:id="924" w:name="_Toc4734"/>
      <w:bookmarkStart w:id="925" w:name="_Toc7590"/>
      <w:bookmarkStart w:id="926" w:name="_Toc16403"/>
      <w:bookmarkStart w:id="927" w:name="_Toc28911"/>
      <w:bookmarkStart w:id="928" w:name="_Toc25226"/>
      <w:bookmarkStart w:id="929" w:name="_Toc20405"/>
      <w:bookmarkStart w:id="930" w:name="_Toc28157"/>
      <w:bookmarkStart w:id="931" w:name="_Toc27077"/>
      <w:bookmarkStart w:id="932" w:name="_Toc19047"/>
      <w:bookmarkStart w:id="933" w:name="_Toc19037"/>
      <w:bookmarkStart w:id="934" w:name="_Toc15850"/>
      <w:bookmarkStart w:id="935" w:name="_Toc25406"/>
      <w:bookmarkStart w:id="936" w:name="_Toc9745"/>
      <w:bookmarkStart w:id="937" w:name="_Toc27864"/>
      <w:bookmarkStart w:id="938" w:name="_Toc12523"/>
      <w:bookmarkStart w:id="939" w:name="_Toc17556"/>
      <w:bookmarkStart w:id="940" w:name="_Toc28543"/>
      <w:bookmarkStart w:id="941" w:name="_Toc7319"/>
      <w:bookmarkStart w:id="942" w:name="_Toc26469"/>
      <w:bookmarkStart w:id="943" w:name="_Toc439"/>
      <w:bookmarkStart w:id="944" w:name="_Toc20591"/>
      <w:bookmarkStart w:id="945" w:name="_Toc3696"/>
      <w:bookmarkStart w:id="946" w:name="_Toc5963"/>
      <w:bookmarkStart w:id="947" w:name="_Toc30685"/>
      <w:bookmarkStart w:id="948" w:name="_Toc8654"/>
      <w:bookmarkStart w:id="949" w:name="_Toc22364"/>
      <w:bookmarkStart w:id="950" w:name="_Toc8327"/>
      <w:bookmarkStart w:id="951" w:name="_Toc24252"/>
      <w:bookmarkStart w:id="952" w:name="_Toc15638"/>
      <w:bookmarkStart w:id="953" w:name="_Toc2523"/>
      <w:bookmarkStart w:id="954" w:name="_Toc18243"/>
      <w:bookmarkStart w:id="955" w:name="_Toc1925"/>
      <w:bookmarkStart w:id="956" w:name="_Toc29261"/>
      <w:bookmarkStart w:id="957" w:name="_Toc2332"/>
      <w:bookmarkStart w:id="958" w:name="_Toc20092"/>
      <w:bookmarkStart w:id="959" w:name="_Toc31181"/>
      <w:bookmarkStart w:id="960" w:name="_Toc4848"/>
      <w:bookmarkStart w:id="961" w:name="_Toc27240"/>
      <w:bookmarkStart w:id="962" w:name="_Toc4601"/>
      <w:bookmarkStart w:id="963" w:name="_Toc28693"/>
      <w:r>
        <w:rPr>
          <w:rFonts w:hint="eastAsia" w:ascii="宋体" w:hAnsi="宋体" w:cs="宋体"/>
          <w:color w:val="auto"/>
          <w:highlight w:val="none"/>
        </w:rPr>
        <w:t>1.总则</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6DB01BA4">
      <w:pPr>
        <w:spacing w:line="312" w:lineRule="auto"/>
        <w:ind w:firstLine="480"/>
        <w:rPr>
          <w:rFonts w:hint="eastAsia" w:ascii="宋体" w:hAnsi="宋体" w:cs="宋体"/>
          <w:color w:val="auto"/>
          <w:highlight w:val="none"/>
        </w:rPr>
      </w:pPr>
      <w:r>
        <w:rPr>
          <w:rFonts w:hint="eastAsia" w:ascii="宋体" w:hAnsi="宋体" w:cs="宋体"/>
          <w:color w:val="auto"/>
          <w:highlight w:val="none"/>
        </w:rPr>
        <w:t>1.1为公正、公平、科学地选择成交供应商，根据《中华人民共和国政府采购法》《中华人民共和国政府采购法实施条例》《政府采购竞争性磋商采购方式管理暂行办法》等有关规定，并结合本项目的实际，制定本办法。</w:t>
      </w:r>
    </w:p>
    <w:p w14:paraId="18214AA8">
      <w:pPr>
        <w:spacing w:line="312" w:lineRule="auto"/>
        <w:ind w:firstLine="480"/>
        <w:rPr>
          <w:rFonts w:hint="eastAsia" w:ascii="宋体" w:hAnsi="宋体" w:cs="宋体"/>
          <w:color w:val="auto"/>
          <w:highlight w:val="none"/>
        </w:rPr>
      </w:pPr>
      <w:r>
        <w:rPr>
          <w:rFonts w:hint="eastAsia" w:ascii="宋体" w:hAnsi="宋体" w:cs="宋体"/>
          <w:color w:val="auto"/>
          <w:highlight w:val="none"/>
        </w:rPr>
        <w:t>1.2评审工作由采购代理机构负责组织，具体评审事务由采购组织机构依法组建的评审小组负责。</w:t>
      </w:r>
    </w:p>
    <w:p w14:paraId="5039CE0C">
      <w:pPr>
        <w:spacing w:line="312" w:lineRule="auto"/>
        <w:ind w:firstLine="480"/>
        <w:rPr>
          <w:rFonts w:hint="eastAsia" w:ascii="宋体" w:hAnsi="宋体" w:cs="宋体"/>
          <w:color w:val="auto"/>
          <w:highlight w:val="none"/>
        </w:rPr>
      </w:pPr>
      <w:r>
        <w:rPr>
          <w:rFonts w:hint="eastAsia" w:ascii="宋体" w:hAnsi="宋体" w:cs="宋体"/>
          <w:color w:val="auto"/>
          <w:highlight w:val="none"/>
        </w:rPr>
        <w:t>1.3评审小组评价响应文件的响应性，对于供应商而言，除评审小组要求其澄清、说明或者更正而提供的资料外，仅依据响应文件本身的内容，不寻求其他外部证据。如供应商提交的资质证明或其他内容不齐全，由此造成的后果由供应商自己负责。</w:t>
      </w:r>
    </w:p>
    <w:p w14:paraId="54A272FB">
      <w:pPr>
        <w:spacing w:line="312" w:lineRule="auto"/>
        <w:ind w:firstLine="480"/>
        <w:rPr>
          <w:rFonts w:hint="eastAsia" w:ascii="宋体" w:hAnsi="宋体" w:cs="宋体"/>
          <w:color w:val="auto"/>
          <w:highlight w:val="none"/>
        </w:rPr>
      </w:pPr>
      <w:r>
        <w:rPr>
          <w:rFonts w:hint="eastAsia" w:ascii="宋体" w:hAnsi="宋体" w:cs="宋体"/>
          <w:color w:val="auto"/>
          <w:highlight w:val="none"/>
        </w:rPr>
        <w:t>1.4评审过程独立、保密。供应商非法干预开启评审过程的行为将导致其响应文件作为无效处理。</w:t>
      </w:r>
    </w:p>
    <w:p w14:paraId="7721F21A">
      <w:pPr>
        <w:spacing w:line="312" w:lineRule="auto"/>
        <w:ind w:firstLine="480"/>
        <w:rPr>
          <w:rFonts w:hint="eastAsia" w:ascii="宋体" w:hAnsi="宋体" w:cs="宋体"/>
          <w:color w:val="auto"/>
          <w:highlight w:val="none"/>
        </w:rPr>
      </w:pPr>
      <w:r>
        <w:rPr>
          <w:rFonts w:hint="eastAsia" w:ascii="宋体" w:hAnsi="宋体" w:cs="宋体"/>
          <w:color w:val="auto"/>
          <w:highlight w:val="none"/>
        </w:rPr>
        <w:t>1.5本项目评审采用不公开方式进行。供应商资信商务技术得分、最后报价及得分在磋商结束后一并同时公布。</w:t>
      </w:r>
    </w:p>
    <w:p w14:paraId="6C51D75D">
      <w:pPr>
        <w:spacing w:line="312" w:lineRule="auto"/>
        <w:ind w:firstLine="480"/>
        <w:rPr>
          <w:rFonts w:hint="eastAsia" w:ascii="宋体" w:hAnsi="宋体" w:cs="宋体"/>
          <w:color w:val="auto"/>
          <w:highlight w:val="none"/>
        </w:rPr>
      </w:pPr>
      <w:r>
        <w:rPr>
          <w:rFonts w:hint="eastAsia" w:ascii="宋体" w:hAnsi="宋体" w:cs="宋体"/>
          <w:color w:val="auto"/>
          <w:highlight w:val="none"/>
        </w:rPr>
        <w:t>1.6本次评审采用综合评分法。</w:t>
      </w:r>
    </w:p>
    <w:p w14:paraId="1ABFF7CF">
      <w:pPr>
        <w:spacing w:line="312" w:lineRule="auto"/>
        <w:ind w:firstLine="480"/>
        <w:outlineLvl w:val="1"/>
        <w:rPr>
          <w:rFonts w:hint="eastAsia" w:ascii="宋体" w:hAnsi="宋体" w:cs="宋体"/>
          <w:color w:val="auto"/>
          <w:highlight w:val="none"/>
        </w:rPr>
      </w:pPr>
      <w:bookmarkStart w:id="964" w:name="_Toc25597"/>
      <w:bookmarkStart w:id="965" w:name="_Toc31311"/>
      <w:bookmarkStart w:id="966" w:name="_Toc3247"/>
      <w:bookmarkStart w:id="967" w:name="_Toc22789"/>
      <w:bookmarkStart w:id="968" w:name="_Toc3493"/>
      <w:bookmarkStart w:id="969" w:name="_Toc9722"/>
      <w:bookmarkStart w:id="970" w:name="_Toc4842"/>
      <w:bookmarkStart w:id="971" w:name="_Toc2738"/>
      <w:bookmarkStart w:id="972" w:name="_Toc11982"/>
      <w:bookmarkStart w:id="973" w:name="_Toc22534"/>
      <w:bookmarkStart w:id="974" w:name="_Toc21216"/>
      <w:bookmarkStart w:id="975" w:name="_Toc20692"/>
      <w:bookmarkStart w:id="976" w:name="_Toc777"/>
      <w:bookmarkStart w:id="977" w:name="_Toc10892"/>
      <w:bookmarkStart w:id="978" w:name="_Toc495"/>
      <w:bookmarkStart w:id="979" w:name="_Toc20660"/>
      <w:bookmarkStart w:id="980" w:name="_Toc16172"/>
      <w:bookmarkStart w:id="981" w:name="_Toc12152"/>
      <w:bookmarkStart w:id="982" w:name="_Toc5740"/>
      <w:bookmarkStart w:id="983" w:name="_Toc9049"/>
      <w:bookmarkStart w:id="984" w:name="_Toc11864"/>
      <w:bookmarkStart w:id="985" w:name="_Toc6058"/>
      <w:bookmarkStart w:id="986" w:name="_Toc25382"/>
      <w:bookmarkStart w:id="987" w:name="_Toc24033"/>
      <w:bookmarkStart w:id="988" w:name="_Toc12802"/>
      <w:bookmarkStart w:id="989" w:name="_Toc2880"/>
      <w:bookmarkStart w:id="990" w:name="_Toc4389"/>
      <w:bookmarkStart w:id="991" w:name="_Toc25712"/>
      <w:bookmarkStart w:id="992" w:name="_Toc4912"/>
      <w:bookmarkStart w:id="993" w:name="_Toc19901"/>
      <w:bookmarkStart w:id="994" w:name="_Toc8390"/>
      <w:r>
        <w:rPr>
          <w:rFonts w:hint="eastAsia" w:ascii="宋体" w:hAnsi="宋体" w:cs="宋体"/>
          <w:color w:val="auto"/>
          <w:highlight w:val="none"/>
        </w:rPr>
        <w:t>2.组建</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Fonts w:hint="eastAsia" w:ascii="宋体" w:hAnsi="宋体" w:cs="宋体"/>
          <w:color w:val="auto"/>
          <w:highlight w:val="none"/>
        </w:rPr>
        <w:t>评审小组</w:t>
      </w:r>
      <w:bookmarkEnd w:id="986"/>
      <w:bookmarkEnd w:id="987"/>
      <w:bookmarkEnd w:id="988"/>
      <w:bookmarkEnd w:id="989"/>
      <w:bookmarkEnd w:id="990"/>
      <w:bookmarkEnd w:id="991"/>
      <w:bookmarkEnd w:id="992"/>
      <w:bookmarkEnd w:id="993"/>
      <w:bookmarkEnd w:id="994"/>
    </w:p>
    <w:p w14:paraId="51927EC3">
      <w:pPr>
        <w:spacing w:line="312" w:lineRule="auto"/>
        <w:ind w:firstLine="480"/>
        <w:rPr>
          <w:rFonts w:hint="eastAsia" w:ascii="宋体" w:hAnsi="宋体" w:cs="宋体"/>
          <w:color w:val="auto"/>
          <w:highlight w:val="none"/>
        </w:rPr>
      </w:pPr>
      <w:r>
        <w:rPr>
          <w:rFonts w:hint="eastAsia" w:ascii="宋体" w:hAnsi="宋体" w:cs="宋体"/>
          <w:color w:val="auto"/>
          <w:highlight w:val="none"/>
        </w:rPr>
        <w:t>2.1采购人将根据相关规定和采购项目的特点由采购人和技术、经济等方面专家组成评审小组，评审小组成员人数见供应商须知前附表。</w:t>
      </w:r>
    </w:p>
    <w:p w14:paraId="7C15F260">
      <w:pPr>
        <w:spacing w:line="312" w:lineRule="auto"/>
        <w:ind w:firstLine="480"/>
        <w:rPr>
          <w:rFonts w:hint="eastAsia" w:ascii="宋体" w:hAnsi="宋体" w:cs="宋体"/>
          <w:color w:val="auto"/>
          <w:highlight w:val="none"/>
        </w:rPr>
      </w:pPr>
      <w:r>
        <w:rPr>
          <w:rFonts w:hint="eastAsia" w:ascii="宋体" w:hAnsi="宋体" w:cs="宋体"/>
          <w:color w:val="auto"/>
          <w:highlight w:val="none"/>
        </w:rPr>
        <w:t>2.2除依法组建的评审小组成员以外，其他任何人不得参加或者替代评审。</w:t>
      </w:r>
    </w:p>
    <w:p w14:paraId="71005085">
      <w:pPr>
        <w:spacing w:line="312" w:lineRule="auto"/>
        <w:ind w:firstLine="480"/>
        <w:outlineLvl w:val="1"/>
        <w:rPr>
          <w:rFonts w:hint="eastAsia" w:ascii="宋体" w:hAnsi="宋体" w:cs="宋体"/>
          <w:color w:val="auto"/>
          <w:highlight w:val="none"/>
        </w:rPr>
      </w:pPr>
      <w:bookmarkStart w:id="995" w:name="_Toc20021"/>
      <w:bookmarkStart w:id="996" w:name="_Toc1908"/>
      <w:bookmarkStart w:id="997" w:name="_Toc4634"/>
      <w:bookmarkStart w:id="998" w:name="_Toc20551"/>
      <w:bookmarkStart w:id="999" w:name="_Toc14617"/>
      <w:bookmarkStart w:id="1000" w:name="_Toc25345"/>
      <w:bookmarkStart w:id="1001" w:name="_Toc28255"/>
      <w:bookmarkStart w:id="1002" w:name="_Toc11428"/>
      <w:bookmarkStart w:id="1003" w:name="_Toc16819"/>
      <w:bookmarkStart w:id="1004" w:name="_Toc1558"/>
      <w:bookmarkStart w:id="1005" w:name="_Toc4466"/>
      <w:bookmarkStart w:id="1006" w:name="_Toc1156"/>
      <w:bookmarkStart w:id="1007" w:name="_Toc25809"/>
      <w:bookmarkStart w:id="1008" w:name="_Toc30464"/>
      <w:bookmarkStart w:id="1009" w:name="_Toc12255"/>
      <w:bookmarkStart w:id="1010" w:name="_Toc19745"/>
      <w:bookmarkStart w:id="1011" w:name="_Toc19093"/>
      <w:bookmarkStart w:id="1012" w:name="_Toc10549"/>
      <w:bookmarkStart w:id="1013" w:name="_Toc7445"/>
      <w:bookmarkStart w:id="1014" w:name="_Toc3143"/>
      <w:bookmarkStart w:id="1015" w:name="_Toc6921"/>
      <w:bookmarkStart w:id="1016" w:name="_Toc15985"/>
      <w:bookmarkStart w:id="1017" w:name="_Toc8478"/>
      <w:bookmarkStart w:id="1018" w:name="_Toc13202"/>
      <w:bookmarkStart w:id="1019" w:name="_Toc26079"/>
      <w:bookmarkStart w:id="1020" w:name="_Toc30166"/>
      <w:bookmarkStart w:id="1021" w:name="_Toc19707"/>
      <w:bookmarkStart w:id="1022" w:name="_Toc31379"/>
      <w:bookmarkStart w:id="1023" w:name="_Toc16965"/>
      <w:bookmarkStart w:id="1024" w:name="_Toc17917"/>
      <w:bookmarkStart w:id="1025" w:name="_Toc19769"/>
      <w:r>
        <w:rPr>
          <w:rFonts w:hint="eastAsia" w:ascii="宋体" w:hAnsi="宋体" w:cs="宋体"/>
          <w:color w:val="auto"/>
          <w:highlight w:val="none"/>
        </w:rPr>
        <w:t>3.评审原则</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341E0411">
      <w:pPr>
        <w:spacing w:line="312" w:lineRule="auto"/>
        <w:ind w:firstLine="480"/>
        <w:rPr>
          <w:rFonts w:hint="eastAsia" w:ascii="宋体" w:hAnsi="宋体" w:cs="宋体"/>
          <w:color w:val="auto"/>
          <w:highlight w:val="none"/>
        </w:rPr>
      </w:pPr>
      <w:r>
        <w:rPr>
          <w:rFonts w:hint="eastAsia" w:ascii="宋体" w:hAnsi="宋体" w:cs="宋体"/>
          <w:color w:val="auto"/>
          <w:highlight w:val="none"/>
        </w:rPr>
        <w:t>3.1公正、客观、审慎的原则。</w:t>
      </w:r>
    </w:p>
    <w:p w14:paraId="7E8EBC7D">
      <w:pPr>
        <w:spacing w:line="312" w:lineRule="auto"/>
        <w:ind w:firstLine="480"/>
        <w:rPr>
          <w:rFonts w:hint="eastAsia" w:ascii="宋体" w:hAnsi="宋体" w:cs="宋体"/>
          <w:color w:val="auto"/>
          <w:highlight w:val="none"/>
        </w:rPr>
      </w:pPr>
      <w:r>
        <w:rPr>
          <w:rFonts w:hint="eastAsia" w:ascii="宋体" w:hAnsi="宋体" w:cs="宋体"/>
          <w:color w:val="auto"/>
          <w:highlight w:val="none"/>
        </w:rPr>
        <w:t>3.2严格保密原则。评审小组及有关工作人员不得私下与供应商接触。采购人或采购组织机构对评审结果不作任何说明和解释，也不回答任何提问。</w:t>
      </w:r>
    </w:p>
    <w:p w14:paraId="44E21014">
      <w:pPr>
        <w:spacing w:line="312" w:lineRule="auto"/>
        <w:ind w:firstLine="480"/>
        <w:rPr>
          <w:rFonts w:hint="eastAsia" w:ascii="宋体" w:hAnsi="宋体" w:cs="宋体"/>
          <w:color w:val="auto"/>
          <w:highlight w:val="none"/>
        </w:rPr>
      </w:pPr>
      <w:r>
        <w:rPr>
          <w:rFonts w:hint="eastAsia" w:ascii="宋体" w:hAnsi="宋体" w:cs="宋体"/>
          <w:color w:val="auto"/>
          <w:highlight w:val="none"/>
        </w:rPr>
        <w:t>3.3独立评审原则。任何单位和个人不得干扰、影响评审的正常进行。</w:t>
      </w:r>
    </w:p>
    <w:p w14:paraId="2F8FB518">
      <w:pPr>
        <w:spacing w:line="312" w:lineRule="auto"/>
        <w:ind w:firstLine="480"/>
        <w:rPr>
          <w:rFonts w:hint="eastAsia" w:ascii="宋体" w:hAnsi="宋体" w:cs="宋体"/>
          <w:color w:val="auto"/>
          <w:highlight w:val="none"/>
        </w:rPr>
      </w:pPr>
      <w:r>
        <w:rPr>
          <w:rFonts w:hint="eastAsia" w:ascii="宋体" w:hAnsi="宋体" w:cs="宋体"/>
          <w:color w:val="auto"/>
          <w:highlight w:val="none"/>
        </w:rPr>
        <w:t>3.4严格遵守评审方法。根据采购文件规定的评审程序、评审方法和评分标准进行评审，不带任何倾向性和启发性。</w:t>
      </w:r>
    </w:p>
    <w:p w14:paraId="37232DCA">
      <w:pPr>
        <w:spacing w:line="312" w:lineRule="auto"/>
        <w:ind w:firstLine="480"/>
        <w:outlineLvl w:val="1"/>
        <w:rPr>
          <w:rFonts w:hint="eastAsia" w:ascii="宋体" w:hAnsi="宋体" w:cs="宋体"/>
          <w:color w:val="auto"/>
          <w:highlight w:val="none"/>
        </w:rPr>
      </w:pPr>
      <w:bookmarkStart w:id="1026" w:name="_Toc10739"/>
      <w:bookmarkStart w:id="1027" w:name="_Toc10086"/>
      <w:bookmarkStart w:id="1028" w:name="_Toc30436"/>
      <w:bookmarkStart w:id="1029" w:name="_Toc24160"/>
      <w:bookmarkStart w:id="1030" w:name="_Toc26440"/>
      <w:bookmarkStart w:id="1031" w:name="_Toc19181"/>
      <w:bookmarkStart w:id="1032" w:name="_Toc1697"/>
      <w:bookmarkStart w:id="1033" w:name="_Toc13497"/>
      <w:bookmarkStart w:id="1034" w:name="_Toc31975"/>
      <w:bookmarkStart w:id="1035" w:name="_Toc27388"/>
      <w:bookmarkStart w:id="1036" w:name="_Toc10390"/>
      <w:bookmarkStart w:id="1037" w:name="_Toc21894"/>
      <w:bookmarkStart w:id="1038" w:name="_Toc1939"/>
      <w:bookmarkStart w:id="1039" w:name="_Toc8055"/>
      <w:bookmarkStart w:id="1040" w:name="_Toc20773"/>
      <w:bookmarkStart w:id="1041" w:name="_Toc3047"/>
      <w:bookmarkStart w:id="1042" w:name="_Toc30511"/>
      <w:bookmarkStart w:id="1043" w:name="_Toc3552"/>
      <w:bookmarkStart w:id="1044" w:name="_Toc18807"/>
      <w:bookmarkStart w:id="1045" w:name="_Toc31827"/>
      <w:bookmarkStart w:id="1046" w:name="_Toc20488"/>
      <w:bookmarkStart w:id="1047" w:name="_Toc16559"/>
      <w:bookmarkStart w:id="1048" w:name="_Toc20887"/>
      <w:bookmarkStart w:id="1049" w:name="_Toc31098"/>
      <w:bookmarkStart w:id="1050" w:name="_Toc3488"/>
      <w:bookmarkStart w:id="1051" w:name="_Toc20246"/>
      <w:bookmarkStart w:id="1052" w:name="_Toc12859"/>
      <w:bookmarkStart w:id="1053" w:name="_Toc21639"/>
      <w:bookmarkStart w:id="1054" w:name="_Toc14121"/>
      <w:bookmarkStart w:id="1055" w:name="_Toc2126"/>
      <w:bookmarkStart w:id="1056" w:name="_Toc10644"/>
      <w:r>
        <w:rPr>
          <w:rFonts w:hint="eastAsia" w:ascii="宋体" w:hAnsi="宋体" w:cs="宋体"/>
          <w:color w:val="auto"/>
          <w:highlight w:val="none"/>
        </w:rPr>
        <w:t>4.评审小组履行下列职责</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5BA07094">
      <w:pPr>
        <w:spacing w:line="312" w:lineRule="auto"/>
        <w:ind w:firstLine="480"/>
        <w:rPr>
          <w:rFonts w:hint="eastAsia" w:ascii="宋体" w:hAnsi="宋体" w:cs="宋体"/>
          <w:color w:val="auto"/>
          <w:highlight w:val="none"/>
        </w:rPr>
      </w:pPr>
      <w:r>
        <w:rPr>
          <w:rFonts w:hint="eastAsia" w:ascii="宋体" w:hAnsi="宋体" w:cs="宋体"/>
          <w:color w:val="auto"/>
          <w:highlight w:val="none"/>
        </w:rPr>
        <w:t>4.1熟悉和理解磋商文件；</w:t>
      </w:r>
    </w:p>
    <w:p w14:paraId="350BC192">
      <w:pPr>
        <w:spacing w:line="312" w:lineRule="auto"/>
        <w:ind w:firstLine="480"/>
        <w:rPr>
          <w:rFonts w:hint="eastAsia" w:ascii="宋体" w:hAnsi="宋体" w:cs="宋体"/>
          <w:color w:val="auto"/>
          <w:highlight w:val="none"/>
        </w:rPr>
      </w:pPr>
      <w:r>
        <w:rPr>
          <w:rFonts w:hint="eastAsia" w:ascii="宋体" w:hAnsi="宋体" w:cs="宋体"/>
          <w:color w:val="auto"/>
          <w:highlight w:val="none"/>
        </w:rPr>
        <w:t>4.2审查供应商响应文件等是否满足磋商文件要求，并作出评价；</w:t>
      </w:r>
    </w:p>
    <w:p w14:paraId="1F0DD5C8">
      <w:pPr>
        <w:spacing w:line="312" w:lineRule="auto"/>
        <w:ind w:firstLine="480"/>
        <w:rPr>
          <w:rFonts w:hint="eastAsia" w:ascii="宋体" w:hAnsi="宋体" w:cs="宋体"/>
          <w:color w:val="auto"/>
          <w:highlight w:val="none"/>
        </w:rPr>
      </w:pPr>
      <w:r>
        <w:rPr>
          <w:rFonts w:hint="eastAsia" w:ascii="宋体" w:hAnsi="宋体" w:cs="宋体"/>
          <w:color w:val="auto"/>
          <w:highlight w:val="none"/>
        </w:rPr>
        <w:t>4.3根据需要要求采购人对磋商文件作出解释；根据需要要求供应商对响应文件有关事项作出澄清、说明或者更正；</w:t>
      </w:r>
    </w:p>
    <w:p w14:paraId="70CF2807">
      <w:pPr>
        <w:spacing w:line="312" w:lineRule="auto"/>
        <w:ind w:firstLine="480"/>
        <w:rPr>
          <w:rFonts w:hint="eastAsia" w:ascii="宋体" w:hAnsi="宋体" w:cs="宋体"/>
          <w:color w:val="auto"/>
          <w:highlight w:val="none"/>
        </w:rPr>
      </w:pPr>
      <w:r>
        <w:rPr>
          <w:rFonts w:hint="eastAsia" w:ascii="宋体" w:hAnsi="宋体" w:cs="宋体"/>
          <w:color w:val="auto"/>
          <w:highlight w:val="none"/>
        </w:rPr>
        <w:t>4.4推荐成交候选供应商，或者受采购人委托确定成交供应商；</w:t>
      </w:r>
    </w:p>
    <w:p w14:paraId="563F9498">
      <w:pPr>
        <w:spacing w:line="312" w:lineRule="auto"/>
        <w:ind w:firstLine="480"/>
        <w:rPr>
          <w:rFonts w:hint="eastAsia" w:ascii="宋体" w:hAnsi="宋体" w:cs="宋体"/>
          <w:color w:val="auto"/>
          <w:highlight w:val="none"/>
        </w:rPr>
      </w:pPr>
      <w:r>
        <w:rPr>
          <w:rFonts w:hint="eastAsia" w:ascii="宋体" w:hAnsi="宋体" w:cs="宋体"/>
          <w:color w:val="auto"/>
          <w:highlight w:val="none"/>
        </w:rPr>
        <w:t>4.5起草评审报告并进行签署；</w:t>
      </w:r>
    </w:p>
    <w:p w14:paraId="60347564">
      <w:pPr>
        <w:spacing w:line="312" w:lineRule="auto"/>
        <w:ind w:firstLine="480"/>
        <w:rPr>
          <w:rFonts w:hint="eastAsia" w:ascii="宋体" w:hAnsi="宋体" w:cs="宋体"/>
          <w:color w:val="auto"/>
          <w:highlight w:val="none"/>
        </w:rPr>
      </w:pPr>
      <w:r>
        <w:rPr>
          <w:rFonts w:hint="eastAsia" w:ascii="宋体" w:hAnsi="宋体" w:cs="宋体"/>
          <w:color w:val="auto"/>
          <w:highlight w:val="none"/>
        </w:rPr>
        <w:t>4.6向采购人、财政部门或者其他监督部门报告非法干预评审工作的行为；</w:t>
      </w:r>
    </w:p>
    <w:p w14:paraId="578865ED">
      <w:pPr>
        <w:spacing w:line="312" w:lineRule="auto"/>
        <w:ind w:firstLine="480"/>
        <w:rPr>
          <w:rFonts w:hint="eastAsia" w:ascii="宋体" w:hAnsi="宋体" w:cs="宋体"/>
          <w:color w:val="auto"/>
          <w:highlight w:val="none"/>
        </w:rPr>
      </w:pPr>
      <w:r>
        <w:rPr>
          <w:rFonts w:hint="eastAsia" w:ascii="宋体" w:hAnsi="宋体" w:cs="宋体"/>
          <w:color w:val="auto"/>
          <w:highlight w:val="none"/>
        </w:rPr>
        <w:t>4.7法律法规和规章规定的其他职责。</w:t>
      </w:r>
    </w:p>
    <w:p w14:paraId="26BB24D1">
      <w:pPr>
        <w:spacing w:line="312" w:lineRule="auto"/>
        <w:ind w:firstLine="480"/>
        <w:outlineLvl w:val="1"/>
        <w:rPr>
          <w:rFonts w:hint="eastAsia" w:ascii="宋体" w:hAnsi="宋体" w:cs="宋体"/>
          <w:color w:val="auto"/>
          <w:highlight w:val="none"/>
        </w:rPr>
      </w:pPr>
      <w:bookmarkStart w:id="1057" w:name="_Toc25331"/>
      <w:bookmarkStart w:id="1058" w:name="_Toc31401"/>
      <w:bookmarkStart w:id="1059" w:name="_Toc26758"/>
      <w:bookmarkStart w:id="1060" w:name="_Toc21493"/>
      <w:bookmarkStart w:id="1061" w:name="_Toc30333"/>
      <w:bookmarkStart w:id="1062" w:name="_Toc31267"/>
      <w:bookmarkStart w:id="1063" w:name="_Toc30691"/>
      <w:bookmarkStart w:id="1064" w:name="_Toc9200"/>
      <w:bookmarkStart w:id="1065" w:name="_Toc1241"/>
      <w:bookmarkStart w:id="1066" w:name="_Toc5437"/>
      <w:bookmarkStart w:id="1067" w:name="_Toc27949"/>
      <w:bookmarkStart w:id="1068" w:name="_Toc2405"/>
      <w:bookmarkStart w:id="1069" w:name="_Toc22136"/>
      <w:bookmarkStart w:id="1070" w:name="_Toc11310"/>
      <w:bookmarkStart w:id="1071" w:name="_Toc25575"/>
      <w:bookmarkStart w:id="1072" w:name="_Toc24632"/>
      <w:bookmarkStart w:id="1073" w:name="_Toc29409"/>
      <w:bookmarkStart w:id="1074" w:name="_Toc5593"/>
      <w:bookmarkStart w:id="1075" w:name="_Toc30619"/>
      <w:bookmarkStart w:id="1076" w:name="_Toc4756"/>
      <w:bookmarkStart w:id="1077" w:name="_Toc12850"/>
      <w:bookmarkStart w:id="1078" w:name="_Toc26935"/>
      <w:bookmarkStart w:id="1079" w:name="_Toc19546"/>
      <w:bookmarkStart w:id="1080" w:name="_Toc31196"/>
      <w:bookmarkStart w:id="1081" w:name="_Toc19049"/>
      <w:bookmarkStart w:id="1082" w:name="_Toc18548"/>
      <w:bookmarkStart w:id="1083" w:name="_Toc10126"/>
      <w:bookmarkStart w:id="1084" w:name="_Toc14638"/>
      <w:bookmarkStart w:id="1085" w:name="_Toc28189"/>
      <w:bookmarkStart w:id="1086" w:name="_Toc6665"/>
      <w:bookmarkStart w:id="1087" w:name="_Toc32067"/>
      <w:r>
        <w:rPr>
          <w:rFonts w:hint="eastAsia" w:ascii="宋体" w:hAnsi="宋体" w:cs="宋体"/>
          <w:color w:val="auto"/>
          <w:highlight w:val="none"/>
        </w:rPr>
        <w:t>5.评审工作纪律</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74803918">
      <w:pPr>
        <w:spacing w:line="312" w:lineRule="auto"/>
        <w:ind w:firstLine="480"/>
        <w:rPr>
          <w:rFonts w:hint="eastAsia" w:ascii="宋体" w:hAnsi="宋体" w:cs="宋体"/>
          <w:color w:val="auto"/>
          <w:highlight w:val="none"/>
        </w:rPr>
      </w:pPr>
      <w:r>
        <w:rPr>
          <w:rFonts w:hint="eastAsia" w:ascii="宋体" w:hAnsi="宋体" w:cs="宋体"/>
          <w:color w:val="auto"/>
          <w:highlight w:val="none"/>
        </w:rPr>
        <w:t>评审小组成员要严格遵守评审纪律、保密、回避等相关规定，依法独立履行评审职责，客观、公正、审慎参与评审工作：</w:t>
      </w:r>
    </w:p>
    <w:p w14:paraId="761B3F62">
      <w:pPr>
        <w:spacing w:line="312" w:lineRule="auto"/>
        <w:ind w:firstLine="480"/>
        <w:rPr>
          <w:rFonts w:hint="eastAsia" w:ascii="宋体" w:hAnsi="宋体" w:cs="宋体"/>
          <w:color w:val="auto"/>
          <w:highlight w:val="none"/>
        </w:rPr>
      </w:pPr>
      <w:r>
        <w:rPr>
          <w:rFonts w:hint="eastAsia" w:ascii="宋体" w:hAnsi="宋体" w:cs="宋体"/>
          <w:color w:val="auto"/>
          <w:highlight w:val="none"/>
        </w:rPr>
        <w:t>5.1严格遵守评审时间，因突发情况确实不能按时参加评审的，应事先告知采购组织机构；</w:t>
      </w:r>
    </w:p>
    <w:p w14:paraId="0E5B8193">
      <w:pPr>
        <w:spacing w:line="312" w:lineRule="auto"/>
        <w:ind w:firstLine="480"/>
        <w:rPr>
          <w:rFonts w:hint="eastAsia" w:ascii="宋体" w:hAnsi="宋体" w:cs="宋体"/>
          <w:color w:val="auto"/>
          <w:highlight w:val="none"/>
        </w:rPr>
      </w:pPr>
      <w:r>
        <w:rPr>
          <w:rFonts w:hint="eastAsia" w:ascii="宋体" w:hAnsi="宋体" w:cs="宋体"/>
          <w:color w:val="auto"/>
          <w:highlight w:val="none"/>
        </w:rPr>
        <w:t>5.2服从采购组织机构的现场管理，主动出示身份证明，进入评审区域后应主动寄存移动通讯工具；</w:t>
      </w:r>
    </w:p>
    <w:p w14:paraId="67869853">
      <w:pPr>
        <w:spacing w:line="312" w:lineRule="auto"/>
        <w:ind w:firstLine="480"/>
        <w:rPr>
          <w:rFonts w:hint="eastAsia" w:ascii="宋体" w:hAnsi="宋体" w:cs="宋体"/>
          <w:color w:val="auto"/>
          <w:highlight w:val="none"/>
        </w:rPr>
      </w:pPr>
      <w:r>
        <w:rPr>
          <w:rFonts w:hint="eastAsia" w:ascii="宋体" w:hAnsi="宋体" w:cs="宋体"/>
          <w:color w:val="auto"/>
          <w:highlight w:val="none"/>
        </w:rPr>
        <w:t>5.3与供应商或评审小组其他成员存在利害关系的，要主动回避，自觉签订《政府采购评审人员廉洁自律承诺书》；</w:t>
      </w:r>
    </w:p>
    <w:p w14:paraId="318EA3A3">
      <w:pPr>
        <w:spacing w:line="312" w:lineRule="auto"/>
        <w:ind w:firstLine="480"/>
        <w:rPr>
          <w:rFonts w:hint="eastAsia" w:ascii="宋体" w:hAnsi="宋体" w:cs="宋体"/>
          <w:color w:val="auto"/>
          <w:highlight w:val="none"/>
        </w:rPr>
      </w:pPr>
      <w:r>
        <w:rPr>
          <w:rFonts w:hint="eastAsia" w:ascii="宋体" w:hAnsi="宋体" w:cs="宋体"/>
          <w:color w:val="auto"/>
          <w:highlight w:val="none"/>
        </w:rPr>
        <w:t>5.4保持评审现场安静，不在评审现场随意走动，因发生不可预见情况确需与外界联系或暂时离开评审现场的，应向现场监督员说明情况，征得同意后在监控区域内进行相关活动，并应接受相关工作人员的监督；</w:t>
      </w:r>
    </w:p>
    <w:p w14:paraId="482864E1">
      <w:pPr>
        <w:spacing w:line="312" w:lineRule="auto"/>
        <w:ind w:firstLine="480"/>
        <w:rPr>
          <w:rFonts w:hint="eastAsia" w:ascii="宋体" w:hAnsi="宋体" w:cs="宋体"/>
          <w:color w:val="auto"/>
          <w:highlight w:val="none"/>
        </w:rPr>
      </w:pPr>
      <w:r>
        <w:rPr>
          <w:rFonts w:hint="eastAsia" w:ascii="宋体" w:hAnsi="宋体" w:cs="宋体"/>
          <w:color w:val="auto"/>
          <w:highlight w:val="none"/>
        </w:rPr>
        <w:t>5.5自觉遵守职业道德，尊重采购人代表和供应商代表，配合采购组织机构回答供应商代表提出的有关异议；</w:t>
      </w:r>
    </w:p>
    <w:p w14:paraId="50B2DC36">
      <w:pPr>
        <w:spacing w:line="312" w:lineRule="auto"/>
        <w:ind w:firstLine="480"/>
        <w:rPr>
          <w:rFonts w:hint="eastAsia" w:ascii="宋体" w:hAnsi="宋体" w:cs="宋体"/>
          <w:color w:val="auto"/>
          <w:highlight w:val="none"/>
        </w:rPr>
      </w:pPr>
      <w:r>
        <w:rPr>
          <w:rFonts w:hint="eastAsia" w:ascii="宋体" w:hAnsi="宋体" w:cs="宋体"/>
          <w:color w:val="auto"/>
          <w:highlight w:val="none"/>
        </w:rPr>
        <w:t>5.6不得将评审过程、结果和供应商的商业秘密透露给任何单位和个人。未公告评审结果前不准泄露评审结果，不准将评审资料带出会场；</w:t>
      </w:r>
    </w:p>
    <w:p w14:paraId="78B6E09A">
      <w:pPr>
        <w:spacing w:line="312" w:lineRule="auto"/>
        <w:ind w:firstLine="480"/>
        <w:rPr>
          <w:rFonts w:hint="eastAsia" w:ascii="宋体" w:hAnsi="宋体" w:cs="宋体"/>
          <w:color w:val="auto"/>
          <w:highlight w:val="none"/>
        </w:rPr>
      </w:pPr>
      <w:r>
        <w:rPr>
          <w:rFonts w:hint="eastAsia" w:ascii="宋体" w:hAnsi="宋体" w:cs="宋体"/>
          <w:color w:val="auto"/>
          <w:highlight w:val="none"/>
        </w:rPr>
        <w:t>5.7评审过程中，涉及相关法律法规不清楚之处的，由采购监管部门或请示权威部门作出法定解释，涉及磋商文件的由采购人和采购代理机构负责解释。</w:t>
      </w:r>
    </w:p>
    <w:p w14:paraId="1AD35DBF">
      <w:pPr>
        <w:spacing w:line="312" w:lineRule="auto"/>
        <w:ind w:firstLine="480"/>
        <w:outlineLvl w:val="1"/>
        <w:rPr>
          <w:rFonts w:hint="eastAsia" w:ascii="宋体" w:hAnsi="宋体" w:cs="宋体"/>
          <w:color w:val="auto"/>
          <w:highlight w:val="none"/>
        </w:rPr>
      </w:pPr>
      <w:bookmarkStart w:id="1088" w:name="_Toc29254"/>
      <w:bookmarkStart w:id="1089" w:name="_Toc15192"/>
      <w:bookmarkStart w:id="1090" w:name="_Toc15513"/>
      <w:bookmarkStart w:id="1091" w:name="_Toc29159"/>
      <w:bookmarkStart w:id="1092" w:name="_Toc22126"/>
      <w:bookmarkStart w:id="1093" w:name="_Toc19877"/>
      <w:bookmarkStart w:id="1094" w:name="_Toc6879"/>
      <w:bookmarkStart w:id="1095" w:name="_Toc29091"/>
      <w:bookmarkStart w:id="1096" w:name="_Toc736"/>
      <w:bookmarkStart w:id="1097" w:name="_Toc13384"/>
      <w:bookmarkStart w:id="1098" w:name="_Toc10841"/>
      <w:bookmarkStart w:id="1099" w:name="_Toc1599"/>
      <w:bookmarkStart w:id="1100" w:name="_Toc13718"/>
      <w:bookmarkStart w:id="1101" w:name="_Toc7141"/>
      <w:bookmarkStart w:id="1102" w:name="_Toc505"/>
      <w:bookmarkStart w:id="1103" w:name="_Toc22518"/>
      <w:bookmarkStart w:id="1104" w:name="_Toc7692"/>
      <w:bookmarkStart w:id="1105" w:name="_Toc29105"/>
      <w:bookmarkStart w:id="1106" w:name="_Toc11912"/>
      <w:bookmarkStart w:id="1107" w:name="_Toc26474"/>
      <w:bookmarkStart w:id="1108" w:name="_Toc29348"/>
      <w:bookmarkStart w:id="1109" w:name="_Toc25961"/>
      <w:bookmarkStart w:id="1110" w:name="_Toc2715"/>
      <w:bookmarkStart w:id="1111" w:name="_Toc15610"/>
      <w:bookmarkStart w:id="1112" w:name="_Toc995"/>
      <w:bookmarkStart w:id="1113" w:name="_Toc4876"/>
      <w:bookmarkStart w:id="1114" w:name="_Toc26528"/>
      <w:bookmarkStart w:id="1115" w:name="_Toc16694"/>
      <w:bookmarkStart w:id="1116" w:name="_Toc28703"/>
      <w:bookmarkStart w:id="1117" w:name="_Toc9284"/>
      <w:bookmarkStart w:id="1118" w:name="_Toc18185"/>
      <w:r>
        <w:rPr>
          <w:rFonts w:hint="eastAsia" w:ascii="宋体" w:hAnsi="宋体" w:cs="宋体"/>
          <w:color w:val="auto"/>
          <w:highlight w:val="none"/>
        </w:rPr>
        <w:t>6.评审程序</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39C02E25">
      <w:pPr>
        <w:spacing w:line="312" w:lineRule="auto"/>
        <w:ind w:firstLine="480"/>
        <w:rPr>
          <w:rFonts w:hint="eastAsia" w:ascii="宋体" w:hAnsi="宋体" w:cs="宋体"/>
          <w:color w:val="auto"/>
          <w:highlight w:val="none"/>
        </w:rPr>
      </w:pPr>
      <w:r>
        <w:rPr>
          <w:rFonts w:hint="eastAsia" w:ascii="宋体" w:hAnsi="宋体" w:cs="宋体"/>
          <w:color w:val="auto"/>
          <w:highlight w:val="none"/>
        </w:rPr>
        <w:t>6.1推选评审小组组长，优先资深专家担任组长，采购人代表不得担任组长。</w:t>
      </w:r>
    </w:p>
    <w:p w14:paraId="1CB71F67">
      <w:pPr>
        <w:spacing w:line="312" w:lineRule="auto"/>
        <w:ind w:firstLine="480"/>
        <w:rPr>
          <w:rFonts w:hint="eastAsia" w:ascii="宋体" w:hAnsi="宋体" w:cs="宋体"/>
          <w:color w:val="auto"/>
          <w:highlight w:val="none"/>
        </w:rPr>
      </w:pPr>
      <w:r>
        <w:rPr>
          <w:rFonts w:hint="eastAsia" w:ascii="宋体" w:hAnsi="宋体" w:cs="宋体"/>
          <w:color w:val="auto"/>
          <w:highlight w:val="none"/>
        </w:rPr>
        <w:t>6.2评审小组正式评审前，应当对采购文件进行熟悉和理解，内容主要包括采购文件中供应商资格资质要求、采购项目技术、服务和商务要求、评审方法和评分标准以及可能涉及签订政府采购合同的内容等。</w:t>
      </w:r>
    </w:p>
    <w:p w14:paraId="383C83B7">
      <w:pPr>
        <w:spacing w:line="312" w:lineRule="auto"/>
        <w:ind w:firstLine="480"/>
        <w:rPr>
          <w:rFonts w:hint="eastAsia" w:ascii="宋体" w:hAnsi="宋体" w:cs="宋体"/>
          <w:color w:val="auto"/>
          <w:highlight w:val="none"/>
        </w:rPr>
      </w:pPr>
      <w:r>
        <w:rPr>
          <w:rFonts w:hint="eastAsia" w:ascii="宋体" w:hAnsi="宋体" w:cs="宋体"/>
          <w:color w:val="auto"/>
          <w:highlight w:val="none"/>
        </w:rPr>
        <w:t>6.3评审程序：资格性审查→符合性审查→商务评审→报价评审→得分汇总→编写评审报告。</w:t>
      </w:r>
    </w:p>
    <w:p w14:paraId="0495E065">
      <w:pPr>
        <w:spacing w:line="312" w:lineRule="auto"/>
        <w:ind w:firstLine="480"/>
        <w:rPr>
          <w:rFonts w:hint="eastAsia" w:ascii="宋体" w:hAnsi="宋体" w:cs="宋体"/>
          <w:color w:val="auto"/>
          <w:highlight w:val="none"/>
        </w:rPr>
      </w:pPr>
      <w:r>
        <w:rPr>
          <w:rFonts w:hint="eastAsia" w:ascii="宋体" w:hAnsi="宋体" w:cs="宋体"/>
          <w:color w:val="auto"/>
          <w:highlight w:val="none"/>
        </w:rPr>
        <w:t>6.4资格性审查</w:t>
      </w:r>
    </w:p>
    <w:p w14:paraId="04CE3F2A">
      <w:pPr>
        <w:spacing w:line="312" w:lineRule="auto"/>
        <w:ind w:firstLine="480"/>
        <w:rPr>
          <w:rFonts w:hint="eastAsia" w:ascii="宋体" w:hAnsi="宋体" w:cs="宋体"/>
          <w:color w:val="auto"/>
          <w:highlight w:val="none"/>
        </w:rPr>
      </w:pPr>
      <w:r>
        <w:rPr>
          <w:rFonts w:hint="eastAsia" w:ascii="宋体" w:hAnsi="宋体" w:cs="宋体"/>
          <w:color w:val="auto"/>
          <w:highlight w:val="none"/>
        </w:rPr>
        <w:t>6.4.1评审小组应依据法律法规和本磋商文件的规定对供应商资格进行审查。审查内容包括：</w:t>
      </w:r>
    </w:p>
    <w:p w14:paraId="7759D1C5">
      <w:pPr>
        <w:spacing w:line="312" w:lineRule="auto"/>
        <w:ind w:firstLine="480"/>
        <w:rPr>
          <w:rFonts w:hint="eastAsia" w:ascii="宋体" w:hAnsi="宋体" w:cs="宋体"/>
          <w:color w:val="auto"/>
          <w:highlight w:val="none"/>
        </w:rPr>
      </w:pPr>
      <w:r>
        <w:rPr>
          <w:rFonts w:hint="eastAsia" w:ascii="宋体" w:hAnsi="宋体" w:cs="宋体"/>
          <w:color w:val="auto"/>
          <w:highlight w:val="none"/>
        </w:rPr>
        <w:t>（1）是否属于禁止参加磋商的供应商；</w:t>
      </w:r>
    </w:p>
    <w:p w14:paraId="4BD17684">
      <w:pPr>
        <w:spacing w:line="312" w:lineRule="auto"/>
        <w:ind w:firstLine="480"/>
        <w:rPr>
          <w:rFonts w:hint="eastAsia" w:ascii="宋体" w:hAnsi="宋体" w:cs="宋体"/>
          <w:color w:val="auto"/>
          <w:highlight w:val="none"/>
        </w:rPr>
      </w:pPr>
      <w:r>
        <w:rPr>
          <w:rFonts w:hint="eastAsia" w:ascii="宋体" w:hAnsi="宋体" w:cs="宋体"/>
          <w:color w:val="auto"/>
          <w:highlight w:val="none"/>
        </w:rPr>
        <w:t>（2）是否按照规定要求提供资格性证明材料；</w:t>
      </w:r>
    </w:p>
    <w:p w14:paraId="3DBC7AD9">
      <w:pPr>
        <w:spacing w:line="312" w:lineRule="auto"/>
        <w:ind w:firstLine="480"/>
        <w:rPr>
          <w:rFonts w:hint="eastAsia" w:ascii="宋体" w:hAnsi="宋体" w:cs="宋体"/>
          <w:color w:val="auto"/>
          <w:highlight w:val="none"/>
        </w:rPr>
      </w:pPr>
      <w:r>
        <w:rPr>
          <w:rFonts w:hint="eastAsia" w:ascii="宋体" w:hAnsi="宋体" w:cs="宋体"/>
          <w:color w:val="auto"/>
          <w:highlight w:val="none"/>
        </w:rPr>
        <w:t>（3）法律法规规定的其他资格条件。</w:t>
      </w:r>
    </w:p>
    <w:p w14:paraId="02C1A8F5">
      <w:pPr>
        <w:spacing w:line="312" w:lineRule="auto"/>
        <w:ind w:firstLine="480"/>
        <w:rPr>
          <w:rFonts w:hint="eastAsia" w:ascii="宋体" w:hAnsi="宋体" w:cs="宋体"/>
          <w:color w:val="auto"/>
          <w:highlight w:val="none"/>
        </w:rPr>
      </w:pPr>
      <w:r>
        <w:rPr>
          <w:rFonts w:hint="eastAsia" w:ascii="宋体" w:hAnsi="宋体" w:cs="宋体"/>
          <w:color w:val="auto"/>
          <w:highlight w:val="none"/>
        </w:rPr>
        <w:t>6.4.2经资格审查不符合磋商文件要求的响应文件，即终止其参与磋商资格。不符合的理由由供应商在系统上确认，供应商拒绝确认的不影响评审小组作出的不合格裁定。</w:t>
      </w:r>
    </w:p>
    <w:p w14:paraId="5A7B757A">
      <w:pPr>
        <w:spacing w:line="312" w:lineRule="auto"/>
        <w:ind w:firstLine="480"/>
        <w:rPr>
          <w:rFonts w:hint="eastAsia" w:ascii="宋体" w:hAnsi="宋体" w:cs="宋体"/>
          <w:color w:val="auto"/>
          <w:highlight w:val="none"/>
        </w:rPr>
      </w:pPr>
      <w:r>
        <w:rPr>
          <w:rFonts w:hint="eastAsia" w:ascii="宋体" w:hAnsi="宋体" w:cs="宋体"/>
          <w:color w:val="auto"/>
          <w:highlight w:val="none"/>
        </w:rPr>
        <w:t>6.5符合性审查</w:t>
      </w:r>
    </w:p>
    <w:p w14:paraId="4D56A52F">
      <w:pPr>
        <w:spacing w:line="312" w:lineRule="auto"/>
        <w:ind w:firstLine="480"/>
        <w:rPr>
          <w:rFonts w:hint="eastAsia" w:ascii="宋体" w:hAnsi="宋体" w:cs="宋体"/>
          <w:color w:val="auto"/>
          <w:highlight w:val="none"/>
        </w:rPr>
      </w:pPr>
      <w:r>
        <w:rPr>
          <w:rFonts w:hint="eastAsia" w:ascii="宋体" w:hAnsi="宋体" w:cs="宋体"/>
          <w:color w:val="auto"/>
          <w:highlight w:val="none"/>
        </w:rPr>
        <w:t>6.5.1评审小组根据本磋商文件的规定，对资格符合供应商的响应文件进行审查，以认定其是否满足本磋商文件的实质性要求。符合性审查事项仅限于本磋商文件的明确规定，评审小组不得臆测符合性审查事项。经符合性审查未实质性响应磋商文件要求，以响应无效处理，未实质性响应的理由由供应商在系统上确认。供应商拒绝确认的不影响评审小组作出的不合格裁定。评审小组不再进行后续评审。</w:t>
      </w:r>
    </w:p>
    <w:p w14:paraId="100BE115">
      <w:pPr>
        <w:spacing w:line="312" w:lineRule="auto"/>
        <w:ind w:firstLine="480"/>
        <w:rPr>
          <w:rFonts w:hint="eastAsia" w:ascii="宋体" w:hAnsi="宋体" w:cs="宋体"/>
          <w:color w:val="auto"/>
          <w:highlight w:val="none"/>
        </w:rPr>
      </w:pPr>
      <w:r>
        <w:rPr>
          <w:rFonts w:hint="eastAsia" w:ascii="宋体" w:hAnsi="宋体" w:cs="宋体"/>
          <w:color w:val="auto"/>
          <w:highlight w:val="none"/>
        </w:rPr>
        <w:t>6.5.2如果确定供应商无资格履行合同，其磋商将被拒绝。</w:t>
      </w:r>
    </w:p>
    <w:p w14:paraId="32C69069">
      <w:pPr>
        <w:spacing w:line="312" w:lineRule="auto"/>
        <w:ind w:firstLine="480"/>
        <w:rPr>
          <w:rFonts w:hint="eastAsia" w:ascii="宋体" w:hAnsi="宋体" w:cs="宋体"/>
          <w:color w:val="auto"/>
          <w:highlight w:val="none"/>
        </w:rPr>
      </w:pPr>
      <w:r>
        <w:rPr>
          <w:rFonts w:hint="eastAsia" w:ascii="宋体" w:hAnsi="宋体" w:cs="宋体"/>
          <w:color w:val="auto"/>
          <w:highlight w:val="none"/>
        </w:rPr>
        <w:t>6.6响应文件评审</w:t>
      </w:r>
    </w:p>
    <w:p w14:paraId="069EE550">
      <w:pPr>
        <w:spacing w:line="312" w:lineRule="auto"/>
        <w:ind w:firstLine="480"/>
        <w:rPr>
          <w:rFonts w:hint="eastAsia" w:ascii="宋体" w:hAnsi="宋体" w:cs="宋体"/>
          <w:color w:val="auto"/>
          <w:highlight w:val="none"/>
        </w:rPr>
      </w:pPr>
      <w:r>
        <w:rPr>
          <w:rFonts w:hint="eastAsia" w:ascii="宋体" w:hAnsi="宋体" w:cs="宋体"/>
          <w:color w:val="auto"/>
          <w:highlight w:val="none"/>
        </w:rPr>
        <w:t>评审小组应当按照磋商文件中规定的评审方法和评分标准，对有效的响应文件进行技术、服务、商务等方面评估、综合比较与评价（详见本章第11条）。评审结束后不公布各供应商资信技术商务得分情况，进行下一步的磋商环节。</w:t>
      </w:r>
    </w:p>
    <w:p w14:paraId="18CFE763">
      <w:pPr>
        <w:spacing w:line="312" w:lineRule="auto"/>
        <w:ind w:firstLine="480"/>
        <w:rPr>
          <w:rFonts w:hint="eastAsia" w:ascii="宋体" w:hAnsi="宋体" w:cs="宋体"/>
          <w:color w:val="auto"/>
          <w:highlight w:val="none"/>
        </w:rPr>
      </w:pPr>
      <w:r>
        <w:rPr>
          <w:rFonts w:hint="eastAsia" w:ascii="宋体" w:hAnsi="宋体" w:cs="宋体"/>
          <w:color w:val="auto"/>
          <w:highlight w:val="none"/>
        </w:rPr>
        <w:t>6.7磋商</w:t>
      </w:r>
    </w:p>
    <w:p w14:paraId="7AEC72B7">
      <w:pPr>
        <w:spacing w:line="312" w:lineRule="auto"/>
        <w:ind w:firstLine="480"/>
        <w:rPr>
          <w:rFonts w:hint="eastAsia" w:ascii="宋体" w:hAnsi="宋体" w:cs="宋体"/>
          <w:color w:val="auto"/>
          <w:highlight w:val="none"/>
        </w:rPr>
      </w:pPr>
      <w:r>
        <w:rPr>
          <w:rFonts w:hint="eastAsia" w:ascii="宋体" w:hAnsi="宋体" w:cs="宋体"/>
          <w:color w:val="auto"/>
          <w:highlight w:val="none"/>
        </w:rPr>
        <w:t>6.7.1评审小组所有成员集中与单一供应商分别进行一轮或多轮磋商，并给予所有参加磋商的供应商平等的磋商机会。磋商顺序按照提交电子响应文件的时间先后顺序。评审小组与供应商</w:t>
      </w:r>
      <w:r>
        <w:rPr>
          <w:rFonts w:hint="eastAsia" w:ascii="宋体" w:hAnsi="宋体" w:cs="宋体"/>
          <w:color w:val="auto"/>
          <w:highlight w:val="none"/>
          <w:lang w:val="zh-CN"/>
        </w:rPr>
        <w:t>在政采云平台在线进行磋商。</w:t>
      </w:r>
    </w:p>
    <w:p w14:paraId="5BF9C7B2">
      <w:pPr>
        <w:spacing w:line="312" w:lineRule="auto"/>
        <w:ind w:firstLine="480"/>
        <w:rPr>
          <w:rFonts w:hint="eastAsia" w:ascii="宋体" w:hAnsi="宋体" w:cs="宋体"/>
          <w:color w:val="auto"/>
          <w:highlight w:val="none"/>
        </w:rPr>
      </w:pPr>
      <w:r>
        <w:rPr>
          <w:rFonts w:hint="eastAsia" w:ascii="宋体" w:hAnsi="宋体" w:cs="宋体"/>
          <w:color w:val="auto"/>
          <w:highlight w:val="none"/>
        </w:rPr>
        <w:t>6.7.2在本磋商文件采购需求中的技术、服务要求、合同草案条款没有实质性变动情况下，评审小组与各供应商着重进行价格磋商。若有两轮以上报价的当前报价不得高于对该项目之前的报价，否则，评审小组应当对其响应文件按无效处理。磋商轮次由评审小组根据磋商情况决定。</w:t>
      </w:r>
    </w:p>
    <w:p w14:paraId="186EE330">
      <w:pPr>
        <w:spacing w:line="312" w:lineRule="auto"/>
        <w:ind w:firstLine="480"/>
        <w:rPr>
          <w:rFonts w:hint="eastAsia" w:ascii="宋体" w:hAnsi="宋体" w:cs="宋体"/>
          <w:color w:val="auto"/>
          <w:highlight w:val="none"/>
        </w:rPr>
      </w:pPr>
      <w:r>
        <w:rPr>
          <w:rFonts w:hint="eastAsia" w:ascii="宋体" w:hAnsi="宋体" w:cs="宋体"/>
          <w:color w:val="auto"/>
          <w:highlight w:val="none"/>
        </w:rPr>
        <w:t>6.7.3磋商过程中，磋商的任何一方不得透露与磋商有关的其他供应商的技术资料、价格和其他信息。</w:t>
      </w:r>
    </w:p>
    <w:p w14:paraId="710E7503">
      <w:pPr>
        <w:spacing w:line="312" w:lineRule="auto"/>
        <w:ind w:firstLine="480"/>
        <w:rPr>
          <w:rFonts w:hint="eastAsia" w:ascii="宋体" w:hAnsi="宋体" w:cs="宋体"/>
          <w:color w:val="auto"/>
          <w:highlight w:val="none"/>
        </w:rPr>
      </w:pPr>
      <w:r>
        <w:rPr>
          <w:rFonts w:hint="eastAsia" w:ascii="宋体" w:hAnsi="宋体" w:cs="宋体"/>
          <w:color w:val="auto"/>
          <w:highlight w:val="none"/>
        </w:rPr>
        <w:t>6.7.4磋商过程中，评审小组发现或者知晓供应商存在违法、违纪行为的，评审小组应当将该供应商响应文件作无效处理，不允许其提交最后报价。</w:t>
      </w:r>
    </w:p>
    <w:p w14:paraId="52ABE65B">
      <w:pPr>
        <w:spacing w:line="312" w:lineRule="auto"/>
        <w:ind w:firstLine="480"/>
        <w:rPr>
          <w:rFonts w:hint="eastAsia" w:ascii="宋体" w:hAnsi="宋体" w:cs="宋体"/>
          <w:color w:val="auto"/>
          <w:highlight w:val="none"/>
        </w:rPr>
      </w:pPr>
      <w:r>
        <w:rPr>
          <w:rFonts w:hint="eastAsia" w:ascii="宋体" w:hAnsi="宋体" w:cs="宋体"/>
          <w:color w:val="auto"/>
          <w:highlight w:val="none"/>
        </w:rPr>
        <w:t>6.8最后报价</w:t>
      </w:r>
    </w:p>
    <w:p w14:paraId="27B10B0D">
      <w:pPr>
        <w:spacing w:line="312" w:lineRule="auto"/>
        <w:ind w:firstLine="480"/>
        <w:rPr>
          <w:rFonts w:hint="eastAsia" w:ascii="宋体" w:hAnsi="宋体" w:cs="宋体"/>
          <w:color w:val="auto"/>
          <w:highlight w:val="none"/>
        </w:rPr>
      </w:pPr>
      <w:r>
        <w:rPr>
          <w:rFonts w:hint="eastAsia" w:ascii="宋体" w:hAnsi="宋体" w:cs="宋体"/>
          <w:color w:val="auto"/>
          <w:highlight w:val="none"/>
        </w:rPr>
        <w:t>6.8.1磋商文件在统一采购需求的前提下，磋商结束后，评审小组应当要求所有实质性响应的供应商在规定时间内提交最后报价，供应商</w:t>
      </w:r>
      <w:r>
        <w:rPr>
          <w:rFonts w:hint="eastAsia" w:ascii="宋体" w:hAnsi="宋体" w:cs="宋体"/>
          <w:color w:val="auto"/>
          <w:highlight w:val="none"/>
          <w:lang w:val="zh-CN"/>
        </w:rPr>
        <w:t>在政采云平台在线提交</w:t>
      </w:r>
      <w:r>
        <w:rPr>
          <w:rFonts w:hint="eastAsia" w:ascii="宋体" w:hAnsi="宋体" w:cs="宋体"/>
          <w:color w:val="auto"/>
          <w:highlight w:val="none"/>
        </w:rPr>
        <w:t>最终报价。</w:t>
      </w:r>
    </w:p>
    <w:p w14:paraId="4E01AAF8">
      <w:pPr>
        <w:spacing w:line="312" w:lineRule="auto"/>
        <w:ind w:firstLine="480"/>
        <w:rPr>
          <w:rFonts w:hint="eastAsia" w:ascii="宋体" w:hAnsi="宋体" w:cs="宋体"/>
          <w:color w:val="auto"/>
          <w:highlight w:val="none"/>
        </w:rPr>
      </w:pPr>
      <w:r>
        <w:rPr>
          <w:rFonts w:hint="eastAsia" w:ascii="宋体" w:hAnsi="宋体" w:cs="宋体"/>
          <w:color w:val="auto"/>
          <w:highlight w:val="none"/>
        </w:rPr>
        <w:t>6.8.2最后报价是供应商响应文件的有效组成部分。</w:t>
      </w:r>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14:paraId="3108BD3E">
      <w:pPr>
        <w:spacing w:line="312" w:lineRule="auto"/>
        <w:ind w:firstLine="480"/>
        <w:outlineLvl w:val="1"/>
        <w:rPr>
          <w:rFonts w:hint="eastAsia" w:ascii="宋体" w:hAnsi="宋体" w:cs="宋体"/>
          <w:color w:val="auto"/>
          <w:highlight w:val="none"/>
        </w:rPr>
      </w:pPr>
      <w:bookmarkStart w:id="1119" w:name="_Toc23819"/>
      <w:bookmarkStart w:id="1120" w:name="_Toc298"/>
      <w:bookmarkStart w:id="1121" w:name="_Toc19344"/>
      <w:bookmarkStart w:id="1122" w:name="_Toc6347"/>
      <w:bookmarkStart w:id="1123" w:name="_Toc16365"/>
      <w:bookmarkStart w:id="1124" w:name="_Toc29410"/>
      <w:bookmarkStart w:id="1125" w:name="_Toc5230"/>
      <w:bookmarkStart w:id="1126" w:name="_Toc7254"/>
      <w:bookmarkStart w:id="1127" w:name="_Toc23665"/>
      <w:bookmarkStart w:id="1128" w:name="_Toc4423"/>
      <w:bookmarkStart w:id="1129" w:name="_Toc13794"/>
      <w:bookmarkStart w:id="1130" w:name="_Toc19432"/>
      <w:bookmarkStart w:id="1131" w:name="_Toc15508"/>
      <w:bookmarkStart w:id="1132" w:name="_Toc21257"/>
      <w:bookmarkStart w:id="1133" w:name="_Toc7814"/>
      <w:bookmarkStart w:id="1134" w:name="_Toc17893"/>
      <w:bookmarkStart w:id="1135" w:name="_Toc15350"/>
      <w:bookmarkStart w:id="1136" w:name="_Toc5749"/>
      <w:bookmarkStart w:id="1137" w:name="_Toc1033"/>
      <w:bookmarkStart w:id="1138" w:name="_Toc24790"/>
      <w:bookmarkStart w:id="1139" w:name="_Toc23545"/>
      <w:bookmarkStart w:id="1140" w:name="_Toc21998"/>
      <w:bookmarkStart w:id="1141" w:name="_Toc6074"/>
      <w:bookmarkStart w:id="1142" w:name="_Toc14868"/>
      <w:bookmarkStart w:id="1143" w:name="_Toc1163"/>
      <w:bookmarkStart w:id="1144" w:name="_Toc22051"/>
      <w:bookmarkStart w:id="1145" w:name="_Toc6195"/>
      <w:bookmarkStart w:id="1146" w:name="_Toc6551"/>
      <w:bookmarkStart w:id="1147" w:name="_Toc16851"/>
      <w:bookmarkStart w:id="1148" w:name="_Toc14219"/>
      <w:bookmarkStart w:id="1149" w:name="_Toc29340"/>
      <w:bookmarkStart w:id="1150" w:name="_Toc11284"/>
      <w:bookmarkStart w:id="1151" w:name="_Toc8823"/>
      <w:bookmarkStart w:id="1152" w:name="_Toc15800"/>
      <w:bookmarkStart w:id="1153" w:name="_Toc22110"/>
      <w:bookmarkStart w:id="1154" w:name="_Toc13924"/>
      <w:bookmarkStart w:id="1155" w:name="_Toc31273"/>
      <w:bookmarkStart w:id="1156" w:name="_Toc21012"/>
      <w:bookmarkStart w:id="1157" w:name="_Toc17273"/>
      <w:r>
        <w:rPr>
          <w:rFonts w:hint="eastAsia" w:ascii="宋体" w:hAnsi="宋体" w:cs="宋体"/>
          <w:color w:val="auto"/>
          <w:highlight w:val="none"/>
        </w:rPr>
        <w:t>7.澄清、说明</w:t>
      </w:r>
      <w:bookmarkEnd w:id="1119"/>
      <w:r>
        <w:rPr>
          <w:rFonts w:hint="eastAsia" w:ascii="宋体" w:hAnsi="宋体" w:cs="宋体"/>
          <w:color w:val="auto"/>
          <w:highlight w:val="none"/>
        </w:rPr>
        <w:t>或修正</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3750C280">
      <w:pPr>
        <w:spacing w:line="312" w:lineRule="auto"/>
        <w:ind w:firstLine="480"/>
        <w:rPr>
          <w:rFonts w:hint="eastAsia" w:ascii="宋体" w:hAnsi="宋体" w:cs="宋体"/>
          <w:color w:val="auto"/>
          <w:highlight w:val="none"/>
        </w:rPr>
      </w:pPr>
      <w:r>
        <w:rPr>
          <w:rFonts w:hint="eastAsia" w:ascii="宋体" w:hAnsi="宋体" w:cs="宋体"/>
          <w:color w:val="auto"/>
          <w:highlight w:val="none"/>
        </w:rPr>
        <w:t>7.1在评审过程中，响应文件实质性符合磋商文件要求的前提下，评审小组对响应文件中含义不明确、同类问题表述不一致或者有明显文字和计算错误的内容，评审小组可以要求相关供应商作出必要的澄清、说明或修正。但不得超出磋商文件的范围，不得以此让供应商实质改变响应文件的内容，不得影响公平竞争和响应文件的效力。澄清、说明或修正内容是响应文件的组成部分。</w:t>
      </w:r>
    </w:p>
    <w:p w14:paraId="30426D36">
      <w:pPr>
        <w:spacing w:line="312" w:lineRule="auto"/>
        <w:ind w:firstLine="480"/>
        <w:rPr>
          <w:rFonts w:hint="eastAsia" w:ascii="宋体" w:hAnsi="宋体" w:cs="宋体"/>
          <w:color w:val="auto"/>
          <w:highlight w:val="none"/>
        </w:rPr>
      </w:pPr>
      <w:r>
        <w:rPr>
          <w:rFonts w:hint="eastAsia" w:ascii="宋体" w:hAnsi="宋体" w:cs="宋体"/>
          <w:color w:val="auto"/>
          <w:highlight w:val="none"/>
        </w:rPr>
        <w:t>7.2响应文件报价出现前后不一致的，按照下列规定修正：</w:t>
      </w:r>
    </w:p>
    <w:p w14:paraId="7F6479BE">
      <w:pPr>
        <w:spacing w:line="312" w:lineRule="auto"/>
        <w:ind w:firstLine="480"/>
        <w:rPr>
          <w:rFonts w:hint="eastAsia" w:ascii="宋体" w:hAnsi="宋体" w:cs="宋体"/>
          <w:color w:val="auto"/>
          <w:highlight w:val="none"/>
        </w:rPr>
      </w:pPr>
      <w:r>
        <w:rPr>
          <w:rFonts w:hint="eastAsia" w:ascii="宋体" w:hAnsi="宋体" w:cs="宋体"/>
          <w:color w:val="auto"/>
          <w:highlight w:val="none"/>
        </w:rPr>
        <w:t>7.2.1大写金额和小写金额不一致的，以大写金额为准；</w:t>
      </w:r>
    </w:p>
    <w:p w14:paraId="4C9F7904">
      <w:pPr>
        <w:spacing w:line="312" w:lineRule="auto"/>
        <w:ind w:firstLine="480"/>
        <w:rPr>
          <w:rFonts w:hint="eastAsia" w:ascii="宋体" w:hAnsi="宋体" w:cs="宋体"/>
          <w:color w:val="auto"/>
          <w:highlight w:val="none"/>
        </w:rPr>
      </w:pPr>
      <w:r>
        <w:rPr>
          <w:rFonts w:hint="eastAsia" w:ascii="宋体" w:hAnsi="宋体" w:cs="宋体"/>
          <w:color w:val="auto"/>
          <w:highlight w:val="none"/>
        </w:rPr>
        <w:t>7.2.2总价金额与按单价汇总金额不一致的，以单价金额计算结果为准；</w:t>
      </w:r>
    </w:p>
    <w:p w14:paraId="1CF26632">
      <w:pPr>
        <w:spacing w:line="312" w:lineRule="auto"/>
        <w:ind w:firstLine="480"/>
        <w:rPr>
          <w:rFonts w:hint="eastAsia" w:ascii="宋体" w:hAnsi="宋体" w:cs="宋体"/>
          <w:color w:val="auto"/>
          <w:highlight w:val="none"/>
        </w:rPr>
      </w:pPr>
      <w:r>
        <w:rPr>
          <w:rFonts w:hint="eastAsia" w:ascii="宋体" w:hAnsi="宋体" w:cs="宋体"/>
          <w:color w:val="auto"/>
          <w:highlight w:val="none"/>
        </w:rPr>
        <w:t>7.2.3单价金额小数点有明显错位的，应以总价为准，并修改单价。如果小写、大写金额和单价、总价金额出现明显文字错误，应当按照澄清、说明或者更正程序先纠正错误后，再行修正。</w:t>
      </w:r>
    </w:p>
    <w:p w14:paraId="1A475A8B">
      <w:pPr>
        <w:spacing w:line="312" w:lineRule="auto"/>
        <w:ind w:firstLine="480"/>
        <w:rPr>
          <w:rFonts w:hint="eastAsia" w:ascii="宋体" w:hAnsi="宋体" w:cs="宋体"/>
          <w:color w:val="auto"/>
          <w:highlight w:val="none"/>
        </w:rPr>
      </w:pPr>
      <w:r>
        <w:rPr>
          <w:rFonts w:hint="eastAsia" w:ascii="宋体" w:hAnsi="宋体" w:cs="宋体"/>
          <w:color w:val="auto"/>
          <w:highlight w:val="none"/>
        </w:rPr>
        <w:t>7.2.4对不同文字文本响应文件的解释发生异议的，以中文文本为准。</w:t>
      </w:r>
    </w:p>
    <w:p w14:paraId="3E6939D3">
      <w:pPr>
        <w:spacing w:line="312" w:lineRule="auto"/>
        <w:ind w:firstLine="480"/>
        <w:rPr>
          <w:rFonts w:hint="eastAsia" w:ascii="宋体" w:hAnsi="宋体" w:cs="宋体"/>
          <w:color w:val="auto"/>
          <w:highlight w:val="none"/>
        </w:rPr>
      </w:pPr>
      <w:r>
        <w:rPr>
          <w:rFonts w:hint="eastAsia" w:ascii="宋体" w:hAnsi="宋体" w:cs="宋体"/>
          <w:color w:val="auto"/>
          <w:highlight w:val="none"/>
        </w:rPr>
        <w:t>7.2.5澄清说明答复函须由供应商法定代表人或授权代理人签字和盖章。如果供应商不接受对其错误的更正，其磋商响应将被拒绝。</w:t>
      </w:r>
    </w:p>
    <w:p w14:paraId="65DC1763">
      <w:pPr>
        <w:spacing w:line="312" w:lineRule="auto"/>
        <w:ind w:firstLine="480"/>
        <w:rPr>
          <w:rFonts w:hint="eastAsia" w:ascii="宋体" w:hAnsi="宋体" w:cs="宋体"/>
          <w:color w:val="auto"/>
          <w:highlight w:val="none"/>
        </w:rPr>
      </w:pPr>
      <w:r>
        <w:rPr>
          <w:rFonts w:hint="eastAsia" w:ascii="宋体" w:hAnsi="宋体" w:cs="宋体"/>
          <w:color w:val="auto"/>
          <w:highlight w:val="none"/>
        </w:rPr>
        <w:t>7.2.6请供应商在评审期间保持电话畅通，如未及时接听电话，视为放弃澄清、说明或补正的权利，视同默认采购结果，事后不得对采购相关人员、采购过程及结果提出异议。责任由供应商自负。</w:t>
      </w:r>
    </w:p>
    <w:p w14:paraId="477A1299">
      <w:pPr>
        <w:spacing w:line="312" w:lineRule="auto"/>
        <w:ind w:firstLine="480"/>
        <w:outlineLvl w:val="1"/>
        <w:rPr>
          <w:rFonts w:hint="eastAsia" w:ascii="宋体" w:hAnsi="宋体" w:cs="宋体"/>
          <w:color w:val="auto"/>
          <w:highlight w:val="none"/>
        </w:rPr>
      </w:pPr>
      <w:bookmarkStart w:id="1158" w:name="_Toc26043"/>
      <w:bookmarkStart w:id="1159" w:name="_Toc9623"/>
      <w:bookmarkStart w:id="1160" w:name="_Toc27329"/>
      <w:bookmarkStart w:id="1161" w:name="_Toc21219"/>
      <w:bookmarkStart w:id="1162" w:name="_Toc13422"/>
      <w:bookmarkStart w:id="1163" w:name="_Toc16654"/>
      <w:bookmarkStart w:id="1164" w:name="_Toc22337"/>
      <w:bookmarkStart w:id="1165" w:name="_Toc18253"/>
      <w:bookmarkStart w:id="1166" w:name="_Toc23672"/>
      <w:bookmarkStart w:id="1167" w:name="_Toc24924"/>
      <w:bookmarkStart w:id="1168" w:name="_Toc25202"/>
      <w:bookmarkStart w:id="1169" w:name="_Toc3573"/>
      <w:bookmarkStart w:id="1170" w:name="_Toc28006"/>
      <w:bookmarkStart w:id="1171" w:name="_Toc14526"/>
      <w:bookmarkStart w:id="1172" w:name="_Toc21939"/>
      <w:bookmarkStart w:id="1173" w:name="_Toc28201"/>
      <w:bookmarkStart w:id="1174" w:name="_Toc4193"/>
      <w:bookmarkStart w:id="1175" w:name="_Toc16475"/>
      <w:bookmarkStart w:id="1176" w:name="_Toc710"/>
      <w:bookmarkStart w:id="1177" w:name="_Toc5157"/>
      <w:bookmarkStart w:id="1178" w:name="_Toc20717"/>
      <w:bookmarkStart w:id="1179" w:name="_Toc19522"/>
      <w:bookmarkStart w:id="1180" w:name="_Toc14259"/>
      <w:bookmarkStart w:id="1181" w:name="_Toc20363"/>
      <w:bookmarkStart w:id="1182" w:name="_Toc9594"/>
      <w:bookmarkStart w:id="1183" w:name="_Toc18951"/>
      <w:bookmarkStart w:id="1184" w:name="_Toc21231"/>
      <w:bookmarkStart w:id="1185" w:name="_Toc13804"/>
      <w:bookmarkStart w:id="1186" w:name="_Toc8000"/>
      <w:bookmarkStart w:id="1187" w:name="_Toc29169"/>
      <w:bookmarkStart w:id="1188" w:name="_Toc14820"/>
      <w:r>
        <w:rPr>
          <w:rFonts w:hint="eastAsia" w:ascii="宋体" w:hAnsi="宋体" w:cs="宋体"/>
          <w:color w:val="auto"/>
          <w:highlight w:val="none"/>
        </w:rPr>
        <w:t>8.磋商或成交无效情形</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3128450F">
      <w:pPr>
        <w:spacing w:line="312" w:lineRule="auto"/>
        <w:ind w:firstLine="480"/>
        <w:rPr>
          <w:rFonts w:hint="eastAsia" w:ascii="宋体" w:hAnsi="宋体" w:cs="宋体"/>
          <w:color w:val="auto"/>
          <w:highlight w:val="none"/>
        </w:rPr>
      </w:pPr>
      <w:r>
        <w:rPr>
          <w:rFonts w:hint="eastAsia" w:ascii="宋体" w:hAnsi="宋体" w:cs="宋体"/>
          <w:color w:val="auto"/>
          <w:highlight w:val="none"/>
        </w:rPr>
        <w:t>有下列情形之一的，磋商或成交无效：</w:t>
      </w:r>
    </w:p>
    <w:p w14:paraId="70EE233E">
      <w:pPr>
        <w:spacing w:line="312" w:lineRule="auto"/>
        <w:ind w:firstLine="480"/>
        <w:rPr>
          <w:rFonts w:hint="eastAsia" w:ascii="宋体" w:hAnsi="宋体" w:cs="宋体"/>
          <w:color w:val="auto"/>
          <w:highlight w:val="none"/>
        </w:rPr>
      </w:pPr>
      <w:r>
        <w:rPr>
          <w:rFonts w:hint="eastAsia" w:ascii="宋体" w:hAnsi="宋体" w:cs="宋体"/>
          <w:color w:val="auto"/>
          <w:highlight w:val="none"/>
        </w:rPr>
        <w:t>8.1不符合本次采购供应商资格要求或超范围经营的。</w:t>
      </w:r>
    </w:p>
    <w:p w14:paraId="7ACAF6B5">
      <w:pPr>
        <w:spacing w:line="312" w:lineRule="auto"/>
        <w:ind w:firstLine="480"/>
        <w:rPr>
          <w:rFonts w:hint="eastAsia" w:ascii="宋体" w:hAnsi="宋体" w:cs="宋体"/>
          <w:color w:val="auto"/>
          <w:highlight w:val="none"/>
        </w:rPr>
      </w:pPr>
      <w:r>
        <w:rPr>
          <w:rFonts w:hint="eastAsia" w:ascii="宋体" w:hAnsi="宋体" w:cs="宋体"/>
          <w:color w:val="auto"/>
          <w:highlight w:val="none"/>
        </w:rPr>
        <w:t>8.2提供虚假材料及证明文件的。</w:t>
      </w:r>
    </w:p>
    <w:p w14:paraId="57678141">
      <w:pPr>
        <w:spacing w:line="312" w:lineRule="auto"/>
        <w:ind w:firstLine="480"/>
        <w:rPr>
          <w:rFonts w:hint="eastAsia" w:ascii="宋体" w:hAnsi="宋体" w:cs="宋体"/>
          <w:color w:val="auto"/>
          <w:highlight w:val="none"/>
        </w:rPr>
      </w:pPr>
      <w:r>
        <w:rPr>
          <w:rFonts w:hint="eastAsia" w:ascii="宋体" w:hAnsi="宋体" w:cs="宋体"/>
          <w:color w:val="auto"/>
          <w:highlight w:val="none"/>
        </w:rPr>
        <w:t>8.3本磋商文件是载明属无效处理情形的。</w:t>
      </w:r>
    </w:p>
    <w:p w14:paraId="38D66C10">
      <w:pPr>
        <w:spacing w:line="312" w:lineRule="auto"/>
        <w:ind w:firstLine="480"/>
        <w:rPr>
          <w:rFonts w:hint="eastAsia" w:ascii="宋体" w:hAnsi="宋体" w:cs="宋体"/>
          <w:color w:val="auto"/>
          <w:highlight w:val="none"/>
        </w:rPr>
      </w:pPr>
      <w:r>
        <w:rPr>
          <w:rFonts w:hint="eastAsia" w:ascii="宋体" w:hAnsi="宋体" w:cs="宋体"/>
          <w:color w:val="auto"/>
          <w:highlight w:val="none"/>
        </w:rPr>
        <w:t>8.4响应文件含有采购人不能接受的附加条件的。</w:t>
      </w:r>
    </w:p>
    <w:p w14:paraId="14FC664D">
      <w:pPr>
        <w:spacing w:line="312" w:lineRule="auto"/>
        <w:ind w:firstLine="480"/>
        <w:rPr>
          <w:rFonts w:hint="eastAsia" w:ascii="宋体" w:hAnsi="宋体" w:cs="宋体"/>
          <w:color w:val="auto"/>
          <w:highlight w:val="none"/>
        </w:rPr>
      </w:pPr>
      <w:r>
        <w:rPr>
          <w:rFonts w:hint="eastAsia" w:ascii="宋体" w:hAnsi="宋体" w:cs="宋体"/>
          <w:color w:val="auto"/>
          <w:highlight w:val="none"/>
        </w:rPr>
        <w:t>8.5成交供应商无正当理由拖延或者不与采购人签订采购合同的。</w:t>
      </w:r>
    </w:p>
    <w:p w14:paraId="31ED4C33">
      <w:pPr>
        <w:spacing w:line="312" w:lineRule="auto"/>
        <w:ind w:firstLine="480"/>
        <w:rPr>
          <w:rFonts w:hint="eastAsia" w:ascii="宋体" w:hAnsi="宋体" w:cs="宋体"/>
          <w:color w:val="auto"/>
          <w:highlight w:val="none"/>
        </w:rPr>
      </w:pPr>
      <w:r>
        <w:rPr>
          <w:rFonts w:hint="eastAsia" w:ascii="宋体" w:hAnsi="宋体" w:cs="宋体"/>
          <w:color w:val="auto"/>
          <w:highlight w:val="none"/>
        </w:rPr>
        <w:t>8.6本磋商文件提出要求响应而未响应实质性条款（带▲号）的，或评审小组认定有重大偏离或保留的。</w:t>
      </w:r>
    </w:p>
    <w:p w14:paraId="77910B27">
      <w:pPr>
        <w:spacing w:line="312" w:lineRule="auto"/>
        <w:ind w:firstLine="480"/>
        <w:rPr>
          <w:rFonts w:hint="eastAsia" w:ascii="宋体" w:hAnsi="宋体" w:cs="宋体"/>
          <w:color w:val="auto"/>
          <w:highlight w:val="none"/>
        </w:rPr>
      </w:pPr>
      <w:r>
        <w:rPr>
          <w:rFonts w:hint="eastAsia" w:ascii="宋体" w:hAnsi="宋体" w:cs="宋体"/>
          <w:color w:val="auto"/>
          <w:highlight w:val="none"/>
        </w:rPr>
        <w:t>8.7评审小组认为供应商的报价明显低于其他通过符合性审查供应商的报价，有可能影响产品质量或者不能诚信履约，供应商不能证明其报价合理性的。</w:t>
      </w:r>
    </w:p>
    <w:p w14:paraId="1265D414">
      <w:pPr>
        <w:spacing w:line="312" w:lineRule="auto"/>
        <w:ind w:firstLine="480"/>
        <w:rPr>
          <w:rFonts w:hint="eastAsia" w:ascii="宋体" w:hAnsi="宋体" w:cs="宋体"/>
          <w:color w:val="auto"/>
          <w:highlight w:val="none"/>
        </w:rPr>
      </w:pPr>
      <w:r>
        <w:rPr>
          <w:rFonts w:hint="eastAsia" w:ascii="宋体" w:hAnsi="宋体" w:cs="宋体"/>
          <w:color w:val="auto"/>
          <w:highlight w:val="none"/>
        </w:rPr>
        <w:t>8.8不符合法律法规和磋商文件规定的其他实质性要求和无效情形的。</w:t>
      </w:r>
    </w:p>
    <w:p w14:paraId="6785AEF2">
      <w:pPr>
        <w:spacing w:line="312" w:lineRule="auto"/>
        <w:ind w:firstLine="480"/>
        <w:outlineLvl w:val="1"/>
        <w:rPr>
          <w:rFonts w:hint="eastAsia" w:ascii="宋体" w:hAnsi="宋体" w:cs="宋体"/>
          <w:color w:val="auto"/>
          <w:highlight w:val="none"/>
        </w:rPr>
      </w:pPr>
      <w:bookmarkStart w:id="1189" w:name="_Toc24488"/>
      <w:bookmarkStart w:id="1190" w:name="_Toc18660"/>
      <w:bookmarkStart w:id="1191" w:name="_Toc19330"/>
      <w:bookmarkStart w:id="1192" w:name="_Toc19282"/>
      <w:bookmarkStart w:id="1193" w:name="_Toc30605"/>
      <w:bookmarkStart w:id="1194" w:name="_Toc6971"/>
      <w:bookmarkStart w:id="1195" w:name="_Toc19420"/>
      <w:bookmarkStart w:id="1196" w:name="_Toc4293"/>
      <w:bookmarkStart w:id="1197" w:name="_Toc28249"/>
      <w:bookmarkStart w:id="1198" w:name="_Toc6414"/>
      <w:bookmarkStart w:id="1199" w:name="_Toc5341"/>
      <w:bookmarkStart w:id="1200" w:name="_Toc29931"/>
      <w:bookmarkStart w:id="1201" w:name="_Toc31831"/>
      <w:bookmarkStart w:id="1202" w:name="_Toc25450"/>
      <w:bookmarkStart w:id="1203" w:name="_Toc1889"/>
      <w:bookmarkStart w:id="1204" w:name="_Toc2134"/>
      <w:bookmarkStart w:id="1205" w:name="_Toc19892"/>
      <w:bookmarkStart w:id="1206" w:name="_Toc18535"/>
      <w:bookmarkStart w:id="1207" w:name="_Toc25624"/>
      <w:bookmarkStart w:id="1208" w:name="_Toc23657"/>
      <w:bookmarkStart w:id="1209" w:name="_Toc22511"/>
      <w:bookmarkStart w:id="1210" w:name="_Toc31367"/>
      <w:bookmarkStart w:id="1211" w:name="_Toc18649"/>
      <w:bookmarkStart w:id="1212" w:name="_Toc30297"/>
      <w:bookmarkStart w:id="1213" w:name="_Toc21141"/>
      <w:bookmarkStart w:id="1214" w:name="_Toc10501"/>
      <w:bookmarkStart w:id="1215" w:name="_Toc16366"/>
      <w:bookmarkStart w:id="1216" w:name="_Toc21604"/>
      <w:bookmarkStart w:id="1217" w:name="_Toc22335"/>
      <w:bookmarkStart w:id="1218" w:name="_Toc18086"/>
      <w:bookmarkStart w:id="1219" w:name="_Toc25218"/>
      <w:r>
        <w:rPr>
          <w:rFonts w:hint="eastAsia" w:ascii="宋体" w:hAnsi="宋体" w:cs="宋体"/>
          <w:color w:val="auto"/>
          <w:highlight w:val="none"/>
        </w:rPr>
        <w:t>9.推荐成交候选人</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0E957626">
      <w:pPr>
        <w:spacing w:line="312" w:lineRule="auto"/>
        <w:ind w:firstLine="480"/>
        <w:rPr>
          <w:rFonts w:hint="eastAsia" w:ascii="宋体" w:hAnsi="宋体" w:cs="宋体"/>
          <w:color w:val="auto"/>
          <w:highlight w:val="none"/>
        </w:rPr>
      </w:pPr>
      <w:r>
        <w:rPr>
          <w:rFonts w:hint="eastAsia" w:ascii="宋体" w:hAnsi="宋体" w:cs="宋体"/>
          <w:color w:val="auto"/>
          <w:highlight w:val="none"/>
        </w:rPr>
        <w:t>9.1按照供应商总得分由高到低顺序排列推荐成交候选人。总得分相同的，按最后报价由低到高顺序排列。总得分且最后报价相同的并列。响应文件满足磋商文件全部实质性要求，且按照评审因素的量化指标评审得分最高的供应商为排名第一的成交候选人。</w:t>
      </w:r>
    </w:p>
    <w:p w14:paraId="16E2496D">
      <w:pPr>
        <w:spacing w:line="312" w:lineRule="auto"/>
        <w:ind w:firstLine="480"/>
        <w:rPr>
          <w:rFonts w:hint="eastAsia" w:ascii="宋体" w:hAnsi="宋体" w:cs="宋体"/>
          <w:color w:val="auto"/>
          <w:highlight w:val="none"/>
        </w:rPr>
      </w:pPr>
      <w:r>
        <w:rPr>
          <w:rFonts w:hint="eastAsia" w:ascii="宋体" w:hAnsi="宋体" w:cs="宋体"/>
          <w:color w:val="auto"/>
          <w:highlight w:val="none"/>
        </w:rPr>
        <w:t>9.2提供相同品牌产品且通过资格审查、符合性审查的不同供应商参加同一合同项下磋商的，按一家供应商计算，评审后得分最高的同品牌供应商获得成交供应商推荐资格；评审得分相同的，按照上述条款确定一个供应商获得成交供应商推荐资格，其他同品牌供应商不作为成交候选人。</w:t>
      </w:r>
    </w:p>
    <w:p w14:paraId="0227A83A">
      <w:pPr>
        <w:spacing w:line="312" w:lineRule="auto"/>
        <w:ind w:firstLine="480"/>
        <w:outlineLvl w:val="1"/>
        <w:rPr>
          <w:rFonts w:hint="eastAsia" w:ascii="宋体" w:hAnsi="宋体" w:cs="宋体"/>
          <w:color w:val="auto"/>
          <w:highlight w:val="none"/>
        </w:rPr>
      </w:pPr>
      <w:bookmarkStart w:id="1220" w:name="_Toc18863"/>
      <w:bookmarkStart w:id="1221" w:name="_Toc878"/>
      <w:bookmarkStart w:id="1222" w:name="_Toc30792"/>
      <w:bookmarkStart w:id="1223" w:name="_Toc18214"/>
      <w:bookmarkStart w:id="1224" w:name="_Toc15593"/>
      <w:bookmarkStart w:id="1225" w:name="_Toc14764"/>
      <w:bookmarkStart w:id="1226" w:name="_Toc8240"/>
      <w:bookmarkStart w:id="1227" w:name="_Toc23324"/>
      <w:bookmarkStart w:id="1228" w:name="_Toc21170"/>
      <w:bookmarkStart w:id="1229" w:name="_Toc18906"/>
      <w:bookmarkStart w:id="1230" w:name="_Toc17432"/>
      <w:bookmarkStart w:id="1231" w:name="_Toc6945"/>
      <w:bookmarkStart w:id="1232" w:name="_Toc9188"/>
      <w:bookmarkStart w:id="1233" w:name="_Toc32328"/>
      <w:bookmarkStart w:id="1234" w:name="_Toc21103"/>
      <w:bookmarkStart w:id="1235" w:name="_Toc9132"/>
      <w:bookmarkStart w:id="1236" w:name="_Toc5576"/>
      <w:bookmarkStart w:id="1237" w:name="_Toc20749"/>
      <w:bookmarkStart w:id="1238" w:name="_Toc30290"/>
      <w:bookmarkStart w:id="1239" w:name="_Toc13799"/>
      <w:bookmarkStart w:id="1240" w:name="_Toc8182"/>
      <w:bookmarkStart w:id="1241" w:name="_Toc11220"/>
      <w:bookmarkStart w:id="1242" w:name="_Toc21095"/>
      <w:bookmarkStart w:id="1243" w:name="_Toc16195"/>
      <w:bookmarkStart w:id="1244" w:name="_Toc3926"/>
      <w:bookmarkStart w:id="1245" w:name="_Toc19649"/>
      <w:bookmarkStart w:id="1246" w:name="_Toc28282"/>
      <w:bookmarkStart w:id="1247" w:name="_Toc1613"/>
      <w:bookmarkStart w:id="1248" w:name="_Toc934"/>
      <w:bookmarkStart w:id="1249" w:name="_Toc19306"/>
      <w:bookmarkStart w:id="1250" w:name="_Toc23399"/>
      <w:r>
        <w:rPr>
          <w:rFonts w:hint="eastAsia" w:ascii="宋体" w:hAnsi="宋体" w:cs="宋体"/>
          <w:color w:val="auto"/>
          <w:highlight w:val="none"/>
        </w:rPr>
        <w:t>10.评审报告</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466D7370">
      <w:pPr>
        <w:spacing w:line="312" w:lineRule="auto"/>
        <w:ind w:firstLine="480"/>
        <w:rPr>
          <w:rFonts w:hint="eastAsia" w:ascii="宋体" w:hAnsi="宋体" w:cs="宋体"/>
          <w:color w:val="auto"/>
          <w:highlight w:val="none"/>
        </w:rPr>
      </w:pPr>
      <w:r>
        <w:rPr>
          <w:rFonts w:hint="eastAsia" w:ascii="宋体" w:hAnsi="宋体" w:cs="宋体"/>
          <w:color w:val="auto"/>
          <w:highlight w:val="none"/>
        </w:rPr>
        <w:t>评审小组编写评审报告，并提出总得分由高到低排序名单及理由，评审报告由评审小组成员签字。</w:t>
      </w:r>
    </w:p>
    <w:p w14:paraId="6FF27CA2">
      <w:pPr>
        <w:spacing w:line="312" w:lineRule="auto"/>
        <w:ind w:firstLine="480"/>
        <w:outlineLvl w:val="1"/>
        <w:rPr>
          <w:rFonts w:hint="eastAsia" w:ascii="宋体" w:hAnsi="宋体" w:cs="宋体"/>
          <w:color w:val="auto"/>
          <w:highlight w:val="none"/>
        </w:rPr>
      </w:pPr>
      <w:bookmarkStart w:id="1251" w:name="_Toc23175"/>
      <w:bookmarkStart w:id="1252" w:name="_Toc30812"/>
      <w:bookmarkStart w:id="1253" w:name="_Toc26325"/>
      <w:bookmarkStart w:id="1254" w:name="_Toc7900"/>
      <w:bookmarkStart w:id="1255" w:name="_Toc4261"/>
      <w:bookmarkStart w:id="1256" w:name="_Toc28391"/>
      <w:bookmarkStart w:id="1257" w:name="_Toc25363"/>
      <w:bookmarkStart w:id="1258" w:name="_Toc4318"/>
      <w:bookmarkStart w:id="1259" w:name="_Toc23942"/>
      <w:bookmarkStart w:id="1260" w:name="_Toc18159"/>
      <w:bookmarkStart w:id="1261" w:name="_Toc23081"/>
      <w:bookmarkStart w:id="1262" w:name="_Toc27750"/>
      <w:bookmarkStart w:id="1263" w:name="_Toc4677"/>
      <w:bookmarkStart w:id="1264" w:name="_Toc12548"/>
      <w:bookmarkStart w:id="1265" w:name="_Toc29515"/>
      <w:bookmarkStart w:id="1266" w:name="_Toc1276"/>
      <w:bookmarkStart w:id="1267" w:name="_Toc20634"/>
      <w:bookmarkStart w:id="1268" w:name="_Toc30702"/>
      <w:bookmarkStart w:id="1269" w:name="_Toc691"/>
      <w:bookmarkStart w:id="1270" w:name="_Toc22553"/>
      <w:bookmarkStart w:id="1271" w:name="_Toc21763"/>
      <w:bookmarkStart w:id="1272" w:name="_Toc22754"/>
      <w:bookmarkStart w:id="1273" w:name="_Toc19862"/>
      <w:bookmarkStart w:id="1274" w:name="_Toc18946"/>
      <w:bookmarkStart w:id="1275" w:name="_Toc18421"/>
      <w:bookmarkStart w:id="1276" w:name="_Toc3061"/>
      <w:bookmarkStart w:id="1277" w:name="_Toc564"/>
      <w:bookmarkStart w:id="1278" w:name="_Toc5241"/>
      <w:bookmarkStart w:id="1279" w:name="_Toc22151"/>
      <w:bookmarkStart w:id="1280" w:name="_Toc20694"/>
      <w:bookmarkStart w:id="1281" w:name="_Toc16395"/>
      <w:r>
        <w:rPr>
          <w:rFonts w:hint="eastAsia" w:ascii="宋体" w:hAnsi="宋体" w:cs="宋体"/>
          <w:color w:val="auto"/>
          <w:highlight w:val="none"/>
        </w:rPr>
        <w:t>11.评分细则及标准</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44A447BD">
      <w:pPr>
        <w:spacing w:line="312" w:lineRule="auto"/>
        <w:ind w:firstLine="480"/>
        <w:rPr>
          <w:rFonts w:hint="eastAsia" w:ascii="宋体" w:hAnsi="宋体" w:cs="宋体"/>
          <w:color w:val="auto"/>
          <w:highlight w:val="none"/>
        </w:rPr>
      </w:pPr>
      <w:r>
        <w:rPr>
          <w:rFonts w:hint="eastAsia" w:ascii="宋体" w:hAnsi="宋体" w:cs="宋体"/>
          <w:color w:val="auto"/>
          <w:highlight w:val="none"/>
        </w:rPr>
        <w:t>11.1本次综合评分分值：报价部分10分，资信商务技术部分90分，合计100分。</w:t>
      </w:r>
    </w:p>
    <w:p w14:paraId="6D610549">
      <w:pPr>
        <w:spacing w:line="312" w:lineRule="auto"/>
        <w:ind w:firstLine="480"/>
        <w:rPr>
          <w:rFonts w:hint="eastAsia" w:ascii="宋体" w:hAnsi="宋体" w:cs="宋体"/>
          <w:color w:val="auto"/>
          <w:highlight w:val="none"/>
        </w:rPr>
      </w:pPr>
      <w:r>
        <w:rPr>
          <w:rFonts w:hint="eastAsia" w:ascii="宋体" w:hAnsi="宋体" w:cs="宋体"/>
          <w:color w:val="auto"/>
          <w:highlight w:val="none"/>
        </w:rPr>
        <w:t>11.2评审小组成员根据本办法，对有效的响应文件进行技术、服务、商务等方面评估，综合比较与评价，由各成员独立评分，打分时保留小数1位，每人一份评分表，并签名。在汇总得分时，如果发现某一单项评分超过评分细则规定的分值范围，则该份评分表无效。</w:t>
      </w:r>
    </w:p>
    <w:p w14:paraId="3E14A360">
      <w:pPr>
        <w:spacing w:line="312" w:lineRule="auto"/>
        <w:ind w:firstLine="480"/>
        <w:rPr>
          <w:rFonts w:hint="eastAsia" w:ascii="宋体" w:hAnsi="宋体" w:cs="宋体"/>
          <w:b/>
          <w:bCs/>
          <w:color w:val="auto"/>
          <w:highlight w:val="none"/>
        </w:rPr>
      </w:pPr>
      <w:r>
        <w:rPr>
          <w:rFonts w:hint="eastAsia" w:ascii="宋体" w:hAnsi="宋体" w:cs="宋体"/>
          <w:color w:val="auto"/>
          <w:highlight w:val="none"/>
        </w:rPr>
        <w:t>11.3加权汇总每项评分因素的得分，得出每个有效供应商的总分。供应商资信技术部分最终得分为各成员的有效评分的算术平均值。计算时保留小数两位（第三位四舍五入）。</w:t>
      </w:r>
      <w:bookmarkStart w:id="1282" w:name="_Toc26171"/>
      <w:bookmarkStart w:id="1283" w:name="_Toc12147"/>
      <w:bookmarkStart w:id="1284" w:name="_Toc13044"/>
      <w:bookmarkStart w:id="1285" w:name="_Toc7774"/>
      <w:bookmarkStart w:id="1286" w:name="_Toc19088"/>
      <w:bookmarkStart w:id="1287" w:name="_Toc24463"/>
      <w:bookmarkStart w:id="1288" w:name="_Toc14434"/>
      <w:bookmarkStart w:id="1289" w:name="_Toc15473"/>
      <w:bookmarkStart w:id="1290" w:name="_Toc19215"/>
      <w:bookmarkStart w:id="1291" w:name="_Toc19612"/>
      <w:bookmarkStart w:id="1292" w:name="_Toc11152"/>
      <w:bookmarkStart w:id="1293" w:name="_Toc23556"/>
      <w:bookmarkStart w:id="1294" w:name="_Toc25240"/>
      <w:bookmarkStart w:id="1295" w:name="_Toc25376"/>
      <w:bookmarkStart w:id="1296" w:name="_Toc29877"/>
      <w:bookmarkStart w:id="1297" w:name="_Toc27528"/>
      <w:bookmarkStart w:id="1298" w:name="_Toc7406"/>
      <w:bookmarkStart w:id="1299" w:name="_Toc25334"/>
      <w:bookmarkStart w:id="1300" w:name="_Toc24465"/>
      <w:bookmarkStart w:id="1301" w:name="_Toc32053"/>
      <w:bookmarkStart w:id="1302" w:name="_Toc30024"/>
      <w:bookmarkStart w:id="1303" w:name="_Toc2954"/>
      <w:bookmarkStart w:id="1304" w:name="_Toc17723"/>
      <w:bookmarkStart w:id="1305" w:name="_Toc17636"/>
      <w:bookmarkStart w:id="1306" w:name="_Toc19246"/>
      <w:bookmarkStart w:id="1307" w:name="_Toc12327"/>
      <w:bookmarkStart w:id="1308" w:name="_Toc6965"/>
      <w:bookmarkStart w:id="1309" w:name="_Toc2862"/>
      <w:bookmarkStart w:id="1310" w:name="_Toc89"/>
      <w:bookmarkStart w:id="1311" w:name="_Toc4364"/>
    </w:p>
    <w:p w14:paraId="38CC7C68">
      <w:pPr>
        <w:spacing w:line="312" w:lineRule="auto"/>
        <w:ind w:firstLine="482"/>
        <w:outlineLvl w:val="1"/>
        <w:rPr>
          <w:rFonts w:hint="eastAsia" w:ascii="宋体" w:hAnsi="宋体" w:cs="宋体"/>
          <w:b/>
          <w:bCs/>
          <w:color w:val="auto"/>
          <w:highlight w:val="none"/>
          <w:lang w:val="zh-CN"/>
        </w:rPr>
      </w:pPr>
      <w:r>
        <w:rPr>
          <w:rFonts w:hint="eastAsia" w:ascii="宋体" w:hAnsi="宋体" w:cs="宋体"/>
          <w:b/>
          <w:bCs/>
          <w:color w:val="auto"/>
          <w:highlight w:val="none"/>
        </w:rPr>
        <w:t>11.4</w:t>
      </w:r>
      <w:r>
        <w:rPr>
          <w:rFonts w:hint="eastAsia" w:ascii="宋体" w:hAnsi="宋体" w:cs="宋体"/>
          <w:b/>
          <w:bCs/>
          <w:color w:val="auto"/>
          <w:highlight w:val="none"/>
          <w:lang w:val="zh-CN"/>
        </w:rPr>
        <w:t>评分细则</w:t>
      </w:r>
      <w:bookmarkEnd w:id="953"/>
      <w:bookmarkEnd w:id="954"/>
      <w:bookmarkEnd w:id="955"/>
      <w:bookmarkEnd w:id="956"/>
      <w:bookmarkEnd w:id="957"/>
      <w:bookmarkEnd w:id="958"/>
      <w:bookmarkEnd w:id="959"/>
      <w:bookmarkEnd w:id="960"/>
      <w:bookmarkEnd w:id="961"/>
      <w:bookmarkEnd w:id="962"/>
      <w:bookmarkEnd w:id="963"/>
      <w:bookmarkEnd w:id="1151"/>
      <w:bookmarkEnd w:id="1152"/>
      <w:bookmarkEnd w:id="1153"/>
      <w:bookmarkEnd w:id="1154"/>
      <w:bookmarkEnd w:id="1155"/>
      <w:bookmarkEnd w:id="1156"/>
      <w:bookmarkEnd w:id="1157"/>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Start w:id="1312" w:name="_Toc391298964"/>
      <w:bookmarkStart w:id="1313" w:name="_Toc347443768"/>
    </w:p>
    <w:bookmarkEnd w:id="1312"/>
    <w:bookmarkEnd w:id="1313"/>
    <w:tbl>
      <w:tblPr>
        <w:tblStyle w:val="4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6869"/>
        <w:gridCol w:w="1297"/>
      </w:tblGrid>
      <w:tr w14:paraId="3D0E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1" w:type="dxa"/>
            <w:noWrap/>
            <w:vAlign w:val="center"/>
          </w:tcPr>
          <w:p w14:paraId="17CD7627">
            <w:pPr>
              <w:ind w:firstLine="0" w:firstLineChars="0"/>
              <w:jc w:val="center"/>
              <w:rPr>
                <w:color w:val="auto"/>
                <w:highlight w:val="none"/>
              </w:rPr>
            </w:pPr>
            <w:bookmarkStart w:id="1314" w:name="_Toc10242"/>
            <w:bookmarkStart w:id="1315" w:name="_Toc19815"/>
            <w:bookmarkStart w:id="1316" w:name="_Toc19174"/>
            <w:bookmarkStart w:id="1317" w:name="_Toc21667"/>
            <w:bookmarkStart w:id="1318" w:name="_Toc15542"/>
            <w:bookmarkStart w:id="1319" w:name="_Toc9490"/>
            <w:bookmarkStart w:id="1320" w:name="_Toc6449"/>
            <w:bookmarkStart w:id="1321" w:name="_Toc32494"/>
            <w:bookmarkStart w:id="1322" w:name="_Toc29278"/>
            <w:bookmarkStart w:id="1323" w:name="_Toc15160"/>
            <w:bookmarkStart w:id="1324" w:name="_Toc2379"/>
            <w:bookmarkStart w:id="1325" w:name="_Toc16261"/>
            <w:bookmarkStart w:id="1326" w:name="_Toc30827"/>
            <w:bookmarkStart w:id="1327" w:name="_Toc3901"/>
            <w:bookmarkStart w:id="1328" w:name="_Toc7538"/>
            <w:bookmarkStart w:id="1329" w:name="_Toc8872"/>
            <w:bookmarkStart w:id="1330" w:name="_Toc1225"/>
            <w:bookmarkStart w:id="1331" w:name="_Toc21643"/>
            <w:bookmarkStart w:id="1332" w:name="_Toc19768"/>
            <w:bookmarkStart w:id="1333" w:name="_Toc32731"/>
            <w:bookmarkStart w:id="1334" w:name="_Toc3089"/>
            <w:bookmarkStart w:id="1335" w:name="_Toc1297"/>
            <w:bookmarkStart w:id="1336" w:name="_Toc2193"/>
            <w:bookmarkStart w:id="1337" w:name="_Toc27549"/>
            <w:bookmarkStart w:id="1338" w:name="_Toc6463"/>
            <w:bookmarkStart w:id="1339" w:name="_Toc22007"/>
            <w:bookmarkStart w:id="1340" w:name="_Toc23131"/>
            <w:bookmarkStart w:id="1341" w:name="_Toc29789"/>
            <w:bookmarkStart w:id="1342" w:name="_Toc6701"/>
            <w:bookmarkStart w:id="1343" w:name="_Toc19299"/>
            <w:bookmarkStart w:id="1344" w:name="_Toc13409"/>
            <w:bookmarkStart w:id="1345" w:name="_Toc10843"/>
            <w:bookmarkStart w:id="1346" w:name="_Toc26971"/>
            <w:bookmarkStart w:id="1347" w:name="_Toc22584"/>
            <w:bookmarkStart w:id="1348" w:name="_Toc15817"/>
            <w:bookmarkStart w:id="1349" w:name="_Toc17101"/>
            <w:bookmarkStart w:id="1350" w:name="_Toc3780"/>
            <w:bookmarkStart w:id="1351" w:name="_Toc21642"/>
            <w:bookmarkStart w:id="1352" w:name="_Toc5948"/>
            <w:bookmarkStart w:id="1353" w:name="_Toc27915"/>
            <w:bookmarkStart w:id="1354" w:name="_Toc15423"/>
            <w:bookmarkStart w:id="1355" w:name="_Toc8277"/>
            <w:bookmarkStart w:id="1356" w:name="_Toc3455"/>
            <w:bookmarkStart w:id="1357" w:name="_Toc25633"/>
            <w:bookmarkStart w:id="1358" w:name="_Toc5949"/>
            <w:bookmarkStart w:id="1359" w:name="_Toc1567"/>
            <w:bookmarkStart w:id="1360" w:name="_Toc391298965"/>
            <w:r>
              <w:rPr>
                <w:rFonts w:hint="eastAsia"/>
                <w:color w:val="auto"/>
                <w:highlight w:val="none"/>
              </w:rPr>
              <w:t>评分内容</w:t>
            </w:r>
          </w:p>
        </w:tc>
        <w:tc>
          <w:tcPr>
            <w:tcW w:w="6869" w:type="dxa"/>
            <w:noWrap/>
            <w:vAlign w:val="center"/>
          </w:tcPr>
          <w:p w14:paraId="403A7DE0">
            <w:pPr>
              <w:ind w:firstLine="0" w:firstLineChars="0"/>
              <w:jc w:val="center"/>
              <w:rPr>
                <w:color w:val="auto"/>
                <w:highlight w:val="none"/>
              </w:rPr>
            </w:pPr>
            <w:r>
              <w:rPr>
                <w:rFonts w:hint="eastAsia"/>
                <w:color w:val="auto"/>
                <w:highlight w:val="none"/>
              </w:rPr>
              <w:t>评分标准</w:t>
            </w:r>
          </w:p>
        </w:tc>
        <w:tc>
          <w:tcPr>
            <w:tcW w:w="1297" w:type="dxa"/>
            <w:noWrap/>
            <w:vAlign w:val="center"/>
          </w:tcPr>
          <w:p w14:paraId="1EFBCDB3">
            <w:pPr>
              <w:ind w:firstLine="0" w:firstLineChars="0"/>
              <w:jc w:val="center"/>
              <w:rPr>
                <w:color w:val="auto"/>
                <w:highlight w:val="none"/>
              </w:rPr>
            </w:pPr>
            <w:r>
              <w:rPr>
                <w:rFonts w:hint="eastAsia"/>
                <w:color w:val="auto"/>
                <w:highlight w:val="none"/>
              </w:rPr>
              <w:t>分值</w:t>
            </w:r>
          </w:p>
        </w:tc>
      </w:tr>
      <w:tr w14:paraId="0F5D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1" w:type="dxa"/>
            <w:noWrap/>
            <w:vAlign w:val="center"/>
          </w:tcPr>
          <w:p w14:paraId="0355CA93">
            <w:pPr>
              <w:ind w:firstLine="0" w:firstLineChars="0"/>
              <w:jc w:val="center"/>
              <w:rPr>
                <w:color w:val="auto"/>
                <w:highlight w:val="none"/>
              </w:rPr>
            </w:pPr>
            <w:r>
              <w:rPr>
                <w:rFonts w:hint="eastAsia"/>
                <w:color w:val="auto"/>
                <w:highlight w:val="none"/>
                <w:lang w:val="zh-CN"/>
              </w:rPr>
              <w:t>报价</w:t>
            </w:r>
          </w:p>
        </w:tc>
        <w:tc>
          <w:tcPr>
            <w:tcW w:w="6869" w:type="dxa"/>
            <w:noWrap/>
            <w:vAlign w:val="center"/>
          </w:tcPr>
          <w:p w14:paraId="0D491709">
            <w:pPr>
              <w:spacing w:line="240" w:lineRule="auto"/>
              <w:ind w:firstLine="0" w:firstLineChars="0"/>
              <w:rPr>
                <w:color w:val="auto"/>
                <w:highlight w:val="none"/>
                <w:lang w:val="zh-CN"/>
              </w:rPr>
            </w:pPr>
            <w:r>
              <w:rPr>
                <w:rFonts w:hint="eastAsia"/>
                <w:color w:val="auto"/>
                <w:highlight w:val="none"/>
                <w:lang w:val="zh-CN"/>
              </w:rPr>
              <w:t>本项目</w:t>
            </w:r>
            <w:r>
              <w:rPr>
                <w:rFonts w:hint="eastAsia"/>
                <w:color w:val="auto"/>
                <w:highlight w:val="none"/>
                <w:lang w:val="en-US" w:eastAsia="zh-CN"/>
              </w:rPr>
              <w:t>最高限价</w:t>
            </w:r>
            <w:r>
              <w:rPr>
                <w:rFonts w:hint="eastAsia"/>
                <w:color w:val="auto"/>
                <w:highlight w:val="none"/>
                <w:lang w:val="zh-CN"/>
              </w:rPr>
              <w:t>：人民币</w:t>
            </w:r>
            <w:r>
              <w:rPr>
                <w:rFonts w:hint="eastAsia"/>
                <w:color w:val="auto"/>
                <w:highlight w:val="none"/>
              </w:rPr>
              <w:t>65</w:t>
            </w:r>
            <w:r>
              <w:rPr>
                <w:rFonts w:hint="eastAsia"/>
                <w:color w:val="auto"/>
                <w:highlight w:val="none"/>
                <w:lang w:val="zh-CN"/>
              </w:rPr>
              <w:t>万元。</w:t>
            </w:r>
          </w:p>
          <w:p w14:paraId="48057F7F">
            <w:pPr>
              <w:spacing w:line="240" w:lineRule="auto"/>
              <w:ind w:firstLine="0" w:firstLineChars="0"/>
              <w:rPr>
                <w:color w:val="auto"/>
                <w:highlight w:val="none"/>
              </w:rPr>
            </w:pPr>
            <w:r>
              <w:rPr>
                <w:rFonts w:hint="eastAsia"/>
                <w:color w:val="auto"/>
                <w:highlight w:val="none"/>
                <w:lang w:val="zh-CN"/>
              </w:rPr>
              <w:t>满足采购文件要求且</w:t>
            </w:r>
            <w:r>
              <w:rPr>
                <w:rFonts w:hint="eastAsia"/>
                <w:color w:val="auto"/>
                <w:highlight w:val="none"/>
              </w:rPr>
              <w:t>最终</w:t>
            </w:r>
            <w:r>
              <w:rPr>
                <w:rFonts w:hint="eastAsia"/>
                <w:color w:val="auto"/>
                <w:highlight w:val="none"/>
                <w:lang w:val="zh-CN"/>
              </w:rPr>
              <w:t>投标价格最低的投标报价为评标基准价，投标报价得分=(基准价／投标报价)×10%×100，四舍五入，保留两位小数。报价高于最高限价的，为无效投标文件。</w:t>
            </w:r>
          </w:p>
        </w:tc>
        <w:tc>
          <w:tcPr>
            <w:tcW w:w="1297" w:type="dxa"/>
            <w:noWrap/>
            <w:vAlign w:val="center"/>
          </w:tcPr>
          <w:p w14:paraId="15F91311">
            <w:pPr>
              <w:ind w:firstLine="0" w:firstLineChars="0"/>
              <w:jc w:val="center"/>
              <w:rPr>
                <w:color w:val="auto"/>
                <w:highlight w:val="none"/>
              </w:rPr>
            </w:pPr>
            <w:r>
              <w:rPr>
                <w:rFonts w:hint="eastAsia"/>
                <w:color w:val="auto"/>
                <w:highlight w:val="none"/>
              </w:rPr>
              <w:t>10分</w:t>
            </w:r>
          </w:p>
        </w:tc>
      </w:tr>
      <w:tr w14:paraId="59C1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81" w:type="dxa"/>
            <w:noWrap/>
            <w:vAlign w:val="center"/>
          </w:tcPr>
          <w:p w14:paraId="0341CA9D">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企业荣誉</w:t>
            </w:r>
          </w:p>
        </w:tc>
        <w:tc>
          <w:tcPr>
            <w:tcW w:w="6869" w:type="dxa"/>
            <w:noWrap/>
            <w:vAlign w:val="center"/>
          </w:tcPr>
          <w:p w14:paraId="0E068A9B">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根据投标人完成项目的成果获奖情况，自2022年1月1日以来，获得省级及以上部门或协会奖项的，一等奖的每项得1分，二等奖的每项得0.5分，最多得3分。同一项目奖项按高分只计一次分。</w:t>
            </w:r>
          </w:p>
          <w:p w14:paraId="2C001E2D">
            <w:pPr>
              <w:tabs>
                <w:tab w:val="left" w:pos="540"/>
                <w:tab w:val="left" w:pos="900"/>
              </w:tabs>
              <w:autoSpaceDN w:val="0"/>
              <w:spacing w:line="240" w:lineRule="auto"/>
              <w:ind w:firstLine="0" w:firstLineChars="0"/>
              <w:rPr>
                <w:rFonts w:hint="eastAsia" w:ascii="宋体" w:hAnsi="宋体" w:cs="宋体"/>
                <w:b/>
                <w:bCs/>
                <w:color w:val="auto"/>
                <w:highlight w:val="none"/>
              </w:rPr>
            </w:pPr>
            <w:r>
              <w:rPr>
                <w:rFonts w:hint="eastAsia" w:ascii="宋体" w:hAnsi="宋体" w:cs="宋体"/>
                <w:color w:val="auto"/>
                <w:highlight w:val="none"/>
              </w:rPr>
              <w:t>（提供相关证明材料原件扫描件或彩色影印件并加盖公章，未提供或提供不全的不得分）</w:t>
            </w:r>
          </w:p>
        </w:tc>
        <w:tc>
          <w:tcPr>
            <w:tcW w:w="1297" w:type="dxa"/>
            <w:noWrap/>
            <w:vAlign w:val="center"/>
          </w:tcPr>
          <w:p w14:paraId="1B9261DE">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3</w:t>
            </w:r>
            <w:r>
              <w:rPr>
                <w:rFonts w:hint="eastAsia"/>
                <w:color w:val="auto"/>
                <w:highlight w:val="none"/>
              </w:rPr>
              <w:t>分</w:t>
            </w:r>
          </w:p>
        </w:tc>
      </w:tr>
      <w:tr w14:paraId="75F4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81" w:type="dxa"/>
            <w:noWrap/>
            <w:vAlign w:val="center"/>
          </w:tcPr>
          <w:p w14:paraId="64DAB5E4">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类似业绩</w:t>
            </w:r>
          </w:p>
        </w:tc>
        <w:tc>
          <w:tcPr>
            <w:tcW w:w="6869" w:type="dxa"/>
            <w:noWrap/>
            <w:vAlign w:val="center"/>
          </w:tcPr>
          <w:p w14:paraId="3580C5E5">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投标人自2022年1月1日以来完成的类似项目业绩（如：林地补充库，林草湿资源调查监测，公益林调整落界，国有森林资源调查等项目），每项得0.5分。</w:t>
            </w:r>
          </w:p>
          <w:p w14:paraId="2834A268">
            <w:pPr>
              <w:tabs>
                <w:tab w:val="left" w:pos="540"/>
                <w:tab w:val="left" w:pos="900"/>
              </w:tabs>
              <w:autoSpaceDN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时间</w:t>
            </w:r>
            <w:r>
              <w:rPr>
                <w:rFonts w:hint="eastAsia" w:ascii="宋体" w:hAnsi="宋体" w:cs="宋体"/>
                <w:color w:val="auto"/>
                <w:highlight w:val="none"/>
                <w:lang w:val="zh-CN"/>
              </w:rPr>
              <w:t>以签订合同的日期为准，须提供合同原件扫描件，否则不得分。）</w:t>
            </w:r>
          </w:p>
        </w:tc>
        <w:tc>
          <w:tcPr>
            <w:tcW w:w="1297" w:type="dxa"/>
            <w:noWrap/>
            <w:vAlign w:val="center"/>
          </w:tcPr>
          <w:p w14:paraId="06473CD0">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1</w:t>
            </w:r>
            <w:r>
              <w:rPr>
                <w:rFonts w:hint="eastAsia"/>
                <w:color w:val="auto"/>
                <w:highlight w:val="none"/>
              </w:rPr>
              <w:t>分</w:t>
            </w:r>
          </w:p>
        </w:tc>
      </w:tr>
      <w:tr w14:paraId="194D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81" w:type="dxa"/>
            <w:noWrap/>
            <w:vAlign w:val="center"/>
          </w:tcPr>
          <w:p w14:paraId="44C00269">
            <w:pPr>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拟派项目组人员情况</w:t>
            </w:r>
          </w:p>
        </w:tc>
        <w:tc>
          <w:tcPr>
            <w:tcW w:w="6869" w:type="dxa"/>
            <w:noWrap/>
            <w:vAlign w:val="center"/>
          </w:tcPr>
          <w:p w14:paraId="1529512F">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项目负责人：具有林业类相关专业高级及以上技术职称的得4分；中级技术职称的得2分。（0-4分）</w:t>
            </w:r>
          </w:p>
          <w:p w14:paraId="6D1C4626">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拟派项目组成员（项目负责人除外）：</w:t>
            </w:r>
          </w:p>
          <w:p w14:paraId="70BC03FB">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1）具有与本项目相关的（如林学专业、林业专业、森林经理学专业、生态学专业、植物学专业、风景园林专业、森林培育学专业）人员，每个工种专业人员得1分。（每人只能计算一个专业，不得重复计算。）（0-7分）（须提供相关人员学历证书原件扫描件及截止投标时间前3个月在本单位参保的社保证明并加盖公章，否则不得分）</w:t>
            </w:r>
          </w:p>
          <w:p w14:paraId="77F1AED7">
            <w:pPr>
              <w:tabs>
                <w:tab w:val="left" w:pos="540"/>
                <w:tab w:val="left" w:pos="900"/>
              </w:tabs>
              <w:autoSpaceDN w:val="0"/>
              <w:spacing w:line="240" w:lineRule="auto"/>
              <w:ind w:firstLine="480"/>
              <w:rPr>
                <w:rFonts w:hint="eastAsia" w:ascii="宋体" w:hAnsi="宋体" w:cs="宋体"/>
                <w:color w:val="auto"/>
                <w:highlight w:val="none"/>
              </w:rPr>
            </w:pPr>
            <w:r>
              <w:rPr>
                <w:rFonts w:hint="eastAsia" w:ascii="宋体" w:hAnsi="宋体" w:cs="宋体"/>
                <w:color w:val="auto"/>
                <w:highlight w:val="none"/>
              </w:rPr>
              <w:t>（2）具有相关专业高级及以上技术职称的，每提供一个得2分；具有相关专业中级技术职称的，每提供一个得1分。注：一人持有多项专业职称证书，只计一次，按最高分计。（0-8分）（须提供人员相关证书原件扫描件及截止投标时间前3个月在本单位参保的社保证明并加盖公章，否则不得分。）</w:t>
            </w:r>
          </w:p>
        </w:tc>
        <w:tc>
          <w:tcPr>
            <w:tcW w:w="1297" w:type="dxa"/>
            <w:noWrap/>
            <w:vAlign w:val="center"/>
          </w:tcPr>
          <w:p w14:paraId="0DCD5549">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19</w:t>
            </w:r>
            <w:r>
              <w:rPr>
                <w:rFonts w:hint="eastAsia"/>
                <w:color w:val="auto"/>
                <w:highlight w:val="none"/>
              </w:rPr>
              <w:t>分</w:t>
            </w:r>
          </w:p>
        </w:tc>
      </w:tr>
      <w:tr w14:paraId="118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81" w:type="dxa"/>
            <w:noWrap/>
            <w:vAlign w:val="center"/>
          </w:tcPr>
          <w:p w14:paraId="4EA6344A">
            <w:pPr>
              <w:spacing w:line="240" w:lineRule="auto"/>
              <w:ind w:firstLine="0" w:firstLineChars="0"/>
              <w:jc w:val="center"/>
              <w:rPr>
                <w:rFonts w:hint="eastAsia" w:ascii="宋体" w:hAnsi="宋体" w:cs="宋体"/>
                <w:b/>
                <w:bCs/>
                <w:color w:val="auto"/>
                <w:spacing w:val="-4"/>
                <w:highlight w:val="none"/>
              </w:rPr>
            </w:pPr>
            <w:r>
              <w:rPr>
                <w:rFonts w:hint="eastAsia" w:ascii="宋体" w:hAnsi="宋体" w:cs="宋体"/>
                <w:color w:val="auto"/>
                <w:spacing w:val="-4"/>
                <w:highlight w:val="none"/>
              </w:rPr>
              <w:t>项目理解</w:t>
            </w:r>
          </w:p>
        </w:tc>
        <w:tc>
          <w:tcPr>
            <w:tcW w:w="6869" w:type="dxa"/>
            <w:noWrap/>
            <w:vAlign w:val="center"/>
          </w:tcPr>
          <w:p w14:paraId="5930E14F">
            <w:pPr>
              <w:kinsoku w:val="0"/>
              <w:overflowPunct w:val="0"/>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项目理解主要包括但不限于下列内容：</w:t>
            </w:r>
          </w:p>
          <w:p w14:paraId="43407927">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1.项目背景和现状的分析；（0-6分）</w:t>
            </w:r>
          </w:p>
          <w:p w14:paraId="1B74A4C3">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2.工作总体思路；（0-6分）</w:t>
            </w:r>
          </w:p>
          <w:p w14:paraId="64E18D47">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3.项目目标；（0-6分）</w:t>
            </w:r>
          </w:p>
          <w:p w14:paraId="3BF5BEBA">
            <w:pPr>
              <w:kinsoku w:val="0"/>
              <w:overflowPunct w:val="0"/>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4.任务及内容的理解。（0-6分）</w:t>
            </w:r>
          </w:p>
          <w:p w14:paraId="5DA2A88E">
            <w:pPr>
              <w:kinsoku w:val="0"/>
              <w:overflowPunct w:val="0"/>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注：本评分项共4小项，评审小组根据每小项内容评审：描述内容满足采购需求，可得对应分值；未提供内容，不得对应分；已提供的内容但存在缺陷，每有一处缺陷的扣1分，本项扣完为止。</w:t>
            </w:r>
          </w:p>
          <w:p w14:paraId="44293843">
            <w:pPr>
              <w:autoSpaceDN w:val="0"/>
              <w:spacing w:line="240" w:lineRule="auto"/>
              <w:ind w:firstLine="480"/>
              <w:rPr>
                <w:rFonts w:hint="eastAsia" w:ascii="宋体" w:hAnsi="宋体" w:cs="宋体"/>
                <w:b/>
                <w:bCs/>
                <w:color w:val="auto"/>
                <w:highlight w:val="none"/>
              </w:rPr>
            </w:pPr>
            <w:r>
              <w:rPr>
                <w:rFonts w:hint="eastAsia" w:ascii="宋体" w:hAnsi="宋体" w:cs="宋体"/>
                <w:color w:val="auto"/>
                <w:highlight w:val="none"/>
              </w:rPr>
              <w:t>缺陷，是指阐述内容与采购需求不相适应，或偏离采购需求，或凭空编造与实际不符，或不可能实现的夸大其词，或思路混乱不专业，或阐述内容过于简单、前后逻辑错误、存在歧义等情形。</w:t>
            </w:r>
          </w:p>
        </w:tc>
        <w:tc>
          <w:tcPr>
            <w:tcW w:w="1297" w:type="dxa"/>
            <w:noWrap/>
            <w:vAlign w:val="center"/>
          </w:tcPr>
          <w:p w14:paraId="7C6032A9">
            <w:pPr>
              <w:tabs>
                <w:tab w:val="left" w:pos="540"/>
                <w:tab w:val="left" w:pos="900"/>
              </w:tabs>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24</w:t>
            </w:r>
            <w:r>
              <w:rPr>
                <w:rFonts w:hint="eastAsia"/>
                <w:color w:val="auto"/>
                <w:highlight w:val="none"/>
              </w:rPr>
              <w:t>分</w:t>
            </w:r>
          </w:p>
        </w:tc>
      </w:tr>
      <w:tr w14:paraId="4A0D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81" w:type="dxa"/>
            <w:noWrap/>
            <w:vAlign w:val="center"/>
          </w:tcPr>
          <w:p w14:paraId="21353AF4">
            <w:pPr>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实施方案</w:t>
            </w:r>
          </w:p>
        </w:tc>
        <w:tc>
          <w:tcPr>
            <w:tcW w:w="6869" w:type="dxa"/>
            <w:noWrap/>
            <w:vAlign w:val="center"/>
          </w:tcPr>
          <w:p w14:paraId="12236E9F">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项目实施方案</w:t>
            </w:r>
            <w:r>
              <w:rPr>
                <w:rFonts w:hint="eastAsia" w:cs="宋体"/>
                <w:color w:val="auto"/>
                <w:highlight w:val="none"/>
              </w:rPr>
              <w:t>主要包括但不限于下列内容</w:t>
            </w:r>
            <w:r>
              <w:rPr>
                <w:rFonts w:hint="eastAsia" w:cs="宋体"/>
                <w:bCs/>
                <w:color w:val="auto"/>
                <w:highlight w:val="none"/>
              </w:rPr>
              <w:t>：</w:t>
            </w:r>
          </w:p>
          <w:p w14:paraId="74578447">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1.项目工作量；</w:t>
            </w:r>
            <w:r>
              <w:rPr>
                <w:rFonts w:hint="eastAsia" w:cs="宋体"/>
                <w:color w:val="auto"/>
                <w:highlight w:val="none"/>
              </w:rPr>
              <w:t>（0-4分）</w:t>
            </w:r>
          </w:p>
          <w:p w14:paraId="5C7A92AD">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2.技术方案；</w:t>
            </w:r>
            <w:r>
              <w:rPr>
                <w:rFonts w:hint="eastAsia" w:cs="宋体"/>
                <w:color w:val="auto"/>
                <w:highlight w:val="none"/>
              </w:rPr>
              <w:t>（0-4分）</w:t>
            </w:r>
          </w:p>
          <w:p w14:paraId="6559CC7D">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3.项目进度控制措施；（</w:t>
            </w:r>
            <w:r>
              <w:rPr>
                <w:rFonts w:hint="eastAsia" w:cs="宋体"/>
                <w:color w:val="auto"/>
                <w:highlight w:val="none"/>
              </w:rPr>
              <w:t>0-</w:t>
            </w:r>
            <w:r>
              <w:rPr>
                <w:rFonts w:hint="eastAsia" w:cs="宋体"/>
                <w:bCs/>
                <w:color w:val="auto"/>
                <w:highlight w:val="none"/>
              </w:rPr>
              <w:t>4分）</w:t>
            </w:r>
          </w:p>
          <w:p w14:paraId="4106C8DA">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4.质量保障措施；（</w:t>
            </w:r>
            <w:r>
              <w:rPr>
                <w:rFonts w:hint="eastAsia" w:cs="宋体"/>
                <w:color w:val="auto"/>
                <w:highlight w:val="none"/>
              </w:rPr>
              <w:t>0-</w:t>
            </w:r>
            <w:r>
              <w:rPr>
                <w:rFonts w:hint="eastAsia" w:cs="宋体"/>
                <w:bCs/>
                <w:color w:val="auto"/>
                <w:highlight w:val="none"/>
              </w:rPr>
              <w:t>4分）</w:t>
            </w:r>
          </w:p>
          <w:p w14:paraId="3C542D2F">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bCs/>
                <w:color w:val="auto"/>
                <w:highlight w:val="none"/>
              </w:rPr>
            </w:pPr>
            <w:r>
              <w:rPr>
                <w:rFonts w:hint="eastAsia" w:cs="宋体"/>
                <w:bCs/>
                <w:color w:val="auto"/>
                <w:highlight w:val="none"/>
              </w:rPr>
              <w:t>5.成果内容。</w:t>
            </w:r>
            <w:r>
              <w:rPr>
                <w:rFonts w:hint="eastAsia" w:cs="宋体"/>
                <w:color w:val="auto"/>
                <w:highlight w:val="none"/>
              </w:rPr>
              <w:t>（0-4分）</w:t>
            </w:r>
          </w:p>
          <w:p w14:paraId="045643B0">
            <w:pPr>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注：本评分项共5小项，评审小组根据每小项内容评审：描述内容满足采购需求，可得对应分值；未提供内容，不得对应分；已提供的内容但存在缺陷，每有一处缺陷的扣1分，本项扣完为止。</w:t>
            </w:r>
          </w:p>
          <w:p w14:paraId="7C6F61B8">
            <w:pPr>
              <w:spacing w:line="240" w:lineRule="auto"/>
              <w:ind w:firstLine="480"/>
              <w:rPr>
                <w:rFonts w:hint="eastAsia" w:ascii="宋体" w:hAnsi="宋体" w:cs="宋体"/>
                <w:b/>
                <w:bCs/>
                <w:color w:val="auto"/>
                <w:highlight w:val="none"/>
              </w:rPr>
            </w:pPr>
            <w:r>
              <w:rPr>
                <w:rFonts w:hint="eastAsia" w:ascii="宋体" w:hAnsi="宋体" w:cs="宋体"/>
                <w:color w:val="auto"/>
                <w:highlight w:val="none"/>
              </w:rPr>
              <w:t>缺陷，是指阐述内容与采购需求不相适应，或偏离采购需求，或凭空编造与实际不符，或不可能实现的夸大其词，或思路混乱不专业，或阐述内容过于简单、前后逻辑错误、存在歧义等情形。</w:t>
            </w:r>
          </w:p>
        </w:tc>
        <w:tc>
          <w:tcPr>
            <w:tcW w:w="1297" w:type="dxa"/>
            <w:noWrap/>
            <w:vAlign w:val="center"/>
          </w:tcPr>
          <w:p w14:paraId="5804C52E">
            <w:pPr>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20</w:t>
            </w:r>
            <w:r>
              <w:rPr>
                <w:rFonts w:hint="eastAsia"/>
                <w:color w:val="auto"/>
                <w:highlight w:val="none"/>
              </w:rPr>
              <w:t>分</w:t>
            </w:r>
          </w:p>
        </w:tc>
      </w:tr>
      <w:tr w14:paraId="532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81" w:type="dxa"/>
            <w:noWrap/>
            <w:vAlign w:val="center"/>
          </w:tcPr>
          <w:p w14:paraId="7E4C87E3">
            <w:pPr>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项目重难点分析和解决方案</w:t>
            </w:r>
          </w:p>
        </w:tc>
        <w:tc>
          <w:tcPr>
            <w:tcW w:w="6869" w:type="dxa"/>
            <w:noWrap/>
            <w:vAlign w:val="center"/>
          </w:tcPr>
          <w:p w14:paraId="59061237">
            <w:pPr>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技术路线与方法主要包括但不限于下列内容：</w:t>
            </w:r>
          </w:p>
          <w:p w14:paraId="58F5A078">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1.技术关键点、难点进行分析；（0-4分）</w:t>
            </w:r>
          </w:p>
          <w:p w14:paraId="621A0949">
            <w:pPr>
              <w:pStyle w:val="34"/>
              <w:widowControl w:val="0"/>
              <w:tabs>
                <w:tab w:val="left" w:pos="397"/>
              </w:tabs>
              <w:kinsoku w:val="0"/>
              <w:overflowPunct w:val="0"/>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2.针对以上问题提出具有切实可行的解决措施。（0-4分）</w:t>
            </w:r>
          </w:p>
          <w:p w14:paraId="1BE332BA">
            <w:pPr>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注：本评分项共2小项，评审小组根据每小项内容评审：描述内容满足采购需求，可得对应分值；未提供内容，不得对应分；已提供的内容但存在缺陷，每有一处缺陷的扣1分，本项扣完为止。</w:t>
            </w:r>
          </w:p>
          <w:p w14:paraId="761DD10D">
            <w:pPr>
              <w:spacing w:line="240" w:lineRule="auto"/>
              <w:ind w:firstLine="480"/>
              <w:rPr>
                <w:rFonts w:hint="eastAsia" w:ascii="宋体" w:hAnsi="宋体" w:cs="宋体"/>
                <w:color w:val="auto"/>
                <w:highlight w:val="none"/>
              </w:rPr>
            </w:pPr>
            <w:r>
              <w:rPr>
                <w:rFonts w:hint="eastAsia" w:ascii="宋体" w:hAnsi="宋体" w:cs="宋体"/>
                <w:color w:val="auto"/>
                <w:highlight w:val="none"/>
              </w:rPr>
              <w:t>缺陷，是指阐述内容与采购需求不相适应，或偏离采购需求，或凭空编造与实际不符，或不可能实现的夸大其词，或思路混乱不专业，或阐述内容过于简单、前后逻辑错误、存在歧义等情形。</w:t>
            </w:r>
          </w:p>
        </w:tc>
        <w:tc>
          <w:tcPr>
            <w:tcW w:w="1297" w:type="dxa"/>
            <w:noWrap/>
            <w:vAlign w:val="center"/>
          </w:tcPr>
          <w:p w14:paraId="70E9C480">
            <w:pPr>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8</w:t>
            </w:r>
            <w:r>
              <w:rPr>
                <w:rFonts w:hint="eastAsia"/>
                <w:color w:val="auto"/>
                <w:highlight w:val="none"/>
              </w:rPr>
              <w:t>分</w:t>
            </w:r>
          </w:p>
        </w:tc>
      </w:tr>
      <w:tr w14:paraId="3CA5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1" w:type="dxa"/>
            <w:noWrap/>
            <w:vAlign w:val="center"/>
          </w:tcPr>
          <w:p w14:paraId="31F1D2EC">
            <w:pPr>
              <w:spacing w:line="240" w:lineRule="auto"/>
              <w:ind w:firstLine="0" w:firstLineChars="0"/>
              <w:jc w:val="center"/>
              <w:rPr>
                <w:rFonts w:hint="eastAsia" w:ascii="宋体" w:hAnsi="宋体" w:cs="宋体"/>
                <w:b/>
                <w:bCs/>
                <w:color w:val="auto"/>
                <w:highlight w:val="none"/>
              </w:rPr>
            </w:pPr>
            <w:r>
              <w:rPr>
                <w:rFonts w:hint="eastAsia" w:ascii="宋体" w:hAnsi="宋体" w:cs="宋体"/>
                <w:bCs/>
                <w:color w:val="auto"/>
                <w:highlight w:val="none"/>
                <w:lang w:val="zh-CN"/>
              </w:rPr>
              <w:t>售后服务方案</w:t>
            </w:r>
          </w:p>
        </w:tc>
        <w:tc>
          <w:tcPr>
            <w:tcW w:w="6869" w:type="dxa"/>
            <w:noWrap/>
            <w:vAlign w:val="center"/>
          </w:tcPr>
          <w:p w14:paraId="253562C8">
            <w:pPr>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售后服务承诺主要包括但不限于下列内容：</w:t>
            </w:r>
          </w:p>
          <w:p w14:paraId="0C1B4B3B">
            <w:pPr>
              <w:pStyle w:val="34"/>
              <w:widowControl w:val="0"/>
              <w:tabs>
                <w:tab w:val="left" w:pos="397"/>
              </w:tabs>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1.服务内容；（0-5分）</w:t>
            </w:r>
          </w:p>
          <w:p w14:paraId="0E21CF3C">
            <w:pPr>
              <w:pStyle w:val="34"/>
              <w:widowControl w:val="0"/>
              <w:tabs>
                <w:tab w:val="left" w:pos="397"/>
              </w:tabs>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2.响应时间；（0-5分）</w:t>
            </w:r>
          </w:p>
          <w:p w14:paraId="4217D822">
            <w:pPr>
              <w:pStyle w:val="34"/>
              <w:widowControl w:val="0"/>
              <w:tabs>
                <w:tab w:val="left" w:pos="397"/>
              </w:tabs>
              <w:adjustRightInd w:val="0"/>
              <w:spacing w:before="0" w:beforeAutospacing="0" w:after="0" w:afterAutospacing="0" w:line="240" w:lineRule="auto"/>
              <w:ind w:firstLine="480"/>
              <w:jc w:val="both"/>
              <w:rPr>
                <w:rFonts w:hint="eastAsia" w:cs="宋体"/>
                <w:color w:val="auto"/>
                <w:highlight w:val="none"/>
              </w:rPr>
            </w:pPr>
            <w:r>
              <w:rPr>
                <w:rFonts w:hint="eastAsia" w:cs="宋体"/>
                <w:color w:val="auto"/>
                <w:highlight w:val="none"/>
              </w:rPr>
              <w:t>3.服务保障措施。（0-5分）</w:t>
            </w:r>
          </w:p>
          <w:p w14:paraId="27CB780E">
            <w:pPr>
              <w:adjustRightInd w:val="0"/>
              <w:spacing w:line="240" w:lineRule="auto"/>
              <w:ind w:firstLine="480"/>
              <w:rPr>
                <w:rFonts w:hint="eastAsia" w:ascii="宋体" w:hAnsi="宋体" w:cs="宋体"/>
                <w:color w:val="auto"/>
                <w:highlight w:val="none"/>
              </w:rPr>
            </w:pPr>
            <w:r>
              <w:rPr>
                <w:rFonts w:hint="eastAsia" w:ascii="宋体" w:hAnsi="宋体" w:cs="宋体"/>
                <w:color w:val="auto"/>
                <w:highlight w:val="none"/>
              </w:rPr>
              <w:t>注：本评分项共3小项，评审小组根据每小项内容评审：描述内容满足采购需求，可得对应分值；未提供内容，不得对应分；已提供的内容但存在缺陷，每有一处缺陷的扣1分，本项扣完为止。</w:t>
            </w:r>
          </w:p>
          <w:p w14:paraId="43C9738C">
            <w:pPr>
              <w:pStyle w:val="14"/>
              <w:spacing w:line="240" w:lineRule="auto"/>
              <w:ind w:left="0" w:leftChars="0" w:firstLine="480"/>
              <w:rPr>
                <w:rFonts w:hint="eastAsia" w:ascii="宋体" w:hAnsi="宋体" w:cs="宋体"/>
                <w:color w:val="auto"/>
                <w:highlight w:val="none"/>
              </w:rPr>
            </w:pPr>
            <w:r>
              <w:rPr>
                <w:rFonts w:hint="eastAsia" w:ascii="宋体" w:hAnsi="宋体" w:cs="宋体"/>
                <w:color w:val="auto"/>
                <w:highlight w:val="none"/>
              </w:rPr>
              <w:t>缺陷，是指阐述内容与采购需求不相适应，或偏离采购需求，或凭空编造与实际不符，或不可能实现的夸大其词，或思路混乱不专业，或阐述内容过于简单、前后逻辑错误、存在歧义等情形。</w:t>
            </w:r>
          </w:p>
        </w:tc>
        <w:tc>
          <w:tcPr>
            <w:tcW w:w="1297" w:type="dxa"/>
            <w:noWrap/>
            <w:vAlign w:val="center"/>
          </w:tcPr>
          <w:p w14:paraId="2262A01F">
            <w:pPr>
              <w:autoSpaceDN w:val="0"/>
              <w:spacing w:line="240" w:lineRule="auto"/>
              <w:ind w:firstLine="0" w:firstLineChars="0"/>
              <w:jc w:val="center"/>
              <w:rPr>
                <w:rFonts w:hint="eastAsia" w:ascii="宋体" w:hAnsi="宋体" w:cs="宋体"/>
                <w:b/>
                <w:bCs/>
                <w:color w:val="auto"/>
                <w:highlight w:val="none"/>
              </w:rPr>
            </w:pPr>
            <w:r>
              <w:rPr>
                <w:rFonts w:hint="eastAsia" w:ascii="宋体" w:hAnsi="宋体" w:cs="宋体"/>
                <w:color w:val="auto"/>
                <w:highlight w:val="none"/>
              </w:rPr>
              <w:t>15</w:t>
            </w:r>
            <w:r>
              <w:rPr>
                <w:rFonts w:hint="eastAsia"/>
                <w:color w:val="auto"/>
                <w:highlight w:val="none"/>
              </w:rPr>
              <w:t>分</w:t>
            </w:r>
          </w:p>
        </w:tc>
      </w:tr>
    </w:tbl>
    <w:p w14:paraId="35FB5AF8">
      <w:pPr>
        <w:spacing w:line="264" w:lineRule="auto"/>
        <w:ind w:firstLine="480"/>
        <w:outlineLvl w:val="1"/>
        <w:rPr>
          <w:rFonts w:hint="eastAsia" w:ascii="宋体" w:hAnsi="宋体" w:cs="宋体"/>
          <w:color w:val="auto"/>
          <w:highlight w:val="none"/>
        </w:rPr>
      </w:pPr>
      <w:r>
        <w:rPr>
          <w:rFonts w:hint="eastAsia" w:ascii="宋体" w:hAnsi="宋体" w:cs="宋体"/>
          <w:color w:val="auto"/>
          <w:highlight w:val="none"/>
        </w:rPr>
        <w:t>12.供应商不得有下列情形</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06DD9A10">
      <w:pPr>
        <w:spacing w:line="264" w:lineRule="auto"/>
        <w:ind w:firstLine="480"/>
        <w:rPr>
          <w:rFonts w:hint="eastAsia" w:ascii="宋体" w:hAnsi="宋体" w:cs="宋体"/>
          <w:color w:val="auto"/>
          <w:highlight w:val="none"/>
        </w:rPr>
      </w:pPr>
      <w:r>
        <w:rPr>
          <w:rFonts w:hint="eastAsia" w:ascii="宋体" w:hAnsi="宋体" w:cs="宋体"/>
          <w:color w:val="auto"/>
          <w:highlight w:val="none"/>
        </w:rPr>
        <w:t>供应商有下列情形之一的，处以政府采购项目成交金额5‰以上10‰以下的罚款，列入不良行为记录名单，在一至三年内禁止参加政府采购活动，并予以公告，没有违法所得的，并处没收违法所得，情节严重的，由工商行政管理机关吊销营业执照，构成犯罪的，依法追究刑事责任。同时将取消成交资格或者认定成交无效。</w:t>
      </w:r>
    </w:p>
    <w:p w14:paraId="7E6C139A">
      <w:pPr>
        <w:spacing w:line="264" w:lineRule="auto"/>
        <w:ind w:firstLine="480"/>
        <w:rPr>
          <w:rFonts w:hint="eastAsia" w:ascii="宋体" w:hAnsi="宋体" w:cs="宋体"/>
          <w:color w:val="auto"/>
          <w:highlight w:val="none"/>
        </w:rPr>
      </w:pPr>
      <w:r>
        <w:rPr>
          <w:rFonts w:hint="eastAsia" w:ascii="宋体" w:hAnsi="宋体" w:cs="宋体"/>
          <w:color w:val="auto"/>
          <w:highlight w:val="none"/>
        </w:rPr>
        <w:t>12.1提供虚假材料谋取成交；</w:t>
      </w:r>
    </w:p>
    <w:p w14:paraId="1338F934">
      <w:pPr>
        <w:spacing w:line="264" w:lineRule="auto"/>
        <w:ind w:firstLine="480"/>
        <w:rPr>
          <w:rFonts w:hint="eastAsia" w:ascii="宋体" w:hAnsi="宋体" w:cs="宋体"/>
          <w:color w:val="auto"/>
          <w:highlight w:val="none"/>
        </w:rPr>
      </w:pPr>
      <w:r>
        <w:rPr>
          <w:rFonts w:hint="eastAsia" w:ascii="宋体" w:hAnsi="宋体" w:cs="宋体"/>
          <w:color w:val="auto"/>
          <w:highlight w:val="none"/>
        </w:rPr>
        <w:t>12.2采取不正当手段诋毁、排挤其他供应商；</w:t>
      </w:r>
    </w:p>
    <w:p w14:paraId="0BBCF5EB">
      <w:pPr>
        <w:spacing w:line="264" w:lineRule="auto"/>
        <w:ind w:firstLine="480"/>
        <w:rPr>
          <w:rFonts w:hint="eastAsia" w:ascii="宋体" w:hAnsi="宋体" w:cs="宋体"/>
          <w:color w:val="auto"/>
          <w:highlight w:val="none"/>
        </w:rPr>
      </w:pPr>
      <w:r>
        <w:rPr>
          <w:rFonts w:hint="eastAsia" w:ascii="宋体" w:hAnsi="宋体" w:cs="宋体"/>
          <w:color w:val="auto"/>
          <w:highlight w:val="none"/>
        </w:rPr>
        <w:t>12.3与采购人、其他供应商恶意串通；</w:t>
      </w:r>
    </w:p>
    <w:p w14:paraId="6B32EA6C">
      <w:pPr>
        <w:spacing w:line="264" w:lineRule="auto"/>
        <w:ind w:firstLine="480"/>
        <w:rPr>
          <w:rFonts w:hint="eastAsia" w:ascii="宋体" w:hAnsi="宋体" w:cs="宋体"/>
          <w:color w:val="auto"/>
          <w:highlight w:val="none"/>
        </w:rPr>
      </w:pPr>
      <w:r>
        <w:rPr>
          <w:rFonts w:hint="eastAsia" w:ascii="宋体" w:hAnsi="宋体" w:cs="宋体"/>
          <w:color w:val="auto"/>
          <w:highlight w:val="none"/>
        </w:rPr>
        <w:t>12.4向采购人、评审小组成员行贿或者提供其他不正当利益；</w:t>
      </w:r>
    </w:p>
    <w:p w14:paraId="1B5817F7">
      <w:pPr>
        <w:spacing w:line="264" w:lineRule="auto"/>
        <w:ind w:firstLine="480"/>
        <w:rPr>
          <w:rFonts w:hint="eastAsia" w:ascii="宋体" w:hAnsi="宋体" w:cs="宋体"/>
          <w:color w:val="auto"/>
          <w:highlight w:val="none"/>
        </w:rPr>
      </w:pPr>
      <w:r>
        <w:rPr>
          <w:rFonts w:hint="eastAsia" w:ascii="宋体" w:hAnsi="宋体" w:cs="宋体"/>
          <w:color w:val="auto"/>
          <w:highlight w:val="none"/>
        </w:rPr>
        <w:t>12.5在磋商过程中与采购人进行协商谈判；</w:t>
      </w:r>
    </w:p>
    <w:p w14:paraId="1D9C1368">
      <w:pPr>
        <w:spacing w:line="264" w:lineRule="auto"/>
        <w:ind w:firstLine="480"/>
        <w:rPr>
          <w:rFonts w:hint="eastAsia" w:ascii="宋体" w:hAnsi="宋体" w:cs="宋体"/>
          <w:color w:val="auto"/>
          <w:highlight w:val="none"/>
        </w:rPr>
      </w:pPr>
      <w:r>
        <w:rPr>
          <w:rFonts w:hint="eastAsia" w:ascii="宋体" w:hAnsi="宋体" w:cs="宋体"/>
          <w:color w:val="auto"/>
          <w:highlight w:val="none"/>
        </w:rPr>
        <w:t>12.6成交供应商无正当理由拖延或者不与采购人签署采购合同；</w:t>
      </w:r>
    </w:p>
    <w:p w14:paraId="07A14ADC">
      <w:pPr>
        <w:spacing w:line="264" w:lineRule="auto"/>
        <w:ind w:firstLine="480"/>
        <w:rPr>
          <w:rFonts w:hint="eastAsia" w:ascii="宋体" w:hAnsi="宋体" w:cs="宋体"/>
          <w:color w:val="auto"/>
          <w:highlight w:val="none"/>
        </w:rPr>
      </w:pPr>
      <w:r>
        <w:rPr>
          <w:rFonts w:hint="eastAsia" w:ascii="宋体" w:hAnsi="宋体" w:cs="宋体"/>
          <w:color w:val="auto"/>
          <w:highlight w:val="none"/>
        </w:rPr>
        <w:t>12.7未按照采购文件确定的事项签订政府采购合同；</w:t>
      </w:r>
    </w:p>
    <w:p w14:paraId="51C197BD">
      <w:pPr>
        <w:spacing w:line="264" w:lineRule="auto"/>
        <w:ind w:firstLine="480"/>
        <w:rPr>
          <w:rFonts w:hint="eastAsia" w:ascii="宋体" w:hAnsi="宋体" w:cs="宋体"/>
          <w:color w:val="auto"/>
          <w:highlight w:val="none"/>
        </w:rPr>
      </w:pPr>
      <w:r>
        <w:rPr>
          <w:rFonts w:hint="eastAsia" w:ascii="宋体" w:hAnsi="宋体" w:cs="宋体"/>
          <w:color w:val="auto"/>
          <w:highlight w:val="none"/>
        </w:rPr>
        <w:t>12.8将政府采购合同转包或者违规分包；</w:t>
      </w:r>
    </w:p>
    <w:p w14:paraId="0AE701E2">
      <w:pPr>
        <w:spacing w:line="264" w:lineRule="auto"/>
        <w:ind w:firstLine="480"/>
        <w:rPr>
          <w:rFonts w:hint="eastAsia" w:ascii="宋体" w:hAnsi="宋体" w:cs="宋体"/>
          <w:color w:val="auto"/>
          <w:highlight w:val="none"/>
        </w:rPr>
      </w:pPr>
      <w:r>
        <w:rPr>
          <w:rFonts w:hint="eastAsia" w:ascii="宋体" w:hAnsi="宋体" w:cs="宋体"/>
          <w:color w:val="auto"/>
          <w:highlight w:val="none"/>
        </w:rPr>
        <w:t>12.9提供假冒伪劣产品；</w:t>
      </w:r>
    </w:p>
    <w:p w14:paraId="5B3FF4DF">
      <w:pPr>
        <w:spacing w:line="264" w:lineRule="auto"/>
        <w:ind w:firstLine="480"/>
        <w:rPr>
          <w:rFonts w:hint="eastAsia" w:ascii="宋体" w:hAnsi="宋体" w:cs="宋体"/>
          <w:color w:val="auto"/>
          <w:highlight w:val="none"/>
        </w:rPr>
      </w:pPr>
      <w:r>
        <w:rPr>
          <w:rFonts w:hint="eastAsia" w:ascii="宋体" w:hAnsi="宋体" w:cs="宋体"/>
          <w:color w:val="auto"/>
          <w:highlight w:val="none"/>
        </w:rPr>
        <w:t>12.10擅自变更、中止或者终止政府采购合同；</w:t>
      </w:r>
    </w:p>
    <w:p w14:paraId="3FA1EA93">
      <w:pPr>
        <w:spacing w:line="264" w:lineRule="auto"/>
        <w:ind w:firstLine="480"/>
        <w:rPr>
          <w:rFonts w:hint="eastAsia" w:ascii="宋体" w:hAnsi="宋体" w:cs="宋体"/>
          <w:color w:val="auto"/>
          <w:highlight w:val="none"/>
        </w:rPr>
      </w:pPr>
      <w:r>
        <w:rPr>
          <w:rFonts w:hint="eastAsia" w:ascii="宋体" w:hAnsi="宋体" w:cs="宋体"/>
          <w:color w:val="auto"/>
          <w:highlight w:val="none"/>
        </w:rPr>
        <w:t>12.11拒绝有关部门的监督检查或者向监督检查部门提供虚假情况；</w:t>
      </w:r>
    </w:p>
    <w:p w14:paraId="41B0E1E5">
      <w:pPr>
        <w:spacing w:line="264" w:lineRule="auto"/>
        <w:ind w:firstLine="480"/>
        <w:rPr>
          <w:rFonts w:hint="eastAsia" w:ascii="宋体" w:hAnsi="宋体" w:cs="宋体"/>
          <w:color w:val="auto"/>
          <w:highlight w:val="none"/>
        </w:rPr>
      </w:pPr>
      <w:r>
        <w:rPr>
          <w:rFonts w:hint="eastAsia" w:ascii="宋体" w:hAnsi="宋体" w:cs="宋体"/>
          <w:color w:val="auto"/>
          <w:highlight w:val="none"/>
        </w:rPr>
        <w:t>12.12法律法规规定的其他情形。</w:t>
      </w:r>
    </w:p>
    <w:p w14:paraId="39D6D586">
      <w:pPr>
        <w:spacing w:line="264" w:lineRule="auto"/>
        <w:ind w:firstLine="480"/>
        <w:outlineLvl w:val="1"/>
        <w:rPr>
          <w:rFonts w:hint="eastAsia" w:ascii="宋体" w:hAnsi="宋体" w:cs="宋体"/>
          <w:color w:val="auto"/>
          <w:highlight w:val="none"/>
        </w:rPr>
      </w:pPr>
      <w:bookmarkStart w:id="1361" w:name="_Toc6155"/>
      <w:bookmarkStart w:id="1362" w:name="_Toc784"/>
      <w:bookmarkStart w:id="1363" w:name="_Toc27088"/>
      <w:bookmarkStart w:id="1364" w:name="_Toc23462"/>
      <w:bookmarkStart w:id="1365" w:name="_Toc17902"/>
      <w:bookmarkStart w:id="1366" w:name="_Toc20262"/>
      <w:bookmarkStart w:id="1367" w:name="_Toc7636"/>
      <w:bookmarkStart w:id="1368" w:name="_Toc19111"/>
      <w:bookmarkStart w:id="1369" w:name="_Toc9632"/>
      <w:bookmarkStart w:id="1370" w:name="_Toc27890"/>
      <w:bookmarkStart w:id="1371" w:name="_Toc3067"/>
      <w:bookmarkStart w:id="1372" w:name="_Toc18903"/>
      <w:bookmarkStart w:id="1373" w:name="_Toc25243"/>
      <w:bookmarkStart w:id="1374" w:name="_Toc30219"/>
      <w:bookmarkStart w:id="1375" w:name="_Toc3781"/>
      <w:bookmarkStart w:id="1376" w:name="_Toc232"/>
      <w:bookmarkStart w:id="1377" w:name="_Toc6582"/>
      <w:bookmarkStart w:id="1378" w:name="_Toc19350"/>
      <w:bookmarkStart w:id="1379" w:name="_Toc14267"/>
      <w:bookmarkStart w:id="1380" w:name="_Toc17740"/>
      <w:bookmarkStart w:id="1381" w:name="_Toc73"/>
      <w:bookmarkStart w:id="1382" w:name="_Toc3016"/>
      <w:bookmarkStart w:id="1383" w:name="_Toc130"/>
      <w:bookmarkStart w:id="1384" w:name="_Toc6615"/>
      <w:bookmarkStart w:id="1385" w:name="_Toc18334"/>
      <w:bookmarkStart w:id="1386" w:name="_Toc15896"/>
      <w:bookmarkStart w:id="1387" w:name="_Toc22395"/>
      <w:bookmarkStart w:id="1388" w:name="_Toc19569"/>
      <w:bookmarkStart w:id="1389" w:name="_Toc19568"/>
      <w:bookmarkStart w:id="1390" w:name="_Toc1265"/>
      <w:bookmarkStart w:id="1391" w:name="_Toc2790"/>
      <w:r>
        <w:rPr>
          <w:rFonts w:hint="eastAsia" w:ascii="宋体" w:hAnsi="宋体" w:cs="宋体"/>
          <w:color w:val="auto"/>
          <w:highlight w:val="none"/>
        </w:rPr>
        <w:t>13.磋商串通行为</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01CA4C87">
      <w:pPr>
        <w:spacing w:line="264" w:lineRule="auto"/>
        <w:ind w:firstLine="480"/>
        <w:rPr>
          <w:rFonts w:hint="eastAsia" w:ascii="宋体" w:hAnsi="宋体" w:cs="宋体"/>
          <w:color w:val="auto"/>
          <w:highlight w:val="none"/>
        </w:rPr>
      </w:pPr>
      <w:r>
        <w:rPr>
          <w:rFonts w:hint="eastAsia" w:ascii="宋体" w:hAnsi="宋体" w:cs="宋体"/>
          <w:color w:val="auto"/>
          <w:highlight w:val="none"/>
        </w:rPr>
        <w:t>磋商过程中，有下列情形之一的，属串通行为，其磋商无效：</w:t>
      </w:r>
    </w:p>
    <w:p w14:paraId="48E67829">
      <w:pPr>
        <w:spacing w:line="264" w:lineRule="auto"/>
        <w:ind w:firstLine="480"/>
        <w:rPr>
          <w:rFonts w:hint="eastAsia" w:ascii="宋体" w:hAnsi="宋体" w:cs="宋体"/>
          <w:color w:val="auto"/>
          <w:highlight w:val="none"/>
        </w:rPr>
      </w:pPr>
      <w:r>
        <w:rPr>
          <w:rFonts w:hint="eastAsia" w:ascii="宋体" w:hAnsi="宋体" w:cs="宋体"/>
          <w:color w:val="auto"/>
          <w:highlight w:val="none"/>
        </w:rPr>
        <w:t>13.1不同供应商的响应文件由同一单位或者个人编制；</w:t>
      </w:r>
    </w:p>
    <w:p w14:paraId="4C9CA1AD">
      <w:pPr>
        <w:spacing w:line="264" w:lineRule="auto"/>
        <w:ind w:firstLine="480"/>
        <w:rPr>
          <w:rFonts w:hint="eastAsia" w:ascii="宋体" w:hAnsi="宋体" w:cs="宋体"/>
          <w:color w:val="auto"/>
          <w:highlight w:val="none"/>
        </w:rPr>
      </w:pPr>
      <w:r>
        <w:rPr>
          <w:rFonts w:hint="eastAsia" w:ascii="宋体" w:hAnsi="宋体" w:cs="宋体"/>
          <w:color w:val="auto"/>
          <w:highlight w:val="none"/>
        </w:rPr>
        <w:t>13.2不同供应商委托同一单位或者个人办理磋商活动事宜；</w:t>
      </w:r>
    </w:p>
    <w:p w14:paraId="2FF34017">
      <w:pPr>
        <w:spacing w:line="264" w:lineRule="auto"/>
        <w:ind w:firstLine="480"/>
        <w:rPr>
          <w:rFonts w:hint="eastAsia" w:ascii="宋体" w:hAnsi="宋体" w:cs="宋体"/>
          <w:color w:val="auto"/>
          <w:highlight w:val="none"/>
        </w:rPr>
      </w:pPr>
      <w:r>
        <w:rPr>
          <w:rFonts w:hint="eastAsia" w:ascii="宋体" w:hAnsi="宋体" w:cs="宋体"/>
          <w:color w:val="auto"/>
          <w:highlight w:val="none"/>
        </w:rPr>
        <w:t>13.3不同供应商的响应文件载明的项目管理成员或者联系人员为同一人；</w:t>
      </w:r>
    </w:p>
    <w:p w14:paraId="21EE8ED2">
      <w:pPr>
        <w:spacing w:line="264" w:lineRule="auto"/>
        <w:ind w:firstLine="480"/>
        <w:rPr>
          <w:rFonts w:hint="eastAsia" w:ascii="宋体" w:hAnsi="宋体" w:cs="宋体"/>
          <w:color w:val="auto"/>
          <w:highlight w:val="none"/>
        </w:rPr>
      </w:pPr>
      <w:r>
        <w:rPr>
          <w:rFonts w:hint="eastAsia" w:ascii="宋体" w:hAnsi="宋体" w:cs="宋体"/>
          <w:color w:val="auto"/>
          <w:highlight w:val="none"/>
        </w:rPr>
        <w:t>13.4不同供应商的响应文件异常一致或者磋商报价呈规律性差异；</w:t>
      </w:r>
    </w:p>
    <w:p w14:paraId="57E9C74F">
      <w:pPr>
        <w:spacing w:line="264" w:lineRule="auto"/>
        <w:ind w:firstLine="480"/>
        <w:rPr>
          <w:rFonts w:hint="eastAsia" w:ascii="宋体" w:hAnsi="宋体" w:cs="宋体"/>
          <w:color w:val="auto"/>
          <w:highlight w:val="none"/>
        </w:rPr>
      </w:pPr>
      <w:r>
        <w:rPr>
          <w:rFonts w:hint="eastAsia" w:ascii="宋体" w:hAnsi="宋体" w:cs="宋体"/>
          <w:color w:val="auto"/>
          <w:highlight w:val="none"/>
        </w:rPr>
        <w:t>13.5不同供应商的响应文件相互混装；</w:t>
      </w:r>
    </w:p>
    <w:p w14:paraId="3E90044E">
      <w:pPr>
        <w:spacing w:line="264" w:lineRule="auto"/>
        <w:ind w:firstLine="480"/>
        <w:outlineLvl w:val="1"/>
        <w:rPr>
          <w:rFonts w:hint="eastAsia" w:ascii="宋体" w:hAnsi="宋体" w:cs="宋体"/>
          <w:color w:val="auto"/>
          <w:highlight w:val="none"/>
        </w:rPr>
      </w:pPr>
      <w:bookmarkStart w:id="1392" w:name="_Toc7149"/>
      <w:bookmarkStart w:id="1393" w:name="_Toc2209"/>
      <w:bookmarkStart w:id="1394" w:name="_Toc15731"/>
      <w:bookmarkStart w:id="1395" w:name="_Toc11312"/>
      <w:bookmarkStart w:id="1396" w:name="_Toc9050"/>
      <w:bookmarkStart w:id="1397" w:name="_Toc10325"/>
      <w:bookmarkStart w:id="1398" w:name="_Toc22389"/>
      <w:bookmarkStart w:id="1399" w:name="_Toc3363"/>
      <w:bookmarkStart w:id="1400" w:name="_Toc18858"/>
      <w:bookmarkStart w:id="1401" w:name="_Toc5951"/>
      <w:bookmarkStart w:id="1402" w:name="_Toc28666"/>
      <w:bookmarkStart w:id="1403" w:name="_Toc22851"/>
      <w:bookmarkStart w:id="1404" w:name="_Toc18283"/>
      <w:bookmarkStart w:id="1405" w:name="_Toc5910"/>
      <w:bookmarkStart w:id="1406" w:name="_Toc15499"/>
      <w:bookmarkStart w:id="1407" w:name="_Toc21670"/>
      <w:bookmarkStart w:id="1408" w:name="_Toc30897"/>
      <w:bookmarkStart w:id="1409" w:name="_Toc3014"/>
      <w:bookmarkStart w:id="1410" w:name="_Toc29594"/>
      <w:bookmarkStart w:id="1411" w:name="_Toc21870"/>
      <w:bookmarkStart w:id="1412" w:name="_Toc14522"/>
      <w:bookmarkStart w:id="1413" w:name="_Toc20361"/>
      <w:bookmarkStart w:id="1414" w:name="_Toc1382"/>
      <w:bookmarkStart w:id="1415" w:name="_Toc7828"/>
      <w:bookmarkStart w:id="1416" w:name="_Toc16048"/>
      <w:bookmarkStart w:id="1417" w:name="_Toc26289"/>
      <w:bookmarkStart w:id="1418" w:name="_Toc29735"/>
      <w:bookmarkStart w:id="1419" w:name="_Toc9025"/>
      <w:bookmarkStart w:id="1420" w:name="_Toc23874"/>
      <w:bookmarkStart w:id="1421" w:name="_Toc22605"/>
      <w:bookmarkStart w:id="1422" w:name="_Toc7931"/>
      <w:r>
        <w:rPr>
          <w:rFonts w:hint="eastAsia" w:ascii="宋体" w:hAnsi="宋体" w:cs="宋体"/>
          <w:color w:val="auto"/>
          <w:highlight w:val="none"/>
        </w:rPr>
        <w:t>14.终止磋商采购活动情形</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3601FFAD">
      <w:pPr>
        <w:spacing w:line="264" w:lineRule="auto"/>
        <w:ind w:firstLine="480"/>
        <w:rPr>
          <w:rFonts w:hint="eastAsia" w:ascii="宋体" w:hAnsi="宋体" w:cs="宋体"/>
          <w:color w:val="auto"/>
          <w:highlight w:val="none"/>
        </w:rPr>
      </w:pPr>
      <w:r>
        <w:rPr>
          <w:rFonts w:hint="eastAsia" w:ascii="宋体" w:hAnsi="宋体" w:cs="宋体"/>
          <w:color w:val="auto"/>
          <w:highlight w:val="none"/>
        </w:rPr>
        <w:t>出现下列情形之一的，采购人或者采购代理机构应当终止竞争性磋商采购活动，发布项目终止公告并说明原因，重新开展采购活动：</w:t>
      </w:r>
    </w:p>
    <w:p w14:paraId="05BA5370">
      <w:pPr>
        <w:spacing w:line="264" w:lineRule="auto"/>
        <w:ind w:firstLine="480"/>
        <w:rPr>
          <w:rFonts w:hint="eastAsia" w:ascii="宋体" w:hAnsi="宋体" w:cs="宋体"/>
          <w:color w:val="auto"/>
          <w:highlight w:val="none"/>
        </w:rPr>
      </w:pPr>
      <w:r>
        <w:rPr>
          <w:rFonts w:hint="eastAsia" w:ascii="宋体" w:hAnsi="宋体" w:cs="宋体"/>
          <w:color w:val="auto"/>
          <w:highlight w:val="none"/>
        </w:rPr>
        <w:t>14.1因情况变化，不再符合规定的竞争性磋商采购方式适用情形的；</w:t>
      </w:r>
    </w:p>
    <w:p w14:paraId="581F9D05">
      <w:pPr>
        <w:spacing w:line="264" w:lineRule="auto"/>
        <w:ind w:firstLine="480"/>
        <w:rPr>
          <w:rFonts w:hint="eastAsia" w:ascii="宋体" w:hAnsi="宋体" w:cs="宋体"/>
          <w:color w:val="auto"/>
          <w:highlight w:val="none"/>
        </w:rPr>
      </w:pPr>
      <w:r>
        <w:rPr>
          <w:rFonts w:hint="eastAsia" w:ascii="宋体" w:hAnsi="宋体" w:cs="宋体"/>
          <w:color w:val="auto"/>
          <w:highlight w:val="none"/>
        </w:rPr>
        <w:t>14.2出现影响采购公正的违法、违规行为的；</w:t>
      </w:r>
    </w:p>
    <w:p w14:paraId="4FD79E89">
      <w:pPr>
        <w:spacing w:line="264" w:lineRule="auto"/>
        <w:ind w:firstLine="480"/>
        <w:rPr>
          <w:rFonts w:hint="eastAsia" w:ascii="宋体" w:hAnsi="宋体" w:cs="宋体"/>
          <w:color w:val="auto"/>
          <w:highlight w:val="none"/>
        </w:rPr>
      </w:pPr>
      <w:r>
        <w:rPr>
          <w:rFonts w:hint="eastAsia" w:ascii="宋体" w:hAnsi="宋体" w:cs="宋体"/>
          <w:color w:val="auto"/>
          <w:highlight w:val="none"/>
        </w:rPr>
        <w:t>14.3提交响应文件截止时间止的供应商不足3家或者对磋商文件作实质性响应的供应商不足3家的；</w:t>
      </w:r>
    </w:p>
    <w:p w14:paraId="1DE9BFD2">
      <w:pPr>
        <w:spacing w:line="264" w:lineRule="auto"/>
        <w:ind w:firstLine="480"/>
        <w:rPr>
          <w:rFonts w:hint="eastAsia" w:ascii="宋体" w:hAnsi="宋体" w:cs="宋体"/>
          <w:color w:val="auto"/>
          <w:highlight w:val="none"/>
        </w:rPr>
      </w:pPr>
      <w:r>
        <w:rPr>
          <w:rFonts w:hint="eastAsia" w:ascii="宋体" w:hAnsi="宋体" w:cs="宋体"/>
          <w:color w:val="auto"/>
          <w:highlight w:val="none"/>
        </w:rPr>
        <w:t>14.4因重大变故，采购任务取消的。</w:t>
      </w:r>
    </w:p>
    <w:p w14:paraId="2B708ACC">
      <w:pPr>
        <w:pStyle w:val="19"/>
        <w:adjustRightInd w:val="0"/>
        <w:snapToGrid w:val="0"/>
        <w:spacing w:line="312" w:lineRule="auto"/>
        <w:ind w:firstLine="480"/>
        <w:rPr>
          <w:rFonts w:hint="eastAsia" w:ascii="华文中宋" w:hAnsi="华文中宋" w:eastAsia="华文中宋" w:cs="华文中宋"/>
          <w:color w:val="auto"/>
          <w:szCs w:val="24"/>
          <w:highlight w:val="none"/>
        </w:rPr>
        <w:sectPr>
          <w:footerReference r:id="rId11" w:type="default"/>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17896DBB">
      <w:pPr>
        <w:pStyle w:val="3"/>
        <w:spacing w:before="240" w:after="240"/>
        <w:rPr>
          <w:rFonts w:hint="eastAsia" w:ascii="宋体" w:hAnsi="宋体" w:cs="宋体"/>
          <w:color w:val="auto"/>
          <w:szCs w:val="32"/>
          <w:highlight w:val="none"/>
        </w:rPr>
      </w:pPr>
      <w:bookmarkStart w:id="1423" w:name="_Toc15825"/>
      <w:bookmarkStart w:id="1424" w:name="_Toc11540"/>
      <w:bookmarkStart w:id="1425" w:name="_Toc32490"/>
      <w:bookmarkStart w:id="1426" w:name="_Toc24952"/>
      <w:bookmarkStart w:id="1427" w:name="_Toc29107"/>
      <w:bookmarkStart w:id="1428" w:name="_Toc13948"/>
      <w:bookmarkStart w:id="1429" w:name="_Toc7563"/>
      <w:bookmarkStart w:id="1430" w:name="_Toc11976"/>
      <w:bookmarkStart w:id="1431" w:name="_Toc8221"/>
      <w:bookmarkStart w:id="1432" w:name="_Toc576"/>
      <w:bookmarkStart w:id="1433" w:name="_Toc19268"/>
      <w:bookmarkStart w:id="1434" w:name="_Toc10740"/>
      <w:bookmarkStart w:id="1435" w:name="_Toc18870"/>
      <w:bookmarkStart w:id="1436" w:name="_Toc12338"/>
      <w:bookmarkStart w:id="1437" w:name="_Toc32471"/>
      <w:bookmarkStart w:id="1438" w:name="_Toc31265"/>
      <w:bookmarkStart w:id="1439" w:name="_Toc4185"/>
      <w:bookmarkStart w:id="1440" w:name="_Toc19304"/>
      <w:bookmarkStart w:id="1441" w:name="_Toc10234"/>
      <w:bookmarkStart w:id="1442" w:name="_Toc6295"/>
      <w:bookmarkStart w:id="1443" w:name="_Toc21758"/>
      <w:bookmarkStart w:id="1444" w:name="_Toc6811"/>
      <w:bookmarkStart w:id="1445" w:name="_Toc3712"/>
      <w:bookmarkStart w:id="1446" w:name="_Toc30553"/>
      <w:bookmarkStart w:id="1447" w:name="_Toc2868"/>
      <w:bookmarkStart w:id="1448" w:name="_Toc2346"/>
      <w:bookmarkStart w:id="1449" w:name="_Toc5962"/>
      <w:bookmarkStart w:id="1450" w:name="_Toc5424"/>
      <w:bookmarkStart w:id="1451" w:name="_Toc10388"/>
      <w:bookmarkStart w:id="1452" w:name="_Toc23764"/>
      <w:bookmarkStart w:id="1453" w:name="_Toc24245"/>
      <w:bookmarkStart w:id="1454" w:name="_Toc6189"/>
      <w:bookmarkStart w:id="1455" w:name="_Toc9609"/>
      <w:bookmarkStart w:id="1456" w:name="_Toc662"/>
      <w:bookmarkStart w:id="1457" w:name="_Toc25656"/>
      <w:bookmarkStart w:id="1458" w:name="_Toc23998"/>
      <w:bookmarkStart w:id="1459" w:name="_Toc32257"/>
      <w:bookmarkStart w:id="1460" w:name="_Toc9989"/>
      <w:bookmarkStart w:id="1461" w:name="_Toc15623"/>
      <w:bookmarkStart w:id="1462" w:name="_Toc12125"/>
      <w:bookmarkStart w:id="1463" w:name="_Toc8595"/>
      <w:bookmarkStart w:id="1464" w:name="_Toc1556"/>
      <w:bookmarkStart w:id="1465" w:name="_Toc10670"/>
      <w:bookmarkStart w:id="1466" w:name="_Toc11107"/>
      <w:bookmarkStart w:id="1467" w:name="_Toc16056"/>
      <w:bookmarkStart w:id="1468" w:name="_Toc28972"/>
      <w:bookmarkStart w:id="1469" w:name="_Toc3375"/>
      <w:bookmarkStart w:id="1470" w:name="_Toc15295"/>
      <w:bookmarkStart w:id="1471" w:name="_Toc7009"/>
      <w:bookmarkStart w:id="1472" w:name="_Toc26456"/>
      <w:r>
        <w:rPr>
          <w:rFonts w:hint="eastAsia" w:ascii="宋体" w:hAnsi="宋体" w:cs="宋体"/>
          <w:color w:val="auto"/>
          <w:highlight w:val="none"/>
        </w:rPr>
        <w:t>第五章 合同主要条款</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0E436C90">
      <w:pPr>
        <w:adjustRightInd w:val="0"/>
        <w:snapToGrid w:val="0"/>
        <w:spacing w:line="312" w:lineRule="auto"/>
        <w:ind w:firstLine="482"/>
        <w:rPr>
          <w:rFonts w:hint="eastAsia" w:ascii="宋体" w:hAnsi="宋体"/>
          <w:color w:val="auto"/>
          <w:szCs w:val="21"/>
          <w:highlight w:val="none"/>
        </w:rPr>
      </w:pPr>
      <w:bookmarkStart w:id="1473" w:name="_Toc18413"/>
      <w:bookmarkStart w:id="1474" w:name="_Toc16820"/>
      <w:bookmarkStart w:id="1475" w:name="_Toc8780"/>
      <w:bookmarkStart w:id="1476" w:name="_Toc17042"/>
      <w:bookmarkStart w:id="1477" w:name="_Toc14754"/>
      <w:bookmarkStart w:id="1478" w:name="_Toc1337"/>
      <w:bookmarkStart w:id="1479" w:name="_Toc14015"/>
      <w:bookmarkStart w:id="1480" w:name="_Toc15868"/>
      <w:bookmarkStart w:id="1481" w:name="_Toc31288"/>
      <w:bookmarkStart w:id="1482" w:name="_Toc9614"/>
      <w:bookmarkStart w:id="1483" w:name="_Toc2721"/>
      <w:bookmarkStart w:id="1484" w:name="_Toc9889"/>
      <w:bookmarkStart w:id="1485" w:name="_Toc474"/>
      <w:bookmarkStart w:id="1486" w:name="_Toc25925"/>
      <w:bookmarkStart w:id="1487" w:name="_Toc10313"/>
      <w:bookmarkStart w:id="1488" w:name="_Toc8556"/>
      <w:bookmarkStart w:id="1489" w:name="_Toc3492"/>
      <w:bookmarkStart w:id="1490" w:name="_Toc1096"/>
      <w:bookmarkStart w:id="1491" w:name="_Toc12479"/>
      <w:bookmarkStart w:id="1492" w:name="_Toc26261"/>
      <w:bookmarkStart w:id="1493" w:name="_Toc12556"/>
      <w:bookmarkStart w:id="1494" w:name="_Toc32570"/>
      <w:bookmarkStart w:id="1495" w:name="_Toc12740"/>
      <w:bookmarkStart w:id="1496" w:name="_Toc8258"/>
      <w:bookmarkStart w:id="1497" w:name="_Toc10012"/>
      <w:bookmarkStart w:id="1498" w:name="_Toc17421"/>
      <w:r>
        <w:rPr>
          <w:rFonts w:hint="eastAsia" w:ascii="宋体" w:hAnsi="宋体"/>
          <w:b/>
          <w:color w:val="auto"/>
          <w:szCs w:val="21"/>
          <w:highlight w:val="none"/>
        </w:rPr>
        <w:t>本合同签订后须上网公示。甲乙双方按以下要求签订，如响应文件有更优条款则按更优条款执行。</w:t>
      </w:r>
    </w:p>
    <w:p w14:paraId="4BA88AAE">
      <w:pPr>
        <w:pStyle w:val="19"/>
        <w:snapToGrid w:val="0"/>
        <w:spacing w:line="440" w:lineRule="atLeast"/>
        <w:ind w:firstLine="480"/>
        <w:rPr>
          <w:rFonts w:hint="eastAsia" w:hAnsi="宋体" w:cs="宋体"/>
          <w:color w:val="auto"/>
          <w:szCs w:val="24"/>
          <w:highlight w:val="none"/>
        </w:rPr>
      </w:pPr>
      <w:bookmarkStart w:id="1499" w:name="_Toc10924"/>
      <w:bookmarkStart w:id="1500" w:name="_Toc18154"/>
      <w:bookmarkStart w:id="1501" w:name="_Toc30267"/>
      <w:r>
        <w:rPr>
          <w:rFonts w:hint="eastAsia" w:hAnsi="宋体" w:cs="宋体"/>
          <w:color w:val="auto"/>
          <w:szCs w:val="24"/>
          <w:highlight w:val="none"/>
        </w:rPr>
        <w:t>项目名称：</w:t>
      </w:r>
      <w:r>
        <w:rPr>
          <w:rFonts w:hint="eastAsia" w:hAnsi="宋体" w:cs="宋体"/>
          <w:color w:val="auto"/>
          <w:szCs w:val="24"/>
          <w:highlight w:val="none"/>
          <w:u w:val="single"/>
        </w:rPr>
        <w:t xml:space="preserve">                               </w:t>
      </w:r>
    </w:p>
    <w:p w14:paraId="1BDD2229">
      <w:pPr>
        <w:pStyle w:val="19"/>
        <w:snapToGrid w:val="0"/>
        <w:spacing w:line="440" w:lineRule="atLeast"/>
        <w:ind w:firstLine="480"/>
        <w:rPr>
          <w:rFonts w:hint="eastAsia" w:hAnsi="宋体" w:cs="宋体"/>
          <w:color w:val="auto"/>
          <w:szCs w:val="24"/>
          <w:highlight w:val="none"/>
        </w:rPr>
      </w:pPr>
      <w:r>
        <w:rPr>
          <w:rFonts w:hint="eastAsia" w:hAnsi="宋体" w:cs="宋体"/>
          <w:color w:val="auto"/>
          <w:szCs w:val="24"/>
          <w:highlight w:val="none"/>
        </w:rPr>
        <w:t>项目编号：</w:t>
      </w:r>
      <w:r>
        <w:rPr>
          <w:rFonts w:hint="eastAsia" w:hAnsi="宋体" w:cs="宋体"/>
          <w:color w:val="auto"/>
          <w:szCs w:val="24"/>
          <w:highlight w:val="none"/>
          <w:u w:val="single"/>
        </w:rPr>
        <w:t xml:space="preserve">                               </w:t>
      </w:r>
    </w:p>
    <w:p w14:paraId="0D74366B">
      <w:pPr>
        <w:spacing w:line="440" w:lineRule="atLeast"/>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（以下简称甲方）</w:t>
      </w:r>
    </w:p>
    <w:p w14:paraId="3E587133">
      <w:pPr>
        <w:spacing w:line="440" w:lineRule="atLeast"/>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（以下简称乙方）</w:t>
      </w:r>
    </w:p>
    <w:p w14:paraId="61FB928F">
      <w:pPr>
        <w:pStyle w:val="19"/>
        <w:snapToGrid w:val="0"/>
        <w:spacing w:line="440" w:lineRule="atLeast"/>
        <w:ind w:firstLine="482"/>
        <w:rPr>
          <w:rFonts w:hint="eastAsia" w:hAnsi="宋体" w:cs="宋体"/>
          <w:b/>
          <w:bCs/>
          <w:color w:val="auto"/>
          <w:szCs w:val="24"/>
          <w:highlight w:val="none"/>
        </w:rPr>
      </w:pPr>
      <w:r>
        <w:rPr>
          <w:rFonts w:hint="eastAsia" w:hAnsi="宋体" w:cs="宋体"/>
          <w:b/>
          <w:bCs/>
          <w:color w:val="auto"/>
          <w:szCs w:val="24"/>
          <w:highlight w:val="none"/>
        </w:rPr>
        <w:t>一、总则</w:t>
      </w:r>
    </w:p>
    <w:p w14:paraId="0B325A69">
      <w:pPr>
        <w:tabs>
          <w:tab w:val="left" w:pos="0"/>
        </w:tabs>
        <w:spacing w:line="440" w:lineRule="atLeast"/>
        <w:ind w:firstLine="480"/>
        <w:rPr>
          <w:rFonts w:hint="eastAsia" w:ascii="宋体" w:hAnsi="宋体" w:cs="宋体"/>
          <w:color w:val="auto"/>
          <w:highlight w:val="none"/>
        </w:rPr>
      </w:pPr>
      <w:r>
        <w:rPr>
          <w:rFonts w:hint="eastAsia" w:ascii="宋体" w:hAnsi="宋体" w:cs="宋体"/>
          <w:color w:val="auto"/>
          <w:highlight w:val="none"/>
        </w:rPr>
        <w:t>1.合同基本条款是指采购人（以下简称甲方）和成交供应商（以下简称乙方）应共同遵守的基本原则，并作为双方签约的依据。对于合同的其他条款，双方应本着互谅互让的精神协商解决。</w:t>
      </w:r>
    </w:p>
    <w:p w14:paraId="25C3152F">
      <w:pPr>
        <w:tabs>
          <w:tab w:val="left" w:pos="0"/>
        </w:tabs>
        <w:spacing w:line="440" w:lineRule="atLeast"/>
        <w:ind w:firstLine="480"/>
        <w:rPr>
          <w:rFonts w:hint="eastAsia" w:ascii="宋体" w:hAnsi="宋体" w:cs="宋体"/>
          <w:color w:val="auto"/>
          <w:highlight w:val="none"/>
        </w:rPr>
      </w:pPr>
      <w:r>
        <w:rPr>
          <w:rFonts w:hint="eastAsia" w:ascii="宋体" w:hAnsi="宋体" w:cs="宋体"/>
          <w:color w:val="auto"/>
          <w:highlight w:val="none"/>
        </w:rPr>
        <w:t>2.制定“合同主要条款”的依据是《</w:t>
      </w:r>
      <w:r>
        <w:rPr>
          <w:rFonts w:hint="eastAsia" w:ascii="宋体" w:hAnsi="宋体" w:cs="宋体"/>
          <w:color w:val="auto"/>
          <w:highlight w:val="none"/>
          <w:lang w:eastAsia="zh-CN"/>
        </w:rPr>
        <w:t>中华人民共和国</w:t>
      </w:r>
      <w:bookmarkStart w:id="1709" w:name="_GoBack"/>
      <w:bookmarkEnd w:id="1709"/>
      <w:r>
        <w:rPr>
          <w:rFonts w:hint="eastAsia" w:ascii="宋体" w:hAnsi="宋体" w:cs="宋体"/>
          <w:color w:val="auto"/>
          <w:highlight w:val="none"/>
          <w:lang w:eastAsia="zh-CN"/>
        </w:rPr>
        <w:t>民法典</w:t>
      </w:r>
      <w:r>
        <w:rPr>
          <w:rFonts w:hint="eastAsia" w:ascii="宋体" w:hAnsi="宋体" w:cs="宋体"/>
          <w:color w:val="auto"/>
          <w:highlight w:val="none"/>
        </w:rPr>
        <w:t>》及其他有关法律、法规的规定。</w:t>
      </w:r>
    </w:p>
    <w:p w14:paraId="481077E7">
      <w:pPr>
        <w:pStyle w:val="9"/>
        <w:spacing w:line="440" w:lineRule="atLeast"/>
        <w:ind w:firstLine="482"/>
        <w:rPr>
          <w:rFonts w:hint="eastAsia" w:ascii="宋体" w:hAnsi="宋体" w:cs="宋体"/>
          <w:b/>
          <w:bCs/>
          <w:color w:val="auto"/>
          <w:highlight w:val="none"/>
        </w:rPr>
      </w:pPr>
      <w:r>
        <w:rPr>
          <w:rFonts w:hint="eastAsia" w:ascii="宋体" w:hAnsi="宋体" w:cs="宋体"/>
          <w:b/>
          <w:bCs/>
          <w:color w:val="auto"/>
          <w:highlight w:val="none"/>
        </w:rPr>
        <w:t>二、工作内容</w:t>
      </w:r>
    </w:p>
    <w:p w14:paraId="3AD4ABDD">
      <w:pPr>
        <w:tabs>
          <w:tab w:val="left" w:pos="0"/>
        </w:tabs>
        <w:spacing w:line="440" w:lineRule="atLeast"/>
        <w:ind w:firstLine="480"/>
        <w:rPr>
          <w:rFonts w:hint="eastAsia" w:ascii="宋体" w:hAnsi="宋体" w:cs="宋体"/>
          <w:color w:val="auto"/>
          <w:highlight w:val="none"/>
        </w:rPr>
      </w:pPr>
      <w:r>
        <w:rPr>
          <w:rFonts w:hint="eastAsia" w:ascii="宋体" w:hAnsi="宋体" w:cs="宋体"/>
          <w:color w:val="auto"/>
          <w:highlight w:val="none"/>
        </w:rPr>
        <w:t>按照林草湿年度调查监测要求，以2024年度国土变更调查和最新林草湿普查成果为工作底图，对森林、草地、湿地图斑年度变化及国土调查范围内全口径植被覆盖进行更新，完成主要测算因子和蓄积量、生物量、碳储量等属性因子的更新，产出林草湿年度调查监测成果。同时根据龙游县林地资源现状，结合城镇化建设用地需求，深挖后备林地资源，开展全县补充林地规划工作，确保林地保有量不减少，生态功能持续稳步提升。</w:t>
      </w:r>
    </w:p>
    <w:p w14:paraId="0BD21A0D">
      <w:pPr>
        <w:pStyle w:val="9"/>
        <w:spacing w:line="440" w:lineRule="atLeast"/>
        <w:ind w:firstLine="482"/>
        <w:rPr>
          <w:rFonts w:hint="eastAsia" w:ascii="宋体" w:hAnsi="宋体" w:cs="宋体"/>
          <w:b/>
          <w:bCs/>
          <w:color w:val="auto"/>
          <w:highlight w:val="none"/>
        </w:rPr>
      </w:pPr>
      <w:r>
        <w:rPr>
          <w:rFonts w:hint="eastAsia" w:ascii="宋体" w:hAnsi="宋体" w:cs="宋体"/>
          <w:b/>
          <w:bCs/>
          <w:color w:val="auto"/>
          <w:highlight w:val="none"/>
        </w:rPr>
        <w:t>三、</w:t>
      </w:r>
      <w:r>
        <w:rPr>
          <w:rFonts w:hint="eastAsia" w:ascii="宋体" w:hAnsi="宋体" w:cs="宋体"/>
          <w:b/>
          <w:bCs/>
          <w:color w:val="auto"/>
          <w:highlight w:val="none"/>
          <w:lang w:val="zh-CN"/>
        </w:rPr>
        <w:t>项目依据及技术标准</w:t>
      </w:r>
    </w:p>
    <w:p w14:paraId="163E1342">
      <w:pPr>
        <w:tabs>
          <w:tab w:val="left" w:pos="0"/>
        </w:tabs>
        <w:spacing w:line="440" w:lineRule="atLeast"/>
        <w:ind w:firstLine="480"/>
        <w:rPr>
          <w:rFonts w:hint="eastAsia" w:ascii="宋体" w:hAnsi="宋体" w:cs="宋体"/>
          <w:color w:val="auto"/>
          <w:highlight w:val="none"/>
        </w:rPr>
      </w:pPr>
      <w:r>
        <w:rPr>
          <w:rFonts w:hint="eastAsia" w:ascii="宋体" w:hAnsi="宋体" w:cs="宋体"/>
          <w:color w:val="auto"/>
          <w:highlight w:val="none"/>
        </w:rPr>
        <w:t>1.《浙江省林业局关于实施林地占补平衡管理的通知》（浙林资〔2021〕34号）；</w:t>
      </w:r>
    </w:p>
    <w:p w14:paraId="667576BC">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2.《自然资源部 国家林业和草原局关于共同做好森林、草原、湿地调查监测工作的意见》（自然资发〔2022〕5号）；</w:t>
      </w:r>
    </w:p>
    <w:p w14:paraId="4358E722">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3.《中共浙江省委办公厅 浙江省人民政府办公厅&lt;关于全面推行林长制的实施意见&gt;的通知》(厅字〔2021〕16号）；</w:t>
      </w:r>
    </w:p>
    <w:p w14:paraId="44A7DF37">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4.《自然资源部 国家林业和草原局关于开展2023年全国森林、草原、湿地调查监测工作的通知》（自然资发〔2023〕78号）；</w:t>
      </w:r>
    </w:p>
    <w:p w14:paraId="772B0EFA">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5.《浙江省人民政府办公厅关于公布省级以上公益林建设规模和天然商品林停伐管护规模的通知》（浙政办发〔2023〕43号）；</w:t>
      </w:r>
    </w:p>
    <w:p w14:paraId="49EA9065">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6.《自然资源部 国家林业和草原局关于以第三次全国国土调查成果为基础明确林地管理边界规范林地管理的通知》（自然资发〔2023〕53号）；</w:t>
      </w:r>
    </w:p>
    <w:p w14:paraId="46B24B08">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7.</w:t>
      </w:r>
      <w:r>
        <w:rPr>
          <w:rFonts w:hint="eastAsia" w:ascii="宋体" w:hAnsi="宋体" w:cs="宋体"/>
          <w:color w:val="auto"/>
          <w:highlight w:val="none"/>
        </w:rPr>
        <w:t>《浙江省林业厅 浙江省林业局关于开展全省森林草地湿地普查工作的通知》（浙自然资发〔2024〕4号）。</w:t>
      </w:r>
    </w:p>
    <w:p w14:paraId="40F551AA">
      <w:pPr>
        <w:pStyle w:val="9"/>
        <w:widowControl/>
        <w:spacing w:line="440" w:lineRule="atLeast"/>
        <w:ind w:firstLine="482"/>
        <w:rPr>
          <w:rFonts w:hint="eastAsia" w:ascii="宋体" w:hAnsi="宋体" w:cs="宋体"/>
          <w:b/>
          <w:bCs/>
          <w:color w:val="auto"/>
          <w:highlight w:val="none"/>
        </w:rPr>
      </w:pPr>
      <w:r>
        <w:rPr>
          <w:rFonts w:hint="eastAsia" w:ascii="宋体" w:hAnsi="宋体" w:cs="宋体"/>
          <w:b/>
          <w:bCs/>
          <w:color w:val="auto"/>
          <w:highlight w:val="none"/>
        </w:rPr>
        <w:t>四、服务期限</w:t>
      </w:r>
    </w:p>
    <w:p w14:paraId="1E4AC5D8">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根据浙江省林业局要求的时间，完成龙游县林草湿年度调查监测及补充林地规划工作。</w:t>
      </w:r>
    </w:p>
    <w:p w14:paraId="3594B634">
      <w:pPr>
        <w:pStyle w:val="9"/>
        <w:widowControl/>
        <w:spacing w:line="440" w:lineRule="atLeast"/>
        <w:ind w:firstLine="482"/>
        <w:rPr>
          <w:rFonts w:hint="eastAsia" w:ascii="宋体" w:hAnsi="宋体" w:cs="宋体"/>
          <w:b/>
          <w:bCs/>
          <w:color w:val="auto"/>
          <w:highlight w:val="none"/>
          <w:lang w:val="zh-CN"/>
        </w:rPr>
      </w:pPr>
      <w:r>
        <w:rPr>
          <w:rFonts w:hint="eastAsia" w:ascii="宋体" w:hAnsi="宋体" w:cs="宋体"/>
          <w:b/>
          <w:bCs/>
          <w:color w:val="auto"/>
          <w:highlight w:val="none"/>
        </w:rPr>
        <w:t>五</w:t>
      </w:r>
      <w:r>
        <w:rPr>
          <w:rFonts w:hint="eastAsia" w:ascii="宋体" w:hAnsi="宋体" w:cs="宋体"/>
          <w:b/>
          <w:bCs/>
          <w:color w:val="auto"/>
          <w:highlight w:val="none"/>
          <w:lang w:val="zh-CN"/>
        </w:rPr>
        <w:t>、成果要求</w:t>
      </w:r>
    </w:p>
    <w:p w14:paraId="251EAE5A">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（一）数据库成果</w:t>
      </w:r>
    </w:p>
    <w:p w14:paraId="251374C9">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以全县为单位，产出林草湿资源成果数据库，提交格式为shp或gdb。</w:t>
      </w:r>
    </w:p>
    <w:p w14:paraId="7673FE6F">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（二）补充林地规划文本</w:t>
      </w:r>
    </w:p>
    <w:p w14:paraId="5AF4EA19">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lang w:val="zh-CN"/>
        </w:rPr>
        <w:t>以全县为单位，编制龙游县补充林地规划文本，提交格式为pdf或doc。</w:t>
      </w:r>
    </w:p>
    <w:p w14:paraId="00C5B201">
      <w:pPr>
        <w:pStyle w:val="9"/>
        <w:widowControl/>
        <w:spacing w:line="440" w:lineRule="atLeast"/>
        <w:ind w:firstLine="482"/>
        <w:rPr>
          <w:rFonts w:hint="eastAsia" w:ascii="宋体" w:hAnsi="宋体" w:cs="宋体"/>
          <w:b/>
          <w:bCs/>
          <w:color w:val="auto"/>
          <w:highlight w:val="none"/>
        </w:rPr>
      </w:pPr>
      <w:r>
        <w:rPr>
          <w:rFonts w:hint="eastAsia" w:ascii="宋体" w:hAnsi="宋体" w:cs="宋体"/>
          <w:b/>
          <w:bCs/>
          <w:color w:val="auto"/>
          <w:highlight w:val="none"/>
        </w:rPr>
        <w:t>六、质量保证及售后要求</w:t>
      </w:r>
    </w:p>
    <w:p w14:paraId="3B4A7993">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1、符合相关技术规程、规定、办法等要求。 </w:t>
      </w:r>
    </w:p>
    <w:p w14:paraId="3326D27F">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2、成果材料必须齐全，图文清楚，图面清晰。 </w:t>
      </w:r>
    </w:p>
    <w:p w14:paraId="73662C1F">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3、实施过程中，乙方有义务提供技术顾问和技术服务。 </w:t>
      </w:r>
    </w:p>
    <w:p w14:paraId="31B7A73C">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4、成果验收依国家有关政策法规、标准和项目合同的要求，通过省级质量核查。 </w:t>
      </w:r>
    </w:p>
    <w:p w14:paraId="6D9779F1">
      <w:pPr>
        <w:tabs>
          <w:tab w:val="left" w:pos="0"/>
        </w:tabs>
        <w:spacing w:line="440" w:lineRule="atLeast"/>
        <w:ind w:firstLine="480"/>
        <w:rPr>
          <w:rFonts w:hint="eastAsia" w:ascii="宋体" w:hAnsi="宋体" w:cs="宋体"/>
          <w:color w:val="auto"/>
          <w:highlight w:val="none"/>
        </w:rPr>
      </w:pPr>
      <w:r>
        <w:rPr>
          <w:rFonts w:hint="eastAsia" w:ascii="宋体" w:hAnsi="宋体" w:cs="宋体"/>
          <w:color w:val="auto"/>
          <w:highlight w:val="none"/>
        </w:rPr>
        <w:t>5、在项目工作完成后，根据甲方及浙江省林业局相关要求，乙方免费完善项目成果报告。</w:t>
      </w:r>
    </w:p>
    <w:p w14:paraId="672E07E3">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6、其他要求 </w:t>
      </w:r>
    </w:p>
    <w:p w14:paraId="6BF17AAF">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1)乙方在履行合同义务期间，应遵守国家有关法律、法规、维护委托单位的合法权益。 </w:t>
      </w:r>
    </w:p>
    <w:p w14:paraId="29FC8902">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2)乙方负有保密责任，与甲方签订保密协议。未经甲方同意，关于本项目的任何情况均不得私自对外发布或散播，否则，自行承担所有责任。 </w:t>
      </w:r>
    </w:p>
    <w:p w14:paraId="5820C7E6">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 xml:space="preserve">3)编制署名权归乙方所有，版权归甲方所有，甲方有权在编制方案审定后公开展示编制成果，并通过传播、媒介、专业杂志、书刊及其他形式介绍、展示、评价编制成果。 </w:t>
      </w:r>
    </w:p>
    <w:p w14:paraId="7CA1A8E7">
      <w:pPr>
        <w:tabs>
          <w:tab w:val="left" w:pos="0"/>
        </w:tabs>
        <w:spacing w:line="440" w:lineRule="atLeast"/>
        <w:ind w:firstLine="480"/>
        <w:rPr>
          <w:rFonts w:hint="eastAsia" w:ascii="宋体" w:hAnsi="宋体" w:cs="宋体"/>
          <w:color w:val="auto"/>
          <w:highlight w:val="none"/>
          <w:lang w:val="zh-CN"/>
        </w:rPr>
      </w:pPr>
      <w:r>
        <w:rPr>
          <w:rFonts w:hint="eastAsia" w:ascii="宋体" w:hAnsi="宋体" w:cs="宋体"/>
          <w:color w:val="auto"/>
          <w:highlight w:val="none"/>
        </w:rPr>
        <w:t>4)乙方必须按规定程序和安全文明服务有关要求进行实施，承担服务过程中的各种意外，其责任由乙方承担，甲方不承担任何责任。</w:t>
      </w:r>
    </w:p>
    <w:p w14:paraId="60D9AAC4">
      <w:pPr>
        <w:pStyle w:val="9"/>
        <w:widowControl/>
        <w:spacing w:line="440" w:lineRule="atLeast"/>
        <w:ind w:firstLine="482"/>
        <w:rPr>
          <w:rFonts w:hint="eastAsia" w:ascii="宋体" w:hAnsi="宋体" w:cs="宋体"/>
          <w:b/>
          <w:bCs/>
          <w:color w:val="auto"/>
          <w:highlight w:val="none"/>
        </w:rPr>
      </w:pPr>
      <w:r>
        <w:rPr>
          <w:rFonts w:hint="eastAsia" w:ascii="宋体" w:hAnsi="宋体" w:cs="宋体"/>
          <w:b/>
          <w:bCs/>
          <w:color w:val="auto"/>
          <w:highlight w:val="none"/>
        </w:rPr>
        <w:t>七、合同价款及付款方式</w:t>
      </w:r>
    </w:p>
    <w:p w14:paraId="1978FCFE">
      <w:pPr>
        <w:spacing w:line="440" w:lineRule="atLeast"/>
        <w:ind w:firstLine="480"/>
        <w:rPr>
          <w:rFonts w:hint="eastAsia"/>
          <w:color w:val="auto"/>
          <w:highlight w:val="none"/>
        </w:rPr>
      </w:pPr>
      <w:r>
        <w:rPr>
          <w:rFonts w:hint="eastAsia"/>
          <w:color w:val="auto"/>
          <w:highlight w:val="none"/>
        </w:rPr>
        <w:t>1.合同价款为：          元。</w:t>
      </w:r>
    </w:p>
    <w:p w14:paraId="7DCA1788">
      <w:pPr>
        <w:spacing w:line="440" w:lineRule="atLeast"/>
        <w:ind w:firstLine="480"/>
        <w:rPr>
          <w:rFonts w:hint="eastAsia"/>
          <w:color w:val="auto"/>
          <w:highlight w:val="none"/>
        </w:rPr>
      </w:pPr>
      <w:r>
        <w:rPr>
          <w:rFonts w:hint="eastAsia"/>
          <w:color w:val="auto"/>
          <w:highlight w:val="none"/>
        </w:rPr>
        <w:t>2.付款方式：</w:t>
      </w:r>
      <w:r>
        <w:rPr>
          <w:rFonts w:hint="eastAsia"/>
          <w:color w:val="auto"/>
          <w:highlight w:val="none"/>
          <w:lang w:val="zh-CN"/>
        </w:rPr>
        <w:t>合同签订后，支付合同金额的40%；提交林草湿资源</w:t>
      </w:r>
      <w:r>
        <w:rPr>
          <w:rFonts w:hint="eastAsia"/>
          <w:color w:val="auto"/>
          <w:highlight w:val="none"/>
        </w:rPr>
        <w:t>调查监测</w:t>
      </w:r>
      <w:r>
        <w:rPr>
          <w:rFonts w:hint="eastAsia"/>
          <w:color w:val="auto"/>
          <w:highlight w:val="none"/>
          <w:lang w:val="zh-CN"/>
        </w:rPr>
        <w:t>成果以及经专家评审后的</w:t>
      </w:r>
      <w:r>
        <w:rPr>
          <w:rFonts w:hint="eastAsia"/>
          <w:color w:val="auto"/>
          <w:highlight w:val="none"/>
        </w:rPr>
        <w:t>补充林地规划本文</w:t>
      </w:r>
      <w:r>
        <w:rPr>
          <w:rFonts w:hint="eastAsia"/>
          <w:color w:val="auto"/>
          <w:highlight w:val="none"/>
          <w:lang w:val="zh-CN"/>
        </w:rPr>
        <w:t>后，支付合同余款。</w:t>
      </w:r>
    </w:p>
    <w:p w14:paraId="5E8488AB">
      <w:pPr>
        <w:spacing w:line="440" w:lineRule="atLeast"/>
        <w:ind w:firstLine="482"/>
        <w:rPr>
          <w:b/>
          <w:bCs/>
          <w:color w:val="auto"/>
          <w:highlight w:val="none"/>
        </w:rPr>
      </w:pPr>
      <w:r>
        <w:rPr>
          <w:rFonts w:hint="eastAsia"/>
          <w:b/>
          <w:bCs/>
          <w:color w:val="auto"/>
          <w:highlight w:val="none"/>
        </w:rPr>
        <w:t>八、税费</w:t>
      </w:r>
    </w:p>
    <w:p w14:paraId="1D7BE017">
      <w:pPr>
        <w:spacing w:line="440" w:lineRule="atLeast"/>
        <w:ind w:firstLine="480"/>
        <w:rPr>
          <w:color w:val="auto"/>
          <w:highlight w:val="none"/>
        </w:rPr>
      </w:pPr>
      <w:r>
        <w:rPr>
          <w:rFonts w:hint="eastAsia"/>
          <w:color w:val="auto"/>
          <w:highlight w:val="none"/>
        </w:rPr>
        <w:t>本合同执行中相关的一切税费均由乙方负担。</w:t>
      </w:r>
    </w:p>
    <w:p w14:paraId="34508F46">
      <w:pPr>
        <w:spacing w:line="440" w:lineRule="atLeast"/>
        <w:ind w:firstLine="482"/>
        <w:rPr>
          <w:b/>
          <w:bCs/>
          <w:color w:val="auto"/>
          <w:highlight w:val="none"/>
        </w:rPr>
      </w:pPr>
      <w:r>
        <w:rPr>
          <w:rFonts w:hint="eastAsia"/>
          <w:b/>
          <w:bCs/>
          <w:color w:val="auto"/>
          <w:highlight w:val="none"/>
        </w:rPr>
        <w:t>九、项目负责人：</w:t>
      </w:r>
    </w:p>
    <w:p w14:paraId="11953DC2">
      <w:pPr>
        <w:pStyle w:val="2"/>
        <w:ind w:firstLine="480"/>
        <w:rPr>
          <w:bCs w:val="0"/>
          <w:color w:val="auto"/>
          <w:highlight w:val="none"/>
          <w:u w:val="single"/>
        </w:rPr>
      </w:pPr>
      <w:r>
        <w:rPr>
          <w:rFonts w:hint="eastAsia"/>
          <w:bCs w:val="0"/>
          <w:color w:val="auto"/>
          <w:highlight w:val="none"/>
        </w:rPr>
        <w:t>甲方联系人：</w:t>
      </w:r>
      <w:r>
        <w:rPr>
          <w:rFonts w:hint="eastAsia"/>
          <w:bCs w:val="0"/>
          <w:color w:val="auto"/>
          <w:highlight w:val="none"/>
          <w:u w:val="single"/>
        </w:rPr>
        <w:t xml:space="preserve">                </w:t>
      </w:r>
      <w:r>
        <w:rPr>
          <w:rFonts w:hint="eastAsia"/>
          <w:bCs w:val="0"/>
          <w:color w:val="auto"/>
          <w:highlight w:val="none"/>
        </w:rPr>
        <w:t>；联系电话：</w:t>
      </w:r>
      <w:r>
        <w:rPr>
          <w:rFonts w:hint="eastAsia"/>
          <w:bCs w:val="0"/>
          <w:color w:val="auto"/>
          <w:highlight w:val="none"/>
          <w:u w:val="single"/>
        </w:rPr>
        <w:t xml:space="preserve">                  </w:t>
      </w:r>
    </w:p>
    <w:p w14:paraId="256F0056">
      <w:pPr>
        <w:pStyle w:val="2"/>
        <w:ind w:firstLine="480"/>
        <w:rPr>
          <w:bCs w:val="0"/>
          <w:color w:val="auto"/>
          <w:highlight w:val="none"/>
          <w:u w:val="single"/>
        </w:rPr>
      </w:pPr>
      <w:r>
        <w:rPr>
          <w:rFonts w:hint="eastAsia"/>
          <w:bCs w:val="0"/>
          <w:color w:val="auto"/>
          <w:highlight w:val="none"/>
        </w:rPr>
        <w:t>乙方联系人：</w:t>
      </w:r>
      <w:r>
        <w:rPr>
          <w:rFonts w:hint="eastAsia"/>
          <w:bCs w:val="0"/>
          <w:color w:val="auto"/>
          <w:highlight w:val="none"/>
          <w:u w:val="single"/>
        </w:rPr>
        <w:t xml:space="preserve">                </w:t>
      </w:r>
      <w:r>
        <w:rPr>
          <w:rFonts w:hint="eastAsia"/>
          <w:bCs w:val="0"/>
          <w:color w:val="auto"/>
          <w:highlight w:val="none"/>
        </w:rPr>
        <w:t>；联系电话：</w:t>
      </w:r>
      <w:r>
        <w:rPr>
          <w:rFonts w:hint="eastAsia"/>
          <w:bCs w:val="0"/>
          <w:color w:val="auto"/>
          <w:highlight w:val="none"/>
          <w:u w:val="single"/>
        </w:rPr>
        <w:t xml:space="preserve">                  </w:t>
      </w:r>
    </w:p>
    <w:p w14:paraId="2E6CBA4F">
      <w:pPr>
        <w:spacing w:line="440" w:lineRule="atLeast"/>
        <w:ind w:firstLine="482"/>
        <w:rPr>
          <w:b/>
          <w:bCs/>
          <w:color w:val="auto"/>
          <w:highlight w:val="none"/>
        </w:rPr>
      </w:pPr>
      <w:r>
        <w:rPr>
          <w:rFonts w:hint="eastAsia"/>
          <w:b/>
          <w:bCs/>
          <w:color w:val="auto"/>
          <w:highlight w:val="none"/>
        </w:rPr>
        <w:t>十、知识产权</w:t>
      </w:r>
    </w:p>
    <w:p w14:paraId="1C344517">
      <w:pPr>
        <w:spacing w:line="440" w:lineRule="atLeast"/>
        <w:ind w:firstLine="480"/>
        <w:jc w:val="left"/>
        <w:rPr>
          <w:b/>
          <w:bCs/>
          <w:color w:val="auto"/>
          <w:highlight w:val="none"/>
        </w:rPr>
      </w:pPr>
      <w:r>
        <w:rPr>
          <w:rFonts w:hint="eastAsia" w:ascii="宋体" w:hAnsi="宋体" w:cs="宋体"/>
          <w:color w:val="auto"/>
          <w:highlight w:val="none"/>
        </w:rPr>
        <w:t>乙方应保证提供服务过程中不会侵犯任何第三方的知识产权。如甲方因使用项目或乙方提供服务而遭受任何第三方主张权利的，乙方应负责解决由此引起的一切纠纷并承担一切费用，如造成甲方损失的，甲方有权拒付任何款项，乙方应按合同总价一倍的标准向甲方支付违约金，如甲方另有损失的，乙方应全额赔偿。</w:t>
      </w:r>
    </w:p>
    <w:p w14:paraId="1C4B3569">
      <w:pPr>
        <w:spacing w:line="440" w:lineRule="atLeast"/>
        <w:ind w:firstLine="482"/>
        <w:rPr>
          <w:b/>
          <w:bCs/>
          <w:color w:val="auto"/>
          <w:highlight w:val="none"/>
        </w:rPr>
      </w:pPr>
      <w:r>
        <w:rPr>
          <w:rFonts w:hint="eastAsia"/>
          <w:b/>
          <w:bCs/>
          <w:color w:val="auto"/>
          <w:highlight w:val="none"/>
        </w:rPr>
        <w:t>十一、技术资料</w:t>
      </w:r>
    </w:p>
    <w:p w14:paraId="0C4CBD83">
      <w:pPr>
        <w:spacing w:line="440" w:lineRule="atLeast"/>
        <w:ind w:firstLine="480"/>
        <w:rPr>
          <w:color w:val="auto"/>
          <w:highlight w:val="none"/>
        </w:rPr>
      </w:pPr>
      <w:r>
        <w:rPr>
          <w:rFonts w:hint="eastAsia"/>
          <w:color w:val="auto"/>
          <w:highlight w:val="none"/>
        </w:rPr>
        <w:t xml:space="preserve">1.乙方应按招标文件规定的时间向甲方提供有关技术资料。 </w:t>
      </w:r>
    </w:p>
    <w:p w14:paraId="770EFF30">
      <w:pPr>
        <w:spacing w:line="440" w:lineRule="atLeast"/>
        <w:ind w:firstLine="480"/>
        <w:rPr>
          <w:color w:val="auto"/>
          <w:highlight w:val="none"/>
        </w:rPr>
      </w:pPr>
      <w:r>
        <w:rPr>
          <w:rFonts w:hint="eastAsia"/>
          <w:color w:val="auto"/>
          <w:highlight w:val="none"/>
        </w:rPr>
        <w:t>2.双方对工作涉及内容均有保密的义务，未经双方书面同意，任何一方不得泄露相关技术资料，不论以何种形式或载于何种载体给第三方。</w:t>
      </w:r>
    </w:p>
    <w:p w14:paraId="1560C1E9">
      <w:pPr>
        <w:spacing w:line="440" w:lineRule="atLeast"/>
        <w:ind w:firstLine="482"/>
        <w:rPr>
          <w:b/>
          <w:bCs/>
          <w:color w:val="auto"/>
          <w:highlight w:val="none"/>
        </w:rPr>
      </w:pPr>
      <w:r>
        <w:rPr>
          <w:rFonts w:hint="eastAsia"/>
          <w:b/>
          <w:bCs/>
          <w:color w:val="auto"/>
          <w:highlight w:val="none"/>
        </w:rPr>
        <w:t>十二、分包及转包</w:t>
      </w:r>
    </w:p>
    <w:p w14:paraId="3BFBC9A8">
      <w:pPr>
        <w:spacing w:line="440" w:lineRule="atLeast"/>
        <w:ind w:firstLine="480"/>
        <w:rPr>
          <w:color w:val="auto"/>
          <w:highlight w:val="none"/>
        </w:rPr>
      </w:pPr>
      <w:r>
        <w:rPr>
          <w:rFonts w:hint="eastAsia"/>
          <w:color w:val="auto"/>
          <w:highlight w:val="none"/>
        </w:rPr>
        <w:t>不允许分包及转包。</w:t>
      </w:r>
    </w:p>
    <w:p w14:paraId="45740CD8">
      <w:pPr>
        <w:spacing w:line="440" w:lineRule="atLeast"/>
        <w:ind w:firstLine="482"/>
        <w:rPr>
          <w:b/>
          <w:bCs/>
          <w:color w:val="auto"/>
          <w:highlight w:val="none"/>
        </w:rPr>
      </w:pPr>
      <w:r>
        <w:rPr>
          <w:rFonts w:hint="eastAsia"/>
          <w:b/>
          <w:bCs/>
          <w:color w:val="auto"/>
          <w:highlight w:val="none"/>
        </w:rPr>
        <w:t>十三、违约责任</w:t>
      </w:r>
    </w:p>
    <w:p w14:paraId="101D9A01">
      <w:pPr>
        <w:spacing w:line="440" w:lineRule="atLeast"/>
        <w:ind w:firstLine="480"/>
        <w:rPr>
          <w:color w:val="auto"/>
          <w:highlight w:val="none"/>
        </w:rPr>
      </w:pPr>
      <w:r>
        <w:rPr>
          <w:rFonts w:hint="eastAsia"/>
          <w:color w:val="auto"/>
          <w:highlight w:val="none"/>
        </w:rPr>
        <w:t>1.甲方无故逾期付款的，甲方应按逾期付款总额每日万分之五向乙方支付违约金。</w:t>
      </w:r>
    </w:p>
    <w:p w14:paraId="5AA9E28A">
      <w:pPr>
        <w:spacing w:line="440" w:lineRule="atLeast"/>
        <w:ind w:firstLine="480"/>
        <w:rPr>
          <w:color w:val="auto"/>
          <w:highlight w:val="none"/>
        </w:rPr>
      </w:pPr>
      <w:r>
        <w:rPr>
          <w:rFonts w:hint="eastAsia"/>
          <w:color w:val="auto"/>
          <w:highlight w:val="none"/>
        </w:rPr>
        <w:t>2.乙方未能如期提供服务或提交服务、评估成果并经验收合格的，每逾期一日，应按合同总价款的千分之六向甲方支付违约金。乙方超过约定日期10个工作日仍不能提供服务或提交服务、评估成果并经验收合格的，甲方可解除本合同，乙方应按合同总价百分之五的标准向甲方支付违约金，如甲方另有损失的，乙方应全额赔偿。</w:t>
      </w:r>
    </w:p>
    <w:p w14:paraId="4264C197">
      <w:pPr>
        <w:spacing w:line="440" w:lineRule="atLeast"/>
        <w:ind w:firstLine="480"/>
        <w:rPr>
          <w:color w:val="auto"/>
          <w:highlight w:val="none"/>
        </w:rPr>
      </w:pPr>
      <w:r>
        <w:rPr>
          <w:rFonts w:hint="eastAsia"/>
          <w:color w:val="auto"/>
          <w:highlight w:val="none"/>
        </w:rPr>
        <w:t>3.如发现乙方违反招投标文件和合同的有关规定，甲方有权根据约定对乙方进行处罚，并有权单方解除合同。</w:t>
      </w:r>
    </w:p>
    <w:p w14:paraId="2E63A88E">
      <w:pPr>
        <w:widowControl/>
        <w:tabs>
          <w:tab w:val="left" w:pos="0"/>
          <w:tab w:val="left" w:pos="993"/>
          <w:tab w:val="left" w:pos="1134"/>
        </w:tabs>
        <w:spacing w:line="440" w:lineRule="atLeast"/>
        <w:ind w:firstLine="482"/>
        <w:rPr>
          <w:b/>
          <w:bCs/>
          <w:color w:val="auto"/>
          <w:highlight w:val="none"/>
        </w:rPr>
      </w:pPr>
      <w:r>
        <w:rPr>
          <w:rFonts w:hint="eastAsia"/>
          <w:b/>
          <w:bCs/>
          <w:color w:val="auto"/>
          <w:highlight w:val="none"/>
        </w:rPr>
        <w:t>十四、双方特殊约定</w:t>
      </w:r>
    </w:p>
    <w:p w14:paraId="40461C3D">
      <w:pPr>
        <w:spacing w:line="440" w:lineRule="atLeast"/>
        <w:ind w:firstLine="480"/>
        <w:rPr>
          <w:color w:val="auto"/>
          <w:highlight w:val="none"/>
        </w:rPr>
      </w:pPr>
      <w:r>
        <w:rPr>
          <w:rFonts w:hint="eastAsia"/>
          <w:color w:val="auto"/>
          <w:highlight w:val="none"/>
        </w:rPr>
        <w:t>属于以下内容按实另行结算（不含本次报价中）：</w:t>
      </w:r>
    </w:p>
    <w:p w14:paraId="5CB62308">
      <w:pPr>
        <w:spacing w:line="440" w:lineRule="atLeast"/>
        <w:ind w:firstLine="480"/>
        <w:rPr>
          <w:rFonts w:hint="eastAsia" w:ascii="宋体" w:hAnsi="宋体" w:cs="宋体"/>
          <w:color w:val="auto"/>
          <w:highlight w:val="none"/>
        </w:rPr>
      </w:pPr>
      <w:r>
        <w:rPr>
          <w:rFonts w:hint="eastAsia" w:ascii="宋体" w:hAnsi="宋体" w:cs="宋体"/>
          <w:color w:val="auto"/>
          <w:highlight w:val="none"/>
        </w:rPr>
        <w:t>政府采购合同履行中，甲方需追加与合同标的相同的货物、工程或者服务的，在不改变合同其他条款的前提下，可以与乙方签订补充合同，但所补充合同的采购金额不得超过原采购金额的10%。</w:t>
      </w:r>
    </w:p>
    <w:p w14:paraId="526ABFB3">
      <w:pPr>
        <w:widowControl/>
        <w:tabs>
          <w:tab w:val="left" w:pos="0"/>
          <w:tab w:val="left" w:pos="993"/>
          <w:tab w:val="left" w:pos="1134"/>
        </w:tabs>
        <w:spacing w:line="440" w:lineRule="atLeast"/>
        <w:ind w:firstLine="482"/>
        <w:rPr>
          <w:b/>
          <w:bCs/>
          <w:color w:val="auto"/>
          <w:highlight w:val="none"/>
        </w:rPr>
      </w:pPr>
      <w:r>
        <w:rPr>
          <w:rFonts w:hint="eastAsia"/>
          <w:b/>
          <w:bCs/>
          <w:color w:val="auto"/>
          <w:highlight w:val="none"/>
        </w:rPr>
        <w:t>十五、本合同如遇建设、不可抗力等原因无法继续执行时，双方协商解决。</w:t>
      </w:r>
    </w:p>
    <w:p w14:paraId="64490F0A">
      <w:pPr>
        <w:spacing w:line="440" w:lineRule="atLeast"/>
        <w:ind w:firstLine="482"/>
        <w:rPr>
          <w:color w:val="auto"/>
          <w:highlight w:val="none"/>
        </w:rPr>
      </w:pPr>
      <w:r>
        <w:rPr>
          <w:rFonts w:hint="eastAsia"/>
          <w:b/>
          <w:bCs/>
          <w:color w:val="auto"/>
          <w:highlight w:val="none"/>
        </w:rPr>
        <w:t>十六、本合同未尽事宜，双方协商决定。</w:t>
      </w:r>
      <w:r>
        <w:rPr>
          <w:rFonts w:hint="eastAsia"/>
          <w:color w:val="auto"/>
          <w:highlight w:val="none"/>
        </w:rPr>
        <w:t xml:space="preserve">  </w:t>
      </w:r>
    </w:p>
    <w:p w14:paraId="61D2EABE">
      <w:pPr>
        <w:spacing w:line="440" w:lineRule="atLeast"/>
        <w:ind w:firstLine="482"/>
        <w:rPr>
          <w:b/>
          <w:bCs/>
          <w:color w:val="auto"/>
          <w:highlight w:val="none"/>
        </w:rPr>
      </w:pPr>
      <w:r>
        <w:rPr>
          <w:rFonts w:hint="eastAsia"/>
          <w:b/>
          <w:bCs/>
          <w:color w:val="auto"/>
          <w:highlight w:val="none"/>
        </w:rPr>
        <w:t>十七、合同生效及其它</w:t>
      </w:r>
    </w:p>
    <w:p w14:paraId="73845B61">
      <w:pPr>
        <w:spacing w:line="440" w:lineRule="atLeast"/>
        <w:ind w:firstLine="480"/>
        <w:rPr>
          <w:rFonts w:hint="eastAsia" w:ascii="宋体" w:hAnsi="宋体" w:cs="宋体"/>
          <w:color w:val="auto"/>
          <w:highlight w:val="none"/>
        </w:rPr>
      </w:pPr>
      <w:r>
        <w:rPr>
          <w:rFonts w:hint="eastAsia" w:ascii="宋体" w:hAnsi="宋体" w:cs="宋体"/>
          <w:color w:val="auto"/>
          <w:highlight w:val="none"/>
        </w:rPr>
        <w:t>1.合同经双方法定代表人或授权代表签字并加盖单位公章，并经浙江信达工程咨询有限公司加盖鉴证章后生效。</w:t>
      </w:r>
    </w:p>
    <w:p w14:paraId="37B288B5">
      <w:pPr>
        <w:spacing w:line="440" w:lineRule="atLeast"/>
        <w:ind w:firstLine="480"/>
        <w:rPr>
          <w:rFonts w:hint="eastAsia" w:ascii="宋体" w:hAnsi="宋体" w:cs="宋体"/>
          <w:color w:val="auto"/>
          <w:highlight w:val="none"/>
        </w:rPr>
      </w:pPr>
      <w:r>
        <w:rPr>
          <w:rFonts w:hint="eastAsia" w:ascii="宋体" w:hAnsi="宋体" w:cs="宋体"/>
          <w:color w:val="auto"/>
          <w:highlight w:val="none"/>
        </w:rPr>
        <w:t>2.组成合同文件：相关采购文件，响应文件，有关澄清、说明、承诺或者补正文件，成交通知书，合同补充条款或说明等。</w:t>
      </w:r>
    </w:p>
    <w:p w14:paraId="573353F4">
      <w:pPr>
        <w:spacing w:line="440" w:lineRule="atLeast"/>
        <w:ind w:firstLine="480"/>
        <w:rPr>
          <w:rFonts w:hint="eastAsia" w:ascii="宋体" w:hAnsi="宋体" w:cs="宋体"/>
          <w:color w:val="auto"/>
          <w:highlight w:val="none"/>
        </w:rPr>
      </w:pPr>
      <w:r>
        <w:rPr>
          <w:rFonts w:hint="eastAsia" w:ascii="宋体" w:hAnsi="宋体" w:cs="宋体"/>
          <w:color w:val="auto"/>
          <w:highlight w:val="none"/>
        </w:rPr>
        <w:t>3.合同执行中涉及采购资金和采购内容修改或补充的，经备案后可作为主合同不可分割的一部分。</w:t>
      </w:r>
    </w:p>
    <w:p w14:paraId="6728AD6D">
      <w:pPr>
        <w:spacing w:line="440" w:lineRule="atLeast"/>
        <w:ind w:firstLine="480"/>
        <w:rPr>
          <w:rFonts w:hint="eastAsia" w:ascii="宋体" w:hAnsi="宋体" w:cs="宋体"/>
          <w:color w:val="auto"/>
          <w:highlight w:val="none"/>
        </w:rPr>
      </w:pPr>
      <w:r>
        <w:rPr>
          <w:rFonts w:hint="eastAsia" w:ascii="宋体" w:hAnsi="宋体" w:cs="宋体"/>
          <w:color w:val="auto"/>
          <w:highlight w:val="none"/>
        </w:rPr>
        <w:t>4.本合同未尽事宜，遵照《</w:t>
      </w:r>
      <w:r>
        <w:rPr>
          <w:rFonts w:hint="eastAsia" w:ascii="宋体" w:hAnsi="宋体" w:cs="宋体"/>
          <w:color w:val="auto"/>
          <w:highlight w:val="none"/>
          <w:lang w:eastAsia="zh-CN"/>
        </w:rPr>
        <w:t>中华人民共和国民法典</w:t>
      </w:r>
      <w:r>
        <w:rPr>
          <w:rFonts w:hint="eastAsia" w:ascii="宋体" w:hAnsi="宋体" w:cs="宋体"/>
          <w:color w:val="auto"/>
          <w:highlight w:val="none"/>
        </w:rPr>
        <w:t>》有关条文执行。</w:t>
      </w:r>
    </w:p>
    <w:p w14:paraId="1E921D1F">
      <w:pPr>
        <w:spacing w:line="440" w:lineRule="atLeast"/>
        <w:ind w:firstLine="480"/>
        <w:rPr>
          <w:color w:val="auto"/>
          <w:highlight w:val="none"/>
        </w:rPr>
      </w:pPr>
      <w:r>
        <w:rPr>
          <w:rFonts w:hint="eastAsia" w:ascii="宋体" w:hAnsi="宋体" w:cs="宋体"/>
          <w:color w:val="auto"/>
          <w:highlight w:val="none"/>
        </w:rPr>
        <w:t>5.本合同一式柒份，具有同等法律效力，甲乙双方各执叁份，浙江信达工程咨询有限公司留存壹份。</w:t>
      </w:r>
    </w:p>
    <w:p w14:paraId="6673DEAA">
      <w:pPr>
        <w:spacing w:line="440" w:lineRule="atLeast"/>
        <w:ind w:firstLine="480"/>
        <w:rPr>
          <w:color w:val="auto"/>
          <w:highlight w:val="none"/>
        </w:rPr>
      </w:pPr>
      <w:r>
        <w:rPr>
          <w:rFonts w:hint="eastAsia"/>
          <w:color w:val="auto"/>
          <w:highlight w:val="none"/>
        </w:rPr>
        <w:t>以下无正文</w:t>
      </w:r>
    </w:p>
    <w:tbl>
      <w:tblPr>
        <w:tblStyle w:val="39"/>
        <w:tblW w:w="0" w:type="auto"/>
        <w:tblInd w:w="2" w:type="dxa"/>
        <w:tblLayout w:type="fixed"/>
        <w:tblCellMar>
          <w:top w:w="0" w:type="dxa"/>
          <w:left w:w="108" w:type="dxa"/>
          <w:bottom w:w="0" w:type="dxa"/>
          <w:right w:w="108" w:type="dxa"/>
        </w:tblCellMar>
      </w:tblPr>
      <w:tblGrid>
        <w:gridCol w:w="4644"/>
        <w:gridCol w:w="4644"/>
      </w:tblGrid>
      <w:tr w14:paraId="425A73FA">
        <w:tblPrEx>
          <w:tblCellMar>
            <w:top w:w="0" w:type="dxa"/>
            <w:left w:w="108" w:type="dxa"/>
            <w:bottom w:w="0" w:type="dxa"/>
            <w:right w:w="108" w:type="dxa"/>
          </w:tblCellMar>
        </w:tblPrEx>
        <w:trPr>
          <w:trHeight w:val="680" w:hRule="atLeast"/>
        </w:trPr>
        <w:tc>
          <w:tcPr>
            <w:tcW w:w="4644" w:type="dxa"/>
            <w:vAlign w:val="center"/>
          </w:tcPr>
          <w:p w14:paraId="063206A3">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甲方：</w:t>
            </w:r>
          </w:p>
        </w:tc>
        <w:tc>
          <w:tcPr>
            <w:tcW w:w="4644" w:type="dxa"/>
            <w:vAlign w:val="center"/>
          </w:tcPr>
          <w:p w14:paraId="48355DC0">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乙方：</w:t>
            </w:r>
          </w:p>
        </w:tc>
      </w:tr>
      <w:tr w14:paraId="016BDD60">
        <w:tblPrEx>
          <w:tblCellMar>
            <w:top w:w="0" w:type="dxa"/>
            <w:left w:w="108" w:type="dxa"/>
            <w:bottom w:w="0" w:type="dxa"/>
            <w:right w:w="108" w:type="dxa"/>
          </w:tblCellMar>
        </w:tblPrEx>
        <w:trPr>
          <w:trHeight w:val="680" w:hRule="atLeast"/>
        </w:trPr>
        <w:tc>
          <w:tcPr>
            <w:tcW w:w="4644" w:type="dxa"/>
            <w:vAlign w:val="center"/>
          </w:tcPr>
          <w:p w14:paraId="232026DF">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法定（授权）代表人：</w:t>
            </w:r>
          </w:p>
        </w:tc>
        <w:tc>
          <w:tcPr>
            <w:tcW w:w="4644" w:type="dxa"/>
            <w:vAlign w:val="center"/>
          </w:tcPr>
          <w:p w14:paraId="238005D1">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法定（授权）代表人：</w:t>
            </w:r>
          </w:p>
        </w:tc>
      </w:tr>
      <w:tr w14:paraId="5A6711F8">
        <w:tblPrEx>
          <w:tblCellMar>
            <w:top w:w="0" w:type="dxa"/>
            <w:left w:w="108" w:type="dxa"/>
            <w:bottom w:w="0" w:type="dxa"/>
            <w:right w:w="108" w:type="dxa"/>
          </w:tblCellMar>
        </w:tblPrEx>
        <w:trPr>
          <w:trHeight w:val="680" w:hRule="atLeast"/>
        </w:trPr>
        <w:tc>
          <w:tcPr>
            <w:tcW w:w="4644" w:type="dxa"/>
            <w:vAlign w:val="center"/>
          </w:tcPr>
          <w:p w14:paraId="22185311">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地址：</w:t>
            </w:r>
          </w:p>
        </w:tc>
        <w:tc>
          <w:tcPr>
            <w:tcW w:w="4644" w:type="dxa"/>
            <w:vAlign w:val="center"/>
          </w:tcPr>
          <w:p w14:paraId="1A376695">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地址：</w:t>
            </w:r>
          </w:p>
        </w:tc>
      </w:tr>
      <w:tr w14:paraId="55DC1DDB">
        <w:tblPrEx>
          <w:tblCellMar>
            <w:top w:w="0" w:type="dxa"/>
            <w:left w:w="108" w:type="dxa"/>
            <w:bottom w:w="0" w:type="dxa"/>
            <w:right w:w="108" w:type="dxa"/>
          </w:tblCellMar>
        </w:tblPrEx>
        <w:trPr>
          <w:trHeight w:val="680" w:hRule="atLeast"/>
        </w:trPr>
        <w:tc>
          <w:tcPr>
            <w:tcW w:w="4644" w:type="dxa"/>
            <w:vAlign w:val="center"/>
          </w:tcPr>
          <w:p w14:paraId="3F294341">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签订日期：2025年   月    日</w:t>
            </w:r>
          </w:p>
        </w:tc>
        <w:tc>
          <w:tcPr>
            <w:tcW w:w="4644" w:type="dxa"/>
            <w:vAlign w:val="center"/>
          </w:tcPr>
          <w:p w14:paraId="2D05E2D7">
            <w:pPr>
              <w:tabs>
                <w:tab w:val="left" w:pos="1080"/>
              </w:tabs>
              <w:snapToGrid w:val="0"/>
              <w:spacing w:line="440" w:lineRule="exact"/>
              <w:ind w:firstLine="0" w:firstLineChars="0"/>
              <w:rPr>
                <w:rFonts w:hint="eastAsia" w:ascii="宋体" w:hAnsi="宋体" w:cs="宋体"/>
                <w:color w:val="auto"/>
                <w:highlight w:val="none"/>
              </w:rPr>
            </w:pPr>
            <w:r>
              <w:rPr>
                <w:rFonts w:hint="eastAsia" w:ascii="宋体" w:hAnsi="宋体" w:cs="宋体"/>
                <w:color w:val="auto"/>
                <w:highlight w:val="none"/>
              </w:rPr>
              <w:t>签订日期：2025年   月   日</w:t>
            </w:r>
          </w:p>
        </w:tc>
      </w:tr>
      <w:tr w14:paraId="17E743C5">
        <w:tblPrEx>
          <w:tblCellMar>
            <w:top w:w="0" w:type="dxa"/>
            <w:left w:w="108" w:type="dxa"/>
            <w:bottom w:w="0" w:type="dxa"/>
            <w:right w:w="108" w:type="dxa"/>
          </w:tblCellMar>
        </w:tblPrEx>
        <w:trPr>
          <w:trHeight w:val="1250" w:hRule="atLeast"/>
        </w:trPr>
        <w:tc>
          <w:tcPr>
            <w:tcW w:w="9288" w:type="dxa"/>
            <w:gridSpan w:val="2"/>
            <w:vAlign w:val="center"/>
          </w:tcPr>
          <w:p w14:paraId="78724CE5">
            <w:pPr>
              <w:pStyle w:val="19"/>
              <w:adjustRightInd w:val="0"/>
              <w:snapToGrid w:val="0"/>
              <w:spacing w:line="440" w:lineRule="exact"/>
              <w:ind w:firstLine="0" w:firstLineChars="0"/>
              <w:jc w:val="left"/>
              <w:rPr>
                <w:rFonts w:hint="eastAsia" w:hAnsi="宋体" w:cs="宋体"/>
                <w:snapToGrid w:val="0"/>
                <w:color w:val="auto"/>
                <w:szCs w:val="24"/>
                <w:highlight w:val="none"/>
              </w:rPr>
            </w:pPr>
          </w:p>
          <w:p w14:paraId="53FCF470">
            <w:pPr>
              <w:pStyle w:val="19"/>
              <w:adjustRightInd w:val="0"/>
              <w:snapToGrid w:val="0"/>
              <w:spacing w:line="440" w:lineRule="exact"/>
              <w:ind w:firstLine="0" w:firstLineChars="0"/>
              <w:jc w:val="left"/>
              <w:rPr>
                <w:rFonts w:hint="eastAsia" w:hAnsi="宋体" w:cs="宋体"/>
                <w:snapToGrid w:val="0"/>
                <w:color w:val="auto"/>
                <w:szCs w:val="24"/>
                <w:highlight w:val="none"/>
              </w:rPr>
            </w:pPr>
          </w:p>
          <w:p w14:paraId="2A3A4148">
            <w:pPr>
              <w:pStyle w:val="19"/>
              <w:adjustRightInd w:val="0"/>
              <w:snapToGrid w:val="0"/>
              <w:spacing w:line="440" w:lineRule="exact"/>
              <w:ind w:firstLine="0" w:firstLineChars="0"/>
              <w:jc w:val="left"/>
              <w:rPr>
                <w:rFonts w:hint="eastAsia" w:hAnsi="宋体" w:cs="宋体"/>
                <w:color w:val="auto"/>
                <w:szCs w:val="24"/>
                <w:highlight w:val="none"/>
              </w:rPr>
            </w:pPr>
            <w:r>
              <w:rPr>
                <w:rFonts w:hint="eastAsia" w:hAnsi="宋体" w:cs="宋体"/>
                <w:snapToGrid w:val="0"/>
                <w:color w:val="auto"/>
                <w:szCs w:val="24"/>
                <w:highlight w:val="none"/>
              </w:rPr>
              <w:t>合同鉴证方（盖章）：浙江信达工程咨询有限公司</w:t>
            </w:r>
          </w:p>
        </w:tc>
      </w:tr>
      <w:tr w14:paraId="3ED1260B">
        <w:tblPrEx>
          <w:tblCellMar>
            <w:top w:w="0" w:type="dxa"/>
            <w:left w:w="108" w:type="dxa"/>
            <w:bottom w:w="0" w:type="dxa"/>
            <w:right w:w="108" w:type="dxa"/>
          </w:tblCellMar>
        </w:tblPrEx>
        <w:trPr>
          <w:trHeight w:val="965" w:hRule="atLeast"/>
        </w:trPr>
        <w:tc>
          <w:tcPr>
            <w:tcW w:w="9288" w:type="dxa"/>
            <w:gridSpan w:val="2"/>
            <w:vAlign w:val="center"/>
          </w:tcPr>
          <w:p w14:paraId="1E1FA387">
            <w:pPr>
              <w:widowControl/>
              <w:adjustRightInd w:val="0"/>
              <w:snapToGrid w:val="0"/>
              <w:spacing w:line="440" w:lineRule="exact"/>
              <w:ind w:firstLine="0" w:firstLineChars="0"/>
              <w:jc w:val="left"/>
              <w:rPr>
                <w:rFonts w:hint="eastAsia" w:ascii="宋体" w:hAnsi="宋体" w:cs="宋体"/>
                <w:color w:val="auto"/>
                <w:highlight w:val="none"/>
                <w:lang w:val="zh-CN"/>
              </w:rPr>
            </w:pPr>
            <w:r>
              <w:rPr>
                <w:rFonts w:hint="eastAsia" w:ascii="宋体" w:hAnsi="宋体" w:cs="宋体"/>
                <w:color w:val="auto"/>
                <w:highlight w:val="none"/>
              </w:rPr>
              <w:t xml:space="preserve">鉴证日期：2025年   </w:t>
            </w:r>
            <w:r>
              <w:rPr>
                <w:rFonts w:hint="eastAsia" w:ascii="宋体" w:hAnsi="宋体" w:cs="宋体"/>
                <w:color w:val="auto"/>
                <w:highlight w:val="none"/>
                <w:lang w:val="zh-CN"/>
              </w:rPr>
              <w:t>月</w:t>
            </w:r>
            <w:r>
              <w:rPr>
                <w:rFonts w:hint="eastAsia" w:ascii="宋体" w:hAnsi="宋体" w:cs="宋体"/>
                <w:color w:val="auto"/>
                <w:highlight w:val="none"/>
              </w:rPr>
              <w:t xml:space="preserve">  </w:t>
            </w:r>
            <w:r>
              <w:rPr>
                <w:rFonts w:hint="eastAsia" w:ascii="宋体" w:hAnsi="宋体" w:cs="宋体"/>
                <w:color w:val="auto"/>
                <w:highlight w:val="none"/>
                <w:lang w:val="zh-CN"/>
              </w:rPr>
              <w:t xml:space="preserve"> 日</w:t>
            </w:r>
          </w:p>
        </w:tc>
        <w:bookmarkStart w:id="1502" w:name="_第五章_评标评分细则"/>
        <w:bookmarkStart w:id="1503" w:name="_第五章_评标办法及评分标准"/>
      </w:tr>
      <w:bookmarkEnd w:id="1502"/>
      <w:bookmarkEnd w:id="1503"/>
    </w:tbl>
    <w:p w14:paraId="78AD5014">
      <w:pPr>
        <w:pStyle w:val="19"/>
        <w:snapToGrid w:val="0"/>
        <w:spacing w:line="360" w:lineRule="auto"/>
        <w:ind w:firstLine="496"/>
        <w:rPr>
          <w:color w:val="auto"/>
          <w:spacing w:val="4"/>
          <w:highlight w:val="none"/>
        </w:rPr>
        <w:sectPr>
          <w:pgSz w:w="11907" w:h="16840"/>
          <w:pgMar w:top="1417" w:right="1418" w:bottom="1417" w:left="1417" w:header="851" w:footer="992" w:gutter="0"/>
          <w:pgNumType w:fmt="numberInDash"/>
          <w:cols w:space="720" w:num="1"/>
          <w:docGrid w:linePitch="436" w:charSpace="0"/>
        </w:sectPr>
      </w:pPr>
    </w:p>
    <w:p w14:paraId="2BE61889">
      <w:pPr>
        <w:pStyle w:val="3"/>
        <w:spacing w:before="312" w:after="312"/>
        <w:rPr>
          <w:rFonts w:hint="eastAsia" w:ascii="宋体" w:hAnsi="宋体" w:cs="宋体"/>
          <w:bCs/>
          <w:color w:val="auto"/>
          <w:szCs w:val="21"/>
          <w:highlight w:val="none"/>
        </w:rPr>
      </w:pPr>
      <w:r>
        <w:rPr>
          <w:rFonts w:hint="eastAsia"/>
          <w:color w:val="auto"/>
          <w:highlight w:val="none"/>
        </w:rPr>
        <w:t>第六章  竞争性磋商响应文件格式</w:t>
      </w:r>
      <w:bookmarkEnd w:id="1360"/>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3548109E">
      <w:pPr>
        <w:spacing w:line="360" w:lineRule="auto"/>
        <w:ind w:firstLine="480"/>
        <w:rPr>
          <w:color w:val="auto"/>
          <w:highlight w:val="none"/>
        </w:rPr>
        <w:sectPr>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r>
        <w:rPr>
          <w:rFonts w:hint="eastAsia" w:ascii="宋体" w:hAnsi="宋体" w:cs="宋体"/>
          <w:bCs/>
          <w:color w:val="auto"/>
          <w:highlight w:val="none"/>
        </w:rPr>
        <w:t>本附件所有格式仅供制作竞争性磋商响应文件时参考，供应商应根据行业特点，结合本项目的相关要求，对有关内容、表格可进行补充或修改，但不得对实质性内容做出变动。</w:t>
      </w:r>
    </w:p>
    <w:p w14:paraId="28B256DD">
      <w:pPr>
        <w:snapToGrid w:val="0"/>
        <w:spacing w:line="240" w:lineRule="auto"/>
        <w:ind w:firstLine="0" w:firstLineChars="0"/>
        <w:jc w:val="center"/>
        <w:rPr>
          <w:rFonts w:hint="eastAsia" w:ascii="宋体" w:hAnsi="宋体" w:cs="宋体"/>
          <w:b/>
          <w:color w:val="auto"/>
          <w:sz w:val="44"/>
          <w:szCs w:val="44"/>
          <w:highlight w:val="none"/>
          <w:lang w:val="zh-CN"/>
        </w:rPr>
      </w:pPr>
      <w:bookmarkStart w:id="1504" w:name="_Toc7152"/>
      <w:bookmarkStart w:id="1505" w:name="_Toc12668"/>
      <w:bookmarkStart w:id="1506" w:name="_Toc6362"/>
      <w:bookmarkStart w:id="1507" w:name="_Toc24199"/>
      <w:bookmarkStart w:id="1508" w:name="_Toc31904"/>
      <w:bookmarkStart w:id="1509" w:name="_Toc15679"/>
      <w:bookmarkStart w:id="1510" w:name="_Toc10024"/>
      <w:bookmarkStart w:id="1511" w:name="_Toc32551"/>
      <w:bookmarkStart w:id="1512" w:name="_Toc19700"/>
      <w:bookmarkStart w:id="1513" w:name="_Toc12808"/>
      <w:bookmarkStart w:id="1514" w:name="_Toc22770"/>
      <w:bookmarkStart w:id="1515" w:name="_Toc5069"/>
      <w:bookmarkStart w:id="1516" w:name="_Toc16449"/>
      <w:bookmarkStart w:id="1517" w:name="_Toc19917"/>
      <w:bookmarkStart w:id="1518" w:name="_Toc15968"/>
      <w:bookmarkStart w:id="1519" w:name="_Toc29722"/>
      <w:bookmarkStart w:id="1520" w:name="_Toc24839"/>
      <w:bookmarkStart w:id="1521" w:name="_Toc20987"/>
      <w:bookmarkStart w:id="1522" w:name="_Toc20207"/>
      <w:bookmarkStart w:id="1523" w:name="_Toc30831"/>
      <w:bookmarkStart w:id="1524" w:name="_Toc21200"/>
      <w:bookmarkStart w:id="1525" w:name="_Toc1808"/>
      <w:bookmarkStart w:id="1526" w:name="_Toc15303"/>
      <w:bookmarkStart w:id="1527" w:name="_Toc17772"/>
      <w:bookmarkStart w:id="1528" w:name="_Toc31325"/>
      <w:bookmarkStart w:id="1529" w:name="_Toc13808"/>
      <w:bookmarkStart w:id="1530" w:name="_Toc374"/>
      <w:bookmarkStart w:id="1531" w:name="_Toc27545"/>
      <w:bookmarkStart w:id="1532" w:name="_Toc26288"/>
      <w:bookmarkStart w:id="1533" w:name="_Toc14622"/>
      <w:bookmarkStart w:id="1534" w:name="_Toc357410801"/>
    </w:p>
    <w:p w14:paraId="5CBB317A">
      <w:pPr>
        <w:snapToGrid w:val="0"/>
        <w:spacing w:line="240" w:lineRule="auto"/>
        <w:ind w:firstLine="0" w:firstLineChars="0"/>
        <w:jc w:val="center"/>
        <w:rPr>
          <w:rFonts w:hint="eastAsia" w:ascii="宋体" w:hAnsi="宋体" w:cs="宋体"/>
          <w:b/>
          <w:bCs/>
          <w:color w:val="auto"/>
          <w:sz w:val="48"/>
          <w:szCs w:val="48"/>
          <w:highlight w:val="none"/>
        </w:rPr>
      </w:pPr>
      <w:r>
        <w:rPr>
          <w:rFonts w:hint="eastAsia" w:ascii="宋体" w:hAnsi="宋体" w:cs="宋体"/>
          <w:b/>
          <w:color w:val="auto"/>
          <w:sz w:val="44"/>
          <w:szCs w:val="44"/>
          <w:highlight w:val="none"/>
          <w:lang w:val="zh-CN"/>
        </w:rPr>
        <w:t>龙游县森林资源质量核查年度数据更新以及补充林地规划项目</w:t>
      </w:r>
    </w:p>
    <w:p w14:paraId="14660351">
      <w:pPr>
        <w:snapToGrid w:val="0"/>
        <w:spacing w:line="240" w:lineRule="auto"/>
        <w:ind w:firstLine="0" w:firstLineChars="0"/>
        <w:jc w:val="center"/>
        <w:rPr>
          <w:rFonts w:hint="eastAsia" w:ascii="宋体" w:hAnsi="宋体" w:cs="宋体"/>
          <w:b/>
          <w:bCs/>
          <w:color w:val="auto"/>
          <w:sz w:val="48"/>
          <w:szCs w:val="48"/>
          <w:highlight w:val="none"/>
        </w:rPr>
      </w:pPr>
    </w:p>
    <w:p w14:paraId="289A06C8">
      <w:pPr>
        <w:snapToGrid w:val="0"/>
        <w:spacing w:line="240" w:lineRule="auto"/>
        <w:ind w:firstLine="0" w:firstLineChars="0"/>
        <w:jc w:val="center"/>
        <w:outlineLvl w:val="1"/>
        <w:rPr>
          <w:rFonts w:hint="eastAsia" w:ascii="宋体" w:hAnsi="宋体" w:cs="宋体"/>
          <w:b/>
          <w:bCs/>
          <w:color w:val="auto"/>
          <w:sz w:val="48"/>
          <w:szCs w:val="48"/>
          <w:highlight w:val="none"/>
        </w:rPr>
      </w:pPr>
      <w:bookmarkStart w:id="1535" w:name="_Toc5313"/>
    </w:p>
    <w:p w14:paraId="3802DDA8">
      <w:pPr>
        <w:snapToGrid w:val="0"/>
        <w:spacing w:line="240" w:lineRule="auto"/>
        <w:ind w:firstLine="0" w:firstLineChars="0"/>
        <w:jc w:val="center"/>
        <w:outlineLvl w:val="1"/>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磋商响应文件</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5"/>
    </w:p>
    <w:bookmarkEnd w:id="1534"/>
    <w:p w14:paraId="60FE35F2">
      <w:pPr>
        <w:pStyle w:val="2"/>
        <w:spacing w:line="720" w:lineRule="auto"/>
        <w:ind w:firstLine="0" w:firstLineChars="0"/>
        <w:jc w:val="center"/>
        <w:rPr>
          <w:rFonts w:hint="eastAsia" w:ascii="宋体" w:hAnsi="宋体" w:cs="宋体"/>
          <w:b/>
          <w:bCs w:val="0"/>
          <w:color w:val="auto"/>
          <w:spacing w:val="-11"/>
          <w:sz w:val="44"/>
          <w:szCs w:val="44"/>
          <w:highlight w:val="none"/>
        </w:rPr>
      </w:pPr>
      <w:bookmarkStart w:id="1536" w:name="_Toc357410802"/>
    </w:p>
    <w:p w14:paraId="13685C6F">
      <w:pPr>
        <w:ind w:firstLine="480"/>
        <w:rPr>
          <w:color w:val="auto"/>
          <w:highlight w:val="none"/>
        </w:rPr>
      </w:pPr>
    </w:p>
    <w:p w14:paraId="25AEC7CC">
      <w:pPr>
        <w:ind w:firstLine="480"/>
        <w:rPr>
          <w:color w:val="auto"/>
          <w:highlight w:val="none"/>
        </w:rPr>
      </w:pPr>
    </w:p>
    <w:p w14:paraId="3D339CCD">
      <w:pPr>
        <w:ind w:firstLine="0" w:firstLineChars="0"/>
        <w:rPr>
          <w:color w:val="auto"/>
          <w:highlight w:val="none"/>
        </w:rPr>
      </w:pPr>
    </w:p>
    <w:p w14:paraId="00132717">
      <w:pPr>
        <w:pStyle w:val="2"/>
        <w:spacing w:line="720" w:lineRule="auto"/>
        <w:ind w:firstLine="0" w:firstLineChars="0"/>
        <w:jc w:val="center"/>
        <w:outlineLvl w:val="0"/>
        <w:rPr>
          <w:rFonts w:hint="eastAsia" w:ascii="宋体" w:hAnsi="宋体" w:cs="宋体"/>
          <w:b/>
          <w:color w:val="auto"/>
          <w:sz w:val="44"/>
          <w:szCs w:val="44"/>
          <w:highlight w:val="none"/>
        </w:rPr>
      </w:pPr>
      <w:bookmarkStart w:id="1537" w:name="_Toc24934"/>
      <w:bookmarkStart w:id="1538" w:name="_Toc15283"/>
      <w:bookmarkStart w:id="1539" w:name="_Toc7991"/>
      <w:bookmarkStart w:id="1540" w:name="_Toc14095"/>
      <w:bookmarkStart w:id="1541" w:name="_Toc13724"/>
      <w:bookmarkStart w:id="1542" w:name="_Toc22628"/>
      <w:bookmarkStart w:id="1543" w:name="_Toc14986"/>
      <w:bookmarkStart w:id="1544" w:name="_Toc14194"/>
      <w:bookmarkStart w:id="1545" w:name="_Toc1735"/>
      <w:bookmarkStart w:id="1546" w:name="_Toc18341"/>
      <w:bookmarkStart w:id="1547" w:name="_Toc6101"/>
      <w:bookmarkStart w:id="1548" w:name="_Toc3539"/>
      <w:bookmarkStart w:id="1549" w:name="_Toc17677"/>
      <w:bookmarkStart w:id="1550" w:name="_Toc14327"/>
      <w:bookmarkStart w:id="1551" w:name="_Toc25626"/>
      <w:bookmarkStart w:id="1552" w:name="_Toc69"/>
      <w:bookmarkStart w:id="1553" w:name="_Toc32099"/>
      <w:bookmarkStart w:id="1554" w:name="_Toc12657"/>
      <w:bookmarkStart w:id="1555" w:name="_Toc28080"/>
      <w:bookmarkStart w:id="1556" w:name="_Toc1037"/>
      <w:r>
        <w:rPr>
          <w:rFonts w:hint="eastAsia" w:ascii="宋体" w:hAnsi="宋体" w:cs="宋体"/>
          <w:b/>
          <w:bCs w:val="0"/>
          <w:color w:val="auto"/>
          <w:spacing w:val="-11"/>
          <w:sz w:val="44"/>
          <w:szCs w:val="44"/>
          <w:highlight w:val="none"/>
        </w:rPr>
        <w:t>资格文件/</w:t>
      </w:r>
      <w:r>
        <w:rPr>
          <w:rFonts w:hint="eastAsia" w:ascii="宋体" w:hAnsi="宋体" w:cs="宋体"/>
          <w:b/>
          <w:color w:val="auto"/>
          <w:sz w:val="44"/>
          <w:szCs w:val="44"/>
          <w:highlight w:val="none"/>
        </w:rPr>
        <w:t>资信商务技术文件/报价文件</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bookmarkEnd w:id="1536"/>
    <w:p w14:paraId="79CF3CD2">
      <w:pPr>
        <w:pStyle w:val="4"/>
        <w:spacing w:before="156" w:after="156"/>
        <w:jc w:val="both"/>
        <w:rPr>
          <w:color w:val="auto"/>
          <w:highlight w:val="none"/>
        </w:rPr>
      </w:pPr>
      <w:bookmarkStart w:id="1557" w:name="_Toc357410803"/>
    </w:p>
    <w:p w14:paraId="1E5D4F96">
      <w:pPr>
        <w:ind w:firstLine="480"/>
        <w:rPr>
          <w:color w:val="auto"/>
          <w:highlight w:val="none"/>
        </w:rPr>
      </w:pPr>
    </w:p>
    <w:p w14:paraId="7CC2E203">
      <w:pPr>
        <w:ind w:firstLine="0" w:firstLineChars="0"/>
        <w:jc w:val="center"/>
        <w:rPr>
          <w:rFonts w:hint="eastAsia" w:ascii="宋体" w:hAnsi="宋体" w:cs="宋体"/>
          <w:b/>
          <w:color w:val="auto"/>
          <w:sz w:val="28"/>
          <w:szCs w:val="28"/>
          <w:highlight w:val="none"/>
        </w:rPr>
      </w:pPr>
    </w:p>
    <w:p w14:paraId="5B6599F4">
      <w:pPr>
        <w:snapToGrid w:val="0"/>
        <w:spacing w:line="400" w:lineRule="exact"/>
        <w:ind w:firstLine="843" w:firstLineChars="300"/>
        <w:outlineLvl w:val="0"/>
        <w:rPr>
          <w:rFonts w:hint="eastAsia" w:ascii="宋体" w:hAnsi="宋体" w:cs="宋体"/>
          <w:b/>
          <w:color w:val="auto"/>
          <w:sz w:val="28"/>
          <w:szCs w:val="28"/>
          <w:highlight w:val="none"/>
          <w:u w:val="single"/>
        </w:rPr>
      </w:pPr>
      <w:bookmarkStart w:id="1558" w:name="_Toc24755"/>
      <w:bookmarkStart w:id="1559" w:name="_Toc753"/>
      <w:bookmarkStart w:id="1560" w:name="_Toc2964"/>
      <w:bookmarkStart w:id="1561" w:name="_Toc23068"/>
      <w:bookmarkStart w:id="1562" w:name="_Toc10078"/>
      <w:bookmarkStart w:id="1563" w:name="_Toc15157"/>
      <w:bookmarkStart w:id="1564" w:name="_Toc988"/>
      <w:bookmarkStart w:id="1565" w:name="_Toc24615"/>
      <w:bookmarkStart w:id="1566" w:name="_Toc26337"/>
      <w:bookmarkStart w:id="1567" w:name="_Toc22506"/>
      <w:bookmarkStart w:id="1568" w:name="_Toc24071"/>
      <w:bookmarkStart w:id="1569" w:name="_Toc4635"/>
      <w:bookmarkStart w:id="1570" w:name="_Toc5647"/>
      <w:bookmarkStart w:id="1571" w:name="_Toc21688"/>
      <w:bookmarkStart w:id="1572" w:name="_Toc2660"/>
      <w:bookmarkStart w:id="1573" w:name="_Toc12090"/>
      <w:bookmarkStart w:id="1574" w:name="_Toc1813"/>
      <w:bookmarkStart w:id="1575" w:name="_Toc25893"/>
      <w:bookmarkStart w:id="1576" w:name="_Toc23563"/>
      <w:bookmarkStart w:id="1577" w:name="_Toc20025"/>
      <w:bookmarkStart w:id="1578" w:name="_Toc8163"/>
      <w:bookmarkStart w:id="1579" w:name="_Toc4932"/>
      <w:bookmarkStart w:id="1580" w:name="_Toc22525"/>
      <w:bookmarkStart w:id="1581" w:name="_Toc4691"/>
      <w:bookmarkStart w:id="1582" w:name="_Toc27616"/>
      <w:bookmarkStart w:id="1583" w:name="_Toc3476"/>
      <w:bookmarkStart w:id="1584" w:name="_Toc11029"/>
      <w:bookmarkStart w:id="1585" w:name="_Toc32132"/>
      <w:bookmarkStart w:id="1586" w:name="_Toc5730"/>
      <w:bookmarkStart w:id="1587" w:name="_Toc14465"/>
      <w:bookmarkStart w:id="1588" w:name="_Toc27856"/>
      <w:bookmarkStart w:id="1589" w:name="_Toc23530"/>
      <w:r>
        <w:rPr>
          <w:rFonts w:hint="eastAsia" w:ascii="宋体" w:hAnsi="宋体" w:cs="宋体"/>
          <w:b/>
          <w:color w:val="auto"/>
          <w:sz w:val="28"/>
          <w:szCs w:val="28"/>
          <w:highlight w:val="none"/>
        </w:rPr>
        <w:t>项目编号：</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rFonts w:hint="eastAsia" w:ascii="宋体" w:hAnsi="宋体" w:cs="宋体"/>
          <w:b/>
          <w:color w:val="auto"/>
          <w:sz w:val="28"/>
          <w:szCs w:val="28"/>
          <w:highlight w:val="none"/>
          <w:u w:val="single"/>
        </w:rPr>
        <w:t xml:space="preserve">                                               </w:t>
      </w:r>
    </w:p>
    <w:p w14:paraId="63D0120F">
      <w:pPr>
        <w:snapToGrid w:val="0"/>
        <w:spacing w:line="400" w:lineRule="exact"/>
        <w:ind w:firstLine="843" w:firstLineChars="300"/>
        <w:rPr>
          <w:rFonts w:hint="eastAsia" w:ascii="宋体" w:hAnsi="宋体" w:cs="宋体"/>
          <w:b/>
          <w:color w:val="auto"/>
          <w:sz w:val="28"/>
          <w:szCs w:val="28"/>
          <w:highlight w:val="none"/>
        </w:rPr>
      </w:pPr>
      <w:bookmarkStart w:id="1590" w:name="_Toc357410804"/>
    </w:p>
    <w:p w14:paraId="4051C348">
      <w:pPr>
        <w:snapToGrid w:val="0"/>
        <w:spacing w:line="400" w:lineRule="exact"/>
        <w:ind w:firstLine="843" w:firstLineChars="300"/>
        <w:outlineLvl w:val="0"/>
        <w:rPr>
          <w:rFonts w:hint="eastAsia" w:ascii="宋体" w:hAnsi="宋体" w:cs="宋体"/>
          <w:b/>
          <w:color w:val="auto"/>
          <w:sz w:val="28"/>
          <w:szCs w:val="28"/>
          <w:highlight w:val="none"/>
          <w:u w:val="single"/>
        </w:rPr>
      </w:pPr>
      <w:bookmarkStart w:id="1591" w:name="_Toc16342"/>
      <w:bookmarkStart w:id="1592" w:name="_Toc28230"/>
      <w:bookmarkStart w:id="1593" w:name="_Toc25649"/>
      <w:bookmarkStart w:id="1594" w:name="_Toc27211"/>
      <w:bookmarkStart w:id="1595" w:name="_Toc20381"/>
      <w:bookmarkStart w:id="1596" w:name="_Toc28210"/>
      <w:bookmarkStart w:id="1597" w:name="_Toc20230"/>
      <w:bookmarkStart w:id="1598" w:name="_Toc32022"/>
      <w:bookmarkStart w:id="1599" w:name="_Toc25430"/>
      <w:bookmarkStart w:id="1600" w:name="_Toc29466"/>
      <w:bookmarkStart w:id="1601" w:name="_Toc20659"/>
      <w:bookmarkStart w:id="1602" w:name="_Toc6716"/>
      <w:bookmarkStart w:id="1603" w:name="_Toc10364"/>
      <w:bookmarkStart w:id="1604" w:name="_Toc20009"/>
      <w:bookmarkStart w:id="1605" w:name="_Toc16028"/>
      <w:bookmarkStart w:id="1606" w:name="_Toc1524"/>
      <w:bookmarkStart w:id="1607" w:name="_Toc30056"/>
      <w:bookmarkStart w:id="1608" w:name="_Toc11591"/>
      <w:bookmarkStart w:id="1609" w:name="_Toc2901"/>
      <w:bookmarkStart w:id="1610" w:name="_Toc12188"/>
      <w:bookmarkStart w:id="1611" w:name="_Toc1392"/>
      <w:bookmarkStart w:id="1612" w:name="_Toc28393"/>
      <w:bookmarkStart w:id="1613" w:name="_Toc13940"/>
      <w:bookmarkStart w:id="1614" w:name="_Toc28384"/>
      <w:bookmarkStart w:id="1615" w:name="_Toc29921"/>
      <w:bookmarkStart w:id="1616" w:name="_Toc8331"/>
      <w:bookmarkStart w:id="1617" w:name="_Toc7263"/>
      <w:bookmarkStart w:id="1618" w:name="_Toc22503"/>
      <w:bookmarkStart w:id="1619" w:name="_Toc30137"/>
      <w:bookmarkStart w:id="1620" w:name="_Toc5746"/>
      <w:bookmarkStart w:id="1621" w:name="_Toc22593"/>
      <w:bookmarkStart w:id="1622" w:name="_Toc17675"/>
      <w:r>
        <w:rPr>
          <w:rFonts w:hint="eastAsia" w:ascii="宋体" w:hAnsi="宋体" w:cs="宋体"/>
          <w:b/>
          <w:color w:val="auto"/>
          <w:sz w:val="28"/>
          <w:szCs w:val="28"/>
          <w:highlight w:val="none"/>
        </w:rPr>
        <w:t>供应商名称：</w:t>
      </w:r>
      <w:r>
        <w:rPr>
          <w:rFonts w:hint="eastAsia" w:ascii="宋体" w:hAnsi="宋体" w:cs="宋体"/>
          <w:b/>
          <w:color w:val="auto"/>
          <w:sz w:val="28"/>
          <w:szCs w:val="28"/>
          <w:highlight w:val="none"/>
          <w:u w:val="single"/>
        </w:rPr>
        <w:t xml:space="preserve">                              （盖单位公章）</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1BBD8856">
      <w:pPr>
        <w:snapToGrid w:val="0"/>
        <w:spacing w:line="400" w:lineRule="exact"/>
        <w:ind w:firstLine="843" w:firstLineChars="300"/>
        <w:rPr>
          <w:rFonts w:hint="eastAsia" w:ascii="宋体" w:hAnsi="宋体" w:cs="宋体"/>
          <w:b/>
          <w:color w:val="auto"/>
          <w:sz w:val="28"/>
          <w:szCs w:val="28"/>
          <w:highlight w:val="none"/>
          <w:u w:val="single"/>
        </w:rPr>
      </w:pPr>
      <w:bookmarkStart w:id="1623" w:name="_Toc357410805"/>
    </w:p>
    <w:p w14:paraId="5124034A">
      <w:pPr>
        <w:snapToGrid w:val="0"/>
        <w:spacing w:line="400" w:lineRule="exact"/>
        <w:ind w:firstLine="843" w:firstLineChars="300"/>
        <w:outlineLvl w:val="0"/>
        <w:rPr>
          <w:rFonts w:hint="eastAsia" w:ascii="宋体" w:hAnsi="宋体" w:cs="宋体"/>
          <w:b/>
          <w:color w:val="auto"/>
          <w:sz w:val="28"/>
          <w:szCs w:val="28"/>
          <w:highlight w:val="none"/>
        </w:rPr>
      </w:pPr>
      <w:bookmarkStart w:id="1624" w:name="_Toc868"/>
      <w:bookmarkStart w:id="1625" w:name="_Toc20076"/>
      <w:bookmarkStart w:id="1626" w:name="_Toc29992"/>
      <w:bookmarkStart w:id="1627" w:name="_Toc27133"/>
      <w:bookmarkStart w:id="1628" w:name="_Toc4503"/>
      <w:bookmarkStart w:id="1629" w:name="_Toc28597"/>
      <w:bookmarkStart w:id="1630" w:name="_Toc23335"/>
      <w:bookmarkStart w:id="1631" w:name="_Toc22640"/>
      <w:bookmarkStart w:id="1632" w:name="_Toc11671"/>
      <w:bookmarkStart w:id="1633" w:name="_Toc12516"/>
      <w:bookmarkStart w:id="1634" w:name="_Toc19335"/>
      <w:bookmarkStart w:id="1635" w:name="_Toc24426"/>
      <w:bookmarkStart w:id="1636" w:name="_Toc1386"/>
      <w:bookmarkStart w:id="1637" w:name="_Toc3189"/>
      <w:bookmarkStart w:id="1638" w:name="_Toc13416"/>
      <w:bookmarkStart w:id="1639" w:name="_Toc15718"/>
      <w:bookmarkStart w:id="1640" w:name="_Toc18001"/>
      <w:bookmarkStart w:id="1641" w:name="_Toc1664"/>
      <w:bookmarkStart w:id="1642" w:name="_Toc27796"/>
      <w:bookmarkStart w:id="1643" w:name="_Toc24148"/>
      <w:bookmarkStart w:id="1644" w:name="_Toc5621"/>
      <w:bookmarkStart w:id="1645" w:name="_Toc13235"/>
      <w:bookmarkStart w:id="1646" w:name="_Toc6549"/>
      <w:bookmarkStart w:id="1647" w:name="_Toc25342"/>
      <w:bookmarkStart w:id="1648" w:name="_Toc27319"/>
      <w:bookmarkStart w:id="1649" w:name="_Toc29545"/>
      <w:bookmarkStart w:id="1650" w:name="_Toc20723"/>
      <w:bookmarkStart w:id="1651" w:name="_Toc27216"/>
      <w:bookmarkStart w:id="1652" w:name="_Toc5268"/>
      <w:bookmarkStart w:id="1653" w:name="_Toc15570"/>
      <w:bookmarkStart w:id="1654" w:name="_Toc16593"/>
      <w:bookmarkStart w:id="1655" w:name="_Toc32348"/>
      <w:r>
        <w:rPr>
          <w:rFonts w:hint="eastAsia" w:ascii="宋体" w:hAnsi="宋体" w:cs="宋体"/>
          <w:b/>
          <w:color w:val="auto"/>
          <w:sz w:val="28"/>
          <w:szCs w:val="28"/>
          <w:highlight w:val="none"/>
        </w:rPr>
        <w:t>法定代表人或其授权代表（签字或盖章）：</w:t>
      </w:r>
      <w:r>
        <w:rPr>
          <w:rFonts w:hint="eastAsia" w:ascii="宋体" w:hAnsi="宋体" w:cs="宋体"/>
          <w:b/>
          <w:color w:val="auto"/>
          <w:w w:val="90"/>
          <w:sz w:val="28"/>
          <w:szCs w:val="28"/>
          <w:highlight w:val="none"/>
          <w:u w:val="single"/>
        </w:rPr>
        <w:t>________________________</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6D9F02A0">
      <w:pPr>
        <w:snapToGrid w:val="0"/>
        <w:spacing w:line="400" w:lineRule="exact"/>
        <w:ind w:firstLine="843" w:firstLineChars="300"/>
        <w:rPr>
          <w:rFonts w:hint="eastAsia" w:ascii="宋体" w:hAnsi="宋体" w:cs="宋体"/>
          <w:b/>
          <w:color w:val="auto"/>
          <w:sz w:val="28"/>
          <w:szCs w:val="28"/>
          <w:highlight w:val="none"/>
        </w:rPr>
      </w:pPr>
    </w:p>
    <w:p w14:paraId="08349EAD">
      <w:pPr>
        <w:snapToGrid w:val="0"/>
        <w:spacing w:line="400" w:lineRule="exact"/>
        <w:ind w:firstLine="843" w:firstLineChars="300"/>
        <w:outlineLvl w:val="0"/>
        <w:rPr>
          <w:rFonts w:hint="eastAsia" w:ascii="宋体" w:hAnsi="宋体" w:cs="宋体"/>
          <w:b/>
          <w:color w:val="auto"/>
          <w:sz w:val="28"/>
          <w:szCs w:val="28"/>
          <w:highlight w:val="none"/>
          <w:u w:val="single"/>
        </w:rPr>
      </w:pPr>
      <w:bookmarkStart w:id="1656" w:name="_Toc15728"/>
      <w:bookmarkStart w:id="1657" w:name="_Toc281"/>
      <w:bookmarkStart w:id="1658" w:name="_Toc16651"/>
      <w:bookmarkStart w:id="1659" w:name="_Toc18174"/>
      <w:bookmarkStart w:id="1660" w:name="_Toc6349"/>
      <w:bookmarkStart w:id="1661" w:name="_Toc28360"/>
      <w:bookmarkStart w:id="1662" w:name="_Toc18087"/>
      <w:bookmarkStart w:id="1663" w:name="_Toc17786"/>
      <w:bookmarkStart w:id="1664" w:name="_Toc19195"/>
      <w:bookmarkStart w:id="1665" w:name="_Toc701"/>
      <w:bookmarkStart w:id="1666" w:name="_Toc1028"/>
      <w:bookmarkStart w:id="1667" w:name="_Toc6793"/>
      <w:bookmarkStart w:id="1668" w:name="_Toc4774"/>
      <w:bookmarkStart w:id="1669" w:name="_Toc24577"/>
      <w:bookmarkStart w:id="1670" w:name="_Toc18119"/>
      <w:bookmarkStart w:id="1671" w:name="_Toc4078"/>
      <w:bookmarkStart w:id="1672" w:name="_Toc13688"/>
      <w:bookmarkStart w:id="1673" w:name="_Toc5758"/>
      <w:bookmarkStart w:id="1674" w:name="_Toc15987"/>
      <w:bookmarkStart w:id="1675" w:name="_Toc2032"/>
      <w:r>
        <w:rPr>
          <w:rFonts w:hint="eastAsia" w:ascii="宋体" w:hAnsi="宋体" w:cs="宋体"/>
          <w:b/>
          <w:color w:val="auto"/>
          <w:sz w:val="28"/>
          <w:szCs w:val="28"/>
          <w:highlight w:val="none"/>
        </w:rPr>
        <w:t>供应商地址：</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Pr>
          <w:rFonts w:hint="eastAsia" w:ascii="宋体" w:hAnsi="宋体" w:cs="宋体"/>
          <w:b/>
          <w:color w:val="auto"/>
          <w:sz w:val="28"/>
          <w:szCs w:val="28"/>
          <w:highlight w:val="none"/>
          <w:u w:val="single"/>
        </w:rPr>
        <w:t xml:space="preserve">                              </w:t>
      </w:r>
      <w:bookmarkEnd w:id="1644"/>
      <w:bookmarkEnd w:id="1645"/>
      <w:bookmarkEnd w:id="1646"/>
      <w:bookmarkEnd w:id="1647"/>
      <w:bookmarkEnd w:id="1648"/>
      <w:bookmarkEnd w:id="1649"/>
      <w:bookmarkEnd w:id="1650"/>
      <w:bookmarkEnd w:id="1651"/>
      <w:bookmarkEnd w:id="1652"/>
      <w:bookmarkEnd w:id="1653"/>
      <w:bookmarkEnd w:id="1654"/>
      <w:bookmarkEnd w:id="1655"/>
      <w:r>
        <w:rPr>
          <w:rFonts w:hint="eastAsia" w:ascii="宋体" w:hAnsi="宋体" w:cs="宋体"/>
          <w:b/>
          <w:color w:val="auto"/>
          <w:sz w:val="28"/>
          <w:szCs w:val="28"/>
          <w:highlight w:val="none"/>
          <w:u w:val="single"/>
        </w:rPr>
        <w:t xml:space="preserve">            </w:t>
      </w:r>
    </w:p>
    <w:p w14:paraId="65B811B6">
      <w:pPr>
        <w:snapToGrid w:val="0"/>
        <w:spacing w:line="400" w:lineRule="exact"/>
        <w:ind w:firstLine="0" w:firstLineChars="0"/>
        <w:rPr>
          <w:rFonts w:hint="eastAsia" w:ascii="宋体" w:hAnsi="宋体" w:cs="宋体"/>
          <w:b/>
          <w:color w:val="auto"/>
          <w:sz w:val="28"/>
          <w:szCs w:val="28"/>
          <w:highlight w:val="none"/>
          <w:u w:val="single"/>
        </w:rPr>
      </w:pPr>
    </w:p>
    <w:p w14:paraId="618C5C2A">
      <w:pPr>
        <w:spacing w:line="400" w:lineRule="exact"/>
        <w:ind w:firstLine="0" w:firstLineChars="0"/>
        <w:jc w:val="center"/>
        <w:rPr>
          <w:rFonts w:hint="eastAsia" w:ascii="宋体" w:hAnsi="宋体" w:cs="宋体"/>
          <w:b/>
          <w:color w:val="auto"/>
          <w:sz w:val="28"/>
          <w:szCs w:val="28"/>
          <w:highlight w:val="none"/>
        </w:rPr>
      </w:pPr>
    </w:p>
    <w:p w14:paraId="60B8AA6C">
      <w:pPr>
        <w:snapToGrid w:val="0"/>
        <w:spacing w:line="400" w:lineRule="exact"/>
        <w:ind w:firstLine="3092" w:firstLineChars="1100"/>
        <w:outlineLvl w:val="0"/>
        <w:rPr>
          <w:rFonts w:hint="eastAsia" w:ascii="宋体" w:hAnsi="宋体" w:cs="宋体"/>
          <w:b/>
          <w:color w:val="auto"/>
          <w:sz w:val="28"/>
          <w:szCs w:val="28"/>
          <w:highlight w:val="none"/>
        </w:rPr>
      </w:pPr>
      <w:bookmarkStart w:id="1676" w:name="_Toc19972"/>
      <w:bookmarkStart w:id="1677" w:name="_Toc26302"/>
      <w:bookmarkStart w:id="1678" w:name="_Toc10056"/>
      <w:bookmarkStart w:id="1679" w:name="_Toc19534"/>
      <w:bookmarkStart w:id="1680" w:name="_Toc15058"/>
      <w:bookmarkStart w:id="1681" w:name="_Toc20748"/>
      <w:bookmarkStart w:id="1682" w:name="_Toc9801"/>
      <w:bookmarkStart w:id="1683" w:name="_Toc6986"/>
      <w:bookmarkStart w:id="1684" w:name="_Toc22474"/>
      <w:bookmarkStart w:id="1685" w:name="_Toc28187"/>
      <w:bookmarkStart w:id="1686" w:name="_Toc2845"/>
      <w:bookmarkStart w:id="1687" w:name="_Toc15552"/>
      <w:bookmarkStart w:id="1688" w:name="_Toc5603"/>
      <w:bookmarkStart w:id="1689" w:name="_Toc2780"/>
      <w:bookmarkStart w:id="1690" w:name="_Toc19033"/>
      <w:bookmarkStart w:id="1691" w:name="_Toc5590"/>
      <w:bookmarkStart w:id="1692" w:name="_Toc17500"/>
      <w:bookmarkStart w:id="1693" w:name="_Toc24375"/>
      <w:bookmarkStart w:id="1694" w:name="_Toc28563"/>
      <w:bookmarkStart w:id="1695" w:name="_Toc8770"/>
      <w:bookmarkStart w:id="1696" w:name="_Toc32038"/>
      <w:bookmarkStart w:id="1697" w:name="_Toc30283"/>
      <w:bookmarkStart w:id="1698" w:name="_Toc19800"/>
      <w:bookmarkStart w:id="1699" w:name="_Toc4124"/>
      <w:bookmarkStart w:id="1700" w:name="_Toc11315"/>
      <w:bookmarkStart w:id="1701" w:name="_Toc5966"/>
      <w:bookmarkStart w:id="1702" w:name="_Toc24169"/>
      <w:bookmarkStart w:id="1703" w:name="_Toc22490"/>
      <w:bookmarkStart w:id="1704" w:name="_Toc22173"/>
      <w:bookmarkStart w:id="1705" w:name="_Toc26447"/>
      <w:bookmarkStart w:id="1706" w:name="_Toc21687"/>
      <w:bookmarkStart w:id="1707" w:name="_Toc10805"/>
      <w:r>
        <w:rPr>
          <w:rFonts w:hint="eastAsia" w:ascii="宋体" w:hAnsi="宋体" w:cs="宋体"/>
          <w:b/>
          <w:color w:val="auto"/>
          <w:sz w:val="28"/>
          <w:szCs w:val="28"/>
          <w:highlight w:val="none"/>
        </w:rPr>
        <w:t>日期：    年   月   日</w:t>
      </w:r>
      <w:bookmarkEnd w:id="1623"/>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276ED20B">
      <w:pPr>
        <w:spacing w:line="400" w:lineRule="exact"/>
        <w:ind w:firstLine="0" w:firstLineChars="0"/>
        <w:jc w:val="center"/>
        <w:rPr>
          <w:rFonts w:hint="eastAsia" w:ascii="宋体" w:hAnsi="宋体" w:cs="宋体"/>
          <w:b/>
          <w:color w:val="auto"/>
          <w:sz w:val="28"/>
          <w:szCs w:val="28"/>
          <w:highlight w:val="none"/>
        </w:rPr>
      </w:pPr>
    </w:p>
    <w:p w14:paraId="617CBD8C">
      <w:pPr>
        <w:pStyle w:val="3"/>
        <w:widowControl/>
        <w:spacing w:before="312" w:after="312"/>
        <w:rPr>
          <w:rFonts w:hint="eastAsia" w:ascii="宋体" w:hAnsi="宋体" w:cs="宋体"/>
          <w:color w:val="auto"/>
          <w:sz w:val="30"/>
          <w:szCs w:val="30"/>
          <w:highlight w:val="none"/>
        </w:rPr>
      </w:pPr>
      <w:r>
        <w:rPr>
          <w:rFonts w:hint="eastAsia" w:ascii="宋体" w:hAnsi="宋体" w:cs="宋体"/>
          <w:color w:val="auto"/>
          <w:sz w:val="30"/>
          <w:szCs w:val="30"/>
          <w:highlight w:val="none"/>
        </w:rPr>
        <w:t>供应商客观分自评分指引表</w:t>
      </w:r>
    </w:p>
    <w:tbl>
      <w:tblPr>
        <w:tblStyle w:val="3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4535"/>
        <w:gridCol w:w="2451"/>
        <w:gridCol w:w="1623"/>
      </w:tblGrid>
      <w:tr w14:paraId="660D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9807DA1">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序号</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1602DD5">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评分项目</w:t>
            </w: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CAFB88">
            <w:pPr>
              <w:snapToGrid w:val="0"/>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投标文件索引（页码）</w:t>
            </w: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2037E4">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自评分</w:t>
            </w:r>
          </w:p>
        </w:tc>
      </w:tr>
      <w:tr w14:paraId="737B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E39BD1">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9DD76DE">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026099A">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E4B229A">
            <w:pPr>
              <w:snapToGrid w:val="0"/>
              <w:ind w:firstLine="440"/>
              <w:jc w:val="center"/>
              <w:rPr>
                <w:rFonts w:hint="eastAsia" w:ascii="宋体" w:hAnsi="宋体" w:cs="宋体"/>
                <w:color w:val="auto"/>
                <w:sz w:val="22"/>
                <w:szCs w:val="22"/>
                <w:highlight w:val="none"/>
              </w:rPr>
            </w:pPr>
          </w:p>
        </w:tc>
      </w:tr>
      <w:tr w14:paraId="62A5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EB794E">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2</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9995CD">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B14CBF7">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7E18B30">
            <w:pPr>
              <w:snapToGrid w:val="0"/>
              <w:ind w:firstLine="440"/>
              <w:jc w:val="center"/>
              <w:rPr>
                <w:rFonts w:hint="eastAsia" w:ascii="宋体" w:hAnsi="宋体" w:cs="宋体"/>
                <w:color w:val="auto"/>
                <w:sz w:val="22"/>
                <w:szCs w:val="22"/>
                <w:highlight w:val="none"/>
              </w:rPr>
            </w:pPr>
          </w:p>
        </w:tc>
      </w:tr>
      <w:tr w14:paraId="1890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AE4EE0">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3</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714AB6A">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00B24B">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8C494E1">
            <w:pPr>
              <w:snapToGrid w:val="0"/>
              <w:ind w:firstLine="440"/>
              <w:jc w:val="center"/>
              <w:rPr>
                <w:rFonts w:hint="eastAsia" w:ascii="宋体" w:hAnsi="宋体" w:cs="宋体"/>
                <w:color w:val="auto"/>
                <w:sz w:val="22"/>
                <w:szCs w:val="22"/>
                <w:highlight w:val="none"/>
              </w:rPr>
            </w:pPr>
          </w:p>
        </w:tc>
      </w:tr>
      <w:tr w14:paraId="0F16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1FF59A7">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4</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C1F5965">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9B5701B">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09A6B64">
            <w:pPr>
              <w:snapToGrid w:val="0"/>
              <w:ind w:firstLine="440"/>
              <w:jc w:val="center"/>
              <w:rPr>
                <w:rFonts w:hint="eastAsia" w:ascii="宋体" w:hAnsi="宋体" w:cs="宋体"/>
                <w:color w:val="auto"/>
                <w:sz w:val="22"/>
                <w:szCs w:val="22"/>
                <w:highlight w:val="none"/>
              </w:rPr>
            </w:pPr>
          </w:p>
        </w:tc>
      </w:tr>
      <w:tr w14:paraId="4209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1684FE0">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5</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CD257B">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E23C91B">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DE70074">
            <w:pPr>
              <w:snapToGrid w:val="0"/>
              <w:ind w:firstLine="440"/>
              <w:jc w:val="center"/>
              <w:rPr>
                <w:rFonts w:hint="eastAsia" w:ascii="宋体" w:hAnsi="宋体" w:cs="宋体"/>
                <w:color w:val="auto"/>
                <w:sz w:val="22"/>
                <w:szCs w:val="22"/>
                <w:highlight w:val="none"/>
              </w:rPr>
            </w:pPr>
          </w:p>
        </w:tc>
      </w:tr>
      <w:tr w14:paraId="3D21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543B564">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6</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92ABD9">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2D77AAD">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8A0655">
            <w:pPr>
              <w:snapToGrid w:val="0"/>
              <w:ind w:firstLine="440"/>
              <w:jc w:val="center"/>
              <w:rPr>
                <w:rFonts w:hint="eastAsia" w:ascii="宋体" w:hAnsi="宋体" w:cs="宋体"/>
                <w:color w:val="auto"/>
                <w:sz w:val="22"/>
                <w:szCs w:val="22"/>
                <w:highlight w:val="none"/>
              </w:rPr>
            </w:pPr>
          </w:p>
        </w:tc>
      </w:tr>
      <w:tr w14:paraId="2CF8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6887D9">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7</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30755B">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1328FA">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180803">
            <w:pPr>
              <w:snapToGrid w:val="0"/>
              <w:ind w:firstLine="440"/>
              <w:jc w:val="center"/>
              <w:rPr>
                <w:rFonts w:hint="eastAsia" w:ascii="宋体" w:hAnsi="宋体" w:cs="宋体"/>
                <w:color w:val="auto"/>
                <w:sz w:val="22"/>
                <w:szCs w:val="22"/>
                <w:highlight w:val="none"/>
              </w:rPr>
            </w:pPr>
          </w:p>
        </w:tc>
      </w:tr>
      <w:tr w14:paraId="059E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71B956">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8</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DFE8F1">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F83114">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7FA9B3">
            <w:pPr>
              <w:snapToGrid w:val="0"/>
              <w:ind w:firstLine="440"/>
              <w:jc w:val="center"/>
              <w:rPr>
                <w:rFonts w:hint="eastAsia" w:ascii="宋体" w:hAnsi="宋体" w:cs="宋体"/>
                <w:color w:val="auto"/>
                <w:sz w:val="22"/>
                <w:szCs w:val="22"/>
                <w:highlight w:val="none"/>
              </w:rPr>
            </w:pPr>
          </w:p>
        </w:tc>
      </w:tr>
      <w:tr w14:paraId="682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F08C1D4">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9</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009BDD">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8682973">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F0B1B82">
            <w:pPr>
              <w:snapToGrid w:val="0"/>
              <w:ind w:firstLine="440"/>
              <w:jc w:val="center"/>
              <w:rPr>
                <w:rFonts w:hint="eastAsia" w:ascii="宋体" w:hAnsi="宋体" w:cs="宋体"/>
                <w:color w:val="auto"/>
                <w:sz w:val="22"/>
                <w:szCs w:val="22"/>
                <w:highlight w:val="none"/>
              </w:rPr>
            </w:pPr>
          </w:p>
        </w:tc>
      </w:tr>
      <w:tr w14:paraId="32D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1B8F01">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10</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549F993">
            <w:pPr>
              <w:snapToGrid w:val="0"/>
              <w:ind w:firstLine="440"/>
              <w:jc w:val="center"/>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F83893">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A9F0D69">
            <w:pPr>
              <w:snapToGrid w:val="0"/>
              <w:ind w:firstLine="440"/>
              <w:jc w:val="center"/>
              <w:rPr>
                <w:rFonts w:hint="eastAsia" w:ascii="宋体" w:hAnsi="宋体" w:cs="宋体"/>
                <w:color w:val="auto"/>
                <w:sz w:val="22"/>
                <w:szCs w:val="22"/>
                <w:highlight w:val="none"/>
              </w:rPr>
            </w:pPr>
          </w:p>
        </w:tc>
      </w:tr>
      <w:tr w14:paraId="098F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756185">
            <w:pPr>
              <w:snapToGrid w:val="0"/>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11</w:t>
            </w: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2AFB7E">
            <w:pPr>
              <w:snapToGrid w:val="0"/>
              <w:spacing w:line="300" w:lineRule="exact"/>
              <w:ind w:firstLine="440"/>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BFED1E3">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9C6C562">
            <w:pPr>
              <w:snapToGrid w:val="0"/>
              <w:ind w:firstLine="440"/>
              <w:jc w:val="center"/>
              <w:rPr>
                <w:rFonts w:hint="eastAsia" w:ascii="宋体" w:hAnsi="宋体" w:cs="宋体"/>
                <w:color w:val="auto"/>
                <w:sz w:val="22"/>
                <w:szCs w:val="22"/>
                <w:highlight w:val="none"/>
              </w:rPr>
            </w:pPr>
          </w:p>
        </w:tc>
      </w:tr>
      <w:tr w14:paraId="518A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7A15C1">
            <w:pPr>
              <w:snapToGrid w:val="0"/>
              <w:ind w:firstLine="440"/>
              <w:jc w:val="center"/>
              <w:rPr>
                <w:rFonts w:hint="eastAsia" w:ascii="宋体" w:hAnsi="宋体" w:cs="宋体"/>
                <w:color w:val="auto"/>
                <w:sz w:val="22"/>
                <w:szCs w:val="22"/>
                <w:highlight w:val="none"/>
              </w:rPr>
            </w:pP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A1641A">
            <w:pPr>
              <w:snapToGrid w:val="0"/>
              <w:spacing w:line="300" w:lineRule="exact"/>
              <w:ind w:firstLine="440"/>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8A353A">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28CE9B">
            <w:pPr>
              <w:snapToGrid w:val="0"/>
              <w:ind w:firstLine="440"/>
              <w:jc w:val="center"/>
              <w:rPr>
                <w:rFonts w:hint="eastAsia" w:ascii="宋体" w:hAnsi="宋体" w:cs="宋体"/>
                <w:color w:val="auto"/>
                <w:sz w:val="22"/>
                <w:szCs w:val="22"/>
                <w:highlight w:val="none"/>
              </w:rPr>
            </w:pPr>
          </w:p>
        </w:tc>
      </w:tr>
      <w:tr w14:paraId="72B5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4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B259007">
            <w:pPr>
              <w:snapToGrid w:val="0"/>
              <w:ind w:firstLine="440"/>
              <w:jc w:val="center"/>
              <w:rPr>
                <w:rFonts w:hint="eastAsia" w:ascii="宋体" w:hAnsi="宋体" w:cs="宋体"/>
                <w:color w:val="auto"/>
                <w:sz w:val="22"/>
                <w:szCs w:val="22"/>
                <w:highlight w:val="none"/>
              </w:rPr>
            </w:pPr>
          </w:p>
        </w:tc>
        <w:tc>
          <w:tcPr>
            <w:tcW w:w="45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B134631">
            <w:pPr>
              <w:snapToGrid w:val="0"/>
              <w:spacing w:line="300" w:lineRule="exact"/>
              <w:ind w:firstLine="440"/>
              <w:rPr>
                <w:rFonts w:hint="eastAsia" w:ascii="宋体" w:hAnsi="宋体" w:cs="宋体"/>
                <w:color w:val="auto"/>
                <w:sz w:val="22"/>
                <w:szCs w:val="22"/>
                <w:highlight w:val="none"/>
              </w:rPr>
            </w:pPr>
          </w:p>
        </w:tc>
        <w:tc>
          <w:tcPr>
            <w:tcW w:w="2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D78A3FC">
            <w:pPr>
              <w:snapToGrid w:val="0"/>
              <w:ind w:firstLine="440"/>
              <w:jc w:val="center"/>
              <w:rPr>
                <w:rFonts w:hint="eastAsia" w:ascii="宋体" w:hAnsi="宋体" w:cs="宋体"/>
                <w:color w:val="auto"/>
                <w:sz w:val="22"/>
                <w:szCs w:val="22"/>
                <w:highlight w:val="none"/>
              </w:rPr>
            </w:pPr>
          </w:p>
        </w:tc>
        <w:tc>
          <w:tcPr>
            <w:tcW w:w="162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37E0BF">
            <w:pPr>
              <w:snapToGrid w:val="0"/>
              <w:ind w:firstLine="440"/>
              <w:jc w:val="center"/>
              <w:rPr>
                <w:rFonts w:hint="eastAsia" w:ascii="宋体" w:hAnsi="宋体" w:cs="宋体"/>
                <w:color w:val="auto"/>
                <w:sz w:val="22"/>
                <w:szCs w:val="22"/>
                <w:highlight w:val="none"/>
              </w:rPr>
            </w:pPr>
          </w:p>
        </w:tc>
      </w:tr>
    </w:tbl>
    <w:p w14:paraId="49B6A590">
      <w:pPr>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7EFA6B23">
      <w:pPr>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67ED1825">
      <w:pPr>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0DC43C27">
      <w:pPr>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3C446F8C">
      <w:pPr>
        <w:ind w:firstLine="0" w:firstLineChars="0"/>
        <w:rPr>
          <w:rFonts w:hint="eastAsia" w:ascii="宋体" w:hAnsi="宋体" w:cs="宋体"/>
          <w:b/>
          <w:bCs/>
          <w:color w:val="auto"/>
          <w:highlight w:val="none"/>
          <w:lang w:bidi="ar"/>
        </w:rPr>
      </w:pPr>
      <w:r>
        <w:rPr>
          <w:rFonts w:hint="eastAsia" w:ascii="宋体" w:hAnsi="宋体" w:cs="宋体"/>
          <w:b/>
          <w:bCs/>
          <w:color w:val="auto"/>
          <w:highlight w:val="none"/>
          <w:lang w:bidi="ar"/>
        </w:rPr>
        <w:t xml:space="preserve"> </w:t>
      </w:r>
    </w:p>
    <w:p w14:paraId="28781D5C">
      <w:pPr>
        <w:pStyle w:val="4"/>
        <w:spacing w:before="156" w:after="156"/>
        <w:rPr>
          <w:color w:val="auto"/>
          <w:highlight w:val="none"/>
        </w:rPr>
      </w:pPr>
    </w:p>
    <w:p w14:paraId="230B218C">
      <w:pPr>
        <w:pStyle w:val="38"/>
        <w:ind w:left="480" w:firstLine="482"/>
        <w:rPr>
          <w:rFonts w:hint="eastAsia" w:ascii="宋体" w:hAnsi="宋体" w:cs="宋体"/>
          <w:b/>
          <w:bCs/>
          <w:color w:val="auto"/>
          <w:highlight w:val="none"/>
          <w:lang w:bidi="ar"/>
        </w:rPr>
      </w:pPr>
    </w:p>
    <w:p w14:paraId="7D12CA80">
      <w:pPr>
        <w:ind w:firstLine="480"/>
        <w:rPr>
          <w:color w:val="auto"/>
          <w:highlight w:val="none"/>
        </w:rPr>
      </w:pPr>
    </w:p>
    <w:p w14:paraId="54EF9E1D">
      <w:pPr>
        <w:ind w:firstLine="0" w:firstLineChars="0"/>
        <w:outlineLvl w:val="2"/>
        <w:rPr>
          <w:rFonts w:hint="eastAsia" w:ascii="宋体" w:hAnsi="宋体" w:cs="宋体"/>
          <w:b/>
          <w:bCs/>
          <w:color w:val="auto"/>
          <w:highlight w:val="none"/>
        </w:rPr>
      </w:pPr>
      <w:r>
        <w:rPr>
          <w:rFonts w:hint="eastAsia" w:ascii="宋体" w:hAnsi="宋体" w:cs="宋体"/>
          <w:b/>
          <w:bCs/>
          <w:color w:val="auto"/>
          <w:highlight w:val="none"/>
          <w:lang w:bidi="ar"/>
        </w:rPr>
        <w:t>附件1</w:t>
      </w:r>
    </w:p>
    <w:p w14:paraId="0791A411">
      <w:pPr>
        <w:ind w:firstLine="0" w:firstLineChars="0"/>
        <w:jc w:val="center"/>
        <w:outlineLvl w:val="0"/>
        <w:rPr>
          <w:rFonts w:hint="eastAsia" w:ascii="宋体" w:hAnsi="宋体" w:cs="宋体"/>
          <w:b/>
          <w:color w:val="auto"/>
          <w:highlight w:val="none"/>
        </w:rPr>
      </w:pPr>
      <w:r>
        <w:rPr>
          <w:rFonts w:hint="eastAsia" w:ascii="宋体" w:hAnsi="宋体" w:cs="宋体"/>
          <w:b/>
          <w:color w:val="auto"/>
          <w:sz w:val="32"/>
          <w:szCs w:val="32"/>
          <w:highlight w:val="none"/>
          <w:lang w:bidi="ar"/>
        </w:rPr>
        <w:t>供应商基本情况表</w:t>
      </w:r>
    </w:p>
    <w:tbl>
      <w:tblPr>
        <w:tblStyle w:val="39"/>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423"/>
        <w:gridCol w:w="2313"/>
        <w:gridCol w:w="187"/>
        <w:gridCol w:w="1837"/>
      </w:tblGrid>
      <w:tr w14:paraId="072C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2" w:type="dxa"/>
            <w:gridSpan w:val="5"/>
            <w:tcBorders>
              <w:top w:val="single" w:color="auto" w:sz="4" w:space="0"/>
              <w:left w:val="single" w:color="auto" w:sz="4" w:space="0"/>
              <w:bottom w:val="single" w:color="auto" w:sz="4" w:space="0"/>
              <w:right w:val="single" w:color="auto" w:sz="4" w:space="0"/>
            </w:tcBorders>
            <w:vAlign w:val="center"/>
          </w:tcPr>
          <w:p w14:paraId="794FD85E">
            <w:pPr>
              <w:snapToGrid w:val="0"/>
              <w:spacing w:before="93" w:beforeLines="30" w:after="93" w:afterLines="30" w:line="240" w:lineRule="auto"/>
              <w:ind w:firstLine="0" w:firstLineChars="0"/>
              <w:jc w:val="center"/>
              <w:rPr>
                <w:rFonts w:hint="eastAsia" w:ascii="宋体" w:hAnsi="宋体" w:cs="宋体"/>
                <w:color w:val="auto"/>
                <w:sz w:val="22"/>
                <w:szCs w:val="22"/>
                <w:highlight w:val="none"/>
              </w:rPr>
            </w:pPr>
            <w:r>
              <w:rPr>
                <w:rFonts w:hint="eastAsia" w:ascii="宋体" w:hAnsi="宋体" w:cs="宋体"/>
                <w:color w:val="auto"/>
                <w:highlight w:val="none"/>
                <w:lang w:bidi="ar"/>
              </w:rPr>
              <w:t>供应商信息</w:t>
            </w:r>
          </w:p>
        </w:tc>
      </w:tr>
      <w:tr w14:paraId="48E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54B1152E">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供应商名称</w:t>
            </w:r>
          </w:p>
        </w:tc>
        <w:tc>
          <w:tcPr>
            <w:tcW w:w="7760" w:type="dxa"/>
            <w:gridSpan w:val="4"/>
            <w:tcBorders>
              <w:top w:val="single" w:color="auto" w:sz="4" w:space="0"/>
              <w:left w:val="nil"/>
              <w:bottom w:val="single" w:color="auto" w:sz="4" w:space="0"/>
              <w:right w:val="single" w:color="auto" w:sz="4" w:space="0"/>
            </w:tcBorders>
            <w:vAlign w:val="center"/>
          </w:tcPr>
          <w:p w14:paraId="28867282">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7257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62AA51EB">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联合体</w:t>
            </w:r>
          </w:p>
        </w:tc>
        <w:tc>
          <w:tcPr>
            <w:tcW w:w="3423" w:type="dxa"/>
            <w:tcBorders>
              <w:top w:val="single" w:color="auto" w:sz="4" w:space="0"/>
              <w:left w:val="nil"/>
              <w:bottom w:val="single" w:color="auto" w:sz="4" w:space="0"/>
              <w:right w:val="single" w:color="auto" w:sz="4" w:space="0"/>
            </w:tcBorders>
            <w:vAlign w:val="center"/>
          </w:tcPr>
          <w:p w14:paraId="3B1584A8">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 xml:space="preserve">是□ </w:t>
            </w:r>
            <w:r>
              <w:rPr>
                <w:color w:val="auto"/>
                <w:sz w:val="22"/>
                <w:szCs w:val="22"/>
                <w:highlight w:val="none"/>
                <w:lang w:bidi="ar"/>
              </w:rPr>
              <w:t xml:space="preserve">   </w:t>
            </w:r>
            <w:r>
              <w:rPr>
                <w:rFonts w:hint="eastAsia" w:ascii="宋体" w:hAnsi="宋体" w:cs="宋体"/>
                <w:color w:val="auto"/>
                <w:sz w:val="22"/>
                <w:szCs w:val="22"/>
                <w:highlight w:val="none"/>
                <w:lang w:bidi="ar"/>
              </w:rPr>
              <w:t>否□</w:t>
            </w:r>
          </w:p>
        </w:tc>
        <w:tc>
          <w:tcPr>
            <w:tcW w:w="2500" w:type="dxa"/>
            <w:gridSpan w:val="2"/>
            <w:tcBorders>
              <w:top w:val="single" w:color="auto" w:sz="4" w:space="0"/>
              <w:left w:val="nil"/>
              <w:bottom w:val="single" w:color="auto" w:sz="4" w:space="0"/>
              <w:right w:val="single" w:color="auto" w:sz="4" w:space="0"/>
            </w:tcBorders>
            <w:vAlign w:val="center"/>
          </w:tcPr>
          <w:p w14:paraId="438EE42B">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联合体成员单位</w:t>
            </w:r>
          </w:p>
        </w:tc>
        <w:tc>
          <w:tcPr>
            <w:tcW w:w="1837" w:type="dxa"/>
            <w:tcBorders>
              <w:top w:val="single" w:color="auto" w:sz="4" w:space="0"/>
              <w:left w:val="nil"/>
              <w:bottom w:val="single" w:color="auto" w:sz="4" w:space="0"/>
              <w:right w:val="single" w:color="auto" w:sz="4" w:space="0"/>
            </w:tcBorders>
            <w:vAlign w:val="center"/>
          </w:tcPr>
          <w:p w14:paraId="5BD415DE">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5A81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2E706C85">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性质</w:t>
            </w:r>
          </w:p>
        </w:tc>
        <w:tc>
          <w:tcPr>
            <w:tcW w:w="7760" w:type="dxa"/>
            <w:gridSpan w:val="4"/>
            <w:tcBorders>
              <w:top w:val="single" w:color="auto" w:sz="4" w:space="0"/>
              <w:left w:val="nil"/>
              <w:bottom w:val="single" w:color="auto" w:sz="4" w:space="0"/>
              <w:right w:val="single" w:color="auto" w:sz="4" w:space="0"/>
            </w:tcBorders>
            <w:vAlign w:val="center"/>
          </w:tcPr>
          <w:p w14:paraId="29FFEF07">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 xml:space="preserve">国有□ </w:t>
            </w:r>
            <w:r>
              <w:rPr>
                <w:color w:val="auto"/>
                <w:sz w:val="22"/>
                <w:szCs w:val="22"/>
                <w:highlight w:val="none"/>
                <w:lang w:bidi="ar"/>
              </w:rPr>
              <w:t xml:space="preserve">    </w:t>
            </w:r>
            <w:r>
              <w:rPr>
                <w:rFonts w:hint="eastAsia" w:ascii="宋体" w:hAnsi="宋体" w:cs="宋体"/>
                <w:color w:val="auto"/>
                <w:sz w:val="22"/>
                <w:szCs w:val="22"/>
                <w:highlight w:val="none"/>
                <w:lang w:bidi="ar"/>
              </w:rPr>
              <w:t xml:space="preserve">国有控股□ </w:t>
            </w:r>
            <w:r>
              <w:rPr>
                <w:color w:val="auto"/>
                <w:sz w:val="22"/>
                <w:szCs w:val="22"/>
                <w:highlight w:val="none"/>
                <w:lang w:bidi="ar"/>
              </w:rPr>
              <w:t xml:space="preserve">    </w:t>
            </w:r>
            <w:r>
              <w:rPr>
                <w:rFonts w:hint="eastAsia" w:ascii="宋体" w:hAnsi="宋体" w:cs="宋体"/>
                <w:color w:val="auto"/>
                <w:sz w:val="22"/>
                <w:szCs w:val="22"/>
                <w:highlight w:val="none"/>
                <w:lang w:bidi="ar"/>
              </w:rPr>
              <w:t xml:space="preserve">私营□ </w:t>
            </w:r>
            <w:r>
              <w:rPr>
                <w:color w:val="auto"/>
                <w:sz w:val="22"/>
                <w:szCs w:val="22"/>
                <w:highlight w:val="none"/>
                <w:lang w:bidi="ar"/>
              </w:rPr>
              <w:t xml:space="preserve">    </w:t>
            </w:r>
            <w:r>
              <w:rPr>
                <w:rFonts w:hint="eastAsia" w:ascii="宋体" w:hAnsi="宋体" w:cs="宋体"/>
                <w:color w:val="auto"/>
                <w:sz w:val="22"/>
                <w:szCs w:val="22"/>
                <w:highlight w:val="none"/>
                <w:lang w:bidi="ar"/>
              </w:rPr>
              <w:t>事业单位□</w:t>
            </w:r>
          </w:p>
        </w:tc>
      </w:tr>
      <w:tr w14:paraId="3D20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3B30B31D">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统一社会信用代码</w:t>
            </w:r>
          </w:p>
        </w:tc>
        <w:tc>
          <w:tcPr>
            <w:tcW w:w="3423" w:type="dxa"/>
            <w:tcBorders>
              <w:top w:val="single" w:color="auto" w:sz="4" w:space="0"/>
              <w:left w:val="nil"/>
              <w:bottom w:val="single" w:color="auto" w:sz="4" w:space="0"/>
              <w:right w:val="single" w:color="auto" w:sz="4" w:space="0"/>
            </w:tcBorders>
            <w:vAlign w:val="center"/>
          </w:tcPr>
          <w:p w14:paraId="56543733">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77D68D4B">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注册资本</w:t>
            </w:r>
          </w:p>
        </w:tc>
        <w:tc>
          <w:tcPr>
            <w:tcW w:w="2024" w:type="dxa"/>
            <w:gridSpan w:val="2"/>
            <w:tcBorders>
              <w:top w:val="single" w:color="auto" w:sz="4" w:space="0"/>
              <w:left w:val="nil"/>
              <w:bottom w:val="single" w:color="auto" w:sz="4" w:space="0"/>
              <w:right w:val="single" w:color="auto" w:sz="4" w:space="0"/>
            </w:tcBorders>
            <w:vAlign w:val="center"/>
          </w:tcPr>
          <w:p w14:paraId="7CF77A6B">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1FE6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19F46073">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法定代表人</w:t>
            </w:r>
          </w:p>
        </w:tc>
        <w:tc>
          <w:tcPr>
            <w:tcW w:w="3423" w:type="dxa"/>
            <w:tcBorders>
              <w:top w:val="single" w:color="auto" w:sz="4" w:space="0"/>
              <w:left w:val="nil"/>
              <w:bottom w:val="single" w:color="auto" w:sz="4" w:space="0"/>
              <w:right w:val="single" w:color="auto" w:sz="4" w:space="0"/>
            </w:tcBorders>
            <w:vAlign w:val="center"/>
          </w:tcPr>
          <w:p w14:paraId="4F24DE77">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54774808">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技术负责人</w:t>
            </w:r>
          </w:p>
        </w:tc>
        <w:tc>
          <w:tcPr>
            <w:tcW w:w="2024" w:type="dxa"/>
            <w:gridSpan w:val="2"/>
            <w:tcBorders>
              <w:top w:val="single" w:color="auto" w:sz="4" w:space="0"/>
              <w:left w:val="nil"/>
              <w:bottom w:val="single" w:color="auto" w:sz="4" w:space="0"/>
              <w:right w:val="single" w:color="auto" w:sz="4" w:space="0"/>
            </w:tcBorders>
            <w:vAlign w:val="center"/>
          </w:tcPr>
          <w:p w14:paraId="7F133BB6">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6483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6EEF71BE">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通信地址</w:t>
            </w:r>
          </w:p>
        </w:tc>
        <w:tc>
          <w:tcPr>
            <w:tcW w:w="3423" w:type="dxa"/>
            <w:tcBorders>
              <w:top w:val="single" w:color="auto" w:sz="4" w:space="0"/>
              <w:left w:val="nil"/>
              <w:bottom w:val="single" w:color="auto" w:sz="4" w:space="0"/>
              <w:right w:val="single" w:color="auto" w:sz="4" w:space="0"/>
            </w:tcBorders>
            <w:vAlign w:val="center"/>
          </w:tcPr>
          <w:p w14:paraId="72EB7E0E">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4F4FDEFD">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邮政编码</w:t>
            </w:r>
          </w:p>
        </w:tc>
        <w:tc>
          <w:tcPr>
            <w:tcW w:w="2024" w:type="dxa"/>
            <w:gridSpan w:val="2"/>
            <w:tcBorders>
              <w:top w:val="single" w:color="auto" w:sz="4" w:space="0"/>
              <w:left w:val="nil"/>
              <w:bottom w:val="single" w:color="auto" w:sz="4" w:space="0"/>
              <w:right w:val="single" w:color="auto" w:sz="4" w:space="0"/>
            </w:tcBorders>
            <w:vAlign w:val="center"/>
          </w:tcPr>
          <w:p w14:paraId="462A6C26">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4F3B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2C419120">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公司电话</w:t>
            </w:r>
          </w:p>
        </w:tc>
        <w:tc>
          <w:tcPr>
            <w:tcW w:w="3423" w:type="dxa"/>
            <w:tcBorders>
              <w:top w:val="single" w:color="auto" w:sz="4" w:space="0"/>
              <w:left w:val="nil"/>
              <w:bottom w:val="single" w:color="auto" w:sz="4" w:space="0"/>
              <w:right w:val="single" w:color="auto" w:sz="4" w:space="0"/>
            </w:tcBorders>
            <w:vAlign w:val="center"/>
          </w:tcPr>
          <w:p w14:paraId="6A6952D6">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659BD041">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传真</w:t>
            </w:r>
          </w:p>
        </w:tc>
        <w:tc>
          <w:tcPr>
            <w:tcW w:w="2024" w:type="dxa"/>
            <w:gridSpan w:val="2"/>
            <w:tcBorders>
              <w:top w:val="single" w:color="auto" w:sz="4" w:space="0"/>
              <w:left w:val="nil"/>
              <w:bottom w:val="single" w:color="auto" w:sz="4" w:space="0"/>
              <w:right w:val="single" w:color="auto" w:sz="4" w:space="0"/>
            </w:tcBorders>
            <w:vAlign w:val="center"/>
          </w:tcPr>
          <w:p w14:paraId="259138C3">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460B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3402B7B2">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公司网址</w:t>
            </w:r>
          </w:p>
        </w:tc>
        <w:tc>
          <w:tcPr>
            <w:tcW w:w="3423" w:type="dxa"/>
            <w:tcBorders>
              <w:top w:val="single" w:color="auto" w:sz="4" w:space="0"/>
              <w:left w:val="nil"/>
              <w:bottom w:val="single" w:color="auto" w:sz="4" w:space="0"/>
              <w:right w:val="single" w:color="auto" w:sz="4" w:space="0"/>
            </w:tcBorders>
            <w:vAlign w:val="center"/>
          </w:tcPr>
          <w:p w14:paraId="674DFFB4">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365786A4">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电子邮箱</w:t>
            </w:r>
          </w:p>
        </w:tc>
        <w:tc>
          <w:tcPr>
            <w:tcW w:w="2024" w:type="dxa"/>
            <w:gridSpan w:val="2"/>
            <w:tcBorders>
              <w:top w:val="single" w:color="auto" w:sz="4" w:space="0"/>
              <w:left w:val="nil"/>
              <w:bottom w:val="single" w:color="auto" w:sz="4" w:space="0"/>
              <w:right w:val="single" w:color="auto" w:sz="4" w:space="0"/>
            </w:tcBorders>
            <w:vAlign w:val="center"/>
          </w:tcPr>
          <w:p w14:paraId="56D50AC8">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1382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432A3F29">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开户银行</w:t>
            </w:r>
          </w:p>
        </w:tc>
        <w:tc>
          <w:tcPr>
            <w:tcW w:w="3423" w:type="dxa"/>
            <w:tcBorders>
              <w:top w:val="single" w:color="auto" w:sz="4" w:space="0"/>
              <w:left w:val="nil"/>
              <w:bottom w:val="single" w:color="auto" w:sz="4" w:space="0"/>
              <w:right w:val="single" w:color="auto" w:sz="4" w:space="0"/>
            </w:tcBorders>
            <w:vAlign w:val="center"/>
          </w:tcPr>
          <w:p w14:paraId="46C5CFAD">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2DBCFA23">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账号</w:t>
            </w:r>
          </w:p>
        </w:tc>
        <w:tc>
          <w:tcPr>
            <w:tcW w:w="2024" w:type="dxa"/>
            <w:gridSpan w:val="2"/>
            <w:tcBorders>
              <w:top w:val="single" w:color="auto" w:sz="4" w:space="0"/>
              <w:left w:val="nil"/>
              <w:bottom w:val="single" w:color="auto" w:sz="4" w:space="0"/>
              <w:right w:val="single" w:color="auto" w:sz="4" w:space="0"/>
            </w:tcBorders>
            <w:vAlign w:val="center"/>
          </w:tcPr>
          <w:p w14:paraId="45D4E5D5">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14B1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vMerge w:val="restart"/>
            <w:tcBorders>
              <w:top w:val="nil"/>
              <w:left w:val="single" w:color="auto" w:sz="4" w:space="0"/>
              <w:bottom w:val="single" w:color="auto" w:sz="4" w:space="0"/>
              <w:right w:val="single" w:color="auto" w:sz="4" w:space="0"/>
            </w:tcBorders>
            <w:vAlign w:val="center"/>
          </w:tcPr>
          <w:p w14:paraId="7DC97D40">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人员情况</w:t>
            </w:r>
          </w:p>
        </w:tc>
        <w:tc>
          <w:tcPr>
            <w:tcW w:w="7760" w:type="dxa"/>
            <w:gridSpan w:val="4"/>
            <w:tcBorders>
              <w:top w:val="single" w:color="auto" w:sz="4" w:space="0"/>
              <w:left w:val="nil"/>
              <w:bottom w:val="single" w:color="auto" w:sz="4" w:space="0"/>
              <w:right w:val="single" w:color="auto" w:sz="4" w:space="0"/>
            </w:tcBorders>
            <w:vAlign w:val="center"/>
          </w:tcPr>
          <w:p w14:paraId="35D7039A">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项目负责人：</w:t>
            </w:r>
            <w:r>
              <w:rPr>
                <w:color w:val="auto"/>
                <w:sz w:val="22"/>
                <w:szCs w:val="22"/>
                <w:highlight w:val="none"/>
                <w:lang w:bidi="ar"/>
              </w:rPr>
              <w:t xml:space="preserve">            </w:t>
            </w:r>
            <w:r>
              <w:rPr>
                <w:rFonts w:hint="eastAsia" w:ascii="宋体" w:hAnsi="宋体" w:cs="宋体"/>
                <w:color w:val="auto"/>
                <w:sz w:val="22"/>
                <w:szCs w:val="22"/>
                <w:highlight w:val="none"/>
                <w:lang w:bidi="ar"/>
              </w:rPr>
              <w:t>电话：</w:t>
            </w:r>
          </w:p>
        </w:tc>
      </w:tr>
      <w:tr w14:paraId="5839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vMerge w:val="continue"/>
            <w:tcBorders>
              <w:top w:val="nil"/>
              <w:left w:val="single" w:color="auto" w:sz="4" w:space="0"/>
              <w:bottom w:val="single" w:color="auto" w:sz="4" w:space="0"/>
              <w:right w:val="single" w:color="auto" w:sz="4" w:space="0"/>
            </w:tcBorders>
            <w:vAlign w:val="center"/>
          </w:tcPr>
          <w:p w14:paraId="0915CB3C">
            <w:pPr>
              <w:spacing w:line="240" w:lineRule="auto"/>
              <w:ind w:firstLine="400"/>
              <w:rPr>
                <w:color w:val="auto"/>
                <w:sz w:val="20"/>
                <w:szCs w:val="20"/>
                <w:highlight w:val="none"/>
              </w:rPr>
            </w:pPr>
          </w:p>
        </w:tc>
        <w:tc>
          <w:tcPr>
            <w:tcW w:w="7760" w:type="dxa"/>
            <w:gridSpan w:val="4"/>
            <w:tcBorders>
              <w:top w:val="single" w:color="auto" w:sz="4" w:space="0"/>
              <w:left w:val="nil"/>
              <w:bottom w:val="single" w:color="auto" w:sz="4" w:space="0"/>
              <w:right w:val="single" w:color="auto" w:sz="4" w:space="0"/>
            </w:tcBorders>
            <w:vAlign w:val="center"/>
          </w:tcPr>
          <w:p w14:paraId="24227046">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高级职称人数：</w:t>
            </w:r>
            <w:r>
              <w:rPr>
                <w:color w:val="auto"/>
                <w:sz w:val="22"/>
                <w:szCs w:val="22"/>
                <w:highlight w:val="none"/>
                <w:lang w:bidi="ar"/>
              </w:rPr>
              <w:t xml:space="preserve">    </w:t>
            </w:r>
            <w:r>
              <w:rPr>
                <w:rFonts w:hint="eastAsia" w:ascii="宋体" w:hAnsi="宋体" w:cs="宋体"/>
                <w:color w:val="auto"/>
                <w:sz w:val="22"/>
                <w:szCs w:val="22"/>
                <w:highlight w:val="none"/>
                <w:lang w:bidi="ar"/>
              </w:rPr>
              <w:t>人，中级职称人数：</w:t>
            </w:r>
            <w:r>
              <w:rPr>
                <w:color w:val="auto"/>
                <w:sz w:val="22"/>
                <w:szCs w:val="22"/>
                <w:highlight w:val="none"/>
                <w:lang w:bidi="ar"/>
              </w:rPr>
              <w:t xml:space="preserve">    </w:t>
            </w:r>
            <w:r>
              <w:rPr>
                <w:rFonts w:hint="eastAsia" w:ascii="宋体" w:hAnsi="宋体" w:cs="宋体"/>
                <w:color w:val="auto"/>
                <w:sz w:val="22"/>
                <w:szCs w:val="22"/>
                <w:highlight w:val="none"/>
                <w:lang w:bidi="ar"/>
              </w:rPr>
              <w:t>人，初级职称人数：</w:t>
            </w:r>
            <w:r>
              <w:rPr>
                <w:color w:val="auto"/>
                <w:sz w:val="22"/>
                <w:szCs w:val="22"/>
                <w:highlight w:val="none"/>
                <w:lang w:bidi="ar"/>
              </w:rPr>
              <w:t xml:space="preserve">    </w:t>
            </w:r>
            <w:r>
              <w:rPr>
                <w:rFonts w:hint="eastAsia" w:ascii="宋体" w:hAnsi="宋体" w:cs="宋体"/>
                <w:color w:val="auto"/>
                <w:sz w:val="22"/>
                <w:szCs w:val="22"/>
                <w:highlight w:val="none"/>
                <w:lang w:bidi="ar"/>
              </w:rPr>
              <w:t>人</w:t>
            </w:r>
          </w:p>
        </w:tc>
      </w:tr>
      <w:tr w14:paraId="375E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82" w:type="dxa"/>
            <w:tcBorders>
              <w:top w:val="single" w:color="auto" w:sz="4" w:space="0"/>
              <w:left w:val="single" w:color="auto" w:sz="4" w:space="0"/>
              <w:bottom w:val="single" w:color="auto" w:sz="4" w:space="0"/>
              <w:right w:val="single" w:color="auto" w:sz="4" w:space="0"/>
            </w:tcBorders>
            <w:vAlign w:val="center"/>
          </w:tcPr>
          <w:p w14:paraId="43FC61D6">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经营范围</w:t>
            </w:r>
          </w:p>
        </w:tc>
        <w:tc>
          <w:tcPr>
            <w:tcW w:w="7760" w:type="dxa"/>
            <w:gridSpan w:val="4"/>
            <w:tcBorders>
              <w:top w:val="single" w:color="auto" w:sz="4" w:space="0"/>
              <w:left w:val="nil"/>
              <w:bottom w:val="single" w:color="auto" w:sz="4" w:space="0"/>
              <w:right w:val="single" w:color="auto" w:sz="4" w:space="0"/>
            </w:tcBorders>
            <w:vAlign w:val="center"/>
          </w:tcPr>
          <w:p w14:paraId="44421CF8">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4A68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31454DCF">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企业资质</w:t>
            </w:r>
          </w:p>
        </w:tc>
        <w:tc>
          <w:tcPr>
            <w:tcW w:w="7760" w:type="dxa"/>
            <w:gridSpan w:val="4"/>
            <w:tcBorders>
              <w:top w:val="single" w:color="auto" w:sz="4" w:space="0"/>
              <w:left w:val="nil"/>
              <w:bottom w:val="single" w:color="auto" w:sz="4" w:space="0"/>
              <w:right w:val="single" w:color="auto" w:sz="4" w:space="0"/>
            </w:tcBorders>
            <w:vAlign w:val="center"/>
          </w:tcPr>
          <w:p w14:paraId="4AC6DF15">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12E5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38C47073">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备注</w:t>
            </w:r>
          </w:p>
        </w:tc>
        <w:tc>
          <w:tcPr>
            <w:tcW w:w="7760" w:type="dxa"/>
            <w:gridSpan w:val="4"/>
            <w:tcBorders>
              <w:top w:val="single" w:color="auto" w:sz="4" w:space="0"/>
              <w:left w:val="nil"/>
              <w:bottom w:val="single" w:color="auto" w:sz="4" w:space="0"/>
              <w:right w:val="single" w:color="auto" w:sz="4" w:space="0"/>
            </w:tcBorders>
            <w:vAlign w:val="center"/>
          </w:tcPr>
          <w:p w14:paraId="631AB6DB">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6F96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2" w:type="dxa"/>
            <w:gridSpan w:val="5"/>
            <w:tcBorders>
              <w:top w:val="single" w:color="auto" w:sz="4" w:space="0"/>
              <w:left w:val="single" w:color="auto" w:sz="4" w:space="0"/>
              <w:bottom w:val="single" w:color="auto" w:sz="4" w:space="0"/>
              <w:right w:val="single" w:color="auto" w:sz="4" w:space="0"/>
            </w:tcBorders>
            <w:vAlign w:val="center"/>
          </w:tcPr>
          <w:p w14:paraId="1471DF79">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供应商联系人信息</w:t>
            </w:r>
          </w:p>
        </w:tc>
      </w:tr>
      <w:tr w14:paraId="75A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07AC7B00">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姓名</w:t>
            </w:r>
          </w:p>
        </w:tc>
        <w:tc>
          <w:tcPr>
            <w:tcW w:w="3423" w:type="dxa"/>
            <w:tcBorders>
              <w:top w:val="single" w:color="auto" w:sz="4" w:space="0"/>
              <w:left w:val="nil"/>
              <w:bottom w:val="single" w:color="auto" w:sz="4" w:space="0"/>
              <w:right w:val="single" w:color="auto" w:sz="4" w:space="0"/>
            </w:tcBorders>
            <w:vAlign w:val="center"/>
          </w:tcPr>
          <w:p w14:paraId="7EF773DB">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762495FC">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移动电话</w:t>
            </w:r>
          </w:p>
        </w:tc>
        <w:tc>
          <w:tcPr>
            <w:tcW w:w="2024" w:type="dxa"/>
            <w:gridSpan w:val="2"/>
            <w:tcBorders>
              <w:top w:val="single" w:color="auto" w:sz="4" w:space="0"/>
              <w:left w:val="nil"/>
              <w:bottom w:val="single" w:color="auto" w:sz="4" w:space="0"/>
              <w:right w:val="single" w:color="auto" w:sz="4" w:space="0"/>
            </w:tcBorders>
            <w:vAlign w:val="center"/>
          </w:tcPr>
          <w:p w14:paraId="749AE772">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61C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tcBorders>
              <w:top w:val="single" w:color="auto" w:sz="4" w:space="0"/>
              <w:left w:val="single" w:color="auto" w:sz="4" w:space="0"/>
              <w:bottom w:val="single" w:color="auto" w:sz="4" w:space="0"/>
              <w:right w:val="single" w:color="auto" w:sz="4" w:space="0"/>
            </w:tcBorders>
            <w:vAlign w:val="center"/>
          </w:tcPr>
          <w:p w14:paraId="2B7DABA3">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电子邮箱</w:t>
            </w:r>
          </w:p>
        </w:tc>
        <w:tc>
          <w:tcPr>
            <w:tcW w:w="3423" w:type="dxa"/>
            <w:tcBorders>
              <w:top w:val="single" w:color="auto" w:sz="4" w:space="0"/>
              <w:left w:val="nil"/>
              <w:bottom w:val="single" w:color="auto" w:sz="4" w:space="0"/>
              <w:right w:val="single" w:color="auto" w:sz="4" w:space="0"/>
            </w:tcBorders>
            <w:vAlign w:val="center"/>
          </w:tcPr>
          <w:p w14:paraId="0F2E447D">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c>
          <w:tcPr>
            <w:tcW w:w="2313" w:type="dxa"/>
            <w:tcBorders>
              <w:top w:val="single" w:color="auto" w:sz="4" w:space="0"/>
              <w:left w:val="nil"/>
              <w:bottom w:val="single" w:color="auto" w:sz="4" w:space="0"/>
              <w:right w:val="single" w:color="auto" w:sz="4" w:space="0"/>
            </w:tcBorders>
            <w:vAlign w:val="center"/>
          </w:tcPr>
          <w:p w14:paraId="7D0632B1">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固定电话</w:t>
            </w:r>
          </w:p>
        </w:tc>
        <w:tc>
          <w:tcPr>
            <w:tcW w:w="2024" w:type="dxa"/>
            <w:gridSpan w:val="2"/>
            <w:tcBorders>
              <w:top w:val="single" w:color="auto" w:sz="4" w:space="0"/>
              <w:left w:val="nil"/>
              <w:bottom w:val="single" w:color="auto" w:sz="4" w:space="0"/>
              <w:right w:val="single" w:color="auto" w:sz="4" w:space="0"/>
            </w:tcBorders>
            <w:vAlign w:val="center"/>
          </w:tcPr>
          <w:p w14:paraId="71D3B4D9">
            <w:pPr>
              <w:snapToGrid w:val="0"/>
              <w:spacing w:before="93" w:beforeLines="30" w:after="93" w:afterLines="30" w:line="240" w:lineRule="auto"/>
              <w:ind w:firstLine="0" w:firstLineChars="0"/>
              <w:rPr>
                <w:rFonts w:hint="eastAsia" w:ascii="宋体" w:hAnsi="宋体" w:cs="宋体"/>
                <w:color w:val="auto"/>
                <w:sz w:val="22"/>
                <w:szCs w:val="22"/>
                <w:highlight w:val="none"/>
              </w:rPr>
            </w:pPr>
          </w:p>
        </w:tc>
      </w:tr>
      <w:tr w14:paraId="251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2" w:type="dxa"/>
            <w:gridSpan w:val="5"/>
            <w:tcBorders>
              <w:top w:val="single" w:color="auto" w:sz="4" w:space="0"/>
              <w:left w:val="single" w:color="auto" w:sz="4" w:space="0"/>
              <w:bottom w:val="single" w:color="auto" w:sz="4" w:space="0"/>
              <w:right w:val="single" w:color="auto" w:sz="4" w:space="0"/>
            </w:tcBorders>
            <w:vAlign w:val="center"/>
          </w:tcPr>
          <w:p w14:paraId="2F8F3CC4">
            <w:pPr>
              <w:snapToGrid w:val="0"/>
              <w:spacing w:before="93" w:beforeLines="30" w:after="93" w:afterLines="30" w:line="240" w:lineRule="auto"/>
              <w:ind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lang w:bidi="ar"/>
              </w:rPr>
              <w:t>企业简介：（可另附页或企业对外宣传手册）</w:t>
            </w:r>
          </w:p>
        </w:tc>
      </w:tr>
    </w:tbl>
    <w:p w14:paraId="14CED483">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 xml:space="preserve"> </w:t>
      </w:r>
    </w:p>
    <w:p w14:paraId="5DBB6893">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79A7B813">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324DA797">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    年   月   日</w:t>
      </w:r>
    </w:p>
    <w:p w14:paraId="68231AE7">
      <w:pPr>
        <w:ind w:firstLine="480"/>
        <w:rPr>
          <w:rFonts w:hint="eastAsia" w:ascii="宋体" w:hAnsi="宋体" w:cs="宋体"/>
          <w:bCs/>
          <w:color w:val="auto"/>
          <w:highlight w:val="none"/>
        </w:rPr>
        <w:sectPr>
          <w:headerReference r:id="rId12" w:type="default"/>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p>
    <w:p w14:paraId="25CC01F6">
      <w:pPr>
        <w:ind w:firstLine="0" w:firstLineChars="0"/>
        <w:jc w:val="center"/>
        <w:outlineLvl w:val="0"/>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t>有效的《营业执照》原件扫描件</w:t>
      </w:r>
    </w:p>
    <w:p w14:paraId="1E73FF61">
      <w:pPr>
        <w:pStyle w:val="2"/>
        <w:ind w:firstLine="643"/>
        <w:rPr>
          <w:rFonts w:hint="eastAsia" w:ascii="宋体" w:hAnsi="宋体" w:cs="宋体"/>
          <w:b/>
          <w:bCs w:val="0"/>
          <w:color w:val="auto"/>
          <w:sz w:val="32"/>
          <w:szCs w:val="32"/>
          <w:highlight w:val="none"/>
          <w:lang w:bidi="ar"/>
        </w:rPr>
      </w:pPr>
    </w:p>
    <w:p w14:paraId="6318EAE0">
      <w:pPr>
        <w:pStyle w:val="2"/>
        <w:ind w:firstLine="643"/>
        <w:rPr>
          <w:rFonts w:hint="eastAsia" w:ascii="宋体" w:hAnsi="宋体" w:cs="宋体"/>
          <w:b/>
          <w:bCs w:val="0"/>
          <w:color w:val="auto"/>
          <w:sz w:val="32"/>
          <w:szCs w:val="32"/>
          <w:highlight w:val="none"/>
          <w:lang w:bidi="ar"/>
        </w:rPr>
      </w:pPr>
    </w:p>
    <w:p w14:paraId="4DF78DE2">
      <w:pPr>
        <w:pStyle w:val="2"/>
        <w:ind w:firstLine="643"/>
        <w:rPr>
          <w:rFonts w:hint="eastAsia" w:ascii="宋体" w:hAnsi="宋体" w:cs="宋体"/>
          <w:b/>
          <w:bCs w:val="0"/>
          <w:color w:val="auto"/>
          <w:sz w:val="32"/>
          <w:szCs w:val="32"/>
          <w:highlight w:val="none"/>
          <w:lang w:bidi="ar"/>
        </w:rPr>
      </w:pPr>
    </w:p>
    <w:p w14:paraId="2D0AF045">
      <w:pPr>
        <w:pStyle w:val="2"/>
        <w:ind w:firstLine="643"/>
        <w:rPr>
          <w:rFonts w:hint="eastAsia" w:ascii="宋体" w:hAnsi="宋体" w:cs="宋体"/>
          <w:b/>
          <w:bCs w:val="0"/>
          <w:color w:val="auto"/>
          <w:sz w:val="32"/>
          <w:szCs w:val="32"/>
          <w:highlight w:val="none"/>
          <w:lang w:bidi="ar"/>
        </w:rPr>
      </w:pPr>
    </w:p>
    <w:p w14:paraId="17B04064">
      <w:pPr>
        <w:pStyle w:val="2"/>
        <w:ind w:firstLine="643"/>
        <w:rPr>
          <w:rFonts w:hint="eastAsia" w:ascii="宋体" w:hAnsi="宋体" w:cs="宋体"/>
          <w:b/>
          <w:bCs w:val="0"/>
          <w:color w:val="auto"/>
          <w:sz w:val="32"/>
          <w:szCs w:val="32"/>
          <w:highlight w:val="none"/>
          <w:lang w:bidi="ar"/>
        </w:rPr>
      </w:pPr>
    </w:p>
    <w:p w14:paraId="5FA2EE14">
      <w:pPr>
        <w:pStyle w:val="2"/>
        <w:ind w:firstLine="643"/>
        <w:rPr>
          <w:rFonts w:hint="eastAsia" w:ascii="宋体" w:hAnsi="宋体" w:cs="宋体"/>
          <w:b/>
          <w:bCs w:val="0"/>
          <w:color w:val="auto"/>
          <w:sz w:val="32"/>
          <w:szCs w:val="32"/>
          <w:highlight w:val="none"/>
          <w:lang w:bidi="ar"/>
        </w:rPr>
      </w:pPr>
    </w:p>
    <w:p w14:paraId="0894667C">
      <w:pPr>
        <w:pStyle w:val="2"/>
        <w:ind w:firstLine="643"/>
        <w:rPr>
          <w:rFonts w:hint="eastAsia" w:ascii="宋体" w:hAnsi="宋体" w:cs="宋体"/>
          <w:b/>
          <w:bCs w:val="0"/>
          <w:color w:val="auto"/>
          <w:sz w:val="32"/>
          <w:szCs w:val="32"/>
          <w:highlight w:val="none"/>
          <w:lang w:bidi="ar"/>
        </w:rPr>
      </w:pPr>
    </w:p>
    <w:p w14:paraId="402C6822">
      <w:pPr>
        <w:pStyle w:val="2"/>
        <w:ind w:firstLine="643"/>
        <w:rPr>
          <w:rFonts w:hint="eastAsia" w:ascii="宋体" w:hAnsi="宋体" w:cs="宋体"/>
          <w:b/>
          <w:bCs w:val="0"/>
          <w:color w:val="auto"/>
          <w:sz w:val="32"/>
          <w:szCs w:val="32"/>
          <w:highlight w:val="none"/>
          <w:lang w:bidi="ar"/>
        </w:rPr>
      </w:pPr>
    </w:p>
    <w:p w14:paraId="02A3A5F7">
      <w:pPr>
        <w:pStyle w:val="2"/>
        <w:ind w:firstLine="643"/>
        <w:rPr>
          <w:rFonts w:hint="eastAsia" w:ascii="宋体" w:hAnsi="宋体" w:cs="宋体"/>
          <w:b/>
          <w:bCs w:val="0"/>
          <w:color w:val="auto"/>
          <w:sz w:val="32"/>
          <w:szCs w:val="32"/>
          <w:highlight w:val="none"/>
          <w:lang w:bidi="ar"/>
        </w:rPr>
      </w:pPr>
    </w:p>
    <w:p w14:paraId="5B229E64">
      <w:pPr>
        <w:pStyle w:val="2"/>
        <w:ind w:firstLine="643"/>
        <w:rPr>
          <w:rFonts w:hint="eastAsia" w:ascii="宋体" w:hAnsi="宋体" w:cs="宋体"/>
          <w:b/>
          <w:bCs w:val="0"/>
          <w:color w:val="auto"/>
          <w:sz w:val="32"/>
          <w:szCs w:val="32"/>
          <w:highlight w:val="none"/>
          <w:lang w:bidi="ar"/>
        </w:rPr>
      </w:pPr>
    </w:p>
    <w:p w14:paraId="5A233BDE">
      <w:pPr>
        <w:ind w:firstLine="0" w:firstLineChars="0"/>
        <w:jc w:val="center"/>
        <w:outlineLvl w:val="0"/>
        <w:rPr>
          <w:rFonts w:hint="eastAsia" w:ascii="宋体" w:hAnsi="宋体" w:cs="宋体"/>
          <w:b/>
          <w:color w:val="auto"/>
          <w:sz w:val="32"/>
          <w:szCs w:val="32"/>
          <w:highlight w:val="none"/>
          <w:lang w:bidi="ar"/>
        </w:rPr>
        <w:sectPr>
          <w:pgSz w:w="11906" w:h="16838"/>
          <w:pgMar w:top="1423" w:right="1080" w:bottom="1423"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r>
        <w:rPr>
          <w:rFonts w:hint="eastAsia" w:ascii="宋体" w:hAnsi="宋体" w:cs="宋体"/>
          <w:b/>
          <w:color w:val="auto"/>
          <w:sz w:val="32"/>
          <w:szCs w:val="32"/>
          <w:highlight w:val="none"/>
          <w:lang w:bidi="ar"/>
        </w:rPr>
        <w:t>有效的林业调查规划设计乙级及以上资质证书原件扫描件</w:t>
      </w:r>
    </w:p>
    <w:p w14:paraId="14BCA6D1">
      <w:pPr>
        <w:ind w:firstLine="0" w:firstLineChars="0"/>
        <w:outlineLvl w:val="2"/>
        <w:rPr>
          <w:rFonts w:hint="eastAsia" w:ascii="宋体" w:hAnsi="宋体" w:cs="宋体"/>
          <w:color w:val="auto"/>
          <w:highlight w:val="none"/>
        </w:rPr>
      </w:pPr>
      <w:r>
        <w:rPr>
          <w:rFonts w:hint="eastAsia" w:ascii="宋体" w:hAnsi="宋体" w:cs="宋体"/>
          <w:b/>
          <w:bCs/>
          <w:color w:val="auto"/>
          <w:highlight w:val="none"/>
          <w:lang w:bidi="ar"/>
        </w:rPr>
        <w:t>附件2</w:t>
      </w:r>
    </w:p>
    <w:p w14:paraId="24585A5F">
      <w:pPr>
        <w:spacing w:line="360" w:lineRule="auto"/>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符合参加政府采购活动应当具备的一般条件的承诺函</w:t>
      </w:r>
    </w:p>
    <w:p w14:paraId="6C8FBC0F">
      <w:pPr>
        <w:autoSpaceDE w:val="0"/>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612E8B93">
      <w:pPr>
        <w:autoSpaceDE w:val="0"/>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致：</w:t>
      </w:r>
      <w:r>
        <w:rPr>
          <w:rFonts w:hint="eastAsia" w:ascii="宋体" w:hAnsi="宋体" w:cs="宋体"/>
          <w:color w:val="auto"/>
          <w:highlight w:val="none"/>
          <w:u w:val="single"/>
          <w:lang w:bidi="ar"/>
        </w:rPr>
        <w:t>龙游县林业水利局</w:t>
      </w:r>
      <w:r>
        <w:rPr>
          <w:rFonts w:hint="eastAsia" w:ascii="宋体" w:hAnsi="宋体" w:cs="宋体"/>
          <w:color w:val="auto"/>
          <w:highlight w:val="none"/>
          <w:lang w:bidi="ar"/>
        </w:rPr>
        <w:t>：</w:t>
      </w:r>
    </w:p>
    <w:p w14:paraId="51AD779E">
      <w:pPr>
        <w:pStyle w:val="34"/>
        <w:widowControl w:val="0"/>
        <w:autoSpaceDE w:val="0"/>
        <w:spacing w:before="0" w:beforeAutospacing="0" w:after="0" w:afterAutospacing="0" w:line="312" w:lineRule="auto"/>
        <w:ind w:firstLine="480"/>
        <w:rPr>
          <w:rFonts w:ascii="Times New Roman" w:hAnsi="Times New Roman"/>
          <w:color w:val="auto"/>
          <w:kern w:val="2"/>
          <w:highlight w:val="none"/>
        </w:rPr>
      </w:pPr>
      <w:r>
        <w:rPr>
          <w:rFonts w:hint="eastAsia" w:cs="宋体"/>
          <w:color w:val="auto"/>
          <w:kern w:val="2"/>
          <w:highlight w:val="none"/>
          <w:lang w:bidi="ar"/>
        </w:rPr>
        <w:t>我方参加</w:t>
      </w:r>
      <w:r>
        <w:rPr>
          <w:rFonts w:hint="eastAsia" w:cs="宋体"/>
          <w:color w:val="auto"/>
          <w:kern w:val="2"/>
          <w:highlight w:val="none"/>
          <w:u w:val="single"/>
          <w:lang w:bidi="ar"/>
        </w:rPr>
        <w:t>项目名称（项目编号</w:t>
      </w:r>
      <w:r>
        <w:rPr>
          <w:rFonts w:ascii="Times New Roman" w:hAnsi="Times New Roman"/>
          <w:color w:val="auto"/>
          <w:kern w:val="2"/>
          <w:highlight w:val="none"/>
          <w:u w:val="single"/>
          <w:lang w:bidi="ar"/>
        </w:rPr>
        <w:t>)</w:t>
      </w:r>
      <w:r>
        <w:rPr>
          <w:rFonts w:hint="eastAsia" w:cs="宋体"/>
          <w:color w:val="auto"/>
          <w:kern w:val="2"/>
          <w:highlight w:val="none"/>
          <w:lang w:bidi="ar"/>
        </w:rPr>
        <w:t>政府采购活动，郑重承诺：</w:t>
      </w:r>
    </w:p>
    <w:p w14:paraId="06D2D3D9">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一、具备《中华人民共和国政府采购法》第二十二条规定的条件：</w:t>
      </w:r>
    </w:p>
    <w:p w14:paraId="6115F170">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1.具有独立承担民事责任的能力；</w:t>
      </w:r>
    </w:p>
    <w:p w14:paraId="21DC4C14">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2.具有良好的商业信誉和健全的财务会计制度；</w:t>
      </w:r>
    </w:p>
    <w:p w14:paraId="1B5F4E72">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3.具有履行合同所必需的设备和专业技术能力；</w:t>
      </w:r>
    </w:p>
    <w:p w14:paraId="32512137">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4.有依法缴纳税收和社会保障资金的良好记录；</w:t>
      </w:r>
    </w:p>
    <w:p w14:paraId="6D73FE7D">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5.参加政府采购活动前三年内，在经营活动中没有重大违法记录；</w:t>
      </w:r>
    </w:p>
    <w:p w14:paraId="15F6F481">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6.具有法律、行政法规规定的其他条件。</w:t>
      </w:r>
    </w:p>
    <w:p w14:paraId="3E0EAC57">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二、未被“信用中国”（www.creditchina.gov.cn)、中国政府采购网（www.ccgp.gov.cn）列入失信被执行人、重大税收违法案件当事人名单、政府采购严重违法失信行为记录名单。</w:t>
      </w:r>
    </w:p>
    <w:p w14:paraId="53F65747">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三、没有下列情形：</w:t>
      </w:r>
    </w:p>
    <w:p w14:paraId="2C7F182F">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1.单位负责人为同一人或者存在直接控股、管理关系的不同供应商参加同一合同项下的政府采购活动的；</w:t>
      </w:r>
    </w:p>
    <w:p w14:paraId="22CF914D">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2.为采购项目提供整体设计、规范编制或者项目管理、监理、检测等服务后再参加该采购项目的其他采购活动的。</w:t>
      </w:r>
    </w:p>
    <w:p w14:paraId="100602BA">
      <w:pPr>
        <w:pStyle w:val="34"/>
        <w:widowControl w:val="0"/>
        <w:autoSpaceDE w:val="0"/>
        <w:spacing w:before="0" w:beforeAutospacing="0" w:after="0" w:afterAutospacing="0" w:line="312" w:lineRule="auto"/>
        <w:ind w:firstLine="480"/>
        <w:rPr>
          <w:rFonts w:hint="eastAsia" w:cs="宋体"/>
          <w:color w:val="auto"/>
          <w:kern w:val="2"/>
          <w:highlight w:val="none"/>
        </w:rPr>
      </w:pPr>
      <w:r>
        <w:rPr>
          <w:rFonts w:hint="eastAsia" w:cs="宋体"/>
          <w:color w:val="auto"/>
          <w:kern w:val="2"/>
          <w:highlight w:val="none"/>
          <w:lang w:bidi="ar"/>
        </w:rPr>
        <w:t>我方对上述承诺的内容和事项真实性负责，如有虚假，由我方承担相关法律责任。</w:t>
      </w:r>
    </w:p>
    <w:p w14:paraId="51A3658C">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47B8CBF">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12D3298C">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49ED8F24">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     年   月   日</w:t>
      </w:r>
    </w:p>
    <w:p w14:paraId="39992328">
      <w:pPr>
        <w:ind w:firstLine="0" w:firstLineChars="0"/>
        <w:jc w:val="left"/>
        <w:outlineLvl w:val="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42E68F85">
      <w:pPr>
        <w:ind w:firstLine="0" w:firstLineChars="0"/>
        <w:jc w:val="left"/>
        <w:outlineLvl w:val="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221CC0ED">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4422153F">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6A95E0DC">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12E042FF">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4076F9C4">
      <w:pPr>
        <w:spacing w:line="360" w:lineRule="auto"/>
        <w:ind w:firstLine="0" w:firstLineChars="0"/>
        <w:rPr>
          <w:rFonts w:hint="eastAsia" w:ascii="宋体" w:hAnsi="宋体" w:cs="宋体"/>
          <w:b/>
          <w:bCs/>
          <w:color w:val="auto"/>
          <w:highlight w:val="none"/>
          <w:lang w:bidi="ar"/>
        </w:rPr>
      </w:pPr>
    </w:p>
    <w:p w14:paraId="2F58B8D5">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附件3</w:t>
      </w:r>
    </w:p>
    <w:p w14:paraId="79B79B0B">
      <w:pPr>
        <w:ind w:firstLine="602"/>
        <w:jc w:val="center"/>
        <w:rPr>
          <w:rFonts w:hint="eastAsia" w:ascii="宋体" w:hAnsi="宋体" w:cs="Arial"/>
          <w:bCs/>
          <w:color w:val="auto"/>
          <w:kern w:val="0"/>
          <w:highlight w:val="none"/>
        </w:rPr>
      </w:pPr>
      <w:r>
        <w:rPr>
          <w:rFonts w:hint="eastAsia" w:ascii="宋体" w:hAnsi="宋体" w:cs="宋体"/>
          <w:b/>
          <w:bCs/>
          <w:color w:val="auto"/>
          <w:kern w:val="0"/>
          <w:sz w:val="30"/>
          <w:szCs w:val="30"/>
          <w:highlight w:val="none"/>
          <w:lang w:bidi="ar"/>
        </w:rPr>
        <w:t>中小企业声明函（服务）</w:t>
      </w:r>
    </w:p>
    <w:p w14:paraId="13C3E2C5">
      <w:pPr>
        <w:spacing w:line="360" w:lineRule="auto"/>
        <w:ind w:firstLine="480"/>
        <w:jc w:val="left"/>
        <w:rPr>
          <w:rFonts w:hint="eastAsia" w:ascii="宋体" w:hAnsi="宋体" w:cs="Arial"/>
          <w:bCs/>
          <w:color w:val="auto"/>
          <w:kern w:val="0"/>
          <w:highlight w:val="none"/>
        </w:rPr>
      </w:pPr>
      <w:r>
        <w:rPr>
          <w:rFonts w:hint="eastAsia" w:ascii="宋体" w:hAnsi="宋体" w:cs="Arial"/>
          <w:bCs/>
          <w:color w:val="auto"/>
          <w:kern w:val="0"/>
          <w:highlight w:val="none"/>
          <w:lang w:bidi="ar"/>
        </w:rPr>
        <w:t xml:space="preserve"> </w:t>
      </w:r>
    </w:p>
    <w:p w14:paraId="5CDF5716">
      <w:pPr>
        <w:pStyle w:val="34"/>
        <w:spacing w:before="0" w:beforeAutospacing="0" w:after="0" w:afterAutospacing="0" w:line="360" w:lineRule="auto"/>
        <w:ind w:firstLine="480"/>
        <w:jc w:val="both"/>
        <w:rPr>
          <w:rFonts w:hint="eastAsia" w:cs="宋体"/>
          <w:color w:val="auto"/>
          <w:highlight w:val="none"/>
          <w:lang w:bidi="ar"/>
        </w:rPr>
      </w:pPr>
      <w:r>
        <w:rPr>
          <w:rFonts w:hint="eastAsia" w:cs="宋体"/>
          <w:color w:val="auto"/>
          <w:highlight w:val="none"/>
          <w:lang w:bidi="ar"/>
        </w:rPr>
        <w:t>本公司郑重声明，根据《政府采购促进中小企业发展管理办法》（财库[2020]46号）的规定，本公司参加</w:t>
      </w:r>
      <w:r>
        <w:rPr>
          <w:rFonts w:hint="eastAsia" w:cs="宋体"/>
          <w:color w:val="auto"/>
          <w:highlight w:val="none"/>
          <w:u w:val="single"/>
          <w:lang w:bidi="ar"/>
        </w:rPr>
        <w:t xml:space="preserve"> (单位名称) </w:t>
      </w:r>
      <w:r>
        <w:rPr>
          <w:rFonts w:hint="eastAsia" w:cs="宋体"/>
          <w:color w:val="auto"/>
          <w:highlight w:val="none"/>
          <w:lang w:bidi="ar"/>
        </w:rPr>
        <w:t>的</w:t>
      </w:r>
      <w:r>
        <w:rPr>
          <w:rFonts w:hint="eastAsia" w:cs="宋体"/>
          <w:color w:val="auto"/>
          <w:highlight w:val="none"/>
          <w:u w:val="single"/>
          <w:lang w:bidi="ar"/>
        </w:rPr>
        <w:t xml:space="preserve"> (项目名称) </w:t>
      </w:r>
      <w:r>
        <w:rPr>
          <w:rFonts w:hint="eastAsia" w:cs="宋体"/>
          <w:color w:val="auto"/>
          <w:highlight w:val="none"/>
          <w:lang w:bidi="ar"/>
        </w:rPr>
        <w:t>采购活动，服务全部由符合政策要求的中小企业承接。</w:t>
      </w:r>
      <w:r>
        <w:rPr>
          <w:rFonts w:hint="eastAsia" w:cs="宋体"/>
          <w:color w:val="auto"/>
          <w:highlight w:val="none"/>
          <w:lang w:eastAsia="zh-TW" w:bidi="ar"/>
        </w:rPr>
        <w:t>相关企业的具体情况如下：</w:t>
      </w:r>
    </w:p>
    <w:p w14:paraId="7F1CD7AE">
      <w:pPr>
        <w:pStyle w:val="34"/>
        <w:tabs>
          <w:tab w:val="left" w:pos="1193"/>
          <w:tab w:val="left" w:pos="6974"/>
        </w:tabs>
        <w:spacing w:before="0" w:beforeAutospacing="0" w:after="0" w:afterAutospacing="0" w:line="360" w:lineRule="auto"/>
        <w:ind w:firstLine="580" w:firstLineChars="242"/>
        <w:rPr>
          <w:rFonts w:hint="eastAsia" w:cs="宋体"/>
          <w:color w:val="auto"/>
          <w:highlight w:val="none"/>
        </w:rPr>
      </w:pPr>
      <w:r>
        <w:rPr>
          <w:rFonts w:hint="eastAsia" w:cs="宋体"/>
          <w:color w:val="auto"/>
          <w:highlight w:val="none"/>
          <w:lang w:bidi="ar"/>
        </w:rPr>
        <w:t>1.</w:t>
      </w:r>
      <w:r>
        <w:rPr>
          <w:rFonts w:hint="eastAsia" w:cs="宋体"/>
          <w:b/>
          <w:color w:val="auto"/>
          <w:highlight w:val="none"/>
          <w:u w:val="single"/>
          <w:lang w:bidi="ar"/>
        </w:rPr>
        <w:t xml:space="preserve"> </w:t>
      </w:r>
      <w:r>
        <w:rPr>
          <w:rFonts w:hint="eastAsia" w:cs="宋体"/>
          <w:bCs/>
          <w:color w:val="auto"/>
          <w:highlight w:val="none"/>
          <w:u w:val="single"/>
          <w:lang w:bidi="ar"/>
        </w:rPr>
        <w:t>（标的名称）</w:t>
      </w:r>
      <w:r>
        <w:rPr>
          <w:rFonts w:hint="eastAsia" w:cs="宋体"/>
          <w:color w:val="auto"/>
          <w:highlight w:val="none"/>
          <w:lang w:bidi="ar"/>
        </w:rPr>
        <w:t>，属于</w:t>
      </w:r>
      <w:r>
        <w:rPr>
          <w:rFonts w:hint="eastAsia" w:cs="宋体"/>
          <w:color w:val="auto"/>
          <w:highlight w:val="none"/>
          <w:u w:val="single"/>
          <w:lang w:bidi="ar"/>
        </w:rPr>
        <w:t xml:space="preserve"> （采购文件中明确的所属行业） </w:t>
      </w:r>
      <w:r>
        <w:rPr>
          <w:rFonts w:hint="eastAsia" w:cs="宋体"/>
          <w:color w:val="auto"/>
          <w:highlight w:val="none"/>
          <w:lang w:bidi="ar"/>
        </w:rPr>
        <w:t>，承接企业为</w:t>
      </w:r>
      <w:r>
        <w:rPr>
          <w:rFonts w:hint="eastAsia" w:cs="宋体"/>
          <w:i/>
          <w:color w:val="auto"/>
          <w:highlight w:val="none"/>
          <w:u w:val="single"/>
          <w:lang w:bidi="ar"/>
        </w:rPr>
        <w:t>（企业名称）</w:t>
      </w:r>
      <w:r>
        <w:rPr>
          <w:rFonts w:hint="eastAsia" w:cs="宋体"/>
          <w:color w:val="auto"/>
          <w:highlight w:val="none"/>
          <w:lang w:bidi="ar"/>
        </w:rPr>
        <w:t>，从业人员</w:t>
      </w:r>
      <w:r>
        <w:rPr>
          <w:rFonts w:hint="eastAsia" w:cs="宋体"/>
          <w:color w:val="auto"/>
          <w:highlight w:val="none"/>
          <w:u w:val="single"/>
          <w:lang w:bidi="ar"/>
        </w:rPr>
        <w:t xml:space="preserve">   </w:t>
      </w:r>
      <w:r>
        <w:rPr>
          <w:rFonts w:hint="eastAsia" w:cs="宋体"/>
          <w:color w:val="auto"/>
          <w:highlight w:val="none"/>
          <w:lang w:bidi="ar"/>
        </w:rPr>
        <w:t>人，营业收入为</w:t>
      </w:r>
      <w:r>
        <w:rPr>
          <w:rFonts w:hint="eastAsia" w:cs="宋体"/>
          <w:color w:val="auto"/>
          <w:highlight w:val="none"/>
          <w:u w:val="single"/>
          <w:lang w:bidi="ar"/>
        </w:rPr>
        <w:t xml:space="preserve">   </w:t>
      </w:r>
      <w:r>
        <w:rPr>
          <w:rFonts w:hint="eastAsia" w:cs="宋体"/>
          <w:color w:val="auto"/>
          <w:highlight w:val="none"/>
          <w:lang w:bidi="ar"/>
        </w:rPr>
        <w:t>万元，资产总额为</w:t>
      </w:r>
      <w:r>
        <w:rPr>
          <w:rFonts w:hint="eastAsia" w:cs="宋体"/>
          <w:color w:val="auto"/>
          <w:highlight w:val="none"/>
          <w:u w:val="single"/>
          <w:lang w:bidi="ar"/>
        </w:rPr>
        <w:t xml:space="preserve">   </w:t>
      </w:r>
      <w:r>
        <w:rPr>
          <w:rFonts w:hint="eastAsia" w:cs="宋体"/>
          <w:color w:val="auto"/>
          <w:highlight w:val="none"/>
          <w:lang w:bidi="ar"/>
        </w:rPr>
        <w:t>万元</w:t>
      </w:r>
      <w:r>
        <w:rPr>
          <w:rFonts w:hint="eastAsia" w:cs="宋体"/>
          <w:color w:val="auto"/>
          <w:highlight w:val="none"/>
          <w:lang w:bidi="en-US"/>
        </w:rPr>
        <w:t>，</w:t>
      </w:r>
      <w:r>
        <w:rPr>
          <w:rFonts w:hint="eastAsia" w:cs="宋体"/>
          <w:color w:val="auto"/>
          <w:highlight w:val="none"/>
          <w:lang w:bidi="ar"/>
        </w:rPr>
        <w:t>属于</w:t>
      </w:r>
      <w:r>
        <w:rPr>
          <w:rFonts w:hint="eastAsia" w:cs="宋体"/>
          <w:color w:val="auto"/>
          <w:highlight w:val="none"/>
          <w:u w:val="single"/>
          <w:lang w:bidi="ar"/>
        </w:rPr>
        <w:t xml:space="preserve"> （选填：中型企业、 小型企业、微型企业）</w:t>
      </w:r>
      <w:r>
        <w:rPr>
          <w:rFonts w:hint="eastAsia" w:cs="宋体"/>
          <w:color w:val="auto"/>
          <w:highlight w:val="none"/>
          <w:lang w:bidi="ar"/>
        </w:rPr>
        <w:t>；</w:t>
      </w:r>
    </w:p>
    <w:p w14:paraId="108B359C">
      <w:pPr>
        <w:pStyle w:val="34"/>
        <w:spacing w:before="0" w:beforeAutospacing="0" w:after="0" w:afterAutospacing="0" w:line="360" w:lineRule="auto"/>
        <w:ind w:firstLine="480"/>
        <w:rPr>
          <w:rFonts w:hint="eastAsia" w:cs="宋体"/>
          <w:color w:val="auto"/>
          <w:highlight w:val="none"/>
        </w:rPr>
      </w:pPr>
      <w:r>
        <w:rPr>
          <w:rFonts w:hint="eastAsia" w:cs="宋体"/>
          <w:color w:val="auto"/>
          <w:highlight w:val="none"/>
          <w:lang w:bidi="ar"/>
        </w:rPr>
        <w:t>以上企业，不属于大企业的分支机构，不存在控股股东为大企业的情形，也不存在与大企业的负责人为同一人的情形。</w:t>
      </w:r>
    </w:p>
    <w:p w14:paraId="47945DD7">
      <w:pPr>
        <w:pStyle w:val="34"/>
        <w:spacing w:before="0" w:beforeAutospacing="0" w:after="0" w:afterAutospacing="0" w:line="360" w:lineRule="auto"/>
        <w:ind w:firstLine="480"/>
        <w:rPr>
          <w:rFonts w:hint="eastAsia" w:cs="宋体"/>
          <w:color w:val="auto"/>
          <w:highlight w:val="none"/>
          <w:lang w:bidi="ar"/>
        </w:rPr>
      </w:pPr>
      <w:r>
        <w:rPr>
          <w:rFonts w:hint="eastAsia" w:cs="宋体"/>
          <w:color w:val="auto"/>
          <w:highlight w:val="none"/>
          <w:lang w:bidi="ar"/>
        </w:rPr>
        <w:t>本企业对上述声明内容的真实性负责。如有虚假，将依法承担相应责任。</w:t>
      </w:r>
    </w:p>
    <w:p w14:paraId="21E0D57A">
      <w:pPr>
        <w:spacing w:line="360" w:lineRule="auto"/>
        <w:ind w:firstLine="480"/>
        <w:jc w:val="left"/>
        <w:rPr>
          <w:rFonts w:hint="eastAsia" w:ascii="宋体" w:hAnsi="宋体" w:cs="Arial"/>
          <w:bCs/>
          <w:color w:val="auto"/>
          <w:kern w:val="0"/>
          <w:highlight w:val="none"/>
        </w:rPr>
      </w:pPr>
      <w:r>
        <w:rPr>
          <w:rFonts w:hint="eastAsia" w:ascii="宋体" w:hAnsi="宋体" w:cs="Arial"/>
          <w:bCs/>
          <w:color w:val="auto"/>
          <w:kern w:val="0"/>
          <w:highlight w:val="none"/>
          <w:lang w:bidi="ar"/>
        </w:rPr>
        <w:t xml:space="preserve"> </w:t>
      </w:r>
    </w:p>
    <w:p w14:paraId="496A7107">
      <w:pPr>
        <w:adjustRightInd w:val="0"/>
        <w:snapToGrid w:val="0"/>
        <w:ind w:firstLine="5040" w:firstLineChars="2100"/>
        <w:rPr>
          <w:rFonts w:hint="eastAsia" w:ascii="宋体" w:hAnsi="宋体" w:cs="宋体"/>
          <w:color w:val="auto"/>
          <w:highlight w:val="none"/>
          <w:u w:val="single"/>
        </w:rPr>
      </w:pPr>
      <w:r>
        <w:rPr>
          <w:rFonts w:hint="eastAsia" w:ascii="宋体" w:hAnsi="宋体" w:cs="宋体"/>
          <w:color w:val="auto"/>
          <w:highlight w:val="none"/>
          <w:lang w:bidi="ar"/>
        </w:rPr>
        <w:t>供应商名称（盖章）：</w:t>
      </w:r>
    </w:p>
    <w:p w14:paraId="137EECDE">
      <w:pPr>
        <w:adjustRightInd w:val="0"/>
        <w:snapToGrid w:val="0"/>
        <w:ind w:firstLine="3600" w:firstLineChars="1500"/>
        <w:rPr>
          <w:rFonts w:hint="eastAsia" w:ascii="宋体" w:hAnsi="宋体" w:cs="宋体"/>
          <w:color w:val="auto"/>
          <w:highlight w:val="none"/>
        </w:rPr>
      </w:pPr>
      <w:r>
        <w:rPr>
          <w:rFonts w:hint="eastAsia" w:ascii="宋体" w:hAnsi="宋体" w:cs="宋体"/>
          <w:color w:val="auto"/>
          <w:highlight w:val="none"/>
          <w:lang w:bidi="ar"/>
        </w:rPr>
        <w:t xml:space="preserve"> </w:t>
      </w:r>
    </w:p>
    <w:p w14:paraId="0751B387">
      <w:pPr>
        <w:adjustRightInd w:val="0"/>
        <w:snapToGrid w:val="0"/>
        <w:ind w:firstLine="5040" w:firstLineChars="2100"/>
        <w:rPr>
          <w:rFonts w:hint="eastAsia" w:ascii="宋体" w:hAnsi="宋体" w:cs="宋体"/>
          <w:color w:val="auto"/>
          <w:highlight w:val="none"/>
        </w:rPr>
      </w:pPr>
      <w:r>
        <w:rPr>
          <w:rFonts w:hint="eastAsia" w:ascii="宋体" w:hAnsi="宋体" w:cs="宋体"/>
          <w:color w:val="auto"/>
          <w:highlight w:val="none"/>
          <w:lang w:bidi="ar"/>
        </w:rPr>
        <w:t>日期：    年   月   日</w:t>
      </w:r>
    </w:p>
    <w:p w14:paraId="64610254">
      <w:pPr>
        <w:pStyle w:val="150"/>
        <w:wordWrap w:val="0"/>
        <w:spacing w:line="240" w:lineRule="auto"/>
        <w:ind w:firstLine="496"/>
        <w:rPr>
          <w:rFonts w:hint="eastAsia" w:ascii="宋体" w:cs="宋体"/>
          <w:b/>
          <w:bCs/>
          <w:color w:val="auto"/>
          <w:sz w:val="24"/>
          <w:szCs w:val="24"/>
          <w:highlight w:val="none"/>
        </w:rPr>
      </w:pPr>
    </w:p>
    <w:p w14:paraId="78A34ADF">
      <w:pPr>
        <w:pStyle w:val="150"/>
        <w:wordWrap w:val="0"/>
        <w:spacing w:line="240" w:lineRule="auto"/>
        <w:ind w:firstLine="496"/>
        <w:rPr>
          <w:rFonts w:hint="eastAsia" w:ascii="宋体" w:cs="宋体"/>
          <w:b/>
          <w:bCs/>
          <w:color w:val="auto"/>
          <w:sz w:val="24"/>
          <w:szCs w:val="24"/>
          <w:highlight w:val="none"/>
        </w:rPr>
      </w:pPr>
    </w:p>
    <w:p w14:paraId="2B7C3E9B">
      <w:pPr>
        <w:pStyle w:val="150"/>
        <w:wordWrap w:val="0"/>
        <w:spacing w:line="240" w:lineRule="auto"/>
        <w:ind w:firstLine="496"/>
        <w:rPr>
          <w:rFonts w:hint="eastAsia" w:ascii="宋体" w:cs="宋体"/>
          <w:b/>
          <w:bCs/>
          <w:color w:val="auto"/>
          <w:sz w:val="24"/>
          <w:szCs w:val="24"/>
          <w:highlight w:val="none"/>
        </w:rPr>
      </w:pPr>
    </w:p>
    <w:p w14:paraId="587A81DF">
      <w:pPr>
        <w:pStyle w:val="150"/>
        <w:wordWrap w:val="0"/>
        <w:spacing w:line="240" w:lineRule="auto"/>
        <w:ind w:firstLine="496"/>
        <w:rPr>
          <w:rFonts w:hint="eastAsia" w:ascii="宋体" w:cs="宋体"/>
          <w:b/>
          <w:bCs/>
          <w:color w:val="auto"/>
          <w:sz w:val="24"/>
          <w:szCs w:val="24"/>
          <w:highlight w:val="none"/>
        </w:rPr>
      </w:pPr>
    </w:p>
    <w:p w14:paraId="6ED51F60">
      <w:pPr>
        <w:pStyle w:val="150"/>
        <w:wordWrap w:val="0"/>
        <w:spacing w:line="240" w:lineRule="auto"/>
        <w:ind w:firstLine="496"/>
        <w:rPr>
          <w:rFonts w:hint="eastAsia" w:ascii="宋体" w:cs="宋体"/>
          <w:b/>
          <w:bCs/>
          <w:color w:val="auto"/>
          <w:sz w:val="24"/>
          <w:szCs w:val="24"/>
          <w:highlight w:val="none"/>
        </w:rPr>
      </w:pPr>
      <w:r>
        <w:rPr>
          <w:rFonts w:hint="eastAsia" w:ascii="宋体" w:cs="宋体"/>
          <w:b/>
          <w:bCs/>
          <w:color w:val="auto"/>
          <w:sz w:val="24"/>
          <w:szCs w:val="24"/>
          <w:highlight w:val="none"/>
        </w:rPr>
        <w:t>说明：</w:t>
      </w:r>
    </w:p>
    <w:p w14:paraId="01219E24">
      <w:pPr>
        <w:pStyle w:val="150"/>
        <w:wordWrap w:val="0"/>
        <w:spacing w:line="240" w:lineRule="auto"/>
        <w:ind w:firstLine="482" w:firstLineChars="200"/>
        <w:rPr>
          <w:rFonts w:hint="eastAsia" w:ascii="宋体" w:cs="宋体"/>
          <w:b/>
          <w:bCs/>
          <w:color w:val="auto"/>
          <w:sz w:val="24"/>
          <w:szCs w:val="24"/>
          <w:highlight w:val="none"/>
        </w:rPr>
      </w:pPr>
      <w:r>
        <w:rPr>
          <w:rFonts w:hint="eastAsia" w:ascii="宋体" w:cs="宋体"/>
          <w:b/>
          <w:bCs/>
          <w:color w:val="auto"/>
          <w:sz w:val="24"/>
          <w:szCs w:val="24"/>
          <w:highlight w:val="none"/>
        </w:rPr>
        <w:t>（1）从业人员、营业收入、资产总额填报上一年度数据，无上一年度数据的新成立企业可不填报。</w:t>
      </w:r>
    </w:p>
    <w:p w14:paraId="01BC6CBA">
      <w:pPr>
        <w:pStyle w:val="150"/>
        <w:wordWrap w:val="0"/>
        <w:spacing w:line="240" w:lineRule="auto"/>
        <w:ind w:firstLine="482" w:firstLineChars="200"/>
        <w:rPr>
          <w:rFonts w:hint="eastAsia" w:ascii="宋体" w:cs="宋体"/>
          <w:b/>
          <w:bCs/>
          <w:color w:val="auto"/>
          <w:sz w:val="24"/>
          <w:szCs w:val="24"/>
          <w:highlight w:val="none"/>
        </w:rPr>
      </w:pPr>
      <w:r>
        <w:rPr>
          <w:rFonts w:hint="eastAsia" w:ascii="宋体" w:cs="宋体"/>
          <w:b/>
          <w:bCs/>
          <w:color w:val="auto"/>
          <w:sz w:val="24"/>
          <w:szCs w:val="24"/>
          <w:highlight w:val="none"/>
        </w:rPr>
        <w:t>（2）不属于小型、微型企业，不用提供此函。</w:t>
      </w:r>
    </w:p>
    <w:p w14:paraId="34A3BE0A">
      <w:pPr>
        <w:pStyle w:val="150"/>
        <w:wordWrap w:val="0"/>
        <w:spacing w:line="240" w:lineRule="auto"/>
        <w:ind w:firstLine="482" w:firstLineChars="200"/>
        <w:rPr>
          <w:rFonts w:hint="eastAsia" w:ascii="宋体" w:cs="宋体"/>
          <w:b/>
          <w:bCs/>
          <w:color w:val="auto"/>
          <w:sz w:val="24"/>
          <w:szCs w:val="24"/>
          <w:highlight w:val="none"/>
        </w:rPr>
      </w:pPr>
      <w:r>
        <w:rPr>
          <w:rFonts w:hint="eastAsia" w:ascii="宋体" w:cs="宋体"/>
          <w:b/>
          <w:bCs/>
          <w:color w:val="auto"/>
          <w:sz w:val="24"/>
          <w:szCs w:val="24"/>
          <w:highlight w:val="none"/>
        </w:rPr>
        <w:t>（3）可采用工业和信息化部网站（https://www.miit.gov.cn/）中小企业规模类型自测小程序进行自测后填写。</w:t>
      </w:r>
    </w:p>
    <w:p w14:paraId="08BE59E4">
      <w:pPr>
        <w:pStyle w:val="150"/>
        <w:wordWrap w:val="0"/>
        <w:spacing w:line="240" w:lineRule="auto"/>
        <w:ind w:firstLine="482" w:firstLineChars="200"/>
        <w:rPr>
          <w:rFonts w:hint="eastAsia" w:ascii="宋体" w:cs="宋体"/>
          <w:b/>
          <w:bCs/>
          <w:color w:val="auto"/>
          <w:sz w:val="24"/>
          <w:szCs w:val="24"/>
          <w:highlight w:val="none"/>
        </w:rPr>
      </w:pPr>
      <w:r>
        <w:rPr>
          <w:rFonts w:hint="eastAsia" w:ascii="宋体" w:cs="宋体"/>
          <w:b/>
          <w:bCs/>
          <w:color w:val="auto"/>
          <w:sz w:val="24"/>
          <w:szCs w:val="24"/>
          <w:highlight w:val="none"/>
        </w:rPr>
        <w:t>（4）空格部分由供应商填写，企业类型按实际情况填写。</w:t>
      </w:r>
    </w:p>
    <w:p w14:paraId="098B3944">
      <w:pPr>
        <w:spacing w:line="360" w:lineRule="auto"/>
        <w:ind w:firstLine="602"/>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 </w:t>
      </w:r>
    </w:p>
    <w:p w14:paraId="3D208EBA">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 </w:t>
      </w:r>
    </w:p>
    <w:p w14:paraId="25104D6D">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 </w:t>
      </w:r>
    </w:p>
    <w:p w14:paraId="7D771447">
      <w:pPr>
        <w:spacing w:line="360" w:lineRule="auto"/>
        <w:ind w:firstLine="0" w:firstLineChars="0"/>
        <w:rPr>
          <w:rFonts w:hint="eastAsia" w:ascii="宋体" w:hAnsi="宋体" w:cs="宋体"/>
          <w:b/>
          <w:bCs/>
          <w:color w:val="auto"/>
          <w:highlight w:val="none"/>
          <w:lang w:bidi="ar"/>
        </w:rPr>
      </w:pPr>
    </w:p>
    <w:p w14:paraId="5C51E526">
      <w:pPr>
        <w:spacing w:line="360" w:lineRule="auto"/>
        <w:ind w:firstLine="0" w:firstLineChars="0"/>
        <w:rPr>
          <w:rFonts w:hint="eastAsia" w:ascii="宋体" w:hAnsi="宋体" w:cs="宋体"/>
          <w:b/>
          <w:bCs/>
          <w:color w:val="auto"/>
          <w:highlight w:val="none"/>
          <w:lang w:bidi="ar"/>
        </w:rPr>
      </w:pPr>
    </w:p>
    <w:p w14:paraId="4CD0B84C">
      <w:pPr>
        <w:spacing w:line="360" w:lineRule="auto"/>
        <w:ind w:firstLine="0" w:firstLineChars="0"/>
        <w:rPr>
          <w:rFonts w:hint="eastAsia" w:ascii="宋体" w:hAnsi="宋体" w:cs="宋体"/>
          <w:b/>
          <w:color w:val="auto"/>
          <w:sz w:val="30"/>
          <w:szCs w:val="30"/>
          <w:highlight w:val="none"/>
        </w:rPr>
      </w:pPr>
      <w:r>
        <w:rPr>
          <w:rFonts w:hint="eastAsia" w:ascii="宋体" w:hAnsi="宋体" w:cs="宋体"/>
          <w:b/>
          <w:bCs/>
          <w:color w:val="auto"/>
          <w:highlight w:val="none"/>
          <w:lang w:bidi="ar"/>
        </w:rPr>
        <w:t>附件4</w:t>
      </w:r>
    </w:p>
    <w:p w14:paraId="7E3B1F1C">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监狱企业声明函</w:t>
      </w:r>
    </w:p>
    <w:p w14:paraId="3D257DC4">
      <w:pPr>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【非监狱企业不需提供】</w:t>
      </w:r>
    </w:p>
    <w:p w14:paraId="6256A723">
      <w:pPr>
        <w:widowControl/>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lang w:bidi="ar"/>
        </w:rPr>
        <w:t>本企业郑重声明，根据《关于政府采购支持监狱企业发展有关问题的通知》（财库〔2014〕68号）的规定，本企业为</w:t>
      </w:r>
      <w:r>
        <w:rPr>
          <w:rFonts w:hint="eastAsia" w:ascii="宋体" w:hAnsi="宋体" w:cs="宋体"/>
          <w:color w:val="auto"/>
          <w:highlight w:val="none"/>
          <w:u w:val="single"/>
          <w:lang w:bidi="ar"/>
        </w:rPr>
        <w:t>监狱企业</w:t>
      </w:r>
      <w:r>
        <w:rPr>
          <w:rFonts w:hint="eastAsia" w:ascii="宋体" w:hAnsi="宋体" w:cs="宋体"/>
          <w:color w:val="auto"/>
          <w:highlight w:val="none"/>
          <w:lang w:bidi="ar"/>
        </w:rPr>
        <w:t>。</w:t>
      </w:r>
    </w:p>
    <w:p w14:paraId="3156C8E0">
      <w:pPr>
        <w:widowControl/>
        <w:adjustRightInd w:val="0"/>
        <w:snapToGrid w:val="0"/>
        <w:ind w:firstLine="480"/>
        <w:jc w:val="left"/>
        <w:rPr>
          <w:rFonts w:hint="eastAsia" w:ascii="宋体" w:hAnsi="宋体" w:cs="宋体"/>
          <w:color w:val="auto"/>
          <w:highlight w:val="none"/>
        </w:rPr>
      </w:pPr>
      <w:r>
        <w:rPr>
          <w:rFonts w:hint="eastAsia" w:ascii="宋体" w:hAnsi="宋体" w:cs="宋体"/>
          <w:color w:val="auto"/>
          <w:highlight w:val="none"/>
          <w:lang w:bidi="ar"/>
        </w:rPr>
        <w:t>根据上述标准，我企业属于</w:t>
      </w:r>
      <w:r>
        <w:rPr>
          <w:rFonts w:hint="eastAsia" w:ascii="宋体" w:hAnsi="宋体" w:cs="宋体"/>
          <w:color w:val="auto"/>
          <w:highlight w:val="none"/>
          <w:u w:val="single"/>
          <w:lang w:bidi="ar"/>
        </w:rPr>
        <w:t>监狱企业</w:t>
      </w:r>
      <w:r>
        <w:rPr>
          <w:rFonts w:hint="eastAsia" w:ascii="宋体" w:hAnsi="宋体" w:cs="宋体"/>
          <w:color w:val="auto"/>
          <w:highlight w:val="none"/>
          <w:lang w:bidi="ar"/>
        </w:rPr>
        <w:t>的理由为：</w:t>
      </w:r>
    </w:p>
    <w:p w14:paraId="69650713">
      <w:pPr>
        <w:widowControl/>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本企业为参加（项目名称：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）（项目编号：</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）采购活动提供本企业的产品。</w:t>
      </w:r>
    </w:p>
    <w:p w14:paraId="63CD4B9A">
      <w:pPr>
        <w:widowControl/>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本企业对上述声明的真实性负责。如有虚假，将依法承担相应责任。</w:t>
      </w:r>
    </w:p>
    <w:p w14:paraId="55DA3BC5">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3033D2D4">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4F2BD5D2">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5FB6CC14">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2BFFF99">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1ABD4C61">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6B27D6C4">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72671084">
      <w:pPr>
        <w:adjustRightInd w:val="0"/>
        <w:snapToGrid w:val="0"/>
        <w:ind w:firstLine="48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76F186C5">
      <w:pPr>
        <w:adjustRightInd w:val="0"/>
        <w:snapToGrid w:val="0"/>
        <w:ind w:firstLine="5040" w:firstLineChars="2100"/>
        <w:rPr>
          <w:rFonts w:hint="eastAsia" w:ascii="宋体" w:hAnsi="宋体" w:cs="宋体"/>
          <w:color w:val="auto"/>
          <w:highlight w:val="none"/>
          <w:u w:val="single"/>
        </w:rPr>
      </w:pPr>
      <w:r>
        <w:rPr>
          <w:rFonts w:hint="eastAsia" w:ascii="宋体" w:hAnsi="宋体" w:cs="宋体"/>
          <w:color w:val="auto"/>
          <w:highlight w:val="none"/>
          <w:lang w:bidi="ar"/>
        </w:rPr>
        <w:t>供应商名称（盖章）：</w:t>
      </w:r>
      <w:r>
        <w:rPr>
          <w:rFonts w:hint="eastAsia" w:ascii="宋体" w:hAnsi="宋体" w:cs="宋体"/>
          <w:color w:val="auto"/>
          <w:highlight w:val="none"/>
          <w:u w:val="single"/>
          <w:lang w:bidi="ar"/>
        </w:rPr>
        <w:t xml:space="preserve">                    </w:t>
      </w:r>
    </w:p>
    <w:p w14:paraId="2ACC2649">
      <w:pPr>
        <w:adjustRightInd w:val="0"/>
        <w:snapToGrid w:val="0"/>
        <w:ind w:firstLine="3600" w:firstLineChars="1500"/>
        <w:rPr>
          <w:rFonts w:hint="eastAsia" w:ascii="宋体" w:hAnsi="宋体" w:cs="宋体"/>
          <w:color w:val="auto"/>
          <w:highlight w:val="none"/>
        </w:rPr>
      </w:pPr>
      <w:r>
        <w:rPr>
          <w:rFonts w:hint="eastAsia" w:ascii="宋体" w:hAnsi="宋体" w:cs="宋体"/>
          <w:color w:val="auto"/>
          <w:highlight w:val="none"/>
          <w:lang w:bidi="ar"/>
        </w:rPr>
        <w:t xml:space="preserve"> </w:t>
      </w:r>
    </w:p>
    <w:p w14:paraId="74E57597">
      <w:pPr>
        <w:adjustRightInd w:val="0"/>
        <w:snapToGrid w:val="0"/>
        <w:ind w:firstLine="5040" w:firstLineChars="2100"/>
        <w:rPr>
          <w:rFonts w:hint="eastAsia" w:ascii="宋体" w:hAnsi="宋体" w:cs="宋体"/>
          <w:color w:val="auto"/>
          <w:highlight w:val="none"/>
        </w:rPr>
      </w:pPr>
      <w:r>
        <w:rPr>
          <w:rFonts w:hint="eastAsia" w:ascii="宋体" w:hAnsi="宋体" w:cs="宋体"/>
          <w:color w:val="auto"/>
          <w:highlight w:val="none"/>
          <w:lang w:bidi="ar"/>
        </w:rPr>
        <w:t>日期：    年   月   日</w:t>
      </w:r>
    </w:p>
    <w:p w14:paraId="21DD0F1A">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38992BFE">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6739770D">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22992E60">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供应商为监狱企业提供此函。</w:t>
      </w:r>
    </w:p>
    <w:p w14:paraId="6994EDFE">
      <w:pPr>
        <w:widowControl/>
        <w:snapToGrid w:val="0"/>
        <w:ind w:firstLine="480"/>
        <w:rPr>
          <w:rFonts w:hint="eastAsia" w:ascii="宋体" w:hAnsi="宋体" w:cs="宋体"/>
          <w:color w:val="auto"/>
          <w:highlight w:val="none"/>
        </w:rPr>
      </w:pPr>
      <w:r>
        <w:rPr>
          <w:rFonts w:hint="eastAsia" w:ascii="宋体" w:hAnsi="宋体" w:cs="宋体"/>
          <w:color w:val="auto"/>
          <w:highlight w:val="none"/>
          <w:lang w:bidi="ar"/>
        </w:rPr>
        <w:t>监狱企业参加政府采购活动时，应当提供由省级以上监狱管理局、戒毒管理局（含新疆生产建设兵团）出具的属于监狱企业的证明文件。</w:t>
      </w:r>
    </w:p>
    <w:p w14:paraId="117B104E">
      <w:pPr>
        <w:adjustRightInd w:val="0"/>
        <w:snapToGrid w:val="0"/>
        <w:ind w:firstLine="480"/>
        <w:textAlignment w:val="baseline"/>
        <w:rPr>
          <w:rFonts w:hint="eastAsia" w:ascii="宋体" w:hAnsi="宋体" w:cs="宋体"/>
          <w:bCs/>
          <w:color w:val="auto"/>
          <w:highlight w:val="none"/>
        </w:rPr>
      </w:pPr>
      <w:r>
        <w:rPr>
          <w:rFonts w:hint="eastAsia" w:ascii="宋体" w:hAnsi="宋体" w:cs="宋体"/>
          <w:bCs/>
          <w:color w:val="auto"/>
          <w:highlight w:val="none"/>
          <w:lang w:bidi="ar"/>
        </w:rPr>
        <w:t xml:space="preserve"> </w:t>
      </w:r>
    </w:p>
    <w:p w14:paraId="392D2A72">
      <w:pPr>
        <w:spacing w:line="360" w:lineRule="auto"/>
        <w:ind w:firstLine="0" w:firstLineChars="0"/>
        <w:rPr>
          <w:rFonts w:hint="eastAsia" w:ascii="宋体" w:hAnsi="宋体" w:cs="宋体"/>
          <w:b/>
          <w:color w:val="auto"/>
          <w:sz w:val="30"/>
          <w:szCs w:val="30"/>
          <w:highlight w:val="none"/>
        </w:rPr>
      </w:pPr>
      <w:r>
        <w:rPr>
          <w:rFonts w:hint="eastAsia" w:ascii="宋体" w:hAnsi="宋体" w:cs="宋体"/>
          <w:bCs/>
          <w:color w:val="auto"/>
          <w:highlight w:val="none"/>
          <w:lang w:bidi="ar"/>
        </w:rPr>
        <w:br w:type="page"/>
      </w:r>
      <w:r>
        <w:rPr>
          <w:rFonts w:hint="eastAsia" w:ascii="宋体" w:hAnsi="宋体" w:cs="宋体"/>
          <w:b/>
          <w:bCs/>
          <w:color w:val="auto"/>
          <w:highlight w:val="none"/>
          <w:lang w:bidi="ar"/>
        </w:rPr>
        <w:t>附件5</w:t>
      </w:r>
    </w:p>
    <w:p w14:paraId="14C23467">
      <w:pPr>
        <w:adjustRightInd w:val="0"/>
        <w:snapToGrid w:val="0"/>
        <w:ind w:firstLine="0" w:firstLineChars="0"/>
        <w:jc w:val="center"/>
        <w:textAlignment w:val="baseline"/>
        <w:rPr>
          <w:rFonts w:hint="eastAsia" w:ascii="宋体" w:hAnsi="宋体" w:cs="宋体"/>
          <w:color w:val="auto"/>
          <w:sz w:val="28"/>
          <w:szCs w:val="28"/>
          <w:highlight w:val="none"/>
        </w:rPr>
      </w:pPr>
      <w:r>
        <w:rPr>
          <w:rFonts w:hint="eastAsia" w:ascii="宋体" w:hAnsi="宋体" w:cs="宋体"/>
          <w:b/>
          <w:bCs/>
          <w:color w:val="auto"/>
          <w:sz w:val="28"/>
          <w:szCs w:val="28"/>
          <w:highlight w:val="none"/>
          <w:lang w:bidi="ar"/>
        </w:rPr>
        <w:t>残疾人福利性单位声明函</w:t>
      </w:r>
    </w:p>
    <w:p w14:paraId="796116DA">
      <w:pPr>
        <w:autoSpaceDE w:val="0"/>
        <w:autoSpaceDN w:val="0"/>
        <w:adjustRightInd w:val="0"/>
        <w:snapToGrid w:val="0"/>
        <w:spacing w:after="312" w:afterLines="100"/>
        <w:ind w:firstLine="560"/>
        <w:jc w:val="center"/>
        <w:outlineLvl w:val="0"/>
        <w:rPr>
          <w:rFonts w:hint="eastAsia" w:ascii="宋体" w:hAnsi="宋体" w:cs="宋体"/>
          <w:color w:val="auto"/>
          <w:sz w:val="28"/>
          <w:szCs w:val="28"/>
          <w:highlight w:val="none"/>
        </w:rPr>
      </w:pPr>
      <w:r>
        <w:rPr>
          <w:rFonts w:hint="eastAsia" w:ascii="宋体" w:hAnsi="宋体" w:cs="宋体"/>
          <w:color w:val="auto"/>
          <w:sz w:val="28"/>
          <w:szCs w:val="28"/>
          <w:highlight w:val="none"/>
          <w:lang w:bidi="ar"/>
        </w:rPr>
        <w:t>【非残疾人福利性单位不需提供】</w:t>
      </w:r>
    </w:p>
    <w:p w14:paraId="1CB69552">
      <w:pPr>
        <w:snapToGrid w:val="0"/>
        <w:ind w:firstLine="480"/>
        <w:rPr>
          <w:rFonts w:hint="eastAsia" w:ascii="宋体" w:hAnsi="宋体" w:cs="宋体"/>
          <w:color w:val="auto"/>
          <w:highlight w:val="none"/>
        </w:rPr>
      </w:pPr>
      <w:r>
        <w:rPr>
          <w:rFonts w:hint="eastAsia" w:ascii="宋体" w:hAnsi="宋体" w:cs="宋体"/>
          <w:color w:val="auto"/>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highlight w:val="none"/>
          <w:u w:val="single"/>
          <w:lang w:bidi="ar"/>
        </w:rPr>
        <w:t>（采购人名称）</w:t>
      </w:r>
      <w:r>
        <w:rPr>
          <w:rFonts w:hint="eastAsia" w:ascii="宋体" w:hAnsi="宋体" w:cs="宋体"/>
          <w:color w:val="auto"/>
          <w:highlight w:val="none"/>
          <w:lang w:bidi="ar"/>
        </w:rPr>
        <w:t>单位的</w:t>
      </w:r>
      <w:r>
        <w:rPr>
          <w:rFonts w:hint="eastAsia" w:ascii="宋体" w:hAnsi="宋体" w:cs="宋体"/>
          <w:color w:val="auto"/>
          <w:highlight w:val="none"/>
          <w:u w:val="single"/>
          <w:lang w:bidi="ar"/>
        </w:rPr>
        <w:t>（项目名称）</w:t>
      </w:r>
      <w:r>
        <w:rPr>
          <w:rFonts w:hint="eastAsia" w:ascii="宋体" w:hAnsi="宋体" w:cs="宋体"/>
          <w:color w:val="auto"/>
          <w:highlight w:val="none"/>
          <w:lang w:bidi="ar"/>
        </w:rPr>
        <w:t>项目采购活动提供本单位制造的货物（由本单位承担工程/提供服务），或者提供其他残疾人福利性单位制造的货物（不包括使用非残疾人福利性单位注册商标的货物）。</w:t>
      </w:r>
    </w:p>
    <w:p w14:paraId="238B2276">
      <w:pPr>
        <w:snapToGrid w:val="0"/>
        <w:ind w:firstLine="480"/>
        <w:rPr>
          <w:rFonts w:hint="eastAsia" w:ascii="宋体" w:hAnsi="宋体" w:cs="宋体"/>
          <w:color w:val="auto"/>
          <w:highlight w:val="none"/>
        </w:rPr>
      </w:pPr>
      <w:r>
        <w:rPr>
          <w:rFonts w:hint="eastAsia" w:ascii="宋体" w:hAnsi="宋体" w:cs="宋体"/>
          <w:color w:val="auto"/>
          <w:highlight w:val="none"/>
          <w:lang w:bidi="ar"/>
        </w:rPr>
        <w:t>本单位对上述声明的真实性负责。如有虚假，将依法承担相应责任。</w:t>
      </w:r>
    </w:p>
    <w:p w14:paraId="2BB5E122">
      <w:pPr>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7B8AAE23">
      <w:pPr>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12477E49">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5BC47CE0">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1BF78CB9">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2DE458A">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241E78AE">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400871DF">
      <w:pPr>
        <w:adjustRightInd w:val="0"/>
        <w:snapToGrid w:val="0"/>
        <w:ind w:firstLine="4080" w:firstLineChars="1700"/>
        <w:rPr>
          <w:rFonts w:hint="eastAsia" w:ascii="宋体" w:hAnsi="宋体" w:cs="宋体"/>
          <w:color w:val="auto"/>
          <w:highlight w:val="none"/>
          <w:u w:val="single"/>
        </w:rPr>
      </w:pPr>
      <w:r>
        <w:rPr>
          <w:rFonts w:hint="eastAsia" w:ascii="宋体" w:hAnsi="宋体" w:cs="宋体"/>
          <w:color w:val="auto"/>
          <w:highlight w:val="none"/>
          <w:lang w:bidi="ar"/>
        </w:rPr>
        <w:t>供应商名称（盖章）：</w:t>
      </w:r>
      <w:r>
        <w:rPr>
          <w:rFonts w:hint="eastAsia" w:ascii="宋体" w:hAnsi="宋体" w:cs="宋体"/>
          <w:color w:val="auto"/>
          <w:highlight w:val="none"/>
          <w:u w:val="single"/>
          <w:lang w:bidi="ar"/>
        </w:rPr>
        <w:t xml:space="preserve">                    </w:t>
      </w:r>
    </w:p>
    <w:p w14:paraId="1F054D82">
      <w:pPr>
        <w:adjustRightInd w:val="0"/>
        <w:snapToGrid w:val="0"/>
        <w:ind w:firstLine="3600" w:firstLineChars="1500"/>
        <w:rPr>
          <w:rFonts w:hint="eastAsia" w:ascii="宋体" w:hAnsi="宋体" w:cs="宋体"/>
          <w:color w:val="auto"/>
          <w:highlight w:val="none"/>
        </w:rPr>
      </w:pPr>
      <w:r>
        <w:rPr>
          <w:rFonts w:hint="eastAsia" w:ascii="宋体" w:hAnsi="宋体" w:cs="宋体"/>
          <w:color w:val="auto"/>
          <w:highlight w:val="none"/>
          <w:lang w:bidi="ar"/>
        </w:rPr>
        <w:t xml:space="preserve"> </w:t>
      </w:r>
    </w:p>
    <w:p w14:paraId="297B315F">
      <w:pPr>
        <w:adjustRightInd w:val="0"/>
        <w:snapToGrid w:val="0"/>
        <w:ind w:firstLine="4080" w:firstLineChars="1700"/>
        <w:rPr>
          <w:rFonts w:hint="eastAsia" w:ascii="宋体" w:hAnsi="宋体" w:cs="宋体"/>
          <w:color w:val="auto"/>
          <w:highlight w:val="none"/>
        </w:rPr>
      </w:pPr>
      <w:r>
        <w:rPr>
          <w:rFonts w:hint="eastAsia" w:ascii="宋体" w:hAnsi="宋体" w:cs="宋体"/>
          <w:color w:val="auto"/>
          <w:highlight w:val="none"/>
          <w:lang w:bidi="ar"/>
        </w:rPr>
        <w:t>日期：    年   月  日</w:t>
      </w:r>
    </w:p>
    <w:p w14:paraId="7621C560">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89DF91A">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2F6A0C6C">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126B6AFF">
      <w:pPr>
        <w:adjustRightInd w:val="0"/>
        <w:snapToGrid w:val="0"/>
        <w:ind w:firstLine="480"/>
        <w:rPr>
          <w:rFonts w:hint="eastAsia" w:ascii="宋体" w:hAnsi="宋体" w:cs="宋体"/>
          <w:color w:val="auto"/>
          <w:highlight w:val="none"/>
        </w:rPr>
      </w:pPr>
      <w:r>
        <w:rPr>
          <w:rFonts w:hint="eastAsia" w:ascii="宋体" w:hAnsi="宋体" w:cs="宋体"/>
          <w:color w:val="auto"/>
          <w:highlight w:val="none"/>
          <w:lang w:bidi="ar"/>
        </w:rPr>
        <w:t>供应商为残疾人福利性单位提供此函。</w:t>
      </w:r>
    </w:p>
    <w:p w14:paraId="3DF4715C">
      <w:pPr>
        <w:spacing w:before="100" w:beforeAutospacing="1" w:after="120"/>
        <w:ind w:firstLine="480"/>
        <w:rPr>
          <w:rFonts w:hint="eastAsia" w:ascii="宋体" w:hAnsi="宋体" w:cs="宋体"/>
          <w:color w:val="auto"/>
          <w:highlight w:val="none"/>
        </w:rPr>
      </w:pPr>
      <w:r>
        <w:rPr>
          <w:rFonts w:hint="eastAsia" w:ascii="宋体" w:hAnsi="宋体" w:cs="宋体"/>
          <w:color w:val="auto"/>
          <w:highlight w:val="none"/>
          <w:lang w:bidi="ar"/>
        </w:rPr>
        <w:t>备注：成交供应商为残疾人福利性单位的，应当随成交结果同时公告其《残疾人福利性单位声明函》，接受社会监督。</w:t>
      </w:r>
    </w:p>
    <w:p w14:paraId="65AD9D27">
      <w:pPr>
        <w:ind w:firstLine="0" w:firstLineChars="0"/>
        <w:jc w:val="left"/>
        <w:outlineLvl w:val="1"/>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5072CCFD">
      <w:pPr>
        <w:ind w:firstLine="0" w:firstLineChars="0"/>
        <w:jc w:val="left"/>
        <w:outlineLvl w:val="1"/>
        <w:rPr>
          <w:rFonts w:hint="eastAsia" w:ascii="宋体" w:hAnsi="宋体" w:cs="宋体"/>
          <w:b/>
          <w:bCs/>
          <w:color w:val="auto"/>
          <w:highlight w:val="none"/>
        </w:rPr>
      </w:pPr>
      <w:r>
        <w:rPr>
          <w:rFonts w:hint="eastAsia" w:ascii="宋体" w:hAnsi="宋体" w:cs="宋体"/>
          <w:b/>
          <w:bCs/>
          <w:color w:val="auto"/>
          <w:highlight w:val="none"/>
          <w:lang w:bidi="ar"/>
        </w:rPr>
        <w:t>附件6</w:t>
      </w:r>
    </w:p>
    <w:p w14:paraId="5F2EEE5C">
      <w:pPr>
        <w:ind w:firstLine="0" w:firstLineChars="0"/>
        <w:jc w:val="center"/>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磋 商 函</w:t>
      </w:r>
    </w:p>
    <w:p w14:paraId="267B2135">
      <w:pPr>
        <w:ind w:firstLine="480"/>
        <w:rPr>
          <w:rFonts w:hint="eastAsia" w:ascii="宋体" w:hAnsi="宋体" w:cs="宋体"/>
          <w:color w:val="auto"/>
          <w:highlight w:val="none"/>
        </w:rPr>
      </w:pPr>
      <w:r>
        <w:rPr>
          <w:rFonts w:hint="eastAsia" w:ascii="宋体" w:hAnsi="宋体" w:cs="宋体"/>
          <w:color w:val="auto"/>
          <w:highlight w:val="none"/>
          <w:lang w:bidi="ar"/>
        </w:rPr>
        <w:t>致：</w:t>
      </w:r>
      <w:r>
        <w:rPr>
          <w:rFonts w:hint="eastAsia" w:ascii="宋体" w:hAnsi="宋体" w:cs="宋体"/>
          <w:color w:val="auto"/>
          <w:highlight w:val="none"/>
          <w:u w:val="single"/>
          <w:lang w:bidi="ar"/>
        </w:rPr>
        <w:t xml:space="preserve"> （采购人）  </w:t>
      </w:r>
      <w:r>
        <w:rPr>
          <w:rFonts w:hint="eastAsia" w:ascii="宋体" w:hAnsi="宋体" w:cs="宋体"/>
          <w:color w:val="auto"/>
          <w:highlight w:val="none"/>
          <w:lang w:bidi="ar"/>
        </w:rPr>
        <w:t>：</w:t>
      </w:r>
    </w:p>
    <w:p w14:paraId="5CB5A34D">
      <w:pPr>
        <w:ind w:firstLine="480"/>
        <w:rPr>
          <w:rFonts w:hint="eastAsia" w:ascii="宋体" w:hAnsi="宋体" w:cs="宋体"/>
          <w:color w:val="auto"/>
          <w:highlight w:val="none"/>
        </w:rPr>
      </w:pPr>
      <w:r>
        <w:rPr>
          <w:rFonts w:hint="eastAsia" w:ascii="宋体" w:hAnsi="宋体" w:cs="宋体"/>
          <w:color w:val="auto"/>
          <w:highlight w:val="none"/>
          <w:lang w:bidi="ar"/>
        </w:rPr>
        <w:t>__________________(供应商全称)系中华人民共和国合法企业，现授权_________ (授权委托人姓名</w:t>
      </w:r>
      <w:r>
        <w:rPr>
          <w:rFonts w:hint="eastAsia" w:ascii="宋体" w:hAnsi="宋体" w:cs="宋体"/>
          <w:color w:val="auto"/>
          <w:highlight w:val="none"/>
          <w:u w:val="single"/>
          <w:lang w:bidi="ar"/>
        </w:rPr>
        <w:t>)          (</w:t>
      </w:r>
      <w:r>
        <w:rPr>
          <w:rFonts w:hint="eastAsia" w:ascii="宋体" w:hAnsi="宋体" w:cs="宋体"/>
          <w:color w:val="auto"/>
          <w:highlight w:val="none"/>
          <w:lang w:bidi="ar"/>
        </w:rPr>
        <w:t>职务、职称)为全权代表，参加贵方组织的</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采购项目名称)采购的有关活动，并对此项目进行磋商。为便于贵方公正、择优地确定成交供应商，我方就本次磋商有关事项郑重承诺如下：</w:t>
      </w:r>
    </w:p>
    <w:p w14:paraId="3F46B1E4">
      <w:pPr>
        <w:ind w:firstLine="480"/>
        <w:rPr>
          <w:rFonts w:hint="eastAsia" w:ascii="宋体" w:hAnsi="宋体" w:cs="宋体"/>
          <w:color w:val="auto"/>
          <w:highlight w:val="none"/>
        </w:rPr>
      </w:pPr>
      <w:r>
        <w:rPr>
          <w:rFonts w:hint="eastAsia" w:ascii="宋体" w:hAnsi="宋体" w:cs="宋体"/>
          <w:color w:val="auto"/>
          <w:highlight w:val="none"/>
          <w:lang w:bidi="ar"/>
        </w:rPr>
        <w:t>1.我方向贵方提交的所有磋商响应文件、资料都是准确的和真实的。</w:t>
      </w:r>
    </w:p>
    <w:p w14:paraId="16234768">
      <w:pPr>
        <w:ind w:firstLine="480"/>
        <w:rPr>
          <w:rFonts w:hint="eastAsia" w:ascii="宋体" w:hAnsi="宋体" w:cs="宋体"/>
          <w:color w:val="auto"/>
          <w:highlight w:val="none"/>
        </w:rPr>
      </w:pPr>
      <w:r>
        <w:rPr>
          <w:rFonts w:hint="eastAsia" w:ascii="宋体" w:hAnsi="宋体" w:cs="宋体"/>
          <w:color w:val="auto"/>
          <w:highlight w:val="none"/>
          <w:lang w:bidi="ar"/>
        </w:rPr>
        <w:t>2.我方承诺已经具备《中华人民共和国政府采购法》中规定的参加政府采购活动的供应商应当具备的条件：</w:t>
      </w:r>
    </w:p>
    <w:p w14:paraId="62771082">
      <w:pPr>
        <w:ind w:firstLine="480"/>
        <w:rPr>
          <w:rFonts w:hint="eastAsia" w:ascii="宋体" w:hAnsi="宋体" w:cs="宋体"/>
          <w:color w:val="auto"/>
          <w:highlight w:val="none"/>
        </w:rPr>
      </w:pPr>
      <w:r>
        <w:rPr>
          <w:rFonts w:hint="eastAsia" w:ascii="宋体" w:hAnsi="宋体" w:cs="宋体"/>
          <w:color w:val="auto"/>
          <w:highlight w:val="none"/>
          <w:lang w:bidi="ar"/>
        </w:rPr>
        <w:t>（1）具有独立承担民事责任的能力；</w:t>
      </w:r>
    </w:p>
    <w:p w14:paraId="0CC1401E">
      <w:pPr>
        <w:ind w:firstLine="480"/>
        <w:rPr>
          <w:rFonts w:hint="eastAsia" w:ascii="宋体" w:hAnsi="宋体" w:cs="宋体"/>
          <w:color w:val="auto"/>
          <w:highlight w:val="none"/>
        </w:rPr>
      </w:pPr>
      <w:r>
        <w:rPr>
          <w:rFonts w:hint="eastAsia" w:ascii="宋体" w:hAnsi="宋体" w:cs="宋体"/>
          <w:color w:val="auto"/>
          <w:highlight w:val="none"/>
          <w:lang w:bidi="ar"/>
        </w:rPr>
        <w:t>（2）遵守国家法律、行政法规，具有良好的信誉和商业道德；</w:t>
      </w:r>
    </w:p>
    <w:p w14:paraId="6CC58029">
      <w:pPr>
        <w:ind w:firstLine="480"/>
        <w:rPr>
          <w:rFonts w:hint="eastAsia" w:ascii="宋体" w:hAnsi="宋体" w:cs="宋体"/>
          <w:color w:val="auto"/>
          <w:highlight w:val="none"/>
        </w:rPr>
      </w:pPr>
      <w:r>
        <w:rPr>
          <w:rFonts w:hint="eastAsia" w:ascii="宋体" w:hAnsi="宋体" w:cs="宋体"/>
          <w:color w:val="auto"/>
          <w:highlight w:val="none"/>
          <w:lang w:bidi="ar"/>
        </w:rPr>
        <w:t>（3）具有履行合同的能力和良好地履行合同记录；</w:t>
      </w:r>
    </w:p>
    <w:p w14:paraId="6FD286C0">
      <w:pPr>
        <w:ind w:firstLine="480"/>
        <w:rPr>
          <w:rFonts w:hint="eastAsia" w:ascii="宋体" w:hAnsi="宋体" w:cs="宋体"/>
          <w:color w:val="auto"/>
          <w:highlight w:val="none"/>
        </w:rPr>
      </w:pPr>
      <w:r>
        <w:rPr>
          <w:rFonts w:hint="eastAsia" w:ascii="宋体" w:hAnsi="宋体" w:cs="宋体"/>
          <w:color w:val="auto"/>
          <w:highlight w:val="none"/>
          <w:lang w:bidi="ar"/>
        </w:rPr>
        <w:t>（4）具有良好的资金、财务状况及依法缴纳税收和社会保障资金的记录；</w:t>
      </w:r>
    </w:p>
    <w:p w14:paraId="7A885647">
      <w:pPr>
        <w:ind w:firstLine="480"/>
        <w:rPr>
          <w:rFonts w:hint="eastAsia" w:ascii="宋体" w:hAnsi="宋体" w:cs="宋体"/>
          <w:color w:val="auto"/>
          <w:highlight w:val="none"/>
        </w:rPr>
      </w:pPr>
      <w:r>
        <w:rPr>
          <w:rFonts w:hint="eastAsia" w:ascii="宋体" w:hAnsi="宋体" w:cs="宋体"/>
          <w:color w:val="auto"/>
          <w:highlight w:val="none"/>
          <w:lang w:bidi="ar"/>
        </w:rPr>
        <w:t>（5）前三年内没有违反政府采购法规、政策的记录；</w:t>
      </w:r>
    </w:p>
    <w:p w14:paraId="5B62DC99">
      <w:pPr>
        <w:ind w:firstLine="480"/>
        <w:rPr>
          <w:rFonts w:hint="eastAsia" w:ascii="宋体" w:hAnsi="宋体" w:cs="宋体"/>
          <w:color w:val="auto"/>
          <w:highlight w:val="none"/>
        </w:rPr>
      </w:pPr>
      <w:r>
        <w:rPr>
          <w:rFonts w:hint="eastAsia" w:ascii="宋体" w:hAnsi="宋体" w:cs="宋体"/>
          <w:color w:val="auto"/>
          <w:highlight w:val="none"/>
          <w:lang w:bidi="ar"/>
        </w:rPr>
        <w:t>（6）没有发生重大经济纠纷、经济犯罪和走私犯罪记录；</w:t>
      </w:r>
    </w:p>
    <w:p w14:paraId="7AB5CEB1">
      <w:pPr>
        <w:ind w:firstLine="480"/>
        <w:rPr>
          <w:rFonts w:hint="eastAsia" w:ascii="宋体" w:hAnsi="宋体" w:cs="宋体"/>
          <w:color w:val="auto"/>
          <w:highlight w:val="none"/>
        </w:rPr>
      </w:pPr>
      <w:r>
        <w:rPr>
          <w:rFonts w:hint="eastAsia" w:ascii="宋体" w:hAnsi="宋体" w:cs="宋体"/>
          <w:color w:val="auto"/>
          <w:highlight w:val="none"/>
          <w:lang w:bidi="ar"/>
        </w:rPr>
        <w:t>3.提供供应商须知规定的全部磋商响应文件，包括：</w:t>
      </w:r>
    </w:p>
    <w:p w14:paraId="2BC758D5">
      <w:pPr>
        <w:ind w:firstLine="480"/>
        <w:rPr>
          <w:rFonts w:hint="eastAsia" w:ascii="宋体" w:hAnsi="宋体" w:cs="宋体"/>
          <w:color w:val="auto"/>
          <w:highlight w:val="none"/>
        </w:rPr>
      </w:pPr>
      <w:r>
        <w:rPr>
          <w:rFonts w:hint="eastAsia" w:ascii="宋体" w:hAnsi="宋体" w:cs="宋体"/>
          <w:color w:val="auto"/>
          <w:highlight w:val="none"/>
          <w:lang w:bidi="ar"/>
        </w:rPr>
        <w:t>竞争性磋商响应文件</w:t>
      </w:r>
    </w:p>
    <w:p w14:paraId="19A7B906">
      <w:pPr>
        <w:ind w:firstLine="480"/>
        <w:rPr>
          <w:rFonts w:hint="eastAsia" w:ascii="宋体" w:hAnsi="宋体" w:cs="宋体"/>
          <w:color w:val="auto"/>
          <w:highlight w:val="none"/>
        </w:rPr>
      </w:pPr>
      <w:r>
        <w:rPr>
          <w:rFonts w:hint="eastAsia" w:ascii="宋体" w:hAnsi="宋体" w:cs="宋体"/>
          <w:color w:val="auto"/>
          <w:highlight w:val="none"/>
          <w:lang w:bidi="ar"/>
        </w:rPr>
        <w:t>供应商须知要求的供应商提交的全部文件；</w:t>
      </w:r>
    </w:p>
    <w:p w14:paraId="5271E642">
      <w:pPr>
        <w:ind w:firstLine="480"/>
        <w:rPr>
          <w:rFonts w:hint="eastAsia" w:ascii="宋体" w:hAnsi="宋体" w:cs="宋体"/>
          <w:color w:val="auto"/>
          <w:highlight w:val="none"/>
        </w:rPr>
      </w:pPr>
      <w:r>
        <w:rPr>
          <w:rFonts w:hint="eastAsia" w:ascii="宋体" w:hAnsi="宋体" w:cs="宋体"/>
          <w:color w:val="auto"/>
          <w:highlight w:val="none"/>
          <w:lang w:bidi="ar"/>
        </w:rPr>
        <w:t>4.如成交，我方将保证忠实地执行双方所签订的合同，并承担合同规定的责任和义务。</w:t>
      </w:r>
    </w:p>
    <w:p w14:paraId="769B4BF6">
      <w:pPr>
        <w:ind w:firstLine="480"/>
        <w:rPr>
          <w:rFonts w:hint="eastAsia" w:ascii="宋体" w:hAnsi="宋体" w:cs="宋体"/>
          <w:color w:val="auto"/>
          <w:highlight w:val="none"/>
        </w:rPr>
      </w:pPr>
      <w:r>
        <w:rPr>
          <w:rFonts w:hint="eastAsia" w:ascii="宋体" w:hAnsi="宋体" w:cs="宋体"/>
          <w:color w:val="auto"/>
          <w:highlight w:val="none"/>
          <w:lang w:bidi="ar"/>
        </w:rPr>
        <w:t>5.服务期限：</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w:t>
      </w:r>
    </w:p>
    <w:p w14:paraId="3EBE2257">
      <w:pPr>
        <w:ind w:firstLine="480"/>
        <w:rPr>
          <w:rFonts w:hint="eastAsia" w:ascii="宋体" w:hAnsi="宋体" w:cs="宋体"/>
          <w:color w:val="auto"/>
          <w:highlight w:val="none"/>
        </w:rPr>
      </w:pPr>
      <w:r>
        <w:rPr>
          <w:rFonts w:hint="eastAsia" w:ascii="宋体" w:hAnsi="宋体" w:cs="宋体"/>
          <w:color w:val="auto"/>
          <w:highlight w:val="none"/>
          <w:lang w:bidi="ar"/>
        </w:rPr>
        <w:t>6.保证遵守磋商文件中的其他有关条款。</w:t>
      </w:r>
    </w:p>
    <w:p w14:paraId="1F3834C1">
      <w:pPr>
        <w:ind w:firstLine="480"/>
        <w:rPr>
          <w:rFonts w:hint="eastAsia" w:ascii="宋体" w:hAnsi="宋体" w:cs="宋体"/>
          <w:color w:val="auto"/>
          <w:highlight w:val="none"/>
        </w:rPr>
      </w:pPr>
      <w:r>
        <w:rPr>
          <w:rFonts w:hint="eastAsia" w:ascii="宋体" w:hAnsi="宋体" w:cs="宋体"/>
          <w:color w:val="auto"/>
          <w:highlight w:val="none"/>
          <w:lang w:bidi="ar"/>
        </w:rPr>
        <w:t>7.我方的磋商响应有效期自开标日起90天内有效。</w:t>
      </w:r>
    </w:p>
    <w:p w14:paraId="4A4C9F16">
      <w:pPr>
        <w:ind w:firstLine="480"/>
        <w:rPr>
          <w:rFonts w:hint="eastAsia" w:ascii="宋体" w:hAnsi="宋体" w:cs="宋体"/>
          <w:color w:val="auto"/>
          <w:highlight w:val="none"/>
        </w:rPr>
      </w:pPr>
      <w:r>
        <w:rPr>
          <w:rFonts w:hint="eastAsia" w:ascii="宋体" w:hAnsi="宋体" w:cs="宋体"/>
          <w:color w:val="auto"/>
          <w:highlight w:val="none"/>
          <w:lang w:bidi="ar"/>
        </w:rPr>
        <w:t>8.我方在磋商响应之前已经与贵方进行了充分的沟通，完全理解并接受磋商文件的各项规定和要求，对磋商文件的合理性、合法性不再有异议。</w:t>
      </w:r>
    </w:p>
    <w:p w14:paraId="787FFA10">
      <w:pPr>
        <w:ind w:firstLine="480"/>
        <w:rPr>
          <w:rFonts w:hint="eastAsia" w:ascii="宋体" w:hAnsi="宋体" w:cs="宋体"/>
          <w:color w:val="auto"/>
          <w:highlight w:val="none"/>
        </w:rPr>
      </w:pPr>
      <w:r>
        <w:rPr>
          <w:rFonts w:hint="eastAsia" w:ascii="宋体" w:hAnsi="宋体" w:cs="宋体"/>
          <w:color w:val="auto"/>
          <w:highlight w:val="none"/>
          <w:lang w:bidi="ar"/>
        </w:rPr>
        <w:t>9.我方愿意向贵方提供真实完整的任何与该项磋商响应有关的数据、情况和技术资料。若贵方需要，我方愿意提供我方做出的一切承诺的证明材料。</w:t>
      </w:r>
    </w:p>
    <w:p w14:paraId="60A9274E">
      <w:pPr>
        <w:ind w:firstLine="480"/>
        <w:rPr>
          <w:rFonts w:hint="eastAsia" w:ascii="宋体" w:hAnsi="宋体" w:cs="宋体"/>
          <w:color w:val="auto"/>
          <w:highlight w:val="none"/>
        </w:rPr>
      </w:pPr>
      <w:r>
        <w:rPr>
          <w:rFonts w:hint="eastAsia" w:ascii="宋体" w:hAnsi="宋体" w:cs="宋体"/>
          <w:color w:val="auto"/>
          <w:highlight w:val="none"/>
          <w:lang w:bidi="ar"/>
        </w:rPr>
        <w:t>10.我方已详细审核全部磋商文件，包括磋商文件的澄清或修改文件（如有的话）、参考资料及有关附件，已经了解我方对于磋商文件、采购过程、采购结果有依法进行询问、质疑、投诉的权利及相关渠道和要求。</w:t>
      </w:r>
    </w:p>
    <w:p w14:paraId="5455BFF7">
      <w:pPr>
        <w:ind w:firstLine="480"/>
        <w:rPr>
          <w:rFonts w:hint="eastAsia" w:ascii="宋体" w:hAnsi="宋体" w:cs="宋体"/>
          <w:color w:val="auto"/>
          <w:highlight w:val="none"/>
        </w:rPr>
      </w:pPr>
      <w:r>
        <w:rPr>
          <w:rFonts w:hint="eastAsia" w:ascii="宋体" w:hAnsi="宋体" w:cs="宋体"/>
          <w:color w:val="auto"/>
          <w:highlight w:val="none"/>
          <w:lang w:bidi="ar"/>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8B23E65">
      <w:pPr>
        <w:ind w:firstLine="480"/>
        <w:rPr>
          <w:rFonts w:hint="eastAsia" w:ascii="宋体" w:hAnsi="宋体" w:cs="宋体"/>
          <w:color w:val="auto"/>
          <w:highlight w:val="none"/>
        </w:rPr>
      </w:pPr>
      <w:r>
        <w:rPr>
          <w:rFonts w:hint="eastAsia" w:ascii="宋体" w:hAnsi="宋体" w:cs="宋体"/>
          <w:color w:val="auto"/>
          <w:highlight w:val="none"/>
          <w:lang w:bidi="ar"/>
        </w:rPr>
        <w:t>（一）提供虚假材料谋取中标、成交的；</w:t>
      </w:r>
    </w:p>
    <w:p w14:paraId="69109676">
      <w:pPr>
        <w:ind w:firstLine="480"/>
        <w:rPr>
          <w:rFonts w:hint="eastAsia" w:ascii="宋体" w:hAnsi="宋体" w:cs="宋体"/>
          <w:color w:val="auto"/>
          <w:highlight w:val="none"/>
        </w:rPr>
      </w:pPr>
      <w:r>
        <w:rPr>
          <w:rFonts w:hint="eastAsia" w:ascii="宋体" w:hAnsi="宋体" w:cs="宋体"/>
          <w:color w:val="auto"/>
          <w:highlight w:val="none"/>
          <w:lang w:bidi="ar"/>
        </w:rPr>
        <w:t>（二）采取不正当手段诋毁、排挤其他供应商的；</w:t>
      </w:r>
    </w:p>
    <w:p w14:paraId="3C690AC1">
      <w:pPr>
        <w:ind w:firstLine="480"/>
        <w:rPr>
          <w:rFonts w:hint="eastAsia" w:ascii="宋体" w:hAnsi="宋体" w:cs="宋体"/>
          <w:color w:val="auto"/>
          <w:highlight w:val="none"/>
        </w:rPr>
      </w:pPr>
      <w:r>
        <w:rPr>
          <w:rFonts w:hint="eastAsia" w:ascii="宋体" w:hAnsi="宋体" w:cs="宋体"/>
          <w:color w:val="auto"/>
          <w:highlight w:val="none"/>
          <w:lang w:bidi="ar"/>
        </w:rPr>
        <w:t>（三）与采购人、其他供应商或者采购代理机构恶意串通的；</w:t>
      </w:r>
    </w:p>
    <w:p w14:paraId="24CE5872">
      <w:pPr>
        <w:ind w:firstLine="480"/>
        <w:rPr>
          <w:rFonts w:hint="eastAsia" w:ascii="宋体" w:hAnsi="宋体" w:cs="宋体"/>
          <w:color w:val="auto"/>
          <w:highlight w:val="none"/>
        </w:rPr>
      </w:pPr>
      <w:r>
        <w:rPr>
          <w:rFonts w:hint="eastAsia" w:ascii="宋体" w:hAnsi="宋体" w:cs="宋体"/>
          <w:color w:val="auto"/>
          <w:highlight w:val="none"/>
          <w:lang w:bidi="ar"/>
        </w:rPr>
        <w:t>（四）向采购人、采购代理机构行贿或者提供其他不正当利益的；</w:t>
      </w:r>
    </w:p>
    <w:p w14:paraId="1B23C816">
      <w:pPr>
        <w:ind w:firstLine="480"/>
        <w:rPr>
          <w:rFonts w:hint="eastAsia" w:ascii="宋体" w:hAnsi="宋体" w:cs="宋体"/>
          <w:color w:val="auto"/>
          <w:highlight w:val="none"/>
        </w:rPr>
      </w:pPr>
      <w:r>
        <w:rPr>
          <w:rFonts w:hint="eastAsia" w:ascii="宋体" w:hAnsi="宋体" w:cs="宋体"/>
          <w:color w:val="auto"/>
          <w:highlight w:val="none"/>
          <w:lang w:bidi="ar"/>
        </w:rPr>
        <w:t>（五）在磋商采购过程中与采购人进行协商磋商的；</w:t>
      </w:r>
    </w:p>
    <w:p w14:paraId="46BFB016">
      <w:pPr>
        <w:ind w:firstLine="480"/>
        <w:rPr>
          <w:rFonts w:hint="eastAsia" w:ascii="宋体" w:hAnsi="宋体" w:cs="宋体"/>
          <w:color w:val="auto"/>
          <w:highlight w:val="none"/>
        </w:rPr>
      </w:pPr>
      <w:r>
        <w:rPr>
          <w:rFonts w:hint="eastAsia" w:ascii="宋体" w:hAnsi="宋体" w:cs="宋体"/>
          <w:color w:val="auto"/>
          <w:highlight w:val="none"/>
          <w:lang w:bidi="ar"/>
        </w:rPr>
        <w:t>（六）拒绝有关部门监督检查或提供虚假情况的。</w:t>
      </w:r>
    </w:p>
    <w:p w14:paraId="42D30965">
      <w:pPr>
        <w:ind w:firstLine="480"/>
        <w:rPr>
          <w:rFonts w:hint="eastAsia" w:ascii="宋体" w:hAnsi="宋体" w:cs="宋体"/>
          <w:color w:val="auto"/>
          <w:highlight w:val="none"/>
        </w:rPr>
      </w:pPr>
      <w:r>
        <w:rPr>
          <w:rFonts w:hint="eastAsia" w:ascii="宋体" w:hAnsi="宋体" w:cs="宋体"/>
          <w:color w:val="auto"/>
          <w:highlight w:val="none"/>
          <w:lang w:bidi="ar"/>
        </w:rPr>
        <w:t>12.如中标（成交），本磋商响应文件至本项目合同履行完毕止均保持有效，本供应商将按“采购文件”及政府采购法律法规的规定履行合同责任和义务。</w:t>
      </w:r>
    </w:p>
    <w:p w14:paraId="351C3385">
      <w:pPr>
        <w:ind w:firstLine="960" w:firstLineChars="400"/>
        <w:rPr>
          <w:rFonts w:hint="eastAsia" w:ascii="宋体" w:hAnsi="宋体" w:cs="宋体"/>
          <w:color w:val="auto"/>
          <w:highlight w:val="none"/>
        </w:rPr>
      </w:pPr>
      <w:r>
        <w:rPr>
          <w:rFonts w:hint="eastAsia" w:ascii="宋体" w:hAnsi="宋体" w:cs="宋体"/>
          <w:color w:val="auto"/>
          <w:highlight w:val="none"/>
          <w:lang w:bidi="ar"/>
        </w:rPr>
        <w:t>与本磋商响应有关的一切正式往来信函请寄：</w:t>
      </w:r>
    </w:p>
    <w:p w14:paraId="15F14844">
      <w:pPr>
        <w:ind w:firstLine="960" w:firstLineChars="400"/>
        <w:rPr>
          <w:rFonts w:hint="eastAsia" w:ascii="宋体" w:hAnsi="宋体" w:cs="宋体"/>
          <w:color w:val="auto"/>
          <w:highlight w:val="none"/>
        </w:rPr>
      </w:pPr>
      <w:r>
        <w:rPr>
          <w:rFonts w:hint="eastAsia" w:ascii="宋体" w:hAnsi="宋体" w:cs="宋体"/>
          <w:color w:val="auto"/>
          <w:highlight w:val="none"/>
          <w:lang w:bidi="ar"/>
        </w:rPr>
        <w:t>地址：______________________________     邮编：____________</w:t>
      </w:r>
    </w:p>
    <w:p w14:paraId="646E0F19">
      <w:pPr>
        <w:ind w:firstLine="960" w:firstLineChars="400"/>
        <w:rPr>
          <w:rFonts w:hint="eastAsia" w:ascii="宋体" w:hAnsi="宋体" w:cs="宋体"/>
          <w:b/>
          <w:bCs/>
          <w:color w:val="auto"/>
          <w:kern w:val="0"/>
          <w:highlight w:val="none"/>
        </w:rPr>
      </w:pPr>
      <w:r>
        <w:rPr>
          <w:rFonts w:hint="eastAsia" w:ascii="宋体" w:hAnsi="宋体" w:cs="宋体"/>
          <w:color w:val="auto"/>
          <w:highlight w:val="none"/>
          <w:lang w:bidi="ar"/>
        </w:rPr>
        <w:t>电话：______________________________     传真：____________</w:t>
      </w:r>
    </w:p>
    <w:p w14:paraId="6D462D56">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384634BA">
      <w:pPr>
        <w:snapToGrid w:val="0"/>
        <w:spacing w:line="480" w:lineRule="exact"/>
        <w:ind w:firstLine="3840" w:firstLineChars="1600"/>
        <w:rPr>
          <w:rFonts w:hint="eastAsia" w:ascii="宋体" w:hAnsi="宋体" w:cs="宋体"/>
          <w:color w:val="auto"/>
          <w:highlight w:val="none"/>
        </w:rPr>
      </w:pPr>
      <w:r>
        <w:rPr>
          <w:rFonts w:hint="eastAsia" w:ascii="宋体" w:hAnsi="宋体" w:cs="宋体"/>
          <w:color w:val="auto"/>
          <w:highlight w:val="none"/>
          <w:lang w:bidi="ar"/>
        </w:rPr>
        <w:t>供应商名称（盖章）：</w:t>
      </w:r>
    </w:p>
    <w:p w14:paraId="7861A067">
      <w:pPr>
        <w:snapToGrid w:val="0"/>
        <w:spacing w:line="480" w:lineRule="exact"/>
        <w:ind w:firstLine="3840" w:firstLineChars="1600"/>
        <w:rPr>
          <w:rFonts w:hint="eastAsia" w:ascii="宋体" w:hAnsi="宋体" w:cs="宋体"/>
          <w:color w:val="auto"/>
          <w:highlight w:val="none"/>
        </w:rPr>
      </w:pPr>
      <w:r>
        <w:rPr>
          <w:rFonts w:hint="eastAsia" w:ascii="宋体" w:hAnsi="宋体" w:cs="宋体"/>
          <w:color w:val="auto"/>
          <w:highlight w:val="none"/>
          <w:lang w:bidi="ar"/>
        </w:rPr>
        <w:t>法定代表人或授权委托人（签字或盖章）：</w:t>
      </w:r>
    </w:p>
    <w:p w14:paraId="545391A4">
      <w:pPr>
        <w:snapToGrid w:val="0"/>
        <w:spacing w:line="480" w:lineRule="exact"/>
        <w:ind w:firstLine="3840" w:firstLineChars="1600"/>
        <w:rPr>
          <w:rFonts w:hint="eastAsia" w:ascii="宋体" w:hAnsi="宋体" w:cs="宋体"/>
          <w:color w:val="auto"/>
          <w:highlight w:val="none"/>
        </w:rPr>
        <w:sectPr>
          <w:pgSz w:w="11906" w:h="16838"/>
          <w:pgMar w:top="1423" w:right="1080" w:bottom="1423"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r>
        <w:rPr>
          <w:rFonts w:hint="eastAsia" w:ascii="宋体" w:hAnsi="宋体" w:cs="宋体"/>
          <w:color w:val="auto"/>
          <w:highlight w:val="none"/>
          <w:lang w:bidi="ar"/>
        </w:rPr>
        <w:t>日期：     年   月   日</w:t>
      </w:r>
    </w:p>
    <w:p w14:paraId="25073518">
      <w:pPr>
        <w:ind w:firstLine="0" w:firstLineChars="0"/>
        <w:rPr>
          <w:rFonts w:hint="eastAsia" w:ascii="宋体" w:hAnsi="宋体" w:cs="宋体"/>
          <w:b/>
          <w:color w:val="auto"/>
          <w:highlight w:val="none"/>
        </w:rPr>
      </w:pPr>
      <w:r>
        <w:rPr>
          <w:rFonts w:hint="eastAsia" w:ascii="宋体" w:hAnsi="宋体" w:cs="宋体"/>
          <w:b/>
          <w:color w:val="auto"/>
          <w:highlight w:val="none"/>
          <w:lang w:bidi="ar"/>
        </w:rPr>
        <w:t xml:space="preserve"> 附件7</w:t>
      </w:r>
    </w:p>
    <w:p w14:paraId="208C9E81">
      <w:pPr>
        <w:pStyle w:val="4"/>
        <w:keepNext w:val="0"/>
        <w:keepLines w:val="0"/>
        <w:widowControl/>
        <w:spacing w:before="156" w:after="156"/>
        <w:rPr>
          <w:rFonts w:hint="eastAsia" w:ascii="宋体" w:hAnsi="宋体" w:cs="宋体"/>
          <w:color w:val="auto"/>
          <w:sz w:val="30"/>
          <w:szCs w:val="30"/>
          <w:highlight w:val="none"/>
        </w:rPr>
      </w:pPr>
      <w:r>
        <w:rPr>
          <w:rFonts w:hint="eastAsia" w:ascii="宋体" w:hAnsi="宋体" w:cs="宋体"/>
          <w:color w:val="auto"/>
          <w:sz w:val="30"/>
          <w:szCs w:val="30"/>
          <w:highlight w:val="none"/>
        </w:rPr>
        <w:t>（一）法定代表人身份证明</w:t>
      </w:r>
    </w:p>
    <w:p w14:paraId="4DA98AF6">
      <w:pPr>
        <w:spacing w:line="440" w:lineRule="exact"/>
        <w:ind w:firstLine="400"/>
        <w:rPr>
          <w:rFonts w:hint="eastAsia" w:ascii="宋体" w:hAnsi="宋体" w:cs="宋体"/>
          <w:color w:val="auto"/>
          <w:sz w:val="20"/>
          <w:szCs w:val="20"/>
          <w:highlight w:val="none"/>
        </w:rPr>
      </w:pPr>
      <w:r>
        <w:rPr>
          <w:rFonts w:hint="eastAsia" w:ascii="宋体" w:hAnsi="宋体" w:cs="宋体"/>
          <w:color w:val="auto"/>
          <w:sz w:val="20"/>
          <w:szCs w:val="20"/>
          <w:highlight w:val="none"/>
          <w:lang w:bidi="ar"/>
        </w:rPr>
        <w:t xml:space="preserve"> </w:t>
      </w:r>
    </w:p>
    <w:p w14:paraId="7C44DFDF">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794D6C6A">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供应商名称：</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p>
    <w:p w14:paraId="2A4508D5">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单位性质：</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w:t>
      </w:r>
    </w:p>
    <w:p w14:paraId="3570A3A1">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地址：</w:t>
      </w:r>
      <w:r>
        <w:rPr>
          <w:rFonts w:hint="eastAsia" w:ascii="宋体" w:hAnsi="宋体" w:cs="宋体"/>
          <w:color w:val="auto"/>
          <w:highlight w:val="none"/>
          <w:u w:val="single"/>
          <w:lang w:bidi="ar"/>
        </w:rPr>
        <w:t xml:space="preserve">                                   </w:t>
      </w:r>
    </w:p>
    <w:p w14:paraId="3D421F92">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成立时间：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日</w:t>
      </w:r>
    </w:p>
    <w:p w14:paraId="2CC1F3D7">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经营期限：</w:t>
      </w:r>
      <w:r>
        <w:rPr>
          <w:rFonts w:hint="eastAsia" w:ascii="宋体" w:hAnsi="宋体" w:cs="宋体"/>
          <w:color w:val="auto"/>
          <w:highlight w:val="none"/>
          <w:u w:val="single"/>
          <w:lang w:bidi="ar"/>
        </w:rPr>
        <w:t xml:space="preserve">                               </w:t>
      </w:r>
    </w:p>
    <w:p w14:paraId="27B443BE">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姓名：</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性别：</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年龄：</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职务：</w:t>
      </w:r>
      <w:r>
        <w:rPr>
          <w:rFonts w:hint="eastAsia" w:ascii="宋体" w:hAnsi="宋体" w:cs="宋体"/>
          <w:color w:val="auto"/>
          <w:highlight w:val="none"/>
          <w:u w:val="single"/>
          <w:lang w:bidi="ar"/>
        </w:rPr>
        <w:t xml:space="preserve">        </w:t>
      </w:r>
    </w:p>
    <w:p w14:paraId="4997922F">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系</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 （供应商名称）的法定代表人。</w:t>
      </w:r>
    </w:p>
    <w:p w14:paraId="56CFFDD3">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特此证明。</w:t>
      </w:r>
    </w:p>
    <w:p w14:paraId="04495EF3">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DCC34D9">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6E140E85">
      <w:pPr>
        <w:spacing w:line="440" w:lineRule="exact"/>
        <w:ind w:firstLine="480"/>
        <w:rPr>
          <w:rFonts w:hint="eastAsia" w:ascii="宋体" w:hAnsi="宋体" w:cs="宋体"/>
          <w:color w:val="auto"/>
          <w:highlight w:val="none"/>
        </w:rPr>
      </w:pPr>
      <w:r>
        <w:rPr>
          <w:rFonts w:hint="eastAsia" w:ascii="宋体" w:hAnsi="宋体" w:cs="宋体"/>
          <w:color w:val="auto"/>
          <w:highlight w:val="none"/>
          <w:lang w:bidi="ar"/>
        </w:rPr>
        <w:t xml:space="preserve">                          供应商：</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（盖单位章）</w:t>
      </w:r>
    </w:p>
    <w:p w14:paraId="127DEC2C">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年</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月</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 xml:space="preserve">日      </w:t>
      </w:r>
    </w:p>
    <w:p w14:paraId="03D9FE2C">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5CF89B93">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48753C14">
      <w:pPr>
        <w:pStyle w:val="34"/>
        <w:snapToGrid w:val="0"/>
        <w:spacing w:before="0" w:beforeAutospacing="0" w:after="0" w:afterAutospacing="0"/>
        <w:ind w:firstLine="560"/>
        <w:jc w:val="both"/>
        <w:rPr>
          <w:rFonts w:hint="eastAsia" w:cs="宋体"/>
          <w:color w:val="auto"/>
          <w:sz w:val="28"/>
          <w:szCs w:val="28"/>
          <w:highlight w:val="none"/>
        </w:rPr>
      </w:pPr>
      <w:r>
        <w:rPr>
          <w:rFonts w:hint="eastAsia" w:cs="宋体"/>
          <w:color w:val="auto"/>
          <w:sz w:val="28"/>
          <w:szCs w:val="28"/>
          <w:highlight w:val="none"/>
          <w:lang w:bidi="ar"/>
        </w:rPr>
        <w:t xml:space="preserve"> </w:t>
      </w:r>
    </w:p>
    <w:p w14:paraId="548EB7C3">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022C8E48">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025B1CDA">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 xml:space="preserve"> </w:t>
      </w:r>
    </w:p>
    <w:p w14:paraId="7C6E8F9E">
      <w:pPr>
        <w:pStyle w:val="34"/>
        <w:widowControl w:val="0"/>
        <w:spacing w:before="0" w:beforeAutospacing="0" w:after="0" w:afterAutospacing="0"/>
        <w:ind w:firstLine="480"/>
        <w:rPr>
          <w:rFonts w:hint="eastAsia" w:cs="宋体"/>
          <w:bCs/>
          <w:color w:val="auto"/>
          <w:kern w:val="2"/>
          <w:highlight w:val="none"/>
        </w:rPr>
      </w:pPr>
      <w:r>
        <w:rPr>
          <w:rFonts w:hint="eastAsia" w:cs="宋体"/>
          <w:bCs/>
          <w:color w:val="auto"/>
          <w:kern w:val="2"/>
          <w:highlight w:val="none"/>
          <w:lang w:bidi="ar"/>
        </w:rPr>
        <w:t xml:space="preserve"> </w:t>
      </w:r>
    </w:p>
    <w:p w14:paraId="3888889F">
      <w:pPr>
        <w:pStyle w:val="34"/>
        <w:spacing w:before="0" w:beforeAutospacing="0" w:after="0" w:afterAutospacing="0"/>
        <w:ind w:firstLine="240" w:firstLineChars="100"/>
        <w:rPr>
          <w:rFonts w:hint="eastAsia" w:cs="宋体"/>
          <w:bCs/>
          <w:color w:val="auto"/>
          <w:kern w:val="2"/>
          <w:highlight w:val="none"/>
        </w:rPr>
      </w:pPr>
      <w:r>
        <w:rPr>
          <w:rFonts w:hint="eastAsia" w:cs="宋体"/>
          <w:bCs/>
          <w:color w:val="auto"/>
          <w:kern w:val="2"/>
          <w:highlight w:val="none"/>
          <w:lang w:bidi="ar"/>
        </w:rPr>
        <w:t xml:space="preserve"> </w:t>
      </w:r>
    </w:p>
    <w:p w14:paraId="68EE0111">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0DABEA0E">
      <w:pPr>
        <w:pStyle w:val="38"/>
        <w:widowControl/>
        <w:spacing w:before="100" w:beforeAutospacing="1"/>
        <w:ind w:left="480" w:firstLine="480"/>
        <w:rPr>
          <w:rFonts w:hint="eastAsia" w:ascii="宋体" w:hAnsi="宋体" w:cs="宋体"/>
          <w:color w:val="auto"/>
          <w:highlight w:val="none"/>
        </w:rPr>
      </w:pPr>
      <w:r>
        <w:rPr>
          <w:rFonts w:hint="eastAsia" w:ascii="宋体" w:hAnsi="宋体" w:cs="宋体"/>
          <w:color w:val="auto"/>
          <w:highlight w:val="none"/>
        </w:rPr>
        <w:t xml:space="preserve"> </w:t>
      </w:r>
    </w:p>
    <w:p w14:paraId="173EDEC0">
      <w:pPr>
        <w:ind w:firstLine="0" w:firstLineChars="0"/>
        <w:jc w:val="center"/>
        <w:rPr>
          <w:rFonts w:hint="eastAsia" w:ascii="宋体" w:hAnsi="宋体" w:cs="宋体"/>
          <w:b/>
          <w:bCs/>
          <w:color w:val="auto"/>
          <w:sz w:val="30"/>
          <w:szCs w:val="30"/>
          <w:highlight w:val="none"/>
          <w:lang w:bidi="ar"/>
        </w:rPr>
      </w:pPr>
    </w:p>
    <w:p w14:paraId="61F4200C">
      <w:pPr>
        <w:ind w:firstLine="0" w:firstLineChars="0"/>
        <w:jc w:val="center"/>
        <w:rPr>
          <w:rFonts w:hint="eastAsia" w:ascii="宋体" w:hAnsi="宋体" w:cs="宋体"/>
          <w:b/>
          <w:bCs/>
          <w:color w:val="auto"/>
          <w:sz w:val="30"/>
          <w:szCs w:val="30"/>
          <w:highlight w:val="none"/>
          <w:lang w:bidi="ar"/>
        </w:rPr>
      </w:pPr>
    </w:p>
    <w:p w14:paraId="6D7E6451">
      <w:pPr>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（二）法定代表人授权委托书</w:t>
      </w:r>
    </w:p>
    <w:p w14:paraId="24DB7036">
      <w:pPr>
        <w:snapToGrid w:val="0"/>
        <w:ind w:firstLine="482"/>
        <w:jc w:val="center"/>
        <w:rPr>
          <w:rFonts w:hint="eastAsia" w:ascii="宋体" w:hAnsi="宋体" w:cs="宋体"/>
          <w:b/>
          <w:color w:val="auto"/>
          <w:highlight w:val="none"/>
        </w:rPr>
      </w:pPr>
      <w:r>
        <w:rPr>
          <w:rFonts w:hint="eastAsia" w:ascii="宋体" w:hAnsi="宋体" w:cs="宋体"/>
          <w:b/>
          <w:color w:val="auto"/>
          <w:highlight w:val="none"/>
          <w:lang w:bidi="ar"/>
        </w:rPr>
        <w:t xml:space="preserve"> </w:t>
      </w:r>
    </w:p>
    <w:p w14:paraId="116C99F7">
      <w:pPr>
        <w:ind w:firstLine="480"/>
        <w:rPr>
          <w:rFonts w:hint="eastAsia" w:ascii="宋体" w:hAnsi="宋体" w:cs="宋体"/>
          <w:color w:val="auto"/>
          <w:highlight w:val="none"/>
        </w:rPr>
      </w:pPr>
      <w:r>
        <w:rPr>
          <w:rFonts w:hint="eastAsia" w:ascii="宋体" w:hAnsi="宋体" w:cs="宋体"/>
          <w:color w:val="auto"/>
          <w:highlight w:val="none"/>
          <w:lang w:bidi="ar"/>
        </w:rPr>
        <w:t xml:space="preserve">本人 </w:t>
      </w:r>
      <w:r>
        <w:rPr>
          <w:rFonts w:hint="eastAsia" w:ascii="宋体" w:hAnsi="宋体" w:cs="宋体"/>
          <w:color w:val="auto"/>
          <w:highlight w:val="none"/>
          <w:u w:val="single"/>
          <w:lang w:bidi="ar"/>
        </w:rPr>
        <w:t xml:space="preserve"> （姓名）  </w:t>
      </w:r>
      <w:r>
        <w:rPr>
          <w:rFonts w:hint="eastAsia" w:ascii="宋体" w:hAnsi="宋体" w:cs="宋体"/>
          <w:color w:val="auto"/>
          <w:highlight w:val="none"/>
          <w:lang w:bidi="ar"/>
        </w:rPr>
        <w:t>系</w:t>
      </w:r>
      <w:r>
        <w:rPr>
          <w:rFonts w:hint="eastAsia" w:ascii="宋体" w:hAnsi="宋体" w:cs="宋体"/>
          <w:color w:val="auto"/>
          <w:highlight w:val="none"/>
          <w:u w:val="single"/>
          <w:lang w:bidi="ar"/>
        </w:rPr>
        <w:t xml:space="preserve">        （供应商名称）      </w:t>
      </w:r>
      <w:r>
        <w:rPr>
          <w:rFonts w:hint="eastAsia" w:ascii="宋体" w:hAnsi="宋体" w:cs="宋体"/>
          <w:color w:val="auto"/>
          <w:highlight w:val="none"/>
          <w:lang w:bidi="ar"/>
        </w:rPr>
        <w:t>的法定代表人，现授权</w:t>
      </w:r>
      <w:r>
        <w:rPr>
          <w:rFonts w:hint="eastAsia" w:ascii="宋体" w:hAnsi="宋体" w:cs="宋体"/>
          <w:color w:val="auto"/>
          <w:highlight w:val="none"/>
          <w:u w:val="single"/>
          <w:lang w:bidi="ar"/>
        </w:rPr>
        <w:t xml:space="preserve">     （姓名）  （   身份证号码   ）</w:t>
      </w:r>
      <w:r>
        <w:rPr>
          <w:rFonts w:hint="eastAsia" w:ascii="宋体" w:hAnsi="宋体" w:cs="宋体"/>
          <w:color w:val="auto"/>
          <w:highlight w:val="none"/>
          <w:lang w:bidi="ar"/>
        </w:rPr>
        <w:t>为我方代理人。授权代理人根据授权对</w:t>
      </w:r>
      <w:r>
        <w:rPr>
          <w:rFonts w:hint="eastAsia" w:ascii="宋体" w:hAnsi="宋体" w:cs="宋体"/>
          <w:color w:val="auto"/>
          <w:highlight w:val="none"/>
          <w:u w:val="single"/>
          <w:lang w:bidi="ar"/>
        </w:rPr>
        <w:t xml:space="preserve">   （项目名称）（项目编号）  投</w:t>
      </w:r>
      <w:r>
        <w:rPr>
          <w:rFonts w:hint="eastAsia" w:ascii="宋体" w:hAnsi="宋体" w:cs="宋体"/>
          <w:color w:val="auto"/>
          <w:highlight w:val="none"/>
          <w:lang w:bidi="ar"/>
        </w:rPr>
        <w:t>标，以我方名义签署、澄清、说明、补正、提交、撤回、修改磋商响应文件，签订合同和处理有关事宜，其法律后果由我方承担。</w:t>
      </w:r>
    </w:p>
    <w:p w14:paraId="0E5B641D">
      <w:pPr>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631C55AB">
      <w:pPr>
        <w:ind w:firstLine="480"/>
        <w:rPr>
          <w:rFonts w:hint="eastAsia" w:ascii="宋体" w:hAnsi="宋体" w:cs="宋体"/>
          <w:color w:val="auto"/>
          <w:highlight w:val="none"/>
        </w:rPr>
      </w:pPr>
      <w:r>
        <w:rPr>
          <w:rFonts w:hint="eastAsia" w:ascii="宋体" w:hAnsi="宋体" w:cs="宋体"/>
          <w:color w:val="auto"/>
          <w:highlight w:val="none"/>
          <w:lang w:bidi="ar"/>
        </w:rPr>
        <w:t>委托期限：    年  月  日-      年  月  日止。</w:t>
      </w:r>
    </w:p>
    <w:p w14:paraId="510F769C">
      <w:pPr>
        <w:ind w:firstLine="480"/>
        <w:rPr>
          <w:rFonts w:hint="eastAsia" w:ascii="宋体" w:hAnsi="宋体" w:cs="宋体"/>
          <w:color w:val="auto"/>
          <w:highlight w:val="none"/>
        </w:rPr>
      </w:pPr>
      <w:r>
        <w:rPr>
          <w:rFonts w:hint="eastAsia" w:ascii="宋体" w:hAnsi="宋体" w:cs="宋体"/>
          <w:color w:val="auto"/>
          <w:highlight w:val="none"/>
          <w:lang w:bidi="ar"/>
        </w:rPr>
        <w:t>授权代理人无转委托权。</w:t>
      </w:r>
    </w:p>
    <w:p w14:paraId="59461151">
      <w:pPr>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lang w:bidi="ar"/>
        </w:rPr>
        <w:t xml:space="preserve"> </w:t>
      </w:r>
    </w:p>
    <w:p w14:paraId="701337AD">
      <w:pPr>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lang w:bidi="ar"/>
        </w:rPr>
        <w:t xml:space="preserve"> </w:t>
      </w:r>
    </w:p>
    <w:p w14:paraId="2C4BCD3A">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供应商名称（盖章）：</w:t>
      </w:r>
    </w:p>
    <w:p w14:paraId="730CFAC4">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法定代表人（签字或盖章）：</w:t>
      </w:r>
    </w:p>
    <w:p w14:paraId="53FD2318">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法定代表人移动电话：</w:t>
      </w:r>
    </w:p>
    <w:p w14:paraId="31382D28">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授权代理人移动电话：</w:t>
      </w:r>
    </w:p>
    <w:p w14:paraId="53291E6A">
      <w:pPr>
        <w:adjustRightInd w:val="0"/>
        <w:snapToGrid w:val="0"/>
        <w:spacing w:line="360" w:lineRule="auto"/>
        <w:ind w:firstLine="4080" w:firstLineChars="1700"/>
        <w:textAlignment w:val="baseline"/>
        <w:rPr>
          <w:rFonts w:hint="eastAsia" w:ascii="宋体" w:hAnsi="宋体" w:cs="宋体"/>
          <w:color w:val="auto"/>
          <w:highlight w:val="none"/>
          <w:lang w:bidi="ar"/>
        </w:rPr>
      </w:pPr>
      <w:r>
        <w:rPr>
          <w:rFonts w:hint="eastAsia" w:ascii="宋体" w:hAnsi="宋体" w:cs="宋体"/>
          <w:color w:val="auto"/>
          <w:highlight w:val="none"/>
          <w:lang w:bidi="ar"/>
        </w:rPr>
        <w:t>授权委托日期：  年 月  日</w:t>
      </w:r>
    </w:p>
    <w:p w14:paraId="6B809BE7">
      <w:pPr>
        <w:spacing w:line="360" w:lineRule="exact"/>
        <w:ind w:left="2699" w:firstLine="480"/>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A8F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Borders>
              <w:top w:val="single" w:color="auto" w:sz="4" w:space="0"/>
              <w:left w:val="single" w:color="auto" w:sz="4" w:space="0"/>
              <w:bottom w:val="single" w:color="auto" w:sz="4" w:space="0"/>
              <w:right w:val="single" w:color="auto" w:sz="4" w:space="0"/>
            </w:tcBorders>
          </w:tcPr>
          <w:p w14:paraId="3FE9CD20">
            <w:pPr>
              <w:adjustRightInd w:val="0"/>
              <w:snapToGrid w:val="0"/>
              <w:spacing w:line="360" w:lineRule="exact"/>
              <w:ind w:firstLine="480"/>
              <w:jc w:val="center"/>
              <w:rPr>
                <w:rFonts w:hint="eastAsia" w:ascii="宋体" w:hAnsi="宋体" w:cs="宋体"/>
                <w:color w:val="auto"/>
                <w:kern w:val="0"/>
                <w:highlight w:val="none"/>
              </w:rPr>
            </w:pPr>
          </w:p>
          <w:p w14:paraId="076F2729">
            <w:pPr>
              <w:adjustRightInd w:val="0"/>
              <w:snapToGrid w:val="0"/>
              <w:spacing w:line="360" w:lineRule="exact"/>
              <w:ind w:firstLine="480"/>
              <w:jc w:val="center"/>
              <w:rPr>
                <w:rFonts w:hint="eastAsia" w:ascii="宋体" w:hAnsi="宋体" w:cs="宋体"/>
                <w:color w:val="auto"/>
                <w:kern w:val="0"/>
                <w:highlight w:val="none"/>
              </w:rPr>
            </w:pPr>
          </w:p>
          <w:p w14:paraId="4E3DFDE6">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粘贴授权代表身份证复印影印件</w:t>
            </w:r>
          </w:p>
          <w:p w14:paraId="3B424EA0">
            <w:pPr>
              <w:adjustRightInd w:val="0"/>
              <w:snapToGrid w:val="0"/>
              <w:spacing w:line="360" w:lineRule="exact"/>
              <w:ind w:firstLine="480"/>
              <w:jc w:val="center"/>
              <w:rPr>
                <w:rFonts w:hint="eastAsia" w:ascii="宋体" w:hAnsi="宋体" w:cs="宋体"/>
                <w:color w:val="auto"/>
                <w:kern w:val="0"/>
                <w:highlight w:val="none"/>
              </w:rPr>
            </w:pPr>
          </w:p>
          <w:p w14:paraId="79CF2371">
            <w:pPr>
              <w:adjustRightInd w:val="0"/>
              <w:snapToGrid w:val="0"/>
              <w:spacing w:line="360" w:lineRule="exact"/>
              <w:ind w:firstLine="480"/>
              <w:jc w:val="center"/>
              <w:rPr>
                <w:rFonts w:hint="eastAsia" w:ascii="宋体" w:hAnsi="宋体" w:cs="宋体"/>
                <w:color w:val="auto"/>
                <w:kern w:val="0"/>
                <w:highlight w:val="none"/>
              </w:rPr>
            </w:pPr>
          </w:p>
        </w:tc>
      </w:tr>
    </w:tbl>
    <w:p w14:paraId="13D2DE66">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p w14:paraId="1BAAA3A8">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 xml:space="preserve"> </w:t>
      </w:r>
    </w:p>
    <w:tbl>
      <w:tblPr>
        <w:tblStyle w:val="3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A6A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Borders>
              <w:top w:val="single" w:color="auto" w:sz="4" w:space="0"/>
              <w:left w:val="single" w:color="auto" w:sz="4" w:space="0"/>
              <w:bottom w:val="single" w:color="auto" w:sz="4" w:space="0"/>
              <w:right w:val="single" w:color="auto" w:sz="4" w:space="0"/>
            </w:tcBorders>
          </w:tcPr>
          <w:p w14:paraId="7C552B23">
            <w:pPr>
              <w:adjustRightInd w:val="0"/>
              <w:snapToGrid w:val="0"/>
              <w:spacing w:line="360" w:lineRule="exact"/>
              <w:ind w:firstLine="480"/>
              <w:jc w:val="center"/>
              <w:rPr>
                <w:rFonts w:hint="eastAsia" w:ascii="宋体" w:hAnsi="宋体" w:cs="宋体"/>
                <w:color w:val="auto"/>
                <w:kern w:val="0"/>
                <w:highlight w:val="none"/>
              </w:rPr>
            </w:pPr>
          </w:p>
          <w:p w14:paraId="6A64C603">
            <w:pPr>
              <w:adjustRightInd w:val="0"/>
              <w:snapToGrid w:val="0"/>
              <w:spacing w:line="360" w:lineRule="exact"/>
              <w:ind w:firstLine="480"/>
              <w:jc w:val="center"/>
              <w:rPr>
                <w:rFonts w:hint="eastAsia" w:ascii="宋体" w:hAnsi="宋体" w:cs="宋体"/>
                <w:color w:val="auto"/>
                <w:kern w:val="0"/>
                <w:highlight w:val="none"/>
              </w:rPr>
            </w:pPr>
          </w:p>
          <w:p w14:paraId="370D5B4C">
            <w:pPr>
              <w:adjustRightInd w:val="0"/>
              <w:snapToGrid w:val="0"/>
              <w:spacing w:line="360" w:lineRule="exact"/>
              <w:ind w:firstLine="480"/>
              <w:jc w:val="center"/>
              <w:rPr>
                <w:rFonts w:hint="eastAsia" w:ascii="宋体" w:hAnsi="宋体" w:cs="宋体"/>
                <w:color w:val="auto"/>
                <w:kern w:val="0"/>
                <w:highlight w:val="none"/>
              </w:rPr>
            </w:pPr>
            <w:r>
              <w:rPr>
                <w:rFonts w:hint="eastAsia" w:ascii="宋体" w:hAnsi="宋体" w:cs="宋体"/>
                <w:color w:val="auto"/>
                <w:kern w:val="0"/>
                <w:highlight w:val="none"/>
                <w:lang w:bidi="ar"/>
              </w:rPr>
              <w:t>粘贴法人身份证复印影印件</w:t>
            </w:r>
          </w:p>
          <w:p w14:paraId="16745644">
            <w:pPr>
              <w:adjustRightInd w:val="0"/>
              <w:snapToGrid w:val="0"/>
              <w:spacing w:line="360" w:lineRule="exact"/>
              <w:ind w:firstLine="480"/>
              <w:jc w:val="center"/>
              <w:rPr>
                <w:rFonts w:hint="eastAsia" w:ascii="宋体" w:hAnsi="宋体" w:cs="宋体"/>
                <w:color w:val="auto"/>
                <w:kern w:val="0"/>
                <w:highlight w:val="none"/>
              </w:rPr>
            </w:pPr>
          </w:p>
          <w:p w14:paraId="081E3883">
            <w:pPr>
              <w:adjustRightInd w:val="0"/>
              <w:snapToGrid w:val="0"/>
              <w:spacing w:line="360" w:lineRule="exact"/>
              <w:ind w:firstLine="480"/>
              <w:jc w:val="center"/>
              <w:rPr>
                <w:rFonts w:hint="eastAsia" w:ascii="宋体" w:hAnsi="宋体" w:cs="宋体"/>
                <w:color w:val="auto"/>
                <w:kern w:val="0"/>
                <w:highlight w:val="none"/>
              </w:rPr>
            </w:pPr>
          </w:p>
        </w:tc>
      </w:tr>
    </w:tbl>
    <w:p w14:paraId="39029C69">
      <w:pPr>
        <w:ind w:firstLine="0" w:firstLineChars="0"/>
        <w:jc w:val="left"/>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343732ED">
      <w:pPr>
        <w:ind w:firstLine="0" w:firstLineChars="0"/>
        <w:outlineLvl w:val="1"/>
        <w:rPr>
          <w:rFonts w:hint="eastAsia" w:ascii="宋体" w:hAnsi="宋体" w:cs="宋体"/>
          <w:b/>
          <w:bCs/>
          <w:color w:val="auto"/>
          <w:highlight w:val="none"/>
          <w:lang w:bidi="ar"/>
        </w:rPr>
      </w:pPr>
    </w:p>
    <w:p w14:paraId="44A96C37">
      <w:pPr>
        <w:ind w:firstLine="0" w:firstLineChars="0"/>
        <w:outlineLvl w:val="1"/>
        <w:rPr>
          <w:rFonts w:hint="eastAsia" w:ascii="宋体" w:hAnsi="宋体" w:cs="宋体"/>
          <w:b/>
          <w:bCs/>
          <w:color w:val="auto"/>
          <w:highlight w:val="none"/>
          <w:lang w:bidi="ar"/>
        </w:rPr>
      </w:pPr>
    </w:p>
    <w:p w14:paraId="32A943B6">
      <w:pPr>
        <w:ind w:firstLine="0" w:firstLineChars="0"/>
        <w:outlineLvl w:val="1"/>
        <w:rPr>
          <w:rFonts w:hint="eastAsia" w:ascii="宋体" w:hAnsi="宋体" w:cs="宋体"/>
          <w:b/>
          <w:bCs/>
          <w:color w:val="auto"/>
          <w:highlight w:val="none"/>
        </w:rPr>
      </w:pPr>
      <w:r>
        <w:rPr>
          <w:rFonts w:hint="eastAsia" w:ascii="宋体" w:hAnsi="宋体" w:cs="宋体"/>
          <w:b/>
          <w:bCs/>
          <w:color w:val="auto"/>
          <w:highlight w:val="none"/>
          <w:lang w:bidi="ar"/>
        </w:rPr>
        <w:t>附件8</w:t>
      </w:r>
    </w:p>
    <w:p w14:paraId="22976CC5">
      <w:pPr>
        <w:spacing w:line="420" w:lineRule="auto"/>
        <w:ind w:firstLine="0" w:firstLineChars="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bidi="ar"/>
        </w:rPr>
        <w:t>类似业绩一览表</w:t>
      </w:r>
    </w:p>
    <w:p w14:paraId="26347844">
      <w:pPr>
        <w:pStyle w:val="34"/>
        <w:widowControl w:val="0"/>
        <w:adjustRightInd w:val="0"/>
        <w:snapToGrid w:val="0"/>
        <w:spacing w:before="0" w:beforeAutospacing="0" w:after="0" w:afterAutospacing="0" w:line="360" w:lineRule="auto"/>
        <w:ind w:left="178" w:firstLine="480"/>
        <w:rPr>
          <w:rFonts w:hAnsi="Courier New" w:cs="宋体"/>
          <w:color w:val="auto"/>
          <w:kern w:val="2"/>
          <w:highlight w:val="none"/>
        </w:rPr>
      </w:pPr>
      <w:r>
        <w:rPr>
          <w:rFonts w:hint="eastAsia" w:cs="宋体"/>
          <w:color w:val="auto"/>
          <w:kern w:val="2"/>
          <w:highlight w:val="none"/>
          <w:lang w:bidi="ar"/>
        </w:rPr>
        <w:t>项目名称：</w:t>
      </w:r>
    </w:p>
    <w:p w14:paraId="45F6931B">
      <w:pPr>
        <w:pStyle w:val="34"/>
        <w:widowControl w:val="0"/>
        <w:adjustRightInd w:val="0"/>
        <w:snapToGrid w:val="0"/>
        <w:spacing w:before="0" w:beforeAutospacing="0" w:after="0" w:afterAutospacing="0" w:line="360" w:lineRule="auto"/>
        <w:ind w:left="178" w:firstLine="480"/>
        <w:rPr>
          <w:rFonts w:hint="eastAsia" w:cs="宋体"/>
          <w:b/>
          <w:color w:val="auto"/>
          <w:kern w:val="2"/>
          <w:sz w:val="28"/>
          <w:szCs w:val="28"/>
          <w:highlight w:val="none"/>
        </w:rPr>
      </w:pPr>
      <w:r>
        <w:rPr>
          <w:rFonts w:hint="eastAsia" w:cs="宋体"/>
          <w:color w:val="auto"/>
          <w:kern w:val="2"/>
          <w:highlight w:val="none"/>
          <w:lang w:bidi="ar"/>
        </w:rPr>
        <w:t>项目编号：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23"/>
        <w:gridCol w:w="1272"/>
        <w:gridCol w:w="1272"/>
        <w:gridCol w:w="1272"/>
        <w:gridCol w:w="1736"/>
        <w:gridCol w:w="1432"/>
      </w:tblGrid>
      <w:tr w14:paraId="4468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8" w:type="dxa"/>
            <w:vAlign w:val="center"/>
          </w:tcPr>
          <w:p w14:paraId="1F765AD0">
            <w:pPr>
              <w:spacing w:line="240" w:lineRule="auto"/>
              <w:ind w:firstLine="0" w:firstLineChars="0"/>
              <w:jc w:val="center"/>
              <w:rPr>
                <w:color w:val="auto"/>
                <w:highlight w:val="none"/>
                <w:lang w:val="zh-CN"/>
              </w:rPr>
            </w:pPr>
            <w:r>
              <w:rPr>
                <w:rFonts w:hint="eastAsia"/>
                <w:color w:val="auto"/>
                <w:highlight w:val="none"/>
                <w:lang w:val="zh-CN"/>
              </w:rPr>
              <w:t>序号</w:t>
            </w:r>
          </w:p>
        </w:tc>
        <w:tc>
          <w:tcPr>
            <w:tcW w:w="2123" w:type="dxa"/>
            <w:vAlign w:val="center"/>
          </w:tcPr>
          <w:p w14:paraId="1A869589">
            <w:pPr>
              <w:spacing w:line="240" w:lineRule="auto"/>
              <w:ind w:firstLine="0" w:firstLineChars="0"/>
              <w:jc w:val="center"/>
              <w:rPr>
                <w:color w:val="auto"/>
                <w:highlight w:val="none"/>
                <w:lang w:val="zh-CN"/>
              </w:rPr>
            </w:pPr>
            <w:r>
              <w:rPr>
                <w:rFonts w:hint="eastAsia"/>
                <w:color w:val="auto"/>
                <w:highlight w:val="none"/>
                <w:lang w:val="zh-CN"/>
              </w:rPr>
              <w:t>项目名称</w:t>
            </w:r>
          </w:p>
        </w:tc>
        <w:tc>
          <w:tcPr>
            <w:tcW w:w="1272" w:type="dxa"/>
            <w:vAlign w:val="center"/>
          </w:tcPr>
          <w:p w14:paraId="3823768C">
            <w:pPr>
              <w:spacing w:line="240" w:lineRule="auto"/>
              <w:ind w:firstLine="0" w:firstLineChars="0"/>
              <w:jc w:val="center"/>
              <w:rPr>
                <w:color w:val="auto"/>
                <w:highlight w:val="none"/>
                <w:lang w:val="zh-CN"/>
              </w:rPr>
            </w:pPr>
            <w:r>
              <w:rPr>
                <w:rFonts w:hint="eastAsia"/>
                <w:color w:val="auto"/>
                <w:highlight w:val="none"/>
                <w:lang w:val="zh-CN"/>
              </w:rPr>
              <w:t>合同内容</w:t>
            </w:r>
          </w:p>
        </w:tc>
        <w:tc>
          <w:tcPr>
            <w:tcW w:w="1272" w:type="dxa"/>
            <w:vAlign w:val="center"/>
          </w:tcPr>
          <w:p w14:paraId="4387A12A">
            <w:pPr>
              <w:spacing w:line="240" w:lineRule="auto"/>
              <w:ind w:firstLine="0" w:firstLineChars="0"/>
              <w:jc w:val="center"/>
              <w:rPr>
                <w:color w:val="auto"/>
                <w:highlight w:val="none"/>
                <w:lang w:val="zh-CN"/>
              </w:rPr>
            </w:pPr>
            <w:r>
              <w:rPr>
                <w:rFonts w:hint="eastAsia"/>
                <w:color w:val="auto"/>
                <w:highlight w:val="none"/>
                <w:lang w:val="zh-CN"/>
              </w:rPr>
              <w:t>项目金额</w:t>
            </w:r>
          </w:p>
          <w:p w14:paraId="453EACF6">
            <w:pPr>
              <w:spacing w:line="240" w:lineRule="auto"/>
              <w:ind w:firstLine="0" w:firstLineChars="0"/>
              <w:jc w:val="center"/>
              <w:rPr>
                <w:color w:val="auto"/>
                <w:highlight w:val="none"/>
                <w:lang w:val="zh-CN"/>
              </w:rPr>
            </w:pPr>
            <w:r>
              <w:rPr>
                <w:rFonts w:hint="eastAsia"/>
                <w:color w:val="auto"/>
                <w:highlight w:val="none"/>
                <w:lang w:val="zh-CN"/>
              </w:rPr>
              <w:t>（万元）</w:t>
            </w:r>
          </w:p>
        </w:tc>
        <w:tc>
          <w:tcPr>
            <w:tcW w:w="1272" w:type="dxa"/>
            <w:vAlign w:val="center"/>
          </w:tcPr>
          <w:p w14:paraId="107E3801">
            <w:pPr>
              <w:spacing w:line="240" w:lineRule="auto"/>
              <w:ind w:firstLine="0" w:firstLineChars="0"/>
              <w:jc w:val="center"/>
              <w:rPr>
                <w:color w:val="auto"/>
                <w:highlight w:val="none"/>
                <w:lang w:val="zh-CN"/>
              </w:rPr>
            </w:pPr>
            <w:r>
              <w:rPr>
                <w:rFonts w:hint="eastAsia"/>
                <w:color w:val="auto"/>
                <w:highlight w:val="none"/>
                <w:lang w:val="zh-CN"/>
              </w:rPr>
              <w:t>合同签订时间</w:t>
            </w:r>
          </w:p>
        </w:tc>
        <w:tc>
          <w:tcPr>
            <w:tcW w:w="1736" w:type="dxa"/>
            <w:vAlign w:val="center"/>
          </w:tcPr>
          <w:p w14:paraId="553741A6">
            <w:pPr>
              <w:spacing w:line="240" w:lineRule="auto"/>
              <w:ind w:firstLine="0" w:firstLineChars="0"/>
              <w:jc w:val="center"/>
              <w:rPr>
                <w:color w:val="auto"/>
                <w:highlight w:val="none"/>
                <w:lang w:val="zh-CN"/>
              </w:rPr>
            </w:pPr>
            <w:r>
              <w:rPr>
                <w:rFonts w:hint="eastAsia"/>
                <w:color w:val="auto"/>
                <w:highlight w:val="none"/>
                <w:lang w:val="zh-CN"/>
              </w:rPr>
              <w:t>项目单位、联系人及电话</w:t>
            </w:r>
          </w:p>
        </w:tc>
        <w:tc>
          <w:tcPr>
            <w:tcW w:w="1432" w:type="dxa"/>
            <w:vAlign w:val="center"/>
          </w:tcPr>
          <w:p w14:paraId="43DE5B7D">
            <w:pPr>
              <w:spacing w:line="240" w:lineRule="auto"/>
              <w:ind w:firstLine="0" w:firstLineChars="0"/>
              <w:jc w:val="center"/>
              <w:rPr>
                <w:color w:val="auto"/>
                <w:highlight w:val="none"/>
                <w:lang w:val="zh-CN"/>
              </w:rPr>
            </w:pPr>
            <w:r>
              <w:rPr>
                <w:rFonts w:hint="eastAsia"/>
                <w:color w:val="auto"/>
                <w:highlight w:val="none"/>
                <w:lang w:val="zh-CN"/>
              </w:rPr>
              <w:t>备注</w:t>
            </w:r>
          </w:p>
        </w:tc>
      </w:tr>
      <w:tr w14:paraId="65AF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7F4C4794">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1</w:t>
            </w:r>
          </w:p>
        </w:tc>
        <w:tc>
          <w:tcPr>
            <w:tcW w:w="2123" w:type="dxa"/>
            <w:vAlign w:val="center"/>
          </w:tcPr>
          <w:p w14:paraId="2C630316">
            <w:pPr>
              <w:ind w:firstLine="0" w:firstLineChars="0"/>
              <w:jc w:val="center"/>
              <w:rPr>
                <w:color w:val="auto"/>
                <w:highlight w:val="none"/>
                <w:lang w:val="zh-CN"/>
              </w:rPr>
            </w:pPr>
          </w:p>
        </w:tc>
        <w:tc>
          <w:tcPr>
            <w:tcW w:w="1272" w:type="dxa"/>
            <w:vAlign w:val="center"/>
          </w:tcPr>
          <w:p w14:paraId="6D7A2274">
            <w:pPr>
              <w:ind w:firstLine="0" w:firstLineChars="0"/>
              <w:jc w:val="center"/>
              <w:rPr>
                <w:color w:val="auto"/>
                <w:highlight w:val="none"/>
                <w:lang w:val="zh-CN"/>
              </w:rPr>
            </w:pPr>
          </w:p>
        </w:tc>
        <w:tc>
          <w:tcPr>
            <w:tcW w:w="1272" w:type="dxa"/>
            <w:vAlign w:val="center"/>
          </w:tcPr>
          <w:p w14:paraId="0188B694">
            <w:pPr>
              <w:ind w:firstLine="0" w:firstLineChars="0"/>
              <w:jc w:val="center"/>
              <w:rPr>
                <w:color w:val="auto"/>
                <w:highlight w:val="none"/>
                <w:lang w:val="zh-CN"/>
              </w:rPr>
            </w:pPr>
          </w:p>
        </w:tc>
        <w:tc>
          <w:tcPr>
            <w:tcW w:w="1272" w:type="dxa"/>
            <w:vAlign w:val="center"/>
          </w:tcPr>
          <w:p w14:paraId="74D0F7BF">
            <w:pPr>
              <w:ind w:firstLine="0" w:firstLineChars="0"/>
              <w:jc w:val="center"/>
              <w:rPr>
                <w:color w:val="auto"/>
                <w:highlight w:val="none"/>
                <w:lang w:val="zh-CN"/>
              </w:rPr>
            </w:pPr>
          </w:p>
        </w:tc>
        <w:tc>
          <w:tcPr>
            <w:tcW w:w="1736" w:type="dxa"/>
            <w:vAlign w:val="center"/>
          </w:tcPr>
          <w:p w14:paraId="0FBD4C22">
            <w:pPr>
              <w:ind w:firstLine="0" w:firstLineChars="0"/>
              <w:jc w:val="center"/>
              <w:rPr>
                <w:color w:val="auto"/>
                <w:highlight w:val="none"/>
                <w:lang w:val="zh-CN"/>
              </w:rPr>
            </w:pPr>
          </w:p>
        </w:tc>
        <w:tc>
          <w:tcPr>
            <w:tcW w:w="1432" w:type="dxa"/>
            <w:vAlign w:val="center"/>
          </w:tcPr>
          <w:p w14:paraId="6C1E6906">
            <w:pPr>
              <w:ind w:firstLine="0" w:firstLineChars="0"/>
              <w:jc w:val="center"/>
              <w:rPr>
                <w:color w:val="auto"/>
                <w:highlight w:val="none"/>
                <w:lang w:val="zh-CN"/>
              </w:rPr>
            </w:pPr>
          </w:p>
        </w:tc>
      </w:tr>
      <w:tr w14:paraId="6A35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2BEE34BB">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2</w:t>
            </w:r>
          </w:p>
        </w:tc>
        <w:tc>
          <w:tcPr>
            <w:tcW w:w="2123" w:type="dxa"/>
            <w:vAlign w:val="center"/>
          </w:tcPr>
          <w:p w14:paraId="6C69A5B9">
            <w:pPr>
              <w:ind w:firstLine="0" w:firstLineChars="0"/>
              <w:jc w:val="center"/>
              <w:rPr>
                <w:color w:val="auto"/>
                <w:highlight w:val="none"/>
                <w:lang w:val="zh-CN"/>
              </w:rPr>
            </w:pPr>
          </w:p>
        </w:tc>
        <w:tc>
          <w:tcPr>
            <w:tcW w:w="1272" w:type="dxa"/>
            <w:vAlign w:val="center"/>
          </w:tcPr>
          <w:p w14:paraId="2C07A876">
            <w:pPr>
              <w:ind w:firstLine="0" w:firstLineChars="0"/>
              <w:jc w:val="center"/>
              <w:rPr>
                <w:color w:val="auto"/>
                <w:highlight w:val="none"/>
                <w:lang w:val="zh-CN"/>
              </w:rPr>
            </w:pPr>
          </w:p>
        </w:tc>
        <w:tc>
          <w:tcPr>
            <w:tcW w:w="1272" w:type="dxa"/>
            <w:vAlign w:val="center"/>
          </w:tcPr>
          <w:p w14:paraId="3CD69341">
            <w:pPr>
              <w:ind w:firstLine="0" w:firstLineChars="0"/>
              <w:jc w:val="center"/>
              <w:rPr>
                <w:color w:val="auto"/>
                <w:highlight w:val="none"/>
                <w:lang w:val="zh-CN"/>
              </w:rPr>
            </w:pPr>
          </w:p>
        </w:tc>
        <w:tc>
          <w:tcPr>
            <w:tcW w:w="1272" w:type="dxa"/>
            <w:vAlign w:val="center"/>
          </w:tcPr>
          <w:p w14:paraId="0EDBFD08">
            <w:pPr>
              <w:ind w:firstLine="0" w:firstLineChars="0"/>
              <w:jc w:val="center"/>
              <w:rPr>
                <w:color w:val="auto"/>
                <w:highlight w:val="none"/>
                <w:lang w:val="zh-CN"/>
              </w:rPr>
            </w:pPr>
          </w:p>
        </w:tc>
        <w:tc>
          <w:tcPr>
            <w:tcW w:w="1736" w:type="dxa"/>
            <w:vAlign w:val="center"/>
          </w:tcPr>
          <w:p w14:paraId="2886DC45">
            <w:pPr>
              <w:ind w:firstLine="0" w:firstLineChars="0"/>
              <w:jc w:val="center"/>
              <w:rPr>
                <w:color w:val="auto"/>
                <w:highlight w:val="none"/>
                <w:lang w:val="zh-CN"/>
              </w:rPr>
            </w:pPr>
          </w:p>
        </w:tc>
        <w:tc>
          <w:tcPr>
            <w:tcW w:w="1432" w:type="dxa"/>
            <w:vAlign w:val="center"/>
          </w:tcPr>
          <w:p w14:paraId="58BD1E07">
            <w:pPr>
              <w:ind w:firstLine="0" w:firstLineChars="0"/>
              <w:jc w:val="center"/>
              <w:rPr>
                <w:color w:val="auto"/>
                <w:highlight w:val="none"/>
                <w:lang w:val="zh-CN"/>
              </w:rPr>
            </w:pPr>
          </w:p>
        </w:tc>
      </w:tr>
      <w:tr w14:paraId="7978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2FDFBB64">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3</w:t>
            </w:r>
          </w:p>
        </w:tc>
        <w:tc>
          <w:tcPr>
            <w:tcW w:w="2123" w:type="dxa"/>
            <w:vAlign w:val="center"/>
          </w:tcPr>
          <w:p w14:paraId="3524BF2D">
            <w:pPr>
              <w:ind w:firstLine="0" w:firstLineChars="0"/>
              <w:jc w:val="center"/>
              <w:rPr>
                <w:color w:val="auto"/>
                <w:highlight w:val="none"/>
                <w:lang w:val="zh-CN"/>
              </w:rPr>
            </w:pPr>
          </w:p>
        </w:tc>
        <w:tc>
          <w:tcPr>
            <w:tcW w:w="1272" w:type="dxa"/>
            <w:vAlign w:val="center"/>
          </w:tcPr>
          <w:p w14:paraId="5DC6DEA3">
            <w:pPr>
              <w:ind w:firstLine="0" w:firstLineChars="0"/>
              <w:jc w:val="center"/>
              <w:rPr>
                <w:color w:val="auto"/>
                <w:highlight w:val="none"/>
                <w:lang w:val="zh-CN"/>
              </w:rPr>
            </w:pPr>
          </w:p>
        </w:tc>
        <w:tc>
          <w:tcPr>
            <w:tcW w:w="1272" w:type="dxa"/>
            <w:vAlign w:val="center"/>
          </w:tcPr>
          <w:p w14:paraId="31580362">
            <w:pPr>
              <w:ind w:firstLine="0" w:firstLineChars="0"/>
              <w:jc w:val="center"/>
              <w:rPr>
                <w:color w:val="auto"/>
                <w:highlight w:val="none"/>
                <w:lang w:val="zh-CN"/>
              </w:rPr>
            </w:pPr>
          </w:p>
        </w:tc>
        <w:tc>
          <w:tcPr>
            <w:tcW w:w="1272" w:type="dxa"/>
            <w:vAlign w:val="center"/>
          </w:tcPr>
          <w:p w14:paraId="18869D39">
            <w:pPr>
              <w:ind w:firstLine="0" w:firstLineChars="0"/>
              <w:jc w:val="center"/>
              <w:rPr>
                <w:color w:val="auto"/>
                <w:highlight w:val="none"/>
                <w:lang w:val="zh-CN"/>
              </w:rPr>
            </w:pPr>
          </w:p>
        </w:tc>
        <w:tc>
          <w:tcPr>
            <w:tcW w:w="1736" w:type="dxa"/>
            <w:vAlign w:val="center"/>
          </w:tcPr>
          <w:p w14:paraId="7F4A4648">
            <w:pPr>
              <w:ind w:firstLine="0" w:firstLineChars="0"/>
              <w:jc w:val="center"/>
              <w:rPr>
                <w:color w:val="auto"/>
                <w:highlight w:val="none"/>
                <w:lang w:val="zh-CN"/>
              </w:rPr>
            </w:pPr>
          </w:p>
        </w:tc>
        <w:tc>
          <w:tcPr>
            <w:tcW w:w="1432" w:type="dxa"/>
            <w:vAlign w:val="center"/>
          </w:tcPr>
          <w:p w14:paraId="5F77294C">
            <w:pPr>
              <w:ind w:firstLine="0" w:firstLineChars="0"/>
              <w:jc w:val="center"/>
              <w:rPr>
                <w:color w:val="auto"/>
                <w:highlight w:val="none"/>
                <w:lang w:val="zh-CN"/>
              </w:rPr>
            </w:pPr>
          </w:p>
        </w:tc>
      </w:tr>
      <w:tr w14:paraId="410F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126C54D4">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4</w:t>
            </w:r>
          </w:p>
        </w:tc>
        <w:tc>
          <w:tcPr>
            <w:tcW w:w="2123" w:type="dxa"/>
            <w:vAlign w:val="center"/>
          </w:tcPr>
          <w:p w14:paraId="60FF1092">
            <w:pPr>
              <w:ind w:firstLine="0" w:firstLineChars="0"/>
              <w:jc w:val="center"/>
              <w:rPr>
                <w:color w:val="auto"/>
                <w:highlight w:val="none"/>
                <w:lang w:val="zh-CN"/>
              </w:rPr>
            </w:pPr>
          </w:p>
        </w:tc>
        <w:tc>
          <w:tcPr>
            <w:tcW w:w="1272" w:type="dxa"/>
            <w:vAlign w:val="center"/>
          </w:tcPr>
          <w:p w14:paraId="342B9CC9">
            <w:pPr>
              <w:ind w:firstLine="0" w:firstLineChars="0"/>
              <w:jc w:val="center"/>
              <w:rPr>
                <w:color w:val="auto"/>
                <w:highlight w:val="none"/>
                <w:lang w:val="zh-CN"/>
              </w:rPr>
            </w:pPr>
          </w:p>
        </w:tc>
        <w:tc>
          <w:tcPr>
            <w:tcW w:w="1272" w:type="dxa"/>
            <w:vAlign w:val="center"/>
          </w:tcPr>
          <w:p w14:paraId="082AAC81">
            <w:pPr>
              <w:ind w:firstLine="0" w:firstLineChars="0"/>
              <w:jc w:val="center"/>
              <w:rPr>
                <w:color w:val="auto"/>
                <w:highlight w:val="none"/>
                <w:lang w:val="zh-CN"/>
              </w:rPr>
            </w:pPr>
          </w:p>
        </w:tc>
        <w:tc>
          <w:tcPr>
            <w:tcW w:w="1272" w:type="dxa"/>
            <w:vAlign w:val="center"/>
          </w:tcPr>
          <w:p w14:paraId="68289066">
            <w:pPr>
              <w:ind w:firstLine="0" w:firstLineChars="0"/>
              <w:jc w:val="center"/>
              <w:rPr>
                <w:color w:val="auto"/>
                <w:highlight w:val="none"/>
                <w:lang w:val="zh-CN"/>
              </w:rPr>
            </w:pPr>
          </w:p>
        </w:tc>
        <w:tc>
          <w:tcPr>
            <w:tcW w:w="1736" w:type="dxa"/>
            <w:vAlign w:val="center"/>
          </w:tcPr>
          <w:p w14:paraId="77389A74">
            <w:pPr>
              <w:ind w:firstLine="0" w:firstLineChars="0"/>
              <w:jc w:val="center"/>
              <w:rPr>
                <w:color w:val="auto"/>
                <w:highlight w:val="none"/>
                <w:lang w:val="zh-CN"/>
              </w:rPr>
            </w:pPr>
          </w:p>
        </w:tc>
        <w:tc>
          <w:tcPr>
            <w:tcW w:w="1432" w:type="dxa"/>
            <w:vAlign w:val="center"/>
          </w:tcPr>
          <w:p w14:paraId="518A4894">
            <w:pPr>
              <w:ind w:firstLine="0" w:firstLineChars="0"/>
              <w:jc w:val="center"/>
              <w:rPr>
                <w:color w:val="auto"/>
                <w:highlight w:val="none"/>
                <w:lang w:val="zh-CN"/>
              </w:rPr>
            </w:pPr>
          </w:p>
        </w:tc>
      </w:tr>
      <w:tr w14:paraId="4614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00348CE1">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5</w:t>
            </w:r>
          </w:p>
        </w:tc>
        <w:tc>
          <w:tcPr>
            <w:tcW w:w="2123" w:type="dxa"/>
            <w:vAlign w:val="center"/>
          </w:tcPr>
          <w:p w14:paraId="7B0D4543">
            <w:pPr>
              <w:ind w:firstLine="0" w:firstLineChars="0"/>
              <w:jc w:val="center"/>
              <w:rPr>
                <w:color w:val="auto"/>
                <w:highlight w:val="none"/>
                <w:lang w:val="zh-CN"/>
              </w:rPr>
            </w:pPr>
          </w:p>
        </w:tc>
        <w:tc>
          <w:tcPr>
            <w:tcW w:w="1272" w:type="dxa"/>
            <w:vAlign w:val="center"/>
          </w:tcPr>
          <w:p w14:paraId="47271E04">
            <w:pPr>
              <w:ind w:firstLine="0" w:firstLineChars="0"/>
              <w:jc w:val="center"/>
              <w:rPr>
                <w:color w:val="auto"/>
                <w:highlight w:val="none"/>
                <w:lang w:val="zh-CN"/>
              </w:rPr>
            </w:pPr>
          </w:p>
        </w:tc>
        <w:tc>
          <w:tcPr>
            <w:tcW w:w="1272" w:type="dxa"/>
            <w:vAlign w:val="center"/>
          </w:tcPr>
          <w:p w14:paraId="42B75F49">
            <w:pPr>
              <w:ind w:firstLine="0" w:firstLineChars="0"/>
              <w:jc w:val="center"/>
              <w:rPr>
                <w:color w:val="auto"/>
                <w:highlight w:val="none"/>
                <w:lang w:val="zh-CN"/>
              </w:rPr>
            </w:pPr>
          </w:p>
        </w:tc>
        <w:tc>
          <w:tcPr>
            <w:tcW w:w="1272" w:type="dxa"/>
            <w:vAlign w:val="center"/>
          </w:tcPr>
          <w:p w14:paraId="0FCF5993">
            <w:pPr>
              <w:ind w:firstLine="0" w:firstLineChars="0"/>
              <w:jc w:val="center"/>
              <w:rPr>
                <w:color w:val="auto"/>
                <w:highlight w:val="none"/>
                <w:lang w:val="zh-CN"/>
              </w:rPr>
            </w:pPr>
          </w:p>
        </w:tc>
        <w:tc>
          <w:tcPr>
            <w:tcW w:w="1736" w:type="dxa"/>
            <w:vAlign w:val="center"/>
          </w:tcPr>
          <w:p w14:paraId="20AC1F04">
            <w:pPr>
              <w:ind w:firstLine="0" w:firstLineChars="0"/>
              <w:jc w:val="center"/>
              <w:rPr>
                <w:color w:val="auto"/>
                <w:highlight w:val="none"/>
                <w:lang w:val="zh-CN"/>
              </w:rPr>
            </w:pPr>
          </w:p>
        </w:tc>
        <w:tc>
          <w:tcPr>
            <w:tcW w:w="1432" w:type="dxa"/>
            <w:vAlign w:val="center"/>
          </w:tcPr>
          <w:p w14:paraId="062EA24A">
            <w:pPr>
              <w:ind w:firstLine="0" w:firstLineChars="0"/>
              <w:jc w:val="center"/>
              <w:rPr>
                <w:color w:val="auto"/>
                <w:highlight w:val="none"/>
                <w:lang w:val="zh-CN"/>
              </w:rPr>
            </w:pPr>
          </w:p>
        </w:tc>
      </w:tr>
      <w:tr w14:paraId="4964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229B9BF5">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6</w:t>
            </w:r>
          </w:p>
        </w:tc>
        <w:tc>
          <w:tcPr>
            <w:tcW w:w="2123" w:type="dxa"/>
            <w:vAlign w:val="center"/>
          </w:tcPr>
          <w:p w14:paraId="46BABCED">
            <w:pPr>
              <w:ind w:firstLine="0" w:firstLineChars="0"/>
              <w:jc w:val="center"/>
              <w:rPr>
                <w:color w:val="auto"/>
                <w:highlight w:val="none"/>
                <w:lang w:val="zh-CN"/>
              </w:rPr>
            </w:pPr>
          </w:p>
        </w:tc>
        <w:tc>
          <w:tcPr>
            <w:tcW w:w="1272" w:type="dxa"/>
            <w:vAlign w:val="center"/>
          </w:tcPr>
          <w:p w14:paraId="04EEAF69">
            <w:pPr>
              <w:ind w:firstLine="0" w:firstLineChars="0"/>
              <w:jc w:val="center"/>
              <w:rPr>
                <w:color w:val="auto"/>
                <w:highlight w:val="none"/>
                <w:lang w:val="zh-CN"/>
              </w:rPr>
            </w:pPr>
          </w:p>
        </w:tc>
        <w:tc>
          <w:tcPr>
            <w:tcW w:w="1272" w:type="dxa"/>
            <w:vAlign w:val="center"/>
          </w:tcPr>
          <w:p w14:paraId="53CC046B">
            <w:pPr>
              <w:ind w:firstLine="0" w:firstLineChars="0"/>
              <w:jc w:val="center"/>
              <w:rPr>
                <w:color w:val="auto"/>
                <w:highlight w:val="none"/>
                <w:lang w:val="zh-CN"/>
              </w:rPr>
            </w:pPr>
          </w:p>
        </w:tc>
        <w:tc>
          <w:tcPr>
            <w:tcW w:w="1272" w:type="dxa"/>
            <w:vAlign w:val="center"/>
          </w:tcPr>
          <w:p w14:paraId="54D25C54">
            <w:pPr>
              <w:ind w:firstLine="0" w:firstLineChars="0"/>
              <w:jc w:val="center"/>
              <w:rPr>
                <w:color w:val="auto"/>
                <w:highlight w:val="none"/>
                <w:lang w:val="zh-CN"/>
              </w:rPr>
            </w:pPr>
          </w:p>
        </w:tc>
        <w:tc>
          <w:tcPr>
            <w:tcW w:w="1736" w:type="dxa"/>
            <w:vAlign w:val="center"/>
          </w:tcPr>
          <w:p w14:paraId="252CEC17">
            <w:pPr>
              <w:ind w:firstLine="0" w:firstLineChars="0"/>
              <w:jc w:val="center"/>
              <w:rPr>
                <w:color w:val="auto"/>
                <w:highlight w:val="none"/>
                <w:lang w:val="zh-CN"/>
              </w:rPr>
            </w:pPr>
          </w:p>
        </w:tc>
        <w:tc>
          <w:tcPr>
            <w:tcW w:w="1432" w:type="dxa"/>
            <w:vAlign w:val="center"/>
          </w:tcPr>
          <w:p w14:paraId="476A0592">
            <w:pPr>
              <w:ind w:firstLine="0" w:firstLineChars="0"/>
              <w:jc w:val="center"/>
              <w:rPr>
                <w:color w:val="auto"/>
                <w:highlight w:val="none"/>
                <w:lang w:val="zh-CN"/>
              </w:rPr>
            </w:pPr>
          </w:p>
        </w:tc>
      </w:tr>
      <w:tr w14:paraId="3FA7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33CF6BF6">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7</w:t>
            </w:r>
          </w:p>
        </w:tc>
        <w:tc>
          <w:tcPr>
            <w:tcW w:w="2123" w:type="dxa"/>
            <w:vAlign w:val="center"/>
          </w:tcPr>
          <w:p w14:paraId="376D7D7B">
            <w:pPr>
              <w:ind w:firstLine="0" w:firstLineChars="0"/>
              <w:jc w:val="center"/>
              <w:rPr>
                <w:color w:val="auto"/>
                <w:highlight w:val="none"/>
                <w:lang w:val="zh-CN"/>
              </w:rPr>
            </w:pPr>
          </w:p>
        </w:tc>
        <w:tc>
          <w:tcPr>
            <w:tcW w:w="1272" w:type="dxa"/>
            <w:vAlign w:val="center"/>
          </w:tcPr>
          <w:p w14:paraId="7E73AB9A">
            <w:pPr>
              <w:ind w:firstLine="0" w:firstLineChars="0"/>
              <w:jc w:val="center"/>
              <w:rPr>
                <w:color w:val="auto"/>
                <w:highlight w:val="none"/>
                <w:lang w:val="zh-CN"/>
              </w:rPr>
            </w:pPr>
          </w:p>
        </w:tc>
        <w:tc>
          <w:tcPr>
            <w:tcW w:w="1272" w:type="dxa"/>
            <w:vAlign w:val="center"/>
          </w:tcPr>
          <w:p w14:paraId="368B1D92">
            <w:pPr>
              <w:ind w:firstLine="0" w:firstLineChars="0"/>
              <w:jc w:val="center"/>
              <w:rPr>
                <w:color w:val="auto"/>
                <w:highlight w:val="none"/>
                <w:lang w:val="zh-CN"/>
              </w:rPr>
            </w:pPr>
          </w:p>
        </w:tc>
        <w:tc>
          <w:tcPr>
            <w:tcW w:w="1272" w:type="dxa"/>
            <w:vAlign w:val="center"/>
          </w:tcPr>
          <w:p w14:paraId="11FA2FCD">
            <w:pPr>
              <w:ind w:firstLine="0" w:firstLineChars="0"/>
              <w:jc w:val="center"/>
              <w:rPr>
                <w:color w:val="auto"/>
                <w:highlight w:val="none"/>
                <w:lang w:val="zh-CN"/>
              </w:rPr>
            </w:pPr>
          </w:p>
        </w:tc>
        <w:tc>
          <w:tcPr>
            <w:tcW w:w="1736" w:type="dxa"/>
            <w:vAlign w:val="center"/>
          </w:tcPr>
          <w:p w14:paraId="46088312">
            <w:pPr>
              <w:ind w:firstLine="0" w:firstLineChars="0"/>
              <w:jc w:val="center"/>
              <w:rPr>
                <w:color w:val="auto"/>
                <w:highlight w:val="none"/>
                <w:lang w:val="zh-CN"/>
              </w:rPr>
            </w:pPr>
          </w:p>
        </w:tc>
        <w:tc>
          <w:tcPr>
            <w:tcW w:w="1432" w:type="dxa"/>
            <w:vAlign w:val="center"/>
          </w:tcPr>
          <w:p w14:paraId="4F991AD6">
            <w:pPr>
              <w:ind w:firstLine="0" w:firstLineChars="0"/>
              <w:jc w:val="center"/>
              <w:rPr>
                <w:color w:val="auto"/>
                <w:highlight w:val="none"/>
                <w:lang w:val="zh-CN"/>
              </w:rPr>
            </w:pPr>
          </w:p>
        </w:tc>
      </w:tr>
      <w:tr w14:paraId="1636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1333C980">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8</w:t>
            </w:r>
          </w:p>
        </w:tc>
        <w:tc>
          <w:tcPr>
            <w:tcW w:w="2123" w:type="dxa"/>
            <w:vAlign w:val="center"/>
          </w:tcPr>
          <w:p w14:paraId="44C5FD61">
            <w:pPr>
              <w:ind w:firstLine="0" w:firstLineChars="0"/>
              <w:jc w:val="center"/>
              <w:rPr>
                <w:color w:val="auto"/>
                <w:highlight w:val="none"/>
                <w:lang w:val="zh-CN"/>
              </w:rPr>
            </w:pPr>
          </w:p>
        </w:tc>
        <w:tc>
          <w:tcPr>
            <w:tcW w:w="1272" w:type="dxa"/>
            <w:vAlign w:val="center"/>
          </w:tcPr>
          <w:p w14:paraId="7A964FD2">
            <w:pPr>
              <w:ind w:firstLine="0" w:firstLineChars="0"/>
              <w:jc w:val="center"/>
              <w:rPr>
                <w:color w:val="auto"/>
                <w:highlight w:val="none"/>
                <w:lang w:val="zh-CN"/>
              </w:rPr>
            </w:pPr>
          </w:p>
        </w:tc>
        <w:tc>
          <w:tcPr>
            <w:tcW w:w="1272" w:type="dxa"/>
            <w:vAlign w:val="center"/>
          </w:tcPr>
          <w:p w14:paraId="73812678">
            <w:pPr>
              <w:ind w:firstLine="0" w:firstLineChars="0"/>
              <w:jc w:val="center"/>
              <w:rPr>
                <w:color w:val="auto"/>
                <w:highlight w:val="none"/>
                <w:lang w:val="zh-CN"/>
              </w:rPr>
            </w:pPr>
          </w:p>
        </w:tc>
        <w:tc>
          <w:tcPr>
            <w:tcW w:w="1272" w:type="dxa"/>
            <w:vAlign w:val="center"/>
          </w:tcPr>
          <w:p w14:paraId="3CADBB1C">
            <w:pPr>
              <w:ind w:firstLine="0" w:firstLineChars="0"/>
              <w:jc w:val="center"/>
              <w:rPr>
                <w:color w:val="auto"/>
                <w:highlight w:val="none"/>
                <w:lang w:val="zh-CN"/>
              </w:rPr>
            </w:pPr>
          </w:p>
        </w:tc>
        <w:tc>
          <w:tcPr>
            <w:tcW w:w="1736" w:type="dxa"/>
            <w:vAlign w:val="center"/>
          </w:tcPr>
          <w:p w14:paraId="6FF00234">
            <w:pPr>
              <w:ind w:firstLine="0" w:firstLineChars="0"/>
              <w:jc w:val="center"/>
              <w:rPr>
                <w:color w:val="auto"/>
                <w:highlight w:val="none"/>
                <w:lang w:val="zh-CN"/>
              </w:rPr>
            </w:pPr>
          </w:p>
        </w:tc>
        <w:tc>
          <w:tcPr>
            <w:tcW w:w="1432" w:type="dxa"/>
            <w:vAlign w:val="center"/>
          </w:tcPr>
          <w:p w14:paraId="65916758">
            <w:pPr>
              <w:ind w:firstLine="0" w:firstLineChars="0"/>
              <w:jc w:val="center"/>
              <w:rPr>
                <w:color w:val="auto"/>
                <w:highlight w:val="none"/>
                <w:lang w:val="zh-CN"/>
              </w:rPr>
            </w:pPr>
          </w:p>
        </w:tc>
      </w:tr>
      <w:tr w14:paraId="2418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46144DDE">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9</w:t>
            </w:r>
          </w:p>
        </w:tc>
        <w:tc>
          <w:tcPr>
            <w:tcW w:w="2123" w:type="dxa"/>
            <w:vAlign w:val="center"/>
          </w:tcPr>
          <w:p w14:paraId="13FC085B">
            <w:pPr>
              <w:ind w:firstLine="0" w:firstLineChars="0"/>
              <w:jc w:val="center"/>
              <w:rPr>
                <w:color w:val="auto"/>
                <w:highlight w:val="none"/>
                <w:lang w:val="zh-CN"/>
              </w:rPr>
            </w:pPr>
          </w:p>
        </w:tc>
        <w:tc>
          <w:tcPr>
            <w:tcW w:w="1272" w:type="dxa"/>
            <w:vAlign w:val="center"/>
          </w:tcPr>
          <w:p w14:paraId="46D94235">
            <w:pPr>
              <w:ind w:firstLine="0" w:firstLineChars="0"/>
              <w:jc w:val="center"/>
              <w:rPr>
                <w:color w:val="auto"/>
                <w:highlight w:val="none"/>
                <w:lang w:val="zh-CN"/>
              </w:rPr>
            </w:pPr>
          </w:p>
        </w:tc>
        <w:tc>
          <w:tcPr>
            <w:tcW w:w="1272" w:type="dxa"/>
            <w:vAlign w:val="center"/>
          </w:tcPr>
          <w:p w14:paraId="17CDB91B">
            <w:pPr>
              <w:ind w:firstLine="0" w:firstLineChars="0"/>
              <w:jc w:val="center"/>
              <w:rPr>
                <w:color w:val="auto"/>
                <w:highlight w:val="none"/>
                <w:lang w:val="zh-CN"/>
              </w:rPr>
            </w:pPr>
          </w:p>
        </w:tc>
        <w:tc>
          <w:tcPr>
            <w:tcW w:w="1272" w:type="dxa"/>
            <w:vAlign w:val="center"/>
          </w:tcPr>
          <w:p w14:paraId="4A431015">
            <w:pPr>
              <w:ind w:firstLine="0" w:firstLineChars="0"/>
              <w:jc w:val="center"/>
              <w:rPr>
                <w:color w:val="auto"/>
                <w:highlight w:val="none"/>
                <w:lang w:val="zh-CN"/>
              </w:rPr>
            </w:pPr>
          </w:p>
        </w:tc>
        <w:tc>
          <w:tcPr>
            <w:tcW w:w="1736" w:type="dxa"/>
            <w:vAlign w:val="center"/>
          </w:tcPr>
          <w:p w14:paraId="09CCD637">
            <w:pPr>
              <w:ind w:firstLine="0" w:firstLineChars="0"/>
              <w:jc w:val="center"/>
              <w:rPr>
                <w:color w:val="auto"/>
                <w:highlight w:val="none"/>
                <w:lang w:val="zh-CN"/>
              </w:rPr>
            </w:pPr>
          </w:p>
        </w:tc>
        <w:tc>
          <w:tcPr>
            <w:tcW w:w="1432" w:type="dxa"/>
            <w:vAlign w:val="center"/>
          </w:tcPr>
          <w:p w14:paraId="1242B4A1">
            <w:pPr>
              <w:ind w:firstLine="0" w:firstLineChars="0"/>
              <w:jc w:val="center"/>
              <w:rPr>
                <w:color w:val="auto"/>
                <w:highlight w:val="none"/>
                <w:lang w:val="zh-CN"/>
              </w:rPr>
            </w:pPr>
          </w:p>
        </w:tc>
      </w:tr>
      <w:tr w14:paraId="09E0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51FF3B31">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10</w:t>
            </w:r>
          </w:p>
        </w:tc>
        <w:tc>
          <w:tcPr>
            <w:tcW w:w="2123" w:type="dxa"/>
            <w:vAlign w:val="center"/>
          </w:tcPr>
          <w:p w14:paraId="478EAEE0">
            <w:pPr>
              <w:ind w:firstLine="0" w:firstLineChars="0"/>
              <w:jc w:val="center"/>
              <w:rPr>
                <w:color w:val="auto"/>
                <w:highlight w:val="none"/>
                <w:lang w:val="zh-CN"/>
              </w:rPr>
            </w:pPr>
          </w:p>
        </w:tc>
        <w:tc>
          <w:tcPr>
            <w:tcW w:w="1272" w:type="dxa"/>
            <w:vAlign w:val="center"/>
          </w:tcPr>
          <w:p w14:paraId="47D7ACAE">
            <w:pPr>
              <w:ind w:firstLine="0" w:firstLineChars="0"/>
              <w:jc w:val="center"/>
              <w:rPr>
                <w:color w:val="auto"/>
                <w:highlight w:val="none"/>
                <w:lang w:val="zh-CN"/>
              </w:rPr>
            </w:pPr>
          </w:p>
        </w:tc>
        <w:tc>
          <w:tcPr>
            <w:tcW w:w="1272" w:type="dxa"/>
            <w:vAlign w:val="center"/>
          </w:tcPr>
          <w:p w14:paraId="380858DE">
            <w:pPr>
              <w:ind w:firstLine="0" w:firstLineChars="0"/>
              <w:jc w:val="center"/>
              <w:rPr>
                <w:color w:val="auto"/>
                <w:highlight w:val="none"/>
                <w:lang w:val="zh-CN"/>
              </w:rPr>
            </w:pPr>
          </w:p>
        </w:tc>
        <w:tc>
          <w:tcPr>
            <w:tcW w:w="1272" w:type="dxa"/>
            <w:vAlign w:val="center"/>
          </w:tcPr>
          <w:p w14:paraId="33460554">
            <w:pPr>
              <w:ind w:firstLine="0" w:firstLineChars="0"/>
              <w:jc w:val="center"/>
              <w:rPr>
                <w:color w:val="auto"/>
                <w:highlight w:val="none"/>
                <w:lang w:val="zh-CN"/>
              </w:rPr>
            </w:pPr>
          </w:p>
        </w:tc>
        <w:tc>
          <w:tcPr>
            <w:tcW w:w="1736" w:type="dxa"/>
            <w:vAlign w:val="center"/>
          </w:tcPr>
          <w:p w14:paraId="204748B3">
            <w:pPr>
              <w:ind w:firstLine="0" w:firstLineChars="0"/>
              <w:jc w:val="center"/>
              <w:rPr>
                <w:color w:val="auto"/>
                <w:highlight w:val="none"/>
                <w:lang w:val="zh-CN"/>
              </w:rPr>
            </w:pPr>
          </w:p>
        </w:tc>
        <w:tc>
          <w:tcPr>
            <w:tcW w:w="1432" w:type="dxa"/>
            <w:vAlign w:val="center"/>
          </w:tcPr>
          <w:p w14:paraId="69BCC50E">
            <w:pPr>
              <w:ind w:firstLine="0" w:firstLineChars="0"/>
              <w:jc w:val="center"/>
              <w:rPr>
                <w:color w:val="auto"/>
                <w:highlight w:val="none"/>
                <w:lang w:val="zh-CN"/>
              </w:rPr>
            </w:pPr>
          </w:p>
        </w:tc>
      </w:tr>
      <w:tr w14:paraId="1999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vAlign w:val="center"/>
          </w:tcPr>
          <w:p w14:paraId="07D84E41">
            <w:pPr>
              <w:ind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w:t>
            </w:r>
          </w:p>
        </w:tc>
        <w:tc>
          <w:tcPr>
            <w:tcW w:w="2123" w:type="dxa"/>
            <w:vAlign w:val="center"/>
          </w:tcPr>
          <w:p w14:paraId="103EB928">
            <w:pPr>
              <w:ind w:firstLine="0" w:firstLineChars="0"/>
              <w:jc w:val="center"/>
              <w:rPr>
                <w:color w:val="auto"/>
                <w:highlight w:val="none"/>
                <w:lang w:val="zh-CN"/>
              </w:rPr>
            </w:pPr>
          </w:p>
        </w:tc>
        <w:tc>
          <w:tcPr>
            <w:tcW w:w="1272" w:type="dxa"/>
            <w:vAlign w:val="center"/>
          </w:tcPr>
          <w:p w14:paraId="5151E715">
            <w:pPr>
              <w:ind w:firstLine="0" w:firstLineChars="0"/>
              <w:jc w:val="center"/>
              <w:rPr>
                <w:color w:val="auto"/>
                <w:highlight w:val="none"/>
                <w:lang w:val="zh-CN"/>
              </w:rPr>
            </w:pPr>
          </w:p>
        </w:tc>
        <w:tc>
          <w:tcPr>
            <w:tcW w:w="1272" w:type="dxa"/>
            <w:vAlign w:val="center"/>
          </w:tcPr>
          <w:p w14:paraId="4E1AE945">
            <w:pPr>
              <w:ind w:firstLine="0" w:firstLineChars="0"/>
              <w:jc w:val="center"/>
              <w:rPr>
                <w:color w:val="auto"/>
                <w:highlight w:val="none"/>
                <w:lang w:val="zh-CN"/>
              </w:rPr>
            </w:pPr>
          </w:p>
        </w:tc>
        <w:tc>
          <w:tcPr>
            <w:tcW w:w="1272" w:type="dxa"/>
            <w:vAlign w:val="center"/>
          </w:tcPr>
          <w:p w14:paraId="7973D155">
            <w:pPr>
              <w:ind w:firstLine="0" w:firstLineChars="0"/>
              <w:jc w:val="center"/>
              <w:rPr>
                <w:color w:val="auto"/>
                <w:highlight w:val="none"/>
                <w:lang w:val="zh-CN"/>
              </w:rPr>
            </w:pPr>
          </w:p>
        </w:tc>
        <w:tc>
          <w:tcPr>
            <w:tcW w:w="1736" w:type="dxa"/>
            <w:vAlign w:val="center"/>
          </w:tcPr>
          <w:p w14:paraId="6B329ED7">
            <w:pPr>
              <w:ind w:firstLine="0" w:firstLineChars="0"/>
              <w:jc w:val="center"/>
              <w:rPr>
                <w:color w:val="auto"/>
                <w:highlight w:val="none"/>
                <w:lang w:val="zh-CN"/>
              </w:rPr>
            </w:pPr>
          </w:p>
        </w:tc>
        <w:tc>
          <w:tcPr>
            <w:tcW w:w="1432" w:type="dxa"/>
            <w:vAlign w:val="center"/>
          </w:tcPr>
          <w:p w14:paraId="10048CC7">
            <w:pPr>
              <w:ind w:firstLine="0" w:firstLineChars="0"/>
              <w:jc w:val="center"/>
              <w:rPr>
                <w:color w:val="auto"/>
                <w:highlight w:val="none"/>
                <w:lang w:val="zh-CN"/>
              </w:rPr>
            </w:pPr>
          </w:p>
        </w:tc>
      </w:tr>
    </w:tbl>
    <w:p w14:paraId="2DEC415C">
      <w:pPr>
        <w:adjustRightInd w:val="0"/>
        <w:snapToGrid w:val="0"/>
        <w:spacing w:before="156" w:beforeLines="50"/>
        <w:ind w:firstLine="0" w:firstLineChars="0"/>
        <w:rPr>
          <w:rFonts w:ascii="Arial" w:hAnsi="Arial" w:cs="Arial"/>
          <w:b/>
          <w:bCs/>
          <w:color w:val="auto"/>
          <w:sz w:val="32"/>
          <w:szCs w:val="32"/>
          <w:highlight w:val="none"/>
        </w:rPr>
      </w:pPr>
      <w:r>
        <w:rPr>
          <w:rFonts w:hint="eastAsia"/>
          <w:color w:val="auto"/>
          <w:highlight w:val="none"/>
          <w:lang w:val="zh-CN"/>
        </w:rPr>
        <w:t>注</w:t>
      </w:r>
      <w:r>
        <w:rPr>
          <w:rFonts w:hint="eastAsia"/>
          <w:color w:val="auto"/>
          <w:highlight w:val="none"/>
        </w:rPr>
        <w:t>：</w:t>
      </w:r>
      <w:r>
        <w:rPr>
          <w:rFonts w:hint="eastAsia"/>
          <w:color w:val="auto"/>
          <w:highlight w:val="none"/>
          <w:lang w:val="zh-CN"/>
        </w:rPr>
        <w:t>按评分细则要求提供证明材料原件扫描件附后。</w:t>
      </w:r>
    </w:p>
    <w:p w14:paraId="5B942596">
      <w:pPr>
        <w:autoSpaceDE w:val="0"/>
        <w:autoSpaceDN w:val="0"/>
        <w:adjustRightInd w:val="0"/>
        <w:snapToGrid w:val="0"/>
        <w:spacing w:after="156" w:afterLines="50"/>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bidi="ar"/>
        </w:rPr>
        <w:t xml:space="preserve"> </w:t>
      </w:r>
    </w:p>
    <w:p w14:paraId="5D72CA0D">
      <w:pPr>
        <w:snapToGrid w:val="0"/>
        <w:spacing w:line="480" w:lineRule="exact"/>
        <w:ind w:firstLine="3840" w:firstLineChars="1600"/>
        <w:rPr>
          <w:rFonts w:hint="eastAsia" w:ascii="宋体" w:hAnsi="宋体" w:cs="宋体"/>
          <w:color w:val="auto"/>
          <w:highlight w:val="none"/>
        </w:rPr>
      </w:pPr>
      <w:r>
        <w:rPr>
          <w:rFonts w:hint="eastAsia" w:ascii="宋体" w:hAnsi="宋体" w:cs="宋体"/>
          <w:color w:val="auto"/>
          <w:highlight w:val="none"/>
          <w:lang w:bidi="ar"/>
        </w:rPr>
        <w:t>供应商名称（盖章）：</w:t>
      </w:r>
    </w:p>
    <w:p w14:paraId="17BE3768">
      <w:pPr>
        <w:snapToGrid w:val="0"/>
        <w:spacing w:line="480" w:lineRule="exact"/>
        <w:ind w:firstLine="3840" w:firstLineChars="1600"/>
        <w:rPr>
          <w:rFonts w:hint="eastAsia" w:ascii="宋体" w:hAnsi="宋体" w:cs="宋体"/>
          <w:color w:val="auto"/>
          <w:highlight w:val="none"/>
        </w:rPr>
      </w:pPr>
      <w:r>
        <w:rPr>
          <w:rFonts w:hint="eastAsia" w:ascii="宋体" w:hAnsi="宋体" w:cs="宋体"/>
          <w:color w:val="auto"/>
          <w:highlight w:val="none"/>
          <w:lang w:bidi="ar"/>
        </w:rPr>
        <w:t>法定代表人或授权委托人（签字或盖章）：</w:t>
      </w:r>
    </w:p>
    <w:p w14:paraId="77604CB9">
      <w:pPr>
        <w:snapToGrid w:val="0"/>
        <w:spacing w:line="480" w:lineRule="exact"/>
        <w:ind w:firstLine="3840" w:firstLineChars="1600"/>
        <w:rPr>
          <w:color w:val="auto"/>
          <w:highlight w:val="none"/>
        </w:rPr>
      </w:pPr>
      <w:r>
        <w:rPr>
          <w:rFonts w:hint="eastAsia" w:ascii="宋体" w:hAnsi="宋体" w:cs="宋体"/>
          <w:color w:val="auto"/>
          <w:highlight w:val="none"/>
          <w:lang w:bidi="ar"/>
        </w:rPr>
        <w:t>日期：     年   月   日</w:t>
      </w:r>
    </w:p>
    <w:p w14:paraId="446C3B09">
      <w:pPr>
        <w:spacing w:line="480" w:lineRule="exact"/>
        <w:ind w:firstLine="3840" w:firstLineChars="1600"/>
        <w:rPr>
          <w:rFonts w:cs="宋体"/>
          <w:color w:val="auto"/>
          <w:highlight w:val="none"/>
        </w:rPr>
        <w:sectPr>
          <w:footerReference r:id="rId13" w:type="default"/>
          <w:pgSz w:w="11906" w:h="16838"/>
          <w:pgMar w:top="1423" w:right="1080" w:bottom="1423"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p>
    <w:p w14:paraId="07219C6B">
      <w:pPr>
        <w:ind w:firstLine="0" w:firstLineChars="0"/>
        <w:outlineLvl w:val="1"/>
        <w:rPr>
          <w:rFonts w:hint="eastAsia" w:ascii="宋体" w:hAnsi="宋体" w:cs="宋体"/>
          <w:b/>
          <w:bCs/>
          <w:color w:val="auto"/>
          <w:highlight w:val="none"/>
        </w:rPr>
      </w:pPr>
      <w:r>
        <w:rPr>
          <w:rFonts w:hint="eastAsia" w:ascii="宋体" w:hAnsi="宋体" w:cs="宋体"/>
          <w:b/>
          <w:bCs/>
          <w:color w:val="auto"/>
          <w:highlight w:val="none"/>
          <w:lang w:bidi="ar"/>
        </w:rPr>
        <w:t>附件9</w:t>
      </w:r>
    </w:p>
    <w:p w14:paraId="2F7A67AC">
      <w:pPr>
        <w:spacing w:line="360" w:lineRule="auto"/>
        <w:ind w:firstLine="602"/>
        <w:jc w:val="center"/>
        <w:rPr>
          <w:rFonts w:hint="eastAsia" w:ascii="宋体" w:hAnsi="宋体" w:cs="宋体"/>
          <w:color w:val="auto"/>
          <w:highlight w:val="none"/>
          <w:lang w:bidi="ar"/>
        </w:rPr>
      </w:pPr>
      <w:r>
        <w:rPr>
          <w:rFonts w:hint="eastAsia"/>
          <w:b/>
          <w:color w:val="auto"/>
          <w:sz w:val="30"/>
          <w:szCs w:val="30"/>
          <w:highlight w:val="none"/>
          <w:lang w:val="zh-CN"/>
        </w:rPr>
        <w:t>拟派本项目团队人员一览表</w:t>
      </w:r>
    </w:p>
    <w:p w14:paraId="05E8112C">
      <w:pPr>
        <w:snapToGrid w:val="0"/>
        <w:spacing w:before="72" w:after="72" w:line="360" w:lineRule="exact"/>
        <w:ind w:firstLine="240" w:firstLineChars="100"/>
        <w:rPr>
          <w:rFonts w:hint="eastAsia" w:ascii="宋体" w:hAnsi="宋体" w:cs="宋体"/>
          <w:color w:val="auto"/>
          <w:highlight w:val="none"/>
        </w:rPr>
      </w:pPr>
      <w:r>
        <w:rPr>
          <w:rFonts w:hint="eastAsia" w:ascii="宋体" w:hAnsi="宋体" w:cs="宋体"/>
          <w:color w:val="auto"/>
          <w:highlight w:val="none"/>
          <w:lang w:bidi="ar"/>
        </w:rPr>
        <w:t xml:space="preserve">项目名称：                                             </w:t>
      </w:r>
    </w:p>
    <w:p w14:paraId="32E776BD">
      <w:pPr>
        <w:snapToGrid w:val="0"/>
        <w:spacing w:before="72" w:after="72" w:line="360" w:lineRule="exact"/>
        <w:ind w:firstLine="240" w:firstLineChars="100"/>
        <w:rPr>
          <w:rFonts w:hint="eastAsia" w:ascii="宋体" w:hAnsi="宋体" w:cs="宋体"/>
          <w:color w:val="auto"/>
          <w:highlight w:val="none"/>
        </w:rPr>
      </w:pPr>
      <w:r>
        <w:rPr>
          <w:rFonts w:hint="eastAsia" w:ascii="宋体" w:hAnsi="宋体" w:cs="宋体"/>
          <w:color w:val="auto"/>
          <w:highlight w:val="none"/>
          <w:lang w:bidi="ar"/>
        </w:rPr>
        <w:t>项目编号：</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36"/>
        <w:gridCol w:w="875"/>
        <w:gridCol w:w="823"/>
        <w:gridCol w:w="1864"/>
        <w:gridCol w:w="2228"/>
        <w:gridCol w:w="1860"/>
      </w:tblGrid>
      <w:tr w14:paraId="515B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96" w:type="dxa"/>
            <w:vAlign w:val="center"/>
          </w:tcPr>
          <w:p w14:paraId="74C2FB83">
            <w:pPr>
              <w:snapToGrid w:val="0"/>
              <w:spacing w:before="93" w:beforeLines="30" w:after="93" w:afterLines="30"/>
              <w:ind w:firstLine="0" w:firstLineChars="0"/>
              <w:jc w:val="center"/>
              <w:rPr>
                <w:color w:val="auto"/>
                <w:highlight w:val="none"/>
              </w:rPr>
            </w:pPr>
            <w:r>
              <w:rPr>
                <w:rFonts w:hint="eastAsia"/>
                <w:color w:val="auto"/>
                <w:highlight w:val="none"/>
              </w:rPr>
              <w:t>序号</w:t>
            </w:r>
          </w:p>
        </w:tc>
        <w:tc>
          <w:tcPr>
            <w:tcW w:w="936" w:type="dxa"/>
            <w:vAlign w:val="center"/>
          </w:tcPr>
          <w:p w14:paraId="7737BC09">
            <w:pPr>
              <w:snapToGrid w:val="0"/>
              <w:spacing w:before="93" w:beforeLines="30" w:after="93" w:afterLines="30"/>
              <w:ind w:firstLine="0" w:firstLineChars="0"/>
              <w:jc w:val="center"/>
              <w:rPr>
                <w:color w:val="auto"/>
                <w:highlight w:val="none"/>
              </w:rPr>
            </w:pPr>
            <w:r>
              <w:rPr>
                <w:rFonts w:hint="eastAsia"/>
                <w:color w:val="auto"/>
                <w:highlight w:val="none"/>
              </w:rPr>
              <w:t>姓名</w:t>
            </w:r>
          </w:p>
        </w:tc>
        <w:tc>
          <w:tcPr>
            <w:tcW w:w="875" w:type="dxa"/>
            <w:vAlign w:val="center"/>
          </w:tcPr>
          <w:p w14:paraId="30359164">
            <w:pPr>
              <w:snapToGrid w:val="0"/>
              <w:spacing w:before="93" w:beforeLines="30" w:after="93" w:afterLines="30"/>
              <w:ind w:firstLine="0" w:firstLineChars="0"/>
              <w:jc w:val="center"/>
              <w:rPr>
                <w:color w:val="auto"/>
                <w:highlight w:val="none"/>
              </w:rPr>
            </w:pPr>
            <w:r>
              <w:rPr>
                <w:rFonts w:hint="eastAsia"/>
                <w:color w:val="auto"/>
                <w:highlight w:val="none"/>
              </w:rPr>
              <w:t>姓别</w:t>
            </w:r>
          </w:p>
        </w:tc>
        <w:tc>
          <w:tcPr>
            <w:tcW w:w="823" w:type="dxa"/>
            <w:vAlign w:val="center"/>
          </w:tcPr>
          <w:p w14:paraId="1217875E">
            <w:pPr>
              <w:snapToGrid w:val="0"/>
              <w:spacing w:before="93" w:beforeLines="30" w:after="93" w:afterLines="30"/>
              <w:ind w:firstLine="0" w:firstLineChars="0"/>
              <w:jc w:val="center"/>
              <w:rPr>
                <w:color w:val="auto"/>
                <w:highlight w:val="none"/>
              </w:rPr>
            </w:pPr>
            <w:r>
              <w:rPr>
                <w:rFonts w:hint="eastAsia"/>
                <w:color w:val="auto"/>
                <w:highlight w:val="none"/>
              </w:rPr>
              <w:t>年龄</w:t>
            </w:r>
          </w:p>
        </w:tc>
        <w:tc>
          <w:tcPr>
            <w:tcW w:w="1864" w:type="dxa"/>
            <w:vAlign w:val="center"/>
          </w:tcPr>
          <w:p w14:paraId="2BB0D30D">
            <w:pPr>
              <w:snapToGrid w:val="0"/>
              <w:spacing w:before="93" w:beforeLines="30" w:after="93" w:afterLines="30"/>
              <w:ind w:firstLine="0" w:firstLineChars="0"/>
              <w:jc w:val="center"/>
              <w:rPr>
                <w:color w:val="auto"/>
                <w:highlight w:val="none"/>
              </w:rPr>
            </w:pPr>
            <w:r>
              <w:rPr>
                <w:rFonts w:hint="eastAsia"/>
                <w:color w:val="auto"/>
                <w:highlight w:val="none"/>
              </w:rPr>
              <w:t>学历</w:t>
            </w:r>
          </w:p>
        </w:tc>
        <w:tc>
          <w:tcPr>
            <w:tcW w:w="2228" w:type="dxa"/>
            <w:vAlign w:val="center"/>
          </w:tcPr>
          <w:p w14:paraId="399D7283">
            <w:pPr>
              <w:snapToGrid w:val="0"/>
              <w:spacing w:before="93" w:beforeLines="30" w:after="93" w:afterLines="30"/>
              <w:ind w:firstLine="0" w:firstLineChars="0"/>
              <w:jc w:val="center"/>
              <w:rPr>
                <w:color w:val="auto"/>
                <w:highlight w:val="none"/>
              </w:rPr>
            </w:pPr>
            <w:r>
              <w:rPr>
                <w:rFonts w:hint="eastAsia"/>
                <w:color w:val="auto"/>
                <w:highlight w:val="none"/>
              </w:rPr>
              <w:t>证书名称</w:t>
            </w:r>
          </w:p>
        </w:tc>
        <w:tc>
          <w:tcPr>
            <w:tcW w:w="1860" w:type="dxa"/>
            <w:vAlign w:val="center"/>
          </w:tcPr>
          <w:p w14:paraId="683EEECB">
            <w:pPr>
              <w:snapToGrid w:val="0"/>
              <w:spacing w:before="93" w:beforeLines="30" w:after="93" w:afterLines="30"/>
              <w:ind w:firstLine="0" w:firstLineChars="0"/>
              <w:jc w:val="center"/>
              <w:rPr>
                <w:color w:val="auto"/>
                <w:highlight w:val="none"/>
              </w:rPr>
            </w:pPr>
            <w:r>
              <w:rPr>
                <w:rFonts w:hint="eastAsia"/>
                <w:color w:val="auto"/>
                <w:highlight w:val="none"/>
              </w:rPr>
              <w:t>职务</w:t>
            </w:r>
          </w:p>
        </w:tc>
      </w:tr>
      <w:tr w14:paraId="5EE6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4A0C9A93">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936" w:type="dxa"/>
            <w:vAlign w:val="center"/>
          </w:tcPr>
          <w:p w14:paraId="6092D018">
            <w:pPr>
              <w:snapToGrid w:val="0"/>
              <w:spacing w:before="93" w:beforeLines="30" w:after="93" w:afterLines="30"/>
              <w:ind w:firstLine="0" w:firstLineChars="0"/>
              <w:jc w:val="center"/>
              <w:rPr>
                <w:color w:val="auto"/>
                <w:highlight w:val="none"/>
              </w:rPr>
            </w:pPr>
          </w:p>
        </w:tc>
        <w:tc>
          <w:tcPr>
            <w:tcW w:w="875" w:type="dxa"/>
            <w:vAlign w:val="center"/>
          </w:tcPr>
          <w:p w14:paraId="7B4608A0">
            <w:pPr>
              <w:snapToGrid w:val="0"/>
              <w:spacing w:before="93" w:beforeLines="30" w:after="93" w:afterLines="30"/>
              <w:ind w:firstLine="0" w:firstLineChars="0"/>
              <w:jc w:val="center"/>
              <w:rPr>
                <w:color w:val="auto"/>
                <w:highlight w:val="none"/>
              </w:rPr>
            </w:pPr>
          </w:p>
        </w:tc>
        <w:tc>
          <w:tcPr>
            <w:tcW w:w="823" w:type="dxa"/>
            <w:vAlign w:val="center"/>
          </w:tcPr>
          <w:p w14:paraId="48C5CF25">
            <w:pPr>
              <w:snapToGrid w:val="0"/>
              <w:spacing w:before="93" w:beforeLines="30" w:after="93" w:afterLines="30"/>
              <w:ind w:firstLine="0" w:firstLineChars="0"/>
              <w:jc w:val="center"/>
              <w:rPr>
                <w:color w:val="auto"/>
                <w:highlight w:val="none"/>
              </w:rPr>
            </w:pPr>
          </w:p>
        </w:tc>
        <w:tc>
          <w:tcPr>
            <w:tcW w:w="1864" w:type="dxa"/>
            <w:vAlign w:val="center"/>
          </w:tcPr>
          <w:p w14:paraId="67A8A35E">
            <w:pPr>
              <w:snapToGrid w:val="0"/>
              <w:spacing w:before="93" w:beforeLines="30" w:after="93" w:afterLines="30"/>
              <w:ind w:firstLine="0" w:firstLineChars="0"/>
              <w:jc w:val="center"/>
              <w:rPr>
                <w:color w:val="auto"/>
                <w:highlight w:val="none"/>
              </w:rPr>
            </w:pPr>
          </w:p>
        </w:tc>
        <w:tc>
          <w:tcPr>
            <w:tcW w:w="2228" w:type="dxa"/>
            <w:vAlign w:val="center"/>
          </w:tcPr>
          <w:p w14:paraId="4B9040B0">
            <w:pPr>
              <w:snapToGrid w:val="0"/>
              <w:spacing w:before="93" w:beforeLines="30" w:after="93" w:afterLines="30"/>
              <w:ind w:firstLine="0" w:firstLineChars="0"/>
              <w:jc w:val="center"/>
              <w:rPr>
                <w:color w:val="auto"/>
                <w:highlight w:val="none"/>
              </w:rPr>
            </w:pPr>
          </w:p>
        </w:tc>
        <w:tc>
          <w:tcPr>
            <w:tcW w:w="1860" w:type="dxa"/>
            <w:vAlign w:val="center"/>
          </w:tcPr>
          <w:p w14:paraId="780E7D38">
            <w:pPr>
              <w:snapToGrid w:val="0"/>
              <w:spacing w:before="93" w:beforeLines="30" w:after="93" w:afterLines="30"/>
              <w:ind w:firstLine="0" w:firstLineChars="0"/>
              <w:jc w:val="center"/>
              <w:rPr>
                <w:color w:val="auto"/>
                <w:highlight w:val="none"/>
              </w:rPr>
            </w:pPr>
            <w:r>
              <w:rPr>
                <w:rFonts w:hint="eastAsia"/>
                <w:color w:val="auto"/>
                <w:highlight w:val="none"/>
              </w:rPr>
              <w:t>项目负责人</w:t>
            </w:r>
          </w:p>
        </w:tc>
      </w:tr>
      <w:tr w14:paraId="2510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583A1C17">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936" w:type="dxa"/>
            <w:vAlign w:val="center"/>
          </w:tcPr>
          <w:p w14:paraId="48547DD0">
            <w:pPr>
              <w:snapToGrid w:val="0"/>
              <w:spacing w:before="93" w:beforeLines="30" w:after="93" w:afterLines="30"/>
              <w:ind w:firstLine="0" w:firstLineChars="0"/>
              <w:jc w:val="center"/>
              <w:rPr>
                <w:color w:val="auto"/>
                <w:highlight w:val="none"/>
              </w:rPr>
            </w:pPr>
          </w:p>
        </w:tc>
        <w:tc>
          <w:tcPr>
            <w:tcW w:w="875" w:type="dxa"/>
            <w:vAlign w:val="center"/>
          </w:tcPr>
          <w:p w14:paraId="6C6B7E22">
            <w:pPr>
              <w:snapToGrid w:val="0"/>
              <w:spacing w:before="93" w:beforeLines="30" w:after="93" w:afterLines="30"/>
              <w:ind w:firstLine="0" w:firstLineChars="0"/>
              <w:jc w:val="center"/>
              <w:rPr>
                <w:color w:val="auto"/>
                <w:highlight w:val="none"/>
              </w:rPr>
            </w:pPr>
          </w:p>
        </w:tc>
        <w:tc>
          <w:tcPr>
            <w:tcW w:w="823" w:type="dxa"/>
            <w:vAlign w:val="center"/>
          </w:tcPr>
          <w:p w14:paraId="72D2DBEE">
            <w:pPr>
              <w:snapToGrid w:val="0"/>
              <w:spacing w:before="93" w:beforeLines="30" w:after="93" w:afterLines="30"/>
              <w:ind w:firstLine="0" w:firstLineChars="0"/>
              <w:jc w:val="center"/>
              <w:rPr>
                <w:color w:val="auto"/>
                <w:highlight w:val="none"/>
              </w:rPr>
            </w:pPr>
          </w:p>
        </w:tc>
        <w:tc>
          <w:tcPr>
            <w:tcW w:w="1864" w:type="dxa"/>
            <w:vAlign w:val="center"/>
          </w:tcPr>
          <w:p w14:paraId="1E4C23C9">
            <w:pPr>
              <w:snapToGrid w:val="0"/>
              <w:spacing w:before="93" w:beforeLines="30" w:after="93" w:afterLines="30"/>
              <w:ind w:firstLine="0" w:firstLineChars="0"/>
              <w:jc w:val="center"/>
              <w:rPr>
                <w:color w:val="auto"/>
                <w:highlight w:val="none"/>
              </w:rPr>
            </w:pPr>
          </w:p>
        </w:tc>
        <w:tc>
          <w:tcPr>
            <w:tcW w:w="2228" w:type="dxa"/>
            <w:vAlign w:val="center"/>
          </w:tcPr>
          <w:p w14:paraId="6A05A644">
            <w:pPr>
              <w:snapToGrid w:val="0"/>
              <w:spacing w:before="93" w:beforeLines="30" w:after="93" w:afterLines="30"/>
              <w:ind w:firstLine="0" w:firstLineChars="0"/>
              <w:jc w:val="center"/>
              <w:rPr>
                <w:color w:val="auto"/>
                <w:highlight w:val="none"/>
              </w:rPr>
            </w:pPr>
          </w:p>
        </w:tc>
        <w:tc>
          <w:tcPr>
            <w:tcW w:w="1860" w:type="dxa"/>
            <w:vAlign w:val="center"/>
          </w:tcPr>
          <w:p w14:paraId="75C86D25">
            <w:pPr>
              <w:snapToGrid w:val="0"/>
              <w:spacing w:before="93" w:beforeLines="30" w:after="93" w:afterLines="30"/>
              <w:ind w:firstLine="0" w:firstLineChars="0"/>
              <w:jc w:val="center"/>
              <w:rPr>
                <w:color w:val="auto"/>
                <w:highlight w:val="none"/>
              </w:rPr>
            </w:pPr>
            <w:r>
              <w:rPr>
                <w:rFonts w:hint="eastAsia"/>
                <w:color w:val="auto"/>
                <w:highlight w:val="none"/>
              </w:rPr>
              <w:t>……</w:t>
            </w:r>
          </w:p>
        </w:tc>
      </w:tr>
      <w:tr w14:paraId="1EE96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75D97104">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936" w:type="dxa"/>
            <w:vAlign w:val="center"/>
          </w:tcPr>
          <w:p w14:paraId="31D195F3">
            <w:pPr>
              <w:snapToGrid w:val="0"/>
              <w:spacing w:before="93" w:beforeLines="30" w:after="93" w:afterLines="30"/>
              <w:ind w:firstLine="0" w:firstLineChars="0"/>
              <w:jc w:val="center"/>
              <w:rPr>
                <w:color w:val="auto"/>
                <w:highlight w:val="none"/>
              </w:rPr>
            </w:pPr>
          </w:p>
        </w:tc>
        <w:tc>
          <w:tcPr>
            <w:tcW w:w="875" w:type="dxa"/>
            <w:vAlign w:val="center"/>
          </w:tcPr>
          <w:p w14:paraId="5072498B">
            <w:pPr>
              <w:snapToGrid w:val="0"/>
              <w:spacing w:before="93" w:beforeLines="30" w:after="93" w:afterLines="30"/>
              <w:ind w:firstLine="0" w:firstLineChars="0"/>
              <w:jc w:val="center"/>
              <w:rPr>
                <w:color w:val="auto"/>
                <w:highlight w:val="none"/>
              </w:rPr>
            </w:pPr>
          </w:p>
        </w:tc>
        <w:tc>
          <w:tcPr>
            <w:tcW w:w="823" w:type="dxa"/>
            <w:vAlign w:val="center"/>
          </w:tcPr>
          <w:p w14:paraId="4B7C3129">
            <w:pPr>
              <w:snapToGrid w:val="0"/>
              <w:spacing w:before="93" w:beforeLines="30" w:after="93" w:afterLines="30"/>
              <w:ind w:firstLine="0" w:firstLineChars="0"/>
              <w:jc w:val="center"/>
              <w:rPr>
                <w:color w:val="auto"/>
                <w:highlight w:val="none"/>
              </w:rPr>
            </w:pPr>
          </w:p>
        </w:tc>
        <w:tc>
          <w:tcPr>
            <w:tcW w:w="1864" w:type="dxa"/>
            <w:vAlign w:val="center"/>
          </w:tcPr>
          <w:p w14:paraId="7676DFA9">
            <w:pPr>
              <w:snapToGrid w:val="0"/>
              <w:spacing w:before="93" w:beforeLines="30" w:after="93" w:afterLines="30"/>
              <w:ind w:firstLine="0" w:firstLineChars="0"/>
              <w:jc w:val="center"/>
              <w:rPr>
                <w:color w:val="auto"/>
                <w:highlight w:val="none"/>
              </w:rPr>
            </w:pPr>
          </w:p>
        </w:tc>
        <w:tc>
          <w:tcPr>
            <w:tcW w:w="2228" w:type="dxa"/>
            <w:vAlign w:val="center"/>
          </w:tcPr>
          <w:p w14:paraId="496F5A91">
            <w:pPr>
              <w:snapToGrid w:val="0"/>
              <w:spacing w:before="93" w:beforeLines="30" w:after="93" w:afterLines="30"/>
              <w:ind w:firstLine="0" w:firstLineChars="0"/>
              <w:jc w:val="center"/>
              <w:rPr>
                <w:color w:val="auto"/>
                <w:highlight w:val="none"/>
              </w:rPr>
            </w:pPr>
          </w:p>
        </w:tc>
        <w:tc>
          <w:tcPr>
            <w:tcW w:w="1860" w:type="dxa"/>
            <w:vAlign w:val="center"/>
          </w:tcPr>
          <w:p w14:paraId="4FF25666">
            <w:pPr>
              <w:snapToGrid w:val="0"/>
              <w:spacing w:before="93" w:beforeLines="30" w:after="93" w:afterLines="30"/>
              <w:ind w:firstLine="0" w:firstLineChars="0"/>
              <w:jc w:val="center"/>
              <w:rPr>
                <w:color w:val="auto"/>
                <w:highlight w:val="none"/>
              </w:rPr>
            </w:pPr>
          </w:p>
        </w:tc>
      </w:tr>
      <w:tr w14:paraId="11FA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7BE90F55">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936" w:type="dxa"/>
            <w:vAlign w:val="center"/>
          </w:tcPr>
          <w:p w14:paraId="36FE272A">
            <w:pPr>
              <w:snapToGrid w:val="0"/>
              <w:spacing w:before="93" w:beforeLines="30" w:after="93" w:afterLines="30"/>
              <w:ind w:firstLine="0" w:firstLineChars="0"/>
              <w:jc w:val="center"/>
              <w:rPr>
                <w:color w:val="auto"/>
                <w:highlight w:val="none"/>
              </w:rPr>
            </w:pPr>
          </w:p>
        </w:tc>
        <w:tc>
          <w:tcPr>
            <w:tcW w:w="875" w:type="dxa"/>
            <w:vAlign w:val="center"/>
          </w:tcPr>
          <w:p w14:paraId="4F3156B1">
            <w:pPr>
              <w:snapToGrid w:val="0"/>
              <w:spacing w:before="93" w:beforeLines="30" w:after="93" w:afterLines="30"/>
              <w:ind w:firstLine="0" w:firstLineChars="0"/>
              <w:jc w:val="center"/>
              <w:rPr>
                <w:color w:val="auto"/>
                <w:highlight w:val="none"/>
              </w:rPr>
            </w:pPr>
          </w:p>
        </w:tc>
        <w:tc>
          <w:tcPr>
            <w:tcW w:w="823" w:type="dxa"/>
            <w:vAlign w:val="center"/>
          </w:tcPr>
          <w:p w14:paraId="32D79560">
            <w:pPr>
              <w:snapToGrid w:val="0"/>
              <w:spacing w:before="93" w:beforeLines="30" w:after="93" w:afterLines="30"/>
              <w:ind w:firstLine="0" w:firstLineChars="0"/>
              <w:jc w:val="center"/>
              <w:rPr>
                <w:color w:val="auto"/>
                <w:highlight w:val="none"/>
              </w:rPr>
            </w:pPr>
          </w:p>
        </w:tc>
        <w:tc>
          <w:tcPr>
            <w:tcW w:w="1864" w:type="dxa"/>
            <w:vAlign w:val="center"/>
          </w:tcPr>
          <w:p w14:paraId="138A4BE2">
            <w:pPr>
              <w:snapToGrid w:val="0"/>
              <w:spacing w:before="93" w:beforeLines="30" w:after="93" w:afterLines="30"/>
              <w:ind w:firstLine="0" w:firstLineChars="0"/>
              <w:jc w:val="center"/>
              <w:rPr>
                <w:color w:val="auto"/>
                <w:highlight w:val="none"/>
              </w:rPr>
            </w:pPr>
          </w:p>
        </w:tc>
        <w:tc>
          <w:tcPr>
            <w:tcW w:w="2228" w:type="dxa"/>
            <w:vAlign w:val="center"/>
          </w:tcPr>
          <w:p w14:paraId="3B8DE5EF">
            <w:pPr>
              <w:snapToGrid w:val="0"/>
              <w:spacing w:before="93" w:beforeLines="30" w:after="93" w:afterLines="30"/>
              <w:ind w:firstLine="0" w:firstLineChars="0"/>
              <w:jc w:val="center"/>
              <w:rPr>
                <w:color w:val="auto"/>
                <w:highlight w:val="none"/>
              </w:rPr>
            </w:pPr>
          </w:p>
        </w:tc>
        <w:tc>
          <w:tcPr>
            <w:tcW w:w="1860" w:type="dxa"/>
            <w:vAlign w:val="center"/>
          </w:tcPr>
          <w:p w14:paraId="4DBACA94">
            <w:pPr>
              <w:snapToGrid w:val="0"/>
              <w:spacing w:before="93" w:beforeLines="30" w:after="93" w:afterLines="30"/>
              <w:ind w:firstLine="0" w:firstLineChars="0"/>
              <w:jc w:val="center"/>
              <w:rPr>
                <w:color w:val="auto"/>
                <w:highlight w:val="none"/>
              </w:rPr>
            </w:pPr>
          </w:p>
        </w:tc>
      </w:tr>
      <w:tr w14:paraId="3575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50D73847">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5</w:t>
            </w:r>
          </w:p>
        </w:tc>
        <w:tc>
          <w:tcPr>
            <w:tcW w:w="936" w:type="dxa"/>
            <w:vAlign w:val="center"/>
          </w:tcPr>
          <w:p w14:paraId="6B96E7B0">
            <w:pPr>
              <w:snapToGrid w:val="0"/>
              <w:spacing w:before="93" w:beforeLines="30" w:after="93" w:afterLines="30"/>
              <w:ind w:firstLine="0" w:firstLineChars="0"/>
              <w:jc w:val="center"/>
              <w:rPr>
                <w:color w:val="auto"/>
                <w:highlight w:val="none"/>
              </w:rPr>
            </w:pPr>
          </w:p>
        </w:tc>
        <w:tc>
          <w:tcPr>
            <w:tcW w:w="875" w:type="dxa"/>
            <w:vAlign w:val="center"/>
          </w:tcPr>
          <w:p w14:paraId="17433A5C">
            <w:pPr>
              <w:snapToGrid w:val="0"/>
              <w:spacing w:before="93" w:beforeLines="30" w:after="93" w:afterLines="30"/>
              <w:ind w:firstLine="0" w:firstLineChars="0"/>
              <w:jc w:val="center"/>
              <w:rPr>
                <w:color w:val="auto"/>
                <w:highlight w:val="none"/>
              </w:rPr>
            </w:pPr>
          </w:p>
        </w:tc>
        <w:tc>
          <w:tcPr>
            <w:tcW w:w="823" w:type="dxa"/>
            <w:vAlign w:val="center"/>
          </w:tcPr>
          <w:p w14:paraId="092292CC">
            <w:pPr>
              <w:snapToGrid w:val="0"/>
              <w:spacing w:before="93" w:beforeLines="30" w:after="93" w:afterLines="30"/>
              <w:ind w:firstLine="0" w:firstLineChars="0"/>
              <w:jc w:val="center"/>
              <w:rPr>
                <w:color w:val="auto"/>
                <w:highlight w:val="none"/>
              </w:rPr>
            </w:pPr>
          </w:p>
        </w:tc>
        <w:tc>
          <w:tcPr>
            <w:tcW w:w="1864" w:type="dxa"/>
            <w:vAlign w:val="center"/>
          </w:tcPr>
          <w:p w14:paraId="0E665881">
            <w:pPr>
              <w:snapToGrid w:val="0"/>
              <w:spacing w:before="93" w:beforeLines="30" w:after="93" w:afterLines="30"/>
              <w:ind w:firstLine="0" w:firstLineChars="0"/>
              <w:jc w:val="center"/>
              <w:rPr>
                <w:color w:val="auto"/>
                <w:highlight w:val="none"/>
              </w:rPr>
            </w:pPr>
          </w:p>
        </w:tc>
        <w:tc>
          <w:tcPr>
            <w:tcW w:w="2228" w:type="dxa"/>
            <w:vAlign w:val="center"/>
          </w:tcPr>
          <w:p w14:paraId="075E0FC7">
            <w:pPr>
              <w:snapToGrid w:val="0"/>
              <w:spacing w:before="93" w:beforeLines="30" w:after="93" w:afterLines="30"/>
              <w:ind w:firstLine="0" w:firstLineChars="0"/>
              <w:jc w:val="center"/>
              <w:rPr>
                <w:color w:val="auto"/>
                <w:highlight w:val="none"/>
              </w:rPr>
            </w:pPr>
          </w:p>
        </w:tc>
        <w:tc>
          <w:tcPr>
            <w:tcW w:w="1860" w:type="dxa"/>
            <w:vAlign w:val="center"/>
          </w:tcPr>
          <w:p w14:paraId="3E9000A3">
            <w:pPr>
              <w:snapToGrid w:val="0"/>
              <w:spacing w:before="93" w:beforeLines="30" w:after="93" w:afterLines="30"/>
              <w:ind w:firstLine="0" w:firstLineChars="0"/>
              <w:jc w:val="center"/>
              <w:rPr>
                <w:color w:val="auto"/>
                <w:highlight w:val="none"/>
              </w:rPr>
            </w:pPr>
          </w:p>
        </w:tc>
      </w:tr>
      <w:tr w14:paraId="54E3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6E64BF11">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6</w:t>
            </w:r>
          </w:p>
        </w:tc>
        <w:tc>
          <w:tcPr>
            <w:tcW w:w="936" w:type="dxa"/>
            <w:vAlign w:val="center"/>
          </w:tcPr>
          <w:p w14:paraId="2A02E4BD">
            <w:pPr>
              <w:snapToGrid w:val="0"/>
              <w:spacing w:before="93" w:beforeLines="30" w:after="93" w:afterLines="30"/>
              <w:ind w:firstLine="0" w:firstLineChars="0"/>
              <w:jc w:val="center"/>
              <w:rPr>
                <w:color w:val="auto"/>
                <w:highlight w:val="none"/>
              </w:rPr>
            </w:pPr>
          </w:p>
        </w:tc>
        <w:tc>
          <w:tcPr>
            <w:tcW w:w="875" w:type="dxa"/>
            <w:vAlign w:val="center"/>
          </w:tcPr>
          <w:p w14:paraId="4C0E0059">
            <w:pPr>
              <w:snapToGrid w:val="0"/>
              <w:spacing w:before="93" w:beforeLines="30" w:after="93" w:afterLines="30"/>
              <w:ind w:firstLine="0" w:firstLineChars="0"/>
              <w:jc w:val="center"/>
              <w:rPr>
                <w:color w:val="auto"/>
                <w:highlight w:val="none"/>
              </w:rPr>
            </w:pPr>
          </w:p>
        </w:tc>
        <w:tc>
          <w:tcPr>
            <w:tcW w:w="823" w:type="dxa"/>
            <w:vAlign w:val="center"/>
          </w:tcPr>
          <w:p w14:paraId="5030406E">
            <w:pPr>
              <w:snapToGrid w:val="0"/>
              <w:spacing w:before="93" w:beforeLines="30" w:after="93" w:afterLines="30"/>
              <w:ind w:firstLine="0" w:firstLineChars="0"/>
              <w:jc w:val="center"/>
              <w:rPr>
                <w:color w:val="auto"/>
                <w:highlight w:val="none"/>
              </w:rPr>
            </w:pPr>
          </w:p>
        </w:tc>
        <w:tc>
          <w:tcPr>
            <w:tcW w:w="1864" w:type="dxa"/>
            <w:vAlign w:val="center"/>
          </w:tcPr>
          <w:p w14:paraId="66249D97">
            <w:pPr>
              <w:snapToGrid w:val="0"/>
              <w:spacing w:before="93" w:beforeLines="30" w:after="93" w:afterLines="30"/>
              <w:ind w:firstLine="0" w:firstLineChars="0"/>
              <w:jc w:val="center"/>
              <w:rPr>
                <w:color w:val="auto"/>
                <w:highlight w:val="none"/>
              </w:rPr>
            </w:pPr>
          </w:p>
        </w:tc>
        <w:tc>
          <w:tcPr>
            <w:tcW w:w="2228" w:type="dxa"/>
            <w:vAlign w:val="center"/>
          </w:tcPr>
          <w:p w14:paraId="25BE9DB2">
            <w:pPr>
              <w:snapToGrid w:val="0"/>
              <w:spacing w:before="93" w:beforeLines="30" w:after="93" w:afterLines="30"/>
              <w:ind w:firstLine="0" w:firstLineChars="0"/>
              <w:jc w:val="center"/>
              <w:rPr>
                <w:color w:val="auto"/>
                <w:highlight w:val="none"/>
              </w:rPr>
            </w:pPr>
          </w:p>
        </w:tc>
        <w:tc>
          <w:tcPr>
            <w:tcW w:w="1860" w:type="dxa"/>
            <w:vAlign w:val="center"/>
          </w:tcPr>
          <w:p w14:paraId="1CB48876">
            <w:pPr>
              <w:snapToGrid w:val="0"/>
              <w:spacing w:before="93" w:beforeLines="30" w:after="93" w:afterLines="30"/>
              <w:ind w:firstLine="0" w:firstLineChars="0"/>
              <w:jc w:val="center"/>
              <w:rPr>
                <w:color w:val="auto"/>
                <w:highlight w:val="none"/>
              </w:rPr>
            </w:pPr>
          </w:p>
        </w:tc>
      </w:tr>
      <w:tr w14:paraId="4112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45EF9470">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7</w:t>
            </w:r>
          </w:p>
        </w:tc>
        <w:tc>
          <w:tcPr>
            <w:tcW w:w="936" w:type="dxa"/>
            <w:vAlign w:val="center"/>
          </w:tcPr>
          <w:p w14:paraId="131E5E10">
            <w:pPr>
              <w:snapToGrid w:val="0"/>
              <w:spacing w:before="93" w:beforeLines="30" w:after="93" w:afterLines="30"/>
              <w:ind w:firstLine="0" w:firstLineChars="0"/>
              <w:jc w:val="center"/>
              <w:rPr>
                <w:color w:val="auto"/>
                <w:highlight w:val="none"/>
              </w:rPr>
            </w:pPr>
          </w:p>
        </w:tc>
        <w:tc>
          <w:tcPr>
            <w:tcW w:w="875" w:type="dxa"/>
            <w:vAlign w:val="center"/>
          </w:tcPr>
          <w:p w14:paraId="0F0B4955">
            <w:pPr>
              <w:snapToGrid w:val="0"/>
              <w:spacing w:before="93" w:beforeLines="30" w:after="93" w:afterLines="30"/>
              <w:ind w:firstLine="0" w:firstLineChars="0"/>
              <w:jc w:val="center"/>
              <w:rPr>
                <w:color w:val="auto"/>
                <w:highlight w:val="none"/>
              </w:rPr>
            </w:pPr>
          </w:p>
        </w:tc>
        <w:tc>
          <w:tcPr>
            <w:tcW w:w="823" w:type="dxa"/>
            <w:vAlign w:val="center"/>
          </w:tcPr>
          <w:p w14:paraId="3F08FA3A">
            <w:pPr>
              <w:snapToGrid w:val="0"/>
              <w:spacing w:before="93" w:beforeLines="30" w:after="93" w:afterLines="30"/>
              <w:ind w:firstLine="0" w:firstLineChars="0"/>
              <w:jc w:val="center"/>
              <w:rPr>
                <w:color w:val="auto"/>
                <w:highlight w:val="none"/>
              </w:rPr>
            </w:pPr>
          </w:p>
        </w:tc>
        <w:tc>
          <w:tcPr>
            <w:tcW w:w="1864" w:type="dxa"/>
            <w:vAlign w:val="center"/>
          </w:tcPr>
          <w:p w14:paraId="56744D53">
            <w:pPr>
              <w:snapToGrid w:val="0"/>
              <w:spacing w:before="93" w:beforeLines="30" w:after="93" w:afterLines="30"/>
              <w:ind w:firstLine="0" w:firstLineChars="0"/>
              <w:jc w:val="center"/>
              <w:rPr>
                <w:color w:val="auto"/>
                <w:highlight w:val="none"/>
              </w:rPr>
            </w:pPr>
          </w:p>
        </w:tc>
        <w:tc>
          <w:tcPr>
            <w:tcW w:w="2228" w:type="dxa"/>
            <w:vAlign w:val="center"/>
          </w:tcPr>
          <w:p w14:paraId="46C74337">
            <w:pPr>
              <w:snapToGrid w:val="0"/>
              <w:spacing w:before="93" w:beforeLines="30" w:after="93" w:afterLines="30"/>
              <w:ind w:firstLine="0" w:firstLineChars="0"/>
              <w:jc w:val="center"/>
              <w:rPr>
                <w:color w:val="auto"/>
                <w:highlight w:val="none"/>
              </w:rPr>
            </w:pPr>
          </w:p>
        </w:tc>
        <w:tc>
          <w:tcPr>
            <w:tcW w:w="1860" w:type="dxa"/>
            <w:vAlign w:val="center"/>
          </w:tcPr>
          <w:p w14:paraId="656A7B8E">
            <w:pPr>
              <w:snapToGrid w:val="0"/>
              <w:spacing w:before="93" w:beforeLines="30" w:after="93" w:afterLines="30"/>
              <w:ind w:firstLine="0" w:firstLineChars="0"/>
              <w:jc w:val="center"/>
              <w:rPr>
                <w:color w:val="auto"/>
                <w:highlight w:val="none"/>
              </w:rPr>
            </w:pPr>
          </w:p>
        </w:tc>
      </w:tr>
      <w:tr w14:paraId="575E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0DA6EB2C">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8</w:t>
            </w:r>
          </w:p>
        </w:tc>
        <w:tc>
          <w:tcPr>
            <w:tcW w:w="936" w:type="dxa"/>
            <w:vAlign w:val="center"/>
          </w:tcPr>
          <w:p w14:paraId="5798B82C">
            <w:pPr>
              <w:snapToGrid w:val="0"/>
              <w:spacing w:before="93" w:beforeLines="30" w:after="93" w:afterLines="30"/>
              <w:ind w:firstLine="0" w:firstLineChars="0"/>
              <w:jc w:val="center"/>
              <w:rPr>
                <w:color w:val="auto"/>
                <w:highlight w:val="none"/>
              </w:rPr>
            </w:pPr>
          </w:p>
        </w:tc>
        <w:tc>
          <w:tcPr>
            <w:tcW w:w="875" w:type="dxa"/>
            <w:vAlign w:val="center"/>
          </w:tcPr>
          <w:p w14:paraId="18DE4AE0">
            <w:pPr>
              <w:snapToGrid w:val="0"/>
              <w:spacing w:before="93" w:beforeLines="30" w:after="93" w:afterLines="30"/>
              <w:ind w:firstLine="0" w:firstLineChars="0"/>
              <w:jc w:val="center"/>
              <w:rPr>
                <w:color w:val="auto"/>
                <w:highlight w:val="none"/>
              </w:rPr>
            </w:pPr>
          </w:p>
        </w:tc>
        <w:tc>
          <w:tcPr>
            <w:tcW w:w="823" w:type="dxa"/>
            <w:vAlign w:val="center"/>
          </w:tcPr>
          <w:p w14:paraId="22EB3384">
            <w:pPr>
              <w:snapToGrid w:val="0"/>
              <w:spacing w:before="93" w:beforeLines="30" w:after="93" w:afterLines="30"/>
              <w:ind w:firstLine="0" w:firstLineChars="0"/>
              <w:jc w:val="center"/>
              <w:rPr>
                <w:color w:val="auto"/>
                <w:highlight w:val="none"/>
              </w:rPr>
            </w:pPr>
          </w:p>
        </w:tc>
        <w:tc>
          <w:tcPr>
            <w:tcW w:w="1864" w:type="dxa"/>
            <w:vAlign w:val="center"/>
          </w:tcPr>
          <w:p w14:paraId="34241503">
            <w:pPr>
              <w:snapToGrid w:val="0"/>
              <w:spacing w:before="93" w:beforeLines="30" w:after="93" w:afterLines="30"/>
              <w:ind w:firstLine="0" w:firstLineChars="0"/>
              <w:jc w:val="center"/>
              <w:rPr>
                <w:color w:val="auto"/>
                <w:highlight w:val="none"/>
              </w:rPr>
            </w:pPr>
          </w:p>
        </w:tc>
        <w:tc>
          <w:tcPr>
            <w:tcW w:w="2228" w:type="dxa"/>
            <w:vAlign w:val="center"/>
          </w:tcPr>
          <w:p w14:paraId="6746E78F">
            <w:pPr>
              <w:snapToGrid w:val="0"/>
              <w:spacing w:before="93" w:beforeLines="30" w:after="93" w:afterLines="30"/>
              <w:ind w:firstLine="0" w:firstLineChars="0"/>
              <w:jc w:val="center"/>
              <w:rPr>
                <w:color w:val="auto"/>
                <w:highlight w:val="none"/>
              </w:rPr>
            </w:pPr>
          </w:p>
        </w:tc>
        <w:tc>
          <w:tcPr>
            <w:tcW w:w="1860" w:type="dxa"/>
            <w:vAlign w:val="center"/>
          </w:tcPr>
          <w:p w14:paraId="262E4021">
            <w:pPr>
              <w:snapToGrid w:val="0"/>
              <w:spacing w:before="93" w:beforeLines="30" w:after="93" w:afterLines="30"/>
              <w:ind w:firstLine="0" w:firstLineChars="0"/>
              <w:jc w:val="center"/>
              <w:rPr>
                <w:color w:val="auto"/>
                <w:highlight w:val="none"/>
              </w:rPr>
            </w:pPr>
          </w:p>
        </w:tc>
      </w:tr>
      <w:tr w14:paraId="00A3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6F453003">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9</w:t>
            </w:r>
          </w:p>
        </w:tc>
        <w:tc>
          <w:tcPr>
            <w:tcW w:w="936" w:type="dxa"/>
            <w:vAlign w:val="center"/>
          </w:tcPr>
          <w:p w14:paraId="4C4FCDA3">
            <w:pPr>
              <w:snapToGrid w:val="0"/>
              <w:spacing w:before="93" w:beforeLines="30" w:after="93" w:afterLines="30"/>
              <w:ind w:firstLine="0" w:firstLineChars="0"/>
              <w:jc w:val="center"/>
              <w:rPr>
                <w:color w:val="auto"/>
                <w:highlight w:val="none"/>
              </w:rPr>
            </w:pPr>
          </w:p>
        </w:tc>
        <w:tc>
          <w:tcPr>
            <w:tcW w:w="875" w:type="dxa"/>
            <w:vAlign w:val="center"/>
          </w:tcPr>
          <w:p w14:paraId="2C90CB72">
            <w:pPr>
              <w:snapToGrid w:val="0"/>
              <w:spacing w:before="93" w:beforeLines="30" w:after="93" w:afterLines="30"/>
              <w:ind w:firstLine="0" w:firstLineChars="0"/>
              <w:jc w:val="center"/>
              <w:rPr>
                <w:color w:val="auto"/>
                <w:highlight w:val="none"/>
              </w:rPr>
            </w:pPr>
          </w:p>
        </w:tc>
        <w:tc>
          <w:tcPr>
            <w:tcW w:w="823" w:type="dxa"/>
            <w:vAlign w:val="center"/>
          </w:tcPr>
          <w:p w14:paraId="49D9971A">
            <w:pPr>
              <w:snapToGrid w:val="0"/>
              <w:spacing w:before="93" w:beforeLines="30" w:after="93" w:afterLines="30"/>
              <w:ind w:firstLine="0" w:firstLineChars="0"/>
              <w:jc w:val="center"/>
              <w:rPr>
                <w:color w:val="auto"/>
                <w:highlight w:val="none"/>
              </w:rPr>
            </w:pPr>
          </w:p>
        </w:tc>
        <w:tc>
          <w:tcPr>
            <w:tcW w:w="1864" w:type="dxa"/>
            <w:vAlign w:val="center"/>
          </w:tcPr>
          <w:p w14:paraId="3B868D3F">
            <w:pPr>
              <w:snapToGrid w:val="0"/>
              <w:spacing w:before="93" w:beforeLines="30" w:after="93" w:afterLines="30"/>
              <w:ind w:firstLine="0" w:firstLineChars="0"/>
              <w:jc w:val="center"/>
              <w:rPr>
                <w:color w:val="auto"/>
                <w:highlight w:val="none"/>
              </w:rPr>
            </w:pPr>
          </w:p>
        </w:tc>
        <w:tc>
          <w:tcPr>
            <w:tcW w:w="2228" w:type="dxa"/>
            <w:vAlign w:val="center"/>
          </w:tcPr>
          <w:p w14:paraId="33E58AB2">
            <w:pPr>
              <w:snapToGrid w:val="0"/>
              <w:spacing w:before="93" w:beforeLines="30" w:after="93" w:afterLines="30"/>
              <w:ind w:firstLine="0" w:firstLineChars="0"/>
              <w:jc w:val="center"/>
              <w:rPr>
                <w:color w:val="auto"/>
                <w:highlight w:val="none"/>
              </w:rPr>
            </w:pPr>
          </w:p>
        </w:tc>
        <w:tc>
          <w:tcPr>
            <w:tcW w:w="1860" w:type="dxa"/>
            <w:vAlign w:val="center"/>
          </w:tcPr>
          <w:p w14:paraId="08069C38">
            <w:pPr>
              <w:snapToGrid w:val="0"/>
              <w:spacing w:before="93" w:beforeLines="30" w:after="93" w:afterLines="30"/>
              <w:ind w:firstLine="0" w:firstLineChars="0"/>
              <w:jc w:val="center"/>
              <w:rPr>
                <w:color w:val="auto"/>
                <w:highlight w:val="none"/>
              </w:rPr>
            </w:pPr>
          </w:p>
        </w:tc>
      </w:tr>
      <w:tr w14:paraId="5539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96" w:type="dxa"/>
            <w:vAlign w:val="center"/>
          </w:tcPr>
          <w:p w14:paraId="25994118">
            <w:pPr>
              <w:snapToGrid w:val="0"/>
              <w:spacing w:before="93" w:beforeLines="30" w:after="93" w:afterLines="30"/>
              <w:ind w:firstLine="0" w:firstLineChars="0"/>
              <w:jc w:val="center"/>
              <w:rPr>
                <w:rFonts w:hint="eastAsia" w:ascii="宋体" w:hAnsi="宋体" w:cs="宋体"/>
                <w:color w:val="auto"/>
                <w:highlight w:val="none"/>
              </w:rPr>
            </w:pPr>
            <w:r>
              <w:rPr>
                <w:rFonts w:hint="eastAsia" w:ascii="宋体" w:hAnsi="宋体" w:cs="宋体"/>
                <w:color w:val="auto"/>
                <w:highlight w:val="none"/>
              </w:rPr>
              <w:t>……</w:t>
            </w:r>
          </w:p>
        </w:tc>
        <w:tc>
          <w:tcPr>
            <w:tcW w:w="936" w:type="dxa"/>
            <w:vAlign w:val="center"/>
          </w:tcPr>
          <w:p w14:paraId="0362ECDF">
            <w:pPr>
              <w:snapToGrid w:val="0"/>
              <w:spacing w:before="93" w:beforeLines="30" w:after="93" w:afterLines="30"/>
              <w:ind w:firstLine="0" w:firstLineChars="0"/>
              <w:jc w:val="center"/>
              <w:rPr>
                <w:color w:val="auto"/>
                <w:highlight w:val="none"/>
              </w:rPr>
            </w:pPr>
          </w:p>
        </w:tc>
        <w:tc>
          <w:tcPr>
            <w:tcW w:w="875" w:type="dxa"/>
            <w:vAlign w:val="center"/>
          </w:tcPr>
          <w:p w14:paraId="0525DA01">
            <w:pPr>
              <w:snapToGrid w:val="0"/>
              <w:spacing w:before="93" w:beforeLines="30" w:after="93" w:afterLines="30"/>
              <w:ind w:firstLine="0" w:firstLineChars="0"/>
              <w:jc w:val="center"/>
              <w:rPr>
                <w:color w:val="auto"/>
                <w:highlight w:val="none"/>
              </w:rPr>
            </w:pPr>
          </w:p>
        </w:tc>
        <w:tc>
          <w:tcPr>
            <w:tcW w:w="823" w:type="dxa"/>
            <w:vAlign w:val="center"/>
          </w:tcPr>
          <w:p w14:paraId="18290FED">
            <w:pPr>
              <w:snapToGrid w:val="0"/>
              <w:spacing w:before="93" w:beforeLines="30" w:after="93" w:afterLines="30"/>
              <w:ind w:firstLine="0" w:firstLineChars="0"/>
              <w:jc w:val="center"/>
              <w:rPr>
                <w:color w:val="auto"/>
                <w:highlight w:val="none"/>
              </w:rPr>
            </w:pPr>
          </w:p>
        </w:tc>
        <w:tc>
          <w:tcPr>
            <w:tcW w:w="1864" w:type="dxa"/>
            <w:vAlign w:val="center"/>
          </w:tcPr>
          <w:p w14:paraId="7A54B1BA">
            <w:pPr>
              <w:snapToGrid w:val="0"/>
              <w:spacing w:before="93" w:beforeLines="30" w:after="93" w:afterLines="30"/>
              <w:ind w:firstLine="0" w:firstLineChars="0"/>
              <w:jc w:val="center"/>
              <w:rPr>
                <w:color w:val="auto"/>
                <w:highlight w:val="none"/>
              </w:rPr>
            </w:pPr>
          </w:p>
        </w:tc>
        <w:tc>
          <w:tcPr>
            <w:tcW w:w="2228" w:type="dxa"/>
            <w:vAlign w:val="center"/>
          </w:tcPr>
          <w:p w14:paraId="1E331EBA">
            <w:pPr>
              <w:snapToGrid w:val="0"/>
              <w:spacing w:before="93" w:beforeLines="30" w:after="93" w:afterLines="30"/>
              <w:ind w:firstLine="0" w:firstLineChars="0"/>
              <w:jc w:val="center"/>
              <w:rPr>
                <w:color w:val="auto"/>
                <w:highlight w:val="none"/>
              </w:rPr>
            </w:pPr>
          </w:p>
        </w:tc>
        <w:tc>
          <w:tcPr>
            <w:tcW w:w="1860" w:type="dxa"/>
            <w:vAlign w:val="center"/>
          </w:tcPr>
          <w:p w14:paraId="2A2E81E4">
            <w:pPr>
              <w:snapToGrid w:val="0"/>
              <w:spacing w:before="93" w:beforeLines="30" w:after="93" w:afterLines="30"/>
              <w:ind w:firstLine="0" w:firstLineChars="0"/>
              <w:jc w:val="center"/>
              <w:rPr>
                <w:color w:val="auto"/>
                <w:highlight w:val="none"/>
              </w:rPr>
            </w:pPr>
          </w:p>
        </w:tc>
      </w:tr>
    </w:tbl>
    <w:p w14:paraId="24184265">
      <w:pPr>
        <w:adjustRightInd w:val="0"/>
        <w:snapToGrid w:val="0"/>
        <w:spacing w:before="156" w:beforeLines="50" w:line="312" w:lineRule="auto"/>
        <w:ind w:firstLine="480"/>
        <w:rPr>
          <w:color w:val="auto"/>
          <w:highlight w:val="none"/>
        </w:rPr>
      </w:pPr>
      <w:r>
        <w:rPr>
          <w:rFonts w:hint="eastAsia"/>
          <w:color w:val="auto"/>
          <w:highlight w:val="none"/>
          <w:lang w:val="zh-CN"/>
        </w:rPr>
        <w:t>注</w:t>
      </w:r>
      <w:r>
        <w:rPr>
          <w:rFonts w:hint="eastAsia"/>
          <w:color w:val="auto"/>
          <w:highlight w:val="none"/>
        </w:rPr>
        <w:t>：</w:t>
      </w:r>
      <w:r>
        <w:rPr>
          <w:rFonts w:hint="eastAsia"/>
          <w:color w:val="auto"/>
          <w:highlight w:val="none"/>
          <w:lang w:val="zh-CN"/>
        </w:rPr>
        <w:t>提供证明材料原件扫描件附后。</w:t>
      </w:r>
    </w:p>
    <w:p w14:paraId="51B7F0C3">
      <w:pPr>
        <w:pStyle w:val="34"/>
        <w:widowControl w:val="0"/>
        <w:spacing w:before="0" w:beforeAutospacing="0" w:after="0" w:afterAutospacing="0"/>
        <w:ind w:firstLine="0" w:firstLineChars="0"/>
        <w:rPr>
          <w:rFonts w:hint="eastAsia" w:cs="宋体"/>
          <w:b/>
          <w:bCs/>
          <w:color w:val="auto"/>
          <w:kern w:val="2"/>
          <w:highlight w:val="none"/>
        </w:rPr>
      </w:pPr>
      <w:r>
        <w:rPr>
          <w:rFonts w:hint="eastAsia" w:cs="宋体"/>
          <w:b/>
          <w:bCs/>
          <w:color w:val="auto"/>
          <w:kern w:val="2"/>
          <w:highlight w:val="none"/>
          <w:lang w:bidi="ar"/>
        </w:rPr>
        <w:t xml:space="preserve"> </w:t>
      </w:r>
    </w:p>
    <w:p w14:paraId="189C3B0A">
      <w:pPr>
        <w:pStyle w:val="34"/>
        <w:widowControl w:val="0"/>
        <w:spacing w:before="0" w:beforeAutospacing="0" w:after="0" w:afterAutospacing="0" w:line="300" w:lineRule="auto"/>
        <w:ind w:firstLine="480"/>
        <w:jc w:val="both"/>
        <w:rPr>
          <w:rFonts w:hint="eastAsia" w:cs="宋体"/>
          <w:color w:val="auto"/>
          <w:highlight w:val="none"/>
        </w:rPr>
      </w:pPr>
      <w:r>
        <w:rPr>
          <w:rFonts w:hint="eastAsia" w:cs="宋体"/>
          <w:color w:val="auto"/>
          <w:kern w:val="2"/>
          <w:highlight w:val="none"/>
          <w:lang w:bidi="ar"/>
        </w:rPr>
        <w:t xml:space="preserve"> </w:t>
      </w:r>
    </w:p>
    <w:p w14:paraId="3C91AC13">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3B832CA5">
      <w:pPr>
        <w:adjustRightInd w:val="0"/>
        <w:snapToGrid w:val="0"/>
        <w:spacing w:line="360" w:lineRule="auto"/>
        <w:ind w:firstLine="4080" w:firstLineChars="1700"/>
        <w:textAlignment w:val="baseline"/>
        <w:rPr>
          <w:rFonts w:hint="eastAsia" w:ascii="宋体" w:hAnsi="宋体" w:cs="宋体"/>
          <w:color w:val="auto"/>
          <w:highlight w:val="none"/>
        </w:rPr>
      </w:pPr>
      <w:r>
        <w:rPr>
          <w:rFonts w:hint="eastAsia" w:ascii="宋体" w:hAnsi="宋体" w:cs="宋体"/>
          <w:color w:val="auto"/>
          <w:highlight w:val="none"/>
          <w:lang w:bidi="ar"/>
        </w:rPr>
        <w:t>法定代表人或授权代理人（签字或盖章）：</w:t>
      </w:r>
    </w:p>
    <w:p w14:paraId="32548451">
      <w:pPr>
        <w:widowControl/>
        <w:adjustRightInd w:val="0"/>
        <w:snapToGrid w:val="0"/>
        <w:spacing w:line="360" w:lineRule="auto"/>
        <w:ind w:firstLine="4080" w:firstLineChars="1700"/>
        <w:rPr>
          <w:rFonts w:hint="eastAsia" w:ascii="华文中宋" w:hAnsi="华文中宋" w:eastAsia="华文中宋" w:cs="微软雅黑"/>
          <w:color w:val="auto"/>
          <w:highlight w:val="none"/>
        </w:rPr>
        <w:sectPr>
          <w:footerReference r:id="rId14" w:type="default"/>
          <w:pgSz w:w="11906" w:h="16838"/>
          <w:pgMar w:top="1423" w:right="1080" w:bottom="1423"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r>
        <w:rPr>
          <w:rFonts w:hint="eastAsia" w:ascii="宋体" w:hAnsi="宋体" w:cs="宋体"/>
          <w:color w:val="auto"/>
          <w:highlight w:val="none"/>
          <w:lang w:bidi="ar"/>
        </w:rPr>
        <w:t>日期：    年   月   日</w:t>
      </w:r>
    </w:p>
    <w:p w14:paraId="6F64F11D">
      <w:pPr>
        <w:ind w:firstLine="0" w:firstLineChars="0"/>
        <w:outlineLvl w:val="1"/>
        <w:rPr>
          <w:rFonts w:hint="eastAsia" w:ascii="宋体" w:hAnsi="宋体" w:cs="宋体"/>
          <w:b/>
          <w:bCs/>
          <w:color w:val="auto"/>
          <w:highlight w:val="none"/>
        </w:rPr>
      </w:pPr>
      <w:r>
        <w:rPr>
          <w:rFonts w:hint="eastAsia" w:ascii="宋体" w:hAnsi="宋体" w:cs="宋体"/>
          <w:b/>
          <w:bCs/>
          <w:color w:val="auto"/>
          <w:highlight w:val="none"/>
          <w:lang w:bidi="ar"/>
        </w:rPr>
        <w:t>附件10</w:t>
      </w:r>
    </w:p>
    <w:p w14:paraId="0E82CFA3">
      <w:pPr>
        <w:snapToGrid w:val="0"/>
        <w:spacing w:before="50" w:line="400" w:lineRule="exact"/>
        <w:ind w:firstLine="0" w:firstLineChars="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bidi="ar"/>
        </w:rPr>
        <w:t>商务响应表</w:t>
      </w:r>
    </w:p>
    <w:p w14:paraId="4B645B7C">
      <w:pPr>
        <w:pStyle w:val="4"/>
        <w:keepNext w:val="0"/>
        <w:keepLines w:val="0"/>
        <w:spacing w:before="156" w:after="156"/>
        <w:ind w:firstLine="480" w:firstLineChars="200"/>
        <w:jc w:val="both"/>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项目名称：</w:t>
      </w:r>
    </w:p>
    <w:p w14:paraId="64167185">
      <w:pPr>
        <w:pStyle w:val="34"/>
        <w:widowControl w:val="0"/>
        <w:spacing w:before="156" w:beforeLines="50" w:beforeAutospacing="0" w:after="156" w:afterLines="50" w:afterAutospacing="0"/>
        <w:ind w:firstLine="480"/>
        <w:jc w:val="both"/>
        <w:outlineLvl w:val="1"/>
        <w:rPr>
          <w:rFonts w:hint="eastAsia" w:ascii="华文中宋" w:hAnsi="华文中宋" w:eastAsia="华文中宋" w:cs="华文中宋"/>
          <w:b/>
          <w:color w:val="auto"/>
          <w:kern w:val="2"/>
          <w:sz w:val="28"/>
          <w:szCs w:val="28"/>
          <w:highlight w:val="none"/>
        </w:rPr>
      </w:pPr>
      <w:r>
        <w:rPr>
          <w:rFonts w:hint="eastAsia" w:cs="宋体"/>
          <w:color w:val="auto"/>
          <w:kern w:val="2"/>
          <w:highlight w:val="none"/>
          <w:lang w:bidi="ar"/>
        </w:rPr>
        <w:t>项目编号：</w:t>
      </w:r>
    </w:p>
    <w:tbl>
      <w:tblPr>
        <w:tblStyle w:val="39"/>
        <w:tblW w:w="954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666"/>
        <w:gridCol w:w="5244"/>
        <w:gridCol w:w="2630"/>
      </w:tblGrid>
      <w:tr w14:paraId="138C9A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4C0DF47A">
            <w:pPr>
              <w:snapToGrid w:val="0"/>
              <w:spacing w:before="156" w:beforeLines="50"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项目内容</w:t>
            </w:r>
          </w:p>
        </w:tc>
        <w:tc>
          <w:tcPr>
            <w:tcW w:w="5244" w:type="dxa"/>
            <w:tcBorders>
              <w:top w:val="single" w:color="auto" w:sz="4" w:space="0"/>
              <w:left w:val="nil"/>
              <w:bottom w:val="single" w:color="auto" w:sz="4" w:space="0"/>
              <w:right w:val="single" w:color="auto" w:sz="4" w:space="0"/>
            </w:tcBorders>
            <w:vAlign w:val="center"/>
          </w:tcPr>
          <w:p w14:paraId="4E68BB25">
            <w:pPr>
              <w:snapToGrid w:val="0"/>
              <w:spacing w:before="156" w:beforeLines="50"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磋商文件要求</w:t>
            </w:r>
          </w:p>
        </w:tc>
        <w:tc>
          <w:tcPr>
            <w:tcW w:w="2630" w:type="dxa"/>
            <w:tcBorders>
              <w:top w:val="single" w:color="auto" w:sz="4" w:space="0"/>
              <w:left w:val="nil"/>
              <w:bottom w:val="single" w:color="auto" w:sz="4" w:space="0"/>
              <w:right w:val="single" w:color="auto" w:sz="4" w:space="0"/>
            </w:tcBorders>
            <w:vAlign w:val="center"/>
          </w:tcPr>
          <w:p w14:paraId="22E05794">
            <w:pPr>
              <w:snapToGrid w:val="0"/>
              <w:spacing w:before="156" w:beforeLines="50"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供应商的承诺或说明</w:t>
            </w:r>
          </w:p>
        </w:tc>
      </w:tr>
      <w:tr w14:paraId="67725B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14021499">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服务期限</w:t>
            </w:r>
          </w:p>
        </w:tc>
        <w:tc>
          <w:tcPr>
            <w:tcW w:w="5244" w:type="dxa"/>
            <w:tcBorders>
              <w:top w:val="single" w:color="auto" w:sz="4" w:space="0"/>
              <w:left w:val="nil"/>
              <w:bottom w:val="single" w:color="auto" w:sz="4" w:space="0"/>
              <w:right w:val="single" w:color="auto" w:sz="4" w:space="0"/>
            </w:tcBorders>
            <w:vAlign w:val="center"/>
          </w:tcPr>
          <w:p w14:paraId="2EDCE9EE">
            <w:pPr>
              <w:ind w:firstLine="480"/>
              <w:rPr>
                <w:rFonts w:hint="eastAsia" w:ascii="宋体" w:hAnsi="宋体" w:cs="宋体"/>
                <w:color w:val="auto"/>
                <w:highlight w:val="none"/>
              </w:rPr>
            </w:pPr>
          </w:p>
        </w:tc>
        <w:tc>
          <w:tcPr>
            <w:tcW w:w="2630" w:type="dxa"/>
            <w:tcBorders>
              <w:top w:val="single" w:color="auto" w:sz="4" w:space="0"/>
              <w:left w:val="nil"/>
              <w:bottom w:val="single" w:color="auto" w:sz="4" w:space="0"/>
              <w:right w:val="single" w:color="auto" w:sz="4" w:space="0"/>
            </w:tcBorders>
            <w:vAlign w:val="center"/>
          </w:tcPr>
          <w:p w14:paraId="6C0719B6">
            <w:pPr>
              <w:snapToGrid w:val="0"/>
              <w:spacing w:before="156" w:beforeLines="50" w:line="400" w:lineRule="exact"/>
              <w:ind w:firstLine="480"/>
              <w:rPr>
                <w:rFonts w:hint="eastAsia" w:ascii="宋体" w:hAnsi="宋体" w:cs="宋体"/>
                <w:color w:val="auto"/>
                <w:highlight w:val="none"/>
              </w:rPr>
            </w:pPr>
          </w:p>
        </w:tc>
      </w:tr>
      <w:tr w14:paraId="752A01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vAlign w:val="center"/>
          </w:tcPr>
          <w:p w14:paraId="292ECA39">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付款方式</w:t>
            </w:r>
          </w:p>
        </w:tc>
        <w:tc>
          <w:tcPr>
            <w:tcW w:w="5244" w:type="dxa"/>
            <w:tcBorders>
              <w:top w:val="single" w:color="auto" w:sz="4" w:space="0"/>
              <w:left w:val="nil"/>
              <w:bottom w:val="single" w:color="auto" w:sz="4" w:space="0"/>
              <w:right w:val="single" w:color="auto" w:sz="4" w:space="0"/>
            </w:tcBorders>
            <w:vAlign w:val="center"/>
          </w:tcPr>
          <w:p w14:paraId="0310C7AD">
            <w:pPr>
              <w:pStyle w:val="34"/>
              <w:widowControl w:val="0"/>
              <w:spacing w:before="120" w:beforeAutospacing="0" w:after="156" w:afterAutospacing="0" w:line="460" w:lineRule="exact"/>
              <w:ind w:left="480" w:leftChars="200" w:firstLine="480"/>
              <w:jc w:val="both"/>
              <w:rPr>
                <w:rFonts w:hint="eastAsia" w:cs="宋体"/>
                <w:color w:val="auto"/>
                <w:kern w:val="2"/>
                <w:highlight w:val="none"/>
              </w:rPr>
            </w:pPr>
          </w:p>
        </w:tc>
        <w:tc>
          <w:tcPr>
            <w:tcW w:w="2630" w:type="dxa"/>
            <w:tcBorders>
              <w:top w:val="single" w:color="auto" w:sz="4" w:space="0"/>
              <w:left w:val="nil"/>
              <w:bottom w:val="single" w:color="auto" w:sz="4" w:space="0"/>
              <w:right w:val="single" w:color="auto" w:sz="4" w:space="0"/>
            </w:tcBorders>
            <w:vAlign w:val="center"/>
          </w:tcPr>
          <w:p w14:paraId="35C8D898">
            <w:pPr>
              <w:snapToGrid w:val="0"/>
              <w:spacing w:before="156" w:beforeLines="50" w:line="400" w:lineRule="exact"/>
              <w:ind w:firstLine="480"/>
              <w:rPr>
                <w:rFonts w:hint="eastAsia" w:ascii="宋体" w:hAnsi="宋体" w:cs="宋体"/>
                <w:color w:val="auto"/>
                <w:highlight w:val="none"/>
              </w:rPr>
            </w:pPr>
          </w:p>
        </w:tc>
      </w:tr>
      <w:tr w14:paraId="57CC70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vAlign w:val="center"/>
          </w:tcPr>
          <w:p w14:paraId="677B4660">
            <w:pPr>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w:t>
            </w:r>
          </w:p>
        </w:tc>
        <w:tc>
          <w:tcPr>
            <w:tcW w:w="5244" w:type="dxa"/>
            <w:tcBorders>
              <w:top w:val="single" w:color="auto" w:sz="4" w:space="0"/>
              <w:left w:val="nil"/>
              <w:bottom w:val="single" w:color="auto" w:sz="4" w:space="0"/>
              <w:right w:val="single" w:color="auto" w:sz="4" w:space="0"/>
            </w:tcBorders>
            <w:vAlign w:val="center"/>
          </w:tcPr>
          <w:p w14:paraId="7F47D1F9">
            <w:pPr>
              <w:pStyle w:val="34"/>
              <w:widowControl w:val="0"/>
              <w:spacing w:before="120" w:beforeAutospacing="0" w:after="156" w:afterAutospacing="0" w:line="460" w:lineRule="exact"/>
              <w:ind w:left="480" w:leftChars="200" w:firstLine="480"/>
              <w:jc w:val="both"/>
              <w:rPr>
                <w:rFonts w:hint="eastAsia" w:cs="宋体"/>
                <w:color w:val="auto"/>
                <w:kern w:val="2"/>
                <w:highlight w:val="none"/>
              </w:rPr>
            </w:pPr>
          </w:p>
        </w:tc>
        <w:tc>
          <w:tcPr>
            <w:tcW w:w="2630" w:type="dxa"/>
            <w:tcBorders>
              <w:top w:val="single" w:color="auto" w:sz="4" w:space="0"/>
              <w:left w:val="nil"/>
              <w:bottom w:val="single" w:color="auto" w:sz="4" w:space="0"/>
              <w:right w:val="single" w:color="auto" w:sz="4" w:space="0"/>
            </w:tcBorders>
            <w:vAlign w:val="center"/>
          </w:tcPr>
          <w:p w14:paraId="014F3C64">
            <w:pPr>
              <w:snapToGrid w:val="0"/>
              <w:spacing w:before="156" w:beforeLines="50" w:line="400" w:lineRule="exact"/>
              <w:ind w:firstLine="480"/>
              <w:rPr>
                <w:rFonts w:hint="eastAsia" w:ascii="宋体" w:hAnsi="宋体" w:cs="宋体"/>
                <w:color w:val="auto"/>
                <w:highlight w:val="none"/>
              </w:rPr>
            </w:pPr>
          </w:p>
        </w:tc>
      </w:tr>
      <w:tr w14:paraId="3D6AAD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vAlign w:val="center"/>
          </w:tcPr>
          <w:p w14:paraId="5901732A">
            <w:pPr>
              <w:ind w:firstLine="0" w:firstLineChars="0"/>
              <w:jc w:val="center"/>
              <w:rPr>
                <w:rFonts w:hint="eastAsia" w:ascii="宋体" w:hAnsi="宋体" w:cs="宋体"/>
                <w:color w:val="auto"/>
                <w:highlight w:val="none"/>
              </w:rPr>
            </w:pPr>
          </w:p>
        </w:tc>
        <w:tc>
          <w:tcPr>
            <w:tcW w:w="5244" w:type="dxa"/>
            <w:tcBorders>
              <w:top w:val="single" w:color="auto" w:sz="4" w:space="0"/>
              <w:left w:val="nil"/>
              <w:bottom w:val="single" w:color="auto" w:sz="4" w:space="0"/>
              <w:right w:val="single" w:color="auto" w:sz="4" w:space="0"/>
            </w:tcBorders>
            <w:vAlign w:val="center"/>
          </w:tcPr>
          <w:p w14:paraId="27AC03B3">
            <w:pPr>
              <w:pStyle w:val="34"/>
              <w:widowControl w:val="0"/>
              <w:spacing w:before="120" w:beforeAutospacing="0" w:after="156" w:afterAutospacing="0" w:line="460" w:lineRule="exact"/>
              <w:ind w:left="480" w:leftChars="200" w:firstLine="480"/>
              <w:jc w:val="both"/>
              <w:rPr>
                <w:rFonts w:hint="eastAsia" w:cs="宋体"/>
                <w:color w:val="auto"/>
                <w:kern w:val="2"/>
                <w:highlight w:val="none"/>
              </w:rPr>
            </w:pPr>
          </w:p>
        </w:tc>
        <w:tc>
          <w:tcPr>
            <w:tcW w:w="2630" w:type="dxa"/>
            <w:tcBorders>
              <w:top w:val="single" w:color="auto" w:sz="4" w:space="0"/>
              <w:left w:val="nil"/>
              <w:bottom w:val="single" w:color="auto" w:sz="4" w:space="0"/>
              <w:right w:val="single" w:color="auto" w:sz="4" w:space="0"/>
            </w:tcBorders>
            <w:vAlign w:val="center"/>
          </w:tcPr>
          <w:p w14:paraId="0D16C405">
            <w:pPr>
              <w:snapToGrid w:val="0"/>
              <w:spacing w:before="156" w:beforeLines="50" w:line="400" w:lineRule="exact"/>
              <w:ind w:firstLine="480"/>
              <w:rPr>
                <w:rFonts w:hint="eastAsia" w:ascii="宋体" w:hAnsi="宋体" w:cs="宋体"/>
                <w:color w:val="auto"/>
                <w:highlight w:val="none"/>
              </w:rPr>
            </w:pPr>
          </w:p>
        </w:tc>
      </w:tr>
      <w:tr w14:paraId="42F6D7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tcPr>
          <w:p w14:paraId="407E0FF6">
            <w:pPr>
              <w:ind w:firstLine="0" w:firstLineChars="0"/>
              <w:jc w:val="center"/>
              <w:rPr>
                <w:rFonts w:hint="eastAsia" w:ascii="宋体" w:hAnsi="宋体" w:cs="宋体"/>
                <w:color w:val="auto"/>
                <w:highlight w:val="none"/>
              </w:rPr>
            </w:pPr>
          </w:p>
        </w:tc>
        <w:tc>
          <w:tcPr>
            <w:tcW w:w="5244" w:type="dxa"/>
            <w:tcBorders>
              <w:top w:val="single" w:color="auto" w:sz="4" w:space="0"/>
              <w:left w:val="nil"/>
              <w:bottom w:val="single" w:color="auto" w:sz="4" w:space="0"/>
              <w:right w:val="single" w:color="auto" w:sz="4" w:space="0"/>
            </w:tcBorders>
            <w:vAlign w:val="center"/>
          </w:tcPr>
          <w:p w14:paraId="3F371F58">
            <w:pPr>
              <w:pStyle w:val="34"/>
              <w:widowControl w:val="0"/>
              <w:spacing w:before="120" w:beforeAutospacing="0" w:after="156" w:afterAutospacing="0" w:line="460" w:lineRule="exact"/>
              <w:ind w:left="480" w:leftChars="200" w:firstLine="480"/>
              <w:jc w:val="both"/>
              <w:rPr>
                <w:rFonts w:hint="eastAsia" w:cs="宋体"/>
                <w:color w:val="auto"/>
                <w:kern w:val="2"/>
                <w:highlight w:val="none"/>
              </w:rPr>
            </w:pPr>
          </w:p>
        </w:tc>
        <w:tc>
          <w:tcPr>
            <w:tcW w:w="2630" w:type="dxa"/>
            <w:tcBorders>
              <w:top w:val="single" w:color="auto" w:sz="4" w:space="0"/>
              <w:left w:val="nil"/>
              <w:bottom w:val="single" w:color="auto" w:sz="4" w:space="0"/>
              <w:right w:val="single" w:color="auto" w:sz="4" w:space="0"/>
            </w:tcBorders>
            <w:vAlign w:val="center"/>
          </w:tcPr>
          <w:p w14:paraId="40BA37AE">
            <w:pPr>
              <w:snapToGrid w:val="0"/>
              <w:spacing w:before="156" w:beforeLines="50" w:line="400" w:lineRule="exact"/>
              <w:ind w:firstLine="480"/>
              <w:rPr>
                <w:rFonts w:hint="eastAsia" w:ascii="宋体" w:hAnsi="宋体" w:cs="宋体"/>
                <w:color w:val="auto"/>
                <w:highlight w:val="none"/>
              </w:rPr>
            </w:pPr>
          </w:p>
        </w:tc>
      </w:tr>
    </w:tbl>
    <w:p w14:paraId="12B0093D">
      <w:pPr>
        <w:pStyle w:val="34"/>
        <w:widowControl w:val="0"/>
        <w:spacing w:before="0" w:beforeAutospacing="0" w:after="0" w:afterAutospacing="0" w:line="300" w:lineRule="auto"/>
        <w:ind w:firstLine="480"/>
        <w:rPr>
          <w:rFonts w:hint="eastAsia" w:cs="宋体"/>
          <w:color w:val="auto"/>
          <w:kern w:val="2"/>
          <w:highlight w:val="none"/>
        </w:rPr>
      </w:pPr>
      <w:r>
        <w:rPr>
          <w:rFonts w:hint="eastAsia" w:cs="宋体"/>
          <w:color w:val="auto"/>
          <w:kern w:val="2"/>
          <w:highlight w:val="none"/>
          <w:lang w:bidi="ar"/>
        </w:rPr>
        <w:t xml:space="preserve"> 注：如不填写，则视为完全响应采购文件要求。</w:t>
      </w:r>
    </w:p>
    <w:p w14:paraId="065F1A78">
      <w:pPr>
        <w:snapToGrid w:val="0"/>
        <w:spacing w:line="480" w:lineRule="exact"/>
        <w:ind w:firstLine="0" w:firstLineChars="0"/>
        <w:jc w:val="left"/>
        <w:rPr>
          <w:rFonts w:hint="eastAsia" w:ascii="宋体" w:hAnsi="宋体" w:cs="宋体"/>
          <w:color w:val="auto"/>
          <w:highlight w:val="none"/>
        </w:rPr>
      </w:pPr>
      <w:r>
        <w:rPr>
          <w:rFonts w:hint="eastAsia" w:ascii="宋体" w:hAnsi="宋体" w:cs="宋体"/>
          <w:color w:val="auto"/>
          <w:highlight w:val="none"/>
          <w:lang w:bidi="ar"/>
        </w:rPr>
        <w:t xml:space="preserve"> </w:t>
      </w:r>
    </w:p>
    <w:p w14:paraId="09870EA4">
      <w:pPr>
        <w:adjustRightInd w:val="0"/>
        <w:snapToGrid w:val="0"/>
        <w:spacing w:line="360" w:lineRule="auto"/>
        <w:ind w:firstLine="4080" w:firstLineChars="1700"/>
        <w:jc w:val="left"/>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1D496107">
      <w:pPr>
        <w:adjustRightInd w:val="0"/>
        <w:snapToGrid w:val="0"/>
        <w:spacing w:line="360" w:lineRule="auto"/>
        <w:ind w:firstLine="4080" w:firstLineChars="1700"/>
        <w:jc w:val="left"/>
        <w:textAlignment w:val="baseline"/>
        <w:rPr>
          <w:rFonts w:hint="eastAsia" w:ascii="宋体" w:hAnsi="宋体" w:cs="宋体"/>
          <w:color w:val="auto"/>
          <w:highlight w:val="none"/>
          <w:u w:val="single"/>
        </w:rPr>
      </w:pPr>
      <w:r>
        <w:rPr>
          <w:rFonts w:hint="eastAsia" w:ascii="宋体" w:hAnsi="宋体" w:cs="宋体"/>
          <w:color w:val="auto"/>
          <w:highlight w:val="none"/>
          <w:lang w:bidi="ar"/>
        </w:rPr>
        <w:t>法定代表人或授权代理人（签字或盖章）：</w:t>
      </w:r>
    </w:p>
    <w:p w14:paraId="231C0CE8">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     年   月   日</w:t>
      </w:r>
    </w:p>
    <w:p w14:paraId="0627DF13">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42A5979F">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65B67FAF">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254D3D02">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1F2A46CD">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33EAEE7B">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56CBAD83">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5ECC69B5">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63002CE7">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18C78631">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3973CB56">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2A4C6B4D">
      <w:pPr>
        <w:spacing w:line="400" w:lineRule="exact"/>
        <w:ind w:firstLine="0" w:firstLineChars="0"/>
        <w:jc w:val="left"/>
        <w:outlineLvl w:val="0"/>
        <w:rPr>
          <w:rFonts w:hint="eastAsia" w:ascii="宋体" w:hAnsi="宋体" w:cs="宋体"/>
          <w:b/>
          <w:color w:val="auto"/>
          <w:highlight w:val="none"/>
        </w:rPr>
      </w:pPr>
      <w:r>
        <w:rPr>
          <w:rFonts w:hint="eastAsia" w:ascii="宋体" w:hAnsi="宋体" w:cs="宋体"/>
          <w:b/>
          <w:color w:val="auto"/>
          <w:highlight w:val="none"/>
          <w:lang w:bidi="ar"/>
        </w:rPr>
        <w:t xml:space="preserve"> </w:t>
      </w:r>
    </w:p>
    <w:p w14:paraId="50BD2045">
      <w:pPr>
        <w:spacing w:line="400" w:lineRule="exact"/>
        <w:ind w:firstLine="0" w:firstLineChars="0"/>
        <w:jc w:val="left"/>
        <w:outlineLvl w:val="0"/>
        <w:rPr>
          <w:rFonts w:hint="eastAsia" w:ascii="宋体" w:hAnsi="宋体" w:cs="宋体"/>
          <w:b/>
          <w:color w:val="auto"/>
          <w:highlight w:val="none"/>
          <w:lang w:bidi="ar"/>
        </w:rPr>
        <w:sectPr>
          <w:headerReference r:id="rId15" w:type="default"/>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p>
    <w:p w14:paraId="028BD2DC">
      <w:pPr>
        <w:snapToGrid w:val="0"/>
        <w:spacing w:before="50" w:line="400" w:lineRule="exact"/>
        <w:ind w:firstLine="0" w:firstLineChars="0"/>
        <w:jc w:val="left"/>
        <w:rPr>
          <w:rFonts w:hint="eastAsia" w:ascii="宋体" w:hAnsi="宋体" w:cs="宋体"/>
          <w:b/>
          <w:bCs/>
          <w:color w:val="auto"/>
          <w:sz w:val="36"/>
          <w:szCs w:val="36"/>
          <w:highlight w:val="none"/>
          <w:lang w:bidi="ar"/>
        </w:rPr>
      </w:pPr>
      <w:r>
        <w:rPr>
          <w:rFonts w:hint="eastAsia" w:ascii="宋体" w:hAnsi="宋体" w:cs="宋体"/>
          <w:b/>
          <w:bCs/>
          <w:color w:val="auto"/>
          <w:sz w:val="36"/>
          <w:szCs w:val="36"/>
          <w:highlight w:val="none"/>
          <w:lang w:bidi="ar"/>
        </w:rPr>
        <w:t>根据评分细则需提供包括但不限于以下内容：</w:t>
      </w:r>
    </w:p>
    <w:p w14:paraId="4924E297">
      <w:pPr>
        <w:pStyle w:val="2"/>
        <w:ind w:firstLine="723"/>
        <w:rPr>
          <w:rFonts w:hint="eastAsia" w:ascii="宋体" w:hAnsi="宋体" w:cs="宋体"/>
          <w:b/>
          <w:color w:val="auto"/>
          <w:sz w:val="36"/>
          <w:szCs w:val="36"/>
          <w:highlight w:val="none"/>
          <w:lang w:bidi="ar"/>
        </w:rPr>
      </w:pPr>
    </w:p>
    <w:p w14:paraId="27159C31">
      <w:pPr>
        <w:spacing w:line="312" w:lineRule="auto"/>
        <w:ind w:firstLine="480"/>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w:t>
      </w:r>
      <w:r>
        <w:rPr>
          <w:rFonts w:hint="eastAsia" w:ascii="宋体" w:hAnsi="宋体" w:cs="宋体"/>
          <w:color w:val="auto"/>
          <w:highlight w:val="none"/>
        </w:rPr>
        <w:t>企业荣誉；</w:t>
      </w:r>
      <w:r>
        <w:rPr>
          <w:rFonts w:hint="eastAsia" w:ascii="宋体" w:hAnsi="宋体" w:cs="宋体"/>
          <w:color w:val="auto"/>
          <w:highlight w:val="none"/>
          <w:lang w:val="zh-CN"/>
        </w:rPr>
        <w:t>（格式自拟）</w:t>
      </w:r>
    </w:p>
    <w:p w14:paraId="0315CC69">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w:t>
      </w:r>
      <w:r>
        <w:rPr>
          <w:rFonts w:hint="eastAsia"/>
          <w:color w:val="auto"/>
          <w:highlight w:val="none"/>
        </w:rPr>
        <w:t>项目理解；</w:t>
      </w:r>
      <w:r>
        <w:rPr>
          <w:rFonts w:hint="eastAsia" w:ascii="宋体" w:hAnsi="宋体" w:cs="宋体"/>
          <w:color w:val="auto"/>
          <w:highlight w:val="none"/>
          <w:lang w:val="zh-CN"/>
        </w:rPr>
        <w:t>（格式自拟）</w:t>
      </w:r>
    </w:p>
    <w:p w14:paraId="764F8BFE">
      <w:pP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w:t>
      </w:r>
      <w:r>
        <w:rPr>
          <w:rFonts w:hint="eastAsia"/>
          <w:color w:val="auto"/>
          <w:highlight w:val="none"/>
        </w:rPr>
        <w:t>实施方案</w:t>
      </w:r>
      <w:r>
        <w:rPr>
          <w:rFonts w:hint="eastAsia" w:ascii="宋体" w:hAnsi="宋体" w:cs="宋体"/>
          <w:color w:val="auto"/>
          <w:highlight w:val="none"/>
          <w:lang w:val="zh-CN"/>
        </w:rPr>
        <w:t xml:space="preserve">；（格式自拟） </w:t>
      </w:r>
    </w:p>
    <w:p w14:paraId="64BA83CA">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（4）项目重难点分析和解决方案</w:t>
      </w:r>
      <w:r>
        <w:rPr>
          <w:rFonts w:hint="eastAsia" w:ascii="宋体" w:hAnsi="宋体" w:cs="宋体"/>
          <w:color w:val="auto"/>
          <w:highlight w:val="none"/>
          <w:lang w:val="zh-CN"/>
        </w:rPr>
        <w:t xml:space="preserve">；（格式自拟） </w:t>
      </w:r>
    </w:p>
    <w:p w14:paraId="625EB82B">
      <w:pPr>
        <w:widowControl/>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（5）售后服务方案</w:t>
      </w:r>
      <w:r>
        <w:rPr>
          <w:rFonts w:hint="eastAsia" w:ascii="宋体" w:hAnsi="宋体" w:cs="宋体"/>
          <w:color w:val="auto"/>
          <w:highlight w:val="none"/>
          <w:lang w:val="zh-CN"/>
        </w:rPr>
        <w:t xml:space="preserve">；（格式自拟） </w:t>
      </w:r>
    </w:p>
    <w:p w14:paraId="66CC3704">
      <w:pPr>
        <w:widowControl/>
        <w:spacing w:line="312" w:lineRule="auto"/>
        <w:ind w:firstLine="480"/>
        <w:jc w:val="left"/>
        <w:rPr>
          <w:rFonts w:hint="eastAsia"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rPr>
        <w:t>6</w:t>
      </w:r>
      <w:r>
        <w:rPr>
          <w:rFonts w:ascii="宋体" w:hAnsi="宋体" w:cs="宋体"/>
          <w:color w:val="auto"/>
          <w:highlight w:val="none"/>
        </w:rPr>
        <w:t>）供应商根据评标细则内容提供其余的相关评分所需资料（如有）</w:t>
      </w:r>
    </w:p>
    <w:p w14:paraId="436775C9">
      <w:pPr>
        <w:pStyle w:val="2"/>
        <w:ind w:firstLine="723"/>
        <w:rPr>
          <w:rFonts w:hint="eastAsia" w:ascii="宋体" w:hAnsi="宋体" w:cs="宋体"/>
          <w:b/>
          <w:color w:val="auto"/>
          <w:sz w:val="36"/>
          <w:szCs w:val="36"/>
          <w:highlight w:val="none"/>
          <w:lang w:bidi="ar"/>
        </w:rPr>
      </w:pPr>
    </w:p>
    <w:p w14:paraId="731E77FC">
      <w:pPr>
        <w:pStyle w:val="2"/>
        <w:ind w:firstLine="723"/>
        <w:rPr>
          <w:rFonts w:hint="eastAsia" w:ascii="宋体" w:hAnsi="宋体" w:cs="宋体"/>
          <w:b/>
          <w:color w:val="auto"/>
          <w:sz w:val="36"/>
          <w:szCs w:val="36"/>
          <w:highlight w:val="none"/>
          <w:lang w:bidi="ar"/>
        </w:rPr>
      </w:pPr>
    </w:p>
    <w:p w14:paraId="72EDE1D3">
      <w:pPr>
        <w:pStyle w:val="2"/>
        <w:ind w:firstLine="723"/>
        <w:rPr>
          <w:rFonts w:hint="eastAsia" w:ascii="宋体" w:hAnsi="宋体" w:cs="宋体"/>
          <w:b/>
          <w:color w:val="auto"/>
          <w:sz w:val="36"/>
          <w:szCs w:val="36"/>
          <w:highlight w:val="none"/>
          <w:lang w:bidi="ar"/>
        </w:rPr>
        <w:sectPr>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pPr>
    </w:p>
    <w:p w14:paraId="2AFD4F6B">
      <w:pPr>
        <w:spacing w:line="400" w:lineRule="exact"/>
        <w:ind w:firstLine="0" w:firstLineChars="0"/>
        <w:jc w:val="left"/>
        <w:outlineLvl w:val="0"/>
        <w:rPr>
          <w:rFonts w:hint="eastAsia" w:ascii="宋体" w:hAnsi="宋体" w:cs="宋体"/>
          <w:b/>
          <w:color w:val="auto"/>
          <w:spacing w:val="-4"/>
          <w:sz w:val="32"/>
          <w:szCs w:val="32"/>
          <w:highlight w:val="none"/>
        </w:rPr>
      </w:pPr>
      <w:r>
        <w:rPr>
          <w:rFonts w:hint="eastAsia" w:ascii="宋体" w:hAnsi="宋体" w:cs="宋体"/>
          <w:b/>
          <w:color w:val="auto"/>
          <w:highlight w:val="none"/>
          <w:lang w:bidi="ar"/>
        </w:rPr>
        <w:t>附件11</w:t>
      </w:r>
    </w:p>
    <w:p w14:paraId="52DC87C6">
      <w:pPr>
        <w:spacing w:line="360" w:lineRule="auto"/>
        <w:ind w:firstLine="0" w:firstLineChars="0"/>
        <w:jc w:val="center"/>
        <w:rPr>
          <w:rFonts w:hint="eastAsia" w:ascii="宋体" w:hAnsi="宋体" w:cs="宋体"/>
          <w:b/>
          <w:color w:val="auto"/>
          <w:spacing w:val="-4"/>
          <w:sz w:val="32"/>
          <w:szCs w:val="32"/>
          <w:highlight w:val="none"/>
        </w:rPr>
      </w:pPr>
      <w:r>
        <w:rPr>
          <w:rFonts w:hint="eastAsia" w:ascii="宋体" w:hAnsi="宋体" w:cs="宋体"/>
          <w:b/>
          <w:color w:val="auto"/>
          <w:spacing w:val="-4"/>
          <w:sz w:val="32"/>
          <w:szCs w:val="32"/>
          <w:highlight w:val="none"/>
          <w:lang w:bidi="ar"/>
        </w:rPr>
        <w:t>首次报价一览表</w:t>
      </w:r>
    </w:p>
    <w:p w14:paraId="715190D7">
      <w:pPr>
        <w:spacing w:line="360" w:lineRule="auto"/>
        <w:ind w:firstLine="464"/>
        <w:rPr>
          <w:rFonts w:hint="eastAsia" w:ascii="宋体" w:hAnsi="宋体" w:cs="宋体"/>
          <w:color w:val="auto"/>
          <w:spacing w:val="-4"/>
          <w:highlight w:val="none"/>
          <w:u w:val="single"/>
        </w:rPr>
      </w:pPr>
      <w:r>
        <w:rPr>
          <w:rFonts w:hint="eastAsia" w:ascii="宋体" w:hAnsi="宋体" w:cs="宋体"/>
          <w:color w:val="auto"/>
          <w:spacing w:val="-4"/>
          <w:highlight w:val="none"/>
          <w:lang w:bidi="ar"/>
        </w:rPr>
        <w:t xml:space="preserve">                                                             货币形式：</w:t>
      </w:r>
      <w:r>
        <w:rPr>
          <w:rFonts w:hint="eastAsia" w:ascii="宋体" w:hAnsi="宋体" w:cs="宋体"/>
          <w:color w:val="auto"/>
          <w:spacing w:val="-4"/>
          <w:highlight w:val="none"/>
          <w:u w:val="single"/>
          <w:lang w:bidi="ar"/>
        </w:rPr>
        <w:t>人民币/元</w:t>
      </w:r>
      <w:r>
        <w:rPr>
          <w:rFonts w:hint="eastAsia" w:ascii="宋体" w:hAnsi="宋体" w:cs="宋体"/>
          <w:color w:val="auto"/>
          <w:spacing w:val="-4"/>
          <w:highlight w:val="none"/>
          <w:lang w:bidi="ar"/>
        </w:rPr>
        <w:t xml:space="preserve">                              </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3"/>
        <w:gridCol w:w="6973"/>
      </w:tblGrid>
      <w:tr w14:paraId="578D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733" w:type="dxa"/>
            <w:tcBorders>
              <w:top w:val="single" w:color="000000" w:sz="4" w:space="0"/>
              <w:left w:val="single" w:color="000000" w:sz="4" w:space="0"/>
              <w:bottom w:val="single" w:color="000000" w:sz="4" w:space="0"/>
              <w:right w:val="single" w:color="000000" w:sz="4" w:space="0"/>
            </w:tcBorders>
            <w:vAlign w:val="center"/>
          </w:tcPr>
          <w:p w14:paraId="612E871B">
            <w:pPr>
              <w:adjustRightInd w:val="0"/>
              <w:snapToGrid w:val="0"/>
              <w:spacing w:line="312" w:lineRule="auto"/>
              <w:ind w:firstLine="0" w:firstLineChars="0"/>
              <w:jc w:val="center"/>
              <w:rPr>
                <w:rFonts w:hint="eastAsia" w:ascii="宋体" w:hAnsi="宋体" w:cs="宋体"/>
                <w:color w:val="auto"/>
                <w:highlight w:val="none"/>
              </w:rPr>
            </w:pPr>
            <w:bookmarkStart w:id="1708" w:name="_Toc20079"/>
            <w:bookmarkEnd w:id="1708"/>
            <w:r>
              <w:rPr>
                <w:rFonts w:hint="eastAsia" w:ascii="宋体" w:hAnsi="宋体" w:cs="宋体"/>
                <w:color w:val="auto"/>
                <w:highlight w:val="none"/>
                <w:lang w:bidi="ar"/>
              </w:rPr>
              <w:t>项目编号</w:t>
            </w:r>
          </w:p>
        </w:tc>
        <w:tc>
          <w:tcPr>
            <w:tcW w:w="6973" w:type="dxa"/>
            <w:tcBorders>
              <w:top w:val="single" w:color="000000" w:sz="4" w:space="0"/>
              <w:left w:val="single" w:color="000000" w:sz="4" w:space="0"/>
              <w:bottom w:val="single" w:color="000000" w:sz="4" w:space="0"/>
              <w:right w:val="single" w:color="000000" w:sz="4" w:space="0"/>
            </w:tcBorders>
            <w:vAlign w:val="center"/>
          </w:tcPr>
          <w:p w14:paraId="51021284">
            <w:pPr>
              <w:adjustRightInd w:val="0"/>
              <w:snapToGrid w:val="0"/>
              <w:spacing w:line="312" w:lineRule="auto"/>
              <w:ind w:firstLine="0" w:firstLineChars="0"/>
              <w:rPr>
                <w:rFonts w:hint="eastAsia" w:ascii="宋体" w:hAnsi="宋体" w:cs="宋体"/>
                <w:color w:val="auto"/>
                <w:highlight w:val="none"/>
              </w:rPr>
            </w:pPr>
          </w:p>
        </w:tc>
      </w:tr>
      <w:tr w14:paraId="3678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733" w:type="dxa"/>
            <w:tcBorders>
              <w:top w:val="single" w:color="000000" w:sz="4" w:space="0"/>
              <w:left w:val="single" w:color="000000" w:sz="4" w:space="0"/>
              <w:bottom w:val="single" w:color="000000" w:sz="4" w:space="0"/>
              <w:right w:val="single" w:color="000000" w:sz="4" w:space="0"/>
            </w:tcBorders>
            <w:vAlign w:val="center"/>
          </w:tcPr>
          <w:p w14:paraId="5D3203CA">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项目名称</w:t>
            </w:r>
          </w:p>
        </w:tc>
        <w:tc>
          <w:tcPr>
            <w:tcW w:w="6973" w:type="dxa"/>
            <w:tcBorders>
              <w:top w:val="single" w:color="000000" w:sz="4" w:space="0"/>
              <w:left w:val="single" w:color="000000" w:sz="4" w:space="0"/>
              <w:bottom w:val="single" w:color="000000" w:sz="4" w:space="0"/>
              <w:right w:val="single" w:color="000000" w:sz="4" w:space="0"/>
            </w:tcBorders>
            <w:vAlign w:val="center"/>
          </w:tcPr>
          <w:p w14:paraId="62C83A7E">
            <w:pPr>
              <w:adjustRightInd w:val="0"/>
              <w:snapToGrid w:val="0"/>
              <w:spacing w:line="312" w:lineRule="auto"/>
              <w:ind w:firstLine="0" w:firstLineChars="0"/>
              <w:rPr>
                <w:rFonts w:hint="eastAsia" w:ascii="宋体" w:hAnsi="宋体" w:cs="宋体"/>
                <w:color w:val="auto"/>
                <w:highlight w:val="none"/>
              </w:rPr>
            </w:pPr>
          </w:p>
        </w:tc>
      </w:tr>
      <w:tr w14:paraId="09097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733" w:type="dxa"/>
            <w:tcBorders>
              <w:top w:val="single" w:color="000000" w:sz="4" w:space="0"/>
              <w:left w:val="single" w:color="000000" w:sz="4" w:space="0"/>
              <w:bottom w:val="single" w:color="000000" w:sz="4" w:space="0"/>
              <w:right w:val="single" w:color="000000" w:sz="4" w:space="0"/>
            </w:tcBorders>
            <w:vAlign w:val="center"/>
          </w:tcPr>
          <w:p w14:paraId="5443C865">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服务期限</w:t>
            </w:r>
          </w:p>
        </w:tc>
        <w:tc>
          <w:tcPr>
            <w:tcW w:w="6973" w:type="dxa"/>
            <w:tcBorders>
              <w:top w:val="single" w:color="000000" w:sz="4" w:space="0"/>
              <w:left w:val="single" w:color="000000" w:sz="4" w:space="0"/>
              <w:bottom w:val="single" w:color="000000" w:sz="4" w:space="0"/>
              <w:right w:val="single" w:color="000000" w:sz="4" w:space="0"/>
            </w:tcBorders>
            <w:vAlign w:val="center"/>
          </w:tcPr>
          <w:p w14:paraId="476BAE45">
            <w:pPr>
              <w:adjustRightInd w:val="0"/>
              <w:snapToGrid w:val="0"/>
              <w:spacing w:line="312" w:lineRule="auto"/>
              <w:ind w:firstLine="0" w:firstLineChars="0"/>
              <w:rPr>
                <w:rFonts w:hint="eastAsia" w:ascii="宋体" w:hAnsi="宋体" w:cs="宋体"/>
                <w:color w:val="auto"/>
                <w:highlight w:val="none"/>
              </w:rPr>
            </w:pPr>
          </w:p>
        </w:tc>
      </w:tr>
      <w:tr w14:paraId="3115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733" w:type="dxa"/>
            <w:tcBorders>
              <w:top w:val="single" w:color="000000" w:sz="4" w:space="0"/>
              <w:left w:val="single" w:color="000000" w:sz="4" w:space="0"/>
              <w:bottom w:val="single" w:color="000000" w:sz="4" w:space="0"/>
              <w:right w:val="single" w:color="000000" w:sz="4" w:space="0"/>
            </w:tcBorders>
            <w:vAlign w:val="center"/>
          </w:tcPr>
          <w:p w14:paraId="4B0AE971">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bidi="ar"/>
              </w:rPr>
              <w:t>投标报价</w:t>
            </w:r>
          </w:p>
        </w:tc>
        <w:tc>
          <w:tcPr>
            <w:tcW w:w="6973" w:type="dxa"/>
            <w:tcBorders>
              <w:top w:val="single" w:color="000000" w:sz="4" w:space="0"/>
              <w:left w:val="single" w:color="000000" w:sz="4" w:space="0"/>
              <w:bottom w:val="single" w:color="000000" w:sz="4" w:space="0"/>
              <w:right w:val="single" w:color="000000" w:sz="4" w:space="0"/>
            </w:tcBorders>
            <w:vAlign w:val="center"/>
          </w:tcPr>
          <w:p w14:paraId="7CAA6C9D">
            <w:pPr>
              <w:adjustRightInd w:val="0"/>
              <w:snapToGrid w:val="0"/>
              <w:spacing w:line="312" w:lineRule="auto"/>
              <w:ind w:firstLine="0" w:firstLineChars="0"/>
              <w:rPr>
                <w:rFonts w:hint="eastAsia" w:ascii="宋体" w:hAnsi="宋体" w:cs="宋体"/>
                <w:color w:val="auto"/>
                <w:highlight w:val="none"/>
              </w:rPr>
            </w:pPr>
            <w:r>
              <w:rPr>
                <w:rFonts w:hint="eastAsia" w:ascii="宋体" w:hAnsi="宋体" w:cs="宋体"/>
                <w:color w:val="auto"/>
                <w:highlight w:val="none"/>
                <w:lang w:bidi="ar"/>
              </w:rPr>
              <w:t>人民币大写：</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元；小写：¥</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元</w:t>
            </w:r>
          </w:p>
        </w:tc>
      </w:tr>
    </w:tbl>
    <w:p w14:paraId="293520D3">
      <w:pPr>
        <w:spacing w:line="480" w:lineRule="exact"/>
        <w:ind w:firstLine="480"/>
        <w:rPr>
          <w:rFonts w:hint="eastAsia" w:ascii="宋体" w:hAnsi="宋体" w:cs="宋体"/>
          <w:color w:val="auto"/>
          <w:highlight w:val="none"/>
        </w:rPr>
      </w:pPr>
      <w:r>
        <w:rPr>
          <w:rFonts w:hint="eastAsia" w:ascii="宋体" w:hAnsi="宋体" w:cs="宋体"/>
          <w:color w:val="auto"/>
          <w:highlight w:val="none"/>
          <w:lang w:bidi="ar"/>
        </w:rPr>
        <w:t>注：</w:t>
      </w:r>
    </w:p>
    <w:p w14:paraId="76390D79">
      <w:pPr>
        <w:spacing w:line="480" w:lineRule="exact"/>
        <w:ind w:firstLine="480"/>
        <w:rPr>
          <w:rFonts w:hint="eastAsia" w:ascii="宋体" w:hAnsi="宋体" w:cs="宋体"/>
          <w:color w:val="auto"/>
          <w:highlight w:val="none"/>
        </w:rPr>
      </w:pPr>
      <w:r>
        <w:rPr>
          <w:rFonts w:hint="eastAsia" w:ascii="宋体" w:hAnsi="宋体" w:cs="宋体"/>
          <w:color w:val="auto"/>
          <w:highlight w:val="none"/>
          <w:lang w:bidi="ar"/>
        </w:rPr>
        <w:t>1.本表由供应商填写，供开标会参考所用。▲报价填写必须为印刷体打印，手写无效报价。</w:t>
      </w:r>
    </w:p>
    <w:p w14:paraId="05C6DE76">
      <w:pPr>
        <w:spacing w:line="480" w:lineRule="exact"/>
        <w:ind w:firstLine="480"/>
        <w:rPr>
          <w:rFonts w:hint="eastAsia" w:ascii="宋体" w:hAnsi="宋体" w:cs="宋体"/>
          <w:color w:val="auto"/>
          <w:highlight w:val="none"/>
        </w:rPr>
      </w:pPr>
      <w:r>
        <w:rPr>
          <w:rFonts w:hint="eastAsia" w:ascii="宋体" w:hAnsi="宋体" w:cs="宋体"/>
          <w:color w:val="auto"/>
          <w:highlight w:val="none"/>
          <w:lang w:bidi="ar"/>
        </w:rPr>
        <w:t>2.本次报价仅做磋商参考，不做成交依据。</w:t>
      </w:r>
    </w:p>
    <w:p w14:paraId="3950FFF4">
      <w:pPr>
        <w:spacing w:line="480" w:lineRule="exact"/>
        <w:ind w:firstLine="480"/>
        <w:rPr>
          <w:rFonts w:hint="eastAsia" w:ascii="宋体" w:hAnsi="宋体" w:cs="宋体"/>
          <w:color w:val="auto"/>
          <w:highlight w:val="none"/>
        </w:rPr>
      </w:pPr>
      <w:r>
        <w:rPr>
          <w:rFonts w:hint="eastAsia" w:ascii="宋体" w:hAnsi="宋体" w:cs="宋体"/>
          <w:color w:val="auto"/>
          <w:highlight w:val="none"/>
          <w:lang w:bidi="ar"/>
        </w:rPr>
        <w:t>3.大写的1到10写法如下：壹、贰、叁、肆、伍、陆、柒、捌、玖、拾。除此之外，大写的还有佰、仟、万、亿、兆、京、垓、秭、穰、沟、涧、正、载、极。</w:t>
      </w:r>
    </w:p>
    <w:p w14:paraId="7377F81F">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5C76BE36">
      <w:pPr>
        <w:spacing w:line="360" w:lineRule="auto"/>
        <w:ind w:firstLine="0" w:firstLineChars="0"/>
        <w:rPr>
          <w:rFonts w:hint="eastAsia" w:ascii="宋体" w:hAnsi="宋体" w:cs="宋体"/>
          <w:b/>
          <w:bCs/>
          <w:color w:val="auto"/>
          <w:highlight w:val="none"/>
        </w:rPr>
      </w:pPr>
      <w:r>
        <w:rPr>
          <w:rFonts w:hint="eastAsia" w:ascii="宋体" w:hAnsi="宋体" w:cs="宋体"/>
          <w:b/>
          <w:bCs/>
          <w:color w:val="auto"/>
          <w:highlight w:val="none"/>
          <w:lang w:bidi="ar"/>
        </w:rPr>
        <w:t xml:space="preserve"> </w:t>
      </w:r>
    </w:p>
    <w:p w14:paraId="526C0EAF">
      <w:pPr>
        <w:adjustRightInd w:val="0"/>
        <w:snapToGrid w:val="0"/>
        <w:spacing w:line="360" w:lineRule="auto"/>
        <w:ind w:firstLine="4080" w:firstLineChars="1700"/>
        <w:jc w:val="left"/>
        <w:textAlignment w:val="baseline"/>
        <w:rPr>
          <w:rFonts w:hint="eastAsia" w:ascii="宋体" w:hAnsi="宋体" w:cs="宋体"/>
          <w:color w:val="auto"/>
          <w:highlight w:val="none"/>
        </w:rPr>
      </w:pPr>
      <w:r>
        <w:rPr>
          <w:rFonts w:hint="eastAsia" w:ascii="宋体" w:hAnsi="宋体" w:cs="宋体"/>
          <w:color w:val="auto"/>
          <w:highlight w:val="none"/>
          <w:lang w:bidi="ar"/>
        </w:rPr>
        <w:t>供应商名称（盖章）：</w:t>
      </w:r>
    </w:p>
    <w:p w14:paraId="167C2D16">
      <w:pPr>
        <w:adjustRightInd w:val="0"/>
        <w:snapToGrid w:val="0"/>
        <w:spacing w:line="360" w:lineRule="auto"/>
        <w:ind w:firstLine="4080" w:firstLineChars="1700"/>
        <w:jc w:val="left"/>
        <w:textAlignment w:val="baseline"/>
        <w:rPr>
          <w:rFonts w:hint="eastAsia" w:ascii="宋体" w:hAnsi="宋体" w:cs="宋体"/>
          <w:color w:val="auto"/>
          <w:highlight w:val="none"/>
          <w:u w:val="single"/>
        </w:rPr>
      </w:pPr>
      <w:r>
        <w:rPr>
          <w:rFonts w:hint="eastAsia" w:ascii="宋体" w:hAnsi="宋体" w:cs="宋体"/>
          <w:color w:val="auto"/>
          <w:highlight w:val="none"/>
          <w:lang w:bidi="ar"/>
        </w:rPr>
        <w:t>法定代表人或授权代理人（签字或盖章）：</w:t>
      </w:r>
    </w:p>
    <w:p w14:paraId="34DA72D8">
      <w:pPr>
        <w:widowControl/>
        <w:adjustRightInd w:val="0"/>
        <w:snapToGrid w:val="0"/>
        <w:spacing w:line="360" w:lineRule="auto"/>
        <w:ind w:firstLine="4080" w:firstLineChars="1700"/>
        <w:rPr>
          <w:rFonts w:hint="eastAsia" w:ascii="宋体" w:hAnsi="宋体" w:cs="宋体"/>
          <w:color w:val="auto"/>
          <w:highlight w:val="none"/>
        </w:rPr>
      </w:pPr>
      <w:r>
        <w:rPr>
          <w:rFonts w:hint="eastAsia" w:ascii="宋体" w:hAnsi="宋体" w:cs="宋体"/>
          <w:color w:val="auto"/>
          <w:highlight w:val="none"/>
          <w:lang w:bidi="ar"/>
        </w:rPr>
        <w:t>日期：     年   月   日</w:t>
      </w:r>
    </w:p>
    <w:p w14:paraId="3B7497BE">
      <w:pPr>
        <w:pStyle w:val="38"/>
        <w:ind w:left="0" w:leftChars="0" w:firstLine="0" w:firstLineChars="0"/>
        <w:rPr>
          <w:color w:val="auto"/>
          <w:highlight w:val="none"/>
        </w:rPr>
      </w:pPr>
    </w:p>
    <w:p w14:paraId="02EE349C">
      <w:pPr>
        <w:pStyle w:val="38"/>
        <w:ind w:left="0" w:leftChars="0" w:firstLine="0" w:firstLineChars="0"/>
        <w:rPr>
          <w:color w:val="auto"/>
          <w:highlight w:val="none"/>
        </w:rPr>
      </w:pPr>
    </w:p>
    <w:p w14:paraId="0764FD52">
      <w:pPr>
        <w:pStyle w:val="38"/>
        <w:ind w:left="0" w:leftChars="0" w:firstLine="0" w:firstLineChars="0"/>
        <w:rPr>
          <w:color w:val="auto"/>
          <w:highlight w:val="none"/>
        </w:rPr>
      </w:pPr>
    </w:p>
    <w:p w14:paraId="4856F28E">
      <w:pPr>
        <w:pStyle w:val="38"/>
        <w:ind w:left="0" w:leftChars="0" w:firstLine="0" w:firstLineChars="0"/>
        <w:rPr>
          <w:color w:val="auto"/>
          <w:highlight w:val="none"/>
        </w:rPr>
      </w:pPr>
    </w:p>
    <w:p w14:paraId="4AA41229">
      <w:pPr>
        <w:pStyle w:val="38"/>
        <w:ind w:left="0" w:leftChars="0" w:firstLine="0" w:firstLineChars="0"/>
        <w:rPr>
          <w:color w:val="auto"/>
          <w:highlight w:val="none"/>
        </w:rPr>
      </w:pPr>
    </w:p>
    <w:p w14:paraId="13597E9F">
      <w:pPr>
        <w:widowControl/>
        <w:adjustRightInd w:val="0"/>
        <w:snapToGrid w:val="0"/>
        <w:spacing w:line="360" w:lineRule="auto"/>
        <w:ind w:firstLine="0" w:firstLineChars="0"/>
        <w:rPr>
          <w:rFonts w:hint="eastAsia" w:ascii="宋体" w:hAnsi="宋体" w:cs="宋体"/>
          <w:b/>
          <w:bCs/>
          <w:color w:val="auto"/>
          <w:sz w:val="32"/>
          <w:szCs w:val="32"/>
          <w:highlight w:val="none"/>
          <w:lang w:bidi="ar"/>
        </w:rPr>
      </w:pPr>
    </w:p>
    <w:sectPr>
      <w:pgSz w:w="11906" w:h="16838"/>
      <w:pgMar w:top="1440" w:right="1080" w:bottom="1440" w:left="1080" w:header="964" w:footer="964" w:gutter="0"/>
      <w:pgBorders>
        <w:top w:val="thinThickSmallGap" w:color="000000" w:sz="12" w:space="10"/>
        <w:bottom w:val="thinThickSmallGap" w:color="000000" w:sz="12" w:space="1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47C675-76BA-4004-B37D-15E4DA945F7D}"/>
  </w:font>
  <w:font w:name="黑体">
    <w:panose1 w:val="02010609060101010101"/>
    <w:charset w:val="86"/>
    <w:family w:val="auto"/>
    <w:pitch w:val="default"/>
    <w:sig w:usb0="800002BF" w:usb1="38CF7CFA" w:usb2="00000016" w:usb3="00000000" w:csb0="00040001" w:csb1="00000000"/>
    <w:embedRegular r:id="rId2" w:fontKey="{F4647EB6-0B2B-4705-A6F8-EAF63677C20F}"/>
  </w:font>
  <w:font w:name="Courier New">
    <w:panose1 w:val="02070309020205020404"/>
    <w:charset w:val="01"/>
    <w:family w:val="modern"/>
    <w:pitch w:val="default"/>
    <w:sig w:usb0="E0002EFF" w:usb1="C0007843" w:usb2="00000009" w:usb3="00000000" w:csb0="400001FF" w:csb1="FFFF0000"/>
    <w:embedRegular r:id="rId3" w:fontKey="{A2F03E0E-9878-4802-B4AC-F70478FD304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016712B4-8D0C-4C51-9C08-9C40D1A621F3}"/>
  </w:font>
  <w:font w:name="Consolas">
    <w:panose1 w:val="020B0609020204030204"/>
    <w:charset w:val="00"/>
    <w:family w:val="modern"/>
    <w:pitch w:val="default"/>
    <w:sig w:usb0="E00006FF" w:usb1="0000FCFF" w:usb2="00000001" w:usb3="00000000" w:csb0="6000019F" w:csb1="DFD70000"/>
  </w:font>
  <w:font w:name="ヒラギノ角ゴ Pro W3">
    <w:altName w:val="Yu Gothic UI Light"/>
    <w:panose1 w:val="00000000000000000000"/>
    <w:charset w:val="00"/>
    <w:family w:val="swiss"/>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5" w:fontKey="{73A0C323-7A6D-4694-AE16-94A32048F9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E90D">
    <w:pPr>
      <w:pStyle w:val="24"/>
      <w:ind w:firstLine="0" w:firstLineChars="0"/>
      <w:jc w:val="both"/>
      <w:rPr>
        <w:rFonts w:hint="eastAsia" w:ascii="黑体" w:hAnsi="黑体" w:eastAsia="黑体" w:cs="黑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2800">
    <w:pPr>
      <w:pStyle w:val="24"/>
      <w:ind w:firstLine="0" w:firstLineChars="0"/>
      <w:jc w:val="both"/>
      <w:rPr>
        <w:rFonts w:hint="eastAsia" w:ascii="黑体" w:hAnsi="黑体" w:eastAsia="黑体" w:cs="黑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4495" cy="326390"/>
              <wp:effectExtent l="0" t="0" r="0" b="0"/>
              <wp:wrapNone/>
              <wp:docPr id="5" name="文本框 6"/>
              <wp:cNvGraphicFramePr/>
              <a:graphic xmlns:a="http://schemas.openxmlformats.org/drawingml/2006/main">
                <a:graphicData uri="http://schemas.microsoft.com/office/word/2010/wordprocessingShape">
                  <wps:wsp>
                    <wps:cNvSpPr txBox="1"/>
                    <wps:spPr>
                      <a:xfrm flipV="1">
                        <a:off x="0" y="0"/>
                        <a:ext cx="1674495" cy="326390"/>
                      </a:xfrm>
                      <a:prstGeom prst="rect">
                        <a:avLst/>
                      </a:prstGeom>
                      <a:noFill/>
                      <a:ln>
                        <a:noFill/>
                      </a:ln>
                    </wps:spPr>
                    <wps:txbx>
                      <w:txbxContent>
                        <w:p w14:paraId="58D5FE7C">
                          <w:pPr>
                            <w:pStyle w:val="24"/>
                            <w:ind w:firstLine="361"/>
                            <w:jc w:val="center"/>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flip:y;margin-top:0pt;height:25.7pt;width:131.85pt;mso-position-horizontal:center;mso-position-horizontal-relative:margin;z-index:251662336;mso-width-relative:page;mso-height-relative:page;" filled="f" stroked="f" coordsize="21600,21600" o:gfxdata="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wqPO0wAAAAQBAAAPAAAA&#10;AAAAAAEAIAAAACIAAABkcnMvZG93bnJldi54bWxQSwECFAAUAAAACACHTuJACgBag+EBAACvAwAA&#10;DgAAAAAAAAABACAAAAAiAQAAZHJzL2Uyb0RvYy54bWxQSwUGAAAAAAYABgBZAQAAdQUAAAAA&#10;">
              <v:fill on="f" focussize="0,0"/>
              <v:stroke on="f"/>
              <v:imagedata o:title=""/>
              <o:lock v:ext="edit" aspectratio="f"/>
              <v:textbox inset="0mm,0mm,0mm,0mm">
                <w:txbxContent>
                  <w:p w14:paraId="58D5FE7C">
                    <w:pPr>
                      <w:pStyle w:val="24"/>
                      <w:ind w:firstLine="361"/>
                      <w:jc w:val="center"/>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2BC5">
    <w:pPr>
      <w:pStyle w:val="24"/>
      <w:pBdr>
        <w:top w:val="single" w:color="auto" w:sz="4" w:space="0"/>
      </w:pBdr>
      <w:tabs>
        <w:tab w:val="center" w:pos="4536"/>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FDAD7">
                          <w:pPr>
                            <w:pStyle w:val="24"/>
                            <w:ind w:firstLine="40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12FDAD7">
                    <w:pPr>
                      <w:pStyle w:val="24"/>
                      <w:ind w:firstLine="40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FADCE">
    <w:pPr>
      <w:pStyle w:val="24"/>
      <w:ind w:firstLine="0" w:firstLineChars="0"/>
      <w:jc w:val="both"/>
      <w:rPr>
        <w:rFonts w:hint="eastAsia" w:ascii="黑体" w:hAnsi="黑体" w:eastAsia="黑体" w:cs="黑体"/>
        <w:b/>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4495" cy="1151890"/>
              <wp:effectExtent l="0" t="0" r="0" b="0"/>
              <wp:wrapNone/>
              <wp:docPr id="2" name="文本框 6"/>
              <wp:cNvGraphicFramePr/>
              <a:graphic xmlns:a="http://schemas.openxmlformats.org/drawingml/2006/main">
                <a:graphicData uri="http://schemas.microsoft.com/office/word/2010/wordprocessingShape">
                  <wps:wsp>
                    <wps:cNvSpPr txBox="1"/>
                    <wps:spPr>
                      <a:xfrm flipV="1">
                        <a:off x="0" y="0"/>
                        <a:ext cx="1674495" cy="1151890"/>
                      </a:xfrm>
                      <a:prstGeom prst="rect">
                        <a:avLst/>
                      </a:prstGeom>
                      <a:noFill/>
                      <a:ln>
                        <a:noFill/>
                      </a:ln>
                    </wps:spPr>
                    <wps:txbx>
                      <w:txbxContent>
                        <w:p w14:paraId="738EED1A">
                          <w:pPr>
                            <w:pStyle w:val="24"/>
                            <w:ind w:firstLine="361"/>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flip:y;margin-top:0pt;height:90.7pt;width:131.85pt;mso-position-horizontal:center;mso-position-horizontal-relative:margin;z-index:251660288;mso-width-relative:page;mso-height-relative:page;" filled="f" stroked="f" coordsize="21600,21600" o:gfxdata="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iTTwPUAAAABQEAAA8A&#10;AAAAAAAAAQAgAAAAIgAAAGRycy9kb3ducmV2LnhtbFBLAQIUABQAAAAIAIdO4kAtQ4mj4gEAALAD&#10;AAAOAAAAAAAAAAEAIAAAACMBAABkcnMvZTJvRG9jLnhtbFBLBQYAAAAABgAGAFkBAAB3BQAAAAA=&#10;">
              <v:fill on="f" focussize="0,0"/>
              <v:stroke on="f"/>
              <v:imagedata o:title=""/>
              <o:lock v:ext="edit" aspectratio="f"/>
              <v:textbox inset="0mm,0mm,0mm,0mm">
                <w:txbxContent>
                  <w:p w14:paraId="738EED1A">
                    <w:pPr>
                      <w:pStyle w:val="24"/>
                      <w:ind w:firstLine="361"/>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25D0A">
    <w:pPr>
      <w:pStyle w:val="24"/>
      <w:ind w:firstLine="0" w:firstLineChars="0"/>
      <w:jc w:val="both"/>
      <w:rPr>
        <w:rFonts w:hint="eastAsia" w:ascii="黑体" w:hAnsi="黑体" w:eastAsia="黑体" w:cs="黑体"/>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97355" cy="518160"/>
              <wp:effectExtent l="0" t="0" r="0" b="0"/>
              <wp:wrapNone/>
              <wp:docPr id="3" name="文本框 6"/>
              <wp:cNvGraphicFramePr/>
              <a:graphic xmlns:a="http://schemas.openxmlformats.org/drawingml/2006/main">
                <a:graphicData uri="http://schemas.microsoft.com/office/word/2010/wordprocessingShape">
                  <wps:wsp>
                    <wps:cNvSpPr txBox="1"/>
                    <wps:spPr>
                      <a:xfrm flipV="1">
                        <a:off x="0" y="0"/>
                        <a:ext cx="1697355" cy="518160"/>
                      </a:xfrm>
                      <a:prstGeom prst="rect">
                        <a:avLst/>
                      </a:prstGeom>
                      <a:noFill/>
                      <a:ln>
                        <a:noFill/>
                      </a:ln>
                    </wps:spPr>
                    <wps:txbx>
                      <w:txbxContent>
                        <w:p w14:paraId="021F5E98">
                          <w:pPr>
                            <w:pStyle w:val="24"/>
                            <w:ind w:firstLine="361"/>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flip:y;margin-top:0pt;height:40.8pt;width:133.65pt;mso-position-horizontal:center;mso-position-horizontal-relative:margin;z-index:251661312;mso-width-relative:page;mso-height-relative:page;" filled="f" stroked="f" coordsize="21600,21600" o:gfxdata="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1VB10wAAAAQBAAAPAAAA&#10;AAAAAAEAIAAAACIAAABkcnMvZG93bnJldi54bWxQSwECFAAUAAAACACHTuJAsQbBkuEBAACvAwAA&#10;DgAAAAAAAAABACAAAAAiAQAAZHJzL2Uyb0RvYy54bWxQSwUGAAAAAAYABgBZAQAAdQUAAAAA&#10;">
              <v:fill on="f" focussize="0,0"/>
              <v:stroke on="f"/>
              <v:imagedata o:title=""/>
              <o:lock v:ext="edit" aspectratio="f"/>
              <v:textbox inset="0mm,0mm,0mm,0mm">
                <w:txbxContent>
                  <w:p w14:paraId="021F5E98">
                    <w:pPr>
                      <w:pStyle w:val="24"/>
                      <w:ind w:firstLine="361"/>
                      <w:rPr>
                        <w:rFonts w:hint="eastAsia" w:ascii="黑体" w:hAnsi="黑体" w:eastAsia="黑体" w:cs="黑体"/>
                        <w:b/>
                      </w:rPr>
                    </w:pPr>
                    <w:r>
                      <w:rPr>
                        <w:rFonts w:hint="eastAsia" w:ascii="黑体" w:hAnsi="黑体" w:eastAsia="黑体" w:cs="黑体"/>
                        <w:b/>
                      </w:rPr>
                      <w:fldChar w:fldCharType="begin"/>
                    </w:r>
                    <w:r>
                      <w:rPr>
                        <w:rFonts w:hint="eastAsia" w:ascii="黑体" w:hAnsi="黑体" w:eastAsia="黑体" w:cs="黑体"/>
                        <w:b/>
                      </w:rPr>
                      <w:instrText xml:space="preserve"> PAGE  \* MERGEFORMAT </w:instrText>
                    </w:r>
                    <w:r>
                      <w:rPr>
                        <w:rFonts w:hint="eastAsia" w:ascii="黑体" w:hAnsi="黑体" w:eastAsia="黑体" w:cs="黑体"/>
                        <w:b/>
                      </w:rPr>
                      <w:fldChar w:fldCharType="separate"/>
                    </w:r>
                    <w:r>
                      <w:rPr>
                        <w:rFonts w:hint="eastAsia" w:ascii="黑体" w:hAnsi="黑体" w:eastAsia="黑体" w:cs="黑体"/>
                        <w:b/>
                      </w:rPr>
                      <w:t>- 1 -</w:t>
                    </w:r>
                    <w:r>
                      <w:rPr>
                        <w:rFonts w:hint="eastAsia" w:ascii="黑体" w:hAnsi="黑体" w:eastAsia="黑体" w:cs="黑体"/>
                        <w:b/>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9F63">
    <w:pPr>
      <w:snapToGrid w:val="0"/>
      <w:spacing w:line="360" w:lineRule="auto"/>
      <w:ind w:firstLine="0" w:firstLineChars="0"/>
      <w:jc w:val="left"/>
      <w:rPr>
        <w:rFonts w:hint="eastAsia" w:ascii="黑体" w:hAnsi="黑体" w:eastAsia="黑体" w:cs="黑体"/>
        <w:b/>
        <w:sz w:val="18"/>
        <w:szCs w:val="18"/>
      </w:rPr>
    </w:pPr>
    <w:r>
      <w:rPr>
        <w:rFonts w:hint="eastAsia" w:ascii="黑体" w:hAnsi="黑体" w:eastAsia="黑体" w:cs="黑体"/>
        <w:b/>
        <w:sz w:val="18"/>
        <w:szCs w:val="18"/>
        <w:lang w:val="zh-CN"/>
      </w:rPr>
      <w:t xml:space="preserve">龙游县森林资源质量核查年度数据更新以及补充林地规划项目的竞争性磋商文件 </w:t>
    </w:r>
    <w:r>
      <w:rPr>
        <w:rFonts w:hint="eastAsia" w:ascii="黑体" w:hAnsi="黑体" w:eastAsia="黑体" w:cs="黑体"/>
        <w:b/>
        <w:sz w:val="18"/>
        <w:szCs w:val="18"/>
      </w:rPr>
      <w:t xml:space="preserve">          </w:t>
    </w:r>
    <w:r>
      <w:rPr>
        <w:rFonts w:hint="eastAsia" w:ascii="黑体" w:hAnsi="黑体" w:eastAsia="黑体" w:cs="黑体"/>
        <w:b/>
        <w:sz w:val="18"/>
        <w:szCs w:val="18"/>
        <w:lang w:val="zh-CN"/>
      </w:rPr>
      <w:t>项目编号：XDLYCG-2025002</w:t>
    </w:r>
    <w:r>
      <w:rPr>
        <w:rFonts w:hint="eastAsia" w:ascii="黑体" w:hAnsi="黑体" w:eastAsia="黑体" w:cs="黑体"/>
        <w:b/>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DA1D">
    <w:pPr>
      <w:pStyle w:val="25"/>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CD39">
    <w:pPr>
      <w:pStyle w:val="25"/>
      <w:ind w:firstLine="3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96E9F">
    <w:pPr>
      <w:snapToGrid w:val="0"/>
      <w:spacing w:line="360" w:lineRule="auto"/>
      <w:ind w:firstLine="0" w:firstLineChars="0"/>
      <w:jc w:val="left"/>
      <w:rPr>
        <w:rFonts w:hint="eastAsia" w:ascii="黑体" w:hAnsi="黑体" w:eastAsia="黑体" w:cs="黑体"/>
        <w:b/>
        <w:sz w:val="18"/>
        <w:szCs w:val="18"/>
        <w:lang w:val="zh-CN"/>
      </w:rPr>
    </w:pPr>
    <w:r>
      <w:rPr>
        <w:rFonts w:hint="eastAsia" w:ascii="黑体" w:hAnsi="黑体" w:eastAsia="黑体" w:cs="黑体"/>
        <w:b/>
        <w:sz w:val="18"/>
        <w:szCs w:val="18"/>
        <w:lang w:val="zh-CN"/>
      </w:rPr>
      <w:t>龙游县森林资源质量核查年度数据更新以及补充林地规划项目的竞争性磋商文件</w:t>
    </w:r>
    <w:r>
      <w:rPr>
        <w:rFonts w:hint="eastAsia" w:ascii="黑体" w:hAnsi="黑体" w:eastAsia="黑体" w:cs="黑体"/>
        <w:b/>
        <w:sz w:val="18"/>
        <w:szCs w:val="18"/>
      </w:rPr>
      <w:t xml:space="preserve">   </w:t>
    </w:r>
    <w:r>
      <w:rPr>
        <w:rFonts w:hint="eastAsia" w:ascii="黑体" w:hAnsi="黑体" w:eastAsia="黑体" w:cs="黑体"/>
        <w:b/>
        <w:sz w:val="18"/>
        <w:szCs w:val="18"/>
        <w:lang w:val="zh-CN"/>
      </w:rPr>
      <w:t>项目编号：XDLYCG-2025002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82CE">
    <w:pPr>
      <w:snapToGrid w:val="0"/>
      <w:spacing w:line="360" w:lineRule="auto"/>
      <w:ind w:firstLine="0" w:firstLineChars="0"/>
      <w:jc w:val="left"/>
    </w:pPr>
    <w:r>
      <w:rPr>
        <w:rFonts w:hint="eastAsia" w:ascii="黑体" w:hAnsi="黑体" w:eastAsia="黑体" w:cs="黑体"/>
        <w:b/>
        <w:sz w:val="18"/>
        <w:szCs w:val="18"/>
        <w:lang w:val="zh-CN"/>
      </w:rPr>
      <w:t>龙游县森林资源质量核查年度数据更新以及补充林地规划项目的竞争性磋商文件</w:t>
    </w:r>
    <w:r>
      <w:rPr>
        <w:rFonts w:hint="eastAsia" w:ascii="黑体" w:hAnsi="黑体" w:eastAsia="黑体" w:cs="黑体"/>
        <w:b/>
        <w:sz w:val="18"/>
        <w:szCs w:val="18"/>
      </w:rPr>
      <w:t xml:space="preserve">          项目编号：XDLYCG-2025002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052B1">
    <w:pPr>
      <w:snapToGrid w:val="0"/>
      <w:spacing w:line="360" w:lineRule="auto"/>
      <w:ind w:firstLine="0" w:firstLineChars="0"/>
      <w:jc w:val="left"/>
    </w:pPr>
    <w:r>
      <w:rPr>
        <w:rFonts w:hint="eastAsia" w:ascii="黑体" w:hAnsi="黑体" w:eastAsia="黑体" w:cs="黑体"/>
        <w:b/>
        <w:sz w:val="18"/>
        <w:szCs w:val="18"/>
        <w:lang w:val="zh-CN"/>
      </w:rPr>
      <w:t>龙游县森林资源质量核查年度数据更新以及补充林地规划项目的竞争性磋商文件</w:t>
    </w:r>
    <w:r>
      <w:rPr>
        <w:rFonts w:hint="eastAsia" w:ascii="黑体" w:hAnsi="黑体" w:eastAsia="黑体" w:cs="黑体"/>
        <w:b/>
        <w:sz w:val="18"/>
        <w:szCs w:val="18"/>
      </w:rPr>
      <w:t xml:space="preserve">           项目编号：XDLYCG-2025002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CAF56"/>
    <w:multiLevelType w:val="singleLevel"/>
    <w:tmpl w:val="C49CAF56"/>
    <w:lvl w:ilvl="0" w:tentative="0">
      <w:start w:val="1"/>
      <w:numFmt w:val="decimal"/>
      <w:suff w:val="nothing"/>
      <w:lvlText w:val="（%1）"/>
      <w:lvlJc w:val="left"/>
      <w:pPr>
        <w:ind w:left="0"/>
      </w:pPr>
      <w:rPr>
        <w:rFonts w:hint="default" w:ascii="宋体" w:hAnsi="宋体" w:eastAsia="宋体" w:cs="宋体"/>
      </w:rPr>
    </w:lvl>
  </w:abstractNum>
  <w:abstractNum w:abstractNumId="1">
    <w:nsid w:val="DC947ADD"/>
    <w:multiLevelType w:val="multilevel"/>
    <w:tmpl w:val="DC947ADD"/>
    <w:lvl w:ilvl="0" w:tentative="0">
      <w:start w:val="1"/>
      <w:numFmt w:val="decimal"/>
      <w:suff w:val="space"/>
      <w:lvlText w:val="第%1章"/>
      <w:lvlJc w:val="left"/>
      <w:pPr>
        <w:ind w:left="4537" w:hanging="425"/>
      </w:pPr>
      <w:rPr>
        <w:rFonts w:hint="eastAsia"/>
      </w:rPr>
    </w:lvl>
    <w:lvl w:ilvl="1" w:tentative="0">
      <w:start w:val="1"/>
      <w:numFmt w:val="decimal"/>
      <w:suff w:val="space"/>
      <w:lvlText w:val="%1.%2."/>
      <w:lvlJc w:val="left"/>
      <w:pPr>
        <w:ind w:left="7274" w:hanging="5430"/>
      </w:pPr>
      <w:rPr>
        <w:rFonts w:hint="eastAsia"/>
        <w:color w:val="333333"/>
      </w:rPr>
    </w:lvl>
    <w:lvl w:ilvl="2" w:tentative="0">
      <w:start w:val="1"/>
      <w:numFmt w:val="decimal"/>
      <w:pStyle w:val="5"/>
      <w:suff w:val="space"/>
      <w:lvlText w:val="%1.%2.%3. "/>
      <w:lvlJc w:val="left"/>
      <w:pPr>
        <w:ind w:left="1400" w:hanging="1400"/>
      </w:pPr>
      <w:rPr>
        <w:rFonts w:hint="eastAsia"/>
        <w:color w:val="auto"/>
      </w:rPr>
    </w:lvl>
    <w:lvl w:ilvl="3" w:tentative="0">
      <w:start w:val="1"/>
      <w:numFmt w:val="decimal"/>
      <w:suff w:val="space"/>
      <w:lvlText w:val="%1.%2.%3.%4."/>
      <w:lvlJc w:val="left"/>
      <w:pPr>
        <w:ind w:left="1277" w:hanging="851"/>
      </w:pPr>
      <w:rPr>
        <w:rFonts w:hint="eastAsia" w:ascii="宋体" w:hAnsi="宋体" w:eastAsia="宋体"/>
      </w:rPr>
    </w:lvl>
    <w:lvl w:ilvl="4" w:tentative="0">
      <w:start w:val="1"/>
      <w:numFmt w:val="decimal"/>
      <w:lvlText w:val="%1.%2.%3.%4.%5."/>
      <w:lvlJc w:val="left"/>
      <w:pPr>
        <w:tabs>
          <w:tab w:val="left" w:pos="992"/>
        </w:tabs>
        <w:ind w:left="0" w:firstLine="0"/>
      </w:pPr>
      <w:rPr>
        <w:rFonts w:hint="eastAsia"/>
        <w:color w:val="auto"/>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0" w:firstLine="0"/>
      </w:pPr>
      <w:rPr>
        <w:rFonts w:hint="eastAsia"/>
      </w:rPr>
    </w:lvl>
    <w:lvl w:ilvl="8" w:tentative="0">
      <w:start w:val="1"/>
      <w:numFmt w:val="decimal"/>
      <w:lvlText w:val="%1.%2.%3.%4.%5.%6.%7.%8.%9."/>
      <w:lvlJc w:val="left"/>
      <w:pPr>
        <w:tabs>
          <w:tab w:val="left" w:pos="1559"/>
        </w:tabs>
        <w:ind w:left="0" w:firstLine="0"/>
      </w:pPr>
      <w:rPr>
        <w:rFonts w:hint="eastAsia"/>
      </w:rPr>
    </w:lvl>
  </w:abstractNum>
  <w:abstractNum w:abstractNumId="2">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vanish w:val="0"/>
        <w:color w:val="000000"/>
        <w:spacing w:val="0"/>
        <w:kern w:val="0"/>
        <w:position w:val="0"/>
        <w:sz w:val="28"/>
        <w:szCs w:val="28"/>
        <w:u w:val="none"/>
        <w:vertAlign w:val="baseli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3" w:tentative="0">
      <w:start w:val="1"/>
      <w:numFmt w:val="lowerLetter"/>
      <w:pStyle w:val="6"/>
      <w:lvlText w:val="(%4)"/>
      <w:lvlJc w:val="left"/>
      <w:pPr>
        <w:ind w:left="5359" w:hanging="397"/>
      </w:pPr>
      <w:rPr>
        <w:rFonts w:hint="default" w:ascii="Times New Roman" w:hAnsi="Times New Roman" w:cs="Times New Roman"/>
      </w:rPr>
    </w:lvl>
    <w:lvl w:ilvl="4" w:tentative="0">
      <w:start w:val="1"/>
      <w:numFmt w:val="lowerRoman"/>
      <w:pStyle w:val="7"/>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abstractNum w:abstractNumId="3">
    <w:nsid w:val="72CB4705"/>
    <w:multiLevelType w:val="singleLevel"/>
    <w:tmpl w:val="72CB470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BhZDQ5ZWM5NWUzMTM3YzBlMGYyYzM4ZDhlOTYifQ=="/>
    <w:docVar w:name="KSO_WPS_MARK_KEY" w:val="fea70c3e-6fa4-4435-8767-e7ffbb440557"/>
  </w:docVars>
  <w:rsids>
    <w:rsidRoot w:val="00172A27"/>
    <w:rsid w:val="000351F0"/>
    <w:rsid w:val="00037D69"/>
    <w:rsid w:val="00047107"/>
    <w:rsid w:val="00053811"/>
    <w:rsid w:val="00053B45"/>
    <w:rsid w:val="000620AB"/>
    <w:rsid w:val="00073540"/>
    <w:rsid w:val="000B556F"/>
    <w:rsid w:val="000E770E"/>
    <w:rsid w:val="000F4236"/>
    <w:rsid w:val="001077EB"/>
    <w:rsid w:val="00112F62"/>
    <w:rsid w:val="00117567"/>
    <w:rsid w:val="00157B89"/>
    <w:rsid w:val="0016088F"/>
    <w:rsid w:val="001700E5"/>
    <w:rsid w:val="00172A27"/>
    <w:rsid w:val="001B7185"/>
    <w:rsid w:val="002059AB"/>
    <w:rsid w:val="002265E2"/>
    <w:rsid w:val="00234C28"/>
    <w:rsid w:val="002374C6"/>
    <w:rsid w:val="00240E33"/>
    <w:rsid w:val="00244B1B"/>
    <w:rsid w:val="00263BCD"/>
    <w:rsid w:val="00280CD4"/>
    <w:rsid w:val="002828F7"/>
    <w:rsid w:val="002C6D62"/>
    <w:rsid w:val="002D4ECB"/>
    <w:rsid w:val="00300A31"/>
    <w:rsid w:val="00334B67"/>
    <w:rsid w:val="00342194"/>
    <w:rsid w:val="00345C7D"/>
    <w:rsid w:val="0035100D"/>
    <w:rsid w:val="00355A64"/>
    <w:rsid w:val="00376A86"/>
    <w:rsid w:val="00380039"/>
    <w:rsid w:val="003840BF"/>
    <w:rsid w:val="00393882"/>
    <w:rsid w:val="003A5AAF"/>
    <w:rsid w:val="003B6863"/>
    <w:rsid w:val="003C60F7"/>
    <w:rsid w:val="003D7602"/>
    <w:rsid w:val="003F0F09"/>
    <w:rsid w:val="004019ED"/>
    <w:rsid w:val="00404866"/>
    <w:rsid w:val="004105EA"/>
    <w:rsid w:val="004479E5"/>
    <w:rsid w:val="00451620"/>
    <w:rsid w:val="004548CE"/>
    <w:rsid w:val="004803F1"/>
    <w:rsid w:val="00482273"/>
    <w:rsid w:val="004944C8"/>
    <w:rsid w:val="00496705"/>
    <w:rsid w:val="004B48CF"/>
    <w:rsid w:val="004D26D6"/>
    <w:rsid w:val="004E7E60"/>
    <w:rsid w:val="00574828"/>
    <w:rsid w:val="005A4E90"/>
    <w:rsid w:val="005B034F"/>
    <w:rsid w:val="005D0CD8"/>
    <w:rsid w:val="005E357C"/>
    <w:rsid w:val="005E6A6E"/>
    <w:rsid w:val="005F2C7C"/>
    <w:rsid w:val="005F5AAD"/>
    <w:rsid w:val="006159D1"/>
    <w:rsid w:val="00625590"/>
    <w:rsid w:val="00631CAE"/>
    <w:rsid w:val="006401E5"/>
    <w:rsid w:val="00640991"/>
    <w:rsid w:val="00644DDD"/>
    <w:rsid w:val="00646427"/>
    <w:rsid w:val="00654885"/>
    <w:rsid w:val="00690F47"/>
    <w:rsid w:val="00692FA7"/>
    <w:rsid w:val="006B0910"/>
    <w:rsid w:val="006D1D6B"/>
    <w:rsid w:val="006E11EB"/>
    <w:rsid w:val="006E6E0D"/>
    <w:rsid w:val="006E704A"/>
    <w:rsid w:val="006F47F5"/>
    <w:rsid w:val="00706449"/>
    <w:rsid w:val="00710F4F"/>
    <w:rsid w:val="007234AE"/>
    <w:rsid w:val="00733235"/>
    <w:rsid w:val="00735892"/>
    <w:rsid w:val="007641C1"/>
    <w:rsid w:val="0077327A"/>
    <w:rsid w:val="007759E0"/>
    <w:rsid w:val="007A475E"/>
    <w:rsid w:val="007B5D34"/>
    <w:rsid w:val="007F48EB"/>
    <w:rsid w:val="00853996"/>
    <w:rsid w:val="00892A18"/>
    <w:rsid w:val="008A088E"/>
    <w:rsid w:val="008A4E9F"/>
    <w:rsid w:val="008A56F1"/>
    <w:rsid w:val="008E25AD"/>
    <w:rsid w:val="0090218E"/>
    <w:rsid w:val="00902C2A"/>
    <w:rsid w:val="009577F1"/>
    <w:rsid w:val="00974722"/>
    <w:rsid w:val="00984BF8"/>
    <w:rsid w:val="009878E7"/>
    <w:rsid w:val="009D2FB3"/>
    <w:rsid w:val="009E5D65"/>
    <w:rsid w:val="00A00316"/>
    <w:rsid w:val="00A14EE7"/>
    <w:rsid w:val="00A20A68"/>
    <w:rsid w:val="00A23725"/>
    <w:rsid w:val="00A3001D"/>
    <w:rsid w:val="00A31AC6"/>
    <w:rsid w:val="00A37D96"/>
    <w:rsid w:val="00A50B84"/>
    <w:rsid w:val="00A72990"/>
    <w:rsid w:val="00A807EF"/>
    <w:rsid w:val="00A82113"/>
    <w:rsid w:val="00A8721F"/>
    <w:rsid w:val="00AB19E1"/>
    <w:rsid w:val="00AF6B15"/>
    <w:rsid w:val="00AF7A7E"/>
    <w:rsid w:val="00B03A89"/>
    <w:rsid w:val="00B0576E"/>
    <w:rsid w:val="00B4797D"/>
    <w:rsid w:val="00BB18FE"/>
    <w:rsid w:val="00BC2A98"/>
    <w:rsid w:val="00BC63EE"/>
    <w:rsid w:val="00BE62EA"/>
    <w:rsid w:val="00BE6CB8"/>
    <w:rsid w:val="00C04A93"/>
    <w:rsid w:val="00C358F9"/>
    <w:rsid w:val="00C61FA5"/>
    <w:rsid w:val="00C64874"/>
    <w:rsid w:val="00C9659D"/>
    <w:rsid w:val="00C973C9"/>
    <w:rsid w:val="00CA4518"/>
    <w:rsid w:val="00CA613C"/>
    <w:rsid w:val="00CB18A9"/>
    <w:rsid w:val="00CB654C"/>
    <w:rsid w:val="00CC132D"/>
    <w:rsid w:val="00CC3CC4"/>
    <w:rsid w:val="00DD4F95"/>
    <w:rsid w:val="00DF3778"/>
    <w:rsid w:val="00E226AE"/>
    <w:rsid w:val="00E24DE2"/>
    <w:rsid w:val="00E35C5F"/>
    <w:rsid w:val="00E44975"/>
    <w:rsid w:val="00E451CF"/>
    <w:rsid w:val="00E80A19"/>
    <w:rsid w:val="00EA2571"/>
    <w:rsid w:val="00EC387E"/>
    <w:rsid w:val="00EE2B14"/>
    <w:rsid w:val="00F02480"/>
    <w:rsid w:val="00F25AA3"/>
    <w:rsid w:val="00F453C0"/>
    <w:rsid w:val="00F66BC9"/>
    <w:rsid w:val="00F705B3"/>
    <w:rsid w:val="00F93512"/>
    <w:rsid w:val="00FC1B72"/>
    <w:rsid w:val="00FD31F4"/>
    <w:rsid w:val="00FE3A52"/>
    <w:rsid w:val="00FE4897"/>
    <w:rsid w:val="00FE4B79"/>
    <w:rsid w:val="011735B7"/>
    <w:rsid w:val="01213882"/>
    <w:rsid w:val="01217188"/>
    <w:rsid w:val="012750F2"/>
    <w:rsid w:val="012810B4"/>
    <w:rsid w:val="012D4559"/>
    <w:rsid w:val="01321878"/>
    <w:rsid w:val="013578FE"/>
    <w:rsid w:val="013E4434"/>
    <w:rsid w:val="01402D20"/>
    <w:rsid w:val="01416D5A"/>
    <w:rsid w:val="014B1167"/>
    <w:rsid w:val="01543C57"/>
    <w:rsid w:val="015C2B0C"/>
    <w:rsid w:val="016960CD"/>
    <w:rsid w:val="0176078F"/>
    <w:rsid w:val="01760C21"/>
    <w:rsid w:val="017716F4"/>
    <w:rsid w:val="018E53BB"/>
    <w:rsid w:val="01944054"/>
    <w:rsid w:val="019E4ED3"/>
    <w:rsid w:val="01AD3D6D"/>
    <w:rsid w:val="01AD47CF"/>
    <w:rsid w:val="01B12E58"/>
    <w:rsid w:val="01C56903"/>
    <w:rsid w:val="01DC211B"/>
    <w:rsid w:val="01E42B8F"/>
    <w:rsid w:val="01EC5C3E"/>
    <w:rsid w:val="01ED1932"/>
    <w:rsid w:val="01EF5ACF"/>
    <w:rsid w:val="01F25C95"/>
    <w:rsid w:val="01F268EB"/>
    <w:rsid w:val="01FB29A1"/>
    <w:rsid w:val="01FB40D3"/>
    <w:rsid w:val="01FF3BC3"/>
    <w:rsid w:val="0200416C"/>
    <w:rsid w:val="02080C9B"/>
    <w:rsid w:val="020D472F"/>
    <w:rsid w:val="0223165C"/>
    <w:rsid w:val="02274A0B"/>
    <w:rsid w:val="02291D71"/>
    <w:rsid w:val="023575E5"/>
    <w:rsid w:val="024C0171"/>
    <w:rsid w:val="026B5278"/>
    <w:rsid w:val="027D0F8C"/>
    <w:rsid w:val="02883A57"/>
    <w:rsid w:val="028C3301"/>
    <w:rsid w:val="0293252C"/>
    <w:rsid w:val="02963DFC"/>
    <w:rsid w:val="02973253"/>
    <w:rsid w:val="029F0F02"/>
    <w:rsid w:val="02AA05B6"/>
    <w:rsid w:val="02AA4008"/>
    <w:rsid w:val="02CD47AD"/>
    <w:rsid w:val="02E448D8"/>
    <w:rsid w:val="02E96323"/>
    <w:rsid w:val="02EC044F"/>
    <w:rsid w:val="02F07208"/>
    <w:rsid w:val="02F7469F"/>
    <w:rsid w:val="03031729"/>
    <w:rsid w:val="030572BD"/>
    <w:rsid w:val="030E49DC"/>
    <w:rsid w:val="030F2FE6"/>
    <w:rsid w:val="030F42DA"/>
    <w:rsid w:val="030F59F5"/>
    <w:rsid w:val="03253AFD"/>
    <w:rsid w:val="03272CE4"/>
    <w:rsid w:val="032D29B2"/>
    <w:rsid w:val="03327D14"/>
    <w:rsid w:val="033344E9"/>
    <w:rsid w:val="0340382B"/>
    <w:rsid w:val="034B4D86"/>
    <w:rsid w:val="035270CB"/>
    <w:rsid w:val="03581002"/>
    <w:rsid w:val="036C30D8"/>
    <w:rsid w:val="037A6C5D"/>
    <w:rsid w:val="03824AAC"/>
    <w:rsid w:val="03870342"/>
    <w:rsid w:val="039676A9"/>
    <w:rsid w:val="03993379"/>
    <w:rsid w:val="03A61C60"/>
    <w:rsid w:val="03B33B11"/>
    <w:rsid w:val="03C36E72"/>
    <w:rsid w:val="03CA0D0F"/>
    <w:rsid w:val="03CF3A69"/>
    <w:rsid w:val="03D302B7"/>
    <w:rsid w:val="03DE426F"/>
    <w:rsid w:val="03E017D2"/>
    <w:rsid w:val="03ED6FF0"/>
    <w:rsid w:val="03F11C32"/>
    <w:rsid w:val="040C0819"/>
    <w:rsid w:val="040C28C9"/>
    <w:rsid w:val="04121DF7"/>
    <w:rsid w:val="041D42E4"/>
    <w:rsid w:val="041D47D5"/>
    <w:rsid w:val="041F04D1"/>
    <w:rsid w:val="042127CC"/>
    <w:rsid w:val="042131C6"/>
    <w:rsid w:val="04230778"/>
    <w:rsid w:val="04274B46"/>
    <w:rsid w:val="043B4897"/>
    <w:rsid w:val="043F628E"/>
    <w:rsid w:val="04545AB7"/>
    <w:rsid w:val="045B40E9"/>
    <w:rsid w:val="045C715D"/>
    <w:rsid w:val="04612D8D"/>
    <w:rsid w:val="04620439"/>
    <w:rsid w:val="0473446B"/>
    <w:rsid w:val="0477506C"/>
    <w:rsid w:val="04914B02"/>
    <w:rsid w:val="04935B9A"/>
    <w:rsid w:val="04A2256B"/>
    <w:rsid w:val="04B2316F"/>
    <w:rsid w:val="04BB2EE9"/>
    <w:rsid w:val="04BE48B3"/>
    <w:rsid w:val="04C14277"/>
    <w:rsid w:val="04C60DC9"/>
    <w:rsid w:val="04CF164D"/>
    <w:rsid w:val="04D72812"/>
    <w:rsid w:val="04E10377"/>
    <w:rsid w:val="04E83C9D"/>
    <w:rsid w:val="04EB042F"/>
    <w:rsid w:val="04EF420C"/>
    <w:rsid w:val="04F2333C"/>
    <w:rsid w:val="04F27A0F"/>
    <w:rsid w:val="04F512AE"/>
    <w:rsid w:val="04FC43EA"/>
    <w:rsid w:val="04FE4606"/>
    <w:rsid w:val="05094D59"/>
    <w:rsid w:val="05096B07"/>
    <w:rsid w:val="051A6F66"/>
    <w:rsid w:val="051E2E61"/>
    <w:rsid w:val="052027CE"/>
    <w:rsid w:val="052430BE"/>
    <w:rsid w:val="052E3554"/>
    <w:rsid w:val="05303FE9"/>
    <w:rsid w:val="05446733"/>
    <w:rsid w:val="054705CD"/>
    <w:rsid w:val="05557F9E"/>
    <w:rsid w:val="05597B92"/>
    <w:rsid w:val="05750DA3"/>
    <w:rsid w:val="0593248D"/>
    <w:rsid w:val="059D0AE0"/>
    <w:rsid w:val="05A65B82"/>
    <w:rsid w:val="05AC010D"/>
    <w:rsid w:val="05B06466"/>
    <w:rsid w:val="05B67E17"/>
    <w:rsid w:val="05C50C80"/>
    <w:rsid w:val="05C911BE"/>
    <w:rsid w:val="05CB6565"/>
    <w:rsid w:val="05D215EF"/>
    <w:rsid w:val="05D639AB"/>
    <w:rsid w:val="05D71BC0"/>
    <w:rsid w:val="05D90BCF"/>
    <w:rsid w:val="05D94D18"/>
    <w:rsid w:val="05E55DA7"/>
    <w:rsid w:val="05EF3F75"/>
    <w:rsid w:val="05F61137"/>
    <w:rsid w:val="05FB35B9"/>
    <w:rsid w:val="05FE0636"/>
    <w:rsid w:val="06100EC5"/>
    <w:rsid w:val="061917E8"/>
    <w:rsid w:val="06221DDD"/>
    <w:rsid w:val="062430A3"/>
    <w:rsid w:val="0624738B"/>
    <w:rsid w:val="06257970"/>
    <w:rsid w:val="06390142"/>
    <w:rsid w:val="063B7194"/>
    <w:rsid w:val="06425EE4"/>
    <w:rsid w:val="0648105B"/>
    <w:rsid w:val="064A7480"/>
    <w:rsid w:val="06514C09"/>
    <w:rsid w:val="06546606"/>
    <w:rsid w:val="0656243E"/>
    <w:rsid w:val="06587434"/>
    <w:rsid w:val="0668710A"/>
    <w:rsid w:val="066F0D8B"/>
    <w:rsid w:val="067508F8"/>
    <w:rsid w:val="06864E46"/>
    <w:rsid w:val="0686681D"/>
    <w:rsid w:val="068C23CE"/>
    <w:rsid w:val="068C289D"/>
    <w:rsid w:val="0698500E"/>
    <w:rsid w:val="06A70918"/>
    <w:rsid w:val="06B46E8B"/>
    <w:rsid w:val="06C46479"/>
    <w:rsid w:val="06D4215C"/>
    <w:rsid w:val="06D66EBD"/>
    <w:rsid w:val="06DA6858"/>
    <w:rsid w:val="06DE2F76"/>
    <w:rsid w:val="06E36073"/>
    <w:rsid w:val="06F51A39"/>
    <w:rsid w:val="07093827"/>
    <w:rsid w:val="070C3631"/>
    <w:rsid w:val="070E4566"/>
    <w:rsid w:val="0712037E"/>
    <w:rsid w:val="07283BBC"/>
    <w:rsid w:val="072F789F"/>
    <w:rsid w:val="073378B2"/>
    <w:rsid w:val="07391925"/>
    <w:rsid w:val="073A5092"/>
    <w:rsid w:val="073C2A99"/>
    <w:rsid w:val="074D717F"/>
    <w:rsid w:val="07515EA8"/>
    <w:rsid w:val="07616ECC"/>
    <w:rsid w:val="07634BF4"/>
    <w:rsid w:val="078F4109"/>
    <w:rsid w:val="07962D6B"/>
    <w:rsid w:val="07A13219"/>
    <w:rsid w:val="07A1396F"/>
    <w:rsid w:val="07A7028F"/>
    <w:rsid w:val="07AD124E"/>
    <w:rsid w:val="07B06A11"/>
    <w:rsid w:val="07B40FAC"/>
    <w:rsid w:val="07C66F31"/>
    <w:rsid w:val="07DE3C0F"/>
    <w:rsid w:val="07E51AAD"/>
    <w:rsid w:val="07EA70C4"/>
    <w:rsid w:val="07FF51D6"/>
    <w:rsid w:val="08012DED"/>
    <w:rsid w:val="080638CF"/>
    <w:rsid w:val="080737D2"/>
    <w:rsid w:val="08075E2A"/>
    <w:rsid w:val="08251B96"/>
    <w:rsid w:val="08274163"/>
    <w:rsid w:val="082B13DE"/>
    <w:rsid w:val="082E6E32"/>
    <w:rsid w:val="08397703"/>
    <w:rsid w:val="0841362A"/>
    <w:rsid w:val="084D792E"/>
    <w:rsid w:val="08520FAA"/>
    <w:rsid w:val="085675AE"/>
    <w:rsid w:val="08591B53"/>
    <w:rsid w:val="085E77FD"/>
    <w:rsid w:val="085F69CC"/>
    <w:rsid w:val="08636EA5"/>
    <w:rsid w:val="08751602"/>
    <w:rsid w:val="08773A77"/>
    <w:rsid w:val="087A2F56"/>
    <w:rsid w:val="08892439"/>
    <w:rsid w:val="088D1DF0"/>
    <w:rsid w:val="0895449E"/>
    <w:rsid w:val="08993B60"/>
    <w:rsid w:val="08997E46"/>
    <w:rsid w:val="089D2F1C"/>
    <w:rsid w:val="08B16379"/>
    <w:rsid w:val="08B3707C"/>
    <w:rsid w:val="08B60493"/>
    <w:rsid w:val="08C118F2"/>
    <w:rsid w:val="08C76A09"/>
    <w:rsid w:val="08D8231C"/>
    <w:rsid w:val="08E236EE"/>
    <w:rsid w:val="08E6788B"/>
    <w:rsid w:val="08E85D7D"/>
    <w:rsid w:val="08F20C25"/>
    <w:rsid w:val="08F46D0E"/>
    <w:rsid w:val="09011FEB"/>
    <w:rsid w:val="090D60CD"/>
    <w:rsid w:val="09132DDF"/>
    <w:rsid w:val="0914475E"/>
    <w:rsid w:val="09154475"/>
    <w:rsid w:val="091617A7"/>
    <w:rsid w:val="091968E1"/>
    <w:rsid w:val="091C785E"/>
    <w:rsid w:val="09222E27"/>
    <w:rsid w:val="092403B3"/>
    <w:rsid w:val="094A0152"/>
    <w:rsid w:val="094A57E4"/>
    <w:rsid w:val="094B2911"/>
    <w:rsid w:val="094C4E96"/>
    <w:rsid w:val="094D03AD"/>
    <w:rsid w:val="095F3199"/>
    <w:rsid w:val="0966277A"/>
    <w:rsid w:val="096D37CB"/>
    <w:rsid w:val="096F1AE4"/>
    <w:rsid w:val="097E5D15"/>
    <w:rsid w:val="09855E10"/>
    <w:rsid w:val="09975029"/>
    <w:rsid w:val="09A57843"/>
    <w:rsid w:val="09AD380B"/>
    <w:rsid w:val="09B41737"/>
    <w:rsid w:val="09C45CB0"/>
    <w:rsid w:val="09CC1520"/>
    <w:rsid w:val="09CE37BB"/>
    <w:rsid w:val="09D77503"/>
    <w:rsid w:val="09D93E9F"/>
    <w:rsid w:val="09DC7F62"/>
    <w:rsid w:val="09E702DD"/>
    <w:rsid w:val="09FF3009"/>
    <w:rsid w:val="0A040C77"/>
    <w:rsid w:val="0A0730DA"/>
    <w:rsid w:val="0A0B1D7B"/>
    <w:rsid w:val="0A1A0488"/>
    <w:rsid w:val="0A1B17B6"/>
    <w:rsid w:val="0A1C2BA7"/>
    <w:rsid w:val="0A1F3915"/>
    <w:rsid w:val="0A2E1E11"/>
    <w:rsid w:val="0A307A11"/>
    <w:rsid w:val="0A3C329E"/>
    <w:rsid w:val="0A424F95"/>
    <w:rsid w:val="0A4B365E"/>
    <w:rsid w:val="0A4F016A"/>
    <w:rsid w:val="0A5B7990"/>
    <w:rsid w:val="0A61170A"/>
    <w:rsid w:val="0A654AF4"/>
    <w:rsid w:val="0A7A254C"/>
    <w:rsid w:val="0A7E5C43"/>
    <w:rsid w:val="0A8D0141"/>
    <w:rsid w:val="0A8F3B95"/>
    <w:rsid w:val="0A972554"/>
    <w:rsid w:val="0A9F7E49"/>
    <w:rsid w:val="0AB209C1"/>
    <w:rsid w:val="0AB76240"/>
    <w:rsid w:val="0ABF0C3B"/>
    <w:rsid w:val="0AC77D5E"/>
    <w:rsid w:val="0AEB7442"/>
    <w:rsid w:val="0AFD0993"/>
    <w:rsid w:val="0B0407BF"/>
    <w:rsid w:val="0B073AE9"/>
    <w:rsid w:val="0B0C08E4"/>
    <w:rsid w:val="0B0D762C"/>
    <w:rsid w:val="0B0E4BFA"/>
    <w:rsid w:val="0B1A1D51"/>
    <w:rsid w:val="0B260D9C"/>
    <w:rsid w:val="0B354AFA"/>
    <w:rsid w:val="0B3C0765"/>
    <w:rsid w:val="0B4D03A4"/>
    <w:rsid w:val="0B61201C"/>
    <w:rsid w:val="0B6251C3"/>
    <w:rsid w:val="0B6354FE"/>
    <w:rsid w:val="0B67028E"/>
    <w:rsid w:val="0B6727D9"/>
    <w:rsid w:val="0B6849F7"/>
    <w:rsid w:val="0B830397"/>
    <w:rsid w:val="0B897D58"/>
    <w:rsid w:val="0B9335CE"/>
    <w:rsid w:val="0B995531"/>
    <w:rsid w:val="0B9A577A"/>
    <w:rsid w:val="0BB112BA"/>
    <w:rsid w:val="0BB44107"/>
    <w:rsid w:val="0BB73761"/>
    <w:rsid w:val="0BCB4B16"/>
    <w:rsid w:val="0BD21400"/>
    <w:rsid w:val="0BD364C5"/>
    <w:rsid w:val="0BD75BB1"/>
    <w:rsid w:val="0BE71CED"/>
    <w:rsid w:val="0BF36E56"/>
    <w:rsid w:val="0BF91683"/>
    <w:rsid w:val="0BFB3484"/>
    <w:rsid w:val="0C0818D7"/>
    <w:rsid w:val="0C164CA5"/>
    <w:rsid w:val="0C3638D3"/>
    <w:rsid w:val="0C3721AC"/>
    <w:rsid w:val="0C4432EA"/>
    <w:rsid w:val="0C4704F4"/>
    <w:rsid w:val="0C596BDC"/>
    <w:rsid w:val="0C62191E"/>
    <w:rsid w:val="0C667D22"/>
    <w:rsid w:val="0C6B2558"/>
    <w:rsid w:val="0C770F2F"/>
    <w:rsid w:val="0C7808D5"/>
    <w:rsid w:val="0C7867C9"/>
    <w:rsid w:val="0C787BD2"/>
    <w:rsid w:val="0C8B4B82"/>
    <w:rsid w:val="0CAE02BD"/>
    <w:rsid w:val="0CBD5328"/>
    <w:rsid w:val="0CBE2E2C"/>
    <w:rsid w:val="0CBE609B"/>
    <w:rsid w:val="0CD050F7"/>
    <w:rsid w:val="0CD130AE"/>
    <w:rsid w:val="0CD9002F"/>
    <w:rsid w:val="0CDB088C"/>
    <w:rsid w:val="0CE265BB"/>
    <w:rsid w:val="0CE92E7A"/>
    <w:rsid w:val="0CEB078E"/>
    <w:rsid w:val="0CEB07A4"/>
    <w:rsid w:val="0CFB7BE3"/>
    <w:rsid w:val="0CFE7438"/>
    <w:rsid w:val="0CFF0F1B"/>
    <w:rsid w:val="0D0167F3"/>
    <w:rsid w:val="0D0A63B0"/>
    <w:rsid w:val="0D106381"/>
    <w:rsid w:val="0D11084D"/>
    <w:rsid w:val="0D1D75F3"/>
    <w:rsid w:val="0D2D3C31"/>
    <w:rsid w:val="0D2E1801"/>
    <w:rsid w:val="0D3143D6"/>
    <w:rsid w:val="0D33563C"/>
    <w:rsid w:val="0D372A71"/>
    <w:rsid w:val="0D401D3C"/>
    <w:rsid w:val="0D407BD1"/>
    <w:rsid w:val="0D486637"/>
    <w:rsid w:val="0D4E23F8"/>
    <w:rsid w:val="0D4F3444"/>
    <w:rsid w:val="0D5A2977"/>
    <w:rsid w:val="0D600C78"/>
    <w:rsid w:val="0D747094"/>
    <w:rsid w:val="0D7A6871"/>
    <w:rsid w:val="0D821C8D"/>
    <w:rsid w:val="0D8C6FB6"/>
    <w:rsid w:val="0D924BE7"/>
    <w:rsid w:val="0D927FE1"/>
    <w:rsid w:val="0D984A85"/>
    <w:rsid w:val="0D9E0EC3"/>
    <w:rsid w:val="0D9F2C47"/>
    <w:rsid w:val="0DA85472"/>
    <w:rsid w:val="0DB56AD5"/>
    <w:rsid w:val="0DCD277D"/>
    <w:rsid w:val="0DD00B0A"/>
    <w:rsid w:val="0DD02F0F"/>
    <w:rsid w:val="0DD4472D"/>
    <w:rsid w:val="0DD65296"/>
    <w:rsid w:val="0DDA330C"/>
    <w:rsid w:val="0DDC6AC8"/>
    <w:rsid w:val="0DF74BCD"/>
    <w:rsid w:val="0DFE6F3D"/>
    <w:rsid w:val="0DFF38F5"/>
    <w:rsid w:val="0DFF5663"/>
    <w:rsid w:val="0E0E0F24"/>
    <w:rsid w:val="0E0F0CB5"/>
    <w:rsid w:val="0E115517"/>
    <w:rsid w:val="0E166328"/>
    <w:rsid w:val="0E181DD2"/>
    <w:rsid w:val="0E216FB2"/>
    <w:rsid w:val="0E245572"/>
    <w:rsid w:val="0E2F12B5"/>
    <w:rsid w:val="0E303356"/>
    <w:rsid w:val="0E370B89"/>
    <w:rsid w:val="0E3B2303"/>
    <w:rsid w:val="0E48771C"/>
    <w:rsid w:val="0E492AD6"/>
    <w:rsid w:val="0E4A266A"/>
    <w:rsid w:val="0E4A75E7"/>
    <w:rsid w:val="0E4B1A1C"/>
    <w:rsid w:val="0E4E1973"/>
    <w:rsid w:val="0E4E690C"/>
    <w:rsid w:val="0E5057A7"/>
    <w:rsid w:val="0E583092"/>
    <w:rsid w:val="0E6476BF"/>
    <w:rsid w:val="0E6C173F"/>
    <w:rsid w:val="0E6F369E"/>
    <w:rsid w:val="0E833B53"/>
    <w:rsid w:val="0E9059C9"/>
    <w:rsid w:val="0ECD3AFC"/>
    <w:rsid w:val="0ECE4277"/>
    <w:rsid w:val="0ED9085A"/>
    <w:rsid w:val="0ED97810"/>
    <w:rsid w:val="0EDB1514"/>
    <w:rsid w:val="0EDD528C"/>
    <w:rsid w:val="0EDF667F"/>
    <w:rsid w:val="0EE63E94"/>
    <w:rsid w:val="0EFD1F78"/>
    <w:rsid w:val="0EFE5203"/>
    <w:rsid w:val="0F022F45"/>
    <w:rsid w:val="0F025AA2"/>
    <w:rsid w:val="0F045710"/>
    <w:rsid w:val="0F086002"/>
    <w:rsid w:val="0F10218A"/>
    <w:rsid w:val="0F1133CB"/>
    <w:rsid w:val="0F136F00"/>
    <w:rsid w:val="0F171F2F"/>
    <w:rsid w:val="0F1A66DA"/>
    <w:rsid w:val="0F1C4395"/>
    <w:rsid w:val="0F2033CB"/>
    <w:rsid w:val="0F2049D9"/>
    <w:rsid w:val="0F244060"/>
    <w:rsid w:val="0F2E7521"/>
    <w:rsid w:val="0F34210D"/>
    <w:rsid w:val="0F36156E"/>
    <w:rsid w:val="0F36163F"/>
    <w:rsid w:val="0F4712BC"/>
    <w:rsid w:val="0F507F63"/>
    <w:rsid w:val="0F650A43"/>
    <w:rsid w:val="0F651E25"/>
    <w:rsid w:val="0F6B5CB4"/>
    <w:rsid w:val="0F7255B0"/>
    <w:rsid w:val="0F75205B"/>
    <w:rsid w:val="0F7A5ED1"/>
    <w:rsid w:val="0F7C2CF7"/>
    <w:rsid w:val="0F835181"/>
    <w:rsid w:val="0F8B2F3A"/>
    <w:rsid w:val="0F8F0B44"/>
    <w:rsid w:val="0F931DEF"/>
    <w:rsid w:val="0F9818B2"/>
    <w:rsid w:val="0FA32055"/>
    <w:rsid w:val="0FBA381F"/>
    <w:rsid w:val="0FD404AB"/>
    <w:rsid w:val="0FD41F8C"/>
    <w:rsid w:val="0FD5064C"/>
    <w:rsid w:val="0FDB17A1"/>
    <w:rsid w:val="0FE4264A"/>
    <w:rsid w:val="0FEB72DA"/>
    <w:rsid w:val="0FEC4F8D"/>
    <w:rsid w:val="0FFE2967"/>
    <w:rsid w:val="100823C5"/>
    <w:rsid w:val="102240E3"/>
    <w:rsid w:val="10240CB1"/>
    <w:rsid w:val="1025642B"/>
    <w:rsid w:val="103934FC"/>
    <w:rsid w:val="103A1754"/>
    <w:rsid w:val="103A3441"/>
    <w:rsid w:val="103E0032"/>
    <w:rsid w:val="10424DA3"/>
    <w:rsid w:val="104272FC"/>
    <w:rsid w:val="10446ACA"/>
    <w:rsid w:val="105974F3"/>
    <w:rsid w:val="1066305F"/>
    <w:rsid w:val="1074577C"/>
    <w:rsid w:val="107F4121"/>
    <w:rsid w:val="109113BA"/>
    <w:rsid w:val="1096503C"/>
    <w:rsid w:val="10B14C84"/>
    <w:rsid w:val="10B4325A"/>
    <w:rsid w:val="10B84D24"/>
    <w:rsid w:val="10BA6FC7"/>
    <w:rsid w:val="10BC5375"/>
    <w:rsid w:val="10C26FAA"/>
    <w:rsid w:val="10C34956"/>
    <w:rsid w:val="10DE0EA0"/>
    <w:rsid w:val="10DE0FE7"/>
    <w:rsid w:val="10E24DDC"/>
    <w:rsid w:val="10E723F2"/>
    <w:rsid w:val="10F16DCD"/>
    <w:rsid w:val="10F64E98"/>
    <w:rsid w:val="111B6D01"/>
    <w:rsid w:val="111C21D1"/>
    <w:rsid w:val="11230F50"/>
    <w:rsid w:val="112847B9"/>
    <w:rsid w:val="11297EC9"/>
    <w:rsid w:val="112A73BC"/>
    <w:rsid w:val="112D1D65"/>
    <w:rsid w:val="112F5719"/>
    <w:rsid w:val="11324816"/>
    <w:rsid w:val="113413B0"/>
    <w:rsid w:val="11382AEB"/>
    <w:rsid w:val="1138502A"/>
    <w:rsid w:val="113A2CC7"/>
    <w:rsid w:val="113B559F"/>
    <w:rsid w:val="113D1D1F"/>
    <w:rsid w:val="11445B39"/>
    <w:rsid w:val="115B06EA"/>
    <w:rsid w:val="115D0985"/>
    <w:rsid w:val="11666AD7"/>
    <w:rsid w:val="116E48C1"/>
    <w:rsid w:val="11743D41"/>
    <w:rsid w:val="117644DF"/>
    <w:rsid w:val="11880F61"/>
    <w:rsid w:val="118B7221"/>
    <w:rsid w:val="1192281F"/>
    <w:rsid w:val="11A26319"/>
    <w:rsid w:val="11A55A92"/>
    <w:rsid w:val="11A85EAF"/>
    <w:rsid w:val="11BA29F1"/>
    <w:rsid w:val="11C049F1"/>
    <w:rsid w:val="11C40778"/>
    <w:rsid w:val="11C95F9C"/>
    <w:rsid w:val="11CD3EFF"/>
    <w:rsid w:val="11CE35B2"/>
    <w:rsid w:val="11CF018F"/>
    <w:rsid w:val="11EE77B0"/>
    <w:rsid w:val="11F27637"/>
    <w:rsid w:val="11F36B75"/>
    <w:rsid w:val="11FE3DF8"/>
    <w:rsid w:val="120A7545"/>
    <w:rsid w:val="120E5971"/>
    <w:rsid w:val="12112DBF"/>
    <w:rsid w:val="121210FD"/>
    <w:rsid w:val="12121D48"/>
    <w:rsid w:val="12222CD4"/>
    <w:rsid w:val="123934AE"/>
    <w:rsid w:val="123C2DAE"/>
    <w:rsid w:val="123C676E"/>
    <w:rsid w:val="123D20FE"/>
    <w:rsid w:val="12482D86"/>
    <w:rsid w:val="124878CD"/>
    <w:rsid w:val="124B4111"/>
    <w:rsid w:val="12500CC4"/>
    <w:rsid w:val="125515DD"/>
    <w:rsid w:val="12610195"/>
    <w:rsid w:val="126924BD"/>
    <w:rsid w:val="126F1938"/>
    <w:rsid w:val="1272411B"/>
    <w:rsid w:val="127476F0"/>
    <w:rsid w:val="1280154D"/>
    <w:rsid w:val="1280618E"/>
    <w:rsid w:val="129465AA"/>
    <w:rsid w:val="129A025D"/>
    <w:rsid w:val="12A06CFD"/>
    <w:rsid w:val="12B06C64"/>
    <w:rsid w:val="12B45369"/>
    <w:rsid w:val="12C83E7C"/>
    <w:rsid w:val="12D76496"/>
    <w:rsid w:val="12DB157D"/>
    <w:rsid w:val="12DB7D35"/>
    <w:rsid w:val="12E64C99"/>
    <w:rsid w:val="130A4B79"/>
    <w:rsid w:val="131A3A0D"/>
    <w:rsid w:val="13207980"/>
    <w:rsid w:val="1324619E"/>
    <w:rsid w:val="13280AA0"/>
    <w:rsid w:val="132971BE"/>
    <w:rsid w:val="1336253F"/>
    <w:rsid w:val="13381823"/>
    <w:rsid w:val="134008C9"/>
    <w:rsid w:val="13425AF9"/>
    <w:rsid w:val="13451652"/>
    <w:rsid w:val="13491142"/>
    <w:rsid w:val="135F3B89"/>
    <w:rsid w:val="136A730B"/>
    <w:rsid w:val="13765CAF"/>
    <w:rsid w:val="1379791F"/>
    <w:rsid w:val="137A786A"/>
    <w:rsid w:val="13801AF8"/>
    <w:rsid w:val="13864303"/>
    <w:rsid w:val="138C7281"/>
    <w:rsid w:val="139452E8"/>
    <w:rsid w:val="139646DB"/>
    <w:rsid w:val="13A215BC"/>
    <w:rsid w:val="13A740BB"/>
    <w:rsid w:val="13BF593A"/>
    <w:rsid w:val="13CC5951"/>
    <w:rsid w:val="13CD4FA3"/>
    <w:rsid w:val="13D006F3"/>
    <w:rsid w:val="13D604FC"/>
    <w:rsid w:val="13E1022A"/>
    <w:rsid w:val="13F36368"/>
    <w:rsid w:val="13FD43BD"/>
    <w:rsid w:val="140137CB"/>
    <w:rsid w:val="14060624"/>
    <w:rsid w:val="14060DE1"/>
    <w:rsid w:val="14092951"/>
    <w:rsid w:val="14427CE5"/>
    <w:rsid w:val="14594BAD"/>
    <w:rsid w:val="145E3438"/>
    <w:rsid w:val="14733F9D"/>
    <w:rsid w:val="147B69EE"/>
    <w:rsid w:val="147E74D6"/>
    <w:rsid w:val="148F7029"/>
    <w:rsid w:val="149D34E2"/>
    <w:rsid w:val="149D6F99"/>
    <w:rsid w:val="14AB1578"/>
    <w:rsid w:val="14AD4D89"/>
    <w:rsid w:val="14B26DF3"/>
    <w:rsid w:val="14B27425"/>
    <w:rsid w:val="14BC0362"/>
    <w:rsid w:val="14CA4543"/>
    <w:rsid w:val="14DE3B0C"/>
    <w:rsid w:val="14DE6D51"/>
    <w:rsid w:val="14EA0703"/>
    <w:rsid w:val="14EB5612"/>
    <w:rsid w:val="14F11348"/>
    <w:rsid w:val="14F1210B"/>
    <w:rsid w:val="14F41582"/>
    <w:rsid w:val="1501259E"/>
    <w:rsid w:val="1501324B"/>
    <w:rsid w:val="15020A5A"/>
    <w:rsid w:val="1503790C"/>
    <w:rsid w:val="15051099"/>
    <w:rsid w:val="150B2427"/>
    <w:rsid w:val="151371F0"/>
    <w:rsid w:val="152419F0"/>
    <w:rsid w:val="15254ACF"/>
    <w:rsid w:val="15301CE3"/>
    <w:rsid w:val="15442DF3"/>
    <w:rsid w:val="15463B9F"/>
    <w:rsid w:val="15476E5D"/>
    <w:rsid w:val="1548499D"/>
    <w:rsid w:val="15502B4A"/>
    <w:rsid w:val="15545B7C"/>
    <w:rsid w:val="155D356A"/>
    <w:rsid w:val="15617451"/>
    <w:rsid w:val="156415FB"/>
    <w:rsid w:val="156D03E8"/>
    <w:rsid w:val="15763D45"/>
    <w:rsid w:val="157D50D3"/>
    <w:rsid w:val="159335B1"/>
    <w:rsid w:val="15966069"/>
    <w:rsid w:val="15976330"/>
    <w:rsid w:val="159B0AFE"/>
    <w:rsid w:val="15A178F4"/>
    <w:rsid w:val="15A46B04"/>
    <w:rsid w:val="15AA7E92"/>
    <w:rsid w:val="15AC1C8C"/>
    <w:rsid w:val="15B000A7"/>
    <w:rsid w:val="15B67B8D"/>
    <w:rsid w:val="15BB2224"/>
    <w:rsid w:val="15BC293A"/>
    <w:rsid w:val="15D77A8F"/>
    <w:rsid w:val="15D87D38"/>
    <w:rsid w:val="15DF5A38"/>
    <w:rsid w:val="15E50ECA"/>
    <w:rsid w:val="15F75C58"/>
    <w:rsid w:val="160E1119"/>
    <w:rsid w:val="160E1344"/>
    <w:rsid w:val="16113A6D"/>
    <w:rsid w:val="16134D55"/>
    <w:rsid w:val="16247C45"/>
    <w:rsid w:val="162872A5"/>
    <w:rsid w:val="162A0551"/>
    <w:rsid w:val="163C7697"/>
    <w:rsid w:val="16422A31"/>
    <w:rsid w:val="16487D93"/>
    <w:rsid w:val="165941D2"/>
    <w:rsid w:val="165D193E"/>
    <w:rsid w:val="16687394"/>
    <w:rsid w:val="16704C38"/>
    <w:rsid w:val="16747E6A"/>
    <w:rsid w:val="1678641F"/>
    <w:rsid w:val="167F131F"/>
    <w:rsid w:val="16816E45"/>
    <w:rsid w:val="168E4F39"/>
    <w:rsid w:val="168F3D98"/>
    <w:rsid w:val="16AC67DA"/>
    <w:rsid w:val="16B406E6"/>
    <w:rsid w:val="16BB00CB"/>
    <w:rsid w:val="16BE099A"/>
    <w:rsid w:val="16CC4147"/>
    <w:rsid w:val="16D90A2F"/>
    <w:rsid w:val="16DA0BFE"/>
    <w:rsid w:val="16DA15C6"/>
    <w:rsid w:val="16E15B36"/>
    <w:rsid w:val="16F2564D"/>
    <w:rsid w:val="16F94C2D"/>
    <w:rsid w:val="1703383F"/>
    <w:rsid w:val="17043B6B"/>
    <w:rsid w:val="17053E40"/>
    <w:rsid w:val="17125CEF"/>
    <w:rsid w:val="171332AE"/>
    <w:rsid w:val="17134FEB"/>
    <w:rsid w:val="17231539"/>
    <w:rsid w:val="17255A22"/>
    <w:rsid w:val="172668A5"/>
    <w:rsid w:val="173739A5"/>
    <w:rsid w:val="1740578A"/>
    <w:rsid w:val="17410950"/>
    <w:rsid w:val="175006AC"/>
    <w:rsid w:val="176E4011"/>
    <w:rsid w:val="17820677"/>
    <w:rsid w:val="178B3639"/>
    <w:rsid w:val="178C1176"/>
    <w:rsid w:val="1790654C"/>
    <w:rsid w:val="17932454"/>
    <w:rsid w:val="17973558"/>
    <w:rsid w:val="1799306B"/>
    <w:rsid w:val="17A10E21"/>
    <w:rsid w:val="17A23AA6"/>
    <w:rsid w:val="17A73E23"/>
    <w:rsid w:val="17B73CA7"/>
    <w:rsid w:val="17C50FB3"/>
    <w:rsid w:val="17DC2C86"/>
    <w:rsid w:val="17DE2FB7"/>
    <w:rsid w:val="17DF7A9B"/>
    <w:rsid w:val="17E54287"/>
    <w:rsid w:val="17EB1F69"/>
    <w:rsid w:val="17F8022C"/>
    <w:rsid w:val="18007FB7"/>
    <w:rsid w:val="180B097A"/>
    <w:rsid w:val="181250C7"/>
    <w:rsid w:val="18201D90"/>
    <w:rsid w:val="182F467F"/>
    <w:rsid w:val="18330B38"/>
    <w:rsid w:val="18346846"/>
    <w:rsid w:val="183C2C05"/>
    <w:rsid w:val="18422604"/>
    <w:rsid w:val="18495740"/>
    <w:rsid w:val="184A0384"/>
    <w:rsid w:val="184F2EC7"/>
    <w:rsid w:val="18686906"/>
    <w:rsid w:val="187A76DD"/>
    <w:rsid w:val="18807BC9"/>
    <w:rsid w:val="18923E6C"/>
    <w:rsid w:val="189A41EE"/>
    <w:rsid w:val="18BC4164"/>
    <w:rsid w:val="18C22912"/>
    <w:rsid w:val="18C354F3"/>
    <w:rsid w:val="18C82236"/>
    <w:rsid w:val="18CA6149"/>
    <w:rsid w:val="18DB556C"/>
    <w:rsid w:val="18E13BCB"/>
    <w:rsid w:val="18F40CCA"/>
    <w:rsid w:val="18FB2492"/>
    <w:rsid w:val="190F7192"/>
    <w:rsid w:val="1919109E"/>
    <w:rsid w:val="191B532F"/>
    <w:rsid w:val="191D3A09"/>
    <w:rsid w:val="191E4E5A"/>
    <w:rsid w:val="19235F91"/>
    <w:rsid w:val="19280D6A"/>
    <w:rsid w:val="192B36F1"/>
    <w:rsid w:val="192C01AD"/>
    <w:rsid w:val="192C7E63"/>
    <w:rsid w:val="19346A48"/>
    <w:rsid w:val="194523AD"/>
    <w:rsid w:val="19461C80"/>
    <w:rsid w:val="194B0958"/>
    <w:rsid w:val="194C486F"/>
    <w:rsid w:val="19563462"/>
    <w:rsid w:val="19583236"/>
    <w:rsid w:val="195B5E97"/>
    <w:rsid w:val="195D116F"/>
    <w:rsid w:val="197117EE"/>
    <w:rsid w:val="197565C7"/>
    <w:rsid w:val="19797777"/>
    <w:rsid w:val="197F5EAF"/>
    <w:rsid w:val="19826287"/>
    <w:rsid w:val="198E7E24"/>
    <w:rsid w:val="199D2E22"/>
    <w:rsid w:val="19A566D3"/>
    <w:rsid w:val="19A60971"/>
    <w:rsid w:val="19A74E14"/>
    <w:rsid w:val="19B1049B"/>
    <w:rsid w:val="19B10F32"/>
    <w:rsid w:val="19C2026A"/>
    <w:rsid w:val="19C37C20"/>
    <w:rsid w:val="19C72DC1"/>
    <w:rsid w:val="19CB024C"/>
    <w:rsid w:val="19DF37F7"/>
    <w:rsid w:val="19E2059A"/>
    <w:rsid w:val="19EB5189"/>
    <w:rsid w:val="19EE7BEF"/>
    <w:rsid w:val="19F06E8C"/>
    <w:rsid w:val="19F129E0"/>
    <w:rsid w:val="19F13982"/>
    <w:rsid w:val="19F41569"/>
    <w:rsid w:val="19F57251"/>
    <w:rsid w:val="19F9306E"/>
    <w:rsid w:val="1A004770"/>
    <w:rsid w:val="1A0758B3"/>
    <w:rsid w:val="1A310D6F"/>
    <w:rsid w:val="1A3146DE"/>
    <w:rsid w:val="1A367F46"/>
    <w:rsid w:val="1A3A7008"/>
    <w:rsid w:val="1A3C5ABC"/>
    <w:rsid w:val="1A411F5E"/>
    <w:rsid w:val="1A472588"/>
    <w:rsid w:val="1A4A3C49"/>
    <w:rsid w:val="1A4E507F"/>
    <w:rsid w:val="1A524EB9"/>
    <w:rsid w:val="1A543F2A"/>
    <w:rsid w:val="1A562762"/>
    <w:rsid w:val="1A592BA3"/>
    <w:rsid w:val="1A68518D"/>
    <w:rsid w:val="1A6C6807"/>
    <w:rsid w:val="1A772A39"/>
    <w:rsid w:val="1A7A0B84"/>
    <w:rsid w:val="1A8011C2"/>
    <w:rsid w:val="1A8629DD"/>
    <w:rsid w:val="1A961A44"/>
    <w:rsid w:val="1A966921"/>
    <w:rsid w:val="1AA44EB0"/>
    <w:rsid w:val="1AAD6166"/>
    <w:rsid w:val="1AB41597"/>
    <w:rsid w:val="1ABD61F0"/>
    <w:rsid w:val="1AC71E7C"/>
    <w:rsid w:val="1AC90DBB"/>
    <w:rsid w:val="1AC931B1"/>
    <w:rsid w:val="1ACF1846"/>
    <w:rsid w:val="1ADA3D99"/>
    <w:rsid w:val="1AE13749"/>
    <w:rsid w:val="1AE5074D"/>
    <w:rsid w:val="1AE9057A"/>
    <w:rsid w:val="1AF75104"/>
    <w:rsid w:val="1AFD0B75"/>
    <w:rsid w:val="1B040045"/>
    <w:rsid w:val="1B1326F6"/>
    <w:rsid w:val="1B135216"/>
    <w:rsid w:val="1B2C2A2F"/>
    <w:rsid w:val="1B304996"/>
    <w:rsid w:val="1B394582"/>
    <w:rsid w:val="1B505038"/>
    <w:rsid w:val="1B5878FA"/>
    <w:rsid w:val="1B6A60F1"/>
    <w:rsid w:val="1B7E7EFC"/>
    <w:rsid w:val="1B827CAD"/>
    <w:rsid w:val="1B890EBC"/>
    <w:rsid w:val="1B966A55"/>
    <w:rsid w:val="1B9E2DC0"/>
    <w:rsid w:val="1B9E3FF5"/>
    <w:rsid w:val="1B9E5092"/>
    <w:rsid w:val="1BA2712D"/>
    <w:rsid w:val="1BAA4FE0"/>
    <w:rsid w:val="1BB235FD"/>
    <w:rsid w:val="1BB600A8"/>
    <w:rsid w:val="1BB9782F"/>
    <w:rsid w:val="1BC61D23"/>
    <w:rsid w:val="1BCA6BEE"/>
    <w:rsid w:val="1BD605F3"/>
    <w:rsid w:val="1BDC0982"/>
    <w:rsid w:val="1BDE093F"/>
    <w:rsid w:val="1BE30881"/>
    <w:rsid w:val="1BE64303"/>
    <w:rsid w:val="1BF43C15"/>
    <w:rsid w:val="1BF56BB2"/>
    <w:rsid w:val="1BF63E31"/>
    <w:rsid w:val="1C000B7A"/>
    <w:rsid w:val="1C15431B"/>
    <w:rsid w:val="1C19367C"/>
    <w:rsid w:val="1C236C3E"/>
    <w:rsid w:val="1C26644A"/>
    <w:rsid w:val="1C2762F7"/>
    <w:rsid w:val="1C286E78"/>
    <w:rsid w:val="1C2A5889"/>
    <w:rsid w:val="1C2C65FB"/>
    <w:rsid w:val="1C3D0B8C"/>
    <w:rsid w:val="1C446907"/>
    <w:rsid w:val="1C452B63"/>
    <w:rsid w:val="1C457033"/>
    <w:rsid w:val="1C4B6499"/>
    <w:rsid w:val="1C4D37FB"/>
    <w:rsid w:val="1C512E16"/>
    <w:rsid w:val="1C525167"/>
    <w:rsid w:val="1C6313BF"/>
    <w:rsid w:val="1C75454E"/>
    <w:rsid w:val="1C9C170E"/>
    <w:rsid w:val="1C9E1527"/>
    <w:rsid w:val="1C9F23A9"/>
    <w:rsid w:val="1CA218C3"/>
    <w:rsid w:val="1CAC4A02"/>
    <w:rsid w:val="1CAD0E30"/>
    <w:rsid w:val="1CBD3239"/>
    <w:rsid w:val="1CBE6205"/>
    <w:rsid w:val="1CBF265C"/>
    <w:rsid w:val="1CC36ECC"/>
    <w:rsid w:val="1CD00AB1"/>
    <w:rsid w:val="1CD52DBE"/>
    <w:rsid w:val="1CE568D5"/>
    <w:rsid w:val="1CE974F2"/>
    <w:rsid w:val="1CEF6994"/>
    <w:rsid w:val="1CF243D5"/>
    <w:rsid w:val="1D0B7468"/>
    <w:rsid w:val="1D104E5D"/>
    <w:rsid w:val="1D241ADC"/>
    <w:rsid w:val="1D2C34D7"/>
    <w:rsid w:val="1D3229C4"/>
    <w:rsid w:val="1D352737"/>
    <w:rsid w:val="1D3C3AC6"/>
    <w:rsid w:val="1D3C7F8B"/>
    <w:rsid w:val="1D3D072B"/>
    <w:rsid w:val="1D440BCC"/>
    <w:rsid w:val="1D504EC1"/>
    <w:rsid w:val="1D5067B7"/>
    <w:rsid w:val="1D506B68"/>
    <w:rsid w:val="1D6841FD"/>
    <w:rsid w:val="1D6D574F"/>
    <w:rsid w:val="1D6E7BF3"/>
    <w:rsid w:val="1D7019C1"/>
    <w:rsid w:val="1D75262E"/>
    <w:rsid w:val="1D862C10"/>
    <w:rsid w:val="1D8D2F01"/>
    <w:rsid w:val="1D900E19"/>
    <w:rsid w:val="1D9942FA"/>
    <w:rsid w:val="1D9A259A"/>
    <w:rsid w:val="1D9B4C90"/>
    <w:rsid w:val="1D9B6A3E"/>
    <w:rsid w:val="1DA13929"/>
    <w:rsid w:val="1DA24400"/>
    <w:rsid w:val="1DA26897"/>
    <w:rsid w:val="1DA65E93"/>
    <w:rsid w:val="1DAB093B"/>
    <w:rsid w:val="1DC37D43"/>
    <w:rsid w:val="1DC40C17"/>
    <w:rsid w:val="1DC86484"/>
    <w:rsid w:val="1DCC1F1D"/>
    <w:rsid w:val="1DDA085A"/>
    <w:rsid w:val="1DDE0209"/>
    <w:rsid w:val="1DE45E85"/>
    <w:rsid w:val="1DEA2C0D"/>
    <w:rsid w:val="1DEC6F1E"/>
    <w:rsid w:val="1DF3687A"/>
    <w:rsid w:val="1DFB20B4"/>
    <w:rsid w:val="1E1C296E"/>
    <w:rsid w:val="1E2307E2"/>
    <w:rsid w:val="1E357A05"/>
    <w:rsid w:val="1E401A5B"/>
    <w:rsid w:val="1E456E29"/>
    <w:rsid w:val="1E476C2C"/>
    <w:rsid w:val="1E512650"/>
    <w:rsid w:val="1E6432D4"/>
    <w:rsid w:val="1E6C162B"/>
    <w:rsid w:val="1E6F1C79"/>
    <w:rsid w:val="1E7A6A99"/>
    <w:rsid w:val="1E9C208D"/>
    <w:rsid w:val="1E9C69E1"/>
    <w:rsid w:val="1E9D25A1"/>
    <w:rsid w:val="1E9E60BA"/>
    <w:rsid w:val="1EA650EA"/>
    <w:rsid w:val="1EAE454F"/>
    <w:rsid w:val="1EB740DE"/>
    <w:rsid w:val="1ECF467F"/>
    <w:rsid w:val="1EEC71ED"/>
    <w:rsid w:val="1EED151B"/>
    <w:rsid w:val="1EFA3C38"/>
    <w:rsid w:val="1EFA7794"/>
    <w:rsid w:val="1EFC175F"/>
    <w:rsid w:val="1F0423C1"/>
    <w:rsid w:val="1F0A6271"/>
    <w:rsid w:val="1F0B6573"/>
    <w:rsid w:val="1F130856"/>
    <w:rsid w:val="1F244811"/>
    <w:rsid w:val="1F2D6C14"/>
    <w:rsid w:val="1F3F164B"/>
    <w:rsid w:val="1F432A95"/>
    <w:rsid w:val="1F4520AD"/>
    <w:rsid w:val="1F4D092E"/>
    <w:rsid w:val="1F501AAA"/>
    <w:rsid w:val="1F530095"/>
    <w:rsid w:val="1F576995"/>
    <w:rsid w:val="1F5A59ED"/>
    <w:rsid w:val="1F65724C"/>
    <w:rsid w:val="1F657EE2"/>
    <w:rsid w:val="1F6704AB"/>
    <w:rsid w:val="1F6B41EE"/>
    <w:rsid w:val="1F6E0D46"/>
    <w:rsid w:val="1F721595"/>
    <w:rsid w:val="1F784E52"/>
    <w:rsid w:val="1F850A65"/>
    <w:rsid w:val="1F8E0C2C"/>
    <w:rsid w:val="1F8F4478"/>
    <w:rsid w:val="1F9D528C"/>
    <w:rsid w:val="1FA546D9"/>
    <w:rsid w:val="1FAB0A8F"/>
    <w:rsid w:val="1FB3653F"/>
    <w:rsid w:val="1FB47C0B"/>
    <w:rsid w:val="1FBF0142"/>
    <w:rsid w:val="1FBF21A2"/>
    <w:rsid w:val="1FD83465"/>
    <w:rsid w:val="1FDA0514"/>
    <w:rsid w:val="1FDA3742"/>
    <w:rsid w:val="1FDF393D"/>
    <w:rsid w:val="1FE30229"/>
    <w:rsid w:val="1FF3580A"/>
    <w:rsid w:val="200143C1"/>
    <w:rsid w:val="20022A1A"/>
    <w:rsid w:val="2003235A"/>
    <w:rsid w:val="2003323B"/>
    <w:rsid w:val="20041655"/>
    <w:rsid w:val="2004451B"/>
    <w:rsid w:val="20081CEB"/>
    <w:rsid w:val="20127FCD"/>
    <w:rsid w:val="202027F6"/>
    <w:rsid w:val="20257228"/>
    <w:rsid w:val="20257F62"/>
    <w:rsid w:val="20345BD4"/>
    <w:rsid w:val="203D5355"/>
    <w:rsid w:val="203E1903"/>
    <w:rsid w:val="2042780D"/>
    <w:rsid w:val="204809D3"/>
    <w:rsid w:val="204A2868"/>
    <w:rsid w:val="204A7D65"/>
    <w:rsid w:val="204C4020"/>
    <w:rsid w:val="204F3B10"/>
    <w:rsid w:val="205059AE"/>
    <w:rsid w:val="20522205"/>
    <w:rsid w:val="205521AB"/>
    <w:rsid w:val="205722C9"/>
    <w:rsid w:val="206A094A"/>
    <w:rsid w:val="206E40E4"/>
    <w:rsid w:val="20735A50"/>
    <w:rsid w:val="207863E8"/>
    <w:rsid w:val="207C0588"/>
    <w:rsid w:val="208028FC"/>
    <w:rsid w:val="20856C7D"/>
    <w:rsid w:val="2089614E"/>
    <w:rsid w:val="208C361B"/>
    <w:rsid w:val="20A77D0F"/>
    <w:rsid w:val="20A96608"/>
    <w:rsid w:val="20B01024"/>
    <w:rsid w:val="20B147CB"/>
    <w:rsid w:val="20B530D6"/>
    <w:rsid w:val="20B549B1"/>
    <w:rsid w:val="20B816B5"/>
    <w:rsid w:val="20BB3040"/>
    <w:rsid w:val="20C83EF2"/>
    <w:rsid w:val="20CA1E59"/>
    <w:rsid w:val="20CC747B"/>
    <w:rsid w:val="20CF4C51"/>
    <w:rsid w:val="20DF4F4D"/>
    <w:rsid w:val="20E137E7"/>
    <w:rsid w:val="20E406FC"/>
    <w:rsid w:val="20E94DCA"/>
    <w:rsid w:val="20F16975"/>
    <w:rsid w:val="20F3266E"/>
    <w:rsid w:val="21064777"/>
    <w:rsid w:val="210A0E0A"/>
    <w:rsid w:val="210A7749"/>
    <w:rsid w:val="210D2826"/>
    <w:rsid w:val="211A7416"/>
    <w:rsid w:val="21200226"/>
    <w:rsid w:val="212102F6"/>
    <w:rsid w:val="21213BA6"/>
    <w:rsid w:val="212335D1"/>
    <w:rsid w:val="212E43E6"/>
    <w:rsid w:val="213116A9"/>
    <w:rsid w:val="21366A7E"/>
    <w:rsid w:val="21442F49"/>
    <w:rsid w:val="215B3E32"/>
    <w:rsid w:val="21715026"/>
    <w:rsid w:val="21733FD5"/>
    <w:rsid w:val="217557F8"/>
    <w:rsid w:val="21787096"/>
    <w:rsid w:val="21823A71"/>
    <w:rsid w:val="21856B98"/>
    <w:rsid w:val="218A4B5A"/>
    <w:rsid w:val="21933ED0"/>
    <w:rsid w:val="21A63C04"/>
    <w:rsid w:val="21B04A82"/>
    <w:rsid w:val="21B12D03"/>
    <w:rsid w:val="21B77BBF"/>
    <w:rsid w:val="21BF5825"/>
    <w:rsid w:val="21C151A2"/>
    <w:rsid w:val="21CB267C"/>
    <w:rsid w:val="21CC2DFF"/>
    <w:rsid w:val="21E0783E"/>
    <w:rsid w:val="21E415C2"/>
    <w:rsid w:val="21E418D4"/>
    <w:rsid w:val="21E464DA"/>
    <w:rsid w:val="21F50D79"/>
    <w:rsid w:val="21FA3F3E"/>
    <w:rsid w:val="220327F2"/>
    <w:rsid w:val="22034246"/>
    <w:rsid w:val="220B0C2A"/>
    <w:rsid w:val="2211795D"/>
    <w:rsid w:val="2219008B"/>
    <w:rsid w:val="222B2314"/>
    <w:rsid w:val="222B4109"/>
    <w:rsid w:val="22380578"/>
    <w:rsid w:val="223D15CB"/>
    <w:rsid w:val="22431A32"/>
    <w:rsid w:val="22464411"/>
    <w:rsid w:val="224B578A"/>
    <w:rsid w:val="224D7A95"/>
    <w:rsid w:val="22522477"/>
    <w:rsid w:val="225A171B"/>
    <w:rsid w:val="22635651"/>
    <w:rsid w:val="226652D8"/>
    <w:rsid w:val="226C1A81"/>
    <w:rsid w:val="226F0499"/>
    <w:rsid w:val="227929B7"/>
    <w:rsid w:val="227C7115"/>
    <w:rsid w:val="22835682"/>
    <w:rsid w:val="228522AC"/>
    <w:rsid w:val="228A7081"/>
    <w:rsid w:val="228E4DC3"/>
    <w:rsid w:val="228E5E5C"/>
    <w:rsid w:val="22984ECA"/>
    <w:rsid w:val="22995516"/>
    <w:rsid w:val="229F30BB"/>
    <w:rsid w:val="22A719E1"/>
    <w:rsid w:val="22B91715"/>
    <w:rsid w:val="22C650E7"/>
    <w:rsid w:val="22CF3CDA"/>
    <w:rsid w:val="22D7547C"/>
    <w:rsid w:val="22E42E03"/>
    <w:rsid w:val="22E449E3"/>
    <w:rsid w:val="22E91FFA"/>
    <w:rsid w:val="22F058E5"/>
    <w:rsid w:val="23157CDA"/>
    <w:rsid w:val="23183019"/>
    <w:rsid w:val="232272BA"/>
    <w:rsid w:val="2325490D"/>
    <w:rsid w:val="23296C2B"/>
    <w:rsid w:val="232F19D7"/>
    <w:rsid w:val="23364C23"/>
    <w:rsid w:val="234145E5"/>
    <w:rsid w:val="234C122C"/>
    <w:rsid w:val="234E00AF"/>
    <w:rsid w:val="234F5BD5"/>
    <w:rsid w:val="2361766F"/>
    <w:rsid w:val="23627FFE"/>
    <w:rsid w:val="2378512C"/>
    <w:rsid w:val="23840789"/>
    <w:rsid w:val="238466E2"/>
    <w:rsid w:val="23AC6E99"/>
    <w:rsid w:val="23B13402"/>
    <w:rsid w:val="23B16CD0"/>
    <w:rsid w:val="23B95E70"/>
    <w:rsid w:val="23C72B0B"/>
    <w:rsid w:val="23C9773A"/>
    <w:rsid w:val="23C97BBF"/>
    <w:rsid w:val="23CB6E1F"/>
    <w:rsid w:val="23CE7C87"/>
    <w:rsid w:val="23E0119B"/>
    <w:rsid w:val="23E9103F"/>
    <w:rsid w:val="23EA026F"/>
    <w:rsid w:val="24003FCF"/>
    <w:rsid w:val="24042E63"/>
    <w:rsid w:val="241173D7"/>
    <w:rsid w:val="241C27AC"/>
    <w:rsid w:val="241E65E7"/>
    <w:rsid w:val="2422439F"/>
    <w:rsid w:val="24236396"/>
    <w:rsid w:val="242809F2"/>
    <w:rsid w:val="24286B52"/>
    <w:rsid w:val="2432073F"/>
    <w:rsid w:val="24325577"/>
    <w:rsid w:val="24466595"/>
    <w:rsid w:val="245B3B5C"/>
    <w:rsid w:val="245E722B"/>
    <w:rsid w:val="24610D3A"/>
    <w:rsid w:val="2461404B"/>
    <w:rsid w:val="24615A71"/>
    <w:rsid w:val="24617AF7"/>
    <w:rsid w:val="246831EA"/>
    <w:rsid w:val="24707FA6"/>
    <w:rsid w:val="247758C3"/>
    <w:rsid w:val="247C60D9"/>
    <w:rsid w:val="24823C94"/>
    <w:rsid w:val="2489024D"/>
    <w:rsid w:val="249148D1"/>
    <w:rsid w:val="249E1AEF"/>
    <w:rsid w:val="24A07BA3"/>
    <w:rsid w:val="24A54A0D"/>
    <w:rsid w:val="24AB3AD9"/>
    <w:rsid w:val="24AF2DCF"/>
    <w:rsid w:val="24B50025"/>
    <w:rsid w:val="24B611EC"/>
    <w:rsid w:val="24CC1BD3"/>
    <w:rsid w:val="24CF5CE1"/>
    <w:rsid w:val="24DB0068"/>
    <w:rsid w:val="24F45E5C"/>
    <w:rsid w:val="24FA48DE"/>
    <w:rsid w:val="250A5532"/>
    <w:rsid w:val="251470D6"/>
    <w:rsid w:val="25162E4E"/>
    <w:rsid w:val="25170C7B"/>
    <w:rsid w:val="251E2DEB"/>
    <w:rsid w:val="25230E74"/>
    <w:rsid w:val="25252EC2"/>
    <w:rsid w:val="2526538E"/>
    <w:rsid w:val="253A4D8F"/>
    <w:rsid w:val="254130D8"/>
    <w:rsid w:val="25482BFB"/>
    <w:rsid w:val="25496D80"/>
    <w:rsid w:val="254A0D4A"/>
    <w:rsid w:val="256516E0"/>
    <w:rsid w:val="256F4B84"/>
    <w:rsid w:val="257A3B4D"/>
    <w:rsid w:val="2583183D"/>
    <w:rsid w:val="259055CD"/>
    <w:rsid w:val="259A678A"/>
    <w:rsid w:val="259D70CC"/>
    <w:rsid w:val="259E0F7F"/>
    <w:rsid w:val="25A86641"/>
    <w:rsid w:val="25AA53A8"/>
    <w:rsid w:val="25C32FD6"/>
    <w:rsid w:val="25CE08CA"/>
    <w:rsid w:val="25D05344"/>
    <w:rsid w:val="25ED5E58"/>
    <w:rsid w:val="25FF506B"/>
    <w:rsid w:val="26017C32"/>
    <w:rsid w:val="260333D3"/>
    <w:rsid w:val="260A209E"/>
    <w:rsid w:val="2613738E"/>
    <w:rsid w:val="261D4B02"/>
    <w:rsid w:val="26206943"/>
    <w:rsid w:val="262562D2"/>
    <w:rsid w:val="2626695E"/>
    <w:rsid w:val="262D28A7"/>
    <w:rsid w:val="263E265D"/>
    <w:rsid w:val="263F38A9"/>
    <w:rsid w:val="264634D2"/>
    <w:rsid w:val="265144E0"/>
    <w:rsid w:val="2652435A"/>
    <w:rsid w:val="26530E12"/>
    <w:rsid w:val="265460D3"/>
    <w:rsid w:val="265A01EA"/>
    <w:rsid w:val="26721436"/>
    <w:rsid w:val="267243CA"/>
    <w:rsid w:val="26742479"/>
    <w:rsid w:val="267E5188"/>
    <w:rsid w:val="26825EC6"/>
    <w:rsid w:val="2693412E"/>
    <w:rsid w:val="2698180C"/>
    <w:rsid w:val="26A05B8D"/>
    <w:rsid w:val="26AD4336"/>
    <w:rsid w:val="26B50445"/>
    <w:rsid w:val="26BB2706"/>
    <w:rsid w:val="26BC7A25"/>
    <w:rsid w:val="26C80178"/>
    <w:rsid w:val="26DC3FD7"/>
    <w:rsid w:val="26DC4063"/>
    <w:rsid w:val="26DC42BF"/>
    <w:rsid w:val="26E11B94"/>
    <w:rsid w:val="26F92AAF"/>
    <w:rsid w:val="26FA7847"/>
    <w:rsid w:val="2706036A"/>
    <w:rsid w:val="270C275B"/>
    <w:rsid w:val="270F2A63"/>
    <w:rsid w:val="27236563"/>
    <w:rsid w:val="272F2932"/>
    <w:rsid w:val="273121C1"/>
    <w:rsid w:val="27417025"/>
    <w:rsid w:val="27455C6D"/>
    <w:rsid w:val="274A6239"/>
    <w:rsid w:val="275900C7"/>
    <w:rsid w:val="27604855"/>
    <w:rsid w:val="27617733"/>
    <w:rsid w:val="27765E26"/>
    <w:rsid w:val="27875C31"/>
    <w:rsid w:val="278A3906"/>
    <w:rsid w:val="278C017F"/>
    <w:rsid w:val="279121A6"/>
    <w:rsid w:val="2794296F"/>
    <w:rsid w:val="279B1EF3"/>
    <w:rsid w:val="27AA4C58"/>
    <w:rsid w:val="27B150B0"/>
    <w:rsid w:val="27B301F5"/>
    <w:rsid w:val="27B500E2"/>
    <w:rsid w:val="27B5050A"/>
    <w:rsid w:val="27B61BCB"/>
    <w:rsid w:val="27BF77CD"/>
    <w:rsid w:val="27C84272"/>
    <w:rsid w:val="27D23E71"/>
    <w:rsid w:val="27D33279"/>
    <w:rsid w:val="27D75C67"/>
    <w:rsid w:val="27D91172"/>
    <w:rsid w:val="27DC7518"/>
    <w:rsid w:val="27E54BFE"/>
    <w:rsid w:val="27F409D5"/>
    <w:rsid w:val="27FC2CCB"/>
    <w:rsid w:val="281462A0"/>
    <w:rsid w:val="281F64BE"/>
    <w:rsid w:val="28235FAE"/>
    <w:rsid w:val="282615FA"/>
    <w:rsid w:val="282B09BF"/>
    <w:rsid w:val="282B1B0C"/>
    <w:rsid w:val="282B67B1"/>
    <w:rsid w:val="282E191F"/>
    <w:rsid w:val="283359BC"/>
    <w:rsid w:val="28403BF2"/>
    <w:rsid w:val="284952E9"/>
    <w:rsid w:val="28642D15"/>
    <w:rsid w:val="287362A8"/>
    <w:rsid w:val="28744262"/>
    <w:rsid w:val="287F70C8"/>
    <w:rsid w:val="28831113"/>
    <w:rsid w:val="28852C5D"/>
    <w:rsid w:val="288A3D87"/>
    <w:rsid w:val="288B3B53"/>
    <w:rsid w:val="28A231E4"/>
    <w:rsid w:val="28BB2809"/>
    <w:rsid w:val="28C3569C"/>
    <w:rsid w:val="28C63C95"/>
    <w:rsid w:val="28CE2B07"/>
    <w:rsid w:val="28DE1CC0"/>
    <w:rsid w:val="28DF53BE"/>
    <w:rsid w:val="28E128B0"/>
    <w:rsid w:val="28E95379"/>
    <w:rsid w:val="28F043D9"/>
    <w:rsid w:val="28F4669B"/>
    <w:rsid w:val="28F540C7"/>
    <w:rsid w:val="29023E15"/>
    <w:rsid w:val="290C43B0"/>
    <w:rsid w:val="290F4E57"/>
    <w:rsid w:val="291061E7"/>
    <w:rsid w:val="29114AF0"/>
    <w:rsid w:val="29115E06"/>
    <w:rsid w:val="291B6C85"/>
    <w:rsid w:val="29235B3A"/>
    <w:rsid w:val="29394CEC"/>
    <w:rsid w:val="294A1318"/>
    <w:rsid w:val="294D2BB7"/>
    <w:rsid w:val="294F0525"/>
    <w:rsid w:val="295C6396"/>
    <w:rsid w:val="29642C7B"/>
    <w:rsid w:val="296C580F"/>
    <w:rsid w:val="296D07FE"/>
    <w:rsid w:val="29725FA9"/>
    <w:rsid w:val="297C15FA"/>
    <w:rsid w:val="297E79F7"/>
    <w:rsid w:val="299023C6"/>
    <w:rsid w:val="29943847"/>
    <w:rsid w:val="29AA1946"/>
    <w:rsid w:val="29AC1FD3"/>
    <w:rsid w:val="29C56BF1"/>
    <w:rsid w:val="29CE282D"/>
    <w:rsid w:val="29F174B1"/>
    <w:rsid w:val="29F221A1"/>
    <w:rsid w:val="29F66E3C"/>
    <w:rsid w:val="29FD175E"/>
    <w:rsid w:val="2A0044AF"/>
    <w:rsid w:val="2A1239C0"/>
    <w:rsid w:val="2A243BC0"/>
    <w:rsid w:val="2A246AEB"/>
    <w:rsid w:val="2A29092B"/>
    <w:rsid w:val="2A2B4B41"/>
    <w:rsid w:val="2A3E1A0D"/>
    <w:rsid w:val="2A4D3632"/>
    <w:rsid w:val="2A580DE3"/>
    <w:rsid w:val="2A5C42D1"/>
    <w:rsid w:val="2A5F1EF4"/>
    <w:rsid w:val="2A6D68AB"/>
    <w:rsid w:val="2A730142"/>
    <w:rsid w:val="2A775ED0"/>
    <w:rsid w:val="2A845E7D"/>
    <w:rsid w:val="2A9071FF"/>
    <w:rsid w:val="2A9175F9"/>
    <w:rsid w:val="2A967AC2"/>
    <w:rsid w:val="2A9F7561"/>
    <w:rsid w:val="2AB7478C"/>
    <w:rsid w:val="2ABE1FBE"/>
    <w:rsid w:val="2AC94B23"/>
    <w:rsid w:val="2ACB632C"/>
    <w:rsid w:val="2AD263C1"/>
    <w:rsid w:val="2AD96A8B"/>
    <w:rsid w:val="2AE179C6"/>
    <w:rsid w:val="2AE17C17"/>
    <w:rsid w:val="2AE87393"/>
    <w:rsid w:val="2AF013D1"/>
    <w:rsid w:val="2AFC6642"/>
    <w:rsid w:val="2B09558F"/>
    <w:rsid w:val="2B154F3D"/>
    <w:rsid w:val="2B1B74DC"/>
    <w:rsid w:val="2B204A27"/>
    <w:rsid w:val="2B337B1F"/>
    <w:rsid w:val="2B345DDC"/>
    <w:rsid w:val="2B3B716B"/>
    <w:rsid w:val="2B48603C"/>
    <w:rsid w:val="2B4D4A93"/>
    <w:rsid w:val="2B51254B"/>
    <w:rsid w:val="2B553223"/>
    <w:rsid w:val="2B5B1830"/>
    <w:rsid w:val="2B5E3CCC"/>
    <w:rsid w:val="2B665680"/>
    <w:rsid w:val="2B673AE7"/>
    <w:rsid w:val="2B746B21"/>
    <w:rsid w:val="2B7E2B86"/>
    <w:rsid w:val="2B886128"/>
    <w:rsid w:val="2B982232"/>
    <w:rsid w:val="2B9A0261"/>
    <w:rsid w:val="2B9E567E"/>
    <w:rsid w:val="2B9F3B9D"/>
    <w:rsid w:val="2BA32F7F"/>
    <w:rsid w:val="2BBF69FD"/>
    <w:rsid w:val="2BC735EC"/>
    <w:rsid w:val="2BCD420D"/>
    <w:rsid w:val="2BDC118C"/>
    <w:rsid w:val="2BDD6852"/>
    <w:rsid w:val="2BE315B0"/>
    <w:rsid w:val="2BEF0AE1"/>
    <w:rsid w:val="2BEF61A7"/>
    <w:rsid w:val="2BF11059"/>
    <w:rsid w:val="2BF904E3"/>
    <w:rsid w:val="2BFB1F1B"/>
    <w:rsid w:val="2C0734F1"/>
    <w:rsid w:val="2C083B92"/>
    <w:rsid w:val="2C0B2743"/>
    <w:rsid w:val="2C131E96"/>
    <w:rsid w:val="2C2D5E5E"/>
    <w:rsid w:val="2C3369A6"/>
    <w:rsid w:val="2C472C8F"/>
    <w:rsid w:val="2C4B1473"/>
    <w:rsid w:val="2C4F2D69"/>
    <w:rsid w:val="2C4F677D"/>
    <w:rsid w:val="2C5030EA"/>
    <w:rsid w:val="2C53108B"/>
    <w:rsid w:val="2C671555"/>
    <w:rsid w:val="2C672279"/>
    <w:rsid w:val="2C6A129B"/>
    <w:rsid w:val="2C7B5A71"/>
    <w:rsid w:val="2C8306CD"/>
    <w:rsid w:val="2C835A9B"/>
    <w:rsid w:val="2C9A75DB"/>
    <w:rsid w:val="2C9C1E8B"/>
    <w:rsid w:val="2C9E3E55"/>
    <w:rsid w:val="2CB01DDA"/>
    <w:rsid w:val="2CD21D51"/>
    <w:rsid w:val="2CDB07CB"/>
    <w:rsid w:val="2CEF7A5F"/>
    <w:rsid w:val="2CF14934"/>
    <w:rsid w:val="2CF6213C"/>
    <w:rsid w:val="2CF73565"/>
    <w:rsid w:val="2D003E03"/>
    <w:rsid w:val="2D07269C"/>
    <w:rsid w:val="2D151C3D"/>
    <w:rsid w:val="2D1A6471"/>
    <w:rsid w:val="2D1E19DF"/>
    <w:rsid w:val="2D2307FE"/>
    <w:rsid w:val="2D3034C0"/>
    <w:rsid w:val="2D3753BC"/>
    <w:rsid w:val="2D376058"/>
    <w:rsid w:val="2D455CA4"/>
    <w:rsid w:val="2D477BD2"/>
    <w:rsid w:val="2D4A4C73"/>
    <w:rsid w:val="2D61729A"/>
    <w:rsid w:val="2D672D4A"/>
    <w:rsid w:val="2D6A1F89"/>
    <w:rsid w:val="2D7708F7"/>
    <w:rsid w:val="2D874EDD"/>
    <w:rsid w:val="2D8D5C78"/>
    <w:rsid w:val="2D8D7A26"/>
    <w:rsid w:val="2D8E3C58"/>
    <w:rsid w:val="2D933D20"/>
    <w:rsid w:val="2D9D5B09"/>
    <w:rsid w:val="2DA95BB9"/>
    <w:rsid w:val="2DAD68F3"/>
    <w:rsid w:val="2DB06C55"/>
    <w:rsid w:val="2DD65871"/>
    <w:rsid w:val="2DDD57AD"/>
    <w:rsid w:val="2DE43B56"/>
    <w:rsid w:val="2DED34E3"/>
    <w:rsid w:val="2E0F5C61"/>
    <w:rsid w:val="2E100D83"/>
    <w:rsid w:val="2E146E28"/>
    <w:rsid w:val="2E167689"/>
    <w:rsid w:val="2E355FC2"/>
    <w:rsid w:val="2E3E1917"/>
    <w:rsid w:val="2E415B41"/>
    <w:rsid w:val="2E440A2C"/>
    <w:rsid w:val="2E452885"/>
    <w:rsid w:val="2E4705F7"/>
    <w:rsid w:val="2E4D75B5"/>
    <w:rsid w:val="2E4F7757"/>
    <w:rsid w:val="2E5549E7"/>
    <w:rsid w:val="2E5C27D8"/>
    <w:rsid w:val="2E666BF4"/>
    <w:rsid w:val="2E6A240D"/>
    <w:rsid w:val="2E732AB0"/>
    <w:rsid w:val="2E7D2426"/>
    <w:rsid w:val="2E8D2A59"/>
    <w:rsid w:val="2E8F35DB"/>
    <w:rsid w:val="2E922207"/>
    <w:rsid w:val="2E923810"/>
    <w:rsid w:val="2E937A66"/>
    <w:rsid w:val="2E953036"/>
    <w:rsid w:val="2E962F76"/>
    <w:rsid w:val="2E980666"/>
    <w:rsid w:val="2EA17A11"/>
    <w:rsid w:val="2EA4784B"/>
    <w:rsid w:val="2EB6401F"/>
    <w:rsid w:val="2EBF09D8"/>
    <w:rsid w:val="2EBF1397"/>
    <w:rsid w:val="2EC13E2B"/>
    <w:rsid w:val="2EC753D2"/>
    <w:rsid w:val="2EC82ED4"/>
    <w:rsid w:val="2ED928A1"/>
    <w:rsid w:val="2EDC7E50"/>
    <w:rsid w:val="2EDD0624"/>
    <w:rsid w:val="2EE30245"/>
    <w:rsid w:val="2EEB55C0"/>
    <w:rsid w:val="2EEE6297"/>
    <w:rsid w:val="2EF06BB2"/>
    <w:rsid w:val="2EF83712"/>
    <w:rsid w:val="2F035954"/>
    <w:rsid w:val="2F0D4740"/>
    <w:rsid w:val="2F1210B4"/>
    <w:rsid w:val="2F194F94"/>
    <w:rsid w:val="2F1D70ED"/>
    <w:rsid w:val="2F3025A1"/>
    <w:rsid w:val="2F350375"/>
    <w:rsid w:val="2F38728E"/>
    <w:rsid w:val="2F5562AE"/>
    <w:rsid w:val="2F591FFC"/>
    <w:rsid w:val="2F603644"/>
    <w:rsid w:val="2F651B5D"/>
    <w:rsid w:val="2F6E694E"/>
    <w:rsid w:val="2F7C7194"/>
    <w:rsid w:val="2F7E2699"/>
    <w:rsid w:val="2F867D17"/>
    <w:rsid w:val="2F887DBD"/>
    <w:rsid w:val="2F971898"/>
    <w:rsid w:val="2FA046CC"/>
    <w:rsid w:val="2FA31782"/>
    <w:rsid w:val="2FAA7909"/>
    <w:rsid w:val="2FB04DE1"/>
    <w:rsid w:val="2FB404CC"/>
    <w:rsid w:val="2FBE4E91"/>
    <w:rsid w:val="2FCA56E9"/>
    <w:rsid w:val="2FCC681A"/>
    <w:rsid w:val="2FD85881"/>
    <w:rsid w:val="2FDE5C90"/>
    <w:rsid w:val="2FE33A3C"/>
    <w:rsid w:val="2FEB1FC6"/>
    <w:rsid w:val="2FEF7831"/>
    <w:rsid w:val="300F506A"/>
    <w:rsid w:val="3015266E"/>
    <w:rsid w:val="30236800"/>
    <w:rsid w:val="30387652"/>
    <w:rsid w:val="304F2F96"/>
    <w:rsid w:val="30571772"/>
    <w:rsid w:val="305B1508"/>
    <w:rsid w:val="306233EC"/>
    <w:rsid w:val="307355F9"/>
    <w:rsid w:val="30751371"/>
    <w:rsid w:val="307C7214"/>
    <w:rsid w:val="308C27C9"/>
    <w:rsid w:val="309A2B85"/>
    <w:rsid w:val="30A27C8C"/>
    <w:rsid w:val="30A330B1"/>
    <w:rsid w:val="30A8184F"/>
    <w:rsid w:val="30AD142A"/>
    <w:rsid w:val="30B103B2"/>
    <w:rsid w:val="30B127EE"/>
    <w:rsid w:val="30C77EDF"/>
    <w:rsid w:val="30CA1F97"/>
    <w:rsid w:val="30CF1F76"/>
    <w:rsid w:val="30D33B1F"/>
    <w:rsid w:val="30D54A48"/>
    <w:rsid w:val="30DC4D86"/>
    <w:rsid w:val="30E3557A"/>
    <w:rsid w:val="30E70F0C"/>
    <w:rsid w:val="30EE4ACE"/>
    <w:rsid w:val="30EE4C7F"/>
    <w:rsid w:val="30F52CFA"/>
    <w:rsid w:val="30F53007"/>
    <w:rsid w:val="30F91094"/>
    <w:rsid w:val="31012C04"/>
    <w:rsid w:val="310540E0"/>
    <w:rsid w:val="310756E5"/>
    <w:rsid w:val="310B6B56"/>
    <w:rsid w:val="31185DE5"/>
    <w:rsid w:val="31255262"/>
    <w:rsid w:val="31273D0B"/>
    <w:rsid w:val="313371D0"/>
    <w:rsid w:val="31456F95"/>
    <w:rsid w:val="31470039"/>
    <w:rsid w:val="31472D78"/>
    <w:rsid w:val="31483264"/>
    <w:rsid w:val="314D19A6"/>
    <w:rsid w:val="3153318E"/>
    <w:rsid w:val="31670BB0"/>
    <w:rsid w:val="316C4649"/>
    <w:rsid w:val="31711576"/>
    <w:rsid w:val="317B53F9"/>
    <w:rsid w:val="317F50EB"/>
    <w:rsid w:val="318F22DC"/>
    <w:rsid w:val="31963613"/>
    <w:rsid w:val="319F15BA"/>
    <w:rsid w:val="31A17D34"/>
    <w:rsid w:val="31A2492E"/>
    <w:rsid w:val="31A71461"/>
    <w:rsid w:val="31AF1CA6"/>
    <w:rsid w:val="31B066A5"/>
    <w:rsid w:val="31B83326"/>
    <w:rsid w:val="31BC4D7D"/>
    <w:rsid w:val="31C96982"/>
    <w:rsid w:val="31D125D7"/>
    <w:rsid w:val="31E34278"/>
    <w:rsid w:val="31E913C4"/>
    <w:rsid w:val="31FE59A3"/>
    <w:rsid w:val="3200056C"/>
    <w:rsid w:val="32026C34"/>
    <w:rsid w:val="320A7897"/>
    <w:rsid w:val="321C76E4"/>
    <w:rsid w:val="32206D73"/>
    <w:rsid w:val="32216D99"/>
    <w:rsid w:val="323E1B25"/>
    <w:rsid w:val="3243238F"/>
    <w:rsid w:val="324671DC"/>
    <w:rsid w:val="324E6AA5"/>
    <w:rsid w:val="324F0C3E"/>
    <w:rsid w:val="3251196A"/>
    <w:rsid w:val="3253407D"/>
    <w:rsid w:val="326B197D"/>
    <w:rsid w:val="32737B32"/>
    <w:rsid w:val="327411B4"/>
    <w:rsid w:val="3274549E"/>
    <w:rsid w:val="32775B45"/>
    <w:rsid w:val="32905000"/>
    <w:rsid w:val="32933B4B"/>
    <w:rsid w:val="32955EF0"/>
    <w:rsid w:val="329D695D"/>
    <w:rsid w:val="32A14B2C"/>
    <w:rsid w:val="32A23FE4"/>
    <w:rsid w:val="32A71F93"/>
    <w:rsid w:val="32CC2D9E"/>
    <w:rsid w:val="32D621C7"/>
    <w:rsid w:val="32E4633A"/>
    <w:rsid w:val="32FB1B47"/>
    <w:rsid w:val="32FF4FE7"/>
    <w:rsid w:val="330661CE"/>
    <w:rsid w:val="330B463D"/>
    <w:rsid w:val="33105E2A"/>
    <w:rsid w:val="331968BE"/>
    <w:rsid w:val="331D6E03"/>
    <w:rsid w:val="33266952"/>
    <w:rsid w:val="33300CFC"/>
    <w:rsid w:val="333B3D4B"/>
    <w:rsid w:val="333D0CEC"/>
    <w:rsid w:val="334A7292"/>
    <w:rsid w:val="3351311A"/>
    <w:rsid w:val="335E513F"/>
    <w:rsid w:val="33647945"/>
    <w:rsid w:val="33651056"/>
    <w:rsid w:val="33694A91"/>
    <w:rsid w:val="337376BE"/>
    <w:rsid w:val="33792F27"/>
    <w:rsid w:val="33845820"/>
    <w:rsid w:val="33AA1331"/>
    <w:rsid w:val="33BE1954"/>
    <w:rsid w:val="33BE6B8B"/>
    <w:rsid w:val="33BE7D81"/>
    <w:rsid w:val="33C45FE7"/>
    <w:rsid w:val="33C50529"/>
    <w:rsid w:val="33C644F5"/>
    <w:rsid w:val="33CD0744"/>
    <w:rsid w:val="33D12459"/>
    <w:rsid w:val="33D94875"/>
    <w:rsid w:val="33DC1707"/>
    <w:rsid w:val="33DE1120"/>
    <w:rsid w:val="33EA5BD2"/>
    <w:rsid w:val="33EC07C4"/>
    <w:rsid w:val="33EF143A"/>
    <w:rsid w:val="33F324AA"/>
    <w:rsid w:val="33FE2FF9"/>
    <w:rsid w:val="33FF7A66"/>
    <w:rsid w:val="34037CF1"/>
    <w:rsid w:val="34067514"/>
    <w:rsid w:val="34086C8B"/>
    <w:rsid w:val="34105F59"/>
    <w:rsid w:val="34115AE4"/>
    <w:rsid w:val="341552A5"/>
    <w:rsid w:val="341A4A75"/>
    <w:rsid w:val="341B5D8B"/>
    <w:rsid w:val="341E1D1F"/>
    <w:rsid w:val="341E4DC2"/>
    <w:rsid w:val="34206892"/>
    <w:rsid w:val="34224435"/>
    <w:rsid w:val="342509B8"/>
    <w:rsid w:val="342A5F2C"/>
    <w:rsid w:val="34623692"/>
    <w:rsid w:val="346C5054"/>
    <w:rsid w:val="346E05B1"/>
    <w:rsid w:val="34773E60"/>
    <w:rsid w:val="34873421"/>
    <w:rsid w:val="3487672F"/>
    <w:rsid w:val="348A1163"/>
    <w:rsid w:val="34960A8D"/>
    <w:rsid w:val="349B3370"/>
    <w:rsid w:val="349B394F"/>
    <w:rsid w:val="349F3456"/>
    <w:rsid w:val="34A03345"/>
    <w:rsid w:val="34A27842"/>
    <w:rsid w:val="34A82A6A"/>
    <w:rsid w:val="34AF5E21"/>
    <w:rsid w:val="34B04CFD"/>
    <w:rsid w:val="34B25986"/>
    <w:rsid w:val="34B72E32"/>
    <w:rsid w:val="34BD7229"/>
    <w:rsid w:val="34C70743"/>
    <w:rsid w:val="34D114FF"/>
    <w:rsid w:val="34D26831"/>
    <w:rsid w:val="34D977EB"/>
    <w:rsid w:val="34E05800"/>
    <w:rsid w:val="34E65A71"/>
    <w:rsid w:val="34E70B45"/>
    <w:rsid w:val="34EA54D0"/>
    <w:rsid w:val="34F012EF"/>
    <w:rsid w:val="34F14D3E"/>
    <w:rsid w:val="3502519D"/>
    <w:rsid w:val="350400E0"/>
    <w:rsid w:val="35042256"/>
    <w:rsid w:val="35074561"/>
    <w:rsid w:val="3509691B"/>
    <w:rsid w:val="350E31F9"/>
    <w:rsid w:val="35171C7C"/>
    <w:rsid w:val="351A24E7"/>
    <w:rsid w:val="352E2C40"/>
    <w:rsid w:val="35303AB8"/>
    <w:rsid w:val="3541716C"/>
    <w:rsid w:val="35436733"/>
    <w:rsid w:val="354621F3"/>
    <w:rsid w:val="35492DCC"/>
    <w:rsid w:val="354D3BDF"/>
    <w:rsid w:val="35514D59"/>
    <w:rsid w:val="35537DF2"/>
    <w:rsid w:val="35557C04"/>
    <w:rsid w:val="35656ED3"/>
    <w:rsid w:val="356E1F4D"/>
    <w:rsid w:val="35725E7F"/>
    <w:rsid w:val="357D59FE"/>
    <w:rsid w:val="357F56BE"/>
    <w:rsid w:val="35865646"/>
    <w:rsid w:val="358671C2"/>
    <w:rsid w:val="359D085D"/>
    <w:rsid w:val="35A3373D"/>
    <w:rsid w:val="35A35557"/>
    <w:rsid w:val="35AF048B"/>
    <w:rsid w:val="35B872EC"/>
    <w:rsid w:val="35B91D00"/>
    <w:rsid w:val="35BD7658"/>
    <w:rsid w:val="35CB77C0"/>
    <w:rsid w:val="35CC7DD3"/>
    <w:rsid w:val="35D24B6F"/>
    <w:rsid w:val="35F20D6E"/>
    <w:rsid w:val="35F8709C"/>
    <w:rsid w:val="35F965A0"/>
    <w:rsid w:val="35FB6795"/>
    <w:rsid w:val="36034D29"/>
    <w:rsid w:val="361138EA"/>
    <w:rsid w:val="361204C8"/>
    <w:rsid w:val="36145188"/>
    <w:rsid w:val="361679BD"/>
    <w:rsid w:val="361B02C4"/>
    <w:rsid w:val="361B7F61"/>
    <w:rsid w:val="362E331D"/>
    <w:rsid w:val="3635302C"/>
    <w:rsid w:val="364140F6"/>
    <w:rsid w:val="364907A3"/>
    <w:rsid w:val="36496D8F"/>
    <w:rsid w:val="364C1D81"/>
    <w:rsid w:val="36657792"/>
    <w:rsid w:val="3667709A"/>
    <w:rsid w:val="366D26F8"/>
    <w:rsid w:val="366F6862"/>
    <w:rsid w:val="36706B22"/>
    <w:rsid w:val="36723C5D"/>
    <w:rsid w:val="367A1EA9"/>
    <w:rsid w:val="367F4CF7"/>
    <w:rsid w:val="368142F4"/>
    <w:rsid w:val="368C479B"/>
    <w:rsid w:val="36983E75"/>
    <w:rsid w:val="369A69D4"/>
    <w:rsid w:val="36A1797B"/>
    <w:rsid w:val="36AC4426"/>
    <w:rsid w:val="36AE7629"/>
    <w:rsid w:val="36B64491"/>
    <w:rsid w:val="36B94132"/>
    <w:rsid w:val="36BB4012"/>
    <w:rsid w:val="36D861B6"/>
    <w:rsid w:val="36DE56E9"/>
    <w:rsid w:val="36E0506A"/>
    <w:rsid w:val="36E60809"/>
    <w:rsid w:val="36E92171"/>
    <w:rsid w:val="36EB6BC2"/>
    <w:rsid w:val="36EE3C2B"/>
    <w:rsid w:val="36EE59D9"/>
    <w:rsid w:val="36F9612C"/>
    <w:rsid w:val="36FA6F28"/>
    <w:rsid w:val="36FD558B"/>
    <w:rsid w:val="370074BA"/>
    <w:rsid w:val="37011D9F"/>
    <w:rsid w:val="37086105"/>
    <w:rsid w:val="37144D14"/>
    <w:rsid w:val="37195200"/>
    <w:rsid w:val="371D006C"/>
    <w:rsid w:val="37364C5A"/>
    <w:rsid w:val="37372BA6"/>
    <w:rsid w:val="37432C37"/>
    <w:rsid w:val="374E286E"/>
    <w:rsid w:val="37555A58"/>
    <w:rsid w:val="375872F6"/>
    <w:rsid w:val="37695EFA"/>
    <w:rsid w:val="376A7405"/>
    <w:rsid w:val="3771317E"/>
    <w:rsid w:val="377D4F95"/>
    <w:rsid w:val="377E2FB7"/>
    <w:rsid w:val="37890103"/>
    <w:rsid w:val="378C6138"/>
    <w:rsid w:val="378D61E4"/>
    <w:rsid w:val="37991822"/>
    <w:rsid w:val="379A3E9B"/>
    <w:rsid w:val="37AD1FE5"/>
    <w:rsid w:val="37AF7EE0"/>
    <w:rsid w:val="37B1595C"/>
    <w:rsid w:val="37B85A1A"/>
    <w:rsid w:val="37C130EE"/>
    <w:rsid w:val="37D01583"/>
    <w:rsid w:val="37D512CC"/>
    <w:rsid w:val="37D805D4"/>
    <w:rsid w:val="37EE2EDA"/>
    <w:rsid w:val="37EE7A86"/>
    <w:rsid w:val="380D6333"/>
    <w:rsid w:val="38170F5F"/>
    <w:rsid w:val="381C1A89"/>
    <w:rsid w:val="382320CE"/>
    <w:rsid w:val="382358FB"/>
    <w:rsid w:val="384A4E91"/>
    <w:rsid w:val="38501D72"/>
    <w:rsid w:val="38510911"/>
    <w:rsid w:val="385D2DEB"/>
    <w:rsid w:val="38662D64"/>
    <w:rsid w:val="387277E4"/>
    <w:rsid w:val="38766C2F"/>
    <w:rsid w:val="3882657B"/>
    <w:rsid w:val="3887659D"/>
    <w:rsid w:val="38896D38"/>
    <w:rsid w:val="38931E37"/>
    <w:rsid w:val="38933156"/>
    <w:rsid w:val="38A15BE0"/>
    <w:rsid w:val="38A5656B"/>
    <w:rsid w:val="38AB470E"/>
    <w:rsid w:val="38AC16A8"/>
    <w:rsid w:val="38CA4224"/>
    <w:rsid w:val="38CA7D80"/>
    <w:rsid w:val="38CE3545"/>
    <w:rsid w:val="38CF35E8"/>
    <w:rsid w:val="38D56365"/>
    <w:rsid w:val="38E71EFA"/>
    <w:rsid w:val="38EA7D3C"/>
    <w:rsid w:val="38F82B3F"/>
    <w:rsid w:val="39071743"/>
    <w:rsid w:val="390C27B5"/>
    <w:rsid w:val="390E5EBF"/>
    <w:rsid w:val="39114CCB"/>
    <w:rsid w:val="391C305D"/>
    <w:rsid w:val="39225AD9"/>
    <w:rsid w:val="3923191D"/>
    <w:rsid w:val="392D0F71"/>
    <w:rsid w:val="39342852"/>
    <w:rsid w:val="39395963"/>
    <w:rsid w:val="394874AC"/>
    <w:rsid w:val="394E09B1"/>
    <w:rsid w:val="39521B82"/>
    <w:rsid w:val="3956622A"/>
    <w:rsid w:val="39574519"/>
    <w:rsid w:val="395C0B0F"/>
    <w:rsid w:val="395C15DA"/>
    <w:rsid w:val="395D0BF4"/>
    <w:rsid w:val="395D2BAD"/>
    <w:rsid w:val="395F496C"/>
    <w:rsid w:val="39617457"/>
    <w:rsid w:val="39640975"/>
    <w:rsid w:val="396B75DC"/>
    <w:rsid w:val="397C3C19"/>
    <w:rsid w:val="398D2C22"/>
    <w:rsid w:val="398D7669"/>
    <w:rsid w:val="39944E20"/>
    <w:rsid w:val="399E7252"/>
    <w:rsid w:val="399F364A"/>
    <w:rsid w:val="39A30ACF"/>
    <w:rsid w:val="39A76662"/>
    <w:rsid w:val="39B5458C"/>
    <w:rsid w:val="39B62978"/>
    <w:rsid w:val="39B80080"/>
    <w:rsid w:val="39C33D67"/>
    <w:rsid w:val="39C54928"/>
    <w:rsid w:val="39C74E44"/>
    <w:rsid w:val="39CC6DF4"/>
    <w:rsid w:val="39D92970"/>
    <w:rsid w:val="39DB1B13"/>
    <w:rsid w:val="39E41315"/>
    <w:rsid w:val="39EE3119"/>
    <w:rsid w:val="39F23A32"/>
    <w:rsid w:val="39FF509D"/>
    <w:rsid w:val="3A043F5E"/>
    <w:rsid w:val="3A0E7B01"/>
    <w:rsid w:val="3A103EB8"/>
    <w:rsid w:val="3A12323D"/>
    <w:rsid w:val="3A1B2D2E"/>
    <w:rsid w:val="3A27018A"/>
    <w:rsid w:val="3A2A5C1E"/>
    <w:rsid w:val="3A36310E"/>
    <w:rsid w:val="3A4F293F"/>
    <w:rsid w:val="3A5169AB"/>
    <w:rsid w:val="3A6F6951"/>
    <w:rsid w:val="3A745264"/>
    <w:rsid w:val="3A7B491E"/>
    <w:rsid w:val="3A856654"/>
    <w:rsid w:val="3A9B14B0"/>
    <w:rsid w:val="3AA97679"/>
    <w:rsid w:val="3AAC573D"/>
    <w:rsid w:val="3AB57BE2"/>
    <w:rsid w:val="3ABB3E03"/>
    <w:rsid w:val="3AC23405"/>
    <w:rsid w:val="3AC505C7"/>
    <w:rsid w:val="3AC74E3C"/>
    <w:rsid w:val="3AED5FA8"/>
    <w:rsid w:val="3AEF238E"/>
    <w:rsid w:val="3AF17846"/>
    <w:rsid w:val="3B025B66"/>
    <w:rsid w:val="3B044EA2"/>
    <w:rsid w:val="3B0532F1"/>
    <w:rsid w:val="3B0B786F"/>
    <w:rsid w:val="3B141786"/>
    <w:rsid w:val="3B167268"/>
    <w:rsid w:val="3B1672AC"/>
    <w:rsid w:val="3B2153B2"/>
    <w:rsid w:val="3B2371FD"/>
    <w:rsid w:val="3B2F036E"/>
    <w:rsid w:val="3B304C73"/>
    <w:rsid w:val="3B3336FD"/>
    <w:rsid w:val="3B384ABA"/>
    <w:rsid w:val="3B3B6F68"/>
    <w:rsid w:val="3B4007CD"/>
    <w:rsid w:val="3B4C2C28"/>
    <w:rsid w:val="3B517E47"/>
    <w:rsid w:val="3B55472E"/>
    <w:rsid w:val="3B585B17"/>
    <w:rsid w:val="3B663F67"/>
    <w:rsid w:val="3B697D24"/>
    <w:rsid w:val="3B765588"/>
    <w:rsid w:val="3B7F24D9"/>
    <w:rsid w:val="3B831BAB"/>
    <w:rsid w:val="3B85193C"/>
    <w:rsid w:val="3B871F9F"/>
    <w:rsid w:val="3B8836CD"/>
    <w:rsid w:val="3B8E318D"/>
    <w:rsid w:val="3B91709A"/>
    <w:rsid w:val="3B965AA9"/>
    <w:rsid w:val="3B9C31B2"/>
    <w:rsid w:val="3BBD6814"/>
    <w:rsid w:val="3BCA7749"/>
    <w:rsid w:val="3BD80A06"/>
    <w:rsid w:val="3BD866A3"/>
    <w:rsid w:val="3BE439CC"/>
    <w:rsid w:val="3BE717D1"/>
    <w:rsid w:val="3BF22375"/>
    <w:rsid w:val="3BF910E6"/>
    <w:rsid w:val="3C02670C"/>
    <w:rsid w:val="3C0B38ED"/>
    <w:rsid w:val="3C123F18"/>
    <w:rsid w:val="3C2E6878"/>
    <w:rsid w:val="3C34CA98"/>
    <w:rsid w:val="3C4433A8"/>
    <w:rsid w:val="3C4772AC"/>
    <w:rsid w:val="3C4960B1"/>
    <w:rsid w:val="3C497E80"/>
    <w:rsid w:val="3C5717D9"/>
    <w:rsid w:val="3C586ADB"/>
    <w:rsid w:val="3C5C1B95"/>
    <w:rsid w:val="3C5D6B8D"/>
    <w:rsid w:val="3C5F68D5"/>
    <w:rsid w:val="3C6D363D"/>
    <w:rsid w:val="3C7A7507"/>
    <w:rsid w:val="3C7C16A2"/>
    <w:rsid w:val="3C8051A6"/>
    <w:rsid w:val="3C892C48"/>
    <w:rsid w:val="3C8A2D41"/>
    <w:rsid w:val="3C8B0F49"/>
    <w:rsid w:val="3C976C2B"/>
    <w:rsid w:val="3C990195"/>
    <w:rsid w:val="3CA009A2"/>
    <w:rsid w:val="3CAE21A9"/>
    <w:rsid w:val="3CAF3139"/>
    <w:rsid w:val="3CAF5C99"/>
    <w:rsid w:val="3CAF5F88"/>
    <w:rsid w:val="3CB818FC"/>
    <w:rsid w:val="3CC441C6"/>
    <w:rsid w:val="3CC72288"/>
    <w:rsid w:val="3CC9383D"/>
    <w:rsid w:val="3CCD61EE"/>
    <w:rsid w:val="3CD25455"/>
    <w:rsid w:val="3CD2749B"/>
    <w:rsid w:val="3CD5149D"/>
    <w:rsid w:val="3CD629C6"/>
    <w:rsid w:val="3CDC4526"/>
    <w:rsid w:val="3CDE6381"/>
    <w:rsid w:val="3CDF7A5B"/>
    <w:rsid w:val="3CE83692"/>
    <w:rsid w:val="3CEB69AE"/>
    <w:rsid w:val="3D1124A1"/>
    <w:rsid w:val="3D13380D"/>
    <w:rsid w:val="3D250CA1"/>
    <w:rsid w:val="3D2832C7"/>
    <w:rsid w:val="3D332398"/>
    <w:rsid w:val="3D3D6141"/>
    <w:rsid w:val="3D435284"/>
    <w:rsid w:val="3D687A27"/>
    <w:rsid w:val="3D840E45"/>
    <w:rsid w:val="3D8A23C3"/>
    <w:rsid w:val="3D9D47DA"/>
    <w:rsid w:val="3DA77B85"/>
    <w:rsid w:val="3DB9646A"/>
    <w:rsid w:val="3DBA0FB9"/>
    <w:rsid w:val="3DBA1523"/>
    <w:rsid w:val="3DC86CD5"/>
    <w:rsid w:val="3DD00F38"/>
    <w:rsid w:val="3DDA6CB7"/>
    <w:rsid w:val="3DDBCD4D"/>
    <w:rsid w:val="3DEC1F90"/>
    <w:rsid w:val="3E0017B7"/>
    <w:rsid w:val="3E0A398C"/>
    <w:rsid w:val="3E1C41FB"/>
    <w:rsid w:val="3E1C69AA"/>
    <w:rsid w:val="3E1F46CA"/>
    <w:rsid w:val="3E2029D2"/>
    <w:rsid w:val="3E265594"/>
    <w:rsid w:val="3E2678A8"/>
    <w:rsid w:val="3E285C74"/>
    <w:rsid w:val="3E2B52B7"/>
    <w:rsid w:val="3E2D5039"/>
    <w:rsid w:val="3E4723ED"/>
    <w:rsid w:val="3E4920FF"/>
    <w:rsid w:val="3E4D11ED"/>
    <w:rsid w:val="3E515B6D"/>
    <w:rsid w:val="3E632716"/>
    <w:rsid w:val="3E734A16"/>
    <w:rsid w:val="3E7762B4"/>
    <w:rsid w:val="3E7E66BF"/>
    <w:rsid w:val="3E860B26"/>
    <w:rsid w:val="3E892E3D"/>
    <w:rsid w:val="3E9514D0"/>
    <w:rsid w:val="3E952BDE"/>
    <w:rsid w:val="3EA24C59"/>
    <w:rsid w:val="3EB151D1"/>
    <w:rsid w:val="3EB412B6"/>
    <w:rsid w:val="3EB94B1E"/>
    <w:rsid w:val="3EC60083"/>
    <w:rsid w:val="3EC86B10"/>
    <w:rsid w:val="3EC90069"/>
    <w:rsid w:val="3ECC4F11"/>
    <w:rsid w:val="3EE84AE4"/>
    <w:rsid w:val="3EEA5AC3"/>
    <w:rsid w:val="3EF55F5D"/>
    <w:rsid w:val="3EFD69CC"/>
    <w:rsid w:val="3F087854"/>
    <w:rsid w:val="3F152851"/>
    <w:rsid w:val="3F2504D1"/>
    <w:rsid w:val="3F2C52F0"/>
    <w:rsid w:val="3F304670"/>
    <w:rsid w:val="3F3A0789"/>
    <w:rsid w:val="3F3C05B3"/>
    <w:rsid w:val="3F3F4B64"/>
    <w:rsid w:val="3F5B3E28"/>
    <w:rsid w:val="3F5C1E1F"/>
    <w:rsid w:val="3F6A7BC7"/>
    <w:rsid w:val="3F6E064C"/>
    <w:rsid w:val="3F791C7D"/>
    <w:rsid w:val="3F890995"/>
    <w:rsid w:val="3F9904AC"/>
    <w:rsid w:val="3F9F7537"/>
    <w:rsid w:val="3FA54EFD"/>
    <w:rsid w:val="3FAE2EBE"/>
    <w:rsid w:val="3FBA171C"/>
    <w:rsid w:val="3FBD4CDE"/>
    <w:rsid w:val="3FC17AB9"/>
    <w:rsid w:val="3FC7280D"/>
    <w:rsid w:val="3FC86003"/>
    <w:rsid w:val="3FD30F53"/>
    <w:rsid w:val="3FD51378"/>
    <w:rsid w:val="3FE21E53"/>
    <w:rsid w:val="3FFD22C6"/>
    <w:rsid w:val="401320C9"/>
    <w:rsid w:val="401B423B"/>
    <w:rsid w:val="4020520A"/>
    <w:rsid w:val="402204A1"/>
    <w:rsid w:val="40325C2A"/>
    <w:rsid w:val="4033445D"/>
    <w:rsid w:val="40384169"/>
    <w:rsid w:val="403A3A3D"/>
    <w:rsid w:val="40463E9C"/>
    <w:rsid w:val="4049252A"/>
    <w:rsid w:val="40497499"/>
    <w:rsid w:val="40503261"/>
    <w:rsid w:val="405D76A1"/>
    <w:rsid w:val="40600897"/>
    <w:rsid w:val="40A01492"/>
    <w:rsid w:val="40A76257"/>
    <w:rsid w:val="40A84E4B"/>
    <w:rsid w:val="40AE4842"/>
    <w:rsid w:val="40CA6E29"/>
    <w:rsid w:val="40D61148"/>
    <w:rsid w:val="40E46DC7"/>
    <w:rsid w:val="40E816EB"/>
    <w:rsid w:val="40F10DC4"/>
    <w:rsid w:val="40F74051"/>
    <w:rsid w:val="40FA0B24"/>
    <w:rsid w:val="4108260D"/>
    <w:rsid w:val="41151DB4"/>
    <w:rsid w:val="412628D7"/>
    <w:rsid w:val="412768C3"/>
    <w:rsid w:val="41384420"/>
    <w:rsid w:val="41524DB6"/>
    <w:rsid w:val="415E2971"/>
    <w:rsid w:val="41607402"/>
    <w:rsid w:val="41670862"/>
    <w:rsid w:val="416774ED"/>
    <w:rsid w:val="4168282C"/>
    <w:rsid w:val="416C134E"/>
    <w:rsid w:val="4178575E"/>
    <w:rsid w:val="418238EE"/>
    <w:rsid w:val="41880D0D"/>
    <w:rsid w:val="41886A2A"/>
    <w:rsid w:val="419453CF"/>
    <w:rsid w:val="4197337A"/>
    <w:rsid w:val="41A360B9"/>
    <w:rsid w:val="41A80DB4"/>
    <w:rsid w:val="41B15FEC"/>
    <w:rsid w:val="41B721B2"/>
    <w:rsid w:val="41CD2002"/>
    <w:rsid w:val="41D34647"/>
    <w:rsid w:val="41D91DC6"/>
    <w:rsid w:val="41DC3875"/>
    <w:rsid w:val="41E00614"/>
    <w:rsid w:val="41E23FEB"/>
    <w:rsid w:val="41E94EC1"/>
    <w:rsid w:val="41F30347"/>
    <w:rsid w:val="41F375C6"/>
    <w:rsid w:val="41F44C6C"/>
    <w:rsid w:val="41F57B8B"/>
    <w:rsid w:val="41F96A70"/>
    <w:rsid w:val="41FB36A0"/>
    <w:rsid w:val="42042555"/>
    <w:rsid w:val="42057F6C"/>
    <w:rsid w:val="42072A91"/>
    <w:rsid w:val="421332E7"/>
    <w:rsid w:val="42253C46"/>
    <w:rsid w:val="4227585E"/>
    <w:rsid w:val="42276243"/>
    <w:rsid w:val="42291D35"/>
    <w:rsid w:val="422C0B92"/>
    <w:rsid w:val="42326E07"/>
    <w:rsid w:val="42342A76"/>
    <w:rsid w:val="4237559F"/>
    <w:rsid w:val="4237718B"/>
    <w:rsid w:val="424A4B25"/>
    <w:rsid w:val="424E1B44"/>
    <w:rsid w:val="42514006"/>
    <w:rsid w:val="4258200C"/>
    <w:rsid w:val="425863FC"/>
    <w:rsid w:val="425870F3"/>
    <w:rsid w:val="42687EB7"/>
    <w:rsid w:val="426B2916"/>
    <w:rsid w:val="427B572E"/>
    <w:rsid w:val="427C0EF8"/>
    <w:rsid w:val="42815953"/>
    <w:rsid w:val="428533D4"/>
    <w:rsid w:val="4286632A"/>
    <w:rsid w:val="428B6D66"/>
    <w:rsid w:val="428F01B5"/>
    <w:rsid w:val="42980EEF"/>
    <w:rsid w:val="4299172F"/>
    <w:rsid w:val="429A6F34"/>
    <w:rsid w:val="42A734BE"/>
    <w:rsid w:val="42B45F0F"/>
    <w:rsid w:val="42BA5D39"/>
    <w:rsid w:val="42E40B6C"/>
    <w:rsid w:val="42E776F0"/>
    <w:rsid w:val="42E93984"/>
    <w:rsid w:val="42E96EE1"/>
    <w:rsid w:val="42F739B3"/>
    <w:rsid w:val="42F90822"/>
    <w:rsid w:val="42F90D8B"/>
    <w:rsid w:val="43074535"/>
    <w:rsid w:val="430934DD"/>
    <w:rsid w:val="430D4D09"/>
    <w:rsid w:val="430F4A6D"/>
    <w:rsid w:val="431134EC"/>
    <w:rsid w:val="431B3C8F"/>
    <w:rsid w:val="43237164"/>
    <w:rsid w:val="432B6610"/>
    <w:rsid w:val="433A2FB5"/>
    <w:rsid w:val="433F5663"/>
    <w:rsid w:val="4341217F"/>
    <w:rsid w:val="434A4CD7"/>
    <w:rsid w:val="435B2648"/>
    <w:rsid w:val="435F0C6D"/>
    <w:rsid w:val="43650DD1"/>
    <w:rsid w:val="436A6578"/>
    <w:rsid w:val="436B215F"/>
    <w:rsid w:val="436C59EE"/>
    <w:rsid w:val="437E770A"/>
    <w:rsid w:val="438020AF"/>
    <w:rsid w:val="43811983"/>
    <w:rsid w:val="438121A0"/>
    <w:rsid w:val="43843A94"/>
    <w:rsid w:val="438E5442"/>
    <w:rsid w:val="438E6981"/>
    <w:rsid w:val="438F1A17"/>
    <w:rsid w:val="439363E5"/>
    <w:rsid w:val="439567CA"/>
    <w:rsid w:val="43A11923"/>
    <w:rsid w:val="43A455EE"/>
    <w:rsid w:val="43A80BD5"/>
    <w:rsid w:val="43A86F10"/>
    <w:rsid w:val="43D16863"/>
    <w:rsid w:val="43D877F5"/>
    <w:rsid w:val="43DB071C"/>
    <w:rsid w:val="43E66B7A"/>
    <w:rsid w:val="43EC11EF"/>
    <w:rsid w:val="43FF20B3"/>
    <w:rsid w:val="44023567"/>
    <w:rsid w:val="4404683C"/>
    <w:rsid w:val="44135338"/>
    <w:rsid w:val="441B7BD1"/>
    <w:rsid w:val="44200F6C"/>
    <w:rsid w:val="44250560"/>
    <w:rsid w:val="44272E3A"/>
    <w:rsid w:val="442A583E"/>
    <w:rsid w:val="44301C44"/>
    <w:rsid w:val="444955A7"/>
    <w:rsid w:val="44521D9B"/>
    <w:rsid w:val="44692B43"/>
    <w:rsid w:val="446D0233"/>
    <w:rsid w:val="44730373"/>
    <w:rsid w:val="44745027"/>
    <w:rsid w:val="44763F08"/>
    <w:rsid w:val="44777C88"/>
    <w:rsid w:val="447A4B1D"/>
    <w:rsid w:val="448C2D92"/>
    <w:rsid w:val="44904DBD"/>
    <w:rsid w:val="44996CBE"/>
    <w:rsid w:val="44A458AC"/>
    <w:rsid w:val="44A91FA4"/>
    <w:rsid w:val="44A93A4C"/>
    <w:rsid w:val="44B96055"/>
    <w:rsid w:val="44BE2E8F"/>
    <w:rsid w:val="44C61D43"/>
    <w:rsid w:val="44CE29A6"/>
    <w:rsid w:val="44D501D8"/>
    <w:rsid w:val="44D91EE1"/>
    <w:rsid w:val="44DF4227"/>
    <w:rsid w:val="44E13BB3"/>
    <w:rsid w:val="44ED1F11"/>
    <w:rsid w:val="44ED29DF"/>
    <w:rsid w:val="44F143F7"/>
    <w:rsid w:val="44F723B7"/>
    <w:rsid w:val="44F96329"/>
    <w:rsid w:val="44FE16D9"/>
    <w:rsid w:val="450436B0"/>
    <w:rsid w:val="45083D2A"/>
    <w:rsid w:val="45132AAF"/>
    <w:rsid w:val="452457AE"/>
    <w:rsid w:val="452E492E"/>
    <w:rsid w:val="452E5D2E"/>
    <w:rsid w:val="45435142"/>
    <w:rsid w:val="454412D0"/>
    <w:rsid w:val="454A2974"/>
    <w:rsid w:val="454D1F27"/>
    <w:rsid w:val="454D453B"/>
    <w:rsid w:val="456D40D6"/>
    <w:rsid w:val="4585533A"/>
    <w:rsid w:val="458B00DF"/>
    <w:rsid w:val="45943BEF"/>
    <w:rsid w:val="45955C8A"/>
    <w:rsid w:val="45987718"/>
    <w:rsid w:val="45A53C96"/>
    <w:rsid w:val="45AB2CE7"/>
    <w:rsid w:val="45AD2F03"/>
    <w:rsid w:val="45B142A9"/>
    <w:rsid w:val="45C435FA"/>
    <w:rsid w:val="45CF1C33"/>
    <w:rsid w:val="45D050B9"/>
    <w:rsid w:val="45E83F3B"/>
    <w:rsid w:val="45E91F71"/>
    <w:rsid w:val="45F60406"/>
    <w:rsid w:val="46020556"/>
    <w:rsid w:val="46032B23"/>
    <w:rsid w:val="460A2104"/>
    <w:rsid w:val="460E1FA2"/>
    <w:rsid w:val="460F565D"/>
    <w:rsid w:val="46232D75"/>
    <w:rsid w:val="462547F1"/>
    <w:rsid w:val="46276828"/>
    <w:rsid w:val="46282673"/>
    <w:rsid w:val="462E0E4B"/>
    <w:rsid w:val="462F55E2"/>
    <w:rsid w:val="463C5990"/>
    <w:rsid w:val="464148DD"/>
    <w:rsid w:val="464257AC"/>
    <w:rsid w:val="46444E96"/>
    <w:rsid w:val="46493C13"/>
    <w:rsid w:val="4653419E"/>
    <w:rsid w:val="46556328"/>
    <w:rsid w:val="4656150F"/>
    <w:rsid w:val="46571AB0"/>
    <w:rsid w:val="46587AB9"/>
    <w:rsid w:val="465D2233"/>
    <w:rsid w:val="46601D24"/>
    <w:rsid w:val="466261C9"/>
    <w:rsid w:val="46640B07"/>
    <w:rsid w:val="466435C2"/>
    <w:rsid w:val="4667066F"/>
    <w:rsid w:val="468D5698"/>
    <w:rsid w:val="469F45FA"/>
    <w:rsid w:val="469F52A6"/>
    <w:rsid w:val="46A16386"/>
    <w:rsid w:val="46A911C0"/>
    <w:rsid w:val="46B10A20"/>
    <w:rsid w:val="46B450CA"/>
    <w:rsid w:val="46C0208C"/>
    <w:rsid w:val="46C71DA3"/>
    <w:rsid w:val="46D06F82"/>
    <w:rsid w:val="46D6683C"/>
    <w:rsid w:val="46ED3B48"/>
    <w:rsid w:val="470142E9"/>
    <w:rsid w:val="47042D2A"/>
    <w:rsid w:val="470531BC"/>
    <w:rsid w:val="47121270"/>
    <w:rsid w:val="47267801"/>
    <w:rsid w:val="472B2331"/>
    <w:rsid w:val="47436D6F"/>
    <w:rsid w:val="474433F3"/>
    <w:rsid w:val="47450891"/>
    <w:rsid w:val="475712AF"/>
    <w:rsid w:val="47575353"/>
    <w:rsid w:val="475E6263"/>
    <w:rsid w:val="475F231F"/>
    <w:rsid w:val="476A624A"/>
    <w:rsid w:val="476D3021"/>
    <w:rsid w:val="478351D6"/>
    <w:rsid w:val="478C7193"/>
    <w:rsid w:val="478D27D8"/>
    <w:rsid w:val="478F1243"/>
    <w:rsid w:val="479005A1"/>
    <w:rsid w:val="4792759F"/>
    <w:rsid w:val="479D19B3"/>
    <w:rsid w:val="479E4FA8"/>
    <w:rsid w:val="47A50CD9"/>
    <w:rsid w:val="47B1270E"/>
    <w:rsid w:val="47B1614D"/>
    <w:rsid w:val="47B455F3"/>
    <w:rsid w:val="47B73BC5"/>
    <w:rsid w:val="47C95B2B"/>
    <w:rsid w:val="47CD0D99"/>
    <w:rsid w:val="47CD5197"/>
    <w:rsid w:val="47D7588C"/>
    <w:rsid w:val="47D97FDF"/>
    <w:rsid w:val="47DF7A24"/>
    <w:rsid w:val="47E36768"/>
    <w:rsid w:val="47F646ED"/>
    <w:rsid w:val="47F9352C"/>
    <w:rsid w:val="47FB7F56"/>
    <w:rsid w:val="48036BA5"/>
    <w:rsid w:val="4804261B"/>
    <w:rsid w:val="480B5980"/>
    <w:rsid w:val="480C2163"/>
    <w:rsid w:val="481167EC"/>
    <w:rsid w:val="481C6AED"/>
    <w:rsid w:val="48200C7E"/>
    <w:rsid w:val="482374AD"/>
    <w:rsid w:val="483E5665"/>
    <w:rsid w:val="484329A7"/>
    <w:rsid w:val="484A4B11"/>
    <w:rsid w:val="486F26F2"/>
    <w:rsid w:val="48765A94"/>
    <w:rsid w:val="4879467B"/>
    <w:rsid w:val="487D096B"/>
    <w:rsid w:val="48877904"/>
    <w:rsid w:val="488E2B78"/>
    <w:rsid w:val="48A24875"/>
    <w:rsid w:val="48AA3DF7"/>
    <w:rsid w:val="48AF2BC3"/>
    <w:rsid w:val="48B74F51"/>
    <w:rsid w:val="48B84099"/>
    <w:rsid w:val="48B85651"/>
    <w:rsid w:val="48BB2AA5"/>
    <w:rsid w:val="48C06AA9"/>
    <w:rsid w:val="48CC544E"/>
    <w:rsid w:val="48CE2DC6"/>
    <w:rsid w:val="48F7696F"/>
    <w:rsid w:val="48FB32BC"/>
    <w:rsid w:val="48FC21D7"/>
    <w:rsid w:val="49101D04"/>
    <w:rsid w:val="49161A8E"/>
    <w:rsid w:val="4916491B"/>
    <w:rsid w:val="491C2947"/>
    <w:rsid w:val="491E658D"/>
    <w:rsid w:val="49250A0B"/>
    <w:rsid w:val="49363541"/>
    <w:rsid w:val="494235DE"/>
    <w:rsid w:val="495913D8"/>
    <w:rsid w:val="495B5A5B"/>
    <w:rsid w:val="49665E0B"/>
    <w:rsid w:val="496C09FB"/>
    <w:rsid w:val="496F5986"/>
    <w:rsid w:val="49707B82"/>
    <w:rsid w:val="49746212"/>
    <w:rsid w:val="49816FD7"/>
    <w:rsid w:val="498C4FE5"/>
    <w:rsid w:val="498D4FC0"/>
    <w:rsid w:val="49927773"/>
    <w:rsid w:val="499833AA"/>
    <w:rsid w:val="49AE7121"/>
    <w:rsid w:val="49B605CC"/>
    <w:rsid w:val="49BA799D"/>
    <w:rsid w:val="49C05FA0"/>
    <w:rsid w:val="49C10D2B"/>
    <w:rsid w:val="49C375E8"/>
    <w:rsid w:val="49E14F29"/>
    <w:rsid w:val="49E17A40"/>
    <w:rsid w:val="49E5379C"/>
    <w:rsid w:val="49F92586"/>
    <w:rsid w:val="4A0045CB"/>
    <w:rsid w:val="4A037596"/>
    <w:rsid w:val="4A0D279C"/>
    <w:rsid w:val="4A1452FF"/>
    <w:rsid w:val="4A1E7E64"/>
    <w:rsid w:val="4A213798"/>
    <w:rsid w:val="4A2F39DD"/>
    <w:rsid w:val="4A3B6FBA"/>
    <w:rsid w:val="4A4C2CEB"/>
    <w:rsid w:val="4A5676C5"/>
    <w:rsid w:val="4A587821"/>
    <w:rsid w:val="4A653DAC"/>
    <w:rsid w:val="4A695D34"/>
    <w:rsid w:val="4A786E20"/>
    <w:rsid w:val="4A8042DE"/>
    <w:rsid w:val="4A816BF6"/>
    <w:rsid w:val="4A824718"/>
    <w:rsid w:val="4A8F0E29"/>
    <w:rsid w:val="4A8F1F6D"/>
    <w:rsid w:val="4A9B42A2"/>
    <w:rsid w:val="4A9F3546"/>
    <w:rsid w:val="4AB331C5"/>
    <w:rsid w:val="4AB849ED"/>
    <w:rsid w:val="4ACE6429"/>
    <w:rsid w:val="4ADA76CA"/>
    <w:rsid w:val="4AEB25AC"/>
    <w:rsid w:val="4AED65B6"/>
    <w:rsid w:val="4AEE358C"/>
    <w:rsid w:val="4AEF7CB9"/>
    <w:rsid w:val="4AF75F15"/>
    <w:rsid w:val="4AFA2126"/>
    <w:rsid w:val="4B0302EB"/>
    <w:rsid w:val="4B080F14"/>
    <w:rsid w:val="4B08477A"/>
    <w:rsid w:val="4B0B4954"/>
    <w:rsid w:val="4B137364"/>
    <w:rsid w:val="4B1B73E7"/>
    <w:rsid w:val="4B282734"/>
    <w:rsid w:val="4B3A1853"/>
    <w:rsid w:val="4B4966FA"/>
    <w:rsid w:val="4B4C0AC8"/>
    <w:rsid w:val="4B4E6D15"/>
    <w:rsid w:val="4B503C52"/>
    <w:rsid w:val="4B505F1A"/>
    <w:rsid w:val="4B5A5D22"/>
    <w:rsid w:val="4B5D4F8F"/>
    <w:rsid w:val="4B716FC5"/>
    <w:rsid w:val="4B781D57"/>
    <w:rsid w:val="4B7F075A"/>
    <w:rsid w:val="4B827072"/>
    <w:rsid w:val="4B85737C"/>
    <w:rsid w:val="4B863F84"/>
    <w:rsid w:val="4B865E08"/>
    <w:rsid w:val="4B8A5EE7"/>
    <w:rsid w:val="4B8C1AC0"/>
    <w:rsid w:val="4B8F7333"/>
    <w:rsid w:val="4B97121D"/>
    <w:rsid w:val="4BA506B8"/>
    <w:rsid w:val="4BAF4E6B"/>
    <w:rsid w:val="4BBE1B96"/>
    <w:rsid w:val="4BC44CA6"/>
    <w:rsid w:val="4BEF62C1"/>
    <w:rsid w:val="4BF6119D"/>
    <w:rsid w:val="4C0A08A8"/>
    <w:rsid w:val="4C151694"/>
    <w:rsid w:val="4C1C6762"/>
    <w:rsid w:val="4C285CAA"/>
    <w:rsid w:val="4C2C4B71"/>
    <w:rsid w:val="4C485734"/>
    <w:rsid w:val="4C4D5FE8"/>
    <w:rsid w:val="4C5418AA"/>
    <w:rsid w:val="4C5479B0"/>
    <w:rsid w:val="4C59074E"/>
    <w:rsid w:val="4C601663"/>
    <w:rsid w:val="4C602A24"/>
    <w:rsid w:val="4C854292"/>
    <w:rsid w:val="4C8C44A9"/>
    <w:rsid w:val="4C997854"/>
    <w:rsid w:val="4CA901FB"/>
    <w:rsid w:val="4CB4623B"/>
    <w:rsid w:val="4CBA5654"/>
    <w:rsid w:val="4CBB217B"/>
    <w:rsid w:val="4CBC540A"/>
    <w:rsid w:val="4CCB3726"/>
    <w:rsid w:val="4CCD6EB2"/>
    <w:rsid w:val="4CD3324F"/>
    <w:rsid w:val="4CD66473"/>
    <w:rsid w:val="4CD86AB8"/>
    <w:rsid w:val="4CD9277A"/>
    <w:rsid w:val="4CDD42D5"/>
    <w:rsid w:val="4CE17587"/>
    <w:rsid w:val="4CE54D31"/>
    <w:rsid w:val="4CEA5103"/>
    <w:rsid w:val="4CF27271"/>
    <w:rsid w:val="4CF45B4A"/>
    <w:rsid w:val="4CF60D7F"/>
    <w:rsid w:val="4CF905A7"/>
    <w:rsid w:val="4CFC0573"/>
    <w:rsid w:val="4D005B8C"/>
    <w:rsid w:val="4D0C74B6"/>
    <w:rsid w:val="4D0E48CB"/>
    <w:rsid w:val="4D2025B6"/>
    <w:rsid w:val="4D21045F"/>
    <w:rsid w:val="4D286C40"/>
    <w:rsid w:val="4D2B03B9"/>
    <w:rsid w:val="4D2F41FE"/>
    <w:rsid w:val="4D397675"/>
    <w:rsid w:val="4D535047"/>
    <w:rsid w:val="4D5D76E1"/>
    <w:rsid w:val="4D5F0EC0"/>
    <w:rsid w:val="4D6B0B8C"/>
    <w:rsid w:val="4D6D0AD7"/>
    <w:rsid w:val="4D7F3666"/>
    <w:rsid w:val="4D7F5185"/>
    <w:rsid w:val="4D8126A6"/>
    <w:rsid w:val="4D8E361A"/>
    <w:rsid w:val="4DA22FB1"/>
    <w:rsid w:val="4DAD2A1C"/>
    <w:rsid w:val="4DB35F98"/>
    <w:rsid w:val="4DB8631F"/>
    <w:rsid w:val="4DC4528E"/>
    <w:rsid w:val="4DC4703C"/>
    <w:rsid w:val="4DC81C80"/>
    <w:rsid w:val="4DD82678"/>
    <w:rsid w:val="4DDE2D41"/>
    <w:rsid w:val="4DE65204"/>
    <w:rsid w:val="4DE67660"/>
    <w:rsid w:val="4DF0398D"/>
    <w:rsid w:val="4DF1029A"/>
    <w:rsid w:val="4DF5341A"/>
    <w:rsid w:val="4DFA480C"/>
    <w:rsid w:val="4E06748C"/>
    <w:rsid w:val="4E11619D"/>
    <w:rsid w:val="4E191136"/>
    <w:rsid w:val="4E197739"/>
    <w:rsid w:val="4E2105D2"/>
    <w:rsid w:val="4E2718FF"/>
    <w:rsid w:val="4E3441C2"/>
    <w:rsid w:val="4E38418B"/>
    <w:rsid w:val="4E393586"/>
    <w:rsid w:val="4E4023A7"/>
    <w:rsid w:val="4E4837C9"/>
    <w:rsid w:val="4E4878C2"/>
    <w:rsid w:val="4E4F2DA9"/>
    <w:rsid w:val="4E51609D"/>
    <w:rsid w:val="4E5E3A44"/>
    <w:rsid w:val="4E620190"/>
    <w:rsid w:val="4E6323B1"/>
    <w:rsid w:val="4E772300"/>
    <w:rsid w:val="4E8C1B33"/>
    <w:rsid w:val="4EA70689"/>
    <w:rsid w:val="4EAE6C01"/>
    <w:rsid w:val="4EB33111"/>
    <w:rsid w:val="4EC4214A"/>
    <w:rsid w:val="4ED30F34"/>
    <w:rsid w:val="4ED92673"/>
    <w:rsid w:val="4EDE412D"/>
    <w:rsid w:val="4EE127D9"/>
    <w:rsid w:val="4EE91CBB"/>
    <w:rsid w:val="4EF120B3"/>
    <w:rsid w:val="4EF30D1C"/>
    <w:rsid w:val="4EFA0598"/>
    <w:rsid w:val="4EFC38A0"/>
    <w:rsid w:val="4F012F3C"/>
    <w:rsid w:val="4F056569"/>
    <w:rsid w:val="4F077733"/>
    <w:rsid w:val="4F155DA1"/>
    <w:rsid w:val="4F2102B7"/>
    <w:rsid w:val="4F30443C"/>
    <w:rsid w:val="4F351F9F"/>
    <w:rsid w:val="4F383D86"/>
    <w:rsid w:val="4F475A0E"/>
    <w:rsid w:val="4F4F0D9E"/>
    <w:rsid w:val="4F4F2935"/>
    <w:rsid w:val="4F512B51"/>
    <w:rsid w:val="4F5D3346"/>
    <w:rsid w:val="4F5E416D"/>
    <w:rsid w:val="4F604EBE"/>
    <w:rsid w:val="4F636676"/>
    <w:rsid w:val="4F6409BA"/>
    <w:rsid w:val="4F652B35"/>
    <w:rsid w:val="4F6F2064"/>
    <w:rsid w:val="4F703030"/>
    <w:rsid w:val="4F716D4F"/>
    <w:rsid w:val="4F7850EB"/>
    <w:rsid w:val="4F7970FE"/>
    <w:rsid w:val="4F8115BD"/>
    <w:rsid w:val="4F972281"/>
    <w:rsid w:val="4F9754F2"/>
    <w:rsid w:val="4FAE58AE"/>
    <w:rsid w:val="4FBE73C1"/>
    <w:rsid w:val="4FC30C0D"/>
    <w:rsid w:val="4FD0100B"/>
    <w:rsid w:val="4FD67AA9"/>
    <w:rsid w:val="4FE10F89"/>
    <w:rsid w:val="4FE4122B"/>
    <w:rsid w:val="4FF736F9"/>
    <w:rsid w:val="500E3BF3"/>
    <w:rsid w:val="501A5D04"/>
    <w:rsid w:val="5022177E"/>
    <w:rsid w:val="50225863"/>
    <w:rsid w:val="502F7EFF"/>
    <w:rsid w:val="50333A76"/>
    <w:rsid w:val="50377F99"/>
    <w:rsid w:val="50463D38"/>
    <w:rsid w:val="504B134F"/>
    <w:rsid w:val="505E5526"/>
    <w:rsid w:val="506152D7"/>
    <w:rsid w:val="50770918"/>
    <w:rsid w:val="50772584"/>
    <w:rsid w:val="507765E7"/>
    <w:rsid w:val="507F0E7D"/>
    <w:rsid w:val="50815936"/>
    <w:rsid w:val="509168AF"/>
    <w:rsid w:val="5093118C"/>
    <w:rsid w:val="50950CC6"/>
    <w:rsid w:val="50A8223C"/>
    <w:rsid w:val="50AF5D81"/>
    <w:rsid w:val="50B415EA"/>
    <w:rsid w:val="50C44805"/>
    <w:rsid w:val="50C52C41"/>
    <w:rsid w:val="50D90493"/>
    <w:rsid w:val="50D92368"/>
    <w:rsid w:val="50EC2CC4"/>
    <w:rsid w:val="50F50BD4"/>
    <w:rsid w:val="50F81424"/>
    <w:rsid w:val="50FB33AC"/>
    <w:rsid w:val="51006279"/>
    <w:rsid w:val="51043F7F"/>
    <w:rsid w:val="5114691E"/>
    <w:rsid w:val="511606AB"/>
    <w:rsid w:val="51297061"/>
    <w:rsid w:val="512E624D"/>
    <w:rsid w:val="51321A00"/>
    <w:rsid w:val="51492B22"/>
    <w:rsid w:val="515203DF"/>
    <w:rsid w:val="515332EE"/>
    <w:rsid w:val="515D3D89"/>
    <w:rsid w:val="515E4DDC"/>
    <w:rsid w:val="516C0150"/>
    <w:rsid w:val="51724B2E"/>
    <w:rsid w:val="518F2E1D"/>
    <w:rsid w:val="519568F3"/>
    <w:rsid w:val="51AA10DA"/>
    <w:rsid w:val="51B03B5F"/>
    <w:rsid w:val="51B411EE"/>
    <w:rsid w:val="51BC18B5"/>
    <w:rsid w:val="51CF3F45"/>
    <w:rsid w:val="51E8486B"/>
    <w:rsid w:val="51EC12F8"/>
    <w:rsid w:val="51EE0B2B"/>
    <w:rsid w:val="51F70CD0"/>
    <w:rsid w:val="51F872B4"/>
    <w:rsid w:val="51FC436E"/>
    <w:rsid w:val="52033196"/>
    <w:rsid w:val="52046E27"/>
    <w:rsid w:val="52083CC3"/>
    <w:rsid w:val="520C4C6B"/>
    <w:rsid w:val="520E247D"/>
    <w:rsid w:val="52192A59"/>
    <w:rsid w:val="521D4F6D"/>
    <w:rsid w:val="52287B99"/>
    <w:rsid w:val="522A243E"/>
    <w:rsid w:val="523A4858"/>
    <w:rsid w:val="5244556D"/>
    <w:rsid w:val="524664B8"/>
    <w:rsid w:val="526015FB"/>
    <w:rsid w:val="52621968"/>
    <w:rsid w:val="526C50DD"/>
    <w:rsid w:val="527D3E78"/>
    <w:rsid w:val="52822017"/>
    <w:rsid w:val="528446CD"/>
    <w:rsid w:val="52851144"/>
    <w:rsid w:val="528F1B3B"/>
    <w:rsid w:val="52921F84"/>
    <w:rsid w:val="529426D1"/>
    <w:rsid w:val="529831D7"/>
    <w:rsid w:val="52A26575"/>
    <w:rsid w:val="52C04276"/>
    <w:rsid w:val="52C04767"/>
    <w:rsid w:val="52C65A8F"/>
    <w:rsid w:val="52C8548A"/>
    <w:rsid w:val="52DC2732"/>
    <w:rsid w:val="52E15F9A"/>
    <w:rsid w:val="530544BB"/>
    <w:rsid w:val="53083527"/>
    <w:rsid w:val="530C731A"/>
    <w:rsid w:val="531225F7"/>
    <w:rsid w:val="531B187C"/>
    <w:rsid w:val="531D609A"/>
    <w:rsid w:val="532103EE"/>
    <w:rsid w:val="53263C79"/>
    <w:rsid w:val="532E3045"/>
    <w:rsid w:val="532E5683"/>
    <w:rsid w:val="53394028"/>
    <w:rsid w:val="53397B84"/>
    <w:rsid w:val="533C708B"/>
    <w:rsid w:val="53456529"/>
    <w:rsid w:val="535326F9"/>
    <w:rsid w:val="53542438"/>
    <w:rsid w:val="53566988"/>
    <w:rsid w:val="535C6B19"/>
    <w:rsid w:val="535D0D4E"/>
    <w:rsid w:val="535D6424"/>
    <w:rsid w:val="536A07F8"/>
    <w:rsid w:val="536D6848"/>
    <w:rsid w:val="536F59BA"/>
    <w:rsid w:val="537C2B1E"/>
    <w:rsid w:val="538204EF"/>
    <w:rsid w:val="53D33B35"/>
    <w:rsid w:val="53EE1FE6"/>
    <w:rsid w:val="53F00833"/>
    <w:rsid w:val="53F4213D"/>
    <w:rsid w:val="53F8359B"/>
    <w:rsid w:val="53FC3C6C"/>
    <w:rsid w:val="53FD5056"/>
    <w:rsid w:val="54060FA4"/>
    <w:rsid w:val="54073B01"/>
    <w:rsid w:val="540B34AA"/>
    <w:rsid w:val="540C6549"/>
    <w:rsid w:val="54102FDB"/>
    <w:rsid w:val="541F4FCC"/>
    <w:rsid w:val="542B78AB"/>
    <w:rsid w:val="54352A41"/>
    <w:rsid w:val="54411FA2"/>
    <w:rsid w:val="5445608A"/>
    <w:rsid w:val="544671BA"/>
    <w:rsid w:val="545A1306"/>
    <w:rsid w:val="545F364A"/>
    <w:rsid w:val="546534D9"/>
    <w:rsid w:val="54686973"/>
    <w:rsid w:val="54831941"/>
    <w:rsid w:val="5488491F"/>
    <w:rsid w:val="548E3F00"/>
    <w:rsid w:val="54962A65"/>
    <w:rsid w:val="549A3729"/>
    <w:rsid w:val="549F7EBB"/>
    <w:rsid w:val="54AE41A3"/>
    <w:rsid w:val="54BF3019"/>
    <w:rsid w:val="54C10CF9"/>
    <w:rsid w:val="54C22F0D"/>
    <w:rsid w:val="54C92199"/>
    <w:rsid w:val="54CF345E"/>
    <w:rsid w:val="54E3221C"/>
    <w:rsid w:val="54E3424B"/>
    <w:rsid w:val="54F31B0A"/>
    <w:rsid w:val="54F6638C"/>
    <w:rsid w:val="550B539E"/>
    <w:rsid w:val="550E04D1"/>
    <w:rsid w:val="551025BD"/>
    <w:rsid w:val="551D6B10"/>
    <w:rsid w:val="55202DAA"/>
    <w:rsid w:val="553B0454"/>
    <w:rsid w:val="55464880"/>
    <w:rsid w:val="55592253"/>
    <w:rsid w:val="555964BF"/>
    <w:rsid w:val="55666462"/>
    <w:rsid w:val="55802607"/>
    <w:rsid w:val="558A365F"/>
    <w:rsid w:val="558E5A53"/>
    <w:rsid w:val="559C4C96"/>
    <w:rsid w:val="55A011B7"/>
    <w:rsid w:val="55AA74AC"/>
    <w:rsid w:val="55AB03BC"/>
    <w:rsid w:val="55B41744"/>
    <w:rsid w:val="55B41D0D"/>
    <w:rsid w:val="55B41F1D"/>
    <w:rsid w:val="55C179DF"/>
    <w:rsid w:val="55C91268"/>
    <w:rsid w:val="55D43B94"/>
    <w:rsid w:val="55D50038"/>
    <w:rsid w:val="55ED74BF"/>
    <w:rsid w:val="55F14965"/>
    <w:rsid w:val="56135E26"/>
    <w:rsid w:val="56143C1F"/>
    <w:rsid w:val="56257C49"/>
    <w:rsid w:val="56327239"/>
    <w:rsid w:val="56352998"/>
    <w:rsid w:val="563C2FA5"/>
    <w:rsid w:val="56421205"/>
    <w:rsid w:val="56481E38"/>
    <w:rsid w:val="564B2061"/>
    <w:rsid w:val="56535401"/>
    <w:rsid w:val="565E599A"/>
    <w:rsid w:val="566011E7"/>
    <w:rsid w:val="56721F13"/>
    <w:rsid w:val="56743406"/>
    <w:rsid w:val="56751AC6"/>
    <w:rsid w:val="567A0BDF"/>
    <w:rsid w:val="567A74EB"/>
    <w:rsid w:val="567A7A0A"/>
    <w:rsid w:val="567C6182"/>
    <w:rsid w:val="567E7FD3"/>
    <w:rsid w:val="56912179"/>
    <w:rsid w:val="56963917"/>
    <w:rsid w:val="56A75AEB"/>
    <w:rsid w:val="56B35EEE"/>
    <w:rsid w:val="56B42E76"/>
    <w:rsid w:val="56B61C81"/>
    <w:rsid w:val="56BE6D1E"/>
    <w:rsid w:val="56C02A96"/>
    <w:rsid w:val="56C425E5"/>
    <w:rsid w:val="56CE2C60"/>
    <w:rsid w:val="56D1427A"/>
    <w:rsid w:val="56D20E7B"/>
    <w:rsid w:val="56D56703"/>
    <w:rsid w:val="56D7070B"/>
    <w:rsid w:val="56DB7E3E"/>
    <w:rsid w:val="56DF58C0"/>
    <w:rsid w:val="56E11407"/>
    <w:rsid w:val="56E815F1"/>
    <w:rsid w:val="56FE688C"/>
    <w:rsid w:val="5701231B"/>
    <w:rsid w:val="570566FB"/>
    <w:rsid w:val="57180E99"/>
    <w:rsid w:val="5727480F"/>
    <w:rsid w:val="574A2674"/>
    <w:rsid w:val="5759180F"/>
    <w:rsid w:val="57594971"/>
    <w:rsid w:val="575D64F8"/>
    <w:rsid w:val="576C4A3A"/>
    <w:rsid w:val="577B54F3"/>
    <w:rsid w:val="578D78D8"/>
    <w:rsid w:val="57B60D50"/>
    <w:rsid w:val="57BE51B5"/>
    <w:rsid w:val="57C00874"/>
    <w:rsid w:val="57C527EA"/>
    <w:rsid w:val="57CF79C6"/>
    <w:rsid w:val="57DF3B13"/>
    <w:rsid w:val="57E04A72"/>
    <w:rsid w:val="57FE1A43"/>
    <w:rsid w:val="57FE45B8"/>
    <w:rsid w:val="5805622D"/>
    <w:rsid w:val="580E404A"/>
    <w:rsid w:val="5824231B"/>
    <w:rsid w:val="582E3A30"/>
    <w:rsid w:val="582F1556"/>
    <w:rsid w:val="583B1EF1"/>
    <w:rsid w:val="583D318B"/>
    <w:rsid w:val="583E0066"/>
    <w:rsid w:val="5843541D"/>
    <w:rsid w:val="584C2108"/>
    <w:rsid w:val="585255A5"/>
    <w:rsid w:val="585735A7"/>
    <w:rsid w:val="585B5A19"/>
    <w:rsid w:val="585D4798"/>
    <w:rsid w:val="587070C4"/>
    <w:rsid w:val="587105DA"/>
    <w:rsid w:val="587E25F9"/>
    <w:rsid w:val="5883208E"/>
    <w:rsid w:val="5883699C"/>
    <w:rsid w:val="588B016E"/>
    <w:rsid w:val="58913FAE"/>
    <w:rsid w:val="58935F89"/>
    <w:rsid w:val="58975A79"/>
    <w:rsid w:val="58A10DC7"/>
    <w:rsid w:val="58AA22EE"/>
    <w:rsid w:val="58AE0097"/>
    <w:rsid w:val="58BA3515"/>
    <w:rsid w:val="58BA7F85"/>
    <w:rsid w:val="58BB2293"/>
    <w:rsid w:val="58C65588"/>
    <w:rsid w:val="58C85C32"/>
    <w:rsid w:val="58C919AA"/>
    <w:rsid w:val="58D37246"/>
    <w:rsid w:val="58D97E3F"/>
    <w:rsid w:val="58DE20A4"/>
    <w:rsid w:val="58E005DB"/>
    <w:rsid w:val="58E71BC6"/>
    <w:rsid w:val="58F55EA9"/>
    <w:rsid w:val="590C0208"/>
    <w:rsid w:val="59103CDB"/>
    <w:rsid w:val="591231C6"/>
    <w:rsid w:val="59143D73"/>
    <w:rsid w:val="59336A7B"/>
    <w:rsid w:val="593530FD"/>
    <w:rsid w:val="593E4146"/>
    <w:rsid w:val="59402C3A"/>
    <w:rsid w:val="594149BA"/>
    <w:rsid w:val="59454C67"/>
    <w:rsid w:val="594D25DB"/>
    <w:rsid w:val="596B17DF"/>
    <w:rsid w:val="597B512C"/>
    <w:rsid w:val="597E2440"/>
    <w:rsid w:val="59910483"/>
    <w:rsid w:val="599166BA"/>
    <w:rsid w:val="59967ADE"/>
    <w:rsid w:val="599B1FF1"/>
    <w:rsid w:val="599E2C80"/>
    <w:rsid w:val="59A018B8"/>
    <w:rsid w:val="59AA292D"/>
    <w:rsid w:val="59BB5797"/>
    <w:rsid w:val="59C37394"/>
    <w:rsid w:val="59C42A12"/>
    <w:rsid w:val="59CA794C"/>
    <w:rsid w:val="59DA6D1C"/>
    <w:rsid w:val="59E262E7"/>
    <w:rsid w:val="59E67EEB"/>
    <w:rsid w:val="59EF06CC"/>
    <w:rsid w:val="59F41067"/>
    <w:rsid w:val="5A08675B"/>
    <w:rsid w:val="5A225816"/>
    <w:rsid w:val="5A2D4B91"/>
    <w:rsid w:val="5A2E64FD"/>
    <w:rsid w:val="5A332E58"/>
    <w:rsid w:val="5A3B69CE"/>
    <w:rsid w:val="5A43416C"/>
    <w:rsid w:val="5A4968FF"/>
    <w:rsid w:val="5A4B6B1B"/>
    <w:rsid w:val="5A5056FB"/>
    <w:rsid w:val="5A5B5DE5"/>
    <w:rsid w:val="5A5B72C5"/>
    <w:rsid w:val="5A5C22D6"/>
    <w:rsid w:val="5A5C5647"/>
    <w:rsid w:val="5A6A565D"/>
    <w:rsid w:val="5A77745B"/>
    <w:rsid w:val="5A7B0A82"/>
    <w:rsid w:val="5A7B553F"/>
    <w:rsid w:val="5A7B7985"/>
    <w:rsid w:val="5A816D9D"/>
    <w:rsid w:val="5A83477B"/>
    <w:rsid w:val="5A9C32F9"/>
    <w:rsid w:val="5A9C7376"/>
    <w:rsid w:val="5A9D23C0"/>
    <w:rsid w:val="5AA1496E"/>
    <w:rsid w:val="5AA333B3"/>
    <w:rsid w:val="5AAC36F7"/>
    <w:rsid w:val="5AAF22D2"/>
    <w:rsid w:val="5AC64E79"/>
    <w:rsid w:val="5AC71290"/>
    <w:rsid w:val="5AE039D2"/>
    <w:rsid w:val="5AE46D65"/>
    <w:rsid w:val="5AE93BC2"/>
    <w:rsid w:val="5AEE74A6"/>
    <w:rsid w:val="5AFA2ED8"/>
    <w:rsid w:val="5AFC54DF"/>
    <w:rsid w:val="5B0867BA"/>
    <w:rsid w:val="5B15261B"/>
    <w:rsid w:val="5B162DAA"/>
    <w:rsid w:val="5B1F3B03"/>
    <w:rsid w:val="5B201FBE"/>
    <w:rsid w:val="5B221DFC"/>
    <w:rsid w:val="5B247492"/>
    <w:rsid w:val="5B264E92"/>
    <w:rsid w:val="5B366DD7"/>
    <w:rsid w:val="5B4403EC"/>
    <w:rsid w:val="5B490B80"/>
    <w:rsid w:val="5B4B66A7"/>
    <w:rsid w:val="5B5C1728"/>
    <w:rsid w:val="5B6559BA"/>
    <w:rsid w:val="5B6836FC"/>
    <w:rsid w:val="5B687FD5"/>
    <w:rsid w:val="5B6D162F"/>
    <w:rsid w:val="5B6E783F"/>
    <w:rsid w:val="5B7B4CB3"/>
    <w:rsid w:val="5B811F35"/>
    <w:rsid w:val="5B8837FD"/>
    <w:rsid w:val="5B892B0A"/>
    <w:rsid w:val="5B8C179C"/>
    <w:rsid w:val="5B8E2350"/>
    <w:rsid w:val="5B8F4E19"/>
    <w:rsid w:val="5B9A710D"/>
    <w:rsid w:val="5B9E4722"/>
    <w:rsid w:val="5BA46819"/>
    <w:rsid w:val="5BAC24A7"/>
    <w:rsid w:val="5BB029AE"/>
    <w:rsid w:val="5BB67D78"/>
    <w:rsid w:val="5BB77FC2"/>
    <w:rsid w:val="5BBE5F97"/>
    <w:rsid w:val="5BC03DE2"/>
    <w:rsid w:val="5BD14DFE"/>
    <w:rsid w:val="5BD30F88"/>
    <w:rsid w:val="5BDB7926"/>
    <w:rsid w:val="5BDC6CE1"/>
    <w:rsid w:val="5BE070DC"/>
    <w:rsid w:val="5BE57840"/>
    <w:rsid w:val="5BEC5D3A"/>
    <w:rsid w:val="5BF70FEC"/>
    <w:rsid w:val="5BF82431"/>
    <w:rsid w:val="5BF94355"/>
    <w:rsid w:val="5C0440AB"/>
    <w:rsid w:val="5C067265"/>
    <w:rsid w:val="5C07081F"/>
    <w:rsid w:val="5C0923F7"/>
    <w:rsid w:val="5C115B42"/>
    <w:rsid w:val="5C1E0CF0"/>
    <w:rsid w:val="5C1E4486"/>
    <w:rsid w:val="5C207B33"/>
    <w:rsid w:val="5C314924"/>
    <w:rsid w:val="5C372717"/>
    <w:rsid w:val="5C3A2476"/>
    <w:rsid w:val="5C3D428C"/>
    <w:rsid w:val="5C440F20"/>
    <w:rsid w:val="5C48561E"/>
    <w:rsid w:val="5C4A5669"/>
    <w:rsid w:val="5C5D6BAA"/>
    <w:rsid w:val="5C783BF6"/>
    <w:rsid w:val="5C793627"/>
    <w:rsid w:val="5C7C1062"/>
    <w:rsid w:val="5C7D409C"/>
    <w:rsid w:val="5C7F500D"/>
    <w:rsid w:val="5C800C07"/>
    <w:rsid w:val="5CAF25EE"/>
    <w:rsid w:val="5CB95BD3"/>
    <w:rsid w:val="5CBF3BEB"/>
    <w:rsid w:val="5CC90179"/>
    <w:rsid w:val="5CCB780F"/>
    <w:rsid w:val="5CDA56F7"/>
    <w:rsid w:val="5CE55FF1"/>
    <w:rsid w:val="5CE779E2"/>
    <w:rsid w:val="5CF756A8"/>
    <w:rsid w:val="5D0E6E44"/>
    <w:rsid w:val="5D1840E6"/>
    <w:rsid w:val="5D1A6C78"/>
    <w:rsid w:val="5D1D4073"/>
    <w:rsid w:val="5D243653"/>
    <w:rsid w:val="5D253531"/>
    <w:rsid w:val="5D30169F"/>
    <w:rsid w:val="5D3E39F4"/>
    <w:rsid w:val="5D4E3C5D"/>
    <w:rsid w:val="5D4F6922"/>
    <w:rsid w:val="5D542E9A"/>
    <w:rsid w:val="5D552552"/>
    <w:rsid w:val="5D577585"/>
    <w:rsid w:val="5D5F296B"/>
    <w:rsid w:val="5D64347F"/>
    <w:rsid w:val="5D671691"/>
    <w:rsid w:val="5D6A6F15"/>
    <w:rsid w:val="5D7179C4"/>
    <w:rsid w:val="5D7C24D3"/>
    <w:rsid w:val="5D7D1A0E"/>
    <w:rsid w:val="5D7D2749"/>
    <w:rsid w:val="5D7E5E33"/>
    <w:rsid w:val="5D84646B"/>
    <w:rsid w:val="5D9010E7"/>
    <w:rsid w:val="5D940A4D"/>
    <w:rsid w:val="5D9C43DD"/>
    <w:rsid w:val="5DA14CA4"/>
    <w:rsid w:val="5DAA7FFC"/>
    <w:rsid w:val="5DAD0E03"/>
    <w:rsid w:val="5DAF5613"/>
    <w:rsid w:val="5DB10946"/>
    <w:rsid w:val="5DB84E04"/>
    <w:rsid w:val="5DBA15FE"/>
    <w:rsid w:val="5DD106B7"/>
    <w:rsid w:val="5DD84E73"/>
    <w:rsid w:val="5DE33140"/>
    <w:rsid w:val="5DE45681"/>
    <w:rsid w:val="5DEB55C0"/>
    <w:rsid w:val="5DF918E0"/>
    <w:rsid w:val="5E023994"/>
    <w:rsid w:val="5E052F1E"/>
    <w:rsid w:val="5E056147"/>
    <w:rsid w:val="5E0F15A9"/>
    <w:rsid w:val="5E20206C"/>
    <w:rsid w:val="5E2D6537"/>
    <w:rsid w:val="5E345B18"/>
    <w:rsid w:val="5E346E2A"/>
    <w:rsid w:val="5E424A53"/>
    <w:rsid w:val="5E5835B4"/>
    <w:rsid w:val="5E59557E"/>
    <w:rsid w:val="5E5F3690"/>
    <w:rsid w:val="5E617428"/>
    <w:rsid w:val="5E7778DA"/>
    <w:rsid w:val="5E814851"/>
    <w:rsid w:val="5E8E01FA"/>
    <w:rsid w:val="5E8E5228"/>
    <w:rsid w:val="5E8F0498"/>
    <w:rsid w:val="5E8F794D"/>
    <w:rsid w:val="5E913923"/>
    <w:rsid w:val="5E914D18"/>
    <w:rsid w:val="5E9A61C6"/>
    <w:rsid w:val="5EA2604B"/>
    <w:rsid w:val="5EA84054"/>
    <w:rsid w:val="5EB45F98"/>
    <w:rsid w:val="5EB90B78"/>
    <w:rsid w:val="5EC7405F"/>
    <w:rsid w:val="5ECA1FD8"/>
    <w:rsid w:val="5ECD425E"/>
    <w:rsid w:val="5F0166B6"/>
    <w:rsid w:val="5F193196"/>
    <w:rsid w:val="5F223BC2"/>
    <w:rsid w:val="5F234DEF"/>
    <w:rsid w:val="5F35492A"/>
    <w:rsid w:val="5F386D8E"/>
    <w:rsid w:val="5F3C0BFB"/>
    <w:rsid w:val="5F48187B"/>
    <w:rsid w:val="5F4943EA"/>
    <w:rsid w:val="5F521C62"/>
    <w:rsid w:val="5F585F3B"/>
    <w:rsid w:val="5F586A95"/>
    <w:rsid w:val="5F6274AD"/>
    <w:rsid w:val="5F67044C"/>
    <w:rsid w:val="5F6F06E4"/>
    <w:rsid w:val="5F7F2518"/>
    <w:rsid w:val="5FAC1808"/>
    <w:rsid w:val="5FB062AB"/>
    <w:rsid w:val="5FB567E4"/>
    <w:rsid w:val="5FB57358"/>
    <w:rsid w:val="5FC30672"/>
    <w:rsid w:val="5FD50C35"/>
    <w:rsid w:val="5FD82F7C"/>
    <w:rsid w:val="5FD96977"/>
    <w:rsid w:val="5FD97A59"/>
    <w:rsid w:val="5FE228FD"/>
    <w:rsid w:val="5FE54DB1"/>
    <w:rsid w:val="5FED6A28"/>
    <w:rsid w:val="5FF351F8"/>
    <w:rsid w:val="5FF69B29"/>
    <w:rsid w:val="6001738C"/>
    <w:rsid w:val="600B52B9"/>
    <w:rsid w:val="600C517B"/>
    <w:rsid w:val="60135F9E"/>
    <w:rsid w:val="60196D73"/>
    <w:rsid w:val="601D1CCD"/>
    <w:rsid w:val="604638E0"/>
    <w:rsid w:val="604F299F"/>
    <w:rsid w:val="60507612"/>
    <w:rsid w:val="606066A0"/>
    <w:rsid w:val="6065020A"/>
    <w:rsid w:val="60786190"/>
    <w:rsid w:val="607932B8"/>
    <w:rsid w:val="60823B51"/>
    <w:rsid w:val="60903178"/>
    <w:rsid w:val="60955B78"/>
    <w:rsid w:val="609A75EA"/>
    <w:rsid w:val="60A46F85"/>
    <w:rsid w:val="60A55517"/>
    <w:rsid w:val="60B10DB5"/>
    <w:rsid w:val="60B348E1"/>
    <w:rsid w:val="60B77D7E"/>
    <w:rsid w:val="60B96EC6"/>
    <w:rsid w:val="60BC2CD4"/>
    <w:rsid w:val="60BD048E"/>
    <w:rsid w:val="60C11042"/>
    <w:rsid w:val="60EA0710"/>
    <w:rsid w:val="60F711CA"/>
    <w:rsid w:val="60FF5CF6"/>
    <w:rsid w:val="610B6D0D"/>
    <w:rsid w:val="6114062E"/>
    <w:rsid w:val="61157B25"/>
    <w:rsid w:val="611C4B15"/>
    <w:rsid w:val="612B4D8E"/>
    <w:rsid w:val="61330309"/>
    <w:rsid w:val="6139084E"/>
    <w:rsid w:val="613F1EEC"/>
    <w:rsid w:val="61400E0E"/>
    <w:rsid w:val="6144472D"/>
    <w:rsid w:val="6151253D"/>
    <w:rsid w:val="61653C1D"/>
    <w:rsid w:val="617952FC"/>
    <w:rsid w:val="617D1584"/>
    <w:rsid w:val="61823C11"/>
    <w:rsid w:val="618B40DA"/>
    <w:rsid w:val="619F774C"/>
    <w:rsid w:val="61A06617"/>
    <w:rsid w:val="61AD486F"/>
    <w:rsid w:val="61B3707D"/>
    <w:rsid w:val="61C353DF"/>
    <w:rsid w:val="61CD4417"/>
    <w:rsid w:val="61D452FC"/>
    <w:rsid w:val="61DE2015"/>
    <w:rsid w:val="61EA24F2"/>
    <w:rsid w:val="61EE26C1"/>
    <w:rsid w:val="61F07923"/>
    <w:rsid w:val="61FF1207"/>
    <w:rsid w:val="621D0E52"/>
    <w:rsid w:val="622055FF"/>
    <w:rsid w:val="623C3EC5"/>
    <w:rsid w:val="624B28E8"/>
    <w:rsid w:val="625F6F82"/>
    <w:rsid w:val="62644FE6"/>
    <w:rsid w:val="626E0825"/>
    <w:rsid w:val="626F711E"/>
    <w:rsid w:val="62764C48"/>
    <w:rsid w:val="62816FF1"/>
    <w:rsid w:val="62827DCC"/>
    <w:rsid w:val="6287090C"/>
    <w:rsid w:val="62932F98"/>
    <w:rsid w:val="62967EC8"/>
    <w:rsid w:val="62A87440"/>
    <w:rsid w:val="62BB312B"/>
    <w:rsid w:val="62BB4D59"/>
    <w:rsid w:val="62C751AC"/>
    <w:rsid w:val="62E2147E"/>
    <w:rsid w:val="62E960A5"/>
    <w:rsid w:val="62EC076F"/>
    <w:rsid w:val="62F221AE"/>
    <w:rsid w:val="62F37D50"/>
    <w:rsid w:val="62F53AF9"/>
    <w:rsid w:val="62FF4B1B"/>
    <w:rsid w:val="63011F0B"/>
    <w:rsid w:val="630755A9"/>
    <w:rsid w:val="630D3399"/>
    <w:rsid w:val="630E66C8"/>
    <w:rsid w:val="63147CC6"/>
    <w:rsid w:val="632249A0"/>
    <w:rsid w:val="63236CC4"/>
    <w:rsid w:val="632A1BBE"/>
    <w:rsid w:val="632A6B8B"/>
    <w:rsid w:val="63473BF7"/>
    <w:rsid w:val="634C409F"/>
    <w:rsid w:val="63602B02"/>
    <w:rsid w:val="63777EE1"/>
    <w:rsid w:val="637B02E1"/>
    <w:rsid w:val="637B1EA0"/>
    <w:rsid w:val="63806226"/>
    <w:rsid w:val="63826913"/>
    <w:rsid w:val="63864CC7"/>
    <w:rsid w:val="638F71D4"/>
    <w:rsid w:val="639008B1"/>
    <w:rsid w:val="639161C7"/>
    <w:rsid w:val="639A2F49"/>
    <w:rsid w:val="639F1C85"/>
    <w:rsid w:val="63AB23D8"/>
    <w:rsid w:val="63B15515"/>
    <w:rsid w:val="63B965D3"/>
    <w:rsid w:val="63BB7FC4"/>
    <w:rsid w:val="63BE035D"/>
    <w:rsid w:val="63C60FC0"/>
    <w:rsid w:val="63D119F0"/>
    <w:rsid w:val="63D23E09"/>
    <w:rsid w:val="63D9536C"/>
    <w:rsid w:val="63DA6053"/>
    <w:rsid w:val="63DA75E9"/>
    <w:rsid w:val="64064D1D"/>
    <w:rsid w:val="641465E3"/>
    <w:rsid w:val="64185260"/>
    <w:rsid w:val="64356146"/>
    <w:rsid w:val="643A1643"/>
    <w:rsid w:val="644C6871"/>
    <w:rsid w:val="64572E6C"/>
    <w:rsid w:val="64642F12"/>
    <w:rsid w:val="64673DA7"/>
    <w:rsid w:val="64696CB3"/>
    <w:rsid w:val="64733DB8"/>
    <w:rsid w:val="64802730"/>
    <w:rsid w:val="648347C7"/>
    <w:rsid w:val="64887A1A"/>
    <w:rsid w:val="64986E84"/>
    <w:rsid w:val="64A30913"/>
    <w:rsid w:val="64A84B6A"/>
    <w:rsid w:val="64AA62D2"/>
    <w:rsid w:val="64AC04AE"/>
    <w:rsid w:val="64AD03D2"/>
    <w:rsid w:val="64AE1E08"/>
    <w:rsid w:val="64B13A1E"/>
    <w:rsid w:val="64B84F5C"/>
    <w:rsid w:val="64BC23C3"/>
    <w:rsid w:val="64BE0BFC"/>
    <w:rsid w:val="64BE1DBD"/>
    <w:rsid w:val="64D70B0F"/>
    <w:rsid w:val="64E033D8"/>
    <w:rsid w:val="64E10C15"/>
    <w:rsid w:val="64E8024F"/>
    <w:rsid w:val="64EE58B0"/>
    <w:rsid w:val="64F47DAF"/>
    <w:rsid w:val="64FF0D42"/>
    <w:rsid w:val="65055B18"/>
    <w:rsid w:val="650D332B"/>
    <w:rsid w:val="6510401E"/>
    <w:rsid w:val="651F44D9"/>
    <w:rsid w:val="65266F67"/>
    <w:rsid w:val="652F3A7E"/>
    <w:rsid w:val="656016F1"/>
    <w:rsid w:val="65625FB1"/>
    <w:rsid w:val="656277E1"/>
    <w:rsid w:val="656C3DE9"/>
    <w:rsid w:val="656D6A06"/>
    <w:rsid w:val="656E7334"/>
    <w:rsid w:val="65724848"/>
    <w:rsid w:val="657E136C"/>
    <w:rsid w:val="65822457"/>
    <w:rsid w:val="65856C59"/>
    <w:rsid w:val="6586084B"/>
    <w:rsid w:val="65875458"/>
    <w:rsid w:val="65885C14"/>
    <w:rsid w:val="65913850"/>
    <w:rsid w:val="65A90EBC"/>
    <w:rsid w:val="65B9443D"/>
    <w:rsid w:val="65B9580B"/>
    <w:rsid w:val="65BA3EB5"/>
    <w:rsid w:val="65C55159"/>
    <w:rsid w:val="65C77302"/>
    <w:rsid w:val="65E74D6A"/>
    <w:rsid w:val="65EB11B2"/>
    <w:rsid w:val="65F35D18"/>
    <w:rsid w:val="65FD60DB"/>
    <w:rsid w:val="660F4EB0"/>
    <w:rsid w:val="661029C7"/>
    <w:rsid w:val="66154DA9"/>
    <w:rsid w:val="662108CD"/>
    <w:rsid w:val="66336DC0"/>
    <w:rsid w:val="663C3275"/>
    <w:rsid w:val="663D06C8"/>
    <w:rsid w:val="663D4543"/>
    <w:rsid w:val="663F63C0"/>
    <w:rsid w:val="6647742B"/>
    <w:rsid w:val="665705E5"/>
    <w:rsid w:val="666335B1"/>
    <w:rsid w:val="667E0CB0"/>
    <w:rsid w:val="667F4267"/>
    <w:rsid w:val="66840DF6"/>
    <w:rsid w:val="66AF3F8D"/>
    <w:rsid w:val="66B07D06"/>
    <w:rsid w:val="66B83572"/>
    <w:rsid w:val="66C34003"/>
    <w:rsid w:val="66CD3045"/>
    <w:rsid w:val="66DA57BF"/>
    <w:rsid w:val="66DC2421"/>
    <w:rsid w:val="66DD1B8D"/>
    <w:rsid w:val="66DE307E"/>
    <w:rsid w:val="66F27910"/>
    <w:rsid w:val="670C6AE1"/>
    <w:rsid w:val="67136644"/>
    <w:rsid w:val="6719585F"/>
    <w:rsid w:val="67256465"/>
    <w:rsid w:val="67454A1A"/>
    <w:rsid w:val="674A4BAD"/>
    <w:rsid w:val="67542D87"/>
    <w:rsid w:val="67567FD5"/>
    <w:rsid w:val="675C3215"/>
    <w:rsid w:val="67687AED"/>
    <w:rsid w:val="677845EB"/>
    <w:rsid w:val="677F00AC"/>
    <w:rsid w:val="67814FE2"/>
    <w:rsid w:val="678371C8"/>
    <w:rsid w:val="67892A30"/>
    <w:rsid w:val="67951966"/>
    <w:rsid w:val="67957627"/>
    <w:rsid w:val="67A700E1"/>
    <w:rsid w:val="67A7262B"/>
    <w:rsid w:val="67AB75C5"/>
    <w:rsid w:val="67AF6113"/>
    <w:rsid w:val="67B332B3"/>
    <w:rsid w:val="67B65597"/>
    <w:rsid w:val="67B81568"/>
    <w:rsid w:val="67B90B21"/>
    <w:rsid w:val="67BB2586"/>
    <w:rsid w:val="67BD092C"/>
    <w:rsid w:val="67C05EE4"/>
    <w:rsid w:val="67C14F53"/>
    <w:rsid w:val="67C24194"/>
    <w:rsid w:val="67C458E0"/>
    <w:rsid w:val="67C76132"/>
    <w:rsid w:val="67D86503"/>
    <w:rsid w:val="67DA0714"/>
    <w:rsid w:val="67EC3660"/>
    <w:rsid w:val="67ED7463"/>
    <w:rsid w:val="67F12D23"/>
    <w:rsid w:val="680B5517"/>
    <w:rsid w:val="680B78E9"/>
    <w:rsid w:val="680E7DFB"/>
    <w:rsid w:val="681B6174"/>
    <w:rsid w:val="681E4749"/>
    <w:rsid w:val="682320B8"/>
    <w:rsid w:val="68246BFD"/>
    <w:rsid w:val="68294213"/>
    <w:rsid w:val="68305273"/>
    <w:rsid w:val="68307350"/>
    <w:rsid w:val="684265A9"/>
    <w:rsid w:val="68471CFA"/>
    <w:rsid w:val="6848469A"/>
    <w:rsid w:val="684C5FEA"/>
    <w:rsid w:val="684E052E"/>
    <w:rsid w:val="68521B08"/>
    <w:rsid w:val="68523D4C"/>
    <w:rsid w:val="68594929"/>
    <w:rsid w:val="685A3EED"/>
    <w:rsid w:val="686F60CA"/>
    <w:rsid w:val="6875080A"/>
    <w:rsid w:val="687F5BE1"/>
    <w:rsid w:val="6887048D"/>
    <w:rsid w:val="688F22C8"/>
    <w:rsid w:val="689E3BA0"/>
    <w:rsid w:val="689F47B6"/>
    <w:rsid w:val="68A94E4C"/>
    <w:rsid w:val="68B443BB"/>
    <w:rsid w:val="68C86090"/>
    <w:rsid w:val="68D616CC"/>
    <w:rsid w:val="68DD74D8"/>
    <w:rsid w:val="68DE1698"/>
    <w:rsid w:val="68E038CF"/>
    <w:rsid w:val="68E361DE"/>
    <w:rsid w:val="68E75ECD"/>
    <w:rsid w:val="68EF4209"/>
    <w:rsid w:val="68F67382"/>
    <w:rsid w:val="68FD64E1"/>
    <w:rsid w:val="69001CCB"/>
    <w:rsid w:val="690031C6"/>
    <w:rsid w:val="6909160A"/>
    <w:rsid w:val="690D2EB3"/>
    <w:rsid w:val="69123A06"/>
    <w:rsid w:val="691A376E"/>
    <w:rsid w:val="691A4297"/>
    <w:rsid w:val="691C0AB8"/>
    <w:rsid w:val="69270753"/>
    <w:rsid w:val="692A549A"/>
    <w:rsid w:val="692B3D27"/>
    <w:rsid w:val="693435C5"/>
    <w:rsid w:val="69344963"/>
    <w:rsid w:val="69387987"/>
    <w:rsid w:val="693E2568"/>
    <w:rsid w:val="694257D3"/>
    <w:rsid w:val="69451161"/>
    <w:rsid w:val="69516948"/>
    <w:rsid w:val="695A2060"/>
    <w:rsid w:val="69654626"/>
    <w:rsid w:val="696C085C"/>
    <w:rsid w:val="69777C6C"/>
    <w:rsid w:val="69824021"/>
    <w:rsid w:val="698B62EE"/>
    <w:rsid w:val="69993652"/>
    <w:rsid w:val="699F5A0A"/>
    <w:rsid w:val="69B471CE"/>
    <w:rsid w:val="69BF520A"/>
    <w:rsid w:val="69D45310"/>
    <w:rsid w:val="69D454E8"/>
    <w:rsid w:val="69D65223"/>
    <w:rsid w:val="69D72AAB"/>
    <w:rsid w:val="69E76134"/>
    <w:rsid w:val="69E775A1"/>
    <w:rsid w:val="69F66377"/>
    <w:rsid w:val="69FA41DA"/>
    <w:rsid w:val="6A046995"/>
    <w:rsid w:val="6A1F3539"/>
    <w:rsid w:val="6A2922A9"/>
    <w:rsid w:val="6A3206F0"/>
    <w:rsid w:val="6A384671"/>
    <w:rsid w:val="6A3F24EE"/>
    <w:rsid w:val="6A4E61B3"/>
    <w:rsid w:val="6A5E59A4"/>
    <w:rsid w:val="6A636569"/>
    <w:rsid w:val="6A670012"/>
    <w:rsid w:val="6A8776BA"/>
    <w:rsid w:val="6A8C31FD"/>
    <w:rsid w:val="6A8C4C60"/>
    <w:rsid w:val="6A936B49"/>
    <w:rsid w:val="6A975464"/>
    <w:rsid w:val="6A9B7B02"/>
    <w:rsid w:val="6AAD5F0E"/>
    <w:rsid w:val="6AAF1A5F"/>
    <w:rsid w:val="6ABF6E0B"/>
    <w:rsid w:val="6AC65D4A"/>
    <w:rsid w:val="6AC8019F"/>
    <w:rsid w:val="6ACC52FD"/>
    <w:rsid w:val="6ACE4BFE"/>
    <w:rsid w:val="6AD7028C"/>
    <w:rsid w:val="6ADC556D"/>
    <w:rsid w:val="6AE2489E"/>
    <w:rsid w:val="6AE353A7"/>
    <w:rsid w:val="6AF01018"/>
    <w:rsid w:val="6AFA1FA6"/>
    <w:rsid w:val="6B1378B5"/>
    <w:rsid w:val="6B182542"/>
    <w:rsid w:val="6B1E5B86"/>
    <w:rsid w:val="6B2D704C"/>
    <w:rsid w:val="6B32497F"/>
    <w:rsid w:val="6B325BF7"/>
    <w:rsid w:val="6B376C47"/>
    <w:rsid w:val="6B3836F6"/>
    <w:rsid w:val="6B3C6610"/>
    <w:rsid w:val="6B3F031F"/>
    <w:rsid w:val="6B4E3F59"/>
    <w:rsid w:val="6B4F5EC5"/>
    <w:rsid w:val="6B502EDD"/>
    <w:rsid w:val="6B55572A"/>
    <w:rsid w:val="6B60619E"/>
    <w:rsid w:val="6B756B41"/>
    <w:rsid w:val="6B762CC0"/>
    <w:rsid w:val="6B822F1F"/>
    <w:rsid w:val="6B8E67AE"/>
    <w:rsid w:val="6B9B71D6"/>
    <w:rsid w:val="6BB46B4D"/>
    <w:rsid w:val="6BBC2A31"/>
    <w:rsid w:val="6BBC3F96"/>
    <w:rsid w:val="6BBC4922"/>
    <w:rsid w:val="6BCA66BB"/>
    <w:rsid w:val="6BCC3834"/>
    <w:rsid w:val="6BCF7868"/>
    <w:rsid w:val="6BD05FDD"/>
    <w:rsid w:val="6BD275B7"/>
    <w:rsid w:val="6BDB4810"/>
    <w:rsid w:val="6BDE1D6E"/>
    <w:rsid w:val="6BE02E3B"/>
    <w:rsid w:val="6BE9775D"/>
    <w:rsid w:val="6BEA5A68"/>
    <w:rsid w:val="6BEF6880"/>
    <w:rsid w:val="6BF04AA6"/>
    <w:rsid w:val="6C054650"/>
    <w:rsid w:val="6C0A60F9"/>
    <w:rsid w:val="6C0B3D50"/>
    <w:rsid w:val="6C102A92"/>
    <w:rsid w:val="6C1D1766"/>
    <w:rsid w:val="6C1D5E3D"/>
    <w:rsid w:val="6C39004F"/>
    <w:rsid w:val="6C3F24CA"/>
    <w:rsid w:val="6C420810"/>
    <w:rsid w:val="6C45025E"/>
    <w:rsid w:val="6C4C227F"/>
    <w:rsid w:val="6C5412F1"/>
    <w:rsid w:val="6C550747"/>
    <w:rsid w:val="6C580C23"/>
    <w:rsid w:val="6C5A0E3F"/>
    <w:rsid w:val="6C6058A7"/>
    <w:rsid w:val="6C6B6BA9"/>
    <w:rsid w:val="6C6D0A71"/>
    <w:rsid w:val="6C7560D0"/>
    <w:rsid w:val="6C7A6D27"/>
    <w:rsid w:val="6C884578"/>
    <w:rsid w:val="6C88576D"/>
    <w:rsid w:val="6C912354"/>
    <w:rsid w:val="6C9A123C"/>
    <w:rsid w:val="6C9E06D4"/>
    <w:rsid w:val="6CAA1AAC"/>
    <w:rsid w:val="6CAF118B"/>
    <w:rsid w:val="6CB87987"/>
    <w:rsid w:val="6CBC7DBF"/>
    <w:rsid w:val="6CBD1E7F"/>
    <w:rsid w:val="6CBD4F2A"/>
    <w:rsid w:val="6CBE317C"/>
    <w:rsid w:val="6CC536F5"/>
    <w:rsid w:val="6CCD3301"/>
    <w:rsid w:val="6CE56E52"/>
    <w:rsid w:val="6CFE6BFE"/>
    <w:rsid w:val="6D00090C"/>
    <w:rsid w:val="6D0E6054"/>
    <w:rsid w:val="6D1301DD"/>
    <w:rsid w:val="6D13754E"/>
    <w:rsid w:val="6D181611"/>
    <w:rsid w:val="6D1B0B61"/>
    <w:rsid w:val="6D21195D"/>
    <w:rsid w:val="6D2714FE"/>
    <w:rsid w:val="6D2F76CA"/>
    <w:rsid w:val="6D3B7211"/>
    <w:rsid w:val="6D517303"/>
    <w:rsid w:val="6D5E6EBF"/>
    <w:rsid w:val="6D6209B3"/>
    <w:rsid w:val="6D6B416B"/>
    <w:rsid w:val="6D6D1B92"/>
    <w:rsid w:val="6D6F091A"/>
    <w:rsid w:val="6D732320"/>
    <w:rsid w:val="6D7607E4"/>
    <w:rsid w:val="6D76157C"/>
    <w:rsid w:val="6D79299F"/>
    <w:rsid w:val="6D7B6BD9"/>
    <w:rsid w:val="6D7C3DDB"/>
    <w:rsid w:val="6D810EED"/>
    <w:rsid w:val="6D9740CF"/>
    <w:rsid w:val="6D981C1F"/>
    <w:rsid w:val="6D983849"/>
    <w:rsid w:val="6DA560EA"/>
    <w:rsid w:val="6DA73C10"/>
    <w:rsid w:val="6DB02D14"/>
    <w:rsid w:val="6DB84E44"/>
    <w:rsid w:val="6DC35AD3"/>
    <w:rsid w:val="6DCC35A4"/>
    <w:rsid w:val="6DCF3D73"/>
    <w:rsid w:val="6DD63738"/>
    <w:rsid w:val="6DDB2BF1"/>
    <w:rsid w:val="6DDD6420"/>
    <w:rsid w:val="6DDE33D8"/>
    <w:rsid w:val="6DE05374"/>
    <w:rsid w:val="6DE31BC2"/>
    <w:rsid w:val="6DE519CE"/>
    <w:rsid w:val="6DE92F69"/>
    <w:rsid w:val="6DFF3A4C"/>
    <w:rsid w:val="6E011C34"/>
    <w:rsid w:val="6E01281A"/>
    <w:rsid w:val="6E0B3318"/>
    <w:rsid w:val="6E0F17B6"/>
    <w:rsid w:val="6E11315A"/>
    <w:rsid w:val="6E123117"/>
    <w:rsid w:val="6E1B3CF4"/>
    <w:rsid w:val="6E272D38"/>
    <w:rsid w:val="6E274D51"/>
    <w:rsid w:val="6E3108B8"/>
    <w:rsid w:val="6E3851B0"/>
    <w:rsid w:val="6E392BCF"/>
    <w:rsid w:val="6E427DDD"/>
    <w:rsid w:val="6E44529F"/>
    <w:rsid w:val="6E550482"/>
    <w:rsid w:val="6E7831D7"/>
    <w:rsid w:val="6E7A7577"/>
    <w:rsid w:val="6E7E2306"/>
    <w:rsid w:val="6E861E3D"/>
    <w:rsid w:val="6E8A0D5A"/>
    <w:rsid w:val="6E8E1767"/>
    <w:rsid w:val="6E932533"/>
    <w:rsid w:val="6E983AFD"/>
    <w:rsid w:val="6EB85EBE"/>
    <w:rsid w:val="6EBC3606"/>
    <w:rsid w:val="6EC35204"/>
    <w:rsid w:val="6ECD58F9"/>
    <w:rsid w:val="6ED01D68"/>
    <w:rsid w:val="6ED02ACD"/>
    <w:rsid w:val="6ED744E4"/>
    <w:rsid w:val="6ED753AF"/>
    <w:rsid w:val="6EDC065A"/>
    <w:rsid w:val="6EE97E60"/>
    <w:rsid w:val="6EE97FF3"/>
    <w:rsid w:val="6EEB3FD1"/>
    <w:rsid w:val="6EF87811"/>
    <w:rsid w:val="6EFB5044"/>
    <w:rsid w:val="6EFE4B78"/>
    <w:rsid w:val="6F0A08FB"/>
    <w:rsid w:val="6F1E5B81"/>
    <w:rsid w:val="6F2C1D50"/>
    <w:rsid w:val="6F305E87"/>
    <w:rsid w:val="6F367CFD"/>
    <w:rsid w:val="6F39382C"/>
    <w:rsid w:val="6F3E42FA"/>
    <w:rsid w:val="6F3F2888"/>
    <w:rsid w:val="6F435BDE"/>
    <w:rsid w:val="6F4465CA"/>
    <w:rsid w:val="6F491A6A"/>
    <w:rsid w:val="6F572478"/>
    <w:rsid w:val="6F5944BB"/>
    <w:rsid w:val="6F6618A9"/>
    <w:rsid w:val="6F6D43E1"/>
    <w:rsid w:val="6F6E34E9"/>
    <w:rsid w:val="6F7246F2"/>
    <w:rsid w:val="6F97519E"/>
    <w:rsid w:val="6F9B70AC"/>
    <w:rsid w:val="6FB10D76"/>
    <w:rsid w:val="6FB67073"/>
    <w:rsid w:val="6FC65C55"/>
    <w:rsid w:val="6FD26CE8"/>
    <w:rsid w:val="6FDD7DBD"/>
    <w:rsid w:val="6FEB253B"/>
    <w:rsid w:val="6FEE57B3"/>
    <w:rsid w:val="6FFB4868"/>
    <w:rsid w:val="70502A23"/>
    <w:rsid w:val="7064551B"/>
    <w:rsid w:val="706F478E"/>
    <w:rsid w:val="70700C31"/>
    <w:rsid w:val="70710165"/>
    <w:rsid w:val="707E1A17"/>
    <w:rsid w:val="70857259"/>
    <w:rsid w:val="708E2E66"/>
    <w:rsid w:val="708F6BDE"/>
    <w:rsid w:val="709C134F"/>
    <w:rsid w:val="70BD4BF5"/>
    <w:rsid w:val="70DD5E21"/>
    <w:rsid w:val="70E9555A"/>
    <w:rsid w:val="70EF5877"/>
    <w:rsid w:val="70F64504"/>
    <w:rsid w:val="71006B00"/>
    <w:rsid w:val="711361A6"/>
    <w:rsid w:val="71156F6E"/>
    <w:rsid w:val="711C0906"/>
    <w:rsid w:val="7121017E"/>
    <w:rsid w:val="712C2924"/>
    <w:rsid w:val="71470F5B"/>
    <w:rsid w:val="71560F55"/>
    <w:rsid w:val="715725F2"/>
    <w:rsid w:val="715E0B1A"/>
    <w:rsid w:val="715F04C4"/>
    <w:rsid w:val="71634FBA"/>
    <w:rsid w:val="7164062F"/>
    <w:rsid w:val="7176786F"/>
    <w:rsid w:val="717A0DCC"/>
    <w:rsid w:val="718C67DA"/>
    <w:rsid w:val="71933CAE"/>
    <w:rsid w:val="7194738B"/>
    <w:rsid w:val="719C550E"/>
    <w:rsid w:val="71A220A6"/>
    <w:rsid w:val="71A22A3A"/>
    <w:rsid w:val="71A75915"/>
    <w:rsid w:val="71AC0BAF"/>
    <w:rsid w:val="71B26520"/>
    <w:rsid w:val="71B8779D"/>
    <w:rsid w:val="71BC4A81"/>
    <w:rsid w:val="71C31235"/>
    <w:rsid w:val="71C8398B"/>
    <w:rsid w:val="71DA34AD"/>
    <w:rsid w:val="71DF7C7D"/>
    <w:rsid w:val="71E573FD"/>
    <w:rsid w:val="71E96CF5"/>
    <w:rsid w:val="71EB47BA"/>
    <w:rsid w:val="71F3676B"/>
    <w:rsid w:val="71FE1AD4"/>
    <w:rsid w:val="72035AD5"/>
    <w:rsid w:val="721B2221"/>
    <w:rsid w:val="721D4670"/>
    <w:rsid w:val="72240B25"/>
    <w:rsid w:val="7229553C"/>
    <w:rsid w:val="722D57CA"/>
    <w:rsid w:val="722E059A"/>
    <w:rsid w:val="722F24BB"/>
    <w:rsid w:val="723F6B0D"/>
    <w:rsid w:val="72433EEB"/>
    <w:rsid w:val="72466B79"/>
    <w:rsid w:val="724806B4"/>
    <w:rsid w:val="7249173A"/>
    <w:rsid w:val="725964C0"/>
    <w:rsid w:val="726456AF"/>
    <w:rsid w:val="72671BC0"/>
    <w:rsid w:val="72673B98"/>
    <w:rsid w:val="728A1446"/>
    <w:rsid w:val="728E2C04"/>
    <w:rsid w:val="72907369"/>
    <w:rsid w:val="72943345"/>
    <w:rsid w:val="72955527"/>
    <w:rsid w:val="72966949"/>
    <w:rsid w:val="72982682"/>
    <w:rsid w:val="7298621E"/>
    <w:rsid w:val="72A0672F"/>
    <w:rsid w:val="72AF736B"/>
    <w:rsid w:val="72B751E2"/>
    <w:rsid w:val="72BC27BF"/>
    <w:rsid w:val="72C03137"/>
    <w:rsid w:val="72C539AB"/>
    <w:rsid w:val="72DD4A96"/>
    <w:rsid w:val="72E476B5"/>
    <w:rsid w:val="72E94CCB"/>
    <w:rsid w:val="72E96A79"/>
    <w:rsid w:val="72EB4E73"/>
    <w:rsid w:val="73017DEC"/>
    <w:rsid w:val="73025D8D"/>
    <w:rsid w:val="7306263C"/>
    <w:rsid w:val="730E4732"/>
    <w:rsid w:val="731668BF"/>
    <w:rsid w:val="73171968"/>
    <w:rsid w:val="73182D85"/>
    <w:rsid w:val="731E050D"/>
    <w:rsid w:val="73224569"/>
    <w:rsid w:val="7329331A"/>
    <w:rsid w:val="732B0E40"/>
    <w:rsid w:val="732B48EC"/>
    <w:rsid w:val="732D2E0A"/>
    <w:rsid w:val="733B59D2"/>
    <w:rsid w:val="734124F4"/>
    <w:rsid w:val="73435709"/>
    <w:rsid w:val="734463A5"/>
    <w:rsid w:val="734819F2"/>
    <w:rsid w:val="734A601E"/>
    <w:rsid w:val="734C3072"/>
    <w:rsid w:val="73505624"/>
    <w:rsid w:val="73506AF8"/>
    <w:rsid w:val="735505F1"/>
    <w:rsid w:val="73595D4C"/>
    <w:rsid w:val="735C36EF"/>
    <w:rsid w:val="735D590A"/>
    <w:rsid w:val="735D6A75"/>
    <w:rsid w:val="7366631C"/>
    <w:rsid w:val="7372419F"/>
    <w:rsid w:val="738549F4"/>
    <w:rsid w:val="738B5D82"/>
    <w:rsid w:val="73914FB9"/>
    <w:rsid w:val="73936937"/>
    <w:rsid w:val="739879ED"/>
    <w:rsid w:val="739C7F8F"/>
    <w:rsid w:val="739F7A4C"/>
    <w:rsid w:val="73B93658"/>
    <w:rsid w:val="73B975E3"/>
    <w:rsid w:val="73B97888"/>
    <w:rsid w:val="73C37F71"/>
    <w:rsid w:val="73C92515"/>
    <w:rsid w:val="73CF3EC1"/>
    <w:rsid w:val="73D019E7"/>
    <w:rsid w:val="73D119C5"/>
    <w:rsid w:val="73E75A6C"/>
    <w:rsid w:val="73E90E22"/>
    <w:rsid w:val="73FA46CF"/>
    <w:rsid w:val="74032440"/>
    <w:rsid w:val="741746E8"/>
    <w:rsid w:val="74297F2F"/>
    <w:rsid w:val="74314C10"/>
    <w:rsid w:val="743D707D"/>
    <w:rsid w:val="744026C9"/>
    <w:rsid w:val="74471CA9"/>
    <w:rsid w:val="74480902"/>
    <w:rsid w:val="74573338"/>
    <w:rsid w:val="74604B19"/>
    <w:rsid w:val="746819A3"/>
    <w:rsid w:val="747643E2"/>
    <w:rsid w:val="747E3FBE"/>
    <w:rsid w:val="74824FFB"/>
    <w:rsid w:val="74915C29"/>
    <w:rsid w:val="749512E7"/>
    <w:rsid w:val="74B135C7"/>
    <w:rsid w:val="74B42DC4"/>
    <w:rsid w:val="74B530B7"/>
    <w:rsid w:val="74BF5CE3"/>
    <w:rsid w:val="74C83AD7"/>
    <w:rsid w:val="74CB6B8B"/>
    <w:rsid w:val="74DA2B1D"/>
    <w:rsid w:val="74E12598"/>
    <w:rsid w:val="74E3278C"/>
    <w:rsid w:val="74E609BC"/>
    <w:rsid w:val="74EC7067"/>
    <w:rsid w:val="74EE65C9"/>
    <w:rsid w:val="74F72AF3"/>
    <w:rsid w:val="75097CCA"/>
    <w:rsid w:val="75097D55"/>
    <w:rsid w:val="750F153D"/>
    <w:rsid w:val="75220020"/>
    <w:rsid w:val="75241FEA"/>
    <w:rsid w:val="752B5127"/>
    <w:rsid w:val="753366D1"/>
    <w:rsid w:val="75396EB2"/>
    <w:rsid w:val="75430DA0"/>
    <w:rsid w:val="755416D6"/>
    <w:rsid w:val="75645C8D"/>
    <w:rsid w:val="75660A39"/>
    <w:rsid w:val="7577036C"/>
    <w:rsid w:val="75832167"/>
    <w:rsid w:val="75914C6E"/>
    <w:rsid w:val="75933BF4"/>
    <w:rsid w:val="75943354"/>
    <w:rsid w:val="75956C2C"/>
    <w:rsid w:val="75974F6F"/>
    <w:rsid w:val="7598216A"/>
    <w:rsid w:val="759C4FFD"/>
    <w:rsid w:val="759E5871"/>
    <w:rsid w:val="75A153E9"/>
    <w:rsid w:val="75A373B3"/>
    <w:rsid w:val="75AE4664"/>
    <w:rsid w:val="75B30369"/>
    <w:rsid w:val="75B35B00"/>
    <w:rsid w:val="75B4121E"/>
    <w:rsid w:val="75C94EB8"/>
    <w:rsid w:val="75CC08CB"/>
    <w:rsid w:val="75D57A0A"/>
    <w:rsid w:val="75DA5604"/>
    <w:rsid w:val="75DD0582"/>
    <w:rsid w:val="75E94ADA"/>
    <w:rsid w:val="75F3697D"/>
    <w:rsid w:val="75FA302D"/>
    <w:rsid w:val="760342F6"/>
    <w:rsid w:val="760C05B4"/>
    <w:rsid w:val="76110F89"/>
    <w:rsid w:val="761253DA"/>
    <w:rsid w:val="76155DFB"/>
    <w:rsid w:val="761B7D80"/>
    <w:rsid w:val="762E70AE"/>
    <w:rsid w:val="762F2ADD"/>
    <w:rsid w:val="763046FC"/>
    <w:rsid w:val="76382F12"/>
    <w:rsid w:val="763D4B5F"/>
    <w:rsid w:val="763E226D"/>
    <w:rsid w:val="76466B51"/>
    <w:rsid w:val="764C4F94"/>
    <w:rsid w:val="765C57B4"/>
    <w:rsid w:val="765F1755"/>
    <w:rsid w:val="76760624"/>
    <w:rsid w:val="767712E4"/>
    <w:rsid w:val="767945B8"/>
    <w:rsid w:val="767D5377"/>
    <w:rsid w:val="768976B6"/>
    <w:rsid w:val="768A1803"/>
    <w:rsid w:val="768C122E"/>
    <w:rsid w:val="76910499"/>
    <w:rsid w:val="76A038F3"/>
    <w:rsid w:val="76A0581C"/>
    <w:rsid w:val="76A306E8"/>
    <w:rsid w:val="76A34FAC"/>
    <w:rsid w:val="76A6533D"/>
    <w:rsid w:val="76AC3812"/>
    <w:rsid w:val="76B92C06"/>
    <w:rsid w:val="76BF021D"/>
    <w:rsid w:val="76C80EDE"/>
    <w:rsid w:val="76CC20A9"/>
    <w:rsid w:val="76CF00A1"/>
    <w:rsid w:val="76CF5031"/>
    <w:rsid w:val="76D35A76"/>
    <w:rsid w:val="76D36065"/>
    <w:rsid w:val="76D55CEA"/>
    <w:rsid w:val="76D97549"/>
    <w:rsid w:val="76DF3965"/>
    <w:rsid w:val="76E10CFD"/>
    <w:rsid w:val="76E21FE6"/>
    <w:rsid w:val="76EB7264"/>
    <w:rsid w:val="76F459ED"/>
    <w:rsid w:val="76FF6EB2"/>
    <w:rsid w:val="77083017"/>
    <w:rsid w:val="77150087"/>
    <w:rsid w:val="772B318E"/>
    <w:rsid w:val="772C6069"/>
    <w:rsid w:val="7730111A"/>
    <w:rsid w:val="77302EC9"/>
    <w:rsid w:val="77383FA4"/>
    <w:rsid w:val="774024CA"/>
    <w:rsid w:val="774F7BF9"/>
    <w:rsid w:val="77517FEB"/>
    <w:rsid w:val="77530965"/>
    <w:rsid w:val="7755397A"/>
    <w:rsid w:val="7763329E"/>
    <w:rsid w:val="77642B72"/>
    <w:rsid w:val="77665300"/>
    <w:rsid w:val="77694EF6"/>
    <w:rsid w:val="777BCD33"/>
    <w:rsid w:val="77885C26"/>
    <w:rsid w:val="778E2B78"/>
    <w:rsid w:val="779D7E32"/>
    <w:rsid w:val="779F004E"/>
    <w:rsid w:val="77A859F3"/>
    <w:rsid w:val="77A9175B"/>
    <w:rsid w:val="77B21546"/>
    <w:rsid w:val="77B61B4E"/>
    <w:rsid w:val="77CB1A30"/>
    <w:rsid w:val="77D01C79"/>
    <w:rsid w:val="77DE1039"/>
    <w:rsid w:val="77E12415"/>
    <w:rsid w:val="77E30362"/>
    <w:rsid w:val="77E54CEB"/>
    <w:rsid w:val="77EA1BF9"/>
    <w:rsid w:val="78047EB1"/>
    <w:rsid w:val="780C7EC4"/>
    <w:rsid w:val="78120820"/>
    <w:rsid w:val="782A5B6A"/>
    <w:rsid w:val="783A323D"/>
    <w:rsid w:val="7843430A"/>
    <w:rsid w:val="78486431"/>
    <w:rsid w:val="78505AD2"/>
    <w:rsid w:val="785F0910"/>
    <w:rsid w:val="78714CB7"/>
    <w:rsid w:val="78716129"/>
    <w:rsid w:val="78763496"/>
    <w:rsid w:val="7878710D"/>
    <w:rsid w:val="788E5C50"/>
    <w:rsid w:val="789D5864"/>
    <w:rsid w:val="78A76272"/>
    <w:rsid w:val="78BDEAA2"/>
    <w:rsid w:val="78C30681"/>
    <w:rsid w:val="78D0786C"/>
    <w:rsid w:val="78DA7E09"/>
    <w:rsid w:val="78E21FA1"/>
    <w:rsid w:val="78E34B02"/>
    <w:rsid w:val="78E51A91"/>
    <w:rsid w:val="78E96C93"/>
    <w:rsid w:val="78EF46BD"/>
    <w:rsid w:val="78EF4D83"/>
    <w:rsid w:val="78F77D47"/>
    <w:rsid w:val="78F817C4"/>
    <w:rsid w:val="78FA7D70"/>
    <w:rsid w:val="78FE3956"/>
    <w:rsid w:val="791E7E8F"/>
    <w:rsid w:val="7929708D"/>
    <w:rsid w:val="793228FA"/>
    <w:rsid w:val="793E529B"/>
    <w:rsid w:val="79550251"/>
    <w:rsid w:val="796F585D"/>
    <w:rsid w:val="79863C5E"/>
    <w:rsid w:val="798849C9"/>
    <w:rsid w:val="799460F3"/>
    <w:rsid w:val="799F66C6"/>
    <w:rsid w:val="79A260EA"/>
    <w:rsid w:val="79B23AFE"/>
    <w:rsid w:val="79CD2C51"/>
    <w:rsid w:val="79DE6C3F"/>
    <w:rsid w:val="79F134EC"/>
    <w:rsid w:val="7A026272"/>
    <w:rsid w:val="7A0B2AFC"/>
    <w:rsid w:val="7A0B6864"/>
    <w:rsid w:val="7A0E0BCF"/>
    <w:rsid w:val="7A191EB6"/>
    <w:rsid w:val="7A26057B"/>
    <w:rsid w:val="7A2B2B3C"/>
    <w:rsid w:val="7A3A1D46"/>
    <w:rsid w:val="7A3E589C"/>
    <w:rsid w:val="7A454EDD"/>
    <w:rsid w:val="7A505DAD"/>
    <w:rsid w:val="7A68456B"/>
    <w:rsid w:val="7A6A78DB"/>
    <w:rsid w:val="7A6C4BD0"/>
    <w:rsid w:val="7A6F0AD3"/>
    <w:rsid w:val="7A701C69"/>
    <w:rsid w:val="7A710BA7"/>
    <w:rsid w:val="7A851C9E"/>
    <w:rsid w:val="7A884DCA"/>
    <w:rsid w:val="7A8D62FA"/>
    <w:rsid w:val="7A9674E6"/>
    <w:rsid w:val="7A9E7BF1"/>
    <w:rsid w:val="7AA31540"/>
    <w:rsid w:val="7AA40D9D"/>
    <w:rsid w:val="7AAC0AB8"/>
    <w:rsid w:val="7AAD6465"/>
    <w:rsid w:val="7AB81377"/>
    <w:rsid w:val="7AB953F7"/>
    <w:rsid w:val="7AC4570F"/>
    <w:rsid w:val="7AC676A0"/>
    <w:rsid w:val="7AC8166A"/>
    <w:rsid w:val="7AD41DBD"/>
    <w:rsid w:val="7AD63D87"/>
    <w:rsid w:val="7AD74D1B"/>
    <w:rsid w:val="7ADA3DBC"/>
    <w:rsid w:val="7AEB149C"/>
    <w:rsid w:val="7AF366E7"/>
    <w:rsid w:val="7AF406B1"/>
    <w:rsid w:val="7AFF62DC"/>
    <w:rsid w:val="7B037E7C"/>
    <w:rsid w:val="7B122D8B"/>
    <w:rsid w:val="7B210552"/>
    <w:rsid w:val="7B217E8B"/>
    <w:rsid w:val="7B396B7D"/>
    <w:rsid w:val="7B3C4856"/>
    <w:rsid w:val="7B4A19C3"/>
    <w:rsid w:val="7B4A1B15"/>
    <w:rsid w:val="7B4C25C4"/>
    <w:rsid w:val="7B571682"/>
    <w:rsid w:val="7B6A2721"/>
    <w:rsid w:val="7B70210A"/>
    <w:rsid w:val="7B725274"/>
    <w:rsid w:val="7B7535A0"/>
    <w:rsid w:val="7B9C6106"/>
    <w:rsid w:val="7B9D48A5"/>
    <w:rsid w:val="7B9E6083"/>
    <w:rsid w:val="7BB450EE"/>
    <w:rsid w:val="7BD12B41"/>
    <w:rsid w:val="7BE852BE"/>
    <w:rsid w:val="7BEF45AC"/>
    <w:rsid w:val="7BF714CE"/>
    <w:rsid w:val="7BF76D30"/>
    <w:rsid w:val="7BFB08A1"/>
    <w:rsid w:val="7C12105E"/>
    <w:rsid w:val="7C16225E"/>
    <w:rsid w:val="7C1F181B"/>
    <w:rsid w:val="7C1F350C"/>
    <w:rsid w:val="7C23679C"/>
    <w:rsid w:val="7C357419"/>
    <w:rsid w:val="7C376AA7"/>
    <w:rsid w:val="7C501917"/>
    <w:rsid w:val="7C545919"/>
    <w:rsid w:val="7C5703E5"/>
    <w:rsid w:val="7C5B09E8"/>
    <w:rsid w:val="7C5D270E"/>
    <w:rsid w:val="7C5F18CC"/>
    <w:rsid w:val="7C647170"/>
    <w:rsid w:val="7C65586E"/>
    <w:rsid w:val="7C6C290F"/>
    <w:rsid w:val="7C6C3BC6"/>
    <w:rsid w:val="7C6F4D43"/>
    <w:rsid w:val="7C7304D5"/>
    <w:rsid w:val="7C790E6E"/>
    <w:rsid w:val="7C850805"/>
    <w:rsid w:val="7C8E6251"/>
    <w:rsid w:val="7C971D75"/>
    <w:rsid w:val="7C9A613B"/>
    <w:rsid w:val="7CAD5DA5"/>
    <w:rsid w:val="7CB34B68"/>
    <w:rsid w:val="7CB7553B"/>
    <w:rsid w:val="7CBC6421"/>
    <w:rsid w:val="7CC0084B"/>
    <w:rsid w:val="7CC72903"/>
    <w:rsid w:val="7CCA2840"/>
    <w:rsid w:val="7CD36B7C"/>
    <w:rsid w:val="7CE15BDC"/>
    <w:rsid w:val="7CE8135C"/>
    <w:rsid w:val="7CE90E61"/>
    <w:rsid w:val="7CF25824"/>
    <w:rsid w:val="7CF34556"/>
    <w:rsid w:val="7CFE7ABF"/>
    <w:rsid w:val="7D101C97"/>
    <w:rsid w:val="7D17202B"/>
    <w:rsid w:val="7D214485"/>
    <w:rsid w:val="7D2D3A06"/>
    <w:rsid w:val="7D3B4375"/>
    <w:rsid w:val="7D483D11"/>
    <w:rsid w:val="7D4E05BF"/>
    <w:rsid w:val="7D6438CC"/>
    <w:rsid w:val="7D672AE8"/>
    <w:rsid w:val="7D747887"/>
    <w:rsid w:val="7D7C3725"/>
    <w:rsid w:val="7D9514DC"/>
    <w:rsid w:val="7D9D6DDE"/>
    <w:rsid w:val="7DA55F02"/>
    <w:rsid w:val="7DAC48E0"/>
    <w:rsid w:val="7DB14637"/>
    <w:rsid w:val="7DBD4D8A"/>
    <w:rsid w:val="7DBF45B6"/>
    <w:rsid w:val="7DC75C09"/>
    <w:rsid w:val="7DD13EBA"/>
    <w:rsid w:val="7DD547CA"/>
    <w:rsid w:val="7DE148DF"/>
    <w:rsid w:val="7DE33C3D"/>
    <w:rsid w:val="7DEB00E8"/>
    <w:rsid w:val="7DEB1A97"/>
    <w:rsid w:val="7DF033B2"/>
    <w:rsid w:val="7DF13722"/>
    <w:rsid w:val="7DF51C4D"/>
    <w:rsid w:val="7DFE26DA"/>
    <w:rsid w:val="7E062BD5"/>
    <w:rsid w:val="7E0C1BC7"/>
    <w:rsid w:val="7E0E38AF"/>
    <w:rsid w:val="7E0F05E7"/>
    <w:rsid w:val="7E1436AF"/>
    <w:rsid w:val="7E1610F8"/>
    <w:rsid w:val="7E1910B9"/>
    <w:rsid w:val="7E1B6A4F"/>
    <w:rsid w:val="7E221D13"/>
    <w:rsid w:val="7E244BDB"/>
    <w:rsid w:val="7E39772C"/>
    <w:rsid w:val="7E3D1DC2"/>
    <w:rsid w:val="7E4B69A9"/>
    <w:rsid w:val="7E5147BF"/>
    <w:rsid w:val="7E5C3A82"/>
    <w:rsid w:val="7E6B627C"/>
    <w:rsid w:val="7E720E73"/>
    <w:rsid w:val="7E7239B8"/>
    <w:rsid w:val="7E783902"/>
    <w:rsid w:val="7E794144"/>
    <w:rsid w:val="7E8458A8"/>
    <w:rsid w:val="7E9006F1"/>
    <w:rsid w:val="7E9401E1"/>
    <w:rsid w:val="7E941F33"/>
    <w:rsid w:val="7EA323D6"/>
    <w:rsid w:val="7EB048EF"/>
    <w:rsid w:val="7EBF753A"/>
    <w:rsid w:val="7EC30AC6"/>
    <w:rsid w:val="7EC565EC"/>
    <w:rsid w:val="7EC87D37"/>
    <w:rsid w:val="7ECA482D"/>
    <w:rsid w:val="7ECD225B"/>
    <w:rsid w:val="7ED52032"/>
    <w:rsid w:val="7EDD2A68"/>
    <w:rsid w:val="7EE82539"/>
    <w:rsid w:val="7EEB3B79"/>
    <w:rsid w:val="7EED5B43"/>
    <w:rsid w:val="7EF57E5A"/>
    <w:rsid w:val="7EF63574"/>
    <w:rsid w:val="7F0338C8"/>
    <w:rsid w:val="7F03488E"/>
    <w:rsid w:val="7F072401"/>
    <w:rsid w:val="7F0A6E27"/>
    <w:rsid w:val="7F0C67BB"/>
    <w:rsid w:val="7F1337C3"/>
    <w:rsid w:val="7F1B3555"/>
    <w:rsid w:val="7F2D7CEE"/>
    <w:rsid w:val="7F303EFE"/>
    <w:rsid w:val="7F313C82"/>
    <w:rsid w:val="7F3207CA"/>
    <w:rsid w:val="7F392B36"/>
    <w:rsid w:val="7F3C6181"/>
    <w:rsid w:val="7F453A41"/>
    <w:rsid w:val="7F45772D"/>
    <w:rsid w:val="7F546FE2"/>
    <w:rsid w:val="7F587460"/>
    <w:rsid w:val="7F5E0DD2"/>
    <w:rsid w:val="7F60736D"/>
    <w:rsid w:val="7F7C1D2D"/>
    <w:rsid w:val="7F8C0EB8"/>
    <w:rsid w:val="7F962A19"/>
    <w:rsid w:val="7F985AAF"/>
    <w:rsid w:val="7F995BC5"/>
    <w:rsid w:val="7F9E7A1C"/>
    <w:rsid w:val="7FAD6012"/>
    <w:rsid w:val="7FAD6F33"/>
    <w:rsid w:val="7FBE3257"/>
    <w:rsid w:val="7FBE4939"/>
    <w:rsid w:val="7FBE4DEA"/>
    <w:rsid w:val="7FCE3593"/>
    <w:rsid w:val="7FD747A1"/>
    <w:rsid w:val="7FD91FF5"/>
    <w:rsid w:val="7FE26414"/>
    <w:rsid w:val="7FE81849"/>
    <w:rsid w:val="7FED1D1D"/>
    <w:rsid w:val="7FF31FC5"/>
    <w:rsid w:val="7FFC4290"/>
    <w:rsid w:val="92BF2F2F"/>
    <w:rsid w:val="9FBF7ED8"/>
    <w:rsid w:val="AE3DE8CD"/>
    <w:rsid w:val="BEFFA7A8"/>
    <w:rsid w:val="BF7AD5F7"/>
    <w:rsid w:val="BF7F1D4E"/>
    <w:rsid w:val="BFFD8F4A"/>
    <w:rsid w:val="BFFEECE5"/>
    <w:rsid w:val="D7B98AC4"/>
    <w:rsid w:val="DAFFD00E"/>
    <w:rsid w:val="DBAF3933"/>
    <w:rsid w:val="DC777E25"/>
    <w:rsid w:val="DFFF2EA4"/>
    <w:rsid w:val="E5D73A19"/>
    <w:rsid w:val="E7BB5075"/>
    <w:rsid w:val="ED7F719B"/>
    <w:rsid w:val="EFF698D9"/>
    <w:rsid w:val="F47DB972"/>
    <w:rsid w:val="FBBC99F9"/>
    <w:rsid w:val="FBFF20A4"/>
    <w:rsid w:val="FC7F3539"/>
    <w:rsid w:val="FFD776DE"/>
    <w:rsid w:val="FFFD348D"/>
    <w:rsid w:val="FFFD8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6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4"/>
    <w:qFormat/>
    <w:uiPriority w:val="99"/>
    <w:pPr>
      <w:keepNext/>
      <w:tabs>
        <w:tab w:val="left" w:pos="480"/>
      </w:tabs>
      <w:spacing w:before="100" w:beforeLines="100" w:after="100" w:afterLines="100" w:line="240" w:lineRule="auto"/>
      <w:ind w:firstLine="0" w:firstLineChars="0"/>
      <w:jc w:val="center"/>
      <w:outlineLvl w:val="0"/>
    </w:pPr>
    <w:rPr>
      <w:b/>
      <w:kern w:val="0"/>
      <w:sz w:val="36"/>
      <w:szCs w:val="20"/>
    </w:rPr>
  </w:style>
  <w:style w:type="paragraph" w:styleId="4">
    <w:name w:val="heading 2"/>
    <w:basedOn w:val="1"/>
    <w:next w:val="1"/>
    <w:link w:val="55"/>
    <w:qFormat/>
    <w:uiPriority w:val="0"/>
    <w:pPr>
      <w:keepNext/>
      <w:keepLines/>
      <w:tabs>
        <w:tab w:val="left" w:pos="480"/>
      </w:tabs>
      <w:spacing w:beforeLines="50" w:afterLines="50" w:line="240" w:lineRule="auto"/>
      <w:ind w:firstLine="0" w:firstLineChars="0"/>
      <w:jc w:val="center"/>
      <w:outlineLvl w:val="1"/>
    </w:pPr>
    <w:rPr>
      <w:rFonts w:ascii="Arial" w:hAnsi="Arial"/>
      <w:b/>
      <w:bCs/>
      <w:sz w:val="28"/>
      <w:szCs w:val="32"/>
    </w:rPr>
  </w:style>
  <w:style w:type="paragraph" w:styleId="5">
    <w:name w:val="heading 3"/>
    <w:basedOn w:val="1"/>
    <w:next w:val="1"/>
    <w:link w:val="56"/>
    <w:qFormat/>
    <w:uiPriority w:val="9"/>
    <w:pPr>
      <w:keepNext/>
      <w:keepLines/>
      <w:numPr>
        <w:ilvl w:val="2"/>
        <w:numId w:val="1"/>
      </w:numPr>
      <w:tabs>
        <w:tab w:val="left" w:pos="2651"/>
      </w:tabs>
      <w:ind w:firstLine="0" w:firstLineChars="0"/>
      <w:jc w:val="left"/>
      <w:outlineLvl w:val="2"/>
    </w:pPr>
    <w:rPr>
      <w:rFonts w:ascii="仿宋_GB2312" w:hAnsi="仿宋_GB2312" w:eastAsia="仿宋"/>
      <w:b/>
      <w:bCs/>
      <w:kern w:val="0"/>
      <w:szCs w:val="20"/>
    </w:rPr>
  </w:style>
  <w:style w:type="paragraph" w:styleId="6">
    <w:name w:val="heading 4"/>
    <w:basedOn w:val="1"/>
    <w:next w:val="1"/>
    <w:qFormat/>
    <w:uiPriority w:val="0"/>
    <w:pPr>
      <w:keepNext/>
      <w:keepLines/>
      <w:numPr>
        <w:ilvl w:val="3"/>
        <w:numId w:val="2"/>
      </w:numPr>
      <w:spacing w:line="372" w:lineRule="auto"/>
      <w:ind w:firstLine="0" w:firstLineChars="0"/>
      <w:outlineLvl w:val="3"/>
    </w:pPr>
    <w:rPr>
      <w:rFonts w:ascii="Arial" w:hAnsi="Arial" w:eastAsia="黑体"/>
      <w:b/>
      <w:sz w:val="28"/>
    </w:rPr>
  </w:style>
  <w:style w:type="paragraph" w:styleId="7">
    <w:name w:val="heading 5"/>
    <w:basedOn w:val="1"/>
    <w:next w:val="1"/>
    <w:qFormat/>
    <w:uiPriority w:val="0"/>
    <w:pPr>
      <w:keepNext/>
      <w:keepLines/>
      <w:numPr>
        <w:ilvl w:val="4"/>
        <w:numId w:val="2"/>
      </w:numPr>
      <w:spacing w:line="372" w:lineRule="auto"/>
      <w:ind w:firstLine="0" w:firstLineChars="0"/>
      <w:outlineLvl w:val="4"/>
    </w:pPr>
    <w:rPr>
      <w:b/>
      <w:sz w:val="28"/>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Body Text"/>
    <w:basedOn w:val="1"/>
    <w:link w:val="59"/>
    <w:qFormat/>
    <w:uiPriority w:val="0"/>
    <w:pPr>
      <w:jc w:val="left"/>
    </w:pPr>
    <w:rPr>
      <w:bCs/>
    </w:rPr>
  </w:style>
  <w:style w:type="paragraph" w:styleId="8">
    <w:name w:val="toc 7"/>
    <w:basedOn w:val="1"/>
    <w:next w:val="1"/>
    <w:unhideWhenUsed/>
    <w:qFormat/>
    <w:uiPriority w:val="39"/>
    <w:pPr>
      <w:spacing w:line="240" w:lineRule="auto"/>
      <w:ind w:left="2520" w:leftChars="1200" w:firstLine="0" w:firstLineChars="0"/>
    </w:pPr>
    <w:rPr>
      <w:rFonts w:ascii="等线" w:hAnsi="等线" w:eastAsia="等线"/>
      <w:sz w:val="21"/>
      <w:szCs w:val="22"/>
    </w:rPr>
  </w:style>
  <w:style w:type="paragraph" w:styleId="9">
    <w:name w:val="Normal Indent"/>
    <w:basedOn w:val="1"/>
    <w:next w:val="1"/>
    <w:qFormat/>
    <w:uiPriority w:val="0"/>
    <w:pPr>
      <w:ind w:firstLine="42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7"/>
    <w:qFormat/>
    <w:uiPriority w:val="0"/>
    <w:rPr>
      <w:rFonts w:ascii="宋体"/>
      <w:sz w:val="18"/>
      <w:szCs w:val="18"/>
    </w:rPr>
  </w:style>
  <w:style w:type="paragraph" w:styleId="12">
    <w:name w:val="annotation text"/>
    <w:basedOn w:val="1"/>
    <w:link w:val="58"/>
    <w:qFormat/>
    <w:uiPriority w:val="0"/>
    <w:pPr>
      <w:jc w:val="left"/>
    </w:pPr>
  </w:style>
  <w:style w:type="paragraph" w:styleId="13">
    <w:name w:val="Body Text 3"/>
    <w:basedOn w:val="1"/>
    <w:qFormat/>
    <w:uiPriority w:val="0"/>
    <w:pPr>
      <w:snapToGrid w:val="0"/>
      <w:spacing w:before="50" w:after="50"/>
    </w:pPr>
  </w:style>
  <w:style w:type="paragraph" w:styleId="14">
    <w:name w:val="Body Text Indent"/>
    <w:basedOn w:val="1"/>
    <w:qFormat/>
    <w:uiPriority w:val="0"/>
    <w:pPr>
      <w:ind w:left="420" w:leftChars="200"/>
    </w:pPr>
  </w:style>
  <w:style w:type="paragraph" w:styleId="15">
    <w:name w:val="List 2"/>
    <w:basedOn w:val="1"/>
    <w:qFormat/>
    <w:uiPriority w:val="0"/>
    <w:pPr>
      <w:ind w:left="100" w:leftChars="200" w:hanging="200" w:hangingChars="200"/>
    </w:pPr>
  </w:style>
  <w:style w:type="paragraph" w:styleId="16">
    <w:name w:val="Block Text"/>
    <w:basedOn w:val="1"/>
    <w:qFormat/>
    <w:uiPriority w:val="0"/>
    <w:pPr>
      <w:spacing w:line="390" w:lineRule="exact"/>
      <w:ind w:left="735" w:right="-296" w:rightChars="-141"/>
    </w:pPr>
    <w:rPr>
      <w:rFonts w:ascii="宋体"/>
    </w:rPr>
  </w:style>
  <w:style w:type="paragraph" w:styleId="17">
    <w:name w:val="toc 5"/>
    <w:basedOn w:val="1"/>
    <w:next w:val="1"/>
    <w:unhideWhenUsed/>
    <w:qFormat/>
    <w:uiPriority w:val="39"/>
    <w:pPr>
      <w:spacing w:line="240" w:lineRule="auto"/>
      <w:ind w:left="1680" w:leftChars="800" w:firstLine="0" w:firstLineChars="0"/>
    </w:pPr>
    <w:rPr>
      <w:rFonts w:ascii="等线" w:hAnsi="等线" w:eastAsia="等线"/>
      <w:sz w:val="21"/>
      <w:szCs w:val="22"/>
    </w:rPr>
  </w:style>
  <w:style w:type="paragraph" w:styleId="18">
    <w:name w:val="toc 3"/>
    <w:basedOn w:val="1"/>
    <w:next w:val="1"/>
    <w:unhideWhenUsed/>
    <w:qFormat/>
    <w:uiPriority w:val="39"/>
    <w:pPr>
      <w:spacing w:line="240" w:lineRule="auto"/>
      <w:ind w:left="840" w:leftChars="400" w:firstLine="0" w:firstLineChars="0"/>
    </w:pPr>
    <w:rPr>
      <w:rFonts w:ascii="等线" w:hAnsi="等线" w:eastAsia="等线"/>
      <w:sz w:val="21"/>
      <w:szCs w:val="22"/>
    </w:rPr>
  </w:style>
  <w:style w:type="paragraph" w:styleId="19">
    <w:name w:val="Plain Text"/>
    <w:basedOn w:val="1"/>
    <w:next w:val="1"/>
    <w:link w:val="53"/>
    <w:qFormat/>
    <w:uiPriority w:val="0"/>
    <w:rPr>
      <w:rFonts w:ascii="宋体" w:hAnsi="Courier New"/>
      <w:szCs w:val="20"/>
    </w:rPr>
  </w:style>
  <w:style w:type="paragraph" w:styleId="20">
    <w:name w:val="toc 8"/>
    <w:basedOn w:val="1"/>
    <w:next w:val="1"/>
    <w:unhideWhenUsed/>
    <w:qFormat/>
    <w:uiPriority w:val="39"/>
    <w:pPr>
      <w:spacing w:line="240" w:lineRule="auto"/>
      <w:ind w:left="2940" w:leftChars="1400" w:firstLine="0" w:firstLineChars="0"/>
    </w:pPr>
    <w:rPr>
      <w:rFonts w:ascii="等线" w:hAnsi="等线" w:eastAsia="等线"/>
      <w:sz w:val="21"/>
      <w:szCs w:val="22"/>
    </w:rPr>
  </w:style>
  <w:style w:type="paragraph" w:styleId="21">
    <w:name w:val="Date"/>
    <w:basedOn w:val="1"/>
    <w:next w:val="1"/>
    <w:qFormat/>
    <w:uiPriority w:val="0"/>
    <w:rPr>
      <w:rFonts w:ascii="楷体_GB2312" w:eastAsia="楷体_GB2312"/>
      <w:b/>
      <w:sz w:val="28"/>
      <w:szCs w:val="20"/>
    </w:rPr>
  </w:style>
  <w:style w:type="paragraph" w:styleId="22">
    <w:name w:val="endnote text"/>
    <w:basedOn w:val="1"/>
    <w:unhideWhenUsed/>
    <w:qFormat/>
    <w:uiPriority w:val="0"/>
    <w:pPr>
      <w:snapToGrid w:val="0"/>
      <w:jc w:val="left"/>
    </w:pPr>
    <w:rPr>
      <w:rFonts w:ascii="Calibri" w:hAnsi="Calibri"/>
    </w:rPr>
  </w:style>
  <w:style w:type="paragraph" w:styleId="23">
    <w:name w:val="Balloon Text"/>
    <w:basedOn w:val="1"/>
    <w:link w:val="60"/>
    <w:qFormat/>
    <w:uiPriority w:val="0"/>
    <w:pPr>
      <w:spacing w:line="240" w:lineRule="auto"/>
    </w:pPr>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61"/>
    <w:qFormat/>
    <w:uiPriority w:val="99"/>
    <w:pPr>
      <w:pBdr>
        <w:bottom w:val="single" w:color="auto" w:sz="6" w:space="1"/>
      </w:pBdr>
      <w:tabs>
        <w:tab w:val="center" w:pos="4153"/>
        <w:tab w:val="right" w:pos="8306"/>
      </w:tabs>
      <w:snapToGrid w:val="0"/>
      <w:jc w:val="center"/>
    </w:pPr>
    <w:rPr>
      <w:b/>
      <w:sz w:val="18"/>
      <w:szCs w:val="18"/>
    </w:rPr>
  </w:style>
  <w:style w:type="paragraph" w:styleId="26">
    <w:name w:val="toc 1"/>
    <w:basedOn w:val="1"/>
    <w:next w:val="1"/>
    <w:qFormat/>
    <w:uiPriority w:val="39"/>
    <w:pPr>
      <w:tabs>
        <w:tab w:val="right" w:leader="hyphen" w:pos="9628"/>
      </w:tabs>
      <w:spacing w:line="800" w:lineRule="exact"/>
      <w:jc w:val="left"/>
    </w:pPr>
    <w:rPr>
      <w:rFonts w:ascii="新宋体" w:hAnsi="新宋体" w:eastAsia="新宋体"/>
      <w:b/>
      <w:bCs/>
      <w:caps/>
      <w:sz w:val="28"/>
      <w:szCs w:val="28"/>
    </w:rPr>
  </w:style>
  <w:style w:type="paragraph" w:styleId="27">
    <w:name w:val="toc 4"/>
    <w:basedOn w:val="1"/>
    <w:next w:val="1"/>
    <w:unhideWhenUsed/>
    <w:qFormat/>
    <w:uiPriority w:val="39"/>
    <w:pPr>
      <w:spacing w:line="240" w:lineRule="auto"/>
      <w:ind w:left="1260" w:leftChars="600" w:firstLine="0" w:firstLineChars="0"/>
    </w:pPr>
    <w:rPr>
      <w:rFonts w:ascii="等线" w:hAnsi="等线" w:eastAsia="等线"/>
      <w:sz w:val="21"/>
      <w:szCs w:val="22"/>
    </w:rPr>
  </w:style>
  <w:style w:type="paragraph" w:styleId="28">
    <w:name w:val="footnote text"/>
    <w:basedOn w:val="1"/>
    <w:qFormat/>
    <w:uiPriority w:val="99"/>
    <w:pPr>
      <w:jc w:val="left"/>
    </w:pPr>
    <w:rPr>
      <w:kern w:val="1"/>
      <w:sz w:val="18"/>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qFormat/>
    <w:uiPriority w:val="0"/>
    <w:pPr>
      <w:spacing w:line="540" w:lineRule="exact"/>
      <w:ind w:left="479" w:leftChars="228"/>
    </w:pPr>
    <w:rPr>
      <w:rFonts w:ascii="隶书" w:hAnsi="宋体" w:eastAsia="隶书"/>
    </w:rPr>
  </w:style>
  <w:style w:type="paragraph" w:styleId="31">
    <w:name w:val="toc 2"/>
    <w:basedOn w:val="1"/>
    <w:next w:val="1"/>
    <w:qFormat/>
    <w:uiPriority w:val="39"/>
    <w:pPr>
      <w:tabs>
        <w:tab w:val="right" w:leader="hyphen" w:pos="9628"/>
      </w:tabs>
      <w:spacing w:line="800" w:lineRule="exact"/>
      <w:ind w:left="420" w:leftChars="200"/>
      <w:jc w:val="left"/>
    </w:pPr>
    <w:rPr>
      <w:rFonts w:ascii="宋体" w:hAnsi="宋体"/>
      <w:b/>
      <w:smallCaps/>
    </w:rPr>
  </w:style>
  <w:style w:type="paragraph" w:styleId="32">
    <w:name w:val="toc 9"/>
    <w:basedOn w:val="1"/>
    <w:next w:val="1"/>
    <w:unhideWhenUsed/>
    <w:qFormat/>
    <w:uiPriority w:val="39"/>
    <w:pPr>
      <w:spacing w:line="240" w:lineRule="auto"/>
      <w:ind w:left="3360" w:leftChars="1600" w:firstLine="0" w:firstLineChars="0"/>
    </w:pPr>
    <w:rPr>
      <w:rFonts w:ascii="等线" w:hAnsi="等线" w:eastAsia="等线"/>
      <w:sz w:val="21"/>
      <w:szCs w:val="22"/>
    </w:rPr>
  </w:style>
  <w:style w:type="paragraph" w:styleId="3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4">
    <w:name w:val="Normal (Web)"/>
    <w:basedOn w:val="1"/>
    <w:qFormat/>
    <w:uiPriority w:val="0"/>
    <w:pPr>
      <w:widowControl/>
      <w:spacing w:before="100" w:beforeAutospacing="1" w:after="100" w:afterAutospacing="1"/>
      <w:jc w:val="left"/>
    </w:pPr>
    <w:rPr>
      <w:rFonts w:ascii="宋体" w:hAnsi="宋体"/>
      <w:kern w:val="0"/>
    </w:rPr>
  </w:style>
  <w:style w:type="paragraph" w:styleId="35">
    <w:name w:val="Title"/>
    <w:basedOn w:val="1"/>
    <w:next w:val="1"/>
    <w:link w:val="62"/>
    <w:qFormat/>
    <w:uiPriority w:val="0"/>
    <w:pPr>
      <w:spacing w:before="240" w:after="60"/>
      <w:jc w:val="center"/>
      <w:outlineLvl w:val="0"/>
    </w:pPr>
    <w:rPr>
      <w:kern w:val="0"/>
      <w:sz w:val="18"/>
      <w:szCs w:val="18"/>
    </w:rPr>
  </w:style>
  <w:style w:type="paragraph" w:styleId="36">
    <w:name w:val="annotation subject"/>
    <w:basedOn w:val="12"/>
    <w:next w:val="12"/>
    <w:link w:val="63"/>
    <w:qFormat/>
    <w:uiPriority w:val="0"/>
    <w:rPr>
      <w:b/>
      <w:bCs/>
    </w:rPr>
  </w:style>
  <w:style w:type="paragraph" w:styleId="37">
    <w:name w:val="Body Text First Indent"/>
    <w:basedOn w:val="2"/>
    <w:next w:val="1"/>
    <w:qFormat/>
    <w:uiPriority w:val="0"/>
    <w:pPr>
      <w:ind w:firstLine="420" w:firstLineChars="100"/>
    </w:pPr>
  </w:style>
  <w:style w:type="paragraph" w:styleId="38">
    <w:name w:val="Body Text First Indent 2"/>
    <w:basedOn w:val="1"/>
    <w:next w:val="1"/>
    <w:qFormat/>
    <w:uiPriority w:val="0"/>
    <w:pPr>
      <w:ind w:left="420" w:leftChars="200" w:firstLine="420"/>
    </w:pPr>
  </w:style>
  <w:style w:type="table" w:styleId="40">
    <w:name w:val="Table Grid"/>
    <w:basedOn w:val="39"/>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3177FD"/>
      <w:u w:val="none"/>
    </w:rPr>
  </w:style>
  <w:style w:type="character" w:styleId="45">
    <w:name w:val="Emphasis"/>
    <w:basedOn w:val="41"/>
    <w:qFormat/>
    <w:uiPriority w:val="0"/>
    <w:rPr>
      <w:i/>
    </w:rPr>
  </w:style>
  <w:style w:type="character" w:styleId="46">
    <w:name w:val="HTML Definition"/>
    <w:qFormat/>
    <w:uiPriority w:val="0"/>
    <w:rPr>
      <w:i/>
      <w:iCs/>
    </w:rPr>
  </w:style>
  <w:style w:type="character" w:styleId="47">
    <w:name w:val="Hyperlink"/>
    <w:qFormat/>
    <w:uiPriority w:val="99"/>
    <w:rPr>
      <w:color w:val="3177FD"/>
      <w:u w:val="none"/>
    </w:rPr>
  </w:style>
  <w:style w:type="character" w:styleId="48">
    <w:name w:val="HTML Code"/>
    <w:qFormat/>
    <w:uiPriority w:val="0"/>
    <w:rPr>
      <w:rFonts w:hint="default" w:ascii="Consolas" w:hAnsi="Consolas" w:eastAsia="Consolas" w:cs="Consolas"/>
      <w:vanish/>
      <w:color w:val="3177FD"/>
      <w:sz w:val="21"/>
      <w:szCs w:val="21"/>
    </w:rPr>
  </w:style>
  <w:style w:type="character" w:styleId="49">
    <w:name w:val="annotation reference"/>
    <w:qFormat/>
    <w:uiPriority w:val="0"/>
    <w:rPr>
      <w:sz w:val="21"/>
      <w:szCs w:val="21"/>
    </w:rPr>
  </w:style>
  <w:style w:type="character" w:styleId="50">
    <w:name w:val="HTML Keyboard"/>
    <w:qFormat/>
    <w:uiPriority w:val="0"/>
    <w:rPr>
      <w:rFonts w:ascii="Consolas" w:hAnsi="Consolas" w:eastAsia="Consolas" w:cs="Consolas"/>
      <w:sz w:val="21"/>
      <w:szCs w:val="21"/>
    </w:rPr>
  </w:style>
  <w:style w:type="character" w:styleId="51">
    <w:name w:val="HTML Sample"/>
    <w:basedOn w:val="41"/>
    <w:qFormat/>
    <w:uiPriority w:val="0"/>
    <w:rPr>
      <w:rFonts w:hint="default" w:ascii="Consolas" w:hAnsi="Consolas" w:eastAsia="Consolas" w:cs="Consolas"/>
      <w:sz w:val="21"/>
      <w:szCs w:val="21"/>
    </w:rPr>
  </w:style>
  <w:style w:type="paragraph" w:customStyle="1" w:styleId="52">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53">
    <w:name w:val="纯文本 字符"/>
    <w:link w:val="19"/>
    <w:qFormat/>
    <w:uiPriority w:val="0"/>
    <w:rPr>
      <w:rFonts w:ascii="宋体" w:hAnsi="Courier New"/>
      <w:kern w:val="2"/>
      <w:sz w:val="24"/>
    </w:rPr>
  </w:style>
  <w:style w:type="character" w:customStyle="1" w:styleId="54">
    <w:name w:val="标题 1 字符1"/>
    <w:qFormat/>
    <w:locked/>
    <w:uiPriority w:val="99"/>
    <w:rPr>
      <w:rFonts w:ascii="Times New Roman" w:hAnsi="Times New Roman" w:eastAsia="宋体" w:cs="Times New Roman"/>
      <w:b/>
      <w:sz w:val="36"/>
      <w:szCs w:val="20"/>
    </w:rPr>
  </w:style>
  <w:style w:type="character" w:customStyle="1" w:styleId="55">
    <w:name w:val="标题 2 字符"/>
    <w:link w:val="4"/>
    <w:qFormat/>
    <w:uiPriority w:val="0"/>
    <w:rPr>
      <w:rFonts w:ascii="Arial" w:hAnsi="Arial" w:eastAsia="宋体" w:cs="Times New Roman"/>
      <w:b/>
      <w:bCs/>
      <w:sz w:val="28"/>
      <w:szCs w:val="32"/>
    </w:rPr>
  </w:style>
  <w:style w:type="character" w:customStyle="1" w:styleId="56">
    <w:name w:val="标题 3 字符"/>
    <w:link w:val="5"/>
    <w:qFormat/>
    <w:uiPriority w:val="9"/>
    <w:rPr>
      <w:rFonts w:ascii="仿宋_GB2312" w:hAnsi="仿宋_GB2312" w:eastAsia="仿宋" w:cs="Times New Roman"/>
      <w:b/>
      <w:bCs/>
      <w:sz w:val="24"/>
      <w:szCs w:val="20"/>
    </w:rPr>
  </w:style>
  <w:style w:type="character" w:customStyle="1" w:styleId="57">
    <w:name w:val="文档结构图 字符"/>
    <w:link w:val="11"/>
    <w:qFormat/>
    <w:uiPriority w:val="0"/>
    <w:rPr>
      <w:rFonts w:ascii="宋体"/>
      <w:kern w:val="2"/>
      <w:sz w:val="18"/>
      <w:szCs w:val="18"/>
    </w:rPr>
  </w:style>
  <w:style w:type="character" w:customStyle="1" w:styleId="58">
    <w:name w:val="批注文字 字符"/>
    <w:link w:val="12"/>
    <w:qFormat/>
    <w:uiPriority w:val="0"/>
    <w:rPr>
      <w:kern w:val="2"/>
      <w:sz w:val="24"/>
      <w:szCs w:val="24"/>
    </w:rPr>
  </w:style>
  <w:style w:type="character" w:customStyle="1" w:styleId="59">
    <w:name w:val="正文文本 字符"/>
    <w:link w:val="2"/>
    <w:semiHidden/>
    <w:qFormat/>
    <w:locked/>
    <w:uiPriority w:val="99"/>
    <w:rPr>
      <w:rFonts w:ascii="Calibri" w:hAnsi="Calibri" w:eastAsia="仿宋" w:cs="Times New Roman"/>
      <w:sz w:val="24"/>
    </w:rPr>
  </w:style>
  <w:style w:type="character" w:customStyle="1" w:styleId="60">
    <w:name w:val="批注框文本 字符"/>
    <w:link w:val="23"/>
    <w:qFormat/>
    <w:uiPriority w:val="0"/>
    <w:rPr>
      <w:rFonts w:cs="Times New Roman"/>
      <w:kern w:val="2"/>
      <w:sz w:val="18"/>
      <w:szCs w:val="18"/>
    </w:rPr>
  </w:style>
  <w:style w:type="character" w:customStyle="1" w:styleId="61">
    <w:name w:val="页眉 字符"/>
    <w:link w:val="25"/>
    <w:qFormat/>
    <w:uiPriority w:val="99"/>
    <w:rPr>
      <w:b/>
      <w:kern w:val="2"/>
      <w:sz w:val="18"/>
      <w:szCs w:val="18"/>
    </w:rPr>
  </w:style>
  <w:style w:type="character" w:customStyle="1" w:styleId="62">
    <w:name w:val="标题 字符"/>
    <w:link w:val="35"/>
    <w:qFormat/>
    <w:uiPriority w:val="0"/>
    <w:rPr>
      <w:sz w:val="18"/>
      <w:szCs w:val="18"/>
    </w:rPr>
  </w:style>
  <w:style w:type="character" w:customStyle="1" w:styleId="63">
    <w:name w:val="批注主题 字符"/>
    <w:link w:val="36"/>
    <w:qFormat/>
    <w:uiPriority w:val="0"/>
    <w:rPr>
      <w:b/>
      <w:bCs/>
      <w:kern w:val="2"/>
      <w:sz w:val="24"/>
      <w:szCs w:val="24"/>
    </w:rPr>
  </w:style>
  <w:style w:type="character" w:customStyle="1" w:styleId="64">
    <w:name w:val="标题 1 字符"/>
    <w:link w:val="3"/>
    <w:qFormat/>
    <w:locked/>
    <w:uiPriority w:val="99"/>
    <w:rPr>
      <w:rFonts w:ascii="Calibri" w:hAnsi="Calibri" w:eastAsia="宋体" w:cs="Times New Roman"/>
      <w:b/>
      <w:sz w:val="36"/>
      <w:szCs w:val="20"/>
    </w:rPr>
  </w:style>
  <w:style w:type="paragraph" w:customStyle="1" w:styleId="65">
    <w:name w:val="正文文本首行缩进 21"/>
    <w:basedOn w:val="14"/>
    <w:qFormat/>
    <w:uiPriority w:val="0"/>
    <w:pPr>
      <w:spacing w:line="360" w:lineRule="auto"/>
      <w:ind w:firstLine="0"/>
    </w:pPr>
    <w:rPr>
      <w:lang w:val="zh-CN"/>
    </w:rPr>
  </w:style>
  <w:style w:type="paragraph" w:customStyle="1" w:styleId="66">
    <w:name w:val="文章正文"/>
    <w:basedOn w:val="1"/>
    <w:next w:val="67"/>
    <w:qFormat/>
    <w:uiPriority w:val="0"/>
    <w:pPr>
      <w:spacing w:line="360" w:lineRule="auto"/>
      <w:ind w:firstLine="200"/>
    </w:pPr>
    <w:rPr>
      <w:rFonts w:ascii="Calibri" w:hAnsi="Calibri"/>
    </w:rPr>
  </w:style>
  <w:style w:type="paragraph" w:customStyle="1" w:styleId="67">
    <w:name w:val="公式样式 变量"/>
    <w:qFormat/>
    <w:uiPriority w:val="0"/>
    <w:rPr>
      <w:rFonts w:ascii="Times New Roman" w:hAnsi="Times New Roman" w:eastAsia="宋体" w:cs="Times New Roman"/>
      <w:i/>
      <w:lang w:val="en-US" w:eastAsia="zh-CN" w:bidi="ar-SA"/>
    </w:rPr>
  </w:style>
  <w:style w:type="paragraph" w:customStyle="1" w:styleId="68">
    <w:name w:val="表格文字"/>
    <w:basedOn w:val="19"/>
    <w:next w:val="2"/>
    <w:qFormat/>
    <w:uiPriority w:val="0"/>
    <w:pPr>
      <w:spacing w:line="360" w:lineRule="auto"/>
      <w:ind w:firstLine="200"/>
      <w:jc w:val="left"/>
    </w:pPr>
    <w:rPr>
      <w:rFonts w:ascii="Arial" w:hAnsi="Arial"/>
    </w:rPr>
  </w:style>
  <w:style w:type="paragraph" w:customStyle="1" w:styleId="69">
    <w:name w:val="正文文本 31"/>
    <w:basedOn w:val="1"/>
    <w:qFormat/>
    <w:uiPriority w:val="0"/>
    <w:rPr>
      <w:sz w:val="16"/>
      <w:szCs w:val="16"/>
    </w:rPr>
  </w:style>
  <w:style w:type="paragraph" w:customStyle="1" w:styleId="70">
    <w:name w:val="样式 表格正文 + 两端对齐"/>
    <w:basedOn w:val="1"/>
    <w:next w:val="71"/>
    <w:qFormat/>
    <w:uiPriority w:val="0"/>
    <w:pPr>
      <w:spacing w:line="300" w:lineRule="auto"/>
      <w:ind w:firstLine="0"/>
    </w:pPr>
  </w:style>
  <w:style w:type="paragraph" w:customStyle="1" w:styleId="71">
    <w:name w:val="正文1"/>
    <w:basedOn w:val="18"/>
    <w:next w:val="72"/>
    <w:qFormat/>
    <w:uiPriority w:val="0"/>
    <w:pPr>
      <w:widowControl/>
      <w:snapToGrid w:val="0"/>
      <w:spacing w:line="500" w:lineRule="exact"/>
      <w:ind w:firstLine="567"/>
    </w:pPr>
    <w:rPr>
      <w:rFonts w:ascii="楷体_GB2312" w:hAnsi="Times New Roman" w:eastAsia="楷体_GB2312"/>
      <w:kern w:val="0"/>
      <w:sz w:val="28"/>
      <w:szCs w:val="20"/>
    </w:rPr>
  </w:style>
  <w:style w:type="paragraph" w:customStyle="1" w:styleId="72">
    <w:name w:val="自动更正"/>
    <w:next w:val="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xl39"/>
    <w:basedOn w:val="1"/>
    <w:next w:val="7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7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75">
    <w:name w:val="无"/>
    <w:qFormat/>
    <w:uiPriority w:val="0"/>
  </w:style>
  <w:style w:type="character" w:customStyle="1" w:styleId="76">
    <w:name w:val="ant-tree-checkbox2"/>
    <w:qFormat/>
    <w:uiPriority w:val="0"/>
  </w:style>
  <w:style w:type="character" w:customStyle="1" w:styleId="77">
    <w:name w:val="all-fit-info1"/>
    <w:qFormat/>
    <w:uiPriority w:val="0"/>
    <w:rPr>
      <w:color w:val="939393"/>
    </w:rPr>
  </w:style>
  <w:style w:type="character" w:customStyle="1" w:styleId="78">
    <w:name w:val="tag-type1"/>
    <w:qFormat/>
    <w:uiPriority w:val="0"/>
    <w:rPr>
      <w:color w:val="FFFFFF"/>
      <w:sz w:val="18"/>
      <w:szCs w:val="18"/>
      <w:shd w:val="clear" w:color="auto" w:fill="317FFD"/>
    </w:rPr>
  </w:style>
  <w:style w:type="character" w:customStyle="1" w:styleId="79">
    <w:name w:val="last-child"/>
    <w:qFormat/>
    <w:uiPriority w:val="0"/>
  </w:style>
  <w:style w:type="character" w:customStyle="1" w:styleId="80">
    <w:name w:val="current"/>
    <w:qFormat/>
    <w:uiPriority w:val="0"/>
    <w:rPr>
      <w:color w:val="00C1DE"/>
    </w:rPr>
  </w:style>
  <w:style w:type="character" w:customStyle="1" w:styleId="81">
    <w:name w:val="content10"/>
    <w:qFormat/>
    <w:uiPriority w:val="0"/>
  </w:style>
  <w:style w:type="character" w:customStyle="1" w:styleId="82">
    <w:name w:val="temp1"/>
    <w:qFormat/>
    <w:uiPriority w:val="0"/>
  </w:style>
  <w:style w:type="character" w:customStyle="1" w:styleId="83">
    <w:name w:val="large1"/>
    <w:qFormat/>
    <w:uiPriority w:val="0"/>
    <w:rPr>
      <w:rFonts w:hint="eastAsia" w:ascii="宋体" w:hAnsi="宋体" w:eastAsia="宋体"/>
      <w:sz w:val="21"/>
      <w:szCs w:val="21"/>
    </w:rPr>
  </w:style>
  <w:style w:type="character" w:customStyle="1" w:styleId="84">
    <w:name w:val="current1"/>
    <w:qFormat/>
    <w:uiPriority w:val="0"/>
    <w:rPr>
      <w:color w:val="00C1DE"/>
    </w:rPr>
  </w:style>
  <w:style w:type="character" w:customStyle="1" w:styleId="85">
    <w:name w:val="tag-type"/>
    <w:qFormat/>
    <w:uiPriority w:val="0"/>
    <w:rPr>
      <w:color w:val="FFFFFF"/>
      <w:sz w:val="18"/>
      <w:szCs w:val="18"/>
      <w:shd w:val="clear" w:color="auto" w:fill="317FFD"/>
    </w:rPr>
  </w:style>
  <w:style w:type="character" w:customStyle="1" w:styleId="86">
    <w:name w:val="ant-select-tree-iconele"/>
    <w:qFormat/>
    <w:uiPriority w:val="0"/>
  </w:style>
  <w:style w:type="character" w:customStyle="1" w:styleId="87">
    <w:name w:val="last-child3"/>
    <w:qFormat/>
    <w:uiPriority w:val="0"/>
  </w:style>
  <w:style w:type="character" w:customStyle="1" w:styleId="88">
    <w:name w:val="ant-tree-iconele"/>
    <w:qFormat/>
    <w:uiPriority w:val="0"/>
  </w:style>
  <w:style w:type="character" w:customStyle="1" w:styleId="89">
    <w:name w:val="hover11"/>
    <w:qFormat/>
    <w:uiPriority w:val="0"/>
    <w:rPr>
      <w:color w:val="3177FD"/>
    </w:rPr>
  </w:style>
  <w:style w:type="character" w:customStyle="1" w:styleId="90">
    <w:name w:val="first-child5"/>
    <w:qFormat/>
    <w:uiPriority w:val="0"/>
  </w:style>
  <w:style w:type="character" w:customStyle="1" w:styleId="91">
    <w:name w:val="ant-tree-switcher"/>
    <w:qFormat/>
    <w:uiPriority w:val="0"/>
  </w:style>
  <w:style w:type="character" w:customStyle="1" w:styleId="92">
    <w:name w:val="change-camera-place"/>
    <w:qFormat/>
    <w:uiPriority w:val="0"/>
    <w:rPr>
      <w:color w:val="3177FD"/>
    </w:rPr>
  </w:style>
  <w:style w:type="character" w:customStyle="1" w:styleId="93">
    <w:name w:val="info-label"/>
    <w:qFormat/>
    <w:uiPriority w:val="0"/>
    <w:rPr>
      <w:b/>
      <w:bCs/>
    </w:rPr>
  </w:style>
  <w:style w:type="character" w:customStyle="1" w:styleId="94">
    <w:name w:val="ant-input52"/>
    <w:qFormat/>
    <w:uiPriority w:val="0"/>
  </w:style>
  <w:style w:type="character" w:customStyle="1" w:styleId="95">
    <w:name w:val="info-content"/>
    <w:qFormat/>
    <w:uiPriority w:val="0"/>
    <w:rPr>
      <w:color w:val="808080"/>
    </w:rPr>
  </w:style>
  <w:style w:type="character" w:customStyle="1" w:styleId="96">
    <w:name w:val="ant-select-tree-switcher"/>
    <w:qFormat/>
    <w:uiPriority w:val="0"/>
  </w:style>
  <w:style w:type="character" w:customStyle="1" w:styleId="97">
    <w:name w:val="all-fit-info2"/>
    <w:qFormat/>
    <w:uiPriority w:val="0"/>
    <w:rPr>
      <w:color w:val="939393"/>
    </w:rPr>
  </w:style>
  <w:style w:type="character" w:customStyle="1" w:styleId="98">
    <w:name w:val="ant-tree-icon_loading"/>
    <w:qFormat/>
    <w:uiPriority w:val="0"/>
    <w:rPr>
      <w:shd w:val="clear" w:color="auto" w:fill="FFFFFF"/>
    </w:rPr>
  </w:style>
  <w:style w:type="character" w:customStyle="1" w:styleId="99">
    <w:name w:val="ant-radio+*"/>
    <w:qFormat/>
    <w:uiPriority w:val="0"/>
  </w:style>
  <w:style w:type="character" w:customStyle="1" w:styleId="100">
    <w:name w:val="temp"/>
    <w:qFormat/>
    <w:uiPriority w:val="0"/>
  </w:style>
  <w:style w:type="character" w:customStyle="1" w:styleId="101">
    <w:name w:val="ant-form-item-children1"/>
    <w:qFormat/>
    <w:uiPriority w:val="0"/>
  </w:style>
  <w:style w:type="character" w:customStyle="1" w:styleId="102">
    <w:name w:val="ant-badge-status-dot"/>
    <w:qFormat/>
    <w:uiPriority w:val="0"/>
    <w:rPr>
      <w:shd w:val="clear" w:color="auto" w:fill="FFFFFF"/>
    </w:rPr>
  </w:style>
  <w:style w:type="character" w:customStyle="1" w:styleId="103">
    <w:name w:val="ant-select-tree-checkbox2"/>
    <w:qFormat/>
    <w:uiPriority w:val="0"/>
  </w:style>
  <w:style w:type="character" w:customStyle="1" w:styleId="104">
    <w:name w:val="last-child1"/>
    <w:qFormat/>
    <w:uiPriority w:val="0"/>
  </w:style>
  <w:style w:type="character" w:customStyle="1" w:styleId="105">
    <w:name w:val="label2"/>
    <w:qFormat/>
    <w:uiPriority w:val="0"/>
  </w:style>
  <w:style w:type="character" w:customStyle="1" w:styleId="106">
    <w:name w:val="last-of-type"/>
    <w:qFormat/>
    <w:uiPriority w:val="0"/>
    <w:rPr>
      <w:color w:val="FF4A44"/>
      <w:sz w:val="27"/>
      <w:szCs w:val="27"/>
    </w:rPr>
  </w:style>
  <w:style w:type="character" w:customStyle="1" w:styleId="107">
    <w:name w:val="样式 仿宋"/>
    <w:qFormat/>
    <w:uiPriority w:val="0"/>
    <w:rPr>
      <w:rFonts w:ascii="仿宋" w:hAnsi="仿宋" w:eastAsia="仿宋"/>
      <w:kern w:val="1"/>
    </w:rPr>
  </w:style>
  <w:style w:type="character" w:customStyle="1" w:styleId="108">
    <w:name w:val="temp2"/>
    <w:qFormat/>
    <w:uiPriority w:val="0"/>
  </w:style>
  <w:style w:type="character" w:customStyle="1" w:styleId="109">
    <w:name w:val="last-child2"/>
    <w:qFormat/>
    <w:uiPriority w:val="0"/>
  </w:style>
  <w:style w:type="character" w:customStyle="1" w:styleId="110">
    <w:name w:val="all-fit-info"/>
    <w:qFormat/>
    <w:uiPriority w:val="0"/>
    <w:rPr>
      <w:color w:val="939393"/>
    </w:rPr>
  </w:style>
  <w:style w:type="paragraph" w:customStyle="1" w:styleId="111">
    <w:name w:val="正文文本缩进1"/>
    <w:basedOn w:val="1"/>
    <w:qFormat/>
    <w:uiPriority w:val="0"/>
    <w:pPr>
      <w:spacing w:line="360" w:lineRule="auto"/>
      <w:ind w:firstLine="435"/>
    </w:pPr>
    <w:rPr>
      <w:sz w:val="28"/>
    </w:rPr>
  </w:style>
  <w:style w:type="paragraph" w:customStyle="1" w:styleId="112">
    <w:name w:val="Proposals body"/>
    <w:basedOn w:val="1"/>
    <w:next w:val="1"/>
    <w:qFormat/>
    <w:uiPriority w:val="0"/>
    <w:pPr>
      <w:widowControl/>
      <w:spacing w:line="360" w:lineRule="auto"/>
      <w:jc w:val="left"/>
    </w:pPr>
    <w:rPr>
      <w:rFonts w:ascii="宋体"/>
      <w:snapToGrid w:val="0"/>
      <w:color w:val="000000"/>
      <w:kern w:val="0"/>
      <w:szCs w:val="20"/>
    </w:rPr>
  </w:style>
  <w:style w:type="paragraph" w:customStyle="1" w:styleId="113">
    <w:name w:val="正文 A"/>
    <w:qFormat/>
    <w:uiPriority w:val="0"/>
    <w:rPr>
      <w:rFonts w:ascii="Times New Roman" w:hAnsi="Times New Roman" w:eastAsia="ヒラギノ角ゴ Pro W3" w:cs="Times New Roman"/>
      <w:color w:val="000000"/>
      <w:sz w:val="24"/>
      <w:szCs w:val="22"/>
      <w:lang w:val="en-US" w:eastAsia="zh-CN" w:bidi="ar-SA"/>
    </w:rPr>
  </w:style>
  <w:style w:type="paragraph" w:customStyle="1" w:styleId="114">
    <w:name w:val="正文ok"/>
    <w:qFormat/>
    <w:uiPriority w:val="99"/>
    <w:pPr>
      <w:spacing w:line="360" w:lineRule="auto"/>
      <w:ind w:firstLine="200" w:firstLineChars="200"/>
    </w:pPr>
    <w:rPr>
      <w:rFonts w:ascii="宋体" w:hAnsi="Times New Roman" w:eastAsia="宋体" w:cs="Times New Roman"/>
      <w:sz w:val="24"/>
      <w:lang w:val="en-US" w:eastAsia="zh-CN" w:bidi="ar-SA"/>
    </w:rPr>
  </w:style>
  <w:style w:type="paragraph" w:styleId="115">
    <w:name w:val="List Paragraph"/>
    <w:basedOn w:val="1"/>
    <w:qFormat/>
    <w:uiPriority w:val="0"/>
    <w:pPr>
      <w:ind w:firstLine="420"/>
    </w:pPr>
  </w:style>
  <w:style w:type="paragraph" w:styleId="11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_Style 1"/>
    <w:basedOn w:val="1"/>
    <w:next w:val="1"/>
    <w:qFormat/>
    <w:uiPriority w:val="0"/>
    <w:pPr>
      <w:pBdr>
        <w:bottom w:val="single" w:color="auto" w:sz="6" w:space="1"/>
      </w:pBdr>
      <w:jc w:val="center"/>
    </w:pPr>
    <w:rPr>
      <w:rFonts w:ascii="Arial"/>
      <w:vanish/>
      <w:sz w:val="16"/>
      <w:szCs w:val="20"/>
    </w:rPr>
  </w:style>
  <w:style w:type="paragraph" w:customStyle="1" w:styleId="120">
    <w:name w:val="默认段落字体 Para Char Char Char Char Char Char Char Char Char1 Char Char Char Char"/>
    <w:basedOn w:val="1"/>
    <w:qFormat/>
    <w:uiPriority w:val="0"/>
    <w:rPr>
      <w:rFonts w:ascii="Tahoma" w:hAnsi="Tahoma"/>
    </w:rPr>
  </w:style>
  <w:style w:type="paragraph" w:customStyle="1" w:styleId="1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2">
    <w:name w:val="正文2"/>
    <w:basedOn w:val="1"/>
    <w:qFormat/>
    <w:uiPriority w:val="0"/>
    <w:pPr>
      <w:spacing w:before="156" w:line="360" w:lineRule="auto"/>
      <w:ind w:firstLine="510"/>
    </w:pPr>
    <w:rPr>
      <w:kern w:val="0"/>
      <w:szCs w:val="20"/>
    </w:rPr>
  </w:style>
  <w:style w:type="paragraph" w:customStyle="1" w:styleId="123">
    <w:name w:val="正文首行缩进2字符"/>
    <w:basedOn w:val="1"/>
    <w:qFormat/>
    <w:uiPriority w:val="99"/>
    <w:pPr>
      <w:spacing w:line="360" w:lineRule="auto"/>
    </w:p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首行缩进"/>
    <w:basedOn w:val="1"/>
    <w:qFormat/>
    <w:uiPriority w:val="0"/>
    <w:pPr>
      <w:spacing w:line="360" w:lineRule="auto"/>
      <w:ind w:firstLine="420"/>
    </w:pPr>
    <w:rPr>
      <w:rFonts w:ascii="宋体" w:hAnsi="宋体"/>
    </w:rPr>
  </w:style>
  <w:style w:type="paragraph" w:customStyle="1" w:styleId="126">
    <w:name w:val="无间隔1"/>
    <w:qFormat/>
    <w:uiPriority w:val="1"/>
    <w:pPr>
      <w:widowControl w:val="0"/>
      <w:spacing w:line="360" w:lineRule="auto"/>
      <w:jc w:val="both"/>
    </w:pPr>
    <w:rPr>
      <w:rFonts w:ascii="Times New Roman" w:hAnsi="Times New Roman" w:eastAsia="宋体" w:cs="Times New Roman"/>
      <w:kern w:val="2"/>
      <w:sz w:val="24"/>
      <w:szCs w:val="22"/>
      <w:lang w:val="en-US" w:eastAsia="zh-CN" w:bidi="ar-SA"/>
    </w:rPr>
  </w:style>
  <w:style w:type="paragraph" w:customStyle="1" w:styleId="127">
    <w:name w:val="*正文"/>
    <w:basedOn w:val="1"/>
    <w:qFormat/>
    <w:uiPriority w:val="0"/>
    <w:pPr>
      <w:widowControl/>
    </w:pPr>
    <w:rPr>
      <w:rFonts w:ascii="宋体" w:hAnsi="宋体"/>
    </w:rPr>
  </w:style>
  <w:style w:type="paragraph" w:customStyle="1" w:styleId="12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9">
    <w:name w:val="正文内容"/>
    <w:basedOn w:val="1"/>
    <w:qFormat/>
    <w:uiPriority w:val="0"/>
    <w:pPr>
      <w:ind w:firstLine="420"/>
    </w:pPr>
    <w:rPr>
      <w:rFonts w:eastAsia="微软雅黑"/>
      <w:color w:val="3F3F3F"/>
    </w:rPr>
  </w:style>
  <w:style w:type="paragraph" w:customStyle="1" w:styleId="130">
    <w:name w:val="List Paragraph1"/>
    <w:basedOn w:val="1"/>
    <w:qFormat/>
    <w:uiPriority w:val="0"/>
    <w:pPr>
      <w:widowControl/>
      <w:ind w:firstLine="420"/>
      <w:jc w:val="left"/>
    </w:pPr>
    <w:rPr>
      <w:rFonts w:ascii="Calibri" w:hAnsi="Calibri"/>
      <w:szCs w:val="22"/>
    </w:rPr>
  </w:style>
  <w:style w:type="paragraph" w:customStyle="1" w:styleId="131">
    <w:name w:val="索引 11"/>
    <w:basedOn w:val="1"/>
    <w:next w:val="1"/>
    <w:qFormat/>
    <w:uiPriority w:val="0"/>
    <w:pPr>
      <w:snapToGrid w:val="0"/>
    </w:pPr>
    <w:rPr>
      <w:szCs w:val="21"/>
    </w:rPr>
  </w:style>
  <w:style w:type="paragraph" w:customStyle="1" w:styleId="132">
    <w:name w:val="DG正文"/>
    <w:basedOn w:val="1"/>
    <w:qFormat/>
    <w:uiPriority w:val="0"/>
    <w:pPr>
      <w:widowControl/>
      <w:spacing w:line="360" w:lineRule="auto"/>
      <w:ind w:right="142" w:firstLine="640"/>
      <w:jc w:val="left"/>
    </w:pPr>
    <w:rPr>
      <w:rFonts w:ascii="Calibri" w:hAnsi="Calibri" w:cs="Calibri"/>
    </w:rPr>
  </w:style>
  <w:style w:type="paragraph" w:customStyle="1" w:styleId="133">
    <w:name w:val="reader-word-layer reader-word-s27-4"/>
    <w:basedOn w:val="1"/>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paragraph" w:customStyle="1" w:styleId="134">
    <w:name w:val="普通(网站)1"/>
    <w:basedOn w:val="1"/>
    <w:qFormat/>
    <w:uiPriority w:val="0"/>
    <w:pPr>
      <w:widowControl/>
      <w:spacing w:beforeAutospacing="1" w:afterAutospacing="1"/>
      <w:jc w:val="left"/>
    </w:pPr>
    <w:rPr>
      <w:rFonts w:ascii="宋体" w:hAnsi="宋体"/>
      <w:kern w:val="0"/>
      <w:szCs w:val="20"/>
    </w:rPr>
  </w:style>
  <w:style w:type="paragraph" w:customStyle="1" w:styleId="135">
    <w:name w:val="Char"/>
    <w:basedOn w:val="1"/>
    <w:next w:val="1"/>
    <w:qFormat/>
    <w:uiPriority w:val="0"/>
    <w:rPr>
      <w:rFonts w:ascii="Tahoma" w:hAnsi="Tahoma"/>
      <w:szCs w:val="20"/>
    </w:rPr>
  </w:style>
  <w:style w:type="paragraph" w:customStyle="1" w:styleId="136">
    <w:name w:val="仿宋正文"/>
    <w:qFormat/>
    <w:uiPriority w:val="0"/>
    <w:pPr>
      <w:adjustRightInd w:val="0"/>
      <w:spacing w:before="125" w:beforeLines="125" w:after="50" w:afterLines="50" w:line="360" w:lineRule="auto"/>
      <w:ind w:firstLine="200" w:firstLineChars="200"/>
    </w:pPr>
    <w:rPr>
      <w:rFonts w:ascii="仿宋" w:hAnsi="仿宋" w:eastAsia="仿宋" w:cs="Times New Roman"/>
      <w:color w:val="000000"/>
      <w:kern w:val="2"/>
      <w:sz w:val="28"/>
      <w:szCs w:val="28"/>
      <w:lang w:val="en-US" w:eastAsia="zh-CN" w:bidi="ar-SA"/>
    </w:rPr>
  </w:style>
  <w:style w:type="paragraph" w:customStyle="1" w:styleId="137">
    <w:name w:val="￥正文"/>
    <w:basedOn w:val="1"/>
    <w:qFormat/>
    <w:uiPriority w:val="0"/>
    <w:pPr>
      <w:spacing w:line="360" w:lineRule="auto"/>
      <w:ind w:firstLine="200"/>
    </w:pPr>
    <w:rPr>
      <w:rFonts w:ascii="Calibri" w:hAnsi="Calibri" w:eastAsia="仿宋_GB2312"/>
      <w:kern w:val="0"/>
    </w:rPr>
  </w:style>
  <w:style w:type="table" w:customStyle="1" w:styleId="138">
    <w:name w:val="Table Normal"/>
    <w:unhideWhenUsed/>
    <w:qFormat/>
    <w:uiPriority w:val="2"/>
    <w:tblPr>
      <w:tblCellMar>
        <w:top w:w="0" w:type="dxa"/>
        <w:left w:w="0" w:type="dxa"/>
        <w:bottom w:w="0" w:type="dxa"/>
        <w:right w:w="0" w:type="dxa"/>
      </w:tblCellMar>
    </w:tblPr>
  </w:style>
  <w:style w:type="character" w:customStyle="1" w:styleId="139">
    <w:name w:val="font31"/>
    <w:qFormat/>
    <w:uiPriority w:val="0"/>
    <w:rPr>
      <w:rFonts w:hint="eastAsia" w:ascii="宋体" w:hAnsi="宋体" w:eastAsia="宋体" w:cs="宋体"/>
      <w:color w:val="000000"/>
      <w:sz w:val="18"/>
      <w:szCs w:val="18"/>
      <w:u w:val="none"/>
    </w:rPr>
  </w:style>
  <w:style w:type="character" w:customStyle="1" w:styleId="140">
    <w:name w:val="font91"/>
    <w:qFormat/>
    <w:uiPriority w:val="0"/>
    <w:rPr>
      <w:rFonts w:ascii="宋体" w:hAnsi="宋体" w:eastAsia="宋体" w:cs="宋体"/>
      <w:color w:val="000000"/>
      <w:sz w:val="18"/>
      <w:szCs w:val="18"/>
      <w:u w:val="none"/>
    </w:rPr>
  </w:style>
  <w:style w:type="paragraph" w:customStyle="1" w:styleId="141">
    <w:name w:val="列表段落1"/>
    <w:basedOn w:val="1"/>
    <w:qFormat/>
    <w:uiPriority w:val="34"/>
    <w:pPr>
      <w:ind w:firstLine="420"/>
    </w:pPr>
    <w:rPr>
      <w:sz w:val="21"/>
    </w:rPr>
  </w:style>
  <w:style w:type="paragraph" w:customStyle="1" w:styleId="14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43">
    <w:name w:val="font11"/>
    <w:qFormat/>
    <w:uiPriority w:val="0"/>
    <w:rPr>
      <w:rFonts w:hint="eastAsia" w:ascii="宋体" w:hAnsi="宋体" w:eastAsia="宋体" w:cs="宋体"/>
      <w:color w:val="000000"/>
      <w:sz w:val="18"/>
      <w:szCs w:val="18"/>
      <w:u w:val="none"/>
    </w:rPr>
  </w:style>
  <w:style w:type="character" w:customStyle="1" w:styleId="144">
    <w:name w:val="font51"/>
    <w:qFormat/>
    <w:uiPriority w:val="0"/>
    <w:rPr>
      <w:rFonts w:ascii="宋体" w:hAnsi="宋体" w:eastAsia="宋体" w:cs="宋体"/>
      <w:color w:val="000000"/>
      <w:sz w:val="18"/>
      <w:szCs w:val="18"/>
      <w:u w:val="none"/>
    </w:rPr>
  </w:style>
  <w:style w:type="character" w:customStyle="1" w:styleId="145">
    <w:name w:val="10"/>
    <w:qFormat/>
    <w:uiPriority w:val="0"/>
    <w:rPr>
      <w:rFonts w:hint="default" w:ascii="Times New Roman" w:hAnsi="Times New Roman" w:cs="Times New Roman"/>
    </w:rPr>
  </w:style>
  <w:style w:type="character" w:customStyle="1" w:styleId="146">
    <w:name w:val="15"/>
    <w:qFormat/>
    <w:uiPriority w:val="0"/>
    <w:rPr>
      <w:rFonts w:hint="default" w:ascii="Times New Roman" w:hAnsi="Times New Roman" w:cs="Times New Roman"/>
    </w:rPr>
  </w:style>
  <w:style w:type="paragraph" w:customStyle="1" w:styleId="147">
    <w:name w:val="样式 列表编号 + 段后: 0.5 行"/>
    <w:qFormat/>
    <w:uiPriority w:val="0"/>
    <w:pPr>
      <w:widowControl w:val="0"/>
      <w:spacing w:line="500" w:lineRule="exact"/>
      <w:ind w:left="360" w:hanging="360" w:firstLineChars="200"/>
      <w:jc w:val="both"/>
    </w:pPr>
    <w:rPr>
      <w:rFonts w:ascii="Times New Roman" w:hAnsi="Times New Roman" w:eastAsia="宋体" w:cs="Times New Roman"/>
      <w:kern w:val="2"/>
      <w:sz w:val="24"/>
      <w:szCs w:val="24"/>
      <w:lang w:val="en-US" w:eastAsia="zh-CN" w:bidi="ar-SA"/>
    </w:rPr>
  </w:style>
  <w:style w:type="paragraph" w:customStyle="1" w:styleId="148">
    <w:name w:val="Body Text First Indent 21"/>
    <w:basedOn w:val="149"/>
    <w:qFormat/>
    <w:uiPriority w:val="0"/>
    <w:pPr>
      <w:ind w:firstLine="420"/>
    </w:pPr>
    <w:rPr>
      <w:rFonts w:cs="宋体"/>
    </w:rPr>
  </w:style>
  <w:style w:type="paragraph" w:customStyle="1" w:styleId="149">
    <w:name w:val="Body Text Indent1"/>
    <w:basedOn w:val="1"/>
    <w:next w:val="1"/>
    <w:qFormat/>
    <w:uiPriority w:val="0"/>
    <w:pPr>
      <w:spacing w:after="120"/>
      <w:ind w:left="420" w:leftChars="200"/>
    </w:pPr>
    <w:rPr>
      <w:color w:val="000000"/>
      <w:szCs w:val="21"/>
    </w:rPr>
  </w:style>
  <w:style w:type="paragraph" w:customStyle="1" w:styleId="150">
    <w:name w:val="正文缩进2格"/>
    <w:basedOn w:val="1"/>
    <w:qFormat/>
    <w:uiPriority w:val="0"/>
    <w:pPr>
      <w:spacing w:line="600" w:lineRule="exact"/>
      <w:ind w:firstLine="639" w:firstLineChars="206"/>
    </w:pPr>
    <w:rPr>
      <w:rFonts w:ascii="仿宋_GB2312" w:hAnsi="宋体"/>
      <w:sz w:val="31"/>
      <w:szCs w:val="31"/>
    </w:rPr>
  </w:style>
  <w:style w:type="paragraph" w:customStyle="1" w:styleId="151">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152">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648</Words>
  <Characters>738</Characters>
  <Lines>1118</Lines>
  <Paragraphs>1159</Paragraphs>
  <TotalTime>76</TotalTime>
  <ScaleCrop>false</ScaleCrop>
  <LinksUpToDate>false</LinksUpToDate>
  <CharactersWithSpaces>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2025-07-17T10:35:00Z</dcterms:created>
  <dc:creator>宇正-王</dc:creator>
  <cp:lastModifiedBy>Administrator</cp:lastModifiedBy>
  <cp:lastPrinted>2025-07-17T01:04:00Z</cp:lastPrinted>
  <dcterms:modified xsi:type="dcterms:W3CDTF">2025-07-18T05:09:28Z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221AA5280833480AB51F2E6E7E8BF327_13</vt:lpwstr>
  </property>
  <property fmtid="{D5CDD505-2E9C-101B-9397-08002B2CF9AE}" pid="4" name="KSOTemplateDocerSaveRecord">
    <vt:lpwstr>eyJoZGlkIjoiNWEyNDY2ODhjMzg1YTc5MzI1MWU4ZGFmZWZmYjk5MzAifQ==</vt:lpwstr>
  </property>
</Properties>
</file>