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200" w:lineRule="exact"/>
        <w:jc w:val="center"/>
        <w:rPr>
          <w:rFonts w:hint="eastAsia" w:ascii="华文新魏" w:hAnsi="华文仿宋" w:eastAsia="华文新魏"/>
          <w:b/>
          <w:bCs/>
          <w:color w:val="auto"/>
          <w:sz w:val="72"/>
          <w:highlight w:val="none"/>
        </w:rPr>
      </w:pPr>
    </w:p>
    <w:p>
      <w:pPr>
        <w:adjustRightInd w:val="0"/>
        <w:snapToGrid w:val="0"/>
        <w:spacing w:line="1200" w:lineRule="exact"/>
        <w:jc w:val="center"/>
        <w:rPr>
          <w:rFonts w:ascii="华文新魏" w:hAnsi="华文仿宋" w:eastAsia="华文新魏"/>
          <w:b/>
          <w:bCs/>
          <w:color w:val="auto"/>
          <w:sz w:val="72"/>
          <w:highlight w:val="none"/>
        </w:rPr>
      </w:pPr>
      <w:r>
        <w:rPr>
          <w:rFonts w:hint="eastAsia" w:ascii="华文新魏" w:hAnsi="华文仿宋" w:eastAsia="华文新魏"/>
          <w:b/>
          <w:bCs/>
          <w:color w:val="auto"/>
          <w:sz w:val="72"/>
          <w:highlight w:val="none"/>
        </w:rPr>
        <w:t>临海市政府采购</w:t>
      </w:r>
    </w:p>
    <w:p>
      <w:pPr>
        <w:adjustRightInd w:val="0"/>
        <w:snapToGrid w:val="0"/>
        <w:spacing w:line="1200" w:lineRule="exact"/>
        <w:jc w:val="center"/>
        <w:rPr>
          <w:rFonts w:ascii="华文新魏" w:hAnsi="华文仿宋" w:eastAsia="华文新魏"/>
          <w:b/>
          <w:bCs/>
          <w:color w:val="auto"/>
          <w:sz w:val="84"/>
          <w:szCs w:val="84"/>
          <w:highlight w:val="none"/>
        </w:rPr>
      </w:pPr>
      <w:r>
        <w:rPr>
          <w:rFonts w:hint="eastAsia" w:ascii="华文新魏" w:hAnsi="华文仿宋" w:eastAsia="华文新魏"/>
          <w:b/>
          <w:bCs/>
          <w:color w:val="auto"/>
          <w:sz w:val="84"/>
          <w:szCs w:val="84"/>
          <w:highlight w:val="none"/>
        </w:rPr>
        <w:t>招  标  文  件</w:t>
      </w:r>
    </w:p>
    <w:p>
      <w:pPr>
        <w:adjustRightInd w:val="0"/>
        <w:snapToGrid w:val="0"/>
        <w:rPr>
          <w:rFonts w:hint="eastAsia" w:ascii="宋体" w:hAnsi="宋体"/>
          <w:b/>
          <w:bCs/>
          <w:color w:val="auto"/>
          <w:sz w:val="32"/>
          <w:szCs w:val="32"/>
          <w:highlight w:val="none"/>
        </w:rPr>
      </w:pPr>
    </w:p>
    <w:p>
      <w:pPr>
        <w:adjustRightInd w:val="0"/>
        <w:snapToGrid w:val="0"/>
        <w:spacing w:line="360" w:lineRule="auto"/>
        <w:ind w:left="1955" w:hanging="1955" w:hangingChars="541"/>
        <w:jc w:val="center"/>
        <w:rPr>
          <w:rFonts w:hint="eastAsia" w:ascii="宋体" w:hAnsi="宋体"/>
          <w:b/>
          <w:bCs/>
          <w:color w:val="auto"/>
          <w:sz w:val="36"/>
          <w:szCs w:val="36"/>
          <w:highlight w:val="none"/>
        </w:rPr>
      </w:pPr>
      <w:r>
        <w:rPr>
          <w:rFonts w:hint="eastAsia" w:ascii="宋体" w:hAnsi="宋体"/>
          <w:b/>
          <w:bCs/>
          <w:color w:val="auto"/>
          <w:sz w:val="36"/>
          <w:szCs w:val="36"/>
          <w:highlight w:val="none"/>
        </w:rPr>
        <w:t>（电子投标、不见面开标方式）</w:t>
      </w:r>
    </w:p>
    <w:p>
      <w:pPr>
        <w:adjustRightInd w:val="0"/>
        <w:snapToGrid w:val="0"/>
        <w:rPr>
          <w:rFonts w:ascii="黑体" w:hAnsi="黑体" w:eastAsia="黑体"/>
          <w:b/>
          <w:bCs/>
          <w:color w:val="auto"/>
          <w:sz w:val="28"/>
          <w:szCs w:val="28"/>
          <w:highlight w:val="none"/>
        </w:rPr>
      </w:pPr>
    </w:p>
    <w:p>
      <w:pPr>
        <w:adjustRightInd w:val="0"/>
        <w:snapToGrid w:val="0"/>
        <w:spacing w:line="360" w:lineRule="auto"/>
        <w:ind w:left="1521" w:hanging="1521" w:hangingChars="541"/>
        <w:rPr>
          <w:rFonts w:hint="eastAsia" w:ascii="宋体" w:hAnsi="宋体" w:eastAsia="宋体"/>
          <w:b/>
          <w:bCs/>
          <w:color w:val="auto"/>
          <w:sz w:val="28"/>
          <w:szCs w:val="28"/>
          <w:highlight w:val="none"/>
          <w:lang w:eastAsia="zh-CN"/>
        </w:rPr>
      </w:pPr>
      <w:r>
        <w:rPr>
          <w:rFonts w:hint="eastAsia" w:ascii="宋体" w:hAnsi="宋体"/>
          <w:b/>
          <w:bCs/>
          <w:color w:val="auto"/>
          <w:sz w:val="28"/>
          <w:szCs w:val="28"/>
          <w:highlight w:val="none"/>
        </w:rPr>
        <w:t xml:space="preserve">项目名称： </w:t>
      </w:r>
      <w:r>
        <w:rPr>
          <w:rFonts w:hint="eastAsia" w:ascii="宋体" w:hAnsi="宋体"/>
          <w:b/>
          <w:bCs/>
          <w:color w:val="auto"/>
          <w:sz w:val="28"/>
          <w:szCs w:val="28"/>
          <w:highlight w:val="none"/>
          <w:lang w:eastAsia="zh-CN"/>
        </w:rPr>
        <w:t>临海市沿江镇人民政府食堂管理服务</w:t>
      </w:r>
    </w:p>
    <w:p>
      <w:pPr>
        <w:adjustRightInd w:val="0"/>
        <w:snapToGrid w:val="0"/>
        <w:spacing w:line="360" w:lineRule="auto"/>
        <w:ind w:left="1521" w:hanging="1521" w:hangingChars="541"/>
        <w:rPr>
          <w:rFonts w:hint="default" w:ascii="宋体" w:hAnsi="宋体" w:eastAsia="宋体" w:cs="Arial"/>
          <w:bCs/>
          <w:color w:val="auto"/>
          <w:sz w:val="28"/>
          <w:szCs w:val="28"/>
          <w:highlight w:val="none"/>
          <w:lang w:val="en-US" w:eastAsia="zh-CN"/>
        </w:rPr>
      </w:pPr>
      <w:r>
        <w:rPr>
          <w:rFonts w:hint="eastAsia" w:ascii="宋体" w:hAnsi="宋体"/>
          <w:b/>
          <w:bCs/>
          <w:color w:val="auto"/>
          <w:sz w:val="28"/>
          <w:szCs w:val="28"/>
          <w:highlight w:val="none"/>
        </w:rPr>
        <w:t xml:space="preserve">项目编号： </w:t>
      </w:r>
      <w:r>
        <w:rPr>
          <w:rFonts w:ascii="宋体" w:hAnsi="宋体"/>
          <w:b/>
          <w:bCs/>
          <w:color w:val="auto"/>
          <w:sz w:val="28"/>
          <w:szCs w:val="28"/>
          <w:highlight w:val="none"/>
        </w:rPr>
        <w:t>TZMC-2025</w:t>
      </w:r>
      <w:r>
        <w:rPr>
          <w:rFonts w:hint="eastAsia" w:ascii="宋体" w:hAnsi="宋体"/>
          <w:b/>
          <w:bCs/>
          <w:color w:val="auto"/>
          <w:sz w:val="28"/>
          <w:szCs w:val="28"/>
          <w:highlight w:val="none"/>
          <w:lang w:val="en-US" w:eastAsia="zh-CN"/>
        </w:rPr>
        <w:t>19</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adjustRightInd w:val="0"/>
        <w:snapToGrid w:val="0"/>
        <w:spacing w:line="360" w:lineRule="auto"/>
        <w:rPr>
          <w:rFonts w:hint="eastAsia" w:ascii="宋体" w:hAnsi="宋体"/>
          <w:b/>
          <w:bCs/>
          <w:color w:val="auto"/>
          <w:sz w:val="28"/>
          <w:szCs w:val="28"/>
          <w:highlight w:val="none"/>
        </w:rPr>
      </w:pPr>
    </w:p>
    <w:p>
      <w:pPr>
        <w:adjustRightInd w:val="0"/>
        <w:snapToGrid w:val="0"/>
        <w:spacing w:line="360" w:lineRule="auto"/>
        <w:rPr>
          <w:rFonts w:hint="eastAsia" w:ascii="宋体" w:hAnsi="宋体"/>
          <w:b/>
          <w:bCs/>
          <w:color w:val="auto"/>
          <w:sz w:val="28"/>
          <w:szCs w:val="28"/>
          <w:highlight w:val="none"/>
        </w:rPr>
      </w:pPr>
      <w:r>
        <w:rPr>
          <w:rFonts w:hint="eastAsia" w:ascii="宋体" w:hAnsi="宋体"/>
          <w:b/>
          <w:bCs/>
          <w:color w:val="auto"/>
          <w:sz w:val="28"/>
          <w:szCs w:val="28"/>
          <w:highlight w:val="none"/>
        </w:rPr>
        <w:t>采购单位：临海市沿江镇人民政府</w:t>
      </w:r>
    </w:p>
    <w:p>
      <w:pPr>
        <w:adjustRightInd w:val="0"/>
        <w:snapToGrid w:val="0"/>
        <w:spacing w:line="360" w:lineRule="auto"/>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pPr>
        <w:adjustRightInd w:val="0"/>
        <w:snapToGrid w:val="0"/>
        <w:spacing w:line="360" w:lineRule="auto"/>
        <w:rPr>
          <w:rFonts w:ascii="宋体" w:hAnsi="宋体"/>
          <w:b/>
          <w:bCs/>
          <w:color w:val="auto"/>
          <w:sz w:val="28"/>
          <w:szCs w:val="28"/>
          <w:highlight w:val="none"/>
        </w:rPr>
      </w:pPr>
      <w:r>
        <w:rPr>
          <w:rFonts w:hint="eastAsia" w:ascii="宋体" w:hAnsi="宋体"/>
          <w:b/>
          <w:bCs/>
          <w:color w:val="auto"/>
          <w:sz w:val="28"/>
          <w:szCs w:val="28"/>
          <w:highlight w:val="none"/>
        </w:rPr>
        <w:t>代理机构：台</w:t>
      </w:r>
      <w:r>
        <w:rPr>
          <w:rFonts w:ascii="宋体" w:hAnsi="宋体"/>
          <w:b/>
          <w:bCs/>
          <w:color w:val="auto"/>
          <w:sz w:val="28"/>
          <w:szCs w:val="28"/>
          <w:highlight w:val="none"/>
        </w:rPr>
        <w:t>州明辰招标代理有限公司</w:t>
      </w:r>
    </w:p>
    <w:p>
      <w:pPr>
        <w:spacing w:line="500" w:lineRule="atLeast"/>
        <w:jc w:val="center"/>
        <w:rPr>
          <w:rFonts w:ascii="宋体" w:hAnsi="宋体"/>
          <w:b/>
          <w:bCs/>
          <w:color w:val="auto"/>
          <w:sz w:val="30"/>
          <w:highlight w:val="none"/>
        </w:rPr>
      </w:pPr>
    </w:p>
    <w:p>
      <w:pPr>
        <w:spacing w:line="500" w:lineRule="atLeast"/>
        <w:jc w:val="center"/>
        <w:rPr>
          <w:rFonts w:ascii="宋体" w:hAnsi="宋体"/>
          <w:b/>
          <w:bCs/>
          <w:color w:val="auto"/>
          <w:sz w:val="30"/>
          <w:highlight w:val="none"/>
        </w:rPr>
      </w:pPr>
    </w:p>
    <w:p>
      <w:pPr>
        <w:spacing w:line="500" w:lineRule="atLeast"/>
        <w:jc w:val="center"/>
        <w:rPr>
          <w:rFonts w:hint="eastAsia" w:ascii="宋体" w:hAnsi="宋体"/>
          <w:b/>
          <w:bCs/>
          <w:color w:val="auto"/>
          <w:sz w:val="30"/>
          <w:highlight w:val="none"/>
        </w:rPr>
      </w:pPr>
    </w:p>
    <w:p>
      <w:pPr>
        <w:spacing w:line="500" w:lineRule="atLeast"/>
        <w:jc w:val="center"/>
        <w:rPr>
          <w:rFonts w:hint="eastAsia" w:ascii="宋体" w:hAnsi="宋体"/>
          <w:b/>
          <w:bCs/>
          <w:color w:val="auto"/>
          <w:sz w:val="30"/>
          <w:highlight w:val="none"/>
        </w:rPr>
      </w:pPr>
    </w:p>
    <w:p>
      <w:pPr>
        <w:spacing w:line="500" w:lineRule="atLeast"/>
        <w:ind w:firstLine="3204" w:firstLineChars="1140"/>
        <w:rPr>
          <w:rFonts w:ascii="宋体" w:hAnsi="宋体"/>
          <w:color w:val="auto"/>
          <w:sz w:val="28"/>
          <w:szCs w:val="28"/>
          <w:highlight w:val="none"/>
        </w:rPr>
      </w:pPr>
      <w:r>
        <w:rPr>
          <w:rFonts w:hint="eastAsia" w:ascii="宋体" w:hAnsi="宋体"/>
          <w:b/>
          <w:bCs/>
          <w:color w:val="auto"/>
          <w:sz w:val="28"/>
          <w:szCs w:val="28"/>
          <w:highlight w:val="none"/>
        </w:rPr>
        <w:t>二0二五年</w:t>
      </w:r>
      <w:r>
        <w:rPr>
          <w:rFonts w:hint="eastAsia" w:ascii="宋体" w:hAnsi="宋体"/>
          <w:b/>
          <w:bCs/>
          <w:color w:val="auto"/>
          <w:sz w:val="28"/>
          <w:szCs w:val="28"/>
          <w:highlight w:val="none"/>
          <w:lang w:val="en-US" w:eastAsia="zh-CN"/>
        </w:rPr>
        <w:t>六</w:t>
      </w:r>
      <w:r>
        <w:rPr>
          <w:rFonts w:hint="eastAsia" w:ascii="宋体" w:hAnsi="宋体"/>
          <w:b/>
          <w:bCs/>
          <w:color w:val="auto"/>
          <w:sz w:val="28"/>
          <w:szCs w:val="28"/>
          <w:highlight w:val="none"/>
        </w:rPr>
        <w:t xml:space="preserve">月 </w:t>
      </w:r>
    </w:p>
    <w:p>
      <w:pPr>
        <w:pStyle w:val="29"/>
        <w:spacing w:beforeLines="0" w:afterLines="0" w:line="480" w:lineRule="exact"/>
        <w:rPr>
          <w:rFonts w:hAnsi="宋体"/>
          <w:color w:val="auto"/>
          <w:sz w:val="44"/>
          <w:szCs w:val="44"/>
          <w:highlight w:val="none"/>
        </w:rPr>
      </w:pPr>
      <w:r>
        <w:rPr>
          <w:rFonts w:hAnsi="宋体"/>
          <w:color w:val="auto"/>
          <w:sz w:val="44"/>
          <w:szCs w:val="44"/>
          <w:highlight w:val="none"/>
        </w:rPr>
        <w:br w:type="page"/>
      </w:r>
    </w:p>
    <w:p>
      <w:pPr>
        <w:pStyle w:val="29"/>
        <w:spacing w:beforeLines="0" w:afterLines="0" w:line="480" w:lineRule="exact"/>
        <w:rPr>
          <w:rFonts w:hAnsi="宋体"/>
          <w:color w:val="auto"/>
          <w:sz w:val="44"/>
          <w:szCs w:val="44"/>
          <w:highlight w:val="none"/>
        </w:rPr>
      </w:pPr>
    </w:p>
    <w:p>
      <w:pPr>
        <w:pStyle w:val="29"/>
        <w:spacing w:beforeLines="0" w:afterLines="0" w:line="360" w:lineRule="auto"/>
        <w:jc w:val="center"/>
        <w:rPr>
          <w:rFonts w:hAnsi="宋体"/>
          <w:color w:val="auto"/>
          <w:sz w:val="44"/>
          <w:szCs w:val="44"/>
          <w:highlight w:val="none"/>
        </w:rPr>
      </w:pPr>
      <w:r>
        <w:rPr>
          <w:rFonts w:hint="eastAsia" w:hAnsi="宋体"/>
          <w:color w:val="auto"/>
          <w:sz w:val="44"/>
          <w:szCs w:val="44"/>
          <w:highlight w:val="none"/>
        </w:rPr>
        <w:t>目    录</w:t>
      </w:r>
    </w:p>
    <w:p>
      <w:pPr>
        <w:pStyle w:val="36"/>
        <w:tabs>
          <w:tab w:val="left" w:pos="6120"/>
        </w:tabs>
        <w:spacing w:line="480" w:lineRule="auto"/>
        <w:rPr>
          <w:rFonts w:ascii="宋体" w:hAnsi="宋体"/>
          <w:b/>
          <w:color w:val="auto"/>
          <w:sz w:val="28"/>
          <w:szCs w:val="28"/>
          <w:highlight w:val="none"/>
        </w:rPr>
      </w:pPr>
    </w:p>
    <w:p>
      <w:pPr>
        <w:pStyle w:val="36"/>
        <w:tabs>
          <w:tab w:val="left" w:pos="6120"/>
        </w:tabs>
        <w:spacing w:line="480" w:lineRule="auto"/>
        <w:rPr>
          <w:rFonts w:ascii="宋体" w:hAnsi="宋体"/>
          <w:b/>
          <w:color w:val="auto"/>
          <w:sz w:val="28"/>
          <w:szCs w:val="28"/>
          <w:highlight w:val="none"/>
        </w:rPr>
      </w:pPr>
      <w:r>
        <w:rPr>
          <w:rFonts w:ascii="宋体" w:hAnsi="宋体"/>
          <w:b/>
          <w:color w:val="auto"/>
          <w:sz w:val="28"/>
          <w:szCs w:val="28"/>
          <w:highlight w:val="none"/>
        </w:rPr>
        <w:tab/>
      </w:r>
    </w:p>
    <w:p>
      <w:pPr>
        <w:pStyle w:val="36"/>
        <w:tabs>
          <w:tab w:val="right" w:leader="dot" w:pos="8720"/>
        </w:tabs>
        <w:spacing w:line="480" w:lineRule="auto"/>
        <w:rPr>
          <w:rFonts w:ascii="宋体" w:hAnsi="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TOC \o "1-3" \h \z \u</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"_Toc197938081" </w:instrText>
      </w:r>
      <w:r>
        <w:rPr>
          <w:color w:val="auto"/>
          <w:highlight w:val="none"/>
        </w:rPr>
        <w:fldChar w:fldCharType="separate"/>
      </w:r>
      <w:r>
        <w:rPr>
          <w:rStyle w:val="56"/>
          <w:rFonts w:ascii="宋体" w:hAnsi="宋体"/>
          <w:color w:val="auto"/>
          <w:sz w:val="24"/>
          <w:highlight w:val="none"/>
        </w:rPr>
        <w:t>第一章  投标邀请</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_Toc197938081 \h </w:instrText>
      </w:r>
      <w:r>
        <w:rPr>
          <w:rFonts w:ascii="宋体" w:hAnsi="宋体"/>
          <w:color w:val="auto"/>
          <w:sz w:val="24"/>
          <w:highlight w:val="none"/>
        </w:rPr>
        <w:fldChar w:fldCharType="separate"/>
      </w:r>
      <w:r>
        <w:rPr>
          <w:rFonts w:ascii="宋体" w:hAnsi="宋体"/>
          <w:color w:val="auto"/>
          <w:sz w:val="24"/>
          <w:highlight w:val="none"/>
        </w:rPr>
        <w:t>3</w:t>
      </w:r>
      <w:r>
        <w:rPr>
          <w:rFonts w:ascii="宋体" w:hAnsi="宋体"/>
          <w:color w:val="auto"/>
          <w:sz w:val="24"/>
          <w:highlight w:val="none"/>
        </w:rPr>
        <w:fldChar w:fldCharType="end"/>
      </w:r>
      <w:r>
        <w:rPr>
          <w:rFonts w:ascii="宋体" w:hAnsi="宋体"/>
          <w:color w:val="auto"/>
          <w:sz w:val="24"/>
          <w:highlight w:val="none"/>
        </w:rPr>
        <w:fldChar w:fldCharType="end"/>
      </w:r>
    </w:p>
    <w:p>
      <w:pPr>
        <w:pStyle w:val="36"/>
        <w:tabs>
          <w:tab w:val="right" w:leader="dot" w:pos="8720"/>
        </w:tabs>
        <w:spacing w:line="48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"_Toc197938082" </w:instrText>
      </w:r>
      <w:r>
        <w:rPr>
          <w:color w:val="auto"/>
          <w:highlight w:val="none"/>
        </w:rPr>
        <w:fldChar w:fldCharType="separate"/>
      </w:r>
      <w:r>
        <w:rPr>
          <w:rStyle w:val="56"/>
          <w:rFonts w:ascii="宋体" w:hAnsi="宋体"/>
          <w:color w:val="auto"/>
          <w:sz w:val="24"/>
          <w:highlight w:val="none"/>
        </w:rPr>
        <w:t>第二章   招标需求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_Toc197938082 \h </w:instrText>
      </w:r>
      <w:r>
        <w:rPr>
          <w:rFonts w:ascii="宋体" w:hAnsi="宋体"/>
          <w:color w:val="auto"/>
          <w:sz w:val="24"/>
          <w:highlight w:val="none"/>
        </w:rPr>
        <w:fldChar w:fldCharType="separate"/>
      </w:r>
      <w:r>
        <w:rPr>
          <w:rFonts w:ascii="宋体" w:hAnsi="宋体"/>
          <w:color w:val="auto"/>
          <w:sz w:val="24"/>
          <w:highlight w:val="none"/>
        </w:rPr>
        <w:t>8</w:t>
      </w:r>
      <w:r>
        <w:rPr>
          <w:rFonts w:ascii="宋体" w:hAnsi="宋体"/>
          <w:color w:val="auto"/>
          <w:sz w:val="24"/>
          <w:highlight w:val="none"/>
        </w:rPr>
        <w:fldChar w:fldCharType="end"/>
      </w:r>
      <w:r>
        <w:rPr>
          <w:rFonts w:ascii="宋体" w:hAnsi="宋体"/>
          <w:color w:val="auto"/>
          <w:sz w:val="24"/>
          <w:highlight w:val="none"/>
        </w:rPr>
        <w:fldChar w:fldCharType="end"/>
      </w:r>
    </w:p>
    <w:p>
      <w:pPr>
        <w:pStyle w:val="36"/>
        <w:tabs>
          <w:tab w:val="right" w:leader="dot" w:pos="8720"/>
        </w:tabs>
        <w:spacing w:line="48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"_Toc197938083" </w:instrText>
      </w:r>
      <w:r>
        <w:rPr>
          <w:color w:val="auto"/>
          <w:highlight w:val="none"/>
        </w:rPr>
        <w:fldChar w:fldCharType="separate"/>
      </w:r>
      <w:r>
        <w:rPr>
          <w:rStyle w:val="56"/>
          <w:rFonts w:ascii="宋体" w:hAnsi="宋体"/>
          <w:color w:val="auto"/>
          <w:sz w:val="24"/>
          <w:highlight w:val="none"/>
        </w:rPr>
        <w:t>第三章  投标人须知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_Toc197938083 \h </w:instrText>
      </w:r>
      <w:r>
        <w:rPr>
          <w:rFonts w:ascii="宋体" w:hAnsi="宋体"/>
          <w:color w:val="auto"/>
          <w:sz w:val="24"/>
          <w:highlight w:val="none"/>
        </w:rPr>
        <w:fldChar w:fldCharType="separate"/>
      </w:r>
      <w:r>
        <w:rPr>
          <w:rFonts w:ascii="宋体" w:hAnsi="宋体"/>
          <w:color w:val="auto"/>
          <w:sz w:val="24"/>
          <w:highlight w:val="none"/>
        </w:rPr>
        <w:t>11</w:t>
      </w:r>
      <w:r>
        <w:rPr>
          <w:rFonts w:ascii="宋体" w:hAnsi="宋体"/>
          <w:color w:val="auto"/>
          <w:sz w:val="24"/>
          <w:highlight w:val="none"/>
        </w:rPr>
        <w:fldChar w:fldCharType="end"/>
      </w:r>
      <w:r>
        <w:rPr>
          <w:rFonts w:ascii="宋体" w:hAnsi="宋体"/>
          <w:color w:val="auto"/>
          <w:sz w:val="24"/>
          <w:highlight w:val="none"/>
        </w:rPr>
        <w:fldChar w:fldCharType="end"/>
      </w:r>
    </w:p>
    <w:p>
      <w:pPr>
        <w:pStyle w:val="36"/>
        <w:tabs>
          <w:tab w:val="right" w:leader="dot" w:pos="8720"/>
        </w:tabs>
        <w:spacing w:line="48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"_Toc197938084" </w:instrText>
      </w:r>
      <w:r>
        <w:rPr>
          <w:color w:val="auto"/>
          <w:highlight w:val="none"/>
        </w:rPr>
        <w:fldChar w:fldCharType="separate"/>
      </w:r>
      <w:r>
        <w:rPr>
          <w:rStyle w:val="56"/>
          <w:rFonts w:ascii="宋体" w:hAnsi="宋体"/>
          <w:color w:val="auto"/>
          <w:sz w:val="24"/>
          <w:highlight w:val="none"/>
        </w:rPr>
        <w:t>第四章 评标办法及评分标准</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_Toc197938084 \h </w:instrText>
      </w:r>
      <w:r>
        <w:rPr>
          <w:rFonts w:ascii="宋体" w:hAnsi="宋体"/>
          <w:color w:val="auto"/>
          <w:sz w:val="24"/>
          <w:highlight w:val="none"/>
        </w:rPr>
        <w:fldChar w:fldCharType="separate"/>
      </w:r>
      <w:r>
        <w:rPr>
          <w:rFonts w:ascii="宋体" w:hAnsi="宋体"/>
          <w:color w:val="auto"/>
          <w:sz w:val="24"/>
          <w:highlight w:val="none"/>
        </w:rPr>
        <w:t>24</w:t>
      </w:r>
      <w:r>
        <w:rPr>
          <w:rFonts w:ascii="宋体" w:hAnsi="宋体"/>
          <w:color w:val="auto"/>
          <w:sz w:val="24"/>
          <w:highlight w:val="none"/>
        </w:rPr>
        <w:fldChar w:fldCharType="end"/>
      </w:r>
      <w:r>
        <w:rPr>
          <w:rFonts w:ascii="宋体" w:hAnsi="宋体"/>
          <w:color w:val="auto"/>
          <w:sz w:val="24"/>
          <w:highlight w:val="none"/>
        </w:rPr>
        <w:fldChar w:fldCharType="end"/>
      </w:r>
    </w:p>
    <w:p>
      <w:pPr>
        <w:pStyle w:val="36"/>
        <w:tabs>
          <w:tab w:val="right" w:leader="dot" w:pos="8720"/>
        </w:tabs>
        <w:spacing w:line="48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"_Toc197938085" </w:instrText>
      </w:r>
      <w:r>
        <w:rPr>
          <w:color w:val="auto"/>
          <w:highlight w:val="none"/>
        </w:rPr>
        <w:fldChar w:fldCharType="separate"/>
      </w:r>
      <w:r>
        <w:rPr>
          <w:rStyle w:val="56"/>
          <w:rFonts w:ascii="宋体" w:hAnsi="宋体"/>
          <w:color w:val="auto"/>
          <w:sz w:val="24"/>
          <w:highlight w:val="none"/>
        </w:rPr>
        <w:t>第五章  合同主要条款</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_Toc197938085 \h </w:instrText>
      </w:r>
      <w:r>
        <w:rPr>
          <w:rFonts w:ascii="宋体" w:hAnsi="宋体"/>
          <w:color w:val="auto"/>
          <w:sz w:val="24"/>
          <w:highlight w:val="none"/>
        </w:rPr>
        <w:fldChar w:fldCharType="separate"/>
      </w:r>
      <w:r>
        <w:rPr>
          <w:rFonts w:ascii="宋体" w:hAnsi="宋体"/>
          <w:color w:val="auto"/>
          <w:sz w:val="24"/>
          <w:highlight w:val="none"/>
        </w:rPr>
        <w:t>28</w:t>
      </w:r>
      <w:r>
        <w:rPr>
          <w:rFonts w:ascii="宋体" w:hAnsi="宋体"/>
          <w:color w:val="auto"/>
          <w:sz w:val="24"/>
          <w:highlight w:val="none"/>
        </w:rPr>
        <w:fldChar w:fldCharType="end"/>
      </w:r>
      <w:r>
        <w:rPr>
          <w:rFonts w:ascii="宋体" w:hAnsi="宋体"/>
          <w:color w:val="auto"/>
          <w:sz w:val="24"/>
          <w:highlight w:val="none"/>
        </w:rPr>
        <w:fldChar w:fldCharType="end"/>
      </w:r>
    </w:p>
    <w:p>
      <w:pPr>
        <w:pStyle w:val="36"/>
        <w:tabs>
          <w:tab w:val="right" w:leader="dot" w:pos="8720"/>
        </w:tabs>
        <w:spacing w:line="48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"_Toc197938086" </w:instrText>
      </w:r>
      <w:r>
        <w:rPr>
          <w:color w:val="auto"/>
          <w:highlight w:val="none"/>
        </w:rPr>
        <w:fldChar w:fldCharType="separate"/>
      </w:r>
      <w:r>
        <w:rPr>
          <w:rStyle w:val="56"/>
          <w:rFonts w:ascii="宋体" w:hAnsi="宋体"/>
          <w:color w:val="auto"/>
          <w:sz w:val="24"/>
          <w:highlight w:val="none"/>
        </w:rPr>
        <w:t>第六章　投标文件格式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_Toc197938086 \h </w:instrText>
      </w:r>
      <w:r>
        <w:rPr>
          <w:rFonts w:ascii="宋体" w:hAnsi="宋体"/>
          <w:color w:val="auto"/>
          <w:sz w:val="24"/>
          <w:highlight w:val="none"/>
        </w:rPr>
        <w:fldChar w:fldCharType="separate"/>
      </w:r>
      <w:r>
        <w:rPr>
          <w:rFonts w:ascii="宋体" w:hAnsi="宋体"/>
          <w:color w:val="auto"/>
          <w:sz w:val="24"/>
          <w:highlight w:val="none"/>
        </w:rPr>
        <w:t>31</w:t>
      </w:r>
      <w:r>
        <w:rPr>
          <w:rFonts w:ascii="宋体" w:hAnsi="宋体"/>
          <w:color w:val="auto"/>
          <w:sz w:val="24"/>
          <w:highlight w:val="none"/>
        </w:rPr>
        <w:fldChar w:fldCharType="end"/>
      </w:r>
      <w:r>
        <w:rPr>
          <w:rFonts w:ascii="宋体" w:hAnsi="宋体"/>
          <w:color w:val="auto"/>
          <w:sz w:val="24"/>
          <w:highlight w:val="none"/>
        </w:rPr>
        <w:fldChar w:fldCharType="end"/>
      </w:r>
    </w:p>
    <w:p>
      <w:pPr>
        <w:pStyle w:val="36"/>
        <w:tabs>
          <w:tab w:val="right" w:leader="dot" w:pos="8720"/>
        </w:tabs>
        <w:spacing w:line="480" w:lineRule="auto"/>
        <w:ind w:firstLine="210" w:firstLineChars="100"/>
        <w:rPr>
          <w:rFonts w:ascii="宋体" w:hAnsi="宋体"/>
          <w:color w:val="auto"/>
          <w:sz w:val="24"/>
          <w:highlight w:val="none"/>
        </w:rPr>
      </w:pPr>
      <w:r>
        <w:rPr>
          <w:color w:val="auto"/>
          <w:highlight w:val="none"/>
        </w:rPr>
        <w:fldChar w:fldCharType="begin"/>
      </w:r>
      <w:r>
        <w:rPr>
          <w:color w:val="auto"/>
          <w:highlight w:val="none"/>
        </w:rPr>
        <w:instrText xml:space="preserve"> HYPERLINK \l "_Toc197938087" </w:instrText>
      </w:r>
      <w:r>
        <w:rPr>
          <w:color w:val="auto"/>
          <w:highlight w:val="none"/>
        </w:rPr>
        <w:fldChar w:fldCharType="separate"/>
      </w:r>
      <w:r>
        <w:rPr>
          <w:rStyle w:val="56"/>
          <w:rFonts w:ascii="宋体" w:hAnsi="宋体"/>
          <w:color w:val="auto"/>
          <w:sz w:val="24"/>
          <w:highlight w:val="none"/>
        </w:rPr>
        <w:t>一、资格响应文件格式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_Toc197938087 \h </w:instrText>
      </w:r>
      <w:r>
        <w:rPr>
          <w:rFonts w:ascii="宋体" w:hAnsi="宋体"/>
          <w:color w:val="auto"/>
          <w:sz w:val="24"/>
          <w:highlight w:val="none"/>
        </w:rPr>
        <w:fldChar w:fldCharType="separate"/>
      </w:r>
      <w:r>
        <w:rPr>
          <w:rFonts w:ascii="宋体" w:hAnsi="宋体"/>
          <w:color w:val="auto"/>
          <w:sz w:val="24"/>
          <w:highlight w:val="none"/>
        </w:rPr>
        <w:t>31</w:t>
      </w:r>
      <w:r>
        <w:rPr>
          <w:rFonts w:ascii="宋体" w:hAnsi="宋体"/>
          <w:color w:val="auto"/>
          <w:sz w:val="24"/>
          <w:highlight w:val="none"/>
        </w:rPr>
        <w:fldChar w:fldCharType="end"/>
      </w:r>
      <w:r>
        <w:rPr>
          <w:rFonts w:ascii="宋体" w:hAnsi="宋体"/>
          <w:color w:val="auto"/>
          <w:sz w:val="24"/>
          <w:highlight w:val="none"/>
        </w:rPr>
        <w:fldChar w:fldCharType="end"/>
      </w:r>
    </w:p>
    <w:p>
      <w:pPr>
        <w:pStyle w:val="36"/>
        <w:tabs>
          <w:tab w:val="right" w:leader="dot" w:pos="8720"/>
        </w:tabs>
        <w:spacing w:line="480" w:lineRule="auto"/>
        <w:ind w:firstLine="210" w:firstLineChars="100"/>
        <w:rPr>
          <w:rFonts w:ascii="宋体" w:hAnsi="宋体"/>
          <w:color w:val="auto"/>
          <w:sz w:val="24"/>
          <w:highlight w:val="none"/>
        </w:rPr>
      </w:pPr>
      <w:r>
        <w:rPr>
          <w:color w:val="auto"/>
          <w:highlight w:val="none"/>
        </w:rPr>
        <w:fldChar w:fldCharType="begin"/>
      </w:r>
      <w:r>
        <w:rPr>
          <w:color w:val="auto"/>
          <w:highlight w:val="none"/>
        </w:rPr>
        <w:instrText xml:space="preserve"> HYPERLINK \l "_Toc197938088" </w:instrText>
      </w:r>
      <w:r>
        <w:rPr>
          <w:color w:val="auto"/>
          <w:highlight w:val="none"/>
        </w:rPr>
        <w:fldChar w:fldCharType="separate"/>
      </w:r>
      <w:r>
        <w:rPr>
          <w:rStyle w:val="56"/>
          <w:rFonts w:ascii="宋体" w:hAnsi="宋体"/>
          <w:color w:val="auto"/>
          <w:sz w:val="24"/>
          <w:highlight w:val="none"/>
        </w:rPr>
        <w:t>二、商务技术文件格式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_Toc197938088 \h </w:instrText>
      </w:r>
      <w:r>
        <w:rPr>
          <w:rFonts w:ascii="宋体" w:hAnsi="宋体"/>
          <w:color w:val="auto"/>
          <w:sz w:val="24"/>
          <w:highlight w:val="none"/>
        </w:rPr>
        <w:fldChar w:fldCharType="separate"/>
      </w:r>
      <w:r>
        <w:rPr>
          <w:rFonts w:ascii="宋体" w:hAnsi="宋体"/>
          <w:color w:val="auto"/>
          <w:sz w:val="24"/>
          <w:highlight w:val="none"/>
        </w:rPr>
        <w:t>38</w:t>
      </w:r>
      <w:r>
        <w:rPr>
          <w:rFonts w:ascii="宋体" w:hAnsi="宋体"/>
          <w:color w:val="auto"/>
          <w:sz w:val="24"/>
          <w:highlight w:val="none"/>
        </w:rPr>
        <w:fldChar w:fldCharType="end"/>
      </w:r>
      <w:r>
        <w:rPr>
          <w:rFonts w:ascii="宋体" w:hAnsi="宋体"/>
          <w:color w:val="auto"/>
          <w:sz w:val="24"/>
          <w:highlight w:val="none"/>
        </w:rPr>
        <w:fldChar w:fldCharType="end"/>
      </w:r>
    </w:p>
    <w:p>
      <w:pPr>
        <w:pStyle w:val="36"/>
        <w:tabs>
          <w:tab w:val="right" w:leader="dot" w:pos="8720"/>
        </w:tabs>
        <w:spacing w:line="480" w:lineRule="auto"/>
        <w:ind w:firstLine="210" w:firstLineChars="100"/>
        <w:rPr>
          <w:rFonts w:ascii="宋体" w:hAnsi="宋体"/>
          <w:color w:val="auto"/>
          <w:sz w:val="24"/>
          <w:highlight w:val="none"/>
        </w:rPr>
      </w:pPr>
      <w:r>
        <w:rPr>
          <w:color w:val="auto"/>
          <w:highlight w:val="none"/>
        </w:rPr>
        <w:fldChar w:fldCharType="begin"/>
      </w:r>
      <w:r>
        <w:rPr>
          <w:color w:val="auto"/>
          <w:highlight w:val="none"/>
        </w:rPr>
        <w:instrText xml:space="preserve"> HYPERLINK \l "_Toc197938089" </w:instrText>
      </w:r>
      <w:r>
        <w:rPr>
          <w:color w:val="auto"/>
          <w:highlight w:val="none"/>
        </w:rPr>
        <w:fldChar w:fldCharType="separate"/>
      </w:r>
      <w:r>
        <w:rPr>
          <w:rStyle w:val="56"/>
          <w:rFonts w:ascii="宋体" w:hAnsi="宋体"/>
          <w:color w:val="auto"/>
          <w:sz w:val="24"/>
          <w:highlight w:val="none"/>
        </w:rPr>
        <w:t>三、报价文件格式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_Toc197938089 \h </w:instrText>
      </w:r>
      <w:r>
        <w:rPr>
          <w:rFonts w:ascii="宋体" w:hAnsi="宋体"/>
          <w:color w:val="auto"/>
          <w:sz w:val="24"/>
          <w:highlight w:val="none"/>
        </w:rPr>
        <w:fldChar w:fldCharType="separate"/>
      </w:r>
      <w:r>
        <w:rPr>
          <w:rFonts w:ascii="宋体" w:hAnsi="宋体"/>
          <w:color w:val="auto"/>
          <w:sz w:val="24"/>
          <w:highlight w:val="none"/>
        </w:rPr>
        <w:t>48</w:t>
      </w:r>
      <w:r>
        <w:rPr>
          <w:rFonts w:ascii="宋体" w:hAnsi="宋体"/>
          <w:color w:val="auto"/>
          <w:sz w:val="24"/>
          <w:highlight w:val="none"/>
        </w:rPr>
        <w:fldChar w:fldCharType="end"/>
      </w:r>
      <w:r>
        <w:rPr>
          <w:rFonts w:ascii="宋体" w:hAnsi="宋体"/>
          <w:color w:val="auto"/>
          <w:sz w:val="24"/>
          <w:highlight w:val="none"/>
        </w:rPr>
        <w:fldChar w:fldCharType="end"/>
      </w:r>
    </w:p>
    <w:p>
      <w:pPr>
        <w:pStyle w:val="5"/>
        <w:spacing w:line="480" w:lineRule="auto"/>
        <w:rPr>
          <w:rFonts w:ascii="宋体" w:hAnsi="宋体" w:eastAsia="宋体"/>
          <w:b w:val="0"/>
          <w:color w:val="auto"/>
          <w:sz w:val="24"/>
          <w:szCs w:val="24"/>
          <w:highlight w:val="none"/>
        </w:rPr>
      </w:pPr>
      <w:r>
        <w:rPr>
          <w:rFonts w:ascii="宋体" w:hAnsi="宋体" w:eastAsia="宋体"/>
          <w:color w:val="auto"/>
          <w:sz w:val="24"/>
          <w:szCs w:val="24"/>
          <w:highlight w:val="none"/>
        </w:rPr>
        <w:fldChar w:fldCharType="end"/>
      </w:r>
    </w:p>
    <w:p>
      <w:pPr>
        <w:pStyle w:val="36"/>
        <w:tabs>
          <w:tab w:val="right" w:leader="dot" w:pos="8720"/>
        </w:tabs>
        <w:spacing w:line="800" w:lineRule="exact"/>
        <w:rPr>
          <w:rFonts w:ascii="宋体" w:hAnsi="宋体"/>
          <w:color w:val="auto"/>
          <w:szCs w:val="22"/>
          <w:highlight w:val="none"/>
        </w:rPr>
      </w:pPr>
      <w:r>
        <w:rPr>
          <w:rFonts w:hint="eastAsia" w:ascii="宋体" w:hAnsi="宋体"/>
          <w:color w:val="auto"/>
          <w:sz w:val="28"/>
          <w:szCs w:val="28"/>
          <w:highlight w:val="none"/>
        </w:rPr>
        <w:fldChar w:fldCharType="begin"/>
      </w:r>
      <w:r>
        <w:rPr>
          <w:rFonts w:hint="eastAsia" w:ascii="宋体" w:hAnsi="宋体"/>
          <w:color w:val="auto"/>
          <w:sz w:val="28"/>
          <w:szCs w:val="28"/>
          <w:highlight w:val="none"/>
        </w:rPr>
        <w:instrText xml:space="preserve"> TOC \o "1-3" \h \z \u </w:instrText>
      </w:r>
      <w:r>
        <w:rPr>
          <w:rFonts w:hint="eastAsia" w:ascii="宋体" w:hAnsi="宋体"/>
          <w:color w:val="auto"/>
          <w:sz w:val="28"/>
          <w:szCs w:val="28"/>
          <w:highlight w:val="none"/>
        </w:rPr>
        <w:fldChar w:fldCharType="separate"/>
      </w:r>
      <w:r>
        <w:rPr>
          <w:rFonts w:hint="eastAsia" w:ascii="宋体" w:hAnsi="宋体"/>
          <w:color w:val="auto"/>
          <w:sz w:val="28"/>
          <w:szCs w:val="28"/>
          <w:highlight w:val="none"/>
        </w:rPr>
        <w:t xml:space="preserve">  </w:t>
      </w:r>
    </w:p>
    <w:p>
      <w:pPr>
        <w:spacing w:before="120" w:beforeLines="50" w:line="360" w:lineRule="auto"/>
        <w:rPr>
          <w:rFonts w:ascii="宋体" w:hAnsi="宋体"/>
          <w:b/>
          <w:color w:val="auto"/>
          <w:sz w:val="28"/>
          <w:szCs w:val="28"/>
          <w:highlight w:val="none"/>
        </w:rPr>
      </w:pPr>
      <w:r>
        <w:rPr>
          <w:rFonts w:hint="eastAsia" w:ascii="宋体" w:hAnsi="宋体"/>
          <w:color w:val="auto"/>
          <w:sz w:val="28"/>
          <w:szCs w:val="28"/>
          <w:highlight w:val="none"/>
        </w:rPr>
        <w:fldChar w:fldCharType="end"/>
      </w:r>
    </w:p>
    <w:p>
      <w:pPr>
        <w:pStyle w:val="29"/>
        <w:snapToGrid w:val="0"/>
        <w:spacing w:beforeLines="0" w:afterLines="0" w:line="240" w:lineRule="auto"/>
        <w:jc w:val="center"/>
        <w:outlineLvl w:val="0"/>
        <w:rPr>
          <w:rFonts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47"/>
        <w:rPr>
          <w:rFonts w:ascii="宋体" w:hAnsi="宋体"/>
          <w:color w:val="auto"/>
          <w:highlight w:val="none"/>
        </w:rPr>
      </w:pPr>
      <w:r>
        <w:rPr>
          <w:rFonts w:hint="eastAsia" w:ascii="宋体" w:hAnsi="宋体"/>
          <w:color w:val="auto"/>
          <w:highlight w:val="none"/>
        </w:rPr>
        <w:br w:type="page"/>
      </w:r>
      <w:bookmarkStart w:id="0" w:name="_Toc466534747"/>
      <w:bookmarkStart w:id="1" w:name="_Toc197938081"/>
      <w:r>
        <w:rPr>
          <w:rFonts w:hint="eastAsia" w:ascii="宋体" w:hAnsi="宋体"/>
          <w:color w:val="auto"/>
          <w:highlight w:val="none"/>
        </w:rPr>
        <w:t>第一章  投标邀请</w:t>
      </w:r>
      <w:bookmarkEnd w:id="0"/>
      <w:bookmarkEnd w:id="1"/>
    </w:p>
    <w:p>
      <w:pPr>
        <w:spacing w:line="400" w:lineRule="exact"/>
        <w:ind w:firstLine="480" w:firstLineChars="200"/>
        <w:rPr>
          <w:rFonts w:ascii="宋体" w:hAnsi="宋体" w:cs="Arial"/>
          <w:color w:val="auto"/>
          <w:sz w:val="24"/>
          <w:highlight w:val="none"/>
        </w:rPr>
      </w:pPr>
      <w:r>
        <w:rPr>
          <w:rFonts w:ascii="宋体" w:hAnsi="宋体" w:cs="Arial"/>
          <w:color w:val="auto"/>
          <w:sz w:val="24"/>
          <w:highlight w:val="none"/>
        </w:rPr>
        <w:t>根据《中华人民共和国政府采购法》</w:t>
      </w:r>
      <w:r>
        <w:rPr>
          <w:rFonts w:hint="eastAsia" w:ascii="宋体" w:hAnsi="宋体" w:cs="Arial"/>
          <w:color w:val="auto"/>
          <w:sz w:val="24"/>
          <w:highlight w:val="none"/>
        </w:rPr>
        <w:t>、《中华人民共和国政府采购法实施条例》、</w:t>
      </w:r>
      <w:r>
        <w:rPr>
          <w:rFonts w:ascii="宋体" w:hAnsi="宋体" w:cs="Arial"/>
          <w:color w:val="auto"/>
          <w:kern w:val="0"/>
          <w:sz w:val="24"/>
          <w:highlight w:val="none"/>
        </w:rPr>
        <w:t>《政府采购货物与服务招标投标管理办法》</w:t>
      </w:r>
      <w:r>
        <w:rPr>
          <w:rFonts w:ascii="宋体" w:hAnsi="宋体" w:cs="Arial"/>
          <w:color w:val="auto"/>
          <w:sz w:val="24"/>
          <w:highlight w:val="none"/>
        </w:rPr>
        <w:t>等规定，受</w:t>
      </w:r>
      <w:r>
        <w:rPr>
          <w:rFonts w:hint="eastAsia" w:ascii="宋体" w:hAnsi="宋体" w:cs="Arial"/>
          <w:b/>
          <w:bCs/>
          <w:color w:val="auto"/>
          <w:sz w:val="24"/>
          <w:highlight w:val="none"/>
          <w:u w:val="single"/>
        </w:rPr>
        <w:t>临海市农业农村局</w:t>
      </w:r>
      <w:r>
        <w:rPr>
          <w:rFonts w:hint="eastAsia" w:ascii="宋体" w:hAnsi="宋体" w:cs="Arial"/>
          <w:color w:val="auto"/>
          <w:sz w:val="24"/>
          <w:highlight w:val="none"/>
        </w:rPr>
        <w:t>委</w:t>
      </w:r>
      <w:r>
        <w:rPr>
          <w:rFonts w:ascii="宋体" w:hAnsi="宋体" w:cs="Arial"/>
          <w:color w:val="auto"/>
          <w:sz w:val="24"/>
          <w:highlight w:val="none"/>
        </w:rPr>
        <w:t>托，</w:t>
      </w:r>
      <w:r>
        <w:rPr>
          <w:rFonts w:hint="eastAsia" w:ascii="宋体" w:hAnsi="宋体" w:cs="Arial"/>
          <w:color w:val="auto"/>
          <w:sz w:val="24"/>
          <w:highlight w:val="none"/>
        </w:rPr>
        <w:t>现</w:t>
      </w:r>
      <w:r>
        <w:rPr>
          <w:rFonts w:ascii="宋体" w:hAnsi="宋体" w:cs="Arial"/>
          <w:color w:val="auto"/>
          <w:sz w:val="24"/>
          <w:highlight w:val="none"/>
        </w:rPr>
        <w:t>就</w:t>
      </w:r>
      <w:r>
        <w:rPr>
          <w:rFonts w:hint="eastAsia" w:ascii="宋体" w:hAnsi="宋体" w:cs="Arial"/>
          <w:b/>
          <w:bCs/>
          <w:color w:val="auto"/>
          <w:sz w:val="24"/>
          <w:highlight w:val="none"/>
          <w:u w:val="single"/>
          <w:lang w:eastAsia="zh-CN"/>
        </w:rPr>
        <w:t>临海市沿江镇人民政府食堂管理服务</w:t>
      </w:r>
      <w:r>
        <w:rPr>
          <w:rFonts w:hint="eastAsia" w:ascii="宋体" w:hAnsi="宋体" w:cs="Arial"/>
          <w:color w:val="auto"/>
          <w:sz w:val="24"/>
          <w:highlight w:val="none"/>
        </w:rPr>
        <w:t>采购</w:t>
      </w:r>
      <w:r>
        <w:rPr>
          <w:rFonts w:hint="eastAsia" w:ascii="宋体" w:hAnsi="宋体"/>
          <w:color w:val="auto"/>
          <w:sz w:val="24"/>
          <w:highlight w:val="none"/>
        </w:rPr>
        <w:t>进行</w:t>
      </w:r>
      <w:r>
        <w:rPr>
          <w:rFonts w:ascii="宋体" w:hAnsi="宋体" w:cs="Arial"/>
          <w:color w:val="auto"/>
          <w:sz w:val="24"/>
          <w:highlight w:val="none"/>
        </w:rPr>
        <w:t>公开招标，</w:t>
      </w:r>
      <w:r>
        <w:rPr>
          <w:rFonts w:ascii="宋体" w:hAnsi="宋体" w:cs="Arial"/>
          <w:color w:val="auto"/>
          <w:kern w:val="0"/>
          <w:sz w:val="24"/>
          <w:highlight w:val="none"/>
        </w:rPr>
        <w:t>欢迎</w:t>
      </w:r>
      <w:r>
        <w:rPr>
          <w:rFonts w:hint="eastAsia" w:ascii="宋体" w:hAnsi="宋体" w:cs="Arial"/>
          <w:color w:val="auto"/>
          <w:kern w:val="0"/>
          <w:sz w:val="24"/>
          <w:highlight w:val="none"/>
        </w:rPr>
        <w:t>具备本项目投标人的资格要求且能够及时</w:t>
      </w:r>
      <w:r>
        <w:rPr>
          <w:rFonts w:ascii="宋体" w:hAnsi="宋体" w:cs="Arial"/>
          <w:color w:val="auto"/>
          <w:kern w:val="0"/>
          <w:sz w:val="24"/>
          <w:highlight w:val="none"/>
        </w:rPr>
        <w:t>提供</w:t>
      </w:r>
      <w:r>
        <w:rPr>
          <w:rFonts w:hint="eastAsia" w:ascii="宋体" w:hAnsi="宋体" w:cs="Arial"/>
          <w:color w:val="auto"/>
          <w:kern w:val="0"/>
          <w:sz w:val="24"/>
          <w:highlight w:val="none"/>
        </w:rPr>
        <w:t>相关货物及服务的投标人前来</w:t>
      </w:r>
      <w:r>
        <w:rPr>
          <w:rFonts w:ascii="宋体" w:hAnsi="宋体" w:cs="Arial"/>
          <w:color w:val="auto"/>
          <w:kern w:val="0"/>
          <w:sz w:val="24"/>
          <w:highlight w:val="none"/>
        </w:rPr>
        <w:t>投标。</w:t>
      </w:r>
    </w:p>
    <w:p>
      <w:pPr>
        <w:pStyle w:val="45"/>
        <w:spacing w:before="0" w:beforeAutospacing="0" w:after="0" w:afterAutospacing="0" w:line="400" w:lineRule="exact"/>
        <w:rPr>
          <w:rFonts w:cs="Arial"/>
          <w:color w:val="auto"/>
          <w:highlight w:val="none"/>
        </w:rPr>
      </w:pPr>
      <w:r>
        <w:rPr>
          <w:rFonts w:cs="Arial"/>
          <w:b/>
          <w:bCs/>
          <w:color w:val="auto"/>
          <w:highlight w:val="none"/>
        </w:rPr>
        <w:t>1</w:t>
      </w:r>
      <w:r>
        <w:rPr>
          <w:rFonts w:cs="Arial"/>
          <w:color w:val="auto"/>
          <w:highlight w:val="none"/>
        </w:rPr>
        <w:t>.</w:t>
      </w:r>
      <w:r>
        <w:rPr>
          <w:rFonts w:cs="Arial"/>
          <w:b/>
          <w:bCs/>
          <w:color w:val="auto"/>
          <w:highlight w:val="none"/>
        </w:rPr>
        <w:t>项目概况</w:t>
      </w:r>
    </w:p>
    <w:p>
      <w:pPr>
        <w:pStyle w:val="45"/>
        <w:spacing w:before="0" w:beforeAutospacing="0" w:after="0" w:afterAutospacing="0" w:line="400" w:lineRule="exact"/>
        <w:rPr>
          <w:rFonts w:hint="eastAsia" w:eastAsia="宋体" w:cs="宋体"/>
          <w:color w:val="auto"/>
          <w:highlight w:val="none"/>
          <w:lang w:eastAsia="zh-CN"/>
        </w:rPr>
      </w:pPr>
      <w:r>
        <w:rPr>
          <w:rFonts w:hint="eastAsia" w:cs="宋体"/>
          <w:color w:val="auto"/>
          <w:highlight w:val="none"/>
        </w:rPr>
        <w:t>项目名称：</w:t>
      </w:r>
      <w:r>
        <w:rPr>
          <w:rFonts w:hint="eastAsia" w:cs="宋体"/>
          <w:color w:val="auto"/>
          <w:highlight w:val="none"/>
          <w:lang w:eastAsia="zh-CN"/>
        </w:rPr>
        <w:t>临海市沿江镇人民政府食堂管理服务</w:t>
      </w:r>
    </w:p>
    <w:p>
      <w:pPr>
        <w:pStyle w:val="45"/>
        <w:spacing w:before="0" w:beforeAutospacing="0" w:after="0" w:afterAutospacing="0" w:line="400" w:lineRule="exact"/>
        <w:rPr>
          <w:rFonts w:hint="eastAsia" w:cs="宋体"/>
          <w:color w:val="auto"/>
          <w:highlight w:val="none"/>
        </w:rPr>
      </w:pPr>
      <w:r>
        <w:rPr>
          <w:rFonts w:hint="eastAsia" w:cs="宋体"/>
          <w:color w:val="auto"/>
          <w:highlight w:val="none"/>
        </w:rPr>
        <w:t>采购单位：临海市沿江镇人民政府</w:t>
      </w:r>
    </w:p>
    <w:p>
      <w:pPr>
        <w:pStyle w:val="45"/>
        <w:spacing w:before="0" w:beforeAutospacing="0" w:after="0" w:afterAutospacing="0" w:line="400" w:lineRule="exact"/>
        <w:rPr>
          <w:rFonts w:hint="eastAsia" w:cs="宋体"/>
          <w:color w:val="auto"/>
          <w:highlight w:val="none"/>
        </w:rPr>
      </w:pPr>
      <w:r>
        <w:rPr>
          <w:rFonts w:hint="eastAsia" w:cs="宋体"/>
          <w:color w:val="auto"/>
          <w:highlight w:val="none"/>
        </w:rPr>
        <w:t>采购规模及内容概述：</w:t>
      </w:r>
      <w:r>
        <w:rPr>
          <w:rFonts w:hint="eastAsia" w:cs="宋体"/>
          <w:color w:val="auto"/>
          <w:highlight w:val="none"/>
          <w:lang w:eastAsia="zh-CN"/>
        </w:rPr>
        <w:t>临海市沿江镇人民政府食堂管理服务</w:t>
      </w:r>
      <w:r>
        <w:rPr>
          <w:rFonts w:hint="eastAsia" w:cs="宋体"/>
          <w:color w:val="auto"/>
          <w:highlight w:val="none"/>
        </w:rPr>
        <w:t xml:space="preserve">（详见招标文件第二章采购内容、需求及要求）。 </w:t>
      </w:r>
    </w:p>
    <w:p>
      <w:pPr>
        <w:pStyle w:val="45"/>
        <w:spacing w:before="0" w:beforeAutospacing="0" w:after="0" w:afterAutospacing="0" w:line="400" w:lineRule="exact"/>
        <w:rPr>
          <w:rFonts w:hint="eastAsia" w:cs="宋体"/>
          <w:color w:val="auto"/>
          <w:highlight w:val="none"/>
        </w:rPr>
      </w:pPr>
      <w:r>
        <w:rPr>
          <w:rFonts w:hint="eastAsia" w:cs="宋体"/>
          <w:color w:val="auto"/>
          <w:highlight w:val="none"/>
        </w:rPr>
        <w:t>采购预算：</w:t>
      </w:r>
      <w:r>
        <w:rPr>
          <w:rFonts w:hint="eastAsia" w:cs="宋体"/>
          <w:color w:val="auto"/>
          <w:highlight w:val="none"/>
          <w:lang w:val="en-US" w:eastAsia="zh-CN"/>
        </w:rPr>
        <w:t>130万</w:t>
      </w:r>
      <w:r>
        <w:rPr>
          <w:rFonts w:hint="eastAsia" w:cs="宋体"/>
          <w:color w:val="auto"/>
          <w:highlight w:val="none"/>
        </w:rPr>
        <w:t>元</w:t>
      </w:r>
    </w:p>
    <w:p>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采购组织类型：分散采购</w:t>
      </w:r>
    </w:p>
    <w:p>
      <w:pPr>
        <w:pStyle w:val="45"/>
        <w:spacing w:before="0" w:beforeAutospacing="0" w:after="0" w:afterAutospacing="0" w:line="400" w:lineRule="exact"/>
        <w:rPr>
          <w:rFonts w:hint="eastAsia" w:cs="宋体"/>
          <w:color w:val="auto"/>
          <w:highlight w:val="none"/>
        </w:rPr>
      </w:pPr>
      <w:r>
        <w:rPr>
          <w:rFonts w:hint="eastAsia" w:cs="宋体"/>
          <w:color w:val="auto"/>
          <w:highlight w:val="none"/>
        </w:rPr>
        <w:t>采购标段数：1</w:t>
      </w:r>
    </w:p>
    <w:p>
      <w:pPr>
        <w:pStyle w:val="45"/>
        <w:spacing w:before="0" w:beforeAutospacing="0" w:after="0" w:afterAutospacing="0" w:line="400" w:lineRule="exact"/>
        <w:rPr>
          <w:rFonts w:hint="eastAsia" w:cs="宋体"/>
          <w:color w:val="auto"/>
          <w:highlight w:val="none"/>
        </w:rPr>
      </w:pPr>
      <w:r>
        <w:rPr>
          <w:rFonts w:hint="eastAsia" w:cs="宋体"/>
          <w:color w:val="auto"/>
          <w:highlight w:val="none"/>
        </w:rPr>
        <w:t>采购方式：公开招标</w:t>
      </w:r>
    </w:p>
    <w:p>
      <w:pPr>
        <w:pStyle w:val="45"/>
        <w:spacing w:before="0" w:beforeAutospacing="0" w:after="0" w:afterAutospacing="0" w:line="400" w:lineRule="exact"/>
        <w:rPr>
          <w:rFonts w:hint="eastAsia" w:ascii="宋体" w:hAnsi="宋体" w:cs="宋体"/>
          <w:color w:val="auto"/>
          <w:kern w:val="0"/>
          <w:sz w:val="24"/>
          <w:szCs w:val="24"/>
          <w:highlight w:val="none"/>
          <w:lang w:val="en-US" w:eastAsia="zh-CN" w:bidi="ar-SA"/>
        </w:rPr>
      </w:pPr>
      <w:r>
        <w:rPr>
          <w:rFonts w:hint="eastAsia" w:cs="宋体"/>
          <w:bCs/>
          <w:color w:val="auto"/>
          <w:sz w:val="28"/>
          <w:szCs w:val="28"/>
          <w:highlight w:val="none"/>
          <w:shd w:val="pct10" w:color="auto" w:fill="FFFFFF"/>
        </w:rPr>
        <w:t>▲</w:t>
      </w:r>
      <w:r>
        <w:rPr>
          <w:rFonts w:hint="eastAsia" w:cs="Arial"/>
          <w:b/>
          <w:color w:val="auto"/>
          <w:highlight w:val="none"/>
        </w:rPr>
        <w:t>服务期</w:t>
      </w:r>
      <w:r>
        <w:rPr>
          <w:rFonts w:cs="Arial"/>
          <w:b/>
          <w:color w:val="auto"/>
          <w:highlight w:val="none"/>
        </w:rPr>
        <w:t>：</w:t>
      </w:r>
      <w:r>
        <w:rPr>
          <w:rFonts w:hint="eastAsia" w:cs="Arial"/>
          <w:b/>
          <w:color w:val="auto"/>
          <w:highlight w:val="none"/>
          <w:lang w:val="en-US" w:eastAsia="zh-CN"/>
        </w:rPr>
        <w:t>2年（</w:t>
      </w:r>
      <w:r>
        <w:rPr>
          <w:rFonts w:hint="eastAsia" w:cs="宋体"/>
          <w:color w:val="auto"/>
          <w:kern w:val="0"/>
          <w:sz w:val="24"/>
          <w:szCs w:val="24"/>
          <w:highlight w:val="none"/>
          <w:lang w:val="en-US" w:eastAsia="zh-CN" w:bidi="ar-SA"/>
        </w:rPr>
        <w:t>1年+1年。即首次服务期为1年，期满后根据上一年考核情况决定是否续签下一年合同）</w:t>
      </w:r>
      <w:r>
        <w:rPr>
          <w:rFonts w:hint="eastAsia" w:ascii="宋体" w:hAnsi="宋体" w:cs="宋体"/>
          <w:color w:val="auto"/>
          <w:kern w:val="0"/>
          <w:sz w:val="24"/>
          <w:szCs w:val="24"/>
          <w:highlight w:val="none"/>
          <w:lang w:val="en-US" w:eastAsia="zh-CN" w:bidi="ar-SA"/>
        </w:rPr>
        <w:t>；</w:t>
      </w:r>
    </w:p>
    <w:p>
      <w:pPr>
        <w:pStyle w:val="45"/>
        <w:spacing w:before="0" w:beforeAutospacing="0" w:after="0" w:afterAutospacing="0" w:line="400" w:lineRule="exact"/>
        <w:rPr>
          <w:rFonts w:cs="宋体"/>
          <w:b/>
          <w:color w:val="auto"/>
          <w:highlight w:val="none"/>
        </w:rPr>
      </w:pPr>
      <w:r>
        <w:rPr>
          <w:rFonts w:hint="eastAsia" w:cs="宋体"/>
          <w:b/>
          <w:color w:val="auto"/>
          <w:highlight w:val="none"/>
        </w:rPr>
        <w:t>采购文件公告期限：5个工作日</w:t>
      </w:r>
    </w:p>
    <w:p>
      <w:pPr>
        <w:pStyle w:val="45"/>
        <w:spacing w:before="0" w:beforeAutospacing="0" w:after="0" w:afterAutospacing="0" w:line="400" w:lineRule="exact"/>
        <w:rPr>
          <w:rFonts w:cs="Arial"/>
          <w:color w:val="auto"/>
          <w:highlight w:val="none"/>
        </w:rPr>
      </w:pPr>
      <w:r>
        <w:rPr>
          <w:rFonts w:cs="Arial"/>
          <w:color w:val="auto"/>
          <w:highlight w:val="none"/>
        </w:rPr>
        <w:t>该项目已具备条件，现对该项目进行公开招标。</w:t>
      </w:r>
    </w:p>
    <w:p>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2.投标人资格要求</w:t>
      </w:r>
      <w:r>
        <w:rPr>
          <w:rFonts w:hint="eastAsia" w:ascii="宋体" w:hAnsi="宋体" w:cs="Arial"/>
          <w:b/>
          <w:bCs/>
          <w:color w:val="auto"/>
          <w:kern w:val="0"/>
          <w:sz w:val="24"/>
          <w:highlight w:val="none"/>
        </w:rPr>
        <w:t>：</w:t>
      </w:r>
    </w:p>
    <w:p>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（1）符合《中华人民共和国政府采购法》第二十二条规定；未被“信用中国”（www.creditchina.gov.cn)、中国政府采购网（www.ccgp.gov.cn）列入失信被执行人、税收违法黑名单、政府采购严重违法失信行为记录名单。</w:t>
      </w:r>
    </w:p>
    <w:p>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w:t>
      </w:r>
      <w:r>
        <w:rPr>
          <w:rFonts w:ascii="宋体" w:hAnsi="宋体" w:cs="Arial"/>
          <w:color w:val="auto"/>
          <w:kern w:val="0"/>
          <w:sz w:val="24"/>
          <w:highlight w:val="none"/>
        </w:rPr>
        <w:t>2</w:t>
      </w:r>
      <w:r>
        <w:rPr>
          <w:rFonts w:hint="eastAsia" w:ascii="宋体" w:hAnsi="宋体" w:cs="Arial"/>
          <w:color w:val="auto"/>
          <w:kern w:val="0"/>
          <w:sz w:val="24"/>
          <w:highlight w:val="none"/>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pP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（3）本项目不接受联合体投标。</w:t>
      </w:r>
    </w:p>
    <w:p>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3.报名</w:t>
      </w:r>
    </w:p>
    <w:p>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本项目无需报名，</w:t>
      </w:r>
      <w:bookmarkStart w:id="2" w:name="_Hlk59307647"/>
      <w:r>
        <w:rPr>
          <w:rFonts w:hint="eastAsia" w:ascii="宋体" w:hAnsi="宋体" w:cs="Arial"/>
          <w:b/>
          <w:bCs/>
          <w:color w:val="auto"/>
          <w:kern w:val="0"/>
          <w:sz w:val="24"/>
          <w:highlight w:val="none"/>
          <w:u w:val="single"/>
          <w:shd w:val="pct10" w:color="auto" w:fill="FFFFFF"/>
        </w:rPr>
        <w:t>投标人须到临海市公共资源交易中心网站</w:t>
      </w:r>
    </w:p>
    <w:p>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w:t>
      </w:r>
      <w:r>
        <w:rPr>
          <w:rFonts w:ascii="宋体" w:hAnsi="宋体" w:cs="Arial"/>
          <w:b/>
          <w:bCs/>
          <w:color w:val="auto"/>
          <w:kern w:val="0"/>
          <w:sz w:val="24"/>
          <w:highlight w:val="none"/>
          <w:u w:val="single"/>
          <w:shd w:val="pct10" w:color="auto" w:fill="FFFFFF"/>
        </w:rPr>
        <w:t>http://www.linhai.gov.cn/ggzyjy/</w:t>
      </w:r>
      <w:r>
        <w:rPr>
          <w:rFonts w:hint="eastAsia" w:ascii="宋体" w:hAnsi="宋体" w:cs="Arial"/>
          <w:b/>
          <w:bCs/>
          <w:color w:val="auto"/>
          <w:kern w:val="0"/>
          <w:sz w:val="24"/>
          <w:highlight w:val="none"/>
          <w:u w:val="single"/>
          <w:shd w:val="pct10" w:color="auto" w:fill="FFFFFF"/>
        </w:rPr>
        <w:t>）注册</w:t>
      </w:r>
      <w:bookmarkEnd w:id="2"/>
      <w:r>
        <w:rPr>
          <w:rFonts w:hint="eastAsia" w:ascii="宋体" w:hAnsi="宋体" w:cs="Arial"/>
          <w:b/>
          <w:bCs/>
          <w:color w:val="auto"/>
          <w:kern w:val="0"/>
          <w:sz w:val="24"/>
          <w:highlight w:val="none"/>
          <w:u w:val="single"/>
          <w:shd w:val="pct10" w:color="auto" w:fill="FFFFFF"/>
        </w:rPr>
        <w:t>、提交审核通过后可参加投标，注册、审核联系电话：0576-85280675。投标人未在临海市公共资源交易中心网站完成注册而造成无法登陆临海市公共资源交易中心网站—-每日直播平台--后台和无法发布开标后系列公告等产生的后果由投标人自行承担。</w:t>
      </w:r>
    </w:p>
    <w:p>
      <w:pPr>
        <w:spacing w:line="400" w:lineRule="exact"/>
        <w:rPr>
          <w:rFonts w:ascii="宋体" w:hAnsi="宋体" w:cs="Arial"/>
          <w:b/>
          <w:bCs/>
          <w:color w:val="auto"/>
          <w:kern w:val="0"/>
          <w:sz w:val="24"/>
          <w:highlight w:val="none"/>
        </w:rPr>
      </w:pPr>
      <w:r>
        <w:rPr>
          <w:rFonts w:ascii="宋体" w:hAnsi="宋体" w:cs="Arial"/>
          <w:b/>
          <w:bCs/>
          <w:color w:val="auto"/>
          <w:kern w:val="0"/>
          <w:sz w:val="24"/>
          <w:highlight w:val="none"/>
        </w:rPr>
        <w:t>4.招标文件的获取</w:t>
      </w:r>
    </w:p>
    <w:p>
      <w:pPr>
        <w:spacing w:line="400" w:lineRule="exact"/>
        <w:rPr>
          <w:rFonts w:ascii="宋体" w:hAnsi="宋体" w:cs="Arial"/>
          <w:color w:val="auto"/>
          <w:kern w:val="0"/>
          <w:sz w:val="24"/>
          <w:highlight w:val="none"/>
        </w:rPr>
      </w:pPr>
      <w:r>
        <w:rPr>
          <w:rFonts w:ascii="宋体" w:hAnsi="宋体" w:cs="Arial"/>
          <w:color w:val="auto"/>
          <w:kern w:val="0"/>
          <w:sz w:val="24"/>
          <w:highlight w:val="none"/>
        </w:rPr>
        <w:t>采购文件售价：免费</w:t>
      </w:r>
    </w:p>
    <w:p>
      <w:pPr>
        <w:spacing w:line="400" w:lineRule="exact"/>
        <w:rPr>
          <w:rFonts w:ascii="宋体" w:hAnsi="宋体" w:cs="Arial"/>
          <w:bCs/>
          <w:color w:val="auto"/>
          <w:sz w:val="24"/>
          <w:highlight w:val="none"/>
        </w:rPr>
      </w:pPr>
      <w:r>
        <w:rPr>
          <w:rFonts w:hint="eastAsia" w:ascii="宋体" w:hAnsi="宋体" w:cs="Arial"/>
          <w:bCs/>
          <w:color w:val="auto"/>
          <w:sz w:val="24"/>
          <w:highlight w:val="none"/>
        </w:rPr>
        <w:t>获取方式：凡有意参加投标者，在2025年</w:t>
      </w:r>
      <w:r>
        <w:rPr>
          <w:rFonts w:hint="eastAsia" w:ascii="宋体" w:hAnsi="宋体" w:cs="Arial"/>
          <w:bCs/>
          <w:color w:val="auto"/>
          <w:sz w:val="24"/>
          <w:highlight w:val="none"/>
          <w:lang w:val="en-US" w:eastAsia="zh-CN"/>
        </w:rPr>
        <w:t>07</w:t>
      </w:r>
      <w:r>
        <w:rPr>
          <w:rFonts w:hint="eastAsia" w:ascii="宋体" w:hAnsi="宋体" w:cs="Arial"/>
          <w:bCs/>
          <w:color w:val="auto"/>
          <w:sz w:val="24"/>
          <w:highlight w:val="none"/>
        </w:rPr>
        <w:t>月</w:t>
      </w:r>
      <w:r>
        <w:rPr>
          <w:rFonts w:hint="eastAsia" w:ascii="宋体" w:hAnsi="宋体" w:cs="Arial"/>
          <w:bCs/>
          <w:color w:val="auto"/>
          <w:sz w:val="24"/>
          <w:highlight w:val="none"/>
          <w:lang w:val="en-US" w:eastAsia="zh-CN"/>
        </w:rPr>
        <w:t>15</w:t>
      </w:r>
      <w:r>
        <w:rPr>
          <w:rFonts w:hint="eastAsia" w:ascii="宋体" w:hAnsi="宋体" w:cs="Arial"/>
          <w:bCs/>
          <w:color w:val="auto"/>
          <w:sz w:val="24"/>
          <w:highlight w:val="none"/>
        </w:rPr>
        <w:t xml:space="preserve">日 </w:t>
      </w:r>
      <w:r>
        <w:rPr>
          <w:rFonts w:ascii="宋体" w:hAnsi="宋体" w:cs="Arial"/>
          <w:bCs/>
          <w:color w:val="auto"/>
          <w:sz w:val="24"/>
          <w:highlight w:val="none"/>
        </w:rPr>
        <w:t>8</w:t>
      </w:r>
      <w:r>
        <w:rPr>
          <w:rFonts w:hint="eastAsia" w:ascii="宋体" w:hAnsi="宋体" w:cs="Arial"/>
          <w:bCs/>
          <w:color w:val="auto"/>
          <w:sz w:val="24"/>
          <w:highlight w:val="none"/>
        </w:rPr>
        <w:t>:</w:t>
      </w:r>
      <w:r>
        <w:rPr>
          <w:rFonts w:ascii="宋体" w:hAnsi="宋体" w:cs="Arial"/>
          <w:bCs/>
          <w:color w:val="auto"/>
          <w:sz w:val="24"/>
          <w:highlight w:val="none"/>
        </w:rPr>
        <w:t>3</w:t>
      </w:r>
      <w:r>
        <w:rPr>
          <w:rFonts w:hint="eastAsia" w:ascii="宋体" w:hAnsi="宋体" w:cs="Arial"/>
          <w:bCs/>
          <w:color w:val="auto"/>
          <w:sz w:val="24"/>
          <w:highlight w:val="none"/>
        </w:rPr>
        <w:t>0 前，到临海市公共资源交易中心网站注册审核通过后可自行下载采购文件或到浙江政府采购网（网址</w:t>
      </w:r>
      <w:r>
        <w:rPr>
          <w:color w:val="auto"/>
          <w:highlight w:val="none"/>
        </w:rPr>
        <w:fldChar w:fldCharType="begin"/>
      </w:r>
      <w:r>
        <w:rPr>
          <w:color w:val="auto"/>
          <w:highlight w:val="none"/>
        </w:rPr>
        <w:instrText xml:space="preserve"> HYPERLINK "%20https://zfcg.czt.zj.gov.cn/" </w:instrText>
      </w:r>
      <w:r>
        <w:rPr>
          <w:color w:val="auto"/>
          <w:highlight w:val="none"/>
        </w:rPr>
        <w:fldChar w:fldCharType="separate"/>
      </w:r>
      <w:r>
        <w:rPr>
          <w:rStyle w:val="56"/>
          <w:rFonts w:ascii="宋体" w:hAnsi="宋体"/>
          <w:color w:val="auto"/>
          <w:highlight w:val="none"/>
        </w:rPr>
        <w:t xml:space="preserve"> </w:t>
      </w:r>
      <w:r>
        <w:rPr>
          <w:rStyle w:val="56"/>
          <w:rFonts w:ascii="宋体" w:hAnsi="宋体" w:cs="Arial"/>
          <w:bCs/>
          <w:color w:val="auto"/>
          <w:sz w:val="24"/>
          <w:highlight w:val="none"/>
        </w:rPr>
        <w:t>https://zfcg.czt.zj.gov.cn/</w:t>
      </w:r>
      <w:r>
        <w:rPr>
          <w:rStyle w:val="56"/>
          <w:rFonts w:ascii="宋体" w:hAnsi="宋体" w:cs="Arial"/>
          <w:bCs/>
          <w:color w:val="auto"/>
          <w:sz w:val="24"/>
          <w:highlight w:val="none"/>
        </w:rPr>
        <w:fldChar w:fldCharType="end"/>
      </w:r>
      <w:r>
        <w:rPr>
          <w:rFonts w:ascii="宋体" w:hAnsi="宋体" w:cs="Arial"/>
          <w:bCs/>
          <w:color w:val="auto"/>
          <w:sz w:val="24"/>
          <w:highlight w:val="none"/>
          <w:u w:val="single"/>
        </w:rPr>
        <w:t xml:space="preserve"> </w:t>
      </w:r>
      <w:r>
        <w:rPr>
          <w:rFonts w:hint="eastAsia" w:ascii="宋体" w:hAnsi="宋体" w:cs="Arial"/>
          <w:bCs/>
          <w:color w:val="auto"/>
          <w:sz w:val="24"/>
          <w:highlight w:val="none"/>
        </w:rPr>
        <w:t>）上获取。</w:t>
      </w:r>
    </w:p>
    <w:p>
      <w:pPr>
        <w:pStyle w:val="45"/>
        <w:spacing w:before="0" w:beforeAutospacing="0" w:after="0" w:afterAutospacing="0" w:line="400" w:lineRule="exact"/>
        <w:rPr>
          <w:rFonts w:cs="Arial"/>
          <w:color w:val="auto"/>
          <w:highlight w:val="none"/>
        </w:rPr>
      </w:pPr>
      <w:r>
        <w:rPr>
          <w:rFonts w:cs="Arial"/>
          <w:color w:val="auto"/>
          <w:highlight w:val="none"/>
        </w:rPr>
        <w:t>招标文件答疑：</w:t>
      </w:r>
      <w:r>
        <w:rPr>
          <w:rFonts w:cs="Arial"/>
          <w:b/>
          <w:color w:val="auto"/>
          <w:highlight w:val="none"/>
        </w:rPr>
        <w:t>投标人</w:t>
      </w:r>
      <w:r>
        <w:rPr>
          <w:rFonts w:hint="eastAsia" w:cs="Arial"/>
          <w:b/>
          <w:color w:val="auto"/>
          <w:highlight w:val="none"/>
        </w:rPr>
        <w:t>对采购文件提出质疑的，应当在获取采购文件或者采购文件公告期限届满之日</w:t>
      </w:r>
      <w:r>
        <w:rPr>
          <w:rFonts w:hint="eastAsia"/>
          <w:b/>
          <w:color w:val="auto"/>
          <w:highlight w:val="none"/>
        </w:rPr>
        <w:t>（公告期限届满后获取采购文件的，以公告期限届满之日为准）</w:t>
      </w:r>
      <w:r>
        <w:rPr>
          <w:rFonts w:hint="eastAsia" w:cs="Arial"/>
          <w:b/>
          <w:color w:val="auto"/>
          <w:highlight w:val="none"/>
        </w:rPr>
        <w:t>起7个工作日内以书面形式提出，且应当在采购响应截止时间之前在政采云平台的质疑系统一次性提出</w:t>
      </w:r>
      <w:r>
        <w:rPr>
          <w:rFonts w:hint="eastAsia"/>
          <w:b/>
          <w:color w:val="auto"/>
          <w:highlight w:val="none"/>
        </w:rPr>
        <w:t>，</w:t>
      </w:r>
      <w:r>
        <w:rPr>
          <w:rFonts w:hint="eastAsia" w:cs="Arial"/>
          <w:b/>
          <w:color w:val="auto"/>
          <w:highlight w:val="none"/>
        </w:rPr>
        <w:t>否则被质疑人可不予接受。</w:t>
      </w:r>
    </w:p>
    <w:p>
      <w:pPr>
        <w:pStyle w:val="45"/>
        <w:spacing w:before="0" w:beforeAutospacing="0" w:after="0" w:afterAutospacing="0" w:line="400" w:lineRule="exact"/>
        <w:rPr>
          <w:rFonts w:cs="Arial"/>
          <w:color w:val="auto"/>
          <w:highlight w:val="none"/>
        </w:rPr>
      </w:pPr>
      <w:r>
        <w:rPr>
          <w:rFonts w:cs="Arial"/>
          <w:b/>
          <w:bCs/>
          <w:color w:val="auto"/>
          <w:highlight w:val="none"/>
        </w:rPr>
        <w:t>5.投标保证金</w:t>
      </w:r>
    </w:p>
    <w:p>
      <w:pPr>
        <w:spacing w:line="400" w:lineRule="exact"/>
        <w:rPr>
          <w:rFonts w:ascii="宋体" w:hAnsi="宋体"/>
          <w:b/>
          <w:color w:val="auto"/>
          <w:sz w:val="24"/>
          <w:highlight w:val="none"/>
        </w:rPr>
      </w:pPr>
      <w:r>
        <w:rPr>
          <w:rFonts w:hint="eastAsia" w:ascii="宋体" w:hAnsi="宋体"/>
          <w:b/>
          <w:color w:val="auto"/>
          <w:sz w:val="24"/>
          <w:highlight w:val="none"/>
        </w:rPr>
        <w:t>本项目不收取投标保证金。</w:t>
      </w:r>
    </w:p>
    <w:p>
      <w:pPr>
        <w:spacing w:line="400" w:lineRule="exact"/>
        <w:rPr>
          <w:rFonts w:ascii="宋体" w:hAnsi="宋体" w:cs="Arial"/>
          <w:b/>
          <w:bCs/>
          <w:color w:val="auto"/>
          <w:kern w:val="0"/>
          <w:sz w:val="24"/>
          <w:highlight w:val="none"/>
        </w:rPr>
      </w:pPr>
      <w:r>
        <w:rPr>
          <w:rFonts w:hint="eastAsia" w:ascii="宋体" w:hAnsi="宋体"/>
          <w:b/>
          <w:color w:val="auto"/>
          <w:sz w:val="24"/>
          <w:highlight w:val="none"/>
        </w:rPr>
        <w:t>6</w:t>
      </w:r>
      <w:r>
        <w:rPr>
          <w:rFonts w:ascii="宋体" w:hAnsi="宋体" w:cs="Arial"/>
          <w:b/>
          <w:bCs/>
          <w:color w:val="auto"/>
          <w:kern w:val="0"/>
          <w:sz w:val="24"/>
          <w:highlight w:val="none"/>
        </w:rPr>
        <w:t>.</w:t>
      </w:r>
      <w:r>
        <w:rPr>
          <w:rFonts w:hint="eastAsia" w:ascii="宋体" w:hAnsi="宋体" w:cs="Arial"/>
          <w:b/>
          <w:bCs/>
          <w:color w:val="auto"/>
          <w:kern w:val="0"/>
          <w:sz w:val="24"/>
          <w:highlight w:val="none"/>
        </w:rPr>
        <w:t>投标说明</w:t>
      </w:r>
    </w:p>
    <w:p>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ascii="宋体" w:hAnsi="宋体" w:cs="Arial"/>
          <w:color w:val="auto"/>
          <w:kern w:val="0"/>
          <w:sz w:val="24"/>
          <w:highlight w:val="none"/>
          <w:u w:val="single"/>
        </w:rPr>
        <w:t>95763</w:t>
      </w:r>
      <w:r>
        <w:rPr>
          <w:rFonts w:hint="eastAsia" w:ascii="宋体" w:hAnsi="宋体" w:cs="Arial"/>
          <w:color w:val="auto"/>
          <w:kern w:val="0"/>
          <w:sz w:val="24"/>
          <w:highlight w:val="none"/>
          <w:u w:val="single"/>
        </w:rPr>
        <w:t>。</w:t>
      </w:r>
    </w:p>
    <w:p>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2</w:t>
      </w:r>
      <w:r>
        <w:rPr>
          <w:rFonts w:hint="eastAsia" w:ascii="宋体" w:hAnsi="宋体" w:cs="Arial"/>
          <w:color w:val="auto"/>
          <w:kern w:val="0"/>
          <w:sz w:val="24"/>
          <w:highlight w:val="none"/>
          <w:u w:val="single"/>
        </w:rPr>
        <w:t>）投标人通过政采云平台电子投标工具制作投标文件，电子投标工具请投标人自行前往浙江政府采购网下载并安装，（下载网址：</w:t>
      </w:r>
      <w:r>
        <w:rPr>
          <w:color w:val="auto"/>
          <w:highlight w:val="none"/>
        </w:rPr>
        <w:fldChar w:fldCharType="begin"/>
      </w:r>
      <w:r>
        <w:rPr>
          <w:color w:val="auto"/>
          <w:highlight w:val="none"/>
        </w:rPr>
        <w:instrText xml:space="preserve"> HYPERLINK "https://customer.zcygov.cn/CA-driver-download?utm=web-login-front.75ab4087.0.0.f8e5d230c7c411ea9e54c97a8e384567" </w:instrText>
      </w:r>
      <w:r>
        <w:rPr>
          <w:color w:val="auto"/>
          <w:highlight w:val="none"/>
        </w:rPr>
        <w:fldChar w:fldCharType="separate"/>
      </w:r>
      <w:r>
        <w:rPr>
          <w:rStyle w:val="56"/>
          <w:rFonts w:ascii="宋体" w:hAnsi="宋体" w:cs="Arial"/>
          <w:color w:val="auto"/>
          <w:kern w:val="0"/>
          <w:sz w:val="24"/>
          <w:highlight w:val="none"/>
        </w:rPr>
        <w:t>https://customer.zcygov.cn/CA-driver-download?utm=web-login-front.75ab4087.0.0.f8e5d230c7c411ea9e54c97a8e384567</w:t>
      </w:r>
      <w:r>
        <w:rPr>
          <w:rStyle w:val="56"/>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）电子投标具体流程详见本招标公告附件：“政采云投标人项目采购-电子招投标操作指南.pdf”。</w:t>
      </w:r>
    </w:p>
    <w:p>
      <w:pPr>
        <w:spacing w:line="400" w:lineRule="exact"/>
        <w:rPr>
          <w:rFonts w:ascii="宋体" w:hAnsi="宋体" w:cs="Arial"/>
          <w:color w:val="auto"/>
          <w:kern w:val="0"/>
          <w:sz w:val="24"/>
          <w:highlight w:val="none"/>
          <w:u w:val="single"/>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3</w:t>
      </w:r>
      <w:r>
        <w:rPr>
          <w:rFonts w:hint="eastAsia" w:ascii="宋体" w:hAnsi="宋体" w:cs="Arial"/>
          <w:color w:val="auto"/>
          <w:kern w:val="0"/>
          <w:sz w:val="24"/>
          <w:highlight w:val="none"/>
          <w:u w:val="single"/>
        </w:rPr>
        <w:t>）投标人应在开标前完成CA数字证书办理。（办理流程详见</w:t>
      </w:r>
      <w:r>
        <w:rPr>
          <w:color w:val="auto"/>
          <w:highlight w:val="none"/>
        </w:rPr>
        <w:fldChar w:fldCharType="begin"/>
      </w:r>
      <w:r>
        <w:rPr>
          <w:color w:val="auto"/>
          <w:highlight w:val="none"/>
        </w:rPr>
        <w:instrText xml:space="preserve"> HYPERLINK "https://middle.zcygov.cn/ca/apply/edit" </w:instrText>
      </w:r>
      <w:r>
        <w:rPr>
          <w:color w:val="auto"/>
          <w:highlight w:val="none"/>
        </w:rPr>
        <w:fldChar w:fldCharType="separate"/>
      </w:r>
      <w:r>
        <w:rPr>
          <w:rStyle w:val="56"/>
          <w:rFonts w:ascii="宋体" w:hAnsi="宋体" w:cs="Arial"/>
          <w:color w:val="auto"/>
          <w:kern w:val="0"/>
          <w:sz w:val="24"/>
          <w:highlight w:val="none"/>
        </w:rPr>
        <w:t>https://middle.zcygov.cn/ca/apply/edit</w:t>
      </w:r>
      <w:r>
        <w:rPr>
          <w:rStyle w:val="56"/>
          <w:rFonts w:ascii="宋体" w:hAnsi="宋体" w:cs="Arial"/>
          <w:color w:val="auto"/>
          <w:kern w:val="0"/>
          <w:sz w:val="24"/>
          <w:highlight w:val="none"/>
        </w:rPr>
        <w:fldChar w:fldCharType="end"/>
      </w:r>
      <w:r>
        <w:rPr>
          <w:rFonts w:hint="eastAsia" w:ascii="宋体" w:hAnsi="宋体" w:cs="Arial"/>
          <w:color w:val="auto"/>
          <w:kern w:val="0"/>
          <w:sz w:val="24"/>
          <w:highlight w:val="none"/>
          <w:u w:val="single"/>
        </w:rPr>
        <w:t>，完成CA数字证书办理预计一周左右，请各投标人自行把握时间，汇信客服电话：400-888-4636，天谷客服电话：400-087-8198）。</w:t>
      </w:r>
    </w:p>
    <w:p>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color w:val="auto"/>
          <w:kern w:val="0"/>
          <w:sz w:val="24"/>
          <w:highlight w:val="none"/>
          <w:u w:val="single"/>
        </w:rPr>
        <w:t>（</w:t>
      </w:r>
      <w:r>
        <w:rPr>
          <w:rFonts w:ascii="宋体" w:hAnsi="宋体" w:cs="Arial"/>
          <w:color w:val="auto"/>
          <w:kern w:val="0"/>
          <w:sz w:val="24"/>
          <w:highlight w:val="none"/>
          <w:u w:val="single"/>
        </w:rPr>
        <w:t>4</w:t>
      </w:r>
      <w:r>
        <w:rPr>
          <w:rFonts w:hint="eastAsia" w:ascii="宋体" w:hAnsi="宋体" w:cs="Arial"/>
          <w:color w:val="auto"/>
          <w:kern w:val="0"/>
          <w:sz w:val="24"/>
          <w:highlight w:val="none"/>
          <w:u w:val="single"/>
        </w:rPr>
        <w:t>）投标人应当在投标截止时间前完成电子投标文件的传输递交，并可以补充、修改或者撤回电子投标文件。补充或者修改电子投标文件的，应当先行撤回原文件，补充、修改后重新传输递交。</w:t>
      </w:r>
      <w:r>
        <w:rPr>
          <w:rFonts w:hint="eastAsia" w:ascii="宋体" w:hAnsi="宋体" w:cs="Arial"/>
          <w:b/>
          <w:bCs/>
          <w:color w:val="auto"/>
          <w:kern w:val="0"/>
          <w:sz w:val="24"/>
          <w:highlight w:val="none"/>
          <w:u w:val="single"/>
        </w:rPr>
        <w:t>投标截止时间后传输、递交的投标文件，将被拒收。</w:t>
      </w:r>
    </w:p>
    <w:p>
      <w:pPr>
        <w:spacing w:line="400" w:lineRule="exact"/>
        <w:rPr>
          <w:rFonts w:ascii="宋体" w:hAnsi="宋体" w:cs="Arial"/>
          <w:b/>
          <w:bCs/>
          <w:color w:val="auto"/>
          <w:kern w:val="0"/>
          <w:sz w:val="24"/>
          <w:highlight w:val="none"/>
          <w:u w:val="single"/>
          <w:shd w:val="pct10" w:color="auto" w:fill="FFFFFF"/>
        </w:rPr>
      </w:pPr>
      <w:r>
        <w:rPr>
          <w:rFonts w:hint="eastAsia" w:ascii="宋体" w:hAnsi="宋体" w:cs="Arial"/>
          <w:b/>
          <w:bCs/>
          <w:color w:val="auto"/>
          <w:kern w:val="0"/>
          <w:sz w:val="24"/>
          <w:highlight w:val="none"/>
          <w:u w:val="single"/>
          <w:shd w:val="pct10" w:color="auto" w:fill="FFFFFF"/>
        </w:rPr>
        <w:t>（5）本招标文件中关于电子招投标内容、流程如与政采云系统中最新的内容、操作不一致的，以政采云系统中的要求为准。</w:t>
      </w:r>
    </w:p>
    <w:p>
      <w:pPr>
        <w:spacing w:line="400" w:lineRule="exact"/>
        <w:rPr>
          <w:rFonts w:ascii="宋体" w:hAnsi="宋体"/>
          <w:b/>
          <w:color w:val="auto"/>
          <w:sz w:val="24"/>
          <w:highlight w:val="none"/>
        </w:rPr>
      </w:pPr>
      <w:r>
        <w:rPr>
          <w:rFonts w:ascii="宋体" w:hAnsi="宋体"/>
          <w:b/>
          <w:color w:val="auto"/>
          <w:sz w:val="24"/>
          <w:highlight w:val="none"/>
        </w:rPr>
        <w:t>7</w:t>
      </w:r>
      <w:r>
        <w:rPr>
          <w:rFonts w:ascii="宋体" w:hAnsi="宋体" w:cs="Arial"/>
          <w:b/>
          <w:color w:val="auto"/>
          <w:kern w:val="0"/>
          <w:sz w:val="24"/>
          <w:highlight w:val="none"/>
        </w:rPr>
        <w:t>.</w:t>
      </w:r>
      <w:r>
        <w:rPr>
          <w:rFonts w:hint="eastAsia" w:ascii="宋体" w:hAnsi="宋体"/>
          <w:b/>
          <w:color w:val="auto"/>
          <w:sz w:val="24"/>
          <w:highlight w:val="none"/>
        </w:rPr>
        <w:t>投标文件的组成、效力</w:t>
      </w:r>
    </w:p>
    <w:p>
      <w:pPr>
        <w:spacing w:line="400" w:lineRule="exact"/>
        <w:rPr>
          <w:rFonts w:ascii="宋体" w:hAnsi="宋体"/>
          <w:color w:val="auto"/>
          <w:sz w:val="24"/>
          <w:highlight w:val="none"/>
        </w:rPr>
      </w:pPr>
      <w:r>
        <w:rPr>
          <w:rFonts w:hint="eastAsia" w:ascii="宋体" w:hAnsi="宋体"/>
          <w:color w:val="auto"/>
          <w:sz w:val="24"/>
          <w:highlight w:val="none"/>
        </w:rPr>
        <w:t>（1）本项目实行电子投标，投标人应准备电子投标文件，本项目线下无需提供任何备份投标文件。电子投标文件，按政采云平台项目采购--电子招投标操作指南及本招标文件要求编制。</w:t>
      </w:r>
    </w:p>
    <w:p>
      <w:pPr>
        <w:spacing w:line="400" w:lineRule="exac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）未在</w:t>
      </w:r>
      <w:r>
        <w:rPr>
          <w:rFonts w:hint="eastAsia" w:ascii="宋体" w:hAnsi="宋体" w:cs="Arial"/>
          <w:color w:val="auto"/>
          <w:kern w:val="0"/>
          <w:sz w:val="24"/>
          <w:highlight w:val="none"/>
        </w:rPr>
        <w:t>“政府采购云平台”</w:t>
      </w:r>
      <w:r>
        <w:rPr>
          <w:rFonts w:hint="eastAsia" w:ascii="宋体" w:hAnsi="宋体"/>
          <w:color w:val="auto"/>
          <w:sz w:val="24"/>
          <w:highlight w:val="none"/>
        </w:rPr>
        <w:t>传输递交电子投标文件的，投标无效。</w:t>
      </w:r>
    </w:p>
    <w:p>
      <w:pPr>
        <w:spacing w:line="400" w:lineRule="exact"/>
        <w:rPr>
          <w:rFonts w:ascii="宋体" w:hAnsi="宋体"/>
          <w:color w:val="auto"/>
          <w:sz w:val="24"/>
          <w:highlight w:val="none"/>
        </w:rPr>
      </w:pPr>
      <w:r>
        <w:rPr>
          <w:rFonts w:ascii="宋体" w:hAnsi="宋体"/>
          <w:b/>
          <w:color w:val="auto"/>
          <w:sz w:val="24"/>
          <w:highlight w:val="none"/>
        </w:rPr>
        <w:t>8.投标截止时间及</w:t>
      </w:r>
      <w:r>
        <w:rPr>
          <w:rFonts w:hint="eastAsia" w:ascii="宋体" w:hAnsi="宋体"/>
          <w:b/>
          <w:color w:val="auto"/>
          <w:sz w:val="24"/>
          <w:highlight w:val="none"/>
        </w:rPr>
        <w:t>电子</w:t>
      </w:r>
      <w:r>
        <w:rPr>
          <w:rFonts w:ascii="宋体" w:hAnsi="宋体"/>
          <w:b/>
          <w:color w:val="auto"/>
          <w:sz w:val="24"/>
          <w:highlight w:val="none"/>
        </w:rPr>
        <w:t>投标文件的递交</w:t>
      </w:r>
    </w:p>
    <w:p>
      <w:pPr>
        <w:spacing w:line="400" w:lineRule="exact"/>
        <w:rPr>
          <w:rFonts w:ascii="宋体" w:hAnsi="宋体" w:cs="Arial"/>
          <w:color w:val="auto"/>
          <w:kern w:val="0"/>
          <w:sz w:val="24"/>
          <w:highlight w:val="none"/>
        </w:rPr>
      </w:pPr>
      <w:r>
        <w:rPr>
          <w:rFonts w:hint="eastAsia" w:ascii="宋体" w:hAnsi="宋体" w:cs="Arial"/>
          <w:b/>
          <w:bCs/>
          <w:color w:val="auto"/>
          <w:kern w:val="0"/>
          <w:sz w:val="24"/>
          <w:highlight w:val="none"/>
        </w:rPr>
        <w:t>电子投标文件</w:t>
      </w:r>
      <w:r>
        <w:rPr>
          <w:rFonts w:ascii="宋体" w:hAnsi="宋体"/>
          <w:b/>
          <w:color w:val="auto"/>
          <w:sz w:val="24"/>
          <w:highlight w:val="none"/>
        </w:rPr>
        <w:t>投标截止时间</w:t>
      </w:r>
      <w:r>
        <w:rPr>
          <w:rFonts w:hint="eastAsia" w:ascii="宋体" w:hAnsi="宋体"/>
          <w:b/>
          <w:color w:val="auto"/>
          <w:sz w:val="24"/>
          <w:highlight w:val="none"/>
        </w:rPr>
        <w:t>：2025年</w:t>
      </w:r>
      <w:r>
        <w:rPr>
          <w:rFonts w:ascii="宋体" w:hAnsi="宋体"/>
          <w:b/>
          <w:color w:val="auto"/>
          <w:sz w:val="24"/>
          <w:highlight w:val="none"/>
        </w:rPr>
        <w:t>0</w:t>
      </w:r>
      <w:r>
        <w:rPr>
          <w:rFonts w:hint="eastAsia" w:ascii="宋体" w:hAnsi="宋体"/>
          <w:b/>
          <w:color w:val="auto"/>
          <w:sz w:val="24"/>
          <w:highlight w:val="none"/>
          <w:lang w:val="en-US" w:eastAsia="zh-CN"/>
        </w:rPr>
        <w:t>7</w:t>
      </w:r>
      <w:r>
        <w:rPr>
          <w:rFonts w:hint="eastAsia" w:ascii="宋体" w:hAnsi="宋体"/>
          <w:b/>
          <w:color w:val="auto"/>
          <w:sz w:val="24"/>
          <w:highlight w:val="none"/>
        </w:rPr>
        <w:t>月</w:t>
      </w:r>
      <w:r>
        <w:rPr>
          <w:rFonts w:hint="eastAsia" w:ascii="宋体" w:hAnsi="宋体"/>
          <w:b/>
          <w:color w:val="auto"/>
          <w:sz w:val="24"/>
          <w:highlight w:val="none"/>
          <w:lang w:val="en-US" w:eastAsia="zh-CN"/>
        </w:rPr>
        <w:t>15</w:t>
      </w:r>
      <w:r>
        <w:rPr>
          <w:rFonts w:hint="eastAsia" w:ascii="宋体" w:hAnsi="宋体"/>
          <w:b/>
          <w:color w:val="auto"/>
          <w:sz w:val="24"/>
          <w:highlight w:val="none"/>
        </w:rPr>
        <w:t>日</w:t>
      </w:r>
      <w:r>
        <w:rPr>
          <w:rFonts w:ascii="宋体" w:hAnsi="宋体"/>
          <w:b/>
          <w:color w:val="auto"/>
          <w:sz w:val="24"/>
          <w:highlight w:val="none"/>
        </w:rPr>
        <w:t>8</w:t>
      </w:r>
      <w:r>
        <w:rPr>
          <w:rFonts w:hint="eastAsia" w:ascii="宋体" w:hAnsi="宋体"/>
          <w:b/>
          <w:color w:val="auto"/>
          <w:sz w:val="24"/>
          <w:highlight w:val="none"/>
        </w:rPr>
        <w:t>:</w:t>
      </w:r>
      <w:r>
        <w:rPr>
          <w:rFonts w:ascii="宋体" w:hAnsi="宋体"/>
          <w:b/>
          <w:color w:val="auto"/>
          <w:sz w:val="24"/>
          <w:highlight w:val="none"/>
        </w:rPr>
        <w:t>3</w:t>
      </w:r>
      <w:r>
        <w:rPr>
          <w:rFonts w:hint="eastAsia" w:ascii="宋体" w:hAnsi="宋体"/>
          <w:b/>
          <w:color w:val="auto"/>
          <w:sz w:val="24"/>
          <w:highlight w:val="none"/>
        </w:rPr>
        <w:t>0分00秒，</w:t>
      </w:r>
      <w:r>
        <w:rPr>
          <w:rFonts w:hint="eastAsia" w:ascii="宋体" w:hAnsi="宋体" w:cs="Arial"/>
          <w:color w:val="auto"/>
          <w:kern w:val="0"/>
          <w:sz w:val="24"/>
          <w:highlight w:val="none"/>
        </w:rPr>
        <w:t>投标人应于投标截止时间之前将电子投标文件上传到“政府采购云平台”。投标截止时间前未完成传输电子投标文件的</w:t>
      </w:r>
      <w:r>
        <w:rPr>
          <w:rFonts w:hint="eastAsia" w:ascii="宋体" w:hAnsi="宋体"/>
          <w:color w:val="auto"/>
          <w:sz w:val="24"/>
          <w:highlight w:val="none"/>
        </w:rPr>
        <w:t>，投标无效。</w:t>
      </w:r>
    </w:p>
    <w:p>
      <w:pPr>
        <w:spacing w:line="400" w:lineRule="exact"/>
        <w:rPr>
          <w:rFonts w:ascii="宋体" w:hAnsi="宋体"/>
          <w:b/>
          <w:color w:val="auto"/>
          <w:sz w:val="24"/>
          <w:highlight w:val="none"/>
        </w:rPr>
      </w:pPr>
      <w:r>
        <w:rPr>
          <w:rFonts w:hint="eastAsia" w:ascii="宋体" w:hAnsi="宋体"/>
          <w:b/>
          <w:color w:val="auto"/>
          <w:sz w:val="24"/>
          <w:highlight w:val="none"/>
        </w:rPr>
        <w:t>9</w:t>
      </w:r>
      <w:r>
        <w:rPr>
          <w:rFonts w:ascii="宋体" w:hAnsi="宋体"/>
          <w:b/>
          <w:color w:val="auto"/>
          <w:sz w:val="24"/>
          <w:highlight w:val="none"/>
        </w:rPr>
        <w:t>.</w:t>
      </w:r>
      <w:r>
        <w:rPr>
          <w:rFonts w:hint="eastAsia" w:ascii="宋体" w:hAnsi="宋体"/>
          <w:b/>
          <w:color w:val="auto"/>
          <w:sz w:val="24"/>
          <w:highlight w:val="none"/>
        </w:rPr>
        <w:t xml:space="preserve">临海市公共资源交易办公管理系统及开评标期间出现网络故障或停电时的应急处理措施： </w:t>
      </w:r>
      <w:r>
        <w:rPr>
          <w:rFonts w:ascii="宋体" w:hAnsi="宋体"/>
          <w:b/>
          <w:color w:val="auto"/>
          <w:sz w:val="24"/>
          <w:highlight w:val="none"/>
        </w:rPr>
        <w:t xml:space="preserve">     </w:t>
      </w:r>
    </w:p>
    <w:p>
      <w:pPr>
        <w:spacing w:line="400" w:lineRule="exact"/>
        <w:rPr>
          <w:rFonts w:ascii="宋体" w:hAnsi="宋体"/>
          <w:bCs/>
          <w:color w:val="auto"/>
          <w:sz w:val="24"/>
          <w:highlight w:val="none"/>
        </w:rPr>
      </w:pPr>
      <w:r>
        <w:rPr>
          <w:rFonts w:hint="eastAsia" w:ascii="宋体" w:hAnsi="宋体"/>
          <w:bCs/>
          <w:color w:val="auto"/>
          <w:sz w:val="24"/>
          <w:highlight w:val="none"/>
        </w:rPr>
        <w:t>（1）开评标期间出现网络故障或停电如短时间内（半天内）可以排除并能恢复正常使用的，为不耽误项目进度，招标人（代理机构）经项目行政监管部门批准后可宣布待故障排除后再进行正常开标活动；</w:t>
      </w:r>
    </w:p>
    <w:p>
      <w:pPr>
        <w:spacing w:line="400" w:lineRule="exact"/>
        <w:rPr>
          <w:rFonts w:ascii="宋体" w:hAnsi="宋体"/>
          <w:bCs/>
          <w:color w:val="auto"/>
          <w:sz w:val="24"/>
          <w:highlight w:val="none"/>
        </w:rPr>
      </w:pPr>
      <w:r>
        <w:rPr>
          <w:rFonts w:hint="eastAsia" w:ascii="宋体" w:hAnsi="宋体"/>
          <w:bCs/>
          <w:color w:val="auto"/>
          <w:sz w:val="24"/>
          <w:highlight w:val="none"/>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pPr>
        <w:spacing w:line="400" w:lineRule="exact"/>
        <w:rPr>
          <w:rFonts w:ascii="宋体" w:hAnsi="宋体"/>
          <w:color w:val="auto"/>
          <w:sz w:val="24"/>
          <w:highlight w:val="none"/>
        </w:rPr>
      </w:pPr>
      <w:r>
        <w:rPr>
          <w:rFonts w:ascii="宋体" w:hAnsi="宋体"/>
          <w:b/>
          <w:color w:val="auto"/>
          <w:sz w:val="24"/>
          <w:highlight w:val="none"/>
        </w:rPr>
        <w:t>10.开标</w:t>
      </w:r>
    </w:p>
    <w:p>
      <w:pPr>
        <w:spacing w:line="400" w:lineRule="exact"/>
        <w:rPr>
          <w:rFonts w:ascii="宋体" w:hAnsi="宋体"/>
          <w:color w:val="auto"/>
          <w:sz w:val="24"/>
          <w:highlight w:val="none"/>
        </w:rPr>
      </w:pPr>
      <w:r>
        <w:rPr>
          <w:rFonts w:ascii="宋体" w:hAnsi="宋体"/>
          <w:color w:val="auto"/>
          <w:sz w:val="24"/>
          <w:highlight w:val="none"/>
        </w:rPr>
        <w:t>开标时间：</w:t>
      </w:r>
      <w:r>
        <w:rPr>
          <w:rFonts w:ascii="宋体" w:hAnsi="宋体"/>
          <w:b/>
          <w:color w:val="auto"/>
          <w:sz w:val="24"/>
          <w:highlight w:val="none"/>
        </w:rPr>
        <w:t>202</w:t>
      </w:r>
      <w:r>
        <w:rPr>
          <w:rFonts w:hint="eastAsia" w:ascii="宋体" w:hAnsi="宋体"/>
          <w:b/>
          <w:color w:val="auto"/>
          <w:sz w:val="24"/>
          <w:highlight w:val="none"/>
        </w:rPr>
        <w:t>5</w:t>
      </w:r>
      <w:r>
        <w:rPr>
          <w:rFonts w:ascii="宋体" w:hAnsi="宋体"/>
          <w:b/>
          <w:color w:val="auto"/>
          <w:sz w:val="24"/>
          <w:highlight w:val="none"/>
        </w:rPr>
        <w:t>年0</w:t>
      </w:r>
      <w:r>
        <w:rPr>
          <w:rFonts w:hint="eastAsia" w:ascii="宋体" w:hAnsi="宋体"/>
          <w:b/>
          <w:color w:val="auto"/>
          <w:sz w:val="24"/>
          <w:highlight w:val="none"/>
          <w:lang w:val="en-US" w:eastAsia="zh-CN"/>
        </w:rPr>
        <w:t>7</w:t>
      </w:r>
      <w:r>
        <w:rPr>
          <w:rFonts w:hint="eastAsia" w:ascii="宋体" w:hAnsi="宋体"/>
          <w:b/>
          <w:color w:val="auto"/>
          <w:sz w:val="24"/>
          <w:highlight w:val="none"/>
        </w:rPr>
        <w:t>月</w:t>
      </w:r>
      <w:r>
        <w:rPr>
          <w:rFonts w:hint="eastAsia" w:ascii="宋体" w:hAnsi="宋体"/>
          <w:b/>
          <w:color w:val="auto"/>
          <w:sz w:val="24"/>
          <w:highlight w:val="none"/>
          <w:lang w:val="en-US" w:eastAsia="zh-CN"/>
        </w:rPr>
        <w:t>15</w:t>
      </w:r>
      <w:r>
        <w:rPr>
          <w:rFonts w:hint="eastAsia" w:ascii="宋体" w:hAnsi="宋体"/>
          <w:b/>
          <w:color w:val="auto"/>
          <w:sz w:val="24"/>
          <w:highlight w:val="none"/>
        </w:rPr>
        <w:t>日</w:t>
      </w:r>
      <w:r>
        <w:rPr>
          <w:rFonts w:ascii="宋体" w:hAnsi="宋体"/>
          <w:b/>
          <w:color w:val="auto"/>
          <w:sz w:val="24"/>
          <w:highlight w:val="none"/>
        </w:rPr>
        <w:t>8:30时</w:t>
      </w:r>
      <w:r>
        <w:rPr>
          <w:rFonts w:ascii="宋体" w:hAnsi="宋体"/>
          <w:color w:val="auto"/>
          <w:sz w:val="24"/>
          <w:highlight w:val="none"/>
        </w:rPr>
        <w:t>。</w:t>
      </w:r>
      <w:r>
        <w:rPr>
          <w:rFonts w:ascii="宋体" w:hAnsi="宋体"/>
          <w:color w:val="auto"/>
          <w:sz w:val="24"/>
          <w:highlight w:val="none"/>
        </w:rPr>
        <w:br w:type="textWrapping"/>
      </w:r>
      <w:r>
        <w:rPr>
          <w:rFonts w:ascii="宋体" w:hAnsi="宋体"/>
          <w:color w:val="auto"/>
          <w:sz w:val="24"/>
          <w:highlight w:val="none"/>
        </w:rPr>
        <w:t>开标地点：</w:t>
      </w:r>
      <w:r>
        <w:rPr>
          <w:rFonts w:hint="eastAsia" w:ascii="宋体" w:hAnsi="宋体"/>
          <w:color w:val="auto"/>
          <w:sz w:val="24"/>
          <w:highlight w:val="none"/>
        </w:rPr>
        <w:t>“政府采购云平台”线上开标、线下直播开标室：</w:t>
      </w:r>
      <w:r>
        <w:rPr>
          <w:rFonts w:ascii="宋体" w:hAnsi="宋体"/>
          <w:color w:val="auto"/>
          <w:sz w:val="24"/>
          <w:highlight w:val="none"/>
        </w:rPr>
        <w:t>临海市公共资源交易中心</w:t>
      </w:r>
      <w:r>
        <w:rPr>
          <w:rFonts w:hint="eastAsia" w:ascii="宋体" w:hAnsi="宋体"/>
          <w:color w:val="auto"/>
          <w:sz w:val="24"/>
          <w:highlight w:val="none"/>
        </w:rPr>
        <w:t>一楼</w:t>
      </w:r>
      <w:r>
        <w:rPr>
          <w:rFonts w:hint="eastAsia" w:ascii="宋体" w:hAnsi="宋体"/>
          <w:color w:val="auto"/>
          <w:sz w:val="24"/>
          <w:highlight w:val="none"/>
          <w:lang w:val="en-US" w:eastAsia="zh-CN"/>
        </w:rPr>
        <w:t>3</w:t>
      </w:r>
      <w:r>
        <w:rPr>
          <w:rFonts w:hint="eastAsia" w:ascii="宋体" w:hAnsi="宋体"/>
          <w:color w:val="auto"/>
          <w:sz w:val="24"/>
          <w:highlight w:val="none"/>
        </w:rPr>
        <w:t>号开标室（临海市巾山中路18号，移动公司对面）</w:t>
      </w:r>
    </w:p>
    <w:p>
      <w:pPr>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开标时间后30分钟内（具体时间以政采云系统</w:t>
      </w:r>
      <w:bookmarkStart w:id="3" w:name="_Hlk59625364"/>
      <w:r>
        <w:rPr>
          <w:rFonts w:hint="eastAsia" w:ascii="宋体" w:hAnsi="宋体"/>
          <w:b/>
          <w:color w:val="auto"/>
          <w:sz w:val="24"/>
          <w:highlight w:val="none"/>
          <w:u w:val="single"/>
          <w:shd w:val="pct10" w:color="auto" w:fill="FFFFFF"/>
        </w:rPr>
        <w:t>显示的</w:t>
      </w:r>
      <w:bookmarkEnd w:id="3"/>
      <w:r>
        <w:rPr>
          <w:rFonts w:hint="eastAsia" w:ascii="宋体" w:hAnsi="宋体"/>
          <w:b/>
          <w:color w:val="auto"/>
          <w:sz w:val="24"/>
          <w:highlight w:val="none"/>
          <w:u w:val="single"/>
          <w:shd w:val="pct10" w:color="auto" w:fill="FFFFFF"/>
        </w:rPr>
        <w:t>解密截止时间为准），投标人须登录“政采云”平台，用“项目采购-开标评标”功能解密投标文件，</w:t>
      </w:r>
      <w:bookmarkStart w:id="4" w:name="_Hlk59625972"/>
      <w:r>
        <w:rPr>
          <w:rFonts w:hint="eastAsia" w:ascii="宋体" w:hAnsi="宋体"/>
          <w:b/>
          <w:color w:val="auto"/>
          <w:sz w:val="24"/>
          <w:highlight w:val="none"/>
          <w:u w:val="single"/>
          <w:shd w:val="pct10" w:color="auto" w:fill="FFFFFF"/>
        </w:rPr>
        <w:t xml:space="preserve">投标人未按时解密或解密失败的，其投标文件为无效标。 </w:t>
      </w:r>
    </w:p>
    <w:bookmarkEnd w:id="4"/>
    <w:p>
      <w:pPr>
        <w:spacing w:line="400" w:lineRule="exact"/>
        <w:rPr>
          <w:rFonts w:ascii="宋体" w:hAnsi="宋体"/>
          <w:color w:val="auto"/>
          <w:sz w:val="24"/>
          <w:highlight w:val="none"/>
        </w:rPr>
      </w:pPr>
      <w:r>
        <w:rPr>
          <w:rFonts w:ascii="宋体" w:hAnsi="宋体"/>
          <w:b/>
          <w:color w:val="auto"/>
          <w:sz w:val="24"/>
          <w:highlight w:val="none"/>
        </w:rPr>
        <w:t>11.发布公告的媒介</w:t>
      </w:r>
      <w:r>
        <w:rPr>
          <w:rFonts w:ascii="宋体" w:hAnsi="宋体"/>
          <w:color w:val="auto"/>
          <w:sz w:val="24"/>
          <w:highlight w:val="none"/>
        </w:rPr>
        <w:br w:type="textWrapping"/>
      </w:r>
      <w:r>
        <w:rPr>
          <w:rFonts w:ascii="宋体" w:hAnsi="宋体"/>
          <w:color w:val="auto"/>
          <w:sz w:val="24"/>
          <w:highlight w:val="none"/>
        </w:rPr>
        <w:t>本次招标公告同时在</w:t>
      </w:r>
      <w:r>
        <w:rPr>
          <w:color w:val="auto"/>
          <w:highlight w:val="none"/>
        </w:rPr>
        <w:fldChar w:fldCharType="begin"/>
      </w:r>
      <w:r>
        <w:rPr>
          <w:color w:val="auto"/>
          <w:highlight w:val="none"/>
        </w:rPr>
        <w:instrText xml:space="preserve"> HYPERLINK "http://www.zjzfcg.gov.cn/new/" </w:instrText>
      </w:r>
      <w:r>
        <w:rPr>
          <w:color w:val="auto"/>
          <w:highlight w:val="none"/>
        </w:rPr>
        <w:fldChar w:fldCharType="separate"/>
      </w:r>
      <w:r>
        <w:rPr>
          <w:rStyle w:val="56"/>
          <w:rFonts w:ascii="宋体" w:hAnsi="宋体"/>
          <w:color w:val="auto"/>
          <w:sz w:val="24"/>
          <w:highlight w:val="none"/>
        </w:rPr>
        <w:t>浙江省政府采购网</w:t>
      </w:r>
      <w:r>
        <w:rPr>
          <w:rStyle w:val="56"/>
          <w:rFonts w:ascii="宋体" w:hAnsi="宋体"/>
          <w:color w:val="auto"/>
          <w:sz w:val="24"/>
          <w:highlight w:val="none"/>
        </w:rPr>
        <w:fldChar w:fldCharType="end"/>
      </w:r>
      <w:r>
        <w:rPr>
          <w:rFonts w:ascii="宋体" w:hAnsi="宋体"/>
          <w:color w:val="auto"/>
          <w:sz w:val="24"/>
          <w:highlight w:val="none"/>
        </w:rPr>
        <w:t>、</w:t>
      </w:r>
      <w:r>
        <w:rPr>
          <w:color w:val="auto"/>
          <w:highlight w:val="none"/>
        </w:rPr>
        <w:fldChar w:fldCharType="begin"/>
      </w:r>
      <w:r>
        <w:rPr>
          <w:color w:val="auto"/>
          <w:highlight w:val="none"/>
        </w:rPr>
        <w:instrText xml:space="preserve"> HYPERLINK "http://www.lhzfcg.gov.cn" </w:instrText>
      </w:r>
      <w:r>
        <w:rPr>
          <w:color w:val="auto"/>
          <w:highlight w:val="none"/>
        </w:rPr>
        <w:fldChar w:fldCharType="separate"/>
      </w:r>
      <w:r>
        <w:rPr>
          <w:rFonts w:ascii="宋体" w:hAnsi="宋体"/>
          <w:color w:val="auto"/>
          <w:sz w:val="24"/>
          <w:highlight w:val="none"/>
          <w:u w:val="single"/>
        </w:rPr>
        <w:t>临海市公共资源交易中心</w:t>
      </w:r>
      <w:r>
        <w:rPr>
          <w:rStyle w:val="56"/>
          <w:rFonts w:ascii="宋体" w:hAnsi="宋体"/>
          <w:color w:val="auto"/>
          <w:sz w:val="24"/>
          <w:highlight w:val="none"/>
        </w:rPr>
        <w:t>网</w:t>
      </w:r>
      <w:r>
        <w:rPr>
          <w:rStyle w:val="56"/>
          <w:rFonts w:ascii="宋体" w:hAnsi="宋体"/>
          <w:color w:val="auto"/>
          <w:sz w:val="24"/>
          <w:highlight w:val="none"/>
        </w:rPr>
        <w:fldChar w:fldCharType="end"/>
      </w:r>
      <w:r>
        <w:rPr>
          <w:rFonts w:ascii="宋体" w:hAnsi="宋体"/>
          <w:color w:val="auto"/>
          <w:sz w:val="24"/>
          <w:highlight w:val="none"/>
        </w:rPr>
        <w:t>上发布。</w:t>
      </w:r>
    </w:p>
    <w:p>
      <w:pPr>
        <w:spacing w:line="400" w:lineRule="exact"/>
        <w:rPr>
          <w:rFonts w:ascii="宋体" w:hAnsi="宋体"/>
          <w:b/>
          <w:color w:val="auto"/>
          <w:sz w:val="24"/>
          <w:highlight w:val="none"/>
        </w:rPr>
      </w:pPr>
      <w:r>
        <w:rPr>
          <w:rFonts w:ascii="宋体" w:hAnsi="宋体"/>
          <w:b/>
          <w:color w:val="auto"/>
          <w:sz w:val="24"/>
          <w:highlight w:val="none"/>
        </w:rPr>
        <w:t>12、</w:t>
      </w:r>
      <w:r>
        <w:rPr>
          <w:rFonts w:hint="eastAsia" w:ascii="宋体" w:hAnsi="宋体"/>
          <w:b/>
          <w:color w:val="auto"/>
          <w:sz w:val="24"/>
          <w:highlight w:val="none"/>
        </w:rPr>
        <w:t>其他事项</w:t>
      </w:r>
    </w:p>
    <w:p>
      <w:pPr>
        <w:spacing w:line="400" w:lineRule="exact"/>
        <w:ind w:firstLine="120" w:firstLineChars="50"/>
        <w:rPr>
          <w:rFonts w:ascii="宋体" w:hAnsi="宋体"/>
          <w:b/>
          <w:color w:val="auto"/>
          <w:highlight w:val="none"/>
          <w:u w:val="single"/>
          <w:shd w:val="pct10" w:color="auto" w:fill="FFFFFF"/>
        </w:rPr>
      </w:pPr>
      <w:r>
        <w:rPr>
          <w:rFonts w:hint="eastAsia" w:ascii="宋体" w:hAnsi="宋体"/>
          <w:b/>
          <w:color w:val="auto"/>
          <w:sz w:val="24"/>
          <w:highlight w:val="none"/>
          <w:u w:val="single"/>
          <w:shd w:val="pct10" w:color="auto" w:fill="FFFFFF"/>
        </w:rPr>
        <w:t>（</w:t>
      </w:r>
      <w:r>
        <w:rPr>
          <w:rFonts w:ascii="宋体" w:hAnsi="宋体"/>
          <w:b/>
          <w:color w:val="auto"/>
          <w:sz w:val="24"/>
          <w:highlight w:val="none"/>
          <w:u w:val="single"/>
          <w:shd w:val="pct10" w:color="auto" w:fill="FFFFFF"/>
        </w:rPr>
        <w:t>1</w:t>
      </w:r>
      <w:r>
        <w:rPr>
          <w:rFonts w:hint="eastAsia" w:ascii="宋体" w:hAnsi="宋体"/>
          <w:b/>
          <w:color w:val="auto"/>
          <w:sz w:val="24"/>
          <w:highlight w:val="none"/>
          <w:u w:val="single"/>
          <w:shd w:val="pct10" w:color="auto" w:fill="FFFFFF"/>
        </w:rPr>
        <w:t>）本项目询标将通过政采云视频询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p>
    <w:p>
      <w:pPr>
        <w:spacing w:line="400" w:lineRule="exact"/>
        <w:ind w:firstLine="120" w:firstLineChars="50"/>
        <w:rPr>
          <w:rFonts w:ascii="宋体" w:hAnsi="宋体"/>
          <w:bCs/>
          <w:color w:val="auto"/>
          <w:sz w:val="24"/>
          <w:highlight w:val="none"/>
        </w:rPr>
      </w:pPr>
      <w:r>
        <w:rPr>
          <w:rFonts w:hint="eastAsia" w:ascii="宋体" w:hAnsi="宋体" w:cs="Arial"/>
          <w:b/>
          <w:color w:val="auto"/>
          <w:sz w:val="24"/>
          <w:highlight w:val="none"/>
        </w:rPr>
        <w:t>（</w:t>
      </w:r>
      <w:r>
        <w:rPr>
          <w:rFonts w:ascii="宋体" w:hAnsi="宋体" w:cs="Arial"/>
          <w:bCs/>
          <w:color w:val="auto"/>
          <w:sz w:val="24"/>
          <w:highlight w:val="none"/>
        </w:rPr>
        <w:t>2</w:t>
      </w:r>
      <w:r>
        <w:rPr>
          <w:rFonts w:hint="eastAsia" w:ascii="宋体" w:hAnsi="宋体" w:cs="Arial"/>
          <w:bCs/>
          <w:color w:val="auto"/>
          <w:sz w:val="24"/>
          <w:highlight w:val="none"/>
        </w:rPr>
        <w:t>）</w:t>
      </w:r>
      <w:r>
        <w:rPr>
          <w:rFonts w:hint="eastAsia" w:ascii="宋体" w:hAnsi="宋体"/>
          <w:bCs/>
          <w:color w:val="auto"/>
          <w:sz w:val="24"/>
          <w:highlight w:val="none"/>
        </w:rPr>
        <w:t>根据《浙江省政府采购供应商注册及诚信管理暂行办法》浙财采监字【2009】28号文件，请各投标人及时办理浙江政府采购网“政府采购正式供应商”的注册手续。</w:t>
      </w:r>
    </w:p>
    <w:p>
      <w:pPr>
        <w:spacing w:line="400" w:lineRule="exact"/>
        <w:rPr>
          <w:rFonts w:ascii="宋体" w:hAnsi="宋体"/>
          <w:color w:val="auto"/>
          <w:sz w:val="24"/>
          <w:highlight w:val="none"/>
        </w:rPr>
      </w:pPr>
      <w:r>
        <w:rPr>
          <w:rFonts w:hint="eastAsia" w:ascii="宋体" w:hAnsi="宋体"/>
          <w:b/>
          <w:color w:val="auto"/>
          <w:sz w:val="24"/>
          <w:highlight w:val="none"/>
        </w:rPr>
        <w:t>1</w:t>
      </w:r>
      <w:r>
        <w:rPr>
          <w:rFonts w:ascii="宋体" w:hAnsi="宋体"/>
          <w:b/>
          <w:color w:val="auto"/>
          <w:sz w:val="24"/>
          <w:highlight w:val="none"/>
        </w:rPr>
        <w:t>3</w:t>
      </w:r>
      <w:r>
        <w:rPr>
          <w:rFonts w:hint="eastAsia" w:ascii="宋体" w:hAnsi="宋体"/>
          <w:b/>
          <w:color w:val="auto"/>
          <w:sz w:val="24"/>
          <w:highlight w:val="none"/>
        </w:rPr>
        <w:t>、对本次采购提出询问、质疑、投诉，请按以下方式联系</w:t>
      </w:r>
    </w:p>
    <w:p>
      <w:pPr>
        <w:spacing w:line="400" w:lineRule="exact"/>
        <w:rPr>
          <w:rFonts w:hint="eastAsia" w:ascii="宋体" w:hAnsi="宋体"/>
          <w:b/>
          <w:bCs/>
          <w:color w:val="auto"/>
          <w:sz w:val="24"/>
          <w:highlight w:val="none"/>
        </w:rPr>
      </w:pPr>
      <w:r>
        <w:rPr>
          <w:rFonts w:hint="eastAsia" w:ascii="宋体" w:hAnsi="宋体"/>
          <w:b/>
          <w:bCs/>
          <w:color w:val="auto"/>
          <w:sz w:val="24"/>
          <w:highlight w:val="none"/>
        </w:rPr>
        <w:t>（1）采购人信息</w:t>
      </w:r>
    </w:p>
    <w:p>
      <w:pPr>
        <w:spacing w:line="400" w:lineRule="exact"/>
        <w:rPr>
          <w:rFonts w:ascii="宋体" w:hAnsi="宋体"/>
          <w:bCs/>
          <w:color w:val="auto"/>
          <w:sz w:val="24"/>
          <w:highlight w:val="none"/>
        </w:rPr>
      </w:pPr>
      <w:r>
        <w:rPr>
          <w:rFonts w:hint="eastAsia" w:ascii="宋体" w:hAnsi="宋体"/>
          <w:bCs/>
          <w:color w:val="auto"/>
          <w:sz w:val="24"/>
          <w:highlight w:val="none"/>
        </w:rPr>
        <w:t>名称：临海市沿江镇人民政府</w:t>
      </w:r>
    </w:p>
    <w:p>
      <w:pPr>
        <w:spacing w:line="400" w:lineRule="exact"/>
        <w:rPr>
          <w:rFonts w:ascii="宋体" w:hAnsi="宋体"/>
          <w:bCs/>
          <w:color w:val="auto"/>
          <w:sz w:val="24"/>
          <w:highlight w:val="none"/>
        </w:rPr>
      </w:pPr>
      <w:r>
        <w:rPr>
          <w:rFonts w:hint="eastAsia" w:ascii="宋体" w:hAnsi="宋体"/>
          <w:bCs/>
          <w:color w:val="auto"/>
          <w:sz w:val="24"/>
          <w:highlight w:val="none"/>
        </w:rPr>
        <w:t>地址：临海市沿江镇府前街</w:t>
      </w:r>
    </w:p>
    <w:p>
      <w:pPr>
        <w:spacing w:line="400" w:lineRule="exact"/>
        <w:rPr>
          <w:rFonts w:ascii="宋体" w:hAnsi="宋体"/>
          <w:bCs/>
          <w:color w:val="auto"/>
          <w:sz w:val="24"/>
          <w:highlight w:val="none"/>
        </w:rPr>
      </w:pPr>
      <w:r>
        <w:rPr>
          <w:rFonts w:hint="eastAsia" w:ascii="宋体" w:hAnsi="宋体"/>
          <w:bCs/>
          <w:color w:val="auto"/>
          <w:sz w:val="24"/>
          <w:highlight w:val="none"/>
        </w:rPr>
        <w:t>项目联系人（询问）：林先生</w:t>
      </w:r>
    </w:p>
    <w:p>
      <w:pPr>
        <w:spacing w:line="400" w:lineRule="exact"/>
        <w:rPr>
          <w:rFonts w:ascii="宋体" w:hAnsi="宋体"/>
          <w:bCs/>
          <w:color w:val="auto"/>
          <w:sz w:val="24"/>
          <w:highlight w:val="none"/>
        </w:rPr>
      </w:pPr>
      <w:r>
        <w:rPr>
          <w:rFonts w:hint="eastAsia" w:ascii="宋体" w:hAnsi="宋体"/>
          <w:bCs/>
          <w:color w:val="auto"/>
          <w:sz w:val="24"/>
          <w:highlight w:val="none"/>
        </w:rPr>
        <w:t>项目联系方式：</w:t>
      </w:r>
      <w:r>
        <w:rPr>
          <w:rFonts w:ascii="宋体" w:hAnsi="宋体"/>
          <w:bCs/>
          <w:color w:val="auto"/>
          <w:sz w:val="24"/>
          <w:highlight w:val="none"/>
        </w:rPr>
        <w:t>0576-85993593</w:t>
      </w:r>
    </w:p>
    <w:p>
      <w:pPr>
        <w:spacing w:line="400" w:lineRule="exact"/>
        <w:rPr>
          <w:rFonts w:ascii="宋体" w:hAnsi="宋体"/>
          <w:bCs/>
          <w:color w:val="auto"/>
          <w:sz w:val="24"/>
          <w:highlight w:val="none"/>
        </w:rPr>
      </w:pPr>
      <w:r>
        <w:rPr>
          <w:rFonts w:hint="eastAsia" w:ascii="宋体" w:hAnsi="宋体"/>
          <w:bCs/>
          <w:color w:val="auto"/>
          <w:sz w:val="24"/>
          <w:highlight w:val="none"/>
        </w:rPr>
        <w:t>质疑联系人：林先生</w:t>
      </w:r>
    </w:p>
    <w:p>
      <w:pPr>
        <w:spacing w:line="400" w:lineRule="exact"/>
        <w:rPr>
          <w:rFonts w:ascii="宋体" w:hAnsi="宋体"/>
          <w:bCs/>
          <w:color w:val="auto"/>
          <w:sz w:val="24"/>
          <w:highlight w:val="none"/>
        </w:rPr>
      </w:pPr>
      <w:r>
        <w:rPr>
          <w:rFonts w:hint="eastAsia" w:ascii="宋体" w:hAnsi="宋体"/>
          <w:bCs/>
          <w:color w:val="auto"/>
          <w:sz w:val="24"/>
          <w:highlight w:val="none"/>
        </w:rPr>
        <w:t>质疑联系方式：</w:t>
      </w:r>
      <w:r>
        <w:rPr>
          <w:rFonts w:ascii="宋体" w:hAnsi="宋体"/>
          <w:bCs/>
          <w:color w:val="auto"/>
          <w:sz w:val="24"/>
          <w:highlight w:val="none"/>
        </w:rPr>
        <w:t>0576-85993593</w:t>
      </w:r>
    </w:p>
    <w:p>
      <w:pPr>
        <w:spacing w:line="400" w:lineRule="exact"/>
        <w:rPr>
          <w:rFonts w:hint="eastAsia" w:ascii="宋体" w:hAnsi="宋体"/>
          <w:b/>
          <w:bCs/>
          <w:color w:val="auto"/>
          <w:sz w:val="24"/>
          <w:highlight w:val="none"/>
        </w:rPr>
      </w:pPr>
      <w:r>
        <w:rPr>
          <w:rFonts w:hint="eastAsia" w:ascii="宋体" w:hAnsi="宋体"/>
          <w:b/>
          <w:bCs/>
          <w:color w:val="auto"/>
          <w:sz w:val="24"/>
          <w:highlight w:val="none"/>
        </w:rPr>
        <w:t>（2）采购代理机构信息</w:t>
      </w:r>
    </w:p>
    <w:p>
      <w:pPr>
        <w:kinsoku w:val="0"/>
        <w:overflowPunct w:val="0"/>
        <w:autoSpaceDE w:val="0"/>
        <w:autoSpaceDN w:val="0"/>
        <w:adjustRightInd w:val="0"/>
        <w:snapToGrid w:val="0"/>
        <w:spacing w:line="400" w:lineRule="exact"/>
        <w:rPr>
          <w:rFonts w:ascii="宋体" w:hAnsi="宋体"/>
          <w:bCs/>
          <w:color w:val="auto"/>
          <w:sz w:val="24"/>
          <w:highlight w:val="none"/>
        </w:rPr>
      </w:pPr>
      <w:r>
        <w:rPr>
          <w:rFonts w:hint="eastAsia" w:ascii="宋体" w:hAnsi="宋体"/>
          <w:bCs/>
          <w:color w:val="auto"/>
          <w:sz w:val="24"/>
          <w:highlight w:val="none"/>
        </w:rPr>
        <w:t>名 称：台</w:t>
      </w:r>
      <w:r>
        <w:rPr>
          <w:rFonts w:ascii="宋体" w:hAnsi="宋体"/>
          <w:bCs/>
          <w:color w:val="auto"/>
          <w:sz w:val="24"/>
          <w:highlight w:val="none"/>
        </w:rPr>
        <w:t>州明辰招标</w:t>
      </w:r>
      <w:r>
        <w:rPr>
          <w:rFonts w:hint="eastAsia" w:ascii="宋体" w:hAnsi="宋体"/>
          <w:bCs/>
          <w:color w:val="auto"/>
          <w:sz w:val="24"/>
          <w:highlight w:val="none"/>
        </w:rPr>
        <w:t>代理</w:t>
      </w:r>
      <w:r>
        <w:rPr>
          <w:rFonts w:ascii="宋体" w:hAnsi="宋体"/>
          <w:bCs/>
          <w:color w:val="auto"/>
          <w:sz w:val="24"/>
          <w:highlight w:val="none"/>
        </w:rPr>
        <w:t>有限公司</w:t>
      </w:r>
      <w:r>
        <w:rPr>
          <w:rFonts w:hint="eastAsia" w:ascii="宋体" w:hAnsi="宋体"/>
          <w:bCs/>
          <w:color w:val="auto"/>
          <w:sz w:val="24"/>
          <w:highlight w:val="none"/>
        </w:rPr>
        <w:t xml:space="preserve">  </w:t>
      </w:r>
    </w:p>
    <w:p>
      <w:pPr>
        <w:kinsoku w:val="0"/>
        <w:overflowPunct w:val="0"/>
        <w:autoSpaceDE w:val="0"/>
        <w:autoSpaceDN w:val="0"/>
        <w:adjustRightInd w:val="0"/>
        <w:snapToGrid w:val="0"/>
        <w:spacing w:line="400" w:lineRule="exact"/>
        <w:rPr>
          <w:rFonts w:ascii="宋体" w:hAnsi="宋体"/>
          <w:bCs/>
          <w:color w:val="auto"/>
          <w:sz w:val="24"/>
          <w:highlight w:val="none"/>
        </w:rPr>
      </w:pPr>
      <w:r>
        <w:rPr>
          <w:rFonts w:hint="eastAsia" w:ascii="宋体" w:hAnsi="宋体"/>
          <w:bCs/>
          <w:color w:val="auto"/>
          <w:sz w:val="24"/>
          <w:highlight w:val="none"/>
        </w:rPr>
        <w:t>地址: 临</w:t>
      </w:r>
      <w:r>
        <w:rPr>
          <w:rFonts w:ascii="宋体" w:hAnsi="宋体"/>
          <w:bCs/>
          <w:color w:val="auto"/>
          <w:sz w:val="24"/>
          <w:highlight w:val="none"/>
        </w:rPr>
        <w:t>海市</w:t>
      </w:r>
      <w:r>
        <w:rPr>
          <w:rFonts w:hint="eastAsia" w:ascii="宋体" w:hAnsi="宋体"/>
          <w:bCs/>
          <w:color w:val="auto"/>
          <w:sz w:val="24"/>
          <w:highlight w:val="none"/>
        </w:rPr>
        <w:t>靖江中路1</w:t>
      </w:r>
      <w:r>
        <w:rPr>
          <w:rFonts w:ascii="宋体" w:hAnsi="宋体"/>
          <w:bCs/>
          <w:color w:val="auto"/>
          <w:sz w:val="24"/>
          <w:highlight w:val="none"/>
        </w:rPr>
        <w:t>93</w:t>
      </w:r>
      <w:r>
        <w:rPr>
          <w:rFonts w:hint="eastAsia" w:ascii="宋体" w:hAnsi="宋体"/>
          <w:bCs/>
          <w:color w:val="auto"/>
          <w:sz w:val="24"/>
          <w:highlight w:val="none"/>
        </w:rPr>
        <w:t>号星鑫商务大厦1</w:t>
      </w:r>
      <w:r>
        <w:rPr>
          <w:rFonts w:ascii="宋体" w:hAnsi="宋体"/>
          <w:bCs/>
          <w:color w:val="auto"/>
          <w:sz w:val="24"/>
          <w:highlight w:val="none"/>
        </w:rPr>
        <w:t>102</w:t>
      </w:r>
    </w:p>
    <w:p>
      <w:pPr>
        <w:kinsoku w:val="0"/>
        <w:overflowPunct w:val="0"/>
        <w:autoSpaceDE w:val="0"/>
        <w:autoSpaceDN w:val="0"/>
        <w:adjustRightInd w:val="0"/>
        <w:snapToGrid w:val="0"/>
        <w:spacing w:line="400" w:lineRule="exact"/>
        <w:rPr>
          <w:rFonts w:ascii="宋体" w:hAnsi="宋体"/>
          <w:bCs/>
          <w:color w:val="auto"/>
          <w:sz w:val="24"/>
          <w:highlight w:val="none"/>
        </w:rPr>
      </w:pPr>
      <w:r>
        <w:rPr>
          <w:rFonts w:hint="eastAsia" w:ascii="宋体" w:hAnsi="宋体"/>
          <w:bCs/>
          <w:color w:val="auto"/>
          <w:sz w:val="24"/>
          <w:highlight w:val="none"/>
        </w:rPr>
        <w:t>项目联系人（询问）：郑先生</w:t>
      </w:r>
    </w:p>
    <w:p>
      <w:pPr>
        <w:kinsoku w:val="0"/>
        <w:overflowPunct w:val="0"/>
        <w:autoSpaceDE w:val="0"/>
        <w:autoSpaceDN w:val="0"/>
        <w:adjustRightInd w:val="0"/>
        <w:snapToGrid w:val="0"/>
        <w:spacing w:line="400" w:lineRule="exact"/>
        <w:rPr>
          <w:rFonts w:ascii="宋体" w:hAnsi="宋体"/>
          <w:bCs/>
          <w:color w:val="auto"/>
          <w:sz w:val="24"/>
          <w:highlight w:val="none"/>
        </w:rPr>
      </w:pPr>
      <w:r>
        <w:rPr>
          <w:rFonts w:hint="eastAsia" w:ascii="宋体" w:hAnsi="宋体"/>
          <w:bCs/>
          <w:color w:val="auto"/>
          <w:sz w:val="24"/>
          <w:highlight w:val="none"/>
        </w:rPr>
        <w:t>项目联系方式：0</w:t>
      </w:r>
      <w:r>
        <w:rPr>
          <w:rFonts w:ascii="宋体" w:hAnsi="宋体"/>
          <w:bCs/>
          <w:color w:val="auto"/>
          <w:sz w:val="24"/>
          <w:highlight w:val="none"/>
        </w:rPr>
        <w:t>576-89188963</w:t>
      </w:r>
    </w:p>
    <w:p>
      <w:pPr>
        <w:kinsoku w:val="0"/>
        <w:overflowPunct w:val="0"/>
        <w:autoSpaceDE w:val="0"/>
        <w:autoSpaceDN w:val="0"/>
        <w:adjustRightInd w:val="0"/>
        <w:snapToGrid w:val="0"/>
        <w:spacing w:line="400" w:lineRule="exact"/>
        <w:rPr>
          <w:rFonts w:ascii="宋体" w:hAnsi="宋体"/>
          <w:bCs/>
          <w:color w:val="auto"/>
          <w:sz w:val="24"/>
          <w:highlight w:val="none"/>
        </w:rPr>
      </w:pPr>
      <w:r>
        <w:rPr>
          <w:rFonts w:hint="eastAsia" w:ascii="宋体" w:hAnsi="宋体"/>
          <w:bCs/>
          <w:color w:val="auto"/>
          <w:sz w:val="24"/>
          <w:highlight w:val="none"/>
        </w:rPr>
        <w:t xml:space="preserve">质疑联系人：方女士 </w:t>
      </w:r>
    </w:p>
    <w:p>
      <w:pPr>
        <w:kinsoku w:val="0"/>
        <w:overflowPunct w:val="0"/>
        <w:autoSpaceDE w:val="0"/>
        <w:autoSpaceDN w:val="0"/>
        <w:adjustRightInd w:val="0"/>
        <w:snapToGrid w:val="0"/>
        <w:spacing w:line="400" w:lineRule="exact"/>
        <w:rPr>
          <w:rFonts w:ascii="宋体" w:hAnsi="宋体"/>
          <w:bCs/>
          <w:color w:val="auto"/>
          <w:sz w:val="24"/>
          <w:highlight w:val="none"/>
        </w:rPr>
      </w:pPr>
      <w:r>
        <w:rPr>
          <w:rFonts w:hint="eastAsia" w:ascii="宋体" w:hAnsi="宋体"/>
          <w:bCs/>
          <w:color w:val="auto"/>
          <w:sz w:val="24"/>
          <w:highlight w:val="none"/>
        </w:rPr>
        <w:t>质疑联系方式：0576-89188960</w:t>
      </w:r>
    </w:p>
    <w:p>
      <w:pPr>
        <w:kinsoku w:val="0"/>
        <w:overflowPunct w:val="0"/>
        <w:autoSpaceDE w:val="0"/>
        <w:autoSpaceDN w:val="0"/>
        <w:adjustRightInd w:val="0"/>
        <w:snapToGrid w:val="0"/>
        <w:spacing w:line="400" w:lineRule="exact"/>
        <w:rPr>
          <w:rFonts w:ascii="宋体" w:hAnsi="宋体"/>
          <w:color w:val="auto"/>
          <w:spacing w:val="-4"/>
          <w:sz w:val="24"/>
          <w:highlight w:val="none"/>
        </w:rPr>
      </w:pPr>
      <w:r>
        <w:rPr>
          <w:rFonts w:hint="eastAsia" w:ascii="宋体" w:hAnsi="宋体"/>
          <w:color w:val="auto"/>
          <w:spacing w:val="-4"/>
          <w:sz w:val="24"/>
          <w:highlight w:val="none"/>
        </w:rPr>
        <w:t xml:space="preserve">电子邮箱: </w:t>
      </w:r>
      <w:r>
        <w:rPr>
          <w:rFonts w:ascii="宋体" w:hAnsi="宋体"/>
          <w:color w:val="auto"/>
          <w:spacing w:val="-4"/>
          <w:sz w:val="24"/>
          <w:highlight w:val="none"/>
        </w:rPr>
        <w:t>2794725066@qq.com</w:t>
      </w:r>
    </w:p>
    <w:p>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（3）同级政府采购监管机构信息</w:t>
      </w:r>
    </w:p>
    <w:p>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联系人：政府采购监管科</w:t>
      </w:r>
    </w:p>
    <w:p>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联系电话：0576-</w:t>
      </w:r>
      <w:r>
        <w:rPr>
          <w:rFonts w:ascii="宋体" w:hAnsi="宋体"/>
          <w:color w:val="auto"/>
          <w:spacing w:val="-4"/>
          <w:sz w:val="24"/>
          <w:highlight w:val="none"/>
        </w:rPr>
        <w:t>85188034</w:t>
      </w:r>
      <w:r>
        <w:rPr>
          <w:rFonts w:hint="eastAsia" w:ascii="宋体" w:hAnsi="宋体"/>
          <w:color w:val="auto"/>
          <w:spacing w:val="-4"/>
          <w:sz w:val="24"/>
          <w:highlight w:val="none"/>
        </w:rPr>
        <w:t xml:space="preserve"> </w:t>
      </w:r>
    </w:p>
    <w:p>
      <w:pPr>
        <w:spacing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（4）政采云平台信息</w:t>
      </w:r>
    </w:p>
    <w:p>
      <w:pPr>
        <w:spacing w:line="400" w:lineRule="exact"/>
        <w:rPr>
          <w:rFonts w:hint="eastAsia" w:ascii="宋体" w:hAnsi="宋体"/>
          <w:color w:val="auto"/>
          <w:spacing w:val="-4"/>
          <w:sz w:val="24"/>
          <w:highlight w:val="none"/>
        </w:rPr>
      </w:pPr>
      <w:r>
        <w:rPr>
          <w:rFonts w:hint="eastAsia" w:ascii="宋体" w:hAnsi="宋体"/>
          <w:color w:val="auto"/>
          <w:spacing w:val="-4"/>
          <w:sz w:val="24"/>
          <w:highlight w:val="none"/>
        </w:rPr>
        <w:t>联系电话：</w:t>
      </w:r>
      <w:r>
        <w:rPr>
          <w:rFonts w:ascii="宋体" w:hAnsi="宋体"/>
          <w:color w:val="auto"/>
          <w:spacing w:val="-4"/>
          <w:sz w:val="24"/>
          <w:highlight w:val="none"/>
        </w:rPr>
        <w:t>95763</w:t>
      </w:r>
      <w:r>
        <w:rPr>
          <w:rFonts w:hint="eastAsia" w:ascii="宋体" w:hAnsi="宋体"/>
          <w:color w:val="auto"/>
          <w:spacing w:val="-4"/>
          <w:sz w:val="24"/>
          <w:highlight w:val="none"/>
        </w:rPr>
        <w:t xml:space="preserve">   </w:t>
      </w:r>
    </w:p>
    <w:p>
      <w:pPr>
        <w:rPr>
          <w:rFonts w:hint="eastAsia" w:ascii="宋体" w:hAnsi="宋体"/>
          <w:color w:val="auto"/>
          <w:spacing w:val="-4"/>
          <w:sz w:val="24"/>
          <w:highlight w:val="none"/>
        </w:rPr>
      </w:pPr>
      <w:r>
        <w:rPr>
          <w:rFonts w:hint="eastAsia" w:ascii="宋体" w:hAnsi="宋体"/>
          <w:color w:val="auto"/>
          <w:spacing w:val="-4"/>
          <w:sz w:val="24"/>
          <w:highlight w:val="none"/>
        </w:rPr>
        <w:br w:type="page"/>
      </w:r>
    </w:p>
    <w:p>
      <w:pPr>
        <w:spacing w:line="400" w:lineRule="exact"/>
        <w:rPr>
          <w:rFonts w:ascii="宋体" w:hAnsi="宋体"/>
          <w:color w:val="auto"/>
          <w:highlight w:val="none"/>
        </w:rPr>
      </w:pPr>
      <w:r>
        <w:rPr>
          <w:rFonts w:hint="eastAsia" w:ascii="宋体" w:hAnsi="宋体"/>
          <w:b/>
          <w:color w:val="auto"/>
          <w:sz w:val="24"/>
          <w:highlight w:val="none"/>
        </w:rPr>
        <w:t>附件</w:t>
      </w:r>
    </w:p>
    <w:p>
      <w:pPr>
        <w:spacing w:line="400" w:lineRule="exact"/>
        <w:ind w:firstLine="723" w:firstLineChars="300"/>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pPr>
        <w:spacing w:line="400" w:lineRule="exact"/>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投标人若有融资意向，可与以下银行（保险）联系人对接。</w:t>
      </w:r>
    </w:p>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6" w:type="dxa"/>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pPr>
              <w:widowControl/>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pPr>
              <w:widowControl/>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pPr>
        <w:spacing w:line="400" w:lineRule="exact"/>
        <w:ind w:firstLine="720" w:firstLineChars="300"/>
        <w:rPr>
          <w:rFonts w:ascii="宋体" w:hAnsi="宋体"/>
          <w:bCs/>
          <w:color w:val="auto"/>
          <w:sz w:val="24"/>
          <w:highlight w:val="none"/>
        </w:rPr>
      </w:pPr>
    </w:p>
    <w:p>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50"/>
        <w:tblW w:w="8278" w:type="dxa"/>
        <w:tblInd w:w="0" w:type="dxa"/>
        <w:tblLayout w:type="fixed"/>
        <w:tblCellMar>
          <w:top w:w="15" w:type="dxa"/>
          <w:left w:w="15" w:type="dxa"/>
          <w:bottom w:w="15" w:type="dxa"/>
          <w:right w:w="15" w:type="dxa"/>
        </w:tblCellMar>
      </w:tblPr>
      <w:tblGrid>
        <w:gridCol w:w="793"/>
        <w:gridCol w:w="1380"/>
        <w:gridCol w:w="2237"/>
        <w:gridCol w:w="1842"/>
        <w:gridCol w:w="2026"/>
      </w:tblGrid>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tblPrEx>
          <w:tblLayout w:type="fixed"/>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tblPrEx>
          <w:tblLayout w:type="fixed"/>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pPr>
        <w:pStyle w:val="47"/>
        <w:rPr>
          <w:rFonts w:ascii="宋体" w:hAnsi="宋体"/>
          <w:color w:val="auto"/>
          <w:highlight w:val="none"/>
        </w:rPr>
      </w:pPr>
      <w:r>
        <w:rPr>
          <w:rFonts w:ascii="宋体" w:hAnsi="宋体"/>
          <w:color w:val="auto"/>
          <w:sz w:val="24"/>
          <w:highlight w:val="none"/>
        </w:rPr>
        <w:br w:type="page"/>
      </w:r>
      <w:bookmarkStart w:id="5" w:name="_Toc197938082"/>
      <w:bookmarkStart w:id="6" w:name="_Toc467749357"/>
      <w:bookmarkStart w:id="7" w:name="_Toc466534748"/>
      <w:r>
        <w:rPr>
          <w:rFonts w:hint="eastAsia" w:ascii="宋体" w:hAnsi="宋体"/>
          <w:color w:val="auto"/>
          <w:highlight w:val="none"/>
        </w:rPr>
        <w:t>第二章  招标需求</w:t>
      </w:r>
      <w:bookmarkEnd w:id="5"/>
    </w:p>
    <w:bookmarkEnd w:id="6"/>
    <w:bookmarkEnd w:id="7"/>
    <w:p>
      <w:pPr>
        <w:rPr>
          <w:rFonts w:ascii="宋体" w:hAnsi="宋体"/>
          <w:b/>
          <w:color w:val="auto"/>
          <w:sz w:val="28"/>
          <w:szCs w:val="28"/>
          <w:highlight w:val="none"/>
        </w:rPr>
      </w:pPr>
    </w:p>
    <w:p>
      <w:pPr>
        <w:spacing w:line="360" w:lineRule="auto"/>
        <w:outlineLvl w:val="1"/>
        <w:rPr>
          <w:b/>
          <w:bCs/>
          <w:color w:val="auto"/>
          <w:sz w:val="24"/>
          <w:highlight w:val="none"/>
          <w:shd w:val="clear" w:color="auto" w:fill="FFFFFF"/>
        </w:rPr>
      </w:pPr>
      <w:bookmarkStart w:id="8" w:name="_Toc153794044"/>
      <w:r>
        <w:rPr>
          <w:rFonts w:hint="eastAsia"/>
          <w:b/>
          <w:bCs/>
          <w:color w:val="auto"/>
          <w:sz w:val="24"/>
          <w:highlight w:val="none"/>
          <w:shd w:val="clear" w:color="auto" w:fill="FFFFFF"/>
        </w:rPr>
        <w:t>一、项目概况</w:t>
      </w:r>
      <w:bookmarkEnd w:id="8"/>
    </w:p>
    <w:p>
      <w:pPr>
        <w:spacing w:line="360" w:lineRule="auto"/>
        <w:ind w:firstLine="482"/>
        <w:rPr>
          <w:color w:val="auto"/>
          <w:sz w:val="24"/>
          <w:highlight w:val="none"/>
          <w:shd w:val="clear" w:color="auto" w:fill="FFFFFF"/>
        </w:rPr>
      </w:pPr>
      <w:r>
        <w:rPr>
          <w:rFonts w:hint="eastAsia"/>
          <w:color w:val="auto"/>
          <w:sz w:val="24"/>
          <w:highlight w:val="none"/>
          <w:shd w:val="clear" w:color="auto" w:fill="FFFFFF"/>
        </w:rPr>
        <w:t>食堂设备设施齐全，水、电、天然气等配套设施到位，招标人提供规范的食堂经营场所、设备、用品，中标人提供食堂运营服务及管理：</w:t>
      </w:r>
    </w:p>
    <w:p>
      <w:pPr>
        <w:spacing w:line="360" w:lineRule="auto"/>
        <w:ind w:firstLine="482"/>
        <w:rPr>
          <w:color w:val="auto"/>
          <w:sz w:val="24"/>
          <w:highlight w:val="none"/>
          <w:shd w:val="clear" w:color="auto" w:fill="FFFFFF"/>
        </w:rPr>
      </w:pPr>
      <w:r>
        <w:rPr>
          <w:rFonts w:hint="eastAsia"/>
          <w:color w:val="auto"/>
          <w:sz w:val="24"/>
          <w:highlight w:val="none"/>
          <w:shd w:val="clear" w:color="auto" w:fill="FFFFFF"/>
        </w:rPr>
        <w:t>l、正常工作日的早中晚三餐。</w:t>
      </w:r>
    </w:p>
    <w:p>
      <w:pPr>
        <w:spacing w:line="360" w:lineRule="auto"/>
        <w:ind w:firstLine="482"/>
        <w:rPr>
          <w:color w:val="auto"/>
          <w:sz w:val="24"/>
          <w:highlight w:val="none"/>
          <w:shd w:val="clear" w:color="auto" w:fill="FFFFFF"/>
        </w:rPr>
      </w:pPr>
      <w:r>
        <w:rPr>
          <w:rFonts w:hint="eastAsia"/>
          <w:color w:val="auto"/>
          <w:sz w:val="24"/>
          <w:highlight w:val="none"/>
          <w:shd w:val="clear" w:color="auto" w:fill="FFFFFF"/>
        </w:rPr>
        <w:t>2、食堂日常事务的管理。</w:t>
      </w:r>
    </w:p>
    <w:p>
      <w:pPr>
        <w:spacing w:line="360" w:lineRule="auto"/>
        <w:ind w:firstLine="482"/>
        <w:rPr>
          <w:color w:val="auto"/>
          <w:sz w:val="24"/>
          <w:highlight w:val="none"/>
          <w:shd w:val="clear" w:color="auto" w:fill="FFFFFF"/>
        </w:rPr>
      </w:pPr>
      <w:r>
        <w:rPr>
          <w:rFonts w:hint="eastAsia"/>
          <w:color w:val="auto"/>
          <w:sz w:val="24"/>
          <w:highlight w:val="none"/>
          <w:shd w:val="clear" w:color="auto" w:fill="FFFFFF"/>
        </w:rPr>
        <w:t>3、节假日期间的值班人员用餐。</w:t>
      </w:r>
    </w:p>
    <w:p>
      <w:pPr>
        <w:numPr>
          <w:ilvl w:val="0"/>
          <w:numId w:val="1"/>
        </w:numPr>
        <w:spacing w:line="360" w:lineRule="auto"/>
        <w:outlineLvl w:val="1"/>
        <w:rPr>
          <w:b/>
          <w:bCs/>
          <w:color w:val="auto"/>
          <w:sz w:val="24"/>
          <w:highlight w:val="none"/>
        </w:rPr>
      </w:pPr>
      <w:bookmarkStart w:id="9" w:name="_Toc153794045"/>
      <w:r>
        <w:rPr>
          <w:rFonts w:hint="eastAsia"/>
          <w:b/>
          <w:bCs/>
          <w:color w:val="auto"/>
          <w:sz w:val="24"/>
          <w:highlight w:val="none"/>
        </w:rPr>
        <w:t>食堂托管经营方面</w:t>
      </w:r>
      <w:bookmarkEnd w:id="9"/>
    </w:p>
    <w:p>
      <w:pPr>
        <w:spacing w:line="360" w:lineRule="auto"/>
        <w:outlineLvl w:val="2"/>
        <w:rPr>
          <w:b/>
          <w:bCs/>
          <w:color w:val="auto"/>
          <w:sz w:val="24"/>
          <w:highlight w:val="none"/>
        </w:rPr>
      </w:pPr>
      <w:bookmarkStart w:id="10" w:name="_Toc153794046"/>
      <w:r>
        <w:rPr>
          <w:rFonts w:hint="eastAsia"/>
          <w:b/>
          <w:bCs/>
          <w:color w:val="auto"/>
          <w:sz w:val="24"/>
          <w:highlight w:val="none"/>
        </w:rPr>
        <w:t>（一）服务内容、服务范围</w:t>
      </w:r>
      <w:bookmarkEnd w:id="10"/>
    </w:p>
    <w:p>
      <w:pPr>
        <w:spacing w:line="360" w:lineRule="auto"/>
        <w:ind w:firstLine="480" w:firstLineChars="200"/>
        <w:outlineLvl w:val="3"/>
        <w:rPr>
          <w:color w:val="auto"/>
          <w:sz w:val="24"/>
          <w:highlight w:val="none"/>
        </w:rPr>
      </w:pPr>
      <w:r>
        <w:rPr>
          <w:rFonts w:hint="eastAsia"/>
          <w:color w:val="auto"/>
          <w:sz w:val="24"/>
          <w:highlight w:val="none"/>
        </w:rPr>
        <w:t>1、服务内容：</w:t>
      </w:r>
    </w:p>
    <w:p>
      <w:pPr>
        <w:spacing w:line="360" w:lineRule="auto"/>
        <w:ind w:firstLine="480" w:firstLineChars="200"/>
        <w:rPr>
          <w:color w:val="auto"/>
          <w:sz w:val="24"/>
          <w:highlight w:val="none"/>
        </w:rPr>
      </w:pPr>
      <w:r>
        <w:rPr>
          <w:rFonts w:hint="eastAsia"/>
          <w:color w:val="auto"/>
          <w:sz w:val="24"/>
          <w:highlight w:val="none"/>
        </w:rPr>
        <w:t>本项目为劳务输出的后勤服务总承包，招标人为中标人提供厨房、厨具、水电、燃料、日常消耗品（如洗洁精、防滑拖鞋等）及所有食材，中标人负责劳务输出及服务(包括食堂日常管理、食品制作、各项服务、保洁等)。</w:t>
      </w:r>
    </w:p>
    <w:p>
      <w:pPr>
        <w:spacing w:line="360" w:lineRule="auto"/>
        <w:ind w:firstLine="480" w:firstLineChars="200"/>
        <w:rPr>
          <w:color w:val="auto"/>
          <w:sz w:val="24"/>
          <w:highlight w:val="none"/>
        </w:rPr>
      </w:pPr>
      <w:r>
        <w:rPr>
          <w:rFonts w:hint="eastAsia"/>
          <w:color w:val="auto"/>
          <w:sz w:val="24"/>
          <w:highlight w:val="none"/>
        </w:rPr>
        <w:t>中标人负责食堂员工管理及日常运行；负责每日用餐所需食品及原材料、调料的领用、保管、制作加工等工作；负责加工、清洗等厨房前后道工作；负责食堂区域内的安全、卫生保洁等工作。中标人主厨安排合理的营养菜谱，对所有食材进行烹饪加工及价格和质量的监督，保证食堂的成本核算。</w:t>
      </w:r>
    </w:p>
    <w:p>
      <w:pPr>
        <w:numPr>
          <w:ilvl w:val="0"/>
          <w:numId w:val="2"/>
        </w:numPr>
        <w:spacing w:line="360" w:lineRule="auto"/>
        <w:ind w:firstLine="480" w:firstLineChars="200"/>
        <w:outlineLvl w:val="3"/>
        <w:rPr>
          <w:color w:val="auto"/>
          <w:sz w:val="24"/>
          <w:highlight w:val="none"/>
        </w:rPr>
      </w:pPr>
      <w:r>
        <w:rPr>
          <w:rFonts w:hint="eastAsia"/>
          <w:color w:val="auto"/>
          <w:sz w:val="24"/>
          <w:highlight w:val="none"/>
        </w:rPr>
        <w:t>供餐时间及要求：</w:t>
      </w:r>
    </w:p>
    <w:p>
      <w:pPr>
        <w:spacing w:line="360" w:lineRule="auto"/>
        <w:ind w:firstLine="480" w:firstLineChars="200"/>
        <w:rPr>
          <w:color w:val="auto"/>
          <w:highlight w:val="none"/>
        </w:rPr>
      </w:pPr>
      <w:r>
        <w:rPr>
          <w:rFonts w:hint="eastAsia"/>
          <w:color w:val="auto"/>
          <w:sz w:val="24"/>
          <w:highlight w:val="none"/>
        </w:rPr>
        <w:t>正常工作日的早中晚三餐，早餐为7：00-8：00，中餐为11：30-13：00，晚餐为17：00-18：30.  因特殊情况需要加班供餐的，中标人应服从招标人的工作安排。</w:t>
      </w:r>
    </w:p>
    <w:p>
      <w:pPr>
        <w:numPr>
          <w:ilvl w:val="0"/>
          <w:numId w:val="3"/>
        </w:numPr>
        <w:spacing w:line="360" w:lineRule="auto"/>
        <w:ind w:firstLine="480" w:firstLineChars="200"/>
        <w:rPr>
          <w:color w:val="auto"/>
          <w:sz w:val="24"/>
          <w:highlight w:val="none"/>
        </w:rPr>
      </w:pPr>
      <w:r>
        <w:rPr>
          <w:rFonts w:hint="eastAsia"/>
          <w:color w:val="auto"/>
          <w:sz w:val="24"/>
          <w:highlight w:val="none"/>
        </w:rPr>
        <w:t>早餐菜色品种在8个左右，包括各种传统的台州特色早点。</w:t>
      </w:r>
    </w:p>
    <w:p>
      <w:pPr>
        <w:numPr>
          <w:ilvl w:val="0"/>
          <w:numId w:val="3"/>
        </w:numPr>
        <w:spacing w:line="360" w:lineRule="auto"/>
        <w:ind w:firstLine="480" w:firstLineChars="200"/>
        <w:rPr>
          <w:color w:val="auto"/>
          <w:sz w:val="24"/>
          <w:highlight w:val="none"/>
        </w:rPr>
      </w:pPr>
      <w:r>
        <w:rPr>
          <w:rFonts w:hint="eastAsia"/>
          <w:color w:val="auto"/>
          <w:sz w:val="24"/>
          <w:highlight w:val="none"/>
        </w:rPr>
        <w:t>中餐菜色品种在6个左右(根据就餐人数调整)，合理营养搭配，多种口味选择。</w:t>
      </w:r>
    </w:p>
    <w:p>
      <w:pPr>
        <w:numPr>
          <w:ilvl w:val="0"/>
          <w:numId w:val="3"/>
        </w:numPr>
        <w:spacing w:line="360" w:lineRule="auto"/>
        <w:ind w:firstLine="480" w:firstLineChars="200"/>
        <w:rPr>
          <w:color w:val="auto"/>
          <w:highlight w:val="none"/>
        </w:rPr>
      </w:pPr>
      <w:r>
        <w:rPr>
          <w:rFonts w:hint="eastAsia"/>
          <w:color w:val="auto"/>
          <w:sz w:val="24"/>
          <w:highlight w:val="none"/>
        </w:rPr>
        <w:t>晚餐菜色品种控制在2个 (根据就餐人数调整)，适当安排如饺子、年糕、面条、炒饭等特色小吃。</w:t>
      </w:r>
    </w:p>
    <w:p>
      <w:pPr>
        <w:numPr>
          <w:ilvl w:val="0"/>
          <w:numId w:val="2"/>
        </w:numPr>
        <w:snapToGrid w:val="0"/>
        <w:spacing w:line="360" w:lineRule="auto"/>
        <w:ind w:firstLine="480"/>
        <w:rPr>
          <w:color w:val="auto"/>
          <w:sz w:val="24"/>
          <w:highlight w:val="none"/>
        </w:rPr>
      </w:pPr>
      <w:r>
        <w:rPr>
          <w:rFonts w:hint="eastAsia"/>
          <w:color w:val="auto"/>
          <w:sz w:val="24"/>
          <w:highlight w:val="none"/>
        </w:rPr>
        <w:t>中标人必须满足招标人的重大节日期间员工的用餐以及各类会议、短期培训人员、因公接待或集体行动等中晚餐的用餐，但招标人应提前告知，人数按实计入劳务补贴。</w:t>
      </w:r>
    </w:p>
    <w:p>
      <w:pPr>
        <w:snapToGrid w:val="0"/>
        <w:spacing w:line="360" w:lineRule="auto"/>
        <w:ind w:left="480"/>
        <w:rPr>
          <w:color w:val="auto"/>
          <w:sz w:val="24"/>
          <w:highlight w:val="none"/>
        </w:rPr>
      </w:pPr>
    </w:p>
    <w:p>
      <w:pPr>
        <w:snapToGrid w:val="0"/>
        <w:spacing w:line="360" w:lineRule="auto"/>
        <w:ind w:left="480"/>
        <w:rPr>
          <w:color w:val="auto"/>
          <w:sz w:val="24"/>
          <w:highlight w:val="none"/>
        </w:rPr>
      </w:pPr>
    </w:p>
    <w:p>
      <w:pPr>
        <w:snapToGrid w:val="0"/>
        <w:spacing w:line="360" w:lineRule="auto"/>
        <w:ind w:left="480"/>
        <w:rPr>
          <w:color w:val="auto"/>
          <w:sz w:val="24"/>
          <w:highlight w:val="none"/>
        </w:rPr>
      </w:pPr>
    </w:p>
    <w:p>
      <w:pPr>
        <w:snapToGrid w:val="0"/>
        <w:spacing w:line="360" w:lineRule="auto"/>
        <w:ind w:left="480"/>
        <w:rPr>
          <w:rFonts w:hint="eastAsia"/>
          <w:b/>
          <w:bCs/>
          <w:color w:val="auto"/>
          <w:sz w:val="24"/>
          <w:highlight w:val="none"/>
        </w:rPr>
      </w:pPr>
    </w:p>
    <w:p>
      <w:pPr>
        <w:numPr>
          <w:ilvl w:val="0"/>
          <w:numId w:val="4"/>
        </w:numPr>
        <w:spacing w:line="360" w:lineRule="auto"/>
        <w:outlineLvl w:val="2"/>
        <w:rPr>
          <w:b/>
          <w:bCs/>
          <w:color w:val="auto"/>
          <w:sz w:val="24"/>
          <w:highlight w:val="none"/>
        </w:rPr>
      </w:pPr>
      <w:bookmarkStart w:id="11" w:name="_Toc153794047"/>
      <w:r>
        <w:rPr>
          <w:rFonts w:hint="eastAsia"/>
          <w:b/>
          <w:bCs/>
          <w:color w:val="auto"/>
          <w:sz w:val="24"/>
          <w:highlight w:val="none"/>
        </w:rPr>
        <w:t>人员配备要求：</w:t>
      </w:r>
      <w:bookmarkEnd w:id="11"/>
    </w:p>
    <w:tbl>
      <w:tblPr>
        <w:tblStyle w:val="50"/>
        <w:tblW w:w="87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394" w:type="dxa"/>
            <w:noWrap w:val="0"/>
            <w:vAlign w:val="center"/>
          </w:tcPr>
          <w:p>
            <w:pPr>
              <w:jc w:val="center"/>
              <w:rPr>
                <w:b/>
                <w:color w:val="auto"/>
                <w:highlight w:val="none"/>
              </w:rPr>
            </w:pPr>
            <w:r>
              <w:rPr>
                <w:rFonts w:hint="eastAsia"/>
                <w:b/>
                <w:color w:val="auto"/>
                <w:highlight w:val="none"/>
              </w:rPr>
              <w:t>职务</w:t>
            </w:r>
          </w:p>
        </w:tc>
        <w:tc>
          <w:tcPr>
            <w:tcW w:w="4394" w:type="dxa"/>
            <w:noWrap w:val="0"/>
            <w:vAlign w:val="center"/>
          </w:tcPr>
          <w:p>
            <w:pPr>
              <w:jc w:val="center"/>
              <w:rPr>
                <w:b/>
                <w:color w:val="auto"/>
                <w:highlight w:val="none"/>
              </w:rPr>
            </w:pPr>
            <w:r>
              <w:rPr>
                <w:rFonts w:hint="eastAsia"/>
                <w:b/>
                <w:color w:val="auto"/>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4394" w:type="dxa"/>
            <w:noWrap w:val="0"/>
            <w:vAlign w:val="center"/>
          </w:tcPr>
          <w:p>
            <w:pPr>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厨师长</w:t>
            </w:r>
          </w:p>
        </w:tc>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厨师</w:t>
            </w:r>
          </w:p>
        </w:tc>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面点师</w:t>
            </w:r>
          </w:p>
        </w:tc>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厨工</w:t>
            </w:r>
          </w:p>
        </w:tc>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保洁</w:t>
            </w:r>
          </w:p>
        </w:tc>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合计</w:t>
            </w:r>
          </w:p>
        </w:tc>
        <w:tc>
          <w:tcPr>
            <w:tcW w:w="4394"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人</w:t>
            </w:r>
          </w:p>
        </w:tc>
      </w:tr>
    </w:tbl>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1、主要管理人员应具备高中以上文化程度。</w:t>
      </w:r>
    </w:p>
    <w:p>
      <w:pPr>
        <w:spacing w:line="360" w:lineRule="auto"/>
        <w:ind w:firstLine="480" w:firstLineChars="200"/>
        <w:rPr>
          <w:color w:val="auto"/>
          <w:sz w:val="24"/>
          <w:highlight w:val="none"/>
        </w:rPr>
      </w:pPr>
      <w:r>
        <w:rPr>
          <w:rFonts w:hint="eastAsia"/>
          <w:color w:val="auto"/>
          <w:sz w:val="24"/>
          <w:highlight w:val="none"/>
        </w:rPr>
        <w:t>2、厨房各级任职人员应具有健康证，责任心强。</w:t>
      </w:r>
    </w:p>
    <w:p>
      <w:pPr>
        <w:spacing w:line="360" w:lineRule="auto"/>
        <w:ind w:firstLine="480" w:firstLineChars="200"/>
        <w:rPr>
          <w:rFonts w:hint="eastAsia"/>
          <w:color w:val="auto"/>
          <w:sz w:val="24"/>
          <w:highlight w:val="none"/>
        </w:rPr>
      </w:pPr>
      <w:r>
        <w:rPr>
          <w:rFonts w:hint="eastAsia"/>
          <w:color w:val="auto"/>
          <w:sz w:val="24"/>
          <w:highlight w:val="none"/>
        </w:rPr>
        <w:t>3、厨房各级任职人员应妥善使用、保管食堂器具。</w:t>
      </w:r>
    </w:p>
    <w:p>
      <w:pPr>
        <w:spacing w:line="360" w:lineRule="auto"/>
        <w:ind w:firstLine="480" w:firstLineChars="200"/>
        <w:rPr>
          <w:rFonts w:hint="eastAsia"/>
          <w:color w:val="auto"/>
          <w:sz w:val="24"/>
          <w:highlight w:val="none"/>
          <w:lang w:val="zh-CN"/>
        </w:rPr>
      </w:pPr>
      <w:r>
        <w:rPr>
          <w:rFonts w:hint="eastAsia"/>
          <w:color w:val="auto"/>
          <w:sz w:val="24"/>
          <w:highlight w:val="none"/>
        </w:rPr>
        <w:t>4</w:t>
      </w:r>
      <w:r>
        <w:rPr>
          <w:rFonts w:hint="eastAsia"/>
          <w:color w:val="auto"/>
          <w:sz w:val="24"/>
          <w:highlight w:val="none"/>
          <w:lang w:val="zh-CN"/>
        </w:rPr>
        <w:t>、</w:t>
      </w:r>
      <w:r>
        <w:rPr>
          <w:rFonts w:hint="eastAsia"/>
          <w:color w:val="auto"/>
          <w:sz w:val="24"/>
          <w:highlight w:val="none"/>
        </w:rPr>
        <w:t>中标人</w:t>
      </w:r>
      <w:r>
        <w:rPr>
          <w:rFonts w:hint="eastAsia"/>
          <w:color w:val="auto"/>
          <w:sz w:val="24"/>
          <w:highlight w:val="none"/>
          <w:lang w:val="zh-CN"/>
        </w:rPr>
        <w:t>必须严格执行《食品卫生法》，卫生条件必须符合国家标准，人员上岗必须持有健证。食堂工作人员年龄不超过男60周岁、女55周岁。</w:t>
      </w:r>
    </w:p>
    <w:p>
      <w:pPr>
        <w:spacing w:line="360" w:lineRule="auto"/>
        <w:ind w:firstLine="480" w:firstLineChars="200"/>
        <w:rPr>
          <w:rFonts w:hint="eastAsia"/>
          <w:color w:val="auto"/>
          <w:sz w:val="24"/>
          <w:highlight w:val="none"/>
        </w:rPr>
      </w:pPr>
      <w:r>
        <w:rPr>
          <w:rFonts w:hint="eastAsia"/>
          <w:color w:val="auto"/>
          <w:sz w:val="24"/>
          <w:highlight w:val="none"/>
        </w:rPr>
        <w:t>5、员工中有外来务工人员的，必须具有公安部门核发的临时居住证等相关证件。</w:t>
      </w:r>
    </w:p>
    <w:p>
      <w:pPr>
        <w:spacing w:line="360" w:lineRule="auto"/>
        <w:ind w:firstLine="480" w:firstLineChars="200"/>
        <w:rPr>
          <w:rFonts w:hint="eastAsia"/>
          <w:color w:val="auto"/>
          <w:sz w:val="24"/>
          <w:highlight w:val="none"/>
        </w:rPr>
      </w:pPr>
      <w:r>
        <w:rPr>
          <w:rFonts w:hint="eastAsia"/>
          <w:color w:val="auto"/>
          <w:sz w:val="24"/>
          <w:highlight w:val="none"/>
        </w:rPr>
        <w:t>6、</w:t>
      </w:r>
      <w:r>
        <w:rPr>
          <w:rFonts w:hint="eastAsia"/>
          <w:color w:val="auto"/>
          <w:sz w:val="24"/>
          <w:highlight w:val="none"/>
          <w:lang w:val="en-US" w:eastAsia="zh-CN"/>
        </w:rPr>
        <w:t>项目负责人除外，其余人员为食堂常驻人员，</w:t>
      </w:r>
      <w:r>
        <w:rPr>
          <w:rFonts w:hint="eastAsia"/>
          <w:color w:val="auto"/>
          <w:sz w:val="24"/>
          <w:highlight w:val="none"/>
        </w:rPr>
        <w:t>不少于9人。</w:t>
      </w:r>
    </w:p>
    <w:p>
      <w:pPr>
        <w:spacing w:line="360" w:lineRule="auto"/>
        <w:ind w:firstLine="480" w:firstLineChars="200"/>
        <w:rPr>
          <w:rFonts w:hint="eastAsia" w:eastAsia="宋体"/>
          <w:color w:val="auto"/>
          <w:sz w:val="24"/>
          <w:highlight w:val="none"/>
          <w:lang w:eastAsia="zh-CN"/>
        </w:rPr>
      </w:pPr>
      <w:r>
        <w:rPr>
          <w:rFonts w:hint="eastAsia"/>
          <w:color w:val="auto"/>
          <w:sz w:val="24"/>
          <w:highlight w:val="none"/>
          <w:lang w:val="en-US" w:eastAsia="zh-CN"/>
        </w:rPr>
        <w:t>7</w:t>
      </w:r>
      <w:r>
        <w:rPr>
          <w:rFonts w:hint="eastAsia"/>
          <w:color w:val="auto"/>
          <w:sz w:val="24"/>
          <w:highlight w:val="none"/>
        </w:rPr>
        <w:t>、▲项目负责人应负责整个项目的统筹管理，与采购人沟通协调等。每个月到岗率应不低于</w:t>
      </w:r>
      <w:r>
        <w:rPr>
          <w:rFonts w:hint="eastAsia"/>
          <w:color w:val="auto"/>
          <w:sz w:val="24"/>
          <w:highlight w:val="none"/>
          <w:lang w:val="en-US" w:eastAsia="zh-CN"/>
        </w:rPr>
        <w:t>6</w:t>
      </w:r>
      <w:r>
        <w:rPr>
          <w:rFonts w:hint="eastAsia"/>
          <w:color w:val="auto"/>
          <w:sz w:val="24"/>
          <w:highlight w:val="none"/>
        </w:rPr>
        <w:t>0%。</w:t>
      </w:r>
      <w:r>
        <w:rPr>
          <w:rFonts w:hint="eastAsia"/>
          <w:color w:val="auto"/>
          <w:sz w:val="24"/>
          <w:highlight w:val="none"/>
          <w:lang w:eastAsia="zh-CN"/>
        </w:rPr>
        <w:t>（</w:t>
      </w:r>
      <w:r>
        <w:rPr>
          <w:rFonts w:hint="eastAsia"/>
          <w:color w:val="auto"/>
          <w:sz w:val="24"/>
          <w:highlight w:val="none"/>
          <w:lang w:val="en-US" w:eastAsia="zh-CN"/>
        </w:rPr>
        <w:t>提供相关承诺书</w:t>
      </w:r>
      <w:r>
        <w:rPr>
          <w:rFonts w:hint="eastAsia"/>
          <w:color w:val="auto"/>
          <w:sz w:val="24"/>
          <w:highlight w:val="none"/>
          <w:lang w:eastAsia="zh-CN"/>
        </w:rPr>
        <w:t>）</w:t>
      </w:r>
      <w:bookmarkStart w:id="80" w:name="_GoBack"/>
      <w:bookmarkEnd w:id="80"/>
    </w:p>
    <w:p>
      <w:p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8、</w:t>
      </w:r>
      <w:r>
        <w:rPr>
          <w:rFonts w:hint="eastAsia"/>
          <w:color w:val="auto"/>
          <w:sz w:val="24"/>
          <w:highlight w:val="none"/>
        </w:rPr>
        <w:t>▲</w:t>
      </w:r>
      <w:r>
        <w:rPr>
          <w:rFonts w:hint="eastAsia"/>
          <w:color w:val="auto"/>
          <w:sz w:val="24"/>
          <w:highlight w:val="none"/>
          <w:lang w:val="en-US" w:eastAsia="zh-CN"/>
        </w:rPr>
        <w:t>项目负责人和厨师长不得兼任，投标时提供拟派人员信息，中标后须实际到岗，否则视为虚假应标。</w:t>
      </w:r>
      <w:r>
        <w:rPr>
          <w:rFonts w:hint="eastAsia"/>
          <w:color w:val="auto"/>
          <w:sz w:val="24"/>
          <w:highlight w:val="none"/>
          <w:lang w:eastAsia="zh-CN"/>
        </w:rPr>
        <w:t>（</w:t>
      </w:r>
      <w:r>
        <w:rPr>
          <w:rFonts w:hint="eastAsia"/>
          <w:color w:val="auto"/>
          <w:sz w:val="24"/>
          <w:highlight w:val="none"/>
          <w:lang w:val="en-US" w:eastAsia="zh-CN"/>
        </w:rPr>
        <w:t>提供相关承诺书</w:t>
      </w:r>
      <w:r>
        <w:rPr>
          <w:rFonts w:hint="eastAsia"/>
          <w:color w:val="auto"/>
          <w:sz w:val="24"/>
          <w:highlight w:val="none"/>
          <w:lang w:eastAsia="zh-CN"/>
        </w:rPr>
        <w:t>）</w:t>
      </w:r>
    </w:p>
    <w:p>
      <w:pPr>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9、食堂原有工作人员应遵循自愿原则优先录用，新入职工作人员须征得采购人同意后方可上岗。</w:t>
      </w:r>
    </w:p>
    <w:p>
      <w:pPr>
        <w:spacing w:line="360" w:lineRule="auto"/>
        <w:outlineLvl w:val="2"/>
        <w:rPr>
          <w:color w:val="auto"/>
          <w:sz w:val="24"/>
          <w:highlight w:val="none"/>
        </w:rPr>
      </w:pPr>
      <w:bookmarkStart w:id="12" w:name="_Toc153794048"/>
      <w:r>
        <w:rPr>
          <w:rFonts w:hint="eastAsia"/>
          <w:b/>
          <w:color w:val="auto"/>
          <w:sz w:val="24"/>
          <w:highlight w:val="none"/>
        </w:rPr>
        <w:t>（三）岗位职责要求</w:t>
      </w:r>
      <w:bookmarkEnd w:id="12"/>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厨师长职责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1、全面负责后厨的组织、指挥和烹饪工作。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2、了解掌握各岗人员技术水平和工作特点，根据各人专长，合理安排技术岗位。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3、熟知各种原料种类、产地、特点、价格、淡旺季，落实采购部货源购进的验收和储存。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4、控制食品成本，合理使用各种原材料，减少浪费。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5、做到稳定和不断提高出品质量的基础上，不断研制、创新菜式，通过改进提高技术水平、烹调方法,推出各种特色食品和时令菜式。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6、做好每月的工作计划，材料领用以及月工作总结。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7、抓好厨房的技术培训工作，提高厨师技术水平。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8、了解有关政府颁布的食品卫生及有关政策,掌握行业动态,吸取众家之长,树立自己的风格。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9、严格执行消防操作规程，预防火灾事故发生。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10、负责组织厨房设备、工作用具的日常维护和保养工作。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11、负责厨房员工值班、加班的调配工作，严格做好考勤记录。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12、负责菜肴的烹制和部分原料的加工处理。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13、负责菜肴成品质量。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14、制定每周周餐谱，保证一周之内餐品不重复。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15、如果菜量不够，及时加菜，保证员工能全部就餐。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16、每日按时点名，主持召开班前会；检查员工仪容仪表，工作用具，做好考勤。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17、密切注意就餐人数的变化，及时安排厨房做好菜品的调整和成本的控制工作。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18、督促员工做好食堂卫生清洁工作。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19、积极主动征询用餐客人意见，并及时反馈。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20、及时处理客人投诉，并反馈领导；有贵宾时亲自跟踪服务，确保服务质量。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21、严格贯彻执行《食品卫生法》，抓好厨房卫生工作。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22、了解掌握各岗人员技术水平和工作特点，根据各人专长，合理安排技术岗位。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23、在稳定和不断提高出品质量的基础上，进行研制、创新菜式；要对菜品经常进行更新以调剂员工口味。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24、定时盘点资产，检查设施、设备工作情况；做好安全消防工作。</w:t>
      </w:r>
    </w:p>
    <w:p>
      <w:pPr>
        <w:ind w:firstLine="482" w:firstLineChars="200"/>
        <w:rPr>
          <w:rFonts w:ascii="宋体" w:hAnsi="宋体"/>
          <w:color w:val="auto"/>
          <w:sz w:val="24"/>
          <w:highlight w:val="none"/>
        </w:rPr>
      </w:pPr>
      <w:r>
        <w:rPr>
          <w:rFonts w:hint="eastAsia" w:ascii="宋体" w:hAnsi="宋体" w:cs="宋体"/>
          <w:b/>
          <w:bCs/>
          <w:color w:val="auto"/>
          <w:sz w:val="24"/>
          <w:highlight w:val="none"/>
        </w:rPr>
        <w:t>厨师岗位职责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负责包间、员工餐菜肴的烹制和部分原料的加工处理。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负责菜肴成品质量。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负责本岗位所使用的工具设备的保养与管理。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负责本岗位和责任区的卫生。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负责本岗位安全防范及消防工作。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协助指挥打荷工作,巡视营业后的卫生清洁情况,协助上级处理事物 ,督导下属清洁</w:t>
      </w:r>
      <w:r>
        <w:rPr>
          <w:rFonts w:hint="eastAsia" w:ascii="宋体" w:hAnsi="宋体" w:cs="宋体"/>
          <w:color w:val="auto"/>
          <w:sz w:val="24"/>
          <w:highlight w:val="none"/>
        </w:rPr>
        <w:t>明显</w:t>
      </w:r>
      <w:r>
        <w:rPr>
          <w:rFonts w:ascii="宋体" w:hAnsi="宋体" w:cs="宋体"/>
          <w:color w:val="auto"/>
          <w:sz w:val="24"/>
          <w:highlight w:val="none"/>
        </w:rPr>
        <w:t>死角卫生。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顶替</w:t>
      </w:r>
      <w:r>
        <w:rPr>
          <w:rFonts w:hint="eastAsia" w:ascii="宋体" w:hAnsi="宋体" w:cs="宋体"/>
          <w:color w:val="auto"/>
          <w:sz w:val="24"/>
          <w:highlight w:val="none"/>
        </w:rPr>
        <w:t>厨师长</w:t>
      </w:r>
      <w:r>
        <w:rPr>
          <w:rFonts w:ascii="宋体" w:hAnsi="宋体" w:cs="宋体"/>
          <w:color w:val="auto"/>
          <w:sz w:val="24"/>
          <w:highlight w:val="none"/>
        </w:rPr>
        <w:t>假期日常工作。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完成领导交办的临时任务。</w:t>
      </w:r>
    </w:p>
    <w:p>
      <w:pPr>
        <w:ind w:firstLine="482" w:firstLineChars="200"/>
        <w:rPr>
          <w:rFonts w:ascii="宋体" w:hAnsi="宋体"/>
          <w:color w:val="auto"/>
          <w:sz w:val="24"/>
          <w:highlight w:val="none"/>
        </w:rPr>
      </w:pPr>
      <w:r>
        <w:rPr>
          <w:rFonts w:hint="eastAsia" w:ascii="宋体" w:hAnsi="宋体" w:cs="宋体"/>
          <w:b/>
          <w:bCs/>
          <w:color w:val="auto"/>
          <w:sz w:val="24"/>
          <w:highlight w:val="none"/>
        </w:rPr>
        <w:t>面点师岗位职责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1、服从厨师长的领导，负责各式点心、小吃的制作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2、严格执行((食品卫生法》，防止食品污染，注意食品卫生。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3、懂得各种原料及成品的储存保管方法。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4、合理使用各种原材料，减少浪费，以控制成本。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5、注意个人卫生，操作前要洗手，工作服勤洗，保持清洁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6、掌握蒸煮时间和用气规律。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7、认真钻研业务，不断提高面点制作的技术水平。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8、使用各种原材料，减少浪费，以控制成本。</w:t>
      </w:r>
    </w:p>
    <w:p>
      <w:pPr>
        <w:ind w:firstLine="482" w:firstLineChars="200"/>
        <w:rPr>
          <w:rFonts w:ascii="宋体" w:hAnsi="宋体"/>
          <w:color w:val="auto"/>
          <w:sz w:val="24"/>
          <w:highlight w:val="none"/>
        </w:rPr>
      </w:pPr>
      <w:r>
        <w:rPr>
          <w:rFonts w:hint="eastAsia" w:ascii="宋体" w:hAnsi="宋体" w:cs="宋体"/>
          <w:b/>
          <w:bCs/>
          <w:color w:val="auto"/>
          <w:sz w:val="24"/>
          <w:highlight w:val="none"/>
        </w:rPr>
        <w:t>厨工岗位职责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1、遵守公司各项规章制度，维护公司形象及利益。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2、菜品的加工、领料，配合厨师的工作。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3、食品的初加工，菜品洗涤、切配;餐具回收、洗涤、消毒、存放等工作;食物派发、传菜等工作。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4、食堂区域卫生工作，员工用餐后，立即清理卫生，每周两次大扫除，定期进行灭蝇、灭鼠等工作。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5、爱护食堂公共设施。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6、做好食堂节能工作，工作结束后关闭所有的水、电、气等开关。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7、讲究个人卫生，保证食品卫生安全。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8、文明用语，优质服务。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9、发生事故后，必须立即上报董事长 (总经理) 和政府相关部门，并及时作出处理。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10、以上工作必须尽职尽责、保质保量完成任务。</w:t>
      </w:r>
    </w:p>
    <w:p>
      <w:pPr>
        <w:ind w:firstLine="482" w:firstLineChars="200"/>
        <w:rPr>
          <w:rFonts w:ascii="宋体" w:hAnsi="宋体"/>
          <w:color w:val="auto"/>
          <w:sz w:val="24"/>
          <w:highlight w:val="none"/>
        </w:rPr>
      </w:pPr>
      <w:r>
        <w:rPr>
          <w:rFonts w:hint="eastAsia" w:ascii="宋体" w:hAnsi="宋体" w:cs="宋体"/>
          <w:b/>
          <w:bCs/>
          <w:color w:val="auto"/>
          <w:sz w:val="24"/>
          <w:highlight w:val="none"/>
        </w:rPr>
        <w:t>保洁岗位职责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1、负责物业办公区、过道、茶水间等公共场所卫生的清扫。</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2、负责会议室会前、会后的清扫、整理工作。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3、负责打扫各独立办公室的地面卫生，清倒办公室的垃圾。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4、清扫办公区域的厕所卫生间。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5、管理好清扫工具、清运工具。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6、完成领导临时交办的其他工作。</w:t>
      </w:r>
    </w:p>
    <w:p>
      <w:pPr>
        <w:spacing w:line="360" w:lineRule="auto"/>
        <w:outlineLvl w:val="2"/>
        <w:rPr>
          <w:color w:val="auto"/>
          <w:sz w:val="24"/>
          <w:highlight w:val="none"/>
        </w:rPr>
      </w:pPr>
      <w:bookmarkStart w:id="13" w:name="_Toc153794049"/>
      <w:r>
        <w:rPr>
          <w:rFonts w:hint="eastAsia"/>
          <w:b/>
          <w:color w:val="auto"/>
          <w:sz w:val="24"/>
          <w:highlight w:val="none"/>
        </w:rPr>
        <w:t>（四）项目管理要求</w:t>
      </w:r>
      <w:bookmarkEnd w:id="13"/>
    </w:p>
    <w:p>
      <w:pPr>
        <w:spacing w:line="360" w:lineRule="auto"/>
        <w:ind w:firstLine="480" w:firstLineChars="200"/>
        <w:rPr>
          <w:color w:val="auto"/>
          <w:sz w:val="24"/>
          <w:highlight w:val="none"/>
        </w:rPr>
      </w:pPr>
      <w:r>
        <w:rPr>
          <w:rFonts w:hint="eastAsia"/>
          <w:color w:val="auto"/>
          <w:sz w:val="24"/>
          <w:highlight w:val="none"/>
        </w:rPr>
        <w:t>1、投标人必须按照《劳动法》、《劳动合同法》的规定，合法规范用工，并全面承担工作人员涉及劳动关系的所有事宜。</w:t>
      </w:r>
    </w:p>
    <w:p>
      <w:pPr>
        <w:spacing w:line="360" w:lineRule="auto"/>
        <w:ind w:firstLine="480" w:firstLineChars="200"/>
        <w:rPr>
          <w:color w:val="auto"/>
          <w:sz w:val="24"/>
          <w:highlight w:val="none"/>
        </w:rPr>
      </w:pPr>
      <w:r>
        <w:rPr>
          <w:rFonts w:hint="eastAsia"/>
          <w:color w:val="auto"/>
          <w:sz w:val="24"/>
          <w:highlight w:val="none"/>
        </w:rPr>
        <w:t>2、投标人应了解工作人员的思想动态、工作表现、遵纪情况以及招标人其他合理要求，提供最佳服务。</w:t>
      </w:r>
    </w:p>
    <w:p>
      <w:pPr>
        <w:spacing w:line="360" w:lineRule="auto"/>
        <w:ind w:firstLine="480" w:firstLineChars="200"/>
        <w:rPr>
          <w:color w:val="auto"/>
          <w:sz w:val="24"/>
          <w:highlight w:val="none"/>
        </w:rPr>
      </w:pPr>
      <w:r>
        <w:rPr>
          <w:rFonts w:hint="eastAsia"/>
          <w:color w:val="auto"/>
          <w:sz w:val="24"/>
          <w:highlight w:val="none"/>
        </w:rPr>
        <w:t>3、根据招标人的服务要求设定工作岗位，分配工作任务，并对工作人员的工作情况实行监督、检查、考核管理。</w:t>
      </w:r>
    </w:p>
    <w:p>
      <w:pPr>
        <w:spacing w:line="360" w:lineRule="auto"/>
        <w:ind w:firstLine="480" w:firstLineChars="200"/>
        <w:rPr>
          <w:color w:val="auto"/>
          <w:sz w:val="24"/>
          <w:highlight w:val="none"/>
        </w:rPr>
      </w:pPr>
      <w:r>
        <w:rPr>
          <w:rFonts w:hint="eastAsia"/>
          <w:color w:val="auto"/>
          <w:sz w:val="24"/>
          <w:highlight w:val="none"/>
        </w:rPr>
        <w:t>4、投标人工作人员应遵守招标人的规章制度。</w:t>
      </w:r>
    </w:p>
    <w:p>
      <w:pPr>
        <w:spacing w:line="360" w:lineRule="auto"/>
        <w:ind w:firstLine="480" w:firstLineChars="200"/>
        <w:rPr>
          <w:color w:val="auto"/>
          <w:sz w:val="24"/>
          <w:highlight w:val="none"/>
        </w:rPr>
      </w:pPr>
      <w:r>
        <w:rPr>
          <w:rFonts w:hint="eastAsia"/>
          <w:color w:val="auto"/>
          <w:sz w:val="24"/>
          <w:highlight w:val="none"/>
        </w:rPr>
        <w:t>8、按相关规定建立健全各项规章制度、岗位责任制、操作规程。</w:t>
      </w:r>
    </w:p>
    <w:p>
      <w:pPr>
        <w:spacing w:line="360" w:lineRule="auto"/>
        <w:ind w:firstLine="480" w:firstLineChars="200"/>
        <w:rPr>
          <w:color w:val="auto"/>
          <w:sz w:val="24"/>
          <w:highlight w:val="none"/>
        </w:rPr>
      </w:pPr>
      <w:r>
        <w:rPr>
          <w:rFonts w:hint="eastAsia"/>
          <w:color w:val="auto"/>
          <w:sz w:val="24"/>
          <w:highlight w:val="none"/>
        </w:rPr>
        <w:t>5、投标人须自行配备员工的劳保用品，根据岗位统一穿工作制服，工作服装的选择由投标人提供选型经招标人确认。</w:t>
      </w:r>
    </w:p>
    <w:p>
      <w:pPr>
        <w:spacing w:line="360" w:lineRule="auto"/>
        <w:ind w:firstLine="480" w:firstLineChars="200"/>
        <w:rPr>
          <w:rFonts w:hint="eastAsia" w:eastAsia="宋体"/>
          <w:color w:val="auto"/>
          <w:sz w:val="24"/>
          <w:highlight w:val="none"/>
          <w:lang w:eastAsia="zh-CN"/>
        </w:rPr>
      </w:pPr>
      <w:r>
        <w:rPr>
          <w:rFonts w:hint="eastAsia"/>
          <w:color w:val="auto"/>
          <w:sz w:val="24"/>
          <w:highlight w:val="none"/>
        </w:rPr>
        <w:t>6、中标人负责投保食堂期间的安全保险</w:t>
      </w:r>
      <w:r>
        <w:rPr>
          <w:rFonts w:hint="eastAsia"/>
          <w:color w:val="auto"/>
          <w:sz w:val="24"/>
          <w:highlight w:val="none"/>
          <w:lang w:eastAsia="zh-CN"/>
        </w:rPr>
        <w:t>。</w:t>
      </w:r>
    </w:p>
    <w:p>
      <w:pPr>
        <w:spacing w:line="360" w:lineRule="auto"/>
        <w:ind w:firstLine="480" w:firstLineChars="200"/>
        <w:rPr>
          <w:color w:val="auto"/>
          <w:sz w:val="24"/>
          <w:highlight w:val="none"/>
        </w:rPr>
      </w:pPr>
      <w:r>
        <w:rPr>
          <w:rFonts w:hint="eastAsia"/>
          <w:color w:val="auto"/>
          <w:sz w:val="24"/>
          <w:highlight w:val="none"/>
        </w:rPr>
        <w:t>7、员工保险要求</w:t>
      </w:r>
    </w:p>
    <w:p>
      <w:pPr>
        <w:spacing w:line="360" w:lineRule="auto"/>
        <w:ind w:firstLine="480" w:firstLineChars="200"/>
        <w:rPr>
          <w:color w:val="auto"/>
          <w:sz w:val="24"/>
          <w:highlight w:val="none"/>
        </w:rPr>
      </w:pPr>
      <w:r>
        <w:rPr>
          <w:rFonts w:hint="eastAsia"/>
          <w:color w:val="auto"/>
          <w:sz w:val="24"/>
          <w:highlight w:val="none"/>
        </w:rPr>
        <w:t>（1）员工人身意外险：在承包期内，投标人所有工作人员的事故由投标人自行全权负责（投标人对其员工投保人身意外险），及时为进场人员投保第三者责任险并及时向招标人出示保险凭证，以保证招标人在投标人工作人员索偿时不受任何责任的约束。</w:t>
      </w:r>
    </w:p>
    <w:p>
      <w:pPr>
        <w:spacing w:line="360" w:lineRule="auto"/>
        <w:ind w:firstLine="480" w:firstLineChars="200"/>
        <w:rPr>
          <w:color w:val="auto"/>
          <w:sz w:val="24"/>
          <w:highlight w:val="none"/>
        </w:rPr>
      </w:pPr>
      <w:r>
        <w:rPr>
          <w:rFonts w:hint="eastAsia"/>
          <w:color w:val="auto"/>
          <w:sz w:val="24"/>
          <w:highlight w:val="none"/>
        </w:rPr>
        <w:t>（2）其他保险及费用：投标人应按政府各部门有关规定为全体工作人员交纳所有相关的社会保险及其他相关费用。投标人应对此全权负责。</w:t>
      </w:r>
    </w:p>
    <w:p>
      <w:pPr>
        <w:spacing w:line="360" w:lineRule="auto"/>
        <w:ind w:firstLine="241" w:firstLineChars="100"/>
        <w:outlineLvl w:val="2"/>
        <w:rPr>
          <w:b/>
          <w:color w:val="auto"/>
          <w:sz w:val="24"/>
          <w:highlight w:val="none"/>
        </w:rPr>
      </w:pPr>
      <w:bookmarkStart w:id="14" w:name="_Toc153794050"/>
      <w:r>
        <w:rPr>
          <w:rFonts w:hint="eastAsia"/>
          <w:b/>
          <w:color w:val="auto"/>
          <w:sz w:val="24"/>
          <w:highlight w:val="none"/>
        </w:rPr>
        <w:t>（五）卫生管理要求</w:t>
      </w:r>
      <w:bookmarkEnd w:id="14"/>
    </w:p>
    <w:p>
      <w:pPr>
        <w:spacing w:line="360" w:lineRule="auto"/>
        <w:ind w:firstLine="480" w:firstLineChars="200"/>
        <w:rPr>
          <w:color w:val="auto"/>
          <w:sz w:val="24"/>
          <w:highlight w:val="none"/>
        </w:rPr>
      </w:pPr>
      <w:r>
        <w:rPr>
          <w:rFonts w:hint="eastAsia"/>
          <w:color w:val="auto"/>
          <w:sz w:val="24"/>
          <w:highlight w:val="none"/>
        </w:rPr>
        <w:t>1、配备卫生负责人，负责全面卫生管理工作。食堂管理须达到餐饮服务食品安全监督量化分级管理的A级标准。</w:t>
      </w:r>
    </w:p>
    <w:p>
      <w:pPr>
        <w:spacing w:line="360" w:lineRule="auto"/>
        <w:ind w:firstLine="480" w:firstLineChars="200"/>
        <w:rPr>
          <w:color w:val="auto"/>
          <w:sz w:val="24"/>
          <w:highlight w:val="none"/>
        </w:rPr>
      </w:pPr>
      <w:r>
        <w:rPr>
          <w:rFonts w:hint="eastAsia"/>
          <w:color w:val="auto"/>
          <w:sz w:val="24"/>
          <w:highlight w:val="none"/>
        </w:rPr>
        <w:t>2、做好食堂卫生管理工作，积极有效地预防食物中毒和食源性疾病的发生，确保师生平安。严格按照《中华人民共和国食品安全法》验收、清洗、加工要求制作食品，做好厨房、餐厅等所有区域的卫生管理工作，厨房用品用具严格实行一洗二过三消毒的规程，</w:t>
      </w:r>
    </w:p>
    <w:p>
      <w:pPr>
        <w:spacing w:line="360" w:lineRule="auto"/>
        <w:ind w:firstLine="480" w:firstLineChars="200"/>
        <w:rPr>
          <w:color w:val="auto"/>
          <w:sz w:val="24"/>
          <w:highlight w:val="none"/>
        </w:rPr>
      </w:pPr>
      <w:r>
        <w:rPr>
          <w:rFonts w:hint="eastAsia"/>
          <w:color w:val="auto"/>
          <w:sz w:val="24"/>
          <w:highlight w:val="none"/>
        </w:rPr>
        <w:t>3、工作人员必须有良好的卫生习惯，每年必须参加体检，持证上岗。工作期间，工作衣、帽整洁统一，工号、口罩佩戴到位。</w:t>
      </w:r>
    </w:p>
    <w:p>
      <w:pPr>
        <w:spacing w:line="360" w:lineRule="auto"/>
        <w:ind w:firstLine="480" w:firstLineChars="200"/>
        <w:rPr>
          <w:color w:val="auto"/>
          <w:sz w:val="24"/>
          <w:highlight w:val="none"/>
        </w:rPr>
      </w:pPr>
      <w:r>
        <w:rPr>
          <w:rFonts w:hint="eastAsia"/>
          <w:color w:val="auto"/>
          <w:sz w:val="24"/>
          <w:highlight w:val="none"/>
        </w:rPr>
        <w:t>4、自觉接受卫生管理部门和招标人管理人员对食堂内工作检查、监督。</w:t>
      </w:r>
    </w:p>
    <w:p>
      <w:pPr>
        <w:spacing w:line="360" w:lineRule="auto"/>
        <w:ind w:firstLine="480" w:firstLineChars="200"/>
        <w:outlineLvl w:val="3"/>
        <w:rPr>
          <w:color w:val="auto"/>
          <w:sz w:val="24"/>
          <w:highlight w:val="none"/>
        </w:rPr>
      </w:pPr>
      <w:r>
        <w:rPr>
          <w:rFonts w:hint="eastAsia"/>
          <w:color w:val="auto"/>
          <w:sz w:val="24"/>
          <w:highlight w:val="none"/>
        </w:rPr>
        <w:t>5、定期做好油烟机清洗、地沟油污清理工作等。</w:t>
      </w:r>
    </w:p>
    <w:p>
      <w:pPr>
        <w:spacing w:line="360" w:lineRule="auto"/>
        <w:ind w:firstLine="480" w:firstLineChars="200"/>
        <w:rPr>
          <w:color w:val="auto"/>
          <w:sz w:val="24"/>
          <w:highlight w:val="none"/>
        </w:rPr>
      </w:pPr>
      <w:r>
        <w:rPr>
          <w:rFonts w:hint="eastAsia"/>
          <w:color w:val="auto"/>
          <w:sz w:val="24"/>
          <w:highlight w:val="none"/>
        </w:rPr>
        <w:t>6、按相关规定做好垃圾处置工作，垃圾污物应按指定地点分类放置，不得随意弃放。</w:t>
      </w:r>
    </w:p>
    <w:p>
      <w:pPr>
        <w:spacing w:line="360" w:lineRule="auto"/>
        <w:ind w:firstLine="480" w:firstLineChars="200"/>
        <w:rPr>
          <w:color w:val="auto"/>
          <w:sz w:val="24"/>
          <w:highlight w:val="none"/>
        </w:rPr>
      </w:pPr>
      <w:r>
        <w:rPr>
          <w:rFonts w:hint="eastAsia"/>
          <w:color w:val="auto"/>
          <w:sz w:val="24"/>
          <w:highlight w:val="none"/>
        </w:rPr>
        <w:t>7、做好食堂区域内日常除“四害”工作，做好病原体和传染病防治工作。</w:t>
      </w:r>
    </w:p>
    <w:p>
      <w:pPr>
        <w:spacing w:line="360" w:lineRule="auto"/>
        <w:ind w:firstLine="241" w:firstLineChars="100"/>
        <w:outlineLvl w:val="2"/>
        <w:rPr>
          <w:b/>
          <w:color w:val="auto"/>
          <w:sz w:val="24"/>
          <w:highlight w:val="none"/>
        </w:rPr>
      </w:pPr>
      <w:bookmarkStart w:id="15" w:name="_Toc153794051"/>
      <w:r>
        <w:rPr>
          <w:rFonts w:hint="eastAsia"/>
          <w:b/>
          <w:color w:val="auto"/>
          <w:sz w:val="24"/>
          <w:highlight w:val="none"/>
        </w:rPr>
        <w:t>（六）安全管理要求</w:t>
      </w:r>
      <w:bookmarkEnd w:id="15"/>
    </w:p>
    <w:p>
      <w:pPr>
        <w:spacing w:line="360" w:lineRule="auto"/>
        <w:ind w:firstLine="480" w:firstLineChars="200"/>
        <w:rPr>
          <w:color w:val="auto"/>
          <w:sz w:val="24"/>
          <w:highlight w:val="none"/>
        </w:rPr>
      </w:pPr>
      <w:r>
        <w:rPr>
          <w:rFonts w:hint="eastAsia"/>
          <w:color w:val="auto"/>
          <w:sz w:val="24"/>
          <w:highlight w:val="none"/>
        </w:rPr>
        <w:t>1、把好食材等物品进货验收质量关，严禁使用任何变质或受污染的原料制作食品。</w:t>
      </w:r>
    </w:p>
    <w:p>
      <w:pPr>
        <w:spacing w:line="360" w:lineRule="auto"/>
        <w:ind w:firstLine="480" w:firstLineChars="200"/>
        <w:rPr>
          <w:color w:val="auto"/>
          <w:sz w:val="24"/>
          <w:highlight w:val="none"/>
        </w:rPr>
      </w:pPr>
      <w:r>
        <w:rPr>
          <w:rFonts w:hint="eastAsia"/>
          <w:color w:val="auto"/>
          <w:sz w:val="24"/>
          <w:highlight w:val="none"/>
        </w:rPr>
        <w:t>2、严格控制使用食品添加剂，注重食品卫生，防止食物中毒事件发生。</w:t>
      </w:r>
    </w:p>
    <w:p>
      <w:pPr>
        <w:spacing w:line="360" w:lineRule="auto"/>
        <w:ind w:firstLine="480" w:firstLineChars="200"/>
        <w:rPr>
          <w:color w:val="auto"/>
          <w:sz w:val="24"/>
          <w:highlight w:val="none"/>
        </w:rPr>
      </w:pPr>
      <w:r>
        <w:rPr>
          <w:rFonts w:hint="eastAsia"/>
          <w:color w:val="auto"/>
          <w:sz w:val="24"/>
          <w:highlight w:val="none"/>
        </w:rPr>
        <w:t>3、严格执行索证索票制度、农药残留测试制度、食品留样制度，预防食物中毒事件发。</w:t>
      </w:r>
    </w:p>
    <w:p>
      <w:pPr>
        <w:spacing w:line="360" w:lineRule="auto"/>
        <w:ind w:firstLine="480" w:firstLineChars="200"/>
        <w:outlineLvl w:val="3"/>
        <w:rPr>
          <w:color w:val="auto"/>
          <w:sz w:val="24"/>
          <w:highlight w:val="none"/>
        </w:rPr>
      </w:pPr>
      <w:r>
        <w:rPr>
          <w:rFonts w:hint="eastAsia"/>
          <w:color w:val="auto"/>
          <w:sz w:val="24"/>
          <w:highlight w:val="none"/>
        </w:rPr>
        <w:t>4、严格遵守设备操作规程，防止发生人身设备安全事故。</w:t>
      </w:r>
    </w:p>
    <w:p>
      <w:pPr>
        <w:spacing w:line="360" w:lineRule="auto"/>
        <w:ind w:firstLine="480" w:firstLineChars="200"/>
        <w:rPr>
          <w:color w:val="auto"/>
          <w:sz w:val="24"/>
          <w:highlight w:val="none"/>
        </w:rPr>
      </w:pPr>
      <w:r>
        <w:rPr>
          <w:rFonts w:hint="eastAsia"/>
          <w:color w:val="auto"/>
          <w:sz w:val="24"/>
          <w:highlight w:val="none"/>
        </w:rPr>
        <w:t>5、下班后和设备使用完后落实关气、关电、关水、关门检查制度，预防火灾、偷盗事件发生。</w:t>
      </w:r>
    </w:p>
    <w:p>
      <w:pPr>
        <w:spacing w:line="360" w:lineRule="auto"/>
        <w:ind w:firstLine="480" w:firstLineChars="200"/>
        <w:rPr>
          <w:color w:val="auto"/>
          <w:sz w:val="24"/>
          <w:highlight w:val="none"/>
        </w:rPr>
      </w:pPr>
      <w:r>
        <w:rPr>
          <w:rFonts w:hint="eastAsia"/>
          <w:color w:val="auto"/>
          <w:sz w:val="24"/>
          <w:highlight w:val="none"/>
        </w:rPr>
        <w:t>6、加大对消防安全工作的管理力度，配备安全负责人，须取得消防安全培训合格证书，定期组织消防安全检查，查处并整改消防安全隐患，切实把消防安全工作与生产经营管理工作相结合，确保各项工作能顺利进行。制定消防应急预案，通过开展消防安全知识培训和消防演练，提高员工的消防安全意识。定期对消防设备进行检查和保养，以备发生事故时能及时启动，为消防安全工作得以顺利开展提供硬件保障。</w:t>
      </w:r>
    </w:p>
    <w:p>
      <w:pPr>
        <w:spacing w:line="360" w:lineRule="auto"/>
        <w:ind w:firstLine="241" w:firstLineChars="100"/>
        <w:outlineLvl w:val="2"/>
        <w:rPr>
          <w:b/>
          <w:color w:val="auto"/>
          <w:sz w:val="24"/>
          <w:highlight w:val="none"/>
        </w:rPr>
      </w:pPr>
      <w:bookmarkStart w:id="16" w:name="_Toc153794052"/>
      <w:r>
        <w:rPr>
          <w:rFonts w:hint="eastAsia"/>
          <w:b/>
          <w:color w:val="auto"/>
          <w:sz w:val="24"/>
          <w:highlight w:val="none"/>
        </w:rPr>
        <w:t>（七）设备管理要求</w:t>
      </w:r>
      <w:bookmarkEnd w:id="16"/>
    </w:p>
    <w:p>
      <w:pPr>
        <w:spacing w:line="360" w:lineRule="auto"/>
        <w:ind w:firstLine="480" w:firstLineChars="200"/>
        <w:rPr>
          <w:color w:val="auto"/>
          <w:sz w:val="24"/>
          <w:highlight w:val="none"/>
        </w:rPr>
      </w:pPr>
      <w:r>
        <w:rPr>
          <w:rFonts w:hint="eastAsia"/>
          <w:color w:val="auto"/>
          <w:sz w:val="24"/>
          <w:highlight w:val="none"/>
        </w:rPr>
        <w:t>1、食堂室内外装修，投标人不应私自改变。如确需改动的，必须经招标人同意，方可改动。</w:t>
      </w:r>
    </w:p>
    <w:p>
      <w:pPr>
        <w:spacing w:line="360" w:lineRule="auto"/>
        <w:ind w:firstLine="480" w:firstLineChars="200"/>
        <w:rPr>
          <w:color w:val="auto"/>
          <w:sz w:val="24"/>
          <w:highlight w:val="none"/>
        </w:rPr>
      </w:pPr>
      <w:r>
        <w:rPr>
          <w:rFonts w:hint="eastAsia"/>
          <w:color w:val="auto"/>
          <w:sz w:val="24"/>
          <w:highlight w:val="none"/>
        </w:rPr>
        <w:t>2、抓好设施设备的使用管理，严格落实设施设备的安全操作和正常维护措施，高效使用现有设施设备，确保设施设备的正常运行。</w:t>
      </w:r>
    </w:p>
    <w:p>
      <w:pPr>
        <w:spacing w:line="360" w:lineRule="auto"/>
        <w:ind w:firstLine="480" w:firstLineChars="200"/>
        <w:rPr>
          <w:color w:val="auto"/>
          <w:highlight w:val="none"/>
        </w:rPr>
      </w:pPr>
      <w:r>
        <w:rPr>
          <w:rFonts w:hint="eastAsia"/>
          <w:color w:val="auto"/>
          <w:sz w:val="24"/>
          <w:highlight w:val="none"/>
        </w:rPr>
        <w:t>3、食堂现有的桌椅、厨房设备，提供给投标人免费使用，投标人应爱惜财物保持其完好性。正常损耗、维修费用由招标人负责。如发现属人工操作不当或故意损坏由投标人负责维修和赔偿。特别是重大设备设施，如冰箱、炉灶、消毒柜等。</w:t>
      </w:r>
    </w:p>
    <w:p>
      <w:pPr>
        <w:spacing w:line="360" w:lineRule="auto"/>
        <w:outlineLvl w:val="1"/>
        <w:rPr>
          <w:color w:val="auto"/>
          <w:sz w:val="24"/>
          <w:highlight w:val="none"/>
        </w:rPr>
      </w:pPr>
      <w:bookmarkStart w:id="17" w:name="_Toc153794053"/>
      <w:r>
        <w:rPr>
          <w:rFonts w:hint="eastAsia"/>
          <w:b/>
          <w:bCs/>
          <w:color w:val="auto"/>
          <w:sz w:val="24"/>
          <w:highlight w:val="none"/>
        </w:rPr>
        <w:t>三、服务要求</w:t>
      </w:r>
      <w:bookmarkEnd w:id="17"/>
    </w:p>
    <w:p>
      <w:pPr>
        <w:spacing w:line="360" w:lineRule="auto"/>
        <w:ind w:firstLine="480" w:firstLineChars="200"/>
        <w:outlineLvl w:val="2"/>
        <w:rPr>
          <w:color w:val="auto"/>
          <w:sz w:val="24"/>
          <w:highlight w:val="none"/>
        </w:rPr>
      </w:pPr>
      <w:bookmarkStart w:id="18" w:name="_Toc153794054"/>
      <w:r>
        <w:rPr>
          <w:rFonts w:hint="eastAsia"/>
          <w:color w:val="auto"/>
          <w:sz w:val="24"/>
          <w:highlight w:val="none"/>
        </w:rPr>
        <w:t>1、质检条款</w:t>
      </w:r>
      <w:bookmarkEnd w:id="18"/>
    </w:p>
    <w:p>
      <w:pPr>
        <w:spacing w:line="360" w:lineRule="auto"/>
        <w:ind w:firstLine="480" w:firstLineChars="200"/>
        <w:rPr>
          <w:color w:val="auto"/>
          <w:sz w:val="24"/>
          <w:highlight w:val="none"/>
        </w:rPr>
      </w:pPr>
      <w:r>
        <w:rPr>
          <w:rFonts w:hint="eastAsia"/>
          <w:color w:val="auto"/>
          <w:sz w:val="24"/>
          <w:highlight w:val="none"/>
        </w:rPr>
        <w:t>招标人对中标人实行监督和管理，并将按照本招标文件和合同的要求对中标人的违规行为进行记录和处罚。中标人和招标人应建立固定的监督和管理制度。中标人应每月初对上月的工作提交工作报告，并对工作中出现的问题和招标人提出的意见和处罚做出书面的说明和处理情况报告，并在下个月的工作中改善。</w:t>
      </w:r>
    </w:p>
    <w:p>
      <w:pPr>
        <w:spacing w:line="360" w:lineRule="auto"/>
        <w:ind w:firstLine="480" w:firstLineChars="200"/>
        <w:outlineLvl w:val="2"/>
        <w:rPr>
          <w:color w:val="auto"/>
          <w:sz w:val="24"/>
          <w:highlight w:val="none"/>
        </w:rPr>
      </w:pPr>
      <w:bookmarkStart w:id="19" w:name="_Toc153794055"/>
      <w:r>
        <w:rPr>
          <w:rFonts w:hint="eastAsia"/>
          <w:color w:val="auto"/>
          <w:sz w:val="24"/>
          <w:highlight w:val="none"/>
        </w:rPr>
        <w:t>2、食品质量要求</w:t>
      </w:r>
      <w:bookmarkEnd w:id="19"/>
    </w:p>
    <w:p>
      <w:pPr>
        <w:spacing w:line="360" w:lineRule="auto"/>
        <w:ind w:firstLine="480" w:firstLineChars="200"/>
        <w:rPr>
          <w:color w:val="auto"/>
          <w:sz w:val="24"/>
          <w:highlight w:val="none"/>
        </w:rPr>
      </w:pPr>
      <w:r>
        <w:rPr>
          <w:rFonts w:hint="eastAsia"/>
          <w:color w:val="auto"/>
          <w:sz w:val="24"/>
          <w:highlight w:val="none"/>
        </w:rPr>
        <w:t>2.1冷菜酱制食品不含过多汤汁。</w:t>
      </w:r>
    </w:p>
    <w:p>
      <w:pPr>
        <w:spacing w:line="360" w:lineRule="auto"/>
        <w:ind w:firstLine="480" w:firstLineChars="200"/>
        <w:rPr>
          <w:color w:val="auto"/>
          <w:sz w:val="24"/>
          <w:highlight w:val="none"/>
        </w:rPr>
      </w:pPr>
      <w:r>
        <w:rPr>
          <w:rFonts w:hint="eastAsia"/>
          <w:color w:val="auto"/>
          <w:sz w:val="24"/>
          <w:highlight w:val="none"/>
        </w:rPr>
        <w:t>2.2冷菜切配的食品刀工细腻均匀并搭配合理。</w:t>
      </w:r>
    </w:p>
    <w:p>
      <w:pPr>
        <w:spacing w:line="360" w:lineRule="auto"/>
        <w:ind w:firstLine="480" w:firstLineChars="200"/>
        <w:rPr>
          <w:color w:val="auto"/>
          <w:sz w:val="24"/>
          <w:highlight w:val="none"/>
        </w:rPr>
      </w:pPr>
      <w:r>
        <w:rPr>
          <w:rFonts w:hint="eastAsia"/>
          <w:color w:val="auto"/>
          <w:sz w:val="24"/>
          <w:highlight w:val="none"/>
        </w:rPr>
        <w:t>2.3冷菜凉拌食品汤汁适度并即时拌制。</w:t>
      </w:r>
    </w:p>
    <w:p>
      <w:pPr>
        <w:spacing w:line="360" w:lineRule="auto"/>
        <w:ind w:firstLine="480" w:firstLineChars="200"/>
        <w:rPr>
          <w:color w:val="auto"/>
          <w:sz w:val="24"/>
          <w:highlight w:val="none"/>
        </w:rPr>
      </w:pPr>
      <w:r>
        <w:rPr>
          <w:rFonts w:hint="eastAsia"/>
          <w:color w:val="auto"/>
          <w:sz w:val="24"/>
          <w:highlight w:val="none"/>
        </w:rPr>
        <w:t>2.4熟制后食品完整不碎及不松散。</w:t>
      </w:r>
    </w:p>
    <w:p>
      <w:pPr>
        <w:spacing w:line="360" w:lineRule="auto"/>
        <w:ind w:firstLine="480" w:firstLineChars="200"/>
        <w:rPr>
          <w:color w:val="auto"/>
          <w:sz w:val="24"/>
          <w:highlight w:val="none"/>
        </w:rPr>
      </w:pPr>
      <w:r>
        <w:rPr>
          <w:rFonts w:hint="eastAsia"/>
          <w:color w:val="auto"/>
          <w:sz w:val="24"/>
          <w:highlight w:val="none"/>
        </w:rPr>
        <w:t>2.5热菜供餐时保持温热。</w:t>
      </w:r>
    </w:p>
    <w:p>
      <w:pPr>
        <w:spacing w:line="360" w:lineRule="auto"/>
        <w:ind w:firstLine="480" w:firstLineChars="200"/>
        <w:rPr>
          <w:color w:val="auto"/>
          <w:sz w:val="24"/>
          <w:highlight w:val="none"/>
        </w:rPr>
      </w:pPr>
      <w:r>
        <w:rPr>
          <w:rFonts w:hint="eastAsia"/>
          <w:color w:val="auto"/>
          <w:sz w:val="24"/>
          <w:highlight w:val="none"/>
        </w:rPr>
        <w:t>2.6热菜食品表面无风干及水浸现象。</w:t>
      </w:r>
    </w:p>
    <w:p>
      <w:pPr>
        <w:spacing w:line="360" w:lineRule="auto"/>
        <w:ind w:firstLine="480" w:firstLineChars="200"/>
        <w:rPr>
          <w:color w:val="auto"/>
          <w:sz w:val="24"/>
          <w:highlight w:val="none"/>
        </w:rPr>
      </w:pPr>
      <w:r>
        <w:rPr>
          <w:rFonts w:hint="eastAsia"/>
          <w:color w:val="auto"/>
          <w:sz w:val="24"/>
          <w:highlight w:val="none"/>
        </w:rPr>
        <w:t>2.7素食食品即时烹炒并控干过多汤汁和水分。</w:t>
      </w:r>
    </w:p>
    <w:p>
      <w:pPr>
        <w:spacing w:line="360" w:lineRule="auto"/>
        <w:ind w:firstLine="480" w:firstLineChars="200"/>
        <w:rPr>
          <w:color w:val="auto"/>
          <w:sz w:val="24"/>
          <w:highlight w:val="none"/>
        </w:rPr>
      </w:pPr>
      <w:r>
        <w:rPr>
          <w:rFonts w:hint="eastAsia"/>
          <w:color w:val="auto"/>
          <w:sz w:val="24"/>
          <w:highlight w:val="none"/>
        </w:rPr>
        <w:t>2.8所供食品保证质量</w:t>
      </w:r>
    </w:p>
    <w:p>
      <w:pPr>
        <w:spacing w:line="360" w:lineRule="auto"/>
        <w:ind w:firstLine="480" w:firstLineChars="200"/>
        <w:outlineLvl w:val="2"/>
        <w:rPr>
          <w:color w:val="auto"/>
          <w:sz w:val="24"/>
          <w:highlight w:val="none"/>
        </w:rPr>
      </w:pPr>
      <w:bookmarkStart w:id="20" w:name="_Toc153794056"/>
      <w:r>
        <w:rPr>
          <w:rFonts w:hint="eastAsia"/>
          <w:color w:val="auto"/>
          <w:sz w:val="24"/>
          <w:highlight w:val="none"/>
        </w:rPr>
        <w:t>3、饭菜出品时间和要求</w:t>
      </w:r>
      <w:bookmarkEnd w:id="20"/>
    </w:p>
    <w:p>
      <w:pPr>
        <w:spacing w:line="360" w:lineRule="auto"/>
        <w:ind w:firstLine="480" w:firstLineChars="200"/>
        <w:rPr>
          <w:color w:val="auto"/>
          <w:sz w:val="24"/>
          <w:highlight w:val="none"/>
        </w:rPr>
      </w:pPr>
      <w:r>
        <w:rPr>
          <w:rFonts w:hint="eastAsia"/>
          <w:color w:val="auto"/>
          <w:sz w:val="24"/>
          <w:highlight w:val="none"/>
        </w:rPr>
        <w:t>3.1按规定准时开餐，每餐所供食品在开餐前15分钟布置完毕，如变更或其他情况，不能准时开餐，中标人应提前通知招标人，并留有充分时间做出补救。</w:t>
      </w:r>
    </w:p>
    <w:p>
      <w:pPr>
        <w:spacing w:line="360" w:lineRule="auto"/>
        <w:ind w:firstLine="480" w:firstLineChars="200"/>
        <w:rPr>
          <w:color w:val="auto"/>
          <w:sz w:val="24"/>
          <w:highlight w:val="none"/>
        </w:rPr>
      </w:pPr>
      <w:r>
        <w:rPr>
          <w:rFonts w:hint="eastAsia"/>
          <w:color w:val="auto"/>
          <w:sz w:val="24"/>
          <w:highlight w:val="none"/>
        </w:rPr>
        <w:t>3.2合理安排用餐人数，做好用餐人员分流工作，保持供餐器皿内食品在一半以上，不可出现用餐人员等候拥挤混乱现象。</w:t>
      </w:r>
    </w:p>
    <w:p>
      <w:pPr>
        <w:spacing w:line="360" w:lineRule="auto"/>
        <w:ind w:firstLine="480" w:firstLineChars="200"/>
        <w:outlineLvl w:val="3"/>
        <w:rPr>
          <w:color w:val="auto"/>
          <w:sz w:val="24"/>
          <w:highlight w:val="none"/>
        </w:rPr>
      </w:pPr>
      <w:r>
        <w:rPr>
          <w:rFonts w:hint="eastAsia"/>
          <w:color w:val="auto"/>
          <w:sz w:val="24"/>
          <w:highlight w:val="none"/>
        </w:rPr>
        <w:t>3.3分餐服务人员及时准确进行分餐，保证菜量。</w:t>
      </w:r>
    </w:p>
    <w:p>
      <w:pPr>
        <w:spacing w:line="360" w:lineRule="auto"/>
        <w:ind w:firstLine="480" w:firstLineChars="200"/>
        <w:rPr>
          <w:color w:val="auto"/>
          <w:sz w:val="24"/>
          <w:highlight w:val="none"/>
        </w:rPr>
      </w:pPr>
      <w:r>
        <w:rPr>
          <w:rFonts w:hint="eastAsia"/>
          <w:color w:val="auto"/>
          <w:sz w:val="24"/>
          <w:highlight w:val="none"/>
        </w:rPr>
        <w:t>3.4当招标人增加或减少餐费标准时，中标人应在招标人指定的时间内对饭菜做出调整，调整前必须提前指定出方案，经招标人审核、确认、批准后方可实施。</w:t>
      </w:r>
    </w:p>
    <w:p>
      <w:pPr>
        <w:tabs>
          <w:tab w:val="left" w:pos="462"/>
        </w:tabs>
        <w:spacing w:line="360" w:lineRule="auto"/>
        <w:outlineLvl w:val="1"/>
        <w:rPr>
          <w:b/>
          <w:bCs/>
          <w:color w:val="auto"/>
          <w:sz w:val="24"/>
          <w:highlight w:val="none"/>
        </w:rPr>
      </w:pPr>
      <w:bookmarkStart w:id="21" w:name="_Toc153794057"/>
      <w:r>
        <w:rPr>
          <w:rFonts w:hint="eastAsia"/>
          <w:b/>
          <w:bCs/>
          <w:color w:val="auto"/>
          <w:sz w:val="24"/>
          <w:highlight w:val="none"/>
        </w:rPr>
        <w:t>四、服务承诺</w:t>
      </w:r>
      <w:bookmarkEnd w:id="21"/>
    </w:p>
    <w:p>
      <w:pPr>
        <w:spacing w:line="360" w:lineRule="auto"/>
        <w:ind w:firstLine="480" w:firstLineChars="200"/>
        <w:rPr>
          <w:color w:val="auto"/>
          <w:sz w:val="24"/>
          <w:highlight w:val="none"/>
        </w:rPr>
      </w:pPr>
      <w:r>
        <w:rPr>
          <w:rFonts w:hint="eastAsia"/>
          <w:color w:val="auto"/>
          <w:sz w:val="24"/>
          <w:highlight w:val="none"/>
        </w:rPr>
        <w:t>1、投标人应指定一名负责人与招标人保持联系，随时解决各类问题。</w:t>
      </w:r>
    </w:p>
    <w:p>
      <w:pPr>
        <w:spacing w:line="360" w:lineRule="auto"/>
        <w:ind w:firstLine="480" w:firstLineChars="200"/>
        <w:rPr>
          <w:color w:val="auto"/>
          <w:sz w:val="24"/>
          <w:highlight w:val="none"/>
        </w:rPr>
      </w:pPr>
      <w:r>
        <w:rPr>
          <w:rFonts w:hint="eastAsia"/>
          <w:color w:val="auto"/>
          <w:sz w:val="24"/>
          <w:highlight w:val="none"/>
        </w:rPr>
        <w:t>2、服务方案和相关服务承诺应内容明确，范围清楚，内容真实可行，否则一切后果投标人自负。</w:t>
      </w:r>
    </w:p>
    <w:p>
      <w:pPr>
        <w:tabs>
          <w:tab w:val="left" w:pos="540"/>
        </w:tabs>
        <w:autoSpaceDE w:val="0"/>
        <w:autoSpaceDN w:val="0"/>
        <w:adjustRightInd w:val="0"/>
        <w:spacing w:line="360" w:lineRule="auto"/>
        <w:outlineLvl w:val="1"/>
        <w:rPr>
          <w:b/>
          <w:bCs/>
          <w:color w:val="auto"/>
          <w:sz w:val="24"/>
          <w:highlight w:val="none"/>
          <w:lang w:val="zh-CN"/>
        </w:rPr>
      </w:pPr>
      <w:bookmarkStart w:id="22" w:name="_Toc153794058"/>
      <w:r>
        <w:rPr>
          <w:rFonts w:hint="eastAsia"/>
          <w:b/>
          <w:bCs/>
          <w:color w:val="auto"/>
          <w:sz w:val="24"/>
          <w:highlight w:val="none"/>
        </w:rPr>
        <w:t>五</w:t>
      </w:r>
      <w:r>
        <w:rPr>
          <w:rFonts w:hint="eastAsia"/>
          <w:b/>
          <w:bCs/>
          <w:color w:val="auto"/>
          <w:sz w:val="24"/>
          <w:highlight w:val="none"/>
          <w:lang w:val="zh-CN"/>
        </w:rPr>
        <w:t>、其他要求</w:t>
      </w:r>
      <w:bookmarkEnd w:id="22"/>
    </w:p>
    <w:p>
      <w:pPr>
        <w:spacing w:line="360" w:lineRule="auto"/>
        <w:ind w:firstLine="480" w:firstLineChars="200"/>
        <w:rPr>
          <w:color w:val="auto"/>
          <w:sz w:val="24"/>
          <w:highlight w:val="none"/>
        </w:rPr>
      </w:pPr>
      <w:r>
        <w:rPr>
          <w:rFonts w:hint="eastAsia"/>
          <w:color w:val="auto"/>
          <w:sz w:val="24"/>
          <w:highlight w:val="none"/>
        </w:rPr>
        <w:t>1、经营期满后，中标人须按招标人要求交还原有设备。原有设备若有损坏要修复、按原价赔偿。</w:t>
      </w:r>
    </w:p>
    <w:p>
      <w:pPr>
        <w:spacing w:line="360" w:lineRule="auto"/>
        <w:ind w:firstLine="480" w:firstLineChars="200"/>
        <w:rPr>
          <w:color w:val="auto"/>
          <w:sz w:val="24"/>
          <w:highlight w:val="none"/>
        </w:rPr>
      </w:pPr>
      <w:r>
        <w:rPr>
          <w:rFonts w:hint="eastAsia"/>
          <w:color w:val="auto"/>
          <w:sz w:val="24"/>
          <w:highlight w:val="none"/>
        </w:rPr>
        <w:t>2、中标人因经营管理失职造成食物中毒事件、人身损害事故及其他安全事故，中标人赔偿由此引起的一切损失，情节严重者追究中标人的民事和刑事责任。发生重大事故的，招标人有权无条件终止合同，并要求依法补偿造成的经济损失。</w:t>
      </w:r>
    </w:p>
    <w:p>
      <w:pPr>
        <w:spacing w:line="360" w:lineRule="auto"/>
        <w:ind w:firstLine="480" w:firstLineChars="200"/>
        <w:rPr>
          <w:color w:val="auto"/>
          <w:sz w:val="24"/>
          <w:highlight w:val="none"/>
        </w:rPr>
      </w:pPr>
      <w:r>
        <w:rPr>
          <w:rFonts w:hint="eastAsia"/>
          <w:color w:val="auto"/>
          <w:sz w:val="24"/>
          <w:highlight w:val="none"/>
        </w:rPr>
        <w:t>3、中标人在合同期内不得以任何理由停止食堂营业，否则招标人有权终止合同。</w:t>
      </w:r>
    </w:p>
    <w:p>
      <w:pPr>
        <w:spacing w:line="360" w:lineRule="auto"/>
        <w:ind w:firstLine="480" w:firstLineChars="200"/>
        <w:rPr>
          <w:rFonts w:hint="eastAsia"/>
          <w:color w:val="auto"/>
          <w:sz w:val="24"/>
          <w:highlight w:val="none"/>
        </w:rPr>
      </w:pPr>
      <w:r>
        <w:rPr>
          <w:rFonts w:hint="eastAsia"/>
          <w:color w:val="auto"/>
          <w:sz w:val="24"/>
          <w:highlight w:val="none"/>
        </w:rPr>
        <w:t>4、中标人达不到招标人要求及投标时各项服务承诺，招标人有权要求其整改。若拒不整改的，招标人有权无条件终止合同。</w:t>
      </w:r>
    </w:p>
    <w:p>
      <w:pPr>
        <w:spacing w:line="360" w:lineRule="auto"/>
        <w:ind w:firstLine="480" w:firstLineChars="200"/>
        <w:rPr>
          <w:color w:val="auto"/>
          <w:highlight w:val="none"/>
        </w:rPr>
      </w:pPr>
      <w:r>
        <w:rPr>
          <w:rFonts w:hint="eastAsia"/>
          <w:color w:val="auto"/>
          <w:sz w:val="24"/>
          <w:highlight w:val="none"/>
        </w:rPr>
        <w:t>5、合同履行期间，人员数量如有增减，按对应人员的报价按实结算。</w:t>
      </w:r>
    </w:p>
    <w:p>
      <w:pPr>
        <w:spacing w:line="460" w:lineRule="exact"/>
        <w:rPr>
          <w:rFonts w:ascii="宋体" w:hAnsi="宋体"/>
          <w:b/>
          <w:color w:val="auto"/>
          <w:sz w:val="24"/>
          <w:highlight w:val="none"/>
        </w:rPr>
      </w:pPr>
      <w:r>
        <w:rPr>
          <w:rFonts w:hint="eastAsia" w:ascii="宋体" w:hAnsi="宋体"/>
          <w:b/>
          <w:color w:val="auto"/>
          <w:sz w:val="24"/>
          <w:highlight w:val="none"/>
        </w:rPr>
        <w:t>六、行业划分</w:t>
      </w:r>
    </w:p>
    <w:p>
      <w:pPr>
        <w:spacing w:line="460" w:lineRule="exact"/>
        <w:rPr>
          <w:rFonts w:hint="eastAsia" w:ascii="宋体" w:hAnsi="宋体"/>
          <w:b/>
          <w:color w:val="auto"/>
          <w:sz w:val="24"/>
          <w:highlight w:val="none"/>
        </w:rPr>
      </w:pPr>
      <w:r>
        <w:rPr>
          <w:rFonts w:hint="eastAsia" w:ascii="宋体" w:hAnsi="宋体"/>
          <w:b/>
          <w:color w:val="auto"/>
          <w:sz w:val="24"/>
          <w:highlight w:val="none"/>
          <w:lang w:val="en-US" w:eastAsia="zh-CN"/>
        </w:rPr>
        <w:t>1、</w:t>
      </w:r>
      <w:r>
        <w:rPr>
          <w:rFonts w:hint="eastAsia" w:ascii="宋体" w:hAnsi="宋体"/>
          <w:b/>
          <w:color w:val="auto"/>
          <w:sz w:val="24"/>
          <w:highlight w:val="none"/>
        </w:rPr>
        <w:t>本采购标的对应的中小企业划分标准所属行业为：餐饮业。</w:t>
      </w:r>
    </w:p>
    <w:p>
      <w:pPr>
        <w:spacing w:line="460" w:lineRule="exact"/>
        <w:rPr>
          <w:rFonts w:hint="eastAsia"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在政府购买服务项目中“公益一类事业单位不属于政府购买服务的承接主体，不得参与承接购买服务”。</w:t>
      </w:r>
    </w:p>
    <w:p>
      <w:pPr>
        <w:rPr>
          <w:rFonts w:ascii="宋体" w:hAnsi="宋体" w:eastAsia="宋体"/>
          <w:color w:val="auto"/>
          <w:highlight w:val="none"/>
        </w:rPr>
      </w:pPr>
      <w:r>
        <w:rPr>
          <w:rFonts w:ascii="宋体" w:hAnsi="宋体" w:eastAsia="宋体"/>
          <w:color w:val="auto"/>
          <w:highlight w:val="none"/>
        </w:rPr>
        <w:br w:type="page"/>
      </w:r>
    </w:p>
    <w:p>
      <w:pPr>
        <w:pStyle w:val="47"/>
        <w:rPr>
          <w:rFonts w:ascii="宋体" w:hAnsi="宋体"/>
          <w:color w:val="auto"/>
          <w:highlight w:val="none"/>
        </w:rPr>
      </w:pPr>
      <w:bookmarkStart w:id="23" w:name="_Toc197938083"/>
      <w:bookmarkStart w:id="24" w:name="_Toc466534749"/>
      <w:r>
        <w:rPr>
          <w:rFonts w:hint="eastAsia" w:ascii="宋体" w:hAnsi="宋体"/>
          <w:color w:val="auto"/>
          <w:highlight w:val="none"/>
        </w:rPr>
        <w:t>第三章  投标人须知</w:t>
      </w:r>
      <w:bookmarkEnd w:id="23"/>
      <w:bookmarkEnd w:id="24"/>
    </w:p>
    <w:p>
      <w:pPr>
        <w:snapToGrid w:val="0"/>
        <w:spacing w:before="120" w:beforeLines="50" w:after="120" w:afterLines="50" w:line="280" w:lineRule="exact"/>
        <w:ind w:left="476"/>
        <w:jc w:val="center"/>
        <w:rPr>
          <w:rFonts w:ascii="宋体" w:hAnsi="宋体"/>
          <w:b/>
          <w:color w:val="auto"/>
          <w:szCs w:val="21"/>
          <w:highlight w:val="none"/>
        </w:rPr>
      </w:pPr>
      <w:r>
        <w:rPr>
          <w:rFonts w:hint="eastAsia" w:ascii="宋体" w:hAnsi="宋体"/>
          <w:b/>
          <w:color w:val="auto"/>
          <w:szCs w:val="21"/>
          <w:highlight w:val="none"/>
        </w:rPr>
        <w:t>前附表</w:t>
      </w:r>
    </w:p>
    <w:tbl>
      <w:tblPr>
        <w:tblStyle w:val="50"/>
        <w:tblW w:w="10207"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949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b/>
                <w:color w:val="auto"/>
                <w:sz w:val="24"/>
                <w:highlight w:val="none"/>
              </w:rPr>
            </w:pPr>
            <w:r>
              <w:rPr>
                <w:rFonts w:hint="eastAsia" w:ascii="宋体" w:hAnsi="宋体"/>
                <w:b/>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1</w:t>
            </w:r>
          </w:p>
        </w:tc>
        <w:tc>
          <w:tcPr>
            <w:tcW w:w="9498" w:type="dxa"/>
            <w:tcBorders>
              <w:top w:val="single" w:color="auto" w:sz="4" w:space="0"/>
              <w:left w:val="single" w:color="auto" w:sz="4" w:space="0"/>
              <w:bottom w:val="single" w:color="auto" w:sz="4" w:space="0"/>
              <w:right w:val="single" w:color="auto" w:sz="4" w:space="0"/>
            </w:tcBorders>
            <w:vAlign w:val="center"/>
          </w:tcPr>
          <w:p>
            <w:pPr>
              <w:pStyle w:val="45"/>
              <w:spacing w:before="0" w:beforeAutospacing="0" w:after="0" w:afterAutospacing="0" w:line="440" w:lineRule="exact"/>
              <w:rPr>
                <w:color w:val="auto"/>
                <w:kern w:val="2"/>
                <w:highlight w:val="none"/>
              </w:rPr>
            </w:pPr>
            <w:r>
              <w:rPr>
                <w:rFonts w:hint="eastAsia"/>
                <w:color w:val="auto"/>
                <w:kern w:val="2"/>
                <w:highlight w:val="none"/>
              </w:rPr>
              <w:t>项目名称：</w:t>
            </w:r>
            <w:r>
              <w:rPr>
                <w:rFonts w:hint="eastAsia" w:cs="宋体"/>
                <w:color w:val="auto"/>
                <w:highlight w:val="none"/>
                <w:lang w:eastAsia="zh-CN"/>
              </w:rPr>
              <w:t>临海市沿江镇人民政府食堂管理服务</w:t>
            </w:r>
            <w:r>
              <w:rPr>
                <w:rFonts w:hint="eastAsia"/>
                <w:color w:val="auto"/>
                <w:kern w:val="2"/>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2</w:t>
            </w:r>
          </w:p>
        </w:tc>
        <w:tc>
          <w:tcPr>
            <w:tcW w:w="949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 w:val="24"/>
                <w:highlight w:val="none"/>
              </w:rPr>
            </w:pPr>
            <w:r>
              <w:rPr>
                <w:rFonts w:hint="eastAsia" w:ascii="宋体" w:hAnsi="宋体"/>
                <w:color w:val="auto"/>
                <w:sz w:val="24"/>
                <w:highlight w:val="none"/>
              </w:rPr>
              <w:t>采购内容及数量：详见“第二章 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3</w:t>
            </w:r>
          </w:p>
        </w:tc>
        <w:tc>
          <w:tcPr>
            <w:tcW w:w="949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 w:val="24"/>
                <w:highlight w:val="none"/>
              </w:rPr>
            </w:pPr>
            <w:r>
              <w:rPr>
                <w:rFonts w:hint="eastAsia" w:ascii="宋体" w:hAnsi="宋体"/>
                <w:color w:val="auto"/>
                <w:sz w:val="24"/>
                <w:highlight w:val="none"/>
              </w:rPr>
              <w:t>投标报价及费用：1、本项目投标应以人民币报价；2、不论投标结果如何，投标人均应自行承担所有与投标有关的全部费用；</w:t>
            </w:r>
            <w:r>
              <w:rPr>
                <w:rFonts w:ascii="宋体" w:hAnsi="宋体"/>
                <w:b/>
                <w:bCs/>
                <w:color w:val="auto"/>
                <w:sz w:val="24"/>
                <w:highlight w:val="none"/>
              </w:rPr>
              <w:t xml:space="preserve"> </w:t>
            </w:r>
            <w:r>
              <w:rPr>
                <w:rFonts w:hint="eastAsia" w:ascii="宋体" w:hAnsi="宋体"/>
                <w:b/>
                <w:bCs/>
                <w:color w:val="auto"/>
                <w:sz w:val="24"/>
                <w:highlight w:val="none"/>
              </w:rPr>
              <w:t>3、本项目招标代理服务费根据中标价由中标人支付给采购代理机构，在采购代理机构发出成交通知书前一次性付清招标代理服务费用，收费采用差额定率累进计费方式，具体标准如下：</w:t>
            </w:r>
            <w:r>
              <w:rPr>
                <w:rFonts w:hint="eastAsia" w:ascii="宋体" w:hAnsi="宋体"/>
                <w:bCs/>
                <w:color w:val="auto"/>
                <w:sz w:val="24"/>
                <w:highlight w:val="none"/>
              </w:rPr>
              <w:t>100万*1.5%+（500-100）万*</w:t>
            </w:r>
            <w:r>
              <w:rPr>
                <w:rFonts w:ascii="宋体" w:hAnsi="宋体"/>
                <w:bCs/>
                <w:color w:val="auto"/>
                <w:sz w:val="24"/>
                <w:highlight w:val="none"/>
              </w:rPr>
              <w:t>0.8</w:t>
            </w:r>
            <w:r>
              <w:rPr>
                <w:rFonts w:hint="eastAsia" w:ascii="宋体" w:hAnsi="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4</w:t>
            </w:r>
          </w:p>
        </w:tc>
        <w:tc>
          <w:tcPr>
            <w:tcW w:w="949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 w:val="24"/>
                <w:highlight w:val="none"/>
              </w:rPr>
            </w:pPr>
            <w:r>
              <w:rPr>
                <w:rFonts w:hint="eastAsia" w:ascii="宋体" w:hAnsi="宋体"/>
                <w:b/>
                <w:bCs/>
                <w:color w:val="auto"/>
                <w:sz w:val="24"/>
                <w:highlight w:val="none"/>
              </w:rPr>
              <w:t>现场踏勘</w:t>
            </w:r>
            <w:r>
              <w:rPr>
                <w:rFonts w:hint="eastAsia" w:ascii="宋体" w:hAnsi="宋体"/>
                <w:color w:val="auto"/>
                <w:sz w:val="24"/>
                <w:highlight w:val="none"/>
              </w:rPr>
              <w:t>：投标人可对</w:t>
            </w:r>
            <w:r>
              <w:rPr>
                <w:rFonts w:ascii="宋体" w:hAnsi="宋体"/>
                <w:color w:val="auto"/>
                <w:sz w:val="24"/>
                <w:highlight w:val="none"/>
              </w:rPr>
              <w:t>项目</w:t>
            </w:r>
            <w:r>
              <w:rPr>
                <w:rFonts w:hint="eastAsia" w:ascii="宋体" w:hAnsi="宋体"/>
                <w:color w:val="auto"/>
                <w:sz w:val="24"/>
                <w:highlight w:val="none"/>
              </w:rPr>
              <w:t>现场和周围环境进行踏勘，现场踏勘时投标人按照图纸（如有）、招标文件等技术性资料比对现场实际参数，如有问题，由投标人发起书面质疑，如无质疑，即认为满足采购条件，由投标人承担相应风险。踏勘现场所发生的费用由投标人自己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5</w:t>
            </w:r>
          </w:p>
        </w:tc>
        <w:tc>
          <w:tcPr>
            <w:tcW w:w="949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b/>
                <w:color w:val="auto"/>
                <w:sz w:val="24"/>
                <w:highlight w:val="none"/>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投标人已依法获取其可质疑的采购文件的，可以以书面形式（参照政府采购质疑函范本）向招标人就该文件提出质疑。对采购文件提出质疑的，应当在获取采购文件或者采购文件公告期限届满之日（公告期限届满后获取采购文件的，以公告期限届满之日为准）起7个工作日内以书面形式提出，且应当在采购响应截止时间之前在政采云平台的质疑系统一次性提出，否则被质疑人可不予接受。</w:t>
            </w:r>
            <w:r>
              <w:rPr>
                <w:rFonts w:hint="eastAsia" w:ascii="宋体" w:hAnsi="宋体"/>
                <w:b/>
                <w:color w:val="auto"/>
                <w:sz w:val="24"/>
                <w:highlight w:val="none"/>
                <w:shd w:val="pct10" w:color="auto" w:fill="FFFFFF"/>
              </w:rPr>
              <w:t>投标人在法定质疑期内应一次性提出针对同一采购程序环节的质疑。</w:t>
            </w:r>
            <w:r>
              <w:rPr>
                <w:rFonts w:hint="eastAsia" w:ascii="宋体" w:hAnsi="宋体"/>
                <w:color w:val="auto"/>
                <w:sz w:val="24"/>
                <w:highlight w:val="none"/>
                <w:shd w:val="pct10" w:color="auto" w:fill="FFFFFF"/>
              </w:rPr>
              <w:t>招</w:t>
            </w:r>
            <w:r>
              <w:rPr>
                <w:rFonts w:hint="eastAsia" w:ascii="宋体" w:hAnsi="宋体"/>
                <w:color w:val="auto"/>
                <w:sz w:val="24"/>
                <w:highlight w:val="none"/>
              </w:rPr>
              <w:t>标人对已发出的招标文件进行必要的澄清、答复、修改和补充将以更正公告的形式，通过采购公告发布的网站予以发布。</w:t>
            </w:r>
            <w:r>
              <w:rPr>
                <w:rFonts w:hint="eastAsia" w:ascii="宋体" w:hAnsi="宋体"/>
                <w:b/>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6</w:t>
            </w:r>
          </w:p>
        </w:tc>
        <w:tc>
          <w:tcPr>
            <w:tcW w:w="949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宋体" w:hAnsi="宋体"/>
                <w:color w:val="auto"/>
                <w:sz w:val="24"/>
                <w:highlight w:val="none"/>
              </w:rPr>
            </w:pPr>
            <w:r>
              <w:rPr>
                <w:rFonts w:hint="eastAsia" w:ascii="宋体" w:hAnsi="宋体"/>
                <w:color w:val="auto"/>
                <w:sz w:val="24"/>
                <w:highlight w:val="none"/>
              </w:rPr>
              <w:t>投标截止时间、开标时间及地点：详见“第一章  投标邀请”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7</w:t>
            </w:r>
          </w:p>
        </w:tc>
        <w:tc>
          <w:tcPr>
            <w:tcW w:w="949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ascii="宋体" w:hAnsi="宋体"/>
                <w:color w:val="auto"/>
                <w:sz w:val="24"/>
                <w:highlight w:val="none"/>
              </w:rPr>
              <w:t>评标办法</w:t>
            </w:r>
            <w:r>
              <w:rPr>
                <w:rFonts w:hint="eastAsia" w:ascii="宋体" w:hAnsi="宋体"/>
                <w:b/>
                <w:color w:val="auto"/>
                <w:sz w:val="24"/>
                <w:highlight w:val="none"/>
              </w:rPr>
              <w:t>：</w:t>
            </w:r>
            <w:r>
              <w:rPr>
                <w:rFonts w:hint="eastAsia" w:ascii="宋体" w:hAnsi="宋体"/>
                <w:color w:val="auto"/>
                <w:sz w:val="24"/>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8</w:t>
            </w:r>
          </w:p>
        </w:tc>
        <w:tc>
          <w:tcPr>
            <w:tcW w:w="949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ascii="宋体" w:hAnsi="宋体"/>
                <w:b/>
                <w:color w:val="auto"/>
                <w:sz w:val="24"/>
                <w:highlight w:val="none"/>
                <w:shd w:val="pct10" w:color="auto" w:fill="FFFFFF"/>
              </w:rPr>
              <w:t>▲</w:t>
            </w:r>
            <w:r>
              <w:rPr>
                <w:rFonts w:hint="eastAsia" w:ascii="宋体" w:hAnsi="宋体"/>
                <w:color w:val="auto"/>
                <w:sz w:val="24"/>
                <w:highlight w:val="none"/>
              </w:rPr>
              <w:t>投标有效期：自投标截止日起</w:t>
            </w:r>
            <w:r>
              <w:rPr>
                <w:rFonts w:hint="eastAsia" w:ascii="宋体" w:hAnsi="宋体"/>
                <w:color w:val="auto"/>
                <w:sz w:val="24"/>
                <w:highlight w:val="none"/>
                <w:u w:val="single"/>
              </w:rPr>
              <w:t xml:space="preserve"> 90 </w:t>
            </w:r>
            <w:r>
              <w:rPr>
                <w:rFonts w:hint="eastAsia" w:ascii="宋体" w:hAnsi="宋体"/>
                <w:color w:val="auto"/>
                <w:sz w:val="24"/>
                <w:highlight w:val="none"/>
              </w:rPr>
              <w:t>天投标文件应保持有效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9</w:t>
            </w:r>
          </w:p>
        </w:tc>
        <w:tc>
          <w:tcPr>
            <w:tcW w:w="949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b/>
                <w:color w:val="auto"/>
                <w:sz w:val="24"/>
                <w:highlight w:val="none"/>
                <w:u w:val="single"/>
              </w:rPr>
            </w:pPr>
            <w:r>
              <w:rPr>
                <w:rFonts w:hint="eastAsia" w:ascii="宋体" w:hAnsi="宋体"/>
                <w:b/>
                <w:color w:val="auto"/>
                <w:sz w:val="24"/>
                <w:highlight w:val="none"/>
                <w:u w:val="single"/>
                <w:shd w:val="pct10" w:color="auto" w:fill="FFFFFF"/>
              </w:rPr>
              <w:t>实质性条款：带▲是实质性条款，投标人不得负偏离或内容缺失，否则为无效标。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10</w:t>
            </w:r>
          </w:p>
        </w:tc>
        <w:tc>
          <w:tcPr>
            <w:tcW w:w="949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ascii="宋体" w:hAnsi="宋体"/>
                <w:color w:val="auto"/>
                <w:sz w:val="24"/>
                <w:highlight w:val="none"/>
              </w:rPr>
              <w:t>中标公告及中标通知书：评标结束后</w:t>
            </w:r>
            <w:r>
              <w:rPr>
                <w:rFonts w:ascii="宋体" w:hAnsi="宋体"/>
                <w:color w:val="auto"/>
                <w:sz w:val="24"/>
                <w:highlight w:val="none"/>
              </w:rPr>
              <w:t>7</w:t>
            </w:r>
            <w:r>
              <w:rPr>
                <w:rFonts w:hint="eastAsia" w:ascii="宋体" w:hAnsi="宋体"/>
                <w:color w:val="auto"/>
                <w:sz w:val="24"/>
                <w:highlight w:val="none"/>
              </w:rPr>
              <w:t>个工作日内，中标公告发布于</w:t>
            </w:r>
            <w:r>
              <w:rPr>
                <w:rFonts w:hint="eastAsia" w:ascii="宋体" w:hAnsi="宋体" w:cs="Arial"/>
                <w:color w:val="auto"/>
                <w:sz w:val="24"/>
                <w:highlight w:val="none"/>
              </w:rPr>
              <w:t>采购公告发布的网站。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11</w:t>
            </w:r>
          </w:p>
        </w:tc>
        <w:tc>
          <w:tcPr>
            <w:tcW w:w="949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ascii="宋体" w:hAnsi="宋体"/>
                <w:color w:val="auto"/>
                <w:sz w:val="24"/>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12</w:t>
            </w:r>
          </w:p>
        </w:tc>
        <w:tc>
          <w:tcPr>
            <w:tcW w:w="949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rPr>
                <w:rFonts w:ascii="宋体" w:hAnsi="宋体"/>
                <w:color w:val="auto"/>
                <w:sz w:val="24"/>
                <w:highlight w:val="none"/>
              </w:rPr>
            </w:pPr>
            <w:r>
              <w:rPr>
                <w:rFonts w:hint="eastAsia" w:ascii="宋体" w:hAnsi="宋体"/>
                <w:color w:val="auto"/>
                <w:highlight w:val="none"/>
              </w:rPr>
              <w:t>▲</w:t>
            </w:r>
            <w:r>
              <w:rPr>
                <w:rFonts w:hint="eastAsia" w:ascii="宋体" w:hAnsi="宋体"/>
                <w:color w:val="auto"/>
                <w:sz w:val="24"/>
                <w:highlight w:val="none"/>
              </w:rPr>
              <w:t>付款方</w:t>
            </w:r>
            <w:r>
              <w:rPr>
                <w:rFonts w:hint="eastAsia" w:ascii="宋体" w:hAnsi="宋体" w:eastAsia="宋体" w:cs="Times New Roman"/>
                <w:color w:val="auto"/>
                <w:sz w:val="24"/>
                <w:highlight w:val="none"/>
              </w:rPr>
              <w:t>式：合同签订后，每年分十二次支付合同总价，即每月支付一次。支付时间为每月20日前。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13</w:t>
            </w:r>
          </w:p>
        </w:tc>
        <w:tc>
          <w:tcPr>
            <w:tcW w:w="949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ascii="宋体" w:hAnsi="宋体"/>
                <w:color w:val="auto"/>
                <w:sz w:val="24"/>
                <w:highlight w:val="none"/>
              </w:rPr>
              <w:t>履约保证金的收取及退还:按中标价的</w:t>
            </w:r>
            <w:r>
              <w:rPr>
                <w:rFonts w:ascii="宋体" w:hAnsi="宋体"/>
                <w:b w:val="0"/>
                <w:bCs/>
                <w:color w:val="auto"/>
                <w:sz w:val="24"/>
                <w:highlight w:val="none"/>
              </w:rPr>
              <w:t>1</w:t>
            </w:r>
            <w:r>
              <w:rPr>
                <w:rFonts w:hint="eastAsia" w:ascii="宋体" w:hAnsi="宋体"/>
                <w:b w:val="0"/>
                <w:bCs/>
                <w:color w:val="auto"/>
                <w:sz w:val="24"/>
                <w:highlight w:val="none"/>
              </w:rPr>
              <w:t>%</w:t>
            </w:r>
            <w:r>
              <w:rPr>
                <w:rFonts w:hint="eastAsia" w:ascii="宋体" w:hAnsi="宋体"/>
                <w:color w:val="auto"/>
                <w:sz w:val="24"/>
                <w:highlight w:val="none"/>
              </w:rPr>
              <w:t>收取，</w:t>
            </w:r>
            <w:r>
              <w:rPr>
                <w:rFonts w:hint="eastAsia" w:ascii="宋体" w:hAnsi="宋体"/>
                <w:b/>
                <w:color w:val="auto"/>
                <w:sz w:val="24"/>
                <w:highlight w:val="none"/>
                <w:u w:val="single"/>
                <w:shd w:val="pct10" w:color="auto" w:fill="FFFFFF"/>
              </w:rPr>
              <w:t>缴纳至临海市公共资源交易中心账户。</w:t>
            </w:r>
            <w:r>
              <w:rPr>
                <w:rFonts w:hint="eastAsia" w:ascii="宋体" w:hAnsi="宋体"/>
                <w:color w:val="auto"/>
                <w:sz w:val="24"/>
                <w:highlight w:val="none"/>
              </w:rPr>
              <w:t>验收合格后</w:t>
            </w:r>
            <w:r>
              <w:rPr>
                <w:rFonts w:hint="eastAsia" w:ascii="宋体" w:hAnsi="宋体"/>
                <w:color w:val="auto"/>
                <w:sz w:val="24"/>
                <w:highlight w:val="none"/>
                <w:lang w:val="zh-CN"/>
              </w:rPr>
              <w:t>凭《临海市政府采购验收单》向临海市公共资源交易中心</w:t>
            </w:r>
            <w:r>
              <w:rPr>
                <w:rFonts w:hint="eastAsia" w:ascii="宋体" w:hAnsi="宋体"/>
                <w:color w:val="auto"/>
                <w:sz w:val="24"/>
                <w:highlight w:val="none"/>
              </w:rPr>
              <w:t>申请</w:t>
            </w:r>
            <w:r>
              <w:rPr>
                <w:rFonts w:hint="eastAsia" w:ascii="宋体" w:hAnsi="宋体"/>
                <w:color w:val="auto"/>
                <w:sz w:val="24"/>
                <w:highlight w:val="none"/>
                <w:lang w:val="zh-CN"/>
              </w:rPr>
              <w:t>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color w:val="auto"/>
                <w:sz w:val="24"/>
                <w:highlight w:val="none"/>
              </w:rPr>
            </w:pPr>
            <w:r>
              <w:rPr>
                <w:rFonts w:hint="eastAsia" w:ascii="宋体" w:hAnsi="宋体"/>
                <w:color w:val="auto"/>
                <w:sz w:val="24"/>
                <w:highlight w:val="none"/>
              </w:rPr>
              <w:t>14</w:t>
            </w:r>
          </w:p>
        </w:tc>
        <w:tc>
          <w:tcPr>
            <w:tcW w:w="949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40" w:lineRule="exact"/>
              <w:textAlignment w:val="bottom"/>
              <w:rPr>
                <w:rFonts w:ascii="宋体" w:hAnsi="宋体"/>
                <w:color w:val="auto"/>
                <w:sz w:val="24"/>
                <w:highlight w:val="none"/>
              </w:rPr>
            </w:pPr>
            <w:r>
              <w:rPr>
                <w:rFonts w:hint="eastAsia" w:ascii="宋体" w:hAnsi="宋体"/>
                <w:color w:val="auto"/>
                <w:sz w:val="24"/>
                <w:highlight w:val="none"/>
              </w:rPr>
              <w:t>解释：本招标文件的解释权属于招标人。</w:t>
            </w:r>
            <w:r>
              <w:rPr>
                <w:rFonts w:hint="eastAsia" w:ascii="宋体" w:hAnsi="宋体"/>
                <w:b/>
                <w:bCs/>
                <w:color w:val="auto"/>
                <w:sz w:val="24"/>
                <w:highlight w:val="none"/>
                <w:u w:val="single"/>
                <w:shd w:val="pct10" w:color="auto" w:fill="FFFFFF"/>
              </w:rPr>
              <w:t>本招标文件如临海市公共资源交易中心网站上发布的内容与浙江省政府采购网上发布的内容有不一致的，以浙江省政府采购网上发布的内容为准，并请及时告知采购项目联系人。</w:t>
            </w:r>
          </w:p>
        </w:tc>
      </w:tr>
    </w:tbl>
    <w:p>
      <w:pPr>
        <w:pStyle w:val="29"/>
        <w:snapToGrid w:val="0"/>
        <w:spacing w:beforeLines="0" w:afterLines="0"/>
        <w:rPr>
          <w:rFonts w:hint="eastAsia" w:hAnsi="宋体"/>
          <w:b/>
          <w:color w:val="auto"/>
          <w:highlight w:val="none"/>
        </w:rPr>
      </w:pPr>
    </w:p>
    <w:p>
      <w:pPr>
        <w:pStyle w:val="29"/>
        <w:snapToGrid w:val="0"/>
        <w:spacing w:beforeLines="0" w:afterLines="0"/>
        <w:rPr>
          <w:rFonts w:hAnsi="宋体"/>
          <w:b/>
          <w:color w:val="auto"/>
          <w:highlight w:val="none"/>
        </w:rPr>
      </w:pPr>
      <w:r>
        <w:rPr>
          <w:rFonts w:hint="eastAsia" w:hAnsi="宋体"/>
          <w:b/>
          <w:color w:val="auto"/>
          <w:highlight w:val="none"/>
        </w:rPr>
        <w:t>一 、总  则</w:t>
      </w:r>
    </w:p>
    <w:p>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（一）适用范围</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本招标文件适用于本项目的招标、投标、评标、定标、验收、合同履约、付款等行为。</w:t>
      </w:r>
    </w:p>
    <w:p>
      <w:pPr>
        <w:snapToGrid w:val="0"/>
        <w:spacing w:before="120" w:beforeLines="50" w:line="420" w:lineRule="exact"/>
        <w:ind w:firstLine="354" w:firstLineChars="147"/>
        <w:jc w:val="left"/>
        <w:rPr>
          <w:rFonts w:ascii="宋体" w:hAnsi="宋体"/>
          <w:b/>
          <w:color w:val="auto"/>
          <w:sz w:val="24"/>
          <w:highlight w:val="none"/>
        </w:rPr>
      </w:pPr>
      <w:r>
        <w:rPr>
          <w:rFonts w:hint="eastAsia" w:ascii="宋体" w:hAnsi="宋体"/>
          <w:b/>
          <w:color w:val="auto"/>
          <w:sz w:val="24"/>
          <w:highlight w:val="none"/>
        </w:rPr>
        <w:t>（二）定义</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1.“招标人”系指组织本次招标的</w:t>
      </w:r>
      <w:r>
        <w:rPr>
          <w:rFonts w:hint="eastAsia" w:ascii="宋体" w:hAnsi="宋体"/>
          <w:color w:val="auto"/>
          <w:sz w:val="24"/>
          <w:highlight w:val="none"/>
          <w:u w:val="single"/>
        </w:rPr>
        <w:t>采购代理机构</w:t>
      </w:r>
      <w:r>
        <w:rPr>
          <w:rFonts w:hint="eastAsia" w:ascii="宋体" w:hAnsi="宋体"/>
          <w:color w:val="auto"/>
          <w:sz w:val="24"/>
          <w:highlight w:val="none"/>
        </w:rPr>
        <w:t>和采购单位。</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2.“投标人”系指向招标人提交投标文件的单位。</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3.“产品”系指供方按招标文件规定，须向采购单位提供的一切设备、保险、税金、备品备件、工具、手册及其它有关技术资料和材料。</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4.“服务”系指招标文件规定投标人须承担的安装、调试、技术协助、校准、培训、技术指导以及其他类似的义务。</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5.“项目”系指投标人按招标文件规定向采购单位提供的产品和服务。</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6.“书面形式”包括信函、传真、电报等。</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7.“▲”系指实质性要求条款。</w:t>
      </w:r>
    </w:p>
    <w:p>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（三）招标方式</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本次招标采用公开招标方式进行。</w:t>
      </w:r>
    </w:p>
    <w:p>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（四）投标委托</w:t>
      </w:r>
    </w:p>
    <w:p>
      <w:pPr>
        <w:pStyle w:val="22"/>
        <w:snapToGrid w:val="0"/>
        <w:spacing w:line="420" w:lineRule="exact"/>
        <w:ind w:firstLine="464" w:firstLineChars="200"/>
        <w:jc w:val="left"/>
        <w:rPr>
          <w:rFonts w:hAnsi="宋体"/>
          <w:color w:val="auto"/>
          <w:sz w:val="24"/>
          <w:szCs w:val="24"/>
          <w:highlight w:val="none"/>
        </w:rPr>
      </w:pPr>
      <w:r>
        <w:rPr>
          <w:rFonts w:hint="eastAsia" w:hAnsi="宋体"/>
          <w:color w:val="auto"/>
          <w:sz w:val="24"/>
          <w:szCs w:val="24"/>
          <w:highlight w:val="none"/>
        </w:rPr>
        <w:t>投标人代表须携带有效身份证件。如投标人代表不是法定代表人，须有法定代表人出具的授权委托书，格式见第六章。</w:t>
      </w:r>
    </w:p>
    <w:p>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（五）投标费用及结算</w:t>
      </w:r>
    </w:p>
    <w:p>
      <w:pPr>
        <w:snapToGrid w:val="0"/>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1）不论投标结果如何，投标人均应自行承担所有与投标有关的全部费用。</w:t>
      </w:r>
    </w:p>
    <w:p>
      <w:pPr>
        <w:spacing w:line="420" w:lineRule="exact"/>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2）除业主要求或设计变更要求外不签署任何增加费用的联系单，</w:t>
      </w:r>
      <w:r>
        <w:rPr>
          <w:rFonts w:hint="eastAsia" w:ascii="宋体" w:hAnsi="宋体" w:cs="宋体"/>
          <w:bCs/>
          <w:color w:val="auto"/>
          <w:sz w:val="24"/>
          <w:highlight w:val="none"/>
        </w:rPr>
        <w:t>工程量清单外而要完成本项目所必需的设备、物料、服务等各</w:t>
      </w:r>
      <w:r>
        <w:rPr>
          <w:rFonts w:hint="eastAsia" w:ascii="宋体" w:hAnsi="宋体" w:cs="宋体"/>
          <w:color w:val="auto"/>
          <w:sz w:val="24"/>
          <w:highlight w:val="none"/>
        </w:rPr>
        <w:t>投标人请自行考虑并计入投标总报价，中标后不予调整。</w:t>
      </w:r>
      <w:r>
        <w:rPr>
          <w:rFonts w:hint="eastAsia" w:ascii="宋体" w:hAnsi="宋体" w:cs="宋体"/>
          <w:b/>
          <w:color w:val="auto"/>
          <w:sz w:val="24"/>
          <w:highlight w:val="none"/>
        </w:rPr>
        <w:t>投标时工程量按照招标文件中提供的工程量进行投标报价，竣工决算时按实决算。</w:t>
      </w:r>
    </w:p>
    <w:p>
      <w:pPr>
        <w:snapToGrid w:val="0"/>
        <w:spacing w:before="120" w:beforeLines="50" w:line="420" w:lineRule="exact"/>
        <w:ind w:firstLine="472" w:firstLineChars="196"/>
        <w:rPr>
          <w:rFonts w:ascii="宋体" w:hAnsi="宋体" w:cs="宋体"/>
          <w:b/>
          <w:color w:val="auto"/>
          <w:kern w:val="0"/>
          <w:sz w:val="24"/>
          <w:highlight w:val="none"/>
        </w:rPr>
      </w:pPr>
      <w:r>
        <w:rPr>
          <w:rFonts w:hint="eastAsia" w:ascii="宋体" w:hAnsi="宋体"/>
          <w:b/>
          <w:color w:val="auto"/>
          <w:sz w:val="24"/>
          <w:highlight w:val="none"/>
        </w:rPr>
        <w:t>（六）</w:t>
      </w:r>
      <w:r>
        <w:rPr>
          <w:rFonts w:hint="eastAsia" w:ascii="宋体" w:hAnsi="宋体" w:cs="宋体"/>
          <w:b/>
          <w:color w:val="auto"/>
          <w:kern w:val="0"/>
          <w:sz w:val="24"/>
          <w:highlight w:val="none"/>
        </w:rPr>
        <w:t>转包与分包</w:t>
      </w:r>
    </w:p>
    <w:p>
      <w:pPr>
        <w:snapToGrid w:val="0"/>
        <w:spacing w:line="420" w:lineRule="exact"/>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本项目不允许转包与违法分包。</w:t>
      </w:r>
    </w:p>
    <w:p>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（七）特别说明</w:t>
      </w:r>
    </w:p>
    <w:p>
      <w:pPr>
        <w:widowControl/>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1.单位负责人为同一人或者存在直接控股、管理关系的不同投标人，不得参加同一合同项下的政府采购活动。如有上述行为的，相关投标均无效。</w:t>
      </w:r>
    </w:p>
    <w:p>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9"/>
        <w:snapToGrid w:val="0"/>
        <w:spacing w:beforeLines="0" w:afterLines="0" w:line="420" w:lineRule="exact"/>
        <w:ind w:left="2" w:leftChars="1" w:firstLine="360" w:firstLineChars="150"/>
        <w:rPr>
          <w:rFonts w:hAnsi="宋体"/>
          <w:color w:val="auto"/>
          <w:highlight w:val="none"/>
        </w:rPr>
      </w:pPr>
      <w:r>
        <w:rPr>
          <w:rFonts w:hint="eastAsia" w:hAnsi="宋体"/>
          <w:color w:val="auto"/>
          <w:highlight w:val="none"/>
        </w:rPr>
        <w:t>2.投标人投标所使用的资格、信誉、荣誉、业绩必须为本法人所拥有。投标人投标所使用的采购项目实施人员须为本法人员工。</w:t>
      </w:r>
    </w:p>
    <w:p>
      <w:pPr>
        <w:pStyle w:val="29"/>
        <w:snapToGrid w:val="0"/>
        <w:spacing w:beforeLines="0" w:afterLines="0" w:line="420" w:lineRule="exact"/>
        <w:ind w:left="2" w:leftChars="1" w:firstLine="480" w:firstLineChars="200"/>
        <w:rPr>
          <w:rFonts w:hAnsi="宋体"/>
          <w:color w:val="auto"/>
          <w:highlight w:val="none"/>
        </w:rPr>
      </w:pPr>
      <w:r>
        <w:rPr>
          <w:rFonts w:hint="eastAsia" w:hAnsi="宋体"/>
          <w:color w:val="auto"/>
          <w:highlight w:val="none"/>
        </w:rPr>
        <w:t>3.投标人应仔细阅读招标文件的所有内容，按照招标文件的要求提交投标文件，并对所提供的全部资料的真实性承担法律责任。</w:t>
      </w:r>
    </w:p>
    <w:p>
      <w:pPr>
        <w:pStyle w:val="29"/>
        <w:snapToGrid w:val="0"/>
        <w:spacing w:beforeLines="0" w:afterLines="0" w:line="420" w:lineRule="exact"/>
        <w:ind w:left="2" w:leftChars="1" w:firstLine="480" w:firstLineChars="200"/>
        <w:rPr>
          <w:rFonts w:hAnsi="宋体"/>
          <w:b/>
          <w:color w:val="auto"/>
          <w:highlight w:val="none"/>
        </w:rPr>
      </w:pPr>
      <w:r>
        <w:rPr>
          <w:rFonts w:hint="eastAsia" w:hAnsi="宋体"/>
          <w:color w:val="auto"/>
          <w:highlight w:val="none"/>
        </w:rPr>
        <w:t>4.投标人在投标活动中提供任何虚假材料,其投标无效，并报监管部门查处；中标后发现的,中标人须依照《中华人民共和国消费者权益保护法》第49条之规定双倍赔偿采购单位，且民事赔偿并不免除违法投标人的行政与刑事责任。</w:t>
      </w:r>
    </w:p>
    <w:p>
      <w:pPr>
        <w:pStyle w:val="29"/>
        <w:snapToGrid w:val="0"/>
        <w:spacing w:before="120" w:after="120" w:line="420" w:lineRule="exact"/>
        <w:ind w:firstLine="472" w:firstLineChars="196"/>
        <w:rPr>
          <w:rFonts w:hAnsi="宋体"/>
          <w:b/>
          <w:bCs/>
          <w:color w:val="auto"/>
          <w:highlight w:val="none"/>
        </w:rPr>
      </w:pPr>
      <w:r>
        <w:rPr>
          <w:rFonts w:hint="eastAsia" w:hAnsi="宋体"/>
          <w:b/>
          <w:bCs/>
          <w:color w:val="auto"/>
          <w:highlight w:val="none"/>
        </w:rPr>
        <w:t>（八）质疑</w:t>
      </w:r>
    </w:p>
    <w:p>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1.投标人认为招标文件、采购过程和中标结果使自己的权益受到损害的，以书面形式</w:t>
      </w:r>
      <w:r>
        <w:rPr>
          <w:rFonts w:hint="eastAsia" w:ascii="宋体" w:hAnsi="宋体" w:cs="宋体"/>
          <w:b/>
          <w:color w:val="auto"/>
          <w:kern w:val="0"/>
          <w:sz w:val="24"/>
          <w:highlight w:val="none"/>
        </w:rPr>
        <w:t>并在</w:t>
      </w:r>
      <w:r>
        <w:rPr>
          <w:rFonts w:hint="eastAsia" w:ascii="宋体" w:hAnsi="宋体" w:cs="宋体"/>
          <w:color w:val="auto"/>
          <w:kern w:val="0"/>
          <w:sz w:val="24"/>
          <w:highlight w:val="none"/>
        </w:rPr>
        <w:t>政采云平台的质疑系统一次性向采购人或采购组织机构提出质疑：</w:t>
      </w:r>
    </w:p>
    <w:p>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（1）投标人认为招标文件的内容损害其权益的，应当自获取之日起（获取截止日之后收到招标文件的，以获取截止日为准）7个工作日内提出质疑；</w:t>
      </w:r>
    </w:p>
    <w:p>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（2）投标人对采购过程提出质疑的，应当在各采购程序环节结束之日起7个工作日内提出质疑；</w:t>
      </w:r>
    </w:p>
    <w:p>
      <w:pPr>
        <w:widowControl/>
        <w:spacing w:line="420" w:lineRule="exact"/>
        <w:ind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（3）投标人对成交结果提出质疑的，</w:t>
      </w:r>
      <w:r>
        <w:rPr>
          <w:rFonts w:hint="eastAsia" w:ascii="宋体" w:hAnsi="宋体" w:cs="宋体"/>
          <w:b/>
          <w:color w:val="auto"/>
          <w:kern w:val="0"/>
          <w:sz w:val="24"/>
          <w:highlight w:val="none"/>
        </w:rPr>
        <w:t>应当在成交结果公告之日起</w:t>
      </w:r>
      <w:r>
        <w:rPr>
          <w:rFonts w:hint="eastAsia" w:ascii="宋体" w:hAnsi="宋体" w:cs="宋体"/>
          <w:color w:val="auto"/>
          <w:kern w:val="0"/>
          <w:sz w:val="24"/>
          <w:highlight w:val="none"/>
        </w:rPr>
        <w:t>7个工作日内提出质疑；</w:t>
      </w:r>
    </w:p>
    <w:p>
      <w:pPr>
        <w:widowControl/>
        <w:spacing w:line="4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2.采购人或采购组织机构在收到投标人的书面质疑后7个工作日内作出答复，并以书面形式或政采云平台回复质疑投标人和其他有关投标人，但答复内容不涉及商业秘密。</w:t>
      </w:r>
    </w:p>
    <w:p>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widowControl/>
        <w:spacing w:line="420" w:lineRule="exact"/>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（九）投诉</w:t>
      </w:r>
    </w:p>
    <w:p>
      <w:pPr>
        <w:pStyle w:val="2"/>
        <w:ind w:firstLine="480"/>
        <w:rPr>
          <w:rFonts w:ascii="宋体" w:hAnsi="宋体" w:eastAsia="宋体" w:cs="宋体"/>
          <w:color w:val="auto"/>
          <w:sz w:val="24"/>
          <w:highlight w:val="none"/>
        </w:rPr>
      </w:pPr>
      <w:r>
        <w:rPr>
          <w:rFonts w:hint="eastAsia" w:ascii="宋体" w:hAnsi="宋体" w:eastAsia="宋体" w:cs="宋体"/>
          <w:color w:val="auto"/>
          <w:sz w:val="24"/>
          <w:highlight w:val="none"/>
        </w:rPr>
        <w:t>1.质疑供应商对采购人或采购代理机构的答复不满意或者采购人、采购代理机构未在规定的时间内作出答复的，可以在答复期满后十五个工作日内按照</w:t>
      </w:r>
      <w:r>
        <w:rPr>
          <w:rFonts w:ascii="宋体" w:hAnsi="宋体" w:eastAsia="宋体" w:cs="Arial"/>
          <w:color w:val="auto"/>
          <w:sz w:val="24"/>
          <w:highlight w:val="none"/>
        </w:rPr>
        <w:t>《中华人民共和国政府采购法》</w:t>
      </w:r>
      <w:r>
        <w:rPr>
          <w:rFonts w:hint="eastAsia" w:ascii="宋体" w:hAnsi="宋体" w:eastAsia="宋体" w:cs="Arial"/>
          <w:color w:val="auto"/>
          <w:sz w:val="24"/>
          <w:highlight w:val="none"/>
        </w:rPr>
        <w:t>、《中华人民共和国政府采购法实施条例》</w:t>
      </w:r>
      <w:r>
        <w:rPr>
          <w:rFonts w:hint="eastAsia" w:ascii="宋体" w:hAnsi="宋体" w:eastAsia="宋体" w:cs="宋体"/>
          <w:color w:val="auto"/>
          <w:sz w:val="24"/>
          <w:highlight w:val="none"/>
        </w:rPr>
        <w:t>、《政府采购质疑和投诉办法》（财政部令第94号）等有关规定向本项目监管机构临海市财政局以书面形式邮寄方式进行投诉，联系地址：临海市巾山东路112号，联系部门：政府采购监管科，监督、投诉联系电话：0576-85188034。</w:t>
      </w:r>
    </w:p>
    <w:p>
      <w:pPr>
        <w:pStyle w:val="2"/>
        <w:ind w:firstLine="480"/>
        <w:rPr>
          <w:rFonts w:ascii="宋体" w:hAnsi="宋体" w:eastAsia="宋体" w:cs="宋体"/>
          <w:color w:val="auto"/>
          <w:sz w:val="24"/>
          <w:highlight w:val="none"/>
        </w:rPr>
      </w:pPr>
      <w:r>
        <w:rPr>
          <w:rFonts w:hint="eastAsia" w:ascii="宋体" w:hAnsi="宋体" w:eastAsia="宋体" w:cs="宋体"/>
          <w:color w:val="auto"/>
          <w:sz w:val="24"/>
          <w:highlight w:val="none"/>
        </w:rPr>
        <w:t>2.供应商投诉的事项不得超出已质疑事项的范围，基于质疑答复内容提出的投诉事项除外。</w:t>
      </w:r>
    </w:p>
    <w:p>
      <w:pPr>
        <w:pStyle w:val="2"/>
        <w:ind w:firstLine="480"/>
        <w:rPr>
          <w:rFonts w:ascii="宋体" w:hAnsi="宋体" w:eastAsia="宋体" w:cs="宋体"/>
          <w:color w:val="auto"/>
          <w:sz w:val="24"/>
          <w:highlight w:val="none"/>
        </w:rPr>
      </w:pPr>
      <w:r>
        <w:rPr>
          <w:rFonts w:hint="eastAsia" w:ascii="宋体" w:hAnsi="宋体" w:eastAsia="宋体" w:cs="宋体"/>
          <w:color w:val="auto"/>
          <w:sz w:val="24"/>
          <w:highlight w:val="none"/>
        </w:rPr>
        <w:t>3.供应商投诉应当有明确的请求和必要的证明材料。</w:t>
      </w:r>
    </w:p>
    <w:p>
      <w:pPr>
        <w:pStyle w:val="2"/>
        <w:ind w:firstLine="480"/>
        <w:rPr>
          <w:rFonts w:ascii="宋体" w:hAnsi="宋体" w:eastAsia="宋体" w:cs="宋体"/>
          <w:color w:val="auto"/>
          <w:sz w:val="24"/>
          <w:highlight w:val="none"/>
        </w:rPr>
      </w:pPr>
      <w:r>
        <w:rPr>
          <w:rFonts w:hint="eastAsia" w:ascii="宋体" w:hAnsi="宋体" w:eastAsia="宋体" w:cs="宋体"/>
          <w:color w:val="auto"/>
          <w:sz w:val="24"/>
          <w:highlight w:val="none"/>
        </w:rPr>
        <w:t>4.以联合体形式参加政府采购活动的，其投诉应当由组成联合体的所有供应商共同提出。</w:t>
      </w:r>
    </w:p>
    <w:p>
      <w:pPr>
        <w:pStyle w:val="2"/>
        <w:ind w:firstLine="480"/>
        <w:rPr>
          <w:rFonts w:ascii="宋体" w:hAnsi="宋体" w:eastAsia="宋体" w:cs="宋体"/>
          <w:color w:val="auto"/>
          <w:sz w:val="24"/>
          <w:highlight w:val="none"/>
        </w:rPr>
      </w:pPr>
      <w:r>
        <w:rPr>
          <w:rFonts w:hint="eastAsia" w:ascii="宋体" w:hAnsi="宋体" w:eastAsia="宋体" w:cs="宋体"/>
          <w:color w:val="auto"/>
          <w:sz w:val="24"/>
          <w:highlight w:val="none"/>
        </w:rPr>
        <w:t>5.投诉书范本请到浙江政府采购网下载专区下载。</w:t>
      </w:r>
    </w:p>
    <w:p>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二、招标文件</w:t>
      </w:r>
    </w:p>
    <w:p>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1.投标邀请</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2.招标需求</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3.投标人须知</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4.评标办法及标准</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5.合同主要条款</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6.投标文件格式</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7.本项目招标文件的澄清、答复、修改、补充的内容（如有）</w:t>
      </w:r>
    </w:p>
    <w:p>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pPr>
        <w:pStyle w:val="40"/>
        <w:spacing w:line="420" w:lineRule="exact"/>
        <w:rPr>
          <w:rFonts w:ascii="宋体" w:eastAsia="宋体"/>
          <w:color w:val="auto"/>
          <w:highlight w:val="none"/>
        </w:rPr>
      </w:pPr>
      <w:r>
        <w:rPr>
          <w:rFonts w:hint="eastAsia" w:ascii="宋体" w:eastAsia="宋体"/>
          <w:color w:val="auto"/>
          <w:highlight w:val="none"/>
        </w:rPr>
        <w:t>投标人没有按照招标文件要求提供全部资料，或者投标人没有对招标文件在各方面作出实质性响应是投标人的风险，并可能导致其投标被拒绝。</w:t>
      </w:r>
    </w:p>
    <w:p>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 xml:space="preserve">（三）招标文件的澄清与修改 </w:t>
      </w:r>
    </w:p>
    <w:p>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w:t>
      </w:r>
      <w:r>
        <w:rPr>
          <w:rFonts w:hint="eastAsia" w:hAnsi="宋体"/>
          <w:bCs/>
          <w:color w:val="auto"/>
          <w:highlight w:val="none"/>
        </w:rPr>
        <w:t>投标人应认真阅读本招标文件，发现其中有误或有不合理要求的，投标人必须在前附表规定的时间前以书面形式要求招标人澄清</w:t>
      </w:r>
      <w:r>
        <w:rPr>
          <w:rFonts w:hint="eastAsia" w:hAnsi="宋体"/>
          <w:color w:val="auto"/>
          <w:highlight w:val="none"/>
        </w:rPr>
        <w:t>。招标人对已发出的招标文件进行必要澄清、答复、修改或补充的，应当在招标文件要求提交投标文件截止时间前，以采购公告发布的网站予以发布。</w:t>
      </w:r>
    </w:p>
    <w:p>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2.招标文件澄清、答复、修改、补充的内容为招标文件的组成部分。当招标文件与招标文件的答复、澄清、修改、补充通知就同一内容的表述不一致时，以最后发出的公告为准。</w:t>
      </w:r>
    </w:p>
    <w:p>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3.招标文件的澄清、答复、修改或补充都应该通过招标人以法定形式发布，采购单位没有通过招标人，不得擅自澄清、答复、修改或补充招标文件。</w:t>
      </w:r>
    </w:p>
    <w:p>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三、投标文件的编制</w:t>
      </w:r>
    </w:p>
    <w:p>
      <w:pPr>
        <w:snapToGrid w:val="0"/>
        <w:spacing w:line="420" w:lineRule="exact"/>
        <w:ind w:firstLine="470" w:firstLineChars="196"/>
        <w:jc w:val="left"/>
        <w:rPr>
          <w:rFonts w:ascii="宋体" w:hAnsi="宋体"/>
          <w:bCs/>
          <w:color w:val="auto"/>
          <w:sz w:val="24"/>
          <w:highlight w:val="none"/>
        </w:rPr>
      </w:pPr>
      <w:r>
        <w:rPr>
          <w:rFonts w:hint="eastAsia" w:ascii="宋体" w:hAnsi="宋体"/>
          <w:bCs/>
          <w:color w:val="auto"/>
          <w:sz w:val="24"/>
          <w:highlight w:val="none"/>
        </w:rPr>
        <w:t>本项目实行电子投标，投标人应准备电子投标文件，本项目线下无需提供任何备份投标文件。电子投标文件，按政采云平台项目采购--电子招投标操作指南及本招标文件要求编制。</w:t>
      </w:r>
    </w:p>
    <w:p>
      <w:pPr>
        <w:snapToGrid w:val="0"/>
        <w:spacing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（一）投标文件的组成</w:t>
      </w:r>
    </w:p>
    <w:p>
      <w:pPr>
        <w:snapToGrid w:val="0"/>
        <w:spacing w:line="420" w:lineRule="exact"/>
        <w:ind w:firstLine="482" w:firstLineChars="200"/>
        <w:jc w:val="left"/>
        <w:rPr>
          <w:rFonts w:ascii="宋体" w:hAnsi="宋体"/>
          <w:color w:val="auto"/>
          <w:sz w:val="24"/>
          <w:highlight w:val="none"/>
        </w:rPr>
      </w:pPr>
      <w:r>
        <w:rPr>
          <w:rFonts w:hint="eastAsia" w:ascii="宋体" w:hAnsi="宋体"/>
          <w:b/>
          <w:color w:val="auto"/>
          <w:sz w:val="24"/>
          <w:highlight w:val="none"/>
        </w:rPr>
        <w:t>投标文件由资格响应文件、商务技术文件、报价文件三部份组成。</w:t>
      </w:r>
      <w:r>
        <w:rPr>
          <w:rFonts w:hint="eastAsia" w:ascii="宋体" w:hAnsi="宋体"/>
          <w:color w:val="auto"/>
          <w:sz w:val="24"/>
          <w:highlight w:val="none"/>
        </w:rPr>
        <w:t>相关格式见附件，其余格式自拟。</w:t>
      </w:r>
    </w:p>
    <w:p>
      <w:pPr>
        <w:snapToGrid w:val="0"/>
        <w:spacing w:line="420" w:lineRule="exact"/>
        <w:ind w:firstLine="482" w:firstLineChars="200"/>
        <w:jc w:val="left"/>
        <w:rPr>
          <w:rFonts w:ascii="宋体" w:hAnsi="宋体"/>
          <w:b/>
          <w:color w:val="auto"/>
          <w:sz w:val="24"/>
          <w:highlight w:val="none"/>
        </w:rPr>
      </w:pPr>
      <w:bookmarkStart w:id="25" w:name="_Hlk72672250"/>
      <w:r>
        <w:rPr>
          <w:rFonts w:ascii="宋体" w:hAnsi="宋体"/>
          <w:b/>
          <w:color w:val="auto"/>
          <w:sz w:val="24"/>
          <w:highlight w:val="none"/>
        </w:rPr>
        <w:t>1</w:t>
      </w:r>
      <w:r>
        <w:rPr>
          <w:rFonts w:hint="eastAsia" w:ascii="宋体" w:hAnsi="宋体"/>
          <w:b/>
          <w:color w:val="auto"/>
          <w:sz w:val="24"/>
          <w:highlight w:val="none"/>
        </w:rPr>
        <w:t>.资格响应文件</w:t>
      </w:r>
    </w:p>
    <w:bookmarkEnd w:id="25"/>
    <w:p>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pP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color w:val="auto"/>
          <w:sz w:val="24"/>
          <w:highlight w:val="none"/>
        </w:rPr>
        <w:t>资质文件复印件（如有）；</w:t>
      </w:r>
    </w:p>
    <w:p>
      <w:pPr>
        <w:snapToGrid w:val="0"/>
        <w:spacing w:line="420" w:lineRule="exact"/>
        <w:ind w:firstLine="480" w:firstLineChars="200"/>
        <w:jc w:val="left"/>
        <w:rPr>
          <w:rFonts w:ascii="宋体" w:hAnsi="宋体"/>
          <w:bCs/>
          <w:color w:val="auto"/>
          <w:sz w:val="24"/>
          <w:highlight w:val="none"/>
        </w:rPr>
      </w:pPr>
      <w:bookmarkStart w:id="26" w:name="_Hlk68075338"/>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bookmarkEnd w:id="26"/>
      <w:r>
        <w:rPr>
          <w:rFonts w:hint="eastAsia" w:ascii="宋体" w:hAnsi="宋体"/>
          <w:bCs/>
          <w:color w:val="auto"/>
          <w:sz w:val="24"/>
          <w:highlight w:val="none"/>
        </w:rPr>
        <w:t>没有重大违法记录的承诺函</w:t>
      </w:r>
      <w:bookmarkStart w:id="27" w:name="_Hlk69365455"/>
      <w:r>
        <w:rPr>
          <w:rFonts w:hint="eastAsia" w:ascii="宋体" w:hAnsi="宋体"/>
          <w:b/>
          <w:color w:val="auto"/>
          <w:sz w:val="24"/>
          <w:highlight w:val="none"/>
          <w:u w:val="single"/>
          <w:shd w:val="pct10" w:color="auto" w:fill="FFFFFF"/>
        </w:rPr>
        <w:t>（请投标人在资格响应文件中勿遗漏该表格）</w:t>
      </w:r>
      <w:r>
        <w:rPr>
          <w:rFonts w:hint="eastAsia" w:ascii="宋体" w:hAnsi="宋体"/>
          <w:bCs/>
          <w:color w:val="auto"/>
          <w:sz w:val="24"/>
          <w:highlight w:val="none"/>
        </w:rPr>
        <w:t>；</w:t>
      </w:r>
    </w:p>
    <w:p>
      <w:pPr>
        <w:pStyle w:val="29"/>
        <w:snapToGrid w:val="0"/>
        <w:spacing w:beforeLines="0" w:afterLines="0"/>
        <w:ind w:firstLine="482" w:firstLineChars="200"/>
        <w:jc w:val="left"/>
        <w:rPr>
          <w:rFonts w:hAnsi="宋体"/>
          <w:b/>
          <w:color w:val="auto"/>
          <w:highlight w:val="none"/>
          <w:u w:val="single"/>
          <w:shd w:val="pct10" w:color="auto" w:fill="FFFFFF"/>
        </w:rPr>
      </w:pPr>
      <w:r>
        <w:rPr>
          <w:rFonts w:hint="eastAsia" w:hAnsi="宋体"/>
          <w:b/>
          <w:color w:val="auto"/>
          <w:highlight w:val="none"/>
          <w:u w:val="single"/>
          <w:shd w:val="pct10" w:color="auto" w:fill="FFFFFF"/>
        </w:rPr>
        <w:t>（4）中小企业声明函（投标人未提供《中小企业声明函》的、《中小企业声明函》中内容未填写齐全的、缺项的、填写内容出现错误的（不影响企业规模类型判定的除外）、未如实填写的，将不给予投标人享受中小企业扶持政策（即资格响应文件为无效）。</w:t>
      </w:r>
    </w:p>
    <w:bookmarkEnd w:id="27"/>
    <w:p>
      <w:pPr>
        <w:spacing w:line="420" w:lineRule="exact"/>
        <w:ind w:firstLine="470" w:firstLineChars="196"/>
        <w:rPr>
          <w:rFonts w:ascii="宋体" w:hAnsi="宋体"/>
          <w:color w:val="auto"/>
          <w:sz w:val="24"/>
          <w:highlight w:val="none"/>
        </w:rPr>
      </w:pPr>
      <w:bookmarkStart w:id="28" w:name="_Hlk72672204"/>
      <w:r>
        <w:rPr>
          <w:rFonts w:hint="eastAsia" w:ascii="宋体" w:hAnsi="宋体"/>
          <w:color w:val="auto"/>
          <w:sz w:val="24"/>
          <w:highlight w:val="none"/>
        </w:rPr>
        <w:t>评标委员会根据上述资料和《政府采购促进中小企业发展管理办法》财库［2020］46号文件、工信部联企业[2011]300号文件、浙财采监〔2018〕2号、浙财采监【2022】3号文件等规定，</w:t>
      </w:r>
      <w:r>
        <w:rPr>
          <w:rFonts w:hint="eastAsia" w:ascii="宋体" w:hAnsi="宋体"/>
          <w:b/>
          <w:color w:val="auto"/>
          <w:sz w:val="24"/>
          <w:highlight w:val="none"/>
        </w:rPr>
        <w:t>综合评判后确认投标人是否享受中小企业扶持政策。</w:t>
      </w:r>
      <w:r>
        <w:rPr>
          <w:rFonts w:hint="eastAsia" w:ascii="宋体" w:hAnsi="宋体"/>
          <w:b/>
          <w:color w:val="auto"/>
          <w:sz w:val="24"/>
          <w:highlight w:val="none"/>
          <w:u w:val="single"/>
          <w:shd w:val="pct10" w:color="auto" w:fill="FFFFFF"/>
        </w:rPr>
        <w:t>评标过程中如须核实有关单位网上统计、社保、税务等信息的，投标人须提供配合。</w:t>
      </w:r>
    </w:p>
    <w:p>
      <w:pPr>
        <w:snapToGrid w:val="0"/>
        <w:spacing w:line="420" w:lineRule="exact"/>
        <w:ind w:firstLine="482" w:firstLineChars="200"/>
        <w:jc w:val="left"/>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bookmarkEnd w:id="28"/>
      <w:bookmarkStart w:id="29" w:name="_Hlk534200662"/>
      <w:r>
        <w:rPr>
          <w:rFonts w:hint="eastAsia" w:ascii="宋体" w:hAnsi="宋体"/>
          <w:b/>
          <w:color w:val="auto"/>
          <w:sz w:val="24"/>
          <w:highlight w:val="none"/>
        </w:rPr>
        <w:t>商务</w:t>
      </w:r>
      <w:r>
        <w:rPr>
          <w:rFonts w:hint="eastAsia" w:ascii="宋体" w:hAnsi="宋体"/>
          <w:b/>
          <w:bCs/>
          <w:color w:val="auto"/>
          <w:sz w:val="24"/>
          <w:highlight w:val="none"/>
        </w:rPr>
        <w:t>技术</w:t>
      </w:r>
      <w:r>
        <w:rPr>
          <w:rFonts w:hint="eastAsia" w:ascii="宋体" w:hAnsi="宋体"/>
          <w:b/>
          <w:color w:val="auto"/>
          <w:sz w:val="24"/>
          <w:highlight w:val="none"/>
        </w:rPr>
        <w:t>文件</w:t>
      </w:r>
      <w:bookmarkEnd w:id="29"/>
    </w:p>
    <w:p>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（1）投标函；</w:t>
      </w:r>
    </w:p>
    <w:p>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w:t>
      </w:r>
      <w:bookmarkStart w:id="30" w:name="_Hlk534200539"/>
      <w:r>
        <w:rPr>
          <w:rFonts w:hint="eastAsia" w:ascii="宋体" w:hAnsi="宋体"/>
          <w:color w:val="auto"/>
          <w:sz w:val="24"/>
          <w:highlight w:val="none"/>
        </w:rPr>
        <w:t>法定代表人授权委托书</w:t>
      </w:r>
      <w:bookmarkEnd w:id="30"/>
      <w:r>
        <w:rPr>
          <w:rFonts w:hint="eastAsia" w:ascii="宋体" w:hAnsi="宋体"/>
          <w:color w:val="auto"/>
          <w:sz w:val="24"/>
          <w:highlight w:val="none"/>
        </w:rPr>
        <w:t>（法定代表人身份证明）；</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）投标人按照评分标准要求提供的相应资料；</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）服务内容响应表；</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）项目负责人简历表；</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 xml:space="preserve">）项目实施人员一览表； </w:t>
      </w:r>
    </w:p>
    <w:p>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）投标人类似成功案例一览表；</w:t>
      </w:r>
    </w:p>
    <w:p>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）售后服务网点情况表；</w:t>
      </w:r>
    </w:p>
    <w:p>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）商务技术响应表；</w:t>
      </w:r>
    </w:p>
    <w:p>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）投标人认为需要提供的其他资料。</w:t>
      </w:r>
    </w:p>
    <w:p>
      <w:pPr>
        <w:snapToGrid w:val="0"/>
        <w:spacing w:line="420" w:lineRule="exact"/>
        <w:ind w:firstLine="472" w:firstLineChars="19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.报价文件</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（1）开标一览表；</w:t>
      </w:r>
    </w:p>
    <w:p>
      <w:pPr>
        <w:pStyle w:val="31"/>
        <w:snapToGrid w:val="0"/>
        <w:spacing w:line="420" w:lineRule="exact"/>
        <w:ind w:left="0" w:leftChars="0"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（2）报价明细表；</w:t>
      </w:r>
    </w:p>
    <w:p>
      <w:pPr>
        <w:snapToGrid w:val="0"/>
        <w:spacing w:before="100" w:beforeAutospacing="1" w:after="100" w:afterAutospacing="1" w:line="420" w:lineRule="exact"/>
        <w:ind w:firstLine="236" w:firstLineChars="98"/>
        <w:jc w:val="left"/>
        <w:rPr>
          <w:rFonts w:ascii="宋体" w:hAnsi="宋体"/>
          <w:b/>
          <w:color w:val="auto"/>
          <w:spacing w:val="-4"/>
          <w:sz w:val="24"/>
          <w:highlight w:val="none"/>
        </w:rPr>
      </w:pPr>
      <w:r>
        <w:rPr>
          <w:rFonts w:hint="eastAsia" w:ascii="宋体" w:hAnsi="宋体"/>
          <w:b/>
          <w:color w:val="auto"/>
          <w:sz w:val="24"/>
          <w:highlight w:val="none"/>
        </w:rPr>
        <w:t>（二）</w:t>
      </w:r>
      <w:r>
        <w:rPr>
          <w:rFonts w:hint="eastAsia" w:ascii="宋体" w:hAnsi="宋体"/>
          <w:b/>
          <w:color w:val="auto"/>
          <w:spacing w:val="-4"/>
          <w:sz w:val="24"/>
          <w:highlight w:val="none"/>
        </w:rPr>
        <w:t>采购项目评分索引表(该表格仅为方便评标之用，不涉及无效标条款，表格放置在商务技术文件目录的前页，以方便评委进行评审</w:t>
      </w:r>
      <w:r>
        <w:rPr>
          <w:rFonts w:ascii="宋体" w:hAnsi="宋体"/>
          <w:b/>
          <w:color w:val="auto"/>
          <w:spacing w:val="-4"/>
          <w:sz w:val="24"/>
          <w:highlight w:val="none"/>
        </w:rPr>
        <w:t>，</w:t>
      </w:r>
      <w:r>
        <w:rPr>
          <w:rFonts w:hint="eastAsia" w:ascii="宋体" w:hAnsi="宋体"/>
          <w:b/>
          <w:color w:val="auto"/>
          <w:spacing w:val="-4"/>
          <w:sz w:val="24"/>
          <w:highlight w:val="none"/>
        </w:rPr>
        <w:t>格式见第四章)</w:t>
      </w:r>
    </w:p>
    <w:p>
      <w:pPr>
        <w:snapToGrid w:val="0"/>
        <w:spacing w:line="420" w:lineRule="exact"/>
        <w:ind w:firstLine="361" w:firstLineChars="150"/>
        <w:jc w:val="left"/>
        <w:rPr>
          <w:rFonts w:ascii="宋体" w:hAnsi="宋体"/>
          <w:b/>
          <w:color w:val="auto"/>
          <w:sz w:val="24"/>
          <w:highlight w:val="none"/>
        </w:rPr>
      </w:pPr>
      <w:r>
        <w:rPr>
          <w:rFonts w:hint="eastAsia" w:ascii="宋体" w:hAnsi="宋体"/>
          <w:b/>
          <w:color w:val="auto"/>
          <w:sz w:val="24"/>
          <w:highlight w:val="none"/>
        </w:rPr>
        <w:t>（三）投标文件的语言及计量</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（四）投标报价</w:t>
      </w:r>
    </w:p>
    <w:p>
      <w:pPr>
        <w:pStyle w:val="29"/>
        <w:snapToGrid w:val="0"/>
        <w:spacing w:beforeLines="0" w:afterLines="0" w:line="420" w:lineRule="exact"/>
        <w:ind w:firstLine="480" w:firstLineChars="200"/>
        <w:jc w:val="left"/>
        <w:rPr>
          <w:rFonts w:hAnsi="宋体"/>
          <w:color w:val="auto"/>
          <w:highlight w:val="none"/>
        </w:rPr>
      </w:pPr>
      <w:r>
        <w:rPr>
          <w:rFonts w:hint="eastAsia" w:hAnsi="宋体"/>
          <w:color w:val="auto"/>
          <w:highlight w:val="none"/>
        </w:rPr>
        <w:t>1.投标报价应按招标文件中相关附表格式填写。</w:t>
      </w:r>
    </w:p>
    <w:p>
      <w:pPr>
        <w:pStyle w:val="29"/>
        <w:snapToGrid w:val="0"/>
        <w:spacing w:beforeLines="0" w:afterLines="0" w:line="420" w:lineRule="exact"/>
        <w:ind w:firstLine="480" w:firstLineChars="200"/>
        <w:jc w:val="left"/>
        <w:rPr>
          <w:rFonts w:hAnsi="宋体"/>
          <w:color w:val="auto"/>
          <w:highlight w:val="none"/>
        </w:rPr>
      </w:pPr>
      <w:r>
        <w:rPr>
          <w:rFonts w:hint="eastAsia" w:hAnsi="宋体"/>
          <w:color w:val="auto"/>
          <w:highlight w:val="none"/>
        </w:rPr>
        <w:t>2.投标报价是履行合同的最终价格，各项服务内容的各种费用，应包括员工工资、福利、奖金、补贴、社会保险费、及管理费、税金、政策性文件规定及合同包含的所有风险、责任等各项应有费用等一切费用。因成交供应商自身原因造成漏报、少报皆由其自行承担责任，采购人不再补偿。投标文件中价格全部采用人民币报价。招标文件未列明，而投标人认为必需的费用也需列入报价。</w:t>
      </w:r>
    </w:p>
    <w:p>
      <w:pPr>
        <w:pStyle w:val="29"/>
        <w:snapToGrid w:val="0"/>
        <w:spacing w:beforeLines="0" w:afterLines="0" w:line="420" w:lineRule="exact"/>
        <w:ind w:firstLine="480" w:firstLineChars="200"/>
        <w:jc w:val="left"/>
        <w:rPr>
          <w:rFonts w:hAnsi="宋体"/>
          <w:color w:val="auto"/>
          <w:highlight w:val="none"/>
        </w:rPr>
      </w:pPr>
      <w:r>
        <w:rPr>
          <w:rFonts w:hint="eastAsia" w:hAnsi="宋体"/>
          <w:color w:val="auto"/>
          <w:highlight w:val="none"/>
        </w:rPr>
        <w:t>▲3.投标文件只允许有一个报价，有选择的或有条件的报价将不予接受。</w:t>
      </w:r>
    </w:p>
    <w:p>
      <w:pPr>
        <w:tabs>
          <w:tab w:val="left" w:pos="525"/>
        </w:tabs>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（此项符合性在报价文件中进行评审）</w:t>
      </w:r>
    </w:p>
    <w:p>
      <w:pPr>
        <w:pStyle w:val="13"/>
        <w:widowControl w:val="0"/>
        <w:tabs>
          <w:tab w:val="left" w:pos="420"/>
        </w:tabs>
        <w:snapToGrid w:val="0"/>
        <w:spacing w:before="120" w:beforeLines="50" w:afterLines="0" w:line="420" w:lineRule="exact"/>
        <w:ind w:left="0" w:firstLine="472" w:firstLineChars="196"/>
        <w:rPr>
          <w:rFonts w:ascii="宋体" w:hAnsi="宋体"/>
          <w:b/>
          <w:color w:val="auto"/>
          <w:szCs w:val="24"/>
          <w:highlight w:val="none"/>
        </w:rPr>
      </w:pPr>
      <w:r>
        <w:rPr>
          <w:rFonts w:hint="eastAsia" w:ascii="宋体" w:hAnsi="宋体"/>
          <w:b/>
          <w:color w:val="auto"/>
          <w:szCs w:val="24"/>
          <w:highlight w:val="none"/>
        </w:rPr>
        <w:t>（五）投标有效期</w:t>
      </w:r>
    </w:p>
    <w:p>
      <w:pPr>
        <w:pStyle w:val="13"/>
        <w:widowControl w:val="0"/>
        <w:tabs>
          <w:tab w:val="left" w:pos="420"/>
        </w:tabs>
        <w:snapToGrid w:val="0"/>
        <w:spacing w:afterLines="0" w:line="420" w:lineRule="exact"/>
        <w:ind w:left="-25" w:leftChars="-12" w:firstLine="360" w:firstLineChars="150"/>
        <w:rPr>
          <w:rFonts w:ascii="宋体" w:hAnsi="宋体"/>
          <w:color w:val="auto"/>
          <w:szCs w:val="24"/>
          <w:highlight w:val="none"/>
        </w:rPr>
      </w:pPr>
      <w:r>
        <w:rPr>
          <w:rFonts w:hint="eastAsia" w:ascii="宋体" w:hAnsi="宋体"/>
          <w:color w:val="auto"/>
          <w:szCs w:val="24"/>
          <w:highlight w:val="none"/>
        </w:rPr>
        <w:t>▲1.自投标截止日起</w:t>
      </w:r>
      <w:r>
        <w:rPr>
          <w:rFonts w:hint="eastAsia" w:ascii="宋体" w:hAnsi="宋体"/>
          <w:color w:val="auto"/>
          <w:szCs w:val="24"/>
          <w:highlight w:val="none"/>
          <w:u w:val="single"/>
        </w:rPr>
        <w:t xml:space="preserve">  90  </w:t>
      </w:r>
      <w:r>
        <w:rPr>
          <w:rFonts w:hint="eastAsia" w:ascii="宋体" w:hAnsi="宋体"/>
          <w:color w:val="auto"/>
          <w:szCs w:val="24"/>
          <w:highlight w:val="none"/>
        </w:rPr>
        <w:t>天投标文件应保持有效。</w:t>
      </w:r>
    </w:p>
    <w:p>
      <w:pPr>
        <w:pStyle w:val="13"/>
        <w:widowControl w:val="0"/>
        <w:tabs>
          <w:tab w:val="left" w:pos="420"/>
        </w:tabs>
        <w:snapToGrid w:val="0"/>
        <w:spacing w:afterLines="0" w:line="420" w:lineRule="exact"/>
        <w:ind w:left="0" w:firstLine="480" w:firstLineChars="200"/>
        <w:rPr>
          <w:rFonts w:ascii="宋体" w:hAnsi="宋体"/>
          <w:color w:val="auto"/>
          <w:szCs w:val="24"/>
          <w:highlight w:val="none"/>
        </w:rPr>
      </w:pPr>
      <w:r>
        <w:rPr>
          <w:rFonts w:hint="eastAsia" w:ascii="宋体" w:hAnsi="宋体"/>
          <w:color w:val="auto"/>
          <w:szCs w:val="24"/>
          <w:highlight w:val="none"/>
        </w:rPr>
        <w:t>2.在特殊情况下，招标人可与投标人协商延长投标文件的有效期，这种要求和答复均以书面形式进行。</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3.投标人可拒绝接受延期要求，同意延长有效期的投标人不能修改投标文件内容。 </w:t>
      </w:r>
    </w:p>
    <w:p>
      <w:pPr>
        <w:snapToGrid w:val="0"/>
        <w:spacing w:line="420" w:lineRule="exact"/>
        <w:ind w:firstLine="480" w:firstLineChars="200"/>
        <w:jc w:val="left"/>
        <w:rPr>
          <w:rFonts w:ascii="宋体" w:hAnsi="宋体"/>
          <w:b/>
          <w:color w:val="auto"/>
          <w:sz w:val="24"/>
          <w:highlight w:val="none"/>
        </w:rPr>
      </w:pPr>
      <w:r>
        <w:rPr>
          <w:rFonts w:hint="eastAsia" w:ascii="宋体" w:hAnsi="宋体"/>
          <w:color w:val="auto"/>
          <w:sz w:val="24"/>
          <w:highlight w:val="none"/>
        </w:rPr>
        <w:t>4.中标人的投标文件自开标之日起至合同履行完毕止均应保持有效。</w:t>
      </w:r>
    </w:p>
    <w:p>
      <w:pPr>
        <w:snapToGrid w:val="0"/>
        <w:spacing w:line="420" w:lineRule="exact"/>
        <w:ind w:firstLine="472" w:firstLineChars="196"/>
        <w:jc w:val="left"/>
        <w:rPr>
          <w:rFonts w:ascii="宋体" w:hAnsi="宋体"/>
          <w:b/>
          <w:bCs/>
          <w:color w:val="auto"/>
          <w:sz w:val="24"/>
          <w:highlight w:val="none"/>
        </w:rPr>
      </w:pPr>
      <w:r>
        <w:rPr>
          <w:rFonts w:hint="eastAsia" w:ascii="宋体" w:hAnsi="宋体"/>
          <w:b/>
          <w:bCs/>
          <w:color w:val="auto"/>
          <w:sz w:val="24"/>
          <w:highlight w:val="none"/>
        </w:rPr>
        <w:t>5.投标人有下列情形之一的，按有关规定进行处罚：</w:t>
      </w:r>
    </w:p>
    <w:p>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（1）投标人在投标有效期内撤回投标文件的；</w:t>
      </w:r>
    </w:p>
    <w:p>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（2）未按规定提交履约保证金的；</w:t>
      </w:r>
    </w:p>
    <w:p>
      <w:pPr>
        <w:snapToGrid w:val="0"/>
        <w:spacing w:line="420" w:lineRule="exact"/>
        <w:ind w:firstLine="470" w:firstLineChars="196"/>
        <w:jc w:val="left"/>
        <w:rPr>
          <w:rFonts w:ascii="宋体" w:hAnsi="宋体"/>
          <w:color w:val="auto"/>
          <w:sz w:val="24"/>
          <w:highlight w:val="none"/>
        </w:rPr>
      </w:pPr>
      <w:r>
        <w:rPr>
          <w:rFonts w:hint="eastAsia" w:ascii="宋体" w:hAnsi="宋体"/>
          <w:color w:val="auto"/>
          <w:sz w:val="24"/>
          <w:highlight w:val="none"/>
        </w:rPr>
        <w:t>（3）投标人在投标过程中弄虚作假，提供虚假材料的；</w:t>
      </w:r>
    </w:p>
    <w:p>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（4）中标人无正当理由不与采购单位签订合同的；</w:t>
      </w:r>
    </w:p>
    <w:p>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（5）</w:t>
      </w:r>
      <w:r>
        <w:rPr>
          <w:rFonts w:hint="eastAsia" w:ascii="宋体" w:hAnsi="宋体"/>
          <w:bCs/>
          <w:color w:val="auto"/>
          <w:sz w:val="24"/>
          <w:highlight w:val="none"/>
        </w:rPr>
        <w:t>将中标项目转让给他人或者在投标文件中未说明且未经招标人同意，将中标项目分包给他人的；</w:t>
      </w:r>
    </w:p>
    <w:p>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（6）拒绝履行合同义务的；</w:t>
      </w:r>
    </w:p>
    <w:p>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（7）其他严重扰乱招投标程序的。</w:t>
      </w:r>
    </w:p>
    <w:p>
      <w:pPr>
        <w:snapToGrid w:val="0"/>
        <w:spacing w:before="120" w:beforeLines="50" w:line="420" w:lineRule="exact"/>
        <w:ind w:firstLine="472" w:firstLineChars="196"/>
        <w:jc w:val="left"/>
        <w:rPr>
          <w:rFonts w:ascii="宋体" w:hAnsi="宋体"/>
          <w:b/>
          <w:color w:val="auto"/>
          <w:sz w:val="24"/>
          <w:highlight w:val="none"/>
        </w:rPr>
      </w:pPr>
      <w:r>
        <w:rPr>
          <w:rFonts w:hint="eastAsia" w:ascii="宋体" w:hAnsi="宋体"/>
          <w:b/>
          <w:color w:val="auto"/>
          <w:sz w:val="24"/>
          <w:highlight w:val="none"/>
        </w:rPr>
        <w:t>（六）投标文件的签署</w:t>
      </w:r>
    </w:p>
    <w:p>
      <w:pPr>
        <w:snapToGrid w:val="0"/>
        <w:spacing w:line="420" w:lineRule="exact"/>
        <w:ind w:firstLine="480" w:firstLineChars="200"/>
        <w:jc w:val="left"/>
        <w:rPr>
          <w:rFonts w:ascii="宋体" w:hAnsi="宋体"/>
          <w:color w:val="auto"/>
          <w:sz w:val="24"/>
          <w:highlight w:val="none"/>
        </w:rPr>
      </w:pPr>
      <w:r>
        <w:rPr>
          <w:rFonts w:hint="eastAsia" w:ascii="宋体" w:hAnsi="宋体"/>
          <w:color w:val="auto"/>
          <w:sz w:val="24"/>
          <w:highlight w:val="none"/>
        </w:rPr>
        <w:t>1.投标人应按本招标文件规定的格式和顺序编制投标文件并标注页码，投标文件内容不完整、编排混乱而导致投标文件被误读、漏读或者查找不到相关内容的，投标人责任自负。</w:t>
      </w:r>
    </w:p>
    <w:p>
      <w:pPr>
        <w:snapToGrid w:val="0"/>
        <w:spacing w:line="420" w:lineRule="exact"/>
        <w:ind w:firstLine="470" w:firstLineChars="196"/>
        <w:jc w:val="left"/>
        <w:rPr>
          <w:rFonts w:ascii="宋体" w:hAnsi="宋体" w:cs="仿宋_GB2312"/>
          <w:bCs/>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仿宋_GB2312"/>
          <w:b/>
          <w:color w:val="auto"/>
          <w:sz w:val="24"/>
          <w:highlight w:val="none"/>
        </w:rPr>
        <w:t>电子投标文件中公章采用CA签章</w:t>
      </w:r>
      <w:r>
        <w:rPr>
          <w:rFonts w:hint="eastAsia" w:ascii="宋体" w:hAnsi="宋体" w:cs="仿宋_GB2312"/>
          <w:bCs/>
          <w:color w:val="auto"/>
          <w:sz w:val="24"/>
          <w:highlight w:val="none"/>
        </w:rPr>
        <w:t>，</w:t>
      </w:r>
      <w:r>
        <w:rPr>
          <w:rFonts w:hint="eastAsia" w:ascii="宋体" w:hAnsi="宋体" w:cs="仿宋_GB2312"/>
          <w:b/>
          <w:bCs/>
          <w:color w:val="auto"/>
          <w:sz w:val="24"/>
          <w:highlight w:val="none"/>
          <w:u w:val="single"/>
          <w:shd w:val="pct10" w:color="auto" w:fill="FFFFFF"/>
        </w:rPr>
        <w:t>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420" w:lineRule="exact"/>
        <w:ind w:firstLine="470" w:firstLineChars="196"/>
        <w:jc w:val="left"/>
        <w:rPr>
          <w:rFonts w:ascii="宋体" w:hAnsi="宋体" w:cs="仿宋_GB2312"/>
          <w:bCs/>
          <w:color w:val="auto"/>
          <w:sz w:val="24"/>
          <w:highlight w:val="none"/>
        </w:rPr>
      </w:pPr>
      <w:r>
        <w:rPr>
          <w:rFonts w:hint="eastAsia" w:ascii="宋体" w:hAnsi="宋体" w:cs="仿宋_GB2312"/>
          <w:bCs/>
          <w:color w:val="auto"/>
          <w:sz w:val="24"/>
          <w:highlight w:val="none"/>
        </w:rPr>
        <w:t>电子投标文件如内容不完整、编排混乱导致投标文件被误读、漏读，或者在按采购文件规定的部位查找不到相关内容的，由投标人自行承担。</w:t>
      </w:r>
    </w:p>
    <w:p>
      <w:pPr>
        <w:snapToGrid w:val="0"/>
        <w:spacing w:line="420" w:lineRule="exact"/>
        <w:ind w:firstLine="470" w:firstLineChars="196"/>
        <w:jc w:val="left"/>
        <w:rPr>
          <w:rFonts w:ascii="宋体" w:hAnsi="宋体"/>
          <w:color w:val="auto"/>
          <w:sz w:val="24"/>
          <w:highlight w:val="none"/>
        </w:rPr>
      </w:pPr>
      <w:r>
        <w:rPr>
          <w:rFonts w:ascii="宋体" w:hAnsi="宋体" w:cs="仿宋_GB2312"/>
          <w:bCs/>
          <w:color w:val="auto"/>
          <w:sz w:val="24"/>
          <w:highlight w:val="none"/>
        </w:rPr>
        <w:t>3</w:t>
      </w:r>
      <w:r>
        <w:rPr>
          <w:rFonts w:hint="eastAsia" w:ascii="宋体" w:hAnsi="宋体"/>
          <w:color w:val="auto"/>
          <w:sz w:val="24"/>
          <w:highlight w:val="none"/>
        </w:rPr>
        <w:t>.温馨提醒：</w:t>
      </w:r>
      <w:r>
        <w:rPr>
          <w:rFonts w:hint="eastAsia" w:ascii="宋体" w:hAnsi="宋体"/>
          <w:color w:val="auto"/>
          <w:sz w:val="24"/>
          <w:highlight w:val="none"/>
          <w:u w:val="single"/>
        </w:rPr>
        <w:t>CA签章上目前没有法人或授权代表签字信息，需要投标人联系杭州天谷信息科技有限公司、浙江杭州汇信科技有限公司进行办理，或在投标文件中涉及到签字的位置线下签好字然后扫描或者拍照做成PDF的格式亦可。</w:t>
      </w:r>
    </w:p>
    <w:p>
      <w:pPr>
        <w:snapToGrid w:val="0"/>
        <w:spacing w:line="420" w:lineRule="exact"/>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.投标文件不得涂改，若有修改错漏处，须加盖单位公章或者法定代表人或授权委托人签字或盖章。投标文件因字迹潦草或表达不清所引起的后果由投标人负责。</w:t>
      </w:r>
    </w:p>
    <w:p>
      <w:pPr>
        <w:snapToGrid w:val="0"/>
        <w:spacing w:before="120" w:beforeLines="50" w:line="420" w:lineRule="exact"/>
        <w:ind w:firstLine="472" w:firstLineChars="196"/>
        <w:rPr>
          <w:rFonts w:ascii="宋体" w:hAnsi="宋体"/>
          <w:b/>
          <w:color w:val="auto"/>
          <w:sz w:val="24"/>
          <w:highlight w:val="none"/>
        </w:rPr>
      </w:pPr>
      <w:r>
        <w:rPr>
          <w:rFonts w:hint="eastAsia" w:ascii="宋体" w:hAnsi="宋体"/>
          <w:b/>
          <w:color w:val="auto"/>
          <w:sz w:val="24"/>
          <w:highlight w:val="none"/>
        </w:rPr>
        <w:t>（七）投标无效的情形</w:t>
      </w:r>
    </w:p>
    <w:p>
      <w:pPr>
        <w:snapToGrid w:val="0"/>
        <w:spacing w:line="420" w:lineRule="exact"/>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电子邮件、扫描件等）。修改或者补正投标文件必须以书面形式进行，如有需要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20" w:lineRule="exact"/>
        <w:ind w:firstLine="457" w:firstLineChars="196"/>
        <w:rPr>
          <w:rFonts w:ascii="宋体" w:hAnsi="宋体"/>
          <w:b/>
          <w:bCs/>
          <w:color w:val="auto"/>
          <w:spacing w:val="-4"/>
          <w:sz w:val="24"/>
          <w:highlight w:val="none"/>
        </w:rPr>
      </w:pPr>
      <w:bookmarkStart w:id="31" w:name="_Hlk59462445"/>
      <w:r>
        <w:rPr>
          <w:rFonts w:hint="eastAsia" w:ascii="宋体" w:hAnsi="宋体"/>
          <w:b/>
          <w:bCs/>
          <w:color w:val="auto"/>
          <w:spacing w:val="-4"/>
          <w:sz w:val="24"/>
          <w:highlight w:val="none"/>
        </w:rPr>
        <w:t>1.</w:t>
      </w:r>
      <w:bookmarkStart w:id="32" w:name="_Hlk534294335"/>
      <w:r>
        <w:rPr>
          <w:rFonts w:hint="eastAsia" w:ascii="宋体" w:hAnsi="宋体"/>
          <w:b/>
          <w:bCs/>
          <w:color w:val="auto"/>
          <w:spacing w:val="-4"/>
          <w:sz w:val="24"/>
          <w:highlight w:val="none"/>
        </w:rPr>
        <w:t>在符合性审查和商务技术评审时，如发现下列情形之一的，投标文件将被视为无效：</w:t>
      </w:r>
    </w:p>
    <w:bookmarkEnd w:id="32"/>
    <w:p>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（1）资格响应文件未提供齐全的或者资格响应文件存在过期的或者不符合招标文件标明的资格要求的；</w:t>
      </w:r>
    </w:p>
    <w:p>
      <w:pPr>
        <w:pStyle w:val="22"/>
        <w:snapToGrid w:val="0"/>
        <w:spacing w:line="420" w:lineRule="exact"/>
        <w:ind w:firstLine="454" w:firstLineChars="196"/>
        <w:rPr>
          <w:rFonts w:hAnsi="宋体"/>
          <w:b/>
          <w:bCs/>
          <w:color w:val="auto"/>
          <w:sz w:val="24"/>
          <w:highlight w:val="none"/>
        </w:rPr>
      </w:pPr>
      <w:r>
        <w:rPr>
          <w:rFonts w:hint="eastAsia" w:hAnsi="宋体"/>
          <w:color w:val="auto"/>
          <w:sz w:val="24"/>
          <w:highlight w:val="none"/>
        </w:rPr>
        <w:t>（2）</w:t>
      </w:r>
      <w:r>
        <w:rPr>
          <w:rFonts w:hint="eastAsia" w:hAnsi="宋体"/>
          <w:bCs/>
          <w:color w:val="auto"/>
          <w:sz w:val="24"/>
          <w:highlight w:val="none"/>
        </w:rPr>
        <w:t>电子投标文件</w:t>
      </w:r>
      <w:r>
        <w:rPr>
          <w:rFonts w:hint="eastAsia" w:hAnsi="宋体"/>
          <w:b/>
          <w:bCs/>
          <w:color w:val="auto"/>
          <w:sz w:val="24"/>
          <w:highlight w:val="none"/>
          <w:u w:val="single"/>
          <w:shd w:val="pct10" w:color="auto" w:fill="FFFFFF"/>
        </w:rPr>
        <w:t>在招标文件格式指定页面无法定代表人盖章或签字、未在招标文件格式指定页面盖公章、在招标文件格式指定页面无被授权人签字（打字无效）</w:t>
      </w:r>
      <w:r>
        <w:rPr>
          <w:rFonts w:hint="eastAsia" w:hAnsi="宋体"/>
          <w:b/>
          <w:bCs/>
          <w:color w:val="auto"/>
          <w:sz w:val="24"/>
          <w:highlight w:val="none"/>
          <w:u w:val="single"/>
        </w:rPr>
        <w:t>、</w:t>
      </w:r>
      <w:r>
        <w:rPr>
          <w:rFonts w:hint="eastAsia" w:hAnsi="宋体"/>
          <w:b/>
          <w:bCs/>
          <w:color w:val="auto"/>
          <w:sz w:val="24"/>
          <w:highlight w:val="none"/>
        </w:rPr>
        <w:t>未提供法定代表人授权委托书、未提供投标函、未提供《没有重大违法记录的承诺函》或者投标函、《没有重大违法记录的承诺函》格式不符合招标文件要求或填写项目不齐全的；</w:t>
      </w:r>
    </w:p>
    <w:p>
      <w:pPr>
        <w:pStyle w:val="22"/>
        <w:snapToGrid w:val="0"/>
        <w:spacing w:line="420" w:lineRule="exact"/>
        <w:ind w:firstLine="454" w:firstLineChars="196"/>
        <w:rPr>
          <w:rFonts w:hAnsi="宋体"/>
          <w:b/>
          <w:bCs/>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3</w:t>
      </w:r>
      <w:r>
        <w:rPr>
          <w:rFonts w:hint="eastAsia" w:hAnsi="宋体"/>
          <w:color w:val="auto"/>
          <w:sz w:val="24"/>
          <w:szCs w:val="24"/>
          <w:highlight w:val="none"/>
        </w:rPr>
        <w:t>）多项主要服务响应或者主要设备功能响应不满足招标文件要求或</w:t>
      </w:r>
      <w:r>
        <w:rPr>
          <w:rFonts w:hint="eastAsia" w:hAnsi="宋体"/>
          <w:color w:val="auto"/>
          <w:sz w:val="24"/>
          <w:highlight w:val="none"/>
        </w:rPr>
        <w:t>缺项的，</w:t>
      </w:r>
      <w:r>
        <w:rPr>
          <w:rFonts w:hint="eastAsia" w:hAnsi="宋体"/>
          <w:b/>
          <w:bCs/>
          <w:color w:val="auto"/>
          <w:sz w:val="24"/>
          <w:szCs w:val="24"/>
          <w:highlight w:val="none"/>
        </w:rPr>
        <w:t>主要设备尺寸严重不满足招标文件要求的。</w:t>
      </w:r>
    </w:p>
    <w:p>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4</w:t>
      </w:r>
      <w:r>
        <w:rPr>
          <w:rFonts w:hint="eastAsia" w:hAnsi="宋体"/>
          <w:color w:val="auto"/>
          <w:sz w:val="24"/>
          <w:szCs w:val="24"/>
          <w:highlight w:val="none"/>
        </w:rPr>
        <w:t>）</w:t>
      </w:r>
      <w:r>
        <w:rPr>
          <w:rFonts w:hint="eastAsia" w:hAnsi="宋体"/>
          <w:snapToGrid w:val="0"/>
          <w:color w:val="auto"/>
          <w:sz w:val="24"/>
          <w:szCs w:val="24"/>
          <w:highlight w:val="none"/>
        </w:rPr>
        <w:t>与</w:t>
      </w:r>
      <w:r>
        <w:rPr>
          <w:rFonts w:hint="eastAsia" w:hAnsi="宋体"/>
          <w:color w:val="auto"/>
          <w:sz w:val="24"/>
          <w:szCs w:val="24"/>
          <w:highlight w:val="none"/>
        </w:rPr>
        <w:t>招标文件中标“▲”的技术指标、主要功能参数、服务响应发生实质性负偏离</w:t>
      </w:r>
      <w:r>
        <w:rPr>
          <w:rFonts w:hint="eastAsia" w:hAnsi="宋体"/>
          <w:snapToGrid w:val="0"/>
          <w:color w:val="auto"/>
          <w:sz w:val="24"/>
          <w:szCs w:val="24"/>
          <w:highlight w:val="none"/>
        </w:rPr>
        <w:t>或内容缺失</w:t>
      </w:r>
      <w:r>
        <w:rPr>
          <w:rFonts w:hint="eastAsia" w:hAnsi="宋体"/>
          <w:color w:val="auto"/>
          <w:sz w:val="24"/>
          <w:szCs w:val="24"/>
          <w:highlight w:val="none"/>
        </w:rPr>
        <w:t>的；</w:t>
      </w:r>
    </w:p>
    <w:p>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5</w:t>
      </w:r>
      <w:r>
        <w:rPr>
          <w:rFonts w:hint="eastAsia" w:hAnsi="宋体"/>
          <w:color w:val="auto"/>
          <w:sz w:val="24"/>
          <w:szCs w:val="24"/>
          <w:highlight w:val="none"/>
        </w:rPr>
        <w:t>）未如实提供投标货物的技术参数，或者投标文件标明的响应或偏离存在虚假的；</w:t>
      </w:r>
    </w:p>
    <w:p>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6</w:t>
      </w:r>
      <w:r>
        <w:rPr>
          <w:rFonts w:hint="eastAsia" w:hAnsi="宋体"/>
          <w:color w:val="auto"/>
          <w:sz w:val="24"/>
          <w:szCs w:val="24"/>
          <w:highlight w:val="none"/>
        </w:rPr>
        <w:t>）投标有效期、工期（供货期、交货时间、服务期）、保修期（质保期）、付款方式等商务条款不能满足招标文件要求或缺失的</w:t>
      </w:r>
      <w:r>
        <w:rPr>
          <w:rFonts w:hint="eastAsia" w:hAnsi="宋体"/>
          <w:snapToGrid w:val="0"/>
          <w:color w:val="auto"/>
          <w:sz w:val="24"/>
          <w:szCs w:val="24"/>
          <w:highlight w:val="none"/>
        </w:rPr>
        <w:t>；</w:t>
      </w:r>
    </w:p>
    <w:bookmarkEnd w:id="31"/>
    <w:p>
      <w:pPr>
        <w:pStyle w:val="22"/>
        <w:snapToGrid w:val="0"/>
        <w:spacing w:line="420" w:lineRule="exact"/>
        <w:ind w:firstLine="454" w:firstLineChars="196"/>
        <w:rPr>
          <w:rFonts w:hAnsi="宋体"/>
          <w:snapToGrid w:val="0"/>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7</w:t>
      </w:r>
      <w:r>
        <w:rPr>
          <w:rFonts w:hint="eastAsia" w:hAnsi="宋体"/>
          <w:color w:val="auto"/>
          <w:sz w:val="24"/>
          <w:szCs w:val="24"/>
          <w:highlight w:val="none"/>
        </w:rPr>
        <w:t>）</w:t>
      </w:r>
      <w:r>
        <w:rPr>
          <w:rFonts w:hint="eastAsia" w:hAnsi="宋体"/>
          <w:snapToGrid w:val="0"/>
          <w:color w:val="auto"/>
          <w:sz w:val="24"/>
          <w:szCs w:val="24"/>
          <w:highlight w:val="none"/>
        </w:rPr>
        <w:t>在商务及技术响应表中缺失部分招标文件中打▲的商务和技术要求的应标内容，同时在评标委员会对其进行询标时，投标人未能在规定时间内提供出其投标文件中有该项响应内容的；</w:t>
      </w:r>
    </w:p>
    <w:p>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8</w:t>
      </w:r>
      <w:r>
        <w:rPr>
          <w:rFonts w:hint="eastAsia" w:hAnsi="宋体"/>
          <w:color w:val="auto"/>
          <w:sz w:val="24"/>
          <w:szCs w:val="24"/>
          <w:highlight w:val="none"/>
        </w:rPr>
        <w:t>）投标文件有招标方不能接受的附加条件的；</w:t>
      </w:r>
    </w:p>
    <w:p>
      <w:pPr>
        <w:pStyle w:val="22"/>
        <w:snapToGrid w:val="0"/>
        <w:spacing w:line="420" w:lineRule="exact"/>
        <w:ind w:firstLine="464" w:firstLineChars="200"/>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9</w:t>
      </w:r>
      <w:r>
        <w:rPr>
          <w:rFonts w:hint="eastAsia" w:hAnsi="宋体"/>
          <w:color w:val="auto"/>
          <w:sz w:val="24"/>
          <w:szCs w:val="24"/>
          <w:highlight w:val="none"/>
        </w:rPr>
        <w:t>）商务技术文件中出现投标总报价的；</w:t>
      </w:r>
    </w:p>
    <w:p>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）投标人存在下列情形之一且无法合理解释的，其投标文件无效:</w:t>
      </w:r>
    </w:p>
    <w:p>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1.不同供应商的电子投标文件上传计算机的IP地址、网卡MAC地址或硬盘序列号等硬件信息相同的;</w:t>
      </w:r>
    </w:p>
    <w:p>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2.上传的电子投标文件若出现使用本项目其他投标供应商的数字证书加密的，或者加盖本项目其他投标供应商的电子印章的;</w:t>
      </w:r>
    </w:p>
    <w:p>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3.不同供应商的投标文件的内容存在3处(含)以上错误一致的;</w:t>
      </w:r>
    </w:p>
    <w:p>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4.不同供应商联系人为同一人或不同联系人的联系电话一致的。</w:t>
      </w:r>
    </w:p>
    <w:p>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2.在报价评审时，如发现下列情形之一的，投标文件将被视为无效：</w:t>
      </w:r>
    </w:p>
    <w:p>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（1）未采用人民币报价或者未按照招标文件标明的币种报价的；</w:t>
      </w:r>
    </w:p>
    <w:p>
      <w:pPr>
        <w:pStyle w:val="22"/>
        <w:snapToGrid w:val="0"/>
        <w:spacing w:line="420" w:lineRule="exact"/>
        <w:ind w:firstLine="454" w:firstLineChars="196"/>
        <w:rPr>
          <w:rFonts w:hAnsi="宋体"/>
          <w:color w:val="auto"/>
          <w:sz w:val="24"/>
          <w:szCs w:val="24"/>
          <w:highlight w:val="none"/>
        </w:rPr>
      </w:pPr>
      <w:r>
        <w:rPr>
          <w:rFonts w:hint="eastAsia" w:hAnsi="宋体"/>
          <w:color w:val="auto"/>
          <w:sz w:val="24"/>
          <w:szCs w:val="24"/>
          <w:highlight w:val="none"/>
        </w:rPr>
        <w:t>（2）投标报价具有选择性，或者开标价格与投标文件承诺的优惠（折扣）价格不一致的；</w:t>
      </w:r>
    </w:p>
    <w:p>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（3）报价超过招标文件中规定的预算金额或者最高限价的；</w:t>
      </w:r>
    </w:p>
    <w:p>
      <w:pPr>
        <w:pStyle w:val="22"/>
        <w:snapToGrid w:val="0"/>
        <w:spacing w:line="420" w:lineRule="exact"/>
        <w:ind w:firstLine="457" w:firstLineChars="196"/>
        <w:rPr>
          <w:rFonts w:hAnsi="宋体"/>
          <w:b/>
          <w:bCs/>
          <w:color w:val="auto"/>
          <w:sz w:val="24"/>
          <w:szCs w:val="24"/>
          <w:highlight w:val="none"/>
        </w:rPr>
      </w:pPr>
      <w:r>
        <w:rPr>
          <w:rFonts w:hint="eastAsia" w:hAnsi="宋体"/>
          <w:b/>
          <w:bCs/>
          <w:color w:val="auto"/>
          <w:sz w:val="24"/>
          <w:szCs w:val="24"/>
          <w:highlight w:val="none"/>
        </w:rPr>
        <w:t>（</w:t>
      </w:r>
      <w:r>
        <w:rPr>
          <w:rFonts w:hAnsi="宋体"/>
          <w:b/>
          <w:bCs/>
          <w:color w:val="auto"/>
          <w:sz w:val="24"/>
          <w:szCs w:val="24"/>
          <w:highlight w:val="none"/>
        </w:rPr>
        <w:t>4</w:t>
      </w:r>
      <w:r>
        <w:rPr>
          <w:rFonts w:hint="eastAsia" w:hAnsi="宋体"/>
          <w:b/>
          <w:bCs/>
          <w:color w:val="auto"/>
          <w:sz w:val="24"/>
          <w:szCs w:val="24"/>
          <w:highlight w:val="none"/>
        </w:rPr>
        <w:t>）未填写投标报价的、《报价明细表》中工程量少于招标文件中提供的工程量数量的。</w:t>
      </w:r>
    </w:p>
    <w:p>
      <w:pPr>
        <w:pStyle w:val="22"/>
        <w:snapToGrid w:val="0"/>
        <w:spacing w:line="420" w:lineRule="exact"/>
        <w:ind w:firstLine="457" w:firstLineChars="196"/>
        <w:rPr>
          <w:rFonts w:hAnsi="宋体"/>
          <w:b/>
          <w:color w:val="auto"/>
          <w:sz w:val="24"/>
          <w:szCs w:val="24"/>
          <w:highlight w:val="none"/>
        </w:rPr>
      </w:pPr>
      <w:r>
        <w:rPr>
          <w:rFonts w:hint="eastAsia" w:hAnsi="宋体"/>
          <w:b/>
          <w:color w:val="auto"/>
          <w:sz w:val="24"/>
          <w:szCs w:val="24"/>
          <w:highlight w:val="none"/>
        </w:rPr>
        <w:t>3.被拒绝的投标文件为无效。</w:t>
      </w:r>
    </w:p>
    <w:p>
      <w:pPr>
        <w:spacing w:line="420" w:lineRule="exact"/>
        <w:ind w:firstLine="354" w:firstLineChars="147"/>
        <w:rPr>
          <w:rFonts w:ascii="宋体" w:hAnsi="宋体"/>
          <w:b/>
          <w:color w:val="auto"/>
          <w:sz w:val="24"/>
          <w:highlight w:val="none"/>
          <w:u w:val="single"/>
        </w:rPr>
      </w:pPr>
      <w:r>
        <w:rPr>
          <w:rFonts w:hint="eastAsia" w:ascii="宋体" w:hAnsi="宋体"/>
          <w:b/>
          <w:color w:val="auto"/>
          <w:sz w:val="24"/>
          <w:highlight w:val="none"/>
        </w:rPr>
        <w:t>（八）在招标采购中，出现下列情形之一的，应予废标</w:t>
      </w:r>
    </w:p>
    <w:p>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出现影响采购公正的违法、违规</w:t>
      </w:r>
      <w:r>
        <w:rPr>
          <w:rFonts w:hint="eastAsia" w:ascii="宋体" w:hAnsi="宋体"/>
          <w:color w:val="auto"/>
          <w:sz w:val="24"/>
          <w:highlight w:val="none"/>
        </w:rPr>
        <w:t>行为</w:t>
      </w:r>
      <w:r>
        <w:rPr>
          <w:rFonts w:ascii="宋体" w:hAnsi="宋体"/>
          <w:color w:val="auto"/>
          <w:sz w:val="24"/>
          <w:highlight w:val="none"/>
        </w:rPr>
        <w:t>的；</w:t>
      </w:r>
    </w:p>
    <w:p>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因重大变故，采购任务取消的；</w:t>
      </w:r>
    </w:p>
    <w:p>
      <w:pPr>
        <w:autoSpaceDE w:val="0"/>
        <w:autoSpaceDN w:val="0"/>
        <w:spacing w:line="420" w:lineRule="exact"/>
        <w:ind w:firstLine="480" w:firstLineChars="200"/>
        <w:textAlignment w:val="bottom"/>
        <w:rPr>
          <w:rFonts w:ascii="宋体" w:hAnsi="宋体"/>
          <w:color w:val="auto"/>
          <w:sz w:val="24"/>
          <w:highlight w:val="none"/>
        </w:rPr>
      </w:pPr>
      <w:r>
        <w:rPr>
          <w:rFonts w:hint="eastAsia" w:ascii="宋体" w:hAnsi="宋体"/>
          <w:color w:val="auto"/>
          <w:sz w:val="24"/>
          <w:highlight w:val="none"/>
        </w:rPr>
        <w:t>3、投标人的报价均超过了采购预算价，采购单位不能支付的。</w:t>
      </w:r>
    </w:p>
    <w:p>
      <w:pPr>
        <w:autoSpaceDE w:val="0"/>
        <w:autoSpaceDN w:val="0"/>
        <w:spacing w:line="420" w:lineRule="exact"/>
        <w:ind w:firstLine="480" w:firstLineChars="200"/>
        <w:textAlignment w:val="bottom"/>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.其他法律法规规定应予以废标的情形。</w:t>
      </w:r>
    </w:p>
    <w:p>
      <w:pPr>
        <w:autoSpaceDE w:val="0"/>
        <w:autoSpaceDN w:val="0"/>
        <w:spacing w:line="420" w:lineRule="exact"/>
        <w:ind w:firstLine="480" w:firstLineChars="200"/>
        <w:textAlignment w:val="bottom"/>
        <w:rPr>
          <w:rFonts w:ascii="宋体" w:hAnsi="宋体"/>
          <w:color w:val="auto"/>
          <w:sz w:val="24"/>
          <w:highlight w:val="none"/>
        </w:rPr>
      </w:pPr>
    </w:p>
    <w:p>
      <w:pPr>
        <w:pStyle w:val="22"/>
        <w:snapToGrid w:val="0"/>
        <w:spacing w:line="420" w:lineRule="exact"/>
        <w:ind w:firstLine="256" w:firstLineChars="110"/>
        <w:rPr>
          <w:rFonts w:hAnsi="宋体"/>
          <w:b/>
          <w:snapToGrid w:val="0"/>
          <w:color w:val="auto"/>
          <w:sz w:val="24"/>
          <w:szCs w:val="24"/>
          <w:highlight w:val="none"/>
        </w:rPr>
      </w:pPr>
      <w:r>
        <w:rPr>
          <w:rFonts w:hint="eastAsia" w:hAnsi="宋体"/>
          <w:b/>
          <w:color w:val="auto"/>
          <w:sz w:val="24"/>
          <w:szCs w:val="24"/>
          <w:highlight w:val="none"/>
        </w:rPr>
        <w:t>四、开标</w:t>
      </w:r>
    </w:p>
    <w:p>
      <w:pPr>
        <w:pStyle w:val="29"/>
        <w:snapToGrid w:val="0"/>
        <w:spacing w:beforeLines="0" w:afterLines="0" w:line="420" w:lineRule="exact"/>
        <w:ind w:firstLine="241" w:firstLineChars="100"/>
        <w:rPr>
          <w:rFonts w:hAnsi="宋体"/>
          <w:b/>
          <w:color w:val="auto"/>
          <w:highlight w:val="none"/>
        </w:rPr>
      </w:pPr>
      <w:r>
        <w:rPr>
          <w:rFonts w:hint="eastAsia" w:hAnsi="宋体"/>
          <w:b/>
          <w:color w:val="auto"/>
          <w:highlight w:val="none"/>
        </w:rPr>
        <w:t>（一）开标准备</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采购组织机构将按照招标文件规定的时间通过“政府采购云平台”组织开标、开启投标文件，所有投标人请准时在线参加。投标投标人如不参加开标大会的，视同认可开标结果，事后不得对采购相关人员、开标过程和开标结果提出异议，同时投标投标人因未在线参加开标而导致投标文件无法按时解密等一切后果由投标人自己承担。</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采购过程中出现以下情形，导致电子交易平台无法正常运行，或者无法保证电子交易的公平、公正和安全时，采购组织机构可中止电子交易活动：</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（1）电子交易平台发生故障、停电而无法登录访问的； </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（2）电子交易平台应用或数据库出现错误，不能进行正常操作的；</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（3）电子交易平台发现严重安全漏洞，有潜在泄密危险的；</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 xml:space="preserve">（4）病毒发作导致不能进行正常操作的； </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（5）其他无法保证电子交易的公平、公正和安全的情况。</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出现前款规定情形，不影响采购公平、公正性的，采购组织机构可以待上述情形消除后继续组织电子交易活动，影响或可能影响采购公平、公正性的，应当重新采购。</w:t>
      </w:r>
    </w:p>
    <w:p>
      <w:pPr>
        <w:pStyle w:val="29"/>
        <w:snapToGrid w:val="0"/>
        <w:spacing w:beforeLines="0" w:afterLines="0" w:line="420" w:lineRule="exact"/>
        <w:ind w:firstLine="472" w:firstLineChars="196"/>
        <w:rPr>
          <w:rFonts w:hAnsi="宋体"/>
          <w:bCs/>
          <w:color w:val="auto"/>
          <w:highlight w:val="none"/>
        </w:rPr>
      </w:pPr>
      <w:r>
        <w:rPr>
          <w:rFonts w:hint="eastAsia" w:hAnsi="宋体"/>
          <w:b/>
          <w:color w:val="auto"/>
          <w:highlight w:val="none"/>
        </w:rPr>
        <w:t xml:space="preserve">（二）开标程序    </w:t>
      </w:r>
    </w:p>
    <w:p>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1.开标会由招标人主持，</w:t>
      </w:r>
      <w:bookmarkStart w:id="33" w:name="_Hlk59694585"/>
      <w:r>
        <w:rPr>
          <w:rFonts w:hint="eastAsia" w:hAnsi="宋体"/>
          <w:b/>
          <w:bCs/>
          <w:color w:val="auto"/>
          <w:highlight w:val="none"/>
          <w:u w:val="single"/>
          <w:shd w:val="pct10" w:color="auto" w:fill="FFFFFF"/>
        </w:rPr>
        <w:t>并通过临海市公共资源交易中心网站--每日直播平台进行现场直播，各投标人请准时在线参加。</w:t>
      </w:r>
      <w:bookmarkStart w:id="34" w:name="_Hlk59690176"/>
      <w:r>
        <w:rPr>
          <w:rFonts w:hint="eastAsia" w:hAnsi="宋体"/>
          <w:b/>
          <w:bCs/>
          <w:color w:val="auto"/>
          <w:highlight w:val="none"/>
          <w:u w:val="single"/>
          <w:shd w:val="pct10" w:color="auto" w:fill="FFFFFF"/>
        </w:rPr>
        <w:t>各投标人如对开、评标过程有异议的，应该登陆临海市公共资源交易中心网站</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-每日直播平台---点击该项目</w:t>
      </w:r>
      <w:r>
        <w:rPr>
          <w:rFonts w:hAnsi="宋体"/>
          <w:b/>
          <w:bCs/>
          <w:color w:val="auto"/>
          <w:highlight w:val="none"/>
          <w:u w:val="single"/>
          <w:shd w:val="pct10" w:color="auto" w:fill="FFFFFF"/>
        </w:rPr>
        <w:t>—</w:t>
      </w:r>
      <w:r>
        <w:rPr>
          <w:rFonts w:hint="eastAsia" w:hAnsi="宋体"/>
          <w:b/>
          <w:bCs/>
          <w:color w:val="auto"/>
          <w:highlight w:val="none"/>
          <w:u w:val="single"/>
          <w:shd w:val="pct10" w:color="auto" w:fill="FFFFFF"/>
        </w:rPr>
        <w:t>登陆，进入投标人提问区进行提问，招标人（采购代理机构）应当及时作出答复，并制作记录</w:t>
      </w:r>
      <w:bookmarkEnd w:id="33"/>
      <w:r>
        <w:rPr>
          <w:rFonts w:hint="eastAsia" w:hAnsi="宋体"/>
          <w:b/>
          <w:bCs/>
          <w:color w:val="auto"/>
          <w:highlight w:val="none"/>
          <w:u w:val="single"/>
          <w:shd w:val="pct10" w:color="auto" w:fill="FFFFFF"/>
        </w:rPr>
        <w:t>；</w:t>
      </w:r>
    </w:p>
    <w:bookmarkEnd w:id="34"/>
    <w:p>
      <w:pPr>
        <w:pStyle w:val="29"/>
        <w:snapToGrid w:val="0"/>
        <w:spacing w:beforeLines="0" w:afterLines="0" w:line="420" w:lineRule="exact"/>
        <w:ind w:firstLine="480" w:firstLineChars="200"/>
        <w:rPr>
          <w:rFonts w:hAnsi="宋体"/>
          <w:color w:val="auto"/>
          <w:highlight w:val="none"/>
          <w:u w:val="single"/>
        </w:rPr>
      </w:pPr>
      <w:r>
        <w:rPr>
          <w:rFonts w:hint="eastAsia" w:hAnsi="宋体"/>
          <w:color w:val="auto"/>
          <w:highlight w:val="none"/>
        </w:rPr>
        <w:t>2. 招标人点击政采云系统</w:t>
      </w:r>
      <w:r>
        <w:rPr>
          <w:rFonts w:hAnsi="宋体"/>
          <w:color w:val="auto"/>
          <w:highlight w:val="none"/>
        </w:rPr>
        <w:t>--</w:t>
      </w:r>
      <w:r>
        <w:rPr>
          <w:rFonts w:hint="eastAsia" w:hAnsi="宋体"/>
          <w:color w:val="auto"/>
          <w:highlight w:val="none"/>
        </w:rPr>
        <w:t>【开始解密】按钮，</w:t>
      </w:r>
      <w:bookmarkStart w:id="35" w:name="_Hlk59625783"/>
      <w:r>
        <w:rPr>
          <w:rFonts w:hint="eastAsia" w:hAnsi="宋体"/>
          <w:color w:val="auto"/>
          <w:highlight w:val="none"/>
        </w:rPr>
        <w:t>由投标人按招标文件规定的时间及</w:t>
      </w:r>
      <w:bookmarkStart w:id="36" w:name="_Hlk59626264"/>
      <w:r>
        <w:rPr>
          <w:rFonts w:hint="eastAsia" w:hAnsi="宋体"/>
          <w:color w:val="auto"/>
          <w:highlight w:val="none"/>
        </w:rPr>
        <w:t>政采云平台</w:t>
      </w:r>
      <w:bookmarkEnd w:id="36"/>
      <w:r>
        <w:rPr>
          <w:rFonts w:hint="eastAsia" w:hAnsi="宋体"/>
          <w:color w:val="auto"/>
          <w:highlight w:val="none"/>
        </w:rPr>
        <w:t>显示的时间内自行进行投标文件解密。</w:t>
      </w:r>
      <w:bookmarkEnd w:id="35"/>
      <w:r>
        <w:rPr>
          <w:rFonts w:hint="eastAsia" w:hAnsi="宋体"/>
          <w:color w:val="auto"/>
          <w:highlight w:val="none"/>
          <w:u w:val="single"/>
        </w:rPr>
        <w:t>投标文件的制作和解密应使用同一个数字证书，否则将可能解密失败。解密过程中如因CA数字证书等问题而无法解密的，请马上致电：汇信客服电话：400-888-4636，天谷客服电话：400-087-8198寻求解决。</w:t>
      </w:r>
      <w:bookmarkStart w:id="37" w:name="_Hlk59805375"/>
      <w:r>
        <w:rPr>
          <w:rFonts w:hint="eastAsia" w:hAnsi="宋体"/>
          <w:color w:val="auto"/>
          <w:highlight w:val="none"/>
          <w:u w:val="single"/>
        </w:rPr>
        <w:t>投标人未按时解密或解密失败的，其投标文件为无效标。</w:t>
      </w:r>
      <w:bookmarkEnd w:id="37"/>
    </w:p>
    <w:p>
      <w:pPr>
        <w:pStyle w:val="29"/>
        <w:snapToGrid w:val="0"/>
        <w:spacing w:beforeLines="0" w:afterLines="0" w:line="420" w:lineRule="exac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该项目投标人数量及各投标人投标文件是否完成解密以政采云平台及临海市公共资源交易中心网站—-每日直播平台上主持人发言区显示内容为准，不以临海市公共资源交易中心直播平台上页面右侧显示的表格内容为准。</w:t>
      </w:r>
    </w:p>
    <w:p>
      <w:pPr>
        <w:pStyle w:val="29"/>
        <w:snapToGrid w:val="0"/>
        <w:spacing w:beforeLines="0" w:afterLines="0" w:line="420" w:lineRule="exact"/>
        <w:ind w:firstLine="480" w:firstLineChars="200"/>
        <w:rPr>
          <w:rFonts w:hAnsi="宋体"/>
          <w:b/>
          <w:bCs/>
          <w:color w:val="auto"/>
          <w:highlight w:val="none"/>
          <w:u w:val="single"/>
          <w:shd w:val="pct10" w:color="auto" w:fill="FFFFFF"/>
        </w:rPr>
      </w:pPr>
      <w:r>
        <w:rPr>
          <w:rFonts w:hAnsi="宋体"/>
          <w:color w:val="auto"/>
          <w:highlight w:val="none"/>
        </w:rPr>
        <w:t>3</w:t>
      </w:r>
      <w:r>
        <w:rPr>
          <w:rFonts w:hint="eastAsia" w:hAnsi="宋体"/>
          <w:color w:val="auto"/>
          <w:highlight w:val="none"/>
        </w:rPr>
        <w:t>. 解密结束后，主持人介绍参加开标会的人员名单，告知应当回避的情形,提请有关人员回避；</w:t>
      </w:r>
    </w:p>
    <w:p>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4</w:t>
      </w:r>
      <w:r>
        <w:rPr>
          <w:rFonts w:hint="eastAsia" w:hAnsi="宋体"/>
          <w:color w:val="auto"/>
          <w:highlight w:val="none"/>
        </w:rPr>
        <w:t>.投标文件结束解密后，投标人应当通过邮件形式，将经授权代表签署的《政府采购活动现场确认声明书》</w:t>
      </w:r>
      <w:r>
        <w:rPr>
          <w:rFonts w:hint="eastAsia" w:hAnsi="宋体"/>
          <w:b/>
          <w:bCs/>
          <w:color w:val="auto"/>
          <w:highlight w:val="none"/>
          <w:u w:val="single"/>
        </w:rPr>
        <w:t>（格式见招标文件最后一页1</w:t>
      </w:r>
      <w:r>
        <w:rPr>
          <w:rFonts w:hAnsi="宋体"/>
          <w:b/>
          <w:bCs/>
          <w:color w:val="auto"/>
          <w:highlight w:val="none"/>
          <w:u w:val="single"/>
        </w:rPr>
        <w:t>7</w:t>
      </w:r>
      <w:r>
        <w:rPr>
          <w:rFonts w:hint="eastAsia" w:hAnsi="宋体"/>
          <w:b/>
          <w:bCs/>
          <w:color w:val="auto"/>
          <w:highlight w:val="none"/>
          <w:u w:val="single"/>
        </w:rPr>
        <w:t>.政府采购活动现场确认声明书）</w:t>
      </w:r>
      <w:r>
        <w:rPr>
          <w:rFonts w:hint="eastAsia" w:hAnsi="宋体"/>
          <w:color w:val="auto"/>
          <w:highlight w:val="none"/>
        </w:rPr>
        <w:t>扫描件发至代理机构电子邮箱（</w:t>
      </w:r>
      <w:r>
        <w:rPr>
          <w:color w:val="auto"/>
          <w:highlight w:val="none"/>
        </w:rPr>
        <w:fldChar w:fldCharType="begin"/>
      </w:r>
      <w:r>
        <w:rPr>
          <w:color w:val="auto"/>
          <w:highlight w:val="none"/>
        </w:rPr>
        <w:instrText xml:space="preserve"> HYPERLINK "mailto:2794725066@qq.com）,联系人" </w:instrText>
      </w:r>
      <w:r>
        <w:rPr>
          <w:color w:val="auto"/>
          <w:highlight w:val="none"/>
        </w:rPr>
        <w:fldChar w:fldCharType="separate"/>
      </w:r>
      <w:r>
        <w:rPr>
          <w:rStyle w:val="56"/>
          <w:rFonts w:hAnsi="宋体"/>
          <w:color w:val="auto"/>
          <w:highlight w:val="none"/>
        </w:rPr>
        <w:t>2794725066@qq.com</w:t>
      </w:r>
      <w:r>
        <w:rPr>
          <w:rStyle w:val="56"/>
          <w:rFonts w:hint="eastAsia" w:hAnsi="宋体"/>
          <w:color w:val="auto"/>
          <w:highlight w:val="none"/>
        </w:rPr>
        <w:t>）,联系人</w:t>
      </w:r>
      <w:r>
        <w:rPr>
          <w:rStyle w:val="56"/>
          <w:rFonts w:hint="eastAsia" w:hAnsi="宋体"/>
          <w:color w:val="auto"/>
          <w:highlight w:val="none"/>
        </w:rPr>
        <w:fldChar w:fldCharType="end"/>
      </w:r>
      <w:r>
        <w:rPr>
          <w:rFonts w:hint="eastAsia" w:hAnsi="宋体"/>
          <w:color w:val="auto"/>
          <w:highlight w:val="none"/>
        </w:rPr>
        <w:t>：</w:t>
      </w:r>
      <w:r>
        <w:rPr>
          <w:rFonts w:hint="eastAsia" w:hAnsi="宋体"/>
          <w:color w:val="auto"/>
          <w:highlight w:val="none"/>
          <w:lang w:val="en-US" w:eastAsia="zh-CN"/>
        </w:rPr>
        <w:t>郑先生</w:t>
      </w:r>
      <w:r>
        <w:rPr>
          <w:rFonts w:hAnsi="宋体"/>
          <w:color w:val="auto"/>
          <w:highlight w:val="none"/>
        </w:rPr>
        <w:t xml:space="preserve"> </w:t>
      </w:r>
      <w:r>
        <w:rPr>
          <w:rFonts w:hint="eastAsia" w:hAnsi="宋体"/>
          <w:color w:val="auto"/>
          <w:highlight w:val="none"/>
        </w:rPr>
        <w:t>，电话：</w:t>
      </w:r>
      <w:r>
        <w:rPr>
          <w:rFonts w:hAnsi="宋体"/>
          <w:color w:val="auto"/>
          <w:highlight w:val="none"/>
        </w:rPr>
        <w:t>0576-891889</w:t>
      </w:r>
      <w:r>
        <w:rPr>
          <w:rFonts w:hint="eastAsia" w:hAnsi="宋体"/>
          <w:color w:val="auto"/>
          <w:highlight w:val="none"/>
          <w:lang w:val="en-US" w:eastAsia="zh-CN"/>
        </w:rPr>
        <w:t>63</w:t>
      </w:r>
      <w:r>
        <w:rPr>
          <w:rFonts w:hint="eastAsia" w:hAnsi="宋体"/>
          <w:color w:val="auto"/>
          <w:highlight w:val="none"/>
        </w:rPr>
        <w:t>；</w:t>
      </w:r>
    </w:p>
    <w:p>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5</w:t>
      </w:r>
      <w:r>
        <w:rPr>
          <w:rFonts w:hint="eastAsia" w:hAnsi="宋体"/>
          <w:color w:val="auto"/>
          <w:highlight w:val="none"/>
        </w:rPr>
        <w:t>.采购组织机构点击【</w:t>
      </w:r>
      <w:bookmarkStart w:id="38" w:name="_Hlk59371589"/>
      <w:r>
        <w:rPr>
          <w:rFonts w:hint="eastAsia" w:hAnsi="宋体"/>
          <w:color w:val="auto"/>
          <w:highlight w:val="none"/>
        </w:rPr>
        <w:t>开启标书信息</w:t>
      </w:r>
      <w:bookmarkEnd w:id="38"/>
      <w:r>
        <w:rPr>
          <w:rFonts w:hint="eastAsia" w:hAnsi="宋体"/>
          <w:color w:val="auto"/>
          <w:highlight w:val="none"/>
        </w:rPr>
        <w:t>】，开启标书成功后进入评标流程；</w:t>
      </w:r>
    </w:p>
    <w:p>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6</w:t>
      </w:r>
      <w:r>
        <w:rPr>
          <w:rFonts w:hint="eastAsia" w:hAnsi="宋体"/>
          <w:color w:val="auto"/>
          <w:highlight w:val="none"/>
        </w:rPr>
        <w:t>.</w:t>
      </w:r>
      <w:bookmarkStart w:id="39" w:name="_Hlk59392570"/>
      <w:r>
        <w:rPr>
          <w:rFonts w:hint="eastAsia" w:hAnsi="宋体"/>
          <w:color w:val="auto"/>
          <w:highlight w:val="none"/>
        </w:rPr>
        <w:t>资格及商务技术文件</w:t>
      </w:r>
      <w:bookmarkEnd w:id="39"/>
      <w:r>
        <w:rPr>
          <w:rFonts w:hint="eastAsia" w:hAnsi="宋体"/>
          <w:color w:val="auto"/>
          <w:highlight w:val="none"/>
        </w:rPr>
        <w:t>评审；</w:t>
      </w:r>
    </w:p>
    <w:p>
      <w:pPr>
        <w:pStyle w:val="29"/>
        <w:snapToGrid w:val="0"/>
        <w:spacing w:beforeLines="0" w:afterLines="0" w:line="420" w:lineRule="exact"/>
        <w:ind w:firstLine="480" w:firstLineChars="200"/>
        <w:rPr>
          <w:rFonts w:hAnsi="宋体"/>
          <w:b/>
          <w:bCs/>
          <w:color w:val="auto"/>
          <w:highlight w:val="none"/>
        </w:rPr>
      </w:pPr>
      <w:r>
        <w:rPr>
          <w:rFonts w:hAnsi="宋体"/>
          <w:color w:val="auto"/>
          <w:highlight w:val="none"/>
        </w:rPr>
        <w:t>7</w:t>
      </w:r>
      <w:r>
        <w:rPr>
          <w:rFonts w:hint="eastAsia" w:hAnsi="宋体"/>
          <w:color w:val="auto"/>
          <w:highlight w:val="none"/>
        </w:rPr>
        <w:t>.由主持人公布资格及商务技术文件无效的投标人名单、投标无效的原因及其他有效投标的评分汇总分</w:t>
      </w:r>
      <w:r>
        <w:rPr>
          <w:rFonts w:hint="eastAsia" w:hAnsi="宋体"/>
          <w:b/>
          <w:bCs/>
          <w:color w:val="auto"/>
          <w:highlight w:val="none"/>
        </w:rPr>
        <w:t>；</w:t>
      </w:r>
    </w:p>
    <w:p>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8</w:t>
      </w:r>
      <w:r>
        <w:rPr>
          <w:rFonts w:hint="eastAsia" w:hAnsi="宋体"/>
          <w:color w:val="auto"/>
          <w:highlight w:val="none"/>
        </w:rPr>
        <w:t>.开启报价响应文件：采购代理机构成功开启报价响应文件后，方可查看各投标人报价情况。</w:t>
      </w:r>
      <w:r>
        <w:rPr>
          <w:rFonts w:hint="eastAsia" w:hAnsi="宋体"/>
          <w:b/>
          <w:bCs/>
          <w:color w:val="auto"/>
          <w:highlight w:val="none"/>
          <w:u w:val="single"/>
        </w:rPr>
        <w:t>代理机构在线公布开标一览表有关内容，投标人应在1</w:t>
      </w:r>
      <w:r>
        <w:rPr>
          <w:rFonts w:hAnsi="宋体"/>
          <w:b/>
          <w:bCs/>
          <w:color w:val="auto"/>
          <w:highlight w:val="none"/>
          <w:u w:val="single"/>
        </w:rPr>
        <w:t>0</w:t>
      </w:r>
      <w:r>
        <w:rPr>
          <w:rFonts w:hint="eastAsia" w:hAnsi="宋体"/>
          <w:b/>
          <w:bCs/>
          <w:color w:val="auto"/>
          <w:highlight w:val="none"/>
          <w:u w:val="single"/>
        </w:rPr>
        <w:t>分钟内在线签字确认（不予确认或超时确认的应说明原因，否则视为无异议）；</w:t>
      </w:r>
    </w:p>
    <w:p>
      <w:pPr>
        <w:pStyle w:val="29"/>
        <w:snapToGrid w:val="0"/>
        <w:spacing w:beforeLines="0" w:afterLines="0" w:line="420" w:lineRule="exact"/>
        <w:ind w:left="719" w:leftChars="228" w:hanging="240" w:hangingChars="100"/>
        <w:rPr>
          <w:rFonts w:hAnsi="宋体"/>
          <w:color w:val="auto"/>
          <w:highlight w:val="none"/>
        </w:rPr>
      </w:pPr>
      <w:r>
        <w:rPr>
          <w:rFonts w:hAnsi="宋体"/>
          <w:color w:val="auto"/>
          <w:highlight w:val="none"/>
        </w:rPr>
        <w:t>9</w:t>
      </w:r>
      <w:r>
        <w:rPr>
          <w:rFonts w:hint="eastAsia" w:hAnsi="宋体"/>
          <w:color w:val="auto"/>
          <w:highlight w:val="none"/>
        </w:rPr>
        <w:t>.报价文件评审；</w:t>
      </w:r>
    </w:p>
    <w:p>
      <w:pPr>
        <w:pStyle w:val="29"/>
        <w:snapToGrid w:val="0"/>
        <w:spacing w:beforeLines="0" w:afterLines="0" w:line="420" w:lineRule="exact"/>
        <w:ind w:firstLine="480" w:firstLineChars="200"/>
        <w:rPr>
          <w:rFonts w:hAnsi="宋体"/>
          <w:color w:val="auto"/>
          <w:highlight w:val="none"/>
        </w:rPr>
      </w:pPr>
      <w:r>
        <w:rPr>
          <w:rFonts w:hAnsi="宋体"/>
          <w:color w:val="auto"/>
          <w:highlight w:val="none"/>
        </w:rPr>
        <w:t>10</w:t>
      </w:r>
      <w:r>
        <w:rPr>
          <w:rFonts w:hint="eastAsia" w:hAnsi="宋体"/>
          <w:color w:val="auto"/>
          <w:highlight w:val="none"/>
        </w:rPr>
        <w:t>．由主持人公布报价文件无效的投标人名单、投标无效的原因，宣布综合</w:t>
      </w:r>
      <w:bookmarkStart w:id="40" w:name="_Hlk59371720"/>
      <w:r>
        <w:rPr>
          <w:rFonts w:hint="eastAsia" w:hAnsi="宋体"/>
          <w:color w:val="auto"/>
          <w:highlight w:val="none"/>
        </w:rPr>
        <w:t>得分结果</w:t>
      </w:r>
      <w:bookmarkEnd w:id="40"/>
      <w:r>
        <w:rPr>
          <w:rFonts w:hint="eastAsia" w:hAnsi="宋体"/>
          <w:color w:val="auto"/>
          <w:highlight w:val="none"/>
        </w:rPr>
        <w:t>及中标候选人名单。</w:t>
      </w:r>
      <w:r>
        <w:rPr>
          <w:rFonts w:hint="eastAsia" w:hAnsi="宋体"/>
          <w:b/>
          <w:bCs/>
          <w:color w:val="auto"/>
          <w:highlight w:val="none"/>
          <w:u w:val="single"/>
        </w:rPr>
        <w:t>投标人可通过</w:t>
      </w:r>
      <w:bookmarkStart w:id="41" w:name="_Hlk59626287"/>
      <w:r>
        <w:rPr>
          <w:rFonts w:hint="eastAsia" w:hAnsi="宋体"/>
          <w:b/>
          <w:bCs/>
          <w:color w:val="auto"/>
          <w:highlight w:val="none"/>
          <w:u w:val="single"/>
        </w:rPr>
        <w:t>政采云平台及</w:t>
      </w:r>
      <w:bookmarkEnd w:id="41"/>
      <w:r>
        <w:rPr>
          <w:rFonts w:hint="eastAsia" w:hAnsi="宋体"/>
          <w:b/>
          <w:bCs/>
          <w:color w:val="auto"/>
          <w:highlight w:val="none"/>
          <w:u w:val="single"/>
        </w:rPr>
        <w:t>临海市公共资源交易中心视频直播平台查看评审结果，请各投标人注意收看；</w:t>
      </w:r>
    </w:p>
    <w:p>
      <w:pPr>
        <w:pStyle w:val="29"/>
        <w:snapToGrid w:val="0"/>
        <w:spacing w:beforeLines="0" w:afterLines="0" w:line="420" w:lineRule="exact"/>
        <w:ind w:left="719" w:leftChars="228" w:hanging="240" w:hangingChars="100"/>
        <w:rPr>
          <w:rFonts w:hAnsi="宋体"/>
          <w:color w:val="auto"/>
          <w:highlight w:val="none"/>
        </w:rPr>
      </w:pPr>
      <w:r>
        <w:rPr>
          <w:rFonts w:hint="eastAsia" w:hAnsi="宋体"/>
          <w:color w:val="auto"/>
          <w:highlight w:val="none"/>
        </w:rPr>
        <w:t>1</w:t>
      </w:r>
      <w:r>
        <w:rPr>
          <w:rFonts w:hAnsi="宋体"/>
          <w:color w:val="auto"/>
          <w:highlight w:val="none"/>
        </w:rPr>
        <w:t>1</w:t>
      </w:r>
      <w:r>
        <w:rPr>
          <w:rFonts w:hint="eastAsia" w:hAnsi="宋体"/>
          <w:color w:val="auto"/>
          <w:highlight w:val="none"/>
        </w:rPr>
        <w:t>．开标会议结束。</w:t>
      </w:r>
    </w:p>
    <w:p>
      <w:pPr>
        <w:pStyle w:val="29"/>
        <w:snapToGrid w:val="0"/>
        <w:spacing w:beforeLines="0" w:afterLines="0" w:line="420" w:lineRule="exact"/>
        <w:ind w:left="720" w:leftChars="228" w:hanging="241" w:hangingChars="100"/>
        <w:rPr>
          <w:rFonts w:hAnsi="宋体"/>
          <w:color w:val="auto"/>
          <w:highlight w:val="none"/>
        </w:rPr>
      </w:pPr>
      <w:r>
        <w:rPr>
          <w:rFonts w:hint="eastAsia" w:hAnsi="宋体"/>
          <w:b/>
          <w:color w:val="auto"/>
          <w:highlight w:val="none"/>
        </w:rPr>
        <w:t>五、评标</w:t>
      </w:r>
    </w:p>
    <w:p>
      <w:pPr>
        <w:pStyle w:val="29"/>
        <w:snapToGrid w:val="0"/>
        <w:spacing w:beforeLines="0" w:afterLines="0" w:line="420" w:lineRule="exact"/>
        <w:ind w:left="720" w:leftChars="228" w:hanging="241" w:hangingChars="100"/>
        <w:rPr>
          <w:rFonts w:hAnsi="宋体"/>
          <w:color w:val="auto"/>
          <w:highlight w:val="none"/>
        </w:rPr>
      </w:pPr>
      <w:r>
        <w:rPr>
          <w:rFonts w:hint="eastAsia" w:hAnsi="宋体"/>
          <w:b/>
          <w:color w:val="auto"/>
          <w:highlight w:val="none"/>
        </w:rPr>
        <w:t>（一）组建评标委员会</w:t>
      </w:r>
    </w:p>
    <w:p>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（1）本项目评标委员会由招标人依法组建。</w:t>
      </w:r>
    </w:p>
    <w:p>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（2）评标委员会成员与参与投标的供应商有下列情形之一的，应当回避：</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①参加采购活动前3年内与供应商存在劳动关系；</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②参加采购活动前3年内担任供应商的董事、监事；</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③参加采购活动前3年内是供应商的控股股东或者实际控制人；</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④与供应商的法定代表人或者负责人有夫妻、直系血亲、三代以内旁系血亲或者近姻亲关系；</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⑤与供应商有其他可能影响政府采购活动公平、公正进行的关系。</w:t>
      </w:r>
    </w:p>
    <w:p>
      <w:pPr>
        <w:pStyle w:val="29"/>
        <w:snapToGrid w:val="0"/>
        <w:spacing w:beforeLines="0" w:afterLines="0" w:line="420" w:lineRule="exact"/>
        <w:ind w:firstLine="472" w:firstLineChars="196"/>
        <w:rPr>
          <w:rFonts w:hAnsi="宋体"/>
          <w:b/>
          <w:color w:val="auto"/>
          <w:highlight w:val="none"/>
        </w:rPr>
      </w:pPr>
      <w:r>
        <w:rPr>
          <w:rFonts w:hint="eastAsia" w:hAnsi="宋体"/>
          <w:b/>
          <w:color w:val="auto"/>
          <w:highlight w:val="none"/>
        </w:rPr>
        <w:t>（3）评标委员会负责具体评标事务，并独立履行下列职责：</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1.审查、评价投标文件是否符合招标文件的商务、技术等实质性要求；</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2.要求投标人对投标文件有关事项作出澄清或者说明；</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3.对投标文件进行比较和评价；</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4.确定中标候选人名单，以及根据采购人委托直接确定中标人；</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5.向采购人、采购组织机构或者有关部门报告评标中发现的违法行为；</w:t>
      </w:r>
    </w:p>
    <w:p>
      <w:pPr>
        <w:pStyle w:val="29"/>
        <w:snapToGrid w:val="0"/>
        <w:spacing w:beforeLines="0" w:afterLines="0" w:line="420" w:lineRule="exact"/>
        <w:ind w:firstLine="470" w:firstLineChars="196"/>
        <w:rPr>
          <w:rFonts w:hAnsi="宋体"/>
          <w:bCs/>
          <w:color w:val="auto"/>
          <w:highlight w:val="none"/>
        </w:rPr>
      </w:pPr>
      <w:r>
        <w:rPr>
          <w:rFonts w:hint="eastAsia" w:hAnsi="宋体"/>
          <w:bCs/>
          <w:color w:val="auto"/>
          <w:highlight w:val="none"/>
        </w:rPr>
        <w:t>6.法律法规规定的其他职责。</w:t>
      </w:r>
    </w:p>
    <w:p>
      <w:pPr>
        <w:pStyle w:val="29"/>
        <w:snapToGrid w:val="0"/>
        <w:spacing w:beforeLines="0" w:afterLines="0" w:line="420" w:lineRule="exact"/>
        <w:ind w:firstLine="482" w:firstLineChars="200"/>
        <w:rPr>
          <w:rFonts w:hAnsi="宋体"/>
          <w:color w:val="auto"/>
          <w:highlight w:val="none"/>
        </w:rPr>
      </w:pPr>
      <w:r>
        <w:rPr>
          <w:rFonts w:hint="eastAsia" w:hAnsi="宋体"/>
          <w:b/>
          <w:color w:val="auto"/>
          <w:highlight w:val="none"/>
        </w:rPr>
        <w:t>（二）评标的方式</w:t>
      </w:r>
    </w:p>
    <w:p>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本项目采用不公开方式评标，评标的依据为招标文件和投标文件，本项目采用电子评审方法。</w:t>
      </w:r>
    </w:p>
    <w:p>
      <w:pPr>
        <w:pStyle w:val="29"/>
        <w:snapToGrid w:val="0"/>
        <w:spacing w:beforeLines="0" w:afterLines="0" w:line="420" w:lineRule="exact"/>
        <w:ind w:firstLine="482" w:firstLineChars="200"/>
        <w:rPr>
          <w:rFonts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1.资格审查</w:t>
      </w:r>
    </w:p>
    <w:p>
      <w:pPr>
        <w:snapToGrid w:val="0"/>
        <w:spacing w:line="420" w:lineRule="exact"/>
        <w:ind w:firstLine="470" w:firstLineChars="196"/>
        <w:rPr>
          <w:rFonts w:ascii="宋体" w:hAnsi="宋体"/>
          <w:b/>
          <w:bCs/>
          <w:color w:val="auto"/>
          <w:sz w:val="24"/>
          <w:highlight w:val="none"/>
        </w:rPr>
      </w:pPr>
      <w:r>
        <w:rPr>
          <w:rFonts w:hint="eastAsia" w:ascii="宋体" w:hAnsi="宋体"/>
          <w:color w:val="auto"/>
          <w:sz w:val="24"/>
          <w:highlight w:val="none"/>
        </w:rPr>
        <w:t>采购项目开标结束后，采购人或者采购代理机构应当依法对投标人的资格进行审查，对审查发现无效的进行必要的询标，结束后公布无效投标的投标人名单、投标无效的原因。</w:t>
      </w:r>
    </w:p>
    <w:p>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2.符合性审查</w:t>
      </w:r>
    </w:p>
    <w:p>
      <w:pPr>
        <w:snapToGrid w:val="0"/>
        <w:spacing w:line="420" w:lineRule="exact"/>
        <w:ind w:firstLine="470" w:firstLineChars="196"/>
        <w:rPr>
          <w:rFonts w:ascii="宋体" w:hAnsi="宋体"/>
          <w:color w:val="auto"/>
          <w:sz w:val="24"/>
          <w:highlight w:val="none"/>
        </w:rPr>
      </w:pPr>
      <w:r>
        <w:rPr>
          <w:rFonts w:hint="eastAsia" w:ascii="宋体" w:hAnsi="宋体"/>
          <w:color w:val="auto"/>
          <w:sz w:val="24"/>
          <w:highlight w:val="none"/>
        </w:rPr>
        <w:t xml:space="preserve">评标委员会应当对符合资格的投标人的投标文件进行符合性审查，以确定其是否满足招标文件的实质性要求，对审查发现无效的进行必要的询标，结束后公布无效投标的投标人名单、投标无效的原因。 </w:t>
      </w:r>
    </w:p>
    <w:p>
      <w:pPr>
        <w:snapToGrid w:val="0"/>
        <w:spacing w:line="420" w:lineRule="exact"/>
        <w:ind w:firstLine="241" w:firstLineChars="100"/>
        <w:rPr>
          <w:rFonts w:ascii="宋体" w:hAnsi="宋体"/>
          <w:b/>
          <w:color w:val="auto"/>
          <w:sz w:val="24"/>
          <w:highlight w:val="none"/>
        </w:rPr>
      </w:pPr>
      <w:r>
        <w:rPr>
          <w:rFonts w:hint="eastAsia" w:ascii="宋体" w:hAnsi="宋体"/>
          <w:b/>
          <w:color w:val="auto"/>
          <w:sz w:val="24"/>
          <w:highlight w:val="none"/>
        </w:rPr>
        <w:t>（四）澄清问题的形式</w:t>
      </w:r>
    </w:p>
    <w:p>
      <w:pPr>
        <w:pStyle w:val="29"/>
        <w:snapToGrid w:val="0"/>
        <w:spacing w:beforeLines="0" w:afterLines="0" w:line="420" w:lineRule="exact"/>
        <w:ind w:firstLine="480" w:firstLineChars="200"/>
        <w:rPr>
          <w:rFonts w:hAnsi="宋体"/>
          <w:b/>
          <w:bCs/>
          <w:color w:val="auto"/>
          <w:highlight w:val="none"/>
          <w:u w:val="single"/>
          <w:shd w:val="pct10" w:color="auto" w:fill="FFFFFF"/>
        </w:rPr>
      </w:pPr>
      <w:r>
        <w:rPr>
          <w:rFonts w:hint="eastAsia" w:hAnsi="宋体"/>
          <w:color w:val="auto"/>
          <w:highlight w:val="none"/>
        </w:rPr>
        <w:t>对投标文件中含义不明确、同类问题表述不一致或者有明显文字和计算错误的内容，评标委员会可要求投标人作出必要的</w:t>
      </w:r>
      <w:bookmarkStart w:id="42" w:name="_Hlk59372079"/>
      <w:r>
        <w:rPr>
          <w:rFonts w:hint="eastAsia" w:hAnsi="宋体"/>
          <w:color w:val="auto"/>
          <w:highlight w:val="none"/>
        </w:rPr>
        <w:t>澄清、说明</w:t>
      </w:r>
      <w:bookmarkEnd w:id="42"/>
      <w:r>
        <w:rPr>
          <w:rFonts w:hint="eastAsia" w:hAnsi="宋体"/>
          <w:color w:val="auto"/>
          <w:highlight w:val="none"/>
        </w:rPr>
        <w:t>或者补正。评标委员会的澄清内容及投标人的澄清、说明或者补正均通过</w:t>
      </w:r>
      <w:bookmarkStart w:id="43" w:name="_Hlk59371846"/>
      <w:r>
        <w:rPr>
          <w:rFonts w:hint="eastAsia" w:hAnsi="宋体"/>
          <w:color w:val="auto"/>
          <w:highlight w:val="none"/>
        </w:rPr>
        <w:t>政采云电子交易平台交换数据电文。</w:t>
      </w:r>
      <w:bookmarkEnd w:id="43"/>
      <w:r>
        <w:rPr>
          <w:rFonts w:hint="eastAsia" w:hAnsi="宋体"/>
          <w:color w:val="auto"/>
          <w:highlight w:val="none"/>
        </w:rPr>
        <w:t xml:space="preserve">  </w:t>
      </w:r>
      <w:bookmarkStart w:id="44" w:name="_Hlk59700505"/>
      <w:r>
        <w:rPr>
          <w:rFonts w:hint="eastAsia" w:hAnsi="宋体"/>
          <w:b/>
          <w:bCs/>
          <w:color w:val="auto"/>
          <w:highlight w:val="none"/>
        </w:rPr>
        <w:t>同时采购代理机构也将通过</w:t>
      </w:r>
      <w:r>
        <w:rPr>
          <w:rFonts w:hint="eastAsia" w:hAnsi="宋体"/>
          <w:b/>
          <w:bCs/>
          <w:color w:val="auto"/>
          <w:highlight w:val="none"/>
          <w:u w:val="single"/>
        </w:rPr>
        <w:t>临海市公共资源交易中心视频直播平台、</w:t>
      </w:r>
      <w:bookmarkStart w:id="45" w:name="_Hlk59371920"/>
      <w:r>
        <w:rPr>
          <w:rFonts w:hint="eastAsia" w:hAnsi="宋体"/>
          <w:b/>
          <w:bCs/>
          <w:color w:val="auto"/>
          <w:highlight w:val="none"/>
        </w:rPr>
        <w:t>政采云视频询</w:t>
      </w:r>
      <w:r>
        <w:rPr>
          <w:rFonts w:hint="eastAsia" w:hAnsi="宋体"/>
          <w:b/>
          <w:bCs/>
          <w:color w:val="auto"/>
          <w:highlight w:val="none"/>
          <w:u w:val="single"/>
          <w:shd w:val="pct10" w:color="auto" w:fill="FFFFFF"/>
        </w:rPr>
        <w:t>标（视频讲标）系统协助进行问题澄清。投标人登录政采云系统-----进入开标大厅---进入本项目----就可以进入政采云视频询标系统。政采云视频询标系统在询标时需要投标人电脑配置有摄像头、音箱和必要的网络带宽，请投标人开标前予以提前准备，以免延误询标（浏览器建议用谷歌浏览器，网络带宽不少于50兆，请勿用无线，以免出现卡顿现象。摄像头建议用中档及以上摄像头，以利于询标时的画面质量；音箱请提前予以调试，以避免询标时出现没有声音现象）。政采云视频会议系统目前不支持手机客户端。</w:t>
      </w:r>
      <w:bookmarkEnd w:id="44"/>
    </w:p>
    <w:bookmarkEnd w:id="45"/>
    <w:p>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评标委员会发出澄清内容后，投标人应当在采购代理机构及政采云平台上</w:t>
      </w:r>
      <w:r>
        <w:rPr>
          <w:rFonts w:hint="eastAsia" w:ascii="宋体" w:hAnsi="宋体"/>
          <w:b/>
          <w:bCs/>
          <w:color w:val="auto"/>
          <w:sz w:val="24"/>
          <w:highlight w:val="none"/>
          <w:u w:val="single"/>
        </w:rPr>
        <w:t>规定的时间内（30分钟，具体时间以政采云系统上显示的时间为准）</w:t>
      </w:r>
      <w:r>
        <w:rPr>
          <w:rFonts w:hint="eastAsia" w:ascii="宋体" w:hAnsi="宋体"/>
          <w:b/>
          <w:bCs/>
          <w:color w:val="auto"/>
          <w:sz w:val="24"/>
          <w:highlight w:val="none"/>
        </w:rPr>
        <w:t>，</w:t>
      </w:r>
      <w:r>
        <w:rPr>
          <w:rFonts w:hint="eastAsia" w:ascii="宋体" w:hAnsi="宋体"/>
          <w:color w:val="auto"/>
          <w:sz w:val="24"/>
          <w:highlight w:val="none"/>
        </w:rPr>
        <w:t>提交澄清说明或补正，否则视为投标人放弃答复，并自行承担因此而产生的不利后果。澄清、说明或者补正不得超出投标文件的范围或者改变投标文件的实质性内容。</w:t>
      </w:r>
    </w:p>
    <w:p>
      <w:pPr>
        <w:snapToGrid w:val="0"/>
        <w:spacing w:line="420" w:lineRule="exact"/>
        <w:ind w:firstLine="241" w:firstLineChars="100"/>
        <w:rPr>
          <w:rFonts w:ascii="宋体" w:hAnsi="宋体"/>
          <w:b/>
          <w:color w:val="auto"/>
          <w:sz w:val="24"/>
          <w:highlight w:val="none"/>
        </w:rPr>
      </w:pPr>
      <w:r>
        <w:rPr>
          <w:rFonts w:hint="eastAsia" w:ascii="宋体" w:hAnsi="宋体"/>
          <w:b/>
          <w:color w:val="auto"/>
          <w:sz w:val="24"/>
          <w:highlight w:val="none"/>
        </w:rPr>
        <w:t>（五）错误修正</w:t>
      </w:r>
    </w:p>
    <w:p>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投标文件报价出现前后不一致的，按照下列规定修正：</w:t>
      </w:r>
    </w:p>
    <w:p>
      <w:pPr>
        <w:snapToGrid w:val="0"/>
        <w:spacing w:line="420" w:lineRule="exact"/>
        <w:ind w:firstLine="480" w:firstLineChars="200"/>
        <w:rPr>
          <w:rFonts w:ascii="宋体" w:hAnsi="宋体"/>
          <w:b/>
          <w:bCs/>
          <w:color w:val="auto"/>
          <w:sz w:val="24"/>
          <w:highlight w:val="none"/>
          <w:u w:val="single"/>
          <w:shd w:val="pct10" w:color="auto" w:fill="FFFFFF"/>
        </w:rPr>
      </w:pPr>
      <w:r>
        <w:rPr>
          <w:rFonts w:hint="eastAsia" w:ascii="宋体" w:hAnsi="宋体"/>
          <w:color w:val="auto"/>
          <w:sz w:val="24"/>
          <w:highlight w:val="none"/>
        </w:rPr>
        <w:t>（一）投标文件中开标一览表（报价表）内容与投标文件中相应内容不一致的，以开标一览表（报价表）为准</w:t>
      </w:r>
      <w:r>
        <w:rPr>
          <w:rFonts w:hint="eastAsia" w:ascii="宋体" w:hAnsi="宋体"/>
          <w:b/>
          <w:bCs/>
          <w:color w:val="auto"/>
          <w:sz w:val="24"/>
          <w:highlight w:val="none"/>
          <w:u w:val="single"/>
          <w:shd w:val="pct10" w:color="auto" w:fill="FFFFFF"/>
        </w:rPr>
        <w:t>。</w:t>
      </w:r>
      <w:bookmarkStart w:id="46" w:name="_Hlk78209380"/>
      <w:r>
        <w:rPr>
          <w:rFonts w:hint="eastAsia" w:ascii="宋体" w:hAnsi="宋体"/>
          <w:b/>
          <w:bCs/>
          <w:color w:val="auto"/>
          <w:sz w:val="24"/>
          <w:highlight w:val="none"/>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p>
    <w:bookmarkEnd w:id="46"/>
    <w:p>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（二）大写金额和小写金额不一致的，以大写金额为准；</w:t>
      </w:r>
    </w:p>
    <w:p>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（三）单价金额小数点或者百分比有明显错位的，以开标一览表的总价为准，并修改单价；</w:t>
      </w:r>
    </w:p>
    <w:p>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（四）总价金额与按单价汇总金额不一致的，以单价金额计算结果为准。</w:t>
      </w:r>
    </w:p>
    <w:p>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（五）对不同文字文本投标文件的解释发生异议的，以中文文本为准。</w:t>
      </w:r>
    </w:p>
    <w:p>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同时出现两种以上不一致的，按照前款规定的顺序修正，修正后的报价经投标人同意并签字确认后，调整后的投标报价对投标人具有约束作用。如果投标人不接受修正后的报价，则其投标将作为无效投标处理。</w:t>
      </w:r>
    </w:p>
    <w:p>
      <w:pPr>
        <w:pStyle w:val="29"/>
        <w:tabs>
          <w:tab w:val="left" w:pos="630"/>
        </w:tabs>
        <w:snapToGrid w:val="0"/>
        <w:spacing w:beforeLines="0" w:afterLines="0" w:line="420" w:lineRule="exact"/>
        <w:ind w:firstLine="241" w:firstLineChars="100"/>
        <w:rPr>
          <w:rFonts w:hAnsi="宋体"/>
          <w:b/>
          <w:color w:val="auto"/>
          <w:highlight w:val="none"/>
        </w:rPr>
      </w:pPr>
      <w:r>
        <w:rPr>
          <w:rFonts w:hint="eastAsia" w:hAnsi="宋体"/>
          <w:b/>
          <w:color w:val="auto"/>
          <w:highlight w:val="none"/>
        </w:rPr>
        <w:t>（六）评标原则和评标办法</w:t>
      </w:r>
    </w:p>
    <w:p>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snapToGrid w:val="0"/>
        <w:spacing w:beforeLines="0" w:afterLines="0" w:line="420" w:lineRule="exact"/>
        <w:ind w:firstLine="480" w:firstLineChars="200"/>
        <w:rPr>
          <w:rFonts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，具体评标内容及评分标准等详见《第四章：评标办法及评分标准》。</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六、定标</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（一）确定中标人</w:t>
      </w:r>
    </w:p>
    <w:p>
      <w:pPr>
        <w:spacing w:line="420" w:lineRule="exact"/>
        <w:ind w:firstLine="480" w:firstLineChars="200"/>
        <w:rPr>
          <w:rFonts w:ascii="宋体" w:hAnsi="宋体"/>
          <w:b/>
          <w:bCs/>
          <w:color w:val="auto"/>
          <w:sz w:val="24"/>
          <w:highlight w:val="none"/>
        </w:rPr>
      </w:pPr>
      <w:r>
        <w:rPr>
          <w:rFonts w:hint="eastAsia" w:ascii="宋体" w:hAnsi="宋体"/>
          <w:bCs/>
          <w:color w:val="auto"/>
          <w:sz w:val="24"/>
          <w:highlight w:val="none"/>
        </w:rPr>
        <w:t>1.招标人在评标结束后2</w:t>
      </w:r>
      <w:r>
        <w:rPr>
          <w:rFonts w:hint="eastAsia" w:ascii="宋体" w:hAnsi="宋体"/>
          <w:color w:val="auto"/>
          <w:sz w:val="24"/>
          <w:highlight w:val="none"/>
        </w:rPr>
        <w:t>个工作日内将评标报告交采购单位确认</w:t>
      </w:r>
      <w:r>
        <w:rPr>
          <w:rFonts w:hint="eastAsia" w:ascii="宋体" w:hAnsi="宋体"/>
          <w:b/>
          <w:bCs/>
          <w:color w:val="auto"/>
          <w:sz w:val="24"/>
          <w:highlight w:val="none"/>
        </w:rPr>
        <w:t>，</w:t>
      </w:r>
      <w:r>
        <w:rPr>
          <w:rFonts w:hint="eastAsia" w:ascii="宋体" w:hAnsi="宋体"/>
          <w:color w:val="auto"/>
          <w:sz w:val="24"/>
          <w:highlight w:val="none"/>
        </w:rPr>
        <w:t>采购单位应在收到评标报告后5个工作日内对评标结果进行确认。如有投标人对评标结果提出质疑的，采购单位可在质疑处理完毕后确定中标人。</w:t>
      </w:r>
    </w:p>
    <w:p>
      <w:pPr>
        <w:snapToGrid w:val="0"/>
        <w:spacing w:line="420" w:lineRule="exact"/>
        <w:ind w:firstLine="480" w:firstLineChars="200"/>
        <w:rPr>
          <w:rFonts w:ascii="宋体" w:hAnsi="宋体"/>
          <w:b/>
          <w:bCs/>
          <w:color w:val="auto"/>
          <w:sz w:val="24"/>
          <w:highlight w:val="none"/>
          <w:u w:val="single"/>
          <w:shd w:val="pct10" w:color="auto" w:fill="FFFFFF"/>
        </w:rPr>
      </w:pPr>
      <w:r>
        <w:rPr>
          <w:rFonts w:ascii="宋体" w:hAnsi="宋体"/>
          <w:color w:val="auto"/>
          <w:sz w:val="24"/>
          <w:highlight w:val="none"/>
        </w:rPr>
        <w:t>2</w:t>
      </w:r>
      <w:r>
        <w:rPr>
          <w:rFonts w:hint="eastAsia" w:ascii="宋体" w:hAnsi="宋体"/>
          <w:color w:val="auto"/>
          <w:sz w:val="24"/>
          <w:highlight w:val="none"/>
        </w:rPr>
        <w:t>.采购单位依法确定中标人后2个工作日内，招标人以书面形式发出《中标通知书》,并同时在采购公告发布的网站上发布成交结果公告。</w:t>
      </w:r>
      <w:r>
        <w:rPr>
          <w:rFonts w:hint="eastAsia" w:ascii="宋体" w:hAnsi="宋体"/>
          <w:b/>
          <w:bCs/>
          <w:color w:val="auto"/>
          <w:sz w:val="24"/>
          <w:highlight w:val="none"/>
          <w:u w:val="single"/>
          <w:shd w:val="pct10" w:color="auto" w:fill="FFFFFF"/>
        </w:rPr>
        <w:t>中标供应商享受中小企业扶持政策的，将在成交结果公告中公开中标供应商的《中小企业声明函》</w:t>
      </w:r>
      <w:r>
        <w:rPr>
          <w:rFonts w:hint="eastAsia" w:ascii="宋体" w:hAnsi="宋体"/>
          <w:color w:val="auto"/>
          <w:sz w:val="24"/>
          <w:highlight w:val="none"/>
        </w:rPr>
        <w:t>。</w:t>
      </w:r>
      <w:r>
        <w:rPr>
          <w:rFonts w:hint="eastAsia" w:ascii="宋体" w:hAnsi="宋体"/>
          <w:b/>
          <w:bCs/>
          <w:color w:val="auto"/>
          <w:sz w:val="24"/>
          <w:highlight w:val="none"/>
          <w:u w:val="single"/>
        </w:rPr>
        <w:t>成交结果公告期间,投标人不得通过非正当途径，更不得通过非正当手段获取法律法规规定评标委员会(包括其他相关人员)应当保密的相关内容。即使由此获得资料并作为向采购人（采购代理机构）或监督管理部门提出异议、质疑、投诉或法院起诉的依据，均属于非法获取的依据。</w:t>
      </w:r>
    </w:p>
    <w:p>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.定标中，应坚持第一中标候选人为首选中标人，但出现其它原因的，采购单位可以确定排名第二的候选人为中标人，</w:t>
      </w:r>
      <w:r>
        <w:rPr>
          <w:rFonts w:hint="eastAsia" w:ascii="宋体" w:hAnsi="宋体"/>
          <w:b/>
          <w:color w:val="auto"/>
          <w:sz w:val="24"/>
          <w:highlight w:val="none"/>
        </w:rPr>
        <w:t>或重新组织招标。</w:t>
      </w:r>
      <w:r>
        <w:rPr>
          <w:rFonts w:hint="eastAsia" w:ascii="宋体" w:hAnsi="宋体"/>
          <w:color w:val="auto"/>
          <w:sz w:val="24"/>
          <w:highlight w:val="none"/>
        </w:rPr>
        <w:t>采购单位如确定第二中标候选人为中标人的，应当在确定前向</w:t>
      </w:r>
      <w:r>
        <w:rPr>
          <w:rFonts w:hint="eastAsia" w:ascii="宋体" w:hAnsi="宋体"/>
          <w:b/>
          <w:color w:val="auto"/>
          <w:sz w:val="24"/>
          <w:highlight w:val="none"/>
        </w:rPr>
        <w:t>临海市财政局</w:t>
      </w:r>
      <w:r>
        <w:rPr>
          <w:rFonts w:hint="eastAsia" w:ascii="宋体" w:hAnsi="宋体"/>
          <w:color w:val="auto"/>
          <w:sz w:val="24"/>
          <w:highlight w:val="none"/>
        </w:rPr>
        <w:t>报告说明。</w:t>
      </w:r>
      <w:bookmarkStart w:id="47" w:name="_Hlk59369379"/>
    </w:p>
    <w:p>
      <w:pPr>
        <w:snapToGrid w:val="0"/>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20" w:lineRule="exact"/>
        <w:rPr>
          <w:rFonts w:ascii="宋体" w:hAnsi="宋体"/>
          <w:b/>
          <w:color w:val="auto"/>
          <w:sz w:val="24"/>
          <w:highlight w:val="none"/>
        </w:rPr>
      </w:pPr>
      <w:r>
        <w:rPr>
          <w:rFonts w:hint="eastAsia" w:ascii="宋体" w:hAnsi="宋体"/>
          <w:b/>
          <w:color w:val="auto"/>
          <w:sz w:val="24"/>
          <w:highlight w:val="none"/>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pPr>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hint="eastAsia" w:ascii="宋体" w:hAnsi="宋体"/>
          <w:b/>
          <w:bCs/>
          <w:color w:val="auto"/>
          <w:sz w:val="24"/>
          <w:highlight w:val="none"/>
          <w:u w:val="single"/>
          <w:shd w:val="pct10" w:color="auto" w:fill="FFFFFF"/>
        </w:rPr>
        <w:t>为营造更优质的营商环境，</w:t>
      </w:r>
      <w:bookmarkStart w:id="48" w:name="_Hlk59708763"/>
      <w:r>
        <w:rPr>
          <w:rFonts w:hint="eastAsia" w:ascii="宋体" w:hAnsi="宋体"/>
          <w:b/>
          <w:bCs/>
          <w:color w:val="auto"/>
          <w:sz w:val="24"/>
          <w:highlight w:val="none"/>
          <w:u w:val="single"/>
          <w:shd w:val="pct10" w:color="auto" w:fill="FFFFFF"/>
        </w:rPr>
        <w:t>中标人可选择采购代理机构以邮寄方式向其寄达《中标通知书》（邮寄地址、收件人等信息请在“投标函”中详细写明，邮费可到付）。</w:t>
      </w:r>
      <w:bookmarkEnd w:id="48"/>
      <w:bookmarkStart w:id="49" w:name="_Hlk59708451"/>
      <w:r>
        <w:rPr>
          <w:rFonts w:hint="eastAsia" w:ascii="宋体" w:hAnsi="宋体"/>
          <w:b/>
          <w:bCs/>
          <w:color w:val="auto"/>
          <w:sz w:val="24"/>
          <w:highlight w:val="none"/>
          <w:u w:val="single"/>
          <w:shd w:val="pct10" w:color="auto" w:fill="FFFFFF"/>
        </w:rPr>
        <w:t>同时中标人应在中标后</w:t>
      </w:r>
      <w:bookmarkStart w:id="50" w:name="_Hlk59521069"/>
      <w:r>
        <w:rPr>
          <w:rFonts w:hint="eastAsia" w:ascii="宋体" w:hAnsi="宋体"/>
          <w:b/>
          <w:bCs/>
          <w:color w:val="auto"/>
          <w:sz w:val="24"/>
          <w:highlight w:val="none"/>
          <w:u w:val="single"/>
          <w:shd w:val="pct10" w:color="auto" w:fill="FFFFFF"/>
        </w:rPr>
        <w:t>以邮寄</w:t>
      </w:r>
      <w:bookmarkEnd w:id="50"/>
      <w:r>
        <w:rPr>
          <w:rFonts w:hint="eastAsia" w:ascii="宋体" w:hAnsi="宋体"/>
          <w:b/>
          <w:bCs/>
          <w:color w:val="auto"/>
          <w:sz w:val="24"/>
          <w:highlight w:val="none"/>
          <w:u w:val="single"/>
          <w:shd w:val="pct10" w:color="auto" w:fill="FFFFFF"/>
        </w:rPr>
        <w:t>或其他方式向</w:t>
      </w:r>
      <w:bookmarkStart w:id="51" w:name="_Hlk59521051"/>
      <w:r>
        <w:rPr>
          <w:rFonts w:hint="eastAsia" w:ascii="宋体" w:hAnsi="宋体"/>
          <w:b/>
          <w:bCs/>
          <w:color w:val="auto"/>
          <w:sz w:val="24"/>
          <w:highlight w:val="none"/>
          <w:u w:val="single"/>
          <w:shd w:val="pct10" w:color="auto" w:fill="FFFFFF"/>
        </w:rPr>
        <w:t>采购代理机构</w:t>
      </w:r>
      <w:bookmarkEnd w:id="51"/>
      <w:r>
        <w:rPr>
          <w:rFonts w:hint="eastAsia" w:ascii="宋体" w:hAnsi="宋体"/>
          <w:b/>
          <w:bCs/>
          <w:color w:val="auto"/>
          <w:sz w:val="24"/>
          <w:highlight w:val="none"/>
          <w:u w:val="single"/>
          <w:shd w:val="pct10" w:color="auto" w:fill="FFFFFF"/>
        </w:rPr>
        <w:t>提供</w:t>
      </w:r>
      <w:r>
        <w:rPr>
          <w:rFonts w:ascii="宋体" w:hAnsi="宋体"/>
          <w:b/>
          <w:bCs/>
          <w:color w:val="auto"/>
          <w:sz w:val="24"/>
          <w:highlight w:val="none"/>
          <w:u w:val="single"/>
          <w:shd w:val="pct10" w:color="auto" w:fill="FFFFFF"/>
        </w:rPr>
        <w:t>3</w:t>
      </w:r>
      <w:r>
        <w:rPr>
          <w:rFonts w:hint="eastAsia" w:ascii="宋体" w:hAnsi="宋体"/>
          <w:b/>
          <w:bCs/>
          <w:color w:val="auto"/>
          <w:sz w:val="24"/>
          <w:highlight w:val="none"/>
          <w:u w:val="single"/>
          <w:shd w:val="pct10" w:color="auto" w:fill="FFFFFF"/>
        </w:rPr>
        <w:t>套与电子版投标文件相同的胶装版本投标文件。</w:t>
      </w:r>
      <w:bookmarkEnd w:id="47"/>
      <w:bookmarkEnd w:id="49"/>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七、合同授予</w:t>
      </w:r>
    </w:p>
    <w:p>
      <w:pPr>
        <w:snapToGrid w:val="0"/>
        <w:spacing w:line="420" w:lineRule="exact"/>
        <w:ind w:firstLine="472" w:firstLineChars="196"/>
        <w:rPr>
          <w:rFonts w:ascii="宋体" w:hAnsi="宋体"/>
          <w:b/>
          <w:bCs/>
          <w:color w:val="auto"/>
          <w:sz w:val="24"/>
          <w:highlight w:val="none"/>
        </w:rPr>
      </w:pPr>
      <w:r>
        <w:rPr>
          <w:rFonts w:hint="eastAsia" w:ascii="宋体" w:hAnsi="宋体"/>
          <w:b/>
          <w:bCs/>
          <w:color w:val="auto"/>
          <w:sz w:val="24"/>
          <w:highlight w:val="none"/>
        </w:rPr>
        <w:t>（一）签订合同</w:t>
      </w:r>
    </w:p>
    <w:p>
      <w:pPr>
        <w:snapToGrid w:val="0"/>
        <w:spacing w:line="420" w:lineRule="exact"/>
        <w:ind w:firstLine="480" w:firstLineChars="200"/>
        <w:rPr>
          <w:rFonts w:ascii="宋体" w:hAnsi="宋体"/>
          <w:color w:val="auto"/>
          <w:sz w:val="24"/>
          <w:highlight w:val="none"/>
        </w:rPr>
      </w:pPr>
      <w:r>
        <w:rPr>
          <w:rFonts w:hint="eastAsia" w:ascii="宋体" w:hAnsi="宋体"/>
          <w:color w:val="auto"/>
          <w:sz w:val="24"/>
          <w:highlight w:val="none"/>
        </w:rPr>
        <w:t>1.采购单位与中标</w:t>
      </w:r>
      <w:r>
        <w:rPr>
          <w:rFonts w:hint="eastAsia" w:ascii="宋体" w:hAnsi="宋体"/>
          <w:b/>
          <w:color w:val="auto"/>
          <w:sz w:val="24"/>
          <w:highlight w:val="none"/>
        </w:rPr>
        <w:t>人应当在《中标通知书》发出之日起30日内签订政府采购合同，</w:t>
      </w:r>
      <w:r>
        <w:rPr>
          <w:rFonts w:hint="eastAsia" w:ascii="宋体" w:hAnsi="宋体"/>
          <w:color w:val="auto"/>
          <w:sz w:val="24"/>
          <w:highlight w:val="none"/>
        </w:rPr>
        <w:t>并且在同一时间送至采购代理机构见证盖章（合同一式不少于四份，采购单位与中标人各执一份，</w:t>
      </w:r>
      <w:bookmarkStart w:id="52" w:name="_Hlk59626706"/>
      <w:r>
        <w:rPr>
          <w:rFonts w:hint="eastAsia" w:ascii="宋体" w:hAnsi="宋体"/>
          <w:color w:val="auto"/>
          <w:sz w:val="24"/>
          <w:highlight w:val="none"/>
        </w:rPr>
        <w:t>代理机构</w:t>
      </w:r>
      <w:bookmarkEnd w:id="52"/>
      <w:r>
        <w:rPr>
          <w:rFonts w:hint="eastAsia" w:ascii="宋体" w:hAnsi="宋体"/>
          <w:color w:val="auto"/>
          <w:sz w:val="24"/>
          <w:highlight w:val="none"/>
        </w:rPr>
        <w:t>留存二份），招标人对合同内容进行审查，如发现与采购结果和投标承诺内容不一致的，予以纠正。</w:t>
      </w:r>
      <w:r>
        <w:rPr>
          <w:rFonts w:hint="eastAsia" w:ascii="宋体" w:hAnsi="宋体"/>
          <w:b/>
          <w:bCs/>
          <w:color w:val="auto"/>
          <w:sz w:val="24"/>
          <w:highlight w:val="none"/>
          <w:u w:val="single"/>
          <w:shd w:val="pct10" w:color="auto" w:fill="FFFFFF"/>
        </w:rPr>
        <w:t>为营造更优质的营商环境，</w:t>
      </w:r>
      <w:bookmarkStart w:id="53" w:name="_Hlk59627623"/>
      <w:r>
        <w:rPr>
          <w:rFonts w:hint="eastAsia" w:ascii="宋体" w:hAnsi="宋体"/>
          <w:b/>
          <w:bCs/>
          <w:color w:val="auto"/>
          <w:sz w:val="24"/>
          <w:highlight w:val="none"/>
          <w:u w:val="single"/>
          <w:shd w:val="pct10" w:color="auto" w:fill="FFFFFF"/>
        </w:rPr>
        <w:t>中标人可选择采购代理机构以邮寄方式向其寄达</w:t>
      </w:r>
      <w:bookmarkStart w:id="54" w:name="_Hlk59708805"/>
      <w:r>
        <w:rPr>
          <w:rFonts w:hint="eastAsia" w:ascii="宋体" w:hAnsi="宋体"/>
          <w:b/>
          <w:bCs/>
          <w:color w:val="auto"/>
          <w:sz w:val="24"/>
          <w:highlight w:val="none"/>
          <w:u w:val="single"/>
          <w:shd w:val="pct10" w:color="auto" w:fill="FFFFFF"/>
        </w:rPr>
        <w:t>《政府采购合同》</w:t>
      </w:r>
      <w:bookmarkEnd w:id="54"/>
      <w:r>
        <w:rPr>
          <w:rFonts w:hint="eastAsia" w:ascii="宋体" w:hAnsi="宋体"/>
          <w:b/>
          <w:bCs/>
          <w:color w:val="auto"/>
          <w:sz w:val="24"/>
          <w:highlight w:val="none"/>
          <w:u w:val="single"/>
          <w:shd w:val="pct10" w:color="auto" w:fill="FFFFFF"/>
        </w:rPr>
        <w:t>。</w:t>
      </w:r>
    </w:p>
    <w:bookmarkEnd w:id="53"/>
    <w:p>
      <w:pPr>
        <w:spacing w:line="420" w:lineRule="exact"/>
        <w:ind w:firstLine="480" w:firstLineChars="200"/>
        <w:rPr>
          <w:rFonts w:ascii="宋体" w:hAnsi="宋体"/>
          <w:bCs/>
          <w:color w:val="auto"/>
          <w:sz w:val="24"/>
          <w:highlight w:val="none"/>
        </w:rPr>
      </w:pPr>
      <w:r>
        <w:rPr>
          <w:rFonts w:hint="eastAsia" w:ascii="宋体" w:hAnsi="宋体"/>
          <w:color w:val="auto"/>
          <w:sz w:val="24"/>
          <w:highlight w:val="none"/>
        </w:rPr>
        <w:t>2.中标或者成交供应商拒绝与采购人签订合同的，采购人可以按照评审报告推荐的中标或者成交候选人名单排序，确定下一候选人为中标或者成交供应商，也可</w:t>
      </w:r>
      <w:r>
        <w:rPr>
          <w:rFonts w:hint="eastAsia" w:ascii="宋体" w:hAnsi="宋体"/>
          <w:bCs/>
          <w:color w:val="auto"/>
          <w:sz w:val="24"/>
          <w:highlight w:val="none"/>
        </w:rPr>
        <w:t>以重新开展政府采购活动。拒绝签订政府采购合同的成交供应商不得参加对该项目重新开展的采购活动。</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（二）履约保证金</w:t>
      </w:r>
    </w:p>
    <w:p>
      <w:pPr>
        <w:pStyle w:val="29"/>
        <w:snapToGrid w:val="0"/>
        <w:spacing w:before="120" w:after="120" w:line="420" w:lineRule="exact"/>
        <w:ind w:firstLine="480" w:firstLineChars="200"/>
        <w:rPr>
          <w:rFonts w:hAnsi="宋体" w:cs="宋体"/>
          <w:color w:val="auto"/>
          <w:highlight w:val="none"/>
        </w:rPr>
      </w:pPr>
      <w:r>
        <w:rPr>
          <w:rFonts w:hint="eastAsia" w:hAnsi="宋体"/>
          <w:bCs/>
          <w:color w:val="auto"/>
          <w:highlight w:val="none"/>
        </w:rPr>
        <w:t>1.中标人应根据招标文件确定的履约保证金的金额，交纳履约保证金：①采用网上银行转帐、电汇、汇票缴纳履约保证金的，履约保证金必须通过投标人在临海市公共资源交易中心后台注册的银行账号汇入，否则无法达账（开户名：临海市公共资源交易中心，开户行：</w:t>
      </w:r>
      <w:r>
        <w:rPr>
          <w:rFonts w:hint="eastAsia" w:hAnsi="宋体"/>
          <w:color w:val="auto"/>
          <w:highlight w:val="none"/>
        </w:rPr>
        <w:t>浙江临海农村商业银行股份有限公司科技支行，账号：201000102293922000003。财务咨询电话：0576-85280673）。</w:t>
      </w:r>
      <w:r>
        <w:rPr>
          <w:rFonts w:hint="eastAsia" w:hAnsi="宋体"/>
          <w:color w:val="auto"/>
          <w:highlight w:val="none"/>
        </w:rPr>
        <w:br w:type="textWrapping"/>
      </w:r>
      <w:r>
        <w:rPr>
          <w:rFonts w:hint="eastAsia" w:hAnsi="宋体" w:cs="宋体"/>
          <w:color w:val="auto"/>
          <w:highlight w:val="none"/>
        </w:rPr>
        <w:t>②</w:t>
      </w:r>
      <w:r>
        <w:rPr>
          <w:rFonts w:hint="eastAsia" w:hAnsi="宋体"/>
          <w:color w:val="auto"/>
          <w:highlight w:val="none"/>
        </w:rPr>
        <w:t>采用银行、保险公司出具的保函形式提交履约保证金的，中标人将保函原件提交给采购人保管，采购人提供3份加盖公章或</w:t>
      </w:r>
      <w:r>
        <w:rPr>
          <w:rFonts w:hAnsi="宋体"/>
          <w:color w:val="auto"/>
          <w:highlight w:val="none"/>
        </w:rPr>
        <w:t>“</w:t>
      </w:r>
      <w:r>
        <w:rPr>
          <w:rFonts w:hint="eastAsia" w:hAnsi="宋体"/>
          <w:color w:val="auto"/>
          <w:highlight w:val="none"/>
        </w:rPr>
        <w:t>原件收讫</w:t>
      </w:r>
      <w:r>
        <w:rPr>
          <w:rFonts w:hAnsi="宋体"/>
          <w:color w:val="auto"/>
          <w:highlight w:val="none"/>
        </w:rPr>
        <w:t>”</w:t>
      </w:r>
      <w:r>
        <w:rPr>
          <w:rFonts w:hint="eastAsia" w:hAnsi="宋体"/>
          <w:color w:val="auto"/>
          <w:highlight w:val="none"/>
        </w:rPr>
        <w:t>证明印章的保函复印件给中标人，中标人或采购代理机构将经采购人确认的保函复印件提交到临海市公共资源交易中心财务窗口登记存档</w:t>
      </w:r>
      <w:r>
        <w:rPr>
          <w:rFonts w:hint="eastAsia" w:hAnsi="宋体" w:cs="宋体"/>
          <w:color w:val="auto"/>
          <w:highlight w:val="none"/>
        </w:rPr>
        <w:t>（地址：临海市巾山中路18号（移动公司对面）一楼大厅）。</w:t>
      </w:r>
      <w:r>
        <w:rPr>
          <w:rFonts w:hint="eastAsia" w:hAnsi="宋体"/>
          <w:color w:val="auto"/>
          <w:highlight w:val="none"/>
        </w:rPr>
        <w:br w:type="textWrapping"/>
      </w:r>
      <w:r>
        <w:rPr>
          <w:rFonts w:hint="eastAsia" w:hAnsi="宋体"/>
          <w:color w:val="auto"/>
          <w:highlight w:val="none"/>
        </w:rPr>
        <w:t xml:space="preserve">  2.签订合同后，如中标人不按双方合同约定履约，则其履约保证金将予以扣罚，履约保证金不足以赔偿损失的，按实际损失赔偿。</w:t>
      </w:r>
      <w:r>
        <w:rPr>
          <w:rFonts w:hint="eastAsia" w:hAnsi="宋体"/>
          <w:color w:val="auto"/>
          <w:highlight w:val="none"/>
        </w:rPr>
        <w:br w:type="textWrapping"/>
      </w:r>
      <w:r>
        <w:rPr>
          <w:rFonts w:hint="eastAsia" w:hAnsi="宋体"/>
          <w:color w:val="auto"/>
          <w:highlight w:val="none"/>
        </w:rPr>
        <w:t xml:space="preserve">  3.履约保证金在中标人履行合同义务后且经验收合格，凭《临海市政府采购验收单》向临海市公共资源交易中心申请退还。 </w:t>
      </w:r>
    </w:p>
    <w:p>
      <w:pPr>
        <w:pStyle w:val="47"/>
        <w:rPr>
          <w:rFonts w:ascii="宋体" w:hAnsi="宋体"/>
          <w:color w:val="auto"/>
          <w:highlight w:val="none"/>
        </w:rPr>
      </w:pPr>
      <w:r>
        <w:rPr>
          <w:rFonts w:ascii="宋体" w:hAnsi="宋体"/>
          <w:color w:val="auto"/>
          <w:sz w:val="24"/>
          <w:highlight w:val="none"/>
        </w:rPr>
        <w:br w:type="page"/>
      </w:r>
      <w:bookmarkStart w:id="55" w:name="_Toc197938084"/>
      <w:bookmarkStart w:id="56" w:name="_Toc466534750"/>
      <w:r>
        <w:rPr>
          <w:rFonts w:hint="eastAsia" w:ascii="宋体" w:hAnsi="宋体"/>
          <w:color w:val="auto"/>
          <w:highlight w:val="none"/>
        </w:rPr>
        <w:t xml:space="preserve">第四章 </w:t>
      </w:r>
      <w:r>
        <w:rPr>
          <w:rFonts w:hint="eastAsia" w:ascii="宋体" w:hAnsi="宋体"/>
          <w:color w:val="auto"/>
          <w:highlight w:val="none"/>
          <w:lang w:val="en-US" w:eastAsia="zh-CN"/>
        </w:rPr>
        <w:t xml:space="preserve"> </w:t>
      </w:r>
      <w:r>
        <w:rPr>
          <w:rFonts w:hint="eastAsia" w:ascii="宋体" w:hAnsi="宋体"/>
          <w:color w:val="auto"/>
          <w:highlight w:val="none"/>
        </w:rPr>
        <w:t>评标办法及评分标准</w:t>
      </w:r>
      <w:bookmarkEnd w:id="55"/>
      <w:bookmarkEnd w:id="56"/>
    </w:p>
    <w:p>
      <w:pPr>
        <w:spacing w:before="120" w:beforeLines="50" w:after="120" w:afterLines="50" w:line="400" w:lineRule="exact"/>
        <w:ind w:firstLine="420"/>
        <w:rPr>
          <w:rFonts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为公正、公平、科学地选择中标人，根据《中华人民共和国政府采购法》等有关法律法规的规定，并结合本项目的实际，制定本办法。</w:t>
      </w:r>
    </w:p>
    <w:p>
      <w:pPr>
        <w:spacing w:before="120" w:beforeLines="50" w:after="120" w:afterLines="50" w:line="400" w:lineRule="exact"/>
        <w:ind w:firstLine="420"/>
        <w:rPr>
          <w:rFonts w:ascii="宋体" w:hAnsi="宋体"/>
          <w:bCs/>
          <w:color w:val="auto"/>
          <w:sz w:val="24"/>
          <w:highlight w:val="none"/>
        </w:rPr>
      </w:pPr>
      <w:r>
        <w:rPr>
          <w:rFonts w:hint="eastAsia" w:ascii="宋体" w:hAnsi="宋体"/>
          <w:color w:val="auto"/>
          <w:sz w:val="24"/>
          <w:highlight w:val="none"/>
        </w:rPr>
        <w:t>本办法适用于本项目的</w:t>
      </w:r>
      <w:r>
        <w:rPr>
          <w:rFonts w:hint="eastAsia" w:ascii="宋体" w:hAnsi="宋体"/>
          <w:bCs/>
          <w:color w:val="auto"/>
          <w:sz w:val="24"/>
          <w:highlight w:val="none"/>
        </w:rPr>
        <w:t>评标。</w:t>
      </w:r>
    </w:p>
    <w:p>
      <w:pPr>
        <w:spacing w:before="120" w:beforeLines="50" w:after="120" w:afterLines="50" w:line="400" w:lineRule="exact"/>
        <w:ind w:firstLine="472" w:firstLineChars="196"/>
        <w:rPr>
          <w:rFonts w:ascii="宋体" w:hAnsi="宋体"/>
          <w:b/>
          <w:color w:val="auto"/>
          <w:sz w:val="24"/>
          <w:highlight w:val="none"/>
        </w:rPr>
      </w:pPr>
      <w:r>
        <w:rPr>
          <w:rFonts w:hint="eastAsia" w:ascii="宋体" w:hAnsi="宋体"/>
          <w:b/>
          <w:color w:val="auto"/>
          <w:sz w:val="24"/>
          <w:highlight w:val="none"/>
        </w:rPr>
        <w:t>一、总则</w:t>
      </w:r>
    </w:p>
    <w:p>
      <w:pPr>
        <w:spacing w:before="120" w:beforeLines="50" w:after="120" w:afterLines="50" w:line="400" w:lineRule="exact"/>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本次评标采用综合评分法，总分为100分，其中</w:t>
      </w:r>
      <w:r>
        <w:rPr>
          <w:rFonts w:hint="eastAsia" w:ascii="宋体" w:hAnsi="宋体"/>
          <w:b/>
          <w:bCs/>
          <w:color w:val="auto"/>
          <w:sz w:val="24"/>
          <w:highlight w:val="none"/>
        </w:rPr>
        <w:t>价格分</w:t>
      </w:r>
      <w:r>
        <w:rPr>
          <w:rFonts w:hint="eastAsia" w:ascii="宋体" w:hAnsi="宋体"/>
          <w:b/>
          <w:bCs/>
          <w:color w:val="auto"/>
          <w:sz w:val="24"/>
          <w:highlight w:val="none"/>
          <w:lang w:val="en-US" w:eastAsia="zh-CN"/>
        </w:rPr>
        <w:t>15</w:t>
      </w:r>
      <w:r>
        <w:rPr>
          <w:rFonts w:hint="eastAsia" w:ascii="宋体" w:hAnsi="宋体"/>
          <w:b/>
          <w:bCs/>
          <w:color w:val="auto"/>
          <w:sz w:val="24"/>
          <w:highlight w:val="none"/>
        </w:rPr>
        <w:t>分、商务技术分</w:t>
      </w:r>
      <w:r>
        <w:rPr>
          <w:rFonts w:hint="eastAsia" w:ascii="宋体" w:hAnsi="宋体"/>
          <w:b/>
          <w:bCs/>
          <w:color w:val="auto"/>
          <w:sz w:val="24"/>
          <w:highlight w:val="none"/>
          <w:lang w:val="en-US" w:eastAsia="zh-CN"/>
        </w:rPr>
        <w:t>85</w:t>
      </w:r>
      <w:r>
        <w:rPr>
          <w:rFonts w:hint="eastAsia" w:ascii="宋体" w:hAnsi="宋体"/>
          <w:color w:val="auto"/>
          <w:sz w:val="24"/>
          <w:highlight w:val="none"/>
        </w:rPr>
        <w:t>分两部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w:t>
      </w:r>
      <w:r>
        <w:rPr>
          <w:rFonts w:hint="eastAsia" w:ascii="宋体" w:hAnsi="宋体"/>
          <w:bCs/>
          <w:color w:val="auto"/>
          <w:sz w:val="24"/>
          <w:highlight w:val="none"/>
        </w:rPr>
        <w:t>评分过程中采用四舍五入法，并保留小数2位。</w:t>
      </w:r>
    </w:p>
    <w:p>
      <w:pPr>
        <w:spacing w:before="120" w:beforeLines="50" w:after="120" w:afterLines="50" w:line="400" w:lineRule="exact"/>
        <w:ind w:firstLine="482" w:firstLineChars="200"/>
        <w:rPr>
          <w:rFonts w:ascii="宋体" w:hAnsi="宋体"/>
          <w:color w:val="auto"/>
          <w:sz w:val="24"/>
          <w:highlight w:val="none"/>
        </w:rPr>
      </w:pPr>
      <w:r>
        <w:rPr>
          <w:rFonts w:ascii="宋体" w:hAnsi="宋体"/>
          <w:b/>
          <w:bCs/>
          <w:color w:val="auto"/>
          <w:sz w:val="24"/>
          <w:highlight w:val="none"/>
        </w:rPr>
        <w:t>节能环保产品，不发达地区、少数民族地区、</w:t>
      </w:r>
      <w:r>
        <w:rPr>
          <w:rFonts w:hint="eastAsia" w:ascii="宋体" w:hAnsi="宋体"/>
          <w:b/>
          <w:bCs/>
          <w:color w:val="auto"/>
          <w:sz w:val="24"/>
          <w:highlight w:val="none"/>
        </w:rPr>
        <w:t>监狱企业、残疾人企业、制造精品</w:t>
      </w:r>
      <w:r>
        <w:rPr>
          <w:rFonts w:ascii="宋体" w:hAnsi="宋体"/>
          <w:b/>
          <w:bCs/>
          <w:color w:val="auto"/>
          <w:sz w:val="24"/>
          <w:highlight w:val="none"/>
        </w:rPr>
        <w:t>产品</w:t>
      </w:r>
      <w:r>
        <w:rPr>
          <w:rFonts w:hint="eastAsia" w:ascii="宋体" w:hAnsi="宋体"/>
          <w:b/>
          <w:bCs/>
          <w:color w:val="auto"/>
          <w:sz w:val="24"/>
          <w:highlight w:val="none"/>
        </w:rPr>
        <w:t>的政府采购优惠政策按相关文件规定执行</w:t>
      </w:r>
      <w:r>
        <w:rPr>
          <w:rFonts w:ascii="宋体" w:hAnsi="宋体"/>
          <w:b/>
          <w:bCs/>
          <w:color w:val="auto"/>
          <w:sz w:val="24"/>
          <w:highlight w:val="none"/>
        </w:rPr>
        <w:t>。</w:t>
      </w:r>
      <w:r>
        <w:rPr>
          <w:rFonts w:hint="eastAsia" w:ascii="宋体" w:hAnsi="宋体"/>
          <w:color w:val="auto"/>
          <w:sz w:val="24"/>
          <w:highlight w:val="none"/>
        </w:rPr>
        <w:t>投标人提供的产品如为</w:t>
      </w:r>
      <w:r>
        <w:rPr>
          <w:rFonts w:hint="eastAsia" w:ascii="宋体" w:hAnsi="宋体"/>
          <w:b/>
          <w:bCs/>
          <w:color w:val="auto"/>
          <w:sz w:val="24"/>
          <w:highlight w:val="none"/>
        </w:rPr>
        <w:t>首台套产品的，业绩分为满分。</w:t>
      </w:r>
    </w:p>
    <w:p>
      <w:pPr>
        <w:spacing w:before="120" w:beforeLines="50" w:after="120" w:afterLines="50"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综合得分=价格分+商务技术分</w:t>
      </w:r>
    </w:p>
    <w:p>
      <w:pPr>
        <w:spacing w:before="120" w:beforeLines="50" w:after="120" w:afterLines="50"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二、评标内容及标准</w:t>
      </w:r>
    </w:p>
    <w:p>
      <w:pPr>
        <w:pStyle w:val="22"/>
        <w:spacing w:before="120" w:beforeLines="50" w:after="120" w:afterLines="50" w:line="400" w:lineRule="exact"/>
        <w:ind w:firstLine="466" w:firstLineChars="200"/>
        <w:rPr>
          <w:rFonts w:hAnsi="宋体"/>
          <w:b/>
          <w:bCs/>
          <w:color w:val="auto"/>
          <w:sz w:val="24"/>
          <w:szCs w:val="24"/>
          <w:highlight w:val="none"/>
        </w:rPr>
      </w:pPr>
      <w:r>
        <w:rPr>
          <w:rFonts w:hint="eastAsia" w:hAnsi="宋体"/>
          <w:b/>
          <w:color w:val="auto"/>
          <w:sz w:val="24"/>
          <w:szCs w:val="24"/>
          <w:highlight w:val="none"/>
        </w:rPr>
        <w:t>（一）</w:t>
      </w:r>
      <w:r>
        <w:rPr>
          <w:rFonts w:hint="eastAsia" w:hAnsi="宋体"/>
          <w:b/>
          <w:bCs/>
          <w:color w:val="auto"/>
          <w:sz w:val="24"/>
          <w:szCs w:val="24"/>
          <w:highlight w:val="none"/>
        </w:rPr>
        <w:t>价格分（</w:t>
      </w:r>
      <w:r>
        <w:rPr>
          <w:rFonts w:hint="eastAsia" w:hAnsi="宋体"/>
          <w:b/>
          <w:bCs/>
          <w:color w:val="auto"/>
          <w:sz w:val="24"/>
          <w:szCs w:val="24"/>
          <w:highlight w:val="none"/>
          <w:lang w:val="en-US" w:eastAsia="zh-CN"/>
        </w:rPr>
        <w:t>15</w:t>
      </w:r>
      <w:r>
        <w:rPr>
          <w:rFonts w:hint="eastAsia" w:hAnsi="宋体"/>
          <w:b/>
          <w:color w:val="auto"/>
          <w:spacing w:val="0"/>
          <w:sz w:val="24"/>
          <w:szCs w:val="24"/>
          <w:highlight w:val="none"/>
        </w:rPr>
        <w:t>分</w:t>
      </w:r>
      <w:r>
        <w:rPr>
          <w:rFonts w:hint="eastAsia" w:hAnsi="宋体"/>
          <w:b/>
          <w:bCs/>
          <w:color w:val="auto"/>
          <w:sz w:val="24"/>
          <w:szCs w:val="24"/>
          <w:highlight w:val="none"/>
        </w:rPr>
        <w:t>）</w:t>
      </w:r>
    </w:p>
    <w:p>
      <w:pPr>
        <w:pStyle w:val="22"/>
        <w:spacing w:before="120" w:beforeLines="50" w:after="120" w:afterLines="50" w:line="400" w:lineRule="exact"/>
        <w:ind w:firstLine="464" w:firstLineChars="200"/>
        <w:rPr>
          <w:rFonts w:hAnsi="宋体"/>
          <w:bCs/>
          <w:color w:val="auto"/>
          <w:sz w:val="24"/>
          <w:szCs w:val="24"/>
          <w:highlight w:val="none"/>
        </w:rPr>
      </w:pPr>
      <w:r>
        <w:rPr>
          <w:rFonts w:hint="eastAsia" w:hAnsi="宋体"/>
          <w:bCs/>
          <w:color w:val="auto"/>
          <w:sz w:val="24"/>
          <w:szCs w:val="24"/>
          <w:highlight w:val="none"/>
        </w:rPr>
        <w:t>1.价格分采用低价优先法计算，即满足招标文件要求且投标价格最低的投标报价为评标基准价，其他投标人的价格分按照下列公式计算：</w:t>
      </w:r>
    </w:p>
    <w:p>
      <w:pPr>
        <w:spacing w:before="120" w:beforeLines="50" w:after="120" w:afterLines="50"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价格分=（评标基准价/投标报价）×</w:t>
      </w:r>
      <w:r>
        <w:rPr>
          <w:rFonts w:hint="eastAsia" w:ascii="宋体" w:hAnsi="宋体"/>
          <w:color w:val="auto"/>
          <w:sz w:val="24"/>
          <w:highlight w:val="none"/>
          <w:lang w:val="en-US" w:eastAsia="zh-CN"/>
        </w:rPr>
        <w:t>15</w:t>
      </w:r>
      <w:r>
        <w:rPr>
          <w:rFonts w:hint="eastAsia" w:ascii="宋体" w:hAnsi="宋体"/>
          <w:color w:val="auto"/>
          <w:sz w:val="24"/>
          <w:highlight w:val="none"/>
        </w:rPr>
        <w:t>%×100</w:t>
      </w:r>
    </w:p>
    <w:p>
      <w:pPr>
        <w:pStyle w:val="22"/>
        <w:spacing w:before="120" w:beforeLines="50" w:after="120" w:afterLines="50" w:line="400" w:lineRule="exact"/>
        <w:ind w:firstLine="466" w:firstLineChars="200"/>
        <w:rPr>
          <w:rFonts w:hint="eastAsia" w:hAnsi="宋体"/>
          <w:b/>
          <w:bCs/>
          <w:color w:val="auto"/>
          <w:sz w:val="24"/>
          <w:szCs w:val="24"/>
          <w:highlight w:val="none"/>
          <w:u w:val="single"/>
          <w:shd w:val="pct10" w:color="auto" w:fill="FFFFFF"/>
        </w:rPr>
      </w:pPr>
      <w:r>
        <w:rPr>
          <w:rFonts w:hint="eastAsia" w:hAnsi="宋体"/>
          <w:b/>
          <w:bCs/>
          <w:color w:val="auto"/>
          <w:sz w:val="24"/>
          <w:szCs w:val="24"/>
          <w:highlight w:val="none"/>
          <w:u w:val="single"/>
          <w:shd w:val="pct10" w:color="auto" w:fill="FFFFFF"/>
        </w:rPr>
        <w:t>根据《政府采购货物和服务招标投标管理办法》（财政部令第87号）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2"/>
        <w:spacing w:before="120" w:beforeLines="50" w:after="120" w:afterLines="50" w:line="400" w:lineRule="exact"/>
        <w:ind w:firstLine="466" w:firstLineChars="200"/>
        <w:rPr>
          <w:rFonts w:hint="eastAsia" w:hAnsi="宋体"/>
          <w:b/>
          <w:bCs/>
          <w:color w:val="auto"/>
          <w:sz w:val="24"/>
          <w:highlight w:val="none"/>
          <w:u w:val="single"/>
          <w:shd w:val="pct10" w:color="auto" w:fill="FFFFFF"/>
        </w:rPr>
      </w:pPr>
      <w:r>
        <w:rPr>
          <w:rFonts w:hint="eastAsia" w:hAnsi="宋体"/>
          <w:b/>
          <w:bCs/>
          <w:color w:val="auto"/>
          <w:sz w:val="24"/>
          <w:szCs w:val="24"/>
          <w:highlight w:val="none"/>
          <w:u w:val="single"/>
          <w:shd w:val="pct10" w:color="auto" w:fill="FFFFFF"/>
        </w:rPr>
        <w:t>如本采购项目有投标人的报价明显低于其他通过符合性审查投标人的报价，有可能影响产品质量或者不能诚信履约的，评标委员会应当要求该投标人在评标现场合理的时间内提供书面说明，必要时提交相关证明材料（货物类：</w:t>
      </w:r>
      <w:bookmarkStart w:id="57" w:name="_Hlk80007663"/>
      <w:r>
        <w:rPr>
          <w:rFonts w:hint="eastAsia" w:hAnsi="宋体"/>
          <w:b/>
          <w:bCs/>
          <w:color w:val="auto"/>
          <w:sz w:val="24"/>
          <w:szCs w:val="24"/>
          <w:highlight w:val="none"/>
          <w:u w:val="single"/>
          <w:shd w:val="pct10" w:color="auto" w:fill="FFFFFF"/>
        </w:rPr>
        <w:t>提供原与其他采购单位签订的采购项目合同，项目合同中的报价明细清单须包括本次主要采购设备，如一份采购项目合同中不能完全包括上述主要采购设备的，可以提供多份采购项目合同来完全包括上述主要采购设备。或者提供设备供应商的购置发票、购销合同等资料，购置发票、购销合同中的明细清单须包括本次主要采购设备，如一份购置发票、购销合同中不能完全包括上述主要采购设备的，可以提供多份购置发票、购销合同来完全包括上述主要采购设备的。</w:t>
      </w:r>
      <w:bookmarkEnd w:id="57"/>
      <w:r>
        <w:rPr>
          <w:rFonts w:hint="eastAsia" w:hAnsi="宋体"/>
          <w:b/>
          <w:bCs/>
          <w:color w:val="auto"/>
          <w:sz w:val="24"/>
          <w:highlight w:val="none"/>
          <w:u w:val="single"/>
          <w:shd w:val="pct10" w:color="auto" w:fill="FFFFFF"/>
        </w:rPr>
        <w:t>服务类：提供原与其他采购单位签订的包含本次主要采购服务内容的采购项目合同（如一份采购项目合同中不能完全包括本次主要采购服务内容的，可以提供多份采购合同来完全包含本次主要采购服务内容）及提供完成本次主要采购服务内容的报价测算清单等资料【测算清单资料包括但不限于项目实施团队在本项目服务期的人工工资（提供银行工资流水）、奖金（包括年终奖，提供银行工资流水）、个人及企业须缴纳的四险一金、物料费、维保期间费用、其他费用、税金、培训、服务、合同包含的所有风险责任等各项费用及不可预见费等所需的全部费用】。投标人如不能提供相关证明材料证明其报价合理性的，或未在评标现场合理的时间内提供相关证明材料的，评标委员会应当将其作为无效投标处理。</w:t>
      </w:r>
    </w:p>
    <w:p>
      <w:pPr>
        <w:spacing w:before="120" w:beforeLines="50" w:after="120" w:afterLines="50" w:line="400" w:lineRule="exact"/>
        <w:rPr>
          <w:rFonts w:hint="eastAsia" w:ascii="宋体" w:hAnsi="宋体"/>
          <w:b/>
          <w:color w:val="auto"/>
          <w:sz w:val="24"/>
          <w:highlight w:val="none"/>
        </w:rPr>
      </w:pPr>
      <w:r>
        <w:rPr>
          <w:rFonts w:hint="eastAsia" w:ascii="宋体" w:hAnsi="宋体"/>
          <w:b/>
          <w:bCs/>
          <w:color w:val="auto"/>
          <w:sz w:val="24"/>
          <w:highlight w:val="none"/>
        </w:rPr>
        <w:t>（二）商务</w:t>
      </w:r>
      <w:r>
        <w:rPr>
          <w:rFonts w:hint="eastAsia" w:ascii="宋体" w:hAnsi="宋体"/>
          <w:b/>
          <w:color w:val="auto"/>
          <w:sz w:val="24"/>
          <w:highlight w:val="none"/>
        </w:rPr>
        <w:t>技术分（</w:t>
      </w:r>
      <w:r>
        <w:rPr>
          <w:rFonts w:hint="eastAsia" w:ascii="宋体" w:hAnsi="宋体"/>
          <w:b/>
          <w:color w:val="auto"/>
          <w:sz w:val="24"/>
          <w:highlight w:val="none"/>
          <w:lang w:val="en-US" w:eastAsia="zh-CN"/>
        </w:rPr>
        <w:t>85</w:t>
      </w:r>
      <w:r>
        <w:rPr>
          <w:rFonts w:hint="eastAsia" w:ascii="宋体" w:hAnsi="宋体"/>
          <w:b/>
          <w:color w:val="auto"/>
          <w:sz w:val="24"/>
          <w:highlight w:val="none"/>
        </w:rPr>
        <w:t>分）</w:t>
      </w:r>
    </w:p>
    <w:p>
      <w:pPr>
        <w:spacing w:line="460" w:lineRule="exact"/>
        <w:ind w:firstLine="480" w:firstLineChars="200"/>
        <w:rPr>
          <w:rFonts w:hAnsi="宋体"/>
          <w:color w:val="auto"/>
          <w:sz w:val="24"/>
          <w:highlight w:val="none"/>
          <w:lang w:val="zh-CN"/>
        </w:rPr>
      </w:pPr>
      <w:r>
        <w:rPr>
          <w:rFonts w:hint="eastAsia" w:hAnsi="宋体"/>
          <w:color w:val="auto"/>
          <w:sz w:val="24"/>
          <w:highlight w:val="none"/>
          <w:lang w:val="zh-CN"/>
        </w:rPr>
        <w:t>评标委员会对通过符合性审查的投标人的投标技术参数或方案充分审核后，进行综合评定独立打分。</w:t>
      </w:r>
    </w:p>
    <w:tbl>
      <w:tblPr>
        <w:tblStyle w:val="50"/>
        <w:tblW w:w="9344"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13"/>
        <w:gridCol w:w="6083"/>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88" w:type="dxa"/>
            <w:noWrap w:val="0"/>
            <w:tcMar>
              <w:top w:w="108" w:type="dxa"/>
              <w:left w:w="108" w:type="dxa"/>
              <w:bottom w:w="108" w:type="dxa"/>
              <w:right w:w="108" w:type="dxa"/>
            </w:tcMar>
            <w:vAlign w:val="center"/>
          </w:tcPr>
          <w:p>
            <w:pPr>
              <w:ind w:left="-50"/>
              <w:rPr>
                <w:rFonts w:ascii="宋体" w:hAnsi="宋体"/>
                <w:snapToGrid w:val="0"/>
                <w:color w:val="auto"/>
                <w:sz w:val="24"/>
                <w:highlight w:val="none"/>
              </w:rPr>
            </w:pPr>
            <w:r>
              <w:rPr>
                <w:rFonts w:hint="eastAsia" w:ascii="宋体" w:hAnsi="宋体"/>
                <w:snapToGrid w:val="0"/>
                <w:color w:val="auto"/>
                <w:sz w:val="24"/>
                <w:highlight w:val="none"/>
              </w:rPr>
              <w:t>序号</w:t>
            </w:r>
          </w:p>
        </w:tc>
        <w:tc>
          <w:tcPr>
            <w:tcW w:w="7596" w:type="dxa"/>
            <w:gridSpan w:val="2"/>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r>
              <w:rPr>
                <w:rFonts w:hint="eastAsia" w:ascii="宋体" w:hAnsi="宋体"/>
                <w:snapToGrid w:val="0"/>
                <w:color w:val="auto"/>
                <w:sz w:val="24"/>
                <w:highlight w:val="none"/>
              </w:rPr>
              <w:t>评分内容</w:t>
            </w:r>
          </w:p>
        </w:tc>
        <w:tc>
          <w:tcPr>
            <w:tcW w:w="960" w:type="dxa"/>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r>
              <w:rPr>
                <w:rFonts w:hint="eastAsia" w:ascii="宋体" w:hAnsi="宋体"/>
                <w:snapToGrid w:val="0"/>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88" w:type="dxa"/>
            <w:noWrap w:val="0"/>
            <w:tcMar>
              <w:top w:w="108" w:type="dxa"/>
              <w:left w:w="108" w:type="dxa"/>
              <w:bottom w:w="108" w:type="dxa"/>
              <w:right w:w="108" w:type="dxa"/>
            </w:tcMar>
            <w:vAlign w:val="center"/>
          </w:tcPr>
          <w:p>
            <w:pPr>
              <w:ind w:left="-51"/>
              <w:jc w:val="center"/>
              <w:rPr>
                <w:rFonts w:ascii="宋体" w:hAnsi="宋体"/>
                <w:snapToGrid w:val="0"/>
                <w:color w:val="auto"/>
                <w:sz w:val="24"/>
                <w:highlight w:val="none"/>
              </w:rPr>
            </w:pPr>
            <w:r>
              <w:rPr>
                <w:rFonts w:hint="eastAsia" w:ascii="宋体" w:hAnsi="宋体"/>
                <w:snapToGrid w:val="0"/>
                <w:color w:val="auto"/>
                <w:sz w:val="24"/>
                <w:highlight w:val="none"/>
              </w:rPr>
              <w:t>1</w:t>
            </w:r>
          </w:p>
        </w:tc>
        <w:tc>
          <w:tcPr>
            <w:tcW w:w="1513"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投标人</w:t>
            </w:r>
          </w:p>
          <w:p>
            <w:pPr>
              <w:jc w:val="center"/>
              <w:rPr>
                <w:rFonts w:ascii="宋体" w:hAnsi="宋体"/>
                <w:snapToGrid w:val="0"/>
                <w:color w:val="auto"/>
                <w:sz w:val="24"/>
                <w:highlight w:val="none"/>
              </w:rPr>
            </w:pPr>
            <w:r>
              <w:rPr>
                <w:rFonts w:hint="eastAsia" w:ascii="宋体" w:hAnsi="宋体"/>
                <w:bCs/>
                <w:color w:val="auto"/>
                <w:sz w:val="24"/>
                <w:highlight w:val="none"/>
              </w:rPr>
              <w:t>经营情况</w:t>
            </w:r>
          </w:p>
        </w:tc>
        <w:tc>
          <w:tcPr>
            <w:tcW w:w="6083" w:type="dxa"/>
            <w:noWrap w:val="0"/>
            <w:tcMar>
              <w:top w:w="108" w:type="dxa"/>
              <w:left w:w="108" w:type="dxa"/>
              <w:bottom w:w="108" w:type="dxa"/>
              <w:right w:w="108" w:type="dxa"/>
            </w:tcMar>
            <w:vAlign w:val="center"/>
          </w:tcPr>
          <w:p>
            <w:pPr>
              <w:jc w:val="left"/>
              <w:rPr>
                <w:rFonts w:ascii="宋体" w:hAnsi="宋体"/>
                <w:snapToGrid w:val="0"/>
                <w:color w:val="auto"/>
                <w:sz w:val="24"/>
                <w:highlight w:val="none"/>
              </w:rPr>
            </w:pPr>
            <w:r>
              <w:rPr>
                <w:rFonts w:hint="eastAsia" w:ascii="宋体" w:hAnsi="宋体"/>
                <w:snapToGrid w:val="0"/>
                <w:color w:val="auto"/>
                <w:sz w:val="24"/>
                <w:highlight w:val="none"/>
              </w:rPr>
              <w:t>根据投标人企业经营情况、专业能力等由评标委员会综合评分。0-</w:t>
            </w:r>
            <w:r>
              <w:rPr>
                <w:rFonts w:ascii="宋体" w:hAnsi="宋体"/>
                <w:snapToGrid w:val="0"/>
                <w:color w:val="auto"/>
                <w:sz w:val="24"/>
                <w:highlight w:val="none"/>
              </w:rPr>
              <w:t>3</w:t>
            </w:r>
            <w:r>
              <w:rPr>
                <w:rFonts w:hint="eastAsia" w:ascii="宋体" w:hAnsi="宋体"/>
                <w:snapToGrid w:val="0"/>
                <w:color w:val="auto"/>
                <w:sz w:val="24"/>
                <w:highlight w:val="none"/>
              </w:rPr>
              <w:t>分</w:t>
            </w:r>
          </w:p>
        </w:tc>
        <w:tc>
          <w:tcPr>
            <w:tcW w:w="960"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ascii="宋体" w:hAnsi="宋体"/>
                <w:snapToGrid w:val="0"/>
                <w:color w:val="auto"/>
                <w:sz w:val="24"/>
                <w:highlight w:val="none"/>
              </w:rPr>
              <w:t>3</w:t>
            </w:r>
            <w:r>
              <w:rPr>
                <w:rFonts w:hint="eastAsia" w:ascii="宋体" w:hAnsi="宋体"/>
                <w:snapToGrid w:val="0"/>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88" w:type="dxa"/>
            <w:vMerge w:val="restart"/>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r>
              <w:rPr>
                <w:rFonts w:hint="eastAsia" w:ascii="宋体" w:hAnsi="宋体"/>
                <w:snapToGrid w:val="0"/>
                <w:color w:val="auto"/>
                <w:sz w:val="24"/>
                <w:highlight w:val="none"/>
              </w:rPr>
              <w:t>2</w:t>
            </w:r>
          </w:p>
        </w:tc>
        <w:tc>
          <w:tcPr>
            <w:tcW w:w="1513" w:type="dxa"/>
            <w:vMerge w:val="restart"/>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项目服</w:t>
            </w:r>
          </w:p>
          <w:p>
            <w:pPr>
              <w:jc w:val="center"/>
              <w:rPr>
                <w:rFonts w:ascii="宋体" w:hAnsi="宋体"/>
                <w:snapToGrid w:val="0"/>
                <w:color w:val="auto"/>
                <w:sz w:val="24"/>
                <w:highlight w:val="none"/>
              </w:rPr>
            </w:pPr>
            <w:r>
              <w:rPr>
                <w:rFonts w:hint="eastAsia" w:ascii="宋体" w:hAnsi="宋体"/>
                <w:snapToGrid w:val="0"/>
                <w:color w:val="auto"/>
                <w:sz w:val="24"/>
                <w:highlight w:val="none"/>
              </w:rPr>
              <w:t>务方案</w:t>
            </w:r>
          </w:p>
        </w:tc>
        <w:tc>
          <w:tcPr>
            <w:tcW w:w="6083" w:type="dxa"/>
            <w:noWrap w:val="0"/>
            <w:tcMar>
              <w:top w:w="108" w:type="dxa"/>
              <w:left w:w="108" w:type="dxa"/>
              <w:bottom w:w="108" w:type="dxa"/>
              <w:right w:w="108" w:type="dxa"/>
            </w:tcMar>
            <w:vAlign w:val="center"/>
          </w:tcPr>
          <w:p>
            <w:pPr>
              <w:jc w:val="left"/>
              <w:rPr>
                <w:rFonts w:ascii="宋体" w:hAnsi="宋体"/>
                <w:snapToGrid w:val="0"/>
                <w:color w:val="auto"/>
                <w:sz w:val="24"/>
                <w:highlight w:val="none"/>
              </w:rPr>
            </w:pPr>
            <w:r>
              <w:rPr>
                <w:rFonts w:hint="eastAsia" w:ascii="宋体" w:hAnsi="宋体"/>
                <w:snapToGrid w:val="0"/>
                <w:color w:val="auto"/>
                <w:sz w:val="24"/>
                <w:highlight w:val="none"/>
              </w:rPr>
              <w:t>根据各投标人食品质量控制方案、服务质量控制方案进行评分。</w:t>
            </w:r>
          </w:p>
          <w:p>
            <w:pPr>
              <w:jc w:val="left"/>
              <w:rPr>
                <w:rFonts w:ascii="宋体" w:hAnsi="宋体"/>
                <w:snapToGrid w:val="0"/>
                <w:color w:val="auto"/>
                <w:sz w:val="24"/>
                <w:highlight w:val="none"/>
              </w:rPr>
            </w:pPr>
            <w:r>
              <w:rPr>
                <w:rFonts w:ascii="宋体" w:hAnsi="宋体"/>
                <w:snapToGrid w:val="0"/>
                <w:color w:val="auto"/>
                <w:sz w:val="24"/>
                <w:highlight w:val="none"/>
              </w:rPr>
              <w:t>1</w:t>
            </w:r>
            <w:r>
              <w:rPr>
                <w:rFonts w:hint="eastAsia" w:ascii="宋体" w:hAnsi="宋体"/>
                <w:snapToGrid w:val="0"/>
                <w:color w:val="auto"/>
                <w:sz w:val="24"/>
                <w:highlight w:val="none"/>
              </w:rPr>
              <w:t>、食品质量控制方案(0-4分)</w:t>
            </w:r>
          </w:p>
          <w:p>
            <w:pPr>
              <w:jc w:val="left"/>
              <w:rPr>
                <w:rFonts w:hint="eastAsia" w:ascii="宋体" w:hAnsi="宋体"/>
                <w:snapToGrid w:val="0"/>
                <w:color w:val="auto"/>
                <w:sz w:val="24"/>
                <w:highlight w:val="none"/>
              </w:rPr>
            </w:pPr>
            <w:r>
              <w:rPr>
                <w:rFonts w:hint="eastAsia" w:ascii="宋体" w:hAnsi="宋体"/>
                <w:snapToGrid w:val="0"/>
                <w:color w:val="auto"/>
                <w:sz w:val="24"/>
                <w:highlight w:val="none"/>
              </w:rPr>
              <w:t>2、服务质量控制方案(0-4分)</w:t>
            </w:r>
          </w:p>
        </w:tc>
        <w:tc>
          <w:tcPr>
            <w:tcW w:w="960"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88" w:type="dxa"/>
            <w:vMerge w:val="continue"/>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p>
        </w:tc>
        <w:tc>
          <w:tcPr>
            <w:tcW w:w="1513" w:type="dxa"/>
            <w:vMerge w:val="continue"/>
            <w:noWrap w:val="0"/>
            <w:tcMar>
              <w:top w:w="108" w:type="dxa"/>
              <w:left w:w="108" w:type="dxa"/>
              <w:bottom w:w="108" w:type="dxa"/>
              <w:right w:w="108" w:type="dxa"/>
            </w:tcMar>
            <w:vAlign w:val="center"/>
          </w:tcPr>
          <w:p>
            <w:pPr>
              <w:ind w:right="3"/>
              <w:jc w:val="center"/>
              <w:rPr>
                <w:rFonts w:ascii="宋体" w:hAnsi="宋体"/>
                <w:bCs/>
                <w:color w:val="auto"/>
                <w:kern w:val="28"/>
                <w:sz w:val="24"/>
                <w:highlight w:val="none"/>
              </w:rPr>
            </w:pPr>
          </w:p>
        </w:tc>
        <w:tc>
          <w:tcPr>
            <w:tcW w:w="6083" w:type="dxa"/>
            <w:noWrap w:val="0"/>
            <w:tcMar>
              <w:top w:w="108" w:type="dxa"/>
              <w:left w:w="108" w:type="dxa"/>
              <w:bottom w:w="108" w:type="dxa"/>
              <w:right w:w="108" w:type="dxa"/>
            </w:tcMar>
            <w:vAlign w:val="center"/>
          </w:tcPr>
          <w:p>
            <w:pPr>
              <w:jc w:val="left"/>
              <w:rPr>
                <w:rFonts w:ascii="宋体" w:hAnsi="宋体"/>
                <w:snapToGrid w:val="0"/>
                <w:color w:val="auto"/>
                <w:sz w:val="24"/>
                <w:highlight w:val="none"/>
              </w:rPr>
            </w:pPr>
            <w:r>
              <w:rPr>
                <w:rFonts w:hint="eastAsia" w:ascii="宋体" w:hAnsi="宋体"/>
                <w:snapToGrid w:val="0"/>
                <w:color w:val="auto"/>
                <w:sz w:val="24"/>
                <w:highlight w:val="none"/>
              </w:rPr>
              <w:t>根据各投标人卫生管理控制方案(食品卫生、人员卫生、环境卫生，垃圾处理方案等)、餐厅环境管理方案进行评分。</w:t>
            </w:r>
          </w:p>
          <w:p>
            <w:pPr>
              <w:jc w:val="left"/>
              <w:rPr>
                <w:rFonts w:ascii="宋体" w:hAnsi="宋体"/>
                <w:snapToGrid w:val="0"/>
                <w:color w:val="auto"/>
                <w:sz w:val="24"/>
                <w:highlight w:val="none"/>
              </w:rPr>
            </w:pPr>
            <w:r>
              <w:rPr>
                <w:rFonts w:hint="eastAsia" w:ascii="宋体" w:hAnsi="宋体"/>
                <w:snapToGrid w:val="0"/>
                <w:color w:val="auto"/>
                <w:sz w:val="24"/>
                <w:highlight w:val="none"/>
              </w:rPr>
              <w:t>1、管理控制方案(食品卫生、人员卫生、环境卫生，垃圾处理方案等) (0-</w:t>
            </w:r>
            <w:r>
              <w:rPr>
                <w:rFonts w:ascii="宋体" w:hAnsi="宋体"/>
                <w:snapToGrid w:val="0"/>
                <w:color w:val="auto"/>
                <w:sz w:val="24"/>
                <w:highlight w:val="none"/>
              </w:rPr>
              <w:t>4</w:t>
            </w:r>
            <w:r>
              <w:rPr>
                <w:rFonts w:hint="eastAsia" w:ascii="宋体" w:hAnsi="宋体"/>
                <w:snapToGrid w:val="0"/>
                <w:color w:val="auto"/>
                <w:sz w:val="24"/>
                <w:highlight w:val="none"/>
              </w:rPr>
              <w:t>分)</w:t>
            </w:r>
          </w:p>
          <w:p>
            <w:pPr>
              <w:jc w:val="left"/>
              <w:rPr>
                <w:rFonts w:hint="eastAsia" w:ascii="宋体" w:hAnsi="宋体"/>
                <w:snapToGrid w:val="0"/>
                <w:color w:val="auto"/>
                <w:sz w:val="24"/>
                <w:highlight w:val="none"/>
              </w:rPr>
            </w:pPr>
            <w:r>
              <w:rPr>
                <w:rFonts w:ascii="宋体" w:hAnsi="宋体"/>
                <w:snapToGrid w:val="0"/>
                <w:color w:val="auto"/>
                <w:sz w:val="24"/>
                <w:highlight w:val="none"/>
              </w:rPr>
              <w:t>2</w:t>
            </w:r>
            <w:r>
              <w:rPr>
                <w:rFonts w:hint="eastAsia" w:ascii="宋体" w:hAnsi="宋体"/>
                <w:snapToGrid w:val="0"/>
                <w:color w:val="auto"/>
                <w:sz w:val="24"/>
                <w:highlight w:val="none"/>
              </w:rPr>
              <w:t>、餐厅环境管理方案(0-4分)</w:t>
            </w:r>
          </w:p>
        </w:tc>
        <w:tc>
          <w:tcPr>
            <w:tcW w:w="960"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88" w:type="dxa"/>
            <w:vMerge w:val="continue"/>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p>
        </w:tc>
        <w:tc>
          <w:tcPr>
            <w:tcW w:w="1513" w:type="dxa"/>
            <w:vMerge w:val="continue"/>
            <w:noWrap w:val="0"/>
            <w:tcMar>
              <w:top w:w="108" w:type="dxa"/>
              <w:left w:w="108" w:type="dxa"/>
              <w:bottom w:w="108" w:type="dxa"/>
              <w:right w:w="108" w:type="dxa"/>
            </w:tcMar>
            <w:vAlign w:val="center"/>
          </w:tcPr>
          <w:p>
            <w:pPr>
              <w:jc w:val="center"/>
              <w:rPr>
                <w:rFonts w:ascii="宋体" w:hAnsi="宋体"/>
                <w:snapToGrid w:val="0"/>
                <w:color w:val="auto"/>
                <w:sz w:val="24"/>
                <w:highlight w:val="none"/>
              </w:rPr>
            </w:pPr>
          </w:p>
        </w:tc>
        <w:tc>
          <w:tcPr>
            <w:tcW w:w="6083" w:type="dxa"/>
            <w:noWrap w:val="0"/>
            <w:tcMar>
              <w:top w:w="108" w:type="dxa"/>
              <w:left w:w="108" w:type="dxa"/>
              <w:bottom w:w="108" w:type="dxa"/>
              <w:right w:w="108" w:type="dxa"/>
            </w:tcMar>
            <w:vAlign w:val="center"/>
          </w:tcPr>
          <w:p>
            <w:pPr>
              <w:jc w:val="left"/>
              <w:rPr>
                <w:rFonts w:ascii="宋体" w:hAnsi="宋体"/>
                <w:snapToGrid w:val="0"/>
                <w:color w:val="auto"/>
                <w:sz w:val="24"/>
                <w:highlight w:val="none"/>
              </w:rPr>
            </w:pPr>
            <w:r>
              <w:rPr>
                <w:rFonts w:hint="eastAsia" w:ascii="宋体" w:hAnsi="宋体"/>
                <w:snapToGrid w:val="0"/>
                <w:color w:val="auto"/>
                <w:sz w:val="24"/>
                <w:highlight w:val="none"/>
              </w:rPr>
              <w:t>根据各投标人成本控制方案、操作规程控制管理方案、食品保存管理方案进行评分。</w:t>
            </w:r>
          </w:p>
          <w:p>
            <w:pPr>
              <w:jc w:val="left"/>
              <w:rPr>
                <w:rFonts w:ascii="宋体" w:hAnsi="宋体"/>
                <w:snapToGrid w:val="0"/>
                <w:color w:val="auto"/>
                <w:sz w:val="24"/>
                <w:highlight w:val="none"/>
              </w:rPr>
            </w:pPr>
            <w:r>
              <w:rPr>
                <w:rFonts w:hint="eastAsia" w:ascii="宋体" w:hAnsi="宋体"/>
                <w:snapToGrid w:val="0"/>
                <w:color w:val="auto"/>
                <w:sz w:val="24"/>
                <w:highlight w:val="none"/>
              </w:rPr>
              <w:t>1、成本控制方案(0-4分)</w:t>
            </w:r>
          </w:p>
          <w:p>
            <w:pPr>
              <w:jc w:val="left"/>
              <w:rPr>
                <w:rFonts w:ascii="宋体" w:hAnsi="宋体"/>
                <w:snapToGrid w:val="0"/>
                <w:color w:val="auto"/>
                <w:sz w:val="24"/>
                <w:highlight w:val="none"/>
              </w:rPr>
            </w:pPr>
            <w:r>
              <w:rPr>
                <w:rFonts w:hint="eastAsia" w:ascii="宋体" w:hAnsi="宋体"/>
                <w:snapToGrid w:val="0"/>
                <w:color w:val="auto"/>
                <w:sz w:val="24"/>
                <w:highlight w:val="none"/>
              </w:rPr>
              <w:t>2、操作规程控制管理方案(0-4分)</w:t>
            </w:r>
          </w:p>
          <w:p>
            <w:pPr>
              <w:jc w:val="left"/>
              <w:rPr>
                <w:rFonts w:hint="eastAsia" w:ascii="宋体" w:hAnsi="宋体"/>
                <w:snapToGrid w:val="0"/>
                <w:color w:val="auto"/>
                <w:sz w:val="24"/>
                <w:highlight w:val="none"/>
              </w:rPr>
            </w:pPr>
            <w:r>
              <w:rPr>
                <w:rFonts w:hint="eastAsia" w:ascii="宋体" w:hAnsi="宋体"/>
                <w:snapToGrid w:val="0"/>
                <w:color w:val="auto"/>
                <w:sz w:val="24"/>
                <w:highlight w:val="none"/>
              </w:rPr>
              <w:t>3、食品保存管理方案(0-4分)</w:t>
            </w:r>
          </w:p>
        </w:tc>
        <w:tc>
          <w:tcPr>
            <w:tcW w:w="960"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88" w:type="dxa"/>
            <w:vMerge w:val="continue"/>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p>
        </w:tc>
        <w:tc>
          <w:tcPr>
            <w:tcW w:w="1513" w:type="dxa"/>
            <w:vMerge w:val="continue"/>
            <w:noWrap w:val="0"/>
            <w:tcMar>
              <w:top w:w="108" w:type="dxa"/>
              <w:left w:w="108" w:type="dxa"/>
              <w:bottom w:w="108" w:type="dxa"/>
              <w:right w:w="108" w:type="dxa"/>
            </w:tcMar>
            <w:vAlign w:val="center"/>
          </w:tcPr>
          <w:p>
            <w:pPr>
              <w:jc w:val="center"/>
              <w:rPr>
                <w:rFonts w:ascii="宋体" w:hAnsi="宋体"/>
                <w:snapToGrid w:val="0"/>
                <w:color w:val="auto"/>
                <w:sz w:val="24"/>
                <w:highlight w:val="none"/>
              </w:rPr>
            </w:pPr>
          </w:p>
        </w:tc>
        <w:tc>
          <w:tcPr>
            <w:tcW w:w="6083" w:type="dxa"/>
            <w:noWrap w:val="0"/>
            <w:tcMar>
              <w:top w:w="108" w:type="dxa"/>
              <w:left w:w="108" w:type="dxa"/>
              <w:bottom w:w="108" w:type="dxa"/>
              <w:right w:w="108" w:type="dxa"/>
            </w:tcMar>
            <w:vAlign w:val="center"/>
          </w:tcPr>
          <w:p>
            <w:pPr>
              <w:jc w:val="left"/>
              <w:rPr>
                <w:rFonts w:ascii="宋体" w:hAnsi="宋体"/>
                <w:snapToGrid w:val="0"/>
                <w:color w:val="auto"/>
                <w:sz w:val="24"/>
                <w:highlight w:val="none"/>
              </w:rPr>
            </w:pPr>
            <w:r>
              <w:rPr>
                <w:rFonts w:hint="eastAsia" w:ascii="宋体" w:hAnsi="宋体"/>
                <w:snapToGrid w:val="0"/>
                <w:color w:val="auto"/>
                <w:sz w:val="24"/>
                <w:highlight w:val="none"/>
              </w:rPr>
              <w:t>根据各投标人投诉处理方案、消防、治安及意外事故处理方案进行评分。(0-</w:t>
            </w:r>
            <w:r>
              <w:rPr>
                <w:rFonts w:ascii="宋体" w:hAnsi="宋体"/>
                <w:snapToGrid w:val="0"/>
                <w:color w:val="auto"/>
                <w:sz w:val="24"/>
                <w:highlight w:val="none"/>
              </w:rPr>
              <w:t>3</w:t>
            </w:r>
            <w:r>
              <w:rPr>
                <w:rFonts w:hint="eastAsia" w:ascii="宋体" w:hAnsi="宋体"/>
                <w:snapToGrid w:val="0"/>
                <w:color w:val="auto"/>
                <w:sz w:val="24"/>
                <w:highlight w:val="none"/>
              </w:rPr>
              <w:t>分)</w:t>
            </w:r>
          </w:p>
        </w:tc>
        <w:tc>
          <w:tcPr>
            <w:tcW w:w="960"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ascii="宋体" w:hAnsi="宋体"/>
                <w:snapToGrid w:val="0"/>
                <w:color w:val="auto"/>
                <w:sz w:val="24"/>
                <w:highlight w:val="none"/>
              </w:rPr>
              <w:t>3</w:t>
            </w:r>
            <w:r>
              <w:rPr>
                <w:rFonts w:hint="eastAsia" w:ascii="宋体" w:hAnsi="宋体"/>
                <w:snapToGrid w:val="0"/>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88" w:type="dxa"/>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r>
              <w:rPr>
                <w:rFonts w:hint="eastAsia" w:ascii="宋体" w:hAnsi="宋体"/>
                <w:snapToGrid w:val="0"/>
                <w:color w:val="auto"/>
                <w:sz w:val="24"/>
                <w:highlight w:val="none"/>
              </w:rPr>
              <w:t>3</w:t>
            </w:r>
          </w:p>
        </w:tc>
        <w:tc>
          <w:tcPr>
            <w:tcW w:w="1513"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保障措施</w:t>
            </w:r>
          </w:p>
        </w:tc>
        <w:tc>
          <w:tcPr>
            <w:tcW w:w="6083" w:type="dxa"/>
            <w:noWrap w:val="0"/>
            <w:tcMar>
              <w:top w:w="108" w:type="dxa"/>
              <w:left w:w="108" w:type="dxa"/>
              <w:bottom w:w="108" w:type="dxa"/>
              <w:right w:w="108" w:type="dxa"/>
            </w:tcMar>
            <w:vAlign w:val="center"/>
          </w:tcPr>
          <w:p>
            <w:pPr>
              <w:jc w:val="left"/>
              <w:rPr>
                <w:rFonts w:hint="eastAsia" w:ascii="宋体" w:hAnsi="宋体"/>
                <w:snapToGrid w:val="0"/>
                <w:color w:val="auto"/>
                <w:sz w:val="24"/>
                <w:highlight w:val="none"/>
              </w:rPr>
            </w:pPr>
            <w:r>
              <w:rPr>
                <w:rFonts w:hint="eastAsia" w:ascii="宋体" w:hAnsi="宋体"/>
                <w:snapToGrid w:val="0"/>
                <w:color w:val="auto"/>
                <w:sz w:val="24"/>
                <w:highlight w:val="none"/>
              </w:rPr>
              <w:t>1、对本项目的各项任务实施的保障措施情况进行评分。(0-</w:t>
            </w:r>
            <w:r>
              <w:rPr>
                <w:rFonts w:ascii="宋体" w:hAnsi="宋体"/>
                <w:snapToGrid w:val="0"/>
                <w:color w:val="auto"/>
                <w:sz w:val="24"/>
                <w:highlight w:val="none"/>
              </w:rPr>
              <w:t>3</w:t>
            </w:r>
            <w:r>
              <w:rPr>
                <w:rFonts w:hint="eastAsia" w:ascii="宋体" w:hAnsi="宋体"/>
                <w:snapToGrid w:val="0"/>
                <w:color w:val="auto"/>
                <w:sz w:val="24"/>
                <w:highlight w:val="none"/>
              </w:rPr>
              <w:t>分)</w:t>
            </w:r>
          </w:p>
          <w:p>
            <w:pPr>
              <w:jc w:val="left"/>
              <w:rPr>
                <w:rFonts w:ascii="宋体" w:hAnsi="宋体"/>
                <w:color w:val="auto"/>
                <w:kern w:val="0"/>
                <w:sz w:val="22"/>
                <w:highlight w:val="none"/>
              </w:rPr>
            </w:pPr>
            <w:r>
              <w:rPr>
                <w:rFonts w:hint="eastAsia" w:ascii="宋体" w:hAnsi="宋体"/>
                <w:color w:val="auto"/>
                <w:kern w:val="0"/>
                <w:sz w:val="22"/>
                <w:highlight w:val="none"/>
              </w:rPr>
              <w:t>2、</w:t>
            </w:r>
            <w:r>
              <w:rPr>
                <w:rFonts w:hint="eastAsia" w:ascii="宋体" w:hAnsi="宋体"/>
                <w:snapToGrid w:val="0"/>
                <w:color w:val="auto"/>
                <w:sz w:val="24"/>
                <w:highlight w:val="none"/>
              </w:rPr>
              <w:t>根据投标人制定的各类突发事件处理方案的可行性、合理性、科学性进行评分。(0-</w:t>
            </w:r>
            <w:r>
              <w:rPr>
                <w:rFonts w:ascii="宋体" w:hAnsi="宋体"/>
                <w:snapToGrid w:val="0"/>
                <w:color w:val="auto"/>
                <w:sz w:val="24"/>
                <w:highlight w:val="none"/>
              </w:rPr>
              <w:t>3</w:t>
            </w:r>
            <w:r>
              <w:rPr>
                <w:rFonts w:hint="eastAsia" w:ascii="宋体" w:hAnsi="宋体"/>
                <w:snapToGrid w:val="0"/>
                <w:color w:val="auto"/>
                <w:sz w:val="24"/>
                <w:highlight w:val="none"/>
              </w:rPr>
              <w:t>分)</w:t>
            </w:r>
          </w:p>
        </w:tc>
        <w:tc>
          <w:tcPr>
            <w:tcW w:w="960"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ascii="宋体" w:hAnsi="宋体"/>
                <w:snapToGrid w:val="0"/>
                <w:color w:val="auto"/>
                <w:sz w:val="24"/>
                <w:highlight w:val="none"/>
              </w:rPr>
              <w:t>6</w:t>
            </w:r>
            <w:r>
              <w:rPr>
                <w:rFonts w:hint="eastAsia" w:ascii="宋体" w:hAnsi="宋体"/>
                <w:snapToGrid w:val="0"/>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88" w:type="dxa"/>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r>
              <w:rPr>
                <w:rFonts w:hint="eastAsia" w:ascii="宋体" w:hAnsi="宋体"/>
                <w:snapToGrid w:val="0"/>
                <w:color w:val="auto"/>
                <w:sz w:val="24"/>
                <w:highlight w:val="none"/>
              </w:rPr>
              <w:t>4</w:t>
            </w:r>
          </w:p>
        </w:tc>
        <w:tc>
          <w:tcPr>
            <w:tcW w:w="1513"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菜品营养</w:t>
            </w:r>
          </w:p>
          <w:p>
            <w:pPr>
              <w:jc w:val="center"/>
              <w:rPr>
                <w:rFonts w:ascii="宋体" w:hAnsi="宋体"/>
                <w:snapToGrid w:val="0"/>
                <w:color w:val="auto"/>
                <w:sz w:val="24"/>
                <w:highlight w:val="none"/>
              </w:rPr>
            </w:pPr>
            <w:r>
              <w:rPr>
                <w:rFonts w:hint="eastAsia" w:ascii="宋体" w:hAnsi="宋体"/>
                <w:snapToGrid w:val="0"/>
                <w:color w:val="auto"/>
                <w:sz w:val="24"/>
                <w:highlight w:val="none"/>
              </w:rPr>
              <w:t>搭配</w:t>
            </w:r>
          </w:p>
        </w:tc>
        <w:tc>
          <w:tcPr>
            <w:tcW w:w="6083" w:type="dxa"/>
            <w:noWrap w:val="0"/>
            <w:tcMar>
              <w:top w:w="108" w:type="dxa"/>
              <w:left w:w="108" w:type="dxa"/>
              <w:bottom w:w="108" w:type="dxa"/>
              <w:right w:w="108" w:type="dxa"/>
            </w:tcMar>
            <w:vAlign w:val="center"/>
          </w:tcPr>
          <w:p>
            <w:pPr>
              <w:jc w:val="left"/>
              <w:rPr>
                <w:rFonts w:ascii="宋体" w:hAnsi="宋体"/>
                <w:snapToGrid w:val="0"/>
                <w:color w:val="auto"/>
                <w:sz w:val="24"/>
                <w:highlight w:val="none"/>
              </w:rPr>
            </w:pPr>
            <w:r>
              <w:rPr>
                <w:rFonts w:hint="eastAsia" w:ascii="宋体" w:hAnsi="宋体"/>
                <w:snapToGrid w:val="0"/>
                <w:color w:val="auto"/>
                <w:sz w:val="24"/>
                <w:highlight w:val="none"/>
              </w:rPr>
              <w:t>按招标文件要求和标准，列出一周早中晚菜单，中餐作营养配比说明。根据菜肴营养搭配、品种、荤素搭配等情况综合评分；</w:t>
            </w:r>
          </w:p>
          <w:p>
            <w:pPr>
              <w:jc w:val="left"/>
              <w:rPr>
                <w:rFonts w:ascii="宋体" w:hAnsi="宋体"/>
                <w:snapToGrid w:val="0"/>
                <w:color w:val="auto"/>
                <w:sz w:val="24"/>
                <w:highlight w:val="none"/>
              </w:rPr>
            </w:pPr>
            <w:r>
              <w:rPr>
                <w:rFonts w:hint="eastAsia" w:ascii="宋体" w:hAnsi="宋体"/>
                <w:snapToGrid w:val="0"/>
                <w:color w:val="auto"/>
                <w:sz w:val="24"/>
                <w:highlight w:val="none"/>
              </w:rPr>
              <w:t>1、根据菜肴营养搭配情况评分；（0-4分）</w:t>
            </w:r>
          </w:p>
          <w:p>
            <w:pPr>
              <w:jc w:val="left"/>
              <w:rPr>
                <w:rFonts w:ascii="宋体" w:hAnsi="宋体"/>
                <w:snapToGrid w:val="0"/>
                <w:color w:val="auto"/>
                <w:sz w:val="24"/>
                <w:highlight w:val="none"/>
              </w:rPr>
            </w:pPr>
            <w:r>
              <w:rPr>
                <w:rFonts w:hint="eastAsia" w:ascii="宋体" w:hAnsi="宋体"/>
                <w:snapToGrid w:val="0"/>
                <w:color w:val="auto"/>
                <w:sz w:val="24"/>
                <w:highlight w:val="none"/>
              </w:rPr>
              <w:t>2、根据菜肴品种情况评分；（0-4分）</w:t>
            </w:r>
          </w:p>
          <w:p>
            <w:pPr>
              <w:jc w:val="left"/>
              <w:rPr>
                <w:rFonts w:ascii="宋体" w:hAnsi="宋体"/>
                <w:snapToGrid w:val="0"/>
                <w:color w:val="auto"/>
                <w:sz w:val="24"/>
                <w:highlight w:val="none"/>
              </w:rPr>
            </w:pPr>
            <w:r>
              <w:rPr>
                <w:rFonts w:hint="eastAsia" w:ascii="宋体" w:hAnsi="宋体"/>
                <w:snapToGrid w:val="0"/>
                <w:color w:val="auto"/>
                <w:sz w:val="24"/>
                <w:highlight w:val="none"/>
              </w:rPr>
              <w:t>3、根据菜肴荤素搭配情况评分；（0-4分）</w:t>
            </w:r>
          </w:p>
        </w:tc>
        <w:tc>
          <w:tcPr>
            <w:tcW w:w="960"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trPr>
        <w:tc>
          <w:tcPr>
            <w:tcW w:w="788" w:type="dxa"/>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r>
              <w:rPr>
                <w:rFonts w:hint="eastAsia" w:ascii="宋体" w:hAnsi="宋体"/>
                <w:snapToGrid w:val="0"/>
                <w:color w:val="auto"/>
                <w:sz w:val="24"/>
                <w:highlight w:val="none"/>
              </w:rPr>
              <w:t>5</w:t>
            </w:r>
          </w:p>
        </w:tc>
        <w:tc>
          <w:tcPr>
            <w:tcW w:w="1513"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项目实施人员配置计划</w:t>
            </w:r>
          </w:p>
        </w:tc>
        <w:tc>
          <w:tcPr>
            <w:tcW w:w="6083" w:type="dxa"/>
            <w:noWrap w:val="0"/>
            <w:tcMar>
              <w:top w:w="108" w:type="dxa"/>
              <w:left w:w="108" w:type="dxa"/>
              <w:bottom w:w="108" w:type="dxa"/>
              <w:right w:w="108" w:type="dxa"/>
            </w:tcMar>
            <w:vAlign w:val="center"/>
          </w:tcPr>
          <w:p>
            <w:pPr>
              <w:jc w:val="left"/>
              <w:rPr>
                <w:rFonts w:ascii="宋体" w:hAnsi="宋体"/>
                <w:snapToGrid w:val="0"/>
                <w:color w:val="auto"/>
                <w:sz w:val="24"/>
                <w:highlight w:val="none"/>
              </w:rPr>
            </w:pPr>
            <w:r>
              <w:rPr>
                <w:rFonts w:hint="eastAsia" w:ascii="宋体" w:hAnsi="宋体"/>
                <w:snapToGrid w:val="0"/>
                <w:color w:val="auto"/>
                <w:sz w:val="24"/>
                <w:highlight w:val="none"/>
              </w:rPr>
              <w:t>根据项目实施人员配置计划等情况评分；</w:t>
            </w:r>
          </w:p>
          <w:p>
            <w:pPr>
              <w:jc w:val="left"/>
              <w:rPr>
                <w:rFonts w:ascii="宋体" w:hAnsi="宋体"/>
                <w:snapToGrid w:val="0"/>
                <w:color w:val="auto"/>
                <w:sz w:val="24"/>
                <w:highlight w:val="none"/>
              </w:rPr>
            </w:pPr>
            <w:r>
              <w:rPr>
                <w:rFonts w:hint="eastAsia" w:ascii="宋体" w:hAnsi="宋体"/>
                <w:snapToGrid w:val="0"/>
                <w:color w:val="auto"/>
                <w:sz w:val="24"/>
                <w:highlight w:val="none"/>
              </w:rPr>
              <w:t>1、厨师长具有高级技师（国家职业资格一级）厨师长的得4分，具有技师（国家职业资格二级）厨师证的得3分，具有高级（国家职业资格三级）厨师证的得2分。</w:t>
            </w:r>
          </w:p>
          <w:p>
            <w:pPr>
              <w:jc w:val="left"/>
              <w:rPr>
                <w:rFonts w:ascii="宋体" w:hAnsi="宋体"/>
                <w:snapToGrid w:val="0"/>
                <w:color w:val="auto"/>
                <w:sz w:val="24"/>
                <w:highlight w:val="none"/>
              </w:rPr>
            </w:pPr>
            <w:r>
              <w:rPr>
                <w:rFonts w:hint="eastAsia" w:ascii="宋体" w:hAnsi="宋体"/>
                <w:snapToGrid w:val="0"/>
                <w:color w:val="auto"/>
                <w:sz w:val="24"/>
                <w:highlight w:val="none"/>
              </w:rPr>
              <w:t>2、项目</w:t>
            </w:r>
            <w:r>
              <w:rPr>
                <w:rFonts w:hint="eastAsia" w:ascii="宋体" w:hAnsi="宋体"/>
                <w:snapToGrid w:val="0"/>
                <w:color w:val="auto"/>
                <w:sz w:val="24"/>
                <w:highlight w:val="none"/>
                <w:lang w:val="en-US" w:eastAsia="zh-CN"/>
              </w:rPr>
              <w:t>负责人</w:t>
            </w:r>
            <w:r>
              <w:rPr>
                <w:rFonts w:hint="eastAsia" w:ascii="宋体" w:hAnsi="宋体"/>
                <w:snapToGrid w:val="0"/>
                <w:color w:val="auto"/>
                <w:sz w:val="24"/>
                <w:highlight w:val="none"/>
              </w:rPr>
              <w:t>具有高级餐饮职业经理人证的得3分；</w:t>
            </w:r>
          </w:p>
          <w:p>
            <w:pPr>
              <w:jc w:val="left"/>
              <w:rPr>
                <w:rFonts w:ascii="宋体" w:hAnsi="宋体"/>
                <w:snapToGrid w:val="0"/>
                <w:color w:val="auto"/>
                <w:sz w:val="24"/>
                <w:highlight w:val="none"/>
              </w:rPr>
            </w:pPr>
            <w:r>
              <w:rPr>
                <w:rFonts w:hint="eastAsia" w:ascii="宋体" w:hAnsi="宋体"/>
                <w:snapToGrid w:val="0"/>
                <w:color w:val="auto"/>
                <w:sz w:val="24"/>
                <w:highlight w:val="none"/>
              </w:rPr>
              <w:t>3、项目</w:t>
            </w:r>
            <w:r>
              <w:rPr>
                <w:rFonts w:hint="eastAsia" w:ascii="宋体" w:hAnsi="宋体"/>
                <w:snapToGrid w:val="0"/>
                <w:color w:val="auto"/>
                <w:sz w:val="24"/>
                <w:highlight w:val="none"/>
                <w:lang w:val="en-US" w:eastAsia="zh-CN"/>
              </w:rPr>
              <w:t>负责人</w:t>
            </w:r>
            <w:r>
              <w:rPr>
                <w:rFonts w:hint="eastAsia" w:ascii="宋体" w:hAnsi="宋体"/>
                <w:snapToGrid w:val="0"/>
                <w:color w:val="auto"/>
                <w:sz w:val="24"/>
                <w:highlight w:val="none"/>
              </w:rPr>
              <w:t>具有食品安全管理员证的得3分</w:t>
            </w:r>
          </w:p>
          <w:p>
            <w:pPr>
              <w:jc w:val="left"/>
              <w:rPr>
                <w:rFonts w:ascii="宋体" w:hAnsi="宋体"/>
                <w:snapToGrid w:val="0"/>
                <w:color w:val="auto"/>
                <w:sz w:val="24"/>
                <w:highlight w:val="none"/>
              </w:rPr>
            </w:pPr>
            <w:r>
              <w:rPr>
                <w:rFonts w:hint="eastAsia" w:ascii="宋体" w:hAnsi="宋体"/>
                <w:snapToGrid w:val="0"/>
                <w:color w:val="auto"/>
                <w:sz w:val="24"/>
                <w:highlight w:val="none"/>
              </w:rPr>
              <w:t>4、项目实施人员中具有营养师证的得3分。</w:t>
            </w:r>
          </w:p>
          <w:p>
            <w:pPr>
              <w:jc w:val="left"/>
              <w:rPr>
                <w:rFonts w:ascii="宋体" w:hAnsi="宋体"/>
                <w:snapToGrid w:val="0"/>
                <w:color w:val="auto"/>
                <w:sz w:val="24"/>
                <w:highlight w:val="none"/>
              </w:rPr>
            </w:pPr>
            <w:r>
              <w:rPr>
                <w:rFonts w:hint="eastAsia" w:ascii="宋体" w:hAnsi="宋体"/>
                <w:snapToGrid w:val="0"/>
                <w:color w:val="auto"/>
                <w:sz w:val="24"/>
                <w:highlight w:val="none"/>
              </w:rPr>
              <w:t>5、项目实施人员中具有面点师证的得3分。</w:t>
            </w:r>
          </w:p>
          <w:p>
            <w:pPr>
              <w:jc w:val="left"/>
              <w:rPr>
                <w:rFonts w:ascii="宋体" w:hAnsi="宋体"/>
                <w:snapToGrid w:val="0"/>
                <w:color w:val="auto"/>
                <w:sz w:val="24"/>
                <w:highlight w:val="none"/>
              </w:rPr>
            </w:pPr>
            <w:r>
              <w:rPr>
                <w:rFonts w:hint="eastAsia" w:ascii="宋体" w:hAnsi="宋体"/>
                <w:snapToGrid w:val="0"/>
                <w:color w:val="auto"/>
                <w:sz w:val="24"/>
                <w:highlight w:val="none"/>
              </w:rPr>
              <w:t>（投标文件中附相关证明资料复印件加盖投标人公章，并提供以上人员在本单位缴纳近三个月的社保证明）</w:t>
            </w:r>
          </w:p>
          <w:p>
            <w:pPr>
              <w:pStyle w:val="398"/>
              <w:spacing w:before="0" w:after="0" w:line="360" w:lineRule="auto"/>
              <w:rPr>
                <w:color w:val="auto"/>
                <w:highlight w:val="none"/>
              </w:rPr>
            </w:pPr>
            <w:r>
              <w:rPr>
                <w:rFonts w:hint="eastAsia" w:ascii="宋体" w:hAnsi="宋体"/>
                <w:snapToGrid w:val="0"/>
                <w:color w:val="auto"/>
                <w:sz w:val="24"/>
                <w:highlight w:val="none"/>
              </w:rPr>
              <w:t>（中标后三个工作日内提供原件核对）</w:t>
            </w:r>
          </w:p>
        </w:tc>
        <w:tc>
          <w:tcPr>
            <w:tcW w:w="960" w:type="dxa"/>
            <w:noWrap w:val="0"/>
            <w:tcMar>
              <w:top w:w="108" w:type="dxa"/>
              <w:left w:w="108" w:type="dxa"/>
              <w:bottom w:w="108" w:type="dxa"/>
              <w:right w:w="108" w:type="dxa"/>
            </w:tcMar>
            <w:vAlign w:val="center"/>
          </w:tcPr>
          <w:p>
            <w:pPr>
              <w:jc w:val="center"/>
              <w:rPr>
                <w:rFonts w:ascii="宋体" w:hAnsi="宋体"/>
                <w:strike/>
                <w:snapToGrid w:val="0"/>
                <w:color w:val="auto"/>
                <w:sz w:val="24"/>
                <w:highlight w:val="none"/>
              </w:rPr>
            </w:pPr>
            <w:r>
              <w:rPr>
                <w:rFonts w:hint="eastAsia" w:ascii="宋体" w:hAnsi="宋体"/>
                <w:snapToGrid w:val="0"/>
                <w:color w:val="auto"/>
                <w:sz w:val="24"/>
                <w:highlight w:val="none"/>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88" w:type="dxa"/>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r>
              <w:rPr>
                <w:rFonts w:hint="eastAsia" w:ascii="宋体" w:hAnsi="宋体"/>
                <w:snapToGrid w:val="0"/>
                <w:color w:val="auto"/>
                <w:sz w:val="24"/>
                <w:highlight w:val="none"/>
              </w:rPr>
              <w:t>6</w:t>
            </w:r>
          </w:p>
        </w:tc>
        <w:tc>
          <w:tcPr>
            <w:tcW w:w="1513"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投标人</w:t>
            </w:r>
          </w:p>
          <w:p>
            <w:pPr>
              <w:jc w:val="center"/>
              <w:rPr>
                <w:rFonts w:ascii="宋体" w:hAnsi="宋体"/>
                <w:snapToGrid w:val="0"/>
                <w:color w:val="auto"/>
                <w:sz w:val="24"/>
                <w:highlight w:val="none"/>
              </w:rPr>
            </w:pPr>
            <w:r>
              <w:rPr>
                <w:rFonts w:hint="eastAsia" w:ascii="宋体" w:hAnsi="宋体"/>
                <w:snapToGrid w:val="0"/>
                <w:color w:val="auto"/>
                <w:sz w:val="24"/>
                <w:highlight w:val="none"/>
              </w:rPr>
              <w:t>综合实力</w:t>
            </w:r>
          </w:p>
        </w:tc>
        <w:tc>
          <w:tcPr>
            <w:tcW w:w="6083" w:type="dxa"/>
            <w:noWrap w:val="0"/>
            <w:tcMar>
              <w:top w:w="108" w:type="dxa"/>
              <w:left w:w="108" w:type="dxa"/>
              <w:bottom w:w="108" w:type="dxa"/>
              <w:right w:w="108" w:type="dxa"/>
            </w:tcMar>
            <w:vAlign w:val="center"/>
          </w:tcPr>
          <w:p>
            <w:pPr>
              <w:jc w:val="left"/>
              <w:rPr>
                <w:rFonts w:ascii="宋体" w:hAnsi="宋体"/>
                <w:snapToGrid w:val="0"/>
                <w:color w:val="auto"/>
                <w:sz w:val="24"/>
                <w:highlight w:val="none"/>
              </w:rPr>
            </w:pPr>
            <w:r>
              <w:rPr>
                <w:rFonts w:hint="eastAsia" w:ascii="宋体" w:hAnsi="宋体"/>
                <w:snapToGrid w:val="0"/>
                <w:color w:val="auto"/>
                <w:sz w:val="24"/>
                <w:highlight w:val="none"/>
              </w:rPr>
              <w:t>1、投标人具有ISO9001质量管理体系认证证书的得1分；</w:t>
            </w:r>
          </w:p>
          <w:p>
            <w:pPr>
              <w:jc w:val="left"/>
              <w:rPr>
                <w:rFonts w:ascii="宋体" w:hAnsi="宋体"/>
                <w:snapToGrid w:val="0"/>
                <w:color w:val="auto"/>
                <w:sz w:val="24"/>
                <w:highlight w:val="none"/>
              </w:rPr>
            </w:pPr>
            <w:r>
              <w:rPr>
                <w:rFonts w:hint="eastAsia" w:ascii="宋体" w:hAnsi="宋体"/>
                <w:snapToGrid w:val="0"/>
                <w:color w:val="auto"/>
                <w:sz w:val="24"/>
                <w:highlight w:val="none"/>
              </w:rPr>
              <w:t>2、投标人具有ISO45001职业健康安全管理体系认证证书的的1分；</w:t>
            </w:r>
          </w:p>
          <w:p>
            <w:pPr>
              <w:jc w:val="left"/>
              <w:rPr>
                <w:rFonts w:ascii="宋体" w:hAnsi="宋体"/>
                <w:snapToGrid w:val="0"/>
                <w:color w:val="auto"/>
                <w:sz w:val="24"/>
                <w:highlight w:val="none"/>
              </w:rPr>
            </w:pPr>
            <w:r>
              <w:rPr>
                <w:rFonts w:hint="eastAsia" w:ascii="宋体" w:hAnsi="宋体"/>
                <w:snapToGrid w:val="0"/>
                <w:color w:val="auto"/>
                <w:sz w:val="24"/>
                <w:highlight w:val="none"/>
              </w:rPr>
              <w:t>3、投标人具有ISO22000食品安全管理体系认证证书的得</w:t>
            </w:r>
            <w:r>
              <w:rPr>
                <w:rFonts w:hint="eastAsia" w:ascii="宋体" w:hAnsi="宋体"/>
                <w:snapToGrid w:val="0"/>
                <w:color w:val="auto"/>
                <w:sz w:val="24"/>
                <w:highlight w:val="none"/>
                <w:lang w:val="en-US" w:eastAsia="zh-CN"/>
              </w:rPr>
              <w:t>1</w:t>
            </w:r>
            <w:r>
              <w:rPr>
                <w:rFonts w:hint="eastAsia" w:ascii="宋体" w:hAnsi="宋体"/>
                <w:snapToGrid w:val="0"/>
                <w:color w:val="auto"/>
                <w:sz w:val="24"/>
                <w:highlight w:val="none"/>
              </w:rPr>
              <w:t>分；</w:t>
            </w:r>
          </w:p>
          <w:p>
            <w:pPr>
              <w:jc w:val="left"/>
              <w:rPr>
                <w:rFonts w:ascii="宋体" w:hAnsi="宋体"/>
                <w:snapToGrid w:val="0"/>
                <w:color w:val="auto"/>
                <w:sz w:val="24"/>
                <w:highlight w:val="none"/>
              </w:rPr>
            </w:pPr>
            <w:r>
              <w:rPr>
                <w:rFonts w:hint="eastAsia" w:ascii="宋体" w:hAnsi="宋体"/>
                <w:snapToGrid w:val="0"/>
                <w:color w:val="auto"/>
                <w:sz w:val="24"/>
                <w:highlight w:val="none"/>
              </w:rPr>
              <w:t>4、投标人具有ISO14001环境管理体系认证证书的得1分；</w:t>
            </w:r>
          </w:p>
          <w:p>
            <w:pPr>
              <w:jc w:val="left"/>
              <w:rPr>
                <w:rFonts w:ascii="宋体" w:hAnsi="宋体"/>
                <w:snapToGrid w:val="0"/>
                <w:color w:val="auto"/>
                <w:sz w:val="24"/>
                <w:highlight w:val="none"/>
              </w:rPr>
            </w:pPr>
            <w:r>
              <w:rPr>
                <w:rFonts w:hint="eastAsia" w:ascii="宋体" w:hAnsi="宋体"/>
                <w:snapToGrid w:val="0"/>
                <w:color w:val="auto"/>
                <w:sz w:val="24"/>
                <w:highlight w:val="none"/>
              </w:rPr>
              <w:t>5、投标人具有节约型餐饮服务认证证书的得2分。</w:t>
            </w:r>
          </w:p>
          <w:p>
            <w:pPr>
              <w:jc w:val="left"/>
              <w:rPr>
                <w:rFonts w:ascii="宋体" w:hAnsi="宋体"/>
                <w:snapToGrid w:val="0"/>
                <w:color w:val="auto"/>
                <w:sz w:val="24"/>
                <w:highlight w:val="none"/>
              </w:rPr>
            </w:pPr>
            <w:r>
              <w:rPr>
                <w:rFonts w:hint="eastAsia" w:ascii="宋体" w:hAnsi="宋体"/>
                <w:snapToGrid w:val="0"/>
                <w:color w:val="auto"/>
                <w:sz w:val="24"/>
                <w:highlight w:val="none"/>
              </w:rPr>
              <w:t>注：商务技术文件中须提供以上证书原件彩色清晰扫描件及国家认证认可监督管理委员会网站（网址：</w:t>
            </w:r>
            <w:r>
              <w:rPr>
                <w:rFonts w:hint="eastAsia" w:ascii="宋体" w:hAnsi="宋体"/>
                <w:snapToGrid w:val="0"/>
                <w:color w:val="auto"/>
                <w:sz w:val="24"/>
                <w:highlight w:val="none"/>
              </w:rPr>
              <w:fldChar w:fldCharType="begin"/>
            </w:r>
            <w:r>
              <w:rPr>
                <w:rFonts w:hint="eastAsia" w:ascii="宋体" w:hAnsi="宋体"/>
                <w:snapToGrid w:val="0"/>
                <w:color w:val="auto"/>
                <w:sz w:val="24"/>
                <w:highlight w:val="none"/>
              </w:rPr>
              <w:instrText xml:space="preserve"> HYPERLINK "http://www.cnca.cn/）上的查询截图并加盖单位公章，并现场提供原件备查，否则不得分。" </w:instrText>
            </w:r>
            <w:r>
              <w:rPr>
                <w:rFonts w:hint="eastAsia" w:ascii="宋体" w:hAnsi="宋体"/>
                <w:snapToGrid w:val="0"/>
                <w:color w:val="auto"/>
                <w:sz w:val="24"/>
                <w:highlight w:val="none"/>
              </w:rPr>
              <w:fldChar w:fldCharType="separate"/>
            </w:r>
            <w:r>
              <w:rPr>
                <w:rFonts w:hint="eastAsia" w:ascii="宋体" w:hAnsi="宋体"/>
                <w:snapToGrid w:val="0"/>
                <w:color w:val="auto"/>
                <w:sz w:val="24"/>
                <w:highlight w:val="none"/>
              </w:rPr>
              <w:t>http://www.cnca.cn/）上的查询截图加盖单位公章，否则不得分。</w:t>
            </w:r>
            <w:r>
              <w:rPr>
                <w:rFonts w:hint="eastAsia" w:ascii="宋体" w:hAnsi="宋体"/>
                <w:snapToGrid w:val="0"/>
                <w:color w:val="auto"/>
                <w:sz w:val="24"/>
                <w:highlight w:val="none"/>
              </w:rPr>
              <w:fldChar w:fldCharType="end"/>
            </w:r>
          </w:p>
          <w:p>
            <w:pPr>
              <w:jc w:val="left"/>
              <w:rPr>
                <w:rFonts w:ascii="宋体" w:hAnsi="宋体"/>
                <w:snapToGrid w:val="0"/>
                <w:color w:val="auto"/>
                <w:sz w:val="24"/>
                <w:highlight w:val="none"/>
              </w:rPr>
            </w:pPr>
            <w:r>
              <w:rPr>
                <w:rFonts w:hint="eastAsia" w:ascii="宋体" w:hAnsi="宋体"/>
                <w:snapToGrid w:val="0"/>
                <w:color w:val="auto"/>
                <w:sz w:val="24"/>
                <w:highlight w:val="none"/>
              </w:rPr>
              <w:t>（中标后三个工作日内提供原件核对）</w:t>
            </w:r>
          </w:p>
        </w:tc>
        <w:tc>
          <w:tcPr>
            <w:tcW w:w="960"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lang w:val="en-US" w:eastAsia="zh-CN"/>
              </w:rPr>
              <w:t>6</w:t>
            </w:r>
            <w:r>
              <w:rPr>
                <w:rFonts w:hint="eastAsia" w:ascii="宋体" w:hAnsi="宋体"/>
                <w:snapToGrid w:val="0"/>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88" w:type="dxa"/>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r>
              <w:rPr>
                <w:rFonts w:hint="eastAsia" w:ascii="宋体" w:hAnsi="宋体"/>
                <w:snapToGrid w:val="0"/>
                <w:color w:val="auto"/>
                <w:sz w:val="24"/>
                <w:highlight w:val="none"/>
              </w:rPr>
              <w:t>7</w:t>
            </w:r>
          </w:p>
        </w:tc>
        <w:tc>
          <w:tcPr>
            <w:tcW w:w="1513"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所承包过</w:t>
            </w:r>
          </w:p>
          <w:p>
            <w:pPr>
              <w:jc w:val="center"/>
              <w:rPr>
                <w:rFonts w:ascii="宋体" w:hAnsi="宋体"/>
                <w:snapToGrid w:val="0"/>
                <w:color w:val="auto"/>
                <w:sz w:val="24"/>
                <w:highlight w:val="none"/>
              </w:rPr>
            </w:pPr>
            <w:r>
              <w:rPr>
                <w:rFonts w:hint="eastAsia" w:ascii="宋体" w:hAnsi="宋体"/>
                <w:snapToGrid w:val="0"/>
                <w:color w:val="auto"/>
                <w:sz w:val="24"/>
                <w:highlight w:val="none"/>
              </w:rPr>
              <w:t>项目的安</w:t>
            </w:r>
          </w:p>
          <w:p>
            <w:pPr>
              <w:jc w:val="center"/>
              <w:rPr>
                <w:rFonts w:ascii="宋体" w:hAnsi="宋体"/>
                <w:snapToGrid w:val="0"/>
                <w:color w:val="auto"/>
                <w:sz w:val="24"/>
                <w:highlight w:val="none"/>
              </w:rPr>
            </w:pPr>
            <w:r>
              <w:rPr>
                <w:rFonts w:hint="eastAsia" w:ascii="宋体" w:hAnsi="宋体"/>
                <w:snapToGrid w:val="0"/>
                <w:color w:val="auto"/>
                <w:sz w:val="24"/>
                <w:highlight w:val="none"/>
              </w:rPr>
              <w:t>全等级</w:t>
            </w:r>
          </w:p>
        </w:tc>
        <w:tc>
          <w:tcPr>
            <w:tcW w:w="6083" w:type="dxa"/>
            <w:noWrap w:val="0"/>
            <w:tcMar>
              <w:top w:w="108" w:type="dxa"/>
              <w:left w:w="108" w:type="dxa"/>
              <w:bottom w:w="108" w:type="dxa"/>
              <w:right w:w="108" w:type="dxa"/>
            </w:tcMar>
            <w:vAlign w:val="center"/>
          </w:tcPr>
          <w:p>
            <w:pPr>
              <w:jc w:val="left"/>
              <w:rPr>
                <w:rFonts w:ascii="宋体" w:hAnsi="宋体"/>
                <w:snapToGrid w:val="0"/>
                <w:color w:val="auto"/>
                <w:sz w:val="24"/>
                <w:highlight w:val="none"/>
              </w:rPr>
            </w:pPr>
            <w:r>
              <w:rPr>
                <w:rFonts w:hint="eastAsia" w:ascii="宋体" w:hAnsi="宋体"/>
                <w:snapToGrid w:val="0"/>
                <w:color w:val="auto"/>
                <w:sz w:val="24"/>
                <w:highlight w:val="none"/>
              </w:rPr>
              <w:t>投标人所承包服务的食堂获得过食品安全监督量化分级“A级”单位称号的</w:t>
            </w:r>
            <w:r>
              <w:rPr>
                <w:rFonts w:hint="eastAsia" w:ascii="宋体" w:hAnsi="宋体"/>
                <w:snapToGrid w:val="0"/>
                <w:color w:val="auto"/>
                <w:sz w:val="24"/>
                <w:highlight w:val="none"/>
                <w:lang w:val="en-US" w:eastAsia="zh-CN"/>
              </w:rPr>
              <w:t>每个</w:t>
            </w:r>
            <w:r>
              <w:rPr>
                <w:rFonts w:hint="eastAsia" w:ascii="宋体" w:hAnsi="宋体"/>
                <w:snapToGrid w:val="0"/>
                <w:color w:val="auto"/>
                <w:sz w:val="24"/>
                <w:highlight w:val="none"/>
              </w:rPr>
              <w:t>得3分，</w:t>
            </w:r>
            <w:r>
              <w:rPr>
                <w:rFonts w:hint="eastAsia" w:ascii="宋体" w:hAnsi="宋体"/>
                <w:snapToGrid w:val="0"/>
                <w:color w:val="auto"/>
                <w:sz w:val="24"/>
                <w:highlight w:val="none"/>
                <w:lang w:val="en-US" w:eastAsia="zh-CN"/>
              </w:rPr>
              <w:t>最多得3分</w:t>
            </w:r>
            <w:r>
              <w:rPr>
                <w:rFonts w:hint="eastAsia" w:ascii="宋体" w:hAnsi="宋体"/>
                <w:snapToGrid w:val="0"/>
                <w:color w:val="auto"/>
                <w:sz w:val="24"/>
                <w:highlight w:val="none"/>
              </w:rPr>
              <w:t>。</w:t>
            </w:r>
          </w:p>
          <w:p>
            <w:pPr>
              <w:jc w:val="left"/>
              <w:rPr>
                <w:rFonts w:ascii="宋体" w:hAnsi="宋体"/>
                <w:snapToGrid w:val="0"/>
                <w:color w:val="auto"/>
                <w:sz w:val="24"/>
                <w:highlight w:val="none"/>
              </w:rPr>
            </w:pPr>
            <w:r>
              <w:rPr>
                <w:rFonts w:hint="eastAsia" w:ascii="宋体" w:hAnsi="宋体"/>
                <w:snapToGrid w:val="0"/>
                <w:color w:val="auto"/>
                <w:sz w:val="24"/>
                <w:highlight w:val="none"/>
              </w:rPr>
              <w:t>（投标文件中提供相关文件或相关部门出具的书面证明材料原件彩色清晰扫描件，否则不得分。）</w:t>
            </w:r>
          </w:p>
          <w:p>
            <w:pPr>
              <w:jc w:val="left"/>
              <w:rPr>
                <w:rFonts w:ascii="宋体" w:hAnsi="宋体"/>
                <w:snapToGrid w:val="0"/>
                <w:color w:val="auto"/>
                <w:sz w:val="24"/>
                <w:highlight w:val="none"/>
              </w:rPr>
            </w:pPr>
            <w:r>
              <w:rPr>
                <w:rFonts w:hint="eastAsia" w:ascii="宋体" w:hAnsi="宋体"/>
                <w:snapToGrid w:val="0"/>
                <w:color w:val="auto"/>
                <w:sz w:val="24"/>
                <w:highlight w:val="none"/>
              </w:rPr>
              <w:t>（中标后三个工作日内提供原件核对）</w:t>
            </w:r>
          </w:p>
        </w:tc>
        <w:tc>
          <w:tcPr>
            <w:tcW w:w="960"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88" w:type="dxa"/>
            <w:noWrap w:val="0"/>
            <w:tcMar>
              <w:top w:w="108" w:type="dxa"/>
              <w:left w:w="108" w:type="dxa"/>
              <w:bottom w:w="108" w:type="dxa"/>
              <w:right w:w="108" w:type="dxa"/>
            </w:tcMar>
            <w:vAlign w:val="center"/>
          </w:tcPr>
          <w:p>
            <w:pPr>
              <w:ind w:left="-51"/>
              <w:jc w:val="center"/>
              <w:rPr>
                <w:rFonts w:ascii="宋体" w:hAnsi="宋体"/>
                <w:snapToGrid w:val="0"/>
                <w:color w:val="auto"/>
                <w:sz w:val="24"/>
                <w:highlight w:val="none"/>
              </w:rPr>
            </w:pPr>
            <w:r>
              <w:rPr>
                <w:rFonts w:hint="eastAsia" w:ascii="宋体" w:hAnsi="宋体"/>
                <w:snapToGrid w:val="0"/>
                <w:color w:val="auto"/>
                <w:sz w:val="24"/>
                <w:highlight w:val="none"/>
              </w:rPr>
              <w:t>8</w:t>
            </w:r>
          </w:p>
        </w:tc>
        <w:tc>
          <w:tcPr>
            <w:tcW w:w="1513"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rPr>
              <w:t>投标人荣誉</w:t>
            </w:r>
          </w:p>
        </w:tc>
        <w:tc>
          <w:tcPr>
            <w:tcW w:w="6083" w:type="dxa"/>
            <w:noWrap w:val="0"/>
            <w:tcMar>
              <w:top w:w="108" w:type="dxa"/>
              <w:left w:w="108" w:type="dxa"/>
              <w:bottom w:w="108" w:type="dxa"/>
              <w:right w:w="108" w:type="dxa"/>
            </w:tcMar>
            <w:vAlign w:val="center"/>
          </w:tcPr>
          <w:p>
            <w:pPr>
              <w:jc w:val="left"/>
              <w:rPr>
                <w:rFonts w:ascii="宋体" w:hAnsi="宋体"/>
                <w:snapToGrid w:val="0"/>
                <w:color w:val="auto"/>
                <w:sz w:val="24"/>
                <w:highlight w:val="none"/>
              </w:rPr>
            </w:pPr>
            <w:r>
              <w:rPr>
                <w:rFonts w:hint="eastAsia" w:ascii="宋体" w:hAnsi="宋体"/>
                <w:snapToGrid w:val="0"/>
                <w:color w:val="auto"/>
                <w:sz w:val="24"/>
                <w:highlight w:val="none"/>
              </w:rPr>
              <w:t>根据投标人获得荣誉情况进行打分,省级及以上荣誉一项得</w:t>
            </w:r>
            <w:r>
              <w:rPr>
                <w:rFonts w:hint="eastAsia" w:ascii="宋体" w:hAnsi="宋体"/>
                <w:snapToGrid w:val="0"/>
                <w:color w:val="auto"/>
                <w:sz w:val="24"/>
                <w:highlight w:val="none"/>
                <w:lang w:val="en-US" w:eastAsia="zh-CN"/>
              </w:rPr>
              <w:t>2</w:t>
            </w:r>
            <w:r>
              <w:rPr>
                <w:rFonts w:hint="eastAsia" w:ascii="宋体" w:hAnsi="宋体"/>
                <w:snapToGrid w:val="0"/>
                <w:color w:val="auto"/>
                <w:sz w:val="24"/>
                <w:highlight w:val="none"/>
              </w:rPr>
              <w:t>分；市级荣誉一项得</w:t>
            </w:r>
            <w:r>
              <w:rPr>
                <w:rFonts w:hint="eastAsia" w:ascii="宋体" w:hAnsi="宋体"/>
                <w:snapToGrid w:val="0"/>
                <w:color w:val="auto"/>
                <w:sz w:val="24"/>
                <w:highlight w:val="none"/>
                <w:lang w:val="en-US" w:eastAsia="zh-CN"/>
              </w:rPr>
              <w:t>1</w:t>
            </w:r>
            <w:r>
              <w:rPr>
                <w:rFonts w:hint="eastAsia" w:ascii="宋体" w:hAnsi="宋体"/>
                <w:snapToGrid w:val="0"/>
                <w:color w:val="auto"/>
                <w:sz w:val="24"/>
                <w:highlight w:val="none"/>
              </w:rPr>
              <w:t>分,最高得</w:t>
            </w:r>
            <w:r>
              <w:rPr>
                <w:rFonts w:hint="eastAsia" w:ascii="宋体" w:hAnsi="宋体"/>
                <w:snapToGrid w:val="0"/>
                <w:color w:val="auto"/>
                <w:sz w:val="24"/>
                <w:highlight w:val="none"/>
                <w:lang w:val="en-US" w:eastAsia="zh-CN"/>
              </w:rPr>
              <w:t>4</w:t>
            </w:r>
            <w:r>
              <w:rPr>
                <w:rFonts w:hint="eastAsia" w:ascii="宋体" w:hAnsi="宋体"/>
                <w:snapToGrid w:val="0"/>
                <w:color w:val="auto"/>
                <w:sz w:val="24"/>
                <w:highlight w:val="none"/>
              </w:rPr>
              <w:t>分。（投标文件中附相关证明资料原件彩色清晰扫描件加盖供应商公章，否则不得分。）</w:t>
            </w:r>
          </w:p>
        </w:tc>
        <w:tc>
          <w:tcPr>
            <w:tcW w:w="960"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r>
              <w:rPr>
                <w:rFonts w:hint="eastAsia" w:ascii="宋体" w:hAnsi="宋体"/>
                <w:snapToGrid w:val="0"/>
                <w:color w:val="auto"/>
                <w:sz w:val="24"/>
                <w:highlight w:val="none"/>
                <w:lang w:val="en-US" w:eastAsia="zh-CN"/>
              </w:rPr>
              <w:t>4</w:t>
            </w:r>
            <w:r>
              <w:rPr>
                <w:rFonts w:hint="eastAsia" w:ascii="宋体" w:hAnsi="宋体"/>
                <w:snapToGrid w:val="0"/>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88" w:type="dxa"/>
            <w:noWrap w:val="0"/>
            <w:tcMar>
              <w:top w:w="108" w:type="dxa"/>
              <w:left w:w="108" w:type="dxa"/>
              <w:bottom w:w="108" w:type="dxa"/>
              <w:right w:w="108" w:type="dxa"/>
            </w:tcMar>
            <w:vAlign w:val="center"/>
          </w:tcPr>
          <w:p>
            <w:pPr>
              <w:ind w:left="-50"/>
              <w:jc w:val="center"/>
              <w:rPr>
                <w:rFonts w:ascii="宋体" w:hAnsi="宋体"/>
                <w:snapToGrid w:val="0"/>
                <w:color w:val="auto"/>
                <w:sz w:val="24"/>
                <w:highlight w:val="none"/>
              </w:rPr>
            </w:pPr>
            <w:r>
              <w:rPr>
                <w:rFonts w:hint="eastAsia" w:ascii="宋体" w:hAnsi="宋体"/>
                <w:snapToGrid w:val="0"/>
                <w:color w:val="auto"/>
                <w:sz w:val="24"/>
                <w:highlight w:val="none"/>
              </w:rPr>
              <w:t>9</w:t>
            </w:r>
          </w:p>
        </w:tc>
        <w:tc>
          <w:tcPr>
            <w:tcW w:w="1513" w:type="dxa"/>
            <w:noWrap w:val="0"/>
            <w:tcMar>
              <w:top w:w="108" w:type="dxa"/>
              <w:left w:w="108" w:type="dxa"/>
              <w:bottom w:w="108" w:type="dxa"/>
              <w:right w:w="108"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食堂经营</w:t>
            </w:r>
          </w:p>
          <w:p>
            <w:pPr>
              <w:jc w:val="center"/>
              <w:rPr>
                <w:rFonts w:ascii="宋体" w:hAnsi="宋体"/>
                <w:snapToGrid w:val="0"/>
                <w:color w:val="auto"/>
                <w:sz w:val="24"/>
                <w:highlight w:val="none"/>
              </w:rPr>
            </w:pPr>
            <w:r>
              <w:rPr>
                <w:rFonts w:hint="eastAsia" w:ascii="宋体" w:hAnsi="宋体"/>
                <w:bCs/>
                <w:color w:val="auto"/>
                <w:sz w:val="24"/>
                <w:highlight w:val="none"/>
              </w:rPr>
              <w:t>业绩</w:t>
            </w:r>
          </w:p>
        </w:tc>
        <w:tc>
          <w:tcPr>
            <w:tcW w:w="6083" w:type="dxa"/>
            <w:noWrap w:val="0"/>
            <w:tcMar>
              <w:top w:w="108" w:type="dxa"/>
              <w:left w:w="108" w:type="dxa"/>
              <w:bottom w:w="108" w:type="dxa"/>
              <w:right w:w="108" w:type="dxa"/>
            </w:tcMar>
            <w:vAlign w:val="center"/>
          </w:tcPr>
          <w:p>
            <w:pPr>
              <w:jc w:val="left"/>
              <w:rPr>
                <w:rFonts w:ascii="宋体" w:hAnsi="宋体"/>
                <w:snapToGrid w:val="0"/>
                <w:color w:val="auto"/>
                <w:sz w:val="24"/>
                <w:highlight w:val="none"/>
              </w:rPr>
            </w:pPr>
            <w:r>
              <w:rPr>
                <w:rFonts w:hint="eastAsia" w:ascii="宋体" w:hAnsi="宋体"/>
                <w:snapToGrid w:val="0"/>
                <w:color w:val="auto"/>
                <w:sz w:val="24"/>
                <w:highlight w:val="none"/>
              </w:rPr>
              <w:t>投标人自20</w:t>
            </w:r>
            <w:r>
              <w:rPr>
                <w:rFonts w:hint="eastAsia" w:ascii="宋体" w:hAnsi="宋体"/>
                <w:snapToGrid w:val="0"/>
                <w:color w:val="auto"/>
                <w:sz w:val="24"/>
                <w:highlight w:val="none"/>
                <w:lang w:val="en-US" w:eastAsia="zh-CN"/>
              </w:rPr>
              <w:t>21</w:t>
            </w:r>
            <w:r>
              <w:rPr>
                <w:rFonts w:hint="eastAsia" w:ascii="宋体" w:hAnsi="宋体"/>
                <w:snapToGrid w:val="0"/>
                <w:color w:val="auto"/>
                <w:sz w:val="24"/>
                <w:highlight w:val="none"/>
              </w:rPr>
              <w:t>年1月1日（以合同签订时间为准，无法体现时间的，不得分）以来承包的类似业绩项目（必须为行政、事业或国企单位服务项目），每提供一个得</w:t>
            </w:r>
            <w:r>
              <w:rPr>
                <w:rFonts w:ascii="宋体" w:hAnsi="宋体"/>
                <w:snapToGrid w:val="0"/>
                <w:color w:val="auto"/>
                <w:sz w:val="24"/>
                <w:highlight w:val="none"/>
              </w:rPr>
              <w:t>0.5</w:t>
            </w:r>
            <w:r>
              <w:rPr>
                <w:rFonts w:hint="eastAsia" w:ascii="宋体" w:hAnsi="宋体"/>
                <w:snapToGrid w:val="0"/>
                <w:color w:val="auto"/>
                <w:sz w:val="24"/>
                <w:highlight w:val="none"/>
              </w:rPr>
              <w:t>分，最高得</w:t>
            </w:r>
            <w:r>
              <w:rPr>
                <w:rFonts w:ascii="宋体" w:hAnsi="宋体"/>
                <w:snapToGrid w:val="0"/>
                <w:color w:val="auto"/>
                <w:sz w:val="24"/>
                <w:highlight w:val="none"/>
              </w:rPr>
              <w:t>1</w:t>
            </w:r>
            <w:r>
              <w:rPr>
                <w:rFonts w:hint="eastAsia" w:ascii="宋体" w:hAnsi="宋体"/>
                <w:snapToGrid w:val="0"/>
                <w:color w:val="auto"/>
                <w:sz w:val="24"/>
                <w:highlight w:val="none"/>
              </w:rPr>
              <w:t>分。</w:t>
            </w:r>
          </w:p>
          <w:p>
            <w:pPr>
              <w:jc w:val="left"/>
              <w:rPr>
                <w:rFonts w:ascii="宋体" w:hAnsi="宋体"/>
                <w:snapToGrid w:val="0"/>
                <w:color w:val="auto"/>
                <w:sz w:val="24"/>
                <w:highlight w:val="none"/>
              </w:rPr>
            </w:pPr>
            <w:r>
              <w:rPr>
                <w:rFonts w:hint="eastAsia" w:ascii="宋体" w:hAnsi="宋体"/>
                <w:snapToGrid w:val="0"/>
                <w:color w:val="auto"/>
                <w:sz w:val="24"/>
                <w:highlight w:val="none"/>
              </w:rPr>
              <w:t>（投标文件中附相关合同原件彩色清晰扫描件加盖投标人公章，否则不得分。）</w:t>
            </w:r>
          </w:p>
          <w:p>
            <w:pPr>
              <w:jc w:val="left"/>
              <w:rPr>
                <w:rFonts w:ascii="宋体" w:hAnsi="宋体"/>
                <w:strike/>
                <w:snapToGrid w:val="0"/>
                <w:color w:val="auto"/>
                <w:sz w:val="24"/>
                <w:highlight w:val="none"/>
              </w:rPr>
            </w:pPr>
            <w:r>
              <w:rPr>
                <w:rFonts w:hint="eastAsia" w:ascii="宋体" w:hAnsi="宋体"/>
                <w:snapToGrid w:val="0"/>
                <w:color w:val="auto"/>
                <w:sz w:val="24"/>
                <w:highlight w:val="none"/>
              </w:rPr>
              <w:t>（中标后三个工作日内提供原件核对）</w:t>
            </w:r>
          </w:p>
        </w:tc>
        <w:tc>
          <w:tcPr>
            <w:tcW w:w="960" w:type="dxa"/>
            <w:noWrap w:val="0"/>
            <w:tcMar>
              <w:top w:w="108" w:type="dxa"/>
              <w:left w:w="108" w:type="dxa"/>
              <w:bottom w:w="108" w:type="dxa"/>
              <w:right w:w="108" w:type="dxa"/>
            </w:tcMar>
            <w:vAlign w:val="center"/>
          </w:tcPr>
          <w:p>
            <w:pPr>
              <w:jc w:val="center"/>
              <w:rPr>
                <w:rFonts w:ascii="宋体" w:hAnsi="宋体"/>
                <w:snapToGrid w:val="0"/>
                <w:color w:val="auto"/>
                <w:sz w:val="24"/>
                <w:highlight w:val="none"/>
              </w:rPr>
            </w:pPr>
          </w:p>
          <w:p>
            <w:pPr>
              <w:jc w:val="center"/>
              <w:rPr>
                <w:rFonts w:ascii="宋体" w:hAnsi="宋体"/>
                <w:strike/>
                <w:snapToGrid w:val="0"/>
                <w:color w:val="auto"/>
                <w:sz w:val="24"/>
                <w:highlight w:val="none"/>
              </w:rPr>
            </w:pPr>
            <w:r>
              <w:rPr>
                <w:rFonts w:ascii="宋体" w:hAnsi="宋体"/>
                <w:snapToGrid w:val="0"/>
                <w:color w:val="auto"/>
                <w:sz w:val="24"/>
                <w:highlight w:val="none"/>
              </w:rPr>
              <w:t>1</w:t>
            </w:r>
            <w:r>
              <w:rPr>
                <w:rFonts w:hint="eastAsia" w:ascii="宋体" w:hAnsi="宋体"/>
                <w:snapToGrid w:val="0"/>
                <w:color w:val="auto"/>
                <w:sz w:val="24"/>
                <w:highlight w:val="none"/>
              </w:rPr>
              <w:t>分</w:t>
            </w:r>
          </w:p>
          <w:p>
            <w:pPr>
              <w:jc w:val="center"/>
              <w:rPr>
                <w:rFonts w:ascii="宋体" w:hAnsi="宋体"/>
                <w:strike/>
                <w:snapToGrid w:val="0"/>
                <w:color w:val="auto"/>
                <w:sz w:val="24"/>
                <w:highlight w:val="none"/>
              </w:rPr>
            </w:pPr>
          </w:p>
        </w:tc>
      </w:tr>
    </w:tbl>
    <w:p>
      <w:pPr>
        <w:spacing w:line="400" w:lineRule="exact"/>
        <w:rPr>
          <w:rFonts w:hAnsi="宋体"/>
          <w:b/>
          <w:bCs/>
          <w:color w:val="auto"/>
          <w:sz w:val="24"/>
          <w:highlight w:val="none"/>
        </w:rPr>
      </w:pPr>
      <w:r>
        <w:rPr>
          <w:rFonts w:hint="eastAsia" w:hAnsi="宋体"/>
          <w:b/>
          <w:bCs/>
          <w:color w:val="auto"/>
          <w:sz w:val="24"/>
          <w:highlight w:val="none"/>
        </w:rPr>
        <w:t>提示：</w:t>
      </w:r>
    </w:p>
    <w:p>
      <w:pPr>
        <w:spacing w:line="400" w:lineRule="exact"/>
        <w:rPr>
          <w:rFonts w:hint="eastAsia" w:hAnsi="宋体"/>
          <w:b/>
          <w:bCs/>
          <w:color w:val="auto"/>
          <w:sz w:val="24"/>
          <w:highlight w:val="none"/>
          <w:u w:val="single"/>
        </w:rPr>
      </w:pPr>
      <w:r>
        <w:rPr>
          <w:rFonts w:hAnsi="宋体"/>
          <w:b/>
          <w:bCs/>
          <w:color w:val="auto"/>
          <w:sz w:val="24"/>
          <w:highlight w:val="none"/>
          <w:u w:val="single"/>
        </w:rPr>
        <w:t>1</w:t>
      </w:r>
      <w:r>
        <w:rPr>
          <w:rFonts w:hint="eastAsia" w:hAnsi="宋体"/>
          <w:b/>
          <w:bCs/>
          <w:color w:val="auto"/>
          <w:sz w:val="24"/>
          <w:highlight w:val="none"/>
          <w:u w:val="single"/>
        </w:rPr>
        <w:t>、请各投标人根据本招标文件及评分标准的顺序编制电子投标文件并进行关联定位，以便评标委员会在评审时，点击评分项即可直接定位到该评分项内容。如对招标文件的某项要求，投标人的电子投标文件未能关联定位提供相应的内容与其对应，则评标委员会在评审时如做出对投标人不利的评审由投标人自行承担。</w:t>
      </w:r>
    </w:p>
    <w:p>
      <w:pPr>
        <w:spacing w:line="400" w:lineRule="exact"/>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、投标人提交的所有投标文件、资料（包括所有证书、合同、报告等）都是准确、真实、合规的，如提供虚假资料，投标人需承担一切后果。</w:t>
      </w:r>
    </w:p>
    <w:p>
      <w:pPr>
        <w:spacing w:line="400" w:lineRule="exact"/>
        <w:rPr>
          <w:rFonts w:ascii="宋体" w:hAnsi="宋体"/>
          <w:b/>
          <w:bCs/>
          <w:color w:val="auto"/>
          <w:sz w:val="24"/>
          <w:highlight w:val="none"/>
          <w:u w:val="single"/>
        </w:rPr>
      </w:pPr>
      <w:r>
        <w:rPr>
          <w:rFonts w:hAnsi="宋体"/>
          <w:b/>
          <w:bCs/>
          <w:color w:val="auto"/>
          <w:sz w:val="24"/>
          <w:highlight w:val="none"/>
          <w:u w:val="single"/>
        </w:rPr>
        <w:t>3</w:t>
      </w:r>
      <w:r>
        <w:rPr>
          <w:rFonts w:hint="eastAsia" w:hAnsi="宋体"/>
          <w:b/>
          <w:bCs/>
          <w:color w:val="auto"/>
          <w:sz w:val="24"/>
          <w:highlight w:val="none"/>
          <w:u w:val="single"/>
        </w:rPr>
        <w:t>、为了评审工作更加优质、高效，投标文件</w:t>
      </w:r>
      <w:r>
        <w:rPr>
          <w:rFonts w:hint="eastAsia" w:ascii="宋体" w:hAnsi="宋体"/>
          <w:b/>
          <w:bCs/>
          <w:color w:val="auto"/>
          <w:sz w:val="24"/>
          <w:highlight w:val="none"/>
          <w:u w:val="single"/>
        </w:rPr>
        <w:t>张数建议不要超过</w:t>
      </w:r>
      <w:r>
        <w:rPr>
          <w:rFonts w:ascii="宋体" w:hAnsi="宋体"/>
          <w:b/>
          <w:bCs/>
          <w:color w:val="auto"/>
          <w:sz w:val="24"/>
          <w:highlight w:val="none"/>
          <w:u w:val="single"/>
        </w:rPr>
        <w:t>300</w:t>
      </w:r>
      <w:r>
        <w:rPr>
          <w:rFonts w:hint="eastAsia" w:ascii="宋体" w:hAnsi="宋体"/>
          <w:b/>
          <w:bCs/>
          <w:color w:val="auto"/>
          <w:sz w:val="24"/>
          <w:highlight w:val="none"/>
          <w:u w:val="single"/>
        </w:rPr>
        <w:t>张。</w:t>
      </w:r>
    </w:p>
    <w:p>
      <w:pPr>
        <w:spacing w:line="400" w:lineRule="exact"/>
        <w:rPr>
          <w:rFonts w:hint="eastAsia" w:hAnsi="宋体"/>
          <w:color w:val="auto"/>
          <w:sz w:val="24"/>
          <w:highlight w:val="none"/>
          <w:lang w:val="zh-CN"/>
        </w:rPr>
      </w:pPr>
      <w:r>
        <w:rPr>
          <w:rFonts w:hint="eastAsia" w:ascii="宋体" w:hAnsi="宋体"/>
          <w:b/>
          <w:bCs/>
          <w:color w:val="auto"/>
          <w:sz w:val="24"/>
          <w:highlight w:val="none"/>
          <w:u w:val="single"/>
        </w:rPr>
        <w:t>4、各投标人请将本采购项目评分索引表放在商务技术文件目录的前页，投标人自评分值（客观分部分）请投标人将应得分值准确自评（请勿不填写也请勿错误填写），以方便评委进行更加优质、高效的评审。</w:t>
      </w:r>
    </w:p>
    <w:p>
      <w:pPr>
        <w:spacing w:before="120" w:beforeLines="50" w:after="120" w:afterLines="50" w:line="400" w:lineRule="exact"/>
        <w:ind w:right="480" w:firstLine="361" w:firstLineChars="150"/>
        <w:rPr>
          <w:rFonts w:ascii="宋体" w:hAnsi="宋体"/>
          <w:b/>
          <w:bCs/>
          <w:color w:val="auto"/>
          <w:sz w:val="24"/>
          <w:highlight w:val="none"/>
        </w:rPr>
      </w:pPr>
      <w:r>
        <w:rPr>
          <w:rFonts w:hint="eastAsia" w:ascii="宋体" w:hAnsi="宋体"/>
          <w:b/>
          <w:bCs/>
          <w:color w:val="auto"/>
          <w:sz w:val="24"/>
          <w:highlight w:val="none"/>
        </w:rPr>
        <w:t>（三）商务技术分的计算方式</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商务技术分按照评标委员会成员的独立评分结果汇总后，取全部评标委员会成员评分值的算术平均分，计算公式为：</w:t>
      </w:r>
    </w:p>
    <w:p>
      <w:pPr>
        <w:spacing w:line="360" w:lineRule="exact"/>
        <w:ind w:firstLine="495"/>
        <w:rPr>
          <w:rFonts w:ascii="宋体" w:hAnsi="宋体"/>
          <w:color w:val="auto"/>
          <w:sz w:val="24"/>
          <w:highlight w:val="none"/>
        </w:rPr>
      </w:pPr>
      <w:r>
        <w:rPr>
          <w:rFonts w:hint="eastAsia" w:ascii="宋体" w:hAnsi="宋体"/>
          <w:color w:val="auto"/>
          <w:sz w:val="24"/>
          <w:highlight w:val="none"/>
        </w:rPr>
        <w:t>商务技术分=（评标委员会所有成员评分合计数）/（评标委员会组成人员数）</w:t>
      </w:r>
    </w:p>
    <w:p>
      <w:pPr>
        <w:pStyle w:val="22"/>
        <w:spacing w:before="120" w:beforeLines="50" w:after="120" w:afterLines="50" w:line="360" w:lineRule="auto"/>
        <w:ind w:firstLine="466" w:firstLineChars="200"/>
        <w:rPr>
          <w:rFonts w:hAnsi="宋体"/>
          <w:b/>
          <w:color w:val="auto"/>
          <w:sz w:val="24"/>
          <w:szCs w:val="24"/>
          <w:highlight w:val="none"/>
        </w:rPr>
      </w:pPr>
      <w:r>
        <w:rPr>
          <w:rFonts w:hint="eastAsia" w:hAnsi="宋体"/>
          <w:b/>
          <w:color w:val="auto"/>
          <w:sz w:val="24"/>
          <w:szCs w:val="24"/>
          <w:highlight w:val="none"/>
        </w:rPr>
        <w:t>三、投标人义务</w:t>
      </w:r>
    </w:p>
    <w:p>
      <w:pPr>
        <w:pStyle w:val="22"/>
        <w:spacing w:before="120" w:beforeLines="50" w:after="120" w:afterLines="50" w:line="360" w:lineRule="auto"/>
        <w:ind w:firstLine="464" w:firstLineChars="200"/>
        <w:jc w:val="left"/>
        <w:rPr>
          <w:rFonts w:hAnsi="宋体"/>
          <w:bCs/>
          <w:color w:val="auto"/>
          <w:sz w:val="24"/>
          <w:szCs w:val="24"/>
          <w:highlight w:val="none"/>
        </w:rPr>
      </w:pPr>
      <w:r>
        <w:rPr>
          <w:rFonts w:hint="eastAsia" w:hAnsi="宋体"/>
          <w:bCs/>
          <w:color w:val="auto"/>
          <w:sz w:val="24"/>
          <w:szCs w:val="24"/>
          <w:highlight w:val="none"/>
        </w:rPr>
        <w:t xml:space="preserve">评标期间，投标人应随时随地答复评标委员会的询标，解答包括有关的商务、技术问题等。 </w:t>
      </w:r>
      <w:r>
        <w:rPr>
          <w:rFonts w:hAnsi="宋体"/>
          <w:bCs/>
          <w:color w:val="auto"/>
          <w:sz w:val="24"/>
          <w:szCs w:val="24"/>
          <w:highlight w:val="none"/>
        </w:rPr>
        <w:t xml:space="preserve">            </w:t>
      </w:r>
    </w:p>
    <w:p>
      <w:pPr>
        <w:spacing w:before="120" w:beforeLines="50" w:after="120" w:afterLines="50" w:line="400" w:lineRule="exact"/>
        <w:rPr>
          <w:rFonts w:hAnsi="宋体"/>
          <w:bCs/>
          <w:color w:val="auto"/>
          <w:sz w:val="24"/>
          <w:highlight w:val="none"/>
        </w:rPr>
      </w:pPr>
    </w:p>
    <w:p>
      <w:pPr>
        <w:jc w:val="cente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30"/>
          <w:szCs w:val="30"/>
          <w:highlight w:val="none"/>
        </w:rPr>
        <w:t>采购项目评分索引表</w:t>
      </w:r>
    </w:p>
    <w:p>
      <w:pPr>
        <w:snapToGrid w:val="0"/>
        <w:spacing w:before="100" w:beforeAutospacing="1" w:after="100" w:afterAutospacing="1" w:line="400" w:lineRule="exact"/>
        <w:rPr>
          <w:rFonts w:hint="eastAsia" w:ascii="宋体" w:hAnsi="宋体"/>
          <w:b/>
          <w:color w:val="auto"/>
          <w:spacing w:val="-4"/>
          <w:sz w:val="24"/>
          <w:highlight w:val="none"/>
        </w:rPr>
      </w:pPr>
      <w:r>
        <w:rPr>
          <w:rFonts w:hint="eastAsia" w:ascii="宋体" w:hAnsi="宋体"/>
          <w:b/>
          <w:color w:val="auto"/>
          <w:spacing w:val="-4"/>
          <w:sz w:val="24"/>
          <w:highlight w:val="none"/>
        </w:rPr>
        <w:t>（重要提示：本采购项目评分索引表</w:t>
      </w:r>
      <w:r>
        <w:rPr>
          <w:rFonts w:ascii="宋体" w:hAnsi="宋体"/>
          <w:b/>
          <w:color w:val="auto"/>
          <w:spacing w:val="-4"/>
          <w:sz w:val="24"/>
          <w:highlight w:val="none"/>
        </w:rPr>
        <w:t>放在商务技术文件目录的前</w:t>
      </w:r>
      <w:r>
        <w:rPr>
          <w:rFonts w:hint="eastAsia" w:ascii="宋体" w:hAnsi="宋体"/>
          <w:b/>
          <w:color w:val="auto"/>
          <w:spacing w:val="-4"/>
          <w:sz w:val="24"/>
          <w:highlight w:val="none"/>
        </w:rPr>
        <w:t>页</w:t>
      </w:r>
      <w:r>
        <w:rPr>
          <w:rFonts w:ascii="宋体" w:hAnsi="宋体"/>
          <w:b/>
          <w:color w:val="auto"/>
          <w:spacing w:val="-4"/>
          <w:sz w:val="24"/>
          <w:highlight w:val="none"/>
        </w:rPr>
        <w:t>，</w:t>
      </w:r>
      <w:r>
        <w:rPr>
          <w:rFonts w:hint="eastAsia" w:ascii="宋体" w:hAnsi="宋体"/>
          <w:b/>
          <w:color w:val="auto"/>
          <w:spacing w:val="-4"/>
          <w:sz w:val="24"/>
          <w:highlight w:val="none"/>
          <w:u w:val="single"/>
        </w:rPr>
        <w:t>“投标人应标情况栏目” （客观分部分）请投标人务必逐项详细进行填写（请勿不填写），投标人自评分值（客观分部分）请投标人将应得分值准确自评（请勿不填写也请勿错误填写），以方便评委进行更加优质、高效的评审</w:t>
      </w:r>
      <w:r>
        <w:rPr>
          <w:rFonts w:hint="eastAsia" w:ascii="宋体" w:hAnsi="宋体"/>
          <w:b/>
          <w:color w:val="auto"/>
          <w:spacing w:val="-4"/>
          <w:sz w:val="24"/>
          <w:highlight w:val="none"/>
        </w:rPr>
        <w:t>)</w:t>
      </w:r>
    </w:p>
    <w:p>
      <w:pPr>
        <w:rPr>
          <w:rFonts w:hint="eastAsia" w:ascii="宋体" w:hAnsi="宋体"/>
          <w:b/>
          <w:color w:val="auto"/>
          <w:sz w:val="24"/>
          <w:highlight w:val="none"/>
        </w:rPr>
      </w:pPr>
      <w:r>
        <w:rPr>
          <w:rFonts w:hint="eastAsia" w:ascii="宋体" w:hAnsi="宋体"/>
          <w:b/>
          <w:color w:val="auto"/>
          <w:sz w:val="24"/>
          <w:highlight w:val="none"/>
        </w:rPr>
        <w:t xml:space="preserve">项目名称： </w:t>
      </w:r>
      <w:r>
        <w:rPr>
          <w:rFonts w:ascii="宋体" w:hAnsi="宋体"/>
          <w:b/>
          <w:color w:val="auto"/>
          <w:sz w:val="24"/>
          <w:highlight w:val="none"/>
        </w:rPr>
        <w:t xml:space="preserve">                                </w:t>
      </w:r>
      <w:r>
        <w:rPr>
          <w:rFonts w:hint="eastAsia" w:ascii="宋体" w:hAnsi="宋体"/>
          <w:b/>
          <w:color w:val="auto"/>
          <w:sz w:val="24"/>
          <w:highlight w:val="none"/>
        </w:rPr>
        <w:t>投标人名称：</w:t>
      </w:r>
    </w:p>
    <w:tbl>
      <w:tblPr>
        <w:tblStyle w:val="50"/>
        <w:tblW w:w="97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2073"/>
        <w:gridCol w:w="929"/>
        <w:gridCol w:w="1319"/>
        <w:gridCol w:w="320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2579" w:type="dxa"/>
            <w:gridSpan w:val="2"/>
            <w:noWrap w:val="0"/>
            <w:vAlign w:val="center"/>
          </w:tcPr>
          <w:p>
            <w:pPr>
              <w:widowControl/>
              <w:jc w:val="center"/>
              <w:rPr>
                <w:rFonts w:ascii="宋体" w:hAnsi="宋体"/>
                <w:b/>
                <w:bCs/>
                <w:color w:val="auto"/>
                <w:szCs w:val="21"/>
                <w:highlight w:val="none"/>
              </w:rPr>
            </w:pPr>
            <w:r>
              <w:rPr>
                <w:rFonts w:hint="eastAsia" w:ascii="宋体" w:hAnsi="宋体"/>
                <w:b/>
                <w:bCs/>
                <w:color w:val="auto"/>
                <w:szCs w:val="21"/>
                <w:highlight w:val="none"/>
              </w:rPr>
              <w:t>评标内容</w:t>
            </w:r>
          </w:p>
        </w:tc>
        <w:tc>
          <w:tcPr>
            <w:tcW w:w="929" w:type="dxa"/>
            <w:noWrap w:val="0"/>
            <w:vAlign w:val="center"/>
          </w:tcPr>
          <w:p>
            <w:pPr>
              <w:widowControl/>
              <w:jc w:val="center"/>
              <w:rPr>
                <w:rFonts w:ascii="宋体" w:hAnsi="宋体"/>
                <w:b/>
                <w:bCs/>
                <w:color w:val="auto"/>
                <w:szCs w:val="21"/>
                <w:highlight w:val="none"/>
              </w:rPr>
            </w:pPr>
            <w:r>
              <w:rPr>
                <w:rFonts w:hint="eastAsia" w:ascii="宋体" w:hAnsi="宋体"/>
                <w:b/>
                <w:bCs/>
                <w:color w:val="auto"/>
                <w:szCs w:val="21"/>
                <w:highlight w:val="none"/>
              </w:rPr>
              <w:t>分值</w:t>
            </w:r>
          </w:p>
        </w:tc>
        <w:tc>
          <w:tcPr>
            <w:tcW w:w="13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szCs w:val="21"/>
                <w:highlight w:val="none"/>
              </w:rPr>
            </w:pPr>
            <w:r>
              <w:rPr>
                <w:rFonts w:hint="eastAsia" w:ascii="宋体" w:hAnsi="宋体"/>
                <w:b/>
                <w:bCs/>
                <w:color w:val="auto"/>
                <w:szCs w:val="21"/>
                <w:highlight w:val="none"/>
              </w:rPr>
              <w:t>投标文件</w:t>
            </w:r>
          </w:p>
          <w:p>
            <w:pPr>
              <w:widowControl/>
              <w:jc w:val="center"/>
              <w:rPr>
                <w:rFonts w:ascii="宋体" w:hAnsi="宋体"/>
                <w:color w:val="auto"/>
                <w:szCs w:val="21"/>
                <w:highlight w:val="none"/>
              </w:rPr>
            </w:pPr>
            <w:r>
              <w:rPr>
                <w:rFonts w:hint="eastAsia" w:ascii="宋体" w:hAnsi="宋体"/>
                <w:b/>
                <w:bCs/>
                <w:color w:val="auto"/>
                <w:szCs w:val="21"/>
                <w:highlight w:val="none"/>
              </w:rPr>
              <w:t>响应页码</w:t>
            </w:r>
          </w:p>
        </w:tc>
        <w:tc>
          <w:tcPr>
            <w:tcW w:w="320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投标人</w:t>
            </w:r>
          </w:p>
          <w:p>
            <w:pPr>
              <w:widowControl/>
              <w:jc w:val="center"/>
              <w:rPr>
                <w:rFonts w:ascii="宋体" w:hAnsi="宋体"/>
                <w:color w:val="auto"/>
                <w:szCs w:val="21"/>
                <w:highlight w:val="none"/>
              </w:rPr>
            </w:pPr>
            <w:r>
              <w:rPr>
                <w:rFonts w:hint="eastAsia" w:ascii="宋体" w:hAnsi="宋体"/>
                <w:b/>
                <w:bCs/>
                <w:color w:val="auto"/>
                <w:kern w:val="0"/>
                <w:szCs w:val="21"/>
                <w:highlight w:val="none"/>
              </w:rPr>
              <w:t>应标情况</w:t>
            </w:r>
          </w:p>
        </w:tc>
        <w:tc>
          <w:tcPr>
            <w:tcW w:w="174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szCs w:val="21"/>
                <w:highlight w:val="none"/>
              </w:rPr>
            </w:pPr>
            <w:r>
              <w:rPr>
                <w:rFonts w:hint="eastAsia" w:ascii="宋体" w:hAnsi="宋体"/>
                <w:b/>
                <w:bCs/>
                <w:color w:val="auto"/>
                <w:kern w:val="0"/>
                <w:szCs w:val="21"/>
                <w:highlight w:val="none"/>
              </w:rPr>
              <w:t>投标人自评分值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506" w:type="dxa"/>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1</w:t>
            </w:r>
          </w:p>
        </w:tc>
        <w:tc>
          <w:tcPr>
            <w:tcW w:w="2073" w:type="dxa"/>
            <w:noWrap w:val="0"/>
            <w:vAlign w:val="center"/>
          </w:tcPr>
          <w:p>
            <w:pPr>
              <w:pStyle w:val="22"/>
              <w:spacing w:before="120" w:beforeLines="50" w:after="120" w:afterLines="50" w:line="240" w:lineRule="auto"/>
              <w:ind w:firstLine="0"/>
              <w:jc w:val="center"/>
              <w:rPr>
                <w:rFonts w:hAnsi="宋体" w:cs="宋体"/>
                <w:bCs/>
                <w:color w:val="auto"/>
                <w:sz w:val="21"/>
                <w:szCs w:val="21"/>
                <w:highlight w:val="none"/>
              </w:rPr>
            </w:pPr>
            <w:r>
              <w:rPr>
                <w:rFonts w:hint="eastAsia" w:hAnsi="宋体" w:cs="宋体"/>
                <w:snapToGrid w:val="0"/>
                <w:color w:val="auto"/>
                <w:sz w:val="21"/>
                <w:szCs w:val="21"/>
                <w:highlight w:val="none"/>
              </w:rPr>
              <w:t>投标人</w:t>
            </w:r>
            <w:r>
              <w:rPr>
                <w:rFonts w:hint="eastAsia" w:hAnsi="宋体" w:cs="宋体"/>
                <w:bCs/>
                <w:color w:val="auto"/>
                <w:sz w:val="21"/>
                <w:szCs w:val="21"/>
                <w:highlight w:val="none"/>
              </w:rPr>
              <w:t>经营情况</w:t>
            </w:r>
          </w:p>
        </w:tc>
        <w:tc>
          <w:tcPr>
            <w:tcW w:w="929" w:type="dxa"/>
            <w:noWrap w:val="0"/>
            <w:vAlign w:val="center"/>
          </w:tcPr>
          <w:p>
            <w:pPr>
              <w:jc w:val="center"/>
              <w:rPr>
                <w:rFonts w:ascii="宋体" w:hAnsi="宋体"/>
                <w:snapToGrid w:val="0"/>
                <w:color w:val="auto"/>
                <w:szCs w:val="21"/>
                <w:highlight w:val="none"/>
              </w:rPr>
            </w:pPr>
            <w:r>
              <w:rPr>
                <w:rFonts w:ascii="宋体" w:hAnsi="宋体"/>
                <w:snapToGrid w:val="0"/>
                <w:color w:val="auto"/>
                <w:szCs w:val="21"/>
                <w:highlight w:val="none"/>
              </w:rPr>
              <w:t>3</w:t>
            </w:r>
            <w:r>
              <w:rPr>
                <w:rFonts w:hint="eastAsia" w:ascii="宋体" w:hAnsi="宋体"/>
                <w:snapToGrid w:val="0"/>
                <w:color w:val="auto"/>
                <w:szCs w:val="21"/>
                <w:highlight w:val="none"/>
              </w:rPr>
              <w:t>分</w:t>
            </w:r>
          </w:p>
        </w:tc>
        <w:tc>
          <w:tcPr>
            <w:tcW w:w="1319" w:type="dxa"/>
            <w:noWrap w:val="0"/>
            <w:vAlign w:val="center"/>
          </w:tcPr>
          <w:p>
            <w:pPr>
              <w:jc w:val="left"/>
              <w:rPr>
                <w:rFonts w:ascii="宋体" w:hAnsi="宋体"/>
                <w:bCs/>
                <w:color w:val="auto"/>
                <w:szCs w:val="21"/>
                <w:highlight w:val="none"/>
              </w:rPr>
            </w:pPr>
          </w:p>
        </w:tc>
        <w:tc>
          <w:tcPr>
            <w:tcW w:w="3209" w:type="dxa"/>
            <w:tcBorders>
              <w:top w:val="nil"/>
              <w:left w:val="nil"/>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w:t>
            </w:r>
          </w:p>
        </w:tc>
        <w:tc>
          <w:tcPr>
            <w:tcW w:w="1741" w:type="dxa"/>
            <w:tcBorders>
              <w:top w:val="nil"/>
              <w:left w:val="nil"/>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506" w:type="dxa"/>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2</w:t>
            </w:r>
          </w:p>
        </w:tc>
        <w:tc>
          <w:tcPr>
            <w:tcW w:w="2073" w:type="dxa"/>
            <w:noWrap w:val="0"/>
            <w:vAlign w:val="center"/>
          </w:tcPr>
          <w:p>
            <w:pPr>
              <w:pStyle w:val="22"/>
              <w:spacing w:before="120" w:beforeLines="50" w:after="120" w:afterLines="50" w:line="240" w:lineRule="auto"/>
              <w:ind w:firstLine="0"/>
              <w:jc w:val="center"/>
              <w:rPr>
                <w:rFonts w:hAnsi="宋体" w:cs="宋体"/>
                <w:bCs/>
                <w:color w:val="auto"/>
                <w:sz w:val="21"/>
                <w:szCs w:val="21"/>
                <w:highlight w:val="none"/>
              </w:rPr>
            </w:pPr>
            <w:r>
              <w:rPr>
                <w:rFonts w:hint="eastAsia" w:hAnsi="宋体" w:cs="宋体"/>
                <w:bCs/>
                <w:color w:val="auto"/>
                <w:sz w:val="21"/>
                <w:szCs w:val="21"/>
                <w:highlight w:val="none"/>
              </w:rPr>
              <w:t>项目服务方案</w:t>
            </w:r>
          </w:p>
        </w:tc>
        <w:tc>
          <w:tcPr>
            <w:tcW w:w="929" w:type="dxa"/>
            <w:noWrap w:val="0"/>
            <w:vAlign w:val="center"/>
          </w:tcPr>
          <w:p>
            <w:pPr>
              <w:jc w:val="center"/>
              <w:rPr>
                <w:rFonts w:ascii="宋体" w:hAnsi="宋体"/>
                <w:snapToGrid w:val="0"/>
                <w:color w:val="auto"/>
                <w:szCs w:val="21"/>
                <w:highlight w:val="none"/>
              </w:rPr>
            </w:pPr>
            <w:r>
              <w:rPr>
                <w:rFonts w:ascii="宋体" w:hAnsi="宋体"/>
                <w:snapToGrid w:val="0"/>
                <w:color w:val="auto"/>
                <w:szCs w:val="21"/>
                <w:highlight w:val="none"/>
              </w:rPr>
              <w:t>31</w:t>
            </w:r>
            <w:r>
              <w:rPr>
                <w:rFonts w:hint="eastAsia" w:ascii="宋体" w:hAnsi="宋体"/>
                <w:snapToGrid w:val="0"/>
                <w:color w:val="auto"/>
                <w:szCs w:val="21"/>
                <w:highlight w:val="none"/>
              </w:rPr>
              <w:t>分</w:t>
            </w:r>
          </w:p>
        </w:tc>
        <w:tc>
          <w:tcPr>
            <w:tcW w:w="1319" w:type="dxa"/>
            <w:noWrap w:val="0"/>
            <w:vAlign w:val="center"/>
          </w:tcPr>
          <w:p>
            <w:pPr>
              <w:jc w:val="left"/>
              <w:rPr>
                <w:rFonts w:ascii="宋体" w:hAnsi="宋体"/>
                <w:bCs/>
                <w:color w:val="auto"/>
                <w:szCs w:val="21"/>
                <w:highlight w:val="none"/>
              </w:rPr>
            </w:pPr>
          </w:p>
        </w:tc>
        <w:tc>
          <w:tcPr>
            <w:tcW w:w="3209" w:type="dxa"/>
            <w:tcBorders>
              <w:top w:val="nil"/>
              <w:left w:val="nil"/>
              <w:bottom w:val="single" w:color="auto" w:sz="4" w:space="0"/>
              <w:right w:val="single" w:color="auto" w:sz="4" w:space="0"/>
            </w:tcBorders>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w:t>
            </w:r>
          </w:p>
        </w:tc>
        <w:tc>
          <w:tcPr>
            <w:tcW w:w="1741" w:type="dxa"/>
            <w:tcBorders>
              <w:top w:val="nil"/>
              <w:left w:val="nil"/>
              <w:bottom w:val="single" w:color="auto" w:sz="4" w:space="0"/>
              <w:right w:val="single" w:color="auto" w:sz="4" w:space="0"/>
            </w:tcBorders>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506" w:type="dxa"/>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3</w:t>
            </w:r>
          </w:p>
        </w:tc>
        <w:tc>
          <w:tcPr>
            <w:tcW w:w="2073" w:type="dxa"/>
            <w:noWrap w:val="0"/>
            <w:vAlign w:val="center"/>
          </w:tcPr>
          <w:p>
            <w:pPr>
              <w:pStyle w:val="22"/>
              <w:spacing w:before="120" w:beforeLines="50" w:after="120" w:afterLines="50" w:line="240" w:lineRule="auto"/>
              <w:ind w:firstLine="0"/>
              <w:jc w:val="center"/>
              <w:rPr>
                <w:rFonts w:hAnsi="宋体" w:cs="宋体"/>
                <w:bCs/>
                <w:color w:val="auto"/>
                <w:sz w:val="21"/>
                <w:szCs w:val="21"/>
                <w:highlight w:val="none"/>
              </w:rPr>
            </w:pPr>
            <w:r>
              <w:rPr>
                <w:rFonts w:hint="eastAsia" w:hAnsi="宋体" w:cs="宋体"/>
                <w:bCs/>
                <w:color w:val="auto"/>
                <w:sz w:val="21"/>
                <w:szCs w:val="21"/>
                <w:highlight w:val="none"/>
              </w:rPr>
              <w:t>保障措施</w:t>
            </w:r>
          </w:p>
        </w:tc>
        <w:tc>
          <w:tcPr>
            <w:tcW w:w="929" w:type="dxa"/>
            <w:noWrap w:val="0"/>
            <w:vAlign w:val="center"/>
          </w:tcPr>
          <w:p>
            <w:pPr>
              <w:jc w:val="center"/>
              <w:rPr>
                <w:rFonts w:ascii="宋体" w:hAnsi="宋体"/>
                <w:snapToGrid w:val="0"/>
                <w:color w:val="auto"/>
                <w:szCs w:val="21"/>
                <w:highlight w:val="none"/>
              </w:rPr>
            </w:pPr>
            <w:r>
              <w:rPr>
                <w:rFonts w:ascii="宋体" w:hAnsi="宋体"/>
                <w:snapToGrid w:val="0"/>
                <w:color w:val="auto"/>
                <w:szCs w:val="21"/>
                <w:highlight w:val="none"/>
              </w:rPr>
              <w:t>6</w:t>
            </w:r>
            <w:r>
              <w:rPr>
                <w:rFonts w:hint="eastAsia" w:ascii="宋体" w:hAnsi="宋体"/>
                <w:snapToGrid w:val="0"/>
                <w:color w:val="auto"/>
                <w:szCs w:val="21"/>
                <w:highlight w:val="none"/>
              </w:rPr>
              <w:t>分</w:t>
            </w:r>
          </w:p>
        </w:tc>
        <w:tc>
          <w:tcPr>
            <w:tcW w:w="1319" w:type="dxa"/>
            <w:noWrap w:val="0"/>
            <w:vAlign w:val="center"/>
          </w:tcPr>
          <w:p>
            <w:pPr>
              <w:jc w:val="left"/>
              <w:rPr>
                <w:rFonts w:ascii="宋体" w:hAnsi="宋体"/>
                <w:bCs/>
                <w:color w:val="auto"/>
                <w:szCs w:val="21"/>
                <w:highlight w:val="none"/>
              </w:rPr>
            </w:pPr>
          </w:p>
        </w:tc>
        <w:tc>
          <w:tcPr>
            <w:tcW w:w="3209" w:type="dxa"/>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w:t>
            </w:r>
          </w:p>
        </w:tc>
        <w:tc>
          <w:tcPr>
            <w:tcW w:w="1741" w:type="dxa"/>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506" w:type="dxa"/>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4</w:t>
            </w:r>
          </w:p>
        </w:tc>
        <w:tc>
          <w:tcPr>
            <w:tcW w:w="2073" w:type="dxa"/>
            <w:noWrap w:val="0"/>
            <w:vAlign w:val="center"/>
          </w:tcPr>
          <w:p>
            <w:pPr>
              <w:pStyle w:val="22"/>
              <w:spacing w:before="120" w:beforeLines="50" w:after="120" w:afterLines="50" w:line="240" w:lineRule="auto"/>
              <w:ind w:firstLine="0"/>
              <w:jc w:val="center"/>
              <w:rPr>
                <w:rFonts w:hAnsi="宋体" w:cs="宋体"/>
                <w:bCs/>
                <w:color w:val="auto"/>
                <w:sz w:val="21"/>
                <w:szCs w:val="21"/>
                <w:highlight w:val="none"/>
              </w:rPr>
            </w:pPr>
            <w:r>
              <w:rPr>
                <w:rFonts w:hint="eastAsia" w:hAnsi="宋体" w:cs="宋体"/>
                <w:bCs/>
                <w:color w:val="auto"/>
                <w:sz w:val="21"/>
                <w:szCs w:val="21"/>
                <w:highlight w:val="none"/>
              </w:rPr>
              <w:t>菜品营养搭配</w:t>
            </w:r>
          </w:p>
        </w:tc>
        <w:tc>
          <w:tcPr>
            <w:tcW w:w="929" w:type="dxa"/>
            <w:noWrap w:val="0"/>
            <w:vAlign w:val="center"/>
          </w:tcPr>
          <w:p>
            <w:pPr>
              <w:jc w:val="center"/>
              <w:rPr>
                <w:rFonts w:ascii="宋体" w:hAnsi="宋体"/>
                <w:snapToGrid w:val="0"/>
                <w:color w:val="auto"/>
                <w:szCs w:val="21"/>
                <w:highlight w:val="none"/>
              </w:rPr>
            </w:pPr>
            <w:r>
              <w:rPr>
                <w:rFonts w:ascii="宋体" w:hAnsi="宋体"/>
                <w:snapToGrid w:val="0"/>
                <w:color w:val="auto"/>
                <w:szCs w:val="21"/>
                <w:highlight w:val="none"/>
              </w:rPr>
              <w:t>12</w:t>
            </w:r>
            <w:r>
              <w:rPr>
                <w:rFonts w:hint="eastAsia" w:ascii="宋体" w:hAnsi="宋体"/>
                <w:snapToGrid w:val="0"/>
                <w:color w:val="auto"/>
                <w:szCs w:val="21"/>
                <w:highlight w:val="none"/>
              </w:rPr>
              <w:t>分</w:t>
            </w:r>
          </w:p>
        </w:tc>
        <w:tc>
          <w:tcPr>
            <w:tcW w:w="1319" w:type="dxa"/>
            <w:noWrap w:val="0"/>
            <w:vAlign w:val="center"/>
          </w:tcPr>
          <w:p>
            <w:pPr>
              <w:jc w:val="left"/>
              <w:rPr>
                <w:rFonts w:ascii="宋体" w:hAnsi="宋体"/>
                <w:bCs/>
                <w:color w:val="auto"/>
                <w:szCs w:val="21"/>
                <w:highlight w:val="none"/>
              </w:rPr>
            </w:pPr>
          </w:p>
        </w:tc>
        <w:tc>
          <w:tcPr>
            <w:tcW w:w="3209" w:type="dxa"/>
            <w:tcBorders>
              <w:top w:val="nil"/>
              <w:left w:val="nil"/>
              <w:bottom w:val="single" w:color="auto" w:sz="4" w:space="0"/>
              <w:right w:val="single" w:color="auto" w:sz="4" w:space="0"/>
            </w:tcBorders>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w:t>
            </w:r>
          </w:p>
        </w:tc>
        <w:tc>
          <w:tcPr>
            <w:tcW w:w="1741" w:type="dxa"/>
            <w:tcBorders>
              <w:top w:val="nil"/>
              <w:left w:val="nil"/>
              <w:bottom w:val="single" w:color="auto" w:sz="4" w:space="0"/>
              <w:right w:val="single" w:color="auto" w:sz="4" w:space="0"/>
            </w:tcBorders>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506" w:type="dxa"/>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5</w:t>
            </w:r>
          </w:p>
        </w:tc>
        <w:tc>
          <w:tcPr>
            <w:tcW w:w="2073" w:type="dxa"/>
            <w:noWrap w:val="0"/>
            <w:vAlign w:val="center"/>
          </w:tcPr>
          <w:p>
            <w:pPr>
              <w:pStyle w:val="22"/>
              <w:spacing w:before="120" w:beforeLines="50" w:after="120" w:afterLines="50" w:line="240" w:lineRule="auto"/>
              <w:ind w:firstLine="0"/>
              <w:jc w:val="center"/>
              <w:rPr>
                <w:rFonts w:hAnsi="宋体" w:cs="宋体"/>
                <w:bCs/>
                <w:color w:val="auto"/>
                <w:sz w:val="21"/>
                <w:szCs w:val="21"/>
                <w:highlight w:val="none"/>
              </w:rPr>
            </w:pPr>
            <w:r>
              <w:rPr>
                <w:rFonts w:hint="eastAsia" w:hAnsi="宋体" w:cs="宋体"/>
                <w:bCs/>
                <w:color w:val="auto"/>
                <w:sz w:val="21"/>
                <w:szCs w:val="21"/>
                <w:highlight w:val="none"/>
              </w:rPr>
              <w:t>项目实施人员</w:t>
            </w:r>
          </w:p>
          <w:p>
            <w:pPr>
              <w:pStyle w:val="22"/>
              <w:spacing w:before="120" w:beforeLines="50" w:after="120" w:afterLines="50" w:line="240" w:lineRule="auto"/>
              <w:ind w:firstLine="0"/>
              <w:jc w:val="center"/>
              <w:rPr>
                <w:rFonts w:hAnsi="宋体" w:cs="宋体"/>
                <w:bCs/>
                <w:color w:val="auto"/>
                <w:sz w:val="21"/>
                <w:szCs w:val="21"/>
                <w:highlight w:val="none"/>
              </w:rPr>
            </w:pPr>
            <w:r>
              <w:rPr>
                <w:rFonts w:hint="eastAsia" w:hAnsi="宋体" w:cs="宋体"/>
                <w:bCs/>
                <w:color w:val="auto"/>
                <w:sz w:val="21"/>
                <w:szCs w:val="21"/>
                <w:highlight w:val="none"/>
              </w:rPr>
              <w:t>配置计划</w:t>
            </w:r>
          </w:p>
        </w:tc>
        <w:tc>
          <w:tcPr>
            <w:tcW w:w="929" w:type="dxa"/>
            <w:noWrap w:val="0"/>
            <w:vAlign w:val="center"/>
          </w:tcPr>
          <w:p>
            <w:pPr>
              <w:jc w:val="center"/>
              <w:rPr>
                <w:rFonts w:ascii="宋体" w:hAnsi="宋体"/>
                <w:snapToGrid w:val="0"/>
                <w:color w:val="auto"/>
                <w:szCs w:val="21"/>
                <w:highlight w:val="none"/>
              </w:rPr>
            </w:pPr>
            <w:r>
              <w:rPr>
                <w:rFonts w:hint="eastAsia" w:ascii="宋体" w:hAnsi="宋体"/>
                <w:snapToGrid w:val="0"/>
                <w:color w:val="auto"/>
                <w:szCs w:val="21"/>
                <w:highlight w:val="none"/>
              </w:rPr>
              <w:t>16分</w:t>
            </w:r>
          </w:p>
        </w:tc>
        <w:tc>
          <w:tcPr>
            <w:tcW w:w="1319" w:type="dxa"/>
            <w:noWrap w:val="0"/>
            <w:vAlign w:val="center"/>
          </w:tcPr>
          <w:p>
            <w:pPr>
              <w:jc w:val="left"/>
              <w:rPr>
                <w:rFonts w:ascii="宋体" w:hAnsi="宋体"/>
                <w:bCs/>
                <w:color w:val="auto"/>
                <w:szCs w:val="21"/>
                <w:highlight w:val="none"/>
              </w:rPr>
            </w:pPr>
          </w:p>
        </w:tc>
        <w:tc>
          <w:tcPr>
            <w:tcW w:w="3209" w:type="dxa"/>
            <w:tcBorders>
              <w:top w:val="nil"/>
              <w:left w:val="nil"/>
              <w:bottom w:val="single" w:color="auto" w:sz="4" w:space="0"/>
              <w:right w:val="single" w:color="auto" w:sz="4" w:space="0"/>
            </w:tcBorders>
            <w:noWrap w:val="0"/>
            <w:vAlign w:val="center"/>
          </w:tcPr>
          <w:p>
            <w:pPr>
              <w:pStyle w:val="14"/>
              <w:ind w:firstLine="0"/>
              <w:jc w:val="left"/>
              <w:rPr>
                <w:rFonts w:ascii="宋体" w:hAnsi="宋体"/>
                <w:b/>
                <w:color w:val="auto"/>
                <w:sz w:val="21"/>
                <w:szCs w:val="21"/>
                <w:highlight w:val="none"/>
              </w:rPr>
            </w:pPr>
            <w:r>
              <w:rPr>
                <w:rFonts w:hint="eastAsia" w:ascii="宋体" w:hAnsi="宋体"/>
                <w:b/>
                <w:color w:val="auto"/>
                <w:sz w:val="21"/>
                <w:szCs w:val="21"/>
                <w:highlight w:val="none"/>
              </w:rPr>
              <w:t>投标人务必将合同详细内容及应得分值填写上，以方便评委进行更加优质、高效的评审</w:t>
            </w:r>
          </w:p>
        </w:tc>
        <w:tc>
          <w:tcPr>
            <w:tcW w:w="1741" w:type="dxa"/>
            <w:tcBorders>
              <w:top w:val="nil"/>
              <w:left w:val="nil"/>
              <w:bottom w:val="single" w:color="auto" w:sz="4" w:space="0"/>
              <w:right w:val="single" w:color="auto" w:sz="4" w:space="0"/>
            </w:tcBorders>
            <w:noWrap w:val="0"/>
            <w:vAlign w:val="center"/>
          </w:tcPr>
          <w:p>
            <w:pPr>
              <w:jc w:val="center"/>
              <w:rPr>
                <w:rFonts w:ascii="宋体" w:hAnsi="宋体"/>
                <w:b/>
                <w:color w:val="auto"/>
                <w:szCs w:val="21"/>
                <w:highlight w:val="none"/>
              </w:rPr>
            </w:pPr>
            <w:r>
              <w:rPr>
                <w:rFonts w:hint="eastAsia" w:ascii="宋体" w:hAnsi="宋体" w:cs="宋体"/>
                <w:b/>
                <w:color w:val="auto"/>
                <w:kern w:val="0"/>
                <w:szCs w:val="21"/>
                <w:highlight w:val="none"/>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506" w:type="dxa"/>
            <w:noWrap w:val="0"/>
            <w:vAlign w:val="center"/>
          </w:tcPr>
          <w:p>
            <w:pPr>
              <w:jc w:val="center"/>
              <w:rPr>
                <w:rFonts w:ascii="宋体" w:hAnsi="宋体"/>
                <w:bCs/>
                <w:color w:val="auto"/>
                <w:szCs w:val="21"/>
                <w:highlight w:val="none"/>
              </w:rPr>
            </w:pPr>
            <w:r>
              <w:rPr>
                <w:rFonts w:hint="eastAsia" w:ascii="宋体" w:hAnsi="宋体"/>
                <w:bCs/>
                <w:color w:val="auto"/>
                <w:szCs w:val="21"/>
                <w:highlight w:val="none"/>
              </w:rPr>
              <w:t>6</w:t>
            </w:r>
          </w:p>
        </w:tc>
        <w:tc>
          <w:tcPr>
            <w:tcW w:w="2073" w:type="dxa"/>
            <w:noWrap w:val="0"/>
            <w:vAlign w:val="center"/>
          </w:tcPr>
          <w:p>
            <w:pPr>
              <w:pStyle w:val="22"/>
              <w:spacing w:before="120" w:beforeLines="50" w:after="120" w:afterLines="50" w:line="240" w:lineRule="auto"/>
              <w:ind w:firstLine="0"/>
              <w:jc w:val="center"/>
              <w:rPr>
                <w:rFonts w:hAnsi="宋体" w:cs="宋体"/>
                <w:bCs/>
                <w:color w:val="auto"/>
                <w:sz w:val="21"/>
                <w:szCs w:val="21"/>
                <w:highlight w:val="none"/>
              </w:rPr>
            </w:pPr>
            <w:r>
              <w:rPr>
                <w:rFonts w:hint="eastAsia" w:hAnsi="宋体" w:cs="宋体"/>
                <w:bCs/>
                <w:color w:val="auto"/>
                <w:sz w:val="21"/>
                <w:szCs w:val="21"/>
                <w:highlight w:val="none"/>
              </w:rPr>
              <w:t>投标人综合实力</w:t>
            </w:r>
          </w:p>
        </w:tc>
        <w:tc>
          <w:tcPr>
            <w:tcW w:w="929" w:type="dxa"/>
            <w:noWrap w:val="0"/>
            <w:vAlign w:val="center"/>
          </w:tcPr>
          <w:p>
            <w:pPr>
              <w:jc w:val="center"/>
              <w:rPr>
                <w:rFonts w:ascii="宋体" w:hAnsi="宋体"/>
                <w:snapToGrid w:val="0"/>
                <w:color w:val="auto"/>
                <w:szCs w:val="21"/>
                <w:highlight w:val="none"/>
              </w:rPr>
            </w:pPr>
            <w:r>
              <w:rPr>
                <w:rFonts w:ascii="宋体" w:hAnsi="宋体"/>
                <w:snapToGrid w:val="0"/>
                <w:color w:val="auto"/>
                <w:szCs w:val="21"/>
                <w:highlight w:val="none"/>
              </w:rPr>
              <w:t>7</w:t>
            </w:r>
            <w:r>
              <w:rPr>
                <w:rFonts w:hint="eastAsia" w:ascii="宋体" w:hAnsi="宋体"/>
                <w:snapToGrid w:val="0"/>
                <w:color w:val="auto"/>
                <w:szCs w:val="21"/>
                <w:highlight w:val="none"/>
              </w:rPr>
              <w:t>分</w:t>
            </w:r>
          </w:p>
        </w:tc>
        <w:tc>
          <w:tcPr>
            <w:tcW w:w="1319" w:type="dxa"/>
            <w:noWrap w:val="0"/>
            <w:vAlign w:val="center"/>
          </w:tcPr>
          <w:p>
            <w:pPr>
              <w:jc w:val="left"/>
              <w:rPr>
                <w:rFonts w:ascii="宋体" w:hAnsi="宋体"/>
                <w:bCs/>
                <w:color w:val="auto"/>
                <w:szCs w:val="21"/>
                <w:highlight w:val="none"/>
              </w:rPr>
            </w:pPr>
          </w:p>
        </w:tc>
        <w:tc>
          <w:tcPr>
            <w:tcW w:w="3209" w:type="dxa"/>
            <w:noWrap w:val="0"/>
            <w:vAlign w:val="center"/>
          </w:tcPr>
          <w:p>
            <w:pPr>
              <w:pStyle w:val="14"/>
              <w:ind w:firstLine="0"/>
              <w:jc w:val="left"/>
              <w:rPr>
                <w:rFonts w:ascii="宋体" w:hAnsi="宋体"/>
                <w:b/>
                <w:color w:val="auto"/>
                <w:sz w:val="21"/>
                <w:szCs w:val="21"/>
                <w:highlight w:val="none"/>
              </w:rPr>
            </w:pPr>
            <w:r>
              <w:rPr>
                <w:rFonts w:hint="eastAsia" w:ascii="宋体" w:hAnsi="宋体"/>
                <w:b/>
                <w:color w:val="auto"/>
                <w:sz w:val="21"/>
                <w:szCs w:val="21"/>
                <w:highlight w:val="none"/>
              </w:rPr>
              <w:t>投标人务必将合同详细内容及应得分值填写上，以方便评委进行更加优质、高效的评审</w:t>
            </w:r>
          </w:p>
        </w:tc>
        <w:tc>
          <w:tcPr>
            <w:tcW w:w="1741" w:type="dxa"/>
            <w:noWrap w:val="0"/>
            <w:vAlign w:val="center"/>
          </w:tcPr>
          <w:p>
            <w:pPr>
              <w:jc w:val="left"/>
              <w:rPr>
                <w:rFonts w:ascii="宋体" w:hAnsi="宋体"/>
                <w:b/>
                <w:color w:val="auto"/>
                <w:szCs w:val="21"/>
                <w:highlight w:val="none"/>
              </w:rPr>
            </w:pPr>
            <w:r>
              <w:rPr>
                <w:rFonts w:hint="eastAsia" w:ascii="宋体" w:hAnsi="宋体" w:cs="宋体"/>
                <w:b/>
                <w:color w:val="auto"/>
                <w:kern w:val="0"/>
                <w:szCs w:val="21"/>
                <w:highlight w:val="none"/>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trPr>
        <w:tc>
          <w:tcPr>
            <w:tcW w:w="506" w:type="dxa"/>
            <w:noWrap w:val="0"/>
            <w:vAlign w:val="center"/>
          </w:tcPr>
          <w:p>
            <w:pPr>
              <w:jc w:val="center"/>
              <w:rPr>
                <w:rFonts w:ascii="宋体" w:hAnsi="宋体"/>
                <w:bCs/>
                <w:color w:val="auto"/>
                <w:szCs w:val="21"/>
                <w:highlight w:val="none"/>
              </w:rPr>
            </w:pPr>
            <w:r>
              <w:rPr>
                <w:rFonts w:hint="eastAsia" w:ascii="宋体" w:hAnsi="宋体"/>
                <w:color w:val="auto"/>
                <w:kern w:val="0"/>
                <w:szCs w:val="21"/>
                <w:highlight w:val="none"/>
              </w:rPr>
              <w:t>7</w:t>
            </w:r>
          </w:p>
        </w:tc>
        <w:tc>
          <w:tcPr>
            <w:tcW w:w="2073" w:type="dxa"/>
            <w:noWrap w:val="0"/>
            <w:vAlign w:val="center"/>
          </w:tcPr>
          <w:p>
            <w:pPr>
              <w:pStyle w:val="22"/>
              <w:spacing w:before="120" w:beforeLines="50" w:after="120" w:afterLines="50" w:line="240" w:lineRule="auto"/>
              <w:ind w:firstLine="0"/>
              <w:jc w:val="center"/>
              <w:rPr>
                <w:rFonts w:hAnsi="宋体" w:cs="宋体"/>
                <w:bCs/>
                <w:color w:val="auto"/>
                <w:sz w:val="21"/>
                <w:szCs w:val="21"/>
                <w:highlight w:val="none"/>
              </w:rPr>
            </w:pPr>
            <w:r>
              <w:rPr>
                <w:rFonts w:hint="eastAsia" w:hAnsi="宋体" w:cs="宋体"/>
                <w:bCs/>
                <w:color w:val="auto"/>
                <w:sz w:val="21"/>
                <w:szCs w:val="21"/>
                <w:highlight w:val="none"/>
              </w:rPr>
              <w:t>所承包过项目的</w:t>
            </w:r>
          </w:p>
          <w:p>
            <w:pPr>
              <w:pStyle w:val="22"/>
              <w:spacing w:before="120" w:beforeLines="50" w:after="120" w:afterLines="50" w:line="240" w:lineRule="auto"/>
              <w:ind w:firstLine="0"/>
              <w:jc w:val="center"/>
              <w:rPr>
                <w:rFonts w:hAnsi="宋体" w:cs="宋体"/>
                <w:bCs/>
                <w:color w:val="auto"/>
                <w:sz w:val="21"/>
                <w:szCs w:val="21"/>
                <w:highlight w:val="none"/>
              </w:rPr>
            </w:pPr>
            <w:r>
              <w:rPr>
                <w:rFonts w:hint="eastAsia" w:hAnsi="宋体" w:cs="宋体"/>
                <w:bCs/>
                <w:color w:val="auto"/>
                <w:sz w:val="21"/>
                <w:szCs w:val="21"/>
                <w:highlight w:val="none"/>
              </w:rPr>
              <w:t>安全等级</w:t>
            </w:r>
          </w:p>
        </w:tc>
        <w:tc>
          <w:tcPr>
            <w:tcW w:w="929" w:type="dxa"/>
            <w:noWrap w:val="0"/>
            <w:vAlign w:val="center"/>
          </w:tcPr>
          <w:p>
            <w:pPr>
              <w:jc w:val="center"/>
              <w:rPr>
                <w:rFonts w:ascii="宋体" w:hAnsi="宋体"/>
                <w:snapToGrid w:val="0"/>
                <w:color w:val="auto"/>
                <w:szCs w:val="21"/>
                <w:highlight w:val="none"/>
              </w:rPr>
            </w:pPr>
            <w:r>
              <w:rPr>
                <w:rFonts w:ascii="宋体" w:hAnsi="宋体"/>
                <w:snapToGrid w:val="0"/>
                <w:color w:val="auto"/>
                <w:szCs w:val="21"/>
                <w:highlight w:val="none"/>
              </w:rPr>
              <w:t>6</w:t>
            </w:r>
            <w:r>
              <w:rPr>
                <w:rFonts w:hint="eastAsia" w:ascii="宋体" w:hAnsi="宋体"/>
                <w:snapToGrid w:val="0"/>
                <w:color w:val="auto"/>
                <w:szCs w:val="21"/>
                <w:highlight w:val="none"/>
              </w:rPr>
              <w:t>分</w:t>
            </w:r>
          </w:p>
        </w:tc>
        <w:tc>
          <w:tcPr>
            <w:tcW w:w="1319" w:type="dxa"/>
            <w:noWrap w:val="0"/>
            <w:vAlign w:val="center"/>
          </w:tcPr>
          <w:p>
            <w:pPr>
              <w:jc w:val="left"/>
              <w:rPr>
                <w:rFonts w:ascii="宋体" w:hAnsi="宋体"/>
                <w:bCs/>
                <w:color w:val="auto"/>
                <w:szCs w:val="21"/>
                <w:highlight w:val="none"/>
              </w:rPr>
            </w:pPr>
          </w:p>
        </w:tc>
        <w:tc>
          <w:tcPr>
            <w:tcW w:w="3209" w:type="dxa"/>
            <w:noWrap w:val="0"/>
            <w:vAlign w:val="center"/>
          </w:tcPr>
          <w:p>
            <w:pPr>
              <w:pStyle w:val="14"/>
              <w:ind w:firstLine="0"/>
              <w:jc w:val="left"/>
              <w:rPr>
                <w:rFonts w:ascii="宋体" w:hAnsi="宋体"/>
                <w:b/>
                <w:color w:val="auto"/>
                <w:sz w:val="21"/>
                <w:szCs w:val="21"/>
                <w:highlight w:val="none"/>
              </w:rPr>
            </w:pPr>
            <w:r>
              <w:rPr>
                <w:rFonts w:hint="eastAsia" w:ascii="宋体" w:hAnsi="宋体"/>
                <w:b/>
                <w:color w:val="auto"/>
                <w:sz w:val="21"/>
                <w:szCs w:val="21"/>
                <w:highlight w:val="none"/>
              </w:rPr>
              <w:t>投标人务必将合同详细内容及应得分值填写上，以方便评委进行更加优质、高效的评审</w:t>
            </w:r>
          </w:p>
        </w:tc>
        <w:tc>
          <w:tcPr>
            <w:tcW w:w="1741" w:type="dxa"/>
            <w:noWrap w:val="0"/>
            <w:vAlign w:val="center"/>
          </w:tcPr>
          <w:p>
            <w:pPr>
              <w:jc w:val="left"/>
              <w:rPr>
                <w:rFonts w:ascii="宋体" w:hAnsi="宋体"/>
                <w:b/>
                <w:color w:val="auto"/>
                <w:szCs w:val="21"/>
                <w:highlight w:val="none"/>
              </w:rPr>
            </w:pPr>
            <w:r>
              <w:rPr>
                <w:rFonts w:hint="eastAsia" w:ascii="宋体" w:hAnsi="宋体" w:cs="宋体"/>
                <w:b/>
                <w:color w:val="auto"/>
                <w:kern w:val="0"/>
                <w:szCs w:val="21"/>
                <w:highlight w:val="none"/>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506" w:type="dxa"/>
            <w:noWrap w:val="0"/>
            <w:vAlign w:val="center"/>
          </w:tcPr>
          <w:p>
            <w:pPr>
              <w:jc w:val="center"/>
              <w:rPr>
                <w:rFonts w:ascii="宋体" w:hAnsi="宋体"/>
                <w:bCs/>
                <w:color w:val="auto"/>
                <w:szCs w:val="21"/>
                <w:highlight w:val="none"/>
              </w:rPr>
            </w:pPr>
            <w:r>
              <w:rPr>
                <w:rFonts w:hint="eastAsia" w:ascii="宋体" w:hAnsi="宋体"/>
                <w:color w:val="auto"/>
                <w:kern w:val="0"/>
                <w:szCs w:val="21"/>
                <w:highlight w:val="none"/>
              </w:rPr>
              <w:t>8</w:t>
            </w:r>
          </w:p>
        </w:tc>
        <w:tc>
          <w:tcPr>
            <w:tcW w:w="2073" w:type="dxa"/>
            <w:noWrap w:val="0"/>
            <w:vAlign w:val="center"/>
          </w:tcPr>
          <w:p>
            <w:pPr>
              <w:pStyle w:val="22"/>
              <w:spacing w:before="120" w:beforeLines="50" w:after="120" w:afterLines="50" w:line="240" w:lineRule="auto"/>
              <w:ind w:firstLine="0"/>
              <w:jc w:val="center"/>
              <w:rPr>
                <w:rFonts w:hAnsi="宋体" w:cs="宋体"/>
                <w:bCs/>
                <w:color w:val="auto"/>
                <w:sz w:val="21"/>
                <w:szCs w:val="21"/>
                <w:highlight w:val="none"/>
              </w:rPr>
            </w:pPr>
            <w:r>
              <w:rPr>
                <w:rFonts w:hint="eastAsia" w:hAnsi="宋体" w:cs="宋体"/>
                <w:bCs/>
                <w:color w:val="auto"/>
                <w:sz w:val="21"/>
                <w:szCs w:val="21"/>
                <w:highlight w:val="none"/>
              </w:rPr>
              <w:t>投标人荣誉</w:t>
            </w:r>
          </w:p>
        </w:tc>
        <w:tc>
          <w:tcPr>
            <w:tcW w:w="929" w:type="dxa"/>
            <w:noWrap w:val="0"/>
            <w:vAlign w:val="center"/>
          </w:tcPr>
          <w:p>
            <w:pPr>
              <w:jc w:val="center"/>
              <w:rPr>
                <w:rFonts w:ascii="宋体" w:hAnsi="宋体"/>
                <w:snapToGrid w:val="0"/>
                <w:color w:val="auto"/>
                <w:szCs w:val="21"/>
                <w:highlight w:val="none"/>
              </w:rPr>
            </w:pPr>
            <w:r>
              <w:rPr>
                <w:rFonts w:hint="eastAsia" w:ascii="宋体" w:hAnsi="宋体"/>
                <w:snapToGrid w:val="0"/>
                <w:color w:val="auto"/>
                <w:szCs w:val="21"/>
                <w:highlight w:val="none"/>
                <w:lang w:val="en-US" w:eastAsia="zh-CN"/>
              </w:rPr>
              <w:t>4</w:t>
            </w:r>
            <w:r>
              <w:rPr>
                <w:rFonts w:hint="eastAsia" w:ascii="宋体" w:hAnsi="宋体"/>
                <w:snapToGrid w:val="0"/>
                <w:color w:val="auto"/>
                <w:szCs w:val="21"/>
                <w:highlight w:val="none"/>
              </w:rPr>
              <w:t>分</w:t>
            </w:r>
          </w:p>
        </w:tc>
        <w:tc>
          <w:tcPr>
            <w:tcW w:w="1319" w:type="dxa"/>
            <w:noWrap w:val="0"/>
            <w:vAlign w:val="center"/>
          </w:tcPr>
          <w:p>
            <w:pPr>
              <w:jc w:val="left"/>
              <w:rPr>
                <w:rFonts w:ascii="宋体" w:hAnsi="宋体"/>
                <w:bCs/>
                <w:color w:val="auto"/>
                <w:szCs w:val="21"/>
                <w:highlight w:val="none"/>
              </w:rPr>
            </w:pPr>
          </w:p>
        </w:tc>
        <w:tc>
          <w:tcPr>
            <w:tcW w:w="3209" w:type="dxa"/>
            <w:tcBorders>
              <w:top w:val="nil"/>
              <w:left w:val="nil"/>
              <w:bottom w:val="single" w:color="auto" w:sz="4" w:space="0"/>
              <w:right w:val="single" w:color="auto" w:sz="4" w:space="0"/>
            </w:tcBorders>
            <w:noWrap w:val="0"/>
            <w:vAlign w:val="center"/>
          </w:tcPr>
          <w:p>
            <w:pPr>
              <w:pStyle w:val="14"/>
              <w:ind w:firstLine="0"/>
              <w:jc w:val="left"/>
              <w:rPr>
                <w:rFonts w:ascii="宋体" w:hAnsi="宋体"/>
                <w:b/>
                <w:color w:val="auto"/>
                <w:sz w:val="21"/>
                <w:szCs w:val="21"/>
                <w:highlight w:val="none"/>
              </w:rPr>
            </w:pPr>
            <w:r>
              <w:rPr>
                <w:rFonts w:hint="eastAsia" w:ascii="宋体" w:hAnsi="宋体"/>
                <w:b/>
                <w:color w:val="auto"/>
                <w:sz w:val="21"/>
                <w:szCs w:val="21"/>
                <w:highlight w:val="none"/>
              </w:rPr>
              <w:t>投标人务必将合同详细内容及应得分值填写上，以方便评委进行更加优质、高效的评审</w:t>
            </w:r>
          </w:p>
        </w:tc>
        <w:tc>
          <w:tcPr>
            <w:tcW w:w="1741" w:type="dxa"/>
            <w:tcBorders>
              <w:top w:val="nil"/>
              <w:left w:val="nil"/>
              <w:bottom w:val="single" w:color="auto" w:sz="4" w:space="0"/>
              <w:right w:val="single" w:color="auto" w:sz="4" w:space="0"/>
            </w:tcBorders>
            <w:noWrap w:val="0"/>
            <w:vAlign w:val="center"/>
          </w:tcPr>
          <w:p>
            <w:pPr>
              <w:jc w:val="center"/>
              <w:rPr>
                <w:rFonts w:ascii="宋体" w:hAnsi="宋体"/>
                <w:b/>
                <w:color w:val="auto"/>
                <w:kern w:val="0"/>
                <w:szCs w:val="21"/>
                <w:highlight w:val="none"/>
              </w:rPr>
            </w:pPr>
            <w:r>
              <w:rPr>
                <w:rFonts w:hint="eastAsia" w:ascii="宋体" w:hAnsi="宋体" w:cs="宋体"/>
                <w:b/>
                <w:color w:val="auto"/>
                <w:kern w:val="0"/>
                <w:szCs w:val="21"/>
                <w:highlight w:val="none"/>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506" w:type="dxa"/>
            <w:noWrap w:val="0"/>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2073" w:type="dxa"/>
            <w:noWrap w:val="0"/>
            <w:vAlign w:val="center"/>
          </w:tcPr>
          <w:p>
            <w:pPr>
              <w:pStyle w:val="22"/>
              <w:spacing w:before="120" w:beforeLines="50" w:after="120" w:afterLines="50" w:line="240" w:lineRule="auto"/>
              <w:ind w:firstLine="0"/>
              <w:jc w:val="center"/>
              <w:rPr>
                <w:rFonts w:hAnsi="宋体" w:cs="宋体"/>
                <w:bCs/>
                <w:color w:val="auto"/>
                <w:sz w:val="21"/>
                <w:szCs w:val="21"/>
                <w:highlight w:val="none"/>
              </w:rPr>
            </w:pPr>
            <w:r>
              <w:rPr>
                <w:rFonts w:hint="eastAsia" w:hAnsi="宋体" w:cs="宋体"/>
                <w:bCs/>
                <w:color w:val="auto"/>
                <w:sz w:val="21"/>
                <w:szCs w:val="21"/>
                <w:highlight w:val="none"/>
              </w:rPr>
              <w:t>食堂经营业绩</w:t>
            </w:r>
          </w:p>
        </w:tc>
        <w:tc>
          <w:tcPr>
            <w:tcW w:w="929" w:type="dxa"/>
            <w:noWrap w:val="0"/>
            <w:vAlign w:val="center"/>
          </w:tcPr>
          <w:p>
            <w:pPr>
              <w:jc w:val="center"/>
              <w:rPr>
                <w:rFonts w:ascii="宋体" w:hAnsi="宋体"/>
                <w:strike/>
                <w:snapToGrid w:val="0"/>
                <w:color w:val="auto"/>
                <w:szCs w:val="21"/>
                <w:highlight w:val="none"/>
              </w:rPr>
            </w:pPr>
            <w:r>
              <w:rPr>
                <w:rFonts w:ascii="宋体" w:hAnsi="宋体"/>
                <w:snapToGrid w:val="0"/>
                <w:color w:val="auto"/>
                <w:szCs w:val="21"/>
                <w:highlight w:val="none"/>
              </w:rPr>
              <w:t>1</w:t>
            </w:r>
            <w:r>
              <w:rPr>
                <w:rFonts w:hint="eastAsia" w:ascii="宋体" w:hAnsi="宋体"/>
                <w:snapToGrid w:val="0"/>
                <w:color w:val="auto"/>
                <w:szCs w:val="21"/>
                <w:highlight w:val="none"/>
              </w:rPr>
              <w:t>分</w:t>
            </w:r>
          </w:p>
        </w:tc>
        <w:tc>
          <w:tcPr>
            <w:tcW w:w="1319" w:type="dxa"/>
            <w:noWrap w:val="0"/>
            <w:vAlign w:val="center"/>
          </w:tcPr>
          <w:p>
            <w:pPr>
              <w:pStyle w:val="14"/>
              <w:ind w:firstLine="0"/>
              <w:rPr>
                <w:rFonts w:ascii="宋体" w:hAnsi="宋体"/>
                <w:bCs/>
                <w:color w:val="auto"/>
                <w:sz w:val="21"/>
                <w:szCs w:val="21"/>
                <w:highlight w:val="none"/>
              </w:rPr>
            </w:pPr>
          </w:p>
        </w:tc>
        <w:tc>
          <w:tcPr>
            <w:tcW w:w="3209" w:type="dxa"/>
            <w:tcBorders>
              <w:top w:val="nil"/>
              <w:left w:val="nil"/>
              <w:bottom w:val="single" w:color="auto" w:sz="4" w:space="0"/>
              <w:right w:val="single" w:color="auto" w:sz="4" w:space="0"/>
            </w:tcBorders>
            <w:noWrap w:val="0"/>
            <w:vAlign w:val="center"/>
          </w:tcPr>
          <w:p>
            <w:pPr>
              <w:pStyle w:val="14"/>
              <w:ind w:firstLine="0"/>
              <w:jc w:val="left"/>
              <w:rPr>
                <w:rFonts w:ascii="宋体" w:hAnsi="宋体"/>
                <w:b/>
                <w:color w:val="auto"/>
                <w:sz w:val="21"/>
                <w:szCs w:val="21"/>
                <w:highlight w:val="none"/>
              </w:rPr>
            </w:pPr>
            <w:r>
              <w:rPr>
                <w:rFonts w:hint="eastAsia" w:ascii="宋体" w:hAnsi="宋体"/>
                <w:b/>
                <w:color w:val="auto"/>
                <w:sz w:val="21"/>
                <w:szCs w:val="21"/>
                <w:highlight w:val="none"/>
              </w:rPr>
              <w:t>投标人务必将合同详细内容及应得分值填写上，以方便评委进行更加优质、高效的评审</w:t>
            </w:r>
          </w:p>
        </w:tc>
        <w:tc>
          <w:tcPr>
            <w:tcW w:w="1741" w:type="dxa"/>
            <w:tcBorders>
              <w:top w:val="nil"/>
              <w:left w:val="nil"/>
              <w:bottom w:val="single" w:color="auto" w:sz="4" w:space="0"/>
              <w:right w:val="single" w:color="auto" w:sz="4" w:space="0"/>
            </w:tcBorders>
            <w:noWrap w:val="0"/>
            <w:vAlign w:val="center"/>
          </w:tcPr>
          <w:p>
            <w:pPr>
              <w:pStyle w:val="14"/>
              <w:ind w:firstLine="0"/>
              <w:jc w:val="center"/>
              <w:rPr>
                <w:rFonts w:ascii="宋体" w:hAnsi="宋体"/>
                <w:b/>
                <w:color w:val="auto"/>
                <w:sz w:val="21"/>
                <w:szCs w:val="21"/>
                <w:highlight w:val="none"/>
              </w:rPr>
            </w:pPr>
            <w:r>
              <w:rPr>
                <w:rFonts w:hint="eastAsia" w:ascii="宋体" w:hAnsi="宋体" w:cs="宋体"/>
                <w:b/>
                <w:color w:val="auto"/>
                <w:sz w:val="21"/>
                <w:szCs w:val="21"/>
                <w:highlight w:val="none"/>
              </w:rPr>
              <w:t>投标人将应得分值填写准确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2579" w:type="dxa"/>
            <w:gridSpan w:val="2"/>
            <w:noWrap w:val="0"/>
            <w:vAlign w:val="center"/>
          </w:tcPr>
          <w:p>
            <w:pPr>
              <w:jc w:val="center"/>
              <w:rPr>
                <w:rFonts w:ascii="宋体" w:hAnsi="宋体"/>
                <w:color w:val="auto"/>
                <w:szCs w:val="21"/>
                <w:highlight w:val="none"/>
              </w:rPr>
            </w:pPr>
            <w:r>
              <w:rPr>
                <w:rFonts w:hint="eastAsia" w:ascii="宋体" w:hAnsi="宋体"/>
                <w:color w:val="auto"/>
                <w:szCs w:val="21"/>
                <w:highlight w:val="none"/>
              </w:rPr>
              <w:t>合计</w:t>
            </w:r>
          </w:p>
        </w:tc>
        <w:tc>
          <w:tcPr>
            <w:tcW w:w="929"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85</w:t>
            </w:r>
            <w:r>
              <w:rPr>
                <w:rFonts w:hint="eastAsia" w:ascii="宋体" w:hAnsi="宋体"/>
                <w:color w:val="auto"/>
                <w:szCs w:val="21"/>
                <w:highlight w:val="none"/>
              </w:rPr>
              <w:t>分</w:t>
            </w:r>
          </w:p>
        </w:tc>
        <w:tc>
          <w:tcPr>
            <w:tcW w:w="1319" w:type="dxa"/>
            <w:noWrap w:val="0"/>
            <w:vAlign w:val="center"/>
          </w:tcPr>
          <w:p>
            <w:pPr>
              <w:jc w:val="center"/>
              <w:rPr>
                <w:rFonts w:ascii="宋体" w:hAnsi="宋体"/>
                <w:snapToGrid w:val="0"/>
                <w:color w:val="auto"/>
                <w:szCs w:val="21"/>
                <w:highlight w:val="none"/>
                <w:lang w:val="zh-CN"/>
              </w:rPr>
            </w:pPr>
          </w:p>
        </w:tc>
        <w:tc>
          <w:tcPr>
            <w:tcW w:w="3209" w:type="dxa"/>
            <w:tcBorders>
              <w:top w:val="nil"/>
              <w:left w:val="nil"/>
              <w:bottom w:val="single" w:color="auto" w:sz="4" w:space="0"/>
              <w:right w:val="single" w:color="auto" w:sz="4" w:space="0"/>
            </w:tcBorders>
            <w:noWrap w:val="0"/>
            <w:vAlign w:val="center"/>
          </w:tcPr>
          <w:p>
            <w:pPr>
              <w:snapToGrid w:val="0"/>
              <w:jc w:val="center"/>
              <w:rPr>
                <w:rFonts w:ascii="宋体" w:hAnsi="宋体"/>
                <w:bCs/>
                <w:color w:val="auto"/>
                <w:szCs w:val="21"/>
                <w:highlight w:val="none"/>
              </w:rPr>
            </w:pPr>
            <w:r>
              <w:rPr>
                <w:rFonts w:hint="eastAsia" w:ascii="宋体" w:hAnsi="宋体"/>
                <w:bCs/>
                <w:color w:val="auto"/>
                <w:szCs w:val="21"/>
                <w:highlight w:val="none"/>
              </w:rPr>
              <w:t>/</w:t>
            </w:r>
          </w:p>
        </w:tc>
        <w:tc>
          <w:tcPr>
            <w:tcW w:w="1741" w:type="dxa"/>
            <w:tcBorders>
              <w:top w:val="nil"/>
              <w:left w:val="nil"/>
              <w:bottom w:val="single" w:color="auto" w:sz="4" w:space="0"/>
              <w:right w:val="single" w:color="auto" w:sz="4" w:space="0"/>
            </w:tcBorders>
            <w:noWrap w:val="0"/>
            <w:vAlign w:val="center"/>
          </w:tcPr>
          <w:p>
            <w:pPr>
              <w:snapToGrid w:val="0"/>
              <w:jc w:val="center"/>
              <w:rPr>
                <w:rFonts w:ascii="宋体" w:hAnsi="宋体"/>
                <w:bCs/>
                <w:color w:val="auto"/>
                <w:szCs w:val="21"/>
                <w:highlight w:val="none"/>
              </w:rPr>
            </w:pPr>
            <w:r>
              <w:rPr>
                <w:rFonts w:hint="eastAsia" w:ascii="宋体" w:hAnsi="宋体"/>
                <w:bCs/>
                <w:color w:val="auto"/>
                <w:szCs w:val="21"/>
                <w:highlight w:val="none"/>
              </w:rPr>
              <w:t>/</w:t>
            </w:r>
          </w:p>
        </w:tc>
      </w:tr>
    </w:tbl>
    <w:p>
      <w:pPr>
        <w:rPr>
          <w:rFonts w:ascii="宋体" w:hAnsi="宋体"/>
          <w:b/>
          <w:color w:val="auto"/>
          <w:sz w:val="24"/>
          <w:highlight w:val="none"/>
        </w:rPr>
      </w:pPr>
    </w:p>
    <w:p>
      <w:pPr>
        <w:rPr>
          <w:rFonts w:ascii="宋体" w:hAnsi="宋体"/>
          <w:color w:val="auto"/>
          <w:sz w:val="28"/>
          <w:szCs w:val="28"/>
          <w:highlight w:val="none"/>
        </w:rPr>
      </w:pPr>
      <w:r>
        <w:rPr>
          <w:rFonts w:ascii="宋体" w:hAnsi="宋体"/>
          <w:b/>
          <w:color w:val="auto"/>
          <w:sz w:val="30"/>
          <w:szCs w:val="30"/>
          <w:highlight w:val="none"/>
        </w:rPr>
        <w:br w:type="page"/>
      </w:r>
      <w:bookmarkStart w:id="58" w:name="_Toc251160747"/>
      <w:bookmarkStart w:id="59" w:name="_Toc20313"/>
    </w:p>
    <w:p>
      <w:pPr>
        <w:adjustRightInd w:val="0"/>
        <w:snapToGrid w:val="0"/>
        <w:jc w:val="center"/>
        <w:rPr>
          <w:rFonts w:ascii="宋体" w:hAnsi="宋体"/>
          <w:color w:val="auto"/>
          <w:sz w:val="28"/>
          <w:szCs w:val="28"/>
          <w:highlight w:val="none"/>
        </w:rPr>
      </w:pPr>
    </w:p>
    <w:bookmarkEnd w:id="58"/>
    <w:bookmarkEnd w:id="59"/>
    <w:p>
      <w:pPr>
        <w:pStyle w:val="47"/>
        <w:rPr>
          <w:rFonts w:ascii="宋体" w:hAnsi="宋体"/>
          <w:color w:val="auto"/>
          <w:highlight w:val="none"/>
        </w:rPr>
      </w:pPr>
      <w:bookmarkStart w:id="60" w:name="_Toc197938085"/>
      <w:bookmarkStart w:id="61" w:name="_Toc466534751"/>
      <w:r>
        <w:rPr>
          <w:rFonts w:hint="eastAsia" w:ascii="宋体" w:hAnsi="宋体"/>
          <w:color w:val="auto"/>
          <w:highlight w:val="none"/>
        </w:rPr>
        <w:t>第五章  合同主要条款</w:t>
      </w:r>
      <w:bookmarkEnd w:id="60"/>
    </w:p>
    <w:p>
      <w:pPr>
        <w:spacing w:line="440" w:lineRule="exact"/>
        <w:ind w:left="2940" w:leftChars="1400" w:firstLine="904" w:firstLineChars="300"/>
        <w:rPr>
          <w:rFonts w:ascii="宋体" w:hAnsi="宋体"/>
          <w:b/>
          <w:color w:val="auto"/>
          <w:szCs w:val="21"/>
          <w:highlight w:val="none"/>
        </w:rPr>
      </w:pPr>
      <w:r>
        <w:rPr>
          <w:rStyle w:val="392"/>
          <w:rFonts w:hint="eastAsia" w:ascii="宋体" w:hAnsi="宋体"/>
          <w:color w:val="auto"/>
          <w:highlight w:val="none"/>
        </w:rPr>
        <w:t>（服务类）</w:t>
      </w:r>
    </w:p>
    <w:p>
      <w:pPr>
        <w:adjustRightInd w:val="0"/>
        <w:spacing w:line="440" w:lineRule="exact"/>
        <w:jc w:val="center"/>
        <w:rPr>
          <w:rFonts w:ascii="宋体" w:hAnsi="宋体"/>
          <w:color w:val="auto"/>
          <w:sz w:val="28"/>
          <w:szCs w:val="28"/>
          <w:highlight w:val="none"/>
          <w:shd w:val="pct10" w:color="auto" w:fill="FFFFFF"/>
        </w:rPr>
      </w:pPr>
      <w:r>
        <w:rPr>
          <w:rFonts w:hint="eastAsia" w:ascii="宋体" w:hAnsi="宋体"/>
          <w:color w:val="auto"/>
          <w:sz w:val="28"/>
          <w:szCs w:val="28"/>
          <w:highlight w:val="none"/>
          <w:shd w:val="pct10" w:color="auto" w:fill="FFFFFF"/>
        </w:rPr>
        <w:t>（此稿为合同样本，最终定稿待双方协商后商定）</w:t>
      </w:r>
    </w:p>
    <w:p>
      <w:pPr>
        <w:adjustRightInd w:val="0"/>
        <w:spacing w:line="440" w:lineRule="exact"/>
        <w:jc w:val="center"/>
        <w:rPr>
          <w:rFonts w:ascii="宋体" w:hAnsi="宋体"/>
          <w:color w:val="auto"/>
          <w:sz w:val="28"/>
          <w:szCs w:val="28"/>
          <w:highlight w:val="none"/>
          <w:shd w:val="pct10" w:color="auto" w:fill="FFFFFF"/>
        </w:rPr>
      </w:pPr>
    </w:p>
    <w:p>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项目名称：                                  项目编号：</w:t>
      </w:r>
    </w:p>
    <w:p>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甲方：（采购方）                              乙方：（供应商）</w:t>
      </w:r>
    </w:p>
    <w:p>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见证方：采购代理机构</w:t>
      </w:r>
    </w:p>
    <w:p>
      <w:pPr>
        <w:snapToGrid w:val="0"/>
        <w:spacing w:line="460" w:lineRule="exact"/>
        <w:ind w:firstLine="480" w:firstLineChars="200"/>
        <w:rPr>
          <w:rFonts w:ascii="宋体" w:hAnsi="宋体"/>
          <w:b/>
          <w:color w:val="auto"/>
          <w:kern w:val="0"/>
          <w:sz w:val="24"/>
          <w:highlight w:val="none"/>
        </w:rPr>
      </w:pPr>
      <w:r>
        <w:rPr>
          <w:rFonts w:hint="eastAsia" w:ascii="宋体" w:hAnsi="宋体"/>
          <w:color w:val="auto"/>
          <w:kern w:val="0"/>
          <w:sz w:val="24"/>
          <w:highlight w:val="none"/>
        </w:rPr>
        <w:t>甲、乙双方根据《中华人民共和国政府采购法》、《中华人民共和国民法典》和_______________________项目招标文件的相关规定，双方达成一致签署本合同。</w:t>
      </w:r>
    </w:p>
    <w:p>
      <w:pPr>
        <w:snapToGrid w:val="0"/>
        <w:spacing w:line="460" w:lineRule="exact"/>
        <w:rPr>
          <w:rFonts w:ascii="宋体" w:hAnsi="宋体"/>
          <w:b/>
          <w:color w:val="auto"/>
          <w:sz w:val="24"/>
          <w:highlight w:val="none"/>
        </w:rPr>
      </w:pPr>
      <w:r>
        <w:rPr>
          <w:rFonts w:hint="eastAsia" w:ascii="宋体" w:hAnsi="宋体"/>
          <w:b/>
          <w:color w:val="auto"/>
          <w:sz w:val="24"/>
          <w:highlight w:val="none"/>
        </w:rPr>
        <w:t>一、项目内容</w:t>
      </w:r>
    </w:p>
    <w:p>
      <w:pPr>
        <w:snapToGrid w:val="0"/>
        <w:spacing w:line="460" w:lineRule="exact"/>
        <w:rPr>
          <w:rFonts w:ascii="宋体" w:hAnsi="宋体"/>
          <w:b/>
          <w:color w:val="auto"/>
          <w:sz w:val="24"/>
          <w:highlight w:val="none"/>
        </w:rPr>
      </w:pPr>
    </w:p>
    <w:p>
      <w:pPr>
        <w:snapToGrid w:val="0"/>
        <w:spacing w:line="460" w:lineRule="exact"/>
        <w:rPr>
          <w:rFonts w:ascii="宋体" w:hAnsi="宋体"/>
          <w:b/>
          <w:color w:val="auto"/>
          <w:sz w:val="24"/>
          <w:highlight w:val="none"/>
        </w:rPr>
      </w:pPr>
      <w:r>
        <w:rPr>
          <w:rFonts w:hint="eastAsia" w:ascii="宋体" w:hAnsi="宋体"/>
          <w:b/>
          <w:color w:val="auto"/>
          <w:sz w:val="24"/>
          <w:highlight w:val="none"/>
        </w:rPr>
        <w:t>二、合同金额</w:t>
      </w:r>
    </w:p>
    <w:p>
      <w:pPr>
        <w:snapToGrid w:val="0"/>
        <w:spacing w:line="460" w:lineRule="exact"/>
        <w:ind w:left="410" w:hanging="410" w:hangingChars="171"/>
        <w:rPr>
          <w:rFonts w:ascii="宋体" w:hAnsi="宋体"/>
          <w:color w:val="auto"/>
          <w:sz w:val="24"/>
          <w:highlight w:val="none"/>
        </w:rPr>
      </w:pPr>
      <w:r>
        <w:rPr>
          <w:rFonts w:hint="eastAsia" w:ascii="宋体" w:hAnsi="宋体"/>
          <w:color w:val="auto"/>
          <w:sz w:val="24"/>
          <w:highlight w:val="none"/>
        </w:rPr>
        <w:t>本合同金额为（大写）：____________________________________元（￥_______________元）人民币。</w:t>
      </w:r>
    </w:p>
    <w:p>
      <w:pPr>
        <w:snapToGrid w:val="0"/>
        <w:spacing w:line="460" w:lineRule="exact"/>
        <w:rPr>
          <w:rFonts w:ascii="宋体" w:hAnsi="宋体"/>
          <w:b/>
          <w:color w:val="auto"/>
          <w:sz w:val="24"/>
          <w:highlight w:val="none"/>
        </w:rPr>
      </w:pPr>
      <w:r>
        <w:rPr>
          <w:rFonts w:hint="eastAsia" w:ascii="宋体" w:hAnsi="宋体"/>
          <w:b/>
          <w:color w:val="auto"/>
          <w:sz w:val="24"/>
          <w:highlight w:val="none"/>
        </w:rPr>
        <w:t>三、技术资料</w:t>
      </w:r>
    </w:p>
    <w:p>
      <w:pPr>
        <w:snapToGrid w:val="0"/>
        <w:spacing w:line="460" w:lineRule="exact"/>
        <w:rPr>
          <w:rFonts w:ascii="宋体" w:hAnsi="宋体"/>
          <w:color w:val="auto"/>
          <w:sz w:val="24"/>
          <w:highlight w:val="none"/>
        </w:rPr>
      </w:pPr>
      <w:r>
        <w:rPr>
          <w:rFonts w:hint="eastAsia" w:ascii="宋体" w:hAnsi="宋体"/>
          <w:color w:val="auto"/>
          <w:sz w:val="24"/>
          <w:highlight w:val="none"/>
        </w:rPr>
        <w:t>1.乙方应按招标文件规定的时间向甲方提供有关技术资料。</w:t>
      </w:r>
    </w:p>
    <w:p>
      <w:pPr>
        <w:snapToGrid w:val="0"/>
        <w:spacing w:line="460" w:lineRule="exact"/>
        <w:rPr>
          <w:rFonts w:ascii="宋体" w:hAnsi="宋体"/>
          <w:color w:val="auto"/>
          <w:sz w:val="24"/>
          <w:highlight w:val="none"/>
        </w:rPr>
      </w:pPr>
      <w:r>
        <w:rPr>
          <w:rFonts w:hint="eastAsia" w:ascii="宋体" w:hAnsi="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60" w:lineRule="exact"/>
        <w:ind w:left="412" w:hanging="412" w:hangingChars="171"/>
        <w:rPr>
          <w:rFonts w:ascii="宋体" w:hAnsi="宋体"/>
          <w:b/>
          <w:color w:val="auto"/>
          <w:sz w:val="24"/>
          <w:highlight w:val="none"/>
        </w:rPr>
      </w:pPr>
      <w:r>
        <w:rPr>
          <w:rFonts w:hint="eastAsia" w:ascii="宋体" w:hAnsi="宋体"/>
          <w:b/>
          <w:color w:val="auto"/>
          <w:sz w:val="24"/>
          <w:highlight w:val="none"/>
        </w:rPr>
        <w:t>四、知识产权</w:t>
      </w:r>
    </w:p>
    <w:p>
      <w:pPr>
        <w:pStyle w:val="29"/>
        <w:snapToGrid w:val="0"/>
        <w:spacing w:beforeLines="0" w:afterLines="0" w:line="480" w:lineRule="exact"/>
        <w:rPr>
          <w:rFonts w:hAnsi="宋体"/>
          <w:bCs/>
          <w:color w:val="auto"/>
          <w:highlight w:val="none"/>
        </w:rPr>
      </w:pPr>
      <w:r>
        <w:rPr>
          <w:rFonts w:hint="eastAsia" w:hAnsi="宋体"/>
          <w:color w:val="auto"/>
          <w:highlight w:val="none"/>
        </w:rPr>
        <w:t>乙方应保证所提供的服务均不会侵犯任何第三方的知识产权</w:t>
      </w:r>
      <w:r>
        <w:rPr>
          <w:rFonts w:hint="eastAsia" w:hAnsi="宋体"/>
          <w:bCs/>
          <w:color w:val="auto"/>
          <w:highlight w:val="none"/>
        </w:rPr>
        <w:t>。</w:t>
      </w:r>
    </w:p>
    <w:p>
      <w:pPr>
        <w:snapToGrid w:val="0"/>
        <w:spacing w:line="460" w:lineRule="exact"/>
        <w:ind w:left="410" w:hanging="410" w:hangingChars="170"/>
        <w:rPr>
          <w:rFonts w:ascii="宋体" w:hAnsi="宋体"/>
          <w:b/>
          <w:color w:val="auto"/>
          <w:sz w:val="24"/>
          <w:highlight w:val="none"/>
        </w:rPr>
      </w:pPr>
      <w:r>
        <w:rPr>
          <w:rFonts w:hint="eastAsia" w:ascii="宋体" w:hAnsi="宋体"/>
          <w:b/>
          <w:color w:val="auto"/>
          <w:sz w:val="24"/>
          <w:highlight w:val="none"/>
        </w:rPr>
        <w:t>五、履约保证金</w:t>
      </w:r>
    </w:p>
    <w:p>
      <w:pPr>
        <w:snapToGrid w:val="0"/>
        <w:spacing w:line="460" w:lineRule="exact"/>
        <w:ind w:left="408" w:hanging="408" w:hangingChars="170"/>
        <w:jc w:val="left"/>
        <w:rPr>
          <w:rFonts w:ascii="宋体" w:hAnsi="宋体"/>
          <w:color w:val="auto"/>
          <w:kern w:val="0"/>
          <w:sz w:val="24"/>
          <w:highlight w:val="none"/>
        </w:rPr>
      </w:pPr>
      <w:r>
        <w:rPr>
          <w:rFonts w:hint="eastAsia" w:ascii="宋体" w:hAnsi="宋体"/>
          <w:color w:val="auto"/>
          <w:kern w:val="0"/>
          <w:sz w:val="24"/>
          <w:highlight w:val="none"/>
        </w:rPr>
        <w:t>乙方交纳中标价的</w:t>
      </w:r>
      <w:r>
        <w:rPr>
          <w:rFonts w:hint="eastAsia" w:ascii="宋体" w:hAnsi="宋体"/>
          <w:b/>
          <w:color w:val="auto"/>
          <w:kern w:val="0"/>
          <w:sz w:val="24"/>
          <w:highlight w:val="none"/>
          <w:u w:val="single"/>
        </w:rPr>
        <w:t xml:space="preserve">       </w:t>
      </w:r>
      <w:r>
        <w:rPr>
          <w:rFonts w:hint="eastAsia" w:ascii="宋体" w:hAnsi="宋体"/>
          <w:color w:val="auto"/>
          <w:kern w:val="0"/>
          <w:sz w:val="24"/>
          <w:highlight w:val="none"/>
        </w:rPr>
        <w:t>作为本合同的履约保证金。履约保证金在中标人履行合</w:t>
      </w:r>
    </w:p>
    <w:p>
      <w:pPr>
        <w:snapToGrid w:val="0"/>
        <w:spacing w:line="460" w:lineRule="exact"/>
        <w:ind w:left="408" w:hanging="408" w:hangingChars="170"/>
        <w:jc w:val="left"/>
        <w:rPr>
          <w:rFonts w:ascii="宋体" w:hAnsi="宋体"/>
          <w:color w:val="auto"/>
          <w:kern w:val="0"/>
          <w:sz w:val="24"/>
          <w:highlight w:val="none"/>
        </w:rPr>
      </w:pPr>
      <w:r>
        <w:rPr>
          <w:rFonts w:hint="eastAsia" w:ascii="宋体" w:hAnsi="宋体"/>
          <w:color w:val="auto"/>
          <w:kern w:val="0"/>
          <w:sz w:val="24"/>
          <w:highlight w:val="none"/>
        </w:rPr>
        <w:t>同义务后且经验收合格，凭《临海市政府采购验收单》向临海市公共资源交易中心</w:t>
      </w:r>
    </w:p>
    <w:p>
      <w:pPr>
        <w:snapToGrid w:val="0"/>
        <w:spacing w:line="460" w:lineRule="exact"/>
        <w:ind w:left="408" w:hanging="408" w:hangingChars="170"/>
        <w:jc w:val="left"/>
        <w:rPr>
          <w:rFonts w:ascii="宋体" w:hAnsi="宋体"/>
          <w:color w:val="auto"/>
          <w:kern w:val="0"/>
          <w:sz w:val="24"/>
          <w:highlight w:val="none"/>
        </w:rPr>
      </w:pPr>
      <w:r>
        <w:rPr>
          <w:rFonts w:hint="eastAsia" w:ascii="宋体" w:hAnsi="宋体"/>
          <w:color w:val="auto"/>
          <w:kern w:val="0"/>
          <w:sz w:val="24"/>
          <w:highlight w:val="none"/>
        </w:rPr>
        <w:t>退还。</w:t>
      </w:r>
    </w:p>
    <w:p>
      <w:pPr>
        <w:snapToGrid w:val="0"/>
        <w:spacing w:line="460" w:lineRule="exact"/>
        <w:rPr>
          <w:rFonts w:ascii="宋体" w:hAnsi="宋体"/>
          <w:b/>
          <w:color w:val="auto"/>
          <w:sz w:val="24"/>
          <w:highlight w:val="none"/>
        </w:rPr>
      </w:pPr>
      <w:r>
        <w:rPr>
          <w:rFonts w:hint="eastAsia" w:ascii="宋体" w:hAnsi="宋体"/>
          <w:b/>
          <w:color w:val="auto"/>
          <w:sz w:val="24"/>
          <w:highlight w:val="none"/>
        </w:rPr>
        <w:t>六、转包或分包</w:t>
      </w:r>
    </w:p>
    <w:p>
      <w:pPr>
        <w:snapToGrid w:val="0"/>
        <w:spacing w:line="460" w:lineRule="exact"/>
        <w:rPr>
          <w:rFonts w:ascii="宋体" w:hAnsi="宋体"/>
          <w:color w:val="auto"/>
          <w:sz w:val="24"/>
          <w:highlight w:val="none"/>
        </w:rPr>
      </w:pPr>
      <w:r>
        <w:rPr>
          <w:rFonts w:hint="eastAsia" w:ascii="宋体" w:hAnsi="宋体"/>
          <w:color w:val="auto"/>
          <w:sz w:val="24"/>
          <w:highlight w:val="none"/>
        </w:rPr>
        <w:t>1.本合同范围的服务，应由乙方直接供应，不得转让他人供应；</w:t>
      </w:r>
    </w:p>
    <w:p>
      <w:pPr>
        <w:snapToGrid w:val="0"/>
        <w:spacing w:line="460" w:lineRule="exact"/>
        <w:rPr>
          <w:rFonts w:ascii="宋体" w:hAnsi="宋体"/>
          <w:color w:val="auto"/>
          <w:sz w:val="24"/>
          <w:highlight w:val="none"/>
        </w:rPr>
      </w:pPr>
      <w:r>
        <w:rPr>
          <w:rFonts w:hint="eastAsia" w:ascii="宋体" w:hAnsi="宋体"/>
          <w:color w:val="auto"/>
          <w:sz w:val="24"/>
          <w:highlight w:val="none"/>
        </w:rPr>
        <w:t>2.除非得到甲方的书面同意，乙方不得将本合同范围的服务全部或部分分包给他人供应；</w:t>
      </w:r>
    </w:p>
    <w:p>
      <w:pPr>
        <w:snapToGrid w:val="0"/>
        <w:spacing w:line="460" w:lineRule="exact"/>
        <w:rPr>
          <w:rFonts w:ascii="宋体" w:hAnsi="宋体"/>
          <w:color w:val="auto"/>
          <w:sz w:val="24"/>
          <w:highlight w:val="none"/>
        </w:rPr>
      </w:pPr>
      <w:r>
        <w:rPr>
          <w:rFonts w:hint="eastAsia" w:ascii="宋体" w:hAnsi="宋体"/>
          <w:color w:val="auto"/>
          <w:sz w:val="24"/>
          <w:highlight w:val="none"/>
        </w:rPr>
        <w:t>3.如有转让和未经甲方同意的分包行为，甲方有权解除合同，没收履约保证金并追究乙方的违约责任。</w:t>
      </w:r>
    </w:p>
    <w:p>
      <w:pPr>
        <w:snapToGrid w:val="0"/>
        <w:spacing w:line="460" w:lineRule="exact"/>
        <w:rPr>
          <w:rFonts w:ascii="宋体" w:hAnsi="宋体"/>
          <w:color w:val="auto"/>
          <w:sz w:val="24"/>
          <w:highlight w:val="none"/>
        </w:rPr>
      </w:pPr>
      <w:r>
        <w:rPr>
          <w:rFonts w:hint="eastAsia" w:ascii="宋体" w:hAnsi="宋体"/>
          <w:b/>
          <w:color w:val="auto"/>
          <w:sz w:val="24"/>
          <w:highlight w:val="none"/>
        </w:rPr>
        <w:t>七、服务质量保证期和服务质量保证金(选用)</w:t>
      </w:r>
    </w:p>
    <w:p>
      <w:pPr>
        <w:snapToGrid w:val="0"/>
        <w:spacing w:line="460" w:lineRule="exact"/>
        <w:ind w:left="410" w:hanging="410" w:hangingChars="171"/>
        <w:rPr>
          <w:rFonts w:ascii="宋体" w:hAnsi="宋体"/>
          <w:color w:val="auto"/>
          <w:sz w:val="24"/>
          <w:highlight w:val="none"/>
        </w:rPr>
      </w:pPr>
      <w:r>
        <w:rPr>
          <w:rFonts w:hint="eastAsia" w:ascii="宋体" w:hAnsi="宋体"/>
          <w:color w:val="auto"/>
          <w:sz w:val="24"/>
          <w:highlight w:val="none"/>
        </w:rPr>
        <w:t>1.服务质量保证期</w:t>
      </w:r>
      <w:r>
        <w:rPr>
          <w:rFonts w:hint="eastAsia" w:ascii="宋体" w:hAnsi="宋体"/>
          <w:color w:val="auto"/>
          <w:sz w:val="24"/>
          <w:highlight w:val="none"/>
          <w:u w:val="single"/>
        </w:rPr>
        <w:t xml:space="preserve">      </w:t>
      </w:r>
      <w:r>
        <w:rPr>
          <w:rFonts w:hint="eastAsia" w:ascii="宋体" w:hAnsi="宋体"/>
          <w:color w:val="auto"/>
          <w:sz w:val="24"/>
          <w:highlight w:val="none"/>
        </w:rPr>
        <w:t>年。（自验收合格之日起计）</w:t>
      </w:r>
    </w:p>
    <w:p>
      <w:pPr>
        <w:snapToGrid w:val="0"/>
        <w:spacing w:line="460" w:lineRule="exact"/>
        <w:ind w:left="410" w:hanging="410" w:hangingChars="171"/>
        <w:rPr>
          <w:rFonts w:ascii="宋体" w:hAnsi="宋体"/>
          <w:color w:val="auto"/>
          <w:sz w:val="24"/>
          <w:highlight w:val="none"/>
        </w:rPr>
      </w:pPr>
      <w:r>
        <w:rPr>
          <w:rFonts w:hint="eastAsia" w:ascii="宋体" w:hAnsi="宋体"/>
          <w:color w:val="auto"/>
          <w:sz w:val="24"/>
          <w:highlight w:val="none"/>
        </w:rPr>
        <w:t>2.服务质量保证金</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pPr>
        <w:snapToGrid w:val="0"/>
        <w:spacing w:line="460" w:lineRule="exact"/>
        <w:rPr>
          <w:rFonts w:ascii="宋体" w:hAnsi="宋体"/>
          <w:b/>
          <w:color w:val="auto"/>
          <w:sz w:val="24"/>
          <w:highlight w:val="none"/>
        </w:rPr>
      </w:pPr>
      <w:r>
        <w:rPr>
          <w:rFonts w:hint="eastAsia" w:ascii="宋体" w:hAnsi="宋体"/>
          <w:b/>
          <w:color w:val="auto"/>
          <w:sz w:val="24"/>
          <w:highlight w:val="none"/>
        </w:rPr>
        <w:t>八、合同履行时间、履行方式及履行地点</w:t>
      </w:r>
    </w:p>
    <w:p>
      <w:pPr>
        <w:snapToGrid w:val="0"/>
        <w:spacing w:line="460" w:lineRule="exact"/>
        <w:rPr>
          <w:rFonts w:ascii="宋体" w:hAnsi="宋体"/>
          <w:bCs/>
          <w:color w:val="auto"/>
          <w:sz w:val="24"/>
          <w:highlight w:val="none"/>
        </w:rPr>
      </w:pPr>
      <w:r>
        <w:rPr>
          <w:rFonts w:hint="eastAsia" w:ascii="宋体" w:hAnsi="宋体"/>
          <w:bCs/>
          <w:color w:val="auto"/>
          <w:sz w:val="24"/>
          <w:highlight w:val="none"/>
        </w:rPr>
        <w:t xml:space="preserve">1. </w:t>
      </w:r>
      <w:r>
        <w:rPr>
          <w:rFonts w:hint="eastAsia" w:ascii="宋体" w:hAnsi="宋体"/>
          <w:color w:val="auto"/>
          <w:sz w:val="24"/>
          <w:highlight w:val="none"/>
        </w:rPr>
        <w:t>履行时间</w:t>
      </w:r>
      <w:r>
        <w:rPr>
          <w:rFonts w:hint="eastAsia" w:ascii="宋体" w:hAnsi="宋体"/>
          <w:bCs/>
          <w:color w:val="auto"/>
          <w:sz w:val="24"/>
          <w:highlight w:val="none"/>
        </w:rPr>
        <w:t>：</w:t>
      </w:r>
    </w:p>
    <w:p>
      <w:pPr>
        <w:snapToGrid w:val="0"/>
        <w:spacing w:line="460" w:lineRule="exact"/>
        <w:rPr>
          <w:rFonts w:ascii="宋体" w:hAnsi="宋体"/>
          <w:bCs/>
          <w:color w:val="auto"/>
          <w:sz w:val="24"/>
          <w:highlight w:val="none"/>
        </w:rPr>
      </w:pPr>
      <w:r>
        <w:rPr>
          <w:rFonts w:hint="eastAsia" w:ascii="宋体" w:hAnsi="宋体"/>
          <w:bCs/>
          <w:color w:val="auto"/>
          <w:sz w:val="24"/>
          <w:highlight w:val="none"/>
        </w:rPr>
        <w:t xml:space="preserve">2. </w:t>
      </w:r>
      <w:r>
        <w:rPr>
          <w:rFonts w:hint="eastAsia" w:ascii="宋体" w:hAnsi="宋体"/>
          <w:color w:val="auto"/>
          <w:sz w:val="24"/>
          <w:highlight w:val="none"/>
        </w:rPr>
        <w:t>履行方式</w:t>
      </w:r>
      <w:r>
        <w:rPr>
          <w:rFonts w:hint="eastAsia" w:ascii="宋体" w:hAnsi="宋体"/>
          <w:bCs/>
          <w:color w:val="auto"/>
          <w:sz w:val="24"/>
          <w:highlight w:val="none"/>
        </w:rPr>
        <w:t>：</w:t>
      </w:r>
    </w:p>
    <w:p>
      <w:pPr>
        <w:snapToGrid w:val="0"/>
        <w:spacing w:line="460" w:lineRule="exact"/>
        <w:rPr>
          <w:rFonts w:ascii="宋体" w:hAnsi="宋体"/>
          <w:color w:val="auto"/>
          <w:sz w:val="24"/>
          <w:highlight w:val="none"/>
        </w:rPr>
      </w:pPr>
      <w:r>
        <w:rPr>
          <w:rFonts w:hint="eastAsia" w:ascii="宋体" w:hAnsi="宋体"/>
          <w:bCs/>
          <w:color w:val="auto"/>
          <w:sz w:val="24"/>
          <w:highlight w:val="none"/>
        </w:rPr>
        <w:t xml:space="preserve">3. </w:t>
      </w:r>
      <w:r>
        <w:rPr>
          <w:rFonts w:hint="eastAsia" w:ascii="宋体" w:hAnsi="宋体"/>
          <w:color w:val="auto"/>
          <w:sz w:val="24"/>
          <w:highlight w:val="none"/>
        </w:rPr>
        <w:t>履行地点</w:t>
      </w:r>
      <w:r>
        <w:rPr>
          <w:rFonts w:hint="eastAsia" w:ascii="宋体" w:hAnsi="宋体"/>
          <w:bCs/>
          <w:color w:val="auto"/>
          <w:sz w:val="24"/>
          <w:highlight w:val="none"/>
        </w:rPr>
        <w:t>：</w:t>
      </w:r>
    </w:p>
    <w:p>
      <w:pPr>
        <w:snapToGrid w:val="0"/>
        <w:spacing w:line="460" w:lineRule="exact"/>
        <w:rPr>
          <w:rFonts w:ascii="宋体" w:hAnsi="宋体"/>
          <w:b/>
          <w:color w:val="auto"/>
          <w:sz w:val="24"/>
          <w:highlight w:val="none"/>
        </w:rPr>
      </w:pPr>
      <w:r>
        <w:rPr>
          <w:rFonts w:hint="eastAsia" w:ascii="宋体" w:hAnsi="宋体"/>
          <w:b/>
          <w:color w:val="auto"/>
          <w:sz w:val="24"/>
          <w:highlight w:val="none"/>
        </w:rPr>
        <w:t>九、款项支付</w:t>
      </w:r>
    </w:p>
    <w:p>
      <w:pPr>
        <w:snapToGrid w:val="0"/>
        <w:spacing w:line="460" w:lineRule="exact"/>
        <w:rPr>
          <w:rFonts w:ascii="宋体" w:hAnsi="宋体"/>
          <w:bCs/>
          <w:color w:val="auto"/>
          <w:sz w:val="24"/>
          <w:highlight w:val="none"/>
        </w:rPr>
      </w:pPr>
      <w:r>
        <w:rPr>
          <w:rFonts w:hint="eastAsia" w:ascii="宋体" w:hAnsi="宋体"/>
          <w:bCs/>
          <w:color w:val="auto"/>
          <w:sz w:val="24"/>
          <w:highlight w:val="none"/>
        </w:rPr>
        <w:t xml:space="preserve"> 付款方式：</w:t>
      </w:r>
    </w:p>
    <w:p>
      <w:pPr>
        <w:pStyle w:val="24"/>
        <w:adjustRightInd w:val="0"/>
        <w:snapToGrid w:val="0"/>
        <w:spacing w:line="480" w:lineRule="exact"/>
        <w:ind w:left="98" w:leftChars="0" w:hanging="98" w:hangingChars="41"/>
        <w:jc w:val="left"/>
        <w:rPr>
          <w:rFonts w:ascii="宋体" w:hAnsi="宋体"/>
          <w:color w:val="auto"/>
          <w:sz w:val="24"/>
          <w:highlight w:val="none"/>
        </w:rPr>
      </w:pPr>
      <w:r>
        <w:rPr>
          <w:rFonts w:hint="eastAsia" w:ascii="宋体" w:hAnsi="宋体"/>
          <w:color w:val="auto"/>
          <w:sz w:val="24"/>
          <w:highlight w:val="none"/>
        </w:rPr>
        <w:t>合同款支付到如下账户</w:t>
      </w:r>
      <w:r>
        <w:rPr>
          <w:rFonts w:hint="eastAsia" w:ascii="宋体" w:hAnsi="宋体"/>
          <w:bCs/>
          <w:color w:val="auto"/>
          <w:sz w:val="24"/>
          <w:highlight w:val="none"/>
        </w:rPr>
        <w:t>（开户名：</w:t>
      </w:r>
      <w:r>
        <w:rPr>
          <w:rFonts w:ascii="宋体" w:hAnsi="宋体"/>
          <w:bCs/>
          <w:color w:val="auto"/>
          <w:sz w:val="24"/>
          <w:highlight w:val="none"/>
          <w:u w:val="single"/>
        </w:rPr>
        <w:t xml:space="preserve">               </w:t>
      </w:r>
      <w:r>
        <w:rPr>
          <w:rFonts w:hint="eastAsia" w:ascii="宋体" w:hAnsi="宋体"/>
          <w:bCs/>
          <w:color w:val="auto"/>
          <w:sz w:val="24"/>
          <w:highlight w:val="none"/>
        </w:rPr>
        <w:t>，开户行：</w:t>
      </w:r>
      <w:r>
        <w:rPr>
          <w:rFonts w:ascii="宋体" w:hAnsi="宋体"/>
          <w:bCs/>
          <w:color w:val="auto"/>
          <w:sz w:val="24"/>
          <w:highlight w:val="none"/>
          <w:u w:val="single"/>
        </w:rPr>
        <w:t xml:space="preserve">                 </w:t>
      </w:r>
      <w:r>
        <w:rPr>
          <w:rFonts w:hint="eastAsia" w:ascii="宋体" w:hAnsi="宋体"/>
          <w:color w:val="auto"/>
          <w:sz w:val="24"/>
          <w:highlight w:val="none"/>
        </w:rPr>
        <w:t>，账号：</w:t>
      </w:r>
      <w:r>
        <w:rPr>
          <w:rFonts w:ascii="宋体" w:hAnsi="宋体"/>
          <w:color w:val="auto"/>
          <w:sz w:val="24"/>
          <w:highlight w:val="none"/>
          <w:u w:val="single"/>
        </w:rPr>
        <w:t xml:space="preserve">                    </w:t>
      </w:r>
      <w:r>
        <w:rPr>
          <w:rFonts w:hint="eastAsia" w:ascii="宋体" w:hAnsi="宋体"/>
          <w:color w:val="auto"/>
          <w:sz w:val="24"/>
          <w:highlight w:val="none"/>
        </w:rPr>
        <w:t>。</w:t>
      </w:r>
    </w:p>
    <w:p>
      <w:pPr>
        <w:pStyle w:val="24"/>
        <w:adjustRightInd w:val="0"/>
        <w:snapToGrid w:val="0"/>
        <w:spacing w:line="480" w:lineRule="exact"/>
        <w:ind w:left="98" w:leftChars="0" w:hanging="98" w:hangingChars="41"/>
        <w:jc w:val="left"/>
        <w:rPr>
          <w:rFonts w:ascii="宋体" w:hAnsi="宋体"/>
          <w:color w:val="auto"/>
          <w:sz w:val="24"/>
          <w:highlight w:val="none"/>
        </w:rPr>
      </w:pPr>
      <w:r>
        <w:rPr>
          <w:rFonts w:hint="eastAsia" w:ascii="宋体" w:hAnsi="宋体"/>
          <w:color w:val="auto"/>
          <w:sz w:val="24"/>
          <w:highlight w:val="none"/>
        </w:rPr>
        <w:t>（收款账户须与政采云平台上登记银行账户一致，否则将造成无法支付合同款）</w:t>
      </w:r>
    </w:p>
    <w:p>
      <w:pPr>
        <w:snapToGrid w:val="0"/>
        <w:spacing w:line="460" w:lineRule="exact"/>
        <w:rPr>
          <w:rFonts w:ascii="宋体" w:hAnsi="宋体"/>
          <w:b/>
          <w:color w:val="auto"/>
          <w:sz w:val="24"/>
          <w:highlight w:val="none"/>
        </w:rPr>
      </w:pPr>
      <w:r>
        <w:rPr>
          <w:rFonts w:hint="eastAsia" w:ascii="宋体" w:hAnsi="宋体"/>
          <w:b/>
          <w:color w:val="auto"/>
          <w:sz w:val="24"/>
          <w:highlight w:val="none"/>
        </w:rPr>
        <w:t>十、税费</w:t>
      </w:r>
    </w:p>
    <w:p>
      <w:pPr>
        <w:snapToGrid w:val="0"/>
        <w:spacing w:line="460" w:lineRule="exact"/>
        <w:rPr>
          <w:rFonts w:ascii="宋体" w:hAnsi="宋体"/>
          <w:color w:val="auto"/>
          <w:sz w:val="24"/>
          <w:highlight w:val="none"/>
        </w:rPr>
      </w:pPr>
      <w:r>
        <w:rPr>
          <w:rFonts w:hint="eastAsia" w:ascii="宋体" w:hAnsi="宋体"/>
          <w:color w:val="auto"/>
          <w:sz w:val="24"/>
          <w:highlight w:val="none"/>
        </w:rPr>
        <w:t>本合同执行中相关的一切税费均由乙方负担。</w:t>
      </w:r>
    </w:p>
    <w:p>
      <w:pPr>
        <w:snapToGrid w:val="0"/>
        <w:spacing w:line="460" w:lineRule="exact"/>
        <w:ind w:left="412" w:hanging="412" w:hangingChars="171"/>
        <w:rPr>
          <w:rFonts w:ascii="宋体" w:hAnsi="宋体"/>
          <w:color w:val="auto"/>
          <w:sz w:val="24"/>
          <w:highlight w:val="none"/>
        </w:rPr>
      </w:pPr>
      <w:r>
        <w:rPr>
          <w:rFonts w:hint="eastAsia" w:ascii="宋体" w:hAnsi="宋体"/>
          <w:b/>
          <w:color w:val="auto"/>
          <w:sz w:val="24"/>
          <w:highlight w:val="none"/>
        </w:rPr>
        <w:t>十一、质量保证及后续服务</w:t>
      </w:r>
    </w:p>
    <w:p>
      <w:pPr>
        <w:snapToGrid w:val="0"/>
        <w:spacing w:line="460" w:lineRule="exact"/>
        <w:rPr>
          <w:rFonts w:ascii="宋体" w:hAnsi="宋体"/>
          <w:color w:val="auto"/>
          <w:sz w:val="24"/>
          <w:highlight w:val="none"/>
        </w:rPr>
      </w:pPr>
      <w:r>
        <w:rPr>
          <w:rFonts w:hint="eastAsia" w:ascii="宋体" w:hAnsi="宋体"/>
          <w:color w:val="auto"/>
          <w:sz w:val="24"/>
          <w:highlight w:val="none"/>
        </w:rPr>
        <w:t>1．乙方应按招标文件规定向甲方提供服务。</w:t>
      </w:r>
    </w:p>
    <w:p>
      <w:pPr>
        <w:snapToGrid w:val="0"/>
        <w:spacing w:line="460" w:lineRule="exact"/>
        <w:rPr>
          <w:rFonts w:ascii="宋体" w:hAnsi="宋体"/>
          <w:color w:val="auto"/>
          <w:sz w:val="24"/>
          <w:highlight w:val="none"/>
        </w:rPr>
      </w:pPr>
      <w:r>
        <w:rPr>
          <w:rFonts w:hint="eastAsia" w:ascii="宋体" w:hAnsi="宋体"/>
          <w:color w:val="auto"/>
          <w:sz w:val="24"/>
          <w:highlight w:val="none"/>
        </w:rPr>
        <w:t>2．乙方提供的服务成果在服务质量保证期内发生故障，乙方应负责免费提供后续服务。对达不到要求者，根据实际情况，经双方协商，可按以下办法处理：</w:t>
      </w:r>
    </w:p>
    <w:p>
      <w:pPr>
        <w:snapToGrid w:val="0"/>
        <w:spacing w:line="460" w:lineRule="exact"/>
        <w:rPr>
          <w:rFonts w:ascii="宋体" w:hAnsi="宋体"/>
          <w:color w:val="auto"/>
          <w:sz w:val="24"/>
          <w:highlight w:val="none"/>
        </w:rPr>
      </w:pPr>
      <w:r>
        <w:rPr>
          <w:rFonts w:hint="eastAsia" w:ascii="宋体" w:hAnsi="宋体"/>
          <w:color w:val="auto"/>
          <w:sz w:val="24"/>
          <w:highlight w:val="none"/>
        </w:rPr>
        <w:t>⑴重做：由乙方承担所发生的全部费用。</w:t>
      </w:r>
    </w:p>
    <w:p>
      <w:pPr>
        <w:snapToGrid w:val="0"/>
        <w:spacing w:line="460" w:lineRule="exact"/>
        <w:rPr>
          <w:rFonts w:ascii="宋体" w:hAnsi="宋体"/>
          <w:color w:val="auto"/>
          <w:sz w:val="24"/>
          <w:highlight w:val="none"/>
        </w:rPr>
      </w:pPr>
      <w:r>
        <w:rPr>
          <w:rFonts w:hint="eastAsia" w:ascii="宋体" w:hAnsi="宋体"/>
          <w:color w:val="auto"/>
          <w:sz w:val="24"/>
          <w:highlight w:val="none"/>
        </w:rPr>
        <w:t>⑵贬值处理：由甲乙双方合议定价。</w:t>
      </w:r>
    </w:p>
    <w:p>
      <w:pPr>
        <w:snapToGrid w:val="0"/>
        <w:spacing w:line="460" w:lineRule="exact"/>
        <w:ind w:left="420" w:leftChars="200"/>
        <w:rPr>
          <w:rFonts w:ascii="宋体" w:hAnsi="宋体"/>
          <w:color w:val="auto"/>
          <w:sz w:val="24"/>
          <w:highlight w:val="none"/>
        </w:rPr>
      </w:pPr>
      <w:r>
        <w:rPr>
          <w:rFonts w:hint="eastAsia" w:ascii="宋体" w:hAnsi="宋体"/>
          <w:color w:val="auto"/>
          <w:sz w:val="24"/>
          <w:highlight w:val="none"/>
        </w:rPr>
        <w:t>⑶解除合同。</w:t>
      </w:r>
    </w:p>
    <w:p>
      <w:pPr>
        <w:snapToGrid w:val="0"/>
        <w:spacing w:line="460" w:lineRule="exact"/>
        <w:rPr>
          <w:rFonts w:ascii="宋体" w:hAnsi="宋体"/>
          <w:color w:val="auto"/>
          <w:sz w:val="24"/>
          <w:highlight w:val="none"/>
        </w:rPr>
      </w:pPr>
      <w:r>
        <w:rPr>
          <w:rFonts w:hint="eastAsia" w:ascii="宋体" w:hAnsi="宋体"/>
          <w:color w:val="auto"/>
          <w:sz w:val="24"/>
          <w:highlight w:val="none"/>
        </w:rPr>
        <w:t>3． 如在使用过程中发生问题，乙方在接到甲方通知后在△小时内到达甲方现场。</w:t>
      </w:r>
    </w:p>
    <w:p>
      <w:pPr>
        <w:snapToGrid w:val="0"/>
        <w:spacing w:line="460" w:lineRule="exact"/>
        <w:rPr>
          <w:rFonts w:ascii="宋体" w:hAnsi="宋体"/>
          <w:color w:val="auto"/>
          <w:sz w:val="24"/>
          <w:highlight w:val="none"/>
        </w:rPr>
      </w:pPr>
      <w:r>
        <w:rPr>
          <w:rFonts w:hint="eastAsia" w:ascii="宋体" w:hAnsi="宋体"/>
          <w:color w:val="auto"/>
          <w:sz w:val="24"/>
          <w:highlight w:val="none"/>
        </w:rPr>
        <w:t>4．在</w:t>
      </w:r>
      <w:r>
        <w:rPr>
          <w:rFonts w:hint="eastAsia" w:ascii="宋体" w:hAnsi="宋体"/>
          <w:b/>
          <w:color w:val="auto"/>
          <w:sz w:val="24"/>
          <w:highlight w:val="none"/>
        </w:rPr>
        <w:t>服务质量保证期</w:t>
      </w:r>
      <w:r>
        <w:rPr>
          <w:rFonts w:hint="eastAsia" w:ascii="宋体" w:hAnsi="宋体"/>
          <w:color w:val="auto"/>
          <w:sz w:val="24"/>
          <w:highlight w:val="none"/>
        </w:rPr>
        <w:t>内，乙方应对出现的质量及安全问题负责处理解决并承担</w:t>
      </w:r>
    </w:p>
    <w:p>
      <w:pPr>
        <w:snapToGrid w:val="0"/>
        <w:spacing w:line="460" w:lineRule="exact"/>
        <w:rPr>
          <w:rFonts w:ascii="宋体" w:hAnsi="宋体"/>
          <w:color w:val="auto"/>
          <w:sz w:val="24"/>
          <w:highlight w:val="none"/>
        </w:rPr>
      </w:pPr>
      <w:r>
        <w:rPr>
          <w:rFonts w:hint="eastAsia" w:ascii="宋体" w:hAnsi="宋体"/>
          <w:color w:val="auto"/>
          <w:sz w:val="24"/>
          <w:highlight w:val="none"/>
        </w:rPr>
        <w:t>一切费用。</w:t>
      </w:r>
    </w:p>
    <w:p>
      <w:pPr>
        <w:snapToGrid w:val="0"/>
        <w:spacing w:line="460" w:lineRule="exact"/>
        <w:rPr>
          <w:rFonts w:ascii="宋体" w:hAnsi="宋体"/>
          <w:b/>
          <w:color w:val="auto"/>
          <w:sz w:val="24"/>
          <w:highlight w:val="none"/>
        </w:rPr>
      </w:pPr>
      <w:r>
        <w:rPr>
          <w:rFonts w:hint="eastAsia" w:ascii="宋体" w:hAnsi="宋体"/>
          <w:b/>
          <w:color w:val="auto"/>
          <w:sz w:val="24"/>
          <w:highlight w:val="none"/>
        </w:rPr>
        <w:t>十二、违约责任</w:t>
      </w:r>
    </w:p>
    <w:p>
      <w:pPr>
        <w:snapToGrid w:val="0"/>
        <w:spacing w:line="460" w:lineRule="exact"/>
        <w:rPr>
          <w:rFonts w:ascii="宋体" w:hAnsi="宋体"/>
          <w:color w:val="auto"/>
          <w:sz w:val="24"/>
          <w:highlight w:val="none"/>
        </w:rPr>
      </w:pPr>
      <w:r>
        <w:rPr>
          <w:rFonts w:hint="eastAsia" w:ascii="宋体" w:hAnsi="宋体"/>
          <w:color w:val="auto"/>
          <w:sz w:val="24"/>
          <w:highlight w:val="none"/>
        </w:rPr>
        <w:t>1．甲方无正当理由拒收接受服务的，甲方向乙方偿付合同款项百分之五作为违约金。</w:t>
      </w:r>
    </w:p>
    <w:p>
      <w:pPr>
        <w:snapToGrid w:val="0"/>
        <w:spacing w:line="460" w:lineRule="exact"/>
        <w:rPr>
          <w:rFonts w:ascii="宋体" w:hAnsi="宋体"/>
          <w:color w:val="auto"/>
          <w:sz w:val="24"/>
          <w:highlight w:val="none"/>
        </w:rPr>
      </w:pPr>
      <w:r>
        <w:rPr>
          <w:rFonts w:hint="eastAsia" w:ascii="宋体" w:hAnsi="宋体"/>
          <w:color w:val="auto"/>
          <w:sz w:val="24"/>
          <w:highlight w:val="none"/>
        </w:rPr>
        <w:t>2．甲方无故逾期验收和办理款项支付手续的,甲方应按逾期付款总额每日万分之五向乙方支付违约金。</w:t>
      </w:r>
    </w:p>
    <w:p>
      <w:pPr>
        <w:snapToGrid w:val="0"/>
        <w:spacing w:line="460" w:lineRule="exact"/>
        <w:rPr>
          <w:rFonts w:ascii="宋体" w:hAnsi="宋体"/>
          <w:color w:val="auto"/>
          <w:sz w:val="24"/>
          <w:highlight w:val="none"/>
        </w:rPr>
      </w:pPr>
      <w:r>
        <w:rPr>
          <w:rFonts w:hint="eastAsia" w:ascii="宋体" w:hAnsi="宋体"/>
          <w:color w:val="auto"/>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snapToGrid w:val="0"/>
        <w:spacing w:line="460" w:lineRule="exact"/>
        <w:rPr>
          <w:rFonts w:ascii="宋体" w:hAnsi="宋体"/>
          <w:b/>
          <w:color w:val="auto"/>
          <w:sz w:val="24"/>
          <w:highlight w:val="none"/>
        </w:rPr>
      </w:pPr>
      <w:r>
        <w:rPr>
          <w:rFonts w:hint="eastAsia" w:ascii="宋体" w:hAnsi="宋体"/>
          <w:b/>
          <w:color w:val="auto"/>
          <w:sz w:val="24"/>
          <w:highlight w:val="none"/>
        </w:rPr>
        <w:t>十三、不可抗力事件处理</w:t>
      </w:r>
    </w:p>
    <w:p>
      <w:pPr>
        <w:snapToGrid w:val="0"/>
        <w:spacing w:line="460" w:lineRule="exact"/>
        <w:rPr>
          <w:rFonts w:ascii="宋体" w:hAnsi="宋体"/>
          <w:color w:val="auto"/>
          <w:sz w:val="24"/>
          <w:highlight w:val="none"/>
        </w:rPr>
      </w:pPr>
      <w:r>
        <w:rPr>
          <w:rFonts w:hint="eastAsia" w:ascii="宋体" w:hAnsi="宋体"/>
          <w:color w:val="auto"/>
          <w:sz w:val="24"/>
          <w:highlight w:val="none"/>
        </w:rPr>
        <w:t>1．在合同有效期内，任何一方因不可抗力事件导致不能履行合同，则合同履行</w:t>
      </w:r>
    </w:p>
    <w:p>
      <w:pPr>
        <w:snapToGrid w:val="0"/>
        <w:spacing w:line="460" w:lineRule="exact"/>
        <w:rPr>
          <w:rFonts w:ascii="宋体" w:hAnsi="宋体"/>
          <w:color w:val="auto"/>
          <w:sz w:val="24"/>
          <w:highlight w:val="none"/>
        </w:rPr>
      </w:pPr>
      <w:r>
        <w:rPr>
          <w:rFonts w:hint="eastAsia" w:ascii="宋体" w:hAnsi="宋体"/>
          <w:color w:val="auto"/>
          <w:sz w:val="24"/>
          <w:highlight w:val="none"/>
        </w:rPr>
        <w:t>期可延长，其延长期与不可抗力影响期相同。</w:t>
      </w:r>
    </w:p>
    <w:p>
      <w:pPr>
        <w:snapToGrid w:val="0"/>
        <w:spacing w:line="460" w:lineRule="exact"/>
        <w:rPr>
          <w:rFonts w:ascii="宋体" w:hAnsi="宋体"/>
          <w:color w:val="auto"/>
          <w:sz w:val="24"/>
          <w:highlight w:val="none"/>
        </w:rPr>
      </w:pPr>
      <w:r>
        <w:rPr>
          <w:rFonts w:hint="eastAsia" w:ascii="宋体" w:hAnsi="宋体"/>
          <w:color w:val="auto"/>
          <w:sz w:val="24"/>
          <w:highlight w:val="none"/>
        </w:rPr>
        <w:t>2．不可抗力事件发生后，应立即通知对方，并寄送有关权威机构出具的证明。</w:t>
      </w:r>
    </w:p>
    <w:p>
      <w:pPr>
        <w:snapToGrid w:val="0"/>
        <w:spacing w:line="460" w:lineRule="exact"/>
        <w:rPr>
          <w:rFonts w:ascii="宋体" w:hAnsi="宋体"/>
          <w:color w:val="auto"/>
          <w:sz w:val="24"/>
          <w:highlight w:val="none"/>
        </w:rPr>
      </w:pPr>
      <w:r>
        <w:rPr>
          <w:rFonts w:hint="eastAsia" w:ascii="宋体" w:hAnsi="宋体"/>
          <w:color w:val="auto"/>
          <w:sz w:val="24"/>
          <w:highlight w:val="none"/>
        </w:rPr>
        <w:t>3．不可抗力事件延续120天以上，双方应通过友好协商，确定是否继续履行合</w:t>
      </w:r>
    </w:p>
    <w:p>
      <w:pPr>
        <w:snapToGrid w:val="0"/>
        <w:spacing w:line="460" w:lineRule="exact"/>
        <w:rPr>
          <w:rFonts w:ascii="宋体" w:hAnsi="宋体"/>
          <w:color w:val="auto"/>
          <w:sz w:val="24"/>
          <w:highlight w:val="none"/>
        </w:rPr>
      </w:pPr>
      <w:r>
        <w:rPr>
          <w:rFonts w:hint="eastAsia" w:ascii="宋体" w:hAnsi="宋体"/>
          <w:color w:val="auto"/>
          <w:sz w:val="24"/>
          <w:highlight w:val="none"/>
        </w:rPr>
        <w:t>同。</w:t>
      </w:r>
    </w:p>
    <w:p>
      <w:pPr>
        <w:snapToGrid w:val="0"/>
        <w:spacing w:line="460" w:lineRule="exact"/>
        <w:rPr>
          <w:rFonts w:ascii="宋体" w:hAnsi="宋体"/>
          <w:b/>
          <w:color w:val="auto"/>
          <w:sz w:val="24"/>
          <w:highlight w:val="none"/>
        </w:rPr>
      </w:pPr>
      <w:r>
        <w:rPr>
          <w:rFonts w:hint="eastAsia" w:ascii="宋体" w:hAnsi="宋体"/>
          <w:b/>
          <w:color w:val="auto"/>
          <w:sz w:val="24"/>
          <w:highlight w:val="none"/>
        </w:rPr>
        <w:t>十四、诉讼</w:t>
      </w:r>
    </w:p>
    <w:p>
      <w:pPr>
        <w:snapToGrid w:val="0"/>
        <w:spacing w:line="460" w:lineRule="exact"/>
        <w:ind w:left="480" w:hanging="480" w:hangingChars="200"/>
        <w:rPr>
          <w:rFonts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w:t>
      </w:r>
    </w:p>
    <w:p>
      <w:pPr>
        <w:snapToGrid w:val="0"/>
        <w:spacing w:line="460" w:lineRule="exact"/>
        <w:ind w:left="480" w:leftChars="57" w:hanging="360" w:hangingChars="150"/>
        <w:rPr>
          <w:rFonts w:ascii="宋体" w:hAnsi="宋体"/>
          <w:color w:val="auto"/>
          <w:sz w:val="24"/>
          <w:highlight w:val="none"/>
        </w:rPr>
      </w:pPr>
      <w:r>
        <w:rPr>
          <w:rFonts w:hint="eastAsia" w:ascii="宋体" w:hAnsi="宋体"/>
          <w:color w:val="auto"/>
          <w:sz w:val="24"/>
          <w:highlight w:val="none"/>
        </w:rPr>
        <w:t>方所在地法院起诉。</w:t>
      </w:r>
    </w:p>
    <w:p>
      <w:pPr>
        <w:snapToGrid w:val="0"/>
        <w:spacing w:line="460" w:lineRule="exact"/>
        <w:rPr>
          <w:rFonts w:ascii="宋体" w:hAnsi="宋体"/>
          <w:b/>
          <w:color w:val="auto"/>
          <w:sz w:val="24"/>
          <w:highlight w:val="none"/>
        </w:rPr>
      </w:pPr>
      <w:r>
        <w:rPr>
          <w:rFonts w:hint="eastAsia" w:ascii="宋体" w:hAnsi="宋体"/>
          <w:b/>
          <w:color w:val="auto"/>
          <w:sz w:val="24"/>
          <w:highlight w:val="none"/>
        </w:rPr>
        <w:t>十五、合同生效及其它</w:t>
      </w:r>
    </w:p>
    <w:p>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1．合同经双方法定代表人或授权代表签字并加盖单位公章后生效。招标文件、投标文件与本合同具有同等法律效力。</w:t>
      </w:r>
    </w:p>
    <w:p>
      <w:pPr>
        <w:snapToGrid w:val="0"/>
        <w:spacing w:line="460" w:lineRule="exact"/>
        <w:rPr>
          <w:rFonts w:ascii="宋体" w:hAnsi="宋体"/>
          <w:color w:val="auto"/>
          <w:sz w:val="24"/>
          <w:highlight w:val="none"/>
        </w:rPr>
      </w:pPr>
      <w:r>
        <w:rPr>
          <w:rFonts w:hint="eastAsia" w:ascii="宋体" w:hAnsi="宋体"/>
          <w:color w:val="auto"/>
          <w:sz w:val="24"/>
          <w:highlight w:val="none"/>
        </w:rPr>
        <w:t>2．合同执行中涉及采购资金和采购内容修改或补充的，须经财政部门审批，并</w:t>
      </w:r>
    </w:p>
    <w:p>
      <w:pPr>
        <w:snapToGrid w:val="0"/>
        <w:spacing w:line="460" w:lineRule="exact"/>
        <w:rPr>
          <w:rFonts w:ascii="宋体" w:hAnsi="宋体"/>
          <w:color w:val="auto"/>
          <w:sz w:val="24"/>
          <w:highlight w:val="none"/>
        </w:rPr>
      </w:pPr>
      <w:r>
        <w:rPr>
          <w:rFonts w:hint="eastAsia" w:ascii="宋体" w:hAnsi="宋体"/>
          <w:color w:val="auto"/>
          <w:sz w:val="24"/>
          <w:highlight w:val="none"/>
        </w:rPr>
        <w:t>签书面补充协议报政府采购监督管理部门备案，方可作为主合同不可分割的</w:t>
      </w:r>
    </w:p>
    <w:p>
      <w:pPr>
        <w:snapToGrid w:val="0"/>
        <w:spacing w:line="460" w:lineRule="exact"/>
        <w:rPr>
          <w:rFonts w:ascii="宋体" w:hAnsi="宋体"/>
          <w:color w:val="auto"/>
          <w:sz w:val="24"/>
          <w:highlight w:val="none"/>
        </w:rPr>
      </w:pPr>
      <w:r>
        <w:rPr>
          <w:rFonts w:hint="eastAsia" w:ascii="宋体" w:hAnsi="宋体"/>
          <w:color w:val="auto"/>
          <w:sz w:val="24"/>
          <w:highlight w:val="none"/>
        </w:rPr>
        <w:t>一部分。</w:t>
      </w:r>
    </w:p>
    <w:p>
      <w:pPr>
        <w:snapToGrid w:val="0"/>
        <w:spacing w:line="460" w:lineRule="exact"/>
        <w:ind w:left="480" w:hanging="480" w:hangingChars="200"/>
        <w:rPr>
          <w:rFonts w:ascii="宋体" w:hAnsi="宋体"/>
          <w:color w:val="auto"/>
          <w:sz w:val="24"/>
          <w:highlight w:val="none"/>
        </w:rPr>
      </w:pPr>
      <w:r>
        <w:rPr>
          <w:rFonts w:hint="eastAsia" w:ascii="宋体" w:hAnsi="宋体"/>
          <w:color w:val="auto"/>
          <w:sz w:val="24"/>
          <w:highlight w:val="none"/>
        </w:rPr>
        <w:t>3．本合同未尽事宜，遵照《中华人民共和国民法典》有关条文执行。</w:t>
      </w:r>
    </w:p>
    <w:p>
      <w:pPr>
        <w:snapToGrid w:val="0"/>
        <w:spacing w:line="460" w:lineRule="exact"/>
        <w:rPr>
          <w:rFonts w:ascii="宋体" w:hAnsi="宋体"/>
          <w:b/>
          <w:bCs/>
          <w:color w:val="auto"/>
          <w:kern w:val="0"/>
          <w:sz w:val="24"/>
          <w:highlight w:val="none"/>
        </w:rPr>
      </w:pPr>
      <w:r>
        <w:rPr>
          <w:rFonts w:hint="eastAsia" w:ascii="宋体" w:hAnsi="宋体"/>
          <w:color w:val="auto"/>
          <w:kern w:val="0"/>
          <w:sz w:val="24"/>
          <w:highlight w:val="none"/>
        </w:rPr>
        <w:t>4. 本合同正本一式四份,甲乙双方签订后采购代理机构见证盖章，</w:t>
      </w:r>
      <w:r>
        <w:rPr>
          <w:rFonts w:hint="eastAsia" w:ascii="宋体" w:hAnsi="宋体"/>
          <w:b/>
          <w:bCs/>
          <w:color w:val="auto"/>
          <w:kern w:val="0"/>
          <w:sz w:val="24"/>
          <w:highlight w:val="none"/>
        </w:rPr>
        <w:t>采购代理机构需留备二份。</w:t>
      </w:r>
    </w:p>
    <w:p>
      <w:pPr>
        <w:snapToGrid w:val="0"/>
        <w:spacing w:line="460" w:lineRule="exact"/>
        <w:rPr>
          <w:rFonts w:ascii="宋体" w:hAnsi="宋体"/>
          <w:color w:val="auto"/>
          <w:kern w:val="0"/>
          <w:sz w:val="24"/>
          <w:highlight w:val="none"/>
        </w:rPr>
      </w:pPr>
    </w:p>
    <w:p>
      <w:pPr>
        <w:snapToGrid w:val="0"/>
        <w:spacing w:line="460" w:lineRule="exact"/>
        <w:ind w:firstLine="240" w:firstLineChars="100"/>
        <w:rPr>
          <w:rFonts w:ascii="宋体" w:hAnsi="宋体"/>
          <w:color w:val="auto"/>
          <w:kern w:val="0"/>
          <w:sz w:val="24"/>
          <w:highlight w:val="none"/>
        </w:rPr>
      </w:pPr>
      <w:r>
        <w:rPr>
          <w:rFonts w:hint="eastAsia" w:ascii="宋体" w:hAnsi="宋体"/>
          <w:color w:val="auto"/>
          <w:kern w:val="0"/>
          <w:sz w:val="24"/>
          <w:highlight w:val="none"/>
        </w:rPr>
        <w:t xml:space="preserve">甲方：                                   乙方： </w:t>
      </w:r>
    </w:p>
    <w:p>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 xml:space="preserve">  地址：                                   地址： </w:t>
      </w:r>
    </w:p>
    <w:p>
      <w:pPr>
        <w:snapToGrid w:val="0"/>
        <w:spacing w:line="460" w:lineRule="exact"/>
        <w:rPr>
          <w:rFonts w:ascii="宋体" w:hAnsi="宋体"/>
          <w:color w:val="auto"/>
          <w:kern w:val="0"/>
          <w:sz w:val="24"/>
          <w:highlight w:val="none"/>
        </w:rPr>
      </w:pPr>
      <w:r>
        <w:rPr>
          <w:rFonts w:hint="eastAsia" w:ascii="宋体" w:hAnsi="宋体"/>
          <w:color w:val="auto"/>
          <w:kern w:val="0"/>
          <w:sz w:val="24"/>
          <w:highlight w:val="none"/>
        </w:rPr>
        <w:t xml:space="preserve">  法定（授权）代表人：                     法定（授权）代表人：</w:t>
      </w:r>
    </w:p>
    <w:p>
      <w:pPr>
        <w:snapToGrid w:val="0"/>
        <w:spacing w:line="460" w:lineRule="exact"/>
        <w:ind w:firstLine="360" w:firstLineChars="150"/>
        <w:rPr>
          <w:rFonts w:ascii="宋体" w:hAnsi="宋体"/>
          <w:color w:val="auto"/>
          <w:kern w:val="0"/>
          <w:sz w:val="24"/>
          <w:highlight w:val="none"/>
        </w:rPr>
      </w:pPr>
      <w:r>
        <w:rPr>
          <w:rFonts w:hint="eastAsia" w:ascii="宋体" w:hAnsi="宋体"/>
          <w:color w:val="auto"/>
          <w:kern w:val="0"/>
          <w:sz w:val="24"/>
          <w:highlight w:val="none"/>
        </w:rPr>
        <w:t>签订日期：     年　  月　 日            签订日期：     年　  月　 日</w:t>
      </w:r>
    </w:p>
    <w:p>
      <w:pPr>
        <w:snapToGrid w:val="0"/>
        <w:spacing w:line="460" w:lineRule="exact"/>
        <w:ind w:firstLine="241" w:firstLineChars="100"/>
        <w:rPr>
          <w:rFonts w:ascii="宋体" w:hAnsi="宋体"/>
          <w:color w:val="auto"/>
          <w:highlight w:val="none"/>
        </w:rPr>
      </w:pPr>
      <w:r>
        <w:rPr>
          <w:rFonts w:hint="eastAsia" w:ascii="宋体" w:hAnsi="宋体"/>
          <w:b/>
          <w:bCs/>
          <w:color w:val="auto"/>
          <w:kern w:val="0"/>
          <w:sz w:val="24"/>
          <w:highlight w:val="none"/>
        </w:rPr>
        <w:t>见证方：（盖章）</w:t>
      </w:r>
      <w:r>
        <w:rPr>
          <w:rFonts w:ascii="宋体" w:hAnsi="宋体"/>
          <w:b/>
          <w:bCs/>
          <w:color w:val="auto"/>
          <w:kern w:val="0"/>
          <w:sz w:val="24"/>
          <w:highlight w:val="none"/>
        </w:rPr>
        <w:t xml:space="preserve">  </w:t>
      </w:r>
      <w:r>
        <w:rPr>
          <w:rFonts w:ascii="宋体" w:hAnsi="宋体"/>
          <w:b/>
          <w:bCs/>
          <w:color w:val="auto"/>
          <w:kern w:val="0"/>
          <w:highlight w:val="none"/>
        </w:rPr>
        <w:t xml:space="preserve"> </w:t>
      </w:r>
      <w:r>
        <w:rPr>
          <w:rFonts w:ascii="宋体" w:hAnsi="宋体"/>
          <w:color w:val="auto"/>
          <w:kern w:val="0"/>
          <w:highlight w:val="none"/>
        </w:rPr>
        <w:t xml:space="preserve">     </w:t>
      </w:r>
    </w:p>
    <w:p>
      <w:pPr>
        <w:snapToGrid w:val="0"/>
        <w:spacing w:line="460" w:lineRule="exact"/>
        <w:ind w:firstLine="201"/>
        <w:rPr>
          <w:rFonts w:ascii="宋体" w:hAnsi="宋体"/>
          <w:b/>
          <w:bCs/>
          <w:color w:val="auto"/>
          <w:kern w:val="0"/>
          <w:sz w:val="24"/>
          <w:highlight w:val="none"/>
        </w:rPr>
      </w:pPr>
    </w:p>
    <w:p>
      <w:pPr>
        <w:pStyle w:val="29"/>
        <w:snapToGrid w:val="0"/>
        <w:spacing w:beforeLines="0" w:afterLines="0" w:line="440" w:lineRule="exact"/>
        <w:ind w:firstLine="281" w:firstLineChars="100"/>
        <w:rPr>
          <w:rFonts w:hAnsi="宋体"/>
          <w:b/>
          <w:bCs/>
          <w:color w:val="auto"/>
          <w:sz w:val="30"/>
          <w:szCs w:val="30"/>
          <w:highlight w:val="none"/>
        </w:rPr>
      </w:pPr>
      <w:r>
        <w:rPr>
          <w:rFonts w:hint="eastAsia" w:hAnsi="宋体"/>
          <w:b/>
          <w:bCs/>
          <w:color w:val="auto"/>
          <w:kern w:val="2"/>
          <w:sz w:val="28"/>
          <w:szCs w:val="28"/>
          <w:highlight w:val="none"/>
          <w:u w:val="single"/>
          <w:shd w:val="pct10" w:color="auto" w:fill="FFFFFF"/>
        </w:rPr>
        <w:t>附件：附上报价明细表</w:t>
      </w:r>
      <w:r>
        <w:rPr>
          <w:rFonts w:hAnsi="宋体"/>
          <w:b/>
          <w:bCs/>
          <w:color w:val="auto"/>
          <w:kern w:val="2"/>
          <w:sz w:val="28"/>
          <w:szCs w:val="28"/>
          <w:highlight w:val="none"/>
          <w:u w:val="single"/>
          <w:shd w:val="pct10" w:color="auto" w:fill="FFFFFF"/>
        </w:rPr>
        <w:t xml:space="preserve">   </w:t>
      </w:r>
      <w:r>
        <w:rPr>
          <w:rFonts w:hAnsi="宋体"/>
          <w:b/>
          <w:bCs/>
          <w:color w:val="auto"/>
          <w:highlight w:val="none"/>
        </w:rPr>
        <w:br w:type="page"/>
      </w:r>
    </w:p>
    <w:p>
      <w:pPr>
        <w:pStyle w:val="47"/>
        <w:rPr>
          <w:rFonts w:ascii="宋体" w:hAnsi="宋体"/>
          <w:color w:val="auto"/>
          <w:highlight w:val="none"/>
        </w:rPr>
      </w:pPr>
      <w:bookmarkStart w:id="62" w:name="_Toc197938086"/>
      <w:r>
        <w:rPr>
          <w:rFonts w:hint="eastAsia" w:ascii="宋体" w:hAnsi="宋体"/>
          <w:color w:val="auto"/>
          <w:highlight w:val="none"/>
        </w:rPr>
        <w:t>第六章　投标文件格式</w:t>
      </w:r>
      <w:bookmarkEnd w:id="61"/>
      <w:bookmarkEnd w:id="62"/>
    </w:p>
    <w:p>
      <w:pPr>
        <w:pStyle w:val="29"/>
        <w:snapToGrid w:val="0"/>
        <w:spacing w:beforeLines="0" w:afterLines="0" w:line="420" w:lineRule="exact"/>
        <w:jc w:val="center"/>
        <w:rPr>
          <w:rFonts w:hAnsi="宋体"/>
          <w:color w:val="auto"/>
          <w:sz w:val="30"/>
          <w:szCs w:val="30"/>
          <w:highlight w:val="none"/>
        </w:rPr>
      </w:pPr>
    </w:p>
    <w:p>
      <w:pPr>
        <w:pStyle w:val="47"/>
        <w:rPr>
          <w:rFonts w:ascii="宋体" w:hAnsi="宋体"/>
          <w:color w:val="auto"/>
          <w:highlight w:val="none"/>
        </w:rPr>
      </w:pPr>
      <w:bookmarkStart w:id="63" w:name="_Toc197938087"/>
      <w:bookmarkStart w:id="64" w:name="_Toc265669850"/>
      <w:r>
        <w:rPr>
          <w:rFonts w:hint="eastAsia" w:ascii="宋体" w:hAnsi="宋体"/>
          <w:color w:val="auto"/>
          <w:highlight w:val="none"/>
        </w:rPr>
        <w:t>一、资格响应文件格式</w:t>
      </w:r>
      <w:bookmarkEnd w:id="63"/>
    </w:p>
    <w:p>
      <w:pPr>
        <w:snapToGrid w:val="0"/>
        <w:spacing w:before="120" w:beforeLines="50" w:after="50"/>
        <w:jc w:val="center"/>
        <w:rPr>
          <w:rFonts w:ascii="宋体" w:hAnsi="宋体"/>
          <w:color w:val="auto"/>
          <w:sz w:val="28"/>
          <w:szCs w:val="28"/>
          <w:highlight w:val="none"/>
        </w:rPr>
      </w:pPr>
    </w:p>
    <w:p>
      <w:pPr>
        <w:snapToGrid w:val="0"/>
        <w:spacing w:before="120" w:beforeLines="50" w:after="50"/>
        <w:jc w:val="center"/>
        <w:rPr>
          <w:rFonts w:ascii="宋体" w:hAnsi="宋体"/>
          <w:color w:val="auto"/>
          <w:sz w:val="28"/>
          <w:szCs w:val="28"/>
          <w:highlight w:val="none"/>
        </w:rPr>
      </w:pPr>
    </w:p>
    <w:p>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 xml:space="preserve">.资格响应文件封面格式： </w:t>
      </w:r>
    </w:p>
    <w:p>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pPr>
        <w:snapToGrid w:val="0"/>
        <w:spacing w:before="120" w:beforeLines="50" w:after="50"/>
        <w:rPr>
          <w:rFonts w:ascii="宋体" w:hAnsi="宋体"/>
          <w:color w:val="auto"/>
          <w:sz w:val="28"/>
          <w:szCs w:val="28"/>
          <w:highlight w:val="none"/>
        </w:rPr>
      </w:pPr>
    </w:p>
    <w:p>
      <w:pPr>
        <w:snapToGrid w:val="0"/>
        <w:spacing w:before="120" w:beforeLines="50" w:after="50"/>
        <w:jc w:val="center"/>
        <w:rPr>
          <w:rFonts w:ascii="宋体" w:hAnsi="宋体"/>
          <w:bCs/>
          <w:color w:val="auto"/>
          <w:sz w:val="28"/>
          <w:szCs w:val="28"/>
          <w:highlight w:val="none"/>
        </w:rPr>
      </w:pPr>
    </w:p>
    <w:p>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资格响应文件</w:t>
      </w:r>
    </w:p>
    <w:p>
      <w:pPr>
        <w:snapToGrid w:val="0"/>
        <w:spacing w:before="120" w:beforeLines="50" w:after="50" w:line="360" w:lineRule="auto"/>
        <w:jc w:val="center"/>
        <w:rPr>
          <w:rFonts w:ascii="宋体" w:hAnsi="宋体"/>
          <w:bCs/>
          <w:color w:val="auto"/>
          <w:sz w:val="28"/>
          <w:szCs w:val="28"/>
          <w:highlight w:val="none"/>
        </w:rPr>
      </w:pPr>
    </w:p>
    <w:p>
      <w:pPr>
        <w:snapToGrid w:val="0"/>
        <w:spacing w:before="120" w:beforeLines="50" w:after="50" w:line="360" w:lineRule="auto"/>
        <w:jc w:val="center"/>
        <w:rPr>
          <w:rFonts w:ascii="宋体" w:hAnsi="宋体"/>
          <w:bCs/>
          <w:color w:val="auto"/>
          <w:sz w:val="28"/>
          <w:szCs w:val="28"/>
          <w:highlight w:val="none"/>
        </w:rPr>
      </w:pPr>
    </w:p>
    <w:p>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pPr>
        <w:pStyle w:val="14"/>
        <w:snapToGrid w:val="0"/>
        <w:spacing w:before="50" w:after="50" w:line="360" w:lineRule="auto"/>
        <w:ind w:firstLine="1164" w:firstLineChars="416"/>
        <w:rPr>
          <w:rFonts w:ascii="宋体" w:hAnsi="宋体"/>
          <w:bCs/>
          <w:color w:val="auto"/>
          <w:sz w:val="28"/>
          <w:szCs w:val="28"/>
          <w:highlight w:val="none"/>
        </w:rPr>
      </w:pPr>
    </w:p>
    <w:p>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pPr>
        <w:pStyle w:val="14"/>
        <w:snapToGrid w:val="0"/>
        <w:spacing w:before="50" w:after="50"/>
        <w:ind w:firstLine="1120" w:firstLineChars="400"/>
        <w:rPr>
          <w:rFonts w:ascii="宋体" w:hAnsi="宋体"/>
          <w:bCs/>
          <w:color w:val="auto"/>
          <w:sz w:val="28"/>
          <w:szCs w:val="28"/>
          <w:highlight w:val="none"/>
        </w:rPr>
      </w:pPr>
    </w:p>
    <w:p>
      <w:pPr>
        <w:snapToGrid w:val="0"/>
        <w:spacing w:line="360" w:lineRule="auto"/>
        <w:ind w:firstLine="3360" w:firstLineChars="1200"/>
        <w:jc w:val="left"/>
        <w:rPr>
          <w:rFonts w:ascii="宋体" w:hAnsi="宋体"/>
          <w:color w:val="auto"/>
          <w:sz w:val="28"/>
          <w:szCs w:val="28"/>
          <w:highlight w:val="none"/>
        </w:rPr>
      </w:pPr>
    </w:p>
    <w:p>
      <w:pPr>
        <w:snapToGrid w:val="0"/>
        <w:spacing w:line="360" w:lineRule="auto"/>
        <w:ind w:firstLine="3640" w:firstLineChars="1300"/>
        <w:jc w:val="left"/>
        <w:rPr>
          <w:rFonts w:ascii="宋体" w:hAnsi="宋体"/>
          <w:color w:val="auto"/>
          <w:sz w:val="24"/>
          <w:highlight w:val="none"/>
        </w:rPr>
      </w:pPr>
      <w:r>
        <w:rPr>
          <w:rFonts w:hint="eastAsia" w:ascii="宋体" w:hAnsi="宋体"/>
          <w:color w:val="auto"/>
          <w:sz w:val="28"/>
          <w:szCs w:val="28"/>
          <w:highlight w:val="none"/>
        </w:rPr>
        <w:t>年  月  日</w:t>
      </w:r>
      <w:r>
        <w:rPr>
          <w:rFonts w:ascii="宋体" w:hAnsi="宋体"/>
          <w:color w:val="auto"/>
          <w:sz w:val="28"/>
          <w:szCs w:val="28"/>
          <w:highlight w:val="none"/>
        </w:rPr>
        <w:br w:type="page"/>
      </w:r>
      <w:bookmarkStart w:id="65" w:name="_Hlk60757343"/>
      <w:r>
        <w:rPr>
          <w:rFonts w:ascii="宋体" w:hAnsi="宋体"/>
          <w:color w:val="auto"/>
          <w:sz w:val="24"/>
          <w:highlight w:val="none"/>
        </w:rPr>
        <w:t>2</w:t>
      </w:r>
      <w:r>
        <w:rPr>
          <w:rFonts w:hint="eastAsia" w:ascii="宋体" w:hAnsi="宋体"/>
          <w:color w:val="auto"/>
          <w:sz w:val="24"/>
          <w:highlight w:val="none"/>
        </w:rPr>
        <w:t>.营业执照等：</w:t>
      </w:r>
      <w:bookmarkEnd w:id="65"/>
    </w:p>
    <w:p>
      <w:pPr>
        <w:snapToGrid w:val="0"/>
        <w:spacing w:line="360" w:lineRule="auto"/>
        <w:jc w:val="center"/>
        <w:rPr>
          <w:rFonts w:ascii="宋体" w:hAnsi="宋体" w:cs="仿宋_GB2312"/>
          <w:b/>
          <w:color w:val="auto"/>
          <w:kern w:val="0"/>
          <w:sz w:val="32"/>
          <w:szCs w:val="32"/>
          <w:highlight w:val="none"/>
          <w:lang w:val="zh-CN"/>
        </w:rPr>
      </w:pPr>
    </w:p>
    <w:p>
      <w:pPr>
        <w:snapToGrid w:val="0"/>
        <w:spacing w:line="360" w:lineRule="auto"/>
        <w:jc w:val="center"/>
        <w:rPr>
          <w:rFonts w:ascii="宋体" w:hAnsi="宋体" w:cs="仿宋_GB2312"/>
          <w:b/>
          <w:color w:val="auto"/>
          <w:kern w:val="0"/>
          <w:sz w:val="32"/>
          <w:szCs w:val="32"/>
          <w:highlight w:val="none"/>
          <w:lang w:val="zh-CN"/>
        </w:rPr>
      </w:pPr>
    </w:p>
    <w:p>
      <w:pPr>
        <w:snapToGrid w:val="0"/>
        <w:spacing w:line="360" w:lineRule="auto"/>
        <w:jc w:val="center"/>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营业执照（推荐使用电子营业执照）</w:t>
      </w:r>
    </w:p>
    <w:p>
      <w:pPr>
        <w:snapToGrid w:val="0"/>
        <w:spacing w:line="360" w:lineRule="auto"/>
        <w:rPr>
          <w:rFonts w:ascii="宋体" w:hAnsi="宋体" w:cs="仿宋_GB2312"/>
          <w:b/>
          <w:color w:val="auto"/>
          <w:kern w:val="0"/>
          <w:sz w:val="32"/>
          <w:szCs w:val="32"/>
          <w:highlight w:val="none"/>
          <w:lang w:val="zh-CN"/>
        </w:rPr>
      </w:pPr>
      <w:r>
        <w:rPr>
          <w:rFonts w:hint="eastAsia" w:ascii="宋体" w:hAnsi="宋体" w:cs="仿宋_GB2312"/>
          <w:b/>
          <w:color w:val="auto"/>
          <w:kern w:val="0"/>
          <w:sz w:val="32"/>
          <w:szCs w:val="32"/>
          <w:highlight w:val="none"/>
          <w:lang w:val="zh-CN"/>
        </w:rPr>
        <w:t>或事业法人登记证或其他工商等登记证明材料原件扫描件或复印件</w:t>
      </w:r>
    </w:p>
    <w:p>
      <w:pPr>
        <w:snapToGrid w:val="0"/>
        <w:spacing w:line="360" w:lineRule="auto"/>
        <w:rPr>
          <w:rFonts w:ascii="宋体" w:hAnsi="宋体" w:cs="仿宋_GB2312"/>
          <w:bCs/>
          <w:color w:val="auto"/>
          <w:kern w:val="0"/>
          <w:sz w:val="28"/>
          <w:szCs w:val="28"/>
          <w:highlight w:val="none"/>
          <w:lang w:val="zh-CN"/>
        </w:rPr>
      </w:pPr>
      <w:r>
        <w:rPr>
          <w:rFonts w:hint="eastAsia" w:ascii="宋体" w:hAnsi="宋体" w:cs="仿宋_GB2312"/>
          <w:bCs/>
          <w:color w:val="auto"/>
          <w:kern w:val="0"/>
          <w:sz w:val="28"/>
          <w:szCs w:val="28"/>
          <w:highlight w:val="none"/>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pPr>
        <w:snapToGrid w:val="0"/>
        <w:spacing w:line="360" w:lineRule="auto"/>
        <w:jc w:val="center"/>
        <w:rPr>
          <w:rFonts w:ascii="宋体" w:hAnsi="宋体" w:cs="仿宋_GB2312"/>
          <w:b/>
          <w:color w:val="auto"/>
          <w:sz w:val="30"/>
          <w:szCs w:val="30"/>
          <w:highlight w:val="none"/>
        </w:rPr>
      </w:pPr>
    </w:p>
    <w:p>
      <w:pPr>
        <w:spacing w:line="360" w:lineRule="auto"/>
        <w:jc w:val="center"/>
        <w:rPr>
          <w:rFonts w:ascii="宋体" w:hAnsi="宋体" w:cs="仿宋_GB2312"/>
          <w:b/>
          <w:color w:val="auto"/>
          <w:sz w:val="32"/>
          <w:szCs w:val="32"/>
          <w:highlight w:val="none"/>
        </w:rPr>
      </w:pPr>
    </w:p>
    <w:p>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特定资格条件要求的资质文件复印件（如有）</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（由投标人根据招标公告合格的投标人应具备的特定资格要求编制，如果本项目没有设置特定资格条件，则不需要提供）</w:t>
      </w:r>
    </w:p>
    <w:p>
      <w:pPr>
        <w:spacing w:line="360" w:lineRule="auto"/>
        <w:jc w:val="center"/>
        <w:rPr>
          <w:rFonts w:ascii="宋体" w:hAnsi="宋体"/>
          <w:b/>
          <w:bCs/>
          <w:color w:val="auto"/>
          <w:sz w:val="32"/>
          <w:szCs w:val="32"/>
          <w:highlight w:val="none"/>
        </w:rPr>
      </w:pPr>
    </w:p>
    <w:p>
      <w:pPr>
        <w:spacing w:line="360" w:lineRule="auto"/>
        <w:jc w:val="center"/>
        <w:rPr>
          <w:rFonts w:ascii="宋体" w:hAnsi="宋体"/>
          <w:b/>
          <w:bCs/>
          <w:color w:val="auto"/>
          <w:sz w:val="32"/>
          <w:szCs w:val="32"/>
          <w:highlight w:val="none"/>
        </w:rPr>
      </w:pPr>
    </w:p>
    <w:p>
      <w:pPr>
        <w:spacing w:line="360" w:lineRule="auto"/>
        <w:jc w:val="left"/>
        <w:rPr>
          <w:rFonts w:ascii="宋体" w:hAnsi="宋体"/>
          <w:color w:val="auto"/>
          <w:sz w:val="24"/>
          <w:highlight w:val="none"/>
        </w:rPr>
      </w:pPr>
      <w:r>
        <w:rPr>
          <w:rFonts w:ascii="宋体" w:hAnsi="宋体"/>
          <w:b/>
          <w:bCs/>
          <w:color w:val="auto"/>
          <w:sz w:val="28"/>
          <w:szCs w:val="28"/>
          <w:highlight w:val="none"/>
        </w:rPr>
        <w:br w:type="page"/>
      </w:r>
      <w:r>
        <w:rPr>
          <w:rFonts w:ascii="宋体" w:hAnsi="宋体"/>
          <w:color w:val="auto"/>
          <w:sz w:val="24"/>
          <w:highlight w:val="none"/>
        </w:rPr>
        <w:t>3</w:t>
      </w:r>
      <w:r>
        <w:rPr>
          <w:rFonts w:hint="eastAsia" w:ascii="宋体" w:hAnsi="宋体"/>
          <w:color w:val="auto"/>
          <w:sz w:val="24"/>
          <w:highlight w:val="none"/>
        </w:rPr>
        <w:t>.</w:t>
      </w:r>
      <w:r>
        <w:rPr>
          <w:rFonts w:hint="eastAsia" w:ascii="宋体" w:hAnsi="宋体"/>
          <w:color w:val="auto"/>
          <w:highlight w:val="none"/>
        </w:rPr>
        <w:t xml:space="preserve"> </w:t>
      </w:r>
      <w:r>
        <w:rPr>
          <w:rFonts w:hint="eastAsia" w:ascii="宋体" w:hAnsi="宋体"/>
          <w:color w:val="auto"/>
          <w:sz w:val="24"/>
          <w:highlight w:val="none"/>
        </w:rPr>
        <w:t>没有重大违法记录的承诺函格式：</w:t>
      </w:r>
    </w:p>
    <w:p>
      <w:pPr>
        <w:spacing w:line="360" w:lineRule="auto"/>
        <w:jc w:val="center"/>
        <w:rPr>
          <w:rFonts w:ascii="宋体" w:hAnsi="宋体" w:cs="仿宋_GB2312"/>
          <w:b/>
          <w:color w:val="auto"/>
          <w:kern w:val="0"/>
          <w:sz w:val="32"/>
          <w:szCs w:val="32"/>
          <w:highlight w:val="none"/>
        </w:rPr>
      </w:pPr>
    </w:p>
    <w:p>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参加本次政府采购项目前三年内在经营活动中</w:t>
      </w:r>
    </w:p>
    <w:p>
      <w:pPr>
        <w:spacing w:line="5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没有重大违法记录的承诺函</w:t>
      </w:r>
    </w:p>
    <w:p>
      <w:pPr>
        <w:spacing w:line="520" w:lineRule="exact"/>
        <w:jc w:val="center"/>
        <w:rPr>
          <w:rFonts w:ascii="宋体" w:hAnsi="宋体" w:cs="宋体"/>
          <w:bCs/>
          <w:color w:val="auto"/>
          <w:sz w:val="24"/>
          <w:highlight w:val="none"/>
        </w:rPr>
      </w:pPr>
    </w:p>
    <w:p>
      <w:pPr>
        <w:ind w:firstLine="420"/>
        <w:rPr>
          <w:rFonts w:ascii="宋体" w:hAnsi="宋体" w:cs="宋体"/>
          <w:color w:val="auto"/>
          <w:sz w:val="24"/>
          <w:highlight w:val="none"/>
        </w:rPr>
      </w:pPr>
    </w:p>
    <w:p>
      <w:pPr>
        <w:spacing w:line="360" w:lineRule="auto"/>
        <w:rPr>
          <w:rFonts w:ascii="宋体" w:hAnsi="宋体" w:cs="宋体"/>
          <w:color w:val="auto"/>
          <w:kern w:val="0"/>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olor w:val="auto"/>
          <w:sz w:val="24"/>
          <w:highlight w:val="none"/>
        </w:rPr>
        <w:t>采购人名称</w:t>
      </w:r>
      <w:r>
        <w:rPr>
          <w:rFonts w:hint="eastAsia" w:ascii="宋体" w:hAnsi="宋体" w:cs="宋体"/>
          <w:color w:val="auto"/>
          <w:sz w:val="24"/>
          <w:highlight w:val="none"/>
        </w:rPr>
        <w:t>）</w:t>
      </w:r>
      <w:r>
        <w:rPr>
          <w:rFonts w:hint="eastAsia" w:ascii="宋体" w:hAnsi="宋体" w:cs="宋体"/>
          <w:b/>
          <w:bCs/>
          <w:color w:val="auto"/>
          <w:sz w:val="24"/>
          <w:highlight w:val="none"/>
        </w:rPr>
        <w:t xml:space="preserve"> </w:t>
      </w:r>
      <w:r>
        <w:rPr>
          <w:rFonts w:hint="eastAsia" w:ascii="宋体" w:hAnsi="宋体" w:cs="宋体"/>
          <w:color w:val="auto"/>
          <w:sz w:val="24"/>
          <w:highlight w:val="none"/>
        </w:rPr>
        <w:t>：</w:t>
      </w:r>
    </w:p>
    <w:p>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pPr>
        <w:ind w:firstLine="420"/>
        <w:rPr>
          <w:rFonts w:ascii="宋体" w:hAnsi="宋体" w:cs="宋体"/>
          <w:color w:val="auto"/>
          <w:sz w:val="24"/>
          <w:highlight w:val="none"/>
        </w:rPr>
      </w:pPr>
    </w:p>
    <w:p>
      <w:pPr>
        <w:snapToGrid w:val="0"/>
        <w:spacing w:before="120" w:beforeLines="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w:t>
      </w:r>
      <w:r>
        <w:rPr>
          <w:rFonts w:hint="eastAsia" w:ascii="宋体" w:hAnsi="宋体" w:cs="宋体"/>
          <w:color w:val="auto"/>
          <w:kern w:val="0"/>
          <w:sz w:val="24"/>
          <w:highlight w:val="none"/>
        </w:rPr>
        <w:t>承诺</w:t>
      </w:r>
      <w:r>
        <w:rPr>
          <w:rFonts w:hint="eastAsia" w:ascii="宋体" w:hAnsi="宋体" w:cs="宋体"/>
          <w:color w:val="auto"/>
          <w:sz w:val="24"/>
          <w:highlight w:val="none"/>
        </w:rPr>
        <w:t>！</w:t>
      </w:r>
    </w:p>
    <w:p>
      <w:pPr>
        <w:snapToGrid w:val="0"/>
        <w:spacing w:before="50" w:after="120" w:afterLines="50"/>
        <w:jc w:val="left"/>
        <w:rPr>
          <w:rFonts w:ascii="宋体" w:hAnsi="宋体" w:cs="宋体"/>
          <w:color w:val="auto"/>
          <w:kern w:val="0"/>
          <w:sz w:val="24"/>
          <w:highlight w:val="none"/>
          <w:lang w:val="zh-CN"/>
        </w:rPr>
      </w:pPr>
    </w:p>
    <w:p>
      <w:pPr>
        <w:snapToGrid w:val="0"/>
        <w:spacing w:before="50" w:after="120" w:afterLines="50"/>
        <w:jc w:val="left"/>
        <w:rPr>
          <w:rFonts w:ascii="宋体" w:hAnsi="宋体" w:cs="宋体"/>
          <w:color w:val="auto"/>
          <w:kern w:val="0"/>
          <w:sz w:val="24"/>
          <w:highlight w:val="none"/>
          <w:lang w:val="zh-CN"/>
        </w:rPr>
      </w:pPr>
    </w:p>
    <w:p>
      <w:pPr>
        <w:snapToGrid w:val="0"/>
        <w:spacing w:before="50" w:after="120" w:afterLines="50"/>
        <w:jc w:val="left"/>
        <w:rPr>
          <w:rFonts w:ascii="宋体" w:hAnsi="宋体" w:cs="宋体"/>
          <w:color w:val="auto"/>
          <w:kern w:val="0"/>
          <w:sz w:val="24"/>
          <w:highlight w:val="none"/>
          <w:lang w:val="zh-CN"/>
        </w:rPr>
      </w:pPr>
    </w:p>
    <w:p>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法定代表人签字（或盖章）：         投标人（盖章）：</w:t>
      </w:r>
    </w:p>
    <w:p>
      <w:pPr>
        <w:snapToGrid w:val="0"/>
        <w:spacing w:before="50" w:after="120" w:afterLines="50"/>
        <w:jc w:val="left"/>
        <w:rPr>
          <w:rFonts w:ascii="宋体" w:hAnsi="宋体"/>
          <w:b/>
          <w:color w:val="auto"/>
          <w:sz w:val="24"/>
          <w:highlight w:val="none"/>
        </w:rPr>
      </w:pPr>
    </w:p>
    <w:p>
      <w:pPr>
        <w:snapToGrid w:val="0"/>
        <w:spacing w:before="50" w:after="120" w:afterLines="50"/>
        <w:jc w:val="left"/>
        <w:rPr>
          <w:rFonts w:ascii="宋体" w:hAnsi="宋体"/>
          <w:b/>
          <w:color w:val="auto"/>
          <w:sz w:val="24"/>
          <w:highlight w:val="none"/>
        </w:rPr>
      </w:pPr>
    </w:p>
    <w:p>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pPr>
        <w:snapToGrid w:val="0"/>
        <w:spacing w:before="50" w:after="120" w:afterLines="50"/>
        <w:jc w:val="left"/>
        <w:rPr>
          <w:rFonts w:ascii="宋体" w:hAnsi="宋体"/>
          <w:color w:val="auto"/>
          <w:sz w:val="28"/>
          <w:szCs w:val="28"/>
          <w:highlight w:val="none"/>
        </w:rPr>
      </w:pPr>
    </w:p>
    <w:p>
      <w:pPr>
        <w:snapToGrid w:val="0"/>
        <w:spacing w:before="50" w:after="120" w:afterLines="50"/>
        <w:jc w:val="left"/>
        <w:rPr>
          <w:rFonts w:ascii="宋体" w:hAnsi="宋体"/>
          <w:color w:val="auto"/>
          <w:sz w:val="24"/>
          <w:highlight w:val="none"/>
        </w:rPr>
      </w:pPr>
      <w:r>
        <w:rPr>
          <w:rFonts w:ascii="宋体" w:hAnsi="宋体" w:cs="仿宋_GB2312"/>
          <w:color w:val="auto"/>
          <w:kern w:val="0"/>
          <w:sz w:val="24"/>
          <w:highlight w:val="none"/>
          <w:lang w:val="zh-CN"/>
        </w:rPr>
        <w:br w:type="page"/>
      </w:r>
      <w:r>
        <w:rPr>
          <w:rFonts w:ascii="宋体" w:hAnsi="宋体"/>
          <w:color w:val="auto"/>
          <w:sz w:val="24"/>
          <w:highlight w:val="none"/>
        </w:rPr>
        <w:t>4</w:t>
      </w:r>
      <w:r>
        <w:rPr>
          <w:rFonts w:hint="eastAsia" w:ascii="宋体" w:hAnsi="宋体"/>
          <w:color w:val="auto"/>
          <w:sz w:val="24"/>
          <w:highlight w:val="none"/>
        </w:rPr>
        <w:t>.中小企业声明函</w:t>
      </w:r>
    </w:p>
    <w:p>
      <w:pPr>
        <w:pStyle w:val="29"/>
        <w:snapToGrid w:val="0"/>
        <w:spacing w:beforeLines="0" w:afterLines="0" w:line="240" w:lineRule="auto"/>
        <w:jc w:val="center"/>
        <w:rPr>
          <w:rFonts w:hAnsi="宋体"/>
          <w:b/>
          <w:color w:val="auto"/>
          <w:sz w:val="28"/>
          <w:szCs w:val="28"/>
          <w:highlight w:val="none"/>
        </w:rPr>
      </w:pPr>
      <w:r>
        <w:rPr>
          <w:rFonts w:hint="eastAsia" w:hAnsi="宋体"/>
          <w:b/>
          <w:color w:val="auto"/>
          <w:sz w:val="28"/>
          <w:szCs w:val="28"/>
          <w:highlight w:val="none"/>
        </w:rPr>
        <w:t>中小企业声明函（服务类）</w:t>
      </w:r>
    </w:p>
    <w:p>
      <w:pPr>
        <w:pStyle w:val="29"/>
        <w:snapToGrid w:val="0"/>
        <w:spacing w:beforeLines="0" w:afterLines="0" w:line="360" w:lineRule="auto"/>
        <w:ind w:firstLine="480"/>
        <w:jc w:val="left"/>
        <w:rPr>
          <w:rFonts w:hAnsi="宋体"/>
          <w:bCs/>
          <w:color w:val="auto"/>
          <w:highlight w:val="none"/>
        </w:rPr>
      </w:pPr>
      <w:r>
        <w:rPr>
          <w:rFonts w:hint="eastAsia" w:hAnsi="宋体"/>
          <w:bCs/>
          <w:color w:val="auto"/>
          <w:highlight w:val="none"/>
        </w:rPr>
        <w:t>本公司（联合体）郑重声明，根据《政府采购促进中小企业发展管理办法》（财库［20</w:t>
      </w:r>
      <w:r>
        <w:rPr>
          <w:rFonts w:hAnsi="宋体"/>
          <w:bCs/>
          <w:color w:val="auto"/>
          <w:highlight w:val="none"/>
        </w:rPr>
        <w:t>20</w:t>
      </w:r>
      <w:r>
        <w:rPr>
          <w:rFonts w:hint="eastAsia" w:hAnsi="宋体"/>
          <w:bCs/>
          <w:color w:val="auto"/>
          <w:highlight w:val="none"/>
        </w:rPr>
        <w:t>］</w:t>
      </w:r>
      <w:r>
        <w:rPr>
          <w:rFonts w:hAnsi="宋体"/>
          <w:bCs/>
          <w:color w:val="auto"/>
          <w:highlight w:val="none"/>
        </w:rPr>
        <w:t>46</w:t>
      </w:r>
      <w:r>
        <w:rPr>
          <w:rFonts w:hint="eastAsia" w:hAnsi="宋体"/>
          <w:bCs/>
          <w:color w:val="auto"/>
          <w:highlight w:val="none"/>
        </w:rPr>
        <w:t>号）的规定，本公司（联合体）参加</w:t>
      </w:r>
      <w:r>
        <w:rPr>
          <w:rFonts w:hint="eastAsia" w:hAnsi="宋体"/>
          <w:bCs/>
          <w:color w:val="auto"/>
          <w:highlight w:val="none"/>
          <w:u w:val="single"/>
        </w:rPr>
        <w:t>（单位名称）</w:t>
      </w:r>
      <w:r>
        <w:rPr>
          <w:rFonts w:hint="eastAsia" w:hAnsi="宋体"/>
          <w:bCs/>
          <w:color w:val="auto"/>
          <w:highlight w:val="none"/>
        </w:rPr>
        <w:t xml:space="preserve"> 的</w:t>
      </w:r>
      <w:r>
        <w:rPr>
          <w:rFonts w:hint="eastAsia" w:hAnsi="宋体"/>
          <w:bCs/>
          <w:color w:val="auto"/>
          <w:highlight w:val="none"/>
          <w:u w:val="single"/>
        </w:rPr>
        <w:t xml:space="preserve"> （项目名称）</w:t>
      </w:r>
      <w:r>
        <w:rPr>
          <w:rFonts w:hint="eastAsia" w:hAnsi="宋体"/>
          <w:bCs/>
          <w:color w:val="auto"/>
          <w:highlight w:val="none"/>
        </w:rPr>
        <w:t>采购活动，服务全部由符合政策要求的中小企业承接。相关企业（含联合体中的中小企业、签订分包意向协议的中小企业）的具体情况如下：</w:t>
      </w:r>
    </w:p>
    <w:p>
      <w:pPr>
        <w:pStyle w:val="29"/>
        <w:snapToGrid w:val="0"/>
        <w:spacing w:beforeLines="0" w:afterLines="0" w:line="360" w:lineRule="auto"/>
        <w:ind w:firstLine="480"/>
        <w:jc w:val="left"/>
        <w:rPr>
          <w:rFonts w:hAnsi="宋体"/>
          <w:bCs/>
          <w:color w:val="auto"/>
          <w:highlight w:val="none"/>
          <w:u w:val="single"/>
        </w:rPr>
      </w:pPr>
      <w:r>
        <w:rPr>
          <w:rFonts w:hint="eastAsia" w:hAnsi="宋体"/>
          <w:bCs/>
          <w:color w:val="auto"/>
          <w:highlight w:val="none"/>
        </w:rPr>
        <w:t>1、</w:t>
      </w:r>
      <w:r>
        <w:rPr>
          <w:rFonts w:hint="eastAsia" w:hAnsi="宋体"/>
          <w:bCs/>
          <w:color w:val="auto"/>
          <w:highlight w:val="none"/>
          <w:u w:val="single"/>
        </w:rPr>
        <w:t>（标的名称）</w:t>
      </w:r>
      <w:r>
        <w:rPr>
          <w:rFonts w:hint="eastAsia" w:hAnsi="宋体"/>
          <w:bCs/>
          <w:color w:val="auto"/>
          <w:highlight w:val="none"/>
        </w:rPr>
        <w:t>，属于</w:t>
      </w:r>
      <w:r>
        <w:rPr>
          <w:rFonts w:hint="eastAsia" w:hAnsi="宋体" w:cs="宋体"/>
          <w:color w:val="auto"/>
          <w:highlight w:val="none"/>
          <w:u w:val="single"/>
        </w:rPr>
        <w:t>（招标文件中明确的所属行业）</w:t>
      </w:r>
      <w:r>
        <w:rPr>
          <w:rFonts w:hint="eastAsia" w:hAnsi="宋体" w:cs="宋体"/>
          <w:color w:val="auto"/>
          <w:highlight w:val="none"/>
        </w:rPr>
        <w:t>行业，</w:t>
      </w:r>
      <w:r>
        <w:rPr>
          <w:rFonts w:hint="eastAsia" w:hAnsi="宋体"/>
          <w:bCs/>
          <w:color w:val="auto"/>
          <w:highlight w:val="none"/>
        </w:rPr>
        <w:t>承接企业为</w:t>
      </w:r>
      <w:r>
        <w:rPr>
          <w:rFonts w:hint="eastAsia" w:hAnsi="宋体"/>
          <w:bCs/>
          <w:color w:val="auto"/>
          <w:highlight w:val="none"/>
          <w:u w:val="single"/>
        </w:rPr>
        <w:t>（企业名称）</w:t>
      </w:r>
      <w:r>
        <w:rPr>
          <w:rFonts w:hint="eastAsia" w:hAnsi="宋体"/>
          <w:bCs/>
          <w:color w:val="auto"/>
          <w:highlight w:val="none"/>
        </w:rPr>
        <w:t>，</w:t>
      </w:r>
      <w:r>
        <w:rPr>
          <w:rFonts w:hint="eastAsia" w:hAnsi="宋体"/>
          <w:bCs/>
          <w:iCs/>
          <w:color w:val="auto"/>
          <w:highlight w:val="none"/>
        </w:rPr>
        <w:t>从业人员</w:t>
      </w:r>
      <w:r>
        <w:rPr>
          <w:rFonts w:hint="eastAsia" w:hAnsi="宋体"/>
          <w:bCs/>
          <w:iCs/>
          <w:color w:val="auto"/>
          <w:highlight w:val="none"/>
          <w:u w:val="single"/>
        </w:rPr>
        <w:t xml:space="preserve"> </w:t>
      </w:r>
      <w:r>
        <w:rPr>
          <w:rFonts w:hAnsi="宋体"/>
          <w:bCs/>
          <w:iCs/>
          <w:color w:val="auto"/>
          <w:highlight w:val="none"/>
          <w:u w:val="single"/>
        </w:rPr>
        <w:t xml:space="preserve"> </w:t>
      </w:r>
      <w:r>
        <w:rPr>
          <w:rFonts w:hint="eastAsia" w:hAnsi="宋体"/>
          <w:bCs/>
          <w:iCs/>
          <w:color w:val="auto"/>
          <w:highlight w:val="none"/>
          <w:u w:val="single"/>
        </w:rPr>
        <w:t xml:space="preserve"> </w:t>
      </w:r>
      <w:r>
        <w:rPr>
          <w:rFonts w:hint="eastAsia" w:hAnsi="宋体"/>
          <w:bCs/>
          <w:iCs/>
          <w:color w:val="auto"/>
          <w:highlight w:val="none"/>
        </w:rPr>
        <w:t>人、营业收入为</w:t>
      </w:r>
      <w:r>
        <w:rPr>
          <w:rFonts w:hint="eastAsia" w:hAnsi="宋体"/>
          <w:bCs/>
          <w:iCs/>
          <w:color w:val="auto"/>
          <w:highlight w:val="none"/>
          <w:u w:val="single"/>
        </w:rPr>
        <w:t xml:space="preserve">   </w:t>
      </w:r>
      <w:r>
        <w:rPr>
          <w:rFonts w:hint="eastAsia" w:hAnsi="宋体"/>
          <w:bCs/>
          <w:iCs/>
          <w:color w:val="auto"/>
          <w:highlight w:val="none"/>
        </w:rPr>
        <w:t>万元</w:t>
      </w:r>
      <w:r>
        <w:rPr>
          <w:rFonts w:hint="eastAsia" w:hAnsi="宋体"/>
          <w:bCs/>
          <w:color w:val="auto"/>
          <w:highlight w:val="none"/>
        </w:rPr>
        <w:t>，资产总额</w:t>
      </w:r>
      <w:r>
        <w:rPr>
          <w:rFonts w:hint="eastAsia" w:hAnsi="宋体"/>
          <w:bCs/>
          <w:iCs/>
          <w:color w:val="auto"/>
          <w:highlight w:val="none"/>
          <w:u w:val="single"/>
        </w:rPr>
        <w:t xml:space="preserve">   </w:t>
      </w:r>
      <w:r>
        <w:rPr>
          <w:rFonts w:hint="eastAsia" w:hAnsi="宋体"/>
          <w:bCs/>
          <w:color w:val="auto"/>
          <w:highlight w:val="none"/>
        </w:rPr>
        <w:t>万元，属于</w:t>
      </w:r>
      <w:r>
        <w:rPr>
          <w:rFonts w:hAnsi="宋体"/>
          <w:bCs/>
          <w:color w:val="auto"/>
          <w:highlight w:val="none"/>
          <w:u w:val="single"/>
        </w:rPr>
        <w:t xml:space="preserve"> </w:t>
      </w:r>
      <w:r>
        <w:rPr>
          <w:rFonts w:hint="eastAsia" w:hAnsi="宋体"/>
          <w:bCs/>
          <w:color w:val="auto"/>
          <w:highlight w:val="none"/>
          <w:u w:val="single"/>
        </w:rPr>
        <w:t>（中型企业、小型企业、微型企业）；</w:t>
      </w:r>
    </w:p>
    <w:p>
      <w:pPr>
        <w:pStyle w:val="29"/>
        <w:snapToGrid w:val="0"/>
        <w:spacing w:beforeLines="0" w:afterLines="0" w:line="360" w:lineRule="auto"/>
        <w:ind w:firstLine="480"/>
        <w:jc w:val="left"/>
        <w:rPr>
          <w:rFonts w:hAnsi="宋体"/>
          <w:bCs/>
          <w:color w:val="auto"/>
          <w:highlight w:val="none"/>
          <w:u w:val="single"/>
        </w:rPr>
      </w:pPr>
      <w:r>
        <w:rPr>
          <w:rFonts w:hAnsi="宋体"/>
          <w:bCs/>
          <w:color w:val="auto"/>
          <w:highlight w:val="none"/>
        </w:rPr>
        <w:t>2</w:t>
      </w:r>
      <w:r>
        <w:rPr>
          <w:rFonts w:hint="eastAsia" w:hAnsi="宋体"/>
          <w:bCs/>
          <w:color w:val="auto"/>
          <w:highlight w:val="none"/>
        </w:rPr>
        <w:t>、</w:t>
      </w:r>
      <w:r>
        <w:rPr>
          <w:rFonts w:hint="eastAsia" w:hAnsi="宋体"/>
          <w:bCs/>
          <w:color w:val="auto"/>
          <w:highlight w:val="none"/>
          <w:u w:val="single"/>
        </w:rPr>
        <w:t>（标的名称）</w:t>
      </w:r>
      <w:r>
        <w:rPr>
          <w:rFonts w:hint="eastAsia" w:hAnsi="宋体"/>
          <w:bCs/>
          <w:color w:val="auto"/>
          <w:highlight w:val="none"/>
        </w:rPr>
        <w:t>，属于</w:t>
      </w:r>
      <w:r>
        <w:rPr>
          <w:rFonts w:hint="eastAsia" w:hAnsi="宋体" w:cs="宋体"/>
          <w:color w:val="auto"/>
          <w:highlight w:val="none"/>
          <w:u w:val="single"/>
        </w:rPr>
        <w:t>（招标文件中明确的所属行业）</w:t>
      </w:r>
      <w:r>
        <w:rPr>
          <w:rFonts w:hint="eastAsia" w:hAnsi="宋体" w:cs="宋体"/>
          <w:color w:val="auto"/>
          <w:highlight w:val="none"/>
        </w:rPr>
        <w:t>行业，</w:t>
      </w:r>
      <w:r>
        <w:rPr>
          <w:rFonts w:hint="eastAsia" w:hAnsi="宋体"/>
          <w:bCs/>
          <w:color w:val="auto"/>
          <w:highlight w:val="none"/>
        </w:rPr>
        <w:t>承接企业为</w:t>
      </w:r>
      <w:r>
        <w:rPr>
          <w:rFonts w:hint="eastAsia" w:hAnsi="宋体"/>
          <w:bCs/>
          <w:color w:val="auto"/>
          <w:highlight w:val="none"/>
          <w:u w:val="single"/>
        </w:rPr>
        <w:t>（企业名称）</w:t>
      </w:r>
      <w:r>
        <w:rPr>
          <w:rFonts w:hint="eastAsia" w:hAnsi="宋体"/>
          <w:bCs/>
          <w:color w:val="auto"/>
          <w:highlight w:val="none"/>
        </w:rPr>
        <w:t>，</w:t>
      </w:r>
      <w:r>
        <w:rPr>
          <w:rFonts w:hint="eastAsia" w:hAnsi="宋体"/>
          <w:bCs/>
          <w:iCs/>
          <w:color w:val="auto"/>
          <w:highlight w:val="none"/>
        </w:rPr>
        <w:t>从业人员</w:t>
      </w:r>
      <w:r>
        <w:rPr>
          <w:rFonts w:hint="eastAsia" w:hAnsi="宋体"/>
          <w:bCs/>
          <w:iCs/>
          <w:color w:val="auto"/>
          <w:highlight w:val="none"/>
          <w:u w:val="single"/>
        </w:rPr>
        <w:t xml:space="preserve"> </w:t>
      </w:r>
      <w:r>
        <w:rPr>
          <w:rFonts w:hAnsi="宋体"/>
          <w:bCs/>
          <w:iCs/>
          <w:color w:val="auto"/>
          <w:highlight w:val="none"/>
          <w:u w:val="single"/>
        </w:rPr>
        <w:t xml:space="preserve"> </w:t>
      </w:r>
      <w:r>
        <w:rPr>
          <w:rFonts w:hint="eastAsia" w:hAnsi="宋体"/>
          <w:bCs/>
          <w:iCs/>
          <w:color w:val="auto"/>
          <w:highlight w:val="none"/>
          <w:u w:val="single"/>
        </w:rPr>
        <w:t xml:space="preserve"> </w:t>
      </w:r>
      <w:r>
        <w:rPr>
          <w:rFonts w:hint="eastAsia" w:hAnsi="宋体"/>
          <w:bCs/>
          <w:iCs/>
          <w:color w:val="auto"/>
          <w:highlight w:val="none"/>
        </w:rPr>
        <w:t>人、营业收入为</w:t>
      </w:r>
      <w:r>
        <w:rPr>
          <w:rFonts w:hint="eastAsia" w:hAnsi="宋体"/>
          <w:bCs/>
          <w:iCs/>
          <w:color w:val="auto"/>
          <w:highlight w:val="none"/>
          <w:u w:val="single"/>
        </w:rPr>
        <w:t xml:space="preserve">   </w:t>
      </w:r>
      <w:r>
        <w:rPr>
          <w:rFonts w:hint="eastAsia" w:hAnsi="宋体"/>
          <w:bCs/>
          <w:iCs/>
          <w:color w:val="auto"/>
          <w:highlight w:val="none"/>
        </w:rPr>
        <w:t>万元</w:t>
      </w:r>
      <w:r>
        <w:rPr>
          <w:rFonts w:hint="eastAsia" w:hAnsi="宋体"/>
          <w:bCs/>
          <w:color w:val="auto"/>
          <w:highlight w:val="none"/>
        </w:rPr>
        <w:t>，资产总额</w:t>
      </w:r>
      <w:r>
        <w:rPr>
          <w:rFonts w:hint="eastAsia" w:hAnsi="宋体"/>
          <w:bCs/>
          <w:iCs/>
          <w:color w:val="auto"/>
          <w:highlight w:val="none"/>
          <w:u w:val="single"/>
        </w:rPr>
        <w:t xml:space="preserve">   </w:t>
      </w:r>
      <w:r>
        <w:rPr>
          <w:rFonts w:hint="eastAsia" w:hAnsi="宋体"/>
          <w:bCs/>
          <w:color w:val="auto"/>
          <w:highlight w:val="none"/>
        </w:rPr>
        <w:t>万元，属于</w:t>
      </w:r>
      <w:r>
        <w:rPr>
          <w:rFonts w:hAnsi="宋体"/>
          <w:bCs/>
          <w:color w:val="auto"/>
          <w:highlight w:val="none"/>
          <w:u w:val="single"/>
        </w:rPr>
        <w:t xml:space="preserve"> </w:t>
      </w:r>
      <w:r>
        <w:rPr>
          <w:rFonts w:hint="eastAsia" w:hAnsi="宋体"/>
          <w:bCs/>
          <w:color w:val="auto"/>
          <w:highlight w:val="none"/>
          <w:u w:val="single"/>
        </w:rPr>
        <w:t>（中型企业、小型企业、微型企业）；</w:t>
      </w:r>
    </w:p>
    <w:p>
      <w:pPr>
        <w:pStyle w:val="29"/>
        <w:snapToGrid w:val="0"/>
        <w:spacing w:beforeLines="0" w:afterLines="0" w:line="360" w:lineRule="auto"/>
        <w:ind w:firstLine="480" w:firstLineChars="200"/>
        <w:jc w:val="left"/>
        <w:rPr>
          <w:rFonts w:hAnsi="宋体"/>
          <w:bCs/>
          <w:color w:val="auto"/>
          <w:highlight w:val="none"/>
        </w:rPr>
      </w:pPr>
      <w:r>
        <w:rPr>
          <w:rFonts w:hAnsi="宋体"/>
          <w:bCs/>
          <w:color w:val="auto"/>
          <w:highlight w:val="none"/>
        </w:rPr>
        <w:t>………</w:t>
      </w:r>
    </w:p>
    <w:p>
      <w:pPr>
        <w:pStyle w:val="29"/>
        <w:snapToGrid w:val="0"/>
        <w:spacing w:beforeLines="0" w:afterLines="0" w:line="360" w:lineRule="auto"/>
        <w:ind w:firstLine="480" w:firstLineChars="200"/>
        <w:jc w:val="left"/>
        <w:rPr>
          <w:rFonts w:hAnsi="宋体"/>
          <w:bCs/>
          <w:color w:val="auto"/>
          <w:highlight w:val="none"/>
        </w:rPr>
      </w:pPr>
      <w:r>
        <w:rPr>
          <w:rFonts w:hint="eastAsia" w:hAnsi="宋体"/>
          <w:bCs/>
          <w:color w:val="auto"/>
          <w:highlight w:val="none"/>
        </w:rPr>
        <w:t>以上企业，不属于大企业的分支机构，不存在控股股东为大企业的情形，也不存在与大企业的负责人为同一人的情形。</w:t>
      </w:r>
    </w:p>
    <w:p>
      <w:pPr>
        <w:pStyle w:val="29"/>
        <w:snapToGrid w:val="0"/>
        <w:spacing w:beforeLines="0" w:afterLines="0" w:line="240" w:lineRule="auto"/>
        <w:rPr>
          <w:rFonts w:hAnsi="宋体"/>
          <w:b/>
          <w:bCs/>
          <w:color w:val="auto"/>
          <w:highlight w:val="none"/>
          <w:u w:val="single"/>
          <w:shd w:val="pct10" w:color="auto" w:fill="FFFFFF"/>
        </w:rPr>
      </w:pPr>
      <w:r>
        <w:rPr>
          <w:rFonts w:hint="eastAsia" w:hAnsi="宋体"/>
          <w:b/>
          <w:bCs/>
          <w:color w:val="auto"/>
          <w:highlight w:val="none"/>
          <w:u w:val="single"/>
          <w:shd w:val="pct10" w:color="auto" w:fill="FFFFFF"/>
        </w:rPr>
        <w:t>本企业对上述声明内容的真实性负责。如有虚假，将依法承担相应责任。</w:t>
      </w:r>
    </w:p>
    <w:p>
      <w:pPr>
        <w:pStyle w:val="29"/>
        <w:snapToGrid w:val="0"/>
        <w:spacing w:beforeLines="0" w:afterLines="0" w:line="240" w:lineRule="auto"/>
        <w:rPr>
          <w:rFonts w:hAnsi="宋体"/>
          <w:color w:val="auto"/>
          <w:spacing w:val="20"/>
          <w:highlight w:val="none"/>
        </w:rPr>
      </w:pPr>
    </w:p>
    <w:p>
      <w:pPr>
        <w:pStyle w:val="29"/>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投标人（盖章）： </w:t>
      </w:r>
    </w:p>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p>
      <w:pPr>
        <w:snapToGrid w:val="0"/>
        <w:spacing w:line="360" w:lineRule="auto"/>
        <w:jc w:val="center"/>
        <w:rPr>
          <w:rFonts w:ascii="宋体" w:hAnsi="宋体"/>
          <w:b/>
          <w:color w:val="auto"/>
          <w:highlight w:val="none"/>
        </w:rPr>
      </w:pPr>
      <w:r>
        <w:rPr>
          <w:rFonts w:hint="eastAsia" w:ascii="宋体" w:hAnsi="宋体"/>
          <w:b/>
          <w:color w:val="auto"/>
          <w:highlight w:val="none"/>
        </w:rPr>
        <w:t xml:space="preserve">                                             日期:_____年___月___日</w:t>
      </w:r>
    </w:p>
    <w:p>
      <w:pPr>
        <w:pStyle w:val="29"/>
        <w:snapToGrid w:val="0"/>
        <w:spacing w:beforeLines="0" w:afterLines="0" w:line="380" w:lineRule="exact"/>
        <w:jc w:val="left"/>
        <w:rPr>
          <w:rFonts w:hAnsi="宋体"/>
          <w:b/>
          <w:color w:val="auto"/>
          <w:highlight w:val="none"/>
          <w:shd w:val="clear" w:color="FFFFFF" w:fill="D9D9D9"/>
        </w:rPr>
      </w:pPr>
      <w:r>
        <w:rPr>
          <w:rFonts w:hint="eastAsia" w:hAnsi="宋体"/>
          <w:b/>
          <w:color w:val="auto"/>
          <w:highlight w:val="none"/>
          <w:shd w:val="clear" w:color="FFFFFF" w:fill="D9D9D9"/>
        </w:rPr>
        <w:t>温馨提醒：</w:t>
      </w:r>
    </w:p>
    <w:p>
      <w:pPr>
        <w:pStyle w:val="29"/>
        <w:snapToGrid w:val="0"/>
        <w:spacing w:beforeLines="0" w:afterLines="0" w:line="380" w:lineRule="exact"/>
        <w:jc w:val="left"/>
        <w:rPr>
          <w:rFonts w:hAnsi="宋体"/>
          <w:b/>
          <w:iCs/>
          <w:color w:val="auto"/>
          <w:highlight w:val="none"/>
          <w:shd w:val="clear" w:color="FFFFFF" w:fill="D9D9D9"/>
        </w:rPr>
      </w:pPr>
      <w:r>
        <w:rPr>
          <w:rFonts w:hint="eastAsia" w:hAnsi="宋体"/>
          <w:b/>
          <w:color w:val="auto"/>
          <w:highlight w:val="none"/>
          <w:shd w:val="clear" w:color="FFFFFF" w:fill="D9D9D9"/>
        </w:rPr>
        <w:t>1、投标人请将《中小企业声明函》中加</w:t>
      </w:r>
      <w:r>
        <w:rPr>
          <w:rFonts w:hint="eastAsia" w:hAnsi="宋体"/>
          <w:b/>
          <w:iCs/>
          <w:color w:val="auto"/>
          <w:highlight w:val="none"/>
          <w:u w:val="single"/>
          <w:shd w:val="clear" w:color="FFFFFF" w:fill="D9D9D9"/>
        </w:rPr>
        <w:t xml:space="preserve">    </w:t>
      </w:r>
      <w:r>
        <w:rPr>
          <w:rFonts w:hint="eastAsia" w:hAnsi="宋体"/>
          <w:b/>
          <w:iCs/>
          <w:color w:val="auto"/>
          <w:highlight w:val="none"/>
          <w:shd w:val="clear" w:color="FFFFFF" w:fill="D9D9D9"/>
        </w:rPr>
        <w:t>里面的内容全部填写齐全，《中小企业声明函》中内容未填写齐全的、缺项的将不给予投标人享受中小企业扶持政策（即资格响应文件为无效）。</w:t>
      </w:r>
    </w:p>
    <w:p>
      <w:pPr>
        <w:pStyle w:val="29"/>
        <w:snapToGrid w:val="0"/>
        <w:spacing w:beforeLines="0" w:afterLines="0" w:line="380" w:lineRule="exact"/>
        <w:jc w:val="left"/>
        <w:rPr>
          <w:rFonts w:hAnsi="宋体"/>
          <w:b/>
          <w:bCs/>
          <w:color w:val="auto"/>
          <w:sz w:val="28"/>
          <w:szCs w:val="28"/>
          <w:highlight w:val="none"/>
          <w:u w:val="single"/>
          <w:shd w:val="pct10" w:color="auto" w:fill="FFFFFF"/>
        </w:rPr>
      </w:pPr>
      <w:r>
        <w:rPr>
          <w:rFonts w:hint="eastAsia" w:hAnsi="宋体"/>
          <w:b/>
          <w:color w:val="auto"/>
          <w:highlight w:val="none"/>
          <w:shd w:val="clear" w:color="FFFFFF" w:fill="D9D9D9"/>
        </w:rPr>
        <w:t>2、投标人请根据《关于印发中小企业划型标准规定的通知》（工信部联企业[2011]300号文件）、国家统计局关于印发《统计上大中小微型企业划分办法（2017）》的通知（国统字〔2017〕213号文件）要求，将《中小企业声明函》中加</w:t>
      </w:r>
      <w:r>
        <w:rPr>
          <w:rFonts w:hint="eastAsia" w:hAnsi="宋体"/>
          <w:b/>
          <w:iCs/>
          <w:color w:val="auto"/>
          <w:highlight w:val="none"/>
          <w:u w:val="single"/>
          <w:shd w:val="clear" w:color="FFFFFF" w:fill="D9D9D9"/>
        </w:rPr>
        <w:t xml:space="preserve">    </w:t>
      </w:r>
      <w:r>
        <w:rPr>
          <w:rFonts w:hint="eastAsia" w:hAnsi="宋体"/>
          <w:b/>
          <w:iCs/>
          <w:color w:val="auto"/>
          <w:highlight w:val="none"/>
          <w:shd w:val="clear" w:color="FFFFFF" w:fill="D9D9D9"/>
        </w:rPr>
        <w:t>里面的内容全部填写正确，《中小企业声明函》中填写内容出现错误的（不影响企业规模类型判定的除外）、未如实填写的，将不给予投标人享受中小企业扶持政策（即资格响应文件为无效）。</w:t>
      </w:r>
    </w:p>
    <w:p>
      <w:pPr>
        <w:pStyle w:val="29"/>
        <w:snapToGrid w:val="0"/>
        <w:spacing w:beforeLines="0" w:afterLines="0"/>
        <w:jc w:val="lef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填表说明：</w:t>
      </w:r>
    </w:p>
    <w:p>
      <w:pPr>
        <w:pStyle w:val="29"/>
        <w:snapToGrid w:val="0"/>
        <w:spacing w:beforeLines="0" w:afterLines="0"/>
        <w:jc w:val="lef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1、标的分别由不同承接企业承接的，请按序号填写齐全所有标的承接企业的信息。</w:t>
      </w:r>
    </w:p>
    <w:p>
      <w:pPr>
        <w:pStyle w:val="29"/>
        <w:snapToGrid w:val="0"/>
        <w:spacing w:beforeLines="0" w:afterLines="0"/>
        <w:jc w:val="lef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2、从业人员、营业收入、资产总额填报上一年度数据，无上一年度数据的新成立企业可不填报。</w:t>
      </w:r>
    </w:p>
    <w:p>
      <w:pPr>
        <w:pStyle w:val="29"/>
        <w:snapToGrid w:val="0"/>
        <w:spacing w:before="120" w:after="120"/>
        <w:jc w:val="lef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3、（1）按照国家统计局统计口径规定，单位从业人员指报告期末最后一日在本单位工作，并取得工资或其他形式劳动报酬的人员数。</w:t>
      </w:r>
    </w:p>
    <w:p>
      <w:pPr>
        <w:pStyle w:val="29"/>
        <w:snapToGrid w:val="0"/>
        <w:spacing w:before="120" w:after="120"/>
        <w:jc w:val="lef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（2）企业划型时，应将分公司的从业人员、营业收入纳入合并计算。</w:t>
      </w:r>
    </w:p>
    <w:p>
      <w:pPr>
        <w:pStyle w:val="29"/>
        <w:snapToGrid w:val="0"/>
        <w:spacing w:beforeLines="0" w:afterLines="0"/>
        <w:jc w:val="lef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4、投标人应当按照采购文件中明确的采购标的所属行业的划分标准来评判承接企业的企业规模类型（大型、中型、小型、微型企业），而非按照承接企业自身经营范围所属行业的划分标准来评判承接企业的企业规模类型。</w:t>
      </w:r>
    </w:p>
    <w:p>
      <w:pPr>
        <w:pStyle w:val="29"/>
        <w:snapToGrid w:val="0"/>
        <w:spacing w:beforeLines="0" w:afterLines="0"/>
        <w:jc w:val="lef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5、为了更加准确判定制造商是否为小微企业，请投标人根据工业和信息化部官方网站---中小企业规模类型自测小程序来辨别制造商企业规模类型，中小企业规模类型自测小程序链接网址为</w:t>
      </w:r>
    </w:p>
    <w:p>
      <w:pPr>
        <w:pStyle w:val="29"/>
        <w:snapToGrid w:val="0"/>
        <w:spacing w:beforeLines="0" w:afterLines="0"/>
        <w:jc w:val="left"/>
        <w:rPr>
          <w:rFonts w:hAnsi="宋体"/>
          <w:b/>
          <w:bCs/>
          <w:color w:val="auto"/>
          <w:highlight w:val="none"/>
          <w:u w:val="single"/>
          <w:shd w:val="pct10" w:color="auto" w:fill="FFFFFF"/>
        </w:rPr>
      </w:pPr>
      <w:r>
        <w:rPr>
          <w:rFonts w:hAnsi="宋体"/>
          <w:b/>
          <w:bCs/>
          <w:color w:val="auto"/>
          <w:highlight w:val="none"/>
          <w:u w:val="single"/>
          <w:shd w:val="pct10" w:color="auto" w:fill="FFFFFF"/>
        </w:rPr>
        <w:t>http://202.106.120.146/baosong/appweb/orgScale.html</w:t>
      </w:r>
    </w:p>
    <w:p>
      <w:pPr>
        <w:pStyle w:val="29"/>
        <w:snapToGrid w:val="0"/>
        <w:spacing w:beforeLines="0" w:afterLines="0"/>
        <w:jc w:val="lef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6、投标人未提供《中小企业声明函》的、《中小企业声明函》中内容未填写齐全的、缺项的、填写内容出现错误的</w:t>
      </w:r>
      <w:r>
        <w:rPr>
          <w:rFonts w:hint="eastAsia" w:hAnsi="宋体"/>
          <w:b/>
          <w:color w:val="auto"/>
          <w:highlight w:val="none"/>
          <w:u w:val="single"/>
          <w:shd w:val="pct10" w:color="auto" w:fill="FFFFFF"/>
        </w:rPr>
        <w:t>（不影响企业规模类型判定的除外）</w:t>
      </w:r>
      <w:r>
        <w:rPr>
          <w:rFonts w:hint="eastAsia" w:hAnsi="宋体"/>
          <w:b/>
          <w:bCs/>
          <w:color w:val="auto"/>
          <w:highlight w:val="none"/>
          <w:u w:val="single"/>
          <w:shd w:val="pct10" w:color="auto" w:fill="FFFFFF"/>
        </w:rPr>
        <w:t>、未如实填写的，将不给予投标人享受中小企业扶持政策（即资格响应文件为无效）。</w:t>
      </w:r>
    </w:p>
    <w:p>
      <w:pPr>
        <w:pStyle w:val="29"/>
        <w:snapToGrid w:val="0"/>
        <w:spacing w:before="120" w:after="120"/>
        <w:jc w:val="lef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中标供应商享受中小企业扶持政策的，将在成交结果公告中公开中标供应商的《中小企业声明函》。</w:t>
      </w:r>
    </w:p>
    <w:p>
      <w:pPr>
        <w:pStyle w:val="29"/>
        <w:snapToGrid w:val="0"/>
        <w:spacing w:beforeLines="0" w:afterLines="0"/>
        <w:jc w:val="lef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7、鼓励投标人在投标时一并提供对承接企业相关信息的核实核验情况以及其他佐证材料。</w:t>
      </w:r>
    </w:p>
    <w:p>
      <w:pPr>
        <w:pStyle w:val="29"/>
        <w:snapToGrid w:val="0"/>
        <w:spacing w:beforeLines="0" w:afterLines="0"/>
        <w:jc w:val="left"/>
        <w:rPr>
          <w:rFonts w:hAnsi="宋体"/>
          <w:b/>
          <w:bCs/>
          <w:color w:val="auto"/>
          <w:highlight w:val="none"/>
          <w:u w:val="single"/>
          <w:shd w:val="pct10" w:color="auto" w:fill="FFFFFF"/>
        </w:rPr>
      </w:pPr>
      <w:r>
        <w:rPr>
          <w:rFonts w:hint="eastAsia" w:hAnsi="宋体"/>
          <w:b/>
          <w:bCs/>
          <w:color w:val="auto"/>
          <w:highlight w:val="none"/>
          <w:u w:val="single"/>
          <w:shd w:val="pct10" w:color="auto" w:fill="FFFFFF"/>
        </w:rPr>
        <w:t>8、如国家对中小企业划型标准有新的规定的，从其规定。</w:t>
      </w:r>
    </w:p>
    <w:p>
      <w:pPr>
        <w:snapToGrid w:val="0"/>
        <w:spacing w:line="360" w:lineRule="auto"/>
        <w:rPr>
          <w:rFonts w:ascii="宋体" w:hAnsi="宋体"/>
          <w:color w:val="auto"/>
          <w:sz w:val="24"/>
          <w:highlight w:val="none"/>
        </w:rPr>
      </w:pPr>
    </w:p>
    <w:p>
      <w:pPr>
        <w:widowControl/>
        <w:spacing w:line="330" w:lineRule="atLeast"/>
        <w:jc w:val="center"/>
        <w:rPr>
          <w:rFonts w:ascii="宋体" w:hAnsi="宋体" w:cs="宋体"/>
          <w:color w:val="auto"/>
          <w:kern w:val="0"/>
          <w:sz w:val="36"/>
          <w:szCs w:val="32"/>
          <w:highlight w:val="none"/>
        </w:rPr>
      </w:pPr>
      <w:r>
        <w:rPr>
          <w:rFonts w:ascii="宋体" w:hAnsi="宋体"/>
          <w:color w:val="auto"/>
          <w:sz w:val="24"/>
          <w:highlight w:val="none"/>
        </w:rPr>
        <w:br w:type="page"/>
      </w:r>
      <w:r>
        <w:rPr>
          <w:rFonts w:hint="eastAsia" w:ascii="宋体" w:hAnsi="宋体" w:cs="宋体"/>
          <w:color w:val="auto"/>
          <w:kern w:val="0"/>
          <w:sz w:val="36"/>
          <w:szCs w:val="32"/>
          <w:highlight w:val="none"/>
        </w:rPr>
        <w:t>统计上大中小微型企业划分标准</w:t>
      </w:r>
    </w:p>
    <w:tbl>
      <w:tblPr>
        <w:tblStyle w:val="50"/>
        <w:tblW w:w="9435" w:type="dxa"/>
        <w:jc w:val="center"/>
        <w:tblInd w:w="0" w:type="dxa"/>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Layout w:type="fixed"/>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Layout w:type="fixed"/>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Layout w:type="fixed"/>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Layout w:type="fixed"/>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Layout w:type="fixed"/>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Layout w:type="fixed"/>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Layout w:type="fixed"/>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540" w:lineRule="exact"/>
        <w:rPr>
          <w:rFonts w:ascii="宋体" w:hAnsi="宋体" w:cs="宋体"/>
          <w:b/>
          <w:bCs/>
          <w:color w:val="auto"/>
          <w:spacing w:val="8"/>
          <w:kern w:val="0"/>
          <w:sz w:val="28"/>
          <w:szCs w:val="28"/>
          <w:highlight w:val="none"/>
        </w:rPr>
      </w:pPr>
      <w:r>
        <w:rPr>
          <w:rFonts w:hint="eastAsia" w:ascii="宋体" w:hAnsi="宋体" w:cs="宋体"/>
          <w:b/>
          <w:bCs/>
          <w:color w:val="auto"/>
          <w:spacing w:val="8"/>
          <w:kern w:val="0"/>
          <w:sz w:val="28"/>
          <w:szCs w:val="28"/>
          <w:highlight w:val="none"/>
        </w:rPr>
        <w:t>说明：</w:t>
      </w:r>
    </w:p>
    <w:p>
      <w:pPr>
        <w:spacing w:line="540" w:lineRule="exact"/>
        <w:rPr>
          <w:rFonts w:ascii="宋体" w:hAnsi="宋体" w:cs="宋体"/>
          <w:color w:val="auto"/>
          <w:spacing w:val="8"/>
          <w:kern w:val="0"/>
          <w:sz w:val="28"/>
          <w:szCs w:val="28"/>
          <w:highlight w:val="none"/>
        </w:rPr>
      </w:pPr>
      <w:r>
        <w:rPr>
          <w:rFonts w:hint="eastAsia" w:ascii="宋体" w:hAnsi="宋体" w:cs="宋体"/>
          <w:color w:val="auto"/>
          <w:spacing w:val="8"/>
          <w:kern w:val="0"/>
          <w:sz w:val="28"/>
          <w:szCs w:val="28"/>
          <w:highlight w:val="none"/>
        </w:rPr>
        <w:t>　　1.大型、中型和小型企业须同时满足所列指标的下限，否则下划一档；微型企业只须满足所列指标中的一项即可。</w:t>
      </w:r>
    </w:p>
    <w:p>
      <w:pPr>
        <w:spacing w:line="540" w:lineRule="exact"/>
        <w:rPr>
          <w:rFonts w:ascii="宋体" w:hAnsi="宋体" w:cs="宋体"/>
          <w:color w:val="auto"/>
          <w:spacing w:val="8"/>
          <w:kern w:val="0"/>
          <w:sz w:val="28"/>
          <w:szCs w:val="28"/>
          <w:highlight w:val="none"/>
        </w:rPr>
      </w:pPr>
      <w:r>
        <w:rPr>
          <w:rFonts w:hint="eastAsia" w:ascii="宋体" w:hAnsi="宋体" w:cs="宋体"/>
          <w:color w:val="auto"/>
          <w:spacing w:val="8"/>
          <w:kern w:val="0"/>
          <w:sz w:val="28"/>
          <w:szCs w:val="28"/>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ascii="宋体" w:hAnsi="宋体" w:cs="宋体"/>
          <w:color w:val="auto"/>
          <w:spacing w:val="8"/>
          <w:kern w:val="0"/>
          <w:sz w:val="28"/>
          <w:szCs w:val="28"/>
          <w:highlight w:val="none"/>
        </w:rPr>
      </w:pPr>
      <w:r>
        <w:rPr>
          <w:rFonts w:hint="eastAsia" w:ascii="宋体" w:hAnsi="宋体" w:cs="宋体"/>
          <w:color w:val="auto"/>
          <w:spacing w:val="8"/>
          <w:kern w:val="0"/>
          <w:sz w:val="28"/>
          <w:szCs w:val="2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rPr>
          <w:rFonts w:ascii="宋体" w:hAnsi="宋体" w:eastAsia="宋体"/>
          <w:color w:val="auto"/>
          <w:highlight w:val="none"/>
        </w:rPr>
      </w:pPr>
    </w:p>
    <w:p>
      <w:pPr>
        <w:snapToGrid w:val="0"/>
        <w:spacing w:line="360" w:lineRule="auto"/>
        <w:rPr>
          <w:rFonts w:ascii="宋体" w:hAnsi="宋体" w:cs="仿宋_GB2312"/>
          <w:color w:val="auto"/>
          <w:kern w:val="0"/>
          <w:sz w:val="24"/>
          <w:highlight w:val="none"/>
        </w:rPr>
      </w:pPr>
      <w:r>
        <w:rPr>
          <w:rFonts w:ascii="宋体" w:hAnsi="宋体"/>
          <w:color w:val="auto"/>
          <w:highlight w:val="none"/>
        </w:rPr>
        <w:br w:type="page"/>
      </w:r>
    </w:p>
    <w:p>
      <w:pPr>
        <w:pStyle w:val="47"/>
        <w:rPr>
          <w:rFonts w:ascii="宋体" w:hAnsi="宋体"/>
          <w:color w:val="auto"/>
          <w:highlight w:val="none"/>
        </w:rPr>
      </w:pPr>
      <w:bookmarkStart w:id="66" w:name="_Toc197938088"/>
      <w:bookmarkStart w:id="67" w:name="_Toc466534753"/>
      <w:r>
        <w:rPr>
          <w:rFonts w:hint="eastAsia" w:ascii="宋体" w:hAnsi="宋体"/>
          <w:color w:val="auto"/>
          <w:highlight w:val="none"/>
        </w:rPr>
        <w:t>二、商务技术文件格式</w:t>
      </w:r>
      <w:bookmarkEnd w:id="64"/>
      <w:bookmarkEnd w:id="66"/>
      <w:bookmarkEnd w:id="67"/>
    </w:p>
    <w:p>
      <w:pPr>
        <w:snapToGrid w:val="0"/>
        <w:spacing w:before="120" w:beforeLines="50" w:after="50"/>
        <w:jc w:val="center"/>
        <w:rPr>
          <w:rFonts w:ascii="宋体" w:hAnsi="宋体"/>
          <w:color w:val="auto"/>
          <w:sz w:val="28"/>
          <w:szCs w:val="28"/>
          <w:highlight w:val="none"/>
        </w:rPr>
      </w:pPr>
    </w:p>
    <w:p>
      <w:pPr>
        <w:snapToGrid w:val="0"/>
        <w:spacing w:before="120" w:beforeLines="50" w:after="50"/>
        <w:jc w:val="center"/>
        <w:rPr>
          <w:rFonts w:ascii="宋体" w:hAnsi="宋体"/>
          <w:color w:val="auto"/>
          <w:sz w:val="28"/>
          <w:szCs w:val="28"/>
          <w:highlight w:val="none"/>
        </w:rPr>
      </w:pPr>
    </w:p>
    <w:p>
      <w:pPr>
        <w:snapToGrid w:val="0"/>
        <w:spacing w:before="120" w:beforeLines="50" w:after="50"/>
        <w:ind w:firstLine="560" w:firstLineChars="200"/>
        <w:rPr>
          <w:rFonts w:ascii="宋体" w:hAnsi="宋体"/>
          <w:color w:val="auto"/>
          <w:sz w:val="28"/>
          <w:szCs w:val="28"/>
          <w:highlight w:val="none"/>
        </w:rPr>
      </w:pPr>
      <w:r>
        <w:rPr>
          <w:rFonts w:ascii="宋体" w:hAnsi="宋体"/>
          <w:color w:val="auto"/>
          <w:sz w:val="28"/>
          <w:szCs w:val="28"/>
          <w:highlight w:val="none"/>
        </w:rPr>
        <w:t>5</w:t>
      </w:r>
      <w:r>
        <w:rPr>
          <w:rFonts w:hint="eastAsia" w:ascii="宋体" w:hAnsi="宋体"/>
          <w:color w:val="auto"/>
          <w:sz w:val="28"/>
          <w:szCs w:val="28"/>
          <w:highlight w:val="none"/>
        </w:rPr>
        <w:t xml:space="preserve">.商务技术文件封面格式： </w:t>
      </w:r>
    </w:p>
    <w:p>
      <w:pPr>
        <w:snapToGrid w:val="0"/>
        <w:spacing w:before="120" w:beforeLines="50" w:after="50"/>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pPr>
        <w:snapToGrid w:val="0"/>
        <w:spacing w:before="120" w:beforeLines="50" w:after="50"/>
        <w:rPr>
          <w:rFonts w:ascii="宋体" w:hAnsi="宋体"/>
          <w:color w:val="auto"/>
          <w:sz w:val="28"/>
          <w:szCs w:val="28"/>
          <w:highlight w:val="none"/>
        </w:rPr>
      </w:pPr>
    </w:p>
    <w:p>
      <w:pPr>
        <w:snapToGrid w:val="0"/>
        <w:spacing w:before="120" w:beforeLines="50" w:after="50"/>
        <w:jc w:val="center"/>
        <w:rPr>
          <w:rFonts w:ascii="宋体" w:hAnsi="宋体"/>
          <w:bCs/>
          <w:color w:val="auto"/>
          <w:sz w:val="28"/>
          <w:szCs w:val="28"/>
          <w:highlight w:val="none"/>
        </w:rPr>
      </w:pPr>
    </w:p>
    <w:p>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商务技术文件</w:t>
      </w:r>
    </w:p>
    <w:p>
      <w:pPr>
        <w:snapToGrid w:val="0"/>
        <w:spacing w:before="120" w:beforeLines="50" w:after="50" w:line="360" w:lineRule="auto"/>
        <w:jc w:val="center"/>
        <w:rPr>
          <w:rFonts w:ascii="宋体" w:hAnsi="宋体"/>
          <w:bCs/>
          <w:color w:val="auto"/>
          <w:sz w:val="28"/>
          <w:szCs w:val="28"/>
          <w:highlight w:val="none"/>
        </w:rPr>
      </w:pPr>
    </w:p>
    <w:p>
      <w:pPr>
        <w:snapToGrid w:val="0"/>
        <w:spacing w:before="120" w:beforeLines="50" w:after="50" w:line="360" w:lineRule="auto"/>
        <w:jc w:val="center"/>
        <w:rPr>
          <w:rFonts w:ascii="宋体" w:hAnsi="宋体"/>
          <w:bCs/>
          <w:color w:val="auto"/>
          <w:sz w:val="28"/>
          <w:szCs w:val="28"/>
          <w:highlight w:val="none"/>
        </w:rPr>
      </w:pPr>
    </w:p>
    <w:p>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    </w:t>
      </w:r>
    </w:p>
    <w:p>
      <w:pPr>
        <w:pStyle w:val="14"/>
        <w:snapToGrid w:val="0"/>
        <w:spacing w:before="50" w:after="50" w:line="360" w:lineRule="auto"/>
        <w:ind w:firstLine="1164" w:firstLineChars="416"/>
        <w:rPr>
          <w:rFonts w:ascii="宋体" w:hAnsi="宋体"/>
          <w:bCs/>
          <w:color w:val="auto"/>
          <w:sz w:val="28"/>
          <w:szCs w:val="28"/>
          <w:highlight w:val="none"/>
        </w:rPr>
      </w:pPr>
    </w:p>
    <w:p>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pPr>
        <w:pStyle w:val="14"/>
        <w:snapToGrid w:val="0"/>
        <w:spacing w:before="50" w:after="50"/>
        <w:ind w:firstLine="1120" w:firstLineChars="400"/>
        <w:rPr>
          <w:rFonts w:ascii="宋体" w:hAnsi="宋体"/>
          <w:bCs/>
          <w:color w:val="auto"/>
          <w:sz w:val="28"/>
          <w:szCs w:val="28"/>
          <w:highlight w:val="none"/>
        </w:rPr>
      </w:pPr>
    </w:p>
    <w:p>
      <w:pPr>
        <w:snapToGrid w:val="0"/>
        <w:spacing w:before="120" w:beforeLines="50" w:after="50"/>
        <w:ind w:firstLine="645"/>
        <w:jc w:val="left"/>
        <w:rPr>
          <w:rFonts w:ascii="宋体" w:hAnsi="宋体"/>
          <w:color w:val="auto"/>
          <w:sz w:val="24"/>
          <w:highlight w:val="none"/>
        </w:rPr>
      </w:pPr>
      <w:r>
        <w:rPr>
          <w:rFonts w:hint="eastAsia" w:ascii="宋体" w:hAnsi="宋体"/>
          <w:color w:val="auto"/>
          <w:sz w:val="28"/>
          <w:szCs w:val="28"/>
          <w:highlight w:val="none"/>
        </w:rPr>
        <w:t xml:space="preserve">                        年  月  日</w:t>
      </w:r>
      <w:r>
        <w:rPr>
          <w:rFonts w:ascii="宋体" w:hAnsi="宋体"/>
          <w:color w:val="auto"/>
          <w:sz w:val="24"/>
          <w:highlight w:val="none"/>
        </w:rPr>
        <w:br w:type="page"/>
      </w:r>
      <w:bookmarkStart w:id="68" w:name="_Hlk60757098"/>
      <w:r>
        <w:rPr>
          <w:rFonts w:ascii="宋体" w:hAnsi="宋体"/>
          <w:color w:val="auto"/>
          <w:sz w:val="24"/>
          <w:highlight w:val="none"/>
        </w:rPr>
        <w:t>6</w:t>
      </w:r>
      <w:r>
        <w:rPr>
          <w:rFonts w:hint="eastAsia" w:ascii="宋体" w:hAnsi="宋体"/>
          <w:color w:val="auto"/>
          <w:sz w:val="24"/>
          <w:highlight w:val="none"/>
        </w:rPr>
        <w:t>.投标函格式：</w:t>
      </w:r>
      <w:bookmarkEnd w:id="68"/>
    </w:p>
    <w:p>
      <w:pPr>
        <w:snapToGrid w:val="0"/>
        <w:spacing w:before="120" w:beforeLines="50" w:after="50"/>
        <w:jc w:val="center"/>
        <w:rPr>
          <w:rFonts w:ascii="宋体" w:hAnsi="宋体"/>
          <w:b/>
          <w:color w:val="auto"/>
          <w:sz w:val="36"/>
          <w:szCs w:val="36"/>
          <w:highlight w:val="none"/>
        </w:rPr>
      </w:pPr>
      <w:r>
        <w:rPr>
          <w:rFonts w:hint="eastAsia" w:ascii="宋体" w:hAnsi="宋体"/>
          <w:b/>
          <w:color w:val="auto"/>
          <w:sz w:val="36"/>
          <w:szCs w:val="36"/>
          <w:highlight w:val="none"/>
        </w:rPr>
        <w:t>投 标 函</w:t>
      </w:r>
    </w:p>
    <w:p>
      <w:pPr>
        <w:snapToGrid w:val="0"/>
        <w:spacing w:before="120" w:beforeLines="50" w:after="50" w:line="380" w:lineRule="exact"/>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u w:val="none"/>
        </w:rPr>
        <w:t>_________</w:t>
      </w:r>
      <w:r>
        <w:rPr>
          <w:rFonts w:hint="eastAsia" w:ascii="宋体" w:hAnsi="宋体"/>
          <w:color w:val="auto"/>
          <w:sz w:val="24"/>
          <w:highlight w:val="none"/>
        </w:rPr>
        <w:t>（采购人名称）：</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1、我方自愿参加贵方组织的</w:t>
      </w:r>
      <w:r>
        <w:rPr>
          <w:rFonts w:ascii="宋体" w:hAnsi="宋体"/>
          <w:color w:val="auto"/>
          <w:sz w:val="24"/>
          <w:highlight w:val="none"/>
          <w:u w:val="none"/>
        </w:rPr>
        <w:t>__________________</w:t>
      </w:r>
      <w:r>
        <w:rPr>
          <w:rFonts w:hint="eastAsia" w:ascii="宋体" w:hAnsi="宋体"/>
          <w:color w:val="auto"/>
          <w:sz w:val="24"/>
          <w:highlight w:val="none"/>
        </w:rPr>
        <w:t>项目（项目编号：</w:t>
      </w:r>
      <w:r>
        <w:rPr>
          <w:rFonts w:ascii="宋体" w:hAnsi="宋体"/>
          <w:color w:val="auto"/>
          <w:sz w:val="24"/>
          <w:highlight w:val="none"/>
          <w:u w:val="none"/>
        </w:rPr>
        <w:t>_________</w:t>
      </w:r>
      <w:r>
        <w:rPr>
          <w:rFonts w:hint="eastAsia" w:ascii="宋体" w:hAnsi="宋体"/>
          <w:color w:val="auto"/>
          <w:sz w:val="24"/>
          <w:highlight w:val="none"/>
        </w:rPr>
        <w:t>）的投标，并</w:t>
      </w:r>
      <w:r>
        <w:rPr>
          <w:rFonts w:ascii="宋体" w:hAnsi="宋体"/>
          <w:color w:val="auto"/>
          <w:sz w:val="24"/>
          <w:highlight w:val="none"/>
        </w:rPr>
        <w:t>按采购文件的要求</w:t>
      </w:r>
      <w:r>
        <w:rPr>
          <w:rFonts w:hint="eastAsia" w:ascii="宋体" w:hAnsi="宋体"/>
          <w:color w:val="auto"/>
          <w:sz w:val="24"/>
          <w:highlight w:val="none"/>
        </w:rPr>
        <w:t>提交商务技术文件、报价文件。</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、我方完全理解并接受招标文件（包括修改补</w:t>
      </w:r>
      <w:r>
        <w:rPr>
          <w:rFonts w:ascii="宋体" w:hAnsi="宋体"/>
          <w:color w:val="auto"/>
          <w:sz w:val="24"/>
          <w:highlight w:val="none"/>
        </w:rPr>
        <w:t>充</w:t>
      </w:r>
      <w:r>
        <w:rPr>
          <w:rFonts w:hint="eastAsia" w:ascii="宋体" w:hAnsi="宋体"/>
          <w:color w:val="auto"/>
          <w:sz w:val="24"/>
          <w:highlight w:val="none"/>
        </w:rPr>
        <w:t>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再对招标文件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pPr>
        <w:snapToGrid w:val="0"/>
        <w:spacing w:line="360" w:lineRule="auto"/>
        <w:ind w:firstLine="482" w:firstLineChars="200"/>
        <w:rPr>
          <w:rFonts w:ascii="宋体" w:hAnsi="宋体"/>
          <w:b/>
          <w:bCs/>
          <w:color w:val="auto"/>
          <w:sz w:val="24"/>
          <w:highlight w:val="none"/>
          <w:shd w:val="pct10" w:color="auto" w:fill="FFFFFF"/>
        </w:rPr>
      </w:pPr>
      <w:r>
        <w:rPr>
          <w:rFonts w:ascii="宋体" w:hAnsi="宋体"/>
          <w:b/>
          <w:bCs/>
          <w:color w:val="auto"/>
          <w:sz w:val="24"/>
          <w:highlight w:val="none"/>
          <w:shd w:val="pct10" w:color="auto" w:fill="FFFFFF"/>
        </w:rPr>
        <w:t>4</w:t>
      </w:r>
      <w:r>
        <w:rPr>
          <w:rFonts w:hint="eastAsia" w:ascii="宋体" w:hAnsi="宋体"/>
          <w:b/>
          <w:bCs/>
          <w:color w:val="auto"/>
          <w:sz w:val="24"/>
          <w:highlight w:val="none"/>
          <w:shd w:val="pct10" w:color="auto" w:fill="FFFFFF"/>
        </w:rPr>
        <w:t>.、我方向贵方提交的所有投标文件、资料（包括所有</w:t>
      </w:r>
      <w:bookmarkStart w:id="69" w:name="_Hlk59707887"/>
      <w:r>
        <w:rPr>
          <w:rFonts w:hint="eastAsia" w:ascii="宋体" w:hAnsi="宋体"/>
          <w:b/>
          <w:bCs/>
          <w:color w:val="auto"/>
          <w:sz w:val="24"/>
          <w:highlight w:val="none"/>
          <w:shd w:val="pct10" w:color="auto" w:fill="FFFFFF"/>
        </w:rPr>
        <w:t>证书、合同、报告等</w:t>
      </w:r>
      <w:bookmarkEnd w:id="69"/>
      <w:r>
        <w:rPr>
          <w:rFonts w:hint="eastAsia" w:ascii="宋体" w:hAnsi="宋体"/>
          <w:b/>
          <w:bCs/>
          <w:color w:val="auto"/>
          <w:sz w:val="24"/>
          <w:highlight w:val="none"/>
          <w:shd w:val="pct10" w:color="auto" w:fill="FFFFFF"/>
        </w:rPr>
        <w:t>）都是准确、真实、合规的，如有虚假或隐瞒，我方愿意承担一切后果。</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、自投标截止日起 90天</w:t>
      </w:r>
      <w:r>
        <w:rPr>
          <w:rFonts w:ascii="宋体" w:hAnsi="宋体"/>
          <w:color w:val="auto"/>
          <w:sz w:val="24"/>
          <w:highlight w:val="none"/>
        </w:rPr>
        <w:t>内</w:t>
      </w:r>
      <w:r>
        <w:rPr>
          <w:rFonts w:hint="eastAsia" w:ascii="宋体" w:hAnsi="宋体"/>
          <w:color w:val="auto"/>
          <w:sz w:val="24"/>
          <w:highlight w:val="none"/>
        </w:rPr>
        <w:t>有效。</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、如中标，本投标文件至本项目合同履行完毕均保持有效，同意按照贵方要求提供与投标有关的一切数据或资料，并按“招标文件”及政府采购法律、法规的规定履行合同责任和义务。</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并对招标采购单位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办理针对上述项目的投标、开标、评标、签约等具体事务和签署相关文件，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pPr>
        <w:snapToGrid w:val="0"/>
        <w:spacing w:line="360" w:lineRule="auto"/>
        <w:ind w:firstLine="361" w:firstLineChars="150"/>
        <w:rPr>
          <w:rFonts w:ascii="宋体" w:hAnsi="宋体"/>
          <w:b/>
          <w:bCs/>
          <w:color w:val="auto"/>
          <w:sz w:val="24"/>
          <w:highlight w:val="none"/>
          <w:u w:val="single"/>
          <w:shd w:val="pct10" w:color="auto" w:fill="FFFFFF"/>
        </w:rPr>
      </w:pPr>
      <w:bookmarkStart w:id="70" w:name="_Hlk36048718"/>
      <w:r>
        <w:rPr>
          <w:rFonts w:hint="eastAsia" w:ascii="宋体" w:hAnsi="宋体"/>
          <w:b/>
          <w:bCs/>
          <w:color w:val="auto"/>
          <w:sz w:val="24"/>
          <w:highlight w:val="none"/>
        </w:rPr>
        <w:t>与本投标有关的一切正式往来信函、传真或邮件</w:t>
      </w:r>
      <w:r>
        <w:rPr>
          <w:rFonts w:hint="eastAsia" w:ascii="宋体" w:hAnsi="宋体"/>
          <w:b/>
          <w:bCs/>
          <w:color w:val="auto"/>
          <w:sz w:val="24"/>
          <w:highlight w:val="none"/>
          <w:u w:val="single"/>
          <w:shd w:val="pct10" w:color="auto" w:fill="FFFFFF"/>
        </w:rPr>
        <w:t>（例如质疑回复函、中标通知书、采购合同等）请采用如下联系方式送达，我方确保能够及时、准确收悉。</w:t>
      </w:r>
    </w:p>
    <w:p>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邮寄详细地址：</w:t>
      </w:r>
      <w:r>
        <w:rPr>
          <w:rFonts w:ascii="宋体" w:hAnsi="宋体"/>
          <w:color w:val="auto"/>
          <w:sz w:val="24"/>
          <w:highlight w:val="none"/>
          <w:u w:val="none"/>
        </w:rPr>
        <w:t>__________________</w:t>
      </w:r>
      <w:r>
        <w:rPr>
          <w:rFonts w:ascii="宋体" w:hAnsi="宋体"/>
          <w:color w:val="auto"/>
          <w:sz w:val="24"/>
          <w:highlight w:val="none"/>
        </w:rPr>
        <w:t xml:space="preserve">  </w:t>
      </w:r>
      <w:r>
        <w:rPr>
          <w:rFonts w:hint="eastAsia" w:ascii="宋体" w:hAnsi="宋体"/>
          <w:color w:val="auto"/>
          <w:sz w:val="24"/>
          <w:highlight w:val="none"/>
        </w:rPr>
        <w:t>邮编：__________</w:t>
      </w:r>
    </w:p>
    <w:p>
      <w:pPr>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收件人姓名：</w:t>
      </w:r>
      <w:r>
        <w:rPr>
          <w:rFonts w:ascii="宋体" w:hAnsi="宋体"/>
          <w:color w:val="auto"/>
          <w:sz w:val="24"/>
          <w:highlight w:val="none"/>
          <w:u w:val="none"/>
        </w:rPr>
        <w:t>_________</w:t>
      </w:r>
      <w:r>
        <w:rPr>
          <w:rFonts w:hint="eastAsia" w:ascii="宋体" w:hAnsi="宋体"/>
          <w:color w:val="auto"/>
          <w:sz w:val="24"/>
          <w:highlight w:val="none"/>
        </w:rPr>
        <w:t>联系手机：</w:t>
      </w:r>
      <w:r>
        <w:rPr>
          <w:rFonts w:ascii="宋体" w:hAnsi="宋体"/>
          <w:color w:val="auto"/>
          <w:sz w:val="24"/>
          <w:highlight w:val="none"/>
          <w:u w:val="none"/>
        </w:rPr>
        <w:t>__________________</w:t>
      </w:r>
      <w:r>
        <w:rPr>
          <w:rFonts w:hint="eastAsia" w:ascii="宋体" w:hAnsi="宋体"/>
          <w:color w:val="auto"/>
          <w:sz w:val="24"/>
          <w:highlight w:val="none"/>
        </w:rPr>
        <w:t>公司电子邮箱</w:t>
      </w:r>
      <w:r>
        <w:rPr>
          <w:rFonts w:hint="eastAsia" w:ascii="宋体" w:hAnsi="宋体"/>
          <w:b/>
          <w:bCs/>
          <w:color w:val="auto"/>
          <w:sz w:val="24"/>
          <w:highlight w:val="none"/>
        </w:rPr>
        <w:t>：</w:t>
      </w:r>
      <w:r>
        <w:rPr>
          <w:rFonts w:ascii="宋体" w:hAnsi="宋体"/>
          <w:color w:val="auto"/>
          <w:sz w:val="24"/>
          <w:highlight w:val="none"/>
          <w:u w:val="none"/>
        </w:rPr>
        <w:t>_________</w:t>
      </w:r>
      <w:r>
        <w:rPr>
          <w:rFonts w:ascii="宋体" w:hAnsi="宋体"/>
          <w:color w:val="auto"/>
          <w:sz w:val="24"/>
          <w:highlight w:val="none"/>
          <w:u w:val="single"/>
        </w:rPr>
        <w:t xml:space="preserve"> </w:t>
      </w:r>
      <w:r>
        <w:rPr>
          <w:rFonts w:ascii="宋体" w:hAnsi="宋体"/>
          <w:color w:val="auto"/>
          <w:sz w:val="24"/>
          <w:highlight w:val="none"/>
        </w:rPr>
        <w:t xml:space="preserve"> </w:t>
      </w:r>
    </w:p>
    <w:p>
      <w:pPr>
        <w:snapToGrid w:val="0"/>
        <w:spacing w:line="360" w:lineRule="auto"/>
        <w:ind w:firstLine="361" w:firstLineChars="150"/>
        <w:jc w:val="left"/>
        <w:rPr>
          <w:rFonts w:ascii="宋体" w:hAnsi="宋体"/>
          <w:b/>
          <w:bCs/>
          <w:color w:val="auto"/>
          <w:sz w:val="24"/>
          <w:highlight w:val="none"/>
          <w:shd w:val="pct10" w:color="auto" w:fill="FFFFFF"/>
        </w:rPr>
      </w:pPr>
      <w:bookmarkStart w:id="71" w:name="_Hlk59370586"/>
      <w:r>
        <w:rPr>
          <w:rFonts w:hint="eastAsia" w:ascii="宋体" w:hAnsi="宋体"/>
          <w:b/>
          <w:bCs/>
          <w:color w:val="auto"/>
          <w:sz w:val="24"/>
          <w:highlight w:val="none"/>
          <w:shd w:val="pct10" w:color="auto" w:fill="FFFFFF"/>
        </w:rPr>
        <w:t>为了方便评标委员会在必要时对投标人进行询标，请投标人填写以下投标文件编制人信息，以便及时、准确进行询标，投标文件编制人信息可不限于1人。</w:t>
      </w:r>
    </w:p>
    <w:p>
      <w:pPr>
        <w:snapToGrid w:val="0"/>
        <w:spacing w:line="360" w:lineRule="auto"/>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投标文件编制人</w:t>
      </w:r>
      <w:bookmarkEnd w:id="71"/>
      <w:r>
        <w:rPr>
          <w:rFonts w:hint="eastAsia" w:ascii="宋体" w:hAnsi="宋体"/>
          <w:b/>
          <w:bCs/>
          <w:color w:val="auto"/>
          <w:sz w:val="24"/>
          <w:highlight w:val="none"/>
        </w:rPr>
        <w:t>姓名：</w:t>
      </w:r>
      <w:r>
        <w:rPr>
          <w:rFonts w:ascii="宋体" w:hAnsi="宋体"/>
          <w:color w:val="auto"/>
          <w:sz w:val="24"/>
          <w:highlight w:val="none"/>
          <w:u w:val="none"/>
        </w:rPr>
        <w:t>_________</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手机号码：</w:t>
      </w:r>
      <w:r>
        <w:rPr>
          <w:rFonts w:ascii="宋体" w:hAnsi="宋体"/>
          <w:color w:val="auto"/>
          <w:sz w:val="24"/>
          <w:highlight w:val="none"/>
          <w:u w:val="none"/>
        </w:rPr>
        <w:t>__________________</w:t>
      </w:r>
    </w:p>
    <w:p>
      <w:pPr>
        <w:snapToGrid w:val="0"/>
        <w:spacing w:line="360" w:lineRule="auto"/>
        <w:ind w:firstLine="361" w:firstLineChars="150"/>
        <w:jc w:val="left"/>
        <w:rPr>
          <w:rFonts w:ascii="宋体" w:hAnsi="宋体"/>
          <w:b/>
          <w:color w:val="auto"/>
          <w:sz w:val="24"/>
          <w:highlight w:val="none"/>
          <w:u w:val="single"/>
          <w:shd w:val="pct10" w:color="auto" w:fill="FFFFFF"/>
        </w:rPr>
      </w:pPr>
      <w:r>
        <w:rPr>
          <w:rFonts w:hint="eastAsia" w:ascii="宋体" w:hAnsi="宋体"/>
          <w:b/>
          <w:color w:val="auto"/>
          <w:sz w:val="24"/>
          <w:highlight w:val="none"/>
          <w:shd w:val="pct10" w:color="auto" w:fill="FFFFFF"/>
        </w:rPr>
        <w:t>法定代表人（签字或盖章）：</w:t>
      </w:r>
    </w:p>
    <w:p>
      <w:pPr>
        <w:snapToGrid w:val="0"/>
        <w:spacing w:line="360" w:lineRule="auto"/>
        <w:ind w:firstLine="361" w:firstLineChars="150"/>
        <w:jc w:val="left"/>
        <w:rPr>
          <w:rFonts w:ascii="宋体" w:hAnsi="宋体"/>
          <w:b/>
          <w:bCs/>
          <w:color w:val="auto"/>
          <w:sz w:val="24"/>
          <w:highlight w:val="none"/>
        </w:rPr>
      </w:pPr>
      <w:r>
        <w:rPr>
          <w:rFonts w:hint="eastAsia" w:ascii="宋体" w:hAnsi="宋体"/>
          <w:b/>
          <w:color w:val="auto"/>
          <w:sz w:val="24"/>
          <w:highlight w:val="none"/>
          <w:shd w:val="pct10" w:color="auto" w:fill="FFFFFF"/>
        </w:rPr>
        <w:t>被授权人（签字）:</w:t>
      </w:r>
      <w:r>
        <w:rPr>
          <w:rFonts w:ascii="宋体" w:hAnsi="宋体"/>
          <w:color w:val="auto"/>
          <w:sz w:val="24"/>
          <w:highlight w:val="none"/>
          <w:u w:val="none"/>
        </w:rPr>
        <w:t>_________</w:t>
      </w:r>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ascii="宋体" w:hAnsi="宋体"/>
          <w:color w:val="auto"/>
          <w:sz w:val="24"/>
          <w:highlight w:val="none"/>
          <w:u w:val="none"/>
        </w:rPr>
        <w:t>__________________</w:t>
      </w:r>
      <w:r>
        <w:rPr>
          <w:rFonts w:ascii="宋体" w:hAnsi="宋体"/>
          <w:color w:val="auto"/>
          <w:sz w:val="24"/>
          <w:highlight w:val="none"/>
          <w:u w:val="single"/>
        </w:rPr>
        <w:t xml:space="preserve">   </w:t>
      </w:r>
    </w:p>
    <w:bookmarkEnd w:id="70"/>
    <w:p>
      <w:pPr>
        <w:snapToGrid w:val="0"/>
        <w:spacing w:line="360" w:lineRule="auto"/>
        <w:jc w:val="left"/>
        <w:rPr>
          <w:rFonts w:ascii="宋体" w:hAnsi="宋体"/>
          <w:b/>
          <w:color w:val="auto"/>
          <w:sz w:val="24"/>
          <w:highlight w:val="none"/>
        </w:rPr>
      </w:pPr>
    </w:p>
    <w:p>
      <w:pPr>
        <w:snapToGrid w:val="0"/>
        <w:spacing w:line="360" w:lineRule="auto"/>
        <w:ind w:firstLine="482" w:firstLineChars="200"/>
        <w:jc w:val="left"/>
        <w:rPr>
          <w:rFonts w:ascii="宋体" w:hAnsi="宋体"/>
          <w:b/>
          <w:color w:val="auto"/>
          <w:sz w:val="24"/>
          <w:highlight w:val="none"/>
        </w:rPr>
      </w:pPr>
      <w:r>
        <w:rPr>
          <w:rFonts w:hint="eastAsia" w:ascii="宋体" w:hAnsi="宋体"/>
          <w:b/>
          <w:bCs/>
          <w:color w:val="auto"/>
          <w:sz w:val="24"/>
          <w:highlight w:val="none"/>
        </w:rPr>
        <w:t xml:space="preserve">投标人:(公章) </w:t>
      </w:r>
      <w:r>
        <w:rPr>
          <w:rFonts w:ascii="宋体" w:hAnsi="宋体"/>
          <w:b/>
          <w:color w:val="auto"/>
          <w:sz w:val="24"/>
          <w:highlight w:val="none"/>
        </w:rPr>
        <w:t xml:space="preserve">                           </w:t>
      </w:r>
      <w:r>
        <w:rPr>
          <w:rFonts w:hint="eastAsia" w:ascii="宋体" w:hAnsi="宋体"/>
          <w:b/>
          <w:color w:val="auto"/>
          <w:sz w:val="24"/>
          <w:highlight w:val="none"/>
        </w:rPr>
        <w:t>日期:_____年___月___日</w:t>
      </w:r>
    </w:p>
    <w:p>
      <w:pPr>
        <w:snapToGrid w:val="0"/>
        <w:spacing w:before="120" w:beforeLines="50" w:after="50"/>
        <w:rPr>
          <w:rFonts w:ascii="宋体" w:hAnsi="宋体"/>
          <w:color w:val="auto"/>
          <w:sz w:val="24"/>
          <w:szCs w:val="20"/>
          <w:highlight w:val="none"/>
        </w:rPr>
      </w:pPr>
      <w:r>
        <w:rPr>
          <w:rFonts w:hint="eastAsia" w:ascii="宋体" w:hAnsi="宋体"/>
          <w:color w:val="auto"/>
          <w:highlight w:val="none"/>
        </w:rPr>
        <w:br w:type="page"/>
      </w:r>
      <w:r>
        <w:rPr>
          <w:rFonts w:ascii="宋体" w:hAnsi="宋体"/>
          <w:color w:val="auto"/>
          <w:sz w:val="24"/>
          <w:highlight w:val="none"/>
        </w:rPr>
        <w:t>7</w:t>
      </w:r>
      <w:r>
        <w:rPr>
          <w:rFonts w:hint="eastAsia" w:ascii="宋体" w:hAnsi="宋体"/>
          <w:color w:val="auto"/>
          <w:sz w:val="24"/>
          <w:highlight w:val="none"/>
        </w:rPr>
        <w:t>.法定代表人授权委托书格式：</w:t>
      </w:r>
    </w:p>
    <w:p>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法定代表人授权委托书</w:t>
      </w:r>
    </w:p>
    <w:p>
      <w:pPr>
        <w:snapToGrid w:val="0"/>
        <w:spacing w:before="120" w:beforeLines="50" w:after="50" w:line="460" w:lineRule="exact"/>
        <w:rPr>
          <w:rFonts w:ascii="宋体" w:hAnsi="宋体"/>
          <w:b/>
          <w:bCs/>
          <w:color w:val="auto"/>
          <w:sz w:val="24"/>
          <w:szCs w:val="20"/>
          <w:highlight w:val="none"/>
        </w:rPr>
      </w:pPr>
      <w:r>
        <w:rPr>
          <w:rFonts w:hint="eastAsia" w:ascii="宋体" w:hAnsi="宋体"/>
          <w:bCs/>
          <w:color w:val="auto"/>
          <w:sz w:val="24"/>
          <w:highlight w:val="none"/>
        </w:rPr>
        <w:t>致：</w:t>
      </w:r>
      <w:r>
        <w:rPr>
          <w:rFonts w:ascii="宋体" w:hAnsi="宋体"/>
          <w:color w:val="auto"/>
          <w:sz w:val="24"/>
          <w:highlight w:val="none"/>
          <w:u w:val="none"/>
        </w:rPr>
        <w:t>__________________</w:t>
      </w:r>
      <w:r>
        <w:rPr>
          <w:rFonts w:hint="eastAsia" w:ascii="宋体" w:hAnsi="宋体"/>
          <w:color w:val="auto"/>
          <w:sz w:val="24"/>
          <w:highlight w:val="none"/>
        </w:rPr>
        <w:t>（采购人名称）：</w:t>
      </w:r>
    </w:p>
    <w:p>
      <w:pPr>
        <w:snapToGrid w:val="0"/>
        <w:spacing w:before="120" w:beforeLines="50" w:after="50" w:line="460" w:lineRule="exact"/>
        <w:ind w:firstLine="480" w:firstLineChars="200"/>
        <w:rPr>
          <w:rFonts w:ascii="宋体" w:hAnsi="宋体"/>
          <w:color w:val="auto"/>
          <w:sz w:val="24"/>
          <w:szCs w:val="20"/>
          <w:highlight w:val="none"/>
        </w:rPr>
      </w:pPr>
      <w:r>
        <w:rPr>
          <w:rFonts w:hint="eastAsia" w:ascii="宋体" w:hAnsi="宋体"/>
          <w:color w:val="auto"/>
          <w:sz w:val="24"/>
          <w:highlight w:val="none"/>
        </w:rPr>
        <w:t>我</w:t>
      </w:r>
      <w:bookmarkStart w:id="72" w:name="_Hlk12177807"/>
      <w:r>
        <w:rPr>
          <w:rFonts w:hint="eastAsia" w:ascii="宋体" w:hAnsi="宋体"/>
          <w:color w:val="auto"/>
          <w:sz w:val="24"/>
          <w:highlight w:val="none"/>
        </w:rPr>
        <w:t>_</w:t>
      </w:r>
      <w:bookmarkEnd w:id="72"/>
      <w:r>
        <w:rPr>
          <w:rFonts w:ascii="宋体" w:hAnsi="宋体"/>
          <w:color w:val="auto"/>
          <w:sz w:val="24"/>
          <w:highlight w:val="none"/>
          <w:u w:val="none"/>
        </w:rPr>
        <w:t>____________</w:t>
      </w:r>
      <w:r>
        <w:rPr>
          <w:rFonts w:hint="eastAsia" w:ascii="宋体" w:hAnsi="宋体"/>
          <w:color w:val="auto"/>
          <w:sz w:val="24"/>
          <w:highlight w:val="none"/>
        </w:rPr>
        <w:t>（姓名）系</w:t>
      </w:r>
      <w:r>
        <w:rPr>
          <w:rFonts w:ascii="宋体" w:hAnsi="宋体"/>
          <w:color w:val="auto"/>
          <w:sz w:val="24"/>
          <w:highlight w:val="none"/>
          <w:u w:val="none"/>
        </w:rPr>
        <w:t>__________________</w:t>
      </w:r>
      <w:r>
        <w:rPr>
          <w:rFonts w:hint="eastAsia" w:ascii="宋体" w:hAnsi="宋体"/>
          <w:color w:val="auto"/>
          <w:sz w:val="24"/>
          <w:highlight w:val="none"/>
        </w:rPr>
        <w:t xml:space="preserve">（投标单位名称）的法定代表人，现授权委托本单位职工 </w:t>
      </w:r>
      <w:r>
        <w:rPr>
          <w:rFonts w:ascii="宋体" w:hAnsi="宋体"/>
          <w:color w:val="auto"/>
          <w:sz w:val="24"/>
          <w:highlight w:val="none"/>
          <w:u w:val="none"/>
        </w:rPr>
        <w:t>_________</w:t>
      </w:r>
      <w:r>
        <w:rPr>
          <w:rFonts w:hint="eastAsia" w:ascii="宋体" w:hAnsi="宋体"/>
          <w:color w:val="auto"/>
          <w:sz w:val="24"/>
          <w:highlight w:val="none"/>
        </w:rPr>
        <w:t>（姓名）以我方的名义参加______</w:t>
      </w:r>
      <w:r>
        <w:rPr>
          <w:rFonts w:hint="eastAsia" w:ascii="宋体" w:hAnsi="宋体"/>
          <w:color w:val="auto"/>
          <w:sz w:val="24"/>
          <w:highlight w:val="none"/>
          <w:u w:val="single"/>
        </w:rPr>
        <w:t>_</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项目的投标活动，并代表我方全权办理针对上述项目的投标、开标、评标、签约等具体事务和签署相关文件。</w:t>
      </w:r>
    </w:p>
    <w:p>
      <w:pPr>
        <w:snapToGrid w:val="0"/>
        <w:spacing w:before="120" w:beforeLines="50" w:after="50" w:line="460" w:lineRule="exact"/>
        <w:rPr>
          <w:rFonts w:ascii="宋体" w:hAnsi="宋体"/>
          <w:color w:val="auto"/>
          <w:sz w:val="24"/>
          <w:szCs w:val="20"/>
          <w:highlight w:val="none"/>
        </w:rPr>
      </w:pPr>
      <w:r>
        <w:rPr>
          <w:rFonts w:hint="eastAsia" w:ascii="宋体" w:hAnsi="宋体"/>
          <w:color w:val="auto"/>
          <w:sz w:val="24"/>
          <w:highlight w:val="none"/>
        </w:rPr>
        <w:t xml:space="preserve">    我方对被授权人的签名事项负全部责任。</w:t>
      </w:r>
    </w:p>
    <w:p>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pPr>
        <w:snapToGrid w:val="0"/>
        <w:spacing w:before="120" w:beforeLines="50" w:after="50" w:line="460" w:lineRule="exact"/>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pPr>
        <w:snapToGrid w:val="0"/>
        <w:spacing w:before="120" w:beforeLines="50" w:after="50" w:line="460" w:lineRule="exact"/>
        <w:rPr>
          <w:rFonts w:ascii="宋体" w:hAnsi="宋体"/>
          <w:color w:val="auto"/>
          <w:sz w:val="28"/>
          <w:szCs w:val="28"/>
          <w:highlight w:val="none"/>
        </w:rPr>
      </w:pPr>
      <w:r>
        <w:rPr>
          <w:rFonts w:hint="eastAsia" w:ascii="宋体" w:hAnsi="宋体"/>
          <w:b/>
          <w:bCs/>
          <w:color w:val="auto"/>
          <w:sz w:val="28"/>
          <w:szCs w:val="28"/>
          <w:highlight w:val="none"/>
          <w:u w:val="single"/>
        </w:rPr>
        <w:t>法定代表人签名或盖章：</w:t>
      </w: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r>
        <w:rPr>
          <w:rFonts w:hint="eastAsia" w:ascii="宋体" w:hAnsi="宋体"/>
          <w:b/>
          <w:bCs/>
          <w:color w:val="auto"/>
          <w:sz w:val="28"/>
          <w:szCs w:val="28"/>
          <w:highlight w:val="none"/>
          <w:u w:val="single"/>
        </w:rPr>
        <w:t xml:space="preserve">被授权人签字： </w:t>
      </w:r>
      <w:r>
        <w:rPr>
          <w:rFonts w:hint="eastAsia" w:ascii="宋体" w:hAnsi="宋体"/>
          <w:color w:val="auto"/>
          <w:sz w:val="28"/>
          <w:szCs w:val="28"/>
          <w:highlight w:val="none"/>
        </w:rPr>
        <w:t xml:space="preserve">               </w:t>
      </w:r>
    </w:p>
    <w:p>
      <w:pPr>
        <w:snapToGrid w:val="0"/>
        <w:spacing w:before="120" w:beforeLines="50" w:after="50" w:line="460" w:lineRule="exact"/>
        <w:rPr>
          <w:rFonts w:ascii="宋体" w:hAnsi="宋体"/>
          <w:color w:val="auto"/>
          <w:sz w:val="24"/>
          <w:szCs w:val="20"/>
          <w:highlight w:val="none"/>
          <w:u w:val="single"/>
        </w:rPr>
      </w:pPr>
    </w:p>
    <w:p>
      <w:pPr>
        <w:snapToGrid w:val="0"/>
        <w:spacing w:before="120" w:beforeLines="50" w:after="50"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法定代表人身份证复印件 </w:t>
      </w:r>
      <w:r>
        <w:rPr>
          <w:rFonts w:ascii="宋体" w:hAnsi="宋体"/>
          <w:b/>
          <w:bCs/>
          <w:color w:val="auto"/>
          <w:sz w:val="28"/>
          <w:szCs w:val="28"/>
          <w:highlight w:val="none"/>
        </w:rPr>
        <w:t xml:space="preserve">           </w:t>
      </w:r>
      <w:r>
        <w:rPr>
          <w:rFonts w:hint="eastAsia" w:ascii="宋体" w:hAnsi="宋体"/>
          <w:b/>
          <w:bCs/>
          <w:color w:val="auto"/>
          <w:sz w:val="28"/>
          <w:szCs w:val="28"/>
          <w:highlight w:val="none"/>
        </w:rPr>
        <w:t>被授权人身份证复印件</w:t>
      </w:r>
    </w:p>
    <w:tbl>
      <w:tblPr>
        <w:tblStyle w:val="50"/>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Ex>
        <w:trPr>
          <w:trHeight w:val="3238" w:hRule="atLeast"/>
        </w:trPr>
        <w:tc>
          <w:tcPr>
            <w:tcW w:w="4962" w:type="dxa"/>
          </w:tcPr>
          <w:p>
            <w:pPr>
              <w:spacing w:line="360" w:lineRule="auto"/>
              <w:rPr>
                <w:rFonts w:ascii="宋体" w:hAnsi="宋体"/>
                <w:color w:val="auto"/>
                <w:sz w:val="30"/>
                <w:szCs w:val="30"/>
                <w:highlight w:val="none"/>
              </w:rPr>
            </w:pPr>
            <w:r>
              <w:rPr>
                <w:rFonts w:hint="eastAsia" w:ascii="宋体" w:hAnsi="宋体"/>
                <w:color w:val="auto"/>
                <w:sz w:val="30"/>
                <w:szCs w:val="30"/>
                <w:highlight w:val="none"/>
              </w:rPr>
              <w:t>身份证复印件粘贴处，正反两面均复印，复印件清晰可认。</w:t>
            </w:r>
          </w:p>
        </w:tc>
        <w:tc>
          <w:tcPr>
            <w:tcW w:w="4961" w:type="dxa"/>
          </w:tcPr>
          <w:p>
            <w:pPr>
              <w:spacing w:line="360" w:lineRule="auto"/>
              <w:rPr>
                <w:rFonts w:ascii="宋体" w:hAnsi="宋体"/>
                <w:color w:val="auto"/>
                <w:sz w:val="30"/>
                <w:szCs w:val="30"/>
                <w:highlight w:val="none"/>
              </w:rPr>
            </w:pPr>
            <w:r>
              <w:rPr>
                <w:rFonts w:hint="eastAsia" w:ascii="宋体" w:hAnsi="宋体"/>
                <w:color w:val="auto"/>
                <w:sz w:val="30"/>
                <w:szCs w:val="30"/>
                <w:highlight w:val="none"/>
              </w:rPr>
              <w:t>身份证复印件粘贴处，正反两面均复印，复印件清晰可认。</w:t>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Ex>
        <w:trPr>
          <w:trHeight w:val="3099" w:hRule="atLeast"/>
        </w:trPr>
        <w:tc>
          <w:tcPr>
            <w:tcW w:w="4962" w:type="dxa"/>
          </w:tcPr>
          <w:p>
            <w:pPr>
              <w:spacing w:line="360" w:lineRule="auto"/>
              <w:rPr>
                <w:rFonts w:ascii="宋体" w:hAnsi="宋体"/>
                <w:color w:val="auto"/>
                <w:sz w:val="30"/>
                <w:szCs w:val="30"/>
                <w:highlight w:val="none"/>
              </w:rPr>
            </w:pPr>
          </w:p>
        </w:tc>
        <w:tc>
          <w:tcPr>
            <w:tcW w:w="4961" w:type="dxa"/>
          </w:tcPr>
          <w:p>
            <w:pPr>
              <w:spacing w:line="360" w:lineRule="auto"/>
              <w:rPr>
                <w:rFonts w:ascii="宋体" w:hAnsi="宋体"/>
                <w:color w:val="auto"/>
                <w:sz w:val="30"/>
                <w:szCs w:val="30"/>
                <w:highlight w:val="none"/>
              </w:rPr>
            </w:pPr>
          </w:p>
        </w:tc>
      </w:tr>
    </w:tbl>
    <w:p>
      <w:pPr>
        <w:snapToGrid w:val="0"/>
        <w:spacing w:before="120" w:beforeLines="50" w:after="50"/>
        <w:rPr>
          <w:rFonts w:ascii="宋体" w:hAnsi="宋体"/>
          <w:b/>
          <w:color w:val="auto"/>
          <w:sz w:val="24"/>
          <w:highlight w:val="none"/>
        </w:rPr>
      </w:pPr>
      <w:r>
        <w:rPr>
          <w:rFonts w:hint="eastAsia" w:ascii="宋体" w:hAnsi="宋体"/>
          <w:b/>
          <w:color w:val="auto"/>
          <w:sz w:val="24"/>
          <w:highlight w:val="none"/>
        </w:rPr>
        <w:t>投标人（盖章）：                                  日期:_____年___月___日</w:t>
      </w:r>
    </w:p>
    <w:p>
      <w:pPr>
        <w:spacing w:line="360" w:lineRule="auto"/>
        <w:jc w:val="center"/>
        <w:rPr>
          <w:rFonts w:ascii="宋体" w:hAnsi="宋体"/>
          <w:b/>
          <w:bCs/>
          <w:color w:val="auto"/>
          <w:sz w:val="24"/>
          <w:highlight w:val="none"/>
        </w:rPr>
      </w:pPr>
    </w:p>
    <w:p>
      <w:pPr>
        <w:spacing w:line="360" w:lineRule="auto"/>
        <w:jc w:val="center"/>
        <w:rPr>
          <w:rFonts w:ascii="宋体" w:hAnsi="宋体"/>
          <w:b/>
          <w:bCs/>
          <w:color w:val="auto"/>
          <w:sz w:val="24"/>
          <w:highlight w:val="none"/>
        </w:rPr>
      </w:pPr>
      <w:r>
        <w:rPr>
          <w:rFonts w:hint="eastAsia" w:ascii="宋体" w:hAnsi="宋体"/>
          <w:b/>
          <w:bCs/>
          <w:color w:val="auto"/>
          <w:sz w:val="24"/>
          <w:highlight w:val="none"/>
        </w:rPr>
        <w:t>法定代表人身份证明</w:t>
      </w:r>
    </w:p>
    <w:p>
      <w:pPr>
        <w:spacing w:line="360" w:lineRule="auto"/>
        <w:jc w:val="center"/>
        <w:rPr>
          <w:rFonts w:ascii="宋体" w:hAnsi="宋体"/>
          <w:color w:val="auto"/>
          <w:sz w:val="24"/>
          <w:highlight w:val="none"/>
        </w:rPr>
      </w:pPr>
      <w:r>
        <w:rPr>
          <w:rFonts w:hint="eastAsia" w:ascii="宋体" w:hAnsi="宋体"/>
          <w:b/>
          <w:color w:val="auto"/>
          <w:sz w:val="24"/>
          <w:highlight w:val="none"/>
        </w:rPr>
        <w:t>（适用于法定代表人、单位负责人本人代表投标人参加投标）</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单位名称：</w:t>
      </w:r>
      <w:r>
        <w:rPr>
          <w:rFonts w:ascii="宋体" w:hAnsi="宋体"/>
          <w:color w:val="auto"/>
          <w:sz w:val="24"/>
          <w:highlight w:val="none"/>
          <w:u w:val="none"/>
        </w:rPr>
        <w:softHyphen/>
      </w:r>
      <w:r>
        <w:rPr>
          <w:rFonts w:hint="eastAsia" w:ascii="宋体" w:hAnsi="宋体"/>
          <w:color w:val="auto"/>
          <w:sz w:val="24"/>
          <w:highlight w:val="none"/>
          <w:u w:val="none"/>
        </w:rPr>
        <w:t>_</w:t>
      </w:r>
      <w:r>
        <w:rPr>
          <w:rFonts w:ascii="宋体" w:hAnsi="宋体"/>
          <w:color w:val="auto"/>
          <w:sz w:val="24"/>
          <w:highlight w:val="none"/>
          <w:u w:val="none"/>
        </w:rPr>
        <w:t>____________________________</w:t>
      </w:r>
      <w:r>
        <w:rPr>
          <w:rFonts w:hint="eastAsia" w:ascii="宋体" w:hAnsi="宋体"/>
          <w:color w:val="auto"/>
          <w:sz w:val="24"/>
          <w:highlight w:val="none"/>
          <w:u w:val="none"/>
        </w:rPr>
        <w:t xml:space="preserve"> </w:t>
      </w:r>
      <w:r>
        <w:rPr>
          <w:rFonts w:hint="eastAsia" w:ascii="宋体" w:hAnsi="宋体"/>
          <w:color w:val="auto"/>
          <w:sz w:val="24"/>
          <w:highlight w:val="none"/>
          <w:u w:val="single"/>
        </w:rPr>
        <w:t xml:space="preserve">                             </w:t>
      </w:r>
    </w:p>
    <w:p>
      <w:pPr>
        <w:snapToGrid w:val="0"/>
        <w:spacing w:line="360" w:lineRule="auto"/>
        <w:rPr>
          <w:rFonts w:ascii="宋体" w:hAnsi="宋体"/>
          <w:color w:val="auto"/>
          <w:sz w:val="24"/>
          <w:highlight w:val="none"/>
        </w:rPr>
      </w:pPr>
      <w:r>
        <w:rPr>
          <w:rFonts w:hint="eastAsia" w:ascii="宋体" w:hAnsi="宋体"/>
          <w:color w:val="auto"/>
          <w:sz w:val="24"/>
          <w:highlight w:val="none"/>
        </w:rPr>
        <w:t>地址：</w:t>
      </w:r>
      <w:r>
        <w:rPr>
          <w:rFonts w:ascii="宋体" w:hAnsi="宋体"/>
          <w:color w:val="auto"/>
          <w:sz w:val="24"/>
          <w:highlight w:val="none"/>
          <w:u w:val="none"/>
        </w:rPr>
        <w:softHyphen/>
      </w:r>
      <w:r>
        <w:rPr>
          <w:rFonts w:hint="eastAsia" w:ascii="宋体" w:hAnsi="宋体"/>
          <w:color w:val="auto"/>
          <w:sz w:val="24"/>
          <w:highlight w:val="none"/>
          <w:u w:val="none"/>
        </w:rPr>
        <w:t>_</w:t>
      </w:r>
      <w:r>
        <w:rPr>
          <w:rFonts w:ascii="宋体" w:hAnsi="宋体"/>
          <w:color w:val="auto"/>
          <w:sz w:val="24"/>
          <w:highlight w:val="none"/>
          <w:u w:val="none"/>
        </w:rPr>
        <w:t>____________________________</w:t>
      </w:r>
      <w:r>
        <w:rPr>
          <w:rFonts w:hint="eastAsia" w:ascii="宋体" w:hAnsi="宋体"/>
          <w:color w:val="auto"/>
          <w:sz w:val="24"/>
          <w:highlight w:val="none"/>
          <w:u w:val="none"/>
        </w:rPr>
        <w:t xml:space="preserve">  </w:t>
      </w:r>
      <w:r>
        <w:rPr>
          <w:rFonts w:hint="eastAsia" w:ascii="宋体" w:hAnsi="宋体"/>
          <w:color w:val="auto"/>
          <w:sz w:val="24"/>
          <w:highlight w:val="none"/>
          <w:u w:val="single"/>
        </w:rPr>
        <w:t xml:space="preserve">                               </w:t>
      </w:r>
    </w:p>
    <w:p>
      <w:pPr>
        <w:pStyle w:val="397"/>
        <w:spacing w:line="360" w:lineRule="auto"/>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napToGrid w:val="0"/>
        <w:spacing w:line="360" w:lineRule="auto"/>
        <w:rPr>
          <w:rFonts w:ascii="宋体" w:hAnsi="宋体"/>
          <w:color w:val="auto"/>
          <w:sz w:val="24"/>
          <w:highlight w:val="none"/>
        </w:rPr>
      </w:pP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手机号码：</w:t>
      </w:r>
      <w:r>
        <w:rPr>
          <w:rFonts w:hint="eastAsia" w:ascii="宋体" w:hAnsi="宋体"/>
          <w:color w:val="auto"/>
          <w:sz w:val="24"/>
          <w:highlight w:val="none"/>
          <w:u w:val="single"/>
        </w:rPr>
        <w:t xml:space="preserve">                 </w:t>
      </w:r>
    </w:p>
    <w:p>
      <w:pPr>
        <w:snapToGrid w:val="0"/>
        <w:spacing w:line="360" w:lineRule="auto"/>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的法定代表人                        </w:t>
      </w:r>
    </w:p>
    <w:p>
      <w:pPr>
        <w:snapToGrid w:val="0"/>
        <w:spacing w:before="120" w:beforeLines="50" w:after="50" w:line="460" w:lineRule="exact"/>
        <w:jc w:val="center"/>
        <w:rPr>
          <w:rFonts w:ascii="宋体" w:hAnsi="宋体"/>
          <w:b/>
          <w:bCs/>
          <w:color w:val="auto"/>
          <w:sz w:val="24"/>
          <w:highlight w:val="none"/>
        </w:rPr>
      </w:pPr>
      <w:r>
        <w:rPr>
          <w:rFonts w:hint="eastAsia" w:ascii="宋体" w:hAnsi="宋体"/>
          <w:b/>
          <w:bCs/>
          <w:color w:val="auto"/>
          <w:sz w:val="24"/>
          <w:highlight w:val="none"/>
        </w:rPr>
        <w:t xml:space="preserve">   附法定代表人身份证复印件</w:t>
      </w:r>
    </w:p>
    <w:p>
      <w:pPr>
        <w:pStyle w:val="2"/>
        <w:ind w:firstLine="480"/>
        <w:rPr>
          <w:rFonts w:ascii="宋体" w:hAnsi="宋体" w:eastAsia="宋体"/>
          <w:color w:val="auto"/>
          <w:sz w:val="24"/>
          <w:szCs w:val="24"/>
          <w:highlight w:val="none"/>
        </w:rPr>
      </w:pPr>
    </w:p>
    <w:tbl>
      <w:tblPr>
        <w:tblStyle w:val="50"/>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Ex>
        <w:trPr>
          <w:trHeight w:val="3238" w:hRule="atLeast"/>
        </w:trPr>
        <w:tc>
          <w:tcPr>
            <w:tcW w:w="4962" w:type="dxa"/>
          </w:tcPr>
          <w:p>
            <w:pPr>
              <w:jc w:val="cente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法定代表人身份证正面复印件粘贴处，复印件清晰可认</w:t>
            </w:r>
          </w:p>
          <w:p>
            <w:pPr>
              <w:spacing w:line="360" w:lineRule="auto"/>
              <w:rPr>
                <w:rFonts w:ascii="宋体" w:hAnsi="宋体"/>
                <w:color w:val="auto"/>
                <w:sz w:val="24"/>
                <w:highlight w:val="none"/>
              </w:rPr>
            </w:pP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Ex>
        <w:trPr>
          <w:trHeight w:val="3099" w:hRule="atLeast"/>
        </w:trPr>
        <w:tc>
          <w:tcPr>
            <w:tcW w:w="4962" w:type="dxa"/>
          </w:tcPr>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法定代表人身份证反面复印件粘贴处，复印件清晰可认</w:t>
            </w:r>
          </w:p>
          <w:p>
            <w:pPr>
              <w:jc w:val="center"/>
              <w:rPr>
                <w:rFonts w:ascii="宋体" w:hAnsi="宋体"/>
                <w:color w:val="auto"/>
                <w:sz w:val="24"/>
                <w:highlight w:val="none"/>
              </w:rPr>
            </w:pPr>
          </w:p>
          <w:p>
            <w:pPr>
              <w:spacing w:line="360" w:lineRule="auto"/>
              <w:rPr>
                <w:rFonts w:ascii="宋体" w:hAnsi="宋体"/>
                <w:color w:val="auto"/>
                <w:sz w:val="24"/>
                <w:highlight w:val="none"/>
              </w:rPr>
            </w:pPr>
          </w:p>
        </w:tc>
      </w:tr>
    </w:tbl>
    <w:p>
      <w:pPr>
        <w:snapToGrid w:val="0"/>
        <w:spacing w:before="120" w:beforeLines="50" w:after="50"/>
        <w:rPr>
          <w:rFonts w:ascii="宋体" w:hAnsi="宋体"/>
          <w:b/>
          <w:color w:val="auto"/>
          <w:sz w:val="24"/>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snapToGrid w:val="0"/>
        <w:spacing w:before="120" w:beforeLines="50" w:after="50"/>
        <w:rPr>
          <w:rFonts w:ascii="宋体" w:hAnsi="宋体"/>
          <w:b/>
          <w:color w:val="auto"/>
          <w:sz w:val="24"/>
          <w:highlight w:val="none"/>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r>
        <w:rPr>
          <w:rFonts w:hint="eastAsia" w:ascii="宋体" w:hAnsi="宋体"/>
          <w:b/>
          <w:color w:val="auto"/>
          <w:sz w:val="24"/>
          <w:highlight w:val="none"/>
        </w:rPr>
        <w:t>投标人（盖章）：                                  日期:_____年___月___日</w:t>
      </w:r>
    </w:p>
    <w:p>
      <w:pPr>
        <w:snapToGrid w:val="0"/>
        <w:spacing w:before="120" w:beforeLines="50" w:after="5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.服务内容响应表格式：</w:t>
      </w:r>
    </w:p>
    <w:p>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4"/>
          <w:highlight w:val="none"/>
        </w:rPr>
        <w:t>服务内容响应表</w:t>
      </w:r>
    </w:p>
    <w:p>
      <w:pPr>
        <w:snapToGrid w:val="0"/>
        <w:spacing w:before="120" w:beforeLines="50" w:after="50" w:line="360" w:lineRule="auto"/>
        <w:jc w:val="center"/>
        <w:rPr>
          <w:rFonts w:ascii="宋体" w:hAnsi="宋体"/>
          <w:b/>
          <w:color w:val="auto"/>
          <w:sz w:val="24"/>
          <w:highlight w:val="none"/>
        </w:rPr>
      </w:pPr>
      <w:r>
        <w:rPr>
          <w:rFonts w:hint="eastAsia" w:ascii="宋体" w:hAnsi="宋体"/>
          <w:b/>
          <w:color w:val="auto"/>
          <w:sz w:val="24"/>
          <w:highlight w:val="none"/>
        </w:rPr>
        <w:t>（适用于服务类）</w:t>
      </w:r>
    </w:p>
    <w:p>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120" w:beforeLines="50" w:after="50" w:line="36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0"/>
        <w:tblW w:w="8549" w:type="dxa"/>
        <w:tblInd w:w="93" w:type="dxa"/>
        <w:tblLayout w:type="fixed"/>
        <w:tblCellMar>
          <w:top w:w="0" w:type="dxa"/>
          <w:left w:w="108" w:type="dxa"/>
          <w:bottom w:w="0" w:type="dxa"/>
          <w:right w:w="108" w:type="dxa"/>
        </w:tblCellMar>
      </w:tblPr>
      <w:tblGrid>
        <w:gridCol w:w="1036"/>
        <w:gridCol w:w="2552"/>
        <w:gridCol w:w="3544"/>
        <w:gridCol w:w="1417"/>
      </w:tblGrid>
      <w:tr>
        <w:tblPrEx>
          <w:tblLayout w:type="fixed"/>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Layout w:type="fixed"/>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552" w:type="dxa"/>
            <w:tcBorders>
              <w:top w:val="nil"/>
              <w:left w:val="nil"/>
              <w:bottom w:val="single" w:color="000000" w:sz="4" w:space="0"/>
              <w:right w:val="single" w:color="000000" w:sz="4" w:space="0"/>
            </w:tcBorders>
            <w:shd w:val="clear" w:color="auto" w:fill="FFFFFF"/>
            <w:vAlign w:val="center"/>
          </w:tcPr>
          <w:p>
            <w:pPr>
              <w:widowControl/>
              <w:jc w:val="left"/>
              <w:rPr>
                <w:rFonts w:ascii="宋体" w:hAnsi="宋体" w:cs="宋体"/>
                <w:color w:val="auto"/>
                <w:kern w:val="0"/>
                <w:sz w:val="24"/>
                <w:highlight w:val="none"/>
              </w:rPr>
            </w:pPr>
          </w:p>
        </w:tc>
        <w:tc>
          <w:tcPr>
            <w:tcW w:w="3544"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ascii="宋体" w:hAnsi="宋体" w:cs="宋体"/>
                <w:color w:val="auto"/>
                <w:kern w:val="0"/>
                <w:sz w:val="24"/>
                <w:highlight w:val="none"/>
              </w:rPr>
            </w:pPr>
          </w:p>
        </w:tc>
      </w:tr>
    </w:tbl>
    <w:p>
      <w:pPr>
        <w:snapToGrid w:val="0"/>
        <w:spacing w:before="50" w:after="120" w:afterLines="50"/>
        <w:jc w:val="left"/>
        <w:rPr>
          <w:rFonts w:ascii="宋体" w:hAnsi="宋体"/>
          <w:color w:val="auto"/>
          <w:spacing w:val="20"/>
          <w:sz w:val="24"/>
          <w:highlight w:val="none"/>
        </w:rPr>
      </w:pPr>
    </w:p>
    <w:p>
      <w:pPr>
        <w:snapToGrid w:val="0"/>
        <w:spacing w:before="120" w:beforeLines="50" w:after="50" w:line="360" w:lineRule="auto"/>
        <w:rPr>
          <w:rFonts w:ascii="宋体" w:hAnsi="宋体"/>
          <w:b/>
          <w:color w:val="auto"/>
          <w:sz w:val="24"/>
          <w:highlight w:val="none"/>
        </w:rPr>
      </w:pPr>
      <w:r>
        <w:rPr>
          <w:rFonts w:hint="eastAsia" w:ascii="宋体" w:hAnsi="宋体"/>
          <w:b/>
          <w:color w:val="auto"/>
          <w:sz w:val="24"/>
          <w:highlight w:val="none"/>
        </w:rPr>
        <w:t>注：供应商根据采购服务需求中的内容进行填写，勿填写价格信息。</w:t>
      </w:r>
    </w:p>
    <w:p>
      <w:pPr>
        <w:snapToGrid w:val="0"/>
        <w:spacing w:before="50" w:after="120" w:afterLines="50"/>
        <w:jc w:val="left"/>
        <w:rPr>
          <w:rFonts w:ascii="宋体" w:hAnsi="宋体"/>
          <w:b/>
          <w:color w:val="auto"/>
          <w:spacing w:val="20"/>
          <w:sz w:val="24"/>
          <w:highlight w:val="none"/>
        </w:rPr>
      </w:pPr>
    </w:p>
    <w:p>
      <w:pPr>
        <w:snapToGrid w:val="0"/>
        <w:spacing w:before="50" w:after="120" w:afterLines="50"/>
        <w:jc w:val="left"/>
        <w:rPr>
          <w:rFonts w:ascii="宋体" w:hAnsi="宋体"/>
          <w:b/>
          <w:color w:val="auto"/>
          <w:spacing w:val="20"/>
          <w:sz w:val="24"/>
          <w:highlight w:val="none"/>
        </w:rPr>
      </w:pPr>
      <w:r>
        <w:rPr>
          <w:rFonts w:hint="eastAsia" w:ascii="宋体" w:hAnsi="宋体"/>
          <w:b/>
          <w:color w:val="auto"/>
          <w:spacing w:val="20"/>
          <w:sz w:val="24"/>
          <w:highlight w:val="none"/>
        </w:rPr>
        <w:t>法定代表人或被授权人签字（或盖章）：         供应商（盖章）：</w:t>
      </w:r>
    </w:p>
    <w:p>
      <w:pPr>
        <w:snapToGrid w:val="0"/>
        <w:spacing w:before="50" w:after="120" w:afterLines="50"/>
        <w:jc w:val="left"/>
        <w:rPr>
          <w:rFonts w:ascii="宋体" w:hAnsi="宋体"/>
          <w:b/>
          <w:color w:val="auto"/>
          <w:sz w:val="24"/>
          <w:highlight w:val="none"/>
        </w:rPr>
      </w:pPr>
    </w:p>
    <w:p>
      <w:pPr>
        <w:snapToGrid w:val="0"/>
        <w:spacing w:before="50" w:after="120" w:afterLines="50"/>
        <w:jc w:val="left"/>
        <w:rPr>
          <w:rFonts w:ascii="宋体" w:hAnsi="宋体"/>
          <w:b/>
          <w:color w:val="auto"/>
          <w:sz w:val="24"/>
          <w:highlight w:val="none"/>
        </w:rPr>
      </w:pPr>
      <w:r>
        <w:rPr>
          <w:rFonts w:hint="eastAsia" w:ascii="宋体" w:hAnsi="宋体"/>
          <w:b/>
          <w:color w:val="auto"/>
          <w:sz w:val="24"/>
          <w:highlight w:val="none"/>
        </w:rPr>
        <w:t>日期：</w:t>
      </w:r>
      <w:r>
        <w:rPr>
          <w:rFonts w:ascii="宋体" w:hAnsi="宋体"/>
          <w:b/>
          <w:color w:val="auto"/>
          <w:sz w:val="24"/>
          <w:highlight w:val="none"/>
        </w:rPr>
        <w:t xml:space="preserve">  </w:t>
      </w:r>
      <w:r>
        <w:rPr>
          <w:rFonts w:hint="eastAsia" w:ascii="宋体" w:hAnsi="宋体"/>
          <w:b/>
          <w:color w:val="auto"/>
          <w:sz w:val="24"/>
          <w:highlight w:val="none"/>
        </w:rPr>
        <w:t>_____年___月___日</w:t>
      </w:r>
    </w:p>
    <w:p>
      <w:pPr>
        <w:snapToGrid w:val="0"/>
        <w:spacing w:before="50" w:after="120" w:afterLines="50"/>
        <w:jc w:val="lef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9</w:t>
      </w:r>
      <w:r>
        <w:rPr>
          <w:rFonts w:hint="eastAsia" w:ascii="宋体" w:hAnsi="宋体"/>
          <w:color w:val="auto"/>
          <w:sz w:val="24"/>
          <w:highlight w:val="none"/>
        </w:rPr>
        <w:t>.项目负责人简历表格式：</w:t>
      </w:r>
    </w:p>
    <w:p>
      <w:pPr>
        <w:snapToGrid w:val="0"/>
        <w:spacing w:before="50" w:after="120" w:afterLines="50"/>
        <w:jc w:val="left"/>
        <w:rPr>
          <w:rFonts w:ascii="宋体" w:hAnsi="宋体"/>
          <w:color w:val="auto"/>
          <w:sz w:val="24"/>
          <w:szCs w:val="20"/>
          <w:highlight w:val="none"/>
        </w:rPr>
      </w:pPr>
    </w:p>
    <w:p>
      <w:pPr>
        <w:jc w:val="center"/>
        <w:rPr>
          <w:rFonts w:ascii="宋体" w:hAnsi="宋体"/>
          <w:snapToGrid w:val="0"/>
          <w:color w:val="auto"/>
          <w:sz w:val="28"/>
          <w:highlight w:val="none"/>
        </w:rPr>
      </w:pPr>
      <w:r>
        <w:rPr>
          <w:rFonts w:hint="eastAsia" w:ascii="宋体" w:hAnsi="宋体"/>
          <w:snapToGrid w:val="0"/>
          <w:color w:val="auto"/>
          <w:sz w:val="28"/>
          <w:highlight w:val="none"/>
        </w:rPr>
        <w:t>项目负责人简历表</w:t>
      </w:r>
    </w:p>
    <w:p>
      <w:pPr>
        <w:snapToGrid w:val="0"/>
        <w:spacing w:before="120" w:beforeLines="50" w:after="50" w:line="360" w:lineRule="auto"/>
        <w:jc w:val="center"/>
        <w:rPr>
          <w:rFonts w:ascii="宋体" w:hAnsi="宋体"/>
          <w:bCs/>
          <w:color w:val="auto"/>
          <w:sz w:val="24"/>
          <w:highlight w:val="none"/>
        </w:rPr>
      </w:pPr>
    </w:p>
    <w:p>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项目编号：</w:t>
      </w:r>
    </w:p>
    <w:tbl>
      <w:tblPr>
        <w:tblStyle w:val="50"/>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auto"/>
                <w:sz w:val="28"/>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pPr>
              <w:spacing w:line="351" w:lineRule="atLeast"/>
              <w:jc w:val="center"/>
              <w:rPr>
                <w:rFonts w:ascii="宋体" w:hAnsi="宋体"/>
                <w:color w:val="auto"/>
                <w:sz w:val="28"/>
                <w:highlight w:val="none"/>
              </w:rPr>
            </w:pPr>
            <w:r>
              <w:rPr>
                <w:rFonts w:hint="eastAsia" w:ascii="宋体" w:hAnsi="宋体"/>
                <w:color w:val="auto"/>
                <w:sz w:val="28"/>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auto"/>
                <w:sz w:val="28"/>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auto"/>
                <w:sz w:val="28"/>
                <w:highlight w:val="none"/>
              </w:rPr>
            </w:pPr>
            <w:r>
              <w:rPr>
                <w:rFonts w:hint="eastAsia" w:ascii="宋体" w:hAnsi="宋体"/>
                <w:color w:val="auto"/>
                <w:sz w:val="28"/>
                <w:highlight w:val="none"/>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auto"/>
                <w:sz w:val="28"/>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pPr>
              <w:spacing w:line="351" w:lineRule="atLeast"/>
              <w:jc w:val="center"/>
              <w:rPr>
                <w:rFonts w:ascii="宋体" w:hAnsi="宋体"/>
                <w:color w:val="auto"/>
                <w:sz w:val="28"/>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pPr>
              <w:spacing w:line="351" w:lineRule="atLeast"/>
              <w:ind w:firstLine="557" w:firstLineChars="199"/>
              <w:rPr>
                <w:rFonts w:ascii="宋体" w:hAnsi="宋体"/>
                <w:color w:val="auto"/>
                <w:sz w:val="28"/>
                <w:highlight w:val="none"/>
                <w:u w:color="000000"/>
              </w:rPr>
            </w:pPr>
            <w:r>
              <w:rPr>
                <w:rFonts w:hint="eastAsia" w:ascii="宋体" w:hAnsi="宋体"/>
                <w:color w:val="auto"/>
                <w:sz w:val="28"/>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ind w:firstLine="419"/>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ind w:firstLine="554" w:firstLineChars="198"/>
              <w:rPr>
                <w:rFonts w:ascii="宋体" w:hAnsi="宋体"/>
                <w:color w:val="auto"/>
                <w:sz w:val="28"/>
                <w:highlight w:val="none"/>
                <w:u w:color="000000"/>
              </w:rPr>
            </w:pPr>
            <w:r>
              <w:rPr>
                <w:rFonts w:hint="eastAsia" w:ascii="宋体" w:hAnsi="宋体"/>
                <w:color w:val="auto"/>
                <w:sz w:val="28"/>
                <w:highlight w:val="none"/>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auto"/>
                <w:sz w:val="28"/>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pPr>
              <w:spacing w:line="351" w:lineRule="atLeast"/>
              <w:jc w:val="center"/>
              <w:rPr>
                <w:rFonts w:ascii="宋体" w:hAnsi="宋体"/>
                <w:color w:val="auto"/>
                <w:sz w:val="28"/>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pPr>
              <w:spacing w:line="351" w:lineRule="atLeast"/>
              <w:jc w:val="center"/>
              <w:rPr>
                <w:rFonts w:ascii="宋体" w:hAnsi="宋体"/>
                <w:color w:val="auto"/>
                <w:sz w:val="28"/>
                <w:highlight w:val="none"/>
                <w:u w:color="000000"/>
              </w:rPr>
            </w:pPr>
            <w:r>
              <w:rPr>
                <w:rFonts w:hint="eastAsia" w:ascii="宋体" w:hAnsi="宋体"/>
                <w:color w:val="auto"/>
                <w:sz w:val="28"/>
                <w:highlight w:val="none"/>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pPr>
              <w:spacing w:line="351" w:lineRule="atLeast"/>
              <w:jc w:val="center"/>
              <w:rPr>
                <w:rFonts w:ascii="宋体" w:hAnsi="宋体"/>
                <w:color w:val="auto"/>
                <w:sz w:val="28"/>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pPr>
              <w:jc w:val="center"/>
              <w:rPr>
                <w:rFonts w:ascii="宋体" w:hAnsi="宋体"/>
                <w:color w:val="auto"/>
                <w:sz w:val="28"/>
                <w:highlight w:val="none"/>
                <w:u w:color="000000"/>
              </w:rPr>
            </w:pPr>
            <w:r>
              <w:rPr>
                <w:rFonts w:hint="eastAsia" w:ascii="宋体" w:hAnsi="宋体"/>
                <w:color w:val="auto"/>
                <w:sz w:val="28"/>
                <w:highlight w:val="none"/>
              </w:rPr>
              <w:t>简</w:t>
            </w:r>
          </w:p>
          <w:p>
            <w:pPr>
              <w:jc w:val="center"/>
              <w:rPr>
                <w:rFonts w:ascii="宋体" w:hAnsi="宋体"/>
                <w:color w:val="auto"/>
                <w:sz w:val="28"/>
                <w:highlight w:val="none"/>
              </w:rPr>
            </w:pPr>
          </w:p>
          <w:p>
            <w:pPr>
              <w:jc w:val="center"/>
              <w:rPr>
                <w:rFonts w:ascii="宋体" w:hAnsi="宋体"/>
                <w:color w:val="auto"/>
                <w:sz w:val="28"/>
                <w:highlight w:val="none"/>
              </w:rPr>
            </w:pPr>
          </w:p>
          <w:p>
            <w:pPr>
              <w:spacing w:line="351" w:lineRule="atLeast"/>
              <w:jc w:val="center"/>
              <w:rPr>
                <w:rFonts w:ascii="宋体" w:hAnsi="宋体"/>
                <w:color w:val="auto"/>
                <w:highlight w:val="none"/>
                <w:u w:color="000000"/>
              </w:rPr>
            </w:pPr>
            <w:r>
              <w:rPr>
                <w:rFonts w:hint="eastAsia" w:ascii="宋体" w:hAnsi="宋体"/>
                <w:color w:val="auto"/>
                <w:sz w:val="28"/>
                <w:highlight w:val="none"/>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pPr>
              <w:spacing w:line="351" w:lineRule="atLeast"/>
              <w:jc w:val="center"/>
              <w:rPr>
                <w:rFonts w:ascii="宋体" w:hAnsi="宋体"/>
                <w:color w:val="auto"/>
                <w:highlight w:val="none"/>
                <w:u w:color="000000"/>
              </w:rPr>
            </w:pPr>
          </w:p>
        </w:tc>
      </w:tr>
    </w:tbl>
    <w:p>
      <w:pPr>
        <w:rPr>
          <w:rFonts w:ascii="宋体" w:hAnsi="宋体"/>
          <w:bCs/>
          <w:snapToGrid w:val="0"/>
          <w:color w:val="auto"/>
          <w:highlight w:val="none"/>
        </w:rPr>
      </w:pPr>
    </w:p>
    <w:p>
      <w:pPr>
        <w:snapToGrid w:val="0"/>
        <w:spacing w:before="50" w:after="120" w:afterLines="50"/>
        <w:jc w:val="left"/>
        <w:rPr>
          <w:rFonts w:ascii="宋体" w:hAnsi="宋体"/>
          <w:b/>
          <w:color w:val="auto"/>
          <w:spacing w:val="20"/>
          <w:sz w:val="24"/>
          <w:highlight w:val="none"/>
        </w:rPr>
      </w:pPr>
      <w:bookmarkStart w:id="73" w:name="_Hlk60757472"/>
      <w:r>
        <w:rPr>
          <w:rFonts w:hint="eastAsia" w:ascii="宋体" w:hAnsi="宋体"/>
          <w:b/>
          <w:color w:val="auto"/>
          <w:spacing w:val="20"/>
          <w:sz w:val="24"/>
          <w:highlight w:val="none"/>
        </w:rPr>
        <w:t>法定代表人或被授权人签字（或盖章）：            投标人（盖章）：</w:t>
      </w:r>
    </w:p>
    <w:p>
      <w:pPr>
        <w:snapToGrid w:val="0"/>
        <w:spacing w:before="50" w:after="120" w:afterLines="50"/>
        <w:jc w:val="left"/>
        <w:rPr>
          <w:rFonts w:ascii="宋体" w:hAnsi="宋体"/>
          <w:b/>
          <w:color w:val="auto"/>
          <w:sz w:val="24"/>
          <w:highlight w:val="none"/>
        </w:rPr>
      </w:pPr>
    </w:p>
    <w:p>
      <w:pPr>
        <w:snapToGrid w:val="0"/>
        <w:spacing w:before="50" w:after="120" w:afterLines="50"/>
        <w:jc w:val="left"/>
        <w:rPr>
          <w:rFonts w:ascii="宋体" w:hAnsi="宋体"/>
          <w:color w:val="auto"/>
          <w:sz w:val="24"/>
          <w:highlight w:val="none"/>
        </w:rPr>
      </w:pPr>
      <w:r>
        <w:rPr>
          <w:rFonts w:hint="eastAsia" w:ascii="宋体" w:hAnsi="宋体"/>
          <w:b/>
          <w:color w:val="auto"/>
          <w:sz w:val="24"/>
          <w:highlight w:val="none"/>
        </w:rPr>
        <w:t>日期:_____年___月___日</w:t>
      </w:r>
      <w:r>
        <w:rPr>
          <w:rFonts w:ascii="宋体" w:hAnsi="宋体"/>
          <w:b/>
          <w:color w:val="auto"/>
          <w:sz w:val="24"/>
          <w:highlight w:val="none"/>
        </w:rPr>
        <w:br w:type="page"/>
      </w:r>
      <w:bookmarkEnd w:id="73"/>
      <w:r>
        <w:rPr>
          <w:rFonts w:ascii="宋体" w:hAnsi="宋体"/>
          <w:color w:val="auto"/>
          <w:sz w:val="24"/>
          <w:highlight w:val="none"/>
        </w:rPr>
        <w:t>10</w:t>
      </w:r>
      <w:r>
        <w:rPr>
          <w:rFonts w:hint="eastAsia" w:ascii="宋体" w:hAnsi="宋体"/>
          <w:color w:val="auto"/>
          <w:sz w:val="24"/>
          <w:highlight w:val="none"/>
        </w:rPr>
        <w:t>、项目实施人员一览表格式</w:t>
      </w:r>
    </w:p>
    <w:p>
      <w:pPr>
        <w:snapToGrid w:val="0"/>
        <w:spacing w:before="50" w:after="120" w:afterLines="50"/>
        <w:jc w:val="left"/>
        <w:rPr>
          <w:rFonts w:ascii="宋体" w:hAnsi="宋体"/>
          <w:color w:val="auto"/>
          <w:sz w:val="24"/>
          <w:szCs w:val="20"/>
          <w:highlight w:val="none"/>
        </w:rPr>
      </w:pPr>
    </w:p>
    <w:p>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项目实施人员（主要从业人员及其技术资格）一览表</w:t>
      </w:r>
    </w:p>
    <w:p>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pPr>
        <w:snapToGrid w:val="0"/>
        <w:spacing w:before="120" w:beforeLines="50" w:after="50" w:line="480" w:lineRule="auto"/>
        <w:rPr>
          <w:rFonts w:ascii="宋体" w:hAnsi="宋体"/>
          <w:bCs/>
          <w:color w:val="auto"/>
          <w:sz w:val="24"/>
          <w:highlight w:val="none"/>
        </w:rPr>
      </w:pPr>
      <w:r>
        <w:rPr>
          <w:rFonts w:hint="eastAsia" w:ascii="宋体" w:hAnsi="宋体"/>
          <w:bCs/>
          <w:color w:val="auto"/>
          <w:sz w:val="24"/>
          <w:highlight w:val="none"/>
        </w:rPr>
        <w:t>项目编号：</w:t>
      </w:r>
    </w:p>
    <w:tbl>
      <w:tblPr>
        <w:tblStyle w:val="50"/>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color w:val="auto"/>
                <w:sz w:val="24"/>
                <w:highlight w:val="none"/>
              </w:rPr>
            </w:pPr>
            <w:r>
              <w:rPr>
                <w:rFonts w:hint="eastAsia" w:ascii="宋体" w:hAnsi="宋体"/>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360" w:lineRule="auto"/>
              <w:jc w:val="center"/>
              <w:rPr>
                <w:rFonts w:ascii="宋体" w:hAnsi="宋体"/>
                <w:bCs/>
                <w:color w:val="auto"/>
                <w:sz w:val="24"/>
                <w:highlight w:val="none"/>
              </w:rPr>
            </w:pPr>
            <w:r>
              <w:rPr>
                <w:rFonts w:hint="eastAsia" w:ascii="宋体" w:hAnsi="宋体"/>
                <w:bCs/>
                <w:color w:val="auto"/>
                <w:sz w:val="24"/>
                <w:highlight w:val="none"/>
              </w:rPr>
              <w:t>进入本单位工作开始时间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pStyle w:val="31"/>
              <w:snapToGrid w:val="0"/>
              <w:spacing w:before="120" w:beforeLines="50" w:after="50" w:line="360" w:lineRule="auto"/>
              <w:ind w:left="5250"/>
              <w:rPr>
                <w:rFonts w:ascii="宋体" w:hAnsi="宋体" w:eastAsia="宋体"/>
                <w:color w:val="auto"/>
                <w:kern w:val="2"/>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5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after="50" w:line="360" w:lineRule="auto"/>
              <w:rPr>
                <w:rFonts w:ascii="宋体" w:hAnsi="宋体"/>
                <w:color w:val="auto"/>
                <w:sz w:val="24"/>
                <w:highlight w:val="none"/>
              </w:rPr>
            </w:pPr>
          </w:p>
        </w:tc>
      </w:tr>
    </w:tbl>
    <w:p>
      <w:pPr>
        <w:snapToGrid w:val="0"/>
        <w:spacing w:before="120" w:beforeLines="50" w:after="50" w:line="480" w:lineRule="auto"/>
        <w:rPr>
          <w:rFonts w:ascii="宋体" w:hAnsi="宋体"/>
          <w:bCs/>
          <w:color w:val="auto"/>
          <w:sz w:val="24"/>
          <w:highlight w:val="none"/>
        </w:rPr>
      </w:pPr>
    </w:p>
    <w:p>
      <w:pPr>
        <w:snapToGrid w:val="0"/>
        <w:spacing w:before="50" w:after="120" w:afterLines="50"/>
        <w:jc w:val="left"/>
        <w:rPr>
          <w:rFonts w:ascii="宋体" w:hAnsi="宋体"/>
          <w:b/>
          <w:bCs/>
          <w:color w:val="auto"/>
          <w:sz w:val="24"/>
          <w:highlight w:val="none"/>
        </w:rPr>
      </w:pPr>
      <w:r>
        <w:rPr>
          <w:rFonts w:hint="eastAsia" w:ascii="宋体" w:hAnsi="宋体"/>
          <w:b/>
          <w:bCs/>
          <w:color w:val="auto"/>
          <w:sz w:val="24"/>
          <w:highlight w:val="none"/>
        </w:rPr>
        <w:t>注：在填写时，如本表格不适合投标人的实际情况，可根据本表格式自行划表填写。</w:t>
      </w:r>
    </w:p>
    <w:p>
      <w:pPr>
        <w:snapToGrid w:val="0"/>
        <w:spacing w:before="50" w:after="120" w:afterLines="50" w:line="360" w:lineRule="auto"/>
        <w:jc w:val="left"/>
        <w:rPr>
          <w:rFonts w:ascii="宋体" w:hAnsi="宋体"/>
          <w:color w:val="auto"/>
          <w:sz w:val="24"/>
          <w:szCs w:val="20"/>
          <w:highlight w:val="none"/>
        </w:rPr>
      </w:pPr>
    </w:p>
    <w:p>
      <w:pPr>
        <w:snapToGrid w:val="0"/>
        <w:spacing w:before="50" w:after="50" w:line="360" w:lineRule="auto"/>
        <w:rPr>
          <w:rFonts w:ascii="宋体" w:hAnsi="宋体"/>
          <w:b/>
          <w:color w:val="auto"/>
          <w:sz w:val="24"/>
          <w:szCs w:val="20"/>
          <w:highlight w:val="none"/>
        </w:rPr>
      </w:pPr>
      <w:r>
        <w:rPr>
          <w:rFonts w:hint="eastAsia" w:ascii="宋体" w:hAnsi="宋体"/>
          <w:b/>
          <w:color w:val="auto"/>
          <w:spacing w:val="20"/>
          <w:sz w:val="24"/>
          <w:highlight w:val="none"/>
        </w:rPr>
        <w:t xml:space="preserve">法定代表人或被授权人签字（或盖章）：            投标人（盖章）：          </w:t>
      </w:r>
    </w:p>
    <w:p>
      <w:pPr>
        <w:pStyle w:val="29"/>
        <w:snapToGrid w:val="0"/>
        <w:spacing w:beforeLines="0" w:afterLines="0" w:line="240" w:lineRule="auto"/>
        <w:rPr>
          <w:rFonts w:hAnsi="宋体"/>
          <w:b/>
          <w:color w:val="auto"/>
          <w:highlight w:val="none"/>
        </w:rPr>
      </w:pPr>
    </w:p>
    <w:p>
      <w:pPr>
        <w:pStyle w:val="29"/>
        <w:snapToGrid w:val="0"/>
        <w:spacing w:beforeLines="0" w:afterLines="0" w:line="240" w:lineRule="auto"/>
        <w:rPr>
          <w:rFonts w:hAnsi="宋体"/>
          <w:b/>
          <w:color w:val="auto"/>
          <w:highlight w:val="none"/>
        </w:rPr>
      </w:pPr>
      <w:r>
        <w:rPr>
          <w:rFonts w:hint="eastAsia" w:hAnsi="宋体"/>
          <w:b/>
          <w:color w:val="auto"/>
          <w:highlight w:val="none"/>
        </w:rPr>
        <w:t>日期:_____年___月___日</w:t>
      </w: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sectPr>
          <w:headerReference r:id="rId6" w:type="default"/>
          <w:footerReference r:id="rId7" w:type="default"/>
          <w:footerReference r:id="rId8" w:type="even"/>
          <w:pgSz w:w="11906" w:h="16838"/>
          <w:pgMar w:top="1021" w:right="1588" w:bottom="851" w:left="1588" w:header="567" w:footer="454" w:gutter="0"/>
          <w:cols w:space="720" w:num="1"/>
          <w:docGrid w:linePitch="286" w:charSpace="0"/>
        </w:sectPr>
      </w:pPr>
    </w:p>
    <w:p>
      <w:pPr>
        <w:snapToGrid w:val="0"/>
        <w:spacing w:before="50" w:after="120" w:afterLines="50"/>
        <w:ind w:firstLine="360" w:firstLineChars="150"/>
        <w:jc w:val="left"/>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.投标人类似合同案例一览表格式：</w:t>
      </w:r>
    </w:p>
    <w:p>
      <w:pPr>
        <w:snapToGrid w:val="0"/>
        <w:spacing w:before="50" w:after="120" w:afterLines="50"/>
        <w:jc w:val="center"/>
        <w:rPr>
          <w:rFonts w:ascii="宋体" w:hAnsi="宋体"/>
          <w:b/>
          <w:color w:val="auto"/>
          <w:sz w:val="24"/>
          <w:highlight w:val="none"/>
        </w:rPr>
      </w:pPr>
      <w:r>
        <w:rPr>
          <w:rFonts w:hint="eastAsia" w:ascii="宋体" w:hAnsi="宋体"/>
          <w:b/>
          <w:color w:val="auto"/>
          <w:sz w:val="24"/>
          <w:highlight w:val="none"/>
        </w:rPr>
        <w:t>投标人类似合同案例一览表</w:t>
      </w:r>
    </w:p>
    <w:p>
      <w:pPr>
        <w:snapToGrid w:val="0"/>
        <w:spacing w:before="120" w:beforeLines="50" w:after="50" w:line="480" w:lineRule="auto"/>
        <w:ind w:firstLine="1068" w:firstLineChars="445"/>
        <w:rPr>
          <w:rFonts w:ascii="宋体" w:hAnsi="宋体"/>
          <w:bCs/>
          <w:color w:val="auto"/>
          <w:sz w:val="24"/>
          <w:highlight w:val="none"/>
        </w:rPr>
      </w:pPr>
    </w:p>
    <w:p>
      <w:pPr>
        <w:snapToGrid w:val="0"/>
        <w:spacing w:before="120" w:beforeLines="50" w:after="50" w:line="480" w:lineRule="auto"/>
        <w:ind w:firstLine="1068" w:firstLineChars="445"/>
        <w:rPr>
          <w:rFonts w:ascii="宋体" w:hAnsi="宋体"/>
          <w:bCs/>
          <w:color w:val="auto"/>
          <w:sz w:val="24"/>
          <w:szCs w:val="20"/>
          <w:highlight w:val="none"/>
        </w:rPr>
      </w:pPr>
      <w:r>
        <w:rPr>
          <w:rFonts w:hint="eastAsia" w:ascii="宋体" w:hAnsi="宋体"/>
          <w:bCs/>
          <w:color w:val="auto"/>
          <w:sz w:val="24"/>
          <w:highlight w:val="none"/>
        </w:rPr>
        <w:t xml:space="preserve">项目名称：                                            </w:t>
      </w:r>
      <w:r>
        <w:rPr>
          <w:rFonts w:hint="eastAsia" w:ascii="宋体" w:hAnsi="宋体"/>
          <w:color w:val="auto"/>
          <w:sz w:val="24"/>
          <w:highlight w:val="none"/>
        </w:rPr>
        <w:t>项目编号：</w:t>
      </w:r>
    </w:p>
    <w:tbl>
      <w:tblPr>
        <w:tblStyle w:val="50"/>
        <w:tblW w:w="1419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 w:val="24"/>
                <w:highlight w:val="none"/>
              </w:rPr>
            </w:pPr>
            <w:r>
              <w:rPr>
                <w:rFonts w:hint="eastAsia" w:ascii="宋体" w:hAnsi="宋体"/>
                <w:color w:val="auto"/>
                <w:sz w:val="24"/>
                <w:highlight w:val="none"/>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合同金额（万元）</w:t>
            </w:r>
          </w:p>
        </w:tc>
        <w:tc>
          <w:tcPr>
            <w:tcW w:w="1843"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olor w:val="auto"/>
                <w:sz w:val="24"/>
                <w:highlight w:val="none"/>
              </w:rPr>
            </w:pPr>
            <w:r>
              <w:rPr>
                <w:rFonts w:hint="eastAsia" w:ascii="宋体" w:hAnsi="宋体"/>
                <w:color w:val="auto"/>
                <w:sz w:val="24"/>
                <w:highlight w:val="none"/>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olor w:val="auto"/>
                <w:sz w:val="24"/>
                <w:highlight w:val="none"/>
              </w:rPr>
            </w:pPr>
            <w:r>
              <w:rPr>
                <w:rFonts w:hint="eastAsia" w:ascii="宋体" w:hAnsi="宋体"/>
                <w:color w:val="auto"/>
                <w:sz w:val="24"/>
                <w:highlight w:val="none"/>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olor w:val="auto"/>
                <w:sz w:val="24"/>
                <w:highlight w:val="none"/>
              </w:rPr>
            </w:pPr>
            <w:r>
              <w:rPr>
                <w:rFonts w:hint="eastAsia" w:ascii="宋体" w:hAnsi="宋体"/>
                <w:color w:val="auto"/>
                <w:sz w:val="24"/>
                <w:highlight w:val="none"/>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200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7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92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c>
          <w:tcPr>
            <w:tcW w:w="139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8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200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7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92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c>
          <w:tcPr>
            <w:tcW w:w="139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olor w:val="auto"/>
                <w:sz w:val="24"/>
                <w:szCs w:val="20"/>
                <w:highlight w:val="none"/>
              </w:rPr>
            </w:pPr>
          </w:p>
        </w:tc>
      </w:tr>
    </w:tbl>
    <w:p>
      <w:pPr>
        <w:pStyle w:val="15"/>
        <w:snapToGrid w:val="0"/>
        <w:ind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pStyle w:val="15"/>
        <w:snapToGrid w:val="0"/>
        <w:ind w:firstLine="360" w:firstLineChars="150"/>
        <w:rPr>
          <w:rFonts w:ascii="宋体" w:hAnsi="宋体" w:eastAsia="宋体"/>
          <w:color w:val="auto"/>
          <w:sz w:val="24"/>
          <w:szCs w:val="24"/>
          <w:highlight w:val="none"/>
        </w:rPr>
      </w:pPr>
    </w:p>
    <w:p>
      <w:pPr>
        <w:pStyle w:val="15"/>
        <w:snapToGrid w:val="0"/>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法定代表人或被授权人签字（或盖章）：                    投标人（盖章）：              日期:_____年___月___日</w:t>
      </w:r>
    </w:p>
    <w:p>
      <w:pPr>
        <w:pStyle w:val="15"/>
        <w:snapToGrid w:val="0"/>
        <w:rPr>
          <w:rFonts w:ascii="宋体" w:hAnsi="宋体" w:eastAsia="宋体"/>
          <w:color w:val="auto"/>
          <w:sz w:val="24"/>
          <w:szCs w:val="24"/>
          <w:highlight w:val="none"/>
        </w:rPr>
        <w:sectPr>
          <w:pgSz w:w="16838" w:h="11906" w:orient="landscape"/>
          <w:pgMar w:top="1588" w:right="1021" w:bottom="1588" w:left="851" w:header="851" w:footer="851" w:gutter="0"/>
          <w:cols w:space="720" w:num="1"/>
        </w:sectPr>
      </w:pPr>
    </w:p>
    <w:p>
      <w:pPr>
        <w:snapToGrid w:val="0"/>
        <w:spacing w:before="50" w:after="120" w:afterLines="50"/>
        <w:jc w:val="left"/>
        <w:rPr>
          <w:rFonts w:ascii="宋体" w:hAnsi="宋体"/>
          <w:color w:val="auto"/>
          <w:sz w:val="24"/>
          <w:szCs w:val="20"/>
          <w:highlight w:val="none"/>
        </w:rPr>
      </w:pPr>
      <w:r>
        <w:rPr>
          <w:rFonts w:ascii="宋体" w:hAnsi="宋体"/>
          <w:color w:val="auto"/>
          <w:sz w:val="24"/>
          <w:highlight w:val="none"/>
        </w:rPr>
        <w:t>12</w:t>
      </w:r>
      <w:r>
        <w:rPr>
          <w:rFonts w:hint="eastAsia" w:ascii="宋体" w:hAnsi="宋体"/>
          <w:color w:val="auto"/>
          <w:sz w:val="24"/>
          <w:highlight w:val="none"/>
        </w:rPr>
        <w:t>.售后服务网点情况表格式：</w:t>
      </w:r>
    </w:p>
    <w:p>
      <w:pPr>
        <w:snapToGrid w:val="0"/>
        <w:spacing w:before="50" w:after="120" w:afterLines="50"/>
        <w:jc w:val="left"/>
        <w:rPr>
          <w:rFonts w:ascii="宋体" w:hAnsi="宋体"/>
          <w:color w:val="auto"/>
          <w:sz w:val="24"/>
          <w:szCs w:val="20"/>
          <w:highlight w:val="none"/>
        </w:rPr>
      </w:pPr>
      <w:r>
        <w:rPr>
          <w:rFonts w:hint="eastAsia" w:ascii="宋体" w:hAnsi="宋体"/>
          <w:color w:val="auto"/>
          <w:sz w:val="24"/>
          <w:szCs w:val="20"/>
          <w:highlight w:val="none"/>
        </w:rPr>
        <w:t xml:space="preserve"> </w:t>
      </w:r>
    </w:p>
    <w:p>
      <w:pPr>
        <w:pStyle w:val="38"/>
        <w:snapToGrid w:val="0"/>
        <w:ind w:left="480" w:hanging="480"/>
        <w:rPr>
          <w:rFonts w:ascii="宋体" w:hAnsi="宋体"/>
          <w:color w:val="auto"/>
          <w:sz w:val="24"/>
          <w:highlight w:val="none"/>
        </w:rPr>
      </w:pPr>
    </w:p>
    <w:p>
      <w:pPr>
        <w:pStyle w:val="38"/>
        <w:snapToGrid w:val="0"/>
        <w:ind w:left="482" w:hanging="482"/>
        <w:jc w:val="center"/>
        <w:rPr>
          <w:rFonts w:ascii="宋体" w:hAnsi="宋体"/>
          <w:b/>
          <w:color w:val="auto"/>
          <w:sz w:val="24"/>
          <w:highlight w:val="none"/>
        </w:rPr>
      </w:pPr>
      <w:r>
        <w:rPr>
          <w:rFonts w:hint="eastAsia" w:ascii="宋体" w:hAnsi="宋体"/>
          <w:b/>
          <w:color w:val="auto"/>
          <w:sz w:val="24"/>
          <w:highlight w:val="none"/>
        </w:rPr>
        <w:t>售后服务网点情况表</w:t>
      </w:r>
    </w:p>
    <w:p>
      <w:pPr>
        <w:snapToGrid w:val="0"/>
        <w:spacing w:before="120" w:beforeLines="50" w:after="50" w:line="360" w:lineRule="auto"/>
        <w:jc w:val="center"/>
        <w:rPr>
          <w:rFonts w:ascii="宋体" w:hAnsi="宋体"/>
          <w:bCs/>
          <w:color w:val="auto"/>
          <w:sz w:val="24"/>
          <w:highlight w:val="none"/>
        </w:rPr>
      </w:pPr>
    </w:p>
    <w:p>
      <w:pPr>
        <w:snapToGrid w:val="0"/>
        <w:spacing w:before="120" w:beforeLines="50" w:after="50" w:line="480" w:lineRule="auto"/>
        <w:rPr>
          <w:rFonts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0"/>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其中：投标人出资比例</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c>
          <w:tcPr>
            <w:tcW w:w="2754"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ind w:left="12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2162"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szCs w:val="20"/>
                <w:highlight w:val="none"/>
              </w:rPr>
              <w:t>设立日期</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653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传 真</w:t>
            </w:r>
          </w:p>
        </w:tc>
        <w:tc>
          <w:tcPr>
            <w:tcW w:w="3050"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2162"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360" w:lineRule="auto"/>
              <w:jc w:val="left"/>
              <w:rPr>
                <w:rFonts w:ascii="宋体" w:hAnsi="宋体"/>
                <w:color w:val="auto"/>
                <w:sz w:val="24"/>
                <w:szCs w:val="20"/>
                <w:highlight w:val="none"/>
              </w:rPr>
            </w:pPr>
          </w:p>
        </w:tc>
        <w:tc>
          <w:tcPr>
            <w:tcW w:w="1326" w:type="dxa"/>
            <w:tcBorders>
              <w:top w:val="single" w:color="auto" w:sz="4" w:space="0"/>
              <w:left w:val="single" w:color="auto" w:sz="2" w:space="0"/>
              <w:bottom w:val="single" w:color="auto" w:sz="4" w:space="0"/>
              <w:right w:val="single" w:color="auto" w:sz="2" w:space="0"/>
            </w:tcBorders>
          </w:tcPr>
          <w:p>
            <w:pPr>
              <w:snapToGrid w:val="0"/>
              <w:spacing w:before="50" w:after="120" w:afterLines="50" w:line="360" w:lineRule="auto"/>
              <w:jc w:val="center"/>
              <w:rPr>
                <w:rFonts w:ascii="宋体" w:hAnsi="宋体"/>
                <w:color w:val="auto"/>
                <w:sz w:val="24"/>
                <w:szCs w:val="20"/>
                <w:highlight w:val="none"/>
              </w:rPr>
            </w:pPr>
            <w:r>
              <w:rPr>
                <w:rFonts w:hint="eastAsia" w:ascii="宋体" w:hAnsi="宋体"/>
                <w:color w:val="auto"/>
                <w:sz w:val="24"/>
                <w:highlight w:val="none"/>
              </w:rPr>
              <w:t>联系电话</w:t>
            </w:r>
          </w:p>
        </w:tc>
        <w:tc>
          <w:tcPr>
            <w:tcW w:w="3050"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360" w:lineRule="auto"/>
              <w:jc w:val="left"/>
              <w:rPr>
                <w:rFonts w:ascii="宋体" w:hAnsi="宋体"/>
                <w:color w:val="auto"/>
                <w:sz w:val="24"/>
                <w:szCs w:val="20"/>
                <w:highlight w:val="none"/>
              </w:rPr>
            </w:pPr>
          </w:p>
        </w:tc>
      </w:tr>
    </w:tbl>
    <w:p>
      <w:pPr>
        <w:pStyle w:val="38"/>
        <w:snapToGrid w:val="0"/>
        <w:ind w:left="199" w:hanging="199" w:hangingChars="83"/>
        <w:rPr>
          <w:rFonts w:ascii="宋体" w:hAnsi="宋体"/>
          <w:color w:val="auto"/>
          <w:sz w:val="24"/>
          <w:highlight w:val="none"/>
        </w:rPr>
      </w:pPr>
    </w:p>
    <w:p>
      <w:pPr>
        <w:pStyle w:val="15"/>
        <w:snapToGrid w:val="0"/>
        <w:rPr>
          <w:rFonts w:ascii="宋体" w:hAnsi="宋体" w:eastAsia="宋体"/>
          <w:b/>
          <w:color w:val="auto"/>
          <w:sz w:val="24"/>
          <w:highlight w:val="none"/>
        </w:rPr>
      </w:pPr>
    </w:p>
    <w:p>
      <w:pPr>
        <w:pStyle w:val="21"/>
        <w:snapToGrid w:val="0"/>
        <w:rPr>
          <w:rFonts w:ascii="宋体" w:hAnsi="宋体"/>
          <w:b/>
          <w:color w:val="auto"/>
          <w:sz w:val="24"/>
          <w:highlight w:val="none"/>
        </w:rPr>
      </w:pPr>
      <w:r>
        <w:rPr>
          <w:rFonts w:hint="eastAsia" w:ascii="宋体" w:hAnsi="宋体"/>
          <w:b/>
          <w:color w:val="auto"/>
          <w:spacing w:val="20"/>
          <w:sz w:val="24"/>
          <w:highlight w:val="none"/>
        </w:rPr>
        <w:t xml:space="preserve">法定代表人或被授权人签字（或盖章）：            投标人（盖章）： </w:t>
      </w:r>
      <w:r>
        <w:rPr>
          <w:rFonts w:hint="eastAsia" w:ascii="宋体" w:hAnsi="宋体"/>
          <w:b/>
          <w:color w:val="auto"/>
          <w:sz w:val="24"/>
          <w:highlight w:val="none"/>
        </w:rPr>
        <w:t xml:space="preserve">           　 </w:t>
      </w:r>
    </w:p>
    <w:p>
      <w:pPr>
        <w:pStyle w:val="21"/>
        <w:snapToGrid w:val="0"/>
        <w:rPr>
          <w:rFonts w:ascii="宋体" w:hAnsi="宋体"/>
          <w:b/>
          <w:color w:val="auto"/>
          <w:sz w:val="24"/>
          <w:highlight w:val="none"/>
        </w:rPr>
      </w:pPr>
    </w:p>
    <w:p>
      <w:pPr>
        <w:snapToGrid w:val="0"/>
        <w:spacing w:before="50" w:after="120" w:afterLines="50"/>
        <w:jc w:val="left"/>
        <w:rPr>
          <w:rFonts w:ascii="宋体" w:hAnsi="宋体"/>
          <w:b/>
          <w:color w:val="auto"/>
          <w:sz w:val="24"/>
          <w:szCs w:val="20"/>
          <w:highlight w:val="none"/>
        </w:rPr>
      </w:pPr>
      <w:r>
        <w:rPr>
          <w:rFonts w:hint="eastAsia" w:ascii="宋体" w:hAnsi="宋体"/>
          <w:b/>
          <w:color w:val="auto"/>
          <w:sz w:val="24"/>
          <w:highlight w:val="none"/>
        </w:rPr>
        <w:t>日期:_____年___月___日</w:t>
      </w:r>
    </w:p>
    <w:p>
      <w:pPr>
        <w:snapToGrid w:val="0"/>
        <w:spacing w:before="50"/>
        <w:jc w:val="left"/>
        <w:rPr>
          <w:rFonts w:ascii="宋体" w:hAnsi="宋体"/>
          <w:color w:val="auto"/>
          <w:sz w:val="24"/>
          <w:highlight w:val="none"/>
        </w:rPr>
      </w:pPr>
    </w:p>
    <w:p>
      <w:pPr>
        <w:snapToGrid w:val="0"/>
        <w:spacing w:before="50"/>
        <w:jc w:val="left"/>
        <w:rPr>
          <w:rFonts w:ascii="宋体" w:hAnsi="宋体"/>
          <w:color w:val="auto"/>
          <w:sz w:val="24"/>
          <w:highlight w:val="none"/>
        </w:rPr>
      </w:pPr>
    </w:p>
    <w:p>
      <w:pPr>
        <w:snapToGrid w:val="0"/>
        <w:spacing w:before="50"/>
        <w:jc w:val="left"/>
        <w:rPr>
          <w:rFonts w:ascii="宋体" w:hAnsi="宋体"/>
          <w:color w:val="auto"/>
          <w:sz w:val="24"/>
          <w:highlight w:val="none"/>
        </w:rPr>
      </w:pPr>
      <w:r>
        <w:rPr>
          <w:rFonts w:ascii="宋体" w:hAnsi="宋体"/>
          <w:color w:val="auto"/>
          <w:sz w:val="24"/>
          <w:highlight w:val="none"/>
        </w:rPr>
        <w:br w:type="page"/>
      </w:r>
      <w:bookmarkStart w:id="74" w:name="_Hlk77588362"/>
      <w:r>
        <w:rPr>
          <w:rFonts w:ascii="宋体" w:hAnsi="宋体"/>
          <w:color w:val="auto"/>
          <w:sz w:val="24"/>
          <w:highlight w:val="none"/>
        </w:rPr>
        <w:t>13</w:t>
      </w:r>
      <w:r>
        <w:rPr>
          <w:rFonts w:hint="eastAsia" w:ascii="宋体" w:hAnsi="宋体"/>
          <w:color w:val="auto"/>
          <w:sz w:val="24"/>
          <w:highlight w:val="none"/>
        </w:rPr>
        <w:t>.商务及技术响应表格式：</w:t>
      </w:r>
      <w:bookmarkEnd w:id="74"/>
    </w:p>
    <w:p>
      <w:pPr>
        <w:snapToGrid w:val="0"/>
        <w:spacing w:before="50"/>
        <w:jc w:val="left"/>
        <w:rPr>
          <w:rFonts w:ascii="宋体" w:hAnsi="宋体"/>
          <w:color w:val="auto"/>
          <w:sz w:val="24"/>
          <w:highlight w:val="none"/>
        </w:rPr>
      </w:pPr>
    </w:p>
    <w:p>
      <w:pPr>
        <w:snapToGrid w:val="0"/>
        <w:spacing w:before="50"/>
        <w:jc w:val="center"/>
        <w:rPr>
          <w:rFonts w:ascii="宋体" w:hAnsi="宋体"/>
          <w:b/>
          <w:color w:val="auto"/>
          <w:sz w:val="24"/>
          <w:highlight w:val="none"/>
        </w:rPr>
      </w:pPr>
      <w:r>
        <w:rPr>
          <w:rFonts w:hint="eastAsia" w:ascii="宋体" w:hAnsi="宋体"/>
          <w:b/>
          <w:color w:val="auto"/>
          <w:sz w:val="24"/>
          <w:highlight w:val="none"/>
        </w:rPr>
        <w:t>商务及技术响应表</w:t>
      </w:r>
    </w:p>
    <w:p>
      <w:pPr>
        <w:snapToGrid w:val="0"/>
        <w:spacing w:before="120" w:beforeLines="50" w:after="50" w:line="360" w:lineRule="auto"/>
        <w:jc w:val="center"/>
        <w:rPr>
          <w:rFonts w:ascii="宋体" w:hAnsi="宋体"/>
          <w:bCs/>
          <w:color w:val="auto"/>
          <w:sz w:val="24"/>
          <w:highlight w:val="none"/>
        </w:rPr>
      </w:pPr>
    </w:p>
    <w:p>
      <w:pPr>
        <w:snapToGrid w:val="0"/>
        <w:spacing w:before="120" w:beforeLines="50" w:after="50" w:line="480" w:lineRule="auto"/>
        <w:rPr>
          <w:rFonts w:ascii="宋体" w:hAnsi="宋体"/>
          <w:color w:val="auto"/>
          <w:sz w:val="24"/>
          <w:highlight w:val="none"/>
        </w:rPr>
      </w:pPr>
      <w:r>
        <w:rPr>
          <w:rFonts w:hint="eastAsia" w:ascii="宋体" w:hAnsi="宋体"/>
          <w:bCs/>
          <w:color w:val="auto"/>
          <w:sz w:val="24"/>
          <w:highlight w:val="none"/>
        </w:rPr>
        <w:t>项目名称：</w:t>
      </w:r>
    </w:p>
    <w:p>
      <w:pPr>
        <w:snapToGrid w:val="0"/>
        <w:spacing w:before="120" w:beforeLines="50" w:after="50" w:line="480" w:lineRule="auto"/>
        <w:rPr>
          <w:rFonts w:ascii="宋体" w:hAnsi="宋体"/>
          <w:b/>
          <w:color w:val="auto"/>
          <w:sz w:val="24"/>
          <w:highlight w:val="none"/>
        </w:rPr>
      </w:pPr>
      <w:r>
        <w:rPr>
          <w:rFonts w:hint="eastAsia" w:ascii="宋体" w:hAnsi="宋体"/>
          <w:color w:val="auto"/>
          <w:sz w:val="24"/>
          <w:highlight w:val="none"/>
        </w:rPr>
        <w:t>项目编号：</w:t>
      </w:r>
    </w:p>
    <w:tbl>
      <w:tblPr>
        <w:tblStyle w:val="50"/>
        <w:tblW w:w="9498"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1842"/>
        <w:gridCol w:w="1701"/>
        <w:gridCol w:w="993"/>
        <w:gridCol w:w="2409"/>
        <w:gridCol w:w="17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名称</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招标文件要求</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是否</w:t>
            </w:r>
          </w:p>
          <w:p>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响应</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宋体" w:hAnsi="宋体"/>
                <w:b/>
                <w:color w:val="auto"/>
                <w:sz w:val="24"/>
                <w:szCs w:val="20"/>
                <w:highlight w:val="none"/>
              </w:rPr>
            </w:pPr>
            <w:r>
              <w:rPr>
                <w:rFonts w:hint="eastAsia" w:ascii="宋体" w:hAnsi="宋体"/>
                <w:b/>
                <w:color w:val="auto"/>
                <w:sz w:val="24"/>
                <w:highlight w:val="none"/>
              </w:rPr>
              <w:t>投标人的应标情况</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exact"/>
              <w:jc w:val="center"/>
              <w:rPr>
                <w:rFonts w:ascii="宋体" w:hAnsi="宋体"/>
                <w:b/>
                <w:color w:val="auto"/>
                <w:sz w:val="24"/>
                <w:highlight w:val="none"/>
              </w:rPr>
            </w:pPr>
            <w:r>
              <w:rPr>
                <w:rFonts w:hint="eastAsia" w:ascii="宋体" w:hAnsi="宋体"/>
                <w:b/>
                <w:color w:val="auto"/>
                <w:sz w:val="24"/>
                <w:highlight w:val="none"/>
              </w:rPr>
              <w:t>相应内容在投标文件中页码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r>
              <w:rPr>
                <w:rFonts w:hint="eastAsia" w:ascii="宋体" w:hAnsi="宋体"/>
                <w:color w:val="auto"/>
                <w:szCs w:val="21"/>
                <w:highlight w:val="none"/>
              </w:rPr>
              <w:t>服务期</w:t>
            </w: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r>
              <w:rPr>
                <w:rFonts w:hint="eastAsia" w:ascii="宋体" w:hAnsi="宋体"/>
                <w:color w:val="auto"/>
                <w:szCs w:val="21"/>
                <w:highlight w:val="none"/>
              </w:rPr>
              <w:t>投标有效期</w:t>
            </w: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r>
              <w:rPr>
                <w:rFonts w:hint="eastAsia" w:ascii="宋体" w:hAnsi="宋体"/>
                <w:color w:val="auto"/>
                <w:szCs w:val="21"/>
                <w:highlight w:val="none"/>
              </w:rPr>
              <w:t>付款方式</w:t>
            </w: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86"/>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r>
              <w:rPr>
                <w:rFonts w:hint="eastAsia" w:ascii="宋体" w:hAnsi="宋体"/>
                <w:color w:val="auto"/>
                <w:szCs w:val="21"/>
                <w:highlight w:val="none"/>
              </w:rPr>
              <w:t>（根据第二章招标需求内容填写）</w:t>
            </w: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r>
              <w:rPr>
                <w:rFonts w:ascii="宋体" w:hAnsi="宋体"/>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Cs w:val="21"/>
                <w:highlight w:val="none"/>
              </w:rPr>
            </w:pPr>
            <w:r>
              <w:rPr>
                <w:rFonts w:hint="eastAsia" w:ascii="宋体" w:hAnsi="宋体"/>
                <w:color w:val="auto"/>
                <w:szCs w:val="21"/>
                <w:highlight w:val="none"/>
              </w:rPr>
              <w:t>▲内容请勿遗漏</w:t>
            </w: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4" w:hRule="atLeast"/>
        </w:trPr>
        <w:tc>
          <w:tcPr>
            <w:tcW w:w="85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ascii="宋体" w:hAnsi="宋体"/>
                <w:color w:val="auto"/>
                <w:sz w:val="24"/>
                <w:szCs w:val="20"/>
                <w:highlight w:val="none"/>
              </w:rPr>
            </w:pPr>
          </w:p>
        </w:tc>
      </w:tr>
    </w:tbl>
    <w:p>
      <w:pPr>
        <w:snapToGrid w:val="0"/>
        <w:spacing w:line="400" w:lineRule="exact"/>
        <w:rPr>
          <w:rFonts w:ascii="宋体" w:hAnsi="宋体"/>
          <w:b/>
          <w:color w:val="auto"/>
          <w:sz w:val="24"/>
          <w:szCs w:val="20"/>
          <w:highlight w:val="none"/>
          <w:u w:val="single"/>
          <w:shd w:val="pct10" w:color="auto" w:fill="FFFFFF"/>
        </w:rPr>
      </w:pPr>
      <w:r>
        <w:rPr>
          <w:rFonts w:hint="eastAsia" w:ascii="宋体" w:hAnsi="宋体"/>
          <w:b/>
          <w:color w:val="auto"/>
          <w:sz w:val="24"/>
          <w:szCs w:val="20"/>
          <w:highlight w:val="none"/>
          <w:u w:val="single"/>
          <w:shd w:val="pct10" w:color="auto" w:fill="FFFFFF"/>
        </w:rPr>
        <w:t>特别说明：</w:t>
      </w:r>
    </w:p>
    <w:p>
      <w:pPr>
        <w:snapToGrid w:val="0"/>
        <w:spacing w:line="400" w:lineRule="exact"/>
        <w:rPr>
          <w:rFonts w:ascii="宋体" w:hAnsi="宋体"/>
          <w:b/>
          <w:color w:val="auto"/>
          <w:sz w:val="24"/>
          <w:highlight w:val="none"/>
          <w:u w:val="single"/>
          <w:shd w:val="pct10" w:color="auto" w:fill="FFFFFF"/>
        </w:rPr>
      </w:pPr>
      <w:r>
        <w:rPr>
          <w:rFonts w:hint="eastAsia" w:ascii="宋体" w:hAnsi="宋体"/>
          <w:b/>
          <w:color w:val="auto"/>
          <w:sz w:val="24"/>
          <w:highlight w:val="none"/>
          <w:u w:val="single"/>
          <w:shd w:val="pct10" w:color="auto" w:fill="FFFFFF"/>
        </w:rPr>
        <w:t>1、投标人应在此表中将招标文件中列明</w:t>
      </w:r>
      <w:bookmarkStart w:id="75" w:name="_Hlk535995896"/>
      <w:r>
        <w:rPr>
          <w:rFonts w:hint="eastAsia" w:ascii="宋体" w:hAnsi="宋体"/>
          <w:b/>
          <w:color w:val="auto"/>
          <w:sz w:val="24"/>
          <w:highlight w:val="none"/>
          <w:u w:val="single"/>
          <w:shd w:val="pct10" w:color="auto" w:fill="FFFFFF"/>
        </w:rPr>
        <w:t>的商务要求和技术参数要求的正偏离或负偏离的应标内容详细写明，</w:t>
      </w:r>
      <w:bookmarkEnd w:id="75"/>
      <w:r>
        <w:rPr>
          <w:rFonts w:hint="eastAsia" w:ascii="宋体" w:hAnsi="宋体"/>
          <w:b/>
          <w:color w:val="auto"/>
          <w:sz w:val="24"/>
          <w:highlight w:val="none"/>
          <w:u w:val="single"/>
          <w:shd w:val="pct10" w:color="auto" w:fill="FFFFFF"/>
        </w:rPr>
        <w:t>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pPr>
        <w:snapToGrid w:val="0"/>
        <w:spacing w:line="400" w:lineRule="exact"/>
        <w:rPr>
          <w:rFonts w:ascii="宋体" w:hAnsi="宋体"/>
          <w:b/>
          <w:color w:val="auto"/>
          <w:sz w:val="24"/>
          <w:highlight w:val="none"/>
          <w:u w:val="single"/>
          <w:shd w:val="pct10" w:color="auto" w:fill="FFFFFF"/>
        </w:rPr>
      </w:pPr>
      <w:r>
        <w:rPr>
          <w:rFonts w:ascii="宋体" w:hAnsi="宋体"/>
          <w:b/>
          <w:color w:val="auto"/>
          <w:sz w:val="24"/>
          <w:highlight w:val="none"/>
          <w:u w:val="single"/>
          <w:shd w:val="pct10" w:color="auto" w:fill="FFFFFF"/>
        </w:rPr>
        <w:t>2</w:t>
      </w:r>
      <w:r>
        <w:rPr>
          <w:rFonts w:hint="eastAsia" w:ascii="宋体" w:hAnsi="宋体"/>
          <w:b/>
          <w:color w:val="auto"/>
          <w:sz w:val="24"/>
          <w:highlight w:val="none"/>
          <w:u w:val="single"/>
          <w:shd w:val="pct10" w:color="auto" w:fill="FFFFFF"/>
        </w:rPr>
        <w:t>、如果在本表格中--投标人的应标情况栏中仅填写响应或完全响应等文字而不列出具体的应标内容，不予认可该商务及技术条款已作响应。</w:t>
      </w:r>
    </w:p>
    <w:p>
      <w:pPr>
        <w:pStyle w:val="29"/>
        <w:snapToGrid w:val="0"/>
        <w:spacing w:beforeLines="0" w:afterLines="0" w:line="240" w:lineRule="auto"/>
        <w:rPr>
          <w:rFonts w:hAnsi="宋体"/>
          <w:color w:val="auto"/>
          <w:spacing w:val="20"/>
          <w:highlight w:val="none"/>
        </w:rPr>
      </w:pPr>
    </w:p>
    <w:p>
      <w:pPr>
        <w:pStyle w:val="29"/>
        <w:snapToGrid w:val="0"/>
        <w:spacing w:beforeLines="0" w:afterLines="0" w:line="240" w:lineRule="auto"/>
        <w:rPr>
          <w:rFonts w:hAnsi="宋体"/>
          <w:b/>
          <w:color w:val="auto"/>
          <w:highlight w:val="none"/>
        </w:rPr>
      </w:pPr>
      <w:r>
        <w:rPr>
          <w:rFonts w:hint="eastAsia" w:hAnsi="宋体"/>
          <w:b/>
          <w:color w:val="auto"/>
          <w:spacing w:val="20"/>
          <w:highlight w:val="none"/>
        </w:rPr>
        <w:t>法定代表人或被授权人签字（或盖章）：            投标人（盖章）：</w:t>
      </w:r>
    </w:p>
    <w:p>
      <w:pPr>
        <w:snapToGrid w:val="0"/>
        <w:spacing w:line="400" w:lineRule="exact"/>
        <w:jc w:val="left"/>
        <w:rPr>
          <w:rFonts w:ascii="宋体" w:hAnsi="宋体"/>
          <w:b/>
          <w:color w:val="auto"/>
          <w:sz w:val="24"/>
          <w:highlight w:val="none"/>
        </w:rPr>
      </w:pPr>
    </w:p>
    <w:p>
      <w:pPr>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日期:_____年___月___日</w:t>
      </w:r>
      <w:r>
        <w:rPr>
          <w:rFonts w:ascii="宋体" w:hAnsi="宋体"/>
          <w:color w:val="auto"/>
          <w:sz w:val="24"/>
          <w:highlight w:val="none"/>
        </w:rPr>
        <w:br w:type="page"/>
      </w:r>
      <w:bookmarkStart w:id="76" w:name="_Toc265669851"/>
    </w:p>
    <w:p>
      <w:pPr>
        <w:snapToGrid w:val="0"/>
        <w:spacing w:line="400" w:lineRule="exact"/>
        <w:ind w:firstLine="472" w:firstLineChars="196"/>
        <w:jc w:val="left"/>
        <w:rPr>
          <w:rFonts w:ascii="宋体" w:hAnsi="宋体"/>
          <w:b/>
          <w:bCs/>
          <w:color w:val="auto"/>
          <w:sz w:val="24"/>
          <w:highlight w:val="none"/>
        </w:rPr>
      </w:pPr>
    </w:p>
    <w:p>
      <w:pPr>
        <w:widowControl/>
        <w:jc w:val="left"/>
        <w:rPr>
          <w:rFonts w:ascii="宋体" w:hAnsi="宋体"/>
          <w:b/>
          <w:color w:val="auto"/>
          <w:sz w:val="24"/>
          <w:highlight w:val="none"/>
        </w:rPr>
      </w:pPr>
    </w:p>
    <w:p>
      <w:pPr>
        <w:pStyle w:val="47"/>
        <w:rPr>
          <w:rFonts w:ascii="宋体" w:hAnsi="宋体"/>
          <w:color w:val="auto"/>
          <w:highlight w:val="none"/>
        </w:rPr>
      </w:pPr>
      <w:bookmarkStart w:id="77" w:name="_Toc197938089"/>
      <w:bookmarkStart w:id="78" w:name="_Toc466534754"/>
      <w:r>
        <w:rPr>
          <w:rFonts w:hint="eastAsia" w:ascii="宋体" w:hAnsi="宋体"/>
          <w:color w:val="auto"/>
          <w:highlight w:val="none"/>
        </w:rPr>
        <w:t>三、报价文件格式</w:t>
      </w:r>
      <w:bookmarkEnd w:id="76"/>
      <w:bookmarkEnd w:id="77"/>
      <w:bookmarkEnd w:id="78"/>
    </w:p>
    <w:p>
      <w:pPr>
        <w:snapToGrid w:val="0"/>
        <w:spacing w:before="120" w:beforeLines="50" w:after="50"/>
        <w:ind w:firstLine="645"/>
        <w:jc w:val="center"/>
        <w:rPr>
          <w:rFonts w:ascii="宋体" w:hAnsi="宋体"/>
          <w:color w:val="auto"/>
          <w:sz w:val="24"/>
          <w:szCs w:val="20"/>
          <w:highlight w:val="none"/>
        </w:rPr>
      </w:pPr>
      <w:r>
        <w:rPr>
          <w:rFonts w:ascii="宋体" w:hAnsi="宋体"/>
          <w:bCs/>
          <w:color w:val="auto"/>
          <w:sz w:val="24"/>
          <w:highlight w:val="none"/>
        </w:rPr>
        <w:t xml:space="preserve"> </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ascii="宋体" w:hAnsi="宋体"/>
          <w:color w:val="auto"/>
          <w:sz w:val="28"/>
          <w:szCs w:val="28"/>
          <w:highlight w:val="none"/>
        </w:rPr>
        <w:t>4</w:t>
      </w:r>
      <w:r>
        <w:rPr>
          <w:rFonts w:hint="eastAsia" w:ascii="宋体" w:hAnsi="宋体"/>
          <w:color w:val="auto"/>
          <w:sz w:val="28"/>
          <w:szCs w:val="28"/>
          <w:highlight w:val="none"/>
        </w:rPr>
        <w:t xml:space="preserve">.报价文件封面格式： </w:t>
      </w:r>
    </w:p>
    <w:p>
      <w:pPr>
        <w:snapToGrid w:val="0"/>
        <w:spacing w:before="120" w:beforeLines="50" w:after="50"/>
        <w:jc w:val="center"/>
        <w:rPr>
          <w:rFonts w:ascii="宋体" w:hAnsi="宋体"/>
          <w:bCs/>
          <w:color w:val="auto"/>
          <w:sz w:val="28"/>
          <w:szCs w:val="28"/>
          <w:highlight w:val="none"/>
        </w:rPr>
      </w:pPr>
      <w:r>
        <w:rPr>
          <w:rFonts w:hint="eastAsia" w:ascii="宋体" w:hAnsi="宋体"/>
          <w:bCs/>
          <w:color w:val="auto"/>
          <w:sz w:val="28"/>
          <w:szCs w:val="28"/>
          <w:highlight w:val="none"/>
        </w:rPr>
        <w:t>报 价 文 件</w:t>
      </w:r>
    </w:p>
    <w:p>
      <w:pPr>
        <w:snapToGrid w:val="0"/>
        <w:spacing w:before="120" w:beforeLines="50" w:after="50"/>
        <w:jc w:val="center"/>
        <w:rPr>
          <w:rFonts w:ascii="宋体" w:hAnsi="宋体"/>
          <w:b/>
          <w:bCs/>
          <w:color w:val="auto"/>
          <w:sz w:val="28"/>
          <w:szCs w:val="28"/>
          <w:highlight w:val="none"/>
        </w:rPr>
      </w:pPr>
      <w:r>
        <w:rPr>
          <w:rFonts w:hint="eastAsia" w:ascii="宋体" w:hAnsi="宋体"/>
          <w:b/>
          <w:bCs/>
          <w:color w:val="auto"/>
          <w:sz w:val="28"/>
          <w:szCs w:val="28"/>
          <w:highlight w:val="none"/>
        </w:rPr>
        <w:t xml:space="preserve"> </w:t>
      </w:r>
    </w:p>
    <w:p>
      <w:pPr>
        <w:snapToGrid w:val="0"/>
        <w:spacing w:before="120" w:beforeLines="50" w:after="50" w:line="360" w:lineRule="auto"/>
        <w:jc w:val="center"/>
        <w:rPr>
          <w:rFonts w:ascii="宋体" w:hAnsi="宋体"/>
          <w:bCs/>
          <w:color w:val="auto"/>
          <w:sz w:val="28"/>
          <w:szCs w:val="28"/>
          <w:highlight w:val="none"/>
        </w:rPr>
      </w:pPr>
    </w:p>
    <w:p>
      <w:pPr>
        <w:snapToGrid w:val="0"/>
        <w:spacing w:before="120" w:beforeLines="50" w:after="50" w:line="360" w:lineRule="auto"/>
        <w:ind w:firstLine="1246" w:firstLineChars="445"/>
        <w:rPr>
          <w:rFonts w:ascii="宋体" w:hAnsi="宋体"/>
          <w:bCs/>
          <w:color w:val="auto"/>
          <w:sz w:val="28"/>
          <w:szCs w:val="28"/>
          <w:highlight w:val="none"/>
        </w:rPr>
      </w:pPr>
      <w:r>
        <w:rPr>
          <w:rFonts w:hint="eastAsia" w:ascii="宋体" w:hAnsi="宋体"/>
          <w:bCs/>
          <w:color w:val="auto"/>
          <w:sz w:val="28"/>
          <w:szCs w:val="28"/>
          <w:highlight w:val="none"/>
        </w:rPr>
        <w:t>项目名称：</w:t>
      </w:r>
    </w:p>
    <w:p>
      <w:pPr>
        <w:snapToGrid w:val="0"/>
        <w:spacing w:before="120" w:beforeLines="50" w:after="50" w:line="360" w:lineRule="auto"/>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 xml:space="preserve">     项目编号：</w:t>
      </w:r>
    </w:p>
    <w:p>
      <w:pPr>
        <w:pStyle w:val="14"/>
        <w:snapToGrid w:val="0"/>
        <w:spacing w:before="50" w:after="50" w:line="360" w:lineRule="auto"/>
        <w:ind w:firstLine="1164" w:firstLineChars="416"/>
        <w:rPr>
          <w:rFonts w:ascii="宋体" w:hAnsi="宋体"/>
          <w:bCs/>
          <w:color w:val="auto"/>
          <w:sz w:val="28"/>
          <w:szCs w:val="28"/>
          <w:highlight w:val="none"/>
        </w:rPr>
      </w:pPr>
    </w:p>
    <w:p>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投标人名称：</w:t>
      </w:r>
    </w:p>
    <w:p>
      <w:pPr>
        <w:pStyle w:val="14"/>
        <w:snapToGrid w:val="0"/>
        <w:spacing w:before="50" w:after="50" w:line="360" w:lineRule="auto"/>
        <w:ind w:firstLine="1164" w:firstLineChars="416"/>
        <w:rPr>
          <w:rFonts w:ascii="宋体" w:hAnsi="宋体"/>
          <w:bCs/>
          <w:color w:val="auto"/>
          <w:sz w:val="28"/>
          <w:szCs w:val="28"/>
          <w:highlight w:val="none"/>
        </w:rPr>
      </w:pPr>
      <w:r>
        <w:rPr>
          <w:rFonts w:hint="eastAsia" w:ascii="宋体" w:hAnsi="宋体"/>
          <w:bCs/>
          <w:color w:val="auto"/>
          <w:sz w:val="28"/>
          <w:szCs w:val="28"/>
          <w:highlight w:val="none"/>
        </w:rPr>
        <w:t>投标人地址：</w:t>
      </w:r>
    </w:p>
    <w:p>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w:t>
      </w:r>
    </w:p>
    <w:p>
      <w:pPr>
        <w:snapToGrid w:val="0"/>
        <w:spacing w:before="120" w:beforeLines="50" w:after="50" w:line="360" w:lineRule="auto"/>
        <w:jc w:val="center"/>
        <w:rPr>
          <w:rFonts w:ascii="宋体" w:hAnsi="宋体"/>
          <w:color w:val="auto"/>
          <w:sz w:val="28"/>
          <w:szCs w:val="28"/>
          <w:highlight w:val="none"/>
        </w:rPr>
      </w:pPr>
      <w:r>
        <w:rPr>
          <w:rFonts w:hint="eastAsia" w:ascii="宋体" w:hAnsi="宋体"/>
          <w:color w:val="auto"/>
          <w:sz w:val="28"/>
          <w:szCs w:val="28"/>
          <w:highlight w:val="none"/>
        </w:rPr>
        <w:t>年  月  日</w:t>
      </w:r>
    </w:p>
    <w:p>
      <w:pPr>
        <w:pStyle w:val="29"/>
        <w:snapToGrid w:val="0"/>
        <w:spacing w:beforeLines="0" w:afterLines="0" w:line="240" w:lineRule="auto"/>
        <w:rPr>
          <w:rFonts w:hAnsi="宋体"/>
          <w:color w:val="auto"/>
          <w:highlight w:val="none"/>
        </w:rPr>
      </w:pPr>
      <w:r>
        <w:rPr>
          <w:rFonts w:hint="eastAsia" w:hAnsi="宋体"/>
          <w:color w:val="auto"/>
          <w:highlight w:val="none"/>
        </w:rPr>
        <w:br w:type="page"/>
      </w:r>
      <w:r>
        <w:rPr>
          <w:rFonts w:hint="eastAsia" w:hAnsi="宋体"/>
          <w:color w:val="auto"/>
          <w:highlight w:val="none"/>
        </w:rPr>
        <w:t>1</w:t>
      </w:r>
      <w:r>
        <w:rPr>
          <w:rFonts w:hAnsi="宋体"/>
          <w:color w:val="auto"/>
          <w:highlight w:val="none"/>
        </w:rPr>
        <w:t>5</w:t>
      </w:r>
      <w:r>
        <w:rPr>
          <w:rFonts w:hint="eastAsia" w:hAnsi="宋体"/>
          <w:color w:val="auto"/>
          <w:highlight w:val="none"/>
        </w:rPr>
        <w:t>.开标一览表格式：</w:t>
      </w:r>
    </w:p>
    <w:p>
      <w:pPr>
        <w:pStyle w:val="29"/>
        <w:snapToGrid w:val="0"/>
        <w:spacing w:beforeLines="0" w:afterLines="0" w:line="240" w:lineRule="auto"/>
        <w:jc w:val="center"/>
        <w:rPr>
          <w:rFonts w:hAnsi="宋体"/>
          <w:b/>
          <w:color w:val="auto"/>
          <w:highlight w:val="none"/>
        </w:rPr>
      </w:pPr>
      <w:r>
        <w:rPr>
          <w:rFonts w:hint="eastAsia" w:hAnsi="宋体"/>
          <w:b/>
          <w:color w:val="auto"/>
          <w:highlight w:val="none"/>
        </w:rPr>
        <w:t>开标一览表</w:t>
      </w:r>
    </w:p>
    <w:p>
      <w:pPr>
        <w:snapToGrid w:val="0"/>
        <w:spacing w:before="120" w:beforeLines="50" w:after="50" w:line="480" w:lineRule="auto"/>
        <w:rPr>
          <w:rFonts w:ascii="宋体" w:hAnsi="宋体"/>
          <w:b/>
          <w:color w:val="auto"/>
          <w:sz w:val="24"/>
          <w:highlight w:val="none"/>
        </w:rPr>
      </w:pPr>
    </w:p>
    <w:p>
      <w:pPr>
        <w:snapToGrid w:val="0"/>
        <w:spacing w:before="120" w:beforeLines="50" w:after="50" w:line="480" w:lineRule="auto"/>
        <w:ind w:firstLine="588" w:firstLineChars="245"/>
        <w:rPr>
          <w:rFonts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120" w:beforeLines="50" w:after="50" w:line="480" w:lineRule="auto"/>
        <w:ind w:firstLine="480" w:firstLineChars="200"/>
        <w:rPr>
          <w:rFonts w:ascii="宋体" w:hAnsi="宋体"/>
          <w:b/>
          <w:color w:val="auto"/>
          <w:sz w:val="24"/>
          <w:highlight w:val="none"/>
        </w:rPr>
      </w:pPr>
      <w:r>
        <w:rPr>
          <w:rFonts w:hint="eastAsia" w:ascii="宋体" w:hAnsi="宋体"/>
          <w:color w:val="auto"/>
          <w:sz w:val="24"/>
          <w:highlight w:val="none"/>
        </w:rPr>
        <w:t>项目编号：</w:t>
      </w:r>
    </w:p>
    <w:tbl>
      <w:tblPr>
        <w:tblStyle w:val="5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728" w:type="dxa"/>
            <w:vAlign w:val="center"/>
          </w:tcPr>
          <w:p>
            <w:pPr>
              <w:pStyle w:val="29"/>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名称</w:t>
            </w:r>
          </w:p>
        </w:tc>
        <w:tc>
          <w:tcPr>
            <w:tcW w:w="5760" w:type="dxa"/>
            <w:vAlign w:val="center"/>
          </w:tcPr>
          <w:p>
            <w:pPr>
              <w:pStyle w:val="29"/>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内容</w:t>
            </w:r>
          </w:p>
        </w:tc>
        <w:tc>
          <w:tcPr>
            <w:tcW w:w="1620" w:type="dxa"/>
            <w:vAlign w:val="center"/>
          </w:tcPr>
          <w:p>
            <w:pPr>
              <w:pStyle w:val="29"/>
              <w:snapToGrid w:val="0"/>
              <w:spacing w:beforeLines="0" w:afterLines="0" w:line="240" w:lineRule="auto"/>
              <w:jc w:val="center"/>
              <w:rPr>
                <w:rFonts w:hAnsi="宋体"/>
                <w:b/>
                <w:color w:val="auto"/>
                <w:kern w:val="2"/>
                <w:highlight w:val="none"/>
              </w:rPr>
            </w:pPr>
            <w:r>
              <w:rPr>
                <w:rFonts w:hint="eastAsia" w:hAnsi="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trPr>
        <w:tc>
          <w:tcPr>
            <w:tcW w:w="1728" w:type="dxa"/>
            <w:vAlign w:val="center"/>
          </w:tcPr>
          <w:p>
            <w:pPr>
              <w:pStyle w:val="29"/>
              <w:snapToGrid w:val="0"/>
              <w:spacing w:beforeLines="0" w:afterLines="0" w:line="240" w:lineRule="auto"/>
              <w:jc w:val="center"/>
              <w:rPr>
                <w:rFonts w:hAnsi="宋体"/>
                <w:b/>
                <w:color w:val="auto"/>
                <w:kern w:val="2"/>
                <w:highlight w:val="none"/>
              </w:rPr>
            </w:pPr>
          </w:p>
          <w:p>
            <w:pPr>
              <w:pStyle w:val="29"/>
              <w:snapToGrid w:val="0"/>
              <w:spacing w:beforeLines="0" w:afterLines="0" w:line="240" w:lineRule="auto"/>
              <w:jc w:val="center"/>
              <w:rPr>
                <w:rFonts w:hAnsi="宋体"/>
                <w:color w:val="auto"/>
                <w:kern w:val="2"/>
                <w:highlight w:val="none"/>
              </w:rPr>
            </w:pPr>
            <w:r>
              <w:rPr>
                <w:rFonts w:hint="eastAsia" w:hAnsi="宋体"/>
                <w:color w:val="auto"/>
                <w:kern w:val="2"/>
                <w:highlight w:val="none"/>
              </w:rPr>
              <w:t>投标</w:t>
            </w:r>
            <w:r>
              <w:rPr>
                <w:rFonts w:hint="eastAsia" w:hAnsi="宋体"/>
                <w:b/>
                <w:bCs/>
                <w:color w:val="auto"/>
                <w:kern w:val="2"/>
                <w:highlight w:val="none"/>
              </w:rPr>
              <w:t>总</w:t>
            </w:r>
            <w:r>
              <w:rPr>
                <w:rFonts w:hint="eastAsia" w:hAnsi="宋体"/>
                <w:color w:val="auto"/>
                <w:kern w:val="2"/>
                <w:highlight w:val="none"/>
              </w:rPr>
              <w:t>报价</w:t>
            </w:r>
          </w:p>
          <w:p>
            <w:pPr>
              <w:pStyle w:val="29"/>
              <w:snapToGrid w:val="0"/>
              <w:spacing w:beforeLines="0" w:afterLines="0" w:line="240" w:lineRule="auto"/>
              <w:jc w:val="center"/>
              <w:rPr>
                <w:rFonts w:hAnsi="宋体"/>
                <w:b/>
                <w:color w:val="auto"/>
                <w:kern w:val="2"/>
                <w:highlight w:val="none"/>
              </w:rPr>
            </w:pPr>
          </w:p>
          <w:p>
            <w:pPr>
              <w:pStyle w:val="29"/>
              <w:snapToGrid w:val="0"/>
              <w:spacing w:beforeLines="0" w:afterLines="0" w:line="240" w:lineRule="auto"/>
              <w:jc w:val="center"/>
              <w:rPr>
                <w:rFonts w:hAnsi="宋体"/>
                <w:b/>
                <w:color w:val="auto"/>
                <w:kern w:val="2"/>
                <w:highlight w:val="none"/>
              </w:rPr>
            </w:pPr>
          </w:p>
          <w:p>
            <w:pPr>
              <w:pStyle w:val="29"/>
              <w:snapToGrid w:val="0"/>
              <w:spacing w:beforeLines="0" w:afterLines="0" w:line="240" w:lineRule="auto"/>
              <w:jc w:val="center"/>
              <w:rPr>
                <w:rFonts w:hAnsi="宋体"/>
                <w:b/>
                <w:color w:val="auto"/>
                <w:kern w:val="2"/>
                <w:highlight w:val="none"/>
              </w:rPr>
            </w:pPr>
          </w:p>
        </w:tc>
        <w:tc>
          <w:tcPr>
            <w:tcW w:w="5760" w:type="dxa"/>
            <w:vAlign w:val="center"/>
          </w:tcPr>
          <w:p>
            <w:pPr>
              <w:pStyle w:val="29"/>
              <w:snapToGrid w:val="0"/>
              <w:spacing w:beforeLines="0" w:afterLines="0" w:line="240" w:lineRule="auto"/>
              <w:rPr>
                <w:rFonts w:hAnsi="宋体"/>
                <w:color w:val="auto"/>
                <w:kern w:val="2"/>
                <w:highlight w:val="none"/>
              </w:rPr>
            </w:pPr>
          </w:p>
          <w:p>
            <w:pPr>
              <w:pStyle w:val="29"/>
              <w:snapToGrid w:val="0"/>
              <w:spacing w:beforeLines="0" w:afterLines="0" w:line="240" w:lineRule="auto"/>
              <w:ind w:left="240" w:hanging="240" w:hangingChars="100"/>
              <w:rPr>
                <w:rFonts w:hAnsi="宋体"/>
                <w:color w:val="auto"/>
                <w:kern w:val="2"/>
                <w:highlight w:val="none"/>
              </w:rPr>
            </w:pPr>
            <w:r>
              <w:rPr>
                <w:rFonts w:hint="eastAsia" w:hAnsi="宋体"/>
                <w:color w:val="auto"/>
                <w:kern w:val="2"/>
                <w:highlight w:val="none"/>
              </w:rPr>
              <w:t>大写：人民币</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万</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仟</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佰</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拾</w:t>
            </w:r>
          </w:p>
          <w:p>
            <w:pPr>
              <w:pStyle w:val="29"/>
              <w:snapToGrid w:val="0"/>
              <w:spacing w:beforeLines="0" w:afterLines="0" w:line="240" w:lineRule="auto"/>
              <w:ind w:left="210" w:leftChars="100" w:firstLine="480" w:firstLineChars="200"/>
              <w:rPr>
                <w:rFonts w:hAnsi="宋体"/>
                <w:color w:val="auto"/>
                <w:kern w:val="2"/>
                <w:highlight w:val="none"/>
              </w:rPr>
            </w:pP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元</w:t>
            </w:r>
            <w:r>
              <w:rPr>
                <w:rFonts w:hAnsi="宋体"/>
                <w:color w:val="auto"/>
                <w:kern w:val="2"/>
                <w:highlight w:val="none"/>
              </w:rPr>
              <w:t xml:space="preserve"> </w:t>
            </w:r>
            <w:r>
              <w:rPr>
                <w:rFonts w:hAnsi="宋体"/>
                <w:color w:val="auto"/>
                <w:kern w:val="2"/>
                <w:highlight w:val="none"/>
                <w:u w:val="single"/>
              </w:rPr>
              <w:t xml:space="preserve"> </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角</w:t>
            </w:r>
            <w:r>
              <w:rPr>
                <w:rFonts w:hint="eastAsia" w:hAnsi="宋体"/>
                <w:color w:val="auto"/>
                <w:kern w:val="2"/>
                <w:highlight w:val="none"/>
                <w:u w:val="single"/>
              </w:rPr>
              <w:t xml:space="preserve"> </w:t>
            </w:r>
            <w:r>
              <w:rPr>
                <w:rFonts w:hAnsi="宋体"/>
                <w:color w:val="auto"/>
                <w:kern w:val="2"/>
                <w:highlight w:val="none"/>
                <w:u w:val="single"/>
              </w:rPr>
              <w:t xml:space="preserve">   </w:t>
            </w:r>
            <w:r>
              <w:rPr>
                <w:rFonts w:hint="eastAsia" w:hAnsi="宋体"/>
                <w:color w:val="auto"/>
                <w:kern w:val="2"/>
                <w:highlight w:val="none"/>
              </w:rPr>
              <w:t>分整</w:t>
            </w:r>
          </w:p>
          <w:p>
            <w:pPr>
              <w:pStyle w:val="29"/>
              <w:snapToGrid w:val="0"/>
              <w:spacing w:beforeLines="0" w:afterLines="0" w:line="240" w:lineRule="auto"/>
              <w:rPr>
                <w:rFonts w:hAnsi="宋体"/>
                <w:color w:val="auto"/>
                <w:kern w:val="2"/>
                <w:highlight w:val="none"/>
              </w:rPr>
            </w:pPr>
          </w:p>
          <w:p>
            <w:pPr>
              <w:pStyle w:val="29"/>
              <w:snapToGrid w:val="0"/>
              <w:spacing w:beforeLines="0" w:afterLines="0" w:line="240" w:lineRule="auto"/>
              <w:rPr>
                <w:rFonts w:hAnsi="宋体"/>
                <w:color w:val="auto"/>
                <w:kern w:val="2"/>
                <w:highlight w:val="none"/>
              </w:rPr>
            </w:pPr>
            <w:r>
              <w:rPr>
                <w:rFonts w:hint="eastAsia" w:hAnsi="宋体"/>
                <w:color w:val="auto"/>
                <w:kern w:val="2"/>
                <w:highlight w:val="none"/>
              </w:rPr>
              <w:t>小写：</w:t>
            </w:r>
            <w:r>
              <w:rPr>
                <w:rFonts w:hint="eastAsia" w:hAnsi="宋体"/>
                <w:color w:val="auto"/>
                <w:kern w:val="2"/>
                <w:highlight w:val="none"/>
                <w:u w:val="single"/>
              </w:rPr>
              <w:t>￥_</w:t>
            </w:r>
            <w:r>
              <w:rPr>
                <w:rFonts w:hint="eastAsia" w:hAnsi="宋体"/>
                <w:color w:val="auto"/>
                <w:kern w:val="2"/>
                <w:highlight w:val="none"/>
              </w:rPr>
              <w:t>_______________________元整</w:t>
            </w:r>
          </w:p>
          <w:p>
            <w:pPr>
              <w:pStyle w:val="29"/>
              <w:snapToGrid w:val="0"/>
              <w:spacing w:beforeLines="0" w:afterLines="0" w:line="240" w:lineRule="auto"/>
              <w:rPr>
                <w:rFonts w:hAnsi="宋体"/>
                <w:b/>
                <w:color w:val="auto"/>
                <w:kern w:val="2"/>
                <w:highlight w:val="none"/>
              </w:rPr>
            </w:pPr>
          </w:p>
        </w:tc>
        <w:tc>
          <w:tcPr>
            <w:tcW w:w="1620" w:type="dxa"/>
          </w:tcPr>
          <w:p>
            <w:pPr>
              <w:pStyle w:val="29"/>
              <w:snapToGrid w:val="0"/>
              <w:spacing w:beforeLines="0" w:afterLines="0" w:line="240" w:lineRule="auto"/>
              <w:rPr>
                <w:rFonts w:hAnsi="宋体"/>
                <w:b/>
                <w:color w:val="auto"/>
                <w:kern w:val="2"/>
                <w:highlight w:val="none"/>
              </w:rPr>
            </w:pPr>
          </w:p>
        </w:tc>
      </w:tr>
    </w:tbl>
    <w:p>
      <w:pPr>
        <w:pStyle w:val="29"/>
        <w:snapToGrid w:val="0"/>
        <w:spacing w:beforeLines="0" w:afterLines="0" w:line="240" w:lineRule="auto"/>
        <w:rPr>
          <w:rFonts w:hAnsi="宋体"/>
          <w:b/>
          <w:color w:val="auto"/>
          <w:highlight w:val="none"/>
        </w:rPr>
      </w:pPr>
    </w:p>
    <w:p>
      <w:pPr>
        <w:snapToGrid w:val="0"/>
        <w:spacing w:before="50" w:after="120" w:afterLines="50" w:line="360" w:lineRule="auto"/>
        <w:jc w:val="left"/>
        <w:rPr>
          <w:rFonts w:ascii="宋体" w:hAnsi="宋体"/>
          <w:color w:val="auto"/>
          <w:spacing w:val="20"/>
          <w:highlight w:val="none"/>
        </w:rPr>
      </w:pPr>
      <w:r>
        <w:rPr>
          <w:rFonts w:hint="eastAsia" w:ascii="宋体" w:hAnsi="宋体"/>
          <w:b/>
          <w:color w:val="auto"/>
          <w:sz w:val="24"/>
          <w:szCs w:val="20"/>
          <w:highlight w:val="none"/>
        </w:rPr>
        <w:t>服务类：</w:t>
      </w:r>
      <w:r>
        <w:rPr>
          <w:rFonts w:hint="eastAsia" w:ascii="宋体" w:hAnsi="宋体"/>
          <w:color w:val="auto"/>
          <w:sz w:val="24"/>
          <w:szCs w:val="20"/>
          <w:highlight w:val="none"/>
        </w:rPr>
        <w:t>投标总报价包括员工工资、福利、奖金、补贴、社会保险费、及管理费、税金、政策性文件规定及合同包含的所有风险、责任等各项应有费用等一切费用。</w:t>
      </w:r>
    </w:p>
    <w:p>
      <w:pPr>
        <w:pStyle w:val="29"/>
        <w:snapToGrid w:val="0"/>
        <w:spacing w:beforeLines="0" w:afterLines="0" w:line="240" w:lineRule="auto"/>
        <w:rPr>
          <w:rFonts w:hAnsi="宋体"/>
          <w:color w:val="auto"/>
          <w:spacing w:val="20"/>
          <w:highlight w:val="none"/>
        </w:rPr>
      </w:pPr>
    </w:p>
    <w:p>
      <w:pPr>
        <w:pStyle w:val="29"/>
        <w:snapToGrid w:val="0"/>
        <w:spacing w:beforeLines="0" w:afterLines="0" w:line="240" w:lineRule="auto"/>
        <w:rPr>
          <w:rFonts w:hAnsi="宋体"/>
          <w:color w:val="auto"/>
          <w:spacing w:val="20"/>
          <w:highlight w:val="none"/>
        </w:rPr>
      </w:pPr>
    </w:p>
    <w:p>
      <w:pPr>
        <w:pStyle w:val="29"/>
        <w:snapToGrid w:val="0"/>
        <w:spacing w:beforeLines="0" w:afterLines="0" w:line="240" w:lineRule="auto"/>
        <w:rPr>
          <w:rFonts w:hAnsi="宋体"/>
          <w:b/>
          <w:color w:val="auto"/>
          <w:spacing w:val="20"/>
          <w:highlight w:val="none"/>
        </w:rPr>
      </w:pPr>
      <w:r>
        <w:rPr>
          <w:rFonts w:hint="eastAsia" w:hAnsi="宋体"/>
          <w:b/>
          <w:color w:val="auto"/>
          <w:spacing w:val="20"/>
          <w:highlight w:val="none"/>
        </w:rPr>
        <w:t xml:space="preserve">法定代表人或被授权人签字（或盖章）：        投标人（盖章）：  </w:t>
      </w:r>
    </w:p>
    <w:p>
      <w:pPr>
        <w:pStyle w:val="29"/>
        <w:snapToGrid w:val="0"/>
        <w:spacing w:beforeLines="0" w:afterLines="0" w:line="240" w:lineRule="auto"/>
        <w:rPr>
          <w:rFonts w:hAnsi="宋体"/>
          <w:b/>
          <w:color w:val="auto"/>
          <w:highlight w:val="none"/>
        </w:rPr>
      </w:pPr>
    </w:p>
    <w:p>
      <w:pPr>
        <w:pStyle w:val="29"/>
        <w:snapToGrid w:val="0"/>
        <w:spacing w:beforeLines="0" w:afterLines="0" w:line="240" w:lineRule="auto"/>
        <w:rPr>
          <w:rFonts w:hAnsi="宋体"/>
          <w:b/>
          <w:color w:val="auto"/>
          <w:highlight w:val="none"/>
        </w:rPr>
      </w:pPr>
    </w:p>
    <w:p>
      <w:pPr>
        <w:pStyle w:val="29"/>
        <w:snapToGrid w:val="0"/>
        <w:spacing w:beforeLines="0" w:afterLines="0" w:line="240" w:lineRule="auto"/>
        <w:rPr>
          <w:rFonts w:hAnsi="宋体"/>
          <w:b/>
          <w:color w:val="auto"/>
          <w:highlight w:val="none"/>
        </w:rPr>
      </w:pPr>
      <w:r>
        <w:rPr>
          <w:rFonts w:hint="eastAsia" w:hAnsi="宋体"/>
          <w:b/>
          <w:color w:val="auto"/>
          <w:highlight w:val="none"/>
        </w:rPr>
        <w:t>日期:_____年___月___日</w:t>
      </w: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p>
    <w:p>
      <w:pPr>
        <w:pStyle w:val="29"/>
        <w:snapToGrid w:val="0"/>
        <w:spacing w:beforeLines="0" w:afterLines="0" w:line="240" w:lineRule="auto"/>
        <w:rPr>
          <w:rFonts w:hAnsi="宋体"/>
          <w:color w:val="auto"/>
          <w:highlight w:val="none"/>
        </w:rPr>
      </w:pPr>
      <w:r>
        <w:rPr>
          <w:rFonts w:hint="eastAsia" w:hAnsi="宋体"/>
          <w:color w:val="auto"/>
          <w:highlight w:val="none"/>
        </w:rPr>
        <w:t>1</w:t>
      </w:r>
      <w:r>
        <w:rPr>
          <w:rFonts w:hAnsi="宋体"/>
          <w:color w:val="auto"/>
          <w:highlight w:val="none"/>
        </w:rPr>
        <w:t>6</w:t>
      </w:r>
      <w:r>
        <w:rPr>
          <w:rFonts w:hint="eastAsia" w:hAnsi="宋体"/>
          <w:color w:val="auto"/>
          <w:highlight w:val="none"/>
        </w:rPr>
        <w:t xml:space="preserve">.报价明细表格式：       </w:t>
      </w:r>
    </w:p>
    <w:p>
      <w:pPr>
        <w:pStyle w:val="29"/>
        <w:snapToGrid w:val="0"/>
        <w:spacing w:beforeLines="0" w:afterLines="0" w:line="240" w:lineRule="auto"/>
        <w:jc w:val="center"/>
        <w:rPr>
          <w:rFonts w:hAnsi="宋体"/>
          <w:b/>
          <w:color w:val="auto"/>
          <w:highlight w:val="none"/>
        </w:rPr>
      </w:pPr>
      <w:r>
        <w:rPr>
          <w:rFonts w:hint="eastAsia" w:hAnsi="宋体"/>
          <w:b/>
          <w:color w:val="auto"/>
          <w:highlight w:val="none"/>
        </w:rPr>
        <w:t>报价明细表</w:t>
      </w:r>
    </w:p>
    <w:p>
      <w:pPr>
        <w:pStyle w:val="29"/>
        <w:snapToGrid w:val="0"/>
        <w:spacing w:beforeLines="0" w:afterLines="0" w:line="240" w:lineRule="auto"/>
        <w:jc w:val="center"/>
        <w:rPr>
          <w:rFonts w:hAnsi="宋体"/>
          <w:b/>
          <w:color w:val="auto"/>
          <w:highlight w:val="none"/>
        </w:rPr>
      </w:pPr>
      <w:r>
        <w:rPr>
          <w:rFonts w:hint="eastAsia" w:hAnsi="宋体"/>
          <w:b/>
          <w:color w:val="auto"/>
          <w:highlight w:val="none"/>
        </w:rPr>
        <w:t>（服务类）</w:t>
      </w:r>
    </w:p>
    <w:p>
      <w:pPr>
        <w:snapToGrid w:val="0"/>
        <w:spacing w:before="120" w:beforeLines="50" w:after="50" w:line="360" w:lineRule="auto"/>
        <w:rPr>
          <w:rFonts w:ascii="宋体" w:hAnsi="宋体"/>
          <w:bCs/>
          <w:color w:val="auto"/>
          <w:sz w:val="24"/>
          <w:szCs w:val="20"/>
          <w:highlight w:val="none"/>
        </w:rPr>
      </w:pPr>
      <w:r>
        <w:rPr>
          <w:rFonts w:hint="eastAsia" w:ascii="宋体" w:hAnsi="宋体"/>
          <w:bCs/>
          <w:color w:val="auto"/>
          <w:sz w:val="24"/>
          <w:highlight w:val="none"/>
        </w:rPr>
        <w:t>项目名称：</w:t>
      </w:r>
    </w:p>
    <w:p>
      <w:pPr>
        <w:snapToGrid w:val="0"/>
        <w:spacing w:before="120" w:beforeLines="50" w:after="50" w:line="360" w:lineRule="auto"/>
        <w:rPr>
          <w:rFonts w:ascii="宋体" w:hAnsi="宋体"/>
          <w:bCs/>
          <w:color w:val="auto"/>
          <w:sz w:val="24"/>
          <w:highlight w:val="none"/>
        </w:rPr>
      </w:pPr>
      <w:r>
        <w:rPr>
          <w:rFonts w:hint="eastAsia" w:ascii="宋体" w:hAnsi="宋体"/>
          <w:color w:val="auto"/>
          <w:sz w:val="24"/>
          <w:highlight w:val="none"/>
        </w:rPr>
        <w:t>项目编号：</w:t>
      </w:r>
    </w:p>
    <w:tbl>
      <w:tblPr>
        <w:tblStyle w:val="50"/>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1701"/>
        <w:gridCol w:w="1598"/>
        <w:gridCol w:w="851"/>
        <w:gridCol w:w="1134"/>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93" w:type="dxa"/>
            <w:vAlign w:val="center"/>
          </w:tcPr>
          <w:p>
            <w:pPr>
              <w:jc w:val="center"/>
              <w:rPr>
                <w:rFonts w:ascii="宋体" w:hAnsi="宋体"/>
                <w:b/>
                <w:color w:val="auto"/>
                <w:sz w:val="24"/>
                <w:highlight w:val="none"/>
              </w:rPr>
            </w:pPr>
            <w:r>
              <w:rPr>
                <w:rFonts w:hint="eastAsia" w:ascii="宋体" w:hAnsi="宋体"/>
                <w:b/>
                <w:color w:val="auto"/>
                <w:sz w:val="24"/>
                <w:highlight w:val="none"/>
              </w:rPr>
              <w:t>序号</w:t>
            </w:r>
          </w:p>
        </w:tc>
        <w:tc>
          <w:tcPr>
            <w:tcW w:w="1417" w:type="dxa"/>
            <w:vAlign w:val="center"/>
          </w:tcPr>
          <w:p>
            <w:pPr>
              <w:jc w:val="center"/>
              <w:rPr>
                <w:rFonts w:ascii="宋体" w:hAnsi="宋体"/>
                <w:b/>
                <w:color w:val="auto"/>
                <w:sz w:val="24"/>
                <w:highlight w:val="none"/>
              </w:rPr>
            </w:pPr>
            <w:r>
              <w:rPr>
                <w:rFonts w:hint="eastAsia" w:ascii="宋体" w:hAnsi="宋体"/>
                <w:b/>
                <w:color w:val="auto"/>
                <w:sz w:val="24"/>
                <w:highlight w:val="none"/>
              </w:rPr>
              <w:t>服务内容</w:t>
            </w:r>
          </w:p>
        </w:tc>
        <w:tc>
          <w:tcPr>
            <w:tcW w:w="1701" w:type="dxa"/>
            <w:vAlign w:val="center"/>
          </w:tcPr>
          <w:p>
            <w:pPr>
              <w:jc w:val="center"/>
              <w:rPr>
                <w:rFonts w:ascii="宋体" w:hAnsi="宋体"/>
                <w:b/>
                <w:color w:val="auto"/>
                <w:sz w:val="24"/>
                <w:highlight w:val="none"/>
              </w:rPr>
            </w:pPr>
            <w:r>
              <w:rPr>
                <w:rFonts w:hint="eastAsia" w:ascii="宋体" w:hAnsi="宋体"/>
                <w:b/>
                <w:color w:val="auto"/>
                <w:sz w:val="24"/>
                <w:highlight w:val="none"/>
              </w:rPr>
              <w:t>承接企业名称</w:t>
            </w:r>
          </w:p>
        </w:tc>
        <w:tc>
          <w:tcPr>
            <w:tcW w:w="1598" w:type="dxa"/>
            <w:vAlign w:val="center"/>
          </w:tcPr>
          <w:p>
            <w:pPr>
              <w:jc w:val="center"/>
              <w:rPr>
                <w:rFonts w:ascii="宋体" w:hAnsi="宋体"/>
                <w:b/>
                <w:color w:val="auto"/>
                <w:sz w:val="24"/>
                <w:highlight w:val="none"/>
              </w:rPr>
            </w:pPr>
            <w:r>
              <w:rPr>
                <w:rFonts w:hint="eastAsia" w:ascii="宋体" w:hAnsi="宋体"/>
                <w:b/>
                <w:color w:val="auto"/>
                <w:sz w:val="24"/>
                <w:highlight w:val="none"/>
              </w:rPr>
              <w:t>是否是中</w:t>
            </w:r>
          </w:p>
          <w:p>
            <w:pPr>
              <w:jc w:val="center"/>
              <w:rPr>
                <w:rFonts w:ascii="宋体" w:hAnsi="宋体"/>
                <w:b/>
                <w:color w:val="auto"/>
                <w:sz w:val="24"/>
                <w:highlight w:val="none"/>
              </w:rPr>
            </w:pPr>
            <w:r>
              <w:rPr>
                <w:rFonts w:hint="eastAsia" w:ascii="宋体" w:hAnsi="宋体"/>
                <w:b/>
                <w:color w:val="auto"/>
                <w:sz w:val="24"/>
                <w:highlight w:val="none"/>
              </w:rPr>
              <w:t>小企业</w:t>
            </w:r>
          </w:p>
        </w:tc>
        <w:tc>
          <w:tcPr>
            <w:tcW w:w="851" w:type="dxa"/>
            <w:vAlign w:val="center"/>
          </w:tcPr>
          <w:p>
            <w:pPr>
              <w:jc w:val="center"/>
              <w:rPr>
                <w:rFonts w:ascii="宋体" w:hAnsi="宋体"/>
                <w:b/>
                <w:color w:val="auto"/>
                <w:sz w:val="24"/>
                <w:highlight w:val="none"/>
              </w:rPr>
            </w:pPr>
            <w:r>
              <w:rPr>
                <w:rFonts w:hint="eastAsia" w:ascii="宋体" w:hAnsi="宋体"/>
                <w:b/>
                <w:color w:val="auto"/>
                <w:sz w:val="24"/>
                <w:highlight w:val="none"/>
              </w:rPr>
              <w:t>数量</w:t>
            </w:r>
          </w:p>
        </w:tc>
        <w:tc>
          <w:tcPr>
            <w:tcW w:w="1134" w:type="dxa"/>
            <w:vAlign w:val="center"/>
          </w:tcPr>
          <w:p>
            <w:pPr>
              <w:jc w:val="center"/>
              <w:rPr>
                <w:rFonts w:ascii="宋体" w:hAnsi="宋体"/>
                <w:b/>
                <w:color w:val="auto"/>
                <w:sz w:val="24"/>
                <w:highlight w:val="none"/>
              </w:rPr>
            </w:pPr>
            <w:r>
              <w:rPr>
                <w:rFonts w:hint="eastAsia" w:ascii="宋体" w:hAnsi="宋体"/>
                <w:b/>
                <w:color w:val="auto"/>
                <w:sz w:val="24"/>
                <w:highlight w:val="none"/>
              </w:rPr>
              <w:t>单位</w:t>
            </w:r>
          </w:p>
        </w:tc>
        <w:tc>
          <w:tcPr>
            <w:tcW w:w="850" w:type="dxa"/>
            <w:vAlign w:val="center"/>
          </w:tcPr>
          <w:p>
            <w:pPr>
              <w:jc w:val="center"/>
              <w:rPr>
                <w:rFonts w:ascii="宋体" w:hAnsi="宋体"/>
                <w:b/>
                <w:color w:val="auto"/>
                <w:sz w:val="24"/>
                <w:highlight w:val="none"/>
              </w:rPr>
            </w:pPr>
            <w:r>
              <w:rPr>
                <w:rFonts w:hint="eastAsia" w:ascii="宋体" w:hAnsi="宋体"/>
                <w:b/>
                <w:color w:val="auto"/>
                <w:sz w:val="24"/>
                <w:highlight w:val="none"/>
              </w:rPr>
              <w:t>单价</w:t>
            </w:r>
          </w:p>
        </w:tc>
        <w:tc>
          <w:tcPr>
            <w:tcW w:w="993" w:type="dxa"/>
            <w:vAlign w:val="center"/>
          </w:tcPr>
          <w:p>
            <w:pPr>
              <w:jc w:val="center"/>
              <w:rPr>
                <w:rFonts w:ascii="宋体" w:hAnsi="宋体"/>
                <w:b/>
                <w:color w:val="auto"/>
                <w:sz w:val="24"/>
                <w:highlight w:val="none"/>
              </w:rPr>
            </w:pPr>
            <w:r>
              <w:rPr>
                <w:rFonts w:hint="eastAsia" w:ascii="宋体" w:hAnsi="宋体"/>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3" w:type="dxa"/>
            <w:vAlign w:val="center"/>
          </w:tcPr>
          <w:p>
            <w:pPr>
              <w:spacing w:line="480" w:lineRule="auto"/>
              <w:jc w:val="center"/>
              <w:rPr>
                <w:rFonts w:ascii="宋体" w:hAnsi="宋体"/>
                <w:b/>
                <w:color w:val="auto"/>
                <w:sz w:val="24"/>
                <w:highlight w:val="none"/>
              </w:rPr>
            </w:pPr>
          </w:p>
        </w:tc>
        <w:tc>
          <w:tcPr>
            <w:tcW w:w="1417" w:type="dxa"/>
          </w:tcPr>
          <w:p>
            <w:pPr>
              <w:spacing w:line="480" w:lineRule="auto"/>
              <w:jc w:val="center"/>
              <w:rPr>
                <w:rFonts w:ascii="宋体" w:hAnsi="宋体"/>
                <w:color w:val="auto"/>
                <w:sz w:val="24"/>
                <w:highlight w:val="none"/>
              </w:rPr>
            </w:pPr>
          </w:p>
        </w:tc>
        <w:tc>
          <w:tcPr>
            <w:tcW w:w="1701" w:type="dxa"/>
            <w:vAlign w:val="center"/>
          </w:tcPr>
          <w:p>
            <w:pPr>
              <w:spacing w:line="480" w:lineRule="auto"/>
              <w:jc w:val="center"/>
              <w:rPr>
                <w:rFonts w:ascii="宋体" w:hAnsi="宋体"/>
                <w:b/>
                <w:color w:val="auto"/>
                <w:sz w:val="24"/>
                <w:highlight w:val="none"/>
              </w:rPr>
            </w:pPr>
          </w:p>
        </w:tc>
        <w:tc>
          <w:tcPr>
            <w:tcW w:w="1598" w:type="dxa"/>
            <w:vAlign w:val="center"/>
          </w:tcPr>
          <w:p>
            <w:pPr>
              <w:spacing w:line="480" w:lineRule="auto"/>
              <w:jc w:val="center"/>
              <w:rPr>
                <w:rFonts w:ascii="宋体" w:hAnsi="宋体"/>
                <w:b/>
                <w:color w:val="auto"/>
                <w:sz w:val="24"/>
                <w:highlight w:val="none"/>
              </w:rPr>
            </w:pPr>
          </w:p>
        </w:tc>
        <w:tc>
          <w:tcPr>
            <w:tcW w:w="851" w:type="dxa"/>
            <w:vAlign w:val="center"/>
          </w:tcPr>
          <w:p>
            <w:pPr>
              <w:spacing w:line="480" w:lineRule="auto"/>
              <w:jc w:val="center"/>
              <w:rPr>
                <w:rFonts w:ascii="宋体" w:hAnsi="宋体"/>
                <w:b/>
                <w:color w:val="auto"/>
                <w:sz w:val="24"/>
                <w:highlight w:val="none"/>
              </w:rPr>
            </w:pPr>
          </w:p>
        </w:tc>
        <w:tc>
          <w:tcPr>
            <w:tcW w:w="1134" w:type="dxa"/>
            <w:vAlign w:val="center"/>
          </w:tcPr>
          <w:p>
            <w:pPr>
              <w:spacing w:line="480" w:lineRule="auto"/>
              <w:jc w:val="center"/>
              <w:rPr>
                <w:rFonts w:ascii="宋体" w:hAnsi="宋体"/>
                <w:b/>
                <w:color w:val="auto"/>
                <w:sz w:val="24"/>
                <w:highlight w:val="none"/>
              </w:rPr>
            </w:pPr>
          </w:p>
        </w:tc>
        <w:tc>
          <w:tcPr>
            <w:tcW w:w="850" w:type="dxa"/>
            <w:vAlign w:val="center"/>
          </w:tcPr>
          <w:p>
            <w:pPr>
              <w:spacing w:line="480" w:lineRule="auto"/>
              <w:jc w:val="center"/>
              <w:rPr>
                <w:rFonts w:ascii="宋体" w:hAnsi="宋体"/>
                <w:b/>
                <w:color w:val="auto"/>
                <w:sz w:val="24"/>
                <w:highlight w:val="none"/>
              </w:rPr>
            </w:pPr>
          </w:p>
        </w:tc>
        <w:tc>
          <w:tcPr>
            <w:tcW w:w="993" w:type="dxa"/>
            <w:vAlign w:val="center"/>
          </w:tcPr>
          <w:p>
            <w:pP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3" w:type="dxa"/>
            <w:vAlign w:val="center"/>
          </w:tcPr>
          <w:p>
            <w:pPr>
              <w:spacing w:line="480" w:lineRule="auto"/>
              <w:jc w:val="center"/>
              <w:rPr>
                <w:rFonts w:ascii="宋体" w:hAnsi="宋体"/>
                <w:b/>
                <w:color w:val="auto"/>
                <w:sz w:val="24"/>
                <w:highlight w:val="none"/>
              </w:rPr>
            </w:pPr>
          </w:p>
        </w:tc>
        <w:tc>
          <w:tcPr>
            <w:tcW w:w="1417" w:type="dxa"/>
          </w:tcPr>
          <w:p>
            <w:pPr>
              <w:spacing w:line="480" w:lineRule="auto"/>
              <w:jc w:val="center"/>
              <w:rPr>
                <w:rFonts w:ascii="宋体" w:hAnsi="宋体"/>
                <w:color w:val="auto"/>
                <w:sz w:val="24"/>
                <w:highlight w:val="none"/>
              </w:rPr>
            </w:pPr>
          </w:p>
        </w:tc>
        <w:tc>
          <w:tcPr>
            <w:tcW w:w="1701" w:type="dxa"/>
            <w:vAlign w:val="center"/>
          </w:tcPr>
          <w:p>
            <w:pPr>
              <w:spacing w:line="480" w:lineRule="auto"/>
              <w:jc w:val="center"/>
              <w:rPr>
                <w:rFonts w:ascii="宋体" w:hAnsi="宋体"/>
                <w:b/>
                <w:color w:val="auto"/>
                <w:sz w:val="24"/>
                <w:highlight w:val="none"/>
              </w:rPr>
            </w:pPr>
          </w:p>
        </w:tc>
        <w:tc>
          <w:tcPr>
            <w:tcW w:w="1598" w:type="dxa"/>
            <w:vAlign w:val="center"/>
          </w:tcPr>
          <w:p>
            <w:pPr>
              <w:spacing w:line="480" w:lineRule="auto"/>
              <w:jc w:val="center"/>
              <w:rPr>
                <w:rFonts w:ascii="宋体" w:hAnsi="宋体"/>
                <w:color w:val="auto"/>
                <w:highlight w:val="none"/>
              </w:rPr>
            </w:pPr>
          </w:p>
        </w:tc>
        <w:tc>
          <w:tcPr>
            <w:tcW w:w="851" w:type="dxa"/>
            <w:vAlign w:val="center"/>
          </w:tcPr>
          <w:p>
            <w:pPr>
              <w:spacing w:line="480" w:lineRule="auto"/>
              <w:jc w:val="center"/>
              <w:rPr>
                <w:rFonts w:ascii="宋体" w:hAnsi="宋体"/>
                <w:color w:val="auto"/>
                <w:highlight w:val="none"/>
              </w:rPr>
            </w:pPr>
          </w:p>
        </w:tc>
        <w:tc>
          <w:tcPr>
            <w:tcW w:w="1134" w:type="dxa"/>
            <w:vAlign w:val="center"/>
          </w:tcPr>
          <w:p>
            <w:pPr>
              <w:spacing w:line="480" w:lineRule="auto"/>
              <w:jc w:val="center"/>
              <w:rPr>
                <w:rFonts w:ascii="宋体" w:hAnsi="宋体"/>
                <w:b/>
                <w:color w:val="auto"/>
                <w:sz w:val="24"/>
                <w:highlight w:val="none"/>
              </w:rPr>
            </w:pPr>
          </w:p>
        </w:tc>
        <w:tc>
          <w:tcPr>
            <w:tcW w:w="850" w:type="dxa"/>
            <w:vAlign w:val="center"/>
          </w:tcPr>
          <w:p>
            <w:pPr>
              <w:spacing w:line="480" w:lineRule="auto"/>
              <w:jc w:val="center"/>
              <w:rPr>
                <w:rFonts w:ascii="宋体" w:hAnsi="宋体"/>
                <w:b/>
                <w:color w:val="auto"/>
                <w:sz w:val="24"/>
                <w:highlight w:val="none"/>
              </w:rPr>
            </w:pPr>
          </w:p>
        </w:tc>
        <w:tc>
          <w:tcPr>
            <w:tcW w:w="993" w:type="dxa"/>
            <w:vAlign w:val="center"/>
          </w:tcPr>
          <w:p>
            <w:pP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3" w:type="dxa"/>
            <w:vAlign w:val="center"/>
          </w:tcPr>
          <w:p>
            <w:pPr>
              <w:spacing w:line="480" w:lineRule="auto"/>
              <w:jc w:val="center"/>
              <w:rPr>
                <w:rFonts w:ascii="宋体" w:hAnsi="宋体"/>
                <w:b/>
                <w:color w:val="auto"/>
                <w:sz w:val="24"/>
                <w:highlight w:val="none"/>
              </w:rPr>
            </w:pPr>
          </w:p>
        </w:tc>
        <w:tc>
          <w:tcPr>
            <w:tcW w:w="1417" w:type="dxa"/>
          </w:tcPr>
          <w:p>
            <w:pPr>
              <w:spacing w:line="480" w:lineRule="auto"/>
              <w:jc w:val="center"/>
              <w:rPr>
                <w:rFonts w:ascii="宋体" w:hAnsi="宋体"/>
                <w:color w:val="auto"/>
                <w:sz w:val="24"/>
                <w:highlight w:val="none"/>
              </w:rPr>
            </w:pPr>
          </w:p>
        </w:tc>
        <w:tc>
          <w:tcPr>
            <w:tcW w:w="1701" w:type="dxa"/>
            <w:vAlign w:val="center"/>
          </w:tcPr>
          <w:p>
            <w:pPr>
              <w:spacing w:line="480" w:lineRule="auto"/>
              <w:jc w:val="center"/>
              <w:rPr>
                <w:rFonts w:ascii="宋体" w:hAnsi="宋体"/>
                <w:b/>
                <w:color w:val="auto"/>
                <w:sz w:val="24"/>
                <w:highlight w:val="none"/>
              </w:rPr>
            </w:pPr>
          </w:p>
        </w:tc>
        <w:tc>
          <w:tcPr>
            <w:tcW w:w="1598" w:type="dxa"/>
            <w:vAlign w:val="center"/>
          </w:tcPr>
          <w:p>
            <w:pPr>
              <w:spacing w:line="480" w:lineRule="auto"/>
              <w:jc w:val="center"/>
              <w:rPr>
                <w:rFonts w:ascii="宋体" w:hAnsi="宋体"/>
                <w:color w:val="auto"/>
                <w:highlight w:val="none"/>
              </w:rPr>
            </w:pPr>
          </w:p>
        </w:tc>
        <w:tc>
          <w:tcPr>
            <w:tcW w:w="851" w:type="dxa"/>
            <w:vAlign w:val="center"/>
          </w:tcPr>
          <w:p>
            <w:pPr>
              <w:spacing w:line="480" w:lineRule="auto"/>
              <w:jc w:val="center"/>
              <w:rPr>
                <w:rFonts w:ascii="宋体" w:hAnsi="宋体"/>
                <w:color w:val="auto"/>
                <w:highlight w:val="none"/>
              </w:rPr>
            </w:pPr>
          </w:p>
        </w:tc>
        <w:tc>
          <w:tcPr>
            <w:tcW w:w="1134" w:type="dxa"/>
            <w:vAlign w:val="center"/>
          </w:tcPr>
          <w:p>
            <w:pPr>
              <w:spacing w:line="480" w:lineRule="auto"/>
              <w:jc w:val="center"/>
              <w:rPr>
                <w:rFonts w:ascii="宋体" w:hAnsi="宋体"/>
                <w:b/>
                <w:color w:val="auto"/>
                <w:sz w:val="24"/>
                <w:highlight w:val="none"/>
              </w:rPr>
            </w:pPr>
          </w:p>
        </w:tc>
        <w:tc>
          <w:tcPr>
            <w:tcW w:w="850" w:type="dxa"/>
            <w:vAlign w:val="center"/>
          </w:tcPr>
          <w:p>
            <w:pPr>
              <w:spacing w:line="480" w:lineRule="auto"/>
              <w:jc w:val="center"/>
              <w:rPr>
                <w:rFonts w:ascii="宋体" w:hAnsi="宋体"/>
                <w:b/>
                <w:color w:val="auto"/>
                <w:sz w:val="24"/>
                <w:highlight w:val="none"/>
              </w:rPr>
            </w:pPr>
          </w:p>
        </w:tc>
        <w:tc>
          <w:tcPr>
            <w:tcW w:w="993" w:type="dxa"/>
            <w:vAlign w:val="center"/>
          </w:tcPr>
          <w:p>
            <w:pP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3" w:type="dxa"/>
            <w:vAlign w:val="center"/>
          </w:tcPr>
          <w:p>
            <w:pPr>
              <w:spacing w:line="480" w:lineRule="auto"/>
              <w:jc w:val="center"/>
              <w:rPr>
                <w:rFonts w:ascii="宋体" w:hAnsi="宋体"/>
                <w:b/>
                <w:color w:val="auto"/>
                <w:sz w:val="24"/>
                <w:highlight w:val="none"/>
              </w:rPr>
            </w:pPr>
          </w:p>
        </w:tc>
        <w:tc>
          <w:tcPr>
            <w:tcW w:w="1417" w:type="dxa"/>
          </w:tcPr>
          <w:p>
            <w:pPr>
              <w:spacing w:line="480" w:lineRule="auto"/>
              <w:jc w:val="center"/>
              <w:rPr>
                <w:rFonts w:ascii="宋体" w:hAnsi="宋体"/>
                <w:color w:val="auto"/>
                <w:sz w:val="24"/>
                <w:highlight w:val="none"/>
              </w:rPr>
            </w:pPr>
          </w:p>
        </w:tc>
        <w:tc>
          <w:tcPr>
            <w:tcW w:w="1701" w:type="dxa"/>
            <w:vAlign w:val="center"/>
          </w:tcPr>
          <w:p>
            <w:pPr>
              <w:spacing w:line="480" w:lineRule="auto"/>
              <w:jc w:val="center"/>
              <w:rPr>
                <w:rFonts w:ascii="宋体" w:hAnsi="宋体"/>
                <w:b/>
                <w:color w:val="auto"/>
                <w:sz w:val="24"/>
                <w:highlight w:val="none"/>
              </w:rPr>
            </w:pPr>
          </w:p>
        </w:tc>
        <w:tc>
          <w:tcPr>
            <w:tcW w:w="1598" w:type="dxa"/>
            <w:vAlign w:val="center"/>
          </w:tcPr>
          <w:p>
            <w:pPr>
              <w:spacing w:line="480" w:lineRule="auto"/>
              <w:jc w:val="center"/>
              <w:rPr>
                <w:rFonts w:ascii="宋体" w:hAnsi="宋体"/>
                <w:color w:val="auto"/>
                <w:highlight w:val="none"/>
              </w:rPr>
            </w:pPr>
          </w:p>
        </w:tc>
        <w:tc>
          <w:tcPr>
            <w:tcW w:w="851" w:type="dxa"/>
            <w:vAlign w:val="center"/>
          </w:tcPr>
          <w:p>
            <w:pPr>
              <w:spacing w:line="480" w:lineRule="auto"/>
              <w:jc w:val="center"/>
              <w:rPr>
                <w:rFonts w:ascii="宋体" w:hAnsi="宋体"/>
                <w:color w:val="auto"/>
                <w:highlight w:val="none"/>
              </w:rPr>
            </w:pPr>
          </w:p>
        </w:tc>
        <w:tc>
          <w:tcPr>
            <w:tcW w:w="1134" w:type="dxa"/>
            <w:vAlign w:val="center"/>
          </w:tcPr>
          <w:p>
            <w:pPr>
              <w:spacing w:line="480" w:lineRule="auto"/>
              <w:jc w:val="center"/>
              <w:rPr>
                <w:rFonts w:ascii="宋体" w:hAnsi="宋体"/>
                <w:b/>
                <w:color w:val="auto"/>
                <w:sz w:val="24"/>
                <w:highlight w:val="none"/>
              </w:rPr>
            </w:pPr>
          </w:p>
        </w:tc>
        <w:tc>
          <w:tcPr>
            <w:tcW w:w="850" w:type="dxa"/>
            <w:vAlign w:val="center"/>
          </w:tcPr>
          <w:p>
            <w:pPr>
              <w:spacing w:line="480" w:lineRule="auto"/>
              <w:jc w:val="center"/>
              <w:rPr>
                <w:rFonts w:ascii="宋体" w:hAnsi="宋体"/>
                <w:b/>
                <w:color w:val="auto"/>
                <w:sz w:val="24"/>
                <w:highlight w:val="none"/>
              </w:rPr>
            </w:pPr>
          </w:p>
        </w:tc>
        <w:tc>
          <w:tcPr>
            <w:tcW w:w="993" w:type="dxa"/>
            <w:vAlign w:val="center"/>
          </w:tcPr>
          <w:p>
            <w:pP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3" w:type="dxa"/>
            <w:vAlign w:val="center"/>
          </w:tcPr>
          <w:p>
            <w:pPr>
              <w:spacing w:line="480" w:lineRule="auto"/>
              <w:jc w:val="center"/>
              <w:rPr>
                <w:rFonts w:ascii="宋体" w:hAnsi="宋体"/>
                <w:b/>
                <w:color w:val="auto"/>
                <w:sz w:val="24"/>
                <w:highlight w:val="none"/>
              </w:rPr>
            </w:pPr>
          </w:p>
        </w:tc>
        <w:tc>
          <w:tcPr>
            <w:tcW w:w="1417" w:type="dxa"/>
          </w:tcPr>
          <w:p>
            <w:pPr>
              <w:spacing w:line="480" w:lineRule="auto"/>
              <w:jc w:val="center"/>
              <w:rPr>
                <w:rFonts w:ascii="宋体" w:hAnsi="宋体"/>
                <w:color w:val="auto"/>
                <w:sz w:val="24"/>
                <w:highlight w:val="none"/>
              </w:rPr>
            </w:pPr>
          </w:p>
        </w:tc>
        <w:tc>
          <w:tcPr>
            <w:tcW w:w="1701" w:type="dxa"/>
            <w:vAlign w:val="center"/>
          </w:tcPr>
          <w:p>
            <w:pPr>
              <w:spacing w:line="480" w:lineRule="auto"/>
              <w:jc w:val="center"/>
              <w:rPr>
                <w:rFonts w:ascii="宋体" w:hAnsi="宋体"/>
                <w:b/>
                <w:color w:val="auto"/>
                <w:sz w:val="24"/>
                <w:highlight w:val="none"/>
              </w:rPr>
            </w:pPr>
          </w:p>
        </w:tc>
        <w:tc>
          <w:tcPr>
            <w:tcW w:w="1598" w:type="dxa"/>
            <w:vAlign w:val="center"/>
          </w:tcPr>
          <w:p>
            <w:pPr>
              <w:spacing w:line="480" w:lineRule="auto"/>
              <w:jc w:val="center"/>
              <w:rPr>
                <w:rFonts w:ascii="宋体" w:hAnsi="宋体"/>
                <w:color w:val="auto"/>
                <w:highlight w:val="none"/>
              </w:rPr>
            </w:pPr>
          </w:p>
        </w:tc>
        <w:tc>
          <w:tcPr>
            <w:tcW w:w="851" w:type="dxa"/>
            <w:vAlign w:val="center"/>
          </w:tcPr>
          <w:p>
            <w:pPr>
              <w:spacing w:line="480" w:lineRule="auto"/>
              <w:jc w:val="center"/>
              <w:rPr>
                <w:rFonts w:ascii="宋体" w:hAnsi="宋体"/>
                <w:color w:val="auto"/>
                <w:highlight w:val="none"/>
              </w:rPr>
            </w:pPr>
          </w:p>
        </w:tc>
        <w:tc>
          <w:tcPr>
            <w:tcW w:w="1134" w:type="dxa"/>
            <w:vAlign w:val="center"/>
          </w:tcPr>
          <w:p>
            <w:pPr>
              <w:spacing w:line="480" w:lineRule="auto"/>
              <w:jc w:val="center"/>
              <w:rPr>
                <w:rFonts w:ascii="宋体" w:hAnsi="宋体"/>
                <w:b/>
                <w:color w:val="auto"/>
                <w:sz w:val="24"/>
                <w:highlight w:val="none"/>
              </w:rPr>
            </w:pPr>
          </w:p>
        </w:tc>
        <w:tc>
          <w:tcPr>
            <w:tcW w:w="850" w:type="dxa"/>
            <w:vAlign w:val="center"/>
          </w:tcPr>
          <w:p>
            <w:pPr>
              <w:spacing w:line="480" w:lineRule="auto"/>
              <w:jc w:val="center"/>
              <w:rPr>
                <w:rFonts w:ascii="宋体" w:hAnsi="宋体"/>
                <w:b/>
                <w:color w:val="auto"/>
                <w:sz w:val="24"/>
                <w:highlight w:val="none"/>
              </w:rPr>
            </w:pPr>
          </w:p>
        </w:tc>
        <w:tc>
          <w:tcPr>
            <w:tcW w:w="993" w:type="dxa"/>
            <w:vAlign w:val="center"/>
          </w:tcPr>
          <w:p>
            <w:pP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3" w:type="dxa"/>
            <w:vAlign w:val="center"/>
          </w:tcPr>
          <w:p>
            <w:pPr>
              <w:spacing w:line="480" w:lineRule="auto"/>
              <w:jc w:val="center"/>
              <w:rPr>
                <w:rFonts w:ascii="宋体" w:hAnsi="宋体"/>
                <w:b/>
                <w:color w:val="auto"/>
                <w:sz w:val="24"/>
                <w:highlight w:val="none"/>
              </w:rPr>
            </w:pPr>
          </w:p>
        </w:tc>
        <w:tc>
          <w:tcPr>
            <w:tcW w:w="1417" w:type="dxa"/>
          </w:tcPr>
          <w:p>
            <w:pPr>
              <w:spacing w:line="480" w:lineRule="auto"/>
              <w:jc w:val="center"/>
              <w:rPr>
                <w:rFonts w:ascii="宋体" w:hAnsi="宋体"/>
                <w:color w:val="auto"/>
                <w:sz w:val="24"/>
                <w:highlight w:val="none"/>
              </w:rPr>
            </w:pPr>
          </w:p>
        </w:tc>
        <w:tc>
          <w:tcPr>
            <w:tcW w:w="1701" w:type="dxa"/>
            <w:vAlign w:val="center"/>
          </w:tcPr>
          <w:p>
            <w:pPr>
              <w:spacing w:line="480" w:lineRule="auto"/>
              <w:jc w:val="center"/>
              <w:rPr>
                <w:rFonts w:ascii="宋体" w:hAnsi="宋体"/>
                <w:b/>
                <w:color w:val="auto"/>
                <w:sz w:val="24"/>
                <w:highlight w:val="none"/>
              </w:rPr>
            </w:pPr>
          </w:p>
        </w:tc>
        <w:tc>
          <w:tcPr>
            <w:tcW w:w="1598" w:type="dxa"/>
            <w:vAlign w:val="center"/>
          </w:tcPr>
          <w:p>
            <w:pPr>
              <w:spacing w:line="480" w:lineRule="auto"/>
              <w:jc w:val="center"/>
              <w:rPr>
                <w:rFonts w:ascii="宋体" w:hAnsi="宋体"/>
                <w:color w:val="auto"/>
                <w:highlight w:val="none"/>
              </w:rPr>
            </w:pPr>
          </w:p>
        </w:tc>
        <w:tc>
          <w:tcPr>
            <w:tcW w:w="851" w:type="dxa"/>
            <w:vAlign w:val="center"/>
          </w:tcPr>
          <w:p>
            <w:pPr>
              <w:spacing w:line="480" w:lineRule="auto"/>
              <w:jc w:val="center"/>
              <w:rPr>
                <w:rFonts w:ascii="宋体" w:hAnsi="宋体"/>
                <w:color w:val="auto"/>
                <w:highlight w:val="none"/>
              </w:rPr>
            </w:pPr>
          </w:p>
        </w:tc>
        <w:tc>
          <w:tcPr>
            <w:tcW w:w="1134" w:type="dxa"/>
            <w:vAlign w:val="center"/>
          </w:tcPr>
          <w:p>
            <w:pPr>
              <w:spacing w:line="480" w:lineRule="auto"/>
              <w:jc w:val="center"/>
              <w:rPr>
                <w:rFonts w:ascii="宋体" w:hAnsi="宋体"/>
                <w:b/>
                <w:color w:val="auto"/>
                <w:sz w:val="24"/>
                <w:highlight w:val="none"/>
              </w:rPr>
            </w:pPr>
          </w:p>
        </w:tc>
        <w:tc>
          <w:tcPr>
            <w:tcW w:w="850" w:type="dxa"/>
            <w:vAlign w:val="center"/>
          </w:tcPr>
          <w:p>
            <w:pPr>
              <w:spacing w:line="480" w:lineRule="auto"/>
              <w:jc w:val="center"/>
              <w:rPr>
                <w:rFonts w:ascii="宋体" w:hAnsi="宋体"/>
                <w:b/>
                <w:color w:val="auto"/>
                <w:sz w:val="24"/>
                <w:highlight w:val="none"/>
              </w:rPr>
            </w:pPr>
          </w:p>
        </w:tc>
        <w:tc>
          <w:tcPr>
            <w:tcW w:w="993" w:type="dxa"/>
            <w:vAlign w:val="center"/>
          </w:tcPr>
          <w:p>
            <w:pP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3" w:type="dxa"/>
            <w:vAlign w:val="center"/>
          </w:tcPr>
          <w:p>
            <w:pPr>
              <w:spacing w:line="480" w:lineRule="auto"/>
              <w:jc w:val="center"/>
              <w:rPr>
                <w:rFonts w:ascii="宋体" w:hAnsi="宋体"/>
                <w:b/>
                <w:color w:val="auto"/>
                <w:sz w:val="24"/>
                <w:highlight w:val="none"/>
              </w:rPr>
            </w:pPr>
          </w:p>
        </w:tc>
        <w:tc>
          <w:tcPr>
            <w:tcW w:w="1417" w:type="dxa"/>
          </w:tcPr>
          <w:p>
            <w:pPr>
              <w:spacing w:line="480" w:lineRule="auto"/>
              <w:jc w:val="center"/>
              <w:rPr>
                <w:rFonts w:ascii="宋体" w:hAnsi="宋体"/>
                <w:color w:val="auto"/>
                <w:sz w:val="24"/>
                <w:highlight w:val="none"/>
              </w:rPr>
            </w:pPr>
          </w:p>
        </w:tc>
        <w:tc>
          <w:tcPr>
            <w:tcW w:w="1701" w:type="dxa"/>
            <w:vAlign w:val="center"/>
          </w:tcPr>
          <w:p>
            <w:pPr>
              <w:spacing w:line="480" w:lineRule="auto"/>
              <w:jc w:val="center"/>
              <w:rPr>
                <w:rFonts w:ascii="宋体" w:hAnsi="宋体"/>
                <w:b/>
                <w:color w:val="auto"/>
                <w:sz w:val="24"/>
                <w:highlight w:val="none"/>
              </w:rPr>
            </w:pPr>
          </w:p>
        </w:tc>
        <w:tc>
          <w:tcPr>
            <w:tcW w:w="1598" w:type="dxa"/>
            <w:vAlign w:val="center"/>
          </w:tcPr>
          <w:p>
            <w:pPr>
              <w:spacing w:line="480" w:lineRule="auto"/>
              <w:jc w:val="center"/>
              <w:rPr>
                <w:rFonts w:ascii="宋体" w:hAnsi="宋体"/>
                <w:color w:val="auto"/>
                <w:highlight w:val="none"/>
              </w:rPr>
            </w:pPr>
          </w:p>
        </w:tc>
        <w:tc>
          <w:tcPr>
            <w:tcW w:w="851" w:type="dxa"/>
            <w:vAlign w:val="center"/>
          </w:tcPr>
          <w:p>
            <w:pPr>
              <w:spacing w:line="480" w:lineRule="auto"/>
              <w:jc w:val="center"/>
              <w:rPr>
                <w:rFonts w:ascii="宋体" w:hAnsi="宋体"/>
                <w:color w:val="auto"/>
                <w:highlight w:val="none"/>
              </w:rPr>
            </w:pPr>
          </w:p>
        </w:tc>
        <w:tc>
          <w:tcPr>
            <w:tcW w:w="1134" w:type="dxa"/>
            <w:vAlign w:val="center"/>
          </w:tcPr>
          <w:p>
            <w:pPr>
              <w:spacing w:line="480" w:lineRule="auto"/>
              <w:jc w:val="center"/>
              <w:rPr>
                <w:rFonts w:ascii="宋体" w:hAnsi="宋体"/>
                <w:b/>
                <w:color w:val="auto"/>
                <w:sz w:val="24"/>
                <w:highlight w:val="none"/>
              </w:rPr>
            </w:pPr>
          </w:p>
        </w:tc>
        <w:tc>
          <w:tcPr>
            <w:tcW w:w="850" w:type="dxa"/>
            <w:vAlign w:val="center"/>
          </w:tcPr>
          <w:p>
            <w:pPr>
              <w:spacing w:line="480" w:lineRule="auto"/>
              <w:jc w:val="center"/>
              <w:rPr>
                <w:rFonts w:ascii="宋体" w:hAnsi="宋体"/>
                <w:b/>
                <w:color w:val="auto"/>
                <w:sz w:val="24"/>
                <w:highlight w:val="none"/>
              </w:rPr>
            </w:pPr>
          </w:p>
        </w:tc>
        <w:tc>
          <w:tcPr>
            <w:tcW w:w="993" w:type="dxa"/>
            <w:vAlign w:val="center"/>
          </w:tcPr>
          <w:p>
            <w:pP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3" w:type="dxa"/>
            <w:vAlign w:val="center"/>
          </w:tcPr>
          <w:p>
            <w:pPr>
              <w:spacing w:line="480" w:lineRule="auto"/>
              <w:jc w:val="center"/>
              <w:rPr>
                <w:rFonts w:ascii="宋体" w:hAnsi="宋体"/>
                <w:b/>
                <w:color w:val="auto"/>
                <w:sz w:val="24"/>
                <w:highlight w:val="none"/>
              </w:rPr>
            </w:pPr>
          </w:p>
        </w:tc>
        <w:tc>
          <w:tcPr>
            <w:tcW w:w="1417" w:type="dxa"/>
          </w:tcPr>
          <w:p>
            <w:pPr>
              <w:spacing w:line="480" w:lineRule="auto"/>
              <w:jc w:val="center"/>
              <w:rPr>
                <w:rFonts w:ascii="宋体" w:hAnsi="宋体"/>
                <w:color w:val="auto"/>
                <w:sz w:val="24"/>
                <w:highlight w:val="none"/>
              </w:rPr>
            </w:pPr>
          </w:p>
        </w:tc>
        <w:tc>
          <w:tcPr>
            <w:tcW w:w="1701" w:type="dxa"/>
            <w:vAlign w:val="center"/>
          </w:tcPr>
          <w:p>
            <w:pPr>
              <w:spacing w:line="480" w:lineRule="auto"/>
              <w:jc w:val="center"/>
              <w:rPr>
                <w:rFonts w:ascii="宋体" w:hAnsi="宋体"/>
                <w:b/>
                <w:color w:val="auto"/>
                <w:sz w:val="24"/>
                <w:highlight w:val="none"/>
              </w:rPr>
            </w:pPr>
          </w:p>
        </w:tc>
        <w:tc>
          <w:tcPr>
            <w:tcW w:w="1598" w:type="dxa"/>
            <w:vAlign w:val="center"/>
          </w:tcPr>
          <w:p>
            <w:pPr>
              <w:spacing w:line="480" w:lineRule="auto"/>
              <w:jc w:val="center"/>
              <w:rPr>
                <w:rFonts w:ascii="宋体" w:hAnsi="宋体"/>
                <w:color w:val="auto"/>
                <w:highlight w:val="none"/>
              </w:rPr>
            </w:pPr>
          </w:p>
        </w:tc>
        <w:tc>
          <w:tcPr>
            <w:tcW w:w="851" w:type="dxa"/>
            <w:vAlign w:val="center"/>
          </w:tcPr>
          <w:p>
            <w:pPr>
              <w:spacing w:line="480" w:lineRule="auto"/>
              <w:jc w:val="center"/>
              <w:rPr>
                <w:rFonts w:ascii="宋体" w:hAnsi="宋体"/>
                <w:color w:val="auto"/>
                <w:highlight w:val="none"/>
              </w:rPr>
            </w:pPr>
          </w:p>
        </w:tc>
        <w:tc>
          <w:tcPr>
            <w:tcW w:w="1134" w:type="dxa"/>
            <w:vAlign w:val="center"/>
          </w:tcPr>
          <w:p>
            <w:pPr>
              <w:spacing w:line="480" w:lineRule="auto"/>
              <w:jc w:val="center"/>
              <w:rPr>
                <w:rFonts w:ascii="宋体" w:hAnsi="宋体"/>
                <w:b/>
                <w:color w:val="auto"/>
                <w:sz w:val="24"/>
                <w:highlight w:val="none"/>
              </w:rPr>
            </w:pPr>
          </w:p>
        </w:tc>
        <w:tc>
          <w:tcPr>
            <w:tcW w:w="850" w:type="dxa"/>
            <w:vAlign w:val="center"/>
          </w:tcPr>
          <w:p>
            <w:pPr>
              <w:spacing w:line="480" w:lineRule="auto"/>
              <w:jc w:val="center"/>
              <w:rPr>
                <w:rFonts w:ascii="宋体" w:hAnsi="宋体"/>
                <w:b/>
                <w:color w:val="auto"/>
                <w:sz w:val="24"/>
                <w:highlight w:val="none"/>
              </w:rPr>
            </w:pPr>
          </w:p>
        </w:tc>
        <w:tc>
          <w:tcPr>
            <w:tcW w:w="993" w:type="dxa"/>
            <w:vAlign w:val="center"/>
          </w:tcPr>
          <w:p>
            <w:pP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93" w:type="dxa"/>
            <w:vAlign w:val="center"/>
          </w:tcPr>
          <w:p>
            <w:pPr>
              <w:spacing w:line="480" w:lineRule="auto"/>
              <w:jc w:val="center"/>
              <w:rPr>
                <w:rFonts w:ascii="宋体" w:hAnsi="宋体"/>
                <w:b/>
                <w:color w:val="auto"/>
                <w:sz w:val="24"/>
                <w:highlight w:val="none"/>
              </w:rPr>
            </w:pPr>
          </w:p>
        </w:tc>
        <w:tc>
          <w:tcPr>
            <w:tcW w:w="1417" w:type="dxa"/>
          </w:tcPr>
          <w:p>
            <w:pPr>
              <w:spacing w:line="480" w:lineRule="auto"/>
              <w:jc w:val="center"/>
              <w:rPr>
                <w:rFonts w:ascii="宋体" w:hAnsi="宋体"/>
                <w:color w:val="auto"/>
                <w:sz w:val="24"/>
                <w:highlight w:val="none"/>
              </w:rPr>
            </w:pPr>
          </w:p>
        </w:tc>
        <w:tc>
          <w:tcPr>
            <w:tcW w:w="1701" w:type="dxa"/>
            <w:vAlign w:val="center"/>
          </w:tcPr>
          <w:p>
            <w:pPr>
              <w:spacing w:line="480" w:lineRule="auto"/>
              <w:jc w:val="center"/>
              <w:rPr>
                <w:rFonts w:ascii="宋体" w:hAnsi="宋体"/>
                <w:b/>
                <w:color w:val="auto"/>
                <w:sz w:val="24"/>
                <w:highlight w:val="none"/>
              </w:rPr>
            </w:pPr>
          </w:p>
        </w:tc>
        <w:tc>
          <w:tcPr>
            <w:tcW w:w="1598" w:type="dxa"/>
            <w:vAlign w:val="center"/>
          </w:tcPr>
          <w:p>
            <w:pPr>
              <w:spacing w:line="480" w:lineRule="auto"/>
              <w:jc w:val="center"/>
              <w:rPr>
                <w:rFonts w:ascii="宋体" w:hAnsi="宋体"/>
                <w:color w:val="auto"/>
                <w:highlight w:val="none"/>
              </w:rPr>
            </w:pPr>
          </w:p>
        </w:tc>
        <w:tc>
          <w:tcPr>
            <w:tcW w:w="851" w:type="dxa"/>
            <w:vAlign w:val="center"/>
          </w:tcPr>
          <w:p>
            <w:pPr>
              <w:spacing w:line="480" w:lineRule="auto"/>
              <w:jc w:val="center"/>
              <w:rPr>
                <w:rFonts w:ascii="宋体" w:hAnsi="宋体"/>
                <w:color w:val="auto"/>
                <w:highlight w:val="none"/>
              </w:rPr>
            </w:pPr>
          </w:p>
        </w:tc>
        <w:tc>
          <w:tcPr>
            <w:tcW w:w="1134" w:type="dxa"/>
            <w:vAlign w:val="center"/>
          </w:tcPr>
          <w:p>
            <w:pPr>
              <w:spacing w:line="480" w:lineRule="auto"/>
              <w:jc w:val="center"/>
              <w:rPr>
                <w:rFonts w:ascii="宋体" w:hAnsi="宋体"/>
                <w:b/>
                <w:color w:val="auto"/>
                <w:sz w:val="24"/>
                <w:highlight w:val="none"/>
              </w:rPr>
            </w:pPr>
          </w:p>
        </w:tc>
        <w:tc>
          <w:tcPr>
            <w:tcW w:w="850" w:type="dxa"/>
            <w:vAlign w:val="center"/>
          </w:tcPr>
          <w:p>
            <w:pPr>
              <w:spacing w:line="480" w:lineRule="auto"/>
              <w:jc w:val="center"/>
              <w:rPr>
                <w:rFonts w:ascii="宋体" w:hAnsi="宋体"/>
                <w:b/>
                <w:color w:val="auto"/>
                <w:sz w:val="24"/>
                <w:highlight w:val="none"/>
              </w:rPr>
            </w:pPr>
          </w:p>
        </w:tc>
        <w:tc>
          <w:tcPr>
            <w:tcW w:w="993" w:type="dxa"/>
            <w:vAlign w:val="center"/>
          </w:tcPr>
          <w:p>
            <w:pPr>
              <w:spacing w:line="48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9537" w:type="dxa"/>
            <w:gridSpan w:val="8"/>
            <w:vAlign w:val="center"/>
          </w:tcPr>
          <w:p>
            <w:pPr>
              <w:spacing w:line="480" w:lineRule="auto"/>
              <w:jc w:val="left"/>
              <w:rPr>
                <w:rFonts w:ascii="宋体" w:hAnsi="宋体"/>
                <w:b/>
                <w:color w:val="auto"/>
                <w:sz w:val="28"/>
                <w:szCs w:val="28"/>
                <w:highlight w:val="none"/>
              </w:rPr>
            </w:pPr>
            <w:r>
              <w:rPr>
                <w:rFonts w:hint="eastAsia" w:ascii="宋体" w:hAnsi="宋体"/>
                <w:b/>
                <w:color w:val="auto"/>
                <w:sz w:val="24"/>
                <w:highlight w:val="none"/>
              </w:rPr>
              <w:t xml:space="preserve">合计人民币：大写                             </w:t>
            </w:r>
            <w:r>
              <w:rPr>
                <w:rFonts w:ascii="宋体" w:hAnsi="宋体"/>
                <w:b/>
                <w:color w:val="auto"/>
                <w:sz w:val="24"/>
                <w:highlight w:val="none"/>
              </w:rPr>
              <w:t xml:space="preserve">              </w:t>
            </w:r>
            <w:r>
              <w:rPr>
                <w:rFonts w:hint="eastAsia" w:ascii="宋体" w:hAnsi="宋体"/>
                <w:b/>
                <w:color w:val="auto"/>
                <w:sz w:val="24"/>
                <w:highlight w:val="none"/>
              </w:rPr>
              <w:t xml:space="preserve">  小写</w:t>
            </w:r>
          </w:p>
        </w:tc>
      </w:tr>
    </w:tbl>
    <w:p>
      <w:pPr>
        <w:snapToGrid w:val="0"/>
        <w:spacing w:before="50" w:after="50" w:line="420" w:lineRule="exact"/>
        <w:jc w:val="left"/>
        <w:rPr>
          <w:rFonts w:ascii="宋体" w:hAnsi="宋体"/>
          <w:b/>
          <w:bCs/>
          <w:color w:val="auto"/>
          <w:sz w:val="24"/>
          <w:highlight w:val="none"/>
        </w:rPr>
      </w:pPr>
      <w:r>
        <w:rPr>
          <w:rFonts w:hint="eastAsia" w:ascii="宋体" w:hAnsi="宋体"/>
          <w:b/>
          <w:bCs/>
          <w:color w:val="auto"/>
          <w:sz w:val="24"/>
          <w:highlight w:val="none"/>
        </w:rPr>
        <w:t>说明：</w:t>
      </w:r>
    </w:p>
    <w:p>
      <w:pPr>
        <w:snapToGrid w:val="0"/>
        <w:spacing w:before="50" w:after="120" w:afterLines="50" w:line="360" w:lineRule="auto"/>
        <w:jc w:val="left"/>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1</w:t>
      </w:r>
      <w:r>
        <w:rPr>
          <w:rFonts w:hint="eastAsia" w:ascii="宋体" w:hAnsi="宋体"/>
          <w:b/>
          <w:bCs/>
          <w:color w:val="auto"/>
          <w:sz w:val="24"/>
          <w:highlight w:val="none"/>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pPr>
        <w:snapToGrid w:val="0"/>
        <w:spacing w:before="50" w:after="120" w:afterLines="50" w:line="360" w:lineRule="auto"/>
        <w:jc w:val="left"/>
        <w:rPr>
          <w:rFonts w:ascii="宋体" w:hAnsi="宋体"/>
          <w:b/>
          <w:color w:val="auto"/>
          <w:sz w:val="24"/>
          <w:highlight w:val="none"/>
        </w:rPr>
      </w:pPr>
      <w:r>
        <w:rPr>
          <w:rFonts w:hint="eastAsia" w:ascii="宋体" w:hAnsi="宋体"/>
          <w:b/>
          <w:color w:val="auto"/>
          <w:sz w:val="24"/>
          <w:highlight w:val="none"/>
        </w:rPr>
        <w:t>2、本报价明细表投标人请根据招标文件采购清单中的内容进行填写，不得漏项。招标文件中未曾明确或有所遗漏的工作内容，但实际工作中发生的工作量与设施设备等，投标人均需在报价中充分考虑进去，否则视为已综合考虑在总报价内。</w:t>
      </w:r>
    </w:p>
    <w:p>
      <w:pPr>
        <w:snapToGrid w:val="0"/>
        <w:spacing w:before="50" w:after="120" w:afterLines="50" w:line="360" w:lineRule="auto"/>
        <w:jc w:val="left"/>
        <w:rPr>
          <w:rFonts w:ascii="宋体" w:hAnsi="宋体"/>
          <w:b/>
          <w:color w:val="auto"/>
          <w:sz w:val="24"/>
          <w:highlight w:val="none"/>
        </w:rPr>
      </w:pPr>
      <w:r>
        <w:rPr>
          <w:rFonts w:ascii="宋体" w:hAnsi="宋体"/>
          <w:color w:val="auto"/>
          <w:sz w:val="24"/>
          <w:highlight w:val="none"/>
        </w:rPr>
        <w:t>3</w:t>
      </w:r>
      <w:r>
        <w:rPr>
          <w:rFonts w:hint="eastAsia" w:ascii="宋体" w:hAnsi="宋体"/>
          <w:color w:val="auto"/>
          <w:sz w:val="24"/>
          <w:highlight w:val="none"/>
        </w:rPr>
        <w:t>、报价一经涂改，应在涂改处加盖单位公章或者由法定代表人签字或盖章</w:t>
      </w:r>
      <w:r>
        <w:rPr>
          <w:rFonts w:hint="eastAsia" w:ascii="宋体" w:hAnsi="宋体"/>
          <w:b/>
          <w:color w:val="auto"/>
          <w:sz w:val="24"/>
          <w:szCs w:val="20"/>
          <w:highlight w:val="none"/>
        </w:rPr>
        <w:t>或授权委托人签字或盖章</w:t>
      </w:r>
      <w:r>
        <w:rPr>
          <w:rFonts w:hint="eastAsia" w:ascii="宋体" w:hAnsi="宋体"/>
          <w:color w:val="auto"/>
          <w:sz w:val="24"/>
          <w:highlight w:val="none"/>
        </w:rPr>
        <w:t>。</w:t>
      </w:r>
    </w:p>
    <w:p>
      <w:pPr>
        <w:snapToGrid w:val="0"/>
        <w:spacing w:before="50" w:after="120" w:afterLines="50" w:line="360" w:lineRule="auto"/>
        <w:jc w:val="left"/>
        <w:rPr>
          <w:rFonts w:ascii="宋体" w:hAnsi="宋体"/>
          <w:b/>
          <w:color w:val="auto"/>
          <w:spacing w:val="20"/>
          <w:sz w:val="24"/>
          <w:highlight w:val="none"/>
        </w:rPr>
      </w:pPr>
      <w:r>
        <w:rPr>
          <w:rFonts w:hint="eastAsia" w:ascii="宋体" w:hAnsi="宋体"/>
          <w:b/>
          <w:color w:val="auto"/>
          <w:spacing w:val="20"/>
          <w:sz w:val="24"/>
          <w:highlight w:val="none"/>
        </w:rPr>
        <w:t>法定代表人或被授权人签字（或盖章）：          供应商（盖章）：</w:t>
      </w:r>
    </w:p>
    <w:p>
      <w:pPr>
        <w:snapToGrid w:val="0"/>
        <w:spacing w:line="360" w:lineRule="auto"/>
        <w:rPr>
          <w:rFonts w:ascii="宋体" w:hAnsi="宋体"/>
          <w:color w:val="auto"/>
          <w:sz w:val="24"/>
          <w:highlight w:val="none"/>
        </w:rPr>
      </w:pPr>
      <w:r>
        <w:rPr>
          <w:rFonts w:hint="eastAsia" w:ascii="宋体" w:hAnsi="宋体"/>
          <w:b/>
          <w:color w:val="auto"/>
          <w:spacing w:val="20"/>
          <w:highlight w:val="none"/>
        </w:rPr>
        <w:t>日期：  _____年___月___日</w:t>
      </w:r>
      <w:r>
        <w:rPr>
          <w:rFonts w:ascii="宋体" w:hAnsi="宋体"/>
          <w:color w:val="auto"/>
          <w:sz w:val="24"/>
          <w:highlight w:val="none"/>
        </w:rPr>
        <w:br w:type="page"/>
      </w:r>
      <w:r>
        <w:rPr>
          <w:rFonts w:hint="eastAsia" w:ascii="宋体" w:hAnsi="宋体"/>
          <w:color w:val="auto"/>
          <w:sz w:val="24"/>
          <w:highlight w:val="none"/>
        </w:rPr>
        <w:t>1</w:t>
      </w:r>
      <w:r>
        <w:rPr>
          <w:rFonts w:ascii="宋体" w:hAnsi="宋体"/>
          <w:color w:val="auto"/>
          <w:sz w:val="24"/>
          <w:highlight w:val="none"/>
        </w:rPr>
        <w:t>7</w:t>
      </w:r>
      <w:r>
        <w:rPr>
          <w:rFonts w:hint="eastAsia" w:ascii="宋体" w:hAnsi="宋体"/>
          <w:color w:val="auto"/>
          <w:sz w:val="24"/>
          <w:highlight w:val="none"/>
        </w:rPr>
        <w:t>.政府采购活动现场确认声明书</w:t>
      </w:r>
    </w:p>
    <w:p>
      <w:pPr>
        <w:snapToGrid w:val="0"/>
        <w:spacing w:line="500" w:lineRule="exact"/>
        <w:jc w:val="center"/>
        <w:rPr>
          <w:rFonts w:ascii="宋体" w:hAnsi="宋体" w:cs="方正小标宋简体"/>
          <w:color w:val="auto"/>
          <w:sz w:val="44"/>
          <w:szCs w:val="44"/>
          <w:highlight w:val="none"/>
        </w:rPr>
      </w:pPr>
    </w:p>
    <w:p>
      <w:pPr>
        <w:snapToGrid w:val="0"/>
        <w:spacing w:line="500" w:lineRule="exact"/>
        <w:jc w:val="center"/>
        <w:rPr>
          <w:rFonts w:ascii="宋体" w:hAnsi="宋体" w:cs="方正小标宋简体"/>
          <w:color w:val="auto"/>
          <w:sz w:val="44"/>
          <w:szCs w:val="44"/>
          <w:highlight w:val="none"/>
        </w:rPr>
      </w:pPr>
      <w:r>
        <w:rPr>
          <w:rFonts w:hint="eastAsia" w:ascii="宋体" w:hAnsi="宋体" w:cs="方正小标宋简体"/>
          <w:color w:val="auto"/>
          <w:sz w:val="44"/>
          <w:szCs w:val="44"/>
          <w:highlight w:val="none"/>
        </w:rPr>
        <w:t>政府采购活动现场确认声明书</w:t>
      </w:r>
    </w:p>
    <w:p>
      <w:pPr>
        <w:snapToGrid w:val="0"/>
        <w:spacing w:line="500" w:lineRule="exact"/>
        <w:rPr>
          <w:rFonts w:ascii="宋体" w:hAnsi="宋体"/>
          <w:b/>
          <w:color w:val="auto"/>
          <w:sz w:val="24"/>
          <w:highlight w:val="none"/>
        </w:rPr>
      </w:pP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（采购组织机构名称）：</w:t>
      </w:r>
    </w:p>
    <w:p>
      <w:pPr>
        <w:widowControl/>
        <w:spacing w:line="360" w:lineRule="exact"/>
        <w:ind w:firstLine="504" w:firstLineChars="200"/>
        <w:jc w:val="left"/>
        <w:rPr>
          <w:rFonts w:ascii="宋体" w:hAnsi="宋体"/>
          <w:color w:val="auto"/>
          <w:kern w:val="0"/>
          <w:sz w:val="24"/>
          <w:highlight w:val="none"/>
        </w:rPr>
      </w:pPr>
      <w:r>
        <w:rPr>
          <w:rFonts w:hint="eastAsia" w:ascii="宋体" w:hAnsi="宋体"/>
          <w:color w:val="auto"/>
          <w:spacing w:val="6"/>
          <w:kern w:val="0"/>
          <w:sz w:val="24"/>
          <w:highlight w:val="none"/>
        </w:rPr>
        <w:t>本人经由</w:t>
      </w:r>
      <w:r>
        <w:rPr>
          <w:rFonts w:hint="eastAsia" w:ascii="宋体" w:hAnsi="宋体"/>
          <w:color w:val="auto"/>
          <w:spacing w:val="6"/>
          <w:kern w:val="0"/>
          <w:sz w:val="24"/>
          <w:highlight w:val="none"/>
          <w:u w:val="single"/>
        </w:rPr>
        <w:t xml:space="preserve">                   </w:t>
      </w:r>
      <w:r>
        <w:rPr>
          <w:rFonts w:ascii="宋体" w:hAnsi="宋体"/>
          <w:color w:val="auto"/>
          <w:spacing w:val="6"/>
          <w:kern w:val="0"/>
          <w:sz w:val="24"/>
          <w:highlight w:val="none"/>
          <w:u w:val="single"/>
        </w:rPr>
        <w:t xml:space="preserve">          </w:t>
      </w:r>
      <w:r>
        <w:rPr>
          <w:rFonts w:hint="eastAsia" w:ascii="宋体" w:hAnsi="宋体"/>
          <w:color w:val="auto"/>
          <w:spacing w:val="6"/>
          <w:kern w:val="0"/>
          <w:sz w:val="24"/>
          <w:highlight w:val="none"/>
        </w:rPr>
        <w:t>单位</w:t>
      </w:r>
      <w:r>
        <w:rPr>
          <w:rFonts w:hint="eastAsia" w:ascii="宋体" w:hAnsi="宋体"/>
          <w:color w:val="auto"/>
          <w:spacing w:val="6"/>
          <w:kern w:val="0"/>
          <w:sz w:val="24"/>
          <w:highlight w:val="none"/>
          <w:u w:val="single"/>
        </w:rPr>
        <w:t xml:space="preserve">         (法人代表)</w:t>
      </w:r>
      <w:r>
        <w:rPr>
          <w:rFonts w:hint="eastAsia" w:ascii="宋体" w:hAnsi="宋体"/>
          <w:color w:val="auto"/>
          <w:spacing w:val="6"/>
          <w:kern w:val="0"/>
          <w:sz w:val="24"/>
          <w:highlight w:val="none"/>
        </w:rPr>
        <w:t>合法授权参加</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 xml:space="preserve"> </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采购</w:t>
      </w:r>
      <w:r>
        <w:rPr>
          <w:rFonts w:hint="eastAsia" w:ascii="宋体" w:hAnsi="宋体"/>
          <w:color w:val="auto"/>
          <w:spacing w:val="6"/>
          <w:kern w:val="0"/>
          <w:sz w:val="24"/>
          <w:highlight w:val="none"/>
          <w:u w:val="single"/>
        </w:rPr>
        <w:t xml:space="preserve">（编号： </w:t>
      </w:r>
      <w:r>
        <w:rPr>
          <w:rFonts w:ascii="宋体" w:hAnsi="宋体"/>
          <w:color w:val="auto"/>
          <w:spacing w:val="6"/>
          <w:kern w:val="0"/>
          <w:sz w:val="24"/>
          <w:highlight w:val="none"/>
          <w:u w:val="single"/>
        </w:rPr>
        <w:t xml:space="preserve">      ）</w:t>
      </w:r>
      <w:r>
        <w:rPr>
          <w:rFonts w:hint="eastAsia" w:ascii="宋体" w:hAnsi="宋体"/>
          <w:color w:val="auto"/>
          <w:spacing w:val="6"/>
          <w:kern w:val="0"/>
          <w:sz w:val="24"/>
          <w:highlight w:val="none"/>
        </w:rPr>
        <w:t>政府采购活动，经与本单位法人代表（负责人）联系确认，现就有关公平竞争事项郑重声明如下：</w:t>
      </w:r>
    </w:p>
    <w:p>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一、本单位与采购人之间</w:t>
      </w:r>
    </w:p>
    <w:p>
      <w:pPr>
        <w:widowControl/>
        <w:snapToGrid w:val="0"/>
        <w:spacing w:line="440" w:lineRule="exact"/>
        <w:ind w:left="454"/>
        <w:rPr>
          <w:rFonts w:ascii="宋体" w:hAnsi="宋体"/>
          <w:color w:val="auto"/>
          <w:kern w:val="0"/>
          <w:sz w:val="24"/>
          <w:highlight w:val="none"/>
        </w:rPr>
      </w:pPr>
      <w:r>
        <w:rPr>
          <w:rFonts w:hint="eastAsia" w:ascii="宋体" w:hAnsi="宋体" w:cs="宋体"/>
          <w:color w:val="auto"/>
          <w:kern w:val="0"/>
          <w:sz w:val="24"/>
          <w:highlight w:val="none"/>
        </w:rPr>
        <w:t>□</w:t>
      </w:r>
      <w:r>
        <w:rPr>
          <w:rFonts w:hint="eastAsia" w:ascii="宋体" w:hAnsi="宋体"/>
          <w:color w:val="auto"/>
          <w:kern w:val="0"/>
          <w:sz w:val="24"/>
          <w:highlight w:val="none"/>
        </w:rPr>
        <w:t>不存在利害关系</w:t>
      </w:r>
    </w:p>
    <w:p>
      <w:pPr>
        <w:widowControl/>
        <w:snapToGrid w:val="0"/>
        <w:spacing w:line="440" w:lineRule="exact"/>
        <w:ind w:left="454"/>
        <w:rPr>
          <w:rFonts w:ascii="宋体" w:hAnsi="宋体"/>
          <w:color w:val="auto"/>
          <w:kern w:val="0"/>
          <w:sz w:val="24"/>
          <w:highlight w:val="none"/>
        </w:rPr>
      </w:pPr>
      <w:r>
        <w:rPr>
          <w:rFonts w:hint="eastAsia" w:ascii="宋体" w:hAnsi="宋体" w:cs="宋体"/>
          <w:color w:val="auto"/>
          <w:kern w:val="0"/>
          <w:sz w:val="24"/>
          <w:highlight w:val="none"/>
        </w:rPr>
        <w:t>□</w:t>
      </w:r>
      <w:r>
        <w:rPr>
          <w:rFonts w:hint="eastAsia" w:ascii="宋体" w:hAnsi="宋体"/>
          <w:color w:val="auto"/>
          <w:kern w:val="0"/>
          <w:sz w:val="24"/>
          <w:highlight w:val="none"/>
        </w:rPr>
        <w:t>存在下列利害关系：</w:t>
      </w:r>
    </w:p>
    <w:p>
      <w:pPr>
        <w:widowControl/>
        <w:snapToGrid w:val="0"/>
        <w:spacing w:line="440" w:lineRule="exact"/>
        <w:rPr>
          <w:rFonts w:ascii="宋体" w:hAnsi="宋体"/>
          <w:color w:val="auto"/>
          <w:kern w:val="0"/>
          <w:sz w:val="24"/>
          <w:highlight w:val="none"/>
        </w:rPr>
      </w:pPr>
      <w:r>
        <w:rPr>
          <w:rFonts w:ascii="宋体" w:hAnsi="宋体"/>
          <w:color w:val="auto"/>
          <w:kern w:val="0"/>
          <w:sz w:val="24"/>
          <w:highlight w:val="none"/>
        </w:rPr>
        <w:t xml:space="preserve">  A.</w:t>
      </w:r>
      <w:r>
        <w:rPr>
          <w:rFonts w:hint="eastAsia" w:ascii="宋体" w:hAnsi="宋体"/>
          <w:color w:val="auto"/>
          <w:kern w:val="0"/>
          <w:sz w:val="24"/>
          <w:highlight w:val="none"/>
        </w:rPr>
        <w:t>投资关系</w:t>
      </w:r>
      <w:r>
        <w:rPr>
          <w:rFonts w:ascii="宋体" w:hAnsi="宋体"/>
          <w:color w:val="auto"/>
          <w:kern w:val="0"/>
          <w:sz w:val="24"/>
          <w:highlight w:val="none"/>
        </w:rPr>
        <w:t xml:space="preserve">    B.</w:t>
      </w:r>
      <w:r>
        <w:rPr>
          <w:rFonts w:hint="eastAsia" w:ascii="宋体" w:hAnsi="宋体"/>
          <w:color w:val="auto"/>
          <w:kern w:val="0"/>
          <w:sz w:val="24"/>
          <w:highlight w:val="none"/>
        </w:rPr>
        <w:t>行政隶属关系</w:t>
      </w:r>
      <w:r>
        <w:rPr>
          <w:rFonts w:ascii="宋体" w:hAnsi="宋体"/>
          <w:color w:val="auto"/>
          <w:kern w:val="0"/>
          <w:sz w:val="24"/>
          <w:highlight w:val="none"/>
        </w:rPr>
        <w:t xml:space="preserve">    C.</w:t>
      </w:r>
      <w:r>
        <w:rPr>
          <w:rFonts w:hint="eastAsia" w:ascii="宋体" w:hAnsi="宋体"/>
          <w:color w:val="auto"/>
          <w:kern w:val="0"/>
          <w:sz w:val="24"/>
          <w:highlight w:val="none"/>
        </w:rPr>
        <w:t>业务指导关系</w:t>
      </w:r>
    </w:p>
    <w:p>
      <w:pPr>
        <w:widowControl/>
        <w:snapToGrid w:val="0"/>
        <w:spacing w:line="440" w:lineRule="exact"/>
        <w:rPr>
          <w:rFonts w:ascii="宋体" w:hAnsi="宋体"/>
          <w:color w:val="auto"/>
          <w:kern w:val="0"/>
          <w:sz w:val="24"/>
          <w:highlight w:val="none"/>
        </w:rPr>
      </w:pPr>
      <w:r>
        <w:rPr>
          <w:rFonts w:ascii="宋体" w:hAnsi="宋体"/>
          <w:color w:val="auto"/>
          <w:kern w:val="0"/>
          <w:sz w:val="24"/>
          <w:highlight w:val="none"/>
        </w:rPr>
        <w:t xml:space="preserve">  D.</w:t>
      </w:r>
      <w:r>
        <w:rPr>
          <w:rFonts w:hint="eastAsia" w:ascii="宋体" w:hAnsi="宋体"/>
          <w:color w:val="auto"/>
          <w:kern w:val="0"/>
          <w:sz w:val="24"/>
          <w:highlight w:val="none"/>
        </w:rPr>
        <w:t>其他可能</w:t>
      </w:r>
      <w:r>
        <w:rPr>
          <w:rFonts w:hint="eastAsia" w:ascii="宋体" w:hAnsi="宋体"/>
          <w:color w:val="auto"/>
          <w:sz w:val="24"/>
          <w:highlight w:val="none"/>
        </w:rPr>
        <w:t>影响采购公正的</w:t>
      </w:r>
      <w:r>
        <w:rPr>
          <w:rFonts w:hint="eastAsia" w:ascii="宋体" w:hAnsi="宋体"/>
          <w:color w:val="auto"/>
          <w:kern w:val="0"/>
          <w:sz w:val="24"/>
          <w:highlight w:val="none"/>
        </w:rPr>
        <w:t>利害关系。</w:t>
      </w:r>
    </w:p>
    <w:p>
      <w:pPr>
        <w:widowControl/>
        <w:snapToGrid w:val="0"/>
        <w:spacing w:line="440" w:lineRule="exact"/>
        <w:rPr>
          <w:rFonts w:ascii="宋体" w:hAnsi="宋体"/>
          <w:color w:val="auto"/>
          <w:kern w:val="0"/>
          <w:sz w:val="24"/>
          <w:highlight w:val="none"/>
        </w:rPr>
      </w:pPr>
      <w:r>
        <w:rPr>
          <w:rFonts w:hint="eastAsia" w:ascii="宋体" w:hAnsi="宋体"/>
          <w:color w:val="auto"/>
          <w:spacing w:val="6"/>
          <w:sz w:val="24"/>
          <w:highlight w:val="none"/>
        </w:rPr>
        <w:t>二、</w:t>
      </w:r>
      <w:r>
        <w:rPr>
          <w:rFonts w:hint="eastAsia" w:ascii="宋体" w:hAnsi="宋体"/>
          <w:color w:val="auto"/>
          <w:kern w:val="0"/>
          <w:sz w:val="24"/>
          <w:highlight w:val="none"/>
        </w:rPr>
        <w:t>现已清楚知道参加本项目采购活动的其他所有供应商名称，本单位</w:t>
      </w:r>
    </w:p>
    <w:p>
      <w:pPr>
        <w:widowControl/>
        <w:snapToGrid w:val="0"/>
        <w:spacing w:line="440" w:lineRule="exact"/>
        <w:ind w:firstLine="480" w:firstLineChars="200"/>
        <w:rPr>
          <w:rFonts w:ascii="宋体" w:hAnsi="宋体"/>
          <w:color w:val="auto"/>
          <w:kern w:val="0"/>
          <w:sz w:val="24"/>
          <w:highlight w:val="none"/>
        </w:rPr>
      </w:pPr>
      <w:r>
        <w:rPr>
          <w:rFonts w:hint="eastAsia" w:ascii="宋体" w:hAnsi="宋体" w:cs="宋体"/>
          <w:color w:val="auto"/>
          <w:kern w:val="0"/>
          <w:sz w:val="24"/>
          <w:highlight w:val="none"/>
        </w:rPr>
        <w:t>□与其他所有供应商之间均</w:t>
      </w:r>
      <w:r>
        <w:rPr>
          <w:rFonts w:hint="eastAsia" w:ascii="宋体" w:hAnsi="宋体"/>
          <w:color w:val="auto"/>
          <w:kern w:val="0"/>
          <w:sz w:val="24"/>
          <w:highlight w:val="none"/>
        </w:rPr>
        <w:t>不存在利害关系</w:t>
      </w:r>
    </w:p>
    <w:p>
      <w:pPr>
        <w:widowControl/>
        <w:snapToGrid w:val="0"/>
        <w:spacing w:line="440" w:lineRule="exact"/>
        <w:ind w:firstLine="480" w:firstLineChars="200"/>
        <w:rPr>
          <w:rFonts w:ascii="宋体" w:hAnsi="宋体"/>
          <w:color w:val="auto"/>
          <w:kern w:val="0"/>
          <w:sz w:val="24"/>
          <w:highlight w:val="none"/>
        </w:rPr>
      </w:pPr>
      <w:r>
        <w:rPr>
          <w:rFonts w:hint="eastAsia" w:ascii="宋体" w:hAnsi="宋体" w:cs="宋体"/>
          <w:color w:val="auto"/>
          <w:kern w:val="0"/>
          <w:sz w:val="24"/>
          <w:highlight w:val="none"/>
        </w:rPr>
        <w:t>□与之间</w:t>
      </w:r>
      <w:r>
        <w:rPr>
          <w:rFonts w:hint="eastAsia" w:ascii="宋体" w:hAnsi="宋体"/>
          <w:color w:val="auto"/>
          <w:kern w:val="0"/>
          <w:sz w:val="24"/>
          <w:highlight w:val="none"/>
        </w:rPr>
        <w:t>存在下列利害关系：</w:t>
      </w:r>
    </w:p>
    <w:p>
      <w:pPr>
        <w:snapToGrid w:val="0"/>
        <w:spacing w:line="440" w:lineRule="exact"/>
        <w:rPr>
          <w:rFonts w:ascii="宋体" w:hAnsi="宋体"/>
          <w:color w:val="auto"/>
          <w:kern w:val="0"/>
          <w:sz w:val="24"/>
          <w:highlight w:val="none"/>
        </w:rPr>
      </w:pPr>
      <w:r>
        <w:rPr>
          <w:rFonts w:ascii="宋体" w:hAnsi="宋体"/>
          <w:color w:val="auto"/>
          <w:kern w:val="0"/>
          <w:sz w:val="24"/>
          <w:highlight w:val="none"/>
        </w:rPr>
        <w:t xml:space="preserve">  A.</w:t>
      </w:r>
      <w:r>
        <w:rPr>
          <w:rFonts w:hint="eastAsia" w:ascii="宋体" w:hAnsi="宋体"/>
          <w:color w:val="auto"/>
          <w:kern w:val="0"/>
          <w:sz w:val="24"/>
          <w:highlight w:val="none"/>
        </w:rPr>
        <w:t>法定代表人或负责人或实际控制人是同一人</w:t>
      </w:r>
    </w:p>
    <w:p>
      <w:pPr>
        <w:snapToGrid w:val="0"/>
        <w:spacing w:line="440" w:lineRule="exact"/>
        <w:rPr>
          <w:rFonts w:ascii="宋体" w:hAnsi="宋体"/>
          <w:color w:val="auto"/>
          <w:spacing w:val="6"/>
          <w:sz w:val="24"/>
          <w:highlight w:val="none"/>
        </w:rPr>
      </w:pPr>
      <w:r>
        <w:rPr>
          <w:rFonts w:ascii="宋体" w:hAnsi="宋体"/>
          <w:color w:val="auto"/>
          <w:kern w:val="0"/>
          <w:sz w:val="24"/>
          <w:highlight w:val="none"/>
        </w:rPr>
        <w:t xml:space="preserve">  B.</w:t>
      </w:r>
      <w:r>
        <w:rPr>
          <w:rFonts w:hint="eastAsia" w:ascii="宋体" w:hAnsi="宋体"/>
          <w:color w:val="auto"/>
          <w:kern w:val="0"/>
          <w:sz w:val="24"/>
          <w:highlight w:val="none"/>
        </w:rPr>
        <w:t>法定代表人或负责人或实际控制人是夫妻关系</w:t>
      </w:r>
    </w:p>
    <w:p>
      <w:pPr>
        <w:snapToGrid w:val="0"/>
        <w:spacing w:line="440" w:lineRule="exact"/>
        <w:rPr>
          <w:rFonts w:ascii="宋体" w:hAnsi="宋体"/>
          <w:color w:val="auto"/>
          <w:spacing w:val="6"/>
          <w:sz w:val="24"/>
          <w:highlight w:val="none"/>
        </w:rPr>
      </w:pPr>
      <w:r>
        <w:rPr>
          <w:rFonts w:ascii="宋体" w:hAnsi="宋体"/>
          <w:color w:val="auto"/>
          <w:kern w:val="0"/>
          <w:sz w:val="24"/>
          <w:highlight w:val="none"/>
        </w:rPr>
        <w:t xml:space="preserve">  C.</w:t>
      </w:r>
      <w:r>
        <w:rPr>
          <w:rFonts w:hint="eastAsia" w:ascii="宋体" w:hAnsi="宋体"/>
          <w:color w:val="auto"/>
          <w:kern w:val="0"/>
          <w:sz w:val="24"/>
          <w:highlight w:val="none"/>
        </w:rPr>
        <w:t>法定代表人或负责人或实际控制人是直系血亲关系</w:t>
      </w:r>
    </w:p>
    <w:p>
      <w:pPr>
        <w:snapToGrid w:val="0"/>
        <w:spacing w:line="440" w:lineRule="exact"/>
        <w:rPr>
          <w:rFonts w:hint="eastAsia" w:ascii="宋体" w:hAnsi="宋体" w:eastAsia="宋体" w:cs="Times New Roman"/>
          <w:color w:val="auto"/>
          <w:kern w:val="0"/>
          <w:sz w:val="24"/>
          <w:highlight w:val="none"/>
        </w:rPr>
      </w:pPr>
      <w:r>
        <w:rPr>
          <w:rFonts w:ascii="宋体" w:hAnsi="宋体"/>
          <w:color w:val="auto"/>
          <w:kern w:val="0"/>
          <w:sz w:val="24"/>
          <w:highlight w:val="none"/>
        </w:rPr>
        <w:t xml:space="preserve">  D.</w:t>
      </w:r>
      <w:r>
        <w:rPr>
          <w:rFonts w:hint="eastAsia" w:ascii="宋体" w:hAnsi="宋体" w:eastAsia="宋体" w:cs="Times New Roman"/>
          <w:color w:val="auto"/>
          <w:kern w:val="0"/>
          <w:sz w:val="24"/>
          <w:highlight w:val="none"/>
        </w:rPr>
        <w:t>法定代表人或负责人或实际控制人存在三代以内旁系血亲关系</w:t>
      </w:r>
    </w:p>
    <w:p>
      <w:pPr>
        <w:snapToGrid w:val="0"/>
        <w:spacing w:line="440" w:lineRule="exac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 xml:space="preserve">  E.法定代表人或负责人或实际控制人存在近姻亲关系</w:t>
      </w:r>
    </w:p>
    <w:p>
      <w:pPr>
        <w:snapToGrid w:val="0"/>
        <w:spacing w:line="440" w:lineRule="exac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 xml:space="preserve">  F.法定代表人或负责人或实际控制人存在股份控制或实际控制关系</w:t>
      </w:r>
    </w:p>
    <w:p>
      <w:pPr>
        <w:snapToGrid w:val="0"/>
        <w:spacing w:line="440" w:lineRule="exac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 xml:space="preserve">  </w:t>
      </w:r>
      <w:bookmarkStart w:id="79" w:name="_Toc197938090"/>
      <w:r>
        <w:rPr>
          <w:rFonts w:hint="eastAsia" w:ascii="宋体" w:hAnsi="宋体" w:eastAsia="宋体" w:cs="Times New Roman"/>
          <w:color w:val="auto"/>
          <w:kern w:val="0"/>
          <w:sz w:val="24"/>
          <w:highlight w:val="none"/>
        </w:rPr>
        <w:t>G.存在共同直接或间接投资设立子公司、联营企业和合营企业情况</w:t>
      </w:r>
      <w:bookmarkEnd w:id="79"/>
    </w:p>
    <w:p>
      <w:pPr>
        <w:snapToGrid w:val="0"/>
        <w:spacing w:line="440" w:lineRule="exact"/>
        <w:rPr>
          <w:rFonts w:ascii="宋体" w:hAnsi="宋体"/>
          <w:color w:val="auto"/>
          <w:sz w:val="24"/>
          <w:highlight w:val="none"/>
        </w:rPr>
      </w:pPr>
      <w:r>
        <w:rPr>
          <w:rFonts w:hint="eastAsia" w:ascii="宋体" w:hAnsi="宋体" w:eastAsia="宋体" w:cs="Times New Roman"/>
          <w:color w:val="auto"/>
          <w:kern w:val="0"/>
          <w:sz w:val="24"/>
          <w:highlight w:val="none"/>
        </w:rPr>
        <w:t xml:space="preserve">  H.存在分级代理或代销关系、同</w:t>
      </w:r>
      <w:r>
        <w:rPr>
          <w:rFonts w:hint="eastAsia" w:ascii="宋体" w:hAnsi="宋体"/>
          <w:color w:val="auto"/>
          <w:kern w:val="0"/>
          <w:sz w:val="24"/>
          <w:highlight w:val="none"/>
        </w:rPr>
        <w:t>一生产制造商关系、</w:t>
      </w:r>
      <w:r>
        <w:rPr>
          <w:rFonts w:hint="eastAsia" w:ascii="宋体" w:hAnsi="宋体"/>
          <w:color w:val="auto"/>
          <w:sz w:val="24"/>
          <w:highlight w:val="none"/>
        </w:rPr>
        <w:t>管理关系、重要业务（占主营业务收入</w:t>
      </w:r>
      <w:r>
        <w:rPr>
          <w:rFonts w:ascii="宋体" w:hAnsi="宋体"/>
          <w:color w:val="auto"/>
          <w:sz w:val="24"/>
          <w:highlight w:val="none"/>
        </w:rPr>
        <w:t>50%</w:t>
      </w:r>
      <w:r>
        <w:rPr>
          <w:rFonts w:hint="eastAsia" w:ascii="宋体" w:hAnsi="宋体"/>
          <w:color w:val="auto"/>
          <w:sz w:val="24"/>
          <w:highlight w:val="none"/>
        </w:rPr>
        <w:t>以上）或重要财务往来关系（如融资）等其他实质性控制关系</w:t>
      </w:r>
    </w:p>
    <w:p>
      <w:pPr>
        <w:snapToGrid w:val="0"/>
        <w:spacing w:line="440" w:lineRule="exact"/>
        <w:rPr>
          <w:rFonts w:ascii="宋体" w:hAnsi="宋体"/>
          <w:color w:val="auto"/>
          <w:spacing w:val="6"/>
          <w:sz w:val="24"/>
          <w:highlight w:val="none"/>
        </w:rPr>
      </w:pPr>
      <w:r>
        <w:rPr>
          <w:rFonts w:ascii="宋体" w:hAnsi="宋体"/>
          <w:color w:val="auto"/>
          <w:sz w:val="24"/>
          <w:highlight w:val="none"/>
        </w:rPr>
        <w:t>I</w:t>
      </w:r>
      <w:r>
        <w:rPr>
          <w:rFonts w:ascii="宋体" w:hAnsi="宋体"/>
          <w:color w:val="auto"/>
          <w:kern w:val="0"/>
          <w:sz w:val="24"/>
          <w:highlight w:val="none"/>
        </w:rPr>
        <w:t>.</w:t>
      </w:r>
      <w:r>
        <w:rPr>
          <w:rFonts w:hint="eastAsia" w:ascii="宋体" w:hAnsi="宋体"/>
          <w:color w:val="auto"/>
          <w:sz w:val="24"/>
          <w:highlight w:val="none"/>
        </w:rPr>
        <w:t>其他利害关系情况</w:t>
      </w:r>
      <w:r>
        <w:rPr>
          <w:rFonts w:hint="eastAsia" w:ascii="宋体" w:hAnsi="宋体"/>
          <w:color w:val="auto"/>
          <w:kern w:val="0"/>
          <w:sz w:val="24"/>
          <w:highlight w:val="none"/>
        </w:rPr>
        <w:t>。</w:t>
      </w:r>
    </w:p>
    <w:p>
      <w:pPr>
        <w:widowControl/>
        <w:snapToGrid w:val="0"/>
        <w:spacing w:line="440" w:lineRule="exact"/>
        <w:rPr>
          <w:rFonts w:ascii="宋体" w:hAnsi="宋体"/>
          <w:color w:val="auto"/>
          <w:kern w:val="0"/>
          <w:sz w:val="24"/>
          <w:highlight w:val="none"/>
        </w:rPr>
      </w:pPr>
      <w:r>
        <w:rPr>
          <w:rFonts w:hint="eastAsia" w:ascii="宋体" w:hAnsi="宋体"/>
          <w:color w:val="auto"/>
          <w:sz w:val="24"/>
          <w:highlight w:val="none"/>
        </w:rPr>
        <w:t>三、现已清楚知道并</w:t>
      </w:r>
      <w:r>
        <w:rPr>
          <w:rFonts w:hint="eastAsia" w:ascii="宋体" w:hAnsi="宋体"/>
          <w:color w:val="auto"/>
          <w:kern w:val="0"/>
          <w:sz w:val="24"/>
          <w:highlight w:val="none"/>
        </w:rPr>
        <w:t>严格遵守政府采购法律法规和现场纪律。</w:t>
      </w:r>
    </w:p>
    <w:p>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四、我发现供应商之间存在或可能存在上述第二条第项利害关系。</w:t>
      </w:r>
    </w:p>
    <w:p>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□不存在利害关系</w:t>
      </w:r>
    </w:p>
    <w:p>
      <w:pPr>
        <w:widowControl/>
        <w:snapToGrid w:val="0"/>
        <w:spacing w:line="440" w:lineRule="exact"/>
        <w:rPr>
          <w:rFonts w:ascii="宋体" w:hAnsi="宋体"/>
          <w:color w:val="auto"/>
          <w:kern w:val="0"/>
          <w:sz w:val="24"/>
          <w:highlight w:val="none"/>
        </w:rPr>
      </w:pPr>
      <w:r>
        <w:rPr>
          <w:rFonts w:hint="eastAsia" w:ascii="宋体" w:hAnsi="宋体"/>
          <w:color w:val="auto"/>
          <w:kern w:val="0"/>
          <w:sz w:val="24"/>
          <w:highlight w:val="none"/>
        </w:rPr>
        <w:t>□存在下列利害关系</w:t>
      </w:r>
    </w:p>
    <w:p>
      <w:pPr>
        <w:snapToGrid w:val="0"/>
        <w:spacing w:line="500" w:lineRule="exact"/>
        <w:ind w:firstLine="480" w:firstLineChars="200"/>
        <w:rPr>
          <w:rFonts w:ascii="宋体" w:hAnsi="宋体"/>
          <w:color w:val="auto"/>
          <w:sz w:val="24"/>
          <w:highlight w:val="none"/>
        </w:rPr>
      </w:pPr>
    </w:p>
    <w:p>
      <w:pPr>
        <w:snapToGrid w:val="0"/>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供应商代表签名：</w:t>
      </w:r>
    </w:p>
    <w:p>
      <w:pPr>
        <w:ind w:firstLine="3840" w:firstLineChars="1600"/>
        <w:rPr>
          <w:rFonts w:ascii="宋体" w:hAnsi="宋体"/>
          <w:color w:val="auto"/>
          <w:sz w:val="24"/>
          <w:highlight w:val="none"/>
        </w:rPr>
      </w:pPr>
    </w:p>
    <w:p>
      <w:pPr>
        <w:ind w:firstLine="5880" w:firstLineChars="2450"/>
        <w:rPr>
          <w:rFonts w:ascii="宋体" w:hAnsi="宋体"/>
          <w:color w:val="auto"/>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pPr>
        <w:rPr>
          <w:rFonts w:ascii="宋体" w:hAnsi="宋体"/>
          <w:b/>
          <w:color w:val="auto"/>
          <w:sz w:val="24"/>
          <w:highlight w:val="none"/>
        </w:rPr>
      </w:pPr>
    </w:p>
    <w:sectPr>
      <w:footerReference r:id="rId9" w:type="default"/>
      <w:footerReference r:id="rId10" w:type="even"/>
      <w:pgSz w:w="11906" w:h="16838"/>
      <w:pgMar w:top="1021" w:right="1588" w:bottom="851" w:left="1588"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Malgun Gothic Semilight"/>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4"/>
                  <w:jc w:val="right"/>
                </w:pPr>
                <w:r>
                  <w:rPr>
                    <w:lang w:val="zh-CN"/>
                  </w:rPr>
                  <w:fldChar w:fldCharType="begin"/>
                </w:r>
                <w:r>
                  <w:rPr>
                    <w:lang w:val="zh-CN"/>
                  </w:rPr>
                  <w:instrText xml:space="preserve">PAGE   \* MERGEFORMAT</w:instrText>
                </w:r>
                <w:r>
                  <w:rPr>
                    <w:lang w:val="zh-CN"/>
                  </w:rPr>
                  <w:fldChar w:fldCharType="separate"/>
                </w:r>
                <w:r>
                  <w:rPr>
                    <w:lang w:val="zh-CN"/>
                  </w:rPr>
                  <w:t>22</w:t>
                </w:r>
                <w:r>
                  <w:rPr>
                    <w:lang w:val="zh-CN"/>
                  </w:rPr>
                  <w:fldChar w:fldCharType="end"/>
                </w:r>
              </w:p>
            </w:txbxContent>
          </v:textbox>
        </v:shape>
      </w:pict>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4"/>
      </w:rPr>
    </w:pPr>
    <w:r>
      <w:fldChar w:fldCharType="begin"/>
    </w:r>
    <w:r>
      <w:rPr>
        <w:rStyle w:val="54"/>
      </w:rPr>
      <w:instrText xml:space="preserve">PAGE  </w:instrText>
    </w:r>
    <w:r>
      <w:fldChar w:fldCharType="end"/>
    </w:r>
  </w:p>
  <w:p>
    <w:pPr>
      <w:pStyle w:val="3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4"/>
                  <w:jc w:val="right"/>
                </w:pPr>
                <w:r>
                  <w:rPr>
                    <w:lang w:val="zh-CN"/>
                  </w:rPr>
                  <w:fldChar w:fldCharType="begin"/>
                </w:r>
                <w:r>
                  <w:rPr>
                    <w:lang w:val="zh-CN"/>
                  </w:rPr>
                  <w:instrText xml:space="preserve">PAGE   \* MERGEFORMAT</w:instrText>
                </w:r>
                <w:r>
                  <w:rPr>
                    <w:lang w:val="zh-CN"/>
                  </w:rPr>
                  <w:fldChar w:fldCharType="separate"/>
                </w:r>
                <w:r>
                  <w:rPr>
                    <w:lang w:val="zh-CN"/>
                  </w:rPr>
                  <w:t>45</w:t>
                </w:r>
                <w:r>
                  <w:rPr>
                    <w:lang w:val="zh-CN"/>
                  </w:rPr>
                  <w:fldChar w:fldCharType="end"/>
                </w:r>
              </w:p>
            </w:txbxContent>
          </v:textbox>
        </v:shape>
      </w:pict>
    </w: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4"/>
      </w:rPr>
    </w:pPr>
    <w:r>
      <w:fldChar w:fldCharType="begin"/>
    </w:r>
    <w:r>
      <w:rPr>
        <w:rStyle w:val="54"/>
      </w:rPr>
      <w:instrText xml:space="preserve">PAGE  </w:instrText>
    </w:r>
    <w:r>
      <w:fldChar w:fldCharType="end"/>
    </w:r>
  </w:p>
  <w:p>
    <w:pPr>
      <w:pStyle w:val="3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4"/>
                  <w:rPr>
                    <w:rStyle w:val="54"/>
                  </w:rPr>
                </w:pPr>
                <w:r>
                  <w:fldChar w:fldCharType="begin"/>
                </w:r>
                <w:r>
                  <w:rPr>
                    <w:rStyle w:val="54"/>
                  </w:rPr>
                  <w:instrText xml:space="preserve">PAGE  </w:instrText>
                </w:r>
                <w:r>
                  <w:fldChar w:fldCharType="separate"/>
                </w:r>
                <w:r>
                  <w:rPr>
                    <w:rStyle w:val="54"/>
                  </w:rPr>
                  <w:t>51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54"/>
      </w:rPr>
    </w:pPr>
    <w:r>
      <w:fldChar w:fldCharType="begin"/>
    </w:r>
    <w:r>
      <w:rPr>
        <w:rStyle w:val="54"/>
      </w:rPr>
      <w:instrText xml:space="preserve">PAGE  </w:instrText>
    </w:r>
    <w:r>
      <w:fldChar w:fldCharType="separate"/>
    </w:r>
    <w:r>
      <w:rPr>
        <w:rStyle w:val="54"/>
      </w:rPr>
      <w:t>53</w:t>
    </w:r>
    <w:r>
      <w:fldChar w:fldCharType="end"/>
    </w:r>
  </w:p>
  <w:p>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45E0C"/>
    <w:multiLevelType w:val="singleLevel"/>
    <w:tmpl w:val="8A345E0C"/>
    <w:lvl w:ilvl="0" w:tentative="0">
      <w:start w:val="2"/>
      <w:numFmt w:val="chineseCounting"/>
      <w:suff w:val="nothing"/>
      <w:lvlText w:val="（%1）"/>
      <w:lvlJc w:val="left"/>
      <w:rPr>
        <w:rFonts w:hint="eastAsia"/>
      </w:rPr>
    </w:lvl>
  </w:abstractNum>
  <w:abstractNum w:abstractNumId="1">
    <w:nsid w:val="8E719B75"/>
    <w:multiLevelType w:val="singleLevel"/>
    <w:tmpl w:val="8E719B75"/>
    <w:lvl w:ilvl="0" w:tentative="0">
      <w:start w:val="2"/>
      <w:numFmt w:val="decimal"/>
      <w:suff w:val="nothing"/>
      <w:lvlText w:val="%1、"/>
      <w:lvlJc w:val="left"/>
    </w:lvl>
  </w:abstractNum>
  <w:abstractNum w:abstractNumId="2">
    <w:nsid w:val="E6709FC6"/>
    <w:multiLevelType w:val="singleLevel"/>
    <w:tmpl w:val="E6709FC6"/>
    <w:lvl w:ilvl="0" w:tentative="0">
      <w:start w:val="2"/>
      <w:numFmt w:val="chineseCounting"/>
      <w:suff w:val="nothing"/>
      <w:lvlText w:val="%1、"/>
      <w:lvlJc w:val="left"/>
      <w:rPr>
        <w:rFonts w:hint="eastAsia"/>
      </w:rPr>
    </w:lvl>
  </w:abstractNum>
  <w:abstractNum w:abstractNumId="3">
    <w:nsid w:val="11DCD0D3"/>
    <w:multiLevelType w:val="singleLevel"/>
    <w:tmpl w:val="11DCD0D3"/>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ODdiNDRkZGYxZDk1ODNiMWVhYzNiOGVlMTI0NDYzOWYifQ=="/>
  </w:docVars>
  <w:rsids>
    <w:rsidRoot w:val="000008D7"/>
    <w:rsid w:val="000000D7"/>
    <w:rsid w:val="000008D7"/>
    <w:rsid w:val="00000982"/>
    <w:rsid w:val="00001012"/>
    <w:rsid w:val="00002483"/>
    <w:rsid w:val="00002CF8"/>
    <w:rsid w:val="00003E16"/>
    <w:rsid w:val="00004E71"/>
    <w:rsid w:val="00005739"/>
    <w:rsid w:val="00005CFF"/>
    <w:rsid w:val="00005DEE"/>
    <w:rsid w:val="00006B0F"/>
    <w:rsid w:val="00010149"/>
    <w:rsid w:val="0001070D"/>
    <w:rsid w:val="0001174B"/>
    <w:rsid w:val="00011CD2"/>
    <w:rsid w:val="00012736"/>
    <w:rsid w:val="00012854"/>
    <w:rsid w:val="00013773"/>
    <w:rsid w:val="00014C16"/>
    <w:rsid w:val="00014DDC"/>
    <w:rsid w:val="0001630F"/>
    <w:rsid w:val="00017AB6"/>
    <w:rsid w:val="00017E53"/>
    <w:rsid w:val="00020F7C"/>
    <w:rsid w:val="000211DA"/>
    <w:rsid w:val="00021F9D"/>
    <w:rsid w:val="00022148"/>
    <w:rsid w:val="000232A6"/>
    <w:rsid w:val="000238C1"/>
    <w:rsid w:val="000247A9"/>
    <w:rsid w:val="0002495D"/>
    <w:rsid w:val="00024BBF"/>
    <w:rsid w:val="00025397"/>
    <w:rsid w:val="000254C4"/>
    <w:rsid w:val="000260AE"/>
    <w:rsid w:val="00026611"/>
    <w:rsid w:val="000267D1"/>
    <w:rsid w:val="000308D9"/>
    <w:rsid w:val="00030C50"/>
    <w:rsid w:val="00030C77"/>
    <w:rsid w:val="00030FFB"/>
    <w:rsid w:val="00031237"/>
    <w:rsid w:val="000314E8"/>
    <w:rsid w:val="00031A8C"/>
    <w:rsid w:val="0003234E"/>
    <w:rsid w:val="00032882"/>
    <w:rsid w:val="00033366"/>
    <w:rsid w:val="000349CC"/>
    <w:rsid w:val="00035249"/>
    <w:rsid w:val="00035268"/>
    <w:rsid w:val="00035D5A"/>
    <w:rsid w:val="00035E6B"/>
    <w:rsid w:val="00036C5A"/>
    <w:rsid w:val="00036E4C"/>
    <w:rsid w:val="000376F8"/>
    <w:rsid w:val="000405F2"/>
    <w:rsid w:val="000408BF"/>
    <w:rsid w:val="0004133E"/>
    <w:rsid w:val="00041400"/>
    <w:rsid w:val="00042906"/>
    <w:rsid w:val="00042B0A"/>
    <w:rsid w:val="00042D09"/>
    <w:rsid w:val="0004358C"/>
    <w:rsid w:val="000443E9"/>
    <w:rsid w:val="00046410"/>
    <w:rsid w:val="000506AD"/>
    <w:rsid w:val="00050DE1"/>
    <w:rsid w:val="000564F0"/>
    <w:rsid w:val="000613FD"/>
    <w:rsid w:val="000619E3"/>
    <w:rsid w:val="00062B2D"/>
    <w:rsid w:val="000640C5"/>
    <w:rsid w:val="00064A5C"/>
    <w:rsid w:val="000668FF"/>
    <w:rsid w:val="00066AE1"/>
    <w:rsid w:val="00067CD6"/>
    <w:rsid w:val="00071EFC"/>
    <w:rsid w:val="00071FDA"/>
    <w:rsid w:val="00072A89"/>
    <w:rsid w:val="00073448"/>
    <w:rsid w:val="0007482A"/>
    <w:rsid w:val="000750CE"/>
    <w:rsid w:val="0007562E"/>
    <w:rsid w:val="0007575E"/>
    <w:rsid w:val="00076D82"/>
    <w:rsid w:val="00077016"/>
    <w:rsid w:val="000772F2"/>
    <w:rsid w:val="00080054"/>
    <w:rsid w:val="000807C6"/>
    <w:rsid w:val="00080FC2"/>
    <w:rsid w:val="00082E88"/>
    <w:rsid w:val="000833F6"/>
    <w:rsid w:val="00085C05"/>
    <w:rsid w:val="000862C5"/>
    <w:rsid w:val="0008697B"/>
    <w:rsid w:val="00087E16"/>
    <w:rsid w:val="0009006F"/>
    <w:rsid w:val="0009034A"/>
    <w:rsid w:val="0009060C"/>
    <w:rsid w:val="00090750"/>
    <w:rsid w:val="00090AB3"/>
    <w:rsid w:val="00090EBE"/>
    <w:rsid w:val="0009159F"/>
    <w:rsid w:val="00091CF5"/>
    <w:rsid w:val="0009253B"/>
    <w:rsid w:val="000926D9"/>
    <w:rsid w:val="00092CA0"/>
    <w:rsid w:val="000930D4"/>
    <w:rsid w:val="000933E2"/>
    <w:rsid w:val="0009341D"/>
    <w:rsid w:val="00094A6B"/>
    <w:rsid w:val="00095D16"/>
    <w:rsid w:val="0009696A"/>
    <w:rsid w:val="00097A26"/>
    <w:rsid w:val="000A0F94"/>
    <w:rsid w:val="000A23FA"/>
    <w:rsid w:val="000A4448"/>
    <w:rsid w:val="000A47A9"/>
    <w:rsid w:val="000A6163"/>
    <w:rsid w:val="000A75AC"/>
    <w:rsid w:val="000A7940"/>
    <w:rsid w:val="000B036D"/>
    <w:rsid w:val="000B0C94"/>
    <w:rsid w:val="000B14E8"/>
    <w:rsid w:val="000B24FD"/>
    <w:rsid w:val="000B490E"/>
    <w:rsid w:val="000B4C85"/>
    <w:rsid w:val="000B4EAE"/>
    <w:rsid w:val="000B515B"/>
    <w:rsid w:val="000B6D7C"/>
    <w:rsid w:val="000C0C00"/>
    <w:rsid w:val="000C0D42"/>
    <w:rsid w:val="000C2016"/>
    <w:rsid w:val="000C3CA7"/>
    <w:rsid w:val="000C467E"/>
    <w:rsid w:val="000C66EB"/>
    <w:rsid w:val="000C7836"/>
    <w:rsid w:val="000C7E47"/>
    <w:rsid w:val="000D0AB1"/>
    <w:rsid w:val="000D13FC"/>
    <w:rsid w:val="000D189B"/>
    <w:rsid w:val="000D3740"/>
    <w:rsid w:val="000D39B4"/>
    <w:rsid w:val="000D4749"/>
    <w:rsid w:val="000D4913"/>
    <w:rsid w:val="000D4F44"/>
    <w:rsid w:val="000D5B51"/>
    <w:rsid w:val="000D6143"/>
    <w:rsid w:val="000D6F06"/>
    <w:rsid w:val="000D7912"/>
    <w:rsid w:val="000D7B12"/>
    <w:rsid w:val="000E054C"/>
    <w:rsid w:val="000E1578"/>
    <w:rsid w:val="000E3096"/>
    <w:rsid w:val="000E3E89"/>
    <w:rsid w:val="000E5DA4"/>
    <w:rsid w:val="000E7566"/>
    <w:rsid w:val="000F1697"/>
    <w:rsid w:val="000F1A7E"/>
    <w:rsid w:val="000F1AAD"/>
    <w:rsid w:val="000F27C0"/>
    <w:rsid w:val="000F3CDE"/>
    <w:rsid w:val="000F3CF8"/>
    <w:rsid w:val="000F49E3"/>
    <w:rsid w:val="000F71F6"/>
    <w:rsid w:val="0010004F"/>
    <w:rsid w:val="00101ECD"/>
    <w:rsid w:val="00103337"/>
    <w:rsid w:val="00104CD7"/>
    <w:rsid w:val="00105F07"/>
    <w:rsid w:val="001061BD"/>
    <w:rsid w:val="001075D4"/>
    <w:rsid w:val="00107922"/>
    <w:rsid w:val="00110D07"/>
    <w:rsid w:val="00112B23"/>
    <w:rsid w:val="0011436D"/>
    <w:rsid w:val="0011500F"/>
    <w:rsid w:val="00115AB1"/>
    <w:rsid w:val="00115C8D"/>
    <w:rsid w:val="0011633C"/>
    <w:rsid w:val="0011699B"/>
    <w:rsid w:val="00117359"/>
    <w:rsid w:val="0012002A"/>
    <w:rsid w:val="001203B4"/>
    <w:rsid w:val="00120A19"/>
    <w:rsid w:val="00120A5F"/>
    <w:rsid w:val="00120E48"/>
    <w:rsid w:val="00120E93"/>
    <w:rsid w:val="001211AF"/>
    <w:rsid w:val="001211C4"/>
    <w:rsid w:val="00122650"/>
    <w:rsid w:val="00123304"/>
    <w:rsid w:val="00123553"/>
    <w:rsid w:val="00123691"/>
    <w:rsid w:val="00123D79"/>
    <w:rsid w:val="001247D7"/>
    <w:rsid w:val="00124E16"/>
    <w:rsid w:val="00125469"/>
    <w:rsid w:val="001272E8"/>
    <w:rsid w:val="001306A3"/>
    <w:rsid w:val="0013093E"/>
    <w:rsid w:val="00130F26"/>
    <w:rsid w:val="001313B7"/>
    <w:rsid w:val="001323AE"/>
    <w:rsid w:val="00134473"/>
    <w:rsid w:val="0013482F"/>
    <w:rsid w:val="00135014"/>
    <w:rsid w:val="0013579A"/>
    <w:rsid w:val="00135814"/>
    <w:rsid w:val="00135B82"/>
    <w:rsid w:val="0013719D"/>
    <w:rsid w:val="001376BB"/>
    <w:rsid w:val="001402E8"/>
    <w:rsid w:val="00141CF1"/>
    <w:rsid w:val="00143217"/>
    <w:rsid w:val="00143DD9"/>
    <w:rsid w:val="001442E6"/>
    <w:rsid w:val="00144BC0"/>
    <w:rsid w:val="001450FA"/>
    <w:rsid w:val="001463CF"/>
    <w:rsid w:val="00147343"/>
    <w:rsid w:val="00150565"/>
    <w:rsid w:val="00150B67"/>
    <w:rsid w:val="001540FF"/>
    <w:rsid w:val="00154BD2"/>
    <w:rsid w:val="00154E8A"/>
    <w:rsid w:val="001557F9"/>
    <w:rsid w:val="00155E87"/>
    <w:rsid w:val="001569D5"/>
    <w:rsid w:val="00157756"/>
    <w:rsid w:val="0016005C"/>
    <w:rsid w:val="0016040E"/>
    <w:rsid w:val="00160693"/>
    <w:rsid w:val="00160960"/>
    <w:rsid w:val="00160F67"/>
    <w:rsid w:val="001612A1"/>
    <w:rsid w:val="00161FC4"/>
    <w:rsid w:val="001623E8"/>
    <w:rsid w:val="00162534"/>
    <w:rsid w:val="001628F1"/>
    <w:rsid w:val="00162D1F"/>
    <w:rsid w:val="00163000"/>
    <w:rsid w:val="00163DD5"/>
    <w:rsid w:val="001646B0"/>
    <w:rsid w:val="00164FE2"/>
    <w:rsid w:val="00165333"/>
    <w:rsid w:val="001655AB"/>
    <w:rsid w:val="00165817"/>
    <w:rsid w:val="00165FBB"/>
    <w:rsid w:val="001662FC"/>
    <w:rsid w:val="001668AF"/>
    <w:rsid w:val="001707C2"/>
    <w:rsid w:val="0017080C"/>
    <w:rsid w:val="001709B8"/>
    <w:rsid w:val="00170A1A"/>
    <w:rsid w:val="00170AF8"/>
    <w:rsid w:val="00171E5A"/>
    <w:rsid w:val="00172A4C"/>
    <w:rsid w:val="00174A28"/>
    <w:rsid w:val="0017669A"/>
    <w:rsid w:val="001770B2"/>
    <w:rsid w:val="0017794D"/>
    <w:rsid w:val="00177E86"/>
    <w:rsid w:val="001803B9"/>
    <w:rsid w:val="00180825"/>
    <w:rsid w:val="00180B2B"/>
    <w:rsid w:val="00180C98"/>
    <w:rsid w:val="00181048"/>
    <w:rsid w:val="00181673"/>
    <w:rsid w:val="001818DD"/>
    <w:rsid w:val="00181E8E"/>
    <w:rsid w:val="00183647"/>
    <w:rsid w:val="0018376B"/>
    <w:rsid w:val="00183D71"/>
    <w:rsid w:val="00183E62"/>
    <w:rsid w:val="001850AE"/>
    <w:rsid w:val="00185E47"/>
    <w:rsid w:val="00186597"/>
    <w:rsid w:val="00186C66"/>
    <w:rsid w:val="001902C2"/>
    <w:rsid w:val="0019157E"/>
    <w:rsid w:val="00191B2D"/>
    <w:rsid w:val="00192082"/>
    <w:rsid w:val="0019257C"/>
    <w:rsid w:val="001927A8"/>
    <w:rsid w:val="00192E47"/>
    <w:rsid w:val="00193193"/>
    <w:rsid w:val="001933CE"/>
    <w:rsid w:val="0019539E"/>
    <w:rsid w:val="0019594D"/>
    <w:rsid w:val="0019772B"/>
    <w:rsid w:val="001A040C"/>
    <w:rsid w:val="001A0CA1"/>
    <w:rsid w:val="001A11A5"/>
    <w:rsid w:val="001A1504"/>
    <w:rsid w:val="001A1FD5"/>
    <w:rsid w:val="001A2169"/>
    <w:rsid w:val="001A2AA0"/>
    <w:rsid w:val="001A2C2D"/>
    <w:rsid w:val="001A3DAC"/>
    <w:rsid w:val="001A5BBC"/>
    <w:rsid w:val="001A6EC5"/>
    <w:rsid w:val="001A6F81"/>
    <w:rsid w:val="001B06CA"/>
    <w:rsid w:val="001B0E28"/>
    <w:rsid w:val="001B161F"/>
    <w:rsid w:val="001B191E"/>
    <w:rsid w:val="001B27CC"/>
    <w:rsid w:val="001B2813"/>
    <w:rsid w:val="001B2AB2"/>
    <w:rsid w:val="001B33A4"/>
    <w:rsid w:val="001B3E84"/>
    <w:rsid w:val="001B4D87"/>
    <w:rsid w:val="001B5416"/>
    <w:rsid w:val="001B5C48"/>
    <w:rsid w:val="001B6656"/>
    <w:rsid w:val="001B6E16"/>
    <w:rsid w:val="001B723B"/>
    <w:rsid w:val="001B7641"/>
    <w:rsid w:val="001C06E9"/>
    <w:rsid w:val="001C190F"/>
    <w:rsid w:val="001C2997"/>
    <w:rsid w:val="001C2A56"/>
    <w:rsid w:val="001C3298"/>
    <w:rsid w:val="001C5E5D"/>
    <w:rsid w:val="001C5F4F"/>
    <w:rsid w:val="001C710B"/>
    <w:rsid w:val="001D14D8"/>
    <w:rsid w:val="001D1795"/>
    <w:rsid w:val="001D25F4"/>
    <w:rsid w:val="001D27ED"/>
    <w:rsid w:val="001D2E39"/>
    <w:rsid w:val="001D3780"/>
    <w:rsid w:val="001D49BC"/>
    <w:rsid w:val="001D4C93"/>
    <w:rsid w:val="001D5EEC"/>
    <w:rsid w:val="001D5F4B"/>
    <w:rsid w:val="001D79CF"/>
    <w:rsid w:val="001D7C46"/>
    <w:rsid w:val="001E127E"/>
    <w:rsid w:val="001E1758"/>
    <w:rsid w:val="001E1E24"/>
    <w:rsid w:val="001E2D20"/>
    <w:rsid w:val="001E31D0"/>
    <w:rsid w:val="001E5205"/>
    <w:rsid w:val="001E5BEF"/>
    <w:rsid w:val="001E5E95"/>
    <w:rsid w:val="001E5F02"/>
    <w:rsid w:val="001E6332"/>
    <w:rsid w:val="001E75D7"/>
    <w:rsid w:val="001E7F3C"/>
    <w:rsid w:val="001F23D6"/>
    <w:rsid w:val="001F2640"/>
    <w:rsid w:val="001F392B"/>
    <w:rsid w:val="001F3E92"/>
    <w:rsid w:val="001F6544"/>
    <w:rsid w:val="001F666D"/>
    <w:rsid w:val="00200040"/>
    <w:rsid w:val="0020128B"/>
    <w:rsid w:val="00201789"/>
    <w:rsid w:val="00201F09"/>
    <w:rsid w:val="00202F5D"/>
    <w:rsid w:val="00203374"/>
    <w:rsid w:val="00203987"/>
    <w:rsid w:val="002048B3"/>
    <w:rsid w:val="00205E8B"/>
    <w:rsid w:val="00206BD1"/>
    <w:rsid w:val="002073FD"/>
    <w:rsid w:val="0021041B"/>
    <w:rsid w:val="00210F5C"/>
    <w:rsid w:val="002115C9"/>
    <w:rsid w:val="00211E99"/>
    <w:rsid w:val="00212D31"/>
    <w:rsid w:val="00213376"/>
    <w:rsid w:val="002140DF"/>
    <w:rsid w:val="002150EF"/>
    <w:rsid w:val="002158A3"/>
    <w:rsid w:val="00216145"/>
    <w:rsid w:val="00216B81"/>
    <w:rsid w:val="002201D6"/>
    <w:rsid w:val="00220EC8"/>
    <w:rsid w:val="00222CC7"/>
    <w:rsid w:val="00224AC6"/>
    <w:rsid w:val="00225F3C"/>
    <w:rsid w:val="00226696"/>
    <w:rsid w:val="00230118"/>
    <w:rsid w:val="00230405"/>
    <w:rsid w:val="00231102"/>
    <w:rsid w:val="00231BE9"/>
    <w:rsid w:val="00232D58"/>
    <w:rsid w:val="0023377F"/>
    <w:rsid w:val="00234C51"/>
    <w:rsid w:val="00234CFA"/>
    <w:rsid w:val="00234DBC"/>
    <w:rsid w:val="0023522F"/>
    <w:rsid w:val="00236025"/>
    <w:rsid w:val="00237195"/>
    <w:rsid w:val="002372EC"/>
    <w:rsid w:val="00237311"/>
    <w:rsid w:val="002376EA"/>
    <w:rsid w:val="00237F85"/>
    <w:rsid w:val="00240F5D"/>
    <w:rsid w:val="00240FD9"/>
    <w:rsid w:val="002416B3"/>
    <w:rsid w:val="00241B26"/>
    <w:rsid w:val="002423EE"/>
    <w:rsid w:val="00243F54"/>
    <w:rsid w:val="0024456B"/>
    <w:rsid w:val="0024470F"/>
    <w:rsid w:val="002447DE"/>
    <w:rsid w:val="00244A69"/>
    <w:rsid w:val="00245FD3"/>
    <w:rsid w:val="0024795F"/>
    <w:rsid w:val="00247FAD"/>
    <w:rsid w:val="002502E5"/>
    <w:rsid w:val="00250F86"/>
    <w:rsid w:val="00251532"/>
    <w:rsid w:val="00251E02"/>
    <w:rsid w:val="002523A0"/>
    <w:rsid w:val="00252FA6"/>
    <w:rsid w:val="002540FE"/>
    <w:rsid w:val="0025580C"/>
    <w:rsid w:val="00257DAF"/>
    <w:rsid w:val="00260B8A"/>
    <w:rsid w:val="002610A4"/>
    <w:rsid w:val="002610B7"/>
    <w:rsid w:val="00262746"/>
    <w:rsid w:val="0026279E"/>
    <w:rsid w:val="002629B8"/>
    <w:rsid w:val="002637B7"/>
    <w:rsid w:val="00263953"/>
    <w:rsid w:val="00265662"/>
    <w:rsid w:val="00265BBF"/>
    <w:rsid w:val="00267E1E"/>
    <w:rsid w:val="00267E9D"/>
    <w:rsid w:val="002703F5"/>
    <w:rsid w:val="002704A0"/>
    <w:rsid w:val="00270AF3"/>
    <w:rsid w:val="00271033"/>
    <w:rsid w:val="0027225B"/>
    <w:rsid w:val="002732F3"/>
    <w:rsid w:val="0027564C"/>
    <w:rsid w:val="00275BEC"/>
    <w:rsid w:val="0027713A"/>
    <w:rsid w:val="00281C26"/>
    <w:rsid w:val="00281D6C"/>
    <w:rsid w:val="0028211A"/>
    <w:rsid w:val="0028256C"/>
    <w:rsid w:val="00283055"/>
    <w:rsid w:val="002837C4"/>
    <w:rsid w:val="00283EEB"/>
    <w:rsid w:val="00283F53"/>
    <w:rsid w:val="00284846"/>
    <w:rsid w:val="002872BC"/>
    <w:rsid w:val="00287A4C"/>
    <w:rsid w:val="00287CB6"/>
    <w:rsid w:val="00290279"/>
    <w:rsid w:val="002904A8"/>
    <w:rsid w:val="002904C1"/>
    <w:rsid w:val="00291639"/>
    <w:rsid w:val="002917A2"/>
    <w:rsid w:val="002919BB"/>
    <w:rsid w:val="00292075"/>
    <w:rsid w:val="002931D7"/>
    <w:rsid w:val="00293D18"/>
    <w:rsid w:val="00293E83"/>
    <w:rsid w:val="00294734"/>
    <w:rsid w:val="00294AA6"/>
    <w:rsid w:val="0029727E"/>
    <w:rsid w:val="002974EF"/>
    <w:rsid w:val="002A058A"/>
    <w:rsid w:val="002A13A2"/>
    <w:rsid w:val="002A20AE"/>
    <w:rsid w:val="002A26E6"/>
    <w:rsid w:val="002A3510"/>
    <w:rsid w:val="002A42AF"/>
    <w:rsid w:val="002A49B2"/>
    <w:rsid w:val="002A6BEB"/>
    <w:rsid w:val="002A7012"/>
    <w:rsid w:val="002B1021"/>
    <w:rsid w:val="002B1CC8"/>
    <w:rsid w:val="002B28C1"/>
    <w:rsid w:val="002B2A04"/>
    <w:rsid w:val="002B372A"/>
    <w:rsid w:val="002B3DEC"/>
    <w:rsid w:val="002B4C13"/>
    <w:rsid w:val="002B4F74"/>
    <w:rsid w:val="002B519C"/>
    <w:rsid w:val="002B51A0"/>
    <w:rsid w:val="002B5512"/>
    <w:rsid w:val="002B5D48"/>
    <w:rsid w:val="002B6A29"/>
    <w:rsid w:val="002B6B73"/>
    <w:rsid w:val="002B771D"/>
    <w:rsid w:val="002B7E49"/>
    <w:rsid w:val="002C13D2"/>
    <w:rsid w:val="002C1617"/>
    <w:rsid w:val="002C225E"/>
    <w:rsid w:val="002C22ED"/>
    <w:rsid w:val="002C2458"/>
    <w:rsid w:val="002C3A42"/>
    <w:rsid w:val="002C4831"/>
    <w:rsid w:val="002C60DA"/>
    <w:rsid w:val="002C75C7"/>
    <w:rsid w:val="002C7C32"/>
    <w:rsid w:val="002C7CEB"/>
    <w:rsid w:val="002D00B5"/>
    <w:rsid w:val="002D0460"/>
    <w:rsid w:val="002D0E9E"/>
    <w:rsid w:val="002D0EF1"/>
    <w:rsid w:val="002D30A1"/>
    <w:rsid w:val="002D3B6A"/>
    <w:rsid w:val="002D3E53"/>
    <w:rsid w:val="002D3F3F"/>
    <w:rsid w:val="002D49F3"/>
    <w:rsid w:val="002D4FD4"/>
    <w:rsid w:val="002D548A"/>
    <w:rsid w:val="002D55E7"/>
    <w:rsid w:val="002D5618"/>
    <w:rsid w:val="002D5C8A"/>
    <w:rsid w:val="002D64F0"/>
    <w:rsid w:val="002D6AC2"/>
    <w:rsid w:val="002D7319"/>
    <w:rsid w:val="002D7868"/>
    <w:rsid w:val="002D7A6C"/>
    <w:rsid w:val="002E248E"/>
    <w:rsid w:val="002E2720"/>
    <w:rsid w:val="002E41B1"/>
    <w:rsid w:val="002E693C"/>
    <w:rsid w:val="002E7726"/>
    <w:rsid w:val="002E778F"/>
    <w:rsid w:val="002E7FB0"/>
    <w:rsid w:val="002F0145"/>
    <w:rsid w:val="002F12EA"/>
    <w:rsid w:val="002F1A1A"/>
    <w:rsid w:val="002F1B2E"/>
    <w:rsid w:val="002F27FB"/>
    <w:rsid w:val="002F40FD"/>
    <w:rsid w:val="002F4853"/>
    <w:rsid w:val="002F5B07"/>
    <w:rsid w:val="002F6102"/>
    <w:rsid w:val="002F6312"/>
    <w:rsid w:val="002F634E"/>
    <w:rsid w:val="002F675E"/>
    <w:rsid w:val="002F76A9"/>
    <w:rsid w:val="002F7C39"/>
    <w:rsid w:val="00300A2B"/>
    <w:rsid w:val="00301A8E"/>
    <w:rsid w:val="0030519A"/>
    <w:rsid w:val="003053BE"/>
    <w:rsid w:val="00306069"/>
    <w:rsid w:val="003067E9"/>
    <w:rsid w:val="00306B17"/>
    <w:rsid w:val="00306E05"/>
    <w:rsid w:val="00310596"/>
    <w:rsid w:val="00312195"/>
    <w:rsid w:val="00312670"/>
    <w:rsid w:val="00312D66"/>
    <w:rsid w:val="003133DD"/>
    <w:rsid w:val="00313F64"/>
    <w:rsid w:val="00315F21"/>
    <w:rsid w:val="00316299"/>
    <w:rsid w:val="00316E19"/>
    <w:rsid w:val="00316FEF"/>
    <w:rsid w:val="0031742A"/>
    <w:rsid w:val="00317517"/>
    <w:rsid w:val="00320549"/>
    <w:rsid w:val="00321869"/>
    <w:rsid w:val="0032189A"/>
    <w:rsid w:val="00322AB4"/>
    <w:rsid w:val="003233B1"/>
    <w:rsid w:val="00324DA4"/>
    <w:rsid w:val="00325AE7"/>
    <w:rsid w:val="00327650"/>
    <w:rsid w:val="0032793D"/>
    <w:rsid w:val="00330110"/>
    <w:rsid w:val="0033143D"/>
    <w:rsid w:val="003316EC"/>
    <w:rsid w:val="00331D49"/>
    <w:rsid w:val="00333787"/>
    <w:rsid w:val="00333E4D"/>
    <w:rsid w:val="00333FF2"/>
    <w:rsid w:val="00334654"/>
    <w:rsid w:val="003351C3"/>
    <w:rsid w:val="00336434"/>
    <w:rsid w:val="00337759"/>
    <w:rsid w:val="00341C72"/>
    <w:rsid w:val="0034332B"/>
    <w:rsid w:val="0034357F"/>
    <w:rsid w:val="00346144"/>
    <w:rsid w:val="0034621F"/>
    <w:rsid w:val="00346C75"/>
    <w:rsid w:val="00346CD0"/>
    <w:rsid w:val="00347F44"/>
    <w:rsid w:val="00350821"/>
    <w:rsid w:val="003508EA"/>
    <w:rsid w:val="00351193"/>
    <w:rsid w:val="00351E50"/>
    <w:rsid w:val="00351F10"/>
    <w:rsid w:val="0035289E"/>
    <w:rsid w:val="00352E16"/>
    <w:rsid w:val="00352EF4"/>
    <w:rsid w:val="003530A6"/>
    <w:rsid w:val="0035438E"/>
    <w:rsid w:val="00354704"/>
    <w:rsid w:val="00357199"/>
    <w:rsid w:val="00361EE0"/>
    <w:rsid w:val="003625F1"/>
    <w:rsid w:val="00362A23"/>
    <w:rsid w:val="00362BDE"/>
    <w:rsid w:val="0036342C"/>
    <w:rsid w:val="00363A6F"/>
    <w:rsid w:val="0036408B"/>
    <w:rsid w:val="00364BD6"/>
    <w:rsid w:val="00365026"/>
    <w:rsid w:val="00365074"/>
    <w:rsid w:val="00365F00"/>
    <w:rsid w:val="00366E5F"/>
    <w:rsid w:val="00367823"/>
    <w:rsid w:val="003679A6"/>
    <w:rsid w:val="00367F1E"/>
    <w:rsid w:val="00371097"/>
    <w:rsid w:val="003720F9"/>
    <w:rsid w:val="0037222D"/>
    <w:rsid w:val="0037269D"/>
    <w:rsid w:val="00372AE9"/>
    <w:rsid w:val="00373C42"/>
    <w:rsid w:val="00374107"/>
    <w:rsid w:val="00374E81"/>
    <w:rsid w:val="00375C73"/>
    <w:rsid w:val="00375C9C"/>
    <w:rsid w:val="00375E4B"/>
    <w:rsid w:val="0037610E"/>
    <w:rsid w:val="00376A08"/>
    <w:rsid w:val="00377872"/>
    <w:rsid w:val="00377B86"/>
    <w:rsid w:val="00380248"/>
    <w:rsid w:val="00380C63"/>
    <w:rsid w:val="00381AEA"/>
    <w:rsid w:val="00382054"/>
    <w:rsid w:val="00382960"/>
    <w:rsid w:val="00382CFD"/>
    <w:rsid w:val="00382E31"/>
    <w:rsid w:val="00383812"/>
    <w:rsid w:val="0038438B"/>
    <w:rsid w:val="003844F9"/>
    <w:rsid w:val="00385203"/>
    <w:rsid w:val="00385D19"/>
    <w:rsid w:val="00385E5E"/>
    <w:rsid w:val="00387FE6"/>
    <w:rsid w:val="003907BF"/>
    <w:rsid w:val="00390F53"/>
    <w:rsid w:val="0039472E"/>
    <w:rsid w:val="003A07AE"/>
    <w:rsid w:val="003A0C5F"/>
    <w:rsid w:val="003A16DC"/>
    <w:rsid w:val="003A1DF6"/>
    <w:rsid w:val="003A36F5"/>
    <w:rsid w:val="003A4078"/>
    <w:rsid w:val="003A5A64"/>
    <w:rsid w:val="003A6107"/>
    <w:rsid w:val="003A6363"/>
    <w:rsid w:val="003A6A60"/>
    <w:rsid w:val="003A7FDF"/>
    <w:rsid w:val="003B00AB"/>
    <w:rsid w:val="003B0824"/>
    <w:rsid w:val="003B1627"/>
    <w:rsid w:val="003B7350"/>
    <w:rsid w:val="003C03BE"/>
    <w:rsid w:val="003C1A76"/>
    <w:rsid w:val="003C2B8C"/>
    <w:rsid w:val="003C3233"/>
    <w:rsid w:val="003C35DD"/>
    <w:rsid w:val="003C4BD9"/>
    <w:rsid w:val="003D0187"/>
    <w:rsid w:val="003D0193"/>
    <w:rsid w:val="003D03F0"/>
    <w:rsid w:val="003D09B1"/>
    <w:rsid w:val="003D0A44"/>
    <w:rsid w:val="003D0C77"/>
    <w:rsid w:val="003D1B1E"/>
    <w:rsid w:val="003D3178"/>
    <w:rsid w:val="003D337E"/>
    <w:rsid w:val="003D3C53"/>
    <w:rsid w:val="003D46BC"/>
    <w:rsid w:val="003D5315"/>
    <w:rsid w:val="003D5AD6"/>
    <w:rsid w:val="003D5F19"/>
    <w:rsid w:val="003D6A6D"/>
    <w:rsid w:val="003D6D48"/>
    <w:rsid w:val="003D7A34"/>
    <w:rsid w:val="003E20B2"/>
    <w:rsid w:val="003E24A2"/>
    <w:rsid w:val="003E3D48"/>
    <w:rsid w:val="003E5158"/>
    <w:rsid w:val="003E588C"/>
    <w:rsid w:val="003F007C"/>
    <w:rsid w:val="003F0C1B"/>
    <w:rsid w:val="003F1D9D"/>
    <w:rsid w:val="003F27B4"/>
    <w:rsid w:val="003F2DD4"/>
    <w:rsid w:val="003F3313"/>
    <w:rsid w:val="003F369B"/>
    <w:rsid w:val="003F3C38"/>
    <w:rsid w:val="003F5B22"/>
    <w:rsid w:val="003F6F79"/>
    <w:rsid w:val="003F7193"/>
    <w:rsid w:val="003F78B3"/>
    <w:rsid w:val="0040008D"/>
    <w:rsid w:val="004001FA"/>
    <w:rsid w:val="0040165C"/>
    <w:rsid w:val="004017A8"/>
    <w:rsid w:val="00402599"/>
    <w:rsid w:val="00403482"/>
    <w:rsid w:val="00403761"/>
    <w:rsid w:val="0040384F"/>
    <w:rsid w:val="00403AEF"/>
    <w:rsid w:val="00404DAC"/>
    <w:rsid w:val="00406A0F"/>
    <w:rsid w:val="00406AB4"/>
    <w:rsid w:val="00406D8B"/>
    <w:rsid w:val="00407644"/>
    <w:rsid w:val="00407C87"/>
    <w:rsid w:val="00411C92"/>
    <w:rsid w:val="00412585"/>
    <w:rsid w:val="00415670"/>
    <w:rsid w:val="0041683B"/>
    <w:rsid w:val="00417561"/>
    <w:rsid w:val="00420999"/>
    <w:rsid w:val="00421C68"/>
    <w:rsid w:val="00421D9C"/>
    <w:rsid w:val="00422546"/>
    <w:rsid w:val="004225FB"/>
    <w:rsid w:val="00422F36"/>
    <w:rsid w:val="004235FB"/>
    <w:rsid w:val="00423C9E"/>
    <w:rsid w:val="00424188"/>
    <w:rsid w:val="0042526A"/>
    <w:rsid w:val="0042569C"/>
    <w:rsid w:val="00425726"/>
    <w:rsid w:val="004258F5"/>
    <w:rsid w:val="00425EFE"/>
    <w:rsid w:val="0042653F"/>
    <w:rsid w:val="00426BAF"/>
    <w:rsid w:val="00426CD5"/>
    <w:rsid w:val="00427253"/>
    <w:rsid w:val="00427DCB"/>
    <w:rsid w:val="00433C0C"/>
    <w:rsid w:val="00433C29"/>
    <w:rsid w:val="00433C4B"/>
    <w:rsid w:val="00434468"/>
    <w:rsid w:val="004347A9"/>
    <w:rsid w:val="00434A1C"/>
    <w:rsid w:val="00435140"/>
    <w:rsid w:val="00435234"/>
    <w:rsid w:val="0043590F"/>
    <w:rsid w:val="00436794"/>
    <w:rsid w:val="00436FAE"/>
    <w:rsid w:val="00437DC0"/>
    <w:rsid w:val="00442284"/>
    <w:rsid w:val="00443C56"/>
    <w:rsid w:val="00443EC0"/>
    <w:rsid w:val="004444DD"/>
    <w:rsid w:val="00444F8D"/>
    <w:rsid w:val="00445682"/>
    <w:rsid w:val="004458FB"/>
    <w:rsid w:val="00447856"/>
    <w:rsid w:val="00450403"/>
    <w:rsid w:val="004504DD"/>
    <w:rsid w:val="004506DD"/>
    <w:rsid w:val="0045107F"/>
    <w:rsid w:val="004520E8"/>
    <w:rsid w:val="00453370"/>
    <w:rsid w:val="00454065"/>
    <w:rsid w:val="004540C3"/>
    <w:rsid w:val="00454A07"/>
    <w:rsid w:val="00455AC8"/>
    <w:rsid w:val="00456D92"/>
    <w:rsid w:val="004605E5"/>
    <w:rsid w:val="0046082A"/>
    <w:rsid w:val="00461E0C"/>
    <w:rsid w:val="00462163"/>
    <w:rsid w:val="00462530"/>
    <w:rsid w:val="00462AB2"/>
    <w:rsid w:val="00463AF0"/>
    <w:rsid w:val="004644B7"/>
    <w:rsid w:val="00464715"/>
    <w:rsid w:val="00470C7B"/>
    <w:rsid w:val="004710C1"/>
    <w:rsid w:val="0047123A"/>
    <w:rsid w:val="00471EB1"/>
    <w:rsid w:val="00473D2C"/>
    <w:rsid w:val="00473FF5"/>
    <w:rsid w:val="00474A3A"/>
    <w:rsid w:val="00475589"/>
    <w:rsid w:val="00475EB4"/>
    <w:rsid w:val="004762A6"/>
    <w:rsid w:val="00477D1D"/>
    <w:rsid w:val="004805AF"/>
    <w:rsid w:val="004806CA"/>
    <w:rsid w:val="004827BA"/>
    <w:rsid w:val="00483271"/>
    <w:rsid w:val="0048396F"/>
    <w:rsid w:val="00483C67"/>
    <w:rsid w:val="004855F0"/>
    <w:rsid w:val="00486498"/>
    <w:rsid w:val="004864AB"/>
    <w:rsid w:val="004869F7"/>
    <w:rsid w:val="0048709E"/>
    <w:rsid w:val="004871C0"/>
    <w:rsid w:val="00490266"/>
    <w:rsid w:val="00490D34"/>
    <w:rsid w:val="00490F0C"/>
    <w:rsid w:val="00490FEB"/>
    <w:rsid w:val="00492EE9"/>
    <w:rsid w:val="004935BD"/>
    <w:rsid w:val="00494067"/>
    <w:rsid w:val="004948B7"/>
    <w:rsid w:val="00495094"/>
    <w:rsid w:val="00495399"/>
    <w:rsid w:val="00496DB9"/>
    <w:rsid w:val="00497111"/>
    <w:rsid w:val="0049728A"/>
    <w:rsid w:val="00497453"/>
    <w:rsid w:val="00497B0B"/>
    <w:rsid w:val="00497BFB"/>
    <w:rsid w:val="00497EDD"/>
    <w:rsid w:val="004A0B6F"/>
    <w:rsid w:val="004A1D4F"/>
    <w:rsid w:val="004A2107"/>
    <w:rsid w:val="004A276F"/>
    <w:rsid w:val="004A2E19"/>
    <w:rsid w:val="004A496A"/>
    <w:rsid w:val="004A4991"/>
    <w:rsid w:val="004A5A82"/>
    <w:rsid w:val="004A6149"/>
    <w:rsid w:val="004A6419"/>
    <w:rsid w:val="004A7021"/>
    <w:rsid w:val="004A77AC"/>
    <w:rsid w:val="004A77E7"/>
    <w:rsid w:val="004B01BD"/>
    <w:rsid w:val="004B2F9A"/>
    <w:rsid w:val="004B4A62"/>
    <w:rsid w:val="004B5092"/>
    <w:rsid w:val="004B531D"/>
    <w:rsid w:val="004B5671"/>
    <w:rsid w:val="004B6D98"/>
    <w:rsid w:val="004B70FF"/>
    <w:rsid w:val="004B724F"/>
    <w:rsid w:val="004B785E"/>
    <w:rsid w:val="004C2271"/>
    <w:rsid w:val="004C30B4"/>
    <w:rsid w:val="004C3515"/>
    <w:rsid w:val="004C4467"/>
    <w:rsid w:val="004C4AD0"/>
    <w:rsid w:val="004C58A2"/>
    <w:rsid w:val="004C71AD"/>
    <w:rsid w:val="004D0667"/>
    <w:rsid w:val="004D0FED"/>
    <w:rsid w:val="004D1268"/>
    <w:rsid w:val="004D12A0"/>
    <w:rsid w:val="004D196B"/>
    <w:rsid w:val="004D24E9"/>
    <w:rsid w:val="004D260F"/>
    <w:rsid w:val="004D2A7E"/>
    <w:rsid w:val="004D3359"/>
    <w:rsid w:val="004D36C9"/>
    <w:rsid w:val="004D4305"/>
    <w:rsid w:val="004D5406"/>
    <w:rsid w:val="004D5425"/>
    <w:rsid w:val="004D6017"/>
    <w:rsid w:val="004D75DE"/>
    <w:rsid w:val="004D78B1"/>
    <w:rsid w:val="004D7D94"/>
    <w:rsid w:val="004E0989"/>
    <w:rsid w:val="004E0B76"/>
    <w:rsid w:val="004E13C2"/>
    <w:rsid w:val="004E2595"/>
    <w:rsid w:val="004E269A"/>
    <w:rsid w:val="004E372B"/>
    <w:rsid w:val="004E3A76"/>
    <w:rsid w:val="004E3B99"/>
    <w:rsid w:val="004E421B"/>
    <w:rsid w:val="004E5C31"/>
    <w:rsid w:val="004E64F8"/>
    <w:rsid w:val="004E6F43"/>
    <w:rsid w:val="004F1E85"/>
    <w:rsid w:val="004F3681"/>
    <w:rsid w:val="004F3858"/>
    <w:rsid w:val="004F5653"/>
    <w:rsid w:val="004F5F8A"/>
    <w:rsid w:val="00500364"/>
    <w:rsid w:val="0050047C"/>
    <w:rsid w:val="005004E5"/>
    <w:rsid w:val="00500906"/>
    <w:rsid w:val="00500A1D"/>
    <w:rsid w:val="005012EC"/>
    <w:rsid w:val="005012F3"/>
    <w:rsid w:val="005013BF"/>
    <w:rsid w:val="0050194A"/>
    <w:rsid w:val="00502075"/>
    <w:rsid w:val="005032B7"/>
    <w:rsid w:val="00503A6E"/>
    <w:rsid w:val="005042E3"/>
    <w:rsid w:val="00504E50"/>
    <w:rsid w:val="0051056C"/>
    <w:rsid w:val="005139EC"/>
    <w:rsid w:val="00513F7B"/>
    <w:rsid w:val="00515A94"/>
    <w:rsid w:val="0051671C"/>
    <w:rsid w:val="00517BEE"/>
    <w:rsid w:val="005224B8"/>
    <w:rsid w:val="00522816"/>
    <w:rsid w:val="00522C61"/>
    <w:rsid w:val="0052321B"/>
    <w:rsid w:val="005243E7"/>
    <w:rsid w:val="00524AEE"/>
    <w:rsid w:val="00524F8C"/>
    <w:rsid w:val="0052782B"/>
    <w:rsid w:val="005279F2"/>
    <w:rsid w:val="005317F5"/>
    <w:rsid w:val="00531925"/>
    <w:rsid w:val="00531BA8"/>
    <w:rsid w:val="00531C72"/>
    <w:rsid w:val="00532CDA"/>
    <w:rsid w:val="00532F3D"/>
    <w:rsid w:val="00533367"/>
    <w:rsid w:val="00533DE1"/>
    <w:rsid w:val="00536F15"/>
    <w:rsid w:val="00537418"/>
    <w:rsid w:val="005378CE"/>
    <w:rsid w:val="00537C87"/>
    <w:rsid w:val="005408A6"/>
    <w:rsid w:val="00540916"/>
    <w:rsid w:val="00540F44"/>
    <w:rsid w:val="005416BB"/>
    <w:rsid w:val="00541ED5"/>
    <w:rsid w:val="00542554"/>
    <w:rsid w:val="005425B3"/>
    <w:rsid w:val="005426D0"/>
    <w:rsid w:val="005432DB"/>
    <w:rsid w:val="0054347C"/>
    <w:rsid w:val="0055223C"/>
    <w:rsid w:val="005524C8"/>
    <w:rsid w:val="0055278D"/>
    <w:rsid w:val="005533F9"/>
    <w:rsid w:val="00553435"/>
    <w:rsid w:val="005544AB"/>
    <w:rsid w:val="0055479C"/>
    <w:rsid w:val="0055529D"/>
    <w:rsid w:val="005559C3"/>
    <w:rsid w:val="00556BA3"/>
    <w:rsid w:val="00561489"/>
    <w:rsid w:val="00563086"/>
    <w:rsid w:val="0056335F"/>
    <w:rsid w:val="00567536"/>
    <w:rsid w:val="00567F26"/>
    <w:rsid w:val="005701E5"/>
    <w:rsid w:val="0057032B"/>
    <w:rsid w:val="005705EF"/>
    <w:rsid w:val="0057062B"/>
    <w:rsid w:val="0057161D"/>
    <w:rsid w:val="00572753"/>
    <w:rsid w:val="00572F07"/>
    <w:rsid w:val="00574C13"/>
    <w:rsid w:val="0057507C"/>
    <w:rsid w:val="00576152"/>
    <w:rsid w:val="00576C1A"/>
    <w:rsid w:val="005774B7"/>
    <w:rsid w:val="0057797D"/>
    <w:rsid w:val="0058038B"/>
    <w:rsid w:val="00580418"/>
    <w:rsid w:val="00580545"/>
    <w:rsid w:val="00581B81"/>
    <w:rsid w:val="00581F83"/>
    <w:rsid w:val="00582007"/>
    <w:rsid w:val="00582424"/>
    <w:rsid w:val="0058350E"/>
    <w:rsid w:val="00584029"/>
    <w:rsid w:val="005844B0"/>
    <w:rsid w:val="00584E81"/>
    <w:rsid w:val="0058513A"/>
    <w:rsid w:val="00587090"/>
    <w:rsid w:val="00587E98"/>
    <w:rsid w:val="00590DC6"/>
    <w:rsid w:val="005935DB"/>
    <w:rsid w:val="0059448D"/>
    <w:rsid w:val="00594C83"/>
    <w:rsid w:val="00596E6D"/>
    <w:rsid w:val="005A0057"/>
    <w:rsid w:val="005A0344"/>
    <w:rsid w:val="005A0AB9"/>
    <w:rsid w:val="005A12D3"/>
    <w:rsid w:val="005A1A5E"/>
    <w:rsid w:val="005A237B"/>
    <w:rsid w:val="005A27D8"/>
    <w:rsid w:val="005A2BA2"/>
    <w:rsid w:val="005A3E34"/>
    <w:rsid w:val="005A464E"/>
    <w:rsid w:val="005A4AAF"/>
    <w:rsid w:val="005A540F"/>
    <w:rsid w:val="005A5662"/>
    <w:rsid w:val="005A6BD3"/>
    <w:rsid w:val="005A6D1C"/>
    <w:rsid w:val="005B0BB8"/>
    <w:rsid w:val="005B1032"/>
    <w:rsid w:val="005B117A"/>
    <w:rsid w:val="005B1435"/>
    <w:rsid w:val="005B48BE"/>
    <w:rsid w:val="005B510C"/>
    <w:rsid w:val="005B51A6"/>
    <w:rsid w:val="005B52AE"/>
    <w:rsid w:val="005B53B9"/>
    <w:rsid w:val="005B5676"/>
    <w:rsid w:val="005B56B3"/>
    <w:rsid w:val="005B5CF7"/>
    <w:rsid w:val="005B6924"/>
    <w:rsid w:val="005B6B41"/>
    <w:rsid w:val="005B6C02"/>
    <w:rsid w:val="005B6C3A"/>
    <w:rsid w:val="005B710C"/>
    <w:rsid w:val="005B732E"/>
    <w:rsid w:val="005B751D"/>
    <w:rsid w:val="005C0A65"/>
    <w:rsid w:val="005C0E1C"/>
    <w:rsid w:val="005C1F88"/>
    <w:rsid w:val="005C2087"/>
    <w:rsid w:val="005C3304"/>
    <w:rsid w:val="005C36BE"/>
    <w:rsid w:val="005C43A7"/>
    <w:rsid w:val="005C4C88"/>
    <w:rsid w:val="005C4F44"/>
    <w:rsid w:val="005C5B0C"/>
    <w:rsid w:val="005C6998"/>
    <w:rsid w:val="005C6C25"/>
    <w:rsid w:val="005C7347"/>
    <w:rsid w:val="005C73A4"/>
    <w:rsid w:val="005D19D6"/>
    <w:rsid w:val="005D2495"/>
    <w:rsid w:val="005D3362"/>
    <w:rsid w:val="005D4E36"/>
    <w:rsid w:val="005D61DB"/>
    <w:rsid w:val="005D70FB"/>
    <w:rsid w:val="005D7C55"/>
    <w:rsid w:val="005E0DE8"/>
    <w:rsid w:val="005E1487"/>
    <w:rsid w:val="005E1852"/>
    <w:rsid w:val="005E1C7F"/>
    <w:rsid w:val="005E219D"/>
    <w:rsid w:val="005E21FB"/>
    <w:rsid w:val="005E6403"/>
    <w:rsid w:val="005E720C"/>
    <w:rsid w:val="005E7354"/>
    <w:rsid w:val="005F01EF"/>
    <w:rsid w:val="005F0421"/>
    <w:rsid w:val="005F0D31"/>
    <w:rsid w:val="005F0D3C"/>
    <w:rsid w:val="005F167D"/>
    <w:rsid w:val="005F2B05"/>
    <w:rsid w:val="005F2DB5"/>
    <w:rsid w:val="005F38BE"/>
    <w:rsid w:val="005F464E"/>
    <w:rsid w:val="005F48A9"/>
    <w:rsid w:val="005F6106"/>
    <w:rsid w:val="005F674B"/>
    <w:rsid w:val="005F7897"/>
    <w:rsid w:val="006001EE"/>
    <w:rsid w:val="00600200"/>
    <w:rsid w:val="00601D90"/>
    <w:rsid w:val="00602898"/>
    <w:rsid w:val="006041D0"/>
    <w:rsid w:val="00604364"/>
    <w:rsid w:val="0060471A"/>
    <w:rsid w:val="00606F0F"/>
    <w:rsid w:val="0060721F"/>
    <w:rsid w:val="00607615"/>
    <w:rsid w:val="006121F0"/>
    <w:rsid w:val="00613053"/>
    <w:rsid w:val="00614220"/>
    <w:rsid w:val="00615758"/>
    <w:rsid w:val="006158A0"/>
    <w:rsid w:val="00615F69"/>
    <w:rsid w:val="00616129"/>
    <w:rsid w:val="00617319"/>
    <w:rsid w:val="00620782"/>
    <w:rsid w:val="00620A01"/>
    <w:rsid w:val="006210FB"/>
    <w:rsid w:val="0062210A"/>
    <w:rsid w:val="006226E7"/>
    <w:rsid w:val="006235AB"/>
    <w:rsid w:val="00624D44"/>
    <w:rsid w:val="006251EE"/>
    <w:rsid w:val="006256EF"/>
    <w:rsid w:val="0062578B"/>
    <w:rsid w:val="00626806"/>
    <w:rsid w:val="0062692C"/>
    <w:rsid w:val="00626F6B"/>
    <w:rsid w:val="00627937"/>
    <w:rsid w:val="00627CE5"/>
    <w:rsid w:val="00627F93"/>
    <w:rsid w:val="00630666"/>
    <w:rsid w:val="00630D39"/>
    <w:rsid w:val="00631751"/>
    <w:rsid w:val="0063287B"/>
    <w:rsid w:val="00632901"/>
    <w:rsid w:val="00632944"/>
    <w:rsid w:val="00633341"/>
    <w:rsid w:val="006342C2"/>
    <w:rsid w:val="00635113"/>
    <w:rsid w:val="006354F7"/>
    <w:rsid w:val="00636C8F"/>
    <w:rsid w:val="006375BA"/>
    <w:rsid w:val="00641D07"/>
    <w:rsid w:val="00643660"/>
    <w:rsid w:val="00643952"/>
    <w:rsid w:val="0064443E"/>
    <w:rsid w:val="00644991"/>
    <w:rsid w:val="00645148"/>
    <w:rsid w:val="006452B0"/>
    <w:rsid w:val="00646C90"/>
    <w:rsid w:val="006473A5"/>
    <w:rsid w:val="00647FCD"/>
    <w:rsid w:val="006514C9"/>
    <w:rsid w:val="00652B8D"/>
    <w:rsid w:val="0065473B"/>
    <w:rsid w:val="006549EF"/>
    <w:rsid w:val="00654A8A"/>
    <w:rsid w:val="0065548D"/>
    <w:rsid w:val="006561AA"/>
    <w:rsid w:val="0065671E"/>
    <w:rsid w:val="00657814"/>
    <w:rsid w:val="0066038A"/>
    <w:rsid w:val="00660D0C"/>
    <w:rsid w:val="00661232"/>
    <w:rsid w:val="00661575"/>
    <w:rsid w:val="0066160E"/>
    <w:rsid w:val="0066343A"/>
    <w:rsid w:val="0066429D"/>
    <w:rsid w:val="00664962"/>
    <w:rsid w:val="00664B50"/>
    <w:rsid w:val="006658E7"/>
    <w:rsid w:val="00665C1F"/>
    <w:rsid w:val="00665D8E"/>
    <w:rsid w:val="00665F27"/>
    <w:rsid w:val="00667963"/>
    <w:rsid w:val="00670A43"/>
    <w:rsid w:val="00670F40"/>
    <w:rsid w:val="00672E9E"/>
    <w:rsid w:val="00672FCC"/>
    <w:rsid w:val="006744D7"/>
    <w:rsid w:val="006751FC"/>
    <w:rsid w:val="0067544D"/>
    <w:rsid w:val="00675881"/>
    <w:rsid w:val="00675F26"/>
    <w:rsid w:val="00677B41"/>
    <w:rsid w:val="006812EB"/>
    <w:rsid w:val="00682274"/>
    <w:rsid w:val="006822D5"/>
    <w:rsid w:val="006823A7"/>
    <w:rsid w:val="00684866"/>
    <w:rsid w:val="00684979"/>
    <w:rsid w:val="00685BA9"/>
    <w:rsid w:val="00685BAB"/>
    <w:rsid w:val="00687381"/>
    <w:rsid w:val="0068759E"/>
    <w:rsid w:val="00690168"/>
    <w:rsid w:val="0069049A"/>
    <w:rsid w:val="00690CF0"/>
    <w:rsid w:val="00690EA2"/>
    <w:rsid w:val="00690FAD"/>
    <w:rsid w:val="006927BA"/>
    <w:rsid w:val="00692C5D"/>
    <w:rsid w:val="00692FEA"/>
    <w:rsid w:val="00693415"/>
    <w:rsid w:val="006947AC"/>
    <w:rsid w:val="00694AE3"/>
    <w:rsid w:val="00694E4B"/>
    <w:rsid w:val="00696216"/>
    <w:rsid w:val="00696638"/>
    <w:rsid w:val="006967BC"/>
    <w:rsid w:val="00697919"/>
    <w:rsid w:val="006A0581"/>
    <w:rsid w:val="006A08F0"/>
    <w:rsid w:val="006A126F"/>
    <w:rsid w:val="006A13B5"/>
    <w:rsid w:val="006A15F4"/>
    <w:rsid w:val="006A1831"/>
    <w:rsid w:val="006A3559"/>
    <w:rsid w:val="006A3AC1"/>
    <w:rsid w:val="006A4382"/>
    <w:rsid w:val="006A49ED"/>
    <w:rsid w:val="006A5996"/>
    <w:rsid w:val="006A61C9"/>
    <w:rsid w:val="006A6694"/>
    <w:rsid w:val="006A6851"/>
    <w:rsid w:val="006A719A"/>
    <w:rsid w:val="006A7967"/>
    <w:rsid w:val="006A7B8A"/>
    <w:rsid w:val="006B1323"/>
    <w:rsid w:val="006B177F"/>
    <w:rsid w:val="006B2CE1"/>
    <w:rsid w:val="006B483B"/>
    <w:rsid w:val="006B4F08"/>
    <w:rsid w:val="006B57F6"/>
    <w:rsid w:val="006B59C3"/>
    <w:rsid w:val="006B6600"/>
    <w:rsid w:val="006C0C20"/>
    <w:rsid w:val="006C4690"/>
    <w:rsid w:val="006C46A0"/>
    <w:rsid w:val="006C50FA"/>
    <w:rsid w:val="006C610F"/>
    <w:rsid w:val="006C68A0"/>
    <w:rsid w:val="006C6A67"/>
    <w:rsid w:val="006D07CC"/>
    <w:rsid w:val="006D0F4A"/>
    <w:rsid w:val="006D1443"/>
    <w:rsid w:val="006D1734"/>
    <w:rsid w:val="006D1831"/>
    <w:rsid w:val="006D198F"/>
    <w:rsid w:val="006D2328"/>
    <w:rsid w:val="006D3BB9"/>
    <w:rsid w:val="006D3CD2"/>
    <w:rsid w:val="006D41B1"/>
    <w:rsid w:val="006D4F11"/>
    <w:rsid w:val="006D59F3"/>
    <w:rsid w:val="006D5E60"/>
    <w:rsid w:val="006D6237"/>
    <w:rsid w:val="006D7637"/>
    <w:rsid w:val="006E0469"/>
    <w:rsid w:val="006E0C48"/>
    <w:rsid w:val="006E0D69"/>
    <w:rsid w:val="006E193B"/>
    <w:rsid w:val="006E1A0A"/>
    <w:rsid w:val="006E22C7"/>
    <w:rsid w:val="006E3E26"/>
    <w:rsid w:val="006E48C8"/>
    <w:rsid w:val="006E77FD"/>
    <w:rsid w:val="006E7B9B"/>
    <w:rsid w:val="006F15E5"/>
    <w:rsid w:val="006F1D7D"/>
    <w:rsid w:val="006F2621"/>
    <w:rsid w:val="006F2A3F"/>
    <w:rsid w:val="006F2C39"/>
    <w:rsid w:val="006F456A"/>
    <w:rsid w:val="006F46A2"/>
    <w:rsid w:val="006F472E"/>
    <w:rsid w:val="006F4EAE"/>
    <w:rsid w:val="006F621C"/>
    <w:rsid w:val="006F6602"/>
    <w:rsid w:val="00701C36"/>
    <w:rsid w:val="00701CCF"/>
    <w:rsid w:val="00701F11"/>
    <w:rsid w:val="00703865"/>
    <w:rsid w:val="007045B0"/>
    <w:rsid w:val="0070579E"/>
    <w:rsid w:val="00706CDF"/>
    <w:rsid w:val="007070AE"/>
    <w:rsid w:val="00707799"/>
    <w:rsid w:val="00707CD1"/>
    <w:rsid w:val="0071017B"/>
    <w:rsid w:val="00711528"/>
    <w:rsid w:val="0071300A"/>
    <w:rsid w:val="00713D60"/>
    <w:rsid w:val="00713E80"/>
    <w:rsid w:val="00714313"/>
    <w:rsid w:val="0071439B"/>
    <w:rsid w:val="0071511B"/>
    <w:rsid w:val="00716CDB"/>
    <w:rsid w:val="0071790B"/>
    <w:rsid w:val="007210E0"/>
    <w:rsid w:val="007227BE"/>
    <w:rsid w:val="0072315A"/>
    <w:rsid w:val="007231B9"/>
    <w:rsid w:val="00723EB9"/>
    <w:rsid w:val="00725572"/>
    <w:rsid w:val="00725939"/>
    <w:rsid w:val="00725F58"/>
    <w:rsid w:val="00727199"/>
    <w:rsid w:val="007271B2"/>
    <w:rsid w:val="0072796F"/>
    <w:rsid w:val="0073127C"/>
    <w:rsid w:val="007328F9"/>
    <w:rsid w:val="007340BD"/>
    <w:rsid w:val="007342DE"/>
    <w:rsid w:val="00735363"/>
    <w:rsid w:val="00737B27"/>
    <w:rsid w:val="00740FC4"/>
    <w:rsid w:val="007416EE"/>
    <w:rsid w:val="00741813"/>
    <w:rsid w:val="00743045"/>
    <w:rsid w:val="007436D9"/>
    <w:rsid w:val="00743F2F"/>
    <w:rsid w:val="00744767"/>
    <w:rsid w:val="00745231"/>
    <w:rsid w:val="00745B75"/>
    <w:rsid w:val="00747A4A"/>
    <w:rsid w:val="00747E60"/>
    <w:rsid w:val="00750121"/>
    <w:rsid w:val="00750F24"/>
    <w:rsid w:val="00753DD0"/>
    <w:rsid w:val="007546D3"/>
    <w:rsid w:val="007551C4"/>
    <w:rsid w:val="00755FA9"/>
    <w:rsid w:val="00756855"/>
    <w:rsid w:val="0075692C"/>
    <w:rsid w:val="00756FF8"/>
    <w:rsid w:val="00757AE5"/>
    <w:rsid w:val="00757B9F"/>
    <w:rsid w:val="007601CB"/>
    <w:rsid w:val="00760400"/>
    <w:rsid w:val="00761E4C"/>
    <w:rsid w:val="007623B9"/>
    <w:rsid w:val="00762D9E"/>
    <w:rsid w:val="00764547"/>
    <w:rsid w:val="007657C5"/>
    <w:rsid w:val="00766C34"/>
    <w:rsid w:val="007670D7"/>
    <w:rsid w:val="007672A5"/>
    <w:rsid w:val="007724B7"/>
    <w:rsid w:val="00773673"/>
    <w:rsid w:val="007743EF"/>
    <w:rsid w:val="007748FD"/>
    <w:rsid w:val="00775DE8"/>
    <w:rsid w:val="0077644A"/>
    <w:rsid w:val="00780A8F"/>
    <w:rsid w:val="00781A77"/>
    <w:rsid w:val="00781F06"/>
    <w:rsid w:val="007820B1"/>
    <w:rsid w:val="00782B2E"/>
    <w:rsid w:val="00782B6C"/>
    <w:rsid w:val="007838C2"/>
    <w:rsid w:val="00784AA8"/>
    <w:rsid w:val="007854D4"/>
    <w:rsid w:val="00785689"/>
    <w:rsid w:val="00785AC9"/>
    <w:rsid w:val="0078631F"/>
    <w:rsid w:val="007870B0"/>
    <w:rsid w:val="0078720E"/>
    <w:rsid w:val="007878D5"/>
    <w:rsid w:val="007908AF"/>
    <w:rsid w:val="00790B62"/>
    <w:rsid w:val="00791483"/>
    <w:rsid w:val="007915BE"/>
    <w:rsid w:val="00791DF1"/>
    <w:rsid w:val="007926AC"/>
    <w:rsid w:val="007926B9"/>
    <w:rsid w:val="00793744"/>
    <w:rsid w:val="00793D83"/>
    <w:rsid w:val="00794A79"/>
    <w:rsid w:val="0079506E"/>
    <w:rsid w:val="007954D1"/>
    <w:rsid w:val="00796C11"/>
    <w:rsid w:val="007A0F80"/>
    <w:rsid w:val="007A207A"/>
    <w:rsid w:val="007A23EF"/>
    <w:rsid w:val="007A367C"/>
    <w:rsid w:val="007A5825"/>
    <w:rsid w:val="007A60F7"/>
    <w:rsid w:val="007A6B44"/>
    <w:rsid w:val="007A715E"/>
    <w:rsid w:val="007B0B97"/>
    <w:rsid w:val="007B0C07"/>
    <w:rsid w:val="007B199B"/>
    <w:rsid w:val="007B1E68"/>
    <w:rsid w:val="007B2989"/>
    <w:rsid w:val="007B2E5E"/>
    <w:rsid w:val="007B3071"/>
    <w:rsid w:val="007B331B"/>
    <w:rsid w:val="007B4400"/>
    <w:rsid w:val="007B4B7A"/>
    <w:rsid w:val="007B51E5"/>
    <w:rsid w:val="007B5287"/>
    <w:rsid w:val="007B5408"/>
    <w:rsid w:val="007B7ED0"/>
    <w:rsid w:val="007C2509"/>
    <w:rsid w:val="007C2943"/>
    <w:rsid w:val="007C43A1"/>
    <w:rsid w:val="007C5229"/>
    <w:rsid w:val="007C58FB"/>
    <w:rsid w:val="007C6175"/>
    <w:rsid w:val="007D0FD5"/>
    <w:rsid w:val="007D12F8"/>
    <w:rsid w:val="007D19D1"/>
    <w:rsid w:val="007D1EA4"/>
    <w:rsid w:val="007D2473"/>
    <w:rsid w:val="007D4D4F"/>
    <w:rsid w:val="007D503B"/>
    <w:rsid w:val="007D542C"/>
    <w:rsid w:val="007D71ED"/>
    <w:rsid w:val="007D7CAE"/>
    <w:rsid w:val="007D7E2C"/>
    <w:rsid w:val="007D7F6C"/>
    <w:rsid w:val="007E034A"/>
    <w:rsid w:val="007E0810"/>
    <w:rsid w:val="007E144F"/>
    <w:rsid w:val="007E194D"/>
    <w:rsid w:val="007E1E71"/>
    <w:rsid w:val="007E2296"/>
    <w:rsid w:val="007E2E5C"/>
    <w:rsid w:val="007E344D"/>
    <w:rsid w:val="007E38EF"/>
    <w:rsid w:val="007E43BF"/>
    <w:rsid w:val="007E5AC0"/>
    <w:rsid w:val="007F0439"/>
    <w:rsid w:val="007F29F7"/>
    <w:rsid w:val="007F3045"/>
    <w:rsid w:val="007F37A9"/>
    <w:rsid w:val="007F59E0"/>
    <w:rsid w:val="007F68EE"/>
    <w:rsid w:val="007F7320"/>
    <w:rsid w:val="00802FFC"/>
    <w:rsid w:val="00803231"/>
    <w:rsid w:val="008046D0"/>
    <w:rsid w:val="008049BF"/>
    <w:rsid w:val="0080521F"/>
    <w:rsid w:val="008057B7"/>
    <w:rsid w:val="008059B7"/>
    <w:rsid w:val="00805A9E"/>
    <w:rsid w:val="00806541"/>
    <w:rsid w:val="00810171"/>
    <w:rsid w:val="0081067F"/>
    <w:rsid w:val="00810F36"/>
    <w:rsid w:val="00812170"/>
    <w:rsid w:val="00812515"/>
    <w:rsid w:val="00812862"/>
    <w:rsid w:val="00812F48"/>
    <w:rsid w:val="00814050"/>
    <w:rsid w:val="00814667"/>
    <w:rsid w:val="00814866"/>
    <w:rsid w:val="00814F9E"/>
    <w:rsid w:val="008160E2"/>
    <w:rsid w:val="00816D5D"/>
    <w:rsid w:val="008173AC"/>
    <w:rsid w:val="00817809"/>
    <w:rsid w:val="00817F91"/>
    <w:rsid w:val="008214A1"/>
    <w:rsid w:val="00821D47"/>
    <w:rsid w:val="00821E23"/>
    <w:rsid w:val="0082213E"/>
    <w:rsid w:val="00824066"/>
    <w:rsid w:val="00824570"/>
    <w:rsid w:val="008246B8"/>
    <w:rsid w:val="008260AE"/>
    <w:rsid w:val="008275C3"/>
    <w:rsid w:val="00827FBC"/>
    <w:rsid w:val="00830958"/>
    <w:rsid w:val="00832789"/>
    <w:rsid w:val="00833191"/>
    <w:rsid w:val="00833432"/>
    <w:rsid w:val="00834373"/>
    <w:rsid w:val="00834BF2"/>
    <w:rsid w:val="008355C7"/>
    <w:rsid w:val="00841512"/>
    <w:rsid w:val="0084329B"/>
    <w:rsid w:val="008435F2"/>
    <w:rsid w:val="00843C6C"/>
    <w:rsid w:val="00844647"/>
    <w:rsid w:val="00845A54"/>
    <w:rsid w:val="0084670F"/>
    <w:rsid w:val="00846EB2"/>
    <w:rsid w:val="00847501"/>
    <w:rsid w:val="008503F9"/>
    <w:rsid w:val="008504A8"/>
    <w:rsid w:val="008519D7"/>
    <w:rsid w:val="00852252"/>
    <w:rsid w:val="00852850"/>
    <w:rsid w:val="00855720"/>
    <w:rsid w:val="00855E25"/>
    <w:rsid w:val="00855F46"/>
    <w:rsid w:val="00856092"/>
    <w:rsid w:val="00856548"/>
    <w:rsid w:val="00856673"/>
    <w:rsid w:val="00857617"/>
    <w:rsid w:val="008601A7"/>
    <w:rsid w:val="008605B3"/>
    <w:rsid w:val="00861461"/>
    <w:rsid w:val="00861B68"/>
    <w:rsid w:val="00861D30"/>
    <w:rsid w:val="00862432"/>
    <w:rsid w:val="00862F66"/>
    <w:rsid w:val="008630D7"/>
    <w:rsid w:val="008646C4"/>
    <w:rsid w:val="00864CC0"/>
    <w:rsid w:val="00865EA0"/>
    <w:rsid w:val="0087021D"/>
    <w:rsid w:val="008702BD"/>
    <w:rsid w:val="00870E39"/>
    <w:rsid w:val="00873C2C"/>
    <w:rsid w:val="00874874"/>
    <w:rsid w:val="00875877"/>
    <w:rsid w:val="00877580"/>
    <w:rsid w:val="008777ED"/>
    <w:rsid w:val="008778D0"/>
    <w:rsid w:val="00877ADF"/>
    <w:rsid w:val="00877BB9"/>
    <w:rsid w:val="00880B36"/>
    <w:rsid w:val="00880CEC"/>
    <w:rsid w:val="00880DA4"/>
    <w:rsid w:val="00880DE5"/>
    <w:rsid w:val="00880FFA"/>
    <w:rsid w:val="00882DC2"/>
    <w:rsid w:val="00882F09"/>
    <w:rsid w:val="00883742"/>
    <w:rsid w:val="00884B37"/>
    <w:rsid w:val="00884F3B"/>
    <w:rsid w:val="00884F96"/>
    <w:rsid w:val="008852C8"/>
    <w:rsid w:val="00885471"/>
    <w:rsid w:val="00885738"/>
    <w:rsid w:val="00886C0F"/>
    <w:rsid w:val="00886D59"/>
    <w:rsid w:val="00887FA2"/>
    <w:rsid w:val="008925C1"/>
    <w:rsid w:val="008931C4"/>
    <w:rsid w:val="008947ED"/>
    <w:rsid w:val="00894AE4"/>
    <w:rsid w:val="00894E23"/>
    <w:rsid w:val="00895313"/>
    <w:rsid w:val="00895755"/>
    <w:rsid w:val="008959E2"/>
    <w:rsid w:val="00895A74"/>
    <w:rsid w:val="00896D1E"/>
    <w:rsid w:val="008971A4"/>
    <w:rsid w:val="00897C1C"/>
    <w:rsid w:val="00897DFF"/>
    <w:rsid w:val="008A00E1"/>
    <w:rsid w:val="008A1EA0"/>
    <w:rsid w:val="008A40D8"/>
    <w:rsid w:val="008A49B1"/>
    <w:rsid w:val="008A6E6A"/>
    <w:rsid w:val="008A704C"/>
    <w:rsid w:val="008A7E18"/>
    <w:rsid w:val="008B127F"/>
    <w:rsid w:val="008B21E2"/>
    <w:rsid w:val="008B2719"/>
    <w:rsid w:val="008B40EA"/>
    <w:rsid w:val="008B41E3"/>
    <w:rsid w:val="008B4939"/>
    <w:rsid w:val="008B5CBC"/>
    <w:rsid w:val="008B6461"/>
    <w:rsid w:val="008B6AAF"/>
    <w:rsid w:val="008B74A1"/>
    <w:rsid w:val="008C0FDA"/>
    <w:rsid w:val="008C1987"/>
    <w:rsid w:val="008C251B"/>
    <w:rsid w:val="008C3109"/>
    <w:rsid w:val="008C3A00"/>
    <w:rsid w:val="008C46EC"/>
    <w:rsid w:val="008C6B14"/>
    <w:rsid w:val="008C6E46"/>
    <w:rsid w:val="008C7762"/>
    <w:rsid w:val="008C7B22"/>
    <w:rsid w:val="008C7FDE"/>
    <w:rsid w:val="008D0443"/>
    <w:rsid w:val="008D11F2"/>
    <w:rsid w:val="008D1960"/>
    <w:rsid w:val="008D27C3"/>
    <w:rsid w:val="008D2925"/>
    <w:rsid w:val="008D2C51"/>
    <w:rsid w:val="008D2F7B"/>
    <w:rsid w:val="008D3142"/>
    <w:rsid w:val="008D459D"/>
    <w:rsid w:val="008D5686"/>
    <w:rsid w:val="008E03FC"/>
    <w:rsid w:val="008E0497"/>
    <w:rsid w:val="008E0866"/>
    <w:rsid w:val="008E1C7A"/>
    <w:rsid w:val="008E27D5"/>
    <w:rsid w:val="008E2CE5"/>
    <w:rsid w:val="008E4231"/>
    <w:rsid w:val="008E5006"/>
    <w:rsid w:val="008E593E"/>
    <w:rsid w:val="008E6C72"/>
    <w:rsid w:val="008E70DC"/>
    <w:rsid w:val="008E73F6"/>
    <w:rsid w:val="008F0063"/>
    <w:rsid w:val="008F03E1"/>
    <w:rsid w:val="008F0855"/>
    <w:rsid w:val="008F1670"/>
    <w:rsid w:val="008F16F8"/>
    <w:rsid w:val="008F18E9"/>
    <w:rsid w:val="008F22DC"/>
    <w:rsid w:val="008F28CC"/>
    <w:rsid w:val="008F3E1D"/>
    <w:rsid w:val="008F4366"/>
    <w:rsid w:val="008F4C92"/>
    <w:rsid w:val="008F62A5"/>
    <w:rsid w:val="008F6501"/>
    <w:rsid w:val="008F7302"/>
    <w:rsid w:val="008F783E"/>
    <w:rsid w:val="008F7BC8"/>
    <w:rsid w:val="00900256"/>
    <w:rsid w:val="00900273"/>
    <w:rsid w:val="00900DF9"/>
    <w:rsid w:val="009018F4"/>
    <w:rsid w:val="00902A0E"/>
    <w:rsid w:val="009032CD"/>
    <w:rsid w:val="00905BDA"/>
    <w:rsid w:val="00906893"/>
    <w:rsid w:val="0090701B"/>
    <w:rsid w:val="00907215"/>
    <w:rsid w:val="00907547"/>
    <w:rsid w:val="009077FE"/>
    <w:rsid w:val="00910496"/>
    <w:rsid w:val="00913C06"/>
    <w:rsid w:val="00915712"/>
    <w:rsid w:val="009162CA"/>
    <w:rsid w:val="00916387"/>
    <w:rsid w:val="00916FF6"/>
    <w:rsid w:val="009171B2"/>
    <w:rsid w:val="00917F23"/>
    <w:rsid w:val="0092019C"/>
    <w:rsid w:val="00921E59"/>
    <w:rsid w:val="00922605"/>
    <w:rsid w:val="009228EF"/>
    <w:rsid w:val="00923B05"/>
    <w:rsid w:val="00923E4B"/>
    <w:rsid w:val="00925DE9"/>
    <w:rsid w:val="00927270"/>
    <w:rsid w:val="0092796E"/>
    <w:rsid w:val="0093007F"/>
    <w:rsid w:val="009304C7"/>
    <w:rsid w:val="00930B3F"/>
    <w:rsid w:val="00930EDB"/>
    <w:rsid w:val="00931B19"/>
    <w:rsid w:val="009326C7"/>
    <w:rsid w:val="0093317A"/>
    <w:rsid w:val="009332E3"/>
    <w:rsid w:val="009344EC"/>
    <w:rsid w:val="00934530"/>
    <w:rsid w:val="00935FBF"/>
    <w:rsid w:val="0093756C"/>
    <w:rsid w:val="009375A7"/>
    <w:rsid w:val="0093794B"/>
    <w:rsid w:val="00942695"/>
    <w:rsid w:val="00942EAE"/>
    <w:rsid w:val="00943482"/>
    <w:rsid w:val="00943F43"/>
    <w:rsid w:val="00944B76"/>
    <w:rsid w:val="00944F82"/>
    <w:rsid w:val="00946334"/>
    <w:rsid w:val="00946850"/>
    <w:rsid w:val="00946E5A"/>
    <w:rsid w:val="00946EE7"/>
    <w:rsid w:val="0094738E"/>
    <w:rsid w:val="00950D3C"/>
    <w:rsid w:val="00950EA3"/>
    <w:rsid w:val="00952822"/>
    <w:rsid w:val="0095350E"/>
    <w:rsid w:val="009538B5"/>
    <w:rsid w:val="00953A33"/>
    <w:rsid w:val="00954827"/>
    <w:rsid w:val="00955819"/>
    <w:rsid w:val="0095635E"/>
    <w:rsid w:val="009573F5"/>
    <w:rsid w:val="00957F39"/>
    <w:rsid w:val="00960993"/>
    <w:rsid w:val="00962264"/>
    <w:rsid w:val="00962555"/>
    <w:rsid w:val="00962AE7"/>
    <w:rsid w:val="00962B4A"/>
    <w:rsid w:val="00964260"/>
    <w:rsid w:val="00964891"/>
    <w:rsid w:val="00964BD2"/>
    <w:rsid w:val="00964E0D"/>
    <w:rsid w:val="00964E95"/>
    <w:rsid w:val="00966543"/>
    <w:rsid w:val="0096665F"/>
    <w:rsid w:val="00966AB7"/>
    <w:rsid w:val="00967024"/>
    <w:rsid w:val="00967561"/>
    <w:rsid w:val="00967F47"/>
    <w:rsid w:val="00970C87"/>
    <w:rsid w:val="009711AC"/>
    <w:rsid w:val="009717DF"/>
    <w:rsid w:val="0097218E"/>
    <w:rsid w:val="00972BC6"/>
    <w:rsid w:val="00973A0E"/>
    <w:rsid w:val="00975430"/>
    <w:rsid w:val="0097692E"/>
    <w:rsid w:val="00977C10"/>
    <w:rsid w:val="00980A45"/>
    <w:rsid w:val="009816E0"/>
    <w:rsid w:val="00982289"/>
    <w:rsid w:val="009824C4"/>
    <w:rsid w:val="009827D9"/>
    <w:rsid w:val="00982A7A"/>
    <w:rsid w:val="009833CE"/>
    <w:rsid w:val="00983759"/>
    <w:rsid w:val="009841E5"/>
    <w:rsid w:val="009846B3"/>
    <w:rsid w:val="0098573D"/>
    <w:rsid w:val="00985D38"/>
    <w:rsid w:val="00985DA0"/>
    <w:rsid w:val="00986F96"/>
    <w:rsid w:val="009907D6"/>
    <w:rsid w:val="009909D1"/>
    <w:rsid w:val="00991E77"/>
    <w:rsid w:val="00993BCB"/>
    <w:rsid w:val="009943A5"/>
    <w:rsid w:val="00994B29"/>
    <w:rsid w:val="009950E4"/>
    <w:rsid w:val="00996A7C"/>
    <w:rsid w:val="00996CD0"/>
    <w:rsid w:val="00997A38"/>
    <w:rsid w:val="00997B54"/>
    <w:rsid w:val="009A01D6"/>
    <w:rsid w:val="009A0C0D"/>
    <w:rsid w:val="009A1997"/>
    <w:rsid w:val="009A25BB"/>
    <w:rsid w:val="009A268B"/>
    <w:rsid w:val="009A2B42"/>
    <w:rsid w:val="009A47F8"/>
    <w:rsid w:val="009A4AAD"/>
    <w:rsid w:val="009A7ABF"/>
    <w:rsid w:val="009B1619"/>
    <w:rsid w:val="009B1981"/>
    <w:rsid w:val="009B2BDE"/>
    <w:rsid w:val="009B3035"/>
    <w:rsid w:val="009B478C"/>
    <w:rsid w:val="009B47A3"/>
    <w:rsid w:val="009B7BE6"/>
    <w:rsid w:val="009C0C6B"/>
    <w:rsid w:val="009C1156"/>
    <w:rsid w:val="009C13CA"/>
    <w:rsid w:val="009C187C"/>
    <w:rsid w:val="009C22EC"/>
    <w:rsid w:val="009C26FB"/>
    <w:rsid w:val="009C6681"/>
    <w:rsid w:val="009C6B07"/>
    <w:rsid w:val="009C6C28"/>
    <w:rsid w:val="009C6D60"/>
    <w:rsid w:val="009C7001"/>
    <w:rsid w:val="009C726D"/>
    <w:rsid w:val="009C7B86"/>
    <w:rsid w:val="009C7F85"/>
    <w:rsid w:val="009D0AE8"/>
    <w:rsid w:val="009D1011"/>
    <w:rsid w:val="009D198E"/>
    <w:rsid w:val="009D3D42"/>
    <w:rsid w:val="009D4743"/>
    <w:rsid w:val="009D584D"/>
    <w:rsid w:val="009D60B5"/>
    <w:rsid w:val="009D662B"/>
    <w:rsid w:val="009D764A"/>
    <w:rsid w:val="009E07C3"/>
    <w:rsid w:val="009E13FA"/>
    <w:rsid w:val="009E2141"/>
    <w:rsid w:val="009E2267"/>
    <w:rsid w:val="009E2D19"/>
    <w:rsid w:val="009E35F9"/>
    <w:rsid w:val="009E36D8"/>
    <w:rsid w:val="009E3A4F"/>
    <w:rsid w:val="009E3F0D"/>
    <w:rsid w:val="009E408B"/>
    <w:rsid w:val="009E5402"/>
    <w:rsid w:val="009E639C"/>
    <w:rsid w:val="009F0AEB"/>
    <w:rsid w:val="009F0CC2"/>
    <w:rsid w:val="009F129D"/>
    <w:rsid w:val="009F12A2"/>
    <w:rsid w:val="009F19E1"/>
    <w:rsid w:val="009F1B81"/>
    <w:rsid w:val="009F21DE"/>
    <w:rsid w:val="009F2453"/>
    <w:rsid w:val="009F3983"/>
    <w:rsid w:val="009F3A4D"/>
    <w:rsid w:val="009F4178"/>
    <w:rsid w:val="009F5C64"/>
    <w:rsid w:val="009F725E"/>
    <w:rsid w:val="009F7582"/>
    <w:rsid w:val="00A009D6"/>
    <w:rsid w:val="00A00A97"/>
    <w:rsid w:val="00A00DF6"/>
    <w:rsid w:val="00A01DB4"/>
    <w:rsid w:val="00A01DE9"/>
    <w:rsid w:val="00A03F5B"/>
    <w:rsid w:val="00A04BCC"/>
    <w:rsid w:val="00A050A4"/>
    <w:rsid w:val="00A05BF7"/>
    <w:rsid w:val="00A05FE8"/>
    <w:rsid w:val="00A0671B"/>
    <w:rsid w:val="00A06738"/>
    <w:rsid w:val="00A0713D"/>
    <w:rsid w:val="00A10DC6"/>
    <w:rsid w:val="00A11404"/>
    <w:rsid w:val="00A115D9"/>
    <w:rsid w:val="00A12A0C"/>
    <w:rsid w:val="00A13EA9"/>
    <w:rsid w:val="00A143F7"/>
    <w:rsid w:val="00A146EE"/>
    <w:rsid w:val="00A14DC6"/>
    <w:rsid w:val="00A14F96"/>
    <w:rsid w:val="00A152C8"/>
    <w:rsid w:val="00A15503"/>
    <w:rsid w:val="00A169C6"/>
    <w:rsid w:val="00A1778D"/>
    <w:rsid w:val="00A17CA6"/>
    <w:rsid w:val="00A2038D"/>
    <w:rsid w:val="00A20EAC"/>
    <w:rsid w:val="00A21F92"/>
    <w:rsid w:val="00A23212"/>
    <w:rsid w:val="00A23B90"/>
    <w:rsid w:val="00A24E90"/>
    <w:rsid w:val="00A24F1F"/>
    <w:rsid w:val="00A25013"/>
    <w:rsid w:val="00A26195"/>
    <w:rsid w:val="00A26BE8"/>
    <w:rsid w:val="00A27081"/>
    <w:rsid w:val="00A279E0"/>
    <w:rsid w:val="00A27EB6"/>
    <w:rsid w:val="00A27FC6"/>
    <w:rsid w:val="00A32A74"/>
    <w:rsid w:val="00A33226"/>
    <w:rsid w:val="00A33B35"/>
    <w:rsid w:val="00A3624D"/>
    <w:rsid w:val="00A362B4"/>
    <w:rsid w:val="00A367BE"/>
    <w:rsid w:val="00A40D39"/>
    <w:rsid w:val="00A42BE1"/>
    <w:rsid w:val="00A442A0"/>
    <w:rsid w:val="00A44926"/>
    <w:rsid w:val="00A44B84"/>
    <w:rsid w:val="00A44B96"/>
    <w:rsid w:val="00A457B6"/>
    <w:rsid w:val="00A45AAB"/>
    <w:rsid w:val="00A47CCF"/>
    <w:rsid w:val="00A50B6B"/>
    <w:rsid w:val="00A5198D"/>
    <w:rsid w:val="00A521C9"/>
    <w:rsid w:val="00A53D56"/>
    <w:rsid w:val="00A541A1"/>
    <w:rsid w:val="00A549E8"/>
    <w:rsid w:val="00A54AF3"/>
    <w:rsid w:val="00A54FDF"/>
    <w:rsid w:val="00A55CAC"/>
    <w:rsid w:val="00A55FB3"/>
    <w:rsid w:val="00A561B0"/>
    <w:rsid w:val="00A5630D"/>
    <w:rsid w:val="00A56463"/>
    <w:rsid w:val="00A567FC"/>
    <w:rsid w:val="00A56B41"/>
    <w:rsid w:val="00A56D78"/>
    <w:rsid w:val="00A577BE"/>
    <w:rsid w:val="00A57831"/>
    <w:rsid w:val="00A57A27"/>
    <w:rsid w:val="00A6166F"/>
    <w:rsid w:val="00A61CA4"/>
    <w:rsid w:val="00A6303B"/>
    <w:rsid w:val="00A63EB6"/>
    <w:rsid w:val="00A640A1"/>
    <w:rsid w:val="00A64565"/>
    <w:rsid w:val="00A64CFC"/>
    <w:rsid w:val="00A65007"/>
    <w:rsid w:val="00A660CC"/>
    <w:rsid w:val="00A6738F"/>
    <w:rsid w:val="00A674CB"/>
    <w:rsid w:val="00A679BB"/>
    <w:rsid w:val="00A703E2"/>
    <w:rsid w:val="00A70D24"/>
    <w:rsid w:val="00A711AE"/>
    <w:rsid w:val="00A71F4D"/>
    <w:rsid w:val="00A73A59"/>
    <w:rsid w:val="00A74F0C"/>
    <w:rsid w:val="00A757CD"/>
    <w:rsid w:val="00A75CCA"/>
    <w:rsid w:val="00A7606B"/>
    <w:rsid w:val="00A767BF"/>
    <w:rsid w:val="00A7798D"/>
    <w:rsid w:val="00A77A50"/>
    <w:rsid w:val="00A80E61"/>
    <w:rsid w:val="00A818AC"/>
    <w:rsid w:val="00A81CFD"/>
    <w:rsid w:val="00A826E5"/>
    <w:rsid w:val="00A8272E"/>
    <w:rsid w:val="00A838FF"/>
    <w:rsid w:val="00A83BE0"/>
    <w:rsid w:val="00A84DFC"/>
    <w:rsid w:val="00A862FA"/>
    <w:rsid w:val="00A87A07"/>
    <w:rsid w:val="00A9085C"/>
    <w:rsid w:val="00A91762"/>
    <w:rsid w:val="00A918FA"/>
    <w:rsid w:val="00A9227A"/>
    <w:rsid w:val="00A9277C"/>
    <w:rsid w:val="00A9281D"/>
    <w:rsid w:val="00A94028"/>
    <w:rsid w:val="00A9477F"/>
    <w:rsid w:val="00A94E89"/>
    <w:rsid w:val="00A95425"/>
    <w:rsid w:val="00A95BA8"/>
    <w:rsid w:val="00A976D4"/>
    <w:rsid w:val="00A97759"/>
    <w:rsid w:val="00A979A7"/>
    <w:rsid w:val="00AA03BB"/>
    <w:rsid w:val="00AA0C41"/>
    <w:rsid w:val="00AA0DC5"/>
    <w:rsid w:val="00AA239C"/>
    <w:rsid w:val="00AA2B04"/>
    <w:rsid w:val="00AA38C8"/>
    <w:rsid w:val="00AA3B1F"/>
    <w:rsid w:val="00AA406A"/>
    <w:rsid w:val="00AA4BFF"/>
    <w:rsid w:val="00AA53A7"/>
    <w:rsid w:val="00AA589B"/>
    <w:rsid w:val="00AA7118"/>
    <w:rsid w:val="00AB0855"/>
    <w:rsid w:val="00AB0CE1"/>
    <w:rsid w:val="00AB1EB4"/>
    <w:rsid w:val="00AB34F8"/>
    <w:rsid w:val="00AB44E7"/>
    <w:rsid w:val="00AB49E8"/>
    <w:rsid w:val="00AB4F22"/>
    <w:rsid w:val="00AB51D1"/>
    <w:rsid w:val="00AB5AB3"/>
    <w:rsid w:val="00AB6396"/>
    <w:rsid w:val="00AB643F"/>
    <w:rsid w:val="00AB6559"/>
    <w:rsid w:val="00AB7244"/>
    <w:rsid w:val="00AB7309"/>
    <w:rsid w:val="00AB7328"/>
    <w:rsid w:val="00AC0ACB"/>
    <w:rsid w:val="00AC2264"/>
    <w:rsid w:val="00AC3432"/>
    <w:rsid w:val="00AC47FB"/>
    <w:rsid w:val="00AC4A07"/>
    <w:rsid w:val="00AC6CAE"/>
    <w:rsid w:val="00AC7D30"/>
    <w:rsid w:val="00AD0CAF"/>
    <w:rsid w:val="00AD0E94"/>
    <w:rsid w:val="00AD19E7"/>
    <w:rsid w:val="00AD1F1F"/>
    <w:rsid w:val="00AD308A"/>
    <w:rsid w:val="00AD3394"/>
    <w:rsid w:val="00AD41C8"/>
    <w:rsid w:val="00AD446D"/>
    <w:rsid w:val="00AD455A"/>
    <w:rsid w:val="00AD46FD"/>
    <w:rsid w:val="00AD577C"/>
    <w:rsid w:val="00AD591C"/>
    <w:rsid w:val="00AD5F24"/>
    <w:rsid w:val="00AD61E2"/>
    <w:rsid w:val="00AD6F21"/>
    <w:rsid w:val="00AE0321"/>
    <w:rsid w:val="00AE203C"/>
    <w:rsid w:val="00AE2B91"/>
    <w:rsid w:val="00AE2E7A"/>
    <w:rsid w:val="00AE4294"/>
    <w:rsid w:val="00AE4CCE"/>
    <w:rsid w:val="00AE4DA4"/>
    <w:rsid w:val="00AE5290"/>
    <w:rsid w:val="00AE5864"/>
    <w:rsid w:val="00AE6D1B"/>
    <w:rsid w:val="00AE6E0B"/>
    <w:rsid w:val="00AF09D9"/>
    <w:rsid w:val="00AF0DD2"/>
    <w:rsid w:val="00AF1679"/>
    <w:rsid w:val="00AF2BC0"/>
    <w:rsid w:val="00AF3579"/>
    <w:rsid w:val="00AF3A7C"/>
    <w:rsid w:val="00AF3B8D"/>
    <w:rsid w:val="00AF3BDD"/>
    <w:rsid w:val="00AF478C"/>
    <w:rsid w:val="00AF6198"/>
    <w:rsid w:val="00AF6246"/>
    <w:rsid w:val="00B00353"/>
    <w:rsid w:val="00B011E8"/>
    <w:rsid w:val="00B029AC"/>
    <w:rsid w:val="00B03C52"/>
    <w:rsid w:val="00B050DE"/>
    <w:rsid w:val="00B0522C"/>
    <w:rsid w:val="00B0552C"/>
    <w:rsid w:val="00B056EF"/>
    <w:rsid w:val="00B0653E"/>
    <w:rsid w:val="00B06771"/>
    <w:rsid w:val="00B069BF"/>
    <w:rsid w:val="00B07748"/>
    <w:rsid w:val="00B07BEF"/>
    <w:rsid w:val="00B100CA"/>
    <w:rsid w:val="00B10139"/>
    <w:rsid w:val="00B101C2"/>
    <w:rsid w:val="00B11671"/>
    <w:rsid w:val="00B11E6F"/>
    <w:rsid w:val="00B13235"/>
    <w:rsid w:val="00B134BA"/>
    <w:rsid w:val="00B136F5"/>
    <w:rsid w:val="00B1370E"/>
    <w:rsid w:val="00B1457E"/>
    <w:rsid w:val="00B14F1D"/>
    <w:rsid w:val="00B15954"/>
    <w:rsid w:val="00B15B1A"/>
    <w:rsid w:val="00B20FC2"/>
    <w:rsid w:val="00B21273"/>
    <w:rsid w:val="00B21D75"/>
    <w:rsid w:val="00B22951"/>
    <w:rsid w:val="00B233B6"/>
    <w:rsid w:val="00B23AF6"/>
    <w:rsid w:val="00B2468D"/>
    <w:rsid w:val="00B25961"/>
    <w:rsid w:val="00B259CE"/>
    <w:rsid w:val="00B30946"/>
    <w:rsid w:val="00B30E6F"/>
    <w:rsid w:val="00B3244D"/>
    <w:rsid w:val="00B3285E"/>
    <w:rsid w:val="00B330AB"/>
    <w:rsid w:val="00B331A7"/>
    <w:rsid w:val="00B338D0"/>
    <w:rsid w:val="00B35628"/>
    <w:rsid w:val="00B361B8"/>
    <w:rsid w:val="00B361D3"/>
    <w:rsid w:val="00B3678D"/>
    <w:rsid w:val="00B36964"/>
    <w:rsid w:val="00B37B3D"/>
    <w:rsid w:val="00B402E7"/>
    <w:rsid w:val="00B4063D"/>
    <w:rsid w:val="00B41749"/>
    <w:rsid w:val="00B41A87"/>
    <w:rsid w:val="00B41D1B"/>
    <w:rsid w:val="00B41E3A"/>
    <w:rsid w:val="00B42386"/>
    <w:rsid w:val="00B43793"/>
    <w:rsid w:val="00B43FF0"/>
    <w:rsid w:val="00B44771"/>
    <w:rsid w:val="00B44BF5"/>
    <w:rsid w:val="00B465A5"/>
    <w:rsid w:val="00B46BF6"/>
    <w:rsid w:val="00B46C3D"/>
    <w:rsid w:val="00B474C2"/>
    <w:rsid w:val="00B476D6"/>
    <w:rsid w:val="00B5039A"/>
    <w:rsid w:val="00B51186"/>
    <w:rsid w:val="00B514CA"/>
    <w:rsid w:val="00B523A1"/>
    <w:rsid w:val="00B525EF"/>
    <w:rsid w:val="00B5307A"/>
    <w:rsid w:val="00B550F5"/>
    <w:rsid w:val="00B55678"/>
    <w:rsid w:val="00B570DB"/>
    <w:rsid w:val="00B57274"/>
    <w:rsid w:val="00B57704"/>
    <w:rsid w:val="00B60E6A"/>
    <w:rsid w:val="00B61C47"/>
    <w:rsid w:val="00B61EB5"/>
    <w:rsid w:val="00B61FD3"/>
    <w:rsid w:val="00B635F8"/>
    <w:rsid w:val="00B63AB7"/>
    <w:rsid w:val="00B63C33"/>
    <w:rsid w:val="00B63D48"/>
    <w:rsid w:val="00B64A39"/>
    <w:rsid w:val="00B64AED"/>
    <w:rsid w:val="00B658BD"/>
    <w:rsid w:val="00B65B95"/>
    <w:rsid w:val="00B664BB"/>
    <w:rsid w:val="00B66786"/>
    <w:rsid w:val="00B70F05"/>
    <w:rsid w:val="00B71215"/>
    <w:rsid w:val="00B72117"/>
    <w:rsid w:val="00B72308"/>
    <w:rsid w:val="00B72580"/>
    <w:rsid w:val="00B72659"/>
    <w:rsid w:val="00B726A9"/>
    <w:rsid w:val="00B72F74"/>
    <w:rsid w:val="00B72FDC"/>
    <w:rsid w:val="00B742B7"/>
    <w:rsid w:val="00B75C14"/>
    <w:rsid w:val="00B775C6"/>
    <w:rsid w:val="00B77608"/>
    <w:rsid w:val="00B77CAA"/>
    <w:rsid w:val="00B80A62"/>
    <w:rsid w:val="00B811E6"/>
    <w:rsid w:val="00B8344E"/>
    <w:rsid w:val="00B83AE1"/>
    <w:rsid w:val="00B8423A"/>
    <w:rsid w:val="00B850D6"/>
    <w:rsid w:val="00B85BC4"/>
    <w:rsid w:val="00B85F69"/>
    <w:rsid w:val="00B864B4"/>
    <w:rsid w:val="00B90521"/>
    <w:rsid w:val="00B907C2"/>
    <w:rsid w:val="00B91D8E"/>
    <w:rsid w:val="00B92497"/>
    <w:rsid w:val="00B92CE1"/>
    <w:rsid w:val="00B9311E"/>
    <w:rsid w:val="00BA0203"/>
    <w:rsid w:val="00BA02E0"/>
    <w:rsid w:val="00BA062E"/>
    <w:rsid w:val="00BA0B26"/>
    <w:rsid w:val="00BA1350"/>
    <w:rsid w:val="00BA142F"/>
    <w:rsid w:val="00BA2A4E"/>
    <w:rsid w:val="00BA2EA7"/>
    <w:rsid w:val="00BA301A"/>
    <w:rsid w:val="00BA5096"/>
    <w:rsid w:val="00BA564A"/>
    <w:rsid w:val="00BA5CE6"/>
    <w:rsid w:val="00BA6098"/>
    <w:rsid w:val="00BA63DA"/>
    <w:rsid w:val="00BA7123"/>
    <w:rsid w:val="00BA7145"/>
    <w:rsid w:val="00BA7C15"/>
    <w:rsid w:val="00BB11F8"/>
    <w:rsid w:val="00BB1959"/>
    <w:rsid w:val="00BB1F53"/>
    <w:rsid w:val="00BB3284"/>
    <w:rsid w:val="00BB40BB"/>
    <w:rsid w:val="00BB4C45"/>
    <w:rsid w:val="00BB5D6E"/>
    <w:rsid w:val="00BB5DAB"/>
    <w:rsid w:val="00BB7C9C"/>
    <w:rsid w:val="00BB7D68"/>
    <w:rsid w:val="00BC13D7"/>
    <w:rsid w:val="00BC14B5"/>
    <w:rsid w:val="00BC17D8"/>
    <w:rsid w:val="00BC4A1F"/>
    <w:rsid w:val="00BC4C4E"/>
    <w:rsid w:val="00BC4F80"/>
    <w:rsid w:val="00BC66B6"/>
    <w:rsid w:val="00BC69F1"/>
    <w:rsid w:val="00BC6F66"/>
    <w:rsid w:val="00BD0956"/>
    <w:rsid w:val="00BD0F5B"/>
    <w:rsid w:val="00BD162E"/>
    <w:rsid w:val="00BD23A2"/>
    <w:rsid w:val="00BD29CE"/>
    <w:rsid w:val="00BD59A2"/>
    <w:rsid w:val="00BD63F9"/>
    <w:rsid w:val="00BD7989"/>
    <w:rsid w:val="00BD7FB4"/>
    <w:rsid w:val="00BE1276"/>
    <w:rsid w:val="00BE1286"/>
    <w:rsid w:val="00BE1638"/>
    <w:rsid w:val="00BE1EE3"/>
    <w:rsid w:val="00BE2BCC"/>
    <w:rsid w:val="00BE3AB9"/>
    <w:rsid w:val="00BE4600"/>
    <w:rsid w:val="00BE479C"/>
    <w:rsid w:val="00BE538E"/>
    <w:rsid w:val="00BE59E5"/>
    <w:rsid w:val="00BE616A"/>
    <w:rsid w:val="00BE738B"/>
    <w:rsid w:val="00BE74B9"/>
    <w:rsid w:val="00BE7B8C"/>
    <w:rsid w:val="00BF054B"/>
    <w:rsid w:val="00BF08E1"/>
    <w:rsid w:val="00BF0B01"/>
    <w:rsid w:val="00BF2369"/>
    <w:rsid w:val="00BF3F5C"/>
    <w:rsid w:val="00BF3FC9"/>
    <w:rsid w:val="00BF4803"/>
    <w:rsid w:val="00BF70D9"/>
    <w:rsid w:val="00C01B42"/>
    <w:rsid w:val="00C01DA4"/>
    <w:rsid w:val="00C023B7"/>
    <w:rsid w:val="00C02FBC"/>
    <w:rsid w:val="00C03C15"/>
    <w:rsid w:val="00C066DE"/>
    <w:rsid w:val="00C06E4F"/>
    <w:rsid w:val="00C07E4D"/>
    <w:rsid w:val="00C10C84"/>
    <w:rsid w:val="00C11A42"/>
    <w:rsid w:val="00C125EC"/>
    <w:rsid w:val="00C1299F"/>
    <w:rsid w:val="00C13E33"/>
    <w:rsid w:val="00C1509D"/>
    <w:rsid w:val="00C150C0"/>
    <w:rsid w:val="00C16464"/>
    <w:rsid w:val="00C16B0C"/>
    <w:rsid w:val="00C175ED"/>
    <w:rsid w:val="00C219A6"/>
    <w:rsid w:val="00C220D7"/>
    <w:rsid w:val="00C22527"/>
    <w:rsid w:val="00C22B15"/>
    <w:rsid w:val="00C23A2B"/>
    <w:rsid w:val="00C25440"/>
    <w:rsid w:val="00C25445"/>
    <w:rsid w:val="00C25FF4"/>
    <w:rsid w:val="00C268A8"/>
    <w:rsid w:val="00C26DEE"/>
    <w:rsid w:val="00C278D1"/>
    <w:rsid w:val="00C30383"/>
    <w:rsid w:val="00C30832"/>
    <w:rsid w:val="00C30A3D"/>
    <w:rsid w:val="00C30E1C"/>
    <w:rsid w:val="00C330CA"/>
    <w:rsid w:val="00C33984"/>
    <w:rsid w:val="00C33E93"/>
    <w:rsid w:val="00C34679"/>
    <w:rsid w:val="00C35259"/>
    <w:rsid w:val="00C3539C"/>
    <w:rsid w:val="00C3557F"/>
    <w:rsid w:val="00C360D3"/>
    <w:rsid w:val="00C3764D"/>
    <w:rsid w:val="00C37B43"/>
    <w:rsid w:val="00C37D46"/>
    <w:rsid w:val="00C40B32"/>
    <w:rsid w:val="00C413E8"/>
    <w:rsid w:val="00C4157D"/>
    <w:rsid w:val="00C42939"/>
    <w:rsid w:val="00C43005"/>
    <w:rsid w:val="00C4482E"/>
    <w:rsid w:val="00C44AB5"/>
    <w:rsid w:val="00C44E1A"/>
    <w:rsid w:val="00C45453"/>
    <w:rsid w:val="00C45806"/>
    <w:rsid w:val="00C45B12"/>
    <w:rsid w:val="00C46E61"/>
    <w:rsid w:val="00C4701D"/>
    <w:rsid w:val="00C4726D"/>
    <w:rsid w:val="00C4753C"/>
    <w:rsid w:val="00C47F05"/>
    <w:rsid w:val="00C50F78"/>
    <w:rsid w:val="00C51641"/>
    <w:rsid w:val="00C5190F"/>
    <w:rsid w:val="00C51994"/>
    <w:rsid w:val="00C524A5"/>
    <w:rsid w:val="00C52B6C"/>
    <w:rsid w:val="00C52EA5"/>
    <w:rsid w:val="00C52EF6"/>
    <w:rsid w:val="00C53192"/>
    <w:rsid w:val="00C54555"/>
    <w:rsid w:val="00C54F39"/>
    <w:rsid w:val="00C5500C"/>
    <w:rsid w:val="00C55D1C"/>
    <w:rsid w:val="00C56D87"/>
    <w:rsid w:val="00C571D0"/>
    <w:rsid w:val="00C57AEF"/>
    <w:rsid w:val="00C57CD2"/>
    <w:rsid w:val="00C6061A"/>
    <w:rsid w:val="00C6122F"/>
    <w:rsid w:val="00C62105"/>
    <w:rsid w:val="00C6328D"/>
    <w:rsid w:val="00C633A9"/>
    <w:rsid w:val="00C637A1"/>
    <w:rsid w:val="00C63A8B"/>
    <w:rsid w:val="00C641B5"/>
    <w:rsid w:val="00C65322"/>
    <w:rsid w:val="00C6567A"/>
    <w:rsid w:val="00C65AD8"/>
    <w:rsid w:val="00C660ED"/>
    <w:rsid w:val="00C661EC"/>
    <w:rsid w:val="00C669A4"/>
    <w:rsid w:val="00C70316"/>
    <w:rsid w:val="00C71632"/>
    <w:rsid w:val="00C75C00"/>
    <w:rsid w:val="00C76451"/>
    <w:rsid w:val="00C76473"/>
    <w:rsid w:val="00C77B40"/>
    <w:rsid w:val="00C807A0"/>
    <w:rsid w:val="00C80E68"/>
    <w:rsid w:val="00C80F4B"/>
    <w:rsid w:val="00C817A1"/>
    <w:rsid w:val="00C81913"/>
    <w:rsid w:val="00C830DB"/>
    <w:rsid w:val="00C8350D"/>
    <w:rsid w:val="00C8395D"/>
    <w:rsid w:val="00C83A12"/>
    <w:rsid w:val="00C84ABD"/>
    <w:rsid w:val="00C85D97"/>
    <w:rsid w:val="00C8674B"/>
    <w:rsid w:val="00C90443"/>
    <w:rsid w:val="00C916E2"/>
    <w:rsid w:val="00C91A72"/>
    <w:rsid w:val="00C91E51"/>
    <w:rsid w:val="00C94DA7"/>
    <w:rsid w:val="00C94EFC"/>
    <w:rsid w:val="00C96192"/>
    <w:rsid w:val="00C96196"/>
    <w:rsid w:val="00C96476"/>
    <w:rsid w:val="00C9648C"/>
    <w:rsid w:val="00C96AC1"/>
    <w:rsid w:val="00C96DB9"/>
    <w:rsid w:val="00C978C2"/>
    <w:rsid w:val="00C97E63"/>
    <w:rsid w:val="00CA0A43"/>
    <w:rsid w:val="00CA0E97"/>
    <w:rsid w:val="00CA1018"/>
    <w:rsid w:val="00CA1D02"/>
    <w:rsid w:val="00CA1E64"/>
    <w:rsid w:val="00CA204E"/>
    <w:rsid w:val="00CA2596"/>
    <w:rsid w:val="00CA27D2"/>
    <w:rsid w:val="00CA2D95"/>
    <w:rsid w:val="00CA3049"/>
    <w:rsid w:val="00CA5120"/>
    <w:rsid w:val="00CA5770"/>
    <w:rsid w:val="00CA584F"/>
    <w:rsid w:val="00CB03BA"/>
    <w:rsid w:val="00CB19F2"/>
    <w:rsid w:val="00CB2A48"/>
    <w:rsid w:val="00CB4630"/>
    <w:rsid w:val="00CB4EE5"/>
    <w:rsid w:val="00CB574F"/>
    <w:rsid w:val="00CB59D2"/>
    <w:rsid w:val="00CB7382"/>
    <w:rsid w:val="00CB7707"/>
    <w:rsid w:val="00CB7917"/>
    <w:rsid w:val="00CC2B3E"/>
    <w:rsid w:val="00CC4BA0"/>
    <w:rsid w:val="00CC52C3"/>
    <w:rsid w:val="00CC5A6F"/>
    <w:rsid w:val="00CC639B"/>
    <w:rsid w:val="00CC6A74"/>
    <w:rsid w:val="00CC7295"/>
    <w:rsid w:val="00CC7991"/>
    <w:rsid w:val="00CD084C"/>
    <w:rsid w:val="00CD11EF"/>
    <w:rsid w:val="00CD13C6"/>
    <w:rsid w:val="00CD1C5F"/>
    <w:rsid w:val="00CD2543"/>
    <w:rsid w:val="00CD5829"/>
    <w:rsid w:val="00CD59B5"/>
    <w:rsid w:val="00CE129F"/>
    <w:rsid w:val="00CE197B"/>
    <w:rsid w:val="00CE2A4C"/>
    <w:rsid w:val="00CE3297"/>
    <w:rsid w:val="00CE33D2"/>
    <w:rsid w:val="00CE3493"/>
    <w:rsid w:val="00CE3E42"/>
    <w:rsid w:val="00CE3EF4"/>
    <w:rsid w:val="00CE4358"/>
    <w:rsid w:val="00CE4D63"/>
    <w:rsid w:val="00CE61DD"/>
    <w:rsid w:val="00CE6234"/>
    <w:rsid w:val="00CE68AD"/>
    <w:rsid w:val="00CE69F3"/>
    <w:rsid w:val="00CE78F3"/>
    <w:rsid w:val="00CF07F9"/>
    <w:rsid w:val="00CF0BDE"/>
    <w:rsid w:val="00CF22FA"/>
    <w:rsid w:val="00CF26E0"/>
    <w:rsid w:val="00CF27E9"/>
    <w:rsid w:val="00CF297F"/>
    <w:rsid w:val="00CF364C"/>
    <w:rsid w:val="00CF3B2B"/>
    <w:rsid w:val="00CF491E"/>
    <w:rsid w:val="00CF5B1A"/>
    <w:rsid w:val="00CF5EF9"/>
    <w:rsid w:val="00CF6441"/>
    <w:rsid w:val="00CF7073"/>
    <w:rsid w:val="00CF7FCF"/>
    <w:rsid w:val="00D00234"/>
    <w:rsid w:val="00D00A7E"/>
    <w:rsid w:val="00D01277"/>
    <w:rsid w:val="00D01FE5"/>
    <w:rsid w:val="00D03ECD"/>
    <w:rsid w:val="00D05828"/>
    <w:rsid w:val="00D05DAE"/>
    <w:rsid w:val="00D067D2"/>
    <w:rsid w:val="00D06BCF"/>
    <w:rsid w:val="00D125B0"/>
    <w:rsid w:val="00D12646"/>
    <w:rsid w:val="00D13011"/>
    <w:rsid w:val="00D139FD"/>
    <w:rsid w:val="00D13FB5"/>
    <w:rsid w:val="00D15850"/>
    <w:rsid w:val="00D15A5D"/>
    <w:rsid w:val="00D15B63"/>
    <w:rsid w:val="00D15EF9"/>
    <w:rsid w:val="00D16571"/>
    <w:rsid w:val="00D175DF"/>
    <w:rsid w:val="00D1760E"/>
    <w:rsid w:val="00D203D4"/>
    <w:rsid w:val="00D2313B"/>
    <w:rsid w:val="00D2424A"/>
    <w:rsid w:val="00D246DF"/>
    <w:rsid w:val="00D25158"/>
    <w:rsid w:val="00D25C84"/>
    <w:rsid w:val="00D26167"/>
    <w:rsid w:val="00D30848"/>
    <w:rsid w:val="00D3123A"/>
    <w:rsid w:val="00D3138A"/>
    <w:rsid w:val="00D31838"/>
    <w:rsid w:val="00D3253C"/>
    <w:rsid w:val="00D3279B"/>
    <w:rsid w:val="00D35870"/>
    <w:rsid w:val="00D35ABE"/>
    <w:rsid w:val="00D361D7"/>
    <w:rsid w:val="00D368B6"/>
    <w:rsid w:val="00D40319"/>
    <w:rsid w:val="00D409AA"/>
    <w:rsid w:val="00D413CD"/>
    <w:rsid w:val="00D414ED"/>
    <w:rsid w:val="00D417B2"/>
    <w:rsid w:val="00D42ECB"/>
    <w:rsid w:val="00D431ED"/>
    <w:rsid w:val="00D43292"/>
    <w:rsid w:val="00D45500"/>
    <w:rsid w:val="00D4665A"/>
    <w:rsid w:val="00D50F12"/>
    <w:rsid w:val="00D52788"/>
    <w:rsid w:val="00D52E51"/>
    <w:rsid w:val="00D537C1"/>
    <w:rsid w:val="00D55F7A"/>
    <w:rsid w:val="00D55FEB"/>
    <w:rsid w:val="00D5624F"/>
    <w:rsid w:val="00D562F3"/>
    <w:rsid w:val="00D56630"/>
    <w:rsid w:val="00D6059A"/>
    <w:rsid w:val="00D609BA"/>
    <w:rsid w:val="00D60E72"/>
    <w:rsid w:val="00D61311"/>
    <w:rsid w:val="00D61355"/>
    <w:rsid w:val="00D61FD6"/>
    <w:rsid w:val="00D620FD"/>
    <w:rsid w:val="00D62437"/>
    <w:rsid w:val="00D62C58"/>
    <w:rsid w:val="00D65042"/>
    <w:rsid w:val="00D6678E"/>
    <w:rsid w:val="00D670EC"/>
    <w:rsid w:val="00D71491"/>
    <w:rsid w:val="00D73B66"/>
    <w:rsid w:val="00D7463E"/>
    <w:rsid w:val="00D74746"/>
    <w:rsid w:val="00D75015"/>
    <w:rsid w:val="00D75DEE"/>
    <w:rsid w:val="00D7631C"/>
    <w:rsid w:val="00D76640"/>
    <w:rsid w:val="00D771C1"/>
    <w:rsid w:val="00D779D3"/>
    <w:rsid w:val="00D80264"/>
    <w:rsid w:val="00D80663"/>
    <w:rsid w:val="00D8070E"/>
    <w:rsid w:val="00D82AE8"/>
    <w:rsid w:val="00D85BE9"/>
    <w:rsid w:val="00D85F6A"/>
    <w:rsid w:val="00D86652"/>
    <w:rsid w:val="00D86CFB"/>
    <w:rsid w:val="00D90262"/>
    <w:rsid w:val="00D90F59"/>
    <w:rsid w:val="00D91698"/>
    <w:rsid w:val="00D91DB4"/>
    <w:rsid w:val="00D9236D"/>
    <w:rsid w:val="00D92AEE"/>
    <w:rsid w:val="00D97249"/>
    <w:rsid w:val="00D9775F"/>
    <w:rsid w:val="00DA09E5"/>
    <w:rsid w:val="00DA2625"/>
    <w:rsid w:val="00DA32F7"/>
    <w:rsid w:val="00DA44E7"/>
    <w:rsid w:val="00DA5246"/>
    <w:rsid w:val="00DA5911"/>
    <w:rsid w:val="00DA6462"/>
    <w:rsid w:val="00DA659F"/>
    <w:rsid w:val="00DA6D8D"/>
    <w:rsid w:val="00DA7E59"/>
    <w:rsid w:val="00DB0067"/>
    <w:rsid w:val="00DB07EB"/>
    <w:rsid w:val="00DB1161"/>
    <w:rsid w:val="00DB2062"/>
    <w:rsid w:val="00DB5321"/>
    <w:rsid w:val="00DB5AC0"/>
    <w:rsid w:val="00DB608F"/>
    <w:rsid w:val="00DB7183"/>
    <w:rsid w:val="00DB776B"/>
    <w:rsid w:val="00DC03CD"/>
    <w:rsid w:val="00DC1125"/>
    <w:rsid w:val="00DC1CDA"/>
    <w:rsid w:val="00DC2BE1"/>
    <w:rsid w:val="00DC3D91"/>
    <w:rsid w:val="00DC400E"/>
    <w:rsid w:val="00DC4DF9"/>
    <w:rsid w:val="00DC750E"/>
    <w:rsid w:val="00DD18CE"/>
    <w:rsid w:val="00DD1F8A"/>
    <w:rsid w:val="00DD24EE"/>
    <w:rsid w:val="00DD3779"/>
    <w:rsid w:val="00DD40A0"/>
    <w:rsid w:val="00DD642F"/>
    <w:rsid w:val="00DD6BE7"/>
    <w:rsid w:val="00DD6F90"/>
    <w:rsid w:val="00DD7805"/>
    <w:rsid w:val="00DE149B"/>
    <w:rsid w:val="00DE2935"/>
    <w:rsid w:val="00DE2E28"/>
    <w:rsid w:val="00DE407F"/>
    <w:rsid w:val="00DE5238"/>
    <w:rsid w:val="00DE58E8"/>
    <w:rsid w:val="00DE6658"/>
    <w:rsid w:val="00DE6F54"/>
    <w:rsid w:val="00DE731D"/>
    <w:rsid w:val="00DF0D83"/>
    <w:rsid w:val="00DF1164"/>
    <w:rsid w:val="00DF1451"/>
    <w:rsid w:val="00DF150E"/>
    <w:rsid w:val="00DF15CD"/>
    <w:rsid w:val="00DF20F5"/>
    <w:rsid w:val="00DF42B1"/>
    <w:rsid w:val="00DF4F98"/>
    <w:rsid w:val="00DF7656"/>
    <w:rsid w:val="00DF76D9"/>
    <w:rsid w:val="00E00AB6"/>
    <w:rsid w:val="00E00ADC"/>
    <w:rsid w:val="00E01F3B"/>
    <w:rsid w:val="00E020FA"/>
    <w:rsid w:val="00E025C6"/>
    <w:rsid w:val="00E02D4B"/>
    <w:rsid w:val="00E03D96"/>
    <w:rsid w:val="00E03DF2"/>
    <w:rsid w:val="00E05C15"/>
    <w:rsid w:val="00E06044"/>
    <w:rsid w:val="00E06ECF"/>
    <w:rsid w:val="00E07AD4"/>
    <w:rsid w:val="00E1197D"/>
    <w:rsid w:val="00E1241D"/>
    <w:rsid w:val="00E12669"/>
    <w:rsid w:val="00E127EB"/>
    <w:rsid w:val="00E133D4"/>
    <w:rsid w:val="00E16278"/>
    <w:rsid w:val="00E202CE"/>
    <w:rsid w:val="00E20FFA"/>
    <w:rsid w:val="00E22D89"/>
    <w:rsid w:val="00E22ED8"/>
    <w:rsid w:val="00E234C8"/>
    <w:rsid w:val="00E23C30"/>
    <w:rsid w:val="00E247E1"/>
    <w:rsid w:val="00E24882"/>
    <w:rsid w:val="00E254CB"/>
    <w:rsid w:val="00E26121"/>
    <w:rsid w:val="00E269C4"/>
    <w:rsid w:val="00E26BE9"/>
    <w:rsid w:val="00E302BF"/>
    <w:rsid w:val="00E31D7E"/>
    <w:rsid w:val="00E33421"/>
    <w:rsid w:val="00E336BB"/>
    <w:rsid w:val="00E33727"/>
    <w:rsid w:val="00E34AC6"/>
    <w:rsid w:val="00E353AE"/>
    <w:rsid w:val="00E36BFB"/>
    <w:rsid w:val="00E373BD"/>
    <w:rsid w:val="00E40DDA"/>
    <w:rsid w:val="00E42879"/>
    <w:rsid w:val="00E43B81"/>
    <w:rsid w:val="00E4517F"/>
    <w:rsid w:val="00E45C24"/>
    <w:rsid w:val="00E45FFF"/>
    <w:rsid w:val="00E46A0F"/>
    <w:rsid w:val="00E46B41"/>
    <w:rsid w:val="00E46C02"/>
    <w:rsid w:val="00E46DAB"/>
    <w:rsid w:val="00E477F4"/>
    <w:rsid w:val="00E47D4B"/>
    <w:rsid w:val="00E47D56"/>
    <w:rsid w:val="00E500C7"/>
    <w:rsid w:val="00E52B60"/>
    <w:rsid w:val="00E53045"/>
    <w:rsid w:val="00E53664"/>
    <w:rsid w:val="00E56B4F"/>
    <w:rsid w:val="00E56C44"/>
    <w:rsid w:val="00E60141"/>
    <w:rsid w:val="00E6083C"/>
    <w:rsid w:val="00E60C43"/>
    <w:rsid w:val="00E616E2"/>
    <w:rsid w:val="00E61C6D"/>
    <w:rsid w:val="00E6433C"/>
    <w:rsid w:val="00E65DE8"/>
    <w:rsid w:val="00E67F88"/>
    <w:rsid w:val="00E70873"/>
    <w:rsid w:val="00E70A31"/>
    <w:rsid w:val="00E71214"/>
    <w:rsid w:val="00E71820"/>
    <w:rsid w:val="00E728AC"/>
    <w:rsid w:val="00E72E4B"/>
    <w:rsid w:val="00E73312"/>
    <w:rsid w:val="00E7345D"/>
    <w:rsid w:val="00E7383D"/>
    <w:rsid w:val="00E746EE"/>
    <w:rsid w:val="00E747D1"/>
    <w:rsid w:val="00E755BE"/>
    <w:rsid w:val="00E760EF"/>
    <w:rsid w:val="00E8161B"/>
    <w:rsid w:val="00E8179F"/>
    <w:rsid w:val="00E817AA"/>
    <w:rsid w:val="00E821C9"/>
    <w:rsid w:val="00E821F4"/>
    <w:rsid w:val="00E82A05"/>
    <w:rsid w:val="00E82C8C"/>
    <w:rsid w:val="00E8386D"/>
    <w:rsid w:val="00E83FBE"/>
    <w:rsid w:val="00E855F4"/>
    <w:rsid w:val="00E86F6E"/>
    <w:rsid w:val="00E90212"/>
    <w:rsid w:val="00E90699"/>
    <w:rsid w:val="00E906F6"/>
    <w:rsid w:val="00E90B73"/>
    <w:rsid w:val="00E90E72"/>
    <w:rsid w:val="00E92173"/>
    <w:rsid w:val="00E9316F"/>
    <w:rsid w:val="00E93724"/>
    <w:rsid w:val="00E94471"/>
    <w:rsid w:val="00E9492F"/>
    <w:rsid w:val="00E949BF"/>
    <w:rsid w:val="00E94FC6"/>
    <w:rsid w:val="00E9529F"/>
    <w:rsid w:val="00E95E4F"/>
    <w:rsid w:val="00E96856"/>
    <w:rsid w:val="00E977BA"/>
    <w:rsid w:val="00E97E83"/>
    <w:rsid w:val="00EA0BEC"/>
    <w:rsid w:val="00EA13DA"/>
    <w:rsid w:val="00EA193F"/>
    <w:rsid w:val="00EA1AE9"/>
    <w:rsid w:val="00EA3F73"/>
    <w:rsid w:val="00EA3FF0"/>
    <w:rsid w:val="00EA46DC"/>
    <w:rsid w:val="00EA47F5"/>
    <w:rsid w:val="00EA484B"/>
    <w:rsid w:val="00EA5C2F"/>
    <w:rsid w:val="00EA7AA7"/>
    <w:rsid w:val="00EB0890"/>
    <w:rsid w:val="00EB0D20"/>
    <w:rsid w:val="00EB20C0"/>
    <w:rsid w:val="00EB2339"/>
    <w:rsid w:val="00EB248A"/>
    <w:rsid w:val="00EB2737"/>
    <w:rsid w:val="00EB568D"/>
    <w:rsid w:val="00EB5869"/>
    <w:rsid w:val="00EB5B0E"/>
    <w:rsid w:val="00EB67D4"/>
    <w:rsid w:val="00EB7953"/>
    <w:rsid w:val="00EB7B8D"/>
    <w:rsid w:val="00EC0280"/>
    <w:rsid w:val="00EC0EE5"/>
    <w:rsid w:val="00EC13EE"/>
    <w:rsid w:val="00EC1974"/>
    <w:rsid w:val="00EC2DAC"/>
    <w:rsid w:val="00EC2DE1"/>
    <w:rsid w:val="00EC3473"/>
    <w:rsid w:val="00EC3805"/>
    <w:rsid w:val="00EC52D2"/>
    <w:rsid w:val="00EC55CD"/>
    <w:rsid w:val="00EC626F"/>
    <w:rsid w:val="00EC6761"/>
    <w:rsid w:val="00EC6762"/>
    <w:rsid w:val="00EC6FF7"/>
    <w:rsid w:val="00ED0494"/>
    <w:rsid w:val="00ED04F8"/>
    <w:rsid w:val="00ED0736"/>
    <w:rsid w:val="00ED0957"/>
    <w:rsid w:val="00ED1477"/>
    <w:rsid w:val="00ED163C"/>
    <w:rsid w:val="00ED20A9"/>
    <w:rsid w:val="00ED22C2"/>
    <w:rsid w:val="00ED23F4"/>
    <w:rsid w:val="00ED2957"/>
    <w:rsid w:val="00ED4FC5"/>
    <w:rsid w:val="00ED56CB"/>
    <w:rsid w:val="00ED68D6"/>
    <w:rsid w:val="00ED6925"/>
    <w:rsid w:val="00ED6D26"/>
    <w:rsid w:val="00ED7A10"/>
    <w:rsid w:val="00EE0125"/>
    <w:rsid w:val="00EE051F"/>
    <w:rsid w:val="00EE10FD"/>
    <w:rsid w:val="00EE1524"/>
    <w:rsid w:val="00EE3187"/>
    <w:rsid w:val="00EE32ED"/>
    <w:rsid w:val="00EE360F"/>
    <w:rsid w:val="00EE397A"/>
    <w:rsid w:val="00EE5185"/>
    <w:rsid w:val="00EE51C3"/>
    <w:rsid w:val="00EE58BB"/>
    <w:rsid w:val="00EE65E3"/>
    <w:rsid w:val="00EE6660"/>
    <w:rsid w:val="00EE6DA8"/>
    <w:rsid w:val="00EE7056"/>
    <w:rsid w:val="00EE7690"/>
    <w:rsid w:val="00EE7E39"/>
    <w:rsid w:val="00EF01A6"/>
    <w:rsid w:val="00EF2B62"/>
    <w:rsid w:val="00EF35FC"/>
    <w:rsid w:val="00EF3A95"/>
    <w:rsid w:val="00EF5D7B"/>
    <w:rsid w:val="00EF6038"/>
    <w:rsid w:val="00EF6A3B"/>
    <w:rsid w:val="00EF78A7"/>
    <w:rsid w:val="00EF7D2C"/>
    <w:rsid w:val="00F002E0"/>
    <w:rsid w:val="00F01865"/>
    <w:rsid w:val="00F02C8F"/>
    <w:rsid w:val="00F02F46"/>
    <w:rsid w:val="00F03C7D"/>
    <w:rsid w:val="00F03E24"/>
    <w:rsid w:val="00F04599"/>
    <w:rsid w:val="00F04A34"/>
    <w:rsid w:val="00F04C7E"/>
    <w:rsid w:val="00F05B35"/>
    <w:rsid w:val="00F0619F"/>
    <w:rsid w:val="00F065E1"/>
    <w:rsid w:val="00F06D3D"/>
    <w:rsid w:val="00F07C50"/>
    <w:rsid w:val="00F07C54"/>
    <w:rsid w:val="00F10718"/>
    <w:rsid w:val="00F107E5"/>
    <w:rsid w:val="00F109ED"/>
    <w:rsid w:val="00F10E4C"/>
    <w:rsid w:val="00F111FA"/>
    <w:rsid w:val="00F1132F"/>
    <w:rsid w:val="00F11B30"/>
    <w:rsid w:val="00F120D4"/>
    <w:rsid w:val="00F12C52"/>
    <w:rsid w:val="00F142C7"/>
    <w:rsid w:val="00F14608"/>
    <w:rsid w:val="00F14D35"/>
    <w:rsid w:val="00F1566B"/>
    <w:rsid w:val="00F16151"/>
    <w:rsid w:val="00F164A8"/>
    <w:rsid w:val="00F1699F"/>
    <w:rsid w:val="00F210E7"/>
    <w:rsid w:val="00F2154B"/>
    <w:rsid w:val="00F21954"/>
    <w:rsid w:val="00F21DBE"/>
    <w:rsid w:val="00F22680"/>
    <w:rsid w:val="00F257D7"/>
    <w:rsid w:val="00F266ED"/>
    <w:rsid w:val="00F26960"/>
    <w:rsid w:val="00F26AFA"/>
    <w:rsid w:val="00F27C36"/>
    <w:rsid w:val="00F30869"/>
    <w:rsid w:val="00F3298D"/>
    <w:rsid w:val="00F32FAA"/>
    <w:rsid w:val="00F33440"/>
    <w:rsid w:val="00F3512E"/>
    <w:rsid w:val="00F35B78"/>
    <w:rsid w:val="00F36029"/>
    <w:rsid w:val="00F36930"/>
    <w:rsid w:val="00F36D80"/>
    <w:rsid w:val="00F36E5C"/>
    <w:rsid w:val="00F37238"/>
    <w:rsid w:val="00F3731A"/>
    <w:rsid w:val="00F37F36"/>
    <w:rsid w:val="00F404D4"/>
    <w:rsid w:val="00F41A45"/>
    <w:rsid w:val="00F41B71"/>
    <w:rsid w:val="00F44947"/>
    <w:rsid w:val="00F44ED5"/>
    <w:rsid w:val="00F4618A"/>
    <w:rsid w:val="00F46F96"/>
    <w:rsid w:val="00F50644"/>
    <w:rsid w:val="00F508A6"/>
    <w:rsid w:val="00F50945"/>
    <w:rsid w:val="00F50AC4"/>
    <w:rsid w:val="00F50B35"/>
    <w:rsid w:val="00F52125"/>
    <w:rsid w:val="00F53CF1"/>
    <w:rsid w:val="00F53DF2"/>
    <w:rsid w:val="00F53E33"/>
    <w:rsid w:val="00F547EF"/>
    <w:rsid w:val="00F55413"/>
    <w:rsid w:val="00F57071"/>
    <w:rsid w:val="00F573E6"/>
    <w:rsid w:val="00F57561"/>
    <w:rsid w:val="00F60903"/>
    <w:rsid w:val="00F60F99"/>
    <w:rsid w:val="00F621B1"/>
    <w:rsid w:val="00F62400"/>
    <w:rsid w:val="00F62FFF"/>
    <w:rsid w:val="00F63F39"/>
    <w:rsid w:val="00F642BF"/>
    <w:rsid w:val="00F64887"/>
    <w:rsid w:val="00F66E3B"/>
    <w:rsid w:val="00F67762"/>
    <w:rsid w:val="00F71AF7"/>
    <w:rsid w:val="00F73ED6"/>
    <w:rsid w:val="00F741FD"/>
    <w:rsid w:val="00F756EF"/>
    <w:rsid w:val="00F75C9C"/>
    <w:rsid w:val="00F75D24"/>
    <w:rsid w:val="00F775DA"/>
    <w:rsid w:val="00F8162A"/>
    <w:rsid w:val="00F81D2D"/>
    <w:rsid w:val="00F8231E"/>
    <w:rsid w:val="00F82468"/>
    <w:rsid w:val="00F83779"/>
    <w:rsid w:val="00F83936"/>
    <w:rsid w:val="00F852D4"/>
    <w:rsid w:val="00F85950"/>
    <w:rsid w:val="00F862E9"/>
    <w:rsid w:val="00F8673E"/>
    <w:rsid w:val="00F8687D"/>
    <w:rsid w:val="00F87006"/>
    <w:rsid w:val="00F90370"/>
    <w:rsid w:val="00F94687"/>
    <w:rsid w:val="00F94818"/>
    <w:rsid w:val="00F94D8C"/>
    <w:rsid w:val="00F95507"/>
    <w:rsid w:val="00F95CFE"/>
    <w:rsid w:val="00F96D81"/>
    <w:rsid w:val="00F9735B"/>
    <w:rsid w:val="00F978C1"/>
    <w:rsid w:val="00FA02BD"/>
    <w:rsid w:val="00FA07A5"/>
    <w:rsid w:val="00FA1119"/>
    <w:rsid w:val="00FA15F5"/>
    <w:rsid w:val="00FA211D"/>
    <w:rsid w:val="00FA291D"/>
    <w:rsid w:val="00FA3217"/>
    <w:rsid w:val="00FA33DD"/>
    <w:rsid w:val="00FA3A1D"/>
    <w:rsid w:val="00FA4110"/>
    <w:rsid w:val="00FA6096"/>
    <w:rsid w:val="00FB168B"/>
    <w:rsid w:val="00FB419E"/>
    <w:rsid w:val="00FB4AB6"/>
    <w:rsid w:val="00FB5891"/>
    <w:rsid w:val="00FB5D60"/>
    <w:rsid w:val="00FB5E0A"/>
    <w:rsid w:val="00FB611D"/>
    <w:rsid w:val="00FC00BE"/>
    <w:rsid w:val="00FC0A44"/>
    <w:rsid w:val="00FC13E5"/>
    <w:rsid w:val="00FC1C68"/>
    <w:rsid w:val="00FC1D60"/>
    <w:rsid w:val="00FC253B"/>
    <w:rsid w:val="00FC3048"/>
    <w:rsid w:val="00FC3243"/>
    <w:rsid w:val="00FC3425"/>
    <w:rsid w:val="00FC4155"/>
    <w:rsid w:val="00FC4C23"/>
    <w:rsid w:val="00FC4E96"/>
    <w:rsid w:val="00FC6F4F"/>
    <w:rsid w:val="00FC796F"/>
    <w:rsid w:val="00FC7DF8"/>
    <w:rsid w:val="00FD058A"/>
    <w:rsid w:val="00FD0FC1"/>
    <w:rsid w:val="00FD1744"/>
    <w:rsid w:val="00FD2061"/>
    <w:rsid w:val="00FD2157"/>
    <w:rsid w:val="00FD28A0"/>
    <w:rsid w:val="00FD414B"/>
    <w:rsid w:val="00FD557D"/>
    <w:rsid w:val="00FD5699"/>
    <w:rsid w:val="00FD580B"/>
    <w:rsid w:val="00FD60F7"/>
    <w:rsid w:val="00FD6542"/>
    <w:rsid w:val="00FD70CD"/>
    <w:rsid w:val="00FE1109"/>
    <w:rsid w:val="00FE256A"/>
    <w:rsid w:val="00FE3DA6"/>
    <w:rsid w:val="00FE4209"/>
    <w:rsid w:val="00FE4298"/>
    <w:rsid w:val="00FE5994"/>
    <w:rsid w:val="00FE641F"/>
    <w:rsid w:val="00FE65F5"/>
    <w:rsid w:val="00FE7086"/>
    <w:rsid w:val="00FE74A7"/>
    <w:rsid w:val="00FF1458"/>
    <w:rsid w:val="00FF14B0"/>
    <w:rsid w:val="00FF251D"/>
    <w:rsid w:val="00FF39B0"/>
    <w:rsid w:val="00FF3ABA"/>
    <w:rsid w:val="00FF44EB"/>
    <w:rsid w:val="00FF46A9"/>
    <w:rsid w:val="00FF54FF"/>
    <w:rsid w:val="00FF6EF2"/>
    <w:rsid w:val="00FF76CF"/>
    <w:rsid w:val="00FF78FC"/>
    <w:rsid w:val="02CC50BB"/>
    <w:rsid w:val="061832C0"/>
    <w:rsid w:val="083447F7"/>
    <w:rsid w:val="08E75301"/>
    <w:rsid w:val="11E5626B"/>
    <w:rsid w:val="16D374B0"/>
    <w:rsid w:val="1D9873B0"/>
    <w:rsid w:val="1EF96090"/>
    <w:rsid w:val="1F5E479D"/>
    <w:rsid w:val="23BD04C6"/>
    <w:rsid w:val="24E2369D"/>
    <w:rsid w:val="25F060EE"/>
    <w:rsid w:val="27FA0D7D"/>
    <w:rsid w:val="29B27CFE"/>
    <w:rsid w:val="29F46469"/>
    <w:rsid w:val="2A4C0295"/>
    <w:rsid w:val="2A777809"/>
    <w:rsid w:val="2C182496"/>
    <w:rsid w:val="2C930934"/>
    <w:rsid w:val="2F010CF0"/>
    <w:rsid w:val="309B7A8A"/>
    <w:rsid w:val="33AE5BE0"/>
    <w:rsid w:val="3D195F2A"/>
    <w:rsid w:val="3E9823DD"/>
    <w:rsid w:val="42F535F3"/>
    <w:rsid w:val="432E0516"/>
    <w:rsid w:val="4473346D"/>
    <w:rsid w:val="4E947923"/>
    <w:rsid w:val="52D804AD"/>
    <w:rsid w:val="5720110A"/>
    <w:rsid w:val="582C5B76"/>
    <w:rsid w:val="625E4788"/>
    <w:rsid w:val="626A5ADE"/>
    <w:rsid w:val="662559C2"/>
    <w:rsid w:val="6DDA4035"/>
    <w:rsid w:val="725158E6"/>
    <w:rsid w:val="755469E0"/>
    <w:rsid w:val="75850CEB"/>
    <w:rsid w:val="7606588B"/>
    <w:rsid w:val="76EE2021"/>
    <w:rsid w:val="772F5E3F"/>
    <w:rsid w:val="79CE2AD9"/>
    <w:rsid w:val="7C467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60"/>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62"/>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63"/>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64"/>
    <w:qFormat/>
    <w:uiPriority w:val="0"/>
    <w:pPr>
      <w:keepNext/>
      <w:keepLines/>
      <w:spacing w:before="240" w:after="64" w:line="320" w:lineRule="auto"/>
      <w:outlineLvl w:val="6"/>
    </w:pPr>
    <w:rPr>
      <w:b/>
      <w:bCs/>
      <w:kern w:val="0"/>
      <w:sz w:val="24"/>
    </w:rPr>
  </w:style>
  <w:style w:type="paragraph" w:styleId="10">
    <w:name w:val="heading 8"/>
    <w:basedOn w:val="1"/>
    <w:next w:val="1"/>
    <w:link w:val="65"/>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66"/>
    <w:qFormat/>
    <w:uiPriority w:val="0"/>
    <w:pPr>
      <w:keepNext/>
      <w:keepLines/>
      <w:spacing w:before="240" w:after="64" w:line="320" w:lineRule="auto"/>
      <w:outlineLvl w:val="8"/>
    </w:pPr>
    <w:rPr>
      <w:rFonts w:ascii="Arial" w:hAnsi="Arial" w:eastAsia="黑体"/>
      <w:kern w:val="0"/>
      <w:sz w:val="2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67"/>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68"/>
    <w:qFormat/>
    <w:uiPriority w:val="99"/>
    <w:pPr>
      <w:shd w:val="clear" w:color="auto" w:fill="000080"/>
    </w:pPr>
    <w:rPr>
      <w:kern w:val="0"/>
      <w:sz w:val="20"/>
    </w:rPr>
  </w:style>
  <w:style w:type="paragraph" w:styleId="18">
    <w:name w:val="toa heading"/>
    <w:basedOn w:val="1"/>
    <w:next w:val="1"/>
    <w:link w:val="6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70"/>
    <w:qFormat/>
    <w:uiPriority w:val="0"/>
    <w:pPr>
      <w:jc w:val="left"/>
    </w:pPr>
    <w:rPr>
      <w:kern w:val="0"/>
      <w:sz w:val="20"/>
    </w:rPr>
  </w:style>
  <w:style w:type="paragraph" w:styleId="20">
    <w:name w:val="Body Text 3"/>
    <w:basedOn w:val="1"/>
    <w:link w:val="71"/>
    <w:qFormat/>
    <w:uiPriority w:val="0"/>
    <w:pPr>
      <w:snapToGrid w:val="0"/>
      <w:spacing w:before="50" w:after="50"/>
    </w:pPr>
    <w:rPr>
      <w:rFonts w:hAnsi="宋体" w:eastAsia="仿宋_GB2312"/>
      <w:b/>
      <w:bCs/>
      <w:kern w:val="0"/>
      <w:sz w:val="24"/>
      <w:szCs w:val="20"/>
    </w:rPr>
  </w:style>
  <w:style w:type="paragraph" w:styleId="21">
    <w:name w:val="Body Text"/>
    <w:basedOn w:val="1"/>
    <w:next w:val="1"/>
    <w:link w:val="72"/>
    <w:qFormat/>
    <w:uiPriority w:val="0"/>
    <w:pPr>
      <w:spacing w:after="120"/>
    </w:pPr>
    <w:rPr>
      <w:kern w:val="0"/>
      <w:sz w:val="28"/>
    </w:rPr>
  </w:style>
  <w:style w:type="paragraph" w:styleId="22">
    <w:name w:val="Body Text Indent"/>
    <w:basedOn w:val="1"/>
    <w:link w:val="73"/>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index 4"/>
    <w:basedOn w:val="1"/>
    <w:next w:val="1"/>
    <w:unhideWhenUsed/>
    <w:qFormat/>
    <w:uiPriority w:val="99"/>
    <w:pPr>
      <w:ind w:left="600" w:leftChars="600"/>
    </w:p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74"/>
    <w:qFormat/>
    <w:uiPriority w:val="0"/>
    <w:pPr>
      <w:spacing w:beforeLines="50" w:afterLines="50" w:line="400" w:lineRule="exact"/>
    </w:pPr>
    <w:rPr>
      <w:rFonts w:ascii="宋体" w:hAnsi="Courier New"/>
      <w:kern w:val="0"/>
      <w:sz w:val="24"/>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Date"/>
    <w:basedOn w:val="1"/>
    <w:next w:val="1"/>
    <w:link w:val="75"/>
    <w:qFormat/>
    <w:uiPriority w:val="0"/>
    <w:pPr>
      <w:ind w:left="2500" w:leftChars="2500"/>
    </w:pPr>
    <w:rPr>
      <w:rFonts w:eastAsia="楷体_GB2312"/>
      <w:kern w:val="0"/>
      <w:sz w:val="32"/>
      <w:szCs w:val="20"/>
    </w:rPr>
  </w:style>
  <w:style w:type="paragraph" w:styleId="32">
    <w:name w:val="Body Text Indent 2"/>
    <w:basedOn w:val="1"/>
    <w:link w:val="76"/>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77"/>
    <w:qFormat/>
    <w:uiPriority w:val="99"/>
    <w:rPr>
      <w:kern w:val="0"/>
      <w:sz w:val="18"/>
      <w:szCs w:val="18"/>
    </w:rPr>
  </w:style>
  <w:style w:type="paragraph" w:styleId="34">
    <w:name w:val="footer"/>
    <w:basedOn w:val="1"/>
    <w:link w:val="78"/>
    <w:qFormat/>
    <w:uiPriority w:val="0"/>
    <w:pPr>
      <w:tabs>
        <w:tab w:val="center" w:pos="4153"/>
        <w:tab w:val="right" w:pos="8306"/>
      </w:tabs>
      <w:snapToGrid w:val="0"/>
      <w:jc w:val="left"/>
    </w:pPr>
    <w:rPr>
      <w:rFonts w:eastAsia="黑体"/>
      <w:kern w:val="0"/>
      <w:sz w:val="18"/>
      <w:szCs w:val="18"/>
    </w:rPr>
  </w:style>
  <w:style w:type="paragraph" w:styleId="35">
    <w:name w:val="header"/>
    <w:basedOn w:val="1"/>
    <w:link w:val="79"/>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qFormat/>
    <w:uiPriority w:val="39"/>
  </w:style>
  <w:style w:type="paragraph" w:styleId="37">
    <w:name w:val="toc 4"/>
    <w:basedOn w:val="1"/>
    <w:next w:val="1"/>
    <w:unhideWhenUsed/>
    <w:qFormat/>
    <w:uiPriority w:val="39"/>
    <w:pPr>
      <w:ind w:left="1260" w:leftChars="600"/>
    </w:pPr>
    <w:rPr>
      <w:rFonts w:ascii="Calibri" w:hAnsi="Calibri"/>
      <w:szCs w:val="22"/>
    </w:rPr>
  </w:style>
  <w:style w:type="paragraph" w:styleId="38">
    <w:name w:val="List"/>
    <w:basedOn w:val="1"/>
    <w:qFormat/>
    <w:uiPriority w:val="0"/>
    <w:pPr>
      <w:ind w:left="200" w:hanging="200" w:hangingChars="200"/>
    </w:pPr>
    <w:rPr>
      <w:sz w:val="28"/>
    </w:rPr>
  </w:style>
  <w:style w:type="paragraph" w:styleId="39">
    <w:name w:val="toc 6"/>
    <w:basedOn w:val="1"/>
    <w:next w:val="1"/>
    <w:unhideWhenUsed/>
    <w:qFormat/>
    <w:uiPriority w:val="39"/>
    <w:pPr>
      <w:ind w:left="2100" w:leftChars="1000"/>
    </w:pPr>
    <w:rPr>
      <w:rFonts w:ascii="Calibri" w:hAnsi="Calibri"/>
      <w:szCs w:val="22"/>
    </w:rPr>
  </w:style>
  <w:style w:type="paragraph" w:styleId="40">
    <w:name w:val="Body Text Indent 3"/>
    <w:basedOn w:val="1"/>
    <w:link w:val="80"/>
    <w:qFormat/>
    <w:uiPriority w:val="0"/>
    <w:pPr>
      <w:snapToGrid w:val="0"/>
      <w:ind w:firstLine="480" w:firstLineChars="200"/>
      <w:jc w:val="left"/>
    </w:pPr>
    <w:rPr>
      <w:rFonts w:ascii="仿宋_GB2312" w:hAnsi="宋体" w:eastAsia="仿宋_GB2312"/>
      <w:color w:val="000000"/>
      <w:kern w:val="0"/>
      <w:sz w:val="24"/>
    </w:rPr>
  </w:style>
  <w:style w:type="paragraph" w:styleId="41">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2">
    <w:name w:val="toc 2"/>
    <w:basedOn w:val="1"/>
    <w:next w:val="1"/>
    <w:qFormat/>
    <w:uiPriority w:val="39"/>
    <w:pPr>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81"/>
    <w:qFormat/>
    <w:uiPriority w:val="99"/>
    <w:pPr>
      <w:widowControl/>
      <w:snapToGrid w:val="0"/>
      <w:spacing w:before="50" w:afterLines="50" w:line="400" w:lineRule="exact"/>
      <w:jc w:val="left"/>
    </w:pPr>
    <w:rPr>
      <w:rFonts w:ascii="宋体" w:hAnsi="宋体"/>
      <w:color w:val="000000"/>
      <w:kern w:val="0"/>
      <w:sz w:val="24"/>
    </w:rPr>
  </w:style>
  <w:style w:type="paragraph" w:styleId="45">
    <w:name w:val="Normal (Web)"/>
    <w:basedOn w:val="1"/>
    <w:link w:val="82"/>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360" w:lineRule="auto"/>
      <w:jc w:val="center"/>
    </w:pPr>
    <w:rPr>
      <w:rFonts w:ascii="宋体" w:hAnsi="宋体"/>
      <w:bCs/>
    </w:rPr>
  </w:style>
  <w:style w:type="paragraph" w:styleId="47">
    <w:name w:val="Title"/>
    <w:basedOn w:val="1"/>
    <w:next w:val="1"/>
    <w:link w:val="83"/>
    <w:qFormat/>
    <w:uiPriority w:val="0"/>
    <w:pPr>
      <w:spacing w:before="240" w:after="60"/>
      <w:jc w:val="center"/>
      <w:outlineLvl w:val="0"/>
    </w:pPr>
    <w:rPr>
      <w:rFonts w:ascii="Cambria" w:hAnsi="Cambria"/>
      <w:b/>
      <w:bCs/>
      <w:kern w:val="0"/>
      <w:sz w:val="32"/>
      <w:szCs w:val="32"/>
    </w:rPr>
  </w:style>
  <w:style w:type="paragraph" w:styleId="48">
    <w:name w:val="annotation subject"/>
    <w:basedOn w:val="19"/>
    <w:next w:val="19"/>
    <w:link w:val="84"/>
    <w:qFormat/>
    <w:uiPriority w:val="99"/>
    <w:rPr>
      <w:b/>
      <w:bCs/>
    </w:rPr>
  </w:style>
  <w:style w:type="paragraph" w:styleId="49">
    <w:name w:val="Body Text First Indent"/>
    <w:basedOn w:val="21"/>
    <w:link w:val="85"/>
    <w:qFormat/>
    <w:uiPriority w:val="0"/>
    <w:pPr>
      <w:spacing w:beforeLines="50" w:afterLines="50" w:line="360" w:lineRule="auto"/>
      <w:ind w:firstLine="480" w:firstLineChars="200"/>
    </w:pPr>
    <w:rPr>
      <w:sz w:val="24"/>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3">
    <w:name w:val="Strong"/>
    <w:qFormat/>
    <w:uiPriority w:val="0"/>
    <w:rPr>
      <w:b/>
      <w:bCs/>
      <w:color w:val="000000"/>
    </w:rPr>
  </w:style>
  <w:style w:type="character" w:styleId="54">
    <w:name w:val="page number"/>
    <w:qFormat/>
    <w:uiPriority w:val="0"/>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标题 1 字符1"/>
    <w:link w:val="3"/>
    <w:qFormat/>
    <w:uiPriority w:val="9"/>
    <w:rPr>
      <w:rFonts w:ascii="Times New Roman" w:hAnsi="Times New Roman" w:eastAsia="宋体" w:cs="Times New Roman"/>
      <w:b/>
      <w:bCs/>
      <w:kern w:val="44"/>
      <w:sz w:val="44"/>
      <w:szCs w:val="44"/>
    </w:rPr>
  </w:style>
  <w:style w:type="character" w:customStyle="1" w:styleId="59">
    <w:name w:val="标题 2 字符"/>
    <w:link w:val="4"/>
    <w:qFormat/>
    <w:uiPriority w:val="9"/>
    <w:rPr>
      <w:rFonts w:ascii="Arial" w:hAnsi="Arial" w:eastAsia="黑体" w:cs="Times New Roman"/>
      <w:b/>
      <w:bCs/>
      <w:kern w:val="0"/>
      <w:sz w:val="32"/>
      <w:szCs w:val="32"/>
    </w:rPr>
  </w:style>
  <w:style w:type="character" w:customStyle="1" w:styleId="60">
    <w:name w:val="标题 3 字符"/>
    <w:link w:val="5"/>
    <w:qFormat/>
    <w:uiPriority w:val="0"/>
    <w:rPr>
      <w:rFonts w:ascii="Times New Roman" w:hAnsi="Times New Roman" w:eastAsia="楷体_GB2312" w:cs="Times New Roman"/>
      <w:b/>
      <w:bCs/>
      <w:kern w:val="0"/>
      <w:sz w:val="32"/>
      <w:szCs w:val="32"/>
    </w:rPr>
  </w:style>
  <w:style w:type="character" w:customStyle="1" w:styleId="61">
    <w:name w:val="标题 4 字符"/>
    <w:link w:val="6"/>
    <w:qFormat/>
    <w:uiPriority w:val="0"/>
    <w:rPr>
      <w:rFonts w:ascii="Arial" w:hAnsi="Arial" w:eastAsia="黑体" w:cs="Times New Roman"/>
      <w:b/>
      <w:bCs/>
      <w:kern w:val="0"/>
      <w:sz w:val="28"/>
      <w:szCs w:val="28"/>
    </w:rPr>
  </w:style>
  <w:style w:type="character" w:customStyle="1" w:styleId="62">
    <w:name w:val="标题 5 字符"/>
    <w:link w:val="7"/>
    <w:qFormat/>
    <w:uiPriority w:val="9"/>
    <w:rPr>
      <w:rFonts w:ascii="Times New Roman" w:hAnsi="Times New Roman" w:eastAsia="宋体" w:cs="Times New Roman"/>
      <w:b/>
      <w:bCs/>
      <w:kern w:val="0"/>
      <w:sz w:val="28"/>
      <w:szCs w:val="28"/>
    </w:rPr>
  </w:style>
  <w:style w:type="character" w:customStyle="1" w:styleId="63">
    <w:name w:val="标题 6 字符"/>
    <w:link w:val="8"/>
    <w:qFormat/>
    <w:uiPriority w:val="0"/>
    <w:rPr>
      <w:rFonts w:ascii="Arial" w:hAnsi="Arial" w:eastAsia="黑体" w:cs="Times New Roman"/>
      <w:b/>
      <w:bCs/>
      <w:kern w:val="0"/>
      <w:sz w:val="24"/>
      <w:szCs w:val="24"/>
    </w:rPr>
  </w:style>
  <w:style w:type="character" w:customStyle="1" w:styleId="64">
    <w:name w:val="标题 7 字符"/>
    <w:link w:val="9"/>
    <w:qFormat/>
    <w:uiPriority w:val="0"/>
    <w:rPr>
      <w:rFonts w:ascii="Times New Roman" w:hAnsi="Times New Roman" w:eastAsia="宋体" w:cs="Times New Roman"/>
      <w:b/>
      <w:bCs/>
      <w:kern w:val="0"/>
      <w:sz w:val="24"/>
      <w:szCs w:val="24"/>
    </w:rPr>
  </w:style>
  <w:style w:type="character" w:customStyle="1" w:styleId="65">
    <w:name w:val="标题 8 字符"/>
    <w:link w:val="10"/>
    <w:qFormat/>
    <w:uiPriority w:val="0"/>
    <w:rPr>
      <w:rFonts w:ascii="Arial" w:hAnsi="Arial" w:eastAsia="黑体" w:cs="Times New Roman"/>
      <w:kern w:val="0"/>
      <w:sz w:val="24"/>
      <w:szCs w:val="24"/>
    </w:rPr>
  </w:style>
  <w:style w:type="character" w:customStyle="1" w:styleId="66">
    <w:name w:val="标题 9 字符"/>
    <w:link w:val="11"/>
    <w:qFormat/>
    <w:uiPriority w:val="0"/>
    <w:rPr>
      <w:rFonts w:ascii="Arial" w:hAnsi="Arial" w:eastAsia="黑体" w:cs="Times New Roman"/>
      <w:kern w:val="0"/>
      <w:sz w:val="20"/>
      <w:szCs w:val="21"/>
    </w:rPr>
  </w:style>
  <w:style w:type="character" w:customStyle="1" w:styleId="67">
    <w:name w:val="正文缩进 字符1"/>
    <w:link w:val="14"/>
    <w:qFormat/>
    <w:uiPriority w:val="0"/>
    <w:rPr>
      <w:rFonts w:eastAsia="宋体"/>
    </w:rPr>
  </w:style>
  <w:style w:type="character" w:customStyle="1" w:styleId="68">
    <w:name w:val="文档结构图 字符"/>
    <w:link w:val="17"/>
    <w:qFormat/>
    <w:uiPriority w:val="99"/>
    <w:rPr>
      <w:szCs w:val="24"/>
      <w:shd w:val="clear" w:color="auto" w:fill="000080"/>
    </w:rPr>
  </w:style>
  <w:style w:type="character" w:customStyle="1" w:styleId="69">
    <w:name w:val="引文目录标题 字符"/>
    <w:link w:val="18"/>
    <w:qFormat/>
    <w:uiPriority w:val="0"/>
    <w:rPr>
      <w:rFonts w:ascii="Arial" w:hAnsi="Arial" w:eastAsia="宋体" w:cs="Times New Roman"/>
      <w:kern w:val="0"/>
      <w:sz w:val="24"/>
      <w:szCs w:val="20"/>
    </w:rPr>
  </w:style>
  <w:style w:type="character" w:customStyle="1" w:styleId="70">
    <w:name w:val="批注文字 字符"/>
    <w:link w:val="19"/>
    <w:qFormat/>
    <w:uiPriority w:val="0"/>
    <w:rPr>
      <w:szCs w:val="24"/>
    </w:rPr>
  </w:style>
  <w:style w:type="character" w:customStyle="1" w:styleId="71">
    <w:name w:val="正文文本 3 字符"/>
    <w:link w:val="20"/>
    <w:qFormat/>
    <w:uiPriority w:val="0"/>
    <w:rPr>
      <w:rFonts w:hAnsi="宋体" w:eastAsia="仿宋_GB2312"/>
      <w:b/>
      <w:bCs/>
      <w:sz w:val="24"/>
    </w:rPr>
  </w:style>
  <w:style w:type="character" w:customStyle="1" w:styleId="72">
    <w:name w:val="正文文本 字符1"/>
    <w:link w:val="21"/>
    <w:qFormat/>
    <w:uiPriority w:val="0"/>
    <w:rPr>
      <w:rFonts w:ascii="Times New Roman" w:hAnsi="Times New Roman" w:eastAsia="宋体" w:cs="Times New Roman"/>
      <w:kern w:val="0"/>
      <w:sz w:val="28"/>
      <w:szCs w:val="24"/>
    </w:rPr>
  </w:style>
  <w:style w:type="character" w:customStyle="1" w:styleId="73">
    <w:name w:val="正文文本缩进 字符1"/>
    <w:link w:val="22"/>
    <w:qFormat/>
    <w:uiPriority w:val="0"/>
    <w:rPr>
      <w:rFonts w:ascii="宋体" w:hAnsi="Courier New"/>
      <w:spacing w:val="-4"/>
      <w:sz w:val="18"/>
    </w:rPr>
  </w:style>
  <w:style w:type="character" w:customStyle="1" w:styleId="74">
    <w:name w:val="纯文本 字符2"/>
    <w:link w:val="29"/>
    <w:qFormat/>
    <w:uiPriority w:val="0"/>
    <w:rPr>
      <w:rFonts w:ascii="宋体" w:hAnsi="Courier New" w:eastAsia="宋体"/>
      <w:sz w:val="24"/>
      <w:szCs w:val="24"/>
    </w:rPr>
  </w:style>
  <w:style w:type="character" w:customStyle="1" w:styleId="75">
    <w:name w:val="日期 字符"/>
    <w:link w:val="31"/>
    <w:qFormat/>
    <w:uiPriority w:val="0"/>
    <w:rPr>
      <w:rFonts w:eastAsia="楷体_GB2312"/>
      <w:sz w:val="32"/>
    </w:rPr>
  </w:style>
  <w:style w:type="character" w:customStyle="1" w:styleId="76">
    <w:name w:val="正文文本缩进 2 字符"/>
    <w:link w:val="32"/>
    <w:qFormat/>
    <w:uiPriority w:val="0"/>
    <w:rPr>
      <w:rFonts w:ascii="仿宋_GB2312" w:hAnsi="宋体" w:cs="Arial"/>
      <w:b/>
      <w:bCs/>
      <w:color w:val="000000"/>
      <w:sz w:val="24"/>
      <w:szCs w:val="24"/>
    </w:rPr>
  </w:style>
  <w:style w:type="character" w:customStyle="1" w:styleId="77">
    <w:name w:val="批注框文本 字符"/>
    <w:link w:val="33"/>
    <w:qFormat/>
    <w:uiPriority w:val="99"/>
    <w:rPr>
      <w:sz w:val="18"/>
      <w:szCs w:val="18"/>
    </w:rPr>
  </w:style>
  <w:style w:type="character" w:customStyle="1" w:styleId="78">
    <w:name w:val="页脚 字符"/>
    <w:link w:val="34"/>
    <w:qFormat/>
    <w:uiPriority w:val="0"/>
    <w:rPr>
      <w:rFonts w:eastAsia="黑体"/>
      <w:sz w:val="18"/>
      <w:szCs w:val="18"/>
    </w:rPr>
  </w:style>
  <w:style w:type="character" w:customStyle="1" w:styleId="79">
    <w:name w:val="页眉 字符"/>
    <w:link w:val="35"/>
    <w:qFormat/>
    <w:uiPriority w:val="0"/>
    <w:rPr>
      <w:rFonts w:eastAsia="仿宋_GB2312"/>
      <w:sz w:val="18"/>
    </w:rPr>
  </w:style>
  <w:style w:type="character" w:customStyle="1" w:styleId="80">
    <w:name w:val="正文文本缩进 3 字符"/>
    <w:link w:val="40"/>
    <w:qFormat/>
    <w:uiPriority w:val="0"/>
    <w:rPr>
      <w:rFonts w:ascii="仿宋_GB2312" w:hAnsi="宋体" w:eastAsia="仿宋_GB2312"/>
      <w:color w:val="000000"/>
      <w:sz w:val="24"/>
      <w:szCs w:val="24"/>
    </w:rPr>
  </w:style>
  <w:style w:type="character" w:customStyle="1" w:styleId="81">
    <w:name w:val="正文文本 2 字符"/>
    <w:link w:val="44"/>
    <w:qFormat/>
    <w:uiPriority w:val="99"/>
    <w:rPr>
      <w:rFonts w:ascii="宋体" w:hAnsi="宋体"/>
      <w:color w:val="000000"/>
      <w:sz w:val="24"/>
      <w:szCs w:val="24"/>
    </w:rPr>
  </w:style>
  <w:style w:type="character" w:customStyle="1" w:styleId="82">
    <w:name w:val="普通(网站) 字符"/>
    <w:link w:val="45"/>
    <w:qFormat/>
    <w:uiPriority w:val="0"/>
    <w:rPr>
      <w:rFonts w:ascii="宋体" w:hAnsi="宋体"/>
      <w:sz w:val="24"/>
      <w:szCs w:val="24"/>
    </w:rPr>
  </w:style>
  <w:style w:type="character" w:customStyle="1" w:styleId="83">
    <w:name w:val="标题 字符"/>
    <w:link w:val="47"/>
    <w:qFormat/>
    <w:uiPriority w:val="0"/>
    <w:rPr>
      <w:rFonts w:ascii="Cambria" w:hAnsi="Cambria"/>
      <w:b/>
      <w:bCs/>
      <w:sz w:val="32"/>
      <w:szCs w:val="32"/>
    </w:rPr>
  </w:style>
  <w:style w:type="character" w:customStyle="1" w:styleId="84">
    <w:name w:val="批注主题 字符"/>
    <w:link w:val="48"/>
    <w:qFormat/>
    <w:uiPriority w:val="99"/>
    <w:rPr>
      <w:b/>
      <w:bCs/>
      <w:szCs w:val="24"/>
    </w:rPr>
  </w:style>
  <w:style w:type="character" w:customStyle="1" w:styleId="85">
    <w:name w:val="正文首行缩进 字符"/>
    <w:link w:val="49"/>
    <w:qFormat/>
    <w:uiPriority w:val="0"/>
    <w:rPr>
      <w:sz w:val="24"/>
      <w:szCs w:val="24"/>
    </w:rPr>
  </w:style>
  <w:style w:type="character" w:customStyle="1" w:styleId="86">
    <w:name w:val="访问过的超链接1"/>
    <w:qFormat/>
    <w:uiPriority w:val="99"/>
    <w:rPr>
      <w:color w:val="800080"/>
      <w:u w:val="single"/>
    </w:rPr>
  </w:style>
  <w:style w:type="character" w:customStyle="1" w:styleId="87">
    <w:name w:val="Plain Text Char"/>
    <w:semiHidden/>
    <w:qFormat/>
    <w:locked/>
    <w:uiPriority w:val="0"/>
    <w:rPr>
      <w:rFonts w:ascii="宋体" w:hAnsi="Courier New" w:cs="Courier New"/>
      <w:kern w:val="0"/>
      <w:sz w:val="21"/>
      <w:szCs w:val="21"/>
    </w:rPr>
  </w:style>
  <w:style w:type="character" w:customStyle="1" w:styleId="88">
    <w:name w:val="Char Char1111"/>
    <w:qFormat/>
    <w:uiPriority w:val="0"/>
    <w:rPr>
      <w:kern w:val="2"/>
      <w:sz w:val="28"/>
      <w:szCs w:val="24"/>
    </w:rPr>
  </w:style>
  <w:style w:type="character" w:customStyle="1" w:styleId="89">
    <w:name w:val="Heading 8 Char"/>
    <w:semiHidden/>
    <w:qFormat/>
    <w:locked/>
    <w:uiPriority w:val="0"/>
    <w:rPr>
      <w:rFonts w:ascii="Cambria" w:hAnsi="Cambria" w:eastAsia="宋体" w:cs="Times New Roman"/>
      <w:kern w:val="0"/>
      <w:sz w:val="24"/>
      <w:szCs w:val="24"/>
    </w:rPr>
  </w:style>
  <w:style w:type="character" w:customStyle="1" w:styleId="90">
    <w:name w:val="Body Text Char"/>
    <w:semiHidden/>
    <w:qFormat/>
    <w:locked/>
    <w:uiPriority w:val="0"/>
    <w:rPr>
      <w:rFonts w:cs="Times New Roman"/>
      <w:kern w:val="0"/>
      <w:sz w:val="21"/>
      <w:szCs w:val="21"/>
    </w:rPr>
  </w:style>
  <w:style w:type="character" w:customStyle="1" w:styleId="91">
    <w:name w:val="font11"/>
    <w:qFormat/>
    <w:uiPriority w:val="0"/>
    <w:rPr>
      <w:rFonts w:hint="default" w:ascii="Times New Roman" w:hAnsi="Times New Roman" w:cs="Times New Roman"/>
      <w:color w:val="000000"/>
      <w:sz w:val="20"/>
      <w:szCs w:val="20"/>
      <w:u w:val="none"/>
    </w:rPr>
  </w:style>
  <w:style w:type="character" w:customStyle="1" w:styleId="92">
    <w:name w:val="wj1"/>
    <w:qFormat/>
    <w:uiPriority w:val="0"/>
    <w:rPr>
      <w:color w:val="000000"/>
      <w:sz w:val="18"/>
      <w:szCs w:val="18"/>
      <w:u w:val="none"/>
    </w:rPr>
  </w:style>
  <w:style w:type="character" w:customStyle="1" w:styleId="93">
    <w:name w:val="!标题3 Ctrl+3 Char"/>
    <w:link w:val="94"/>
    <w:qFormat/>
    <w:locked/>
    <w:uiPriority w:val="0"/>
    <w:rPr>
      <w:rFonts w:ascii="Arial" w:hAnsi="Arial" w:eastAsia="黑体"/>
      <w:b/>
      <w:kern w:val="2"/>
      <w:sz w:val="32"/>
      <w:szCs w:val="32"/>
    </w:rPr>
  </w:style>
  <w:style w:type="paragraph" w:customStyle="1" w:styleId="94">
    <w:name w:val="!标题3 Ctrl+3"/>
    <w:basedOn w:val="5"/>
    <w:next w:val="1"/>
    <w:link w:val="93"/>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95">
    <w:name w:val="H4 Char"/>
    <w:qFormat/>
    <w:uiPriority w:val="0"/>
    <w:rPr>
      <w:rFonts w:ascii="Arial" w:hAnsi="Arial" w:eastAsia="黑体" w:cs="Times New Roman"/>
      <w:b/>
      <w:bCs/>
      <w:sz w:val="28"/>
      <w:szCs w:val="28"/>
    </w:rPr>
  </w:style>
  <w:style w:type="character" w:customStyle="1" w:styleId="96">
    <w:name w:val="Char Char15"/>
    <w:qFormat/>
    <w:uiPriority w:val="0"/>
    <w:rPr>
      <w:rFonts w:hAnsi="宋体" w:eastAsia="仿宋_GB2312"/>
      <w:b/>
      <w:bCs/>
      <w:kern w:val="2"/>
      <w:sz w:val="24"/>
    </w:rPr>
  </w:style>
  <w:style w:type="character" w:customStyle="1" w:styleId="97">
    <w:name w:val="Char Char18"/>
    <w:qFormat/>
    <w:uiPriority w:val="0"/>
    <w:rPr>
      <w:rFonts w:eastAsia="黑体"/>
      <w:sz w:val="18"/>
      <w:szCs w:val="18"/>
    </w:rPr>
  </w:style>
  <w:style w:type="character" w:customStyle="1" w:styleId="98">
    <w:name w:val="Char Char12"/>
    <w:qFormat/>
    <w:uiPriority w:val="0"/>
    <w:rPr>
      <w:rFonts w:ascii="仿宋_GB2312" w:hAnsi="宋体" w:eastAsia="仿宋_GB2312"/>
      <w:color w:val="000000"/>
      <w:kern w:val="2"/>
      <w:sz w:val="24"/>
      <w:szCs w:val="24"/>
    </w:rPr>
  </w:style>
  <w:style w:type="character" w:customStyle="1" w:styleId="99">
    <w:name w:val="Char Char3"/>
    <w:qFormat/>
    <w:uiPriority w:val="0"/>
    <w:rPr>
      <w:kern w:val="2"/>
      <w:sz w:val="24"/>
      <w:szCs w:val="24"/>
    </w:rPr>
  </w:style>
  <w:style w:type="character" w:customStyle="1" w:styleId="100">
    <w:name w:val="Char Char7"/>
    <w:qFormat/>
    <w:uiPriority w:val="0"/>
    <w:rPr>
      <w:rFonts w:eastAsia="宋体"/>
      <w:kern w:val="2"/>
      <w:sz w:val="21"/>
      <w:lang w:val="en-US" w:eastAsia="zh-CN" w:bidi="ar-SA"/>
    </w:rPr>
  </w:style>
  <w:style w:type="character" w:customStyle="1" w:styleId="101">
    <w:name w:val="样式7 Char"/>
    <w:qFormat/>
    <w:uiPriority w:val="0"/>
    <w:rPr>
      <w:rFonts w:eastAsia="宋体" w:cs="宋体"/>
      <w:kern w:val="2"/>
      <w:sz w:val="24"/>
      <w:szCs w:val="24"/>
      <w:lang w:val="en-US" w:eastAsia="zh-CN" w:bidi="ar-SA"/>
    </w:rPr>
  </w:style>
  <w:style w:type="character" w:customStyle="1" w:styleId="102">
    <w:name w:val="Char Char13"/>
    <w:qFormat/>
    <w:uiPriority w:val="0"/>
    <w:rPr>
      <w:b/>
      <w:bCs/>
      <w:kern w:val="2"/>
      <w:sz w:val="21"/>
      <w:szCs w:val="24"/>
    </w:rPr>
  </w:style>
  <w:style w:type="character" w:customStyle="1" w:styleId="103">
    <w:name w:val="￥正文 Char Char"/>
    <w:qFormat/>
    <w:uiPriority w:val="0"/>
    <w:rPr>
      <w:rFonts w:ascii="Calibri" w:hAnsi="Calibri"/>
      <w:sz w:val="24"/>
    </w:rPr>
  </w:style>
  <w:style w:type="character" w:customStyle="1" w:styleId="104">
    <w:name w:val="newscontent1"/>
    <w:qFormat/>
    <w:uiPriority w:val="0"/>
    <w:rPr>
      <w:rFonts w:hint="default" w:ascii="Verdana" w:hAnsi="Verdana"/>
      <w:color w:val="333333"/>
      <w:sz w:val="18"/>
      <w:szCs w:val="18"/>
    </w:rPr>
  </w:style>
  <w:style w:type="character" w:customStyle="1" w:styleId="105">
    <w:name w:val="Heading 6 Char"/>
    <w:semiHidden/>
    <w:qFormat/>
    <w:locked/>
    <w:uiPriority w:val="0"/>
    <w:rPr>
      <w:rFonts w:ascii="Cambria" w:hAnsi="Cambria" w:eastAsia="宋体" w:cs="Times New Roman"/>
      <w:b/>
      <w:bCs/>
      <w:kern w:val="0"/>
      <w:sz w:val="24"/>
      <w:szCs w:val="24"/>
    </w:rPr>
  </w:style>
  <w:style w:type="character" w:customStyle="1" w:styleId="106">
    <w:name w:val="中等深浅网格 2 字符"/>
    <w:link w:val="107"/>
    <w:qFormat/>
    <w:uiPriority w:val="1"/>
    <w:rPr>
      <w:kern w:val="2"/>
      <w:sz w:val="21"/>
      <w:szCs w:val="24"/>
      <w:lang w:val="en-US" w:eastAsia="zh-CN" w:bidi="ar-SA"/>
    </w:rPr>
  </w:style>
  <w:style w:type="paragraph" w:customStyle="1" w:styleId="107">
    <w:name w:val="中等深浅网格 21"/>
    <w:link w:val="106"/>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H2 Char"/>
    <w:qFormat/>
    <w:uiPriority w:val="0"/>
    <w:rPr>
      <w:rFonts w:ascii="Cambria" w:hAnsi="Cambria" w:eastAsia="宋体" w:cs="Times New Roman"/>
      <w:b/>
      <w:bCs/>
      <w:sz w:val="32"/>
      <w:szCs w:val="32"/>
    </w:rPr>
  </w:style>
  <w:style w:type="character" w:customStyle="1" w:styleId="109">
    <w:name w:val="正文文字缩进4字符 Char"/>
    <w:qFormat/>
    <w:uiPriority w:val="0"/>
    <w:rPr>
      <w:rFonts w:ascii="Times New Roman" w:hAnsi="Times New Roman" w:eastAsia="宋体" w:cs="Times New Roman"/>
      <w:sz w:val="24"/>
      <w:szCs w:val="24"/>
    </w:rPr>
  </w:style>
  <w:style w:type="character" w:customStyle="1" w:styleId="110">
    <w:name w:val="Balloon Text Char"/>
    <w:qFormat/>
    <w:locked/>
    <w:uiPriority w:val="0"/>
    <w:rPr>
      <w:rFonts w:cs="Times New Roman"/>
      <w:sz w:val="18"/>
      <w:szCs w:val="18"/>
    </w:rPr>
  </w:style>
  <w:style w:type="character" w:customStyle="1" w:styleId="111">
    <w:name w:val="表正文 Char"/>
    <w:qFormat/>
    <w:uiPriority w:val="0"/>
    <w:rPr>
      <w:rFonts w:ascii="Times New Roman" w:hAnsi="Times New Roman" w:eastAsia="宋体" w:cs="Times New Roman"/>
      <w:szCs w:val="24"/>
    </w:rPr>
  </w:style>
  <w:style w:type="character" w:customStyle="1" w:styleId="112">
    <w:name w:val="正文文本 3 Char1"/>
    <w:semiHidden/>
    <w:qFormat/>
    <w:uiPriority w:val="99"/>
    <w:rPr>
      <w:rFonts w:ascii="Times New Roman" w:hAnsi="Times New Roman" w:eastAsia="宋体" w:cs="Times New Roman"/>
      <w:sz w:val="16"/>
      <w:szCs w:val="16"/>
    </w:rPr>
  </w:style>
  <w:style w:type="character" w:customStyle="1" w:styleId="113">
    <w:name w:val="彩色列表 - 着色 1 字符"/>
    <w:link w:val="114"/>
    <w:qFormat/>
    <w:locked/>
    <w:uiPriority w:val="34"/>
    <w:rPr>
      <w:rFonts w:ascii="Times New Roman" w:hAnsi="Times New Roman"/>
      <w:kern w:val="2"/>
      <w:sz w:val="21"/>
      <w:szCs w:val="24"/>
    </w:rPr>
  </w:style>
  <w:style w:type="paragraph" w:customStyle="1" w:styleId="114">
    <w:name w:val="彩色列表 - 着色 11"/>
    <w:basedOn w:val="1"/>
    <w:link w:val="113"/>
    <w:qFormat/>
    <w:uiPriority w:val="34"/>
    <w:pPr>
      <w:ind w:firstLine="420" w:firstLineChars="200"/>
    </w:pPr>
  </w:style>
  <w:style w:type="character" w:customStyle="1" w:styleId="115">
    <w:name w:val="Item List Char"/>
    <w:link w:val="116"/>
    <w:qFormat/>
    <w:uiPriority w:val="0"/>
    <w:rPr>
      <w:rFonts w:cs="Arial"/>
      <w:kern w:val="2"/>
      <w:sz w:val="21"/>
      <w:szCs w:val="21"/>
      <w:lang w:val="en-US" w:eastAsia="zh-CN" w:bidi="ar-SA"/>
    </w:rPr>
  </w:style>
  <w:style w:type="paragraph" w:customStyle="1" w:styleId="116">
    <w:name w:val="Item List"/>
    <w:link w:val="115"/>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17">
    <w:name w:val="样式 (中文) 放宋 小四号"/>
    <w:qFormat/>
    <w:uiPriority w:val="0"/>
    <w:rPr>
      <w:rFonts w:eastAsia="仿宋_GB2312"/>
      <w:sz w:val="24"/>
    </w:rPr>
  </w:style>
  <w:style w:type="character" w:customStyle="1" w:styleId="118">
    <w:name w:val="纯文本 Char1"/>
    <w:qFormat/>
    <w:uiPriority w:val="0"/>
    <w:rPr>
      <w:rFonts w:ascii="宋体" w:hAnsi="Courier New" w:eastAsia="宋体"/>
      <w:kern w:val="2"/>
      <w:sz w:val="24"/>
      <w:szCs w:val="24"/>
      <w:lang w:val="en-US" w:eastAsia="zh-CN" w:bidi="ar-SA"/>
    </w:rPr>
  </w:style>
  <w:style w:type="character" w:customStyle="1" w:styleId="119">
    <w:name w:val="Char Char4"/>
    <w:qFormat/>
    <w:uiPriority w:val="0"/>
    <w:rPr>
      <w:rFonts w:ascii="宋体" w:hAnsi="Courier New" w:eastAsia="宋体"/>
      <w:kern w:val="2"/>
      <w:sz w:val="24"/>
      <w:szCs w:val="24"/>
      <w:lang w:val="en-US" w:eastAsia="zh-CN" w:bidi="ar-SA"/>
    </w:rPr>
  </w:style>
  <w:style w:type="character" w:customStyle="1" w:styleId="120">
    <w:name w:val="文档结构图 Char1"/>
    <w:semiHidden/>
    <w:qFormat/>
    <w:uiPriority w:val="99"/>
    <w:rPr>
      <w:rFonts w:ascii="宋体" w:hAnsi="Times New Roman" w:eastAsia="宋体" w:cs="Times New Roman"/>
      <w:sz w:val="18"/>
      <w:szCs w:val="18"/>
    </w:rPr>
  </w:style>
  <w:style w:type="character" w:customStyle="1" w:styleId="121">
    <w:name w:val="body1"/>
    <w:qFormat/>
    <w:uiPriority w:val="0"/>
    <w:rPr>
      <w:rFonts w:hint="default"/>
      <w:sz w:val="18"/>
    </w:rPr>
  </w:style>
  <w:style w:type="character" w:customStyle="1" w:styleId="122">
    <w:name w:val="font71"/>
    <w:qFormat/>
    <w:uiPriority w:val="0"/>
    <w:rPr>
      <w:rFonts w:hint="default" w:ascii="Arial" w:hAnsi="Arial" w:cs="Arial"/>
      <w:color w:val="auto"/>
      <w:sz w:val="20"/>
      <w:szCs w:val="20"/>
      <w:u w:val="none"/>
    </w:rPr>
  </w:style>
  <w:style w:type="character" w:customStyle="1" w:styleId="123">
    <w:name w:val="正文文本 Char"/>
    <w:qFormat/>
    <w:uiPriority w:val="0"/>
    <w:rPr>
      <w:rFonts w:ascii="Times New Roman" w:hAnsi="Times New Roman" w:eastAsia="宋体" w:cs="Times New Roman"/>
      <w:szCs w:val="24"/>
    </w:rPr>
  </w:style>
  <w:style w:type="character" w:customStyle="1" w:styleId="124">
    <w:name w:val="Body Text Indent 3 Char"/>
    <w:qFormat/>
    <w:locked/>
    <w:uiPriority w:val="0"/>
    <w:rPr>
      <w:rFonts w:cs="Times New Roman"/>
      <w:kern w:val="2"/>
      <w:sz w:val="16"/>
      <w:szCs w:val="16"/>
    </w:rPr>
  </w:style>
  <w:style w:type="character" w:customStyle="1" w:styleId="125">
    <w:name w:val="文章正文 Char Char"/>
    <w:link w:val="126"/>
    <w:qFormat/>
    <w:uiPriority w:val="0"/>
    <w:rPr>
      <w:rFonts w:ascii="宋体" w:hAnsi="宋体"/>
      <w:sz w:val="24"/>
      <w:szCs w:val="24"/>
    </w:rPr>
  </w:style>
  <w:style w:type="paragraph" w:customStyle="1" w:styleId="126">
    <w:name w:val="文章正文"/>
    <w:basedOn w:val="1"/>
    <w:link w:val="125"/>
    <w:qFormat/>
    <w:uiPriority w:val="0"/>
    <w:pPr>
      <w:spacing w:line="360" w:lineRule="auto"/>
      <w:ind w:firstLine="200" w:firstLineChars="200"/>
      <w:jc w:val="left"/>
    </w:pPr>
    <w:rPr>
      <w:rFonts w:ascii="宋体" w:hAnsi="宋体"/>
      <w:kern w:val="0"/>
      <w:sz w:val="24"/>
    </w:rPr>
  </w:style>
  <w:style w:type="character" w:customStyle="1" w:styleId="127">
    <w:name w:val="con-all2"/>
    <w:qFormat/>
    <w:uiPriority w:val="0"/>
  </w:style>
  <w:style w:type="character" w:customStyle="1" w:styleId="128">
    <w:name w:val="正文1 Char Char"/>
    <w:link w:val="129"/>
    <w:qFormat/>
    <w:uiPriority w:val="0"/>
    <w:rPr>
      <w:rFonts w:ascii="宋体" w:hAnsi="宋体" w:eastAsia="宋体"/>
      <w:color w:val="000000"/>
      <w:sz w:val="24"/>
    </w:rPr>
  </w:style>
  <w:style w:type="paragraph" w:customStyle="1" w:styleId="129">
    <w:name w:val="正文1"/>
    <w:basedOn w:val="1"/>
    <w:link w:val="128"/>
    <w:qFormat/>
    <w:uiPriority w:val="0"/>
    <w:pPr>
      <w:spacing w:line="360" w:lineRule="auto"/>
      <w:ind w:firstLine="200" w:firstLineChars="200"/>
      <w:jc w:val="left"/>
    </w:pPr>
    <w:rPr>
      <w:rFonts w:ascii="宋体" w:hAnsi="宋体"/>
      <w:color w:val="000000"/>
      <w:kern w:val="0"/>
      <w:sz w:val="24"/>
      <w:szCs w:val="20"/>
    </w:rPr>
  </w:style>
  <w:style w:type="character" w:customStyle="1" w:styleId="130">
    <w:name w:val="Heading 2 Char"/>
    <w:semiHidden/>
    <w:qFormat/>
    <w:locked/>
    <w:uiPriority w:val="0"/>
    <w:rPr>
      <w:rFonts w:ascii="Cambria" w:hAnsi="Cambria" w:eastAsia="宋体" w:cs="Times New Roman"/>
      <w:b/>
      <w:bCs/>
      <w:kern w:val="0"/>
      <w:sz w:val="32"/>
      <w:szCs w:val="32"/>
    </w:rPr>
  </w:style>
  <w:style w:type="character" w:customStyle="1" w:styleId="131">
    <w:name w:val="粘贴正文 Char"/>
    <w:link w:val="132"/>
    <w:qFormat/>
    <w:uiPriority w:val="0"/>
    <w:rPr>
      <w:kern w:val="2"/>
      <w:sz w:val="24"/>
      <w:szCs w:val="21"/>
      <w:lang w:val="en-US" w:eastAsia="zh-CN" w:bidi="ar-SA"/>
    </w:rPr>
  </w:style>
  <w:style w:type="paragraph" w:customStyle="1" w:styleId="132">
    <w:name w:val="粘贴正文"/>
    <w:link w:val="131"/>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33">
    <w:name w:val="txt1"/>
    <w:qFormat/>
    <w:uiPriority w:val="0"/>
    <w:rPr>
      <w:rFonts w:hint="default" w:ascii="ˎ̥" w:hAnsi="ˎ̥"/>
      <w:sz w:val="18"/>
      <w:szCs w:val="18"/>
    </w:rPr>
  </w:style>
  <w:style w:type="character" w:customStyle="1" w:styleId="134">
    <w:name w:val="font41"/>
    <w:qFormat/>
    <w:uiPriority w:val="0"/>
    <w:rPr>
      <w:rFonts w:hint="eastAsia" w:ascii="宋体" w:hAnsi="宋体" w:eastAsia="宋体" w:cs="宋体"/>
      <w:color w:val="000000"/>
      <w:sz w:val="20"/>
      <w:szCs w:val="20"/>
      <w:u w:val="none"/>
    </w:rPr>
  </w:style>
  <w:style w:type="character" w:customStyle="1" w:styleId="135">
    <w:name w:val="Char Char20"/>
    <w:qFormat/>
    <w:uiPriority w:val="0"/>
    <w:rPr>
      <w:rFonts w:ascii="Arial" w:hAnsi="Arial" w:eastAsia="黑体"/>
      <w:kern w:val="2"/>
      <w:sz w:val="24"/>
      <w:szCs w:val="24"/>
    </w:rPr>
  </w:style>
  <w:style w:type="character" w:customStyle="1" w:styleId="136">
    <w:name w:val="Char Char27"/>
    <w:qFormat/>
    <w:uiPriority w:val="0"/>
    <w:rPr>
      <w:b/>
      <w:bCs/>
      <w:kern w:val="44"/>
      <w:sz w:val="44"/>
      <w:szCs w:val="44"/>
    </w:rPr>
  </w:style>
  <w:style w:type="character" w:customStyle="1" w:styleId="137">
    <w:name w:val="font51"/>
    <w:qFormat/>
    <w:uiPriority w:val="0"/>
    <w:rPr>
      <w:rFonts w:hint="eastAsia" w:ascii="宋体" w:hAnsi="宋体" w:eastAsia="宋体" w:cs="宋体"/>
      <w:color w:val="auto"/>
      <w:sz w:val="18"/>
      <w:szCs w:val="18"/>
      <w:u w:val="none"/>
    </w:rPr>
  </w:style>
  <w:style w:type="character" w:customStyle="1" w:styleId="138">
    <w:name w:val="Heading 7 Char"/>
    <w:semiHidden/>
    <w:qFormat/>
    <w:locked/>
    <w:uiPriority w:val="0"/>
    <w:rPr>
      <w:rFonts w:cs="Times New Roman"/>
      <w:b/>
      <w:bCs/>
      <w:kern w:val="0"/>
      <w:sz w:val="24"/>
      <w:szCs w:val="24"/>
    </w:rPr>
  </w:style>
  <w:style w:type="character" w:customStyle="1" w:styleId="139">
    <w:name w:val="正文样式 Char"/>
    <w:link w:val="140"/>
    <w:qFormat/>
    <w:uiPriority w:val="0"/>
    <w:rPr>
      <w:rFonts w:ascii="宋体" w:hAnsi="Calibri" w:eastAsia="宋体" w:cs="宋体"/>
      <w:sz w:val="24"/>
      <w:szCs w:val="24"/>
      <w:lang w:val="zh-CN" w:eastAsia="en-US" w:bidi="he-IL"/>
    </w:rPr>
  </w:style>
  <w:style w:type="paragraph" w:customStyle="1" w:styleId="140">
    <w:name w:val="正文样式"/>
    <w:basedOn w:val="1"/>
    <w:link w:val="139"/>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41">
    <w:name w:val="Heading 3 Char"/>
    <w:semiHidden/>
    <w:qFormat/>
    <w:locked/>
    <w:uiPriority w:val="0"/>
    <w:rPr>
      <w:rFonts w:cs="Times New Roman"/>
      <w:b/>
      <w:bCs/>
      <w:kern w:val="0"/>
      <w:sz w:val="32"/>
      <w:szCs w:val="32"/>
    </w:rPr>
  </w:style>
  <w:style w:type="character" w:customStyle="1" w:styleId="142">
    <w:name w:val="标书正文格式 Char"/>
    <w:link w:val="143"/>
    <w:qFormat/>
    <w:uiPriority w:val="0"/>
    <w:rPr>
      <w:rFonts w:eastAsia="楷体_GB2312"/>
      <w:kern w:val="2"/>
      <w:sz w:val="24"/>
      <w:szCs w:val="24"/>
      <w:lang w:val="en-US" w:eastAsia="zh-CN" w:bidi="ar-SA"/>
    </w:rPr>
  </w:style>
  <w:style w:type="paragraph" w:customStyle="1" w:styleId="143">
    <w:name w:val="标书正文格式"/>
    <w:link w:val="142"/>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44">
    <w:name w:val="BOD 4 Char Char"/>
    <w:qFormat/>
    <w:uiPriority w:val="0"/>
    <w:rPr>
      <w:rFonts w:ascii="Arial" w:hAnsi="Arial" w:eastAsia="黑体" w:cs="Times New Roman"/>
      <w:b/>
      <w:bCs/>
      <w:sz w:val="24"/>
      <w:szCs w:val="24"/>
    </w:rPr>
  </w:style>
  <w:style w:type="character" w:customStyle="1" w:styleId="145">
    <w:name w:val="中等深浅网格 1 - 强调文字颜色 2 Char"/>
    <w:link w:val="146"/>
    <w:qFormat/>
    <w:uiPriority w:val="0"/>
    <w:rPr>
      <w:rFonts w:ascii="Calibri" w:hAnsi="Calibri" w:eastAsia="宋体"/>
      <w:sz w:val="24"/>
      <w:lang w:bidi="ar-SA"/>
    </w:rPr>
  </w:style>
  <w:style w:type="paragraph" w:customStyle="1" w:styleId="146">
    <w:name w:val="中等深浅网格 1 - 强调文字颜色 21"/>
    <w:basedOn w:val="1"/>
    <w:link w:val="145"/>
    <w:qFormat/>
    <w:uiPriority w:val="0"/>
    <w:pPr>
      <w:spacing w:line="360" w:lineRule="auto"/>
      <w:ind w:firstLine="420" w:firstLineChars="200"/>
    </w:pPr>
    <w:rPr>
      <w:rFonts w:ascii="Calibri" w:hAnsi="Calibri"/>
      <w:kern w:val="0"/>
      <w:sz w:val="24"/>
      <w:szCs w:val="20"/>
    </w:rPr>
  </w:style>
  <w:style w:type="character" w:customStyle="1" w:styleId="147">
    <w:name w:val="Char Char26"/>
    <w:qFormat/>
    <w:uiPriority w:val="0"/>
    <w:rPr>
      <w:rFonts w:ascii="Arial" w:hAnsi="Arial" w:eastAsia="黑体"/>
      <w:b/>
      <w:bCs/>
      <w:kern w:val="2"/>
      <w:sz w:val="32"/>
      <w:szCs w:val="32"/>
    </w:rPr>
  </w:style>
  <w:style w:type="character" w:customStyle="1" w:styleId="148">
    <w:name w:val="Char Char17"/>
    <w:qFormat/>
    <w:uiPriority w:val="0"/>
    <w:rPr>
      <w:rFonts w:ascii="仿宋_GB2312" w:hAnsi="宋体" w:cs="Arial"/>
      <w:b/>
      <w:bCs/>
      <w:color w:val="000000"/>
      <w:kern w:val="2"/>
      <w:sz w:val="24"/>
      <w:szCs w:val="24"/>
    </w:rPr>
  </w:style>
  <w:style w:type="character" w:customStyle="1" w:styleId="149">
    <w:name w:val="Char Char22"/>
    <w:qFormat/>
    <w:uiPriority w:val="0"/>
    <w:rPr>
      <w:rFonts w:ascii="Arial" w:hAnsi="Arial" w:eastAsia="黑体"/>
      <w:b/>
      <w:bCs/>
      <w:kern w:val="2"/>
      <w:sz w:val="24"/>
      <w:szCs w:val="24"/>
    </w:rPr>
  </w:style>
  <w:style w:type="character" w:customStyle="1" w:styleId="150">
    <w:name w:val="正文文本缩进 Char1"/>
    <w:semiHidden/>
    <w:qFormat/>
    <w:uiPriority w:val="99"/>
    <w:rPr>
      <w:rFonts w:ascii="Times New Roman" w:hAnsi="Times New Roman" w:eastAsia="宋体" w:cs="Times New Roman"/>
      <w:szCs w:val="24"/>
    </w:rPr>
  </w:style>
  <w:style w:type="character" w:customStyle="1" w:styleId="151">
    <w:name w:val="Heading 4 Char"/>
    <w:qFormat/>
    <w:locked/>
    <w:uiPriority w:val="0"/>
    <w:rPr>
      <w:rFonts w:cs="Times New Roman"/>
      <w:b/>
      <w:sz w:val="21"/>
    </w:rPr>
  </w:style>
  <w:style w:type="character" w:customStyle="1" w:styleId="152">
    <w:name w:val="Char Char14"/>
    <w:qFormat/>
    <w:uiPriority w:val="0"/>
    <w:rPr>
      <w:kern w:val="2"/>
      <w:sz w:val="18"/>
      <w:szCs w:val="18"/>
    </w:rPr>
  </w:style>
  <w:style w:type="character" w:customStyle="1" w:styleId="153">
    <w:name w:val="批注主题 Char1"/>
    <w:semiHidden/>
    <w:qFormat/>
    <w:uiPriority w:val="99"/>
    <w:rPr>
      <w:rFonts w:ascii="Times New Roman" w:hAnsi="Times New Roman" w:eastAsia="宋体" w:cs="Times New Roman"/>
      <w:b/>
      <w:bCs/>
      <w:szCs w:val="24"/>
    </w:rPr>
  </w:style>
  <w:style w:type="character" w:customStyle="1" w:styleId="154">
    <w:name w:val="批注文字 Char1"/>
    <w:semiHidden/>
    <w:qFormat/>
    <w:uiPriority w:val="99"/>
    <w:rPr>
      <w:rFonts w:ascii="Times New Roman" w:hAnsi="Times New Roman" w:eastAsia="宋体" w:cs="Times New Roman"/>
      <w:szCs w:val="24"/>
    </w:rPr>
  </w:style>
  <w:style w:type="character" w:customStyle="1" w:styleId="155">
    <w:name w:val="常规 Char"/>
    <w:link w:val="156"/>
    <w:qFormat/>
    <w:uiPriority w:val="0"/>
    <w:rPr>
      <w:rFonts w:eastAsia="宋体"/>
      <w:szCs w:val="21"/>
      <w:lang w:bidi="ar-SA"/>
    </w:rPr>
  </w:style>
  <w:style w:type="paragraph" w:customStyle="1" w:styleId="156">
    <w:name w:val="常规"/>
    <w:basedOn w:val="1"/>
    <w:link w:val="155"/>
    <w:qFormat/>
    <w:uiPriority w:val="0"/>
    <w:pPr>
      <w:spacing w:beforeLines="100" w:afterLines="100"/>
      <w:ind w:left="1134"/>
    </w:pPr>
    <w:rPr>
      <w:kern w:val="0"/>
      <w:sz w:val="20"/>
      <w:szCs w:val="21"/>
    </w:rPr>
  </w:style>
  <w:style w:type="character" w:customStyle="1" w:styleId="157">
    <w:name w:val="Char Char6"/>
    <w:qFormat/>
    <w:uiPriority w:val="0"/>
    <w:rPr>
      <w:rFonts w:ascii="Cambria" w:hAnsi="Cambria"/>
      <w:b/>
      <w:bCs/>
      <w:kern w:val="2"/>
      <w:sz w:val="32"/>
      <w:szCs w:val="32"/>
    </w:rPr>
  </w:style>
  <w:style w:type="character" w:customStyle="1" w:styleId="158">
    <w:name w:val="Char Char24"/>
    <w:qFormat/>
    <w:uiPriority w:val="0"/>
    <w:rPr>
      <w:rFonts w:ascii="Arial" w:hAnsi="Arial" w:eastAsia="黑体"/>
      <w:b/>
      <w:bCs/>
      <w:kern w:val="2"/>
      <w:sz w:val="28"/>
      <w:szCs w:val="28"/>
    </w:rPr>
  </w:style>
  <w:style w:type="character" w:customStyle="1" w:styleId="159">
    <w:name w:val="无格式标题 Char"/>
    <w:link w:val="160"/>
    <w:qFormat/>
    <w:uiPriority w:val="0"/>
    <w:rPr>
      <w:rFonts w:ascii="微软雅黑" w:hAnsi="微软雅黑" w:eastAsia="微软雅黑"/>
      <w:b/>
      <w:szCs w:val="24"/>
      <w:lang w:bidi="ar-SA"/>
    </w:rPr>
  </w:style>
  <w:style w:type="paragraph" w:customStyle="1" w:styleId="160">
    <w:name w:val="无格式标题"/>
    <w:basedOn w:val="1"/>
    <w:link w:val="159"/>
    <w:qFormat/>
    <w:uiPriority w:val="0"/>
    <w:pPr>
      <w:spacing w:line="360" w:lineRule="auto"/>
    </w:pPr>
    <w:rPr>
      <w:rFonts w:ascii="微软雅黑" w:hAnsi="微软雅黑" w:eastAsia="微软雅黑"/>
      <w:b/>
      <w:kern w:val="0"/>
      <w:sz w:val="20"/>
    </w:rPr>
  </w:style>
  <w:style w:type="character" w:customStyle="1" w:styleId="161">
    <w:name w:val="Char Char19"/>
    <w:qFormat/>
    <w:uiPriority w:val="0"/>
    <w:rPr>
      <w:rFonts w:ascii="Arial" w:hAnsi="Arial" w:eastAsia="黑体"/>
      <w:kern w:val="2"/>
      <w:sz w:val="21"/>
      <w:szCs w:val="21"/>
    </w:rPr>
  </w:style>
  <w:style w:type="character" w:customStyle="1" w:styleId="162">
    <w:name w:val="Char Char8"/>
    <w:qFormat/>
    <w:uiPriority w:val="0"/>
    <w:rPr>
      <w:rFonts w:eastAsia="楷体_GB2312"/>
      <w:kern w:val="2"/>
      <w:sz w:val="32"/>
    </w:rPr>
  </w:style>
  <w:style w:type="character" w:customStyle="1" w:styleId="163">
    <w:name w:val="正文文本缩进 3 Char1"/>
    <w:semiHidden/>
    <w:qFormat/>
    <w:uiPriority w:val="99"/>
    <w:rPr>
      <w:rFonts w:ascii="Times New Roman" w:hAnsi="Times New Roman" w:eastAsia="宋体" w:cs="Times New Roman"/>
      <w:sz w:val="16"/>
      <w:szCs w:val="16"/>
    </w:rPr>
  </w:style>
  <w:style w:type="character" w:customStyle="1" w:styleId="164">
    <w:name w:val="Heading 9 Char"/>
    <w:semiHidden/>
    <w:qFormat/>
    <w:locked/>
    <w:uiPriority w:val="0"/>
    <w:rPr>
      <w:rFonts w:ascii="Cambria" w:hAnsi="Cambria" w:eastAsia="宋体" w:cs="Times New Roman"/>
      <w:kern w:val="0"/>
      <w:sz w:val="21"/>
      <w:szCs w:val="21"/>
    </w:rPr>
  </w:style>
  <w:style w:type="character" w:customStyle="1" w:styleId="165">
    <w:name w:val="页眉 Char1"/>
    <w:semiHidden/>
    <w:qFormat/>
    <w:uiPriority w:val="99"/>
    <w:rPr>
      <w:rFonts w:ascii="Times New Roman" w:hAnsi="Times New Roman" w:eastAsia="宋体" w:cs="Times New Roman"/>
      <w:sz w:val="18"/>
      <w:szCs w:val="18"/>
    </w:rPr>
  </w:style>
  <w:style w:type="character" w:customStyle="1" w:styleId="166">
    <w:name w:val="批注框文本 Char1"/>
    <w:semiHidden/>
    <w:qFormat/>
    <w:uiPriority w:val="99"/>
    <w:rPr>
      <w:rFonts w:ascii="Times New Roman" w:hAnsi="Times New Roman" w:eastAsia="宋体" w:cs="Times New Roman"/>
      <w:sz w:val="18"/>
      <w:szCs w:val="18"/>
    </w:rPr>
  </w:style>
  <w:style w:type="character" w:customStyle="1" w:styleId="167">
    <w:name w:val="Char Char9"/>
    <w:qFormat/>
    <w:uiPriority w:val="0"/>
    <w:rPr>
      <w:rFonts w:eastAsia="仿宋_GB2312"/>
      <w:kern w:val="2"/>
      <w:sz w:val="18"/>
    </w:rPr>
  </w:style>
  <w:style w:type="character" w:customStyle="1" w:styleId="168">
    <w:name w:val="A7"/>
    <w:qFormat/>
    <w:uiPriority w:val="0"/>
    <w:rPr>
      <w:rFonts w:ascii="HelveticaNeueLT Std Lt" w:eastAsia="HelveticaNeueLT Std Lt" w:cs="HelveticaNeueLT Std Lt"/>
      <w:color w:val="000000"/>
      <w:sz w:val="20"/>
      <w:szCs w:val="20"/>
    </w:rPr>
  </w:style>
  <w:style w:type="character" w:customStyle="1" w:styleId="169">
    <w:name w:val="普通段落 Char"/>
    <w:link w:val="170"/>
    <w:qFormat/>
    <w:uiPriority w:val="0"/>
    <w:rPr>
      <w:rFonts w:ascii="Arial" w:hAnsi="Arial" w:eastAsia="宋体"/>
      <w:lang w:bidi="ar-SA"/>
    </w:rPr>
  </w:style>
  <w:style w:type="paragraph" w:customStyle="1" w:styleId="170">
    <w:name w:val="普通段落"/>
    <w:basedOn w:val="1"/>
    <w:link w:val="169"/>
    <w:qFormat/>
    <w:uiPriority w:val="0"/>
    <w:pPr>
      <w:spacing w:after="240" w:line="276" w:lineRule="auto"/>
    </w:pPr>
    <w:rPr>
      <w:rFonts w:ascii="Arial" w:hAnsi="Arial"/>
      <w:kern w:val="0"/>
      <w:sz w:val="20"/>
      <w:szCs w:val="20"/>
    </w:rPr>
  </w:style>
  <w:style w:type="character" w:customStyle="1" w:styleId="171">
    <w:name w:val="Char Char10"/>
    <w:qFormat/>
    <w:uiPriority w:val="0"/>
    <w:rPr>
      <w:kern w:val="2"/>
      <w:sz w:val="21"/>
      <w:szCs w:val="24"/>
      <w:shd w:val="clear" w:color="auto" w:fill="000080"/>
    </w:rPr>
  </w:style>
  <w:style w:type="character" w:customStyle="1" w:styleId="172">
    <w:name w:val="正文首行缩进1 Char"/>
    <w:qFormat/>
    <w:uiPriority w:val="0"/>
    <w:rPr>
      <w:rFonts w:ascii="Arial" w:hAnsi="Arial" w:eastAsia="宋体"/>
      <w:sz w:val="24"/>
      <w:szCs w:val="21"/>
      <w:lang w:bidi="ar-SA"/>
    </w:rPr>
  </w:style>
  <w:style w:type="character" w:customStyle="1" w:styleId="173">
    <w:name w:val="cn1"/>
    <w:qFormat/>
    <w:uiPriority w:val="0"/>
  </w:style>
  <w:style w:type="character" w:customStyle="1" w:styleId="174">
    <w:name w:val="H1 Char"/>
    <w:qFormat/>
    <w:uiPriority w:val="0"/>
    <w:rPr>
      <w:rFonts w:ascii="Times New Roman" w:hAnsi="Times New Roman" w:eastAsia="宋体" w:cs="Times New Roman"/>
      <w:b/>
      <w:bCs/>
      <w:kern w:val="44"/>
      <w:sz w:val="44"/>
      <w:szCs w:val="44"/>
    </w:rPr>
  </w:style>
  <w:style w:type="character" w:customStyle="1" w:styleId="175">
    <w:name w:val="Heading 3 - old Char"/>
    <w:qFormat/>
    <w:uiPriority w:val="0"/>
    <w:rPr>
      <w:rFonts w:ascii="Times New Roman" w:hAnsi="Times New Roman" w:eastAsia="宋体" w:cs="Times New Roman"/>
      <w:b/>
      <w:bCs/>
      <w:sz w:val="32"/>
      <w:szCs w:val="32"/>
    </w:rPr>
  </w:style>
  <w:style w:type="character" w:customStyle="1" w:styleId="176">
    <w:name w:val="font31"/>
    <w:qFormat/>
    <w:uiPriority w:val="0"/>
    <w:rPr>
      <w:rFonts w:hint="default" w:ascii="Times New Roman" w:hAnsi="Times New Roman" w:cs="Times New Roman"/>
      <w:color w:val="000000"/>
      <w:sz w:val="20"/>
      <w:szCs w:val="20"/>
      <w:u w:val="none"/>
    </w:rPr>
  </w:style>
  <w:style w:type="character" w:customStyle="1" w:styleId="177">
    <w:name w:val="Char Char16"/>
    <w:qFormat/>
    <w:uiPriority w:val="0"/>
    <w:rPr>
      <w:rFonts w:ascii="宋体" w:hAnsi="Courier New"/>
      <w:spacing w:val="-4"/>
      <w:kern w:val="2"/>
      <w:sz w:val="18"/>
    </w:rPr>
  </w:style>
  <w:style w:type="character" w:customStyle="1" w:styleId="178">
    <w:name w:val="正文首行缩进 Char1"/>
    <w:semiHidden/>
    <w:qFormat/>
    <w:uiPriority w:val="99"/>
    <w:rPr>
      <w:rFonts w:ascii="Times New Roman" w:hAnsi="Times New Roman" w:eastAsia="宋体" w:cs="Times New Roman"/>
      <w:szCs w:val="24"/>
    </w:rPr>
  </w:style>
  <w:style w:type="character" w:customStyle="1" w:styleId="179">
    <w:name w:val="普通 (Web) Char"/>
    <w:qFormat/>
    <w:uiPriority w:val="0"/>
    <w:rPr>
      <w:rFonts w:ascii="宋体" w:hAnsi="宋体" w:eastAsia="宋体" w:cs="Times New Roman"/>
      <w:kern w:val="0"/>
      <w:sz w:val="24"/>
      <w:szCs w:val="24"/>
    </w:rPr>
  </w:style>
  <w:style w:type="character" w:customStyle="1" w:styleId="180">
    <w:name w:val="zhenwen14"/>
    <w:qFormat/>
    <w:uiPriority w:val="0"/>
    <w:rPr>
      <w:color w:val="085994"/>
      <w:sz w:val="18"/>
      <w:szCs w:val="18"/>
    </w:rPr>
  </w:style>
  <w:style w:type="character" w:customStyle="1" w:styleId="181">
    <w:name w:val="font81"/>
    <w:qFormat/>
    <w:uiPriority w:val="0"/>
    <w:rPr>
      <w:rFonts w:hint="eastAsia" w:ascii="宋体" w:hAnsi="宋体" w:eastAsia="宋体" w:cs="宋体"/>
      <w:color w:val="000000"/>
      <w:sz w:val="20"/>
      <w:szCs w:val="20"/>
      <w:u w:val="none"/>
      <w:vertAlign w:val="superscript"/>
    </w:rPr>
  </w:style>
  <w:style w:type="character" w:customStyle="1" w:styleId="182">
    <w:name w:val="Heading 5 Char"/>
    <w:semiHidden/>
    <w:qFormat/>
    <w:locked/>
    <w:uiPriority w:val="0"/>
    <w:rPr>
      <w:rFonts w:cs="Times New Roman"/>
      <w:b/>
      <w:bCs/>
      <w:kern w:val="0"/>
      <w:sz w:val="28"/>
      <w:szCs w:val="28"/>
    </w:rPr>
  </w:style>
  <w:style w:type="character" w:customStyle="1" w:styleId="183">
    <w:name w:val="日期 Char1"/>
    <w:semiHidden/>
    <w:qFormat/>
    <w:uiPriority w:val="99"/>
    <w:rPr>
      <w:rFonts w:ascii="Times New Roman" w:hAnsi="Times New Roman" w:eastAsia="宋体" w:cs="Times New Roman"/>
      <w:szCs w:val="24"/>
    </w:rPr>
  </w:style>
  <w:style w:type="character" w:customStyle="1" w:styleId="184">
    <w:name w:val="缺省文本 Char"/>
    <w:link w:val="185"/>
    <w:qFormat/>
    <w:uiPriority w:val="0"/>
    <w:rPr>
      <w:rFonts w:ascii="Arial" w:hAnsi="Arial"/>
      <w:szCs w:val="21"/>
    </w:rPr>
  </w:style>
  <w:style w:type="paragraph" w:customStyle="1" w:styleId="185">
    <w:name w:val="缺省文本"/>
    <w:basedOn w:val="1"/>
    <w:link w:val="184"/>
    <w:qFormat/>
    <w:uiPriority w:val="0"/>
    <w:pPr>
      <w:autoSpaceDE w:val="0"/>
      <w:autoSpaceDN w:val="0"/>
      <w:adjustRightInd w:val="0"/>
      <w:spacing w:line="360" w:lineRule="auto"/>
      <w:jc w:val="left"/>
    </w:pPr>
    <w:rPr>
      <w:rFonts w:ascii="Arial" w:hAnsi="Arial"/>
      <w:kern w:val="0"/>
      <w:sz w:val="20"/>
      <w:szCs w:val="21"/>
    </w:rPr>
  </w:style>
  <w:style w:type="character" w:customStyle="1" w:styleId="186">
    <w:name w:val="A正文 Char"/>
    <w:link w:val="187"/>
    <w:qFormat/>
    <w:uiPriority w:val="0"/>
    <w:rPr>
      <w:szCs w:val="24"/>
    </w:rPr>
  </w:style>
  <w:style w:type="paragraph" w:customStyle="1" w:styleId="187">
    <w:name w:val="A正文"/>
    <w:basedOn w:val="1"/>
    <w:link w:val="186"/>
    <w:qFormat/>
    <w:uiPriority w:val="0"/>
    <w:pPr>
      <w:spacing w:line="360" w:lineRule="auto"/>
      <w:ind w:firstLine="200" w:firstLineChars="200"/>
    </w:pPr>
    <w:rPr>
      <w:kern w:val="0"/>
      <w:sz w:val="20"/>
    </w:rPr>
  </w:style>
  <w:style w:type="character" w:customStyle="1" w:styleId="188">
    <w:name w:val="style211"/>
    <w:qFormat/>
    <w:uiPriority w:val="0"/>
    <w:rPr>
      <w:color w:val="0000FF"/>
    </w:rPr>
  </w:style>
  <w:style w:type="character" w:customStyle="1" w:styleId="189">
    <w:name w:val="def正文 Char Char"/>
    <w:link w:val="190"/>
    <w:qFormat/>
    <w:uiPriority w:val="0"/>
    <w:rPr>
      <w:sz w:val="24"/>
      <w:szCs w:val="24"/>
    </w:rPr>
  </w:style>
  <w:style w:type="paragraph" w:customStyle="1" w:styleId="190">
    <w:name w:val="def正文"/>
    <w:basedOn w:val="21"/>
    <w:link w:val="189"/>
    <w:qFormat/>
    <w:uiPriority w:val="0"/>
    <w:pPr>
      <w:widowControl/>
      <w:spacing w:after="0" w:line="360" w:lineRule="auto"/>
      <w:ind w:firstLine="510"/>
      <w:jc w:val="left"/>
    </w:pPr>
    <w:rPr>
      <w:sz w:val="24"/>
    </w:rPr>
  </w:style>
  <w:style w:type="character" w:customStyle="1" w:styleId="191">
    <w:name w:val="￥正文 Char"/>
    <w:link w:val="192"/>
    <w:qFormat/>
    <w:uiPriority w:val="0"/>
    <w:rPr>
      <w:rFonts w:ascii="Calibri" w:hAnsi="Calibri" w:eastAsia="宋体"/>
      <w:sz w:val="24"/>
      <w:lang w:bidi="ar-SA"/>
    </w:rPr>
  </w:style>
  <w:style w:type="paragraph" w:customStyle="1" w:styleId="192">
    <w:name w:val="￥正文"/>
    <w:basedOn w:val="1"/>
    <w:link w:val="191"/>
    <w:qFormat/>
    <w:uiPriority w:val="0"/>
    <w:pPr>
      <w:spacing w:line="360" w:lineRule="auto"/>
      <w:ind w:firstLine="200" w:firstLineChars="200"/>
    </w:pPr>
    <w:rPr>
      <w:rFonts w:ascii="Calibri" w:hAnsi="Calibri"/>
      <w:kern w:val="0"/>
      <w:sz w:val="24"/>
      <w:szCs w:val="20"/>
    </w:rPr>
  </w:style>
  <w:style w:type="character" w:customStyle="1" w:styleId="193">
    <w:name w:val="Char Char21"/>
    <w:qFormat/>
    <w:uiPriority w:val="0"/>
    <w:rPr>
      <w:b/>
      <w:bCs/>
      <w:kern w:val="2"/>
      <w:sz w:val="24"/>
      <w:szCs w:val="24"/>
    </w:rPr>
  </w:style>
  <w:style w:type="character" w:customStyle="1" w:styleId="194">
    <w:name w:val="页脚 Char1"/>
    <w:semiHidden/>
    <w:qFormat/>
    <w:uiPriority w:val="99"/>
    <w:rPr>
      <w:rFonts w:ascii="Times New Roman" w:hAnsi="Times New Roman" w:eastAsia="宋体" w:cs="Times New Roman"/>
      <w:sz w:val="18"/>
      <w:szCs w:val="18"/>
    </w:rPr>
  </w:style>
  <w:style w:type="character" w:customStyle="1" w:styleId="195">
    <w:name w:val="Char Char25"/>
    <w:qFormat/>
    <w:uiPriority w:val="0"/>
    <w:rPr>
      <w:rFonts w:eastAsia="楷体_GB2312"/>
      <w:b/>
      <w:bCs/>
      <w:kern w:val="2"/>
      <w:sz w:val="32"/>
      <w:szCs w:val="32"/>
    </w:rPr>
  </w:style>
  <w:style w:type="character" w:customStyle="1" w:styleId="196">
    <w:name w:val="h Char"/>
    <w:qFormat/>
    <w:uiPriority w:val="0"/>
    <w:rPr>
      <w:rFonts w:ascii="Times New Roman" w:hAnsi="Times New Roman" w:eastAsia="宋体" w:cs="Times New Roman"/>
      <w:sz w:val="18"/>
      <w:szCs w:val="18"/>
    </w:rPr>
  </w:style>
  <w:style w:type="character" w:customStyle="1" w:styleId="197">
    <w:name w:val="标题 Char1"/>
    <w:qFormat/>
    <w:uiPriority w:val="10"/>
    <w:rPr>
      <w:rFonts w:ascii="Cambria" w:hAnsi="Cambria" w:eastAsia="宋体" w:cs="Times New Roman"/>
      <w:b/>
      <w:bCs/>
      <w:sz w:val="32"/>
      <w:szCs w:val="32"/>
    </w:rPr>
  </w:style>
  <w:style w:type="character" w:customStyle="1" w:styleId="198">
    <w:name w:val="表格文本 Char Char"/>
    <w:link w:val="199"/>
    <w:qFormat/>
    <w:uiPriority w:val="0"/>
    <w:rPr>
      <w:rFonts w:ascii="Arial" w:hAnsi="Arial"/>
      <w:kern w:val="2"/>
      <w:sz w:val="21"/>
      <w:szCs w:val="21"/>
      <w:lang w:val="en-US" w:eastAsia="zh-CN" w:bidi="ar-SA"/>
    </w:rPr>
  </w:style>
  <w:style w:type="paragraph" w:customStyle="1" w:styleId="199">
    <w:name w:val="表格文本 Char"/>
    <w:link w:val="198"/>
    <w:qFormat/>
    <w:uiPriority w:val="0"/>
    <w:pPr>
      <w:tabs>
        <w:tab w:val="decimal" w:pos="0"/>
      </w:tabs>
    </w:pPr>
    <w:rPr>
      <w:rFonts w:ascii="Arial" w:hAnsi="Arial" w:eastAsia="宋体" w:cs="Times New Roman"/>
      <w:kern w:val="2"/>
      <w:sz w:val="21"/>
      <w:szCs w:val="21"/>
      <w:lang w:val="en-US" w:eastAsia="zh-CN" w:bidi="ar-SA"/>
    </w:rPr>
  </w:style>
  <w:style w:type="character" w:customStyle="1" w:styleId="200">
    <w:name w:val="Char Char23"/>
    <w:qFormat/>
    <w:uiPriority w:val="0"/>
    <w:rPr>
      <w:b/>
      <w:bCs/>
      <w:kern w:val="2"/>
      <w:sz w:val="28"/>
      <w:szCs w:val="28"/>
    </w:rPr>
  </w:style>
  <w:style w:type="character" w:customStyle="1" w:styleId="201">
    <w:name w:val="style551"/>
    <w:qFormat/>
    <w:uiPriority w:val="0"/>
    <w:rPr>
      <w:rFonts w:hint="default" w:ascii="Arial" w:hAnsi="Arial" w:cs="Arial"/>
      <w:color w:val="333333"/>
      <w:sz w:val="18"/>
      <w:szCs w:val="18"/>
    </w:rPr>
  </w:style>
  <w:style w:type="character" w:customStyle="1" w:styleId="202">
    <w:name w:val="unnamed21"/>
    <w:qFormat/>
    <w:uiPriority w:val="0"/>
    <w:rPr>
      <w:b/>
      <w:bCs/>
      <w:spacing w:val="330"/>
      <w:sz w:val="21"/>
      <w:szCs w:val="21"/>
    </w:rPr>
  </w:style>
  <w:style w:type="character" w:customStyle="1" w:styleId="203">
    <w:name w:val="标题 1 Char Char"/>
    <w:qFormat/>
    <w:uiPriority w:val="0"/>
    <w:rPr>
      <w:rFonts w:eastAsia="宋体"/>
      <w:b/>
      <w:spacing w:val="-2"/>
      <w:sz w:val="24"/>
      <w:lang w:val="en-US" w:eastAsia="zh-CN" w:bidi="ar-SA"/>
    </w:rPr>
  </w:style>
  <w:style w:type="character" w:customStyle="1" w:styleId="204">
    <w:name w:val="Char Char5"/>
    <w:qFormat/>
    <w:uiPriority w:val="0"/>
    <w:rPr>
      <w:rFonts w:ascii="宋体" w:hAnsi="宋体"/>
      <w:sz w:val="24"/>
      <w:szCs w:val="24"/>
    </w:rPr>
  </w:style>
  <w:style w:type="character" w:customStyle="1" w:styleId="205">
    <w:name w:val="正文文本 2 Char1"/>
    <w:semiHidden/>
    <w:qFormat/>
    <w:uiPriority w:val="99"/>
    <w:rPr>
      <w:rFonts w:ascii="Times New Roman" w:hAnsi="Times New Roman" w:eastAsia="宋体" w:cs="Times New Roman"/>
      <w:szCs w:val="24"/>
    </w:rPr>
  </w:style>
  <w:style w:type="character" w:customStyle="1" w:styleId="206">
    <w:name w:val="Char Char111"/>
    <w:qFormat/>
    <w:uiPriority w:val="0"/>
    <w:rPr>
      <w:kern w:val="2"/>
      <w:sz w:val="28"/>
      <w:szCs w:val="24"/>
    </w:rPr>
  </w:style>
  <w:style w:type="character" w:customStyle="1" w:styleId="207">
    <w:name w:val="font91"/>
    <w:qFormat/>
    <w:uiPriority w:val="0"/>
    <w:rPr>
      <w:rFonts w:hint="default" w:ascii="Arial" w:hAnsi="Arial" w:cs="Arial"/>
      <w:b/>
      <w:color w:val="auto"/>
      <w:sz w:val="20"/>
      <w:szCs w:val="20"/>
      <w:u w:val="none"/>
    </w:rPr>
  </w:style>
  <w:style w:type="character" w:customStyle="1" w:styleId="208">
    <w:name w:val="普通文字 Char Char"/>
    <w:qFormat/>
    <w:uiPriority w:val="0"/>
    <w:rPr>
      <w:rFonts w:ascii="宋体" w:hAnsi="Courier New" w:eastAsia="宋体" w:cs="Times New Roman"/>
      <w:szCs w:val="20"/>
    </w:rPr>
  </w:style>
  <w:style w:type="character" w:customStyle="1" w:styleId="209">
    <w:name w:val="3zw"/>
    <w:qFormat/>
    <w:uiPriority w:val="0"/>
  </w:style>
  <w:style w:type="character" w:customStyle="1" w:styleId="210">
    <w:name w:val="普通 (Web) Char1"/>
    <w:qFormat/>
    <w:locked/>
    <w:uiPriority w:val="0"/>
    <w:rPr>
      <w:rFonts w:ascii="宋体" w:hAnsi="宋体" w:eastAsia="宋体"/>
      <w:sz w:val="24"/>
      <w:szCs w:val="24"/>
      <w:lang w:val="en-US" w:eastAsia="zh-CN" w:bidi="ar-SA"/>
    </w:rPr>
  </w:style>
  <w:style w:type="character" w:customStyle="1" w:styleId="211">
    <w:name w:val="Heading 1 Char"/>
    <w:qFormat/>
    <w:locked/>
    <w:uiPriority w:val="0"/>
    <w:rPr>
      <w:rFonts w:cs="Times New Roman"/>
      <w:b/>
      <w:bCs/>
      <w:kern w:val="44"/>
      <w:sz w:val="44"/>
      <w:szCs w:val="44"/>
    </w:rPr>
  </w:style>
  <w:style w:type="character" w:customStyle="1" w:styleId="212">
    <w:name w:val="Footer Char"/>
    <w:qFormat/>
    <w:locked/>
    <w:uiPriority w:val="0"/>
    <w:rPr>
      <w:rFonts w:ascii="Calibri" w:hAnsi="Calibri" w:eastAsia="宋体" w:cs="Times New Roman"/>
      <w:sz w:val="18"/>
      <w:szCs w:val="18"/>
    </w:rPr>
  </w:style>
  <w:style w:type="character" w:customStyle="1" w:styleId="213">
    <w:name w:val="Char Char1"/>
    <w:qFormat/>
    <w:uiPriority w:val="0"/>
    <w:rPr>
      <w:kern w:val="2"/>
      <w:sz w:val="21"/>
      <w:szCs w:val="24"/>
    </w:rPr>
  </w:style>
  <w:style w:type="character" w:customStyle="1" w:styleId="214">
    <w:name w:val="font61"/>
    <w:qFormat/>
    <w:uiPriority w:val="0"/>
    <w:rPr>
      <w:rFonts w:hint="eastAsia" w:ascii="宋体" w:hAnsi="宋体" w:eastAsia="宋体" w:cs="宋体"/>
      <w:color w:val="000000"/>
      <w:sz w:val="24"/>
      <w:szCs w:val="24"/>
      <w:u w:val="none"/>
    </w:rPr>
  </w:style>
  <w:style w:type="character" w:customStyle="1" w:styleId="215">
    <w:name w:val="font21"/>
    <w:qFormat/>
    <w:uiPriority w:val="0"/>
    <w:rPr>
      <w:rFonts w:hint="eastAsia" w:ascii="宋体" w:hAnsi="宋体" w:eastAsia="宋体" w:cs="宋体"/>
      <w:color w:val="000000"/>
      <w:sz w:val="20"/>
      <w:szCs w:val="20"/>
      <w:u w:val="none"/>
    </w:rPr>
  </w:style>
  <w:style w:type="character" w:customStyle="1" w:styleId="216">
    <w:name w:val="页脚 Char"/>
    <w:qFormat/>
    <w:uiPriority w:val="99"/>
    <w:rPr>
      <w:rFonts w:eastAsia="Calibri"/>
      <w:sz w:val="21"/>
    </w:rPr>
  </w:style>
  <w:style w:type="character" w:customStyle="1" w:styleId="217">
    <w:name w:val="标题 3 Char1"/>
    <w:qFormat/>
    <w:uiPriority w:val="0"/>
    <w:rPr>
      <w:rFonts w:ascii="Times New Roman" w:hAnsi="Times New Roman" w:eastAsia="宋体" w:cs="Times New Roman"/>
      <w:b/>
      <w:bCs/>
      <w:sz w:val="32"/>
      <w:szCs w:val="32"/>
    </w:rPr>
  </w:style>
  <w:style w:type="character" w:customStyle="1" w:styleId="218">
    <w:name w:val="纯文本 Char2"/>
    <w:semiHidden/>
    <w:qFormat/>
    <w:uiPriority w:val="99"/>
    <w:rPr>
      <w:rFonts w:ascii="宋体" w:hAnsi="Courier New" w:eastAsia="宋体" w:cs="Courier New"/>
      <w:szCs w:val="21"/>
    </w:rPr>
  </w:style>
  <w:style w:type="character" w:customStyle="1" w:styleId="219">
    <w:name w:val="段落文本 Char"/>
    <w:link w:val="220"/>
    <w:qFormat/>
    <w:uiPriority w:val="0"/>
    <w:rPr>
      <w:rFonts w:eastAsia="宋体"/>
      <w:szCs w:val="21"/>
      <w:lang w:bidi="ar-SA"/>
    </w:rPr>
  </w:style>
  <w:style w:type="paragraph" w:customStyle="1" w:styleId="220">
    <w:name w:val="段落文本"/>
    <w:basedOn w:val="1"/>
    <w:link w:val="219"/>
    <w:qFormat/>
    <w:uiPriority w:val="0"/>
    <w:pPr>
      <w:spacing w:line="360" w:lineRule="auto"/>
      <w:ind w:firstLine="420"/>
    </w:pPr>
    <w:rPr>
      <w:kern w:val="0"/>
      <w:sz w:val="20"/>
      <w:szCs w:val="21"/>
    </w:rPr>
  </w:style>
  <w:style w:type="character" w:customStyle="1" w:styleId="221">
    <w:name w:val="彩色列表 - 强调文字颜色 1 Char"/>
    <w:link w:val="222"/>
    <w:qFormat/>
    <w:uiPriority w:val="0"/>
    <w:rPr>
      <w:rFonts w:ascii="微软雅黑" w:hAnsi="微软雅黑" w:eastAsia="微软雅黑" w:cs="宋体"/>
      <w:kern w:val="2"/>
      <w:sz w:val="24"/>
      <w:szCs w:val="21"/>
      <w:lang w:val="en-US" w:eastAsia="zh-CN" w:bidi="ar-SA"/>
    </w:rPr>
  </w:style>
  <w:style w:type="paragraph" w:customStyle="1" w:styleId="222">
    <w:name w:val="列出段落2"/>
    <w:basedOn w:val="1"/>
    <w:link w:val="221"/>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3">
    <w:name w:val="Normal Indent Char"/>
    <w:qFormat/>
    <w:locked/>
    <w:uiPriority w:val="0"/>
    <w:rPr>
      <w:sz w:val="20"/>
    </w:rPr>
  </w:style>
  <w:style w:type="character" w:customStyle="1" w:styleId="224">
    <w:name w:val="内容文本 Char"/>
    <w:link w:val="225"/>
    <w:qFormat/>
    <w:uiPriority w:val="0"/>
    <w:rPr>
      <w:rFonts w:ascii="宋体" w:hAnsi="宋体" w:eastAsia="宋体"/>
      <w:kern w:val="2"/>
      <w:sz w:val="24"/>
      <w:szCs w:val="24"/>
      <w:lang w:bidi="ar-SA"/>
    </w:rPr>
  </w:style>
  <w:style w:type="paragraph" w:customStyle="1" w:styleId="225">
    <w:name w:val="内容文本"/>
    <w:basedOn w:val="1"/>
    <w:link w:val="224"/>
    <w:qFormat/>
    <w:uiPriority w:val="0"/>
    <w:pPr>
      <w:spacing w:line="360" w:lineRule="auto"/>
      <w:ind w:firstLine="480" w:firstLineChars="200"/>
    </w:pPr>
    <w:rPr>
      <w:rFonts w:ascii="宋体" w:hAnsi="宋体"/>
      <w:sz w:val="24"/>
    </w:rPr>
  </w:style>
  <w:style w:type="character" w:customStyle="1" w:styleId="226">
    <w:name w:val="style171"/>
    <w:qFormat/>
    <w:uiPriority w:val="0"/>
    <w:rPr>
      <w:sz w:val="20"/>
      <w:szCs w:val="20"/>
    </w:rPr>
  </w:style>
  <w:style w:type="character" w:customStyle="1" w:styleId="227">
    <w:name w:val="Char Char2"/>
    <w:qFormat/>
    <w:uiPriority w:val="0"/>
    <w:rPr>
      <w:rFonts w:ascii="宋体" w:hAnsi="宋体"/>
      <w:color w:val="000000"/>
      <w:kern w:val="2"/>
      <w:sz w:val="24"/>
      <w:szCs w:val="24"/>
    </w:rPr>
  </w:style>
  <w:style w:type="character" w:customStyle="1" w:styleId="228">
    <w:name w:val="正文文本缩进 2 Char1"/>
    <w:semiHidden/>
    <w:qFormat/>
    <w:uiPriority w:val="99"/>
    <w:rPr>
      <w:rFonts w:ascii="Times New Roman" w:hAnsi="Times New Roman" w:eastAsia="宋体" w:cs="Times New Roman"/>
      <w:szCs w:val="24"/>
    </w:rPr>
  </w:style>
  <w:style w:type="character" w:customStyle="1" w:styleId="229">
    <w:name w:val="* table text Char"/>
    <w:link w:val="230"/>
    <w:qFormat/>
    <w:locked/>
    <w:uiPriority w:val="0"/>
    <w:rPr>
      <w:rFonts w:ascii="Arial" w:hAnsi="Arial" w:eastAsia="宋体"/>
      <w:color w:val="333333"/>
      <w:sz w:val="18"/>
      <w:szCs w:val="18"/>
      <w:lang w:bidi="ar-SA"/>
    </w:rPr>
  </w:style>
  <w:style w:type="paragraph" w:customStyle="1" w:styleId="230">
    <w:name w:val="* table text"/>
    <w:basedOn w:val="1"/>
    <w:link w:val="229"/>
    <w:qFormat/>
    <w:uiPriority w:val="0"/>
    <w:pPr>
      <w:widowControl/>
    </w:pPr>
    <w:rPr>
      <w:rFonts w:ascii="Arial" w:hAnsi="Arial"/>
      <w:color w:val="333333"/>
      <w:kern w:val="0"/>
      <w:sz w:val="18"/>
      <w:szCs w:val="18"/>
    </w:rPr>
  </w:style>
  <w:style w:type="character" w:customStyle="1" w:styleId="231">
    <w:name w:val="样式 加粗"/>
    <w:qFormat/>
    <w:uiPriority w:val="0"/>
    <w:rPr>
      <w:rFonts w:eastAsia="仿宋_GB2312"/>
      <w:b/>
      <w:bCs/>
      <w:sz w:val="24"/>
    </w:rPr>
  </w:style>
  <w:style w:type="character" w:customStyle="1" w:styleId="232">
    <w:name w:val="Header Char"/>
    <w:qFormat/>
    <w:locked/>
    <w:uiPriority w:val="0"/>
    <w:rPr>
      <w:rFonts w:ascii="Calibri" w:hAnsi="Calibri" w:eastAsia="宋体" w:cs="Times New Roman"/>
      <w:sz w:val="18"/>
      <w:szCs w:val="18"/>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4">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7">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8">
    <w:name w:val="Char11"/>
    <w:basedOn w:val="1"/>
    <w:qFormat/>
    <w:uiPriority w:val="0"/>
    <w:rPr>
      <w:rFonts w:ascii="仿宋_GB2312" w:hAnsi="宋体" w:eastAsia="仿宋_GB2312" w:cs="宋体"/>
      <w:b/>
      <w:sz w:val="32"/>
      <w:szCs w:val="32"/>
    </w:rPr>
  </w:style>
  <w:style w:type="paragraph" w:customStyle="1" w:styleId="239">
    <w:name w:val="简单回函地址"/>
    <w:basedOn w:val="1"/>
    <w:qFormat/>
    <w:uiPriority w:val="0"/>
    <w:rPr>
      <w:szCs w:val="20"/>
    </w:rPr>
  </w:style>
  <w:style w:type="paragraph" w:customStyle="1" w:styleId="240">
    <w:name w:val="正文段"/>
    <w:basedOn w:val="1"/>
    <w:qFormat/>
    <w:uiPriority w:val="0"/>
    <w:pPr>
      <w:widowControl/>
      <w:snapToGrid w:val="0"/>
      <w:spacing w:afterLines="50"/>
      <w:ind w:firstLine="200" w:firstLineChars="200"/>
    </w:pPr>
    <w:rPr>
      <w:kern w:val="0"/>
      <w:sz w:val="24"/>
      <w:szCs w:val="20"/>
    </w:rPr>
  </w:style>
  <w:style w:type="paragraph" w:customStyle="1" w:styleId="241">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2">
    <w:name w:val="p0"/>
    <w:basedOn w:val="1"/>
    <w:qFormat/>
    <w:uiPriority w:val="0"/>
    <w:pPr>
      <w:widowControl/>
      <w:jc w:val="left"/>
    </w:pPr>
    <w:rPr>
      <w:rFonts w:ascii="宋体" w:hAnsi="宋体"/>
      <w:kern w:val="0"/>
      <w:sz w:val="20"/>
      <w:szCs w:val="20"/>
    </w:rPr>
  </w:style>
  <w:style w:type="paragraph" w:customStyle="1" w:styleId="243">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5">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8">
    <w:name w:val="Char Char Char Char Char Char"/>
    <w:basedOn w:val="1"/>
    <w:qFormat/>
    <w:uiPriority w:val="0"/>
    <w:pPr>
      <w:ind w:firstLine="200" w:firstLineChars="200"/>
    </w:pPr>
    <w:rPr>
      <w:szCs w:val="20"/>
    </w:rPr>
  </w:style>
  <w:style w:type="paragraph" w:customStyle="1" w:styleId="249">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1">
    <w:name w:val="首行缩进"/>
    <w:basedOn w:val="1"/>
    <w:qFormat/>
    <w:uiPriority w:val="0"/>
    <w:pPr>
      <w:spacing w:line="360" w:lineRule="auto"/>
      <w:ind w:firstLine="720"/>
    </w:pPr>
    <w:rPr>
      <w:szCs w:val="21"/>
    </w:rPr>
  </w:style>
  <w:style w:type="paragraph" w:customStyle="1" w:styleId="252">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列出段落1"/>
    <w:basedOn w:val="1"/>
    <w:qFormat/>
    <w:uiPriority w:val="0"/>
    <w:pPr>
      <w:spacing w:line="360" w:lineRule="auto"/>
      <w:ind w:firstLine="420" w:firstLineChars="200"/>
    </w:pPr>
    <w:rPr>
      <w:rFonts w:ascii="宋体" w:hAnsi="宋体"/>
      <w:sz w:val="24"/>
    </w:rPr>
  </w:style>
  <w:style w:type="paragraph" w:customStyle="1" w:styleId="256">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8">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0">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1">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4">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5">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0">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1">
    <w:name w:val="Item Step in Table"/>
    <w:basedOn w:val="1"/>
    <w:qFormat/>
    <w:uiPriority w:val="0"/>
    <w:pPr>
      <w:tabs>
        <w:tab w:val="left" w:pos="420"/>
      </w:tabs>
      <w:ind w:left="420" w:hanging="420"/>
      <w:jc w:val="left"/>
    </w:pPr>
  </w:style>
  <w:style w:type="paragraph" w:customStyle="1" w:styleId="27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3">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4">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5">
    <w:name w:val="Pa5"/>
    <w:basedOn w:val="1"/>
    <w:next w:val="1"/>
    <w:qFormat/>
    <w:uiPriority w:val="0"/>
    <w:pPr>
      <w:spacing w:line="241" w:lineRule="auto"/>
      <w:ind w:firstLine="1680" w:firstLineChars="200"/>
    </w:pPr>
    <w:rPr>
      <w:rFonts w:ascii="EtGsHeiBold" w:eastAsia="EtGsHeiBold"/>
      <w:sz w:val="24"/>
    </w:rPr>
  </w:style>
  <w:style w:type="paragraph" w:customStyle="1" w:styleId="27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8">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9">
    <w:name w:val="Item List in Table"/>
    <w:basedOn w:val="1"/>
    <w:qFormat/>
    <w:uiPriority w:val="0"/>
    <w:pPr>
      <w:tabs>
        <w:tab w:val="left" w:pos="420"/>
      </w:tabs>
      <w:ind w:left="420" w:hanging="420"/>
      <w:jc w:val="left"/>
    </w:pPr>
  </w:style>
  <w:style w:type="paragraph" w:customStyle="1" w:styleId="2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_Style 3"/>
    <w:basedOn w:val="1"/>
    <w:qFormat/>
    <w:uiPriority w:val="34"/>
    <w:pPr>
      <w:spacing w:line="360" w:lineRule="auto"/>
      <w:ind w:firstLine="420" w:firstLineChars="200"/>
    </w:pPr>
    <w:rPr>
      <w:rFonts w:ascii="Calibri" w:hAnsi="Calibri"/>
      <w:szCs w:val="22"/>
    </w:rPr>
  </w:style>
  <w:style w:type="paragraph" w:customStyle="1" w:styleId="283">
    <w:name w:val="次小点说明"/>
    <w:basedOn w:val="14"/>
    <w:qFormat/>
    <w:uiPriority w:val="0"/>
    <w:pPr>
      <w:tabs>
        <w:tab w:val="left" w:pos="720"/>
      </w:tabs>
      <w:spacing w:line="360" w:lineRule="auto"/>
      <w:ind w:left="777" w:hanging="417"/>
    </w:pPr>
    <w:rPr>
      <w:sz w:val="24"/>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5">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6">
    <w:name w:val="Char Char"/>
    <w:basedOn w:val="1"/>
    <w:qFormat/>
    <w:uiPriority w:val="0"/>
    <w:pPr>
      <w:jc w:val="center"/>
    </w:pPr>
    <w:rPr>
      <w:rFonts w:ascii="仿宋_GB2312" w:eastAsia="仿宋_GB2312"/>
      <w:b/>
      <w:kern w:val="0"/>
      <w:sz w:val="32"/>
      <w:szCs w:val="32"/>
      <w:lang w:val="en-GB"/>
    </w:rPr>
  </w:style>
  <w:style w:type="paragraph" w:customStyle="1" w:styleId="287">
    <w:name w:val="此正文"/>
    <w:basedOn w:val="1"/>
    <w:qFormat/>
    <w:uiPriority w:val="0"/>
    <w:pPr>
      <w:spacing w:line="360" w:lineRule="auto"/>
      <w:ind w:firstLine="200" w:firstLineChars="200"/>
    </w:pPr>
    <w:rPr>
      <w:sz w:val="24"/>
    </w:rPr>
  </w:style>
  <w:style w:type="paragraph" w:customStyle="1" w:styleId="288">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9">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0">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1">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2">
    <w:name w:val="正文符号1"/>
    <w:basedOn w:val="293"/>
    <w:qFormat/>
    <w:uiPriority w:val="0"/>
    <w:pPr>
      <w:tabs>
        <w:tab w:val="left" w:pos="1080"/>
      </w:tabs>
      <w:ind w:left="1134" w:firstLine="0" w:firstLineChars="0"/>
    </w:pPr>
  </w:style>
  <w:style w:type="paragraph" w:customStyle="1" w:styleId="293">
    <w:name w:val="正文首行缩进2字"/>
    <w:basedOn w:val="1"/>
    <w:qFormat/>
    <w:uiPriority w:val="0"/>
    <w:pPr>
      <w:spacing w:line="360" w:lineRule="auto"/>
      <w:ind w:firstLine="412" w:firstLineChars="196"/>
    </w:pPr>
    <w:rPr>
      <w:rFonts w:ascii="宋体" w:hAnsi="宋体"/>
      <w:kern w:val="0"/>
      <w:szCs w:val="21"/>
    </w:rPr>
  </w:style>
  <w:style w:type="paragraph" w:customStyle="1" w:styleId="294">
    <w:name w:val="图片"/>
    <w:basedOn w:val="1"/>
    <w:next w:val="1"/>
    <w:qFormat/>
    <w:uiPriority w:val="0"/>
    <w:pPr>
      <w:jc w:val="center"/>
    </w:pPr>
  </w:style>
  <w:style w:type="paragraph" w:customStyle="1" w:styleId="295">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6">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7">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8">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9">
    <w:name w:val="Char"/>
    <w:basedOn w:val="1"/>
    <w:qFormat/>
    <w:uiPriority w:val="0"/>
    <w:rPr>
      <w:rFonts w:ascii="仿宋_GB2312" w:eastAsia="仿宋_GB2312"/>
      <w:b/>
      <w:sz w:val="32"/>
      <w:szCs w:val="32"/>
    </w:rPr>
  </w:style>
  <w:style w:type="paragraph" w:customStyle="1" w:styleId="300">
    <w:name w:val="项目正文"/>
    <w:basedOn w:val="1"/>
    <w:qFormat/>
    <w:uiPriority w:val="0"/>
    <w:pPr>
      <w:ind w:left="420" w:hanging="420"/>
    </w:pPr>
    <w:rPr>
      <w:sz w:val="28"/>
      <w:szCs w:val="20"/>
    </w:rPr>
  </w:style>
  <w:style w:type="paragraph" w:customStyle="1" w:styleId="301">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3">
    <w:name w:val="样式26"/>
    <w:basedOn w:val="304"/>
    <w:qFormat/>
    <w:uiPriority w:val="0"/>
    <w:pPr>
      <w:tabs>
        <w:tab w:val="left" w:pos="180"/>
        <w:tab w:val="left" w:pos="1580"/>
      </w:tabs>
      <w:ind w:left="1603" w:hanging="363"/>
    </w:pPr>
  </w:style>
  <w:style w:type="paragraph" w:customStyle="1" w:styleId="304">
    <w:name w:val="样式25"/>
    <w:basedOn w:val="1"/>
    <w:qFormat/>
    <w:uiPriority w:val="0"/>
    <w:pPr>
      <w:tabs>
        <w:tab w:val="left" w:pos="180"/>
      </w:tabs>
      <w:ind w:left="1260" w:hanging="720"/>
    </w:pPr>
    <w:rPr>
      <w:sz w:val="24"/>
      <w:szCs w:val="20"/>
    </w:rPr>
  </w:style>
  <w:style w:type="paragraph" w:customStyle="1" w:styleId="305">
    <w:name w:val="Block"/>
    <w:basedOn w:val="1"/>
    <w:next w:val="156"/>
    <w:qFormat/>
    <w:uiPriority w:val="0"/>
    <w:pPr>
      <w:tabs>
        <w:tab w:val="left" w:pos="0"/>
      </w:tabs>
    </w:pPr>
    <w:rPr>
      <w:rFonts w:ascii="Arial" w:hAnsi="Arial" w:eastAsia="楷体_GB2312"/>
      <w:color w:val="000080"/>
      <w:sz w:val="28"/>
      <w:szCs w:val="28"/>
    </w:rPr>
  </w:style>
  <w:style w:type="paragraph" w:customStyle="1" w:styleId="3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标题1"/>
    <w:basedOn w:val="3"/>
    <w:next w:val="1"/>
    <w:qFormat/>
    <w:uiPriority w:val="0"/>
    <w:pPr>
      <w:spacing w:before="0" w:after="0" w:line="360" w:lineRule="auto"/>
      <w:jc w:val="left"/>
    </w:pPr>
    <w:rPr>
      <w:rFonts w:ascii="华文中宋" w:hAnsi="华文中宋" w:eastAsia="华文中宋"/>
      <w:szCs w:val="36"/>
    </w:rPr>
  </w:style>
  <w:style w:type="paragraph" w:customStyle="1" w:styleId="30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9">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0">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1">
    <w:name w:val="Item Step"/>
    <w:basedOn w:val="1"/>
    <w:qFormat/>
    <w:uiPriority w:val="0"/>
    <w:pPr>
      <w:widowControl/>
      <w:spacing w:afterLines="50"/>
      <w:ind w:left="840" w:hanging="420"/>
      <w:jc w:val="left"/>
    </w:pPr>
  </w:style>
  <w:style w:type="paragraph" w:customStyle="1" w:styleId="31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3">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4">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5">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7">
    <w:name w:val="小点说明"/>
    <w:basedOn w:val="1"/>
    <w:qFormat/>
    <w:uiPriority w:val="0"/>
    <w:pPr>
      <w:tabs>
        <w:tab w:val="left" w:pos="420"/>
      </w:tabs>
      <w:spacing w:after="80" w:line="360" w:lineRule="auto"/>
      <w:ind w:left="420" w:hanging="420"/>
    </w:pPr>
    <w:rPr>
      <w:sz w:val="24"/>
    </w:rPr>
  </w:style>
  <w:style w:type="paragraph" w:customStyle="1" w:styleId="31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1">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2">
    <w:name w:val="段落正文 Char Char"/>
    <w:basedOn w:val="1"/>
    <w:qFormat/>
    <w:uiPriority w:val="0"/>
    <w:pPr>
      <w:spacing w:line="360" w:lineRule="auto"/>
      <w:ind w:firstLine="461" w:firstLineChars="192"/>
    </w:pPr>
    <w:rPr>
      <w:rFonts w:ascii="宋体" w:hAnsi="宋体"/>
      <w:sz w:val="24"/>
    </w:rPr>
  </w:style>
  <w:style w:type="paragraph" w:customStyle="1" w:styleId="323">
    <w:name w:val="Figure Description"/>
    <w:basedOn w:val="324"/>
    <w:next w:val="156"/>
    <w:qFormat/>
    <w:uiPriority w:val="0"/>
    <w:pPr>
      <w:tabs>
        <w:tab w:val="left" w:pos="680"/>
      </w:tabs>
      <w:spacing w:afterLines="100"/>
    </w:pPr>
    <w:rPr>
      <w:sz w:val="18"/>
    </w:rPr>
  </w:style>
  <w:style w:type="paragraph" w:customStyle="1" w:styleId="324">
    <w:name w:val="Figure"/>
    <w:basedOn w:val="1"/>
    <w:next w:val="323"/>
    <w:qFormat/>
    <w:uiPriority w:val="0"/>
    <w:pPr>
      <w:keepNext/>
      <w:keepLines/>
      <w:ind w:left="1134"/>
      <w:jc w:val="center"/>
    </w:pPr>
  </w:style>
  <w:style w:type="paragraph" w:customStyle="1" w:styleId="325">
    <w:name w:val="列出段落3"/>
    <w:basedOn w:val="1"/>
    <w:qFormat/>
    <w:uiPriority w:val="34"/>
    <w:pPr>
      <w:ind w:firstLine="420" w:firstLineChars="200"/>
    </w:pPr>
  </w:style>
  <w:style w:type="paragraph" w:customStyle="1" w:styleId="326">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7">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8">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9">
    <w:name w:val="正文缩进2"/>
    <w:basedOn w:val="1"/>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0">
    <w:name w:val="Table Text"/>
    <w:basedOn w:val="1"/>
    <w:qFormat/>
    <w:uiPriority w:val="0"/>
    <w:rPr>
      <w:sz w:val="18"/>
    </w:rPr>
  </w:style>
  <w:style w:type="paragraph" w:customStyle="1" w:styleId="331">
    <w:name w:val="默认段落字体 Para Char Char Char Char Char Char Char Char Char1 Char Char Char Char"/>
    <w:basedOn w:val="1"/>
    <w:qFormat/>
    <w:uiPriority w:val="0"/>
    <w:rPr>
      <w:rFonts w:ascii="Tahoma" w:hAnsi="Tahoma"/>
      <w:sz w:val="24"/>
      <w:szCs w:val="20"/>
    </w:rPr>
  </w:style>
  <w:style w:type="paragraph" w:customStyle="1" w:styleId="332">
    <w:name w:val="p18"/>
    <w:basedOn w:val="1"/>
    <w:uiPriority w:val="0"/>
    <w:pPr>
      <w:widowControl/>
      <w:spacing w:afterLines="100"/>
      <w:ind w:left="1134"/>
      <w:jc w:val="center"/>
    </w:pPr>
    <w:rPr>
      <w:kern w:val="0"/>
      <w:sz w:val="18"/>
      <w:szCs w:val="18"/>
    </w:rPr>
  </w:style>
  <w:style w:type="paragraph" w:customStyle="1" w:styleId="333">
    <w:name w:val="p16"/>
    <w:basedOn w:val="1"/>
    <w:qFormat/>
    <w:uiPriority w:val="0"/>
    <w:pPr>
      <w:widowControl/>
    </w:pPr>
    <w:rPr>
      <w:rFonts w:ascii="Arial" w:hAnsi="Arial" w:cs="Arial"/>
      <w:color w:val="333333"/>
      <w:kern w:val="0"/>
      <w:sz w:val="18"/>
      <w:szCs w:val="18"/>
    </w:rPr>
  </w:style>
  <w:style w:type="paragraph" w:customStyle="1" w:styleId="33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5">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6">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7">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8">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9">
    <w:name w:val="标题4"/>
    <w:basedOn w:val="1"/>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0">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1">
    <w:name w:val="Char Char11"/>
    <w:basedOn w:val="1"/>
    <w:qFormat/>
    <w:uiPriority w:val="0"/>
    <w:pPr>
      <w:widowControl/>
      <w:jc w:val="left"/>
    </w:pPr>
    <w:rPr>
      <w:sz w:val="36"/>
    </w:rPr>
  </w:style>
  <w:style w:type="paragraph" w:customStyle="1" w:styleId="342">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3">
    <w:name w:val="Char2"/>
    <w:basedOn w:val="1"/>
    <w:qFormat/>
    <w:uiPriority w:val="0"/>
    <w:pPr>
      <w:spacing w:line="240" w:lineRule="atLeast"/>
      <w:ind w:left="420" w:firstLine="420"/>
    </w:pPr>
  </w:style>
  <w:style w:type="paragraph" w:customStyle="1" w:styleId="344">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5">
    <w:name w:val="默认段落字体 Para Char"/>
    <w:basedOn w:val="1"/>
    <w:qFormat/>
    <w:uiPriority w:val="0"/>
    <w:rPr>
      <w:szCs w:val="20"/>
    </w:rPr>
  </w:style>
  <w:style w:type="paragraph" w:customStyle="1" w:styleId="346">
    <w:name w:val="二级编号"/>
    <w:basedOn w:val="1"/>
    <w:uiPriority w:val="0"/>
    <w:pPr>
      <w:tabs>
        <w:tab w:val="left" w:pos="851"/>
      </w:tabs>
      <w:spacing w:line="360" w:lineRule="auto"/>
      <w:jc w:val="left"/>
    </w:pPr>
    <w:rPr>
      <w:rFonts w:cs="宋体"/>
      <w:sz w:val="24"/>
      <w:szCs w:val="20"/>
    </w:rPr>
  </w:style>
  <w:style w:type="paragraph" w:customStyle="1" w:styleId="34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9">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0">
    <w:name w:val="方案标题4"/>
    <w:basedOn w:val="6"/>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1">
    <w:name w:val="样式 正文缩进 + 首行缩进:  2 字符"/>
    <w:basedOn w:val="14"/>
    <w:qFormat/>
    <w:uiPriority w:val="0"/>
    <w:pPr>
      <w:spacing w:after="80" w:line="360" w:lineRule="auto"/>
      <w:ind w:firstLine="480" w:firstLineChars="200"/>
    </w:pPr>
    <w:rPr>
      <w:sz w:val="24"/>
    </w:rPr>
  </w:style>
  <w:style w:type="paragraph" w:customStyle="1" w:styleId="352">
    <w:name w:val="Char111"/>
    <w:basedOn w:val="1"/>
    <w:qFormat/>
    <w:uiPriority w:val="0"/>
    <w:rPr>
      <w:rFonts w:ascii="仿宋_GB2312" w:hAnsi="宋体" w:eastAsia="仿宋_GB2312" w:cs="宋体"/>
      <w:b/>
      <w:sz w:val="32"/>
      <w:szCs w:val="32"/>
    </w:rPr>
  </w:style>
  <w:style w:type="paragraph" w:customStyle="1" w:styleId="3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4">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7">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8">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1">
    <w:name w:val="p19"/>
    <w:basedOn w:val="1"/>
    <w:qFormat/>
    <w:uiPriority w:val="0"/>
    <w:pPr>
      <w:widowControl/>
      <w:spacing w:beforeLines="100" w:afterLines="100"/>
      <w:ind w:left="1134"/>
    </w:pPr>
    <w:rPr>
      <w:kern w:val="0"/>
      <w:szCs w:val="21"/>
    </w:rPr>
  </w:style>
  <w:style w:type="paragraph" w:customStyle="1" w:styleId="3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样式23"/>
    <w:basedOn w:val="317"/>
    <w:qFormat/>
    <w:uiPriority w:val="0"/>
    <w:pPr>
      <w:adjustRightInd w:val="0"/>
      <w:snapToGrid w:val="0"/>
      <w:spacing w:after="0" w:line="240" w:lineRule="auto"/>
    </w:pPr>
    <w:rPr>
      <w:szCs w:val="20"/>
    </w:rPr>
  </w:style>
  <w:style w:type="paragraph" w:customStyle="1" w:styleId="36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1">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2">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4">
    <w:name w:val="样式 A正文 + 首行缩进:  0 字符"/>
    <w:basedOn w:val="187"/>
    <w:qFormat/>
    <w:uiPriority w:val="0"/>
    <w:pPr>
      <w:spacing w:line="240" w:lineRule="auto"/>
      <w:ind w:firstLine="0" w:firstLineChars="0"/>
    </w:pPr>
    <w:rPr>
      <w:rFonts w:cs="宋体"/>
      <w:szCs w:val="20"/>
    </w:rPr>
  </w:style>
  <w:style w:type="paragraph" w:customStyle="1" w:styleId="375">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6">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7">
    <w:name w:val="5"/>
    <w:qFormat/>
    <w:uiPriority w:val="0"/>
    <w:rPr>
      <w:rFonts w:ascii="Times New Roman" w:hAnsi="Times New Roman" w:eastAsia="宋体" w:cs="Times New Roman"/>
      <w:kern w:val="2"/>
      <w:sz w:val="21"/>
      <w:szCs w:val="22"/>
      <w:lang w:val="en-US" w:eastAsia="zh-CN" w:bidi="ar-SA"/>
    </w:rPr>
  </w:style>
  <w:style w:type="paragraph" w:customStyle="1" w:styleId="37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9">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0">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1">
    <w:name w:val="Table Heading"/>
    <w:basedOn w:val="1"/>
    <w:qFormat/>
    <w:uiPriority w:val="0"/>
    <w:pPr>
      <w:jc w:val="center"/>
    </w:pPr>
    <w:rPr>
      <w:rFonts w:ascii="Arial" w:hAnsi="Arial" w:eastAsia="黑体"/>
      <w:b/>
    </w:rPr>
  </w:style>
  <w:style w:type="paragraph" w:customStyle="1" w:styleId="3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4">
    <w:name w:val="纯文本 Char3"/>
    <w:qFormat/>
    <w:uiPriority w:val="0"/>
    <w:rPr>
      <w:rFonts w:ascii="宋体" w:hAnsi="Courier New" w:eastAsia="宋体"/>
      <w:sz w:val="24"/>
      <w:szCs w:val="24"/>
    </w:rPr>
  </w:style>
  <w:style w:type="character" w:customStyle="1" w:styleId="385">
    <w:name w:val="纯文本 字符"/>
    <w:qFormat/>
    <w:uiPriority w:val="0"/>
    <w:rPr>
      <w:rFonts w:ascii="宋体" w:hAnsi="Courier New"/>
      <w:sz w:val="24"/>
      <w:szCs w:val="24"/>
    </w:rPr>
  </w:style>
  <w:style w:type="character" w:customStyle="1" w:styleId="386">
    <w:name w:val="正文文本缩进 字符"/>
    <w:qFormat/>
    <w:uiPriority w:val="0"/>
    <w:rPr>
      <w:rFonts w:ascii="宋体" w:hAnsi="Courier New"/>
      <w:spacing w:val="-4"/>
      <w:sz w:val="18"/>
    </w:rPr>
  </w:style>
  <w:style w:type="character" w:customStyle="1" w:styleId="387">
    <w:name w:val="纯文本 字符1"/>
    <w:semiHidden/>
    <w:qFormat/>
    <w:locked/>
    <w:uiPriority w:val="0"/>
    <w:rPr>
      <w:rFonts w:ascii="宋体" w:hAnsi="Courier New"/>
      <w:sz w:val="24"/>
      <w:szCs w:val="24"/>
    </w:rPr>
  </w:style>
  <w:style w:type="character" w:customStyle="1" w:styleId="388">
    <w:name w:val="未处理的提及"/>
    <w:unhideWhenUsed/>
    <w:qFormat/>
    <w:uiPriority w:val="99"/>
    <w:rPr>
      <w:color w:val="605E5C"/>
      <w:shd w:val="clear" w:color="auto" w:fill="E1DFDD"/>
    </w:rPr>
  </w:style>
  <w:style w:type="table" w:customStyle="1" w:styleId="389">
    <w:name w:val="网格型1"/>
    <w:basedOn w:val="5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90">
    <w:name w:val="正文缩进 字符"/>
    <w:qFormat/>
    <w:uiPriority w:val="0"/>
    <w:rPr>
      <w:rFonts w:eastAsia="宋体"/>
    </w:rPr>
  </w:style>
  <w:style w:type="character" w:customStyle="1" w:styleId="391">
    <w:name w:val="正文文本 字符"/>
    <w:qFormat/>
    <w:uiPriority w:val="0"/>
    <w:rPr>
      <w:rFonts w:ascii="Times New Roman" w:hAnsi="Times New Roman" w:eastAsia="宋体" w:cs="Times New Roman"/>
      <w:kern w:val="0"/>
      <w:sz w:val="28"/>
      <w:szCs w:val="24"/>
    </w:rPr>
  </w:style>
  <w:style w:type="character" w:customStyle="1" w:styleId="392">
    <w:name w:val="标题 1 字符"/>
    <w:qFormat/>
    <w:uiPriority w:val="9"/>
    <w:rPr>
      <w:b/>
      <w:bCs/>
      <w:kern w:val="44"/>
      <w:sz w:val="30"/>
      <w:szCs w:val="44"/>
    </w:rPr>
  </w:style>
  <w:style w:type="character" w:customStyle="1" w:styleId="393">
    <w:name w:val="页脚 Char2"/>
    <w:qFormat/>
    <w:uiPriority w:val="99"/>
    <w:rPr>
      <w:rFonts w:eastAsia="黑体"/>
      <w:sz w:val="18"/>
      <w:szCs w:val="18"/>
    </w:rPr>
  </w:style>
  <w:style w:type="character" w:customStyle="1" w:styleId="394">
    <w:name w:val="页眉 Char"/>
    <w:qFormat/>
    <w:uiPriority w:val="99"/>
    <w:rPr>
      <w:rFonts w:eastAsia="仿宋_GB2312"/>
      <w:sz w:val="18"/>
    </w:rPr>
  </w:style>
  <w:style w:type="character" w:customStyle="1" w:styleId="395">
    <w:name w:val="纯文本 Char4"/>
    <w:qFormat/>
    <w:uiPriority w:val="0"/>
    <w:rPr>
      <w:rFonts w:ascii="宋体" w:hAnsi="Courier New" w:eastAsia="宋体"/>
      <w:sz w:val="24"/>
      <w:szCs w:val="24"/>
    </w:rPr>
  </w:style>
  <w:style w:type="character" w:customStyle="1" w:styleId="396">
    <w:name w:val="正文文本 Char1"/>
    <w:qFormat/>
    <w:uiPriority w:val="0"/>
    <w:rPr>
      <w:rFonts w:ascii="Times New Roman" w:hAnsi="Times New Roman" w:eastAsia="宋体" w:cs="Times New Roman"/>
      <w:kern w:val="0"/>
      <w:sz w:val="28"/>
      <w:szCs w:val="24"/>
    </w:rPr>
  </w:style>
  <w:style w:type="paragraph" w:customStyle="1" w:styleId="397">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8">
    <w:name w:val="Heading1"/>
    <w:basedOn w:val="1"/>
    <w:next w:val="1"/>
    <w:qFormat/>
    <w:uiPriority w:val="0"/>
    <w:pPr>
      <w:keepNext/>
      <w:keepLines/>
      <w:spacing w:before="340" w:after="330" w:line="578" w:lineRule="auto"/>
    </w:pPr>
    <w:rPr>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D6B94-A686-4C5D-B395-0BA1ECDF1A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56</Pages>
  <Words>24695</Words>
  <Characters>25912</Characters>
  <Lines>241</Lines>
  <Paragraphs>68</Paragraphs>
  <TotalTime>0</TotalTime>
  <ScaleCrop>false</ScaleCrop>
  <LinksUpToDate>false</LinksUpToDate>
  <CharactersWithSpaces>26429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2025-05-26T07:24:00Z</dcterms:created>
  <dc:creator>Sky123.Org</dc:creator>
  <cp:lastModifiedBy>Administrator</cp:lastModifiedBy>
  <cp:lastPrinted>2021-07-14T06:31:00Z</cp:lastPrinted>
  <dcterms:modified xsi:type="dcterms:W3CDTF">2025-06-23T09:20:49Z</dcterms:modified>
  <dc:title>临海市政府采购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B10FCFE0A33B42CC8ACC18144F171BFB_12</vt:lpwstr>
  </property>
  <property fmtid="{D5CDD505-2E9C-101B-9397-08002B2CF9AE}" pid="4" name="KSOTemplateDocerSaveRecord">
    <vt:lpwstr>eyJoZGlkIjoiMzhlMDRkMDdhNjlmNmU3MzY4NjAzN2VlMTQ0NjFhNDciLCJ1c2VySWQiOiI1NjgxNTYyOTMifQ==</vt:lpwstr>
  </property>
</Properties>
</file>