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hint="eastAsia" w:ascii="宋体" w:hAnsi="宋体" w:eastAsia="宋体" w:cs="宋体"/>
          <w:b/>
          <w:bCs/>
          <w:color w:val="auto"/>
          <w:sz w:val="72"/>
          <w:highlight w:val="none"/>
        </w:rPr>
      </w:pPr>
      <w:r>
        <w:rPr>
          <w:rFonts w:hint="eastAsia" w:ascii="宋体" w:hAnsi="宋体" w:eastAsia="宋体" w:cs="宋体"/>
          <w:b/>
          <w:bCs/>
          <w:color w:val="auto"/>
          <w:sz w:val="72"/>
          <w:highlight w:val="none"/>
        </w:rPr>
        <w:t>临海市政府采购</w:t>
      </w:r>
    </w:p>
    <w:p w14:paraId="47A0F482">
      <w:pPr>
        <w:adjustRightInd w:val="0"/>
        <w:snapToGrid w:val="0"/>
        <w:spacing w:line="1200" w:lineRule="exact"/>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竞争性磋商文件</w:t>
      </w:r>
    </w:p>
    <w:p w14:paraId="7F2769C4">
      <w:pPr>
        <w:adjustRightInd w:val="0"/>
        <w:snapToGrid w:val="0"/>
        <w:jc w:val="center"/>
        <w:rPr>
          <w:rFonts w:hint="eastAsia" w:ascii="宋体" w:hAnsi="宋体" w:eastAsia="宋体" w:cs="宋体"/>
          <w:bCs/>
          <w:color w:val="auto"/>
          <w:sz w:val="36"/>
          <w:szCs w:val="36"/>
          <w:highlight w:val="none"/>
          <w:u w:val="single"/>
          <w:shd w:val="pct10" w:color="auto" w:fill="FFFFFF"/>
        </w:rPr>
      </w:pPr>
    </w:p>
    <w:p w14:paraId="6C1FCF8C">
      <w:pPr>
        <w:adjustRightInd w:val="0"/>
        <w:snapToGrid w:val="0"/>
        <w:spacing w:line="360" w:lineRule="auto"/>
        <w:ind w:left="1955" w:hanging="1955" w:hangingChars="541"/>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（电子投标、不见面开标方式）</w:t>
      </w:r>
    </w:p>
    <w:p w14:paraId="20A24836">
      <w:pPr>
        <w:adjustRightInd w:val="0"/>
        <w:snapToGrid w:val="0"/>
        <w:spacing w:line="360" w:lineRule="auto"/>
        <w:rPr>
          <w:rFonts w:hint="eastAsia" w:ascii="宋体" w:hAnsi="宋体" w:eastAsia="宋体" w:cs="宋体"/>
          <w:b/>
          <w:bCs/>
          <w:color w:val="auto"/>
          <w:sz w:val="28"/>
          <w:szCs w:val="28"/>
          <w:highlight w:val="none"/>
        </w:rPr>
      </w:pPr>
    </w:p>
    <w:p w14:paraId="05CECC8A">
      <w:pPr>
        <w:adjustRightInd w:val="0"/>
        <w:snapToGrid w:val="0"/>
        <w:spacing w:line="360" w:lineRule="auto"/>
        <w:ind w:left="1521" w:hanging="1521" w:hangingChars="541"/>
        <w:rPr>
          <w:rFonts w:hint="eastAsia" w:ascii="宋体" w:hAnsi="宋体" w:eastAsia="宋体" w:cs="宋体"/>
          <w:b/>
          <w:bCs/>
          <w:color w:val="auto"/>
          <w:sz w:val="28"/>
          <w:szCs w:val="28"/>
          <w:highlight w:val="none"/>
        </w:rPr>
      </w:pPr>
    </w:p>
    <w:p w14:paraId="0F4E5F1E">
      <w:pPr>
        <w:adjustRightInd w:val="0"/>
        <w:snapToGrid w:val="0"/>
        <w:spacing w:line="360" w:lineRule="auto"/>
        <w:rPr>
          <w:rFonts w:hint="eastAsia" w:ascii="宋体" w:hAnsi="宋体" w:cs="宋体"/>
          <w:b/>
          <w:bCs/>
          <w:color w:val="auto"/>
          <w:sz w:val="28"/>
          <w:szCs w:val="28"/>
          <w:highlight w:val="none"/>
          <w:lang w:eastAsia="zh-CN"/>
        </w:rPr>
      </w:pPr>
      <w:r>
        <w:rPr>
          <w:rFonts w:hint="eastAsia" w:ascii="宋体" w:hAnsi="宋体" w:eastAsia="宋体" w:cs="宋体"/>
          <w:b/>
          <w:bCs/>
          <w:color w:val="auto"/>
          <w:sz w:val="28"/>
          <w:szCs w:val="28"/>
          <w:highlight w:val="none"/>
        </w:rPr>
        <w:t>项目名称：</w:t>
      </w:r>
      <w:r>
        <w:rPr>
          <w:rFonts w:hint="eastAsia" w:ascii="宋体" w:hAnsi="宋体" w:cs="宋体"/>
          <w:b/>
          <w:bCs/>
          <w:color w:val="auto"/>
          <w:sz w:val="28"/>
          <w:szCs w:val="28"/>
          <w:highlight w:val="none"/>
          <w:lang w:eastAsia="zh-CN"/>
        </w:rPr>
        <w:t>临海市民政局2025年善居工程采购（重新招标）</w:t>
      </w:r>
    </w:p>
    <w:p w14:paraId="08E7909C">
      <w:pPr>
        <w:adjustRightInd w:val="0"/>
        <w:snapToGrid w:val="0"/>
        <w:spacing w:line="360" w:lineRule="auto"/>
        <w:ind w:left="1521" w:hanging="1521" w:hangingChars="541"/>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ZJXD[2025]</w:t>
      </w:r>
      <w:r>
        <w:rPr>
          <w:rFonts w:hint="eastAsia" w:ascii="宋体" w:hAnsi="宋体" w:cs="宋体"/>
          <w:b/>
          <w:bCs/>
          <w:color w:val="auto"/>
          <w:sz w:val="28"/>
          <w:szCs w:val="28"/>
          <w:highlight w:val="none"/>
          <w:lang w:val="en-US" w:eastAsia="zh-CN"/>
        </w:rPr>
        <w:t>20-1</w:t>
      </w:r>
      <w:r>
        <w:rPr>
          <w:rFonts w:hint="eastAsia" w:ascii="宋体" w:hAnsi="宋体" w:cs="宋体"/>
          <w:b/>
          <w:bCs/>
          <w:color w:val="auto"/>
          <w:sz w:val="28"/>
          <w:szCs w:val="28"/>
          <w:highlight w:val="none"/>
          <w:lang w:eastAsia="zh-CN"/>
        </w:rPr>
        <w:t>号</w:t>
      </w:r>
      <w:r>
        <w:rPr>
          <w:rFonts w:hint="eastAsia" w:ascii="宋体" w:hAnsi="宋体" w:eastAsia="宋体" w:cs="宋体"/>
          <w:b/>
          <w:bCs/>
          <w:color w:val="auto"/>
          <w:sz w:val="28"/>
          <w:szCs w:val="28"/>
          <w:highlight w:val="none"/>
        </w:rPr>
        <w:t xml:space="preserve"> </w:t>
      </w:r>
    </w:p>
    <w:p w14:paraId="48A2CA54">
      <w:pPr>
        <w:rPr>
          <w:rFonts w:hint="eastAsia" w:ascii="宋体" w:hAnsi="宋体" w:eastAsia="宋体" w:cs="宋体"/>
          <w:color w:val="auto"/>
          <w:sz w:val="24"/>
          <w:highlight w:val="none"/>
        </w:rPr>
      </w:pPr>
    </w:p>
    <w:p w14:paraId="49D2D32E">
      <w:pPr>
        <w:rPr>
          <w:rFonts w:hint="eastAsia" w:ascii="宋体" w:hAnsi="宋体" w:eastAsia="宋体" w:cs="宋体"/>
          <w:color w:val="auto"/>
          <w:sz w:val="24"/>
          <w:highlight w:val="none"/>
        </w:rPr>
      </w:pPr>
    </w:p>
    <w:p w14:paraId="2B8B8687">
      <w:pPr>
        <w:rPr>
          <w:rFonts w:hint="eastAsia" w:ascii="宋体" w:hAnsi="宋体" w:eastAsia="宋体" w:cs="宋体"/>
          <w:color w:val="auto"/>
          <w:sz w:val="24"/>
          <w:highlight w:val="none"/>
        </w:rPr>
      </w:pPr>
    </w:p>
    <w:p w14:paraId="4BEAFCA4">
      <w:pPr>
        <w:rPr>
          <w:rFonts w:hint="eastAsia" w:ascii="宋体" w:hAnsi="宋体" w:eastAsia="宋体" w:cs="宋体"/>
          <w:color w:val="auto"/>
          <w:sz w:val="24"/>
          <w:highlight w:val="none"/>
        </w:rPr>
      </w:pPr>
    </w:p>
    <w:p w14:paraId="3D56EC1F">
      <w:pPr>
        <w:rPr>
          <w:rFonts w:hint="eastAsia" w:ascii="宋体" w:hAnsi="宋体" w:eastAsia="宋体" w:cs="宋体"/>
          <w:color w:val="auto"/>
          <w:sz w:val="24"/>
          <w:highlight w:val="none"/>
        </w:rPr>
      </w:pPr>
    </w:p>
    <w:p w14:paraId="38E40F32">
      <w:pPr>
        <w:adjustRightInd w:val="0"/>
        <w:snapToGrid w:val="0"/>
        <w:spacing w:line="360" w:lineRule="auto"/>
        <w:rPr>
          <w:rFonts w:hint="eastAsia" w:ascii="宋体" w:hAnsi="宋体" w:eastAsia="宋体" w:cs="宋体"/>
          <w:b/>
          <w:bCs/>
          <w:color w:val="auto"/>
          <w:sz w:val="28"/>
          <w:szCs w:val="28"/>
          <w:highlight w:val="none"/>
        </w:rPr>
      </w:pPr>
    </w:p>
    <w:p w14:paraId="4AA09CDA">
      <w:pPr>
        <w:adjustRightInd w:val="0"/>
        <w:snapToGrid w:val="0"/>
        <w:spacing w:line="360" w:lineRule="auto"/>
        <w:outlineLvl w:val="0"/>
        <w:rPr>
          <w:rFonts w:hint="eastAsia" w:ascii="宋体" w:hAnsi="宋体" w:eastAsia="宋体" w:cs="宋体"/>
          <w:b/>
          <w:bCs/>
          <w:color w:val="auto"/>
          <w:sz w:val="28"/>
          <w:szCs w:val="28"/>
          <w:highlight w:val="none"/>
        </w:rPr>
      </w:pPr>
      <w:bookmarkStart w:id="0" w:name="_Toc7405"/>
      <w:bookmarkStart w:id="1" w:name="_Toc16071"/>
      <w:bookmarkStart w:id="2" w:name="_Toc27612"/>
      <w:bookmarkStart w:id="3" w:name="_Toc29891"/>
      <w:r>
        <w:rPr>
          <w:rFonts w:hint="eastAsia" w:ascii="宋体" w:hAnsi="宋体" w:eastAsia="宋体" w:cs="宋体"/>
          <w:b/>
          <w:bCs/>
          <w:color w:val="auto"/>
          <w:sz w:val="28"/>
          <w:szCs w:val="28"/>
          <w:highlight w:val="none"/>
        </w:rPr>
        <w:t>采购单位：</w:t>
      </w:r>
      <w:r>
        <w:rPr>
          <w:rFonts w:hint="eastAsia" w:ascii="宋体" w:hAnsi="宋体" w:cs="宋体"/>
          <w:b/>
          <w:bCs/>
          <w:color w:val="auto"/>
          <w:sz w:val="28"/>
          <w:szCs w:val="28"/>
          <w:highlight w:val="none"/>
          <w:lang w:eastAsia="zh-CN"/>
        </w:rPr>
        <w:t>临海市民政局</w:t>
      </w:r>
      <w:r>
        <w:rPr>
          <w:rFonts w:hint="eastAsia" w:ascii="宋体" w:hAnsi="宋体" w:eastAsia="宋体" w:cs="宋体"/>
          <w:b/>
          <w:bCs/>
          <w:color w:val="auto"/>
          <w:sz w:val="28"/>
          <w:szCs w:val="28"/>
          <w:highlight w:val="none"/>
        </w:rPr>
        <w:t>（盖章）</w:t>
      </w:r>
      <w:bookmarkEnd w:id="0"/>
      <w:bookmarkEnd w:id="1"/>
      <w:bookmarkEnd w:id="2"/>
      <w:bookmarkEnd w:id="3"/>
    </w:p>
    <w:p w14:paraId="6E719DBC">
      <w:pPr>
        <w:adjustRightInd w:val="0"/>
        <w:snapToGrid w:val="0"/>
        <w:spacing w:line="360" w:lineRule="auto"/>
        <w:outlineLvl w:val="0"/>
        <w:rPr>
          <w:rFonts w:hint="eastAsia" w:ascii="宋体" w:hAnsi="宋体" w:eastAsia="宋体" w:cs="宋体"/>
          <w:b/>
          <w:bCs/>
          <w:color w:val="auto"/>
          <w:sz w:val="28"/>
          <w:szCs w:val="28"/>
          <w:highlight w:val="none"/>
        </w:rPr>
      </w:pPr>
      <w:bookmarkStart w:id="4" w:name="_Toc16717"/>
      <w:bookmarkStart w:id="5" w:name="_Toc26789"/>
      <w:bookmarkStart w:id="6" w:name="_Toc20570"/>
      <w:bookmarkStart w:id="7" w:name="_Toc4492"/>
      <w:r>
        <w:rPr>
          <w:rFonts w:hint="eastAsia" w:ascii="宋体" w:hAnsi="宋体" w:eastAsia="宋体" w:cs="宋体"/>
          <w:b/>
          <w:bCs/>
          <w:color w:val="auto"/>
          <w:sz w:val="28"/>
          <w:szCs w:val="28"/>
          <w:highlight w:val="none"/>
        </w:rPr>
        <w:t>代理机构：浙江信达工程咨询有限公司（盖章）</w:t>
      </w:r>
      <w:bookmarkEnd w:id="4"/>
      <w:bookmarkEnd w:id="5"/>
      <w:bookmarkEnd w:id="6"/>
      <w:bookmarkEnd w:id="7"/>
    </w:p>
    <w:p w14:paraId="4F3B1132">
      <w:pPr>
        <w:spacing w:line="500" w:lineRule="atLeast"/>
        <w:jc w:val="center"/>
        <w:rPr>
          <w:rFonts w:hint="eastAsia" w:ascii="宋体" w:hAnsi="宋体" w:eastAsia="宋体" w:cs="宋体"/>
          <w:b/>
          <w:bCs/>
          <w:color w:val="auto"/>
          <w:sz w:val="30"/>
          <w:highlight w:val="none"/>
        </w:rPr>
      </w:pPr>
    </w:p>
    <w:p w14:paraId="3A8F1642">
      <w:pPr>
        <w:spacing w:line="500" w:lineRule="atLeast"/>
        <w:jc w:val="center"/>
        <w:rPr>
          <w:rFonts w:hint="eastAsia" w:ascii="宋体" w:hAnsi="宋体" w:eastAsia="宋体" w:cs="宋体"/>
          <w:b/>
          <w:bCs/>
          <w:color w:val="auto"/>
          <w:sz w:val="30"/>
          <w:highlight w:val="none"/>
        </w:rPr>
      </w:pPr>
    </w:p>
    <w:p w14:paraId="55FC9967">
      <w:pPr>
        <w:spacing w:line="500" w:lineRule="atLeast"/>
        <w:jc w:val="center"/>
        <w:rPr>
          <w:rFonts w:hint="eastAsia" w:ascii="宋体" w:hAnsi="宋体" w:eastAsia="宋体" w:cs="宋体"/>
          <w:b/>
          <w:bCs/>
          <w:color w:val="auto"/>
          <w:sz w:val="30"/>
          <w:highlight w:val="none"/>
        </w:rPr>
      </w:pPr>
    </w:p>
    <w:p w14:paraId="1CFF6CCA">
      <w:pPr>
        <w:spacing w:line="500" w:lineRule="atLeast"/>
        <w:jc w:val="center"/>
        <w:rPr>
          <w:rFonts w:hint="eastAsia" w:ascii="宋体" w:hAnsi="宋体" w:eastAsia="宋体" w:cs="宋体"/>
          <w:b/>
          <w:bCs/>
          <w:color w:val="auto"/>
          <w:sz w:val="30"/>
          <w:highlight w:val="none"/>
        </w:rPr>
      </w:pPr>
    </w:p>
    <w:p w14:paraId="45591F9D">
      <w:pPr>
        <w:spacing w:line="500" w:lineRule="atLeast"/>
        <w:jc w:val="center"/>
        <w:rPr>
          <w:rFonts w:hint="eastAsia" w:ascii="宋体" w:hAnsi="宋体" w:eastAsia="宋体" w:cs="宋体"/>
          <w:b/>
          <w:bCs/>
          <w:color w:val="auto"/>
          <w:sz w:val="30"/>
          <w:highlight w:val="none"/>
        </w:rPr>
      </w:pPr>
    </w:p>
    <w:p w14:paraId="5B251B08">
      <w:pPr>
        <w:spacing w:line="500" w:lineRule="atLeast"/>
        <w:jc w:val="center"/>
        <w:rPr>
          <w:rFonts w:hint="eastAsia" w:ascii="宋体" w:hAnsi="宋体" w:eastAsia="宋体" w:cs="宋体"/>
          <w:b/>
          <w:bCs/>
          <w:color w:val="auto"/>
          <w:sz w:val="30"/>
          <w:highlight w:val="none"/>
        </w:rPr>
      </w:pPr>
    </w:p>
    <w:p w14:paraId="15C14249">
      <w:pPr>
        <w:spacing w:line="500" w:lineRule="atLeast"/>
        <w:ind w:firstLine="3204" w:firstLineChars="1140"/>
        <w:rPr>
          <w:rFonts w:hint="eastAsia" w:ascii="宋体" w:hAnsi="宋体" w:eastAsia="宋体" w:cs="宋体"/>
          <w:color w:val="auto"/>
          <w:sz w:val="44"/>
          <w:szCs w:val="44"/>
          <w:highlight w:val="none"/>
        </w:rPr>
      </w:pPr>
      <w:r>
        <w:rPr>
          <w:rFonts w:hint="eastAsia" w:ascii="宋体" w:hAnsi="宋体" w:eastAsia="宋体" w:cs="宋体"/>
          <w:b/>
          <w:bCs/>
          <w:color w:val="auto"/>
          <w:sz w:val="28"/>
          <w:szCs w:val="28"/>
          <w:highlight w:val="none"/>
        </w:rPr>
        <w:t>二0二</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 xml:space="preserve">月 </w:t>
      </w:r>
    </w:p>
    <w:p w14:paraId="6681EA7C">
      <w:pPr>
        <w:pStyle w:val="28"/>
        <w:spacing w:beforeLines="0" w:afterLines="0"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7258FE74">
      <w:pPr>
        <w:pStyle w:val="28"/>
        <w:spacing w:beforeLines="0" w:afterLines="0" w:line="360" w:lineRule="auto"/>
        <w:rPr>
          <w:rFonts w:hint="eastAsia" w:ascii="宋体" w:hAnsi="宋体" w:eastAsia="宋体" w:cs="宋体"/>
          <w:color w:val="auto"/>
          <w:sz w:val="30"/>
          <w:szCs w:val="30"/>
          <w:highlight w:val="none"/>
        </w:rPr>
      </w:pPr>
    </w:p>
    <w:p w14:paraId="699C50C1">
      <w:pPr>
        <w:pStyle w:val="28"/>
        <w:spacing w:beforeLines="0" w:afterLines="0" w:line="360" w:lineRule="auto"/>
        <w:ind w:firstLine="600" w:firstLineChars="200"/>
        <w:rPr>
          <w:rFonts w:hint="eastAsia" w:ascii="宋体" w:hAnsi="宋体" w:eastAsia="宋体" w:cs="宋体"/>
          <w:color w:val="auto"/>
          <w:sz w:val="30"/>
          <w:szCs w:val="30"/>
          <w:highlight w:val="none"/>
        </w:rPr>
      </w:pPr>
    </w:p>
    <w:p w14:paraId="7A4EF5E1">
      <w:pPr>
        <w:pStyle w:val="28"/>
        <w:spacing w:beforeLines="0" w:afterLines="0" w:line="360" w:lineRule="auto"/>
        <w:rPr>
          <w:rFonts w:hint="eastAsia" w:ascii="宋体" w:hAnsi="宋体" w:eastAsia="宋体" w:cs="宋体"/>
          <w:color w:val="auto"/>
          <w:sz w:val="44"/>
          <w:szCs w:val="44"/>
          <w:highlight w:val="none"/>
        </w:rPr>
      </w:pPr>
    </w:p>
    <w:p w14:paraId="6C571AD1">
      <w:pPr>
        <w:pStyle w:val="28"/>
        <w:spacing w:beforeLines="0" w:afterLines="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36F51BA7">
      <w:pPr>
        <w:pStyle w:val="35"/>
        <w:spacing w:line="480" w:lineRule="auto"/>
        <w:rPr>
          <w:rFonts w:hint="eastAsia" w:ascii="宋体" w:hAnsi="宋体" w:eastAsia="宋体" w:cs="宋体"/>
          <w:b/>
          <w:color w:val="auto"/>
          <w:sz w:val="28"/>
          <w:szCs w:val="28"/>
          <w:highlight w:val="none"/>
        </w:rPr>
      </w:pPr>
    </w:p>
    <w:p w14:paraId="52D1B1C4">
      <w:pPr>
        <w:pStyle w:val="35"/>
        <w:tabs>
          <w:tab w:val="right" w:leader="dot" w:pos="8720"/>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"1-3"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"_Toc48835711"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sz w:val="24"/>
          <w:highlight w:val="none"/>
        </w:rPr>
        <w:t>第一章 竞争性磋商公告</w:t>
      </w:r>
      <w:r>
        <w:rPr>
          <w:rFonts w:hint="eastAsia" w:ascii="宋体" w:hAnsi="宋体" w:eastAsia="宋体" w:cs="宋体"/>
          <w:color w:val="auto"/>
          <w:sz w:val="24"/>
          <w:highlight w:val="none"/>
        </w:rPr>
        <w:tab/>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fldChar w:fldCharType="end"/>
      </w:r>
    </w:p>
    <w:p w14:paraId="579E1862">
      <w:pPr>
        <w:pStyle w:val="35"/>
        <w:tabs>
          <w:tab w:val="right" w:leader="dot" w:pos="8720"/>
        </w:tabs>
        <w:spacing w:line="48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"_Toc48835712"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sz w:val="24"/>
          <w:highlight w:val="none"/>
        </w:rPr>
        <w:t>第二章  采购需求</w:t>
      </w:r>
      <w:r>
        <w:rPr>
          <w:rFonts w:hint="eastAsia" w:ascii="宋体" w:hAnsi="宋体" w:eastAsia="宋体" w:cs="宋体"/>
          <w:color w:val="auto"/>
          <w:sz w:val="24"/>
          <w:highlight w:val="none"/>
        </w:rPr>
        <w:tab/>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fldChar w:fldCharType="end"/>
      </w:r>
    </w:p>
    <w:p w14:paraId="358C0579">
      <w:pPr>
        <w:pStyle w:val="35"/>
        <w:tabs>
          <w:tab w:val="right" w:leader="dot" w:pos="8720"/>
        </w:tabs>
        <w:spacing w:line="48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"_Toc48835713"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sz w:val="24"/>
          <w:highlight w:val="none"/>
        </w:rPr>
        <w:t>第三章  供应商磋商须知</w:t>
      </w:r>
      <w:r>
        <w:rPr>
          <w:rFonts w:hint="eastAsia" w:ascii="宋体" w:hAnsi="宋体" w:eastAsia="宋体" w:cs="宋体"/>
          <w:color w:val="auto"/>
          <w:sz w:val="24"/>
          <w:highlight w:val="none"/>
        </w:rPr>
        <w:tab/>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9</w:t>
      </w:r>
      <w:r>
        <w:rPr>
          <w:rFonts w:hint="eastAsia" w:ascii="宋体" w:hAnsi="宋体" w:eastAsia="宋体" w:cs="宋体"/>
          <w:color w:val="auto"/>
          <w:sz w:val="24"/>
          <w:highlight w:val="none"/>
        </w:rPr>
        <w:fldChar w:fldCharType="end"/>
      </w:r>
    </w:p>
    <w:p w14:paraId="44DDE6AF">
      <w:pPr>
        <w:pStyle w:val="35"/>
        <w:tabs>
          <w:tab w:val="right" w:leader="dot" w:pos="8720"/>
        </w:tabs>
        <w:spacing w:line="48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"_Toc48835714"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sz w:val="24"/>
          <w:highlight w:val="none"/>
        </w:rPr>
        <w:t>第四章 评标办法及评分标准</w:t>
      </w:r>
      <w:r>
        <w:rPr>
          <w:rFonts w:hint="eastAsia" w:ascii="宋体" w:hAnsi="宋体" w:eastAsia="宋体" w:cs="宋体"/>
          <w:color w:val="auto"/>
          <w:sz w:val="24"/>
          <w:highlight w:val="none"/>
        </w:rPr>
        <w:tab/>
      </w:r>
      <w:r>
        <w:rPr>
          <w:rFonts w:hint="eastAsia" w:ascii="宋体" w:hAnsi="宋体" w:cs="宋体"/>
          <w:color w:val="auto"/>
          <w:sz w:val="24"/>
          <w:highlight w:val="none"/>
          <w:lang w:val="en-US" w:eastAsia="zh-CN"/>
        </w:rPr>
        <w:t>34</w:t>
      </w:r>
      <w:r>
        <w:rPr>
          <w:rFonts w:hint="eastAsia" w:ascii="宋体" w:hAnsi="宋体" w:eastAsia="宋体" w:cs="宋体"/>
          <w:color w:val="auto"/>
          <w:sz w:val="24"/>
          <w:highlight w:val="none"/>
        </w:rPr>
        <w:fldChar w:fldCharType="end"/>
      </w:r>
    </w:p>
    <w:p w14:paraId="44BAB3EF">
      <w:pPr>
        <w:pStyle w:val="35"/>
        <w:tabs>
          <w:tab w:val="right" w:leader="dot" w:pos="8720"/>
        </w:tabs>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"_Toc48835715"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sz w:val="24"/>
          <w:highlight w:val="none"/>
        </w:rPr>
        <w:t>第五章  合同主要条款</w:t>
      </w:r>
      <w:r>
        <w:rPr>
          <w:rFonts w:hint="eastAsia" w:ascii="宋体" w:hAnsi="宋体" w:eastAsia="宋体" w:cs="宋体"/>
          <w:color w:val="auto"/>
          <w:sz w:val="24"/>
          <w:highlight w:val="none"/>
        </w:rPr>
        <w:tab/>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fldChar w:fldCharType="end"/>
      </w:r>
      <w:r>
        <w:rPr>
          <w:rFonts w:hint="eastAsia" w:ascii="宋体" w:hAnsi="宋体" w:cs="宋体"/>
          <w:color w:val="auto"/>
          <w:sz w:val="24"/>
          <w:highlight w:val="none"/>
          <w:lang w:val="en-US" w:eastAsia="zh-CN"/>
        </w:rPr>
        <w:t>0</w:t>
      </w:r>
    </w:p>
    <w:p w14:paraId="433BE71C">
      <w:pPr>
        <w:pStyle w:val="35"/>
        <w:tabs>
          <w:tab w:val="right" w:leader="dot" w:pos="8720"/>
        </w:tabs>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"_Toc48835716"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sz w:val="24"/>
          <w:highlight w:val="none"/>
        </w:rPr>
        <w:t>第六章　响应文件格式</w:t>
      </w:r>
      <w:r>
        <w:rPr>
          <w:rFonts w:hint="eastAsia" w:ascii="宋体" w:hAnsi="宋体" w:eastAsia="宋体" w:cs="宋体"/>
          <w:color w:val="auto"/>
          <w:sz w:val="24"/>
          <w:highlight w:val="none"/>
        </w:rPr>
        <w:tab/>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fldChar w:fldCharType="end"/>
      </w:r>
      <w:r>
        <w:rPr>
          <w:rFonts w:hint="eastAsia" w:ascii="宋体" w:hAnsi="宋体" w:cs="宋体"/>
          <w:color w:val="auto"/>
          <w:sz w:val="24"/>
          <w:highlight w:val="none"/>
          <w:lang w:val="en-US" w:eastAsia="zh-CN"/>
        </w:rPr>
        <w:t>6</w:t>
      </w:r>
    </w:p>
    <w:p w14:paraId="176D2AB7">
      <w:pPr>
        <w:pStyle w:val="41"/>
        <w:tabs>
          <w:tab w:val="right" w:leader="dot" w:pos="8720"/>
        </w:tabs>
        <w:spacing w:line="480" w:lineRule="auto"/>
        <w:rPr>
          <w:rFonts w:hint="default" w:ascii="宋体" w:hAnsi="宋体" w:eastAsia="宋体" w:cs="宋体"/>
          <w:color w:val="auto"/>
          <w:sz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"_Toc48835717"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sz w:val="24"/>
          <w:highlight w:val="none"/>
        </w:rPr>
        <w:t>一、资格响应文件格式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end"/>
      </w:r>
      <w:r>
        <w:rPr>
          <w:rFonts w:hint="eastAsia" w:ascii="宋体" w:hAnsi="宋体" w:cs="宋体"/>
          <w:color w:val="auto"/>
          <w:sz w:val="24"/>
          <w:highlight w:val="none"/>
          <w:lang w:val="en-US" w:eastAsia="zh-CN"/>
        </w:rPr>
        <w:t>56</w:t>
      </w:r>
    </w:p>
    <w:p w14:paraId="065367EE">
      <w:pPr>
        <w:pStyle w:val="41"/>
        <w:tabs>
          <w:tab w:val="right" w:leader="dot" w:pos="8720"/>
        </w:tabs>
        <w:spacing w:line="48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"_Toc48835718"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sz w:val="24"/>
          <w:highlight w:val="none"/>
        </w:rPr>
        <w:t>二、商务技术文件格式</w:t>
      </w:r>
      <w:r>
        <w:rPr>
          <w:rFonts w:hint="eastAsia" w:ascii="宋体" w:hAnsi="宋体" w:eastAsia="宋体" w:cs="宋体"/>
          <w:color w:val="auto"/>
          <w:sz w:val="24"/>
          <w:highlight w:val="none"/>
        </w:rPr>
        <w:tab/>
      </w:r>
      <w:r>
        <w:rPr>
          <w:rFonts w:hint="eastAsia" w:ascii="宋体" w:hAnsi="宋体" w:cs="宋体"/>
          <w:color w:val="auto"/>
          <w:sz w:val="24"/>
          <w:highlight w:val="none"/>
          <w:lang w:val="en-US" w:eastAsia="zh-CN"/>
        </w:rPr>
        <w:t>59</w:t>
      </w:r>
      <w:r>
        <w:rPr>
          <w:rFonts w:hint="eastAsia" w:ascii="宋体" w:hAnsi="宋体" w:eastAsia="宋体" w:cs="宋体"/>
          <w:color w:val="auto"/>
          <w:sz w:val="24"/>
          <w:highlight w:val="none"/>
        </w:rPr>
        <w:fldChar w:fldCharType="end"/>
      </w:r>
    </w:p>
    <w:p w14:paraId="7A00CB42">
      <w:pPr>
        <w:pStyle w:val="41"/>
        <w:tabs>
          <w:tab w:val="right" w:leader="dot" w:pos="8720"/>
        </w:tabs>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"_Toc48835719"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sz w:val="24"/>
          <w:highlight w:val="none"/>
        </w:rPr>
        <w:t>三、报价文件格式</w:t>
      </w:r>
      <w:r>
        <w:rPr>
          <w:rFonts w:hint="eastAsia" w:ascii="宋体" w:hAnsi="宋体" w:eastAsia="宋体" w:cs="宋体"/>
          <w:color w:val="auto"/>
          <w:sz w:val="24"/>
          <w:highlight w:val="none"/>
        </w:rPr>
        <w:tab/>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fldChar w:fldCharType="end"/>
      </w:r>
      <w:r>
        <w:rPr>
          <w:rFonts w:hint="eastAsia" w:ascii="宋体" w:hAnsi="宋体" w:cs="宋体"/>
          <w:color w:val="auto"/>
          <w:sz w:val="24"/>
          <w:highlight w:val="none"/>
          <w:lang w:val="en-US" w:eastAsia="zh-CN"/>
        </w:rPr>
        <w:t>8</w:t>
      </w:r>
    </w:p>
    <w:p w14:paraId="495F74F6">
      <w:pPr>
        <w:pStyle w:val="35"/>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end"/>
      </w:r>
    </w:p>
    <w:p w14:paraId="6B66040B">
      <w:pPr>
        <w:pStyle w:val="35"/>
        <w:tabs>
          <w:tab w:val="right" w:leader="dot" w:pos="8720"/>
        </w:tabs>
        <w:spacing w:line="800" w:lineRule="exact"/>
        <w:rPr>
          <w:rFonts w:hint="eastAsia" w:ascii="宋体" w:hAnsi="宋体" w:eastAsia="宋体" w:cs="宋体"/>
          <w:color w:val="auto"/>
          <w:szCs w:val="22"/>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  </w:t>
      </w:r>
    </w:p>
    <w:p w14:paraId="2BB3EEE2">
      <w:pPr>
        <w:spacing w:before="120" w:beforeLines="50" w:line="36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fldChar w:fldCharType="end"/>
      </w:r>
    </w:p>
    <w:p w14:paraId="605F835D">
      <w:pPr>
        <w:pStyle w:val="28"/>
        <w:snapToGrid w:val="0"/>
        <w:spacing w:beforeLines="0" w:afterLines="0" w:line="240" w:lineRule="auto"/>
        <w:jc w:val="center"/>
        <w:outlineLvl w:val="0"/>
        <w:rPr>
          <w:rFonts w:hint="eastAsia" w:ascii="宋体" w:hAnsi="宋体" w:eastAsia="宋体" w:cs="宋体"/>
          <w:color w:val="auto"/>
          <w:highlight w:val="none"/>
        </w:rPr>
      </w:pPr>
    </w:p>
    <w:p w14:paraId="6DCB5B45">
      <w:pPr>
        <w:rPr>
          <w:rFonts w:hint="eastAsia" w:ascii="宋体" w:hAnsi="宋体" w:eastAsia="宋体" w:cs="宋体"/>
          <w:color w:val="auto"/>
          <w:highlight w:val="none"/>
        </w:rPr>
      </w:pPr>
    </w:p>
    <w:p w14:paraId="05648748">
      <w:pPr>
        <w:rPr>
          <w:rFonts w:hint="eastAsia" w:ascii="宋体" w:hAnsi="宋体" w:eastAsia="宋体" w:cs="宋体"/>
          <w:color w:val="auto"/>
          <w:highlight w:val="none"/>
        </w:rPr>
      </w:pPr>
    </w:p>
    <w:p w14:paraId="71B00E1B">
      <w:pPr>
        <w:rPr>
          <w:rFonts w:hint="eastAsia" w:ascii="宋体" w:hAnsi="宋体" w:eastAsia="宋体" w:cs="宋体"/>
          <w:color w:val="auto"/>
          <w:highlight w:val="none"/>
        </w:rPr>
      </w:pPr>
    </w:p>
    <w:p w14:paraId="009E25F7">
      <w:pPr>
        <w:rPr>
          <w:rFonts w:hint="eastAsia" w:ascii="宋体" w:hAnsi="宋体" w:eastAsia="宋体" w:cs="宋体"/>
          <w:color w:val="auto"/>
          <w:highlight w:val="none"/>
        </w:rPr>
      </w:pPr>
    </w:p>
    <w:p w14:paraId="65DB6306">
      <w:pPr>
        <w:rPr>
          <w:rFonts w:hint="eastAsia" w:ascii="宋体" w:hAnsi="宋体" w:eastAsia="宋体" w:cs="宋体"/>
          <w:color w:val="auto"/>
          <w:highlight w:val="none"/>
        </w:rPr>
      </w:pPr>
    </w:p>
    <w:p w14:paraId="607E6B33">
      <w:pPr>
        <w:rPr>
          <w:rFonts w:hint="eastAsia" w:ascii="宋体" w:hAnsi="宋体" w:eastAsia="宋体" w:cs="宋体"/>
          <w:color w:val="auto"/>
          <w:highlight w:val="none"/>
        </w:rPr>
      </w:pPr>
    </w:p>
    <w:p w14:paraId="623CC1FC">
      <w:pPr>
        <w:rPr>
          <w:rFonts w:hint="eastAsia" w:ascii="宋体" w:hAnsi="宋体" w:eastAsia="宋体" w:cs="宋体"/>
          <w:color w:val="auto"/>
          <w:highlight w:val="none"/>
        </w:rPr>
      </w:pPr>
    </w:p>
    <w:p w14:paraId="384E1F12">
      <w:pPr>
        <w:pStyle w:val="28"/>
        <w:snapToGrid w:val="0"/>
        <w:spacing w:beforeLines="0" w:afterLines="0" w:line="240" w:lineRule="auto"/>
        <w:jc w:val="center"/>
        <w:outlineLvl w:val="0"/>
        <w:rPr>
          <w:rFonts w:hint="eastAsia" w:ascii="宋体" w:hAnsi="宋体" w:eastAsia="宋体" w:cs="宋体"/>
          <w:b/>
          <w:color w:val="auto"/>
          <w:sz w:val="30"/>
          <w:szCs w:val="30"/>
          <w:highlight w:val="none"/>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8" w:name="_Toc466534747"/>
      <w:bookmarkStart w:id="9" w:name="_Toc48835711"/>
    </w:p>
    <w:p w14:paraId="0DE632B8">
      <w:pPr>
        <w:pStyle w:val="28"/>
        <w:snapToGrid w:val="0"/>
        <w:spacing w:beforeLines="0" w:afterLines="0" w:line="24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第一章 </w:t>
      </w:r>
      <w:bookmarkEnd w:id="8"/>
      <w:r>
        <w:rPr>
          <w:rFonts w:hint="eastAsia" w:ascii="宋体" w:hAnsi="宋体" w:eastAsia="宋体" w:cs="宋体"/>
          <w:b/>
          <w:color w:val="auto"/>
          <w:sz w:val="30"/>
          <w:szCs w:val="30"/>
          <w:highlight w:val="none"/>
        </w:rPr>
        <w:t>竞争性磋商公告</w:t>
      </w:r>
      <w:bookmarkEnd w:id="9"/>
    </w:p>
    <w:p w14:paraId="5459929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w:t>
      </w:r>
      <w:r>
        <w:rPr>
          <w:rFonts w:hint="eastAsia" w:ascii="宋体" w:hAnsi="宋体" w:eastAsia="宋体" w:cs="宋体"/>
          <w:color w:val="auto"/>
          <w:kern w:val="0"/>
          <w:sz w:val="24"/>
          <w:highlight w:val="none"/>
        </w:rPr>
        <w:t>《政府采购竞争性磋商采购方式管理暂行办法》</w:t>
      </w:r>
      <w:r>
        <w:rPr>
          <w:rFonts w:hint="eastAsia" w:ascii="宋体" w:hAnsi="宋体" w:eastAsia="宋体" w:cs="宋体"/>
          <w:color w:val="auto"/>
          <w:sz w:val="24"/>
          <w:highlight w:val="none"/>
        </w:rPr>
        <w:t>等规定，受</w:t>
      </w:r>
      <w:r>
        <w:rPr>
          <w:rFonts w:hint="eastAsia" w:ascii="宋体" w:hAnsi="宋体" w:cs="宋体"/>
          <w:color w:val="auto"/>
          <w:spacing w:val="0"/>
          <w:sz w:val="24"/>
          <w:szCs w:val="24"/>
          <w:highlight w:val="none"/>
          <w:u w:val="single"/>
          <w:lang w:eastAsia="zh-CN"/>
        </w:rPr>
        <w:t>临海市民政局</w:t>
      </w:r>
      <w:r>
        <w:rPr>
          <w:rFonts w:hint="eastAsia" w:ascii="宋体" w:hAnsi="宋体" w:eastAsia="宋体" w:cs="宋体"/>
          <w:color w:val="auto"/>
          <w:sz w:val="24"/>
          <w:highlight w:val="none"/>
        </w:rPr>
        <w:t>委托，现就</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临海市民政局2025年善居工程采购（重新招标）</w:t>
      </w:r>
      <w:r>
        <w:rPr>
          <w:rFonts w:hint="eastAsia" w:ascii="宋体" w:hAnsi="宋体" w:eastAsia="宋体" w:cs="宋体"/>
          <w:b/>
          <w:color w:val="auto"/>
          <w:sz w:val="24"/>
          <w:highlight w:val="none"/>
        </w:rPr>
        <w:t>采购</w:t>
      </w:r>
      <w:r>
        <w:rPr>
          <w:rFonts w:hint="eastAsia" w:ascii="宋体" w:hAnsi="宋体" w:eastAsia="宋体" w:cs="宋体"/>
          <w:color w:val="auto"/>
          <w:sz w:val="24"/>
          <w:highlight w:val="none"/>
        </w:rPr>
        <w:t>进行竞争性磋商，</w:t>
      </w:r>
      <w:r>
        <w:rPr>
          <w:rFonts w:hint="eastAsia" w:ascii="宋体" w:hAnsi="宋体" w:eastAsia="宋体" w:cs="宋体"/>
          <w:color w:val="auto"/>
          <w:kern w:val="0"/>
          <w:sz w:val="24"/>
          <w:highlight w:val="none"/>
        </w:rPr>
        <w:t>欢迎具备本项目供应商的资格要求且能够及时提供相关服务的供应商前来参加竞争性磋商活动。</w:t>
      </w:r>
    </w:p>
    <w:p w14:paraId="2A194FD5">
      <w:pPr>
        <w:pStyle w:val="44"/>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eastAsia="宋体" w:cs="宋体"/>
          <w:color w:val="auto"/>
          <w:highlight w:val="none"/>
        </w:rPr>
        <w:t>.</w:t>
      </w:r>
      <w:r>
        <w:rPr>
          <w:rFonts w:hint="eastAsia" w:ascii="宋体" w:hAnsi="宋体" w:eastAsia="宋体" w:cs="宋体"/>
          <w:b/>
          <w:bCs/>
          <w:color w:val="auto"/>
          <w:highlight w:val="none"/>
        </w:rPr>
        <w:t>项目概况</w:t>
      </w:r>
    </w:p>
    <w:p w14:paraId="213ED7D8">
      <w:pPr>
        <w:pStyle w:val="44"/>
        <w:spacing w:before="0" w:beforeAutospacing="0" w:after="0" w:afterAutospacing="0" w:line="400" w:lineRule="exact"/>
        <w:rPr>
          <w:rFonts w:hint="default" w:cs="宋体"/>
          <w:color w:val="auto"/>
          <w:highlight w:val="none"/>
          <w:lang w:val="en-US" w:eastAsia="zh-CN"/>
        </w:rPr>
      </w:pPr>
      <w:r>
        <w:rPr>
          <w:rFonts w:hint="eastAsia" w:ascii="宋体" w:hAnsi="宋体" w:eastAsia="宋体" w:cs="宋体"/>
          <w:color w:val="auto"/>
          <w:highlight w:val="none"/>
        </w:rPr>
        <w:t>项目名称：</w:t>
      </w:r>
      <w:r>
        <w:rPr>
          <w:rFonts w:hint="eastAsia" w:cs="宋体"/>
          <w:color w:val="auto"/>
          <w:highlight w:val="none"/>
          <w:lang w:eastAsia="zh-CN"/>
        </w:rPr>
        <w:t>临海市民政局2025年善居工程采购（重新招标）</w:t>
      </w:r>
    </w:p>
    <w:p w14:paraId="3AD3B240">
      <w:pPr>
        <w:pStyle w:val="44"/>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color w:val="auto"/>
          <w:highlight w:val="none"/>
        </w:rPr>
        <w:t>采购单位</w:t>
      </w:r>
      <w:bookmarkStart w:id="10" w:name="_Hlk48832935"/>
      <w:r>
        <w:rPr>
          <w:rFonts w:hint="eastAsia" w:ascii="宋体" w:hAnsi="宋体" w:eastAsia="宋体" w:cs="宋体"/>
          <w:color w:val="auto"/>
          <w:highlight w:val="none"/>
          <w:lang w:eastAsia="zh-CN"/>
        </w:rPr>
        <w:t>：</w:t>
      </w:r>
      <w:r>
        <w:rPr>
          <w:rFonts w:hint="eastAsia" w:cs="宋体"/>
          <w:color w:val="auto"/>
          <w:highlight w:val="none"/>
          <w:lang w:eastAsia="zh-CN"/>
        </w:rPr>
        <w:t>临海市民政局</w:t>
      </w:r>
      <w:r>
        <w:rPr>
          <w:rFonts w:hint="eastAsia" w:ascii="宋体" w:hAnsi="宋体" w:eastAsia="宋体" w:cs="宋体"/>
          <w:color w:val="auto"/>
          <w:highlight w:val="none"/>
        </w:rPr>
        <w:t xml:space="preserve"> </w:t>
      </w:r>
      <w:bookmarkEnd w:id="10"/>
      <w:r>
        <w:rPr>
          <w:rFonts w:hint="eastAsia" w:ascii="宋体" w:hAnsi="宋体" w:eastAsia="宋体" w:cs="宋体"/>
          <w:color w:val="auto"/>
          <w:highlight w:val="none"/>
        </w:rPr>
        <w:t xml:space="preserve"> </w:t>
      </w:r>
    </w:p>
    <w:p w14:paraId="1D6CEA93">
      <w:pPr>
        <w:pStyle w:val="44"/>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color w:val="auto"/>
          <w:highlight w:val="none"/>
        </w:rPr>
        <w:t>采购规模及内容概述：</w:t>
      </w:r>
      <w:r>
        <w:rPr>
          <w:rFonts w:hint="eastAsia" w:ascii="宋体" w:hAnsi="宋体" w:cs="Arial"/>
          <w:kern w:val="0"/>
          <w:sz w:val="24"/>
          <w:highlight w:val="none"/>
          <w:lang w:eastAsia="zh-CN"/>
        </w:rPr>
        <w:t>临海市民政局2025年善居工程采购</w:t>
      </w:r>
      <w:r>
        <w:rPr>
          <w:rFonts w:hint="eastAsia" w:ascii="宋体" w:hAnsi="宋体" w:cs="Arial"/>
          <w:kern w:val="0"/>
          <w:sz w:val="24"/>
          <w:highlight w:val="none"/>
        </w:rPr>
        <w:t>（具体详见招标文件第二章采购内容、需求</w:t>
      </w:r>
      <w:r>
        <w:rPr>
          <w:rFonts w:hint="eastAsia" w:ascii="宋体" w:hAnsi="宋体" w:eastAsia="宋体" w:cs="Arial"/>
          <w:kern w:val="0"/>
          <w:sz w:val="24"/>
          <w:highlight w:val="none"/>
        </w:rPr>
        <w:t>及要求）。</w:t>
      </w:r>
    </w:p>
    <w:p w14:paraId="27CE9C41">
      <w:pPr>
        <w:pStyle w:val="44"/>
        <w:spacing w:before="0" w:beforeAutospacing="0" w:after="0" w:afterAutospacing="0"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采购预算：</w:t>
      </w:r>
      <w:r>
        <w:rPr>
          <w:rFonts w:hint="eastAsia" w:ascii="宋体" w:hAnsi="宋体" w:cs="Arial"/>
          <w:kern w:val="0"/>
          <w:sz w:val="24"/>
          <w:highlight w:val="none"/>
          <w:lang w:val="en-US" w:eastAsia="zh-CN"/>
        </w:rPr>
        <w:t>48</w:t>
      </w:r>
      <w:r>
        <w:rPr>
          <w:rFonts w:hint="eastAsia" w:ascii="宋体" w:hAnsi="宋体" w:eastAsia="宋体" w:cs="Arial"/>
          <w:kern w:val="0"/>
          <w:sz w:val="24"/>
          <w:highlight w:val="none"/>
        </w:rPr>
        <w:t>万元</w:t>
      </w:r>
      <w:r>
        <w:rPr>
          <w:rFonts w:hint="eastAsia" w:ascii="宋体" w:hAnsi="宋体" w:eastAsia="宋体" w:cs="Arial"/>
          <w:kern w:val="0"/>
          <w:sz w:val="24"/>
          <w:highlight w:val="none"/>
          <w:lang w:eastAsia="zh-CN"/>
        </w:rPr>
        <w:t>（单户改造费用不超过</w:t>
      </w:r>
      <w:r>
        <w:rPr>
          <w:rFonts w:hint="eastAsia" w:ascii="宋体" w:hAnsi="宋体" w:cs="Arial"/>
          <w:kern w:val="0"/>
          <w:sz w:val="24"/>
          <w:highlight w:val="none"/>
          <w:lang w:val="en-US" w:eastAsia="zh-CN"/>
        </w:rPr>
        <w:t>16000</w:t>
      </w:r>
      <w:r>
        <w:rPr>
          <w:rFonts w:hint="eastAsia" w:ascii="宋体" w:hAnsi="宋体" w:eastAsia="宋体" w:cs="Arial"/>
          <w:kern w:val="0"/>
          <w:sz w:val="24"/>
          <w:highlight w:val="none"/>
          <w:lang w:eastAsia="zh-CN"/>
        </w:rPr>
        <w:t>元/户</w:t>
      </w:r>
      <w:r>
        <w:rPr>
          <w:rFonts w:hint="eastAsia" w:ascii="宋体" w:hAnsi="宋体" w:cs="Arial"/>
          <w:kern w:val="0"/>
          <w:sz w:val="24"/>
          <w:highlight w:val="none"/>
          <w:lang w:eastAsia="zh-CN"/>
        </w:rPr>
        <w:t>）</w:t>
      </w:r>
    </w:p>
    <w:p w14:paraId="349A5936">
      <w:pPr>
        <w:pStyle w:val="44"/>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最高限价：</w:t>
      </w:r>
      <w:r>
        <w:rPr>
          <w:rFonts w:hint="eastAsia" w:ascii="宋体" w:hAnsi="宋体" w:cs="Arial"/>
          <w:kern w:val="0"/>
          <w:sz w:val="24"/>
          <w:highlight w:val="none"/>
          <w:lang w:val="en-US" w:eastAsia="zh-CN"/>
        </w:rPr>
        <w:t>48</w:t>
      </w:r>
      <w:r>
        <w:rPr>
          <w:rFonts w:hint="eastAsia" w:ascii="宋体" w:hAnsi="宋体" w:eastAsia="宋体" w:cs="Arial"/>
          <w:kern w:val="0"/>
          <w:sz w:val="24"/>
          <w:highlight w:val="none"/>
        </w:rPr>
        <w:t>万元</w:t>
      </w:r>
      <w:r>
        <w:rPr>
          <w:rFonts w:hint="eastAsia" w:ascii="宋体" w:hAnsi="宋体" w:eastAsia="宋体" w:cs="Arial"/>
          <w:kern w:val="0"/>
          <w:sz w:val="24"/>
          <w:highlight w:val="none"/>
          <w:lang w:eastAsia="zh-CN"/>
        </w:rPr>
        <w:t>（单户改造费用不超过</w:t>
      </w:r>
      <w:r>
        <w:rPr>
          <w:rFonts w:hint="eastAsia" w:ascii="宋体" w:hAnsi="宋体" w:cs="Arial"/>
          <w:kern w:val="0"/>
          <w:sz w:val="24"/>
          <w:highlight w:val="none"/>
          <w:lang w:val="en-US" w:eastAsia="zh-CN"/>
        </w:rPr>
        <w:t>16000</w:t>
      </w:r>
      <w:r>
        <w:rPr>
          <w:rFonts w:hint="eastAsia" w:ascii="宋体" w:hAnsi="宋体" w:eastAsia="宋体" w:cs="Arial"/>
          <w:kern w:val="0"/>
          <w:sz w:val="24"/>
          <w:highlight w:val="none"/>
          <w:lang w:eastAsia="zh-CN"/>
        </w:rPr>
        <w:t>元/户</w:t>
      </w:r>
      <w:r>
        <w:rPr>
          <w:rFonts w:hint="eastAsia" w:ascii="宋体" w:hAnsi="宋体" w:cs="Arial"/>
          <w:kern w:val="0"/>
          <w:sz w:val="24"/>
          <w:highlight w:val="none"/>
          <w:lang w:eastAsia="zh-CN"/>
        </w:rPr>
        <w:t>）</w:t>
      </w:r>
    </w:p>
    <w:p w14:paraId="020D2710">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采购组织类型：分散采购</w:t>
      </w:r>
    </w:p>
    <w:p w14:paraId="43463F67">
      <w:pPr>
        <w:pStyle w:val="44"/>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color w:val="auto"/>
          <w:highlight w:val="none"/>
        </w:rPr>
        <w:t>采购标段数：1</w:t>
      </w:r>
    </w:p>
    <w:p w14:paraId="702092FA">
      <w:pPr>
        <w:pStyle w:val="44"/>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color w:val="auto"/>
          <w:highlight w:val="none"/>
        </w:rPr>
        <w:t>采购方式：</w:t>
      </w:r>
      <w:bookmarkStart w:id="11" w:name="OLE_LINK5"/>
      <w:r>
        <w:rPr>
          <w:rFonts w:hint="eastAsia" w:ascii="宋体" w:hAnsi="宋体" w:eastAsia="宋体" w:cs="宋体"/>
          <w:color w:val="auto"/>
          <w:highlight w:val="none"/>
        </w:rPr>
        <w:t>竞争性磋商</w:t>
      </w:r>
      <w:bookmarkEnd w:id="11"/>
    </w:p>
    <w:p w14:paraId="275E5986">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ascii="宋体" w:hAnsi="宋体" w:eastAsia="宋体" w:cs="宋体"/>
          <w:b/>
          <w:color w:val="auto"/>
          <w:highlight w:val="none"/>
        </w:rPr>
      </w:pPr>
      <w:r>
        <w:rPr>
          <w:rFonts w:hint="eastAsia" w:ascii="宋体" w:hAnsi="宋体" w:eastAsia="宋体" w:cs="宋体"/>
          <w:bCs/>
          <w:color w:val="auto"/>
          <w:sz w:val="28"/>
          <w:szCs w:val="28"/>
          <w:highlight w:val="none"/>
          <w:shd w:val="pct10" w:color="auto" w:fill="FFFFFF"/>
        </w:rPr>
        <w:t>▲</w:t>
      </w:r>
      <w:r>
        <w:rPr>
          <w:rFonts w:hint="eastAsia" w:ascii="宋体" w:hAnsi="宋体" w:eastAsia="宋体" w:cs="宋体"/>
          <w:b/>
          <w:color w:val="auto"/>
          <w:highlight w:val="none"/>
        </w:rPr>
        <w:t>服务期：</w:t>
      </w:r>
      <w:r>
        <w:rPr>
          <w:rFonts w:hint="eastAsia" w:ascii="宋体" w:hAnsi="宋体" w:eastAsia="宋体" w:cs="Times New Roman"/>
          <w:sz w:val="24"/>
          <w:highlight w:val="none"/>
          <w:lang w:val="en-US" w:eastAsia="zh-CN"/>
        </w:rPr>
        <w:t>自合同签订之日起至</w:t>
      </w:r>
      <w:r>
        <w:rPr>
          <w:rFonts w:hint="eastAsia" w:cs="Times New Roman"/>
          <w:sz w:val="24"/>
          <w:highlight w:val="none"/>
          <w:lang w:val="en-US" w:eastAsia="zh-CN"/>
        </w:rPr>
        <w:t>2025</w:t>
      </w:r>
      <w:r>
        <w:rPr>
          <w:rFonts w:hint="eastAsia" w:ascii="宋体" w:hAnsi="宋体" w:eastAsia="宋体" w:cs="Times New Roman"/>
          <w:sz w:val="24"/>
          <w:highlight w:val="none"/>
          <w:lang w:val="en-US" w:eastAsia="zh-CN"/>
        </w:rPr>
        <w:t>年</w:t>
      </w:r>
      <w:r>
        <w:rPr>
          <w:rFonts w:hint="eastAsia" w:cs="Times New Roman"/>
          <w:sz w:val="24"/>
          <w:highlight w:val="none"/>
          <w:lang w:val="en-US" w:eastAsia="zh-CN"/>
        </w:rPr>
        <w:t>9</w:t>
      </w:r>
      <w:r>
        <w:rPr>
          <w:rFonts w:hint="eastAsia" w:ascii="宋体" w:hAnsi="宋体" w:eastAsia="宋体" w:cs="Times New Roman"/>
          <w:sz w:val="24"/>
          <w:highlight w:val="none"/>
          <w:lang w:val="en-US" w:eastAsia="zh-CN"/>
        </w:rPr>
        <w:t>月</w:t>
      </w:r>
      <w:r>
        <w:rPr>
          <w:rFonts w:hint="eastAsia" w:cs="Times New Roman"/>
          <w:sz w:val="24"/>
          <w:highlight w:val="none"/>
          <w:lang w:val="en-US" w:eastAsia="zh-CN"/>
        </w:rPr>
        <w:t>15</w:t>
      </w:r>
      <w:r>
        <w:rPr>
          <w:rFonts w:hint="eastAsia" w:ascii="宋体" w:hAnsi="宋体" w:eastAsia="宋体" w:cs="Times New Roman"/>
          <w:sz w:val="24"/>
          <w:highlight w:val="none"/>
          <w:lang w:val="en-US" w:eastAsia="zh-CN"/>
        </w:rPr>
        <w:t>日前完</w:t>
      </w:r>
      <w:r>
        <w:rPr>
          <w:rFonts w:hint="eastAsia" w:cs="Times New Roman"/>
          <w:sz w:val="24"/>
          <w:highlight w:val="none"/>
          <w:lang w:val="en-US" w:eastAsia="zh-CN"/>
        </w:rPr>
        <w:t>成</w:t>
      </w:r>
      <w:r>
        <w:rPr>
          <w:rFonts w:hint="eastAsia" w:ascii="宋体" w:hAnsi="宋体" w:eastAsia="宋体" w:cs="Times New Roman"/>
          <w:sz w:val="24"/>
          <w:highlight w:val="none"/>
          <w:lang w:val="en-US" w:eastAsia="zh-CN"/>
        </w:rPr>
        <w:t>善居工程改造</w:t>
      </w:r>
      <w:r>
        <w:rPr>
          <w:rFonts w:hint="eastAsia" w:cs="Arial"/>
          <w:b w:val="0"/>
          <w:bCs/>
          <w:highlight w:val="none"/>
          <w:lang w:eastAsia="zh-CN"/>
        </w:rPr>
        <w:t>。</w:t>
      </w:r>
    </w:p>
    <w:p w14:paraId="6EBD1055">
      <w:pPr>
        <w:pStyle w:val="44"/>
        <w:spacing w:before="0" w:beforeAutospacing="0" w:after="0" w:afterAutospacing="0" w:line="400" w:lineRule="exact"/>
        <w:rPr>
          <w:rFonts w:hint="eastAsia" w:ascii="宋体" w:hAnsi="宋体" w:eastAsia="宋体" w:cs="宋体"/>
          <w:b/>
          <w:color w:val="auto"/>
          <w:highlight w:val="none"/>
        </w:rPr>
      </w:pPr>
      <w:r>
        <w:rPr>
          <w:rFonts w:hint="eastAsia" w:ascii="宋体" w:hAnsi="宋体" w:eastAsia="宋体" w:cs="宋体"/>
          <w:b/>
          <w:bCs/>
          <w:color w:val="auto"/>
          <w:highlight w:val="none"/>
        </w:rPr>
        <w:t>磋商</w:t>
      </w:r>
      <w:r>
        <w:rPr>
          <w:rFonts w:hint="eastAsia" w:ascii="宋体" w:hAnsi="宋体" w:eastAsia="宋体" w:cs="宋体"/>
          <w:b/>
          <w:color w:val="auto"/>
          <w:highlight w:val="none"/>
        </w:rPr>
        <w:t>文件公告期限：5个工作日</w:t>
      </w:r>
    </w:p>
    <w:p w14:paraId="056A0E31">
      <w:pPr>
        <w:pStyle w:val="44"/>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color w:val="auto"/>
          <w:highlight w:val="none"/>
        </w:rPr>
        <w:t>该项目已具备条件，现对该项目进行竞争性磋商。</w:t>
      </w:r>
    </w:p>
    <w:p w14:paraId="77B94284">
      <w:pPr>
        <w:spacing w:line="40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2.合格磋商供应商的资格要求</w:t>
      </w:r>
    </w:p>
    <w:p w14:paraId="226BE567">
      <w:pPr>
        <w:spacing w:line="400" w:lineRule="exact"/>
        <w:rPr>
          <w:rFonts w:hint="eastAsia" w:ascii="宋体" w:hAnsi="宋体" w:eastAsia="宋体" w:cs="Arial"/>
          <w:color w:val="auto"/>
          <w:kern w:val="0"/>
          <w:sz w:val="24"/>
          <w:lang w:eastAsia="zh-CN"/>
        </w:rPr>
      </w:pPr>
      <w:r>
        <w:rPr>
          <w:rFonts w:hint="eastAsia" w:ascii="宋体" w:hAnsi="宋体" w:cs="Arial"/>
          <w:kern w:val="0"/>
          <w:sz w:val="24"/>
        </w:rPr>
        <w:t>（1）满足《中华人民共和国政府采购法》第二十二条规定；未被“信用中国”（www.creditchina.gov.cn)、中国政府采购网（www.ccgp.gov.cn）列入失信被执行人、税收违法黑名单</w:t>
      </w:r>
      <w:r>
        <w:rPr>
          <w:rFonts w:hint="eastAsia" w:ascii="宋体" w:hAnsi="宋体" w:cs="Arial"/>
          <w:color w:val="auto"/>
          <w:kern w:val="0"/>
          <w:sz w:val="24"/>
        </w:rPr>
        <w:t>、政府采购严重违法失信行为记录名单</w:t>
      </w:r>
      <w:r>
        <w:rPr>
          <w:rFonts w:hint="eastAsia" w:ascii="宋体" w:hAnsi="宋体" w:cs="Arial"/>
          <w:color w:val="auto"/>
          <w:kern w:val="0"/>
          <w:sz w:val="24"/>
          <w:lang w:eastAsia="zh-CN"/>
        </w:rPr>
        <w:t>；</w:t>
      </w:r>
    </w:p>
    <w:p w14:paraId="7C3CCABE">
      <w:pPr>
        <w:spacing w:line="400" w:lineRule="exact"/>
        <w:rPr>
          <w:rFonts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（2）具有与本项目采购相适应的商品经营能力（包括供应能力、施工能力、售后服务能力等）的生产厂商或合格代理商；</w:t>
      </w:r>
    </w:p>
    <w:p w14:paraId="6843C3BE">
      <w:pPr>
        <w:spacing w:line="400" w:lineRule="exact"/>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（3）本项目不接受联合体投标。</w:t>
      </w:r>
    </w:p>
    <w:p w14:paraId="19D1E7FA">
      <w:pPr>
        <w:spacing w:line="40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3.报名</w:t>
      </w:r>
    </w:p>
    <w:p w14:paraId="3FC5FB38">
      <w:pPr>
        <w:spacing w:line="400" w:lineRule="exact"/>
        <w:rPr>
          <w:rFonts w:hint="eastAsia" w:ascii="宋体" w:hAnsi="宋体" w:eastAsia="宋体" w:cs="宋体"/>
          <w:b/>
          <w:bCs/>
          <w:color w:val="auto"/>
          <w:kern w:val="0"/>
          <w:sz w:val="24"/>
          <w:highlight w:val="none"/>
          <w:u w:val="single"/>
          <w:shd w:val="pct10" w:color="auto" w:fill="FFFFFF"/>
        </w:rPr>
      </w:pPr>
      <w:r>
        <w:rPr>
          <w:rFonts w:hint="eastAsia" w:ascii="宋体" w:hAnsi="宋体" w:eastAsia="宋体" w:cs="宋体"/>
          <w:b/>
          <w:bCs/>
          <w:color w:val="auto"/>
          <w:kern w:val="0"/>
          <w:sz w:val="24"/>
          <w:highlight w:val="none"/>
          <w:u w:val="single"/>
          <w:shd w:val="pct10" w:color="auto" w:fill="FFFFFF"/>
        </w:rPr>
        <w:t>本项目无需报名，</w:t>
      </w:r>
      <w:bookmarkStart w:id="12" w:name="_Hlk59307647"/>
      <w:r>
        <w:rPr>
          <w:rFonts w:hint="eastAsia" w:ascii="宋体" w:hAnsi="宋体" w:eastAsia="宋体" w:cs="宋体"/>
          <w:b/>
          <w:bCs/>
          <w:color w:val="auto"/>
          <w:kern w:val="0"/>
          <w:sz w:val="24"/>
          <w:highlight w:val="none"/>
          <w:u w:val="single"/>
          <w:shd w:val="pct10" w:color="auto" w:fill="FFFFFF"/>
        </w:rPr>
        <w:t>供应商须到临海市公共资源交易中心网站</w:t>
      </w:r>
    </w:p>
    <w:p w14:paraId="3392935B">
      <w:pPr>
        <w:spacing w:line="400" w:lineRule="exact"/>
        <w:rPr>
          <w:rFonts w:hint="eastAsia" w:ascii="宋体" w:hAnsi="宋体" w:eastAsia="宋体" w:cs="宋体"/>
          <w:b/>
          <w:bCs/>
          <w:color w:val="auto"/>
          <w:kern w:val="0"/>
          <w:sz w:val="24"/>
          <w:highlight w:val="none"/>
          <w:u w:val="single"/>
          <w:shd w:val="pct10" w:color="auto" w:fill="FFFFFF"/>
        </w:rPr>
      </w:pPr>
      <w:r>
        <w:rPr>
          <w:rFonts w:hint="eastAsia" w:ascii="宋体" w:hAnsi="宋体" w:eastAsia="宋体" w:cs="宋体"/>
          <w:b/>
          <w:bCs/>
          <w:color w:val="auto"/>
          <w:kern w:val="0"/>
          <w:sz w:val="24"/>
          <w:highlight w:val="none"/>
          <w:u w:val="single"/>
          <w:shd w:val="pct10" w:color="auto" w:fill="FFFFFF"/>
        </w:rPr>
        <w:t>（http://www.linhai.gov.cn/ggzyjy/）注册</w:t>
      </w:r>
      <w:bookmarkEnd w:id="12"/>
      <w:r>
        <w:rPr>
          <w:rFonts w:hint="eastAsia" w:ascii="宋体" w:hAnsi="宋体" w:eastAsia="宋体" w:cs="宋体"/>
          <w:b/>
          <w:bCs/>
          <w:color w:val="auto"/>
          <w:kern w:val="0"/>
          <w:sz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4.磋商文件的获取</w:t>
      </w:r>
    </w:p>
    <w:p w14:paraId="4F75845B">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采购文件售价：免费</w:t>
      </w:r>
    </w:p>
    <w:p w14:paraId="744F17DF">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获取方式：凡有意参加投标者，在202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08</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0 前，到临海市公共资源交易中心网站注册审核通过后可自行下载采购文件或到浙江政府采购网（网址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"%20https://zfcg.czt.zj.gov.cn/"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highlight w:val="none"/>
        </w:rPr>
        <w:t xml:space="preserve"> </w:t>
      </w:r>
      <w:r>
        <w:rPr>
          <w:rStyle w:val="56"/>
          <w:rFonts w:hint="eastAsia" w:ascii="宋体" w:hAnsi="宋体" w:eastAsia="宋体" w:cs="宋体"/>
          <w:bCs/>
          <w:color w:val="auto"/>
          <w:sz w:val="24"/>
          <w:highlight w:val="none"/>
        </w:rPr>
        <w:t>https://zfcg.czt.zj.gov.cn/</w:t>
      </w:r>
      <w:r>
        <w:rPr>
          <w:rStyle w:val="56"/>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）上获取。</w:t>
      </w:r>
    </w:p>
    <w:p w14:paraId="72BDB46E">
      <w:pPr>
        <w:pStyle w:val="44"/>
        <w:spacing w:before="0" w:beforeAutospacing="0" w:after="0" w:afterAutospacing="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磋商文件答疑：供应商对磋商文件提出质疑的，应当在获取磋商文件或者磋商文件公告期限届满之日</w:t>
      </w:r>
      <w:r>
        <w:rPr>
          <w:rFonts w:hint="eastAsia" w:ascii="宋体" w:hAnsi="宋体" w:eastAsia="宋体" w:cs="宋体"/>
          <w:b/>
          <w:color w:val="auto"/>
          <w:highlight w:val="none"/>
        </w:rPr>
        <w:t>（公告期限届满后获取采购文件的，以公告期限届满之日为准）</w:t>
      </w:r>
      <w:r>
        <w:rPr>
          <w:rFonts w:hint="eastAsia" w:ascii="宋体" w:hAnsi="宋体" w:eastAsia="宋体" w:cs="宋体"/>
          <w:b/>
          <w:bCs/>
          <w:color w:val="auto"/>
          <w:highlight w:val="none"/>
        </w:rPr>
        <w:t>起7个工作日内以书面形式提出，且应当在采购响应截止时间之前在政采云平台的质疑系统一次性提出</w:t>
      </w:r>
      <w:r>
        <w:rPr>
          <w:rFonts w:hint="eastAsia" w:ascii="宋体" w:hAnsi="宋体" w:eastAsia="宋体" w:cs="宋体"/>
          <w:b/>
          <w:color w:val="auto"/>
          <w:highlight w:val="none"/>
        </w:rPr>
        <w:t>，</w:t>
      </w:r>
      <w:r>
        <w:rPr>
          <w:rFonts w:hint="eastAsia" w:ascii="宋体" w:hAnsi="宋体" w:eastAsia="宋体" w:cs="宋体"/>
          <w:b/>
          <w:bCs/>
          <w:color w:val="auto"/>
          <w:highlight w:val="none"/>
        </w:rPr>
        <w:t>否则被质疑人可不予接受。</w:t>
      </w:r>
    </w:p>
    <w:p w14:paraId="0EFF474E">
      <w:pPr>
        <w:pStyle w:val="44"/>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b/>
          <w:bCs/>
          <w:color w:val="auto"/>
          <w:highlight w:val="none"/>
        </w:rPr>
        <w:t>5.投标保证金</w:t>
      </w:r>
    </w:p>
    <w:p w14:paraId="432EB507">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本项目不收取投标保证金。</w:t>
      </w:r>
    </w:p>
    <w:p w14:paraId="0DAECD4C">
      <w:pPr>
        <w:spacing w:line="400" w:lineRule="exact"/>
        <w:rPr>
          <w:rFonts w:hint="eastAsia" w:ascii="宋体" w:hAnsi="宋体" w:eastAsia="宋体" w:cs="宋体"/>
          <w:b/>
          <w:bCs/>
          <w:color w:val="auto"/>
          <w:kern w:val="0"/>
          <w:sz w:val="24"/>
          <w:highlight w:val="none"/>
        </w:rPr>
      </w:pPr>
      <w:r>
        <w:rPr>
          <w:rFonts w:hint="eastAsia" w:ascii="宋体" w:hAnsi="宋体" w:eastAsia="宋体" w:cs="宋体"/>
          <w:b/>
          <w:color w:val="auto"/>
          <w:sz w:val="24"/>
          <w:highlight w:val="none"/>
        </w:rPr>
        <w:t>6</w:t>
      </w:r>
      <w:r>
        <w:rPr>
          <w:rFonts w:hint="eastAsia" w:ascii="宋体" w:hAnsi="宋体" w:eastAsia="宋体" w:cs="宋体"/>
          <w:b/>
          <w:bCs/>
          <w:color w:val="auto"/>
          <w:kern w:val="0"/>
          <w:sz w:val="24"/>
          <w:highlight w:val="none"/>
        </w:rPr>
        <w:t>.投标说明</w:t>
      </w:r>
    </w:p>
    <w:p w14:paraId="4B026D5E">
      <w:pPr>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65144EFD">
      <w:pPr>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（2）供应商通过政采云平台电子投标工具制作响应文件，电子投标工具请供应商自行前往浙江政府采购网下载并安装，（下载网址：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"https://customer.zcygov.cn/CA-driver-download?utm=web-login-front.75ab4087.0.0.f8e5d230c7c411ea9e54c97a8e384567"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kern w:val="0"/>
          <w:sz w:val="24"/>
          <w:highlight w:val="none"/>
        </w:rPr>
        <w:t>https://customer.zcygov.cn/CA-driver-download?utm=web-login-front.75ab4087.0.0.f8e5d230c7c411ea9e54c97a8e384567</w:t>
      </w:r>
      <w:r>
        <w:rPr>
          <w:rStyle w:val="56"/>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u w:val="single"/>
        </w:rPr>
        <w:t>）电子投标具体流程详见本招标公告附件：“政采云供应商项目采购-电子招投标操作指南.pdf”。</w:t>
      </w:r>
    </w:p>
    <w:p w14:paraId="1019BA53">
      <w:pPr>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（3）供应商应在开标前完成CA数字证书办理。（办理流程详见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"https://middle.zcygov.cn/ca/apply/edit"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kern w:val="0"/>
          <w:sz w:val="24"/>
          <w:highlight w:val="none"/>
        </w:rPr>
        <w:t>https://middle.zcygov.cn/ca/apply/edit</w:t>
      </w:r>
      <w:r>
        <w:rPr>
          <w:rStyle w:val="56"/>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u w:val="single"/>
        </w:rPr>
        <w:t>，完成CA数字证书办理预计一周左右，请各供应商自行把握时间，汇信客服电话：400-888-4636，天谷客服电话：400-087-8198）。</w:t>
      </w:r>
    </w:p>
    <w:p w14:paraId="34ACD959">
      <w:pPr>
        <w:spacing w:line="400" w:lineRule="exact"/>
        <w:rPr>
          <w:rFonts w:hint="eastAsia" w:ascii="宋体" w:hAnsi="宋体" w:eastAsia="宋体" w:cs="宋体"/>
          <w:b/>
          <w:bCs/>
          <w:color w:val="auto"/>
          <w:kern w:val="0"/>
          <w:sz w:val="24"/>
          <w:highlight w:val="none"/>
          <w:u w:val="single"/>
          <w:shd w:val="pct10" w:color="auto" w:fill="FFFFFF"/>
        </w:rPr>
      </w:pPr>
      <w:r>
        <w:rPr>
          <w:rFonts w:hint="eastAsia" w:ascii="宋体" w:hAnsi="宋体" w:eastAsia="宋体" w:cs="宋体"/>
          <w:color w:val="auto"/>
          <w:kern w:val="0"/>
          <w:sz w:val="24"/>
          <w:highlight w:val="none"/>
          <w:u w:val="single"/>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eastAsia="宋体" w:cs="宋体"/>
          <w:b/>
          <w:bCs/>
          <w:color w:val="auto"/>
          <w:kern w:val="0"/>
          <w:sz w:val="24"/>
          <w:highlight w:val="none"/>
          <w:u w:val="single"/>
        </w:rPr>
        <w:t>投标截止时间后传输、递交的响应文件，将被拒收。</w:t>
      </w:r>
    </w:p>
    <w:p w14:paraId="7B3176C7">
      <w:pPr>
        <w:spacing w:line="400" w:lineRule="exact"/>
        <w:rPr>
          <w:rFonts w:hint="eastAsia" w:ascii="宋体" w:hAnsi="宋体" w:eastAsia="宋体" w:cs="宋体"/>
          <w:b/>
          <w:bCs/>
          <w:color w:val="auto"/>
          <w:kern w:val="0"/>
          <w:sz w:val="24"/>
          <w:highlight w:val="none"/>
          <w:u w:val="single"/>
          <w:shd w:val="pct10" w:color="auto" w:fill="FFFFFF"/>
        </w:rPr>
      </w:pPr>
      <w:r>
        <w:rPr>
          <w:rFonts w:hint="eastAsia" w:ascii="宋体" w:hAnsi="宋体" w:eastAsia="宋体" w:cs="宋体"/>
          <w:b/>
          <w:bCs/>
          <w:color w:val="auto"/>
          <w:kern w:val="0"/>
          <w:sz w:val="24"/>
          <w:highlight w:val="none"/>
          <w:u w:val="single"/>
          <w:shd w:val="pct10" w:color="auto" w:fill="FFFFFF"/>
        </w:rPr>
        <w:t>（5）本磋商文件中关于电子招投标内容、流程如与政采云系统中最新的内容、操作不一致的，以政采云系统中的要求为准。</w:t>
      </w:r>
    </w:p>
    <w:p w14:paraId="46BAB93C">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w:t>
      </w:r>
      <w:r>
        <w:rPr>
          <w:rFonts w:hint="eastAsia" w:ascii="宋体" w:hAnsi="宋体" w:eastAsia="宋体" w:cs="宋体"/>
          <w:b/>
          <w:color w:val="auto"/>
          <w:kern w:val="0"/>
          <w:sz w:val="24"/>
          <w:highlight w:val="none"/>
        </w:rPr>
        <w:t>.</w:t>
      </w:r>
      <w:r>
        <w:rPr>
          <w:rFonts w:hint="eastAsia" w:ascii="宋体" w:hAnsi="宋体" w:eastAsia="宋体" w:cs="宋体"/>
          <w:b/>
          <w:color w:val="auto"/>
          <w:sz w:val="24"/>
          <w:highlight w:val="none"/>
        </w:rPr>
        <w:t>响应文件的组成、效力</w:t>
      </w:r>
    </w:p>
    <w:p w14:paraId="5A0EA2E1">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（2）未在</w:t>
      </w:r>
      <w:r>
        <w:rPr>
          <w:rFonts w:hint="eastAsia" w:ascii="宋体" w:hAnsi="宋体" w:eastAsia="宋体" w:cs="宋体"/>
          <w:color w:val="auto"/>
          <w:kern w:val="0"/>
          <w:sz w:val="24"/>
          <w:highlight w:val="none"/>
          <w:u w:val="single"/>
        </w:rPr>
        <w:t>“政府采购云平台”</w:t>
      </w:r>
      <w:r>
        <w:rPr>
          <w:rFonts w:hint="eastAsia" w:ascii="宋体" w:hAnsi="宋体" w:eastAsia="宋体" w:cs="宋体"/>
          <w:color w:val="auto"/>
          <w:sz w:val="24"/>
          <w:highlight w:val="none"/>
          <w:u w:val="single"/>
        </w:rPr>
        <w:t>传输递交电子响应文件的，投标无效。</w:t>
      </w:r>
    </w:p>
    <w:p w14:paraId="542923FA">
      <w:pPr>
        <w:spacing w:line="4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8.投标截止时间及电子响应文件的递交</w:t>
      </w:r>
    </w:p>
    <w:p w14:paraId="15B2F3F6">
      <w:pPr>
        <w:spacing w:line="400" w:lineRule="exact"/>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rPr>
        <w:t>电子响应文件</w:t>
      </w:r>
      <w:r>
        <w:rPr>
          <w:rFonts w:hint="eastAsia" w:ascii="宋体" w:hAnsi="宋体" w:eastAsia="宋体" w:cs="宋体"/>
          <w:b/>
          <w:color w:val="auto"/>
          <w:sz w:val="24"/>
          <w:highlight w:val="none"/>
        </w:rPr>
        <w:t>投标截止时间：202</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rPr>
        <w:t>日</w:t>
      </w:r>
      <w:r>
        <w:rPr>
          <w:rFonts w:hint="eastAsia" w:ascii="宋体" w:hAnsi="宋体" w:cs="宋体"/>
          <w:b/>
          <w:color w:val="auto"/>
          <w:sz w:val="24"/>
          <w:highlight w:val="none"/>
          <w:lang w:val="en-US" w:eastAsia="zh-CN"/>
        </w:rPr>
        <w:t>08</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0分00秒，</w:t>
      </w:r>
      <w:r>
        <w:rPr>
          <w:rFonts w:hint="eastAsia" w:ascii="宋体" w:hAnsi="宋体" w:eastAsia="宋体" w:cs="宋体"/>
          <w:color w:val="auto"/>
          <w:kern w:val="0"/>
          <w:sz w:val="24"/>
          <w:highlight w:val="none"/>
        </w:rPr>
        <w:t>供应商应于投标截止时间之前将电子响应文件上传到“政府采购云平台”。</w:t>
      </w:r>
      <w:r>
        <w:rPr>
          <w:rFonts w:hint="eastAsia" w:ascii="宋体" w:hAnsi="宋体" w:eastAsia="宋体" w:cs="宋体"/>
          <w:b/>
          <w:bCs/>
          <w:color w:val="auto"/>
          <w:kern w:val="0"/>
          <w:sz w:val="24"/>
          <w:highlight w:val="none"/>
          <w:u w:val="single"/>
        </w:rPr>
        <w:t>投标截止时间前未完成传输电子响应文件的</w:t>
      </w:r>
      <w:r>
        <w:rPr>
          <w:rFonts w:hint="eastAsia" w:ascii="宋体" w:hAnsi="宋体" w:eastAsia="宋体" w:cs="宋体"/>
          <w:b/>
          <w:bCs/>
          <w:color w:val="auto"/>
          <w:sz w:val="24"/>
          <w:highlight w:val="none"/>
          <w:u w:val="single"/>
        </w:rPr>
        <w:t>，投标无效。</w:t>
      </w:r>
    </w:p>
    <w:p w14:paraId="60FDDD23">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9.临海市公共资源交易办公管理系统及开评标期间出现网络故障或停电时的应急处理措施：      </w:t>
      </w:r>
    </w:p>
    <w:p w14:paraId="6225A1E5">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10.开标</w:t>
      </w:r>
    </w:p>
    <w:p w14:paraId="55871A05">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w:t>
      </w:r>
      <w:r>
        <w:rPr>
          <w:rFonts w:hint="eastAsia" w:ascii="宋体" w:hAnsi="宋体" w:eastAsia="宋体" w:cs="宋体"/>
          <w:b/>
          <w:color w:val="auto"/>
          <w:sz w:val="24"/>
          <w:highlight w:val="none"/>
        </w:rPr>
        <w:t>202</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rPr>
        <w:t>日</w:t>
      </w:r>
      <w:r>
        <w:rPr>
          <w:rFonts w:hint="eastAsia" w:ascii="宋体" w:hAnsi="宋体" w:cs="宋体"/>
          <w:b/>
          <w:color w:val="auto"/>
          <w:sz w:val="24"/>
          <w:highlight w:val="none"/>
          <w:lang w:val="en-US" w:eastAsia="zh-CN"/>
        </w:rPr>
        <w:t>08</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0时</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开标地点：“政府采购云平台”线上开标、线下直播开标室：临海市公共资源交易中心一楼</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号开标室（临海市巾山中路18号，移动公司对面）</w:t>
      </w:r>
    </w:p>
    <w:p w14:paraId="514EF31E">
      <w:pPr>
        <w:spacing w:line="400" w:lineRule="exact"/>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u w:val="single"/>
          <w:shd w:val="pct10" w:color="auto" w:fill="FFFFFF"/>
        </w:rPr>
        <w:t>开标时间后30分钟内（具体时间以政采云系统</w:t>
      </w:r>
      <w:bookmarkStart w:id="13" w:name="_Hlk59625364"/>
      <w:r>
        <w:rPr>
          <w:rFonts w:hint="eastAsia" w:ascii="宋体" w:hAnsi="宋体" w:eastAsia="宋体" w:cs="宋体"/>
          <w:b/>
          <w:color w:val="auto"/>
          <w:sz w:val="24"/>
          <w:highlight w:val="none"/>
          <w:u w:val="single"/>
          <w:shd w:val="pct10" w:color="auto" w:fill="FFFFFF"/>
        </w:rPr>
        <w:t>显示的</w:t>
      </w:r>
      <w:bookmarkEnd w:id="13"/>
      <w:r>
        <w:rPr>
          <w:rFonts w:hint="eastAsia" w:ascii="宋体" w:hAnsi="宋体" w:eastAsia="宋体" w:cs="宋体"/>
          <w:b/>
          <w:color w:val="auto"/>
          <w:sz w:val="24"/>
          <w:highlight w:val="none"/>
          <w:u w:val="single"/>
          <w:shd w:val="pct10" w:color="auto" w:fill="FFFFFF"/>
        </w:rPr>
        <w:t>解密截止时间为准），供应商须登录“政采云”平台，用“项目采购-开标评标”功能解密响应文件，供应商未按时解密或解密失败的，其响应文件为无效标。</w:t>
      </w:r>
    </w:p>
    <w:p w14:paraId="178E4332">
      <w:pPr>
        <w:spacing w:line="4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11.发布公告的媒介</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本次招标公告同时在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56"/>
          <w:rFonts w:hint="eastAsia" w:ascii="宋体" w:hAnsi="宋体" w:eastAsia="宋体" w:cs="宋体"/>
          <w:color w:val="auto"/>
          <w:sz w:val="24"/>
          <w:highlight w:val="none"/>
        </w:rPr>
        <w:t>浙江省政府采购网</w:t>
      </w:r>
      <w:r>
        <w:rPr>
          <w:rStyle w:val="56"/>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"http://www.lhzfcg.gov.cn"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u w:val="single"/>
        </w:rPr>
        <w:t>临海市公共资源交易中心</w:t>
      </w:r>
      <w:r>
        <w:rPr>
          <w:rStyle w:val="56"/>
          <w:rFonts w:hint="eastAsia" w:ascii="宋体" w:hAnsi="宋体" w:eastAsia="宋体" w:cs="宋体"/>
          <w:color w:val="auto"/>
          <w:sz w:val="24"/>
          <w:highlight w:val="none"/>
        </w:rPr>
        <w:t>网</w:t>
      </w:r>
      <w:r>
        <w:rPr>
          <w:rStyle w:val="56"/>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上发布。</w:t>
      </w:r>
    </w:p>
    <w:p w14:paraId="004F9D12">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12、其他事项</w:t>
      </w:r>
    </w:p>
    <w:p w14:paraId="0BF90E4B">
      <w:pPr>
        <w:spacing w:line="400" w:lineRule="exact"/>
        <w:ind w:firstLine="120" w:firstLineChars="50"/>
        <w:rPr>
          <w:rFonts w:hint="eastAsia" w:ascii="宋体" w:hAnsi="宋体" w:eastAsia="宋体" w:cs="宋体"/>
          <w:b/>
          <w:color w:val="auto"/>
          <w:highlight w:val="none"/>
          <w:u w:val="single"/>
          <w:shd w:val="pct10" w:color="auto" w:fill="FFFFFF"/>
        </w:rPr>
      </w:pPr>
      <w:r>
        <w:rPr>
          <w:rFonts w:hint="eastAsia" w:ascii="宋体" w:hAnsi="宋体" w:eastAsia="宋体" w:cs="宋体"/>
          <w:b/>
          <w:color w:val="auto"/>
          <w:sz w:val="24"/>
          <w:highlight w:val="none"/>
          <w:u w:val="single"/>
          <w:shd w:val="pct10" w:color="auto" w:fill="FFFFFF"/>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（2）除注明要求进口产品外,投标时进口产品比例不得超过50%；</w:t>
      </w:r>
    </w:p>
    <w:p w14:paraId="5B0C1E78">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（3）根据《浙江省政府采购供应商注册及诚信管理暂行办法》浙财采监字【2009】28号文件，请各投标供应商及时办理浙江政府采购网“政府采购正式供应商”的注册手续。</w:t>
      </w:r>
    </w:p>
    <w:p w14:paraId="3EBC0098">
      <w:pPr>
        <w:spacing w:line="4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13、对本次采购提出询问、质疑、投诉，请按以下方式联系</w:t>
      </w:r>
    </w:p>
    <w:p w14:paraId="6C3A49F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（1）采购人信息</w:t>
      </w:r>
    </w:p>
    <w:p w14:paraId="49FD098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rPr>
        <w:t>名称：</w:t>
      </w:r>
      <w:r>
        <w:rPr>
          <w:rFonts w:hint="eastAsia" w:ascii="宋体" w:hAnsi="宋体" w:eastAsia="宋体" w:cs="宋体"/>
          <w:bCs/>
          <w:color w:val="auto"/>
          <w:spacing w:val="0"/>
          <w:sz w:val="24"/>
          <w:szCs w:val="24"/>
          <w:highlight w:val="none"/>
          <w:lang w:eastAsia="zh-CN"/>
        </w:rPr>
        <w:t>临海市民政局</w:t>
      </w:r>
    </w:p>
    <w:p w14:paraId="3B2D4A2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rPr>
        <w:t>地址：临海市大洋街道东方大道163号</w:t>
      </w:r>
    </w:p>
    <w:p w14:paraId="1DB6DAE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rPr>
        <w:t>项目联系人（询问）：</w:t>
      </w:r>
      <w:r>
        <w:rPr>
          <w:rFonts w:hint="eastAsia" w:ascii="宋体" w:hAnsi="宋体" w:cs="宋体"/>
          <w:bCs/>
          <w:color w:val="auto"/>
          <w:spacing w:val="0"/>
          <w:sz w:val="24"/>
          <w:szCs w:val="24"/>
          <w:highlight w:val="none"/>
          <w:lang w:eastAsia="zh-CN"/>
        </w:rPr>
        <w:t>曾先生</w:t>
      </w:r>
    </w:p>
    <w:p w14:paraId="024751C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rPr>
        <w:t>项目联系方式：0576-85286728</w:t>
      </w:r>
    </w:p>
    <w:p w14:paraId="0878379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rPr>
        <w:t>质疑联系人：</w:t>
      </w:r>
      <w:r>
        <w:rPr>
          <w:rFonts w:hint="eastAsia" w:ascii="宋体" w:hAnsi="宋体" w:eastAsia="宋体" w:cs="宋体"/>
          <w:bCs/>
          <w:color w:val="auto"/>
          <w:spacing w:val="0"/>
          <w:sz w:val="24"/>
          <w:szCs w:val="24"/>
          <w:highlight w:val="none"/>
          <w:lang w:eastAsia="zh-CN"/>
        </w:rPr>
        <w:t>蒋先生</w:t>
      </w:r>
    </w:p>
    <w:p w14:paraId="7FF1DCC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rPr>
        <w:t>质疑联系方式：0576-85286225</w:t>
      </w:r>
      <w:r>
        <w:rPr>
          <w:rFonts w:hint="eastAsia" w:ascii="宋体" w:hAnsi="宋体" w:eastAsia="宋体" w:cs="宋体"/>
          <w:bCs/>
          <w:color w:val="auto"/>
          <w:spacing w:val="0"/>
          <w:sz w:val="24"/>
          <w:szCs w:val="24"/>
          <w:highlight w:val="none"/>
          <w:lang w:val="en-US" w:eastAsia="zh-CN"/>
        </w:rPr>
        <w:t xml:space="preserve"> </w:t>
      </w:r>
    </w:p>
    <w:p w14:paraId="78B6C3B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（2）采购代理机构信息</w:t>
      </w:r>
    </w:p>
    <w:p w14:paraId="0A0960A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名 称：浙江信达工程咨询有限公司</w:t>
      </w:r>
    </w:p>
    <w:p w14:paraId="7681B7C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地址: 临海市江滨东路295号</w:t>
      </w:r>
    </w:p>
    <w:p w14:paraId="48B2035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项目联系人（询问）：汤梦宇</w:t>
      </w:r>
    </w:p>
    <w:p w14:paraId="11C54CE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项目联系方式：0576-85192636</w:t>
      </w:r>
    </w:p>
    <w:p w14:paraId="54CBA8C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rPr>
        <w:t>质疑联系人</w:t>
      </w:r>
      <w:r>
        <w:rPr>
          <w:rFonts w:hint="eastAsia" w:ascii="宋体" w:hAnsi="宋体" w:eastAsia="宋体" w:cs="宋体"/>
          <w:bCs/>
          <w:color w:val="auto"/>
          <w:spacing w:val="0"/>
          <w:sz w:val="24"/>
          <w:szCs w:val="24"/>
          <w:highlight w:val="none"/>
          <w:lang w:eastAsia="zh-CN"/>
        </w:rPr>
        <w:t>：</w:t>
      </w:r>
      <w:r>
        <w:rPr>
          <w:rFonts w:hint="eastAsia" w:ascii="宋体" w:hAnsi="宋体" w:eastAsia="宋体" w:cs="宋体"/>
          <w:bCs/>
          <w:color w:val="auto"/>
          <w:spacing w:val="0"/>
          <w:sz w:val="24"/>
          <w:szCs w:val="24"/>
          <w:highlight w:val="none"/>
        </w:rPr>
        <w:t>翁女士</w:t>
      </w:r>
    </w:p>
    <w:p w14:paraId="729C088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rPr>
        <w:t>质疑联系方式</w:t>
      </w:r>
      <w:r>
        <w:rPr>
          <w:rFonts w:hint="eastAsia" w:ascii="宋体" w:hAnsi="宋体" w:eastAsia="宋体" w:cs="宋体"/>
          <w:bCs/>
          <w:color w:val="auto"/>
          <w:spacing w:val="0"/>
          <w:sz w:val="24"/>
          <w:szCs w:val="24"/>
          <w:highlight w:val="none"/>
          <w:lang w:eastAsia="zh-CN"/>
        </w:rPr>
        <w:t>：</w:t>
      </w:r>
      <w:r>
        <w:rPr>
          <w:rFonts w:hint="eastAsia" w:ascii="宋体" w:hAnsi="宋体" w:eastAsia="宋体" w:cs="宋体"/>
          <w:bCs/>
          <w:color w:val="auto"/>
          <w:spacing w:val="0"/>
          <w:sz w:val="24"/>
          <w:szCs w:val="24"/>
          <w:highlight w:val="none"/>
        </w:rPr>
        <w:t>0576-85303722</w:t>
      </w:r>
    </w:p>
    <w:p w14:paraId="4A315F5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传真:0576-853022230</w:t>
      </w:r>
    </w:p>
    <w:p w14:paraId="5CEFE6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电子邮箱:</w:t>
      </w:r>
      <w:r>
        <w:rPr>
          <w:rFonts w:hint="eastAsia" w:ascii="宋体" w:hAnsi="宋体" w:eastAsia="宋体" w:cs="宋体"/>
          <w:bCs/>
          <w:color w:val="auto"/>
          <w:spacing w:val="0"/>
          <w:sz w:val="24"/>
          <w:szCs w:val="24"/>
          <w:highlight w:val="none"/>
        </w:rPr>
        <w:fldChar w:fldCharType="begin"/>
      </w:r>
      <w:r>
        <w:rPr>
          <w:rFonts w:hint="eastAsia" w:ascii="宋体" w:hAnsi="宋体" w:eastAsia="宋体" w:cs="宋体"/>
          <w:bCs/>
          <w:color w:val="auto"/>
          <w:spacing w:val="0"/>
          <w:sz w:val="24"/>
          <w:szCs w:val="24"/>
          <w:highlight w:val="none"/>
        </w:rPr>
        <w:instrText xml:space="preserve"> HYPERLINK "mailto:lhzb.gov.cn@163.com" </w:instrText>
      </w:r>
      <w:r>
        <w:rPr>
          <w:rFonts w:hint="eastAsia" w:ascii="宋体" w:hAnsi="宋体" w:eastAsia="宋体" w:cs="宋体"/>
          <w:bCs/>
          <w:color w:val="auto"/>
          <w:spacing w:val="0"/>
          <w:sz w:val="24"/>
          <w:szCs w:val="24"/>
          <w:highlight w:val="none"/>
        </w:rPr>
        <w:fldChar w:fldCharType="separate"/>
      </w:r>
      <w:r>
        <w:rPr>
          <w:rFonts w:hint="eastAsia" w:ascii="宋体" w:hAnsi="宋体" w:eastAsia="宋体" w:cs="宋体"/>
          <w:bCs/>
          <w:color w:val="auto"/>
          <w:spacing w:val="0"/>
          <w:sz w:val="24"/>
          <w:szCs w:val="24"/>
          <w:highlight w:val="none"/>
        </w:rPr>
        <w:fldChar w:fldCharType="end"/>
      </w:r>
      <w:r>
        <w:rPr>
          <w:rFonts w:hint="eastAsia" w:ascii="宋体" w:hAnsi="宋体" w:eastAsia="宋体" w:cs="宋体"/>
          <w:bCs/>
          <w:color w:val="auto"/>
          <w:spacing w:val="0"/>
          <w:sz w:val="24"/>
          <w:szCs w:val="24"/>
          <w:highlight w:val="none"/>
        </w:rPr>
        <w:t xml:space="preserve"> 837328437@qq.com</w:t>
      </w:r>
    </w:p>
    <w:p w14:paraId="5C9B2A7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w:t>
      </w:r>
      <w:r>
        <w:rPr>
          <w:rFonts w:hint="eastAsia" w:ascii="宋体" w:hAnsi="宋体" w:cs="宋体"/>
          <w:b/>
          <w:bCs w:val="0"/>
          <w:color w:val="auto"/>
          <w:spacing w:val="0"/>
          <w:sz w:val="24"/>
          <w:szCs w:val="24"/>
          <w:highlight w:val="none"/>
          <w:lang w:val="en-US" w:eastAsia="zh-CN"/>
        </w:rPr>
        <w:t>3</w:t>
      </w:r>
      <w:r>
        <w:rPr>
          <w:rFonts w:hint="eastAsia" w:ascii="宋体" w:hAnsi="宋体" w:eastAsia="宋体" w:cs="宋体"/>
          <w:b/>
          <w:bCs w:val="0"/>
          <w:color w:val="auto"/>
          <w:spacing w:val="0"/>
          <w:sz w:val="24"/>
          <w:szCs w:val="24"/>
          <w:highlight w:val="none"/>
        </w:rPr>
        <w:t>）监管机构信息</w:t>
      </w:r>
    </w:p>
    <w:p w14:paraId="2CAA48F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 xml:space="preserve">名 称：临海市财政局                   </w:t>
      </w:r>
    </w:p>
    <w:p w14:paraId="11CCBF8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 xml:space="preserve">地 址：临海市巾山东路112号   </w:t>
      </w:r>
    </w:p>
    <w:p w14:paraId="53EC656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联系人：政府采购监管科</w:t>
      </w:r>
    </w:p>
    <w:p w14:paraId="1E3C06D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lang w:val="en-US" w:eastAsia="zh-CN"/>
        </w:rPr>
        <w:t>监督、投诉</w:t>
      </w:r>
      <w:r>
        <w:rPr>
          <w:rFonts w:hint="eastAsia" w:ascii="宋体" w:hAnsi="宋体" w:eastAsia="宋体" w:cs="宋体"/>
          <w:bCs/>
          <w:color w:val="auto"/>
          <w:spacing w:val="0"/>
          <w:sz w:val="24"/>
          <w:szCs w:val="24"/>
          <w:highlight w:val="none"/>
        </w:rPr>
        <w:t xml:space="preserve">联系电话：0576-85188034 </w:t>
      </w:r>
    </w:p>
    <w:p w14:paraId="61DD641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（4）政采云平台信息</w:t>
      </w:r>
    </w:p>
    <w:p w14:paraId="38497BB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 xml:space="preserve">联系电话：95763   </w:t>
      </w:r>
    </w:p>
    <w:p w14:paraId="0E43BAA5">
      <w:pPr>
        <w:spacing w:line="400" w:lineRule="exact"/>
        <w:rPr>
          <w:rFonts w:hint="eastAsia" w:ascii="宋体" w:hAnsi="宋体" w:eastAsia="宋体" w:cs="宋体"/>
          <w:color w:val="auto"/>
          <w:spacing w:val="-4"/>
          <w:sz w:val="24"/>
          <w:highlight w:val="none"/>
        </w:rPr>
      </w:pPr>
    </w:p>
    <w:p w14:paraId="7E34050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7AE4EA6">
      <w:pPr>
        <w:rPr>
          <w:rFonts w:hint="eastAsia" w:ascii="宋体" w:hAnsi="宋体" w:eastAsia="宋体" w:cs="宋体"/>
          <w:color w:val="auto"/>
          <w:highlight w:val="none"/>
        </w:rPr>
      </w:pPr>
      <w:r>
        <w:rPr>
          <w:rFonts w:hint="eastAsia" w:ascii="宋体" w:hAnsi="宋体" w:eastAsia="宋体" w:cs="宋体"/>
          <w:b/>
          <w:color w:val="auto"/>
          <w:sz w:val="24"/>
          <w:highlight w:val="none"/>
        </w:rPr>
        <w:t>附件</w:t>
      </w:r>
    </w:p>
    <w:p w14:paraId="7B660F22">
      <w:pPr>
        <w:spacing w:line="400" w:lineRule="exact"/>
        <w:ind w:firstLine="723" w:firstLineChars="3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政府采购支持中小企业信用融资相关事项的通知</w:t>
      </w:r>
    </w:p>
    <w:p w14:paraId="2F9A104F">
      <w:pPr>
        <w:spacing w:line="400" w:lineRule="exact"/>
        <w:ind w:firstLine="720" w:firstLineChars="300"/>
        <w:jc w:val="center"/>
        <w:rPr>
          <w:rFonts w:hint="eastAsia" w:ascii="宋体" w:hAnsi="宋体" w:eastAsia="宋体" w:cs="宋体"/>
          <w:bCs/>
          <w:color w:val="auto"/>
          <w:sz w:val="24"/>
          <w:highlight w:val="none"/>
        </w:rPr>
      </w:pPr>
    </w:p>
    <w:p w14:paraId="0E38E5FB">
      <w:pPr>
        <w:spacing w:line="40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阳光财产保险股份有限公司临海支公司</w:t>
            </w:r>
          </w:p>
        </w:tc>
        <w:tc>
          <w:tcPr>
            <w:tcW w:w="3341" w:type="dxa"/>
            <w:vAlign w:val="center"/>
          </w:tcPr>
          <w:p w14:paraId="512D51B4">
            <w:pPr>
              <w:widowControl/>
              <w:spacing w:line="360" w:lineRule="auto"/>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合同（质量）履约按履约保证金年费率1%（1.5%），每单保函最低保险费为500元(300元)。</w:t>
            </w:r>
          </w:p>
        </w:tc>
        <w:tc>
          <w:tcPr>
            <w:tcW w:w="1134" w:type="dxa"/>
            <w:vAlign w:val="center"/>
          </w:tcPr>
          <w:p w14:paraId="06296AFA">
            <w:pPr>
              <w:widowControl/>
              <w:spacing w:line="360" w:lineRule="auto"/>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马李莉</w:t>
            </w:r>
          </w:p>
        </w:tc>
        <w:tc>
          <w:tcPr>
            <w:tcW w:w="1751" w:type="dxa"/>
            <w:vAlign w:val="center"/>
          </w:tcPr>
          <w:p w14:paraId="2D91387C">
            <w:pPr>
              <w:widowControl/>
              <w:spacing w:line="360" w:lineRule="auto"/>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13586026113（微信同号）</w:t>
            </w:r>
          </w:p>
        </w:tc>
      </w:tr>
    </w:tbl>
    <w:p w14:paraId="5E50B9F1">
      <w:pPr>
        <w:widowControl/>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13606680050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13736200193</w:t>
            </w:r>
          </w:p>
        </w:tc>
      </w:tr>
    </w:tbl>
    <w:p w14:paraId="33A9D3FD">
      <w:pPr>
        <w:spacing w:line="4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24"/>
          <w:highlight w:val="none"/>
        </w:rPr>
        <w:br w:type="page"/>
      </w:r>
      <w:bookmarkStart w:id="14" w:name="_Toc466534748"/>
      <w:bookmarkStart w:id="15" w:name="_Toc467749357"/>
      <w:bookmarkStart w:id="16" w:name="_Toc48835712"/>
      <w:r>
        <w:rPr>
          <w:rFonts w:hint="eastAsia" w:ascii="宋体" w:hAnsi="宋体" w:eastAsia="宋体" w:cs="宋体"/>
          <w:b/>
          <w:bCs/>
          <w:color w:val="auto"/>
          <w:sz w:val="30"/>
          <w:szCs w:val="30"/>
          <w:highlight w:val="none"/>
        </w:rPr>
        <w:t>第二章  采购内容、需求及</w:t>
      </w:r>
      <w:bookmarkEnd w:id="14"/>
      <w:bookmarkEnd w:id="15"/>
      <w:bookmarkEnd w:id="16"/>
      <w:r>
        <w:rPr>
          <w:rFonts w:hint="eastAsia" w:ascii="宋体" w:hAnsi="宋体" w:eastAsia="宋体" w:cs="宋体"/>
          <w:b/>
          <w:bCs/>
          <w:color w:val="auto"/>
          <w:sz w:val="30"/>
          <w:szCs w:val="30"/>
          <w:highlight w:val="none"/>
        </w:rPr>
        <w:t>要求</w:t>
      </w:r>
    </w:p>
    <w:p w14:paraId="6601867E">
      <w:pPr>
        <w:spacing w:line="400" w:lineRule="exact"/>
        <w:jc w:val="center"/>
        <w:rPr>
          <w:rFonts w:hint="eastAsia" w:ascii="宋体" w:hAnsi="宋体" w:eastAsia="宋体" w:cs="宋体"/>
          <w:color w:val="auto"/>
          <w:sz w:val="36"/>
          <w:szCs w:val="36"/>
          <w:highlight w:val="none"/>
        </w:rPr>
      </w:pPr>
    </w:p>
    <w:p w14:paraId="461A56A3">
      <w:pPr>
        <w:pStyle w:val="4"/>
        <w:pageBreakBefore w:val="0"/>
        <w:tabs>
          <w:tab w:val="left" w:pos="432"/>
        </w:tabs>
        <w:kinsoku/>
        <w:wordWrap/>
        <w:overflowPunct/>
        <w:topLinePunct w:val="0"/>
        <w:bidi w:val="0"/>
        <w:adjustRightInd w:val="0"/>
        <w:snapToGrid w:val="0"/>
        <w:spacing w:before="0" w:after="0" w:line="360" w:lineRule="auto"/>
        <w:ind w:firstLine="562" w:firstLineChars="200"/>
        <w:jc w:val="both"/>
        <w:rPr>
          <w:rFonts w:hint="eastAsia" w:asciiTheme="minorEastAsia" w:hAnsiTheme="minorEastAsia" w:eastAsiaTheme="minorEastAsia" w:cstheme="minorEastAsia"/>
          <w:b/>
          <w:sz w:val="21"/>
          <w:szCs w:val="21"/>
        </w:rPr>
      </w:pPr>
      <w:bookmarkStart w:id="17" w:name="_Toc1680"/>
      <w:r>
        <w:rPr>
          <w:rFonts w:hint="eastAsia" w:ascii="宋体" w:hAnsi="宋体" w:eastAsia="宋体" w:cs="宋体"/>
          <w:color w:val="auto"/>
          <w:sz w:val="28"/>
          <w:szCs w:val="28"/>
          <w:highlight w:val="none"/>
        </w:rPr>
        <w:t xml:space="preserve"> </w:t>
      </w:r>
      <w:bookmarkEnd w:id="17"/>
      <w:bookmarkStart w:id="18" w:name="_Toc129956340"/>
      <w:bookmarkStart w:id="19" w:name="_Toc466534749"/>
      <w:bookmarkStart w:id="20" w:name="_Toc48835713"/>
      <w:r>
        <w:rPr>
          <w:rFonts w:hint="eastAsia" w:asciiTheme="minorEastAsia" w:hAnsiTheme="minorEastAsia" w:eastAsiaTheme="minorEastAsia" w:cstheme="minorEastAsia"/>
          <w:b/>
          <w:sz w:val="21"/>
          <w:szCs w:val="21"/>
        </w:rPr>
        <w:t>一、总则</w:t>
      </w:r>
    </w:p>
    <w:p w14:paraId="054FD137">
      <w:pPr>
        <w:pStyle w:val="422"/>
        <w:pageBreakBefore w:val="0"/>
        <w:numPr>
          <w:ilvl w:val="0"/>
          <w:numId w:val="4"/>
        </w:numPr>
        <w:kinsoku/>
        <w:wordWrap/>
        <w:overflowPunct/>
        <w:topLinePunct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部分所描述的采购服务要求为本项目的最低要求，投标人可根据自身的实际情况提供高于本项目最低要求的服务产品。投标人所提供的服务产品除需符合本项目的采购要求外，如有国家标准或行业标准的，还需符合国家标准或行业标准（国家标准高于行业标准的以国家标准为准，行业标准高于国家标准的以国家标准为准）。</w:t>
      </w:r>
    </w:p>
    <w:p w14:paraId="10A7AB08">
      <w:pPr>
        <w:pageBreakBefore w:val="0"/>
        <w:widowControl/>
        <w:numPr>
          <w:ilvl w:val="0"/>
          <w:numId w:val="4"/>
        </w:numPr>
        <w:kinsoku/>
        <w:wordWrap/>
        <w:overflowPunct/>
        <w:topLinePunct w:val="0"/>
        <w:autoSpaceDE w:val="0"/>
        <w:autoSpaceDN w:val="0"/>
        <w:bidi w:val="0"/>
        <w:adjustRightInd w:val="0"/>
        <w:snapToGrid w:val="0"/>
        <w:spacing w:line="360" w:lineRule="auto"/>
        <w:ind w:firstLine="420" w:firstLineChars="200"/>
        <w:textAlignment w:val="bottom"/>
        <w:rPr>
          <w:rFonts w:hint="eastAsia" w:asciiTheme="minorEastAsia" w:hAnsiTheme="minorEastAsia" w:eastAsiaTheme="minorEastAsia" w:cstheme="minorEastAsia"/>
          <w:b/>
          <w:color w:val="000000"/>
          <w:spacing w:val="20"/>
          <w:kern w:val="44"/>
          <w:sz w:val="21"/>
          <w:szCs w:val="21"/>
          <w:highlight w:val="none"/>
          <w:lang w:val="en-GB"/>
        </w:rPr>
      </w:pPr>
      <w:r>
        <w:rPr>
          <w:rFonts w:hint="eastAsia" w:asciiTheme="minorEastAsia" w:hAnsiTheme="minorEastAsia" w:eastAsiaTheme="minorEastAsia" w:cstheme="minorEastAsia"/>
          <w:sz w:val="21"/>
          <w:szCs w:val="21"/>
        </w:rPr>
        <w:t>投标人提供的服务</w:t>
      </w:r>
      <w:r>
        <w:rPr>
          <w:rFonts w:hint="eastAsia" w:asciiTheme="minorEastAsia" w:hAnsiTheme="minorEastAsia" w:eastAsiaTheme="minorEastAsia" w:cstheme="minorEastAsia"/>
          <w:sz w:val="21"/>
          <w:szCs w:val="21"/>
          <w:highlight w:val="none"/>
        </w:rPr>
        <w:t>产品</w:t>
      </w:r>
      <w:r>
        <w:rPr>
          <w:rFonts w:hint="eastAsia" w:asciiTheme="minorEastAsia" w:hAnsiTheme="minorEastAsia" w:eastAsiaTheme="minorEastAsia" w:cstheme="minorEastAsia"/>
          <w:sz w:val="21"/>
          <w:szCs w:val="21"/>
          <w:highlight w:val="none"/>
          <w:lang w:val="en-GB"/>
        </w:rPr>
        <w:t>与本部分所描述的采购服务要求不一致时，</w:t>
      </w: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val="en-GB"/>
        </w:rPr>
        <w:t>应在招标文件中予以说明，并由评标小组鉴定</w:t>
      </w:r>
      <w:r>
        <w:rPr>
          <w:rFonts w:hint="eastAsia" w:asciiTheme="minorEastAsia" w:hAnsiTheme="minorEastAsia" w:eastAsiaTheme="minorEastAsia" w:cstheme="minorEastAsia"/>
          <w:sz w:val="21"/>
          <w:szCs w:val="21"/>
          <w:highlight w:val="none"/>
        </w:rPr>
        <w:t>投标人的服务产品</w:t>
      </w:r>
      <w:r>
        <w:rPr>
          <w:rFonts w:hint="eastAsia" w:asciiTheme="minorEastAsia" w:hAnsiTheme="minorEastAsia" w:eastAsiaTheme="minorEastAsia" w:cstheme="minorEastAsia"/>
          <w:sz w:val="21"/>
          <w:szCs w:val="21"/>
          <w:highlight w:val="none"/>
          <w:lang w:val="en-GB"/>
        </w:rPr>
        <w:t>能否达到要求。如</w:t>
      </w: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val="en-GB"/>
        </w:rPr>
        <w:t>没有在招标响应文件中提出异议，则视为</w:t>
      </w: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val="en-GB"/>
        </w:rPr>
        <w:t>提供的</w:t>
      </w:r>
      <w:r>
        <w:rPr>
          <w:rFonts w:hint="eastAsia" w:asciiTheme="minorEastAsia" w:hAnsiTheme="minorEastAsia" w:eastAsiaTheme="minorEastAsia" w:cstheme="minorEastAsia"/>
          <w:sz w:val="21"/>
          <w:szCs w:val="21"/>
          <w:highlight w:val="none"/>
        </w:rPr>
        <w:t>服务</w:t>
      </w:r>
      <w:r>
        <w:rPr>
          <w:rFonts w:hint="eastAsia" w:asciiTheme="minorEastAsia" w:hAnsiTheme="minorEastAsia" w:eastAsiaTheme="minorEastAsia" w:cstheme="minorEastAsia"/>
          <w:sz w:val="21"/>
          <w:szCs w:val="21"/>
          <w:highlight w:val="none"/>
          <w:lang w:val="en-GB"/>
        </w:rPr>
        <w:t>产品完全按照本招标文件要求。</w:t>
      </w:r>
    </w:p>
    <w:p w14:paraId="53CAEF8D">
      <w:pPr>
        <w:pStyle w:val="4"/>
        <w:pageBreakBefore w:val="0"/>
        <w:tabs>
          <w:tab w:val="left" w:pos="432"/>
        </w:tabs>
        <w:kinsoku/>
        <w:wordWrap/>
        <w:overflowPunct/>
        <w:topLinePunct w:val="0"/>
        <w:bidi w:val="0"/>
        <w:adjustRightInd w:val="0"/>
        <w:snapToGrid w:val="0"/>
        <w:spacing w:before="0" w:after="0" w:line="360" w:lineRule="auto"/>
        <w:ind w:firstLine="422" w:firstLineChars="200"/>
        <w:jc w:val="both"/>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GB"/>
        </w:rPr>
        <w:t>二、</w:t>
      </w:r>
      <w:r>
        <w:rPr>
          <w:rFonts w:hint="eastAsia" w:asciiTheme="minorEastAsia" w:hAnsiTheme="minorEastAsia" w:eastAsiaTheme="minorEastAsia" w:cstheme="minorEastAsia"/>
          <w:b/>
          <w:sz w:val="21"/>
          <w:szCs w:val="21"/>
          <w:highlight w:val="none"/>
          <w:lang w:val="en-US" w:eastAsia="zh-CN"/>
        </w:rPr>
        <w:t>项目情况及技术标准</w:t>
      </w:r>
    </w:p>
    <w:p w14:paraId="77BF26DA">
      <w:pPr>
        <w:pStyle w:val="4"/>
        <w:pageBreakBefore w:val="0"/>
        <w:tabs>
          <w:tab w:val="left" w:pos="432"/>
        </w:tabs>
        <w:kinsoku/>
        <w:wordWrap/>
        <w:overflowPunct/>
        <w:topLinePunct w:val="0"/>
        <w:bidi w:val="0"/>
        <w:adjustRightInd w:val="0"/>
        <w:snapToGrid w:val="0"/>
        <w:spacing w:before="0" w:after="0" w:line="360" w:lineRule="auto"/>
        <w:ind w:firstLine="420" w:firstLineChars="200"/>
        <w:jc w:val="both"/>
        <w:rPr>
          <w:rFonts w:hint="eastAsia" w:asciiTheme="minorEastAsia" w:hAnsiTheme="minorEastAsia" w:eastAsiaTheme="minorEastAsia" w:cstheme="minorEastAsia"/>
          <w:b w:val="0"/>
          <w:bCs w:val="0"/>
          <w:sz w:val="21"/>
          <w:szCs w:val="21"/>
          <w:highlight w:val="none"/>
          <w:lang w:val="en-GB"/>
        </w:rPr>
      </w:pPr>
      <w:bookmarkStart w:id="21" w:name="_Toc21801"/>
      <w:r>
        <w:rPr>
          <w:rFonts w:hint="eastAsia" w:asciiTheme="minorEastAsia" w:hAnsiTheme="minorEastAsia" w:eastAsiaTheme="minorEastAsia" w:cstheme="minorEastAsia"/>
          <w:b w:val="0"/>
          <w:bCs w:val="0"/>
          <w:sz w:val="21"/>
          <w:szCs w:val="21"/>
          <w:highlight w:val="none"/>
          <w:lang w:val="en-US" w:eastAsia="zh-CN"/>
        </w:rPr>
        <w:t>1、根据《浙江省民政厅 浙江省退役军人事务厅 浙江省慈善联合总会关于实施 2025 年度“善居工程”的通知》（浙民助〔2025〕28 号）等文件要求，</w:t>
      </w:r>
      <w:r>
        <w:rPr>
          <w:rFonts w:hint="eastAsia" w:asciiTheme="minorEastAsia" w:hAnsiTheme="minorEastAsia" w:eastAsiaTheme="minorEastAsia" w:cstheme="minorEastAsia"/>
          <w:b w:val="0"/>
          <w:bCs w:val="0"/>
          <w:sz w:val="21"/>
          <w:szCs w:val="21"/>
          <w:highlight w:val="none"/>
          <w:lang w:val="en-GB"/>
        </w:rPr>
        <w:t>善居工程以改善提升低保家庭的基本居住条件和生活质量为目标，通过打造宜居、安全、便利的基本生活场景，更好满足低保家庭的基本生活需求。</w:t>
      </w:r>
    </w:p>
    <w:p w14:paraId="2058FB33">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lang w:val="en-US" w:eastAsia="zh-CN"/>
        </w:rPr>
        <w:t>2、</w:t>
      </w:r>
      <w:r>
        <w:rPr>
          <w:rFonts w:hint="eastAsia" w:asciiTheme="minorEastAsia" w:hAnsiTheme="minorEastAsia" w:eastAsiaTheme="minorEastAsia" w:cstheme="minorEastAsia"/>
          <w:bCs/>
          <w:sz w:val="21"/>
          <w:szCs w:val="21"/>
          <w:highlight w:val="none"/>
          <w:lang w:val="en-GB"/>
        </w:rPr>
        <w:t>项目技术标准</w:t>
      </w:r>
      <w:r>
        <w:rPr>
          <w:rFonts w:hint="eastAsia" w:asciiTheme="minorEastAsia" w:hAnsiTheme="minorEastAsia" w:eastAsiaTheme="minorEastAsia" w:cstheme="minorEastAsia"/>
          <w:bCs/>
          <w:sz w:val="21"/>
          <w:szCs w:val="21"/>
          <w:highlight w:val="none"/>
          <w:lang w:val="en-GB" w:eastAsia="zh-CN"/>
        </w:rPr>
        <w:t>：</w:t>
      </w:r>
      <w:r>
        <w:rPr>
          <w:rFonts w:hint="eastAsia" w:asciiTheme="minorEastAsia" w:hAnsiTheme="minorEastAsia" w:eastAsiaTheme="minorEastAsia" w:cstheme="minorEastAsia"/>
          <w:bCs/>
          <w:sz w:val="21"/>
          <w:szCs w:val="21"/>
          <w:highlight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459C612">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5024  住宅装饰装修工程施工标准</w:t>
      </w:r>
    </w:p>
    <w:p w14:paraId="1C0A394A">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6566  建筑材料放射性核素限量</w:t>
      </w:r>
    </w:p>
    <w:p w14:paraId="235E9290">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18580  室内装饰装修材料  人造板及其制品中甲醛释放限量</w:t>
      </w:r>
    </w:p>
    <w:p w14:paraId="1CEBBFCA">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18581  木器涂料中有害物质限量</w:t>
      </w:r>
    </w:p>
    <w:p w14:paraId="5E6FCE52">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18582  建筑用墙面涂料中有害物质限量</w:t>
      </w:r>
    </w:p>
    <w:p w14:paraId="09F0CAAF">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18583  室内装饰装修材料  胶粘剂中有害物质限量</w:t>
      </w:r>
    </w:p>
    <w:p w14:paraId="007C6FB2">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18584  室内装饰装修材料  木家具中有害物质限量</w:t>
      </w:r>
    </w:p>
    <w:p w14:paraId="3EBD3BB7">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18585  室内装饰装修材料  壁纸中有害物质限量</w:t>
      </w:r>
    </w:p>
    <w:p w14:paraId="2F1B6FCA">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18586  室内装饰装修材料  聚氯乙烯卷材地板中有害物质限量</w:t>
      </w:r>
    </w:p>
    <w:p w14:paraId="59FD1FE0">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18587  室内装饰装修材料  地毯、地毯衬垫及地毯胶粘剂有害物质释放限量</w:t>
      </w:r>
    </w:p>
    <w:p w14:paraId="631A14B6">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18588  混凝土外加剂中释放氨的限量</w:t>
      </w:r>
    </w:p>
    <w:p w14:paraId="61EE627B">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50016  建筑设计防火规范</w:t>
      </w:r>
    </w:p>
    <w:p w14:paraId="76CAEDF5">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50222  建筑内部装修设计防火规范</w:t>
      </w:r>
    </w:p>
    <w:p w14:paraId="147F0DC9">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50300  建筑工程施工质量验收统一标准</w:t>
      </w:r>
    </w:p>
    <w:p w14:paraId="5AAD7720">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50325  民用建筑工程室内环境污染控制标准</w:t>
      </w:r>
    </w:p>
    <w:p w14:paraId="4A6CF391">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GB 50763  无障碍设计规范</w:t>
      </w:r>
    </w:p>
    <w:p w14:paraId="490244FC">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DB33/T 0206  社会救助家庭评估规范</w:t>
      </w:r>
    </w:p>
    <w:p w14:paraId="1CA3231A">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GB" w:eastAsia="zh-CN"/>
        </w:rPr>
      </w:pPr>
      <w:r>
        <w:rPr>
          <w:rFonts w:hint="eastAsia" w:asciiTheme="minorEastAsia" w:hAnsiTheme="minorEastAsia" w:eastAsiaTheme="minorEastAsia" w:cstheme="minorEastAsia"/>
          <w:bCs/>
          <w:sz w:val="21"/>
          <w:szCs w:val="21"/>
          <w:highlight w:val="none"/>
          <w:lang w:val="en-US" w:eastAsia="zh-CN"/>
        </w:rPr>
        <w:t>DB33/T 00329.1  社会救助家庭家境调查规范  第1部分：工作程序</w:t>
      </w:r>
    </w:p>
    <w:bookmarkEnd w:id="21"/>
    <w:p w14:paraId="19690AD6">
      <w:pPr>
        <w:pStyle w:val="4"/>
        <w:pageBreakBefore w:val="0"/>
        <w:tabs>
          <w:tab w:val="left" w:pos="432"/>
        </w:tabs>
        <w:kinsoku/>
        <w:wordWrap/>
        <w:overflowPunct/>
        <w:topLinePunct w:val="0"/>
        <w:bidi w:val="0"/>
        <w:adjustRightInd w:val="0"/>
        <w:snapToGrid w:val="0"/>
        <w:spacing w:before="0" w:after="0" w:line="360" w:lineRule="auto"/>
        <w:ind w:firstLine="422" w:firstLineChars="200"/>
        <w:jc w:val="both"/>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GB"/>
        </w:rPr>
        <w:t>三、主要内容</w:t>
      </w:r>
    </w:p>
    <w:p w14:paraId="688A2101">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（一）实施范围。2025年计划实施改造对象30户，资金由市民政局统筹慈善资金予以保障。</w:t>
      </w:r>
    </w:p>
    <w:p w14:paraId="38180E15">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（二）实施标准。善居工程改造基础标准为1.6万元/户（不含项目管理费用）。具体改造投入可根据改造家庭的实际情况上下浮动，</w:t>
      </w:r>
      <w:r>
        <w:rPr>
          <w:rFonts w:hint="eastAsia" w:asciiTheme="minorEastAsia" w:hAnsiTheme="minorEastAsia" w:eastAsiaTheme="minorEastAsia" w:cstheme="minorEastAsia"/>
          <w:bCs/>
          <w:sz w:val="21"/>
          <w:szCs w:val="21"/>
          <w:highlight w:val="none"/>
          <w:u w:val="none"/>
          <w:lang w:val="en-US" w:eastAsia="zh-CN"/>
        </w:rPr>
        <w:t>改造费用按实结算。</w:t>
      </w:r>
    </w:p>
    <w:p w14:paraId="5BFF8FA0">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三）实施内容。善居工程以满足低保家庭基本生活需求为导向，着重对居住空间（含客厅、卧室、厨房、卫生间、楼梯过道等）及其使用功能进行基础改造。实施时，应根据改造家庭的实际情况，制定“一户一策”的改造方案。具体内容如下：</w:t>
      </w:r>
    </w:p>
    <w:p w14:paraId="2051BE20">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1.生活设施安全。包括水电管网、地面通行改造，有老年人的家庭按适老化改造要求实施。</w:t>
      </w:r>
    </w:p>
    <w:p w14:paraId="57E52F28">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2.室内环境整洁。包括室内墙面顶面、灯光照明、门窗改造等。</w:t>
      </w:r>
    </w:p>
    <w:p w14:paraId="46735587">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3.居住条件改善。包括卫浴、厨房改造，生活必需的家具、家电等。每户改造家庭施工类占比原则上不少于60% 。</w:t>
      </w:r>
    </w:p>
    <w:p w14:paraId="7689BE37">
      <w:pPr>
        <w:pageBreakBefore w:val="0"/>
        <w:kinsoku/>
        <w:wordWrap/>
        <w:overflowPunct/>
        <w:topLinePunct w:val="0"/>
        <w:autoSpaceDE w:val="0"/>
        <w:autoSpaceDN w:val="0"/>
        <w:bidi w:val="0"/>
        <w:adjustRightInd w:val="0"/>
        <w:snapToGrid w:val="0"/>
        <w:spacing w:line="360" w:lineRule="auto"/>
        <w:ind w:firstLine="422" w:firstLineChars="200"/>
        <w:jc w:val="left"/>
        <w:textAlignment w:val="bottom"/>
        <w:rPr>
          <w:rFonts w:hint="eastAsia" w:asciiTheme="minorEastAsia" w:hAnsiTheme="minorEastAsia" w:eastAsiaTheme="minorEastAsia" w:cstheme="minorEastAsia"/>
          <w:b/>
          <w:bCs w:val="0"/>
          <w:sz w:val="21"/>
          <w:szCs w:val="21"/>
          <w:highlight w:val="none"/>
          <w:lang w:val="en-US" w:eastAsia="zh-CN"/>
        </w:rPr>
      </w:pPr>
      <w:r>
        <w:rPr>
          <w:rFonts w:hint="eastAsia" w:asciiTheme="minorEastAsia" w:hAnsiTheme="minorEastAsia" w:eastAsiaTheme="minorEastAsia" w:cstheme="minorEastAsia"/>
          <w:b/>
          <w:bCs w:val="0"/>
          <w:sz w:val="21"/>
          <w:szCs w:val="21"/>
          <w:highlight w:val="none"/>
          <w:lang w:val="en-US" w:eastAsia="zh-CN"/>
        </w:rPr>
        <w:t>四、工作原则</w:t>
      </w:r>
    </w:p>
    <w:p w14:paraId="6BF1BA6C">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居室改善应以安全、宜居、适用、长效为目标，并遵循下列原则：</w:t>
      </w:r>
    </w:p>
    <w:p w14:paraId="1DCB7327">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（一）坚持以人为本的原则。根据实施对象居住情况和个体需求，分类施策、一户一案，在有限的预算内选择最适合、最迫切的家庭进行</w:t>
      </w:r>
      <w:r>
        <w:rPr>
          <w:rFonts w:hint="eastAsia" w:asciiTheme="minorEastAsia" w:hAnsiTheme="minorEastAsia" w:eastAsiaTheme="minorEastAsia" w:cstheme="minorEastAsia"/>
          <w:bCs/>
          <w:sz w:val="21"/>
          <w:szCs w:val="21"/>
          <w:highlight w:val="none"/>
          <w:lang w:eastAsia="zh-CN"/>
        </w:rPr>
        <w:t>改善</w:t>
      </w:r>
      <w:r>
        <w:rPr>
          <w:rFonts w:hint="eastAsia" w:asciiTheme="minorEastAsia" w:hAnsiTheme="minorEastAsia" w:eastAsiaTheme="minorEastAsia" w:cstheme="minorEastAsia"/>
          <w:bCs/>
          <w:sz w:val="21"/>
          <w:szCs w:val="21"/>
          <w:highlight w:val="none"/>
        </w:rPr>
        <w:t>，要在“安全、</w:t>
      </w:r>
      <w:r>
        <w:rPr>
          <w:rFonts w:hint="eastAsia" w:asciiTheme="minorEastAsia" w:hAnsiTheme="minorEastAsia" w:eastAsiaTheme="minorEastAsia" w:cstheme="minorEastAsia"/>
          <w:bCs/>
          <w:sz w:val="21"/>
          <w:szCs w:val="21"/>
          <w:highlight w:val="none"/>
          <w:lang w:eastAsia="zh-CN"/>
        </w:rPr>
        <w:t>宜居、</w:t>
      </w:r>
      <w:r>
        <w:rPr>
          <w:rFonts w:hint="eastAsia" w:asciiTheme="minorEastAsia" w:hAnsiTheme="minorEastAsia" w:eastAsiaTheme="minorEastAsia" w:cstheme="minorEastAsia"/>
          <w:bCs/>
          <w:sz w:val="21"/>
          <w:szCs w:val="21"/>
          <w:highlight w:val="none"/>
          <w:lang w:val="en-US" w:eastAsia="zh-CN"/>
        </w:rPr>
        <w:t>宜养</w:t>
      </w:r>
      <w:r>
        <w:rPr>
          <w:rFonts w:hint="eastAsia" w:asciiTheme="minorEastAsia" w:hAnsiTheme="minorEastAsia" w:eastAsiaTheme="minorEastAsia" w:cstheme="minorEastAsia"/>
          <w:bCs/>
          <w:sz w:val="21"/>
          <w:szCs w:val="21"/>
          <w:highlight w:val="none"/>
        </w:rPr>
        <w:t>”上下功夫，切实提升困难家庭居住质量。</w:t>
      </w:r>
    </w:p>
    <w:p w14:paraId="43E93F5C">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（二）坚持自愿</w:t>
      </w:r>
      <w:r>
        <w:rPr>
          <w:rFonts w:hint="eastAsia" w:asciiTheme="minorEastAsia" w:hAnsiTheme="minorEastAsia" w:eastAsiaTheme="minorEastAsia" w:cstheme="minorEastAsia"/>
          <w:bCs/>
          <w:sz w:val="21"/>
          <w:szCs w:val="21"/>
          <w:highlight w:val="none"/>
          <w:lang w:eastAsia="zh-CN"/>
        </w:rPr>
        <w:t>改善</w:t>
      </w:r>
      <w:r>
        <w:rPr>
          <w:rFonts w:hint="eastAsia" w:asciiTheme="minorEastAsia" w:hAnsiTheme="minorEastAsia" w:eastAsiaTheme="minorEastAsia" w:cstheme="minorEastAsia"/>
          <w:bCs/>
          <w:sz w:val="21"/>
          <w:szCs w:val="21"/>
          <w:highlight w:val="none"/>
        </w:rPr>
        <w:t>的原则。实施对象及其家庭成员必须自愿申请，接受和遵循住房</w:t>
      </w:r>
      <w:r>
        <w:rPr>
          <w:rFonts w:hint="eastAsia" w:asciiTheme="minorEastAsia" w:hAnsiTheme="minorEastAsia" w:eastAsiaTheme="minorEastAsia" w:cstheme="minorEastAsia"/>
          <w:bCs/>
          <w:sz w:val="21"/>
          <w:szCs w:val="21"/>
          <w:highlight w:val="none"/>
          <w:lang w:eastAsia="zh-CN"/>
        </w:rPr>
        <w:t>改善</w:t>
      </w:r>
      <w:r>
        <w:rPr>
          <w:rFonts w:hint="eastAsia" w:asciiTheme="minorEastAsia" w:hAnsiTheme="minorEastAsia" w:eastAsiaTheme="minorEastAsia" w:cstheme="minorEastAsia"/>
          <w:bCs/>
          <w:sz w:val="21"/>
          <w:szCs w:val="21"/>
          <w:highlight w:val="none"/>
        </w:rPr>
        <w:t>前后的约定条件，签署有关协议并承担相应义务。</w:t>
      </w:r>
    </w:p>
    <w:p w14:paraId="3B06C811">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（三）坚持不影响公共利益的原则。确定实施对象住房条件与环境要符合被提升</w:t>
      </w:r>
      <w:r>
        <w:rPr>
          <w:rFonts w:hint="eastAsia" w:asciiTheme="minorEastAsia" w:hAnsiTheme="minorEastAsia" w:eastAsiaTheme="minorEastAsia" w:cstheme="minorEastAsia"/>
          <w:bCs/>
          <w:sz w:val="21"/>
          <w:szCs w:val="21"/>
          <w:highlight w:val="none"/>
          <w:lang w:eastAsia="zh-CN"/>
        </w:rPr>
        <w:t>改善</w:t>
      </w:r>
      <w:r>
        <w:rPr>
          <w:rFonts w:hint="eastAsia" w:asciiTheme="minorEastAsia" w:hAnsiTheme="minorEastAsia" w:eastAsiaTheme="minorEastAsia" w:cstheme="minorEastAsia"/>
          <w:bCs/>
          <w:sz w:val="21"/>
          <w:szCs w:val="21"/>
          <w:highlight w:val="none"/>
        </w:rPr>
        <w:t>的环境与结构要求，特别要注意不能占用公用区域或影响他人生活和使用。</w:t>
      </w:r>
    </w:p>
    <w:p w14:paraId="67869CF9">
      <w:pPr>
        <w:pageBreakBefore w:val="0"/>
        <w:kinsoku/>
        <w:wordWrap/>
        <w:overflowPunct/>
        <w:topLinePunct w:val="0"/>
        <w:autoSpaceDE w:val="0"/>
        <w:autoSpaceDN w:val="0"/>
        <w:bidi w:val="0"/>
        <w:adjustRightInd w:val="0"/>
        <w:snapToGrid w:val="0"/>
        <w:spacing w:line="360" w:lineRule="auto"/>
        <w:ind w:firstLine="422" w:firstLineChars="200"/>
        <w:jc w:val="left"/>
        <w:textAlignment w:val="bottom"/>
        <w:rPr>
          <w:rFonts w:hint="eastAsia" w:asciiTheme="minorEastAsia" w:hAnsiTheme="minorEastAsia" w:eastAsiaTheme="minorEastAsia" w:cstheme="minorEastAsia"/>
          <w:b/>
          <w:bCs w:val="0"/>
          <w:sz w:val="21"/>
          <w:szCs w:val="21"/>
          <w:highlight w:val="none"/>
          <w:lang w:val="en-US"/>
        </w:rPr>
      </w:pPr>
      <w:r>
        <w:rPr>
          <w:rFonts w:hint="eastAsia" w:asciiTheme="minorEastAsia" w:hAnsiTheme="minorEastAsia" w:eastAsiaTheme="minorEastAsia" w:cstheme="minorEastAsia"/>
          <w:b/>
          <w:bCs w:val="0"/>
          <w:sz w:val="21"/>
          <w:szCs w:val="21"/>
          <w:highlight w:val="none"/>
          <w:lang w:val="en-US" w:eastAsia="zh-CN"/>
        </w:rPr>
        <w:t>五</w:t>
      </w:r>
      <w:r>
        <w:rPr>
          <w:rFonts w:hint="eastAsia" w:asciiTheme="minorEastAsia" w:hAnsiTheme="minorEastAsia" w:eastAsiaTheme="minorEastAsia" w:cstheme="minorEastAsia"/>
          <w:b/>
          <w:bCs w:val="0"/>
          <w:sz w:val="21"/>
          <w:szCs w:val="21"/>
          <w:highlight w:val="none"/>
        </w:rPr>
        <w:t>、</w:t>
      </w:r>
      <w:r>
        <w:rPr>
          <w:rFonts w:hint="eastAsia" w:asciiTheme="minorEastAsia" w:hAnsiTheme="minorEastAsia" w:eastAsiaTheme="minorEastAsia" w:cstheme="minorEastAsia"/>
          <w:b/>
          <w:bCs w:val="0"/>
          <w:sz w:val="21"/>
          <w:szCs w:val="21"/>
          <w:highlight w:val="none"/>
          <w:lang w:val="en-US" w:eastAsia="zh-CN"/>
        </w:rPr>
        <w:t>实施对象</w:t>
      </w:r>
    </w:p>
    <w:p w14:paraId="30ED4890">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以低保家庭为重点，优先安排有儿童、残疾人、见义勇为人员的低保家庭和生活相对困难的退役军人家庭，可扩大到分散孤寡特困人员和低边、困境儿童、困难残疾人等家庭。支出型贫困家庭、渐退期人员的家庭，不列入实施对象。租赁房屋（不含廉租房、公租房）、房屋近 2 年内需拆除以及不具备改造条件的危房，不列入实施范围。</w:t>
      </w:r>
    </w:p>
    <w:p w14:paraId="7C9D4786">
      <w:pPr>
        <w:pageBreakBefore w:val="0"/>
        <w:kinsoku/>
        <w:wordWrap/>
        <w:overflowPunct/>
        <w:topLinePunct w:val="0"/>
        <w:autoSpaceDE w:val="0"/>
        <w:autoSpaceDN w:val="0"/>
        <w:bidi w:val="0"/>
        <w:adjustRightInd w:val="0"/>
        <w:snapToGrid w:val="0"/>
        <w:spacing w:line="360" w:lineRule="auto"/>
        <w:ind w:firstLine="422" w:firstLineChars="200"/>
        <w:jc w:val="left"/>
        <w:textAlignment w:val="bottom"/>
        <w:rPr>
          <w:rFonts w:hint="eastAsia" w:asciiTheme="minorEastAsia" w:hAnsiTheme="minorEastAsia" w:eastAsiaTheme="minorEastAsia" w:cstheme="minorEastAsia"/>
          <w:b/>
          <w:bCs w:val="0"/>
          <w:sz w:val="21"/>
          <w:szCs w:val="21"/>
          <w:highlight w:val="none"/>
          <w:lang w:val="en-US" w:eastAsia="zh-CN"/>
        </w:rPr>
      </w:pPr>
      <w:r>
        <w:rPr>
          <w:rFonts w:hint="eastAsia" w:asciiTheme="minorEastAsia" w:hAnsiTheme="minorEastAsia" w:eastAsiaTheme="minorEastAsia" w:cstheme="minorEastAsia"/>
          <w:b/>
          <w:bCs w:val="0"/>
          <w:sz w:val="21"/>
          <w:szCs w:val="21"/>
          <w:highlight w:val="none"/>
          <w:lang w:val="en-US" w:eastAsia="zh-CN"/>
        </w:rPr>
        <w:t>六</w:t>
      </w:r>
      <w:r>
        <w:rPr>
          <w:rFonts w:hint="eastAsia" w:asciiTheme="minorEastAsia" w:hAnsiTheme="minorEastAsia" w:eastAsiaTheme="minorEastAsia" w:cstheme="minorEastAsia"/>
          <w:b/>
          <w:bCs w:val="0"/>
          <w:sz w:val="21"/>
          <w:szCs w:val="21"/>
          <w:highlight w:val="none"/>
        </w:rPr>
        <w:t>、</w:t>
      </w:r>
      <w:r>
        <w:rPr>
          <w:rFonts w:hint="eastAsia" w:asciiTheme="minorEastAsia" w:hAnsiTheme="minorEastAsia" w:eastAsiaTheme="minorEastAsia" w:cstheme="minorEastAsia"/>
          <w:b/>
          <w:bCs w:val="0"/>
          <w:sz w:val="21"/>
          <w:szCs w:val="21"/>
          <w:highlight w:val="none"/>
          <w:lang w:val="en-US" w:eastAsia="zh-CN"/>
        </w:rPr>
        <w:t>改善内容</w:t>
      </w:r>
    </w:p>
    <w:p w14:paraId="29F423DD">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bookmarkStart w:id="22" w:name="_Toc105167547"/>
      <w:r>
        <w:rPr>
          <w:rFonts w:hint="eastAsia" w:asciiTheme="minorEastAsia" w:hAnsiTheme="minorEastAsia" w:eastAsiaTheme="minorEastAsia" w:cstheme="minorEastAsia"/>
          <w:bCs/>
          <w:sz w:val="21"/>
          <w:szCs w:val="21"/>
          <w:highlight w:val="none"/>
          <w:lang w:val="en-US" w:eastAsia="zh-CN"/>
        </w:rPr>
        <w:t>实施“善居工程”要坚持以保基本、促公平、重效率为原则，以打造“安全、宜居、洁净、便利”的生活场景为目标，围绕困难群众居住现状和个性化需求制定“一户一策”具体改善方案，做到程序规范、科学合理、注重实效。</w:t>
      </w:r>
    </w:p>
    <w:p w14:paraId="219FA998">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rPr>
        <w:t>安全改善</w:t>
      </w:r>
      <w:bookmarkEnd w:id="22"/>
      <w:r>
        <w:rPr>
          <w:rFonts w:hint="eastAsia" w:asciiTheme="minorEastAsia" w:hAnsiTheme="minorEastAsia" w:eastAsiaTheme="minorEastAsia" w:cstheme="minorEastAsia"/>
          <w:bCs/>
          <w:sz w:val="21"/>
          <w:szCs w:val="21"/>
          <w:highlight w:val="none"/>
          <w:lang w:val="en-US" w:eastAsia="zh-CN"/>
        </w:rPr>
        <w:t>宜</w:t>
      </w:r>
      <w:r>
        <w:rPr>
          <w:rFonts w:hint="eastAsia" w:asciiTheme="minorEastAsia" w:hAnsiTheme="minorEastAsia" w:eastAsiaTheme="minorEastAsia" w:cstheme="minorEastAsia"/>
          <w:bCs/>
          <w:sz w:val="21"/>
          <w:szCs w:val="21"/>
          <w:highlight w:val="none"/>
        </w:rPr>
        <w:t>包括下列内容：</w:t>
      </w:r>
    </w:p>
    <w:p w14:paraId="311DBE1A">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a)</w:t>
      </w:r>
      <w:r>
        <w:rPr>
          <w:rFonts w:hint="eastAsia" w:asciiTheme="minorEastAsia" w:hAnsiTheme="minorEastAsia" w:eastAsiaTheme="minorEastAsia" w:cstheme="minorEastAsia"/>
          <w:bCs/>
          <w:sz w:val="21"/>
          <w:szCs w:val="21"/>
          <w:highlight w:val="none"/>
        </w:rPr>
        <w:tab/>
      </w:r>
      <w:r>
        <w:rPr>
          <w:rFonts w:hint="eastAsia" w:asciiTheme="minorEastAsia" w:hAnsiTheme="minorEastAsia" w:eastAsiaTheme="minorEastAsia" w:cstheme="minorEastAsia"/>
          <w:bCs/>
          <w:sz w:val="21"/>
          <w:szCs w:val="21"/>
          <w:highlight w:val="none"/>
        </w:rPr>
        <w:t xml:space="preserve">用电安全：电路设置较为合理，解决线路老化、裸露、杂乱等问题； </w:t>
      </w:r>
    </w:p>
    <w:p w14:paraId="6DEFDE25">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b)</w:t>
      </w:r>
      <w:r>
        <w:rPr>
          <w:rFonts w:hint="eastAsia" w:asciiTheme="minorEastAsia" w:hAnsiTheme="minorEastAsia" w:eastAsiaTheme="minorEastAsia" w:cstheme="minorEastAsia"/>
          <w:bCs/>
          <w:sz w:val="21"/>
          <w:szCs w:val="21"/>
          <w:highlight w:val="none"/>
        </w:rPr>
        <w:tab/>
      </w:r>
      <w:r>
        <w:rPr>
          <w:rFonts w:hint="eastAsia" w:asciiTheme="minorEastAsia" w:hAnsiTheme="minorEastAsia" w:eastAsiaTheme="minorEastAsia" w:cstheme="minorEastAsia"/>
          <w:bCs/>
          <w:sz w:val="21"/>
          <w:szCs w:val="21"/>
          <w:highlight w:val="none"/>
        </w:rPr>
        <w:t>用水安全：解决因水管老化带来的异味、杂质等问题；</w:t>
      </w:r>
    </w:p>
    <w:p w14:paraId="52D2812C">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c)</w:t>
      </w:r>
      <w:r>
        <w:rPr>
          <w:rFonts w:hint="eastAsia" w:asciiTheme="minorEastAsia" w:hAnsiTheme="minorEastAsia" w:eastAsiaTheme="minorEastAsia" w:cstheme="minorEastAsia"/>
          <w:bCs/>
          <w:sz w:val="21"/>
          <w:szCs w:val="21"/>
          <w:highlight w:val="none"/>
        </w:rPr>
        <w:tab/>
      </w:r>
      <w:r>
        <w:rPr>
          <w:rFonts w:hint="eastAsia" w:asciiTheme="minorEastAsia" w:hAnsiTheme="minorEastAsia" w:eastAsiaTheme="minorEastAsia" w:cstheme="minorEastAsia"/>
          <w:bCs/>
          <w:sz w:val="21"/>
          <w:szCs w:val="21"/>
          <w:highlight w:val="none"/>
        </w:rPr>
        <w:t>排水安全：解决因堵塞带来的卫生间、厨房等排水不畅问题；</w:t>
      </w:r>
    </w:p>
    <w:p w14:paraId="6E5E40BE">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d)</w:t>
      </w:r>
      <w:r>
        <w:rPr>
          <w:rFonts w:hint="eastAsia" w:asciiTheme="minorEastAsia" w:hAnsiTheme="minorEastAsia" w:eastAsiaTheme="minorEastAsia" w:cstheme="minorEastAsia"/>
          <w:bCs/>
          <w:sz w:val="21"/>
          <w:szCs w:val="21"/>
          <w:highlight w:val="none"/>
        </w:rPr>
        <w:tab/>
      </w:r>
      <w:r>
        <w:rPr>
          <w:rFonts w:hint="eastAsia" w:asciiTheme="minorEastAsia" w:hAnsiTheme="minorEastAsia" w:eastAsiaTheme="minorEastAsia" w:cstheme="minorEastAsia"/>
          <w:bCs/>
          <w:sz w:val="21"/>
          <w:szCs w:val="21"/>
          <w:highlight w:val="none"/>
        </w:rPr>
        <w:t xml:space="preserve">能源安全：使用清洁能源，解决管道老化等问题。 </w:t>
      </w:r>
    </w:p>
    <w:p w14:paraId="332FC25D">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bookmarkStart w:id="23" w:name="_Toc105167548"/>
      <w:r>
        <w:rPr>
          <w:rFonts w:hint="eastAsia" w:asciiTheme="minorEastAsia" w:hAnsiTheme="minorEastAsia" w:eastAsia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rPr>
        <w:t>宜居改善</w:t>
      </w:r>
      <w:bookmarkEnd w:id="23"/>
      <w:r>
        <w:rPr>
          <w:rFonts w:hint="eastAsia" w:asciiTheme="minorEastAsia" w:hAnsiTheme="minorEastAsia" w:eastAsiaTheme="minorEastAsia" w:cstheme="minorEastAsia"/>
          <w:bCs/>
          <w:sz w:val="21"/>
          <w:szCs w:val="21"/>
          <w:highlight w:val="none"/>
          <w:lang w:val="en-US" w:eastAsia="zh-CN"/>
        </w:rPr>
        <w:t>宜</w:t>
      </w:r>
      <w:r>
        <w:rPr>
          <w:rFonts w:hint="eastAsia" w:asciiTheme="minorEastAsia" w:hAnsiTheme="minorEastAsia" w:eastAsiaTheme="minorEastAsia" w:cstheme="minorEastAsia"/>
          <w:bCs/>
          <w:sz w:val="21"/>
          <w:szCs w:val="21"/>
          <w:highlight w:val="none"/>
        </w:rPr>
        <w:t>包括下列内容：</w:t>
      </w:r>
    </w:p>
    <w:p w14:paraId="3616F45F">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 xml:space="preserve"> </w:t>
      </w:r>
      <w:r>
        <w:rPr>
          <w:rFonts w:hint="eastAsia" w:asciiTheme="minorEastAsia" w:hAnsiTheme="minorEastAsia" w:eastAsiaTheme="minorEastAsia" w:cstheme="minorEastAsia"/>
          <w:bCs/>
          <w:sz w:val="21"/>
          <w:szCs w:val="21"/>
          <w:highlight w:val="none"/>
        </w:rPr>
        <w:t>如厕洗浴：地面防滑，能便捷如厕和洗浴，避免受伤；</w:t>
      </w:r>
    </w:p>
    <w:p w14:paraId="36A17B34">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b)</w:t>
      </w:r>
      <w:r>
        <w:rPr>
          <w:rFonts w:hint="eastAsia" w:asciiTheme="minorEastAsia" w:hAnsiTheme="minorEastAsia" w:eastAsiaTheme="minorEastAsia" w:cstheme="minorEastAsia"/>
          <w:bCs/>
          <w:sz w:val="21"/>
          <w:szCs w:val="21"/>
          <w:highlight w:val="none"/>
        </w:rPr>
        <w:tab/>
      </w:r>
      <w:r>
        <w:rPr>
          <w:rFonts w:hint="eastAsia" w:asciiTheme="minorEastAsia" w:hAnsiTheme="minorEastAsia" w:eastAsiaTheme="minorEastAsia" w:cstheme="minorEastAsia"/>
          <w:bCs/>
          <w:sz w:val="21"/>
          <w:szCs w:val="21"/>
          <w:highlight w:val="none"/>
        </w:rPr>
        <w:t>室内行走：地面平整无高差，方便行走；</w:t>
      </w:r>
    </w:p>
    <w:p w14:paraId="1B56EBD4">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c)</w:t>
      </w:r>
      <w:r>
        <w:rPr>
          <w:rFonts w:hint="eastAsia" w:asciiTheme="minorEastAsia" w:hAnsiTheme="minorEastAsia" w:eastAsiaTheme="minorEastAsia" w:cstheme="minorEastAsia"/>
          <w:bCs/>
          <w:sz w:val="21"/>
          <w:szCs w:val="21"/>
          <w:highlight w:val="none"/>
        </w:rPr>
        <w:tab/>
      </w:r>
      <w:r>
        <w:rPr>
          <w:rFonts w:hint="eastAsia" w:asciiTheme="minorEastAsia" w:hAnsiTheme="minorEastAsia" w:eastAsiaTheme="minorEastAsia" w:cstheme="minorEastAsia"/>
          <w:bCs/>
          <w:sz w:val="21"/>
          <w:szCs w:val="21"/>
          <w:highlight w:val="none"/>
        </w:rPr>
        <w:t>环境整洁：光照良好，空气流通，墙面洁净；</w:t>
      </w:r>
    </w:p>
    <w:p w14:paraId="7DEEE8F7">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d)</w:t>
      </w:r>
      <w:r>
        <w:rPr>
          <w:rFonts w:hint="eastAsia" w:asciiTheme="minorEastAsia" w:hAnsiTheme="minorEastAsia" w:eastAsiaTheme="minorEastAsia" w:cstheme="minorEastAsia"/>
          <w:bCs/>
          <w:sz w:val="21"/>
          <w:szCs w:val="21"/>
          <w:highlight w:val="none"/>
        </w:rPr>
        <w:tab/>
      </w:r>
      <w:r>
        <w:rPr>
          <w:rFonts w:hint="eastAsia" w:asciiTheme="minorEastAsia" w:hAnsiTheme="minorEastAsia" w:eastAsiaTheme="minorEastAsia" w:cstheme="minorEastAsia"/>
          <w:bCs/>
          <w:sz w:val="21"/>
          <w:szCs w:val="21"/>
          <w:highlight w:val="none"/>
        </w:rPr>
        <w:t>家具配备：必要的家具齐全且能正常使用；</w:t>
      </w:r>
    </w:p>
    <w:p w14:paraId="375600C1">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e)</w:t>
      </w:r>
      <w:r>
        <w:rPr>
          <w:rFonts w:hint="eastAsia" w:asciiTheme="minorEastAsia" w:hAnsiTheme="minorEastAsia" w:eastAsiaTheme="minorEastAsia" w:cstheme="minorEastAsia"/>
          <w:bCs/>
          <w:sz w:val="21"/>
          <w:szCs w:val="21"/>
          <w:highlight w:val="none"/>
        </w:rPr>
        <w:tab/>
      </w:r>
      <w:r>
        <w:rPr>
          <w:rFonts w:hint="eastAsia" w:asciiTheme="minorEastAsia" w:hAnsiTheme="minorEastAsia" w:eastAsiaTheme="minorEastAsia" w:cstheme="minorEastAsia"/>
          <w:bCs/>
          <w:sz w:val="21"/>
          <w:szCs w:val="21"/>
          <w:highlight w:val="none"/>
        </w:rPr>
        <w:t>家电配备：必要的家电齐全且能正常使用。</w:t>
      </w:r>
    </w:p>
    <w:p w14:paraId="3F59C0BB">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bookmarkStart w:id="24" w:name="_Toc105167549"/>
      <w:bookmarkStart w:id="25" w:name="_Toc104407498"/>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rPr>
        <w:t>宜养改善</w:t>
      </w:r>
      <w:bookmarkEnd w:id="24"/>
      <w:bookmarkEnd w:id="25"/>
    </w:p>
    <w:p w14:paraId="5B4A1CF8">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综合儿童、老人、残疾人等特殊对象的行为习惯、身体状况、心理特点等因素，按需改善。宜包括下列内容：</w:t>
      </w:r>
    </w:p>
    <w:p w14:paraId="6D31CC08">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a)</w:t>
      </w:r>
      <w:r>
        <w:rPr>
          <w:rFonts w:hint="eastAsia" w:asciiTheme="minorEastAsia" w:hAnsiTheme="minorEastAsia" w:eastAsiaTheme="minorEastAsia" w:cstheme="minorEastAsia"/>
          <w:bCs/>
          <w:sz w:val="21"/>
          <w:szCs w:val="21"/>
          <w:highlight w:val="none"/>
        </w:rPr>
        <w:tab/>
      </w:r>
      <w:r>
        <w:rPr>
          <w:rFonts w:hint="eastAsia" w:asciiTheme="minorEastAsia" w:hAnsiTheme="minorEastAsia" w:eastAsiaTheme="minorEastAsia" w:cstheme="minorEastAsia"/>
          <w:bCs/>
          <w:sz w:val="21"/>
          <w:szCs w:val="21"/>
          <w:highlight w:val="none"/>
        </w:rPr>
        <w:t>智能监测：配置水、电、气安全等技防设备，加强特殊对象的安全监护；</w:t>
      </w:r>
    </w:p>
    <w:p w14:paraId="49F6673B">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b)</w:t>
      </w:r>
      <w:r>
        <w:rPr>
          <w:rFonts w:hint="eastAsia" w:asciiTheme="minorEastAsia" w:hAnsiTheme="minorEastAsia" w:eastAsiaTheme="minorEastAsia" w:cstheme="minorEastAsia"/>
          <w:bCs/>
          <w:sz w:val="21"/>
          <w:szCs w:val="21"/>
          <w:highlight w:val="none"/>
        </w:rPr>
        <w:tab/>
      </w:r>
      <w:r>
        <w:rPr>
          <w:rFonts w:hint="eastAsia" w:asciiTheme="minorEastAsia" w:hAnsiTheme="minorEastAsia" w:eastAsiaTheme="minorEastAsia" w:cstheme="minorEastAsia"/>
          <w:bCs/>
          <w:sz w:val="21"/>
          <w:szCs w:val="21"/>
          <w:highlight w:val="none"/>
        </w:rPr>
        <w:t>适老助残：配置与适老化、无障碍改善有关的设施设备；</w:t>
      </w:r>
    </w:p>
    <w:p w14:paraId="0A06ED0C">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c)</w:t>
      </w:r>
      <w:r>
        <w:rPr>
          <w:rFonts w:hint="eastAsia" w:asciiTheme="minorEastAsia" w:hAnsiTheme="minorEastAsia" w:eastAsiaTheme="minorEastAsia" w:cstheme="minorEastAsia"/>
          <w:bCs/>
          <w:sz w:val="21"/>
          <w:szCs w:val="21"/>
          <w:highlight w:val="none"/>
          <w:lang w:val="en-US" w:eastAsia="zh-CN"/>
        </w:rPr>
        <w:t xml:space="preserve">  </w:t>
      </w:r>
      <w:r>
        <w:rPr>
          <w:rFonts w:hint="eastAsia" w:asciiTheme="minorEastAsia" w:hAnsiTheme="minorEastAsia" w:eastAsiaTheme="minorEastAsia" w:cstheme="minorEastAsia"/>
          <w:bCs/>
          <w:sz w:val="21"/>
          <w:szCs w:val="21"/>
          <w:highlight w:val="none"/>
        </w:rPr>
        <w:t>儿童成长环境：改善儿童生活学习空间，购置必要的儿童学习设施设备。</w:t>
      </w:r>
    </w:p>
    <w:p w14:paraId="6E844C79">
      <w:pPr>
        <w:pageBreakBefore w:val="0"/>
        <w:kinsoku/>
        <w:wordWrap/>
        <w:overflowPunct/>
        <w:topLinePunct w:val="0"/>
        <w:autoSpaceDE w:val="0"/>
        <w:autoSpaceDN w:val="0"/>
        <w:bidi w:val="0"/>
        <w:adjustRightInd w:val="0"/>
        <w:snapToGrid w:val="0"/>
        <w:spacing w:line="360" w:lineRule="auto"/>
        <w:ind w:firstLine="422" w:firstLineChars="200"/>
        <w:jc w:val="left"/>
        <w:textAlignment w:val="bottom"/>
        <w:rPr>
          <w:rFonts w:hint="eastAsia" w:asciiTheme="minorEastAsia" w:hAnsiTheme="minorEastAsia" w:eastAsiaTheme="minorEastAsia" w:cstheme="minorEastAsia"/>
          <w:b/>
          <w:bCs w:val="0"/>
          <w:sz w:val="21"/>
          <w:szCs w:val="21"/>
          <w:highlight w:val="none"/>
          <w:lang w:val="en-US" w:eastAsia="zh-CN"/>
        </w:rPr>
      </w:pPr>
      <w:r>
        <w:rPr>
          <w:rFonts w:hint="eastAsia" w:asciiTheme="minorEastAsia" w:hAnsiTheme="minorEastAsia" w:eastAsiaTheme="minorEastAsia" w:cstheme="minorEastAsia"/>
          <w:b/>
          <w:bCs w:val="0"/>
          <w:sz w:val="21"/>
          <w:szCs w:val="21"/>
          <w:highlight w:val="none"/>
          <w:lang w:val="en-US" w:eastAsia="zh-CN"/>
        </w:rPr>
        <w:t>七、台账档案资料</w:t>
      </w:r>
    </w:p>
    <w:p w14:paraId="30FEF19D">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1、项目实施过程中，按一户一档的要求，成交供应商负责建立完整的改造档案，完整保留改造信息，包括审批表、需求评估表、方案确认表、前后对比档案、验收表等各项资料由成交供应商负责制作，表单格式及数量按采购单位要求。</w:t>
      </w:r>
    </w:p>
    <w:p w14:paraId="0A8071A0">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2、成交供应商应确保前后照片及各项资料的完整性及准确性。</w:t>
      </w:r>
    </w:p>
    <w:p w14:paraId="07604699">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3、成交供应商对台账档案资料负有保密义务，不得将各项资料用于与本项目无关的用途。</w:t>
      </w:r>
    </w:p>
    <w:p w14:paraId="45B4CF9D">
      <w:pPr>
        <w:pageBreakBefore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highlight w:val="none"/>
          <w:lang w:val="en-US" w:eastAsia="zh-CN"/>
        </w:rPr>
        <w:t>4、成交供应商负责将项目实施过程中的各项资料，按采购单位要求录入相关监管平台系统。</w:t>
      </w:r>
    </w:p>
    <w:p w14:paraId="10951E4C">
      <w:pPr>
        <w:pStyle w:val="4"/>
        <w:pageBreakBefore w:val="0"/>
        <w:widowControl w:val="0"/>
        <w:tabs>
          <w:tab w:val="left" w:pos="432"/>
        </w:tabs>
        <w:kinsoku/>
        <w:wordWrap/>
        <w:overflowPunct/>
        <w:topLinePunct w:val="0"/>
        <w:bidi w:val="0"/>
        <w:adjustRightInd w:val="0"/>
        <w:snapToGrid w:val="0"/>
        <w:spacing w:before="0" w:after="0" w:line="360" w:lineRule="auto"/>
        <w:ind w:firstLine="422" w:firstLineChars="200"/>
        <w:jc w:val="both"/>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八</w:t>
      </w:r>
      <w:r>
        <w:rPr>
          <w:rFonts w:hint="eastAsia" w:asciiTheme="minorEastAsia" w:hAnsiTheme="minorEastAsia" w:eastAsiaTheme="minorEastAsia" w:cstheme="minorEastAsia"/>
          <w:b/>
          <w:sz w:val="21"/>
          <w:szCs w:val="21"/>
          <w:highlight w:val="none"/>
        </w:rPr>
        <w:t>、服务期</w:t>
      </w:r>
    </w:p>
    <w:p w14:paraId="1A5B3771">
      <w:pPr>
        <w:pageBreakBefore w:val="0"/>
        <w:widowControl w:val="0"/>
        <w:kinsoku/>
        <w:wordWrap/>
        <w:overflowPunct/>
        <w:topLinePunct w:val="0"/>
        <w:autoSpaceDE w:val="0"/>
        <w:autoSpaceDN w:val="0"/>
        <w:bidi w:val="0"/>
        <w:adjustRightInd w:val="0"/>
        <w:snapToGrid w:val="0"/>
        <w:spacing w:line="360" w:lineRule="auto"/>
        <w:ind w:firstLine="422" w:firstLineChars="200"/>
        <w:jc w:val="left"/>
        <w:textAlignment w:val="bottom"/>
        <w:rPr>
          <w:rFonts w:hint="eastAsia" w:asciiTheme="minorEastAsia" w:hAnsiTheme="minorEastAsia" w:eastAsiaTheme="minorEastAsia" w:cstheme="minorEastAsia"/>
          <w:b/>
          <w:sz w:val="21"/>
          <w:szCs w:val="21"/>
          <w:highlight w:val="none"/>
          <w:u w:val="single"/>
          <w:lang w:eastAsia="zh-CN"/>
        </w:rPr>
      </w:pPr>
      <w:r>
        <w:rPr>
          <w:rFonts w:hint="eastAsia" w:asciiTheme="minorEastAsia" w:hAnsiTheme="minorEastAsia" w:eastAsiaTheme="minorEastAsia" w:cstheme="minorEastAsia"/>
          <w:b/>
          <w:sz w:val="21"/>
          <w:szCs w:val="21"/>
          <w:highlight w:val="none"/>
          <w:u w:val="single"/>
        </w:rPr>
        <w:t>▲服务期：自合同签订之日起至</w:t>
      </w:r>
      <w:r>
        <w:rPr>
          <w:rFonts w:hint="eastAsia" w:asciiTheme="minorEastAsia" w:hAnsiTheme="minorEastAsia" w:eastAsiaTheme="minorEastAsia" w:cstheme="minorEastAsia"/>
          <w:b/>
          <w:sz w:val="21"/>
          <w:szCs w:val="21"/>
          <w:highlight w:val="none"/>
          <w:u w:val="single"/>
          <w:lang w:eastAsia="zh-CN"/>
        </w:rPr>
        <w:t>2025</w:t>
      </w:r>
      <w:r>
        <w:rPr>
          <w:rFonts w:hint="eastAsia" w:asciiTheme="minorEastAsia" w:hAnsiTheme="minorEastAsia" w:eastAsiaTheme="minorEastAsia" w:cstheme="minorEastAsia"/>
          <w:b/>
          <w:sz w:val="21"/>
          <w:szCs w:val="21"/>
          <w:highlight w:val="none"/>
          <w:u w:val="single"/>
        </w:rPr>
        <w:t>年</w:t>
      </w:r>
      <w:r>
        <w:rPr>
          <w:rFonts w:hint="eastAsia" w:asciiTheme="minorEastAsia" w:hAnsiTheme="minorEastAsia" w:eastAsiaTheme="minorEastAsia" w:cstheme="minorEastAsia"/>
          <w:b/>
          <w:sz w:val="21"/>
          <w:szCs w:val="21"/>
          <w:highlight w:val="none"/>
          <w:u w:val="single"/>
          <w:lang w:val="en-US" w:eastAsia="zh-CN"/>
        </w:rPr>
        <w:t>9</w:t>
      </w:r>
      <w:r>
        <w:rPr>
          <w:rFonts w:hint="eastAsia" w:asciiTheme="minorEastAsia" w:hAnsiTheme="minorEastAsia" w:eastAsiaTheme="minorEastAsia" w:cstheme="minorEastAsia"/>
          <w:b/>
          <w:sz w:val="21"/>
          <w:szCs w:val="21"/>
          <w:highlight w:val="none"/>
          <w:u w:val="single"/>
        </w:rPr>
        <w:t>月</w:t>
      </w:r>
      <w:r>
        <w:rPr>
          <w:rFonts w:hint="eastAsia" w:asciiTheme="minorEastAsia" w:hAnsiTheme="minorEastAsia" w:eastAsiaTheme="minorEastAsia" w:cstheme="minorEastAsia"/>
          <w:b/>
          <w:sz w:val="21"/>
          <w:szCs w:val="21"/>
          <w:highlight w:val="none"/>
          <w:u w:val="single"/>
          <w:lang w:val="en-US" w:eastAsia="zh-CN"/>
        </w:rPr>
        <w:t xml:space="preserve">15 </w:t>
      </w:r>
      <w:r>
        <w:rPr>
          <w:rFonts w:hint="eastAsia" w:asciiTheme="minorEastAsia" w:hAnsiTheme="minorEastAsia" w:eastAsiaTheme="minorEastAsia" w:cstheme="minorEastAsia"/>
          <w:b/>
          <w:sz w:val="21"/>
          <w:szCs w:val="21"/>
          <w:highlight w:val="none"/>
          <w:u w:val="single"/>
        </w:rPr>
        <w:t>日前完成善居工程改造。</w:t>
      </w:r>
    </w:p>
    <w:p w14:paraId="2E46B229">
      <w:pPr>
        <w:pageBreakBefore w:val="0"/>
        <w:widowControl w:val="0"/>
        <w:kinsoku/>
        <w:wordWrap/>
        <w:overflowPunct/>
        <w:topLinePunct w:val="0"/>
        <w:autoSpaceDE w:val="0"/>
        <w:autoSpaceDN w:val="0"/>
        <w:bidi w:val="0"/>
        <w:adjustRightInd w:val="0"/>
        <w:snapToGrid w:val="0"/>
        <w:spacing w:line="360" w:lineRule="auto"/>
        <w:ind w:firstLine="422" w:firstLineChars="200"/>
        <w:jc w:val="left"/>
        <w:textAlignment w:val="bottom"/>
        <w:rPr>
          <w:rFonts w:hint="eastAsia" w:asciiTheme="minorEastAsia" w:hAnsiTheme="minorEastAsia" w:eastAsiaTheme="minorEastAsia" w:cstheme="minorEastAsia"/>
          <w:b/>
          <w:sz w:val="21"/>
          <w:szCs w:val="21"/>
          <w:highlight w:val="none"/>
          <w:u w:val="single"/>
        </w:rPr>
      </w:pPr>
      <w:r>
        <w:rPr>
          <w:rFonts w:hint="eastAsia" w:asciiTheme="minorEastAsia" w:hAnsiTheme="minorEastAsia" w:eastAsiaTheme="minorEastAsia" w:cstheme="minorEastAsia"/>
          <w:b/>
          <w:sz w:val="21"/>
          <w:szCs w:val="21"/>
          <w:highlight w:val="none"/>
          <w:u w:val="single"/>
        </w:rPr>
        <w:t>验收方式：以采购人填写完成验收表后为准。</w:t>
      </w:r>
    </w:p>
    <w:p w14:paraId="012286D3">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u w:val="single"/>
        </w:rPr>
      </w:pPr>
      <w:r>
        <w:rPr>
          <w:rFonts w:hint="eastAsia" w:asciiTheme="minorEastAsia" w:hAnsiTheme="minorEastAsia" w:eastAsiaTheme="minorEastAsia" w:cstheme="minorEastAsia"/>
          <w:bCs/>
          <w:sz w:val="21"/>
          <w:szCs w:val="21"/>
          <w:highlight w:val="none"/>
          <w:u w:val="single"/>
        </w:rPr>
        <w:t>验收由采购人委托</w:t>
      </w:r>
      <w:r>
        <w:rPr>
          <w:rFonts w:hint="eastAsia" w:asciiTheme="minorEastAsia" w:hAnsiTheme="minorEastAsia" w:eastAsiaTheme="minorEastAsia" w:cstheme="minorEastAsia"/>
          <w:bCs/>
          <w:sz w:val="21"/>
          <w:szCs w:val="21"/>
          <w:highlight w:val="none"/>
          <w:u w:val="single"/>
          <w:lang w:val="en-US" w:eastAsia="zh-CN"/>
        </w:rPr>
        <w:t>第三方</w:t>
      </w:r>
      <w:r>
        <w:rPr>
          <w:rFonts w:hint="eastAsia" w:asciiTheme="minorEastAsia" w:hAnsiTheme="minorEastAsia" w:eastAsiaTheme="minorEastAsia" w:cstheme="minorEastAsia"/>
          <w:bCs/>
          <w:sz w:val="21"/>
          <w:szCs w:val="21"/>
          <w:highlight w:val="none"/>
          <w:u w:val="single"/>
        </w:rPr>
        <w:t>进行验收。采购人可委托地（市）级以上质量监督部门根据国家标准对本项目相关设备或改造结果的功能、性能、材质、质量、安装等进行检测验收。若因质量问题导致验收不合格，供应商应及时予以处理，直至验收合格，期间发生的一切相关费用由供应商承担，若因质量问题导致项目超过二次不能验收合格，采购人有权选择退货，并保留向供应商索赔的权力。</w:t>
      </w:r>
    </w:p>
    <w:p w14:paraId="25F36390">
      <w:pPr>
        <w:pStyle w:val="4"/>
        <w:pageBreakBefore w:val="0"/>
        <w:widowControl w:val="0"/>
        <w:tabs>
          <w:tab w:val="left" w:pos="432"/>
        </w:tabs>
        <w:kinsoku/>
        <w:wordWrap/>
        <w:overflowPunct/>
        <w:topLinePunct w:val="0"/>
        <w:bidi w:val="0"/>
        <w:adjustRightInd w:val="0"/>
        <w:snapToGrid w:val="0"/>
        <w:spacing w:before="0" w:after="0" w:line="360" w:lineRule="auto"/>
        <w:ind w:firstLine="422" w:firstLineChars="200"/>
        <w:jc w:val="both"/>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九</w:t>
      </w:r>
      <w:r>
        <w:rPr>
          <w:rFonts w:hint="eastAsia" w:asciiTheme="minorEastAsia" w:hAnsiTheme="minorEastAsia" w:eastAsiaTheme="minorEastAsia" w:cstheme="minorEastAsia"/>
          <w:b/>
          <w:sz w:val="21"/>
          <w:szCs w:val="21"/>
          <w:highlight w:val="none"/>
        </w:rPr>
        <w:t>、报价编制要求说明</w:t>
      </w:r>
    </w:p>
    <w:p w14:paraId="7B9996FE">
      <w:pPr>
        <w:pageBreakBefore w:val="0"/>
        <w:widowControl w:val="0"/>
        <w:kinsoku/>
        <w:wordWrap/>
        <w:overflowPunct/>
        <w:topLinePunct w:val="0"/>
        <w:autoSpaceDE w:val="0"/>
        <w:autoSpaceDN w:val="0"/>
        <w:bidi w:val="0"/>
        <w:adjustRightInd w:val="0"/>
        <w:snapToGrid w:val="0"/>
        <w:spacing w:line="360" w:lineRule="auto"/>
        <w:ind w:firstLine="422"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
          <w:sz w:val="21"/>
          <w:szCs w:val="21"/>
          <w:highlight w:val="none"/>
        </w:rPr>
        <w:t>（1）</w:t>
      </w: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
          <w:bCs w:val="0"/>
          <w:sz w:val="21"/>
          <w:szCs w:val="21"/>
          <w:highlight w:val="none"/>
        </w:rPr>
        <w:t>在中标单位出具改造方案、工程量清单/设备清单、工程造价并经采购人或采购人委托的第三方机构审核后，以审核后的的工程造价及中标单价进行结算。除非另有规定，投标人所报</w:t>
      </w:r>
      <w:r>
        <w:rPr>
          <w:rFonts w:hint="eastAsia" w:asciiTheme="minorEastAsia" w:hAnsiTheme="minorEastAsia" w:eastAsiaTheme="minorEastAsia" w:cstheme="minorEastAsia"/>
          <w:b/>
          <w:bCs w:val="0"/>
          <w:sz w:val="21"/>
          <w:szCs w:val="21"/>
          <w:highlight w:val="none"/>
          <w:lang w:val="en-US" w:eastAsia="zh-CN"/>
        </w:rPr>
        <w:t>单价</w:t>
      </w:r>
      <w:r>
        <w:rPr>
          <w:rFonts w:hint="eastAsia" w:asciiTheme="minorEastAsia" w:hAnsiTheme="minorEastAsia" w:eastAsiaTheme="minorEastAsia" w:cstheme="minorEastAsia"/>
          <w:b/>
          <w:bCs w:val="0"/>
          <w:sz w:val="21"/>
          <w:szCs w:val="21"/>
          <w:highlight w:val="none"/>
        </w:rPr>
        <w:t>在合同实施期间应保持不变，均不受市场价格及政策性价格的调整而增减。</w:t>
      </w:r>
    </w:p>
    <w:p w14:paraId="7EDDE7F7">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投标人须选用投标文件中品牌，采购人进行不定期检查，如改造清单中所选用的品牌与投标时的品牌不符，采购人有权要求中标人更换投标品牌。</w:t>
      </w:r>
    </w:p>
    <w:p w14:paraId="7BFB19CF">
      <w:pPr>
        <w:pageBreakBefore w:val="0"/>
        <w:widowControl w:val="0"/>
        <w:kinsoku/>
        <w:wordWrap/>
        <w:overflowPunct/>
        <w:topLinePunct w:val="0"/>
        <w:autoSpaceDE w:val="0"/>
        <w:autoSpaceDN w:val="0"/>
        <w:bidi w:val="0"/>
        <w:adjustRightInd w:val="0"/>
        <w:snapToGrid w:val="0"/>
        <w:spacing w:line="360" w:lineRule="auto"/>
        <w:ind w:firstLine="422" w:firstLineChars="200"/>
        <w:jc w:val="left"/>
        <w:textAlignment w:val="bottom"/>
        <w:rPr>
          <w:rFonts w:hint="eastAsia" w:asciiTheme="minorEastAsia" w:hAnsiTheme="minorEastAsia" w:eastAsiaTheme="minorEastAsia" w:cstheme="minorEastAsia"/>
          <w:b/>
          <w:sz w:val="21"/>
          <w:szCs w:val="21"/>
          <w:highlight w:val="none"/>
          <w:u w:val="single"/>
        </w:rPr>
      </w:pPr>
      <w:r>
        <w:rPr>
          <w:rFonts w:hint="eastAsia" w:asciiTheme="minorEastAsia" w:hAnsiTheme="minorEastAsia" w:eastAsiaTheme="minorEastAsia" w:cstheme="minorEastAsia"/>
          <w:b/>
          <w:sz w:val="21"/>
          <w:szCs w:val="21"/>
          <w:highlight w:val="none"/>
          <w:u w:val="single"/>
        </w:rPr>
        <w:t>（2）▲中标单位要保证所有工程的质量。采购人将不定期抽检，如发现质量不合格，或因质量问题造成损失，其中标资格将被取消，没收履约保证金，并承担责任。</w:t>
      </w:r>
    </w:p>
    <w:p w14:paraId="304D11F4">
      <w:pPr>
        <w:pageBreakBefore w:val="0"/>
        <w:widowControl w:val="0"/>
        <w:kinsoku/>
        <w:wordWrap/>
        <w:overflowPunct/>
        <w:topLinePunct w:val="0"/>
        <w:autoSpaceDE w:val="0"/>
        <w:autoSpaceDN w:val="0"/>
        <w:bidi w:val="0"/>
        <w:adjustRightInd w:val="0"/>
        <w:snapToGrid w:val="0"/>
        <w:spacing w:line="360" w:lineRule="auto"/>
        <w:ind w:firstLine="422" w:firstLineChars="200"/>
        <w:jc w:val="left"/>
        <w:textAlignment w:val="bottom"/>
        <w:rPr>
          <w:rFonts w:hint="eastAsia" w:asciiTheme="minorEastAsia" w:hAnsiTheme="minorEastAsia" w:eastAsiaTheme="minorEastAsia" w:cstheme="minorEastAsia"/>
          <w:b/>
          <w:sz w:val="21"/>
          <w:szCs w:val="21"/>
          <w:highlight w:val="none"/>
          <w:u w:val="single"/>
        </w:rPr>
      </w:pPr>
      <w:r>
        <w:rPr>
          <w:rFonts w:hint="eastAsia" w:asciiTheme="minorEastAsia" w:hAnsiTheme="minorEastAsia" w:eastAsiaTheme="minorEastAsia" w:cstheme="minorEastAsia"/>
          <w:b/>
          <w:sz w:val="21"/>
          <w:szCs w:val="21"/>
          <w:highlight w:val="none"/>
          <w:u w:val="single"/>
        </w:rPr>
        <w:t>（3）▲中标供应商合同签订前须配备具有相关资质的施工团队，否则其中标资格将被取消，履约保证金将被没收。</w:t>
      </w:r>
    </w:p>
    <w:p w14:paraId="09E0CE27">
      <w:pPr>
        <w:pageBreakBefore w:val="0"/>
        <w:widowControl w:val="0"/>
        <w:kinsoku/>
        <w:wordWrap/>
        <w:overflowPunct/>
        <w:topLinePunct w:val="0"/>
        <w:autoSpaceDE w:val="0"/>
        <w:autoSpaceDN w:val="0"/>
        <w:bidi w:val="0"/>
        <w:adjustRightInd w:val="0"/>
        <w:snapToGrid w:val="0"/>
        <w:spacing w:line="360" w:lineRule="auto"/>
        <w:ind w:firstLine="422" w:firstLineChars="200"/>
        <w:jc w:val="left"/>
        <w:textAlignment w:val="bottom"/>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（4）本次采购招标活动主要是给予</w:t>
      </w:r>
      <w:r>
        <w:rPr>
          <w:rFonts w:hint="eastAsia" w:asciiTheme="minorEastAsia" w:hAnsiTheme="minorEastAsia" w:eastAsiaTheme="minorEastAsia" w:cstheme="minorEastAsia"/>
          <w:b/>
          <w:sz w:val="21"/>
          <w:szCs w:val="21"/>
          <w:highlight w:val="none"/>
          <w:lang w:val="en-US" w:eastAsia="zh-CN"/>
        </w:rPr>
        <w:t>低收入</w:t>
      </w:r>
      <w:r>
        <w:rPr>
          <w:rFonts w:hint="eastAsia" w:asciiTheme="minorEastAsia" w:hAnsiTheme="minorEastAsia" w:eastAsiaTheme="minorEastAsia" w:cstheme="minorEastAsia"/>
          <w:b/>
          <w:sz w:val="21"/>
          <w:szCs w:val="21"/>
          <w:highlight w:val="none"/>
        </w:rPr>
        <w:t>家庭获得更多的实惠与福利为目的，中标供应商必需保质保量的改造实施。</w:t>
      </w:r>
    </w:p>
    <w:p w14:paraId="2D8D64A5">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（5）供应商改造期间所造成的垃圾由供应商承担清理，垃圾清运及消纳费由供应商综合考虑相关风险，包含在投标报价中，今后不再另行支付。</w:t>
      </w:r>
    </w:p>
    <w:p w14:paraId="3D9C3397">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报价表上的价格为含税报价，包括招标文件所确定的招标范围内的全部货物、材料、附件、紧固件、随货物提供的备品备件、专用工具的价格（包括关税、增值税、检验检疫费）、包装费、运杂费（运抵招标人项目现场）、运输保险费、安装调试费、保修期内维保费、操作维护、垃圾清运费及使用人员培训费及投标人认为需要的其他费用等。</w:t>
      </w:r>
    </w:p>
    <w:p w14:paraId="4357F76F">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bottom"/>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（7）投标人应对招标文件内所要采购的全部内容进行分项报价，只投其中部分内容者，其投标文件将被拒绝。一项内容只允许一个报价，招标代理机构不接受任何有选择性的报价或附条件的报价。</w:t>
      </w:r>
    </w:p>
    <w:p w14:paraId="06191B81">
      <w:pPr>
        <w:pStyle w:val="4"/>
        <w:pageBreakBefore w:val="0"/>
        <w:widowControl w:val="0"/>
        <w:tabs>
          <w:tab w:val="left" w:pos="432"/>
        </w:tabs>
        <w:kinsoku/>
        <w:wordWrap/>
        <w:overflowPunct/>
        <w:topLinePunct w:val="0"/>
        <w:bidi w:val="0"/>
        <w:adjustRightInd w:val="0"/>
        <w:snapToGrid w:val="0"/>
        <w:spacing w:before="0" w:after="0" w:line="360" w:lineRule="auto"/>
        <w:ind w:firstLine="422" w:firstLineChars="200"/>
        <w:jc w:val="both"/>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十</w:t>
      </w:r>
      <w:r>
        <w:rPr>
          <w:rFonts w:hint="eastAsia" w:asciiTheme="minorEastAsia" w:hAnsiTheme="minorEastAsia" w:eastAsiaTheme="minorEastAsia" w:cstheme="minorEastAsia"/>
          <w:b/>
          <w:sz w:val="21"/>
          <w:szCs w:val="21"/>
          <w:highlight w:val="none"/>
        </w:rPr>
        <w:t>、付款方式</w:t>
      </w:r>
    </w:p>
    <w:p w14:paraId="1BB65AD3">
      <w:pPr>
        <w:pageBreakBefore w:val="0"/>
        <w:widowControl w:val="0"/>
        <w:kinsoku/>
        <w:wordWrap/>
        <w:overflowPunct/>
        <w:topLinePunct w:val="0"/>
        <w:autoSpaceDE w:val="0"/>
        <w:autoSpaceDN w:val="0"/>
        <w:bidi w:val="0"/>
        <w:adjustRightInd w:val="0"/>
        <w:snapToGrid w:val="0"/>
        <w:spacing w:line="360" w:lineRule="auto"/>
        <w:ind w:left="0" w:leftChars="0" w:firstLine="422" w:firstLineChars="200"/>
        <w:jc w:val="left"/>
        <w:textAlignment w:val="bottom"/>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sz w:val="21"/>
          <w:szCs w:val="21"/>
          <w:lang w:eastAsia="zh-CN"/>
        </w:rPr>
        <w:t xml:space="preserve">   </w:t>
      </w:r>
      <w:r>
        <w:rPr>
          <w:rFonts w:hint="eastAsia" w:asciiTheme="minorEastAsia" w:hAnsiTheme="minorEastAsia" w:eastAsiaTheme="minorEastAsia" w:cstheme="minorEastAsia"/>
          <w:b/>
          <w:sz w:val="21"/>
          <w:szCs w:val="21"/>
          <w:highlight w:val="none"/>
          <w:lang w:eastAsia="zh-CN"/>
        </w:rPr>
        <w:t xml:space="preserve"> 合同生效以及具备实施条件后7个工作日内</w:t>
      </w:r>
      <w:r>
        <w:rPr>
          <w:rFonts w:hint="eastAsia" w:asciiTheme="minorEastAsia" w:hAnsiTheme="minorEastAsia" w:eastAsiaTheme="minorEastAsia" w:cstheme="minorEastAsia"/>
          <w:b/>
          <w:sz w:val="21"/>
          <w:szCs w:val="21"/>
          <w:highlight w:val="none"/>
        </w:rPr>
        <w:t>采购人向供应商支付项目金额的30%，完成所有工作并经采购人确</w:t>
      </w:r>
      <w:r>
        <w:rPr>
          <w:rFonts w:hint="eastAsia" w:asciiTheme="minorEastAsia" w:hAnsiTheme="minorEastAsia" w:eastAsiaTheme="minorEastAsia" w:cstheme="minorEastAsia"/>
          <w:b/>
          <w:color w:val="auto"/>
          <w:sz w:val="21"/>
          <w:szCs w:val="21"/>
          <w:highlight w:val="none"/>
        </w:rPr>
        <w:t>认后支付至</w:t>
      </w:r>
      <w:r>
        <w:rPr>
          <w:rFonts w:hint="eastAsia" w:asciiTheme="minorEastAsia" w:hAnsiTheme="minorEastAsia" w:eastAsiaTheme="minorEastAsia" w:cstheme="minorEastAsia"/>
          <w:b/>
          <w:color w:val="auto"/>
          <w:sz w:val="21"/>
          <w:szCs w:val="21"/>
          <w:highlight w:val="none"/>
          <w:lang w:eastAsia="zh-CN"/>
        </w:rPr>
        <w:t>7</w:t>
      </w:r>
      <w:r>
        <w:rPr>
          <w:rFonts w:hint="eastAsia" w:asciiTheme="minorEastAsia" w:hAnsiTheme="minorEastAsia" w:eastAsiaTheme="minorEastAsia" w:cstheme="minorEastAsia"/>
          <w:b/>
          <w:color w:val="auto"/>
          <w:sz w:val="21"/>
          <w:szCs w:val="21"/>
          <w:highlight w:val="none"/>
        </w:rPr>
        <w:t>0%，项目验收合格后支付至100%。</w:t>
      </w:r>
    </w:p>
    <w:p w14:paraId="524DBA70">
      <w:pPr>
        <w:pStyle w:val="4"/>
        <w:numPr>
          <w:ilvl w:val="0"/>
          <w:numId w:val="0"/>
        </w:numPr>
        <w:tabs>
          <w:tab w:val="left" w:pos="432"/>
        </w:tabs>
        <w:spacing w:after="120" w:line="360" w:lineRule="auto"/>
        <w:ind w:firstLine="422" w:firstLineChars="200"/>
        <w:jc w:val="both"/>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十一、</w:t>
      </w:r>
      <w:bookmarkEnd w:id="18"/>
      <w:r>
        <w:rPr>
          <w:rFonts w:hint="eastAsia" w:asciiTheme="minorEastAsia" w:hAnsiTheme="minorEastAsia" w:eastAsiaTheme="minorEastAsia" w:cstheme="minorEastAsia"/>
          <w:b/>
          <w:sz w:val="21"/>
          <w:szCs w:val="21"/>
          <w:lang w:val="en-US" w:eastAsia="zh-CN"/>
        </w:rPr>
        <w:t xml:space="preserve">采购货物及服务清单 </w:t>
      </w:r>
    </w:p>
    <w:p w14:paraId="7A7001DD">
      <w:pPr>
        <w:rPr>
          <w:rFonts w:hint="eastAsia"/>
          <w:lang w:val="en-US" w:eastAsia="zh-CN"/>
        </w:rPr>
      </w:pPr>
    </w:p>
    <w:tbl>
      <w:tblPr>
        <w:tblStyle w:val="49"/>
        <w:tblW w:w="9651"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480"/>
        <w:gridCol w:w="450"/>
        <w:gridCol w:w="570"/>
        <w:gridCol w:w="2685"/>
        <w:gridCol w:w="480"/>
        <w:gridCol w:w="600"/>
        <w:gridCol w:w="735"/>
        <w:gridCol w:w="1605"/>
        <w:gridCol w:w="1626"/>
      </w:tblGrid>
      <w:tr w14:paraId="4FE2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420" w:type="dxa"/>
            <w:noWrap w:val="0"/>
            <w:tcMar>
              <w:top w:w="15" w:type="dxa"/>
              <w:left w:w="15" w:type="dxa"/>
              <w:right w:w="15" w:type="dxa"/>
            </w:tcMar>
            <w:vAlign w:val="center"/>
          </w:tcPr>
          <w:p w14:paraId="4DF95CD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bCs/>
                <w:color w:val="000000"/>
                <w:highlight w:val="none"/>
                <w:lang w:val="en-US" w:eastAsia="zh-CN"/>
              </w:rPr>
            </w:pPr>
            <w:r>
              <w:rPr>
                <w:rFonts w:hint="eastAsia" w:ascii="宋体" w:hAnsi="宋体" w:eastAsia="宋体" w:cs="宋体"/>
                <w:b/>
                <w:bCs/>
                <w:color w:val="000000"/>
                <w:highlight w:val="none"/>
                <w:lang w:val="en-US" w:eastAsia="zh-CN"/>
              </w:rPr>
              <w:t>类别</w:t>
            </w:r>
          </w:p>
        </w:tc>
        <w:tc>
          <w:tcPr>
            <w:tcW w:w="480" w:type="dxa"/>
            <w:noWrap w:val="0"/>
            <w:tcMar>
              <w:top w:w="15" w:type="dxa"/>
              <w:left w:w="15" w:type="dxa"/>
              <w:right w:w="15" w:type="dxa"/>
            </w:tcMar>
            <w:vAlign w:val="center"/>
          </w:tcPr>
          <w:p w14:paraId="02ECE17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bCs/>
                <w:color w:val="000000"/>
                <w:highlight w:val="none"/>
                <w:lang w:val="en-US" w:eastAsia="zh-CN"/>
              </w:rPr>
            </w:pPr>
          </w:p>
        </w:tc>
        <w:tc>
          <w:tcPr>
            <w:tcW w:w="450" w:type="dxa"/>
            <w:noWrap w:val="0"/>
            <w:tcMar>
              <w:top w:w="15" w:type="dxa"/>
              <w:left w:w="15" w:type="dxa"/>
              <w:right w:w="15" w:type="dxa"/>
            </w:tcMar>
            <w:vAlign w:val="center"/>
          </w:tcPr>
          <w:p w14:paraId="0FB6976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序号</w:t>
            </w:r>
          </w:p>
        </w:tc>
        <w:tc>
          <w:tcPr>
            <w:tcW w:w="570" w:type="dxa"/>
            <w:noWrap w:val="0"/>
            <w:tcMar>
              <w:top w:w="15" w:type="dxa"/>
              <w:left w:w="15" w:type="dxa"/>
              <w:right w:w="15" w:type="dxa"/>
            </w:tcMar>
            <w:vAlign w:val="center"/>
          </w:tcPr>
          <w:p w14:paraId="1F4CC74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名称</w:t>
            </w:r>
          </w:p>
        </w:tc>
        <w:tc>
          <w:tcPr>
            <w:tcW w:w="2685" w:type="dxa"/>
            <w:noWrap w:val="0"/>
            <w:tcMar>
              <w:top w:w="15" w:type="dxa"/>
              <w:left w:w="15" w:type="dxa"/>
              <w:right w:w="15" w:type="dxa"/>
            </w:tcMar>
            <w:vAlign w:val="center"/>
          </w:tcPr>
          <w:p w14:paraId="23ECFAC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规格配置详细说明</w:t>
            </w:r>
          </w:p>
        </w:tc>
        <w:tc>
          <w:tcPr>
            <w:tcW w:w="480" w:type="dxa"/>
            <w:noWrap w:val="0"/>
            <w:tcMar>
              <w:top w:w="15" w:type="dxa"/>
              <w:left w:w="15" w:type="dxa"/>
              <w:right w:w="15" w:type="dxa"/>
            </w:tcMar>
            <w:vAlign w:val="center"/>
          </w:tcPr>
          <w:p w14:paraId="41382E9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单位</w:t>
            </w:r>
          </w:p>
        </w:tc>
        <w:tc>
          <w:tcPr>
            <w:tcW w:w="600" w:type="dxa"/>
            <w:noWrap w:val="0"/>
            <w:tcMar>
              <w:top w:w="15" w:type="dxa"/>
              <w:left w:w="15" w:type="dxa"/>
              <w:right w:w="15" w:type="dxa"/>
            </w:tcMar>
            <w:vAlign w:val="center"/>
          </w:tcPr>
          <w:p w14:paraId="755A5E1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数</w:t>
            </w:r>
            <w:r>
              <w:rPr>
                <w:rFonts w:hint="eastAsia" w:ascii="宋体" w:hAnsi="宋体" w:eastAsia="宋体" w:cs="宋体"/>
                <w:b/>
                <w:bCs/>
                <w:color w:val="000000"/>
                <w:highlight w:val="none"/>
                <w:lang w:val="en-US" w:eastAsia="zh-CN"/>
              </w:rPr>
              <w:t xml:space="preserve"> </w:t>
            </w:r>
            <w:r>
              <w:rPr>
                <w:rFonts w:hint="eastAsia" w:ascii="宋体" w:hAnsi="宋体" w:eastAsia="宋体" w:cs="宋体"/>
                <w:b/>
                <w:bCs/>
                <w:color w:val="000000"/>
                <w:highlight w:val="none"/>
              </w:rPr>
              <w:t>量</w:t>
            </w:r>
          </w:p>
        </w:tc>
        <w:tc>
          <w:tcPr>
            <w:tcW w:w="735" w:type="dxa"/>
            <w:noWrap w:val="0"/>
            <w:tcMar>
              <w:top w:w="15" w:type="dxa"/>
              <w:left w:w="15" w:type="dxa"/>
              <w:right w:w="15" w:type="dxa"/>
            </w:tcMar>
            <w:vAlign w:val="center"/>
          </w:tcPr>
          <w:p w14:paraId="1E755B6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预算</w:t>
            </w:r>
            <w:r>
              <w:rPr>
                <w:rFonts w:hint="eastAsia" w:ascii="宋体" w:hAnsi="宋体" w:eastAsia="宋体" w:cs="宋体"/>
                <w:b/>
                <w:bCs/>
                <w:color w:val="000000"/>
                <w:highlight w:val="none"/>
                <w:lang w:val="en-US" w:eastAsia="zh-CN"/>
              </w:rPr>
              <w:t>综合</w:t>
            </w:r>
            <w:r>
              <w:rPr>
                <w:rFonts w:hint="eastAsia" w:ascii="宋体" w:hAnsi="宋体" w:eastAsia="宋体" w:cs="宋体"/>
                <w:b/>
                <w:bCs/>
                <w:color w:val="000000"/>
                <w:highlight w:val="none"/>
              </w:rPr>
              <w:t>单价（元）</w:t>
            </w:r>
          </w:p>
        </w:tc>
        <w:tc>
          <w:tcPr>
            <w:tcW w:w="1605" w:type="dxa"/>
            <w:noWrap w:val="0"/>
            <w:tcMar>
              <w:top w:w="15" w:type="dxa"/>
              <w:left w:w="15" w:type="dxa"/>
              <w:right w:w="15" w:type="dxa"/>
            </w:tcMar>
            <w:vAlign w:val="center"/>
          </w:tcPr>
          <w:p w14:paraId="7CFAC11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备注</w:t>
            </w:r>
          </w:p>
        </w:tc>
        <w:tc>
          <w:tcPr>
            <w:tcW w:w="1626" w:type="dxa"/>
            <w:noWrap w:val="0"/>
            <w:tcMar>
              <w:top w:w="15" w:type="dxa"/>
              <w:left w:w="15" w:type="dxa"/>
              <w:right w:w="15" w:type="dxa"/>
            </w:tcMar>
            <w:vAlign w:val="center"/>
          </w:tcPr>
          <w:p w14:paraId="4B02C7BF">
            <w:pPr>
              <w:keepNext w:val="0"/>
              <w:keepLines w:val="0"/>
              <w:pageBreakBefore w:val="0"/>
              <w:shd w:val="clear" w:color="auto" w:fill="auto"/>
              <w:kinsoku/>
              <w:wordWrap/>
              <w:overflowPunct/>
              <w:topLinePunct w:val="0"/>
              <w:bidi w:val="0"/>
              <w:spacing w:line="240" w:lineRule="auto"/>
              <w:ind w:firstLine="422" w:firstLineChars="200"/>
              <w:jc w:val="both"/>
              <w:rPr>
                <w:rFonts w:hint="eastAsia" w:ascii="宋体" w:hAnsi="宋体" w:eastAsia="宋体" w:cs="宋体"/>
                <w:b/>
                <w:bCs/>
                <w:color w:val="000000"/>
                <w:highlight w:val="none"/>
              </w:rPr>
            </w:pPr>
            <w:r>
              <w:rPr>
                <w:rFonts w:hint="eastAsia" w:ascii="宋体" w:hAnsi="宋体" w:eastAsia="宋体" w:cs="宋体"/>
                <w:b/>
                <w:bCs/>
                <w:color w:val="000000"/>
                <w:highlight w:val="none"/>
              </w:rPr>
              <w:t>推荐品牌</w:t>
            </w:r>
          </w:p>
        </w:tc>
      </w:tr>
      <w:tr w14:paraId="1528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restart"/>
            <w:noWrap w:val="0"/>
            <w:tcMar>
              <w:top w:w="15" w:type="dxa"/>
              <w:left w:w="15" w:type="dxa"/>
              <w:right w:w="15" w:type="dxa"/>
            </w:tcMar>
            <w:vAlign w:val="center"/>
          </w:tcPr>
          <w:p w14:paraId="72EFF104">
            <w:pPr>
              <w:keepNext w:val="0"/>
              <w:keepLines w:val="0"/>
              <w:pageBreakBefore w:val="0"/>
              <w:shd w:val="clear" w:color="auto" w:fill="auto"/>
              <w:kinsoku/>
              <w:wordWrap/>
              <w:overflowPunct/>
              <w:topLinePunct w:val="0"/>
              <w:bidi w:val="0"/>
              <w:spacing w:line="240" w:lineRule="auto"/>
              <w:ind w:firstLine="210" w:firstLineChars="1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w:t>
            </w:r>
          </w:p>
        </w:tc>
        <w:tc>
          <w:tcPr>
            <w:tcW w:w="480" w:type="dxa"/>
            <w:vMerge w:val="restart"/>
            <w:noWrap w:val="0"/>
            <w:tcMar>
              <w:top w:w="15" w:type="dxa"/>
              <w:left w:w="15" w:type="dxa"/>
              <w:right w:w="15" w:type="dxa"/>
            </w:tcMar>
            <w:vAlign w:val="center"/>
          </w:tcPr>
          <w:p w14:paraId="5D4782B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线路</w:t>
            </w:r>
          </w:p>
          <w:p w14:paraId="2BB8B5D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改造</w:t>
            </w:r>
          </w:p>
        </w:tc>
        <w:tc>
          <w:tcPr>
            <w:tcW w:w="450" w:type="dxa"/>
            <w:noWrap w:val="0"/>
            <w:tcMar>
              <w:top w:w="15" w:type="dxa"/>
              <w:left w:w="15" w:type="dxa"/>
              <w:right w:w="15" w:type="dxa"/>
            </w:tcMar>
            <w:vAlign w:val="center"/>
          </w:tcPr>
          <w:p w14:paraId="3B631C77">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570" w:type="dxa"/>
            <w:noWrap w:val="0"/>
            <w:tcMar>
              <w:top w:w="15" w:type="dxa"/>
              <w:left w:w="15" w:type="dxa"/>
              <w:right w:w="15" w:type="dxa"/>
            </w:tcMar>
            <w:vAlign w:val="center"/>
          </w:tcPr>
          <w:p w14:paraId="5D1918D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1.5mm平方线</w:t>
            </w:r>
          </w:p>
        </w:tc>
        <w:tc>
          <w:tcPr>
            <w:tcW w:w="2685" w:type="dxa"/>
            <w:noWrap w:val="0"/>
            <w:tcMar>
              <w:top w:w="15" w:type="dxa"/>
              <w:left w:w="15" w:type="dxa"/>
              <w:right w:w="15" w:type="dxa"/>
            </w:tcMar>
            <w:vAlign w:val="center"/>
          </w:tcPr>
          <w:p w14:paraId="7977DE6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符合国标铜芯硬线：双线路设置，明装铺设 ，含拆除、套管及安装人工费。费用计算以套管长度为准。</w:t>
            </w:r>
          </w:p>
        </w:tc>
        <w:tc>
          <w:tcPr>
            <w:tcW w:w="480" w:type="dxa"/>
            <w:noWrap w:val="0"/>
            <w:tcMar>
              <w:top w:w="15" w:type="dxa"/>
              <w:left w:w="15" w:type="dxa"/>
              <w:right w:w="15" w:type="dxa"/>
            </w:tcMar>
            <w:vAlign w:val="center"/>
          </w:tcPr>
          <w:p w14:paraId="09D8392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米</w:t>
            </w:r>
          </w:p>
        </w:tc>
        <w:tc>
          <w:tcPr>
            <w:tcW w:w="600" w:type="dxa"/>
            <w:noWrap w:val="0"/>
            <w:tcMar>
              <w:top w:w="15" w:type="dxa"/>
              <w:left w:w="15" w:type="dxa"/>
              <w:right w:w="15" w:type="dxa"/>
            </w:tcMar>
            <w:vAlign w:val="center"/>
          </w:tcPr>
          <w:p w14:paraId="5A21FE8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735" w:type="dxa"/>
            <w:noWrap w:val="0"/>
            <w:tcMar>
              <w:top w:w="15" w:type="dxa"/>
              <w:left w:w="15" w:type="dxa"/>
              <w:right w:w="15" w:type="dxa"/>
            </w:tcMar>
            <w:vAlign w:val="center"/>
          </w:tcPr>
          <w:p w14:paraId="1B832E8D">
            <w:pPr>
              <w:keepNext w:val="0"/>
              <w:keepLines w:val="0"/>
              <w:widowControl/>
              <w:suppressLineNumbers w:val="0"/>
              <w:jc w:val="center"/>
              <w:textAlignment w:val="center"/>
              <w:rPr>
                <w:rFonts w:hint="eastAsia" w:ascii="宋体" w:hAnsi="宋体" w:eastAsia="宋体" w:cs="宋体"/>
                <w:color w:val="000000"/>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605" w:type="dxa"/>
            <w:noWrap w:val="0"/>
            <w:tcMar>
              <w:top w:w="15" w:type="dxa"/>
              <w:left w:w="15" w:type="dxa"/>
              <w:right w:w="15" w:type="dxa"/>
            </w:tcMar>
            <w:vAlign w:val="center"/>
          </w:tcPr>
          <w:p w14:paraId="1A34372A">
            <w:pPr>
              <w:pStyle w:val="35"/>
              <w:keepNext w:val="0"/>
              <w:keepLines w:val="0"/>
              <w:pageBreakBefore w:val="0"/>
              <w:shd w:val="clear" w:color="auto" w:fill="auto"/>
              <w:tabs>
                <w:tab w:val="right" w:leader="dot" w:pos="9628"/>
              </w:tabs>
              <w:kinsoku/>
              <w:wordWrap/>
              <w:overflowPunct/>
              <w:topLinePunct w:val="0"/>
              <w:bidi w:val="0"/>
              <w:spacing w:line="240" w:lineRule="auto"/>
              <w:jc w:val="both"/>
              <w:rPr>
                <w:rFonts w:hint="eastAsia" w:ascii="宋体" w:hAnsi="宋体" w:eastAsia="宋体" w:cs="宋体"/>
                <w:color w:val="000000"/>
                <w:highlight w:val="none"/>
                <w:lang w:val="en-US" w:eastAsia="zh-CN"/>
              </w:rPr>
            </w:pPr>
          </w:p>
        </w:tc>
        <w:tc>
          <w:tcPr>
            <w:tcW w:w="1626" w:type="dxa"/>
            <w:noWrap w:val="0"/>
            <w:tcMar>
              <w:top w:w="15" w:type="dxa"/>
              <w:left w:w="15" w:type="dxa"/>
              <w:right w:w="15" w:type="dxa"/>
            </w:tcMar>
            <w:vAlign w:val="center"/>
          </w:tcPr>
          <w:p w14:paraId="7458AF9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电线:力安、杭策、中策或相当于</w:t>
            </w:r>
          </w:p>
          <w:p w14:paraId="2FB391F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管线：中财、公元、泰 州或相当于</w:t>
            </w:r>
          </w:p>
        </w:tc>
      </w:tr>
      <w:tr w14:paraId="5AF8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1673F6E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6898A67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p>
        </w:tc>
        <w:tc>
          <w:tcPr>
            <w:tcW w:w="450" w:type="dxa"/>
            <w:noWrap w:val="0"/>
            <w:tcMar>
              <w:top w:w="15" w:type="dxa"/>
              <w:left w:w="15" w:type="dxa"/>
              <w:right w:w="15" w:type="dxa"/>
            </w:tcMar>
            <w:vAlign w:val="center"/>
          </w:tcPr>
          <w:p w14:paraId="09188D6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570" w:type="dxa"/>
            <w:noWrap w:val="0"/>
            <w:tcMar>
              <w:top w:w="15" w:type="dxa"/>
              <w:left w:w="15" w:type="dxa"/>
              <w:right w:w="15" w:type="dxa"/>
            </w:tcMar>
            <w:vAlign w:val="center"/>
          </w:tcPr>
          <w:p w14:paraId="7B399D0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2.5mm平方线</w:t>
            </w:r>
          </w:p>
        </w:tc>
        <w:tc>
          <w:tcPr>
            <w:tcW w:w="2685" w:type="dxa"/>
            <w:noWrap w:val="0"/>
            <w:tcMar>
              <w:top w:w="15" w:type="dxa"/>
              <w:left w:w="15" w:type="dxa"/>
              <w:right w:w="15" w:type="dxa"/>
            </w:tcMar>
            <w:vAlign w:val="center"/>
          </w:tcPr>
          <w:p w14:paraId="27266ED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符合国标铜芯硬线：双线路设置，明装铺设 ，含拆除、套管及安装人工费。费用计算以套管长度为准。</w:t>
            </w:r>
          </w:p>
        </w:tc>
        <w:tc>
          <w:tcPr>
            <w:tcW w:w="480" w:type="dxa"/>
            <w:noWrap w:val="0"/>
            <w:tcMar>
              <w:top w:w="15" w:type="dxa"/>
              <w:left w:w="15" w:type="dxa"/>
              <w:right w:w="15" w:type="dxa"/>
            </w:tcMar>
            <w:vAlign w:val="center"/>
          </w:tcPr>
          <w:p w14:paraId="49B6A8F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米</w:t>
            </w:r>
          </w:p>
        </w:tc>
        <w:tc>
          <w:tcPr>
            <w:tcW w:w="600" w:type="dxa"/>
            <w:noWrap w:val="0"/>
            <w:tcMar>
              <w:top w:w="15" w:type="dxa"/>
              <w:left w:w="15" w:type="dxa"/>
              <w:right w:w="15" w:type="dxa"/>
            </w:tcMar>
            <w:vAlign w:val="center"/>
          </w:tcPr>
          <w:p w14:paraId="3D14C56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735" w:type="dxa"/>
            <w:noWrap w:val="0"/>
            <w:tcMar>
              <w:top w:w="15" w:type="dxa"/>
              <w:left w:w="15" w:type="dxa"/>
              <w:right w:w="15" w:type="dxa"/>
            </w:tcMar>
            <w:vAlign w:val="center"/>
          </w:tcPr>
          <w:p w14:paraId="3D614EA5">
            <w:pPr>
              <w:keepNext w:val="0"/>
              <w:keepLines w:val="0"/>
              <w:widowControl/>
              <w:suppressLineNumbers w:val="0"/>
              <w:jc w:val="center"/>
              <w:textAlignment w:val="center"/>
              <w:rPr>
                <w:rFonts w:hint="eastAsia" w:ascii="宋体" w:hAnsi="宋体" w:eastAsia="宋体" w:cs="宋体"/>
                <w:color w:val="000000"/>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605" w:type="dxa"/>
            <w:noWrap w:val="0"/>
            <w:tcMar>
              <w:top w:w="15" w:type="dxa"/>
              <w:left w:w="15" w:type="dxa"/>
              <w:right w:w="15" w:type="dxa"/>
            </w:tcMar>
            <w:vAlign w:val="center"/>
          </w:tcPr>
          <w:p w14:paraId="53FFCCE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1626" w:type="dxa"/>
            <w:noWrap w:val="0"/>
            <w:tcMar>
              <w:top w:w="15" w:type="dxa"/>
              <w:left w:w="15" w:type="dxa"/>
              <w:right w:w="15" w:type="dxa"/>
            </w:tcMar>
            <w:vAlign w:val="center"/>
          </w:tcPr>
          <w:p w14:paraId="7FD3435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电线:力安、杭策、中策或相当于</w:t>
            </w:r>
          </w:p>
          <w:p w14:paraId="68BEBF9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管线：中财、公元、泰 州或相当于</w:t>
            </w:r>
          </w:p>
        </w:tc>
      </w:tr>
      <w:tr w14:paraId="41A4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33BF6C9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207842E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p>
        </w:tc>
        <w:tc>
          <w:tcPr>
            <w:tcW w:w="450" w:type="dxa"/>
            <w:noWrap w:val="0"/>
            <w:tcMar>
              <w:top w:w="15" w:type="dxa"/>
              <w:left w:w="15" w:type="dxa"/>
              <w:right w:w="15" w:type="dxa"/>
            </w:tcMar>
            <w:vAlign w:val="center"/>
          </w:tcPr>
          <w:p w14:paraId="50CC2D5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3</w:t>
            </w:r>
          </w:p>
        </w:tc>
        <w:tc>
          <w:tcPr>
            <w:tcW w:w="570" w:type="dxa"/>
            <w:noWrap w:val="0"/>
            <w:tcMar>
              <w:top w:w="15" w:type="dxa"/>
              <w:left w:w="15" w:type="dxa"/>
              <w:right w:w="15" w:type="dxa"/>
            </w:tcMar>
            <w:vAlign w:val="center"/>
          </w:tcPr>
          <w:p w14:paraId="1076427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4mm平方线</w:t>
            </w:r>
          </w:p>
        </w:tc>
        <w:tc>
          <w:tcPr>
            <w:tcW w:w="2685" w:type="dxa"/>
            <w:noWrap w:val="0"/>
            <w:tcMar>
              <w:top w:w="15" w:type="dxa"/>
              <w:left w:w="15" w:type="dxa"/>
              <w:right w:w="15" w:type="dxa"/>
            </w:tcMar>
            <w:vAlign w:val="center"/>
          </w:tcPr>
          <w:p w14:paraId="58D4DC5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符合国标铜芯硬线：双线路设置，明装铺设 ，含拆除、套管及安装人工费。费用计算以套管长度为准。</w:t>
            </w:r>
          </w:p>
        </w:tc>
        <w:tc>
          <w:tcPr>
            <w:tcW w:w="480" w:type="dxa"/>
            <w:noWrap w:val="0"/>
            <w:tcMar>
              <w:top w:w="15" w:type="dxa"/>
              <w:left w:w="15" w:type="dxa"/>
              <w:right w:w="15" w:type="dxa"/>
            </w:tcMar>
            <w:vAlign w:val="center"/>
          </w:tcPr>
          <w:p w14:paraId="316A102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米</w:t>
            </w:r>
          </w:p>
        </w:tc>
        <w:tc>
          <w:tcPr>
            <w:tcW w:w="600" w:type="dxa"/>
            <w:noWrap w:val="0"/>
            <w:tcMar>
              <w:top w:w="15" w:type="dxa"/>
              <w:left w:w="15" w:type="dxa"/>
              <w:right w:w="15" w:type="dxa"/>
            </w:tcMar>
            <w:vAlign w:val="center"/>
          </w:tcPr>
          <w:p w14:paraId="44AC509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735" w:type="dxa"/>
            <w:noWrap w:val="0"/>
            <w:tcMar>
              <w:top w:w="15" w:type="dxa"/>
              <w:left w:w="15" w:type="dxa"/>
              <w:right w:w="15" w:type="dxa"/>
            </w:tcMar>
            <w:vAlign w:val="center"/>
          </w:tcPr>
          <w:p w14:paraId="7D5EA47E">
            <w:pPr>
              <w:keepNext w:val="0"/>
              <w:keepLines w:val="0"/>
              <w:widowControl/>
              <w:suppressLineNumbers w:val="0"/>
              <w:jc w:val="center"/>
              <w:textAlignment w:val="center"/>
              <w:rPr>
                <w:rFonts w:hint="eastAsia" w:ascii="宋体" w:hAnsi="宋体" w:eastAsia="宋体" w:cs="宋体"/>
                <w:color w:val="000000"/>
                <w:highlight w:val="none"/>
                <w:lang w:val="en-US"/>
              </w:rPr>
            </w:pPr>
            <w:r>
              <w:rPr>
                <w:rFonts w:hint="eastAsia" w:ascii="宋体" w:hAnsi="宋体" w:eastAsia="宋体" w:cs="宋体"/>
                <w:i w:val="0"/>
                <w:iCs w:val="0"/>
                <w:color w:val="000000"/>
                <w:kern w:val="0"/>
                <w:sz w:val="22"/>
                <w:szCs w:val="22"/>
                <w:u w:val="none"/>
                <w:lang w:val="en-US" w:eastAsia="zh-CN" w:bidi="ar"/>
              </w:rPr>
              <w:t>28</w:t>
            </w:r>
          </w:p>
        </w:tc>
        <w:tc>
          <w:tcPr>
            <w:tcW w:w="1605" w:type="dxa"/>
            <w:noWrap w:val="0"/>
            <w:tcMar>
              <w:top w:w="15" w:type="dxa"/>
              <w:left w:w="15" w:type="dxa"/>
              <w:right w:w="15" w:type="dxa"/>
            </w:tcMar>
            <w:vAlign w:val="center"/>
          </w:tcPr>
          <w:p w14:paraId="32DAD57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1626" w:type="dxa"/>
            <w:noWrap w:val="0"/>
            <w:tcMar>
              <w:top w:w="15" w:type="dxa"/>
              <w:left w:w="15" w:type="dxa"/>
              <w:right w:w="15" w:type="dxa"/>
            </w:tcMar>
            <w:vAlign w:val="center"/>
          </w:tcPr>
          <w:p w14:paraId="3CB6BF8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电线:力安、杭策、中策或相当于</w:t>
            </w:r>
          </w:p>
          <w:p w14:paraId="5338475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管线：中财、公元、泰 州或相当于</w:t>
            </w:r>
          </w:p>
        </w:tc>
      </w:tr>
      <w:tr w14:paraId="7BC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420" w:type="dxa"/>
            <w:vMerge w:val="continue"/>
            <w:noWrap w:val="0"/>
            <w:tcMar>
              <w:top w:w="15" w:type="dxa"/>
              <w:left w:w="15" w:type="dxa"/>
              <w:right w:w="15" w:type="dxa"/>
            </w:tcMar>
            <w:vAlign w:val="center"/>
          </w:tcPr>
          <w:p w14:paraId="054DA1F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46C6F6C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p>
        </w:tc>
        <w:tc>
          <w:tcPr>
            <w:tcW w:w="450" w:type="dxa"/>
            <w:noWrap w:val="0"/>
            <w:tcMar>
              <w:top w:w="15" w:type="dxa"/>
              <w:left w:w="15" w:type="dxa"/>
              <w:right w:w="15" w:type="dxa"/>
            </w:tcMar>
            <w:vAlign w:val="center"/>
          </w:tcPr>
          <w:p w14:paraId="6FF2507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4</w:t>
            </w:r>
          </w:p>
        </w:tc>
        <w:tc>
          <w:tcPr>
            <w:tcW w:w="570" w:type="dxa"/>
            <w:noWrap w:val="0"/>
            <w:tcMar>
              <w:top w:w="15" w:type="dxa"/>
              <w:left w:w="15" w:type="dxa"/>
              <w:right w:w="15" w:type="dxa"/>
            </w:tcMar>
            <w:vAlign w:val="center"/>
          </w:tcPr>
          <w:p w14:paraId="1A6E59E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开关</w:t>
            </w:r>
          </w:p>
        </w:tc>
        <w:tc>
          <w:tcPr>
            <w:tcW w:w="2685" w:type="dxa"/>
            <w:noWrap w:val="0"/>
            <w:tcMar>
              <w:top w:w="15" w:type="dxa"/>
              <w:left w:w="15" w:type="dxa"/>
              <w:right w:w="15" w:type="dxa"/>
            </w:tcMar>
            <w:vAlign w:val="center"/>
          </w:tcPr>
          <w:p w14:paraId="35946D8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连</w:t>
            </w:r>
            <w:r>
              <w:rPr>
                <w:rFonts w:hint="eastAsia" w:ascii="宋体" w:hAnsi="宋体" w:eastAsia="宋体" w:cs="宋体"/>
                <w:color w:val="000000"/>
                <w:highlight w:val="none"/>
                <w:lang w:val="en-US" w:eastAsia="zh-CN"/>
              </w:rPr>
              <w:t>符合国标：单开单控或单开双控，面板+底座，含安装。</w:t>
            </w:r>
          </w:p>
        </w:tc>
        <w:tc>
          <w:tcPr>
            <w:tcW w:w="480" w:type="dxa"/>
            <w:noWrap w:val="0"/>
            <w:tcMar>
              <w:top w:w="15" w:type="dxa"/>
              <w:left w:w="15" w:type="dxa"/>
              <w:right w:w="15" w:type="dxa"/>
            </w:tcMar>
            <w:vAlign w:val="center"/>
          </w:tcPr>
          <w:p w14:paraId="627AA63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只</w:t>
            </w:r>
          </w:p>
        </w:tc>
        <w:tc>
          <w:tcPr>
            <w:tcW w:w="600" w:type="dxa"/>
            <w:noWrap w:val="0"/>
            <w:tcMar>
              <w:top w:w="15" w:type="dxa"/>
              <w:left w:w="15" w:type="dxa"/>
              <w:right w:w="15" w:type="dxa"/>
            </w:tcMar>
            <w:vAlign w:val="center"/>
          </w:tcPr>
          <w:p w14:paraId="6667EAE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735" w:type="dxa"/>
            <w:noWrap w:val="0"/>
            <w:tcMar>
              <w:top w:w="15" w:type="dxa"/>
              <w:left w:w="15" w:type="dxa"/>
              <w:right w:w="15" w:type="dxa"/>
            </w:tcMar>
            <w:vAlign w:val="center"/>
          </w:tcPr>
          <w:p w14:paraId="15D31B97">
            <w:pPr>
              <w:keepNext w:val="0"/>
              <w:keepLines w:val="0"/>
              <w:widowControl/>
              <w:suppressLineNumbers w:val="0"/>
              <w:jc w:val="center"/>
              <w:textAlignment w:val="center"/>
              <w:rPr>
                <w:rFonts w:hint="eastAsia" w:ascii="宋体" w:hAnsi="宋体" w:eastAsia="宋体" w:cs="宋体"/>
                <w:color w:val="000000"/>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605" w:type="dxa"/>
            <w:noWrap w:val="0"/>
            <w:tcMar>
              <w:top w:w="15" w:type="dxa"/>
              <w:left w:w="15" w:type="dxa"/>
              <w:right w:w="15" w:type="dxa"/>
            </w:tcMar>
            <w:vAlign w:val="center"/>
          </w:tcPr>
          <w:p w14:paraId="2FCED5D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1626" w:type="dxa"/>
            <w:noWrap w:val="0"/>
            <w:tcMar>
              <w:top w:w="15" w:type="dxa"/>
              <w:left w:w="15" w:type="dxa"/>
              <w:right w:w="15" w:type="dxa"/>
            </w:tcMar>
            <w:vAlign w:val="center"/>
          </w:tcPr>
          <w:p w14:paraId="34DE202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鸿雁、公牛、德力西或相当于</w:t>
            </w:r>
          </w:p>
        </w:tc>
      </w:tr>
      <w:tr w14:paraId="02E1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420" w:type="dxa"/>
            <w:vMerge w:val="continue"/>
            <w:noWrap w:val="0"/>
            <w:tcMar>
              <w:top w:w="15" w:type="dxa"/>
              <w:left w:w="15" w:type="dxa"/>
              <w:right w:w="15" w:type="dxa"/>
            </w:tcMar>
            <w:vAlign w:val="center"/>
          </w:tcPr>
          <w:p w14:paraId="4DF20E3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0730D82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p>
        </w:tc>
        <w:tc>
          <w:tcPr>
            <w:tcW w:w="450" w:type="dxa"/>
            <w:noWrap w:val="0"/>
            <w:tcMar>
              <w:top w:w="15" w:type="dxa"/>
              <w:left w:w="15" w:type="dxa"/>
              <w:right w:w="15" w:type="dxa"/>
            </w:tcMar>
            <w:vAlign w:val="center"/>
          </w:tcPr>
          <w:p w14:paraId="133CBA8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5</w:t>
            </w:r>
          </w:p>
        </w:tc>
        <w:tc>
          <w:tcPr>
            <w:tcW w:w="570" w:type="dxa"/>
            <w:noWrap w:val="0"/>
            <w:tcMar>
              <w:top w:w="15" w:type="dxa"/>
              <w:left w:w="15" w:type="dxa"/>
              <w:right w:w="15" w:type="dxa"/>
            </w:tcMar>
            <w:vAlign w:val="center"/>
          </w:tcPr>
          <w:p w14:paraId="0DB621B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二、三插座</w:t>
            </w:r>
          </w:p>
        </w:tc>
        <w:tc>
          <w:tcPr>
            <w:tcW w:w="2685" w:type="dxa"/>
            <w:noWrap w:val="0"/>
            <w:tcMar>
              <w:top w:w="15" w:type="dxa"/>
              <w:left w:w="15" w:type="dxa"/>
              <w:right w:w="15" w:type="dxa"/>
            </w:tcMar>
            <w:vAlign w:val="center"/>
          </w:tcPr>
          <w:p w14:paraId="02202C3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符合国标：面板+底座</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含安装。</w:t>
            </w:r>
          </w:p>
        </w:tc>
        <w:tc>
          <w:tcPr>
            <w:tcW w:w="480" w:type="dxa"/>
            <w:noWrap w:val="0"/>
            <w:tcMar>
              <w:top w:w="15" w:type="dxa"/>
              <w:left w:w="15" w:type="dxa"/>
              <w:right w:w="15" w:type="dxa"/>
            </w:tcMar>
            <w:vAlign w:val="center"/>
          </w:tcPr>
          <w:p w14:paraId="78164EA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只</w:t>
            </w:r>
          </w:p>
        </w:tc>
        <w:tc>
          <w:tcPr>
            <w:tcW w:w="600" w:type="dxa"/>
            <w:noWrap w:val="0"/>
            <w:tcMar>
              <w:top w:w="15" w:type="dxa"/>
              <w:left w:w="15" w:type="dxa"/>
              <w:right w:w="15" w:type="dxa"/>
            </w:tcMar>
            <w:vAlign w:val="center"/>
          </w:tcPr>
          <w:p w14:paraId="5F42DD7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735" w:type="dxa"/>
            <w:noWrap w:val="0"/>
            <w:tcMar>
              <w:top w:w="15" w:type="dxa"/>
              <w:left w:w="15" w:type="dxa"/>
              <w:right w:w="15" w:type="dxa"/>
            </w:tcMar>
            <w:vAlign w:val="center"/>
          </w:tcPr>
          <w:p w14:paraId="2B1A5C39">
            <w:pPr>
              <w:keepNext w:val="0"/>
              <w:keepLines w:val="0"/>
              <w:widowControl/>
              <w:suppressLineNumbers w:val="0"/>
              <w:jc w:val="center"/>
              <w:textAlignment w:val="center"/>
              <w:rPr>
                <w:rFonts w:hint="eastAsia" w:ascii="宋体" w:hAnsi="宋体" w:eastAsia="宋体" w:cs="宋体"/>
                <w:color w:val="000000"/>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605" w:type="dxa"/>
            <w:noWrap w:val="0"/>
            <w:tcMar>
              <w:top w:w="15" w:type="dxa"/>
              <w:left w:w="15" w:type="dxa"/>
              <w:right w:w="15" w:type="dxa"/>
            </w:tcMar>
            <w:vAlign w:val="center"/>
          </w:tcPr>
          <w:p w14:paraId="1FD5EE9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1626" w:type="dxa"/>
            <w:noWrap w:val="0"/>
            <w:tcMar>
              <w:top w:w="15" w:type="dxa"/>
              <w:left w:w="15" w:type="dxa"/>
              <w:right w:w="15" w:type="dxa"/>
            </w:tcMar>
            <w:vAlign w:val="center"/>
          </w:tcPr>
          <w:p w14:paraId="13A801A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鸿雁、公牛、德力西或相当于</w:t>
            </w:r>
          </w:p>
        </w:tc>
      </w:tr>
      <w:tr w14:paraId="7C38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20" w:type="dxa"/>
            <w:vMerge w:val="continue"/>
            <w:noWrap w:val="0"/>
            <w:tcMar>
              <w:top w:w="15" w:type="dxa"/>
              <w:left w:w="15" w:type="dxa"/>
              <w:right w:w="15" w:type="dxa"/>
            </w:tcMar>
            <w:vAlign w:val="center"/>
          </w:tcPr>
          <w:p w14:paraId="25CD097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403B227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p>
        </w:tc>
        <w:tc>
          <w:tcPr>
            <w:tcW w:w="450" w:type="dxa"/>
            <w:noWrap w:val="0"/>
            <w:tcMar>
              <w:top w:w="15" w:type="dxa"/>
              <w:left w:w="15" w:type="dxa"/>
              <w:right w:w="15" w:type="dxa"/>
            </w:tcMar>
            <w:vAlign w:val="center"/>
          </w:tcPr>
          <w:p w14:paraId="02BAF765">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6</w:t>
            </w:r>
          </w:p>
        </w:tc>
        <w:tc>
          <w:tcPr>
            <w:tcW w:w="570" w:type="dxa"/>
            <w:noWrap w:val="0"/>
            <w:tcMar>
              <w:top w:w="15" w:type="dxa"/>
              <w:left w:w="15" w:type="dxa"/>
              <w:right w:w="15" w:type="dxa"/>
            </w:tcMar>
            <w:vAlign w:val="center"/>
          </w:tcPr>
          <w:p w14:paraId="6927F38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总控开关</w:t>
            </w:r>
          </w:p>
        </w:tc>
        <w:tc>
          <w:tcPr>
            <w:tcW w:w="2685" w:type="dxa"/>
            <w:noWrap w:val="0"/>
            <w:tcMar>
              <w:top w:w="15" w:type="dxa"/>
              <w:left w:w="15" w:type="dxa"/>
              <w:right w:w="15" w:type="dxa"/>
            </w:tcMar>
            <w:vAlign w:val="center"/>
          </w:tcPr>
          <w:p w14:paraId="4DAC443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符合国标</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功率≥63A</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含安装。</w:t>
            </w:r>
          </w:p>
        </w:tc>
        <w:tc>
          <w:tcPr>
            <w:tcW w:w="480" w:type="dxa"/>
            <w:noWrap w:val="0"/>
            <w:tcMar>
              <w:top w:w="15" w:type="dxa"/>
              <w:left w:w="15" w:type="dxa"/>
              <w:right w:w="15" w:type="dxa"/>
            </w:tcMar>
            <w:vAlign w:val="center"/>
          </w:tcPr>
          <w:p w14:paraId="1EF7BC77">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套</w:t>
            </w:r>
          </w:p>
        </w:tc>
        <w:tc>
          <w:tcPr>
            <w:tcW w:w="600" w:type="dxa"/>
            <w:noWrap w:val="0"/>
            <w:tcMar>
              <w:top w:w="15" w:type="dxa"/>
              <w:left w:w="15" w:type="dxa"/>
              <w:right w:w="15" w:type="dxa"/>
            </w:tcMar>
            <w:vAlign w:val="center"/>
          </w:tcPr>
          <w:p w14:paraId="0B526DA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735" w:type="dxa"/>
            <w:noWrap w:val="0"/>
            <w:tcMar>
              <w:top w:w="15" w:type="dxa"/>
              <w:left w:w="15" w:type="dxa"/>
              <w:right w:w="15" w:type="dxa"/>
            </w:tcMar>
            <w:vAlign w:val="center"/>
          </w:tcPr>
          <w:p w14:paraId="32B82B5F">
            <w:pPr>
              <w:keepNext w:val="0"/>
              <w:keepLines w:val="0"/>
              <w:widowControl/>
              <w:suppressLineNumbers w:val="0"/>
              <w:jc w:val="center"/>
              <w:textAlignment w:val="center"/>
              <w:rPr>
                <w:rFonts w:hint="eastAsia" w:ascii="宋体" w:hAnsi="宋体" w:eastAsia="宋体" w:cs="宋体"/>
                <w:color w:val="000000"/>
                <w:highlight w:val="none"/>
              </w:rPr>
            </w:pPr>
            <w:r>
              <w:rPr>
                <w:rFonts w:hint="eastAsia" w:ascii="宋体" w:hAnsi="宋体" w:eastAsia="宋体" w:cs="宋体"/>
                <w:i w:val="0"/>
                <w:iCs w:val="0"/>
                <w:color w:val="000000"/>
                <w:kern w:val="0"/>
                <w:sz w:val="22"/>
                <w:szCs w:val="22"/>
                <w:u w:val="none"/>
                <w:lang w:val="en-US" w:eastAsia="zh-CN" w:bidi="ar"/>
              </w:rPr>
              <w:t>120</w:t>
            </w:r>
          </w:p>
        </w:tc>
        <w:tc>
          <w:tcPr>
            <w:tcW w:w="1605" w:type="dxa"/>
            <w:noWrap w:val="0"/>
            <w:tcMar>
              <w:top w:w="15" w:type="dxa"/>
              <w:left w:w="15" w:type="dxa"/>
              <w:right w:w="15" w:type="dxa"/>
            </w:tcMar>
            <w:vAlign w:val="center"/>
          </w:tcPr>
          <w:p w14:paraId="5AFDBE6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1626" w:type="dxa"/>
            <w:noWrap w:val="0"/>
            <w:tcMar>
              <w:top w:w="15" w:type="dxa"/>
              <w:left w:w="15" w:type="dxa"/>
              <w:right w:w="15" w:type="dxa"/>
            </w:tcMar>
            <w:vAlign w:val="center"/>
          </w:tcPr>
          <w:p w14:paraId="17CD5FB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凯隆、公牛、德力西或相当于</w:t>
            </w:r>
          </w:p>
        </w:tc>
      </w:tr>
      <w:tr w14:paraId="35B7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trPr>
        <w:tc>
          <w:tcPr>
            <w:tcW w:w="420" w:type="dxa"/>
            <w:vMerge w:val="continue"/>
            <w:noWrap w:val="0"/>
            <w:tcMar>
              <w:top w:w="15" w:type="dxa"/>
              <w:left w:w="15" w:type="dxa"/>
              <w:right w:w="15" w:type="dxa"/>
            </w:tcMar>
            <w:vAlign w:val="center"/>
          </w:tcPr>
          <w:p w14:paraId="0193DC7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2A8D3237">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p>
        </w:tc>
        <w:tc>
          <w:tcPr>
            <w:tcW w:w="450" w:type="dxa"/>
            <w:noWrap w:val="0"/>
            <w:tcMar>
              <w:top w:w="15" w:type="dxa"/>
              <w:left w:w="15" w:type="dxa"/>
              <w:right w:w="15" w:type="dxa"/>
            </w:tcMar>
            <w:vAlign w:val="center"/>
          </w:tcPr>
          <w:p w14:paraId="0BEEAA2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7</w:t>
            </w:r>
          </w:p>
        </w:tc>
        <w:tc>
          <w:tcPr>
            <w:tcW w:w="570" w:type="dxa"/>
            <w:noWrap w:val="0"/>
            <w:tcMar>
              <w:top w:w="15" w:type="dxa"/>
              <w:left w:w="15" w:type="dxa"/>
              <w:right w:w="15" w:type="dxa"/>
            </w:tcMar>
            <w:vAlign w:val="center"/>
          </w:tcPr>
          <w:p w14:paraId="18297EF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1P空气开关</w:t>
            </w:r>
          </w:p>
        </w:tc>
        <w:tc>
          <w:tcPr>
            <w:tcW w:w="2685" w:type="dxa"/>
            <w:noWrap w:val="0"/>
            <w:tcMar>
              <w:top w:w="15" w:type="dxa"/>
              <w:left w:w="15" w:type="dxa"/>
              <w:right w:w="15" w:type="dxa"/>
            </w:tcMar>
            <w:vAlign w:val="center"/>
          </w:tcPr>
          <w:p w14:paraId="19247CE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符合国标，功率≥1</w:t>
            </w:r>
            <w:r>
              <w:rPr>
                <w:rFonts w:hint="eastAsia" w:ascii="宋体" w:hAnsi="宋体" w:eastAsia="宋体" w:cs="宋体"/>
                <w:color w:val="000000"/>
                <w:highlight w:val="none"/>
                <w:lang w:val="en-US" w:eastAsia="zh-CN"/>
              </w:rPr>
              <w:t>0</w:t>
            </w:r>
            <w:r>
              <w:rPr>
                <w:rFonts w:hint="eastAsia" w:ascii="宋体" w:hAnsi="宋体" w:eastAsia="宋体" w:cs="宋体"/>
                <w:color w:val="000000"/>
                <w:highlight w:val="none"/>
              </w:rPr>
              <w:t>A。</w:t>
            </w:r>
            <w:r>
              <w:rPr>
                <w:rFonts w:hint="eastAsia" w:ascii="宋体" w:hAnsi="宋体" w:eastAsia="宋体" w:cs="宋体"/>
                <w:color w:val="000000"/>
                <w:highlight w:val="none"/>
                <w:lang w:val="en-US" w:eastAsia="zh-CN"/>
              </w:rPr>
              <w:t>含安装。</w:t>
            </w:r>
          </w:p>
        </w:tc>
        <w:tc>
          <w:tcPr>
            <w:tcW w:w="480" w:type="dxa"/>
            <w:noWrap w:val="0"/>
            <w:tcMar>
              <w:top w:w="15" w:type="dxa"/>
              <w:left w:w="15" w:type="dxa"/>
              <w:right w:w="15" w:type="dxa"/>
            </w:tcMar>
            <w:vAlign w:val="center"/>
          </w:tcPr>
          <w:p w14:paraId="241C2EB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套</w:t>
            </w:r>
          </w:p>
        </w:tc>
        <w:tc>
          <w:tcPr>
            <w:tcW w:w="600" w:type="dxa"/>
            <w:noWrap w:val="0"/>
            <w:tcMar>
              <w:top w:w="15" w:type="dxa"/>
              <w:left w:w="15" w:type="dxa"/>
              <w:right w:w="15" w:type="dxa"/>
            </w:tcMar>
            <w:vAlign w:val="center"/>
          </w:tcPr>
          <w:p w14:paraId="0F6B5C7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只</w:t>
            </w:r>
          </w:p>
        </w:tc>
        <w:tc>
          <w:tcPr>
            <w:tcW w:w="735" w:type="dxa"/>
            <w:noWrap w:val="0"/>
            <w:tcMar>
              <w:top w:w="15" w:type="dxa"/>
              <w:left w:w="15" w:type="dxa"/>
              <w:right w:w="15" w:type="dxa"/>
            </w:tcMar>
            <w:vAlign w:val="center"/>
          </w:tcPr>
          <w:p w14:paraId="63B8E97B">
            <w:pPr>
              <w:keepNext w:val="0"/>
              <w:keepLines w:val="0"/>
              <w:widowControl/>
              <w:suppressLineNumbers w:val="0"/>
              <w:jc w:val="center"/>
              <w:textAlignment w:val="center"/>
              <w:rPr>
                <w:rFonts w:hint="eastAsia" w:ascii="宋体" w:hAnsi="宋体" w:eastAsia="宋体" w:cs="宋体"/>
                <w:color w:val="000000"/>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605" w:type="dxa"/>
            <w:noWrap w:val="0"/>
            <w:tcMar>
              <w:top w:w="15" w:type="dxa"/>
              <w:left w:w="15" w:type="dxa"/>
              <w:right w:w="15" w:type="dxa"/>
            </w:tcMar>
            <w:vAlign w:val="center"/>
          </w:tcPr>
          <w:p w14:paraId="672F3C3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1626" w:type="dxa"/>
            <w:noWrap w:val="0"/>
            <w:tcMar>
              <w:top w:w="15" w:type="dxa"/>
              <w:left w:w="15" w:type="dxa"/>
              <w:right w:w="15" w:type="dxa"/>
            </w:tcMar>
            <w:vAlign w:val="center"/>
          </w:tcPr>
          <w:p w14:paraId="039037C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凯隆、公牛、德力西或相当于</w:t>
            </w:r>
          </w:p>
        </w:tc>
      </w:tr>
      <w:tr w14:paraId="68A2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1" w:hRule="atLeast"/>
        </w:trPr>
        <w:tc>
          <w:tcPr>
            <w:tcW w:w="420" w:type="dxa"/>
            <w:vMerge w:val="continue"/>
            <w:noWrap w:val="0"/>
            <w:tcMar>
              <w:top w:w="15" w:type="dxa"/>
              <w:left w:w="15" w:type="dxa"/>
              <w:right w:w="15" w:type="dxa"/>
            </w:tcMar>
            <w:vAlign w:val="center"/>
          </w:tcPr>
          <w:p w14:paraId="0BE22E2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202D374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p>
        </w:tc>
        <w:tc>
          <w:tcPr>
            <w:tcW w:w="450" w:type="dxa"/>
            <w:noWrap w:val="0"/>
            <w:tcMar>
              <w:top w:w="15" w:type="dxa"/>
              <w:left w:w="15" w:type="dxa"/>
              <w:right w:w="15" w:type="dxa"/>
            </w:tcMar>
            <w:vAlign w:val="center"/>
          </w:tcPr>
          <w:p w14:paraId="699CE1A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8</w:t>
            </w:r>
          </w:p>
        </w:tc>
        <w:tc>
          <w:tcPr>
            <w:tcW w:w="570" w:type="dxa"/>
            <w:noWrap w:val="0"/>
            <w:tcMar>
              <w:top w:w="15" w:type="dxa"/>
              <w:left w:w="15" w:type="dxa"/>
              <w:right w:w="15" w:type="dxa"/>
            </w:tcMar>
            <w:vAlign w:val="center"/>
          </w:tcPr>
          <w:p w14:paraId="282EA9C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强电箱和漏电保护装置</w:t>
            </w:r>
          </w:p>
        </w:tc>
        <w:tc>
          <w:tcPr>
            <w:tcW w:w="2685" w:type="dxa"/>
            <w:noWrap w:val="0"/>
            <w:tcMar>
              <w:top w:w="15" w:type="dxa"/>
              <w:left w:w="15" w:type="dxa"/>
              <w:right w:w="15" w:type="dxa"/>
            </w:tcMar>
            <w:vAlign w:val="center"/>
          </w:tcPr>
          <w:p w14:paraId="16CC81D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强电箱应符合国家有关标准，总控空气开关1个，功率≥63A，其他空气开关≥3个，功率≥10A。适用于有电路安全隐患，无总控开关盒、空气开关的家庭，含拆除、电箱、漏电保护器、空开、辅料及安装人工费</w:t>
            </w:r>
          </w:p>
        </w:tc>
        <w:tc>
          <w:tcPr>
            <w:tcW w:w="480" w:type="dxa"/>
            <w:noWrap w:val="0"/>
            <w:tcMar>
              <w:top w:w="15" w:type="dxa"/>
              <w:left w:w="15" w:type="dxa"/>
              <w:right w:w="15" w:type="dxa"/>
            </w:tcMar>
            <w:vAlign w:val="center"/>
          </w:tcPr>
          <w:p w14:paraId="1C3E9EA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套</w:t>
            </w:r>
          </w:p>
        </w:tc>
        <w:tc>
          <w:tcPr>
            <w:tcW w:w="600" w:type="dxa"/>
            <w:noWrap w:val="0"/>
            <w:tcMar>
              <w:top w:w="15" w:type="dxa"/>
              <w:left w:w="15" w:type="dxa"/>
              <w:right w:w="15" w:type="dxa"/>
            </w:tcMar>
            <w:vAlign w:val="center"/>
          </w:tcPr>
          <w:p w14:paraId="72DCC49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735" w:type="dxa"/>
            <w:noWrap w:val="0"/>
            <w:tcMar>
              <w:top w:w="15" w:type="dxa"/>
              <w:left w:w="15" w:type="dxa"/>
              <w:right w:w="15" w:type="dxa"/>
            </w:tcMar>
            <w:vAlign w:val="center"/>
          </w:tcPr>
          <w:p w14:paraId="43A3DE92">
            <w:pPr>
              <w:keepNext w:val="0"/>
              <w:keepLines w:val="0"/>
              <w:widowControl/>
              <w:suppressLineNumbers w:val="0"/>
              <w:jc w:val="center"/>
              <w:textAlignment w:val="center"/>
              <w:rPr>
                <w:rFonts w:hint="eastAsia" w:ascii="宋体" w:hAnsi="宋体" w:eastAsia="宋体" w:cs="宋体"/>
                <w:color w:val="000000"/>
                <w:highlight w:val="none"/>
                <w:lang w:val="en-US" w:eastAsia="zh-CN"/>
              </w:rPr>
            </w:pPr>
            <w:r>
              <w:rPr>
                <w:rFonts w:hint="eastAsia" w:ascii="宋体" w:hAnsi="宋体" w:eastAsia="宋体" w:cs="宋体"/>
                <w:i w:val="0"/>
                <w:iCs w:val="0"/>
                <w:color w:val="000000"/>
                <w:kern w:val="0"/>
                <w:sz w:val="22"/>
                <w:szCs w:val="22"/>
                <w:u w:val="none"/>
                <w:lang w:val="en-US" w:eastAsia="zh-CN" w:bidi="ar"/>
              </w:rPr>
              <w:t>480</w:t>
            </w:r>
          </w:p>
        </w:tc>
        <w:tc>
          <w:tcPr>
            <w:tcW w:w="1605" w:type="dxa"/>
            <w:noWrap w:val="0"/>
            <w:tcMar>
              <w:top w:w="15" w:type="dxa"/>
              <w:left w:w="15" w:type="dxa"/>
              <w:right w:w="15" w:type="dxa"/>
            </w:tcMar>
            <w:vAlign w:val="center"/>
          </w:tcPr>
          <w:p w14:paraId="3BAEB9B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1626" w:type="dxa"/>
            <w:noWrap w:val="0"/>
            <w:tcMar>
              <w:top w:w="15" w:type="dxa"/>
              <w:left w:w="15" w:type="dxa"/>
              <w:right w:w="15" w:type="dxa"/>
            </w:tcMar>
            <w:vAlign w:val="center"/>
          </w:tcPr>
          <w:p w14:paraId="5E92CD2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德力西、凯隆、公牛或相当于</w:t>
            </w:r>
          </w:p>
        </w:tc>
      </w:tr>
      <w:tr w14:paraId="4379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1A83576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0A0B75B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p>
        </w:tc>
        <w:tc>
          <w:tcPr>
            <w:tcW w:w="450" w:type="dxa"/>
            <w:noWrap w:val="0"/>
            <w:tcMar>
              <w:top w:w="15" w:type="dxa"/>
              <w:left w:w="15" w:type="dxa"/>
              <w:right w:w="15" w:type="dxa"/>
            </w:tcMar>
            <w:vAlign w:val="center"/>
          </w:tcPr>
          <w:p w14:paraId="438858E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9</w:t>
            </w:r>
          </w:p>
        </w:tc>
        <w:tc>
          <w:tcPr>
            <w:tcW w:w="570" w:type="dxa"/>
            <w:noWrap w:val="0"/>
            <w:tcMar>
              <w:top w:w="15" w:type="dxa"/>
              <w:left w:w="15" w:type="dxa"/>
              <w:right w:w="15" w:type="dxa"/>
            </w:tcMar>
            <w:vAlign w:val="center"/>
          </w:tcPr>
          <w:p w14:paraId="2EF8EA5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LED吸顶灯</w:t>
            </w:r>
          </w:p>
        </w:tc>
        <w:tc>
          <w:tcPr>
            <w:tcW w:w="2685" w:type="dxa"/>
            <w:noWrap w:val="0"/>
            <w:tcMar>
              <w:top w:w="15" w:type="dxa"/>
              <w:left w:w="15" w:type="dxa"/>
              <w:right w:w="15" w:type="dxa"/>
            </w:tcMar>
            <w:vAlign w:val="center"/>
          </w:tcPr>
          <w:p w14:paraId="6CF2C64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LED，功率16W-24W,根据环境需要配置功率。含辅料及安装人工。</w:t>
            </w:r>
          </w:p>
        </w:tc>
        <w:tc>
          <w:tcPr>
            <w:tcW w:w="480" w:type="dxa"/>
            <w:noWrap w:val="0"/>
            <w:tcMar>
              <w:top w:w="15" w:type="dxa"/>
              <w:left w:w="15" w:type="dxa"/>
              <w:right w:w="15" w:type="dxa"/>
            </w:tcMar>
            <w:vAlign w:val="center"/>
          </w:tcPr>
          <w:p w14:paraId="1A5867F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套</w:t>
            </w:r>
          </w:p>
        </w:tc>
        <w:tc>
          <w:tcPr>
            <w:tcW w:w="600" w:type="dxa"/>
            <w:noWrap w:val="0"/>
            <w:tcMar>
              <w:top w:w="15" w:type="dxa"/>
              <w:left w:w="15" w:type="dxa"/>
              <w:right w:w="15" w:type="dxa"/>
            </w:tcMar>
            <w:vAlign w:val="center"/>
          </w:tcPr>
          <w:p w14:paraId="32370967">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735" w:type="dxa"/>
            <w:noWrap w:val="0"/>
            <w:tcMar>
              <w:top w:w="15" w:type="dxa"/>
              <w:left w:w="15" w:type="dxa"/>
              <w:right w:w="15" w:type="dxa"/>
            </w:tcMar>
            <w:vAlign w:val="center"/>
          </w:tcPr>
          <w:p w14:paraId="68B46825">
            <w:pPr>
              <w:keepNext w:val="0"/>
              <w:keepLines w:val="0"/>
              <w:widowControl/>
              <w:suppressLineNumbers w:val="0"/>
              <w:jc w:val="center"/>
              <w:textAlignment w:val="center"/>
              <w:rPr>
                <w:rFonts w:hint="eastAsia" w:ascii="宋体" w:hAnsi="宋体" w:eastAsia="宋体" w:cs="宋体"/>
                <w:color w:val="000000"/>
                <w:highlight w:val="none"/>
                <w:lang w:val="en-US" w:eastAsia="zh-CN"/>
              </w:rPr>
            </w:pPr>
            <w:r>
              <w:rPr>
                <w:rFonts w:hint="eastAsia" w:ascii="宋体" w:hAnsi="宋体" w:eastAsia="宋体" w:cs="宋体"/>
                <w:i w:val="0"/>
                <w:iCs w:val="0"/>
                <w:color w:val="000000"/>
                <w:kern w:val="0"/>
                <w:sz w:val="22"/>
                <w:szCs w:val="22"/>
                <w:u w:val="none"/>
                <w:lang w:val="en-US" w:eastAsia="zh-CN" w:bidi="ar"/>
              </w:rPr>
              <w:t>144</w:t>
            </w:r>
          </w:p>
        </w:tc>
        <w:tc>
          <w:tcPr>
            <w:tcW w:w="1605" w:type="dxa"/>
            <w:noWrap w:val="0"/>
            <w:tcMar>
              <w:top w:w="15" w:type="dxa"/>
              <w:left w:w="15" w:type="dxa"/>
              <w:right w:w="15" w:type="dxa"/>
            </w:tcMar>
            <w:vAlign w:val="center"/>
          </w:tcPr>
          <w:p w14:paraId="65D5315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r>
              <w:rPr>
                <w:rFonts w:hint="eastAsia" w:ascii="宋体" w:hAnsi="宋体" w:eastAsia="宋体" w:cs="宋体"/>
                <w:color w:val="000000"/>
                <w:szCs w:val="21"/>
                <w:highlight w:val="none"/>
              </w:rPr>
              <w:drawing>
                <wp:inline distT="0" distB="0" distL="114300" distR="114300">
                  <wp:extent cx="2758440" cy="640080"/>
                  <wp:effectExtent l="0" t="0" r="3810" b="7620"/>
                  <wp:docPr id="14" name="图片 1" descr="1615434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1615434646(1)"/>
                          <pic:cNvPicPr>
                            <a:picLocks noChangeAspect="1"/>
                          </pic:cNvPicPr>
                        </pic:nvPicPr>
                        <pic:blipFill>
                          <a:blip r:embed="rId8"/>
                          <a:stretch>
                            <a:fillRect/>
                          </a:stretch>
                        </pic:blipFill>
                        <pic:spPr>
                          <a:xfrm>
                            <a:off x="0" y="0"/>
                            <a:ext cx="2758440" cy="640080"/>
                          </a:xfrm>
                          <a:prstGeom prst="rect">
                            <a:avLst/>
                          </a:prstGeom>
                          <a:noFill/>
                          <a:ln>
                            <a:noFill/>
                          </a:ln>
                        </pic:spPr>
                      </pic:pic>
                    </a:graphicData>
                  </a:graphic>
                </wp:inline>
              </w:drawing>
            </w:r>
          </w:p>
        </w:tc>
        <w:tc>
          <w:tcPr>
            <w:tcW w:w="1626" w:type="dxa"/>
            <w:noWrap w:val="0"/>
            <w:tcMar>
              <w:top w:w="15" w:type="dxa"/>
              <w:left w:w="15" w:type="dxa"/>
              <w:right w:w="15" w:type="dxa"/>
            </w:tcMar>
            <w:vAlign w:val="center"/>
          </w:tcPr>
          <w:p w14:paraId="191AFA6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欧普、飞利浦、 三极雄光或相当于</w:t>
            </w:r>
          </w:p>
        </w:tc>
      </w:tr>
      <w:tr w14:paraId="1CCC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420" w:type="dxa"/>
            <w:vMerge w:val="restart"/>
            <w:noWrap w:val="0"/>
            <w:tcMar>
              <w:top w:w="15" w:type="dxa"/>
              <w:left w:w="15" w:type="dxa"/>
              <w:right w:w="15" w:type="dxa"/>
            </w:tcMar>
            <w:vAlign w:val="center"/>
          </w:tcPr>
          <w:p w14:paraId="7D36C920">
            <w:pPr>
              <w:keepNext w:val="0"/>
              <w:keepLines w:val="0"/>
              <w:pageBreakBefore w:val="0"/>
              <w:shd w:val="clear" w:color="auto" w:fill="auto"/>
              <w:kinsoku/>
              <w:wordWrap/>
              <w:overflowPunct/>
              <w:topLinePunct w:val="0"/>
              <w:bidi w:val="0"/>
              <w:spacing w:line="240" w:lineRule="auto"/>
              <w:ind w:firstLine="210" w:firstLineChars="1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w:t>
            </w:r>
          </w:p>
        </w:tc>
        <w:tc>
          <w:tcPr>
            <w:tcW w:w="480" w:type="dxa"/>
            <w:vMerge w:val="restart"/>
            <w:noWrap w:val="0"/>
            <w:tcMar>
              <w:top w:w="15" w:type="dxa"/>
              <w:left w:w="15" w:type="dxa"/>
              <w:right w:w="15" w:type="dxa"/>
            </w:tcMar>
            <w:vAlign w:val="center"/>
          </w:tcPr>
          <w:p w14:paraId="0CAE2A45">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墙面</w:t>
            </w:r>
          </w:p>
          <w:p w14:paraId="3C6B342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处理</w:t>
            </w:r>
          </w:p>
        </w:tc>
        <w:tc>
          <w:tcPr>
            <w:tcW w:w="450" w:type="dxa"/>
            <w:noWrap w:val="0"/>
            <w:tcMar>
              <w:top w:w="15" w:type="dxa"/>
              <w:left w:w="15" w:type="dxa"/>
              <w:right w:w="15" w:type="dxa"/>
            </w:tcMar>
            <w:vAlign w:val="center"/>
          </w:tcPr>
          <w:p w14:paraId="5DFAD4E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10</w:t>
            </w:r>
          </w:p>
        </w:tc>
        <w:tc>
          <w:tcPr>
            <w:tcW w:w="570" w:type="dxa"/>
            <w:noWrap w:val="0"/>
            <w:tcMar>
              <w:top w:w="15" w:type="dxa"/>
              <w:left w:w="15" w:type="dxa"/>
              <w:right w:w="15" w:type="dxa"/>
            </w:tcMar>
            <w:vAlign w:val="center"/>
          </w:tcPr>
          <w:p w14:paraId="737EB05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lang w:bidi="ar"/>
              </w:rPr>
              <w:t>新建隔墙</w:t>
            </w:r>
          </w:p>
        </w:tc>
        <w:tc>
          <w:tcPr>
            <w:tcW w:w="2685" w:type="dxa"/>
            <w:noWrap w:val="0"/>
            <w:tcMar>
              <w:top w:w="15" w:type="dxa"/>
              <w:left w:w="15" w:type="dxa"/>
              <w:right w:w="15" w:type="dxa"/>
            </w:tcMar>
            <w:vAlign w:val="center"/>
          </w:tcPr>
          <w:p w14:paraId="5FA756A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shd w:val="clear" w:color="auto" w:fill="auto"/>
                <w:lang w:bidi="ar"/>
              </w:rPr>
              <w:t>烧结砖或轻质砖</w:t>
            </w:r>
            <w:r>
              <w:rPr>
                <w:rFonts w:hint="eastAsia" w:ascii="宋体" w:hAnsi="宋体" w:eastAsia="宋体" w:cs="宋体"/>
                <w:b w:val="0"/>
                <w:bCs w:val="0"/>
                <w:color w:val="000000"/>
                <w:kern w:val="0"/>
                <w:sz w:val="21"/>
                <w:szCs w:val="21"/>
                <w:highlight w:val="none"/>
                <w:lang w:bidi="ar"/>
              </w:rPr>
              <w:t>隔断</w:t>
            </w: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val="en-US" w:eastAsia="zh-CN" w:bidi="ar"/>
              </w:rPr>
              <w:t>含人工及材料。</w:t>
            </w:r>
          </w:p>
        </w:tc>
        <w:tc>
          <w:tcPr>
            <w:tcW w:w="480" w:type="dxa"/>
            <w:noWrap w:val="0"/>
            <w:tcMar>
              <w:top w:w="15" w:type="dxa"/>
              <w:left w:w="15" w:type="dxa"/>
              <w:right w:w="15" w:type="dxa"/>
            </w:tcMar>
            <w:vAlign w:val="center"/>
          </w:tcPr>
          <w:p w14:paraId="3584F44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m2</w:t>
            </w:r>
          </w:p>
        </w:tc>
        <w:tc>
          <w:tcPr>
            <w:tcW w:w="600" w:type="dxa"/>
            <w:noWrap w:val="0"/>
            <w:tcMar>
              <w:top w:w="15" w:type="dxa"/>
              <w:left w:w="15" w:type="dxa"/>
              <w:right w:w="15" w:type="dxa"/>
            </w:tcMar>
            <w:vAlign w:val="center"/>
          </w:tcPr>
          <w:p w14:paraId="104375A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rPr>
              <w:t>1</w:t>
            </w:r>
          </w:p>
        </w:tc>
        <w:tc>
          <w:tcPr>
            <w:tcW w:w="735" w:type="dxa"/>
            <w:noWrap w:val="0"/>
            <w:tcMar>
              <w:top w:w="15" w:type="dxa"/>
              <w:left w:w="15" w:type="dxa"/>
              <w:right w:w="15" w:type="dxa"/>
            </w:tcMar>
            <w:vAlign w:val="center"/>
          </w:tcPr>
          <w:p w14:paraId="2E232FDF">
            <w:pPr>
              <w:keepNext w:val="0"/>
              <w:keepLines w:val="0"/>
              <w:widowControl/>
              <w:suppressLineNumbers w:val="0"/>
              <w:jc w:val="center"/>
              <w:textAlignment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605" w:type="dxa"/>
            <w:noWrap w:val="0"/>
            <w:tcMar>
              <w:top w:w="15" w:type="dxa"/>
              <w:left w:w="15" w:type="dxa"/>
              <w:right w:w="15" w:type="dxa"/>
            </w:tcMar>
            <w:vAlign w:val="center"/>
          </w:tcPr>
          <w:p w14:paraId="2DBDD4A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1626" w:type="dxa"/>
            <w:noWrap w:val="0"/>
            <w:tcMar>
              <w:top w:w="15" w:type="dxa"/>
              <w:left w:w="15" w:type="dxa"/>
              <w:right w:w="15" w:type="dxa"/>
            </w:tcMar>
            <w:vAlign w:val="center"/>
          </w:tcPr>
          <w:p w14:paraId="42AAFBB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lang w:val="en-US" w:eastAsia="zh-CN"/>
              </w:rPr>
            </w:pPr>
          </w:p>
        </w:tc>
      </w:tr>
      <w:tr w14:paraId="1C34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57C1039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1DBDACD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sz w:val="21"/>
                <w:szCs w:val="21"/>
                <w:highlight w:val="none"/>
              </w:rPr>
            </w:pPr>
          </w:p>
        </w:tc>
        <w:tc>
          <w:tcPr>
            <w:tcW w:w="450" w:type="dxa"/>
            <w:noWrap w:val="0"/>
            <w:tcMar>
              <w:top w:w="15" w:type="dxa"/>
              <w:left w:w="15" w:type="dxa"/>
              <w:right w:w="15" w:type="dxa"/>
            </w:tcMar>
            <w:vAlign w:val="center"/>
          </w:tcPr>
          <w:p w14:paraId="31E3A16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11</w:t>
            </w:r>
          </w:p>
        </w:tc>
        <w:tc>
          <w:tcPr>
            <w:tcW w:w="570" w:type="dxa"/>
            <w:noWrap w:val="0"/>
            <w:tcMar>
              <w:top w:w="15" w:type="dxa"/>
              <w:left w:w="15" w:type="dxa"/>
              <w:right w:w="15" w:type="dxa"/>
            </w:tcMar>
            <w:vAlign w:val="center"/>
          </w:tcPr>
          <w:p w14:paraId="609CB7D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lang w:bidi="ar"/>
              </w:rPr>
              <w:t>墙面抹灰</w:t>
            </w:r>
          </w:p>
        </w:tc>
        <w:tc>
          <w:tcPr>
            <w:tcW w:w="2685" w:type="dxa"/>
            <w:noWrap w:val="0"/>
            <w:tcMar>
              <w:top w:w="15" w:type="dxa"/>
              <w:left w:w="15" w:type="dxa"/>
              <w:right w:w="15" w:type="dxa"/>
            </w:tcMar>
            <w:vAlign w:val="center"/>
          </w:tcPr>
          <w:p w14:paraId="5CE1434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清理基层、找平、墙面抹灰。适用于基层为混凝土墙面、砖砌体墙面，不含乳胶漆。</w:t>
            </w:r>
            <w:r>
              <w:rPr>
                <w:rFonts w:hint="eastAsia" w:ascii="宋体" w:hAnsi="宋体" w:eastAsia="宋体" w:cs="宋体"/>
                <w:color w:val="000000"/>
                <w:kern w:val="0"/>
                <w:sz w:val="21"/>
                <w:szCs w:val="21"/>
                <w:highlight w:val="none"/>
                <w:lang w:val="en-US" w:eastAsia="zh-CN" w:bidi="ar"/>
              </w:rPr>
              <w:t>含人工及材料。</w:t>
            </w:r>
          </w:p>
        </w:tc>
        <w:tc>
          <w:tcPr>
            <w:tcW w:w="480" w:type="dxa"/>
            <w:noWrap w:val="0"/>
            <w:tcMar>
              <w:top w:w="15" w:type="dxa"/>
              <w:left w:w="15" w:type="dxa"/>
              <w:right w:w="15" w:type="dxa"/>
            </w:tcMar>
            <w:vAlign w:val="center"/>
          </w:tcPr>
          <w:p w14:paraId="518E595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m2</w:t>
            </w:r>
          </w:p>
        </w:tc>
        <w:tc>
          <w:tcPr>
            <w:tcW w:w="600" w:type="dxa"/>
            <w:noWrap w:val="0"/>
            <w:tcMar>
              <w:top w:w="15" w:type="dxa"/>
              <w:left w:w="15" w:type="dxa"/>
              <w:right w:w="15" w:type="dxa"/>
            </w:tcMar>
            <w:vAlign w:val="center"/>
          </w:tcPr>
          <w:p w14:paraId="12BFFB9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rPr>
              <w:t>1</w:t>
            </w:r>
          </w:p>
        </w:tc>
        <w:tc>
          <w:tcPr>
            <w:tcW w:w="735" w:type="dxa"/>
            <w:noWrap w:val="0"/>
            <w:tcMar>
              <w:top w:w="15" w:type="dxa"/>
              <w:left w:w="15" w:type="dxa"/>
              <w:right w:w="15" w:type="dxa"/>
            </w:tcMar>
            <w:vAlign w:val="center"/>
          </w:tcPr>
          <w:p w14:paraId="2E09D6F7">
            <w:pPr>
              <w:keepNext w:val="0"/>
              <w:keepLines w:val="0"/>
              <w:widowControl/>
              <w:suppressLineNumbers w:val="0"/>
              <w:jc w:val="center"/>
              <w:textAlignment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605" w:type="dxa"/>
            <w:noWrap w:val="0"/>
            <w:tcMar>
              <w:top w:w="15" w:type="dxa"/>
              <w:left w:w="15" w:type="dxa"/>
              <w:right w:w="15" w:type="dxa"/>
            </w:tcMar>
            <w:vAlign w:val="center"/>
          </w:tcPr>
          <w:p w14:paraId="43C7E65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1、基层墙体；</w:t>
            </w:r>
          </w:p>
          <w:p w14:paraId="426B547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2、素水泥浆一道（含建筑胶）；</w:t>
            </w:r>
          </w:p>
          <w:p w14:paraId="05452E6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3、12厚1:3水泥砂浆打底扫毛；</w:t>
            </w:r>
          </w:p>
          <w:p w14:paraId="33D5ECB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lang w:val="en-US" w:eastAsia="zh-CN"/>
              </w:rPr>
            </w:pPr>
            <w:r>
              <w:rPr>
                <w:rFonts w:hint="eastAsia" w:ascii="宋体" w:hAnsi="宋体" w:eastAsia="宋体" w:cs="宋体"/>
                <w:color w:val="000000"/>
                <w:sz w:val="18"/>
                <w:szCs w:val="18"/>
                <w:highlight w:val="none"/>
                <w:lang w:val="en-US" w:eastAsia="zh-CN"/>
              </w:rPr>
              <w:t>4、5厚1:3水泥砂浆找平；</w:t>
            </w:r>
          </w:p>
        </w:tc>
        <w:tc>
          <w:tcPr>
            <w:tcW w:w="1626" w:type="dxa"/>
            <w:noWrap w:val="0"/>
            <w:tcMar>
              <w:top w:w="15" w:type="dxa"/>
              <w:left w:w="15" w:type="dxa"/>
              <w:right w:w="15" w:type="dxa"/>
            </w:tcMar>
            <w:vAlign w:val="center"/>
          </w:tcPr>
          <w:p w14:paraId="454B04A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lang w:val="en-US" w:eastAsia="zh-CN"/>
              </w:rPr>
            </w:pPr>
          </w:p>
        </w:tc>
      </w:tr>
      <w:tr w14:paraId="6477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5623B33F">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6323E28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sz w:val="21"/>
                <w:szCs w:val="21"/>
                <w:highlight w:val="none"/>
              </w:rPr>
            </w:pPr>
          </w:p>
        </w:tc>
        <w:tc>
          <w:tcPr>
            <w:tcW w:w="450" w:type="dxa"/>
            <w:noWrap w:val="0"/>
            <w:tcMar>
              <w:top w:w="15" w:type="dxa"/>
              <w:left w:w="15" w:type="dxa"/>
              <w:right w:w="15" w:type="dxa"/>
            </w:tcMar>
            <w:vAlign w:val="center"/>
          </w:tcPr>
          <w:p w14:paraId="5D44E12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12</w:t>
            </w:r>
          </w:p>
        </w:tc>
        <w:tc>
          <w:tcPr>
            <w:tcW w:w="570" w:type="dxa"/>
            <w:noWrap w:val="0"/>
            <w:tcMar>
              <w:top w:w="15" w:type="dxa"/>
              <w:left w:w="15" w:type="dxa"/>
              <w:right w:w="15" w:type="dxa"/>
            </w:tcMar>
            <w:vAlign w:val="center"/>
          </w:tcPr>
          <w:p w14:paraId="139C4FC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墙面</w:t>
            </w:r>
            <w:r>
              <w:rPr>
                <w:rFonts w:hint="eastAsia" w:ascii="宋体" w:hAnsi="宋体" w:eastAsia="宋体" w:cs="宋体"/>
                <w:b w:val="0"/>
                <w:bCs w:val="0"/>
                <w:color w:val="000000"/>
                <w:kern w:val="0"/>
                <w:sz w:val="21"/>
                <w:szCs w:val="21"/>
                <w:highlight w:val="none"/>
                <w:lang w:val="en-US" w:eastAsia="zh-CN" w:bidi="ar"/>
              </w:rPr>
              <w:t>涂料</w:t>
            </w:r>
          </w:p>
        </w:tc>
        <w:tc>
          <w:tcPr>
            <w:tcW w:w="2685" w:type="dxa"/>
            <w:noWrap w:val="0"/>
            <w:tcMar>
              <w:top w:w="15" w:type="dxa"/>
              <w:left w:w="15" w:type="dxa"/>
              <w:right w:w="15" w:type="dxa"/>
            </w:tcMar>
            <w:vAlign w:val="center"/>
          </w:tcPr>
          <w:p w14:paraId="04F2E01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lang w:bidi="ar"/>
              </w:rPr>
              <w:t>采用环保材料。墙面清理，批刮腻子2遍、收光处理或乳胶漆滚涂，含腻子、辅料及人工安装费。</w:t>
            </w:r>
          </w:p>
        </w:tc>
        <w:tc>
          <w:tcPr>
            <w:tcW w:w="480" w:type="dxa"/>
            <w:noWrap w:val="0"/>
            <w:tcMar>
              <w:top w:w="15" w:type="dxa"/>
              <w:left w:w="15" w:type="dxa"/>
              <w:right w:w="15" w:type="dxa"/>
            </w:tcMar>
            <w:vAlign w:val="center"/>
          </w:tcPr>
          <w:p w14:paraId="03A71E84">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m2</w:t>
            </w:r>
          </w:p>
        </w:tc>
        <w:tc>
          <w:tcPr>
            <w:tcW w:w="600" w:type="dxa"/>
            <w:noWrap w:val="0"/>
            <w:tcMar>
              <w:top w:w="15" w:type="dxa"/>
              <w:left w:w="15" w:type="dxa"/>
              <w:right w:w="15" w:type="dxa"/>
            </w:tcMar>
            <w:vAlign w:val="center"/>
          </w:tcPr>
          <w:p w14:paraId="3CAB65C7">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1</w:t>
            </w:r>
          </w:p>
        </w:tc>
        <w:tc>
          <w:tcPr>
            <w:tcW w:w="735" w:type="dxa"/>
            <w:noWrap w:val="0"/>
            <w:tcMar>
              <w:top w:w="15" w:type="dxa"/>
              <w:left w:w="15" w:type="dxa"/>
              <w:right w:w="15" w:type="dxa"/>
            </w:tcMar>
            <w:vAlign w:val="center"/>
          </w:tcPr>
          <w:p w14:paraId="6D6195C2">
            <w:pPr>
              <w:keepNext w:val="0"/>
              <w:keepLines w:val="0"/>
              <w:widowControl/>
              <w:suppressLineNumbers w:val="0"/>
              <w:jc w:val="center"/>
              <w:textAlignment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605" w:type="dxa"/>
            <w:noWrap w:val="0"/>
            <w:tcMar>
              <w:top w:w="15" w:type="dxa"/>
              <w:left w:w="15" w:type="dxa"/>
              <w:right w:w="15" w:type="dxa"/>
            </w:tcMar>
            <w:vAlign w:val="center"/>
          </w:tcPr>
          <w:p w14:paraId="1A693A6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1626" w:type="dxa"/>
            <w:noWrap w:val="0"/>
            <w:tcMar>
              <w:top w:w="15" w:type="dxa"/>
              <w:left w:w="15" w:type="dxa"/>
              <w:right w:w="15" w:type="dxa"/>
            </w:tcMar>
            <w:vAlign w:val="center"/>
          </w:tcPr>
          <w:p w14:paraId="72BF70E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立邦、博星、久泰万家或相当于</w:t>
            </w:r>
          </w:p>
        </w:tc>
      </w:tr>
      <w:tr w14:paraId="1EF6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420" w:type="dxa"/>
            <w:vMerge w:val="continue"/>
            <w:noWrap w:val="0"/>
            <w:tcMar>
              <w:top w:w="15" w:type="dxa"/>
              <w:left w:w="15" w:type="dxa"/>
              <w:right w:w="15" w:type="dxa"/>
            </w:tcMar>
            <w:vAlign w:val="center"/>
          </w:tcPr>
          <w:p w14:paraId="6044E78F">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248BD1A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sz w:val="21"/>
                <w:szCs w:val="21"/>
                <w:highlight w:val="none"/>
              </w:rPr>
            </w:pPr>
          </w:p>
        </w:tc>
        <w:tc>
          <w:tcPr>
            <w:tcW w:w="450" w:type="dxa"/>
            <w:noWrap w:val="0"/>
            <w:tcMar>
              <w:top w:w="15" w:type="dxa"/>
              <w:left w:w="15" w:type="dxa"/>
              <w:right w:w="15" w:type="dxa"/>
            </w:tcMar>
            <w:vAlign w:val="center"/>
          </w:tcPr>
          <w:p w14:paraId="792F15B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13</w:t>
            </w:r>
          </w:p>
        </w:tc>
        <w:tc>
          <w:tcPr>
            <w:tcW w:w="570" w:type="dxa"/>
            <w:noWrap w:val="0"/>
            <w:tcMar>
              <w:top w:w="15" w:type="dxa"/>
              <w:left w:w="15" w:type="dxa"/>
              <w:right w:w="15" w:type="dxa"/>
            </w:tcMar>
            <w:vAlign w:val="center"/>
          </w:tcPr>
          <w:p w14:paraId="44FB3ED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lang w:bidi="ar"/>
              </w:rPr>
              <w:t>集成墙板</w:t>
            </w:r>
          </w:p>
        </w:tc>
        <w:tc>
          <w:tcPr>
            <w:tcW w:w="2685" w:type="dxa"/>
            <w:noWrap w:val="0"/>
            <w:tcMar>
              <w:top w:w="15" w:type="dxa"/>
              <w:left w:w="15" w:type="dxa"/>
              <w:right w:w="15" w:type="dxa"/>
            </w:tcMar>
            <w:vAlign w:val="center"/>
          </w:tcPr>
          <w:p w14:paraId="5704D3E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lang w:bidi="ar"/>
              </w:rPr>
              <w:t>采用竹木纤维、PVC等环保材料，防水防潮，防火阻燃，含</w:t>
            </w:r>
            <w:r>
              <w:rPr>
                <w:rFonts w:hint="eastAsia" w:ascii="宋体" w:hAnsi="宋体" w:eastAsia="宋体" w:cs="宋体"/>
                <w:b w:val="0"/>
                <w:bCs w:val="0"/>
                <w:color w:val="000000"/>
                <w:kern w:val="0"/>
                <w:sz w:val="21"/>
                <w:szCs w:val="21"/>
                <w:highlight w:val="none"/>
                <w:lang w:val="en-US" w:eastAsia="zh-CN" w:bidi="ar"/>
              </w:rPr>
              <w:t>人工及辅料。</w:t>
            </w:r>
          </w:p>
        </w:tc>
        <w:tc>
          <w:tcPr>
            <w:tcW w:w="480" w:type="dxa"/>
            <w:noWrap w:val="0"/>
            <w:tcMar>
              <w:top w:w="15" w:type="dxa"/>
              <w:left w:w="15" w:type="dxa"/>
              <w:right w:w="15" w:type="dxa"/>
            </w:tcMar>
            <w:vAlign w:val="center"/>
          </w:tcPr>
          <w:p w14:paraId="2429A6C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m2</w:t>
            </w:r>
          </w:p>
        </w:tc>
        <w:tc>
          <w:tcPr>
            <w:tcW w:w="600" w:type="dxa"/>
            <w:noWrap w:val="0"/>
            <w:tcMar>
              <w:top w:w="15" w:type="dxa"/>
              <w:left w:w="15" w:type="dxa"/>
              <w:right w:w="15" w:type="dxa"/>
            </w:tcMar>
            <w:vAlign w:val="center"/>
          </w:tcPr>
          <w:p w14:paraId="39DC59E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rPr>
              <w:t>1</w:t>
            </w:r>
          </w:p>
        </w:tc>
        <w:tc>
          <w:tcPr>
            <w:tcW w:w="735" w:type="dxa"/>
            <w:noWrap w:val="0"/>
            <w:tcMar>
              <w:top w:w="15" w:type="dxa"/>
              <w:left w:w="15" w:type="dxa"/>
              <w:right w:w="15" w:type="dxa"/>
            </w:tcMar>
            <w:vAlign w:val="center"/>
          </w:tcPr>
          <w:p w14:paraId="498C53FB">
            <w:pPr>
              <w:keepNext w:val="0"/>
              <w:keepLines w:val="0"/>
              <w:widowControl/>
              <w:suppressLineNumbers w:val="0"/>
              <w:jc w:val="center"/>
              <w:textAlignment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1605" w:type="dxa"/>
            <w:noWrap w:val="0"/>
            <w:tcMar>
              <w:top w:w="15" w:type="dxa"/>
              <w:left w:w="15" w:type="dxa"/>
              <w:right w:w="15" w:type="dxa"/>
            </w:tcMar>
            <w:vAlign w:val="center"/>
          </w:tcPr>
          <w:p w14:paraId="02FEDCA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kern w:val="2"/>
                <w:sz w:val="21"/>
                <w:highlight w:val="none"/>
                <w:lang w:val="en-US" w:eastAsia="zh-CN" w:bidi="ar-SA"/>
              </w:rPr>
              <w:t>含基层骨架、阻燃板</w:t>
            </w:r>
          </w:p>
        </w:tc>
        <w:tc>
          <w:tcPr>
            <w:tcW w:w="1626" w:type="dxa"/>
            <w:noWrap w:val="0"/>
            <w:tcMar>
              <w:top w:w="15" w:type="dxa"/>
              <w:left w:w="15" w:type="dxa"/>
              <w:right w:w="15" w:type="dxa"/>
            </w:tcMar>
            <w:vAlign w:val="center"/>
          </w:tcPr>
          <w:p w14:paraId="0F13C8B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2"/>
                <w:sz w:val="21"/>
                <w:highlight w:val="none"/>
                <w:lang w:val="en-US" w:eastAsia="zh-CN" w:bidi="ar-SA"/>
              </w:rPr>
            </w:pPr>
            <w:r>
              <w:rPr>
                <w:rFonts w:hint="eastAsia" w:ascii="宋体" w:hAnsi="宋体" w:eastAsia="宋体" w:cs="宋体"/>
                <w:i w:val="0"/>
                <w:iCs w:val="0"/>
                <w:caps w:val="0"/>
                <w:color w:val="000000"/>
                <w:spacing w:val="0"/>
                <w:sz w:val="21"/>
                <w:szCs w:val="21"/>
                <w:highlight w:val="none"/>
                <w:shd w:val="clear" w:color="auto" w:fill="FAFAFC"/>
                <w:lang w:val="en-US" w:eastAsia="zh-CN"/>
              </w:rPr>
              <w:t>兔宝宝</w:t>
            </w:r>
            <w:r>
              <w:rPr>
                <w:rFonts w:hint="eastAsia" w:ascii="宋体" w:hAnsi="宋体" w:eastAsia="宋体" w:cs="宋体"/>
                <w:i w:val="0"/>
                <w:iCs w:val="0"/>
                <w:caps w:val="0"/>
                <w:color w:val="000000"/>
                <w:spacing w:val="0"/>
                <w:sz w:val="16"/>
                <w:szCs w:val="16"/>
                <w:highlight w:val="none"/>
                <w:shd w:val="clear" w:color="auto" w:fill="FAFAFC"/>
              </w:rPr>
              <w:t> </w:t>
            </w:r>
            <w:r>
              <w:rPr>
                <w:rFonts w:hint="eastAsia" w:ascii="宋体" w:hAnsi="宋体" w:eastAsia="宋体" w:cs="宋体"/>
                <w:i w:val="0"/>
                <w:iCs w:val="0"/>
                <w:caps w:val="0"/>
                <w:color w:val="000000"/>
                <w:spacing w:val="0"/>
                <w:sz w:val="16"/>
                <w:szCs w:val="16"/>
                <w:highlight w:val="none"/>
                <w:shd w:val="clear" w:color="auto" w:fill="FAFAFC"/>
                <w:lang w:eastAsia="zh-CN"/>
              </w:rPr>
              <w:t>、</w:t>
            </w:r>
            <w:r>
              <w:rPr>
                <w:rFonts w:hint="eastAsia" w:ascii="宋体" w:hAnsi="宋体" w:eastAsia="宋体" w:cs="宋体"/>
                <w:i w:val="0"/>
                <w:iCs w:val="0"/>
                <w:caps w:val="0"/>
                <w:color w:val="000000"/>
                <w:spacing w:val="0"/>
                <w:sz w:val="21"/>
                <w:szCs w:val="21"/>
                <w:highlight w:val="none"/>
                <w:shd w:val="clear" w:color="auto" w:fill="FFFFFF"/>
              </w:rPr>
              <w:t>卡曼斯</w:t>
            </w:r>
            <w:r>
              <w:rPr>
                <w:rFonts w:hint="eastAsia" w:ascii="宋体" w:hAnsi="宋体" w:eastAsia="宋体" w:cs="宋体"/>
                <w:i w:val="0"/>
                <w:iCs w:val="0"/>
                <w:caps w:val="0"/>
                <w:color w:val="000000"/>
                <w:spacing w:val="0"/>
                <w:sz w:val="21"/>
                <w:szCs w:val="21"/>
                <w:highlight w:val="none"/>
                <w:shd w:val="clear" w:color="auto" w:fill="FFFFFF"/>
                <w:lang w:eastAsia="zh-CN"/>
              </w:rPr>
              <w:t>、</w:t>
            </w:r>
            <w:r>
              <w:rPr>
                <w:rFonts w:hint="eastAsia" w:ascii="宋体" w:hAnsi="宋体" w:eastAsia="宋体" w:cs="宋体"/>
                <w:i w:val="0"/>
                <w:iCs w:val="0"/>
                <w:caps w:val="0"/>
                <w:color w:val="000000"/>
                <w:spacing w:val="0"/>
                <w:sz w:val="21"/>
                <w:szCs w:val="21"/>
                <w:highlight w:val="none"/>
                <w:shd w:val="clear" w:color="auto" w:fill="FAFAFC"/>
              </w:rPr>
              <w:t>和坚</w:t>
            </w:r>
            <w:r>
              <w:rPr>
                <w:rFonts w:hint="eastAsia" w:ascii="宋体" w:hAnsi="宋体" w:eastAsia="宋体" w:cs="宋体"/>
                <w:color w:val="000000"/>
                <w:highlight w:val="none"/>
                <w:lang w:val="en-US" w:eastAsia="zh-CN"/>
              </w:rPr>
              <w:t>或</w:t>
            </w:r>
            <w:r>
              <w:rPr>
                <w:rFonts w:hint="eastAsia" w:ascii="宋体" w:hAnsi="宋体" w:eastAsia="宋体" w:cs="宋体"/>
                <w:color w:val="000000"/>
                <w:sz w:val="21"/>
                <w:szCs w:val="21"/>
                <w:highlight w:val="none"/>
                <w:lang w:val="en-US" w:eastAsia="zh-CN"/>
              </w:rPr>
              <w:t>相当于</w:t>
            </w:r>
          </w:p>
        </w:tc>
      </w:tr>
      <w:tr w14:paraId="65A3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noWrap w:val="0"/>
            <w:tcMar>
              <w:top w:w="15" w:type="dxa"/>
              <w:left w:w="15" w:type="dxa"/>
              <w:right w:w="15" w:type="dxa"/>
            </w:tcMar>
            <w:vAlign w:val="center"/>
          </w:tcPr>
          <w:p w14:paraId="5279B948">
            <w:pPr>
              <w:keepNext w:val="0"/>
              <w:keepLines w:val="0"/>
              <w:pageBreakBefore w:val="0"/>
              <w:shd w:val="clear" w:color="auto" w:fill="auto"/>
              <w:kinsoku/>
              <w:wordWrap/>
              <w:overflowPunct/>
              <w:topLinePunct w:val="0"/>
              <w:bidi w:val="0"/>
              <w:spacing w:line="240" w:lineRule="auto"/>
              <w:ind w:firstLine="210" w:firstLineChars="1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w:t>
            </w:r>
          </w:p>
        </w:tc>
        <w:tc>
          <w:tcPr>
            <w:tcW w:w="480" w:type="dxa"/>
            <w:noWrap w:val="0"/>
            <w:tcMar>
              <w:top w:w="15" w:type="dxa"/>
              <w:left w:w="15" w:type="dxa"/>
              <w:right w:w="15" w:type="dxa"/>
            </w:tcMar>
            <w:vAlign w:val="center"/>
          </w:tcPr>
          <w:p w14:paraId="7B795D95">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lang w:bidi="ar"/>
              </w:rPr>
              <w:t>吊顶</w:t>
            </w:r>
          </w:p>
        </w:tc>
        <w:tc>
          <w:tcPr>
            <w:tcW w:w="450" w:type="dxa"/>
            <w:noWrap w:val="0"/>
            <w:tcMar>
              <w:top w:w="15" w:type="dxa"/>
              <w:left w:w="15" w:type="dxa"/>
              <w:right w:w="15" w:type="dxa"/>
            </w:tcMar>
            <w:vAlign w:val="center"/>
          </w:tcPr>
          <w:p w14:paraId="18C038F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14</w:t>
            </w:r>
          </w:p>
        </w:tc>
        <w:tc>
          <w:tcPr>
            <w:tcW w:w="570" w:type="dxa"/>
            <w:noWrap w:val="0"/>
            <w:tcMar>
              <w:top w:w="15" w:type="dxa"/>
              <w:left w:w="15" w:type="dxa"/>
              <w:right w:w="15" w:type="dxa"/>
            </w:tcMar>
            <w:vAlign w:val="center"/>
          </w:tcPr>
          <w:p w14:paraId="0F442ED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lang w:bidi="ar"/>
              </w:rPr>
              <w:t>吊顶</w:t>
            </w:r>
          </w:p>
        </w:tc>
        <w:tc>
          <w:tcPr>
            <w:tcW w:w="2685" w:type="dxa"/>
            <w:noWrap w:val="0"/>
            <w:tcMar>
              <w:top w:w="15" w:type="dxa"/>
              <w:left w:w="15" w:type="dxa"/>
              <w:right w:w="15" w:type="dxa"/>
            </w:tcMar>
            <w:vAlign w:val="center"/>
          </w:tcPr>
          <w:p w14:paraId="22A55DC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lang w:bidi="ar"/>
              </w:rPr>
              <w:t>PVC阻燃材质，含龙骨及角线等辅材</w:t>
            </w:r>
            <w:r>
              <w:rPr>
                <w:rFonts w:hint="eastAsia" w:ascii="宋体" w:hAnsi="宋体" w:eastAsia="宋体" w:cs="宋体"/>
                <w:b w:val="0"/>
                <w:bCs w:val="0"/>
                <w:color w:val="000000"/>
                <w:kern w:val="0"/>
                <w:sz w:val="21"/>
                <w:szCs w:val="21"/>
                <w:highlight w:val="none"/>
                <w:lang w:val="en-US" w:eastAsia="zh-CN" w:bidi="ar"/>
              </w:rPr>
              <w:t>及安装人工</w:t>
            </w:r>
            <w:r>
              <w:rPr>
                <w:rFonts w:hint="eastAsia" w:ascii="宋体" w:hAnsi="宋体" w:eastAsia="宋体" w:cs="宋体"/>
                <w:b w:val="0"/>
                <w:bCs w:val="0"/>
                <w:color w:val="000000"/>
                <w:kern w:val="0"/>
                <w:sz w:val="21"/>
                <w:szCs w:val="21"/>
                <w:highlight w:val="none"/>
                <w:lang w:bidi="ar"/>
              </w:rPr>
              <w:t>，不含灯具、排风扇</w:t>
            </w:r>
          </w:p>
        </w:tc>
        <w:tc>
          <w:tcPr>
            <w:tcW w:w="480" w:type="dxa"/>
            <w:noWrap w:val="0"/>
            <w:tcMar>
              <w:top w:w="15" w:type="dxa"/>
              <w:left w:w="15" w:type="dxa"/>
              <w:right w:w="15" w:type="dxa"/>
            </w:tcMar>
            <w:vAlign w:val="center"/>
          </w:tcPr>
          <w:p w14:paraId="4A020AC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m2</w:t>
            </w:r>
          </w:p>
        </w:tc>
        <w:tc>
          <w:tcPr>
            <w:tcW w:w="600" w:type="dxa"/>
            <w:noWrap w:val="0"/>
            <w:tcMar>
              <w:top w:w="15" w:type="dxa"/>
              <w:left w:w="15" w:type="dxa"/>
              <w:right w:w="15" w:type="dxa"/>
            </w:tcMar>
            <w:vAlign w:val="center"/>
          </w:tcPr>
          <w:p w14:paraId="5C8DBB8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1</w:t>
            </w:r>
          </w:p>
        </w:tc>
        <w:tc>
          <w:tcPr>
            <w:tcW w:w="735" w:type="dxa"/>
            <w:noWrap w:val="0"/>
            <w:tcMar>
              <w:top w:w="15" w:type="dxa"/>
              <w:left w:w="15" w:type="dxa"/>
              <w:right w:w="15" w:type="dxa"/>
            </w:tcMar>
            <w:vAlign w:val="center"/>
          </w:tcPr>
          <w:p w14:paraId="1EE8B033">
            <w:pPr>
              <w:keepNext w:val="0"/>
              <w:keepLines w:val="0"/>
              <w:widowControl/>
              <w:suppressLineNumbers w:val="0"/>
              <w:jc w:val="center"/>
              <w:textAlignment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605" w:type="dxa"/>
            <w:noWrap w:val="0"/>
            <w:tcMar>
              <w:top w:w="15" w:type="dxa"/>
              <w:left w:w="15" w:type="dxa"/>
              <w:right w:w="15" w:type="dxa"/>
            </w:tcMar>
            <w:vAlign w:val="center"/>
          </w:tcPr>
          <w:p w14:paraId="6215FE40">
            <w:pPr>
              <w:keepNext w:val="0"/>
              <w:keepLines w:val="0"/>
              <w:pageBreakBefore w:val="0"/>
              <w:shd w:val="clear" w:color="auto" w:fill="auto"/>
              <w:kinsoku/>
              <w:wordWrap/>
              <w:overflowPunct/>
              <w:topLinePunct w:val="0"/>
              <w:bidi w:val="0"/>
              <w:spacing w:line="240" w:lineRule="auto"/>
              <w:ind w:firstLine="1680" w:firstLineChars="800"/>
              <w:rPr>
                <w:rFonts w:hint="eastAsia" w:ascii="宋体" w:hAnsi="宋体" w:eastAsia="宋体" w:cs="宋体"/>
                <w:color w:val="000000"/>
                <w:kern w:val="2"/>
                <w:sz w:val="21"/>
                <w:highlight w:val="none"/>
                <w:lang w:val="en-US" w:eastAsia="zh-CN" w:bidi="ar-SA"/>
              </w:rPr>
            </w:pPr>
          </w:p>
        </w:tc>
        <w:tc>
          <w:tcPr>
            <w:tcW w:w="1626" w:type="dxa"/>
            <w:noWrap w:val="0"/>
            <w:tcMar>
              <w:top w:w="15" w:type="dxa"/>
              <w:left w:w="15" w:type="dxa"/>
              <w:right w:w="15" w:type="dxa"/>
            </w:tcMar>
            <w:vAlign w:val="center"/>
          </w:tcPr>
          <w:p w14:paraId="7540BA3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2"/>
                <w:sz w:val="21"/>
                <w:highlight w:val="none"/>
                <w:lang w:val="en-US" w:eastAsia="zh-CN" w:bidi="ar-SA"/>
              </w:rPr>
            </w:pPr>
            <w:r>
              <w:rPr>
                <w:rFonts w:hint="eastAsia" w:ascii="宋体" w:hAnsi="宋体" w:eastAsia="宋体" w:cs="宋体"/>
                <w:i w:val="0"/>
                <w:iCs w:val="0"/>
                <w:caps w:val="0"/>
                <w:color w:val="000000"/>
                <w:spacing w:val="0"/>
                <w:sz w:val="21"/>
                <w:szCs w:val="21"/>
                <w:highlight w:val="none"/>
                <w:shd w:val="clear" w:color="auto" w:fill="FAFAFC"/>
                <w:lang w:val="en-US" w:eastAsia="zh-CN"/>
              </w:rPr>
              <w:t>兔宝宝</w:t>
            </w:r>
            <w:r>
              <w:rPr>
                <w:rFonts w:hint="eastAsia" w:ascii="宋体" w:hAnsi="宋体" w:eastAsia="宋体" w:cs="宋体"/>
                <w:i w:val="0"/>
                <w:iCs w:val="0"/>
                <w:caps w:val="0"/>
                <w:color w:val="000000"/>
                <w:spacing w:val="0"/>
                <w:sz w:val="16"/>
                <w:szCs w:val="16"/>
                <w:highlight w:val="none"/>
                <w:shd w:val="clear" w:color="auto" w:fill="FAFAFC"/>
              </w:rPr>
              <w:t> </w:t>
            </w:r>
            <w:r>
              <w:rPr>
                <w:rFonts w:hint="eastAsia" w:ascii="宋体" w:hAnsi="宋体" w:eastAsia="宋体" w:cs="宋体"/>
                <w:i w:val="0"/>
                <w:iCs w:val="0"/>
                <w:caps w:val="0"/>
                <w:color w:val="000000"/>
                <w:spacing w:val="0"/>
                <w:sz w:val="16"/>
                <w:szCs w:val="16"/>
                <w:highlight w:val="none"/>
                <w:shd w:val="clear" w:color="auto" w:fill="FAFAFC"/>
                <w:lang w:eastAsia="zh-CN"/>
              </w:rPr>
              <w:t>、</w:t>
            </w:r>
            <w:r>
              <w:rPr>
                <w:rFonts w:hint="eastAsia" w:ascii="宋体" w:hAnsi="宋体" w:eastAsia="宋体" w:cs="宋体"/>
                <w:i w:val="0"/>
                <w:iCs w:val="0"/>
                <w:caps w:val="0"/>
                <w:color w:val="000000"/>
                <w:spacing w:val="0"/>
                <w:sz w:val="21"/>
                <w:szCs w:val="21"/>
                <w:highlight w:val="none"/>
                <w:shd w:val="clear" w:color="auto" w:fill="FFFFFF"/>
              </w:rPr>
              <w:t>卡曼斯</w:t>
            </w:r>
            <w:r>
              <w:rPr>
                <w:rFonts w:hint="eastAsia" w:ascii="宋体" w:hAnsi="宋体" w:eastAsia="宋体" w:cs="宋体"/>
                <w:i w:val="0"/>
                <w:iCs w:val="0"/>
                <w:caps w:val="0"/>
                <w:color w:val="000000"/>
                <w:spacing w:val="0"/>
                <w:sz w:val="21"/>
                <w:szCs w:val="21"/>
                <w:highlight w:val="none"/>
                <w:shd w:val="clear" w:color="auto" w:fill="FFFFFF"/>
                <w:lang w:eastAsia="zh-CN"/>
              </w:rPr>
              <w:t>、</w:t>
            </w:r>
            <w:r>
              <w:rPr>
                <w:rFonts w:hint="eastAsia" w:ascii="宋体" w:hAnsi="宋体" w:eastAsia="宋体" w:cs="宋体"/>
                <w:i w:val="0"/>
                <w:iCs w:val="0"/>
                <w:caps w:val="0"/>
                <w:color w:val="000000"/>
                <w:spacing w:val="0"/>
                <w:sz w:val="21"/>
                <w:szCs w:val="21"/>
                <w:highlight w:val="none"/>
                <w:shd w:val="clear" w:color="auto" w:fill="FAFAFC"/>
              </w:rPr>
              <w:t>和坚</w:t>
            </w:r>
            <w:r>
              <w:rPr>
                <w:rFonts w:hint="eastAsia" w:ascii="宋体" w:hAnsi="宋体" w:eastAsia="宋体" w:cs="宋体"/>
                <w:color w:val="000000"/>
                <w:highlight w:val="none"/>
                <w:lang w:val="en-US" w:eastAsia="zh-CN"/>
              </w:rPr>
              <w:t>或</w:t>
            </w:r>
            <w:r>
              <w:rPr>
                <w:rFonts w:hint="eastAsia" w:ascii="宋体" w:hAnsi="宋体" w:eastAsia="宋体" w:cs="宋体"/>
                <w:color w:val="000000"/>
                <w:sz w:val="21"/>
                <w:szCs w:val="21"/>
                <w:highlight w:val="none"/>
                <w:lang w:val="en-US" w:eastAsia="zh-CN"/>
              </w:rPr>
              <w:t>相当于</w:t>
            </w:r>
          </w:p>
        </w:tc>
      </w:tr>
      <w:tr w14:paraId="155E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restart"/>
            <w:noWrap w:val="0"/>
            <w:tcMar>
              <w:top w:w="15" w:type="dxa"/>
              <w:left w:w="15" w:type="dxa"/>
              <w:right w:w="15" w:type="dxa"/>
            </w:tcMar>
            <w:vAlign w:val="center"/>
          </w:tcPr>
          <w:p w14:paraId="0A2CF7B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 xml:space="preserve">  4</w:t>
            </w:r>
          </w:p>
        </w:tc>
        <w:tc>
          <w:tcPr>
            <w:tcW w:w="480" w:type="dxa"/>
            <w:vMerge w:val="restart"/>
            <w:noWrap w:val="0"/>
            <w:tcMar>
              <w:top w:w="15" w:type="dxa"/>
              <w:left w:w="15" w:type="dxa"/>
              <w:right w:w="15" w:type="dxa"/>
            </w:tcMar>
            <w:vAlign w:val="center"/>
          </w:tcPr>
          <w:p w14:paraId="49B4FC5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地面处理</w:t>
            </w:r>
          </w:p>
        </w:tc>
        <w:tc>
          <w:tcPr>
            <w:tcW w:w="450" w:type="dxa"/>
            <w:noWrap w:val="0"/>
            <w:tcMar>
              <w:top w:w="15" w:type="dxa"/>
              <w:left w:w="15" w:type="dxa"/>
              <w:right w:w="15" w:type="dxa"/>
            </w:tcMar>
            <w:vAlign w:val="center"/>
          </w:tcPr>
          <w:p w14:paraId="37A3C35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15</w:t>
            </w:r>
          </w:p>
        </w:tc>
        <w:tc>
          <w:tcPr>
            <w:tcW w:w="570" w:type="dxa"/>
            <w:noWrap w:val="0"/>
            <w:tcMar>
              <w:top w:w="15" w:type="dxa"/>
              <w:left w:w="15" w:type="dxa"/>
              <w:right w:w="15" w:type="dxa"/>
            </w:tcMar>
            <w:vAlign w:val="center"/>
          </w:tcPr>
          <w:p w14:paraId="6180D9B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lang w:bidi="ar"/>
              </w:rPr>
              <w:t>地面硬化</w:t>
            </w:r>
          </w:p>
        </w:tc>
        <w:tc>
          <w:tcPr>
            <w:tcW w:w="2685" w:type="dxa"/>
            <w:noWrap w:val="0"/>
            <w:tcMar>
              <w:top w:w="15" w:type="dxa"/>
              <w:left w:w="15" w:type="dxa"/>
              <w:right w:w="15" w:type="dxa"/>
            </w:tcMar>
            <w:vAlign w:val="center"/>
          </w:tcPr>
          <w:p w14:paraId="5AF4666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lang w:bidi="ar"/>
              </w:rPr>
              <w:t>原地面清理，局部凿除，根据现场情况施工，符合相应技术标准。砂浆厚度</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30mm，收光处理</w:t>
            </w:r>
            <w:r>
              <w:rPr>
                <w:rFonts w:hint="eastAsia" w:ascii="宋体" w:hAnsi="宋体" w:eastAsia="宋体" w:cs="宋体"/>
                <w:b w:val="0"/>
                <w:bCs w:val="0"/>
                <w:color w:val="000000"/>
                <w:kern w:val="0"/>
                <w:sz w:val="21"/>
                <w:szCs w:val="21"/>
                <w:highlight w:val="none"/>
                <w:lang w:eastAsia="zh-CN" w:bidi="ar"/>
              </w:rPr>
              <w:t>。</w:t>
            </w:r>
          </w:p>
        </w:tc>
        <w:tc>
          <w:tcPr>
            <w:tcW w:w="480" w:type="dxa"/>
            <w:noWrap w:val="0"/>
            <w:tcMar>
              <w:top w:w="15" w:type="dxa"/>
              <w:left w:w="15" w:type="dxa"/>
              <w:right w:w="15" w:type="dxa"/>
            </w:tcMar>
            <w:vAlign w:val="center"/>
          </w:tcPr>
          <w:p w14:paraId="0603794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m2</w:t>
            </w:r>
          </w:p>
        </w:tc>
        <w:tc>
          <w:tcPr>
            <w:tcW w:w="600" w:type="dxa"/>
            <w:noWrap w:val="0"/>
            <w:tcMar>
              <w:top w:w="15" w:type="dxa"/>
              <w:left w:w="15" w:type="dxa"/>
              <w:right w:w="15" w:type="dxa"/>
            </w:tcMar>
            <w:vAlign w:val="center"/>
          </w:tcPr>
          <w:p w14:paraId="5194F504">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1</w:t>
            </w:r>
          </w:p>
        </w:tc>
        <w:tc>
          <w:tcPr>
            <w:tcW w:w="735" w:type="dxa"/>
            <w:noWrap w:val="0"/>
            <w:tcMar>
              <w:top w:w="15" w:type="dxa"/>
              <w:left w:w="15" w:type="dxa"/>
              <w:right w:w="15" w:type="dxa"/>
            </w:tcMar>
            <w:vAlign w:val="center"/>
          </w:tcPr>
          <w:p w14:paraId="442F42E6">
            <w:pPr>
              <w:keepNext w:val="0"/>
              <w:keepLines w:val="0"/>
              <w:widowControl/>
              <w:suppressLineNumbers w:val="0"/>
              <w:jc w:val="center"/>
              <w:textAlignment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605" w:type="dxa"/>
            <w:noWrap w:val="0"/>
            <w:tcMar>
              <w:top w:w="15" w:type="dxa"/>
              <w:left w:w="15" w:type="dxa"/>
              <w:right w:w="15" w:type="dxa"/>
            </w:tcMar>
            <w:vAlign w:val="center"/>
          </w:tcPr>
          <w:p w14:paraId="77F2F33D">
            <w:pPr>
              <w:keepNext w:val="0"/>
              <w:keepLines w:val="0"/>
              <w:pageBreakBefore w:val="0"/>
              <w:shd w:val="clear" w:color="auto" w:fill="auto"/>
              <w:kinsoku/>
              <w:wordWrap/>
              <w:overflowPunct/>
              <w:topLinePunct w:val="0"/>
              <w:bidi w:val="0"/>
              <w:spacing w:line="240" w:lineRule="auto"/>
              <w:ind w:firstLine="1680" w:firstLineChars="800"/>
              <w:rPr>
                <w:rFonts w:hint="eastAsia" w:ascii="宋体" w:hAnsi="宋体" w:eastAsia="宋体" w:cs="宋体"/>
                <w:color w:val="000000"/>
                <w:kern w:val="2"/>
                <w:sz w:val="21"/>
                <w:highlight w:val="none"/>
                <w:lang w:val="en-US" w:eastAsia="zh-CN" w:bidi="ar-SA"/>
              </w:rPr>
            </w:pPr>
          </w:p>
        </w:tc>
        <w:tc>
          <w:tcPr>
            <w:tcW w:w="1626" w:type="dxa"/>
            <w:noWrap w:val="0"/>
            <w:tcMar>
              <w:top w:w="15" w:type="dxa"/>
              <w:left w:w="15" w:type="dxa"/>
              <w:right w:w="15" w:type="dxa"/>
            </w:tcMar>
            <w:vAlign w:val="center"/>
          </w:tcPr>
          <w:p w14:paraId="41F9414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2"/>
                <w:sz w:val="21"/>
                <w:highlight w:val="none"/>
                <w:lang w:val="en-US" w:eastAsia="zh-CN" w:bidi="ar-SA"/>
              </w:rPr>
            </w:pPr>
          </w:p>
        </w:tc>
      </w:tr>
      <w:tr w14:paraId="4460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1749D59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tcMar>
              <w:top w:w="15" w:type="dxa"/>
              <w:left w:w="15" w:type="dxa"/>
              <w:right w:w="15" w:type="dxa"/>
            </w:tcMar>
            <w:vAlign w:val="center"/>
          </w:tcPr>
          <w:p w14:paraId="2B242CD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sz w:val="21"/>
                <w:szCs w:val="21"/>
                <w:highlight w:val="none"/>
              </w:rPr>
            </w:pPr>
          </w:p>
        </w:tc>
        <w:tc>
          <w:tcPr>
            <w:tcW w:w="450" w:type="dxa"/>
            <w:noWrap w:val="0"/>
            <w:tcMar>
              <w:top w:w="15" w:type="dxa"/>
              <w:left w:w="15" w:type="dxa"/>
              <w:right w:w="15" w:type="dxa"/>
            </w:tcMar>
            <w:vAlign w:val="center"/>
          </w:tcPr>
          <w:p w14:paraId="3B93C41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16</w:t>
            </w:r>
          </w:p>
        </w:tc>
        <w:tc>
          <w:tcPr>
            <w:tcW w:w="570" w:type="dxa"/>
            <w:noWrap w:val="0"/>
            <w:tcMar>
              <w:top w:w="15" w:type="dxa"/>
              <w:left w:w="15" w:type="dxa"/>
              <w:right w:w="15" w:type="dxa"/>
            </w:tcMar>
            <w:vAlign w:val="center"/>
          </w:tcPr>
          <w:p w14:paraId="5F3DB2C7">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铺贴瓷砖</w:t>
            </w:r>
          </w:p>
        </w:tc>
        <w:tc>
          <w:tcPr>
            <w:tcW w:w="2685" w:type="dxa"/>
            <w:noWrap w:val="0"/>
            <w:tcMar>
              <w:top w:w="15" w:type="dxa"/>
              <w:left w:w="15" w:type="dxa"/>
              <w:right w:w="15" w:type="dxa"/>
            </w:tcMar>
            <w:vAlign w:val="center"/>
          </w:tcPr>
          <w:p w14:paraId="641E0FA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铺设地面及墙面瓷砖（含贴瓷砖粘结层），瓷砖规格300*300mm，300*600mm</w:t>
            </w: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val="en-US" w:eastAsia="zh-CN" w:bidi="ar"/>
              </w:rPr>
              <w:t>含辅料及人工。</w:t>
            </w:r>
          </w:p>
        </w:tc>
        <w:tc>
          <w:tcPr>
            <w:tcW w:w="480" w:type="dxa"/>
            <w:noWrap w:val="0"/>
            <w:tcMar>
              <w:top w:w="15" w:type="dxa"/>
              <w:left w:w="15" w:type="dxa"/>
              <w:right w:w="15" w:type="dxa"/>
            </w:tcMar>
            <w:vAlign w:val="center"/>
          </w:tcPr>
          <w:p w14:paraId="4E65661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m2</w:t>
            </w:r>
          </w:p>
        </w:tc>
        <w:tc>
          <w:tcPr>
            <w:tcW w:w="600" w:type="dxa"/>
            <w:noWrap w:val="0"/>
            <w:tcMar>
              <w:top w:w="15" w:type="dxa"/>
              <w:left w:w="15" w:type="dxa"/>
              <w:right w:w="15" w:type="dxa"/>
            </w:tcMar>
            <w:vAlign w:val="center"/>
          </w:tcPr>
          <w:p w14:paraId="1528CE37">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1</w:t>
            </w:r>
          </w:p>
        </w:tc>
        <w:tc>
          <w:tcPr>
            <w:tcW w:w="735" w:type="dxa"/>
            <w:noWrap w:val="0"/>
            <w:tcMar>
              <w:top w:w="15" w:type="dxa"/>
              <w:left w:w="15" w:type="dxa"/>
              <w:right w:w="15" w:type="dxa"/>
            </w:tcMar>
            <w:vAlign w:val="center"/>
          </w:tcPr>
          <w:p w14:paraId="04B6303D">
            <w:pPr>
              <w:keepNext w:val="0"/>
              <w:keepLines w:val="0"/>
              <w:widowControl/>
              <w:suppressLineNumbers w:val="0"/>
              <w:jc w:val="center"/>
              <w:textAlignment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605" w:type="dxa"/>
            <w:noWrap w:val="0"/>
            <w:tcMar>
              <w:top w:w="15" w:type="dxa"/>
              <w:left w:w="15" w:type="dxa"/>
              <w:right w:w="15" w:type="dxa"/>
            </w:tcMar>
            <w:vAlign w:val="center"/>
          </w:tcPr>
          <w:p w14:paraId="00CEA16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2"/>
                <w:sz w:val="21"/>
                <w:highlight w:val="none"/>
                <w:lang w:val="en-US" w:eastAsia="zh-CN" w:bidi="ar-SA"/>
              </w:rPr>
            </w:pPr>
          </w:p>
        </w:tc>
        <w:tc>
          <w:tcPr>
            <w:tcW w:w="1626" w:type="dxa"/>
            <w:noWrap w:val="0"/>
            <w:tcMar>
              <w:top w:w="15" w:type="dxa"/>
              <w:left w:w="15" w:type="dxa"/>
              <w:right w:w="15" w:type="dxa"/>
            </w:tcMar>
            <w:vAlign w:val="center"/>
          </w:tcPr>
          <w:p w14:paraId="27EF96B1">
            <w:pPr>
              <w:keepNext w:val="0"/>
              <w:keepLines w:val="0"/>
              <w:pageBreakBefore w:val="0"/>
              <w:widowControl/>
              <w:shd w:val="clear" w:color="auto" w:fill="auto"/>
              <w:kinsoku/>
              <w:wordWrap/>
              <w:overflowPunct/>
              <w:topLinePunct w:val="0"/>
              <w:bidi w:val="0"/>
              <w:spacing w:line="240" w:lineRule="auto"/>
              <w:ind w:left="0" w:leftChars="0" w:firstLine="0" w:firstLineChars="0"/>
              <w:jc w:val="both"/>
              <w:textAlignment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东鹏、新中源、冠珠或相当于</w:t>
            </w:r>
          </w:p>
          <w:p w14:paraId="77BB745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2"/>
                <w:sz w:val="21"/>
                <w:highlight w:val="none"/>
                <w:lang w:val="en-US" w:eastAsia="zh-CN" w:bidi="ar-SA"/>
              </w:rPr>
            </w:pPr>
          </w:p>
        </w:tc>
      </w:tr>
      <w:tr w14:paraId="3EBF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420" w:type="dxa"/>
            <w:vMerge w:val="continue"/>
            <w:noWrap w:val="0"/>
            <w:vAlign w:val="top"/>
          </w:tcPr>
          <w:p w14:paraId="3115BAE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highlight w:val="none"/>
              </w:rPr>
            </w:pPr>
          </w:p>
        </w:tc>
        <w:tc>
          <w:tcPr>
            <w:tcW w:w="480" w:type="dxa"/>
            <w:vMerge w:val="continue"/>
            <w:noWrap w:val="0"/>
            <w:vAlign w:val="center"/>
          </w:tcPr>
          <w:p w14:paraId="5F414BB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sz w:val="21"/>
                <w:szCs w:val="21"/>
                <w:highlight w:val="none"/>
              </w:rPr>
            </w:pPr>
          </w:p>
        </w:tc>
        <w:tc>
          <w:tcPr>
            <w:tcW w:w="450" w:type="dxa"/>
            <w:noWrap w:val="0"/>
            <w:vAlign w:val="center"/>
          </w:tcPr>
          <w:p w14:paraId="4B040A4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17</w:t>
            </w:r>
          </w:p>
        </w:tc>
        <w:tc>
          <w:tcPr>
            <w:tcW w:w="570" w:type="dxa"/>
            <w:noWrap w:val="0"/>
            <w:vAlign w:val="center"/>
          </w:tcPr>
          <w:p w14:paraId="6A232F7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强化</w:t>
            </w:r>
            <w:r>
              <w:rPr>
                <w:rFonts w:hint="eastAsia" w:ascii="宋体" w:hAnsi="宋体" w:eastAsia="宋体" w:cs="宋体"/>
                <w:b w:val="0"/>
                <w:bCs w:val="0"/>
                <w:color w:val="000000"/>
                <w:kern w:val="0"/>
                <w:sz w:val="21"/>
                <w:szCs w:val="21"/>
                <w:highlight w:val="none"/>
                <w:lang w:bidi="ar"/>
              </w:rPr>
              <w:t>复合地板</w:t>
            </w:r>
          </w:p>
        </w:tc>
        <w:tc>
          <w:tcPr>
            <w:tcW w:w="2685" w:type="dxa"/>
            <w:noWrap w:val="0"/>
            <w:vAlign w:val="center"/>
          </w:tcPr>
          <w:p w14:paraId="4A03BE6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强化复合木地板，耐磨防水，</w:t>
            </w:r>
            <w:r>
              <w:rPr>
                <w:rFonts w:hint="eastAsia" w:ascii="宋体" w:hAnsi="宋体" w:eastAsia="宋体" w:cs="宋体"/>
                <w:b w:val="0"/>
                <w:bCs w:val="0"/>
                <w:color w:val="000000"/>
                <w:kern w:val="0"/>
                <w:sz w:val="21"/>
                <w:szCs w:val="21"/>
                <w:highlight w:val="none"/>
                <w:lang w:val="en-US" w:eastAsia="zh-CN" w:bidi="ar"/>
              </w:rPr>
              <w:t>厚度≥</w:t>
            </w:r>
            <w:r>
              <w:rPr>
                <w:rFonts w:hint="eastAsia" w:ascii="宋体" w:hAnsi="宋体" w:eastAsia="宋体" w:cs="宋体"/>
                <w:b w:val="0"/>
                <w:bCs w:val="0"/>
                <w:color w:val="000000"/>
                <w:kern w:val="0"/>
                <w:sz w:val="21"/>
                <w:szCs w:val="21"/>
                <w:highlight w:val="none"/>
                <w:lang w:bidi="ar"/>
              </w:rPr>
              <w:t>10毫米。环保无醛，防火阻燃，欧标EO级</w:t>
            </w: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val="en-US" w:eastAsia="zh-CN" w:bidi="ar"/>
              </w:rPr>
              <w:t>含辅料及人工。</w:t>
            </w:r>
          </w:p>
        </w:tc>
        <w:tc>
          <w:tcPr>
            <w:tcW w:w="480" w:type="dxa"/>
            <w:noWrap w:val="0"/>
            <w:vAlign w:val="center"/>
          </w:tcPr>
          <w:p w14:paraId="4FBCDB3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m2</w:t>
            </w:r>
          </w:p>
        </w:tc>
        <w:tc>
          <w:tcPr>
            <w:tcW w:w="600" w:type="dxa"/>
            <w:noWrap w:val="0"/>
            <w:vAlign w:val="center"/>
          </w:tcPr>
          <w:p w14:paraId="5508215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color w:val="000000"/>
                <w:highlight w:val="none"/>
                <w:lang w:val="en-US" w:eastAsia="zh-CN"/>
              </w:rPr>
              <w:t>1</w:t>
            </w:r>
          </w:p>
        </w:tc>
        <w:tc>
          <w:tcPr>
            <w:tcW w:w="735" w:type="dxa"/>
            <w:noWrap w:val="0"/>
            <w:vAlign w:val="center"/>
          </w:tcPr>
          <w:p w14:paraId="6A1F6D4B">
            <w:pPr>
              <w:keepNext w:val="0"/>
              <w:keepLines w:val="0"/>
              <w:widowControl/>
              <w:suppressLineNumbers w:val="0"/>
              <w:jc w:val="center"/>
              <w:textAlignment w:val="center"/>
              <w:rPr>
                <w:rFonts w:hint="eastAsia" w:ascii="宋体" w:hAnsi="宋体" w:eastAsia="宋体" w:cs="宋体"/>
                <w:color w:val="000000"/>
                <w:kern w:val="2"/>
                <w:sz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605" w:type="dxa"/>
            <w:noWrap w:val="0"/>
            <w:vAlign w:val="center"/>
          </w:tcPr>
          <w:p w14:paraId="3B343C9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2"/>
                <w:sz w:val="21"/>
                <w:highlight w:val="none"/>
                <w:lang w:val="en-US" w:eastAsia="zh-CN" w:bidi="ar-SA"/>
              </w:rPr>
            </w:pPr>
          </w:p>
        </w:tc>
        <w:tc>
          <w:tcPr>
            <w:tcW w:w="1626" w:type="dxa"/>
            <w:noWrap w:val="0"/>
            <w:vAlign w:val="center"/>
          </w:tcPr>
          <w:p w14:paraId="4AE56EDB">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bidi="ar"/>
              </w:rPr>
              <w:t>美丰</w:t>
            </w:r>
            <w:r>
              <w:rPr>
                <w:rFonts w:hint="eastAsia" w:ascii="宋体" w:hAnsi="宋体" w:eastAsia="宋体" w:cs="宋体"/>
                <w:color w:val="000000"/>
                <w:kern w:val="0"/>
                <w:sz w:val="20"/>
                <w:szCs w:val="20"/>
                <w:highlight w:val="none"/>
                <w:lang w:eastAsia="zh-CN" w:bidi="ar"/>
              </w:rPr>
              <w:t>、</w:t>
            </w:r>
            <w:r>
              <w:rPr>
                <w:rFonts w:hint="eastAsia" w:ascii="宋体" w:hAnsi="宋体" w:eastAsia="宋体" w:cs="宋体"/>
                <w:color w:val="000000"/>
                <w:kern w:val="0"/>
                <w:sz w:val="20"/>
                <w:szCs w:val="20"/>
                <w:highlight w:val="none"/>
                <w:lang w:bidi="ar"/>
              </w:rPr>
              <w:t>天格</w:t>
            </w:r>
            <w:r>
              <w:rPr>
                <w:rFonts w:hint="eastAsia" w:ascii="宋体" w:hAnsi="宋体" w:eastAsia="宋体" w:cs="宋体"/>
                <w:color w:val="000000"/>
                <w:kern w:val="0"/>
                <w:sz w:val="20"/>
                <w:szCs w:val="20"/>
                <w:highlight w:val="none"/>
                <w:lang w:eastAsia="zh-CN" w:bidi="ar"/>
              </w:rPr>
              <w:t>、</w:t>
            </w:r>
            <w:r>
              <w:rPr>
                <w:rFonts w:hint="eastAsia" w:ascii="宋体" w:hAnsi="宋体" w:eastAsia="宋体" w:cs="宋体"/>
                <w:color w:val="000000"/>
                <w:kern w:val="0"/>
                <w:sz w:val="20"/>
                <w:szCs w:val="20"/>
                <w:highlight w:val="none"/>
                <w:lang w:bidi="ar"/>
              </w:rPr>
              <w:t>大自然</w:t>
            </w:r>
            <w:r>
              <w:rPr>
                <w:rFonts w:hint="eastAsia" w:ascii="宋体" w:hAnsi="宋体" w:eastAsia="宋体" w:cs="宋体"/>
                <w:color w:val="000000"/>
                <w:highlight w:val="none"/>
                <w:lang w:val="en-US" w:eastAsia="zh-CN"/>
              </w:rPr>
              <w:t>或相当于</w:t>
            </w:r>
          </w:p>
        </w:tc>
      </w:tr>
      <w:tr w14:paraId="5979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trPr>
        <w:tc>
          <w:tcPr>
            <w:tcW w:w="420" w:type="dxa"/>
            <w:vMerge w:val="restart"/>
            <w:noWrap w:val="0"/>
            <w:tcMar>
              <w:top w:w="15" w:type="dxa"/>
              <w:left w:w="15" w:type="dxa"/>
              <w:right w:w="15" w:type="dxa"/>
            </w:tcMar>
            <w:vAlign w:val="center"/>
          </w:tcPr>
          <w:p w14:paraId="143F33DF">
            <w:pPr>
              <w:keepNext w:val="0"/>
              <w:keepLines w:val="0"/>
              <w:pageBreakBefore w:val="0"/>
              <w:shd w:val="clear" w:color="auto" w:fill="auto"/>
              <w:kinsoku/>
              <w:wordWrap/>
              <w:overflowPunct/>
              <w:topLinePunct w:val="0"/>
              <w:bidi w:val="0"/>
              <w:spacing w:line="240" w:lineRule="auto"/>
              <w:ind w:firstLine="210" w:firstLineChars="1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480" w:type="dxa"/>
            <w:vMerge w:val="restart"/>
            <w:noWrap w:val="0"/>
            <w:tcMar>
              <w:top w:w="15" w:type="dxa"/>
              <w:left w:w="15" w:type="dxa"/>
              <w:right w:w="15" w:type="dxa"/>
            </w:tcMar>
            <w:vAlign w:val="center"/>
          </w:tcPr>
          <w:p w14:paraId="2507EE99">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水路改造</w:t>
            </w:r>
          </w:p>
          <w:p w14:paraId="7CDEDDA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tc>
        <w:tc>
          <w:tcPr>
            <w:tcW w:w="450" w:type="dxa"/>
            <w:noWrap w:val="0"/>
            <w:tcMar>
              <w:top w:w="15" w:type="dxa"/>
              <w:left w:w="15" w:type="dxa"/>
              <w:right w:w="15" w:type="dxa"/>
            </w:tcMar>
            <w:vAlign w:val="center"/>
          </w:tcPr>
          <w:p w14:paraId="5CB7DEF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18</w:t>
            </w:r>
          </w:p>
        </w:tc>
        <w:tc>
          <w:tcPr>
            <w:tcW w:w="570" w:type="dxa"/>
            <w:noWrap w:val="0"/>
            <w:tcMar>
              <w:top w:w="15" w:type="dxa"/>
              <w:left w:w="15" w:type="dxa"/>
              <w:right w:w="15" w:type="dxa"/>
            </w:tcMar>
            <w:vAlign w:val="center"/>
          </w:tcPr>
          <w:p w14:paraId="6478B1E1">
            <w:pPr>
              <w:keepNext w:val="0"/>
              <w:keepLines w:val="0"/>
              <w:pageBreakBefore w:val="0"/>
              <w:shd w:val="clear" w:color="auto" w:fill="auto"/>
              <w:kinsoku/>
              <w:wordWrap/>
              <w:overflowPunct/>
              <w:topLinePunct w:val="0"/>
              <w:bidi w:val="0"/>
              <w:spacing w:line="240" w:lineRule="auto"/>
              <w:ind w:firstLine="210" w:firstLineChars="100"/>
              <w:jc w:val="center"/>
              <w:rPr>
                <w:rFonts w:hint="eastAsia" w:ascii="宋体" w:hAnsi="宋体" w:eastAsia="宋体" w:cs="宋体"/>
                <w:color w:val="000000"/>
                <w:kern w:val="0"/>
                <w:sz w:val="21"/>
                <w:szCs w:val="21"/>
                <w:highlight w:val="none"/>
                <w:lang w:bidi="ar"/>
              </w:rPr>
            </w:pPr>
            <w:r>
              <w:rPr>
                <w:rFonts w:hint="eastAsia" w:ascii="宋体" w:hAnsi="宋体" w:eastAsia="宋体" w:cs="宋体"/>
                <w:strike w:val="0"/>
                <w:dstrike w:val="0"/>
                <w:color w:val="000000"/>
                <w:kern w:val="0"/>
                <w:sz w:val="21"/>
                <w:szCs w:val="21"/>
                <w:highlight w:val="none"/>
                <w:lang w:bidi="ar"/>
              </w:rPr>
              <w:t>水管</w:t>
            </w:r>
          </w:p>
        </w:tc>
        <w:tc>
          <w:tcPr>
            <w:tcW w:w="2685" w:type="dxa"/>
            <w:noWrap w:val="0"/>
            <w:tcMar>
              <w:top w:w="15" w:type="dxa"/>
              <w:left w:w="15" w:type="dxa"/>
              <w:right w:w="15" w:type="dxa"/>
            </w:tcMar>
            <w:vAlign w:val="center"/>
          </w:tcPr>
          <w:p w14:paraId="5E83EE9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strike w:val="0"/>
                <w:dstrike w:val="0"/>
                <w:color w:val="000000"/>
                <w:kern w:val="0"/>
                <w:sz w:val="21"/>
                <w:szCs w:val="21"/>
                <w:highlight w:val="none"/>
                <w:lang w:bidi="ar"/>
              </w:rPr>
              <w:t>明管铺设进出水。进水采用</w:t>
            </w:r>
            <w:r>
              <w:rPr>
                <w:rFonts w:hint="eastAsia" w:ascii="宋体" w:hAnsi="宋体" w:eastAsia="宋体" w:cs="宋体"/>
                <w:strike w:val="0"/>
                <w:dstrike w:val="0"/>
                <w:color w:val="000000"/>
                <w:kern w:val="0"/>
                <w:sz w:val="21"/>
                <w:szCs w:val="21"/>
                <w:highlight w:val="none"/>
                <w:lang w:val="en-US" w:eastAsia="zh-CN" w:bidi="ar"/>
              </w:rPr>
              <w:t>国标4分管</w:t>
            </w:r>
            <w:r>
              <w:rPr>
                <w:rFonts w:hint="eastAsia" w:ascii="宋体" w:hAnsi="宋体" w:eastAsia="宋体" w:cs="宋体"/>
                <w:strike w:val="0"/>
                <w:dstrike w:val="0"/>
                <w:color w:val="000000"/>
                <w:kern w:val="0"/>
                <w:sz w:val="21"/>
                <w:szCs w:val="21"/>
                <w:highlight w:val="none"/>
                <w:lang w:bidi="ar"/>
              </w:rPr>
              <w:t>水管热熔连接，出水采用110/75/50PVC管胶水连接，外接至排水口，含拆除、PPR管、PVC管、</w:t>
            </w:r>
            <w:r>
              <w:rPr>
                <w:rFonts w:hint="eastAsia" w:ascii="宋体" w:hAnsi="宋体" w:eastAsia="宋体" w:cs="宋体"/>
                <w:strike w:val="0"/>
                <w:dstrike w:val="0"/>
                <w:color w:val="000000"/>
                <w:kern w:val="0"/>
                <w:sz w:val="21"/>
                <w:szCs w:val="21"/>
                <w:highlight w:val="none"/>
                <w:lang w:val="en-US" w:eastAsia="zh-CN" w:bidi="ar"/>
              </w:rPr>
              <w:t>接头、</w:t>
            </w:r>
            <w:r>
              <w:rPr>
                <w:rFonts w:hint="eastAsia" w:ascii="宋体" w:hAnsi="宋体" w:eastAsia="宋体" w:cs="宋体"/>
                <w:strike w:val="0"/>
                <w:dstrike w:val="0"/>
                <w:color w:val="000000"/>
                <w:kern w:val="0"/>
                <w:sz w:val="21"/>
                <w:szCs w:val="21"/>
                <w:highlight w:val="none"/>
                <w:lang w:bidi="ar"/>
              </w:rPr>
              <w:t>辅料及安装人工费。</w:t>
            </w:r>
          </w:p>
        </w:tc>
        <w:tc>
          <w:tcPr>
            <w:tcW w:w="480" w:type="dxa"/>
            <w:noWrap w:val="0"/>
            <w:tcMar>
              <w:top w:w="15" w:type="dxa"/>
              <w:left w:w="15" w:type="dxa"/>
              <w:right w:w="15" w:type="dxa"/>
            </w:tcMar>
            <w:vAlign w:val="center"/>
          </w:tcPr>
          <w:p w14:paraId="6BE9EEF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m</w:t>
            </w:r>
          </w:p>
        </w:tc>
        <w:tc>
          <w:tcPr>
            <w:tcW w:w="600" w:type="dxa"/>
            <w:noWrap w:val="0"/>
            <w:tcMar>
              <w:top w:w="15" w:type="dxa"/>
              <w:left w:w="15" w:type="dxa"/>
              <w:right w:w="15" w:type="dxa"/>
            </w:tcMar>
            <w:vAlign w:val="center"/>
          </w:tcPr>
          <w:p w14:paraId="08B1928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0D657CD2">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605" w:type="dxa"/>
            <w:noWrap w:val="0"/>
            <w:tcMar>
              <w:top w:w="15" w:type="dxa"/>
              <w:left w:w="15" w:type="dxa"/>
              <w:right w:w="15" w:type="dxa"/>
            </w:tcMar>
            <w:vAlign w:val="center"/>
          </w:tcPr>
          <w:p w14:paraId="08478944">
            <w:pPr>
              <w:keepNext w:val="0"/>
              <w:keepLines w:val="0"/>
              <w:pageBreakBefore w:val="0"/>
              <w:shd w:val="clear" w:color="auto" w:fill="auto"/>
              <w:kinsoku/>
              <w:wordWrap/>
              <w:overflowPunct/>
              <w:topLinePunct w:val="0"/>
              <w:bidi w:val="0"/>
              <w:spacing w:line="240" w:lineRule="auto"/>
              <w:ind w:firstLine="1680" w:firstLineChars="800"/>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16DE9EB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sz w:val="21"/>
                <w:szCs w:val="21"/>
                <w:highlight w:val="none"/>
                <w:lang w:val="en-US" w:eastAsia="zh-CN"/>
              </w:rPr>
              <w:t>中财、公元、泰 州或相当于</w:t>
            </w:r>
          </w:p>
        </w:tc>
      </w:tr>
      <w:tr w14:paraId="2ED3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1" w:hRule="atLeast"/>
        </w:trPr>
        <w:tc>
          <w:tcPr>
            <w:tcW w:w="420" w:type="dxa"/>
            <w:vMerge w:val="continue"/>
            <w:noWrap w:val="0"/>
            <w:tcMar>
              <w:top w:w="15" w:type="dxa"/>
              <w:left w:w="15" w:type="dxa"/>
              <w:right w:w="15" w:type="dxa"/>
            </w:tcMar>
            <w:vAlign w:val="center"/>
          </w:tcPr>
          <w:p w14:paraId="59FFAAD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tc>
        <w:tc>
          <w:tcPr>
            <w:tcW w:w="480" w:type="dxa"/>
            <w:vMerge w:val="continue"/>
            <w:noWrap w:val="0"/>
            <w:tcMar>
              <w:top w:w="15" w:type="dxa"/>
              <w:left w:w="15" w:type="dxa"/>
              <w:right w:w="15" w:type="dxa"/>
            </w:tcMar>
            <w:vAlign w:val="center"/>
          </w:tcPr>
          <w:p w14:paraId="60DD106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tc>
        <w:tc>
          <w:tcPr>
            <w:tcW w:w="450" w:type="dxa"/>
            <w:noWrap w:val="0"/>
            <w:tcMar>
              <w:top w:w="15" w:type="dxa"/>
              <w:left w:w="15" w:type="dxa"/>
              <w:right w:w="15" w:type="dxa"/>
            </w:tcMar>
            <w:vAlign w:val="center"/>
          </w:tcPr>
          <w:p w14:paraId="6A99BA5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19</w:t>
            </w:r>
          </w:p>
        </w:tc>
        <w:tc>
          <w:tcPr>
            <w:tcW w:w="570" w:type="dxa"/>
            <w:noWrap w:val="0"/>
            <w:tcMar>
              <w:top w:w="15" w:type="dxa"/>
              <w:left w:w="15" w:type="dxa"/>
              <w:right w:w="15" w:type="dxa"/>
            </w:tcMar>
            <w:vAlign w:val="center"/>
          </w:tcPr>
          <w:p w14:paraId="56B5C563">
            <w:pPr>
              <w:keepNext w:val="0"/>
              <w:keepLines w:val="0"/>
              <w:pageBreakBefore w:val="0"/>
              <w:shd w:val="clear" w:color="auto" w:fill="auto"/>
              <w:kinsoku/>
              <w:wordWrap/>
              <w:overflowPunct/>
              <w:topLinePunct w:val="0"/>
              <w:bidi w:val="0"/>
              <w:spacing w:line="240" w:lineRule="auto"/>
              <w:ind w:firstLine="210" w:firstLineChars="100"/>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水龙头</w:t>
            </w:r>
          </w:p>
        </w:tc>
        <w:tc>
          <w:tcPr>
            <w:tcW w:w="2685" w:type="dxa"/>
            <w:noWrap w:val="0"/>
            <w:tcMar>
              <w:top w:w="15" w:type="dxa"/>
              <w:left w:w="15" w:type="dxa"/>
              <w:right w:w="15" w:type="dxa"/>
            </w:tcMar>
            <w:vAlign w:val="center"/>
          </w:tcPr>
          <w:p w14:paraId="5A329B9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单孔台盆可装，高脚，拨杆式把手，外表不锈钢材质；冷热混水阀，产品材质：铜；产品阀芯：优质陶瓷阀芯，工作水压：0.1MPa～0.5MPa；水路承受压力：≥1.05MPa；</w:t>
            </w:r>
            <w:r>
              <w:rPr>
                <w:rFonts w:hint="eastAsia" w:ascii="宋体" w:hAnsi="宋体" w:eastAsia="宋体" w:cs="宋体"/>
                <w:color w:val="000000"/>
                <w:sz w:val="21"/>
                <w:szCs w:val="21"/>
                <w:highlight w:val="none"/>
                <w:lang w:val="en-US" w:eastAsia="zh-CN"/>
              </w:rPr>
              <w:t>含辅料及安装人工费。</w:t>
            </w:r>
          </w:p>
        </w:tc>
        <w:tc>
          <w:tcPr>
            <w:tcW w:w="480" w:type="dxa"/>
            <w:noWrap w:val="0"/>
            <w:tcMar>
              <w:top w:w="15" w:type="dxa"/>
              <w:left w:w="15" w:type="dxa"/>
              <w:right w:w="15" w:type="dxa"/>
            </w:tcMar>
            <w:vAlign w:val="center"/>
          </w:tcPr>
          <w:p w14:paraId="1B96DAB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套</w:t>
            </w:r>
          </w:p>
        </w:tc>
        <w:tc>
          <w:tcPr>
            <w:tcW w:w="600" w:type="dxa"/>
            <w:noWrap w:val="0"/>
            <w:tcMar>
              <w:top w:w="15" w:type="dxa"/>
              <w:left w:w="15" w:type="dxa"/>
              <w:right w:w="15" w:type="dxa"/>
            </w:tcMar>
            <w:vAlign w:val="center"/>
          </w:tcPr>
          <w:p w14:paraId="79E499C7">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1018FF36">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160</w:t>
            </w:r>
          </w:p>
        </w:tc>
        <w:tc>
          <w:tcPr>
            <w:tcW w:w="1605" w:type="dxa"/>
            <w:noWrap w:val="0"/>
            <w:tcMar>
              <w:top w:w="15" w:type="dxa"/>
              <w:left w:w="15" w:type="dxa"/>
              <w:right w:w="15" w:type="dxa"/>
            </w:tcMar>
            <w:vAlign w:val="center"/>
          </w:tcPr>
          <w:p w14:paraId="293F9A6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drawing>
                <wp:inline distT="0" distB="0" distL="114300" distR="114300">
                  <wp:extent cx="1912620" cy="692785"/>
                  <wp:effectExtent l="0" t="0" r="11430" b="12065"/>
                  <wp:docPr id="13" name="图片 2" descr="C:\Users\ADMINI~1\AppData\Local\Temp\16157793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ADMINI~1\AppData\Local\Temp\1615779315(1).png"/>
                          <pic:cNvPicPr>
                            <a:picLocks noChangeAspect="1"/>
                          </pic:cNvPicPr>
                        </pic:nvPicPr>
                        <pic:blipFill>
                          <a:blip r:embed="rId9"/>
                          <a:stretch>
                            <a:fillRect/>
                          </a:stretch>
                        </pic:blipFill>
                        <pic:spPr>
                          <a:xfrm>
                            <a:off x="0" y="0"/>
                            <a:ext cx="1912620" cy="692785"/>
                          </a:xfrm>
                          <a:prstGeom prst="rect">
                            <a:avLst/>
                          </a:prstGeom>
                          <a:noFill/>
                          <a:ln>
                            <a:noFill/>
                          </a:ln>
                        </pic:spPr>
                      </pic:pic>
                    </a:graphicData>
                  </a:graphic>
                </wp:inline>
              </w:drawing>
            </w:r>
          </w:p>
        </w:tc>
        <w:tc>
          <w:tcPr>
            <w:tcW w:w="1626" w:type="dxa"/>
            <w:noWrap w:val="0"/>
            <w:tcMar>
              <w:top w:w="15" w:type="dxa"/>
              <w:left w:w="15" w:type="dxa"/>
              <w:right w:w="15" w:type="dxa"/>
            </w:tcMar>
            <w:vAlign w:val="center"/>
          </w:tcPr>
          <w:p w14:paraId="716A56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240" w:lineRule="auto"/>
              <w:ind w:left="0" w:right="0" w:firstLine="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shd w:val="clear" w:color="auto" w:fill="auto"/>
                <w:lang w:val="en-US" w:eastAsia="zh-CN" w:bidi="ar"/>
              </w:rPr>
              <w:t>恒洁</w:t>
            </w:r>
            <w:r>
              <w:rPr>
                <w:rFonts w:hint="eastAsia" w:ascii="宋体" w:hAnsi="宋体" w:eastAsia="宋体" w:cs="宋体"/>
                <w:color w:val="000000"/>
                <w:kern w:val="0"/>
                <w:sz w:val="21"/>
                <w:szCs w:val="21"/>
                <w:highlight w:val="none"/>
                <w:shd w:val="clear" w:color="auto" w:fill="auto"/>
                <w:lang w:eastAsia="zh-CN" w:bidi="ar"/>
              </w:rPr>
              <w:t>、</w:t>
            </w:r>
            <w:r>
              <w:rPr>
                <w:rFonts w:hint="eastAsia" w:ascii="宋体" w:hAnsi="宋体" w:eastAsia="宋体" w:cs="宋体"/>
                <w:b w:val="0"/>
                <w:bCs w:val="0"/>
                <w:i w:val="0"/>
                <w:iCs w:val="0"/>
                <w:caps w:val="0"/>
                <w:color w:val="000000"/>
                <w:spacing w:val="0"/>
                <w:sz w:val="21"/>
                <w:szCs w:val="21"/>
                <w:highlight w:val="none"/>
                <w:shd w:val="clear" w:color="auto" w:fill="auto"/>
              </w:rPr>
              <w:t>九牧</w:t>
            </w:r>
            <w:r>
              <w:rPr>
                <w:rFonts w:hint="eastAsia" w:ascii="宋体" w:hAnsi="宋体" w:eastAsia="宋体" w:cs="宋体"/>
                <w:color w:val="000000"/>
                <w:kern w:val="0"/>
                <w:sz w:val="21"/>
                <w:szCs w:val="21"/>
                <w:highlight w:val="none"/>
                <w:shd w:val="clear" w:color="auto" w:fill="auto"/>
                <w:lang w:eastAsia="zh-CN" w:bidi="ar"/>
              </w:rPr>
              <w:t>、</w:t>
            </w:r>
            <w:r>
              <w:rPr>
                <w:rFonts w:hint="eastAsia" w:ascii="宋体" w:hAnsi="宋体" w:eastAsia="宋体" w:cs="宋体"/>
                <w:color w:val="000000"/>
                <w:kern w:val="0"/>
                <w:sz w:val="21"/>
                <w:szCs w:val="21"/>
                <w:highlight w:val="none"/>
                <w:shd w:val="clear" w:color="auto" w:fill="auto"/>
                <w:lang w:bidi="ar"/>
              </w:rPr>
              <w:t>箭牌</w:t>
            </w:r>
            <w:r>
              <w:rPr>
                <w:rFonts w:hint="eastAsia" w:ascii="宋体" w:hAnsi="宋体" w:eastAsia="宋体" w:cs="宋体"/>
                <w:color w:val="000000"/>
                <w:sz w:val="21"/>
                <w:szCs w:val="21"/>
                <w:highlight w:val="none"/>
                <w:lang w:val="en-US" w:eastAsia="zh-CN"/>
              </w:rPr>
              <w:t>或相当于</w:t>
            </w:r>
          </w:p>
        </w:tc>
      </w:tr>
      <w:tr w14:paraId="1221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1564F6E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tc>
        <w:tc>
          <w:tcPr>
            <w:tcW w:w="480" w:type="dxa"/>
            <w:vMerge w:val="continue"/>
            <w:noWrap w:val="0"/>
            <w:tcMar>
              <w:top w:w="15" w:type="dxa"/>
              <w:left w:w="15" w:type="dxa"/>
              <w:right w:w="15" w:type="dxa"/>
            </w:tcMar>
            <w:vAlign w:val="center"/>
          </w:tcPr>
          <w:p w14:paraId="2B77B46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tc>
        <w:tc>
          <w:tcPr>
            <w:tcW w:w="450" w:type="dxa"/>
            <w:noWrap w:val="0"/>
            <w:tcMar>
              <w:top w:w="15" w:type="dxa"/>
              <w:left w:w="15" w:type="dxa"/>
              <w:right w:w="15" w:type="dxa"/>
            </w:tcMar>
            <w:vAlign w:val="center"/>
          </w:tcPr>
          <w:p w14:paraId="4AFF1B2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20</w:t>
            </w:r>
          </w:p>
        </w:tc>
        <w:tc>
          <w:tcPr>
            <w:tcW w:w="570" w:type="dxa"/>
            <w:noWrap w:val="0"/>
            <w:tcMar>
              <w:top w:w="15" w:type="dxa"/>
              <w:left w:w="15" w:type="dxa"/>
              <w:right w:w="15" w:type="dxa"/>
            </w:tcMar>
            <w:vAlign w:val="center"/>
          </w:tcPr>
          <w:p w14:paraId="4CD956D5">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花洒水龙头</w:t>
            </w:r>
          </w:p>
        </w:tc>
        <w:tc>
          <w:tcPr>
            <w:tcW w:w="2685" w:type="dxa"/>
            <w:noWrap w:val="0"/>
            <w:tcMar>
              <w:top w:w="15" w:type="dxa"/>
              <w:left w:w="15" w:type="dxa"/>
              <w:right w:w="15" w:type="dxa"/>
            </w:tcMar>
            <w:vAlign w:val="center"/>
          </w:tcPr>
          <w:p w14:paraId="6BB0685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龙头为冷热混水阀，T型（拨杆式）把手。手持花洒ABS材质，多层电渡。</w:t>
            </w:r>
            <w:r>
              <w:rPr>
                <w:rFonts w:hint="eastAsia" w:ascii="宋体" w:hAnsi="宋体" w:eastAsia="宋体" w:cs="宋体"/>
                <w:color w:val="000000"/>
                <w:kern w:val="0"/>
                <w:sz w:val="21"/>
                <w:szCs w:val="21"/>
                <w:highlight w:val="none"/>
                <w:lang w:val="en-US" w:eastAsia="zh-CN" w:bidi="ar"/>
              </w:rPr>
              <w:t>含辅料及安装人工费。</w:t>
            </w:r>
          </w:p>
        </w:tc>
        <w:tc>
          <w:tcPr>
            <w:tcW w:w="480" w:type="dxa"/>
            <w:noWrap w:val="0"/>
            <w:tcMar>
              <w:top w:w="15" w:type="dxa"/>
              <w:left w:w="15" w:type="dxa"/>
              <w:right w:w="15" w:type="dxa"/>
            </w:tcMar>
            <w:vAlign w:val="center"/>
          </w:tcPr>
          <w:p w14:paraId="307A2D5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套</w:t>
            </w:r>
          </w:p>
        </w:tc>
        <w:tc>
          <w:tcPr>
            <w:tcW w:w="600" w:type="dxa"/>
            <w:noWrap w:val="0"/>
            <w:tcMar>
              <w:top w:w="15" w:type="dxa"/>
              <w:left w:w="15" w:type="dxa"/>
              <w:right w:w="15" w:type="dxa"/>
            </w:tcMar>
            <w:vAlign w:val="center"/>
          </w:tcPr>
          <w:p w14:paraId="6B2C274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w:t>
            </w:r>
          </w:p>
        </w:tc>
        <w:tc>
          <w:tcPr>
            <w:tcW w:w="735" w:type="dxa"/>
            <w:noWrap w:val="0"/>
            <w:tcMar>
              <w:top w:w="15" w:type="dxa"/>
              <w:left w:w="15" w:type="dxa"/>
              <w:right w:w="15" w:type="dxa"/>
            </w:tcMar>
            <w:vAlign w:val="center"/>
          </w:tcPr>
          <w:p w14:paraId="6D3F9F91">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382.4</w:t>
            </w:r>
          </w:p>
        </w:tc>
        <w:tc>
          <w:tcPr>
            <w:tcW w:w="1605" w:type="dxa"/>
            <w:noWrap w:val="0"/>
            <w:tcMar>
              <w:top w:w="15" w:type="dxa"/>
              <w:left w:w="15" w:type="dxa"/>
              <w:right w:w="15" w:type="dxa"/>
            </w:tcMar>
            <w:vAlign w:val="center"/>
          </w:tcPr>
          <w:p w14:paraId="5E94B77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2"/>
                <w:sz w:val="21"/>
                <w:szCs w:val="21"/>
                <w:highlight w:val="none"/>
                <w:lang w:val="en-US" w:eastAsia="zh-CN" w:bidi="ar-SA"/>
              </w:rPr>
            </w:pPr>
          </w:p>
        </w:tc>
        <w:tc>
          <w:tcPr>
            <w:tcW w:w="1626" w:type="dxa"/>
            <w:noWrap w:val="0"/>
            <w:tcMar>
              <w:top w:w="15" w:type="dxa"/>
              <w:left w:w="15" w:type="dxa"/>
              <w:right w:w="15" w:type="dxa"/>
            </w:tcMar>
            <w:vAlign w:val="center"/>
          </w:tcPr>
          <w:p w14:paraId="2BE4510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恒洁</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b w:val="0"/>
                <w:bCs w:val="0"/>
                <w:i w:val="0"/>
                <w:iCs w:val="0"/>
                <w:caps w:val="0"/>
                <w:color w:val="000000"/>
                <w:spacing w:val="0"/>
                <w:sz w:val="21"/>
                <w:szCs w:val="21"/>
                <w:highlight w:val="none"/>
                <w:shd w:val="clear" w:color="auto" w:fill="auto"/>
              </w:rPr>
              <w:t>九牧</w:t>
            </w:r>
            <w:r>
              <w:rPr>
                <w:rFonts w:hint="eastAsia" w:ascii="宋体" w:hAnsi="宋体" w:eastAsia="宋体" w:cs="宋体"/>
                <w:color w:val="000000"/>
                <w:kern w:val="0"/>
                <w:sz w:val="21"/>
                <w:szCs w:val="21"/>
                <w:highlight w:val="none"/>
                <w:shd w:val="clear" w:color="auto" w:fill="auto"/>
                <w:lang w:eastAsia="zh-CN" w:bidi="ar"/>
              </w:rPr>
              <w:t>、</w:t>
            </w:r>
            <w:r>
              <w:rPr>
                <w:rFonts w:hint="eastAsia" w:ascii="宋体" w:hAnsi="宋体" w:eastAsia="宋体" w:cs="宋体"/>
                <w:color w:val="000000"/>
                <w:kern w:val="0"/>
                <w:sz w:val="21"/>
                <w:szCs w:val="21"/>
                <w:highlight w:val="none"/>
                <w:lang w:bidi="ar"/>
              </w:rPr>
              <w:t>箭牌</w:t>
            </w:r>
            <w:r>
              <w:rPr>
                <w:rFonts w:hint="eastAsia" w:ascii="宋体" w:hAnsi="宋体" w:eastAsia="宋体" w:cs="宋体"/>
                <w:color w:val="000000"/>
                <w:sz w:val="21"/>
                <w:szCs w:val="21"/>
                <w:highlight w:val="none"/>
                <w:lang w:val="en-US" w:eastAsia="zh-CN"/>
              </w:rPr>
              <w:t>或相当于</w:t>
            </w:r>
          </w:p>
        </w:tc>
      </w:tr>
      <w:tr w14:paraId="2B3B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25A06FD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tc>
        <w:tc>
          <w:tcPr>
            <w:tcW w:w="480" w:type="dxa"/>
            <w:vMerge w:val="continue"/>
            <w:noWrap w:val="0"/>
            <w:tcMar>
              <w:top w:w="15" w:type="dxa"/>
              <w:left w:w="15" w:type="dxa"/>
              <w:right w:w="15" w:type="dxa"/>
            </w:tcMar>
            <w:vAlign w:val="center"/>
          </w:tcPr>
          <w:p w14:paraId="582BE2F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tc>
        <w:tc>
          <w:tcPr>
            <w:tcW w:w="450" w:type="dxa"/>
            <w:noWrap w:val="0"/>
            <w:tcMar>
              <w:top w:w="15" w:type="dxa"/>
              <w:left w:w="15" w:type="dxa"/>
              <w:right w:w="15" w:type="dxa"/>
            </w:tcMar>
            <w:vAlign w:val="center"/>
          </w:tcPr>
          <w:p w14:paraId="7158C49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w:t>
            </w:r>
          </w:p>
        </w:tc>
        <w:tc>
          <w:tcPr>
            <w:tcW w:w="570" w:type="dxa"/>
            <w:noWrap w:val="0"/>
            <w:tcMar>
              <w:top w:w="15" w:type="dxa"/>
              <w:left w:w="15" w:type="dxa"/>
              <w:right w:w="15" w:type="dxa"/>
            </w:tcMar>
            <w:vAlign w:val="center"/>
          </w:tcPr>
          <w:p w14:paraId="3E5B7BB7">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蹲坑拆除凿平</w:t>
            </w:r>
          </w:p>
        </w:tc>
        <w:tc>
          <w:tcPr>
            <w:tcW w:w="2685" w:type="dxa"/>
            <w:noWrap w:val="0"/>
            <w:tcMar>
              <w:top w:w="15" w:type="dxa"/>
              <w:left w:w="15" w:type="dxa"/>
              <w:right w:w="15" w:type="dxa"/>
            </w:tcMar>
            <w:vAlign w:val="center"/>
          </w:tcPr>
          <w:p w14:paraId="6807B11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拆除蹲坑接上排污管，用C15细石砼垫坑抺平，表面2cm厚</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不含马桶及</w:t>
            </w:r>
            <w:r>
              <w:rPr>
                <w:rFonts w:hint="eastAsia" w:ascii="宋体" w:hAnsi="宋体" w:eastAsia="宋体" w:cs="宋体"/>
                <w:color w:val="000000"/>
                <w:kern w:val="0"/>
                <w:sz w:val="21"/>
                <w:szCs w:val="21"/>
                <w:highlight w:val="none"/>
                <w:lang w:val="en-US" w:eastAsia="zh-CN" w:bidi="ar"/>
              </w:rPr>
              <w:t>进出水</w:t>
            </w:r>
            <w:r>
              <w:rPr>
                <w:rFonts w:hint="eastAsia" w:ascii="宋体" w:hAnsi="宋体" w:eastAsia="宋体" w:cs="宋体"/>
                <w:color w:val="000000"/>
                <w:kern w:val="0"/>
                <w:sz w:val="21"/>
                <w:szCs w:val="21"/>
                <w:highlight w:val="none"/>
                <w:lang w:bidi="ar"/>
              </w:rPr>
              <w:t>管道，根据现场情况施工；含垃圾清运</w:t>
            </w:r>
            <w:r>
              <w:rPr>
                <w:rFonts w:hint="eastAsia" w:ascii="宋体" w:hAnsi="宋体" w:eastAsia="宋体" w:cs="宋体"/>
                <w:color w:val="000000"/>
                <w:kern w:val="0"/>
                <w:sz w:val="21"/>
                <w:szCs w:val="21"/>
                <w:highlight w:val="none"/>
                <w:lang w:eastAsia="zh-CN" w:bidi="ar"/>
              </w:rPr>
              <w:t>。</w:t>
            </w:r>
          </w:p>
        </w:tc>
        <w:tc>
          <w:tcPr>
            <w:tcW w:w="480" w:type="dxa"/>
            <w:noWrap w:val="0"/>
            <w:tcMar>
              <w:top w:w="15" w:type="dxa"/>
              <w:left w:w="15" w:type="dxa"/>
              <w:right w:w="15" w:type="dxa"/>
            </w:tcMar>
            <w:vAlign w:val="center"/>
          </w:tcPr>
          <w:p w14:paraId="5367F7D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w:t>
            </w:r>
          </w:p>
        </w:tc>
        <w:tc>
          <w:tcPr>
            <w:tcW w:w="600" w:type="dxa"/>
            <w:noWrap w:val="0"/>
            <w:tcMar>
              <w:top w:w="15" w:type="dxa"/>
              <w:left w:w="15" w:type="dxa"/>
              <w:right w:w="15" w:type="dxa"/>
            </w:tcMar>
            <w:vAlign w:val="center"/>
          </w:tcPr>
          <w:p w14:paraId="2F214FB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5C50075A">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1360</w:t>
            </w:r>
          </w:p>
        </w:tc>
        <w:tc>
          <w:tcPr>
            <w:tcW w:w="1605" w:type="dxa"/>
            <w:noWrap w:val="0"/>
            <w:tcMar>
              <w:top w:w="15" w:type="dxa"/>
              <w:left w:w="15" w:type="dxa"/>
              <w:right w:w="15" w:type="dxa"/>
            </w:tcMar>
            <w:vAlign w:val="center"/>
          </w:tcPr>
          <w:p w14:paraId="5B5FE108">
            <w:pPr>
              <w:keepNext w:val="0"/>
              <w:keepLines w:val="0"/>
              <w:pageBreakBefore w:val="0"/>
              <w:shd w:val="clear" w:color="auto" w:fill="auto"/>
              <w:kinsoku/>
              <w:wordWrap/>
              <w:overflowPunct/>
              <w:topLinePunct w:val="0"/>
              <w:bidi w:val="0"/>
              <w:spacing w:line="240" w:lineRule="auto"/>
              <w:ind w:firstLine="1680" w:firstLineChars="800"/>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5A3EE6E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r>
      <w:tr w14:paraId="726E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4A74EFB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tc>
        <w:tc>
          <w:tcPr>
            <w:tcW w:w="480" w:type="dxa"/>
            <w:vMerge w:val="continue"/>
            <w:noWrap w:val="0"/>
            <w:tcMar>
              <w:top w:w="15" w:type="dxa"/>
              <w:left w:w="15" w:type="dxa"/>
              <w:right w:w="15" w:type="dxa"/>
            </w:tcMar>
            <w:vAlign w:val="center"/>
          </w:tcPr>
          <w:p w14:paraId="1168456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tc>
        <w:tc>
          <w:tcPr>
            <w:tcW w:w="450" w:type="dxa"/>
            <w:noWrap w:val="0"/>
            <w:tcMar>
              <w:top w:w="15" w:type="dxa"/>
              <w:left w:w="15" w:type="dxa"/>
              <w:right w:w="15" w:type="dxa"/>
            </w:tcMar>
            <w:vAlign w:val="center"/>
          </w:tcPr>
          <w:p w14:paraId="0D7B9E1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w:t>
            </w:r>
          </w:p>
        </w:tc>
        <w:tc>
          <w:tcPr>
            <w:tcW w:w="570" w:type="dxa"/>
            <w:noWrap w:val="0"/>
            <w:tcMar>
              <w:top w:w="15" w:type="dxa"/>
              <w:left w:w="15" w:type="dxa"/>
              <w:right w:w="15" w:type="dxa"/>
            </w:tcMar>
            <w:vAlign w:val="center"/>
          </w:tcPr>
          <w:p w14:paraId="5CDFEDE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挖埋排污管道</w:t>
            </w:r>
          </w:p>
        </w:tc>
        <w:tc>
          <w:tcPr>
            <w:tcW w:w="2685" w:type="dxa"/>
            <w:noWrap w:val="0"/>
            <w:tcMar>
              <w:top w:w="15" w:type="dxa"/>
              <w:left w:w="15" w:type="dxa"/>
              <w:right w:w="15" w:type="dxa"/>
            </w:tcMar>
            <w:vAlign w:val="center"/>
          </w:tcPr>
          <w:p w14:paraId="0C7C9E0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挖沟，布管线到化粪池或排污管网，回填、恢复原有路面（含管材、</w:t>
            </w:r>
            <w:r>
              <w:rPr>
                <w:rFonts w:hint="eastAsia" w:ascii="宋体" w:hAnsi="宋体" w:eastAsia="宋体" w:cs="宋体"/>
                <w:color w:val="000000"/>
                <w:kern w:val="0"/>
                <w:sz w:val="21"/>
                <w:szCs w:val="21"/>
                <w:highlight w:val="none"/>
                <w:lang w:val="en-US" w:eastAsia="zh-CN" w:bidi="ar"/>
              </w:rPr>
              <w:t>接头、</w:t>
            </w:r>
            <w:r>
              <w:rPr>
                <w:rFonts w:hint="eastAsia" w:ascii="宋体" w:hAnsi="宋体" w:eastAsia="宋体" w:cs="宋体"/>
                <w:color w:val="000000"/>
                <w:kern w:val="0"/>
                <w:sz w:val="21"/>
                <w:szCs w:val="21"/>
                <w:highlight w:val="none"/>
                <w:lang w:bidi="ar"/>
              </w:rPr>
              <w:t>不含化粪池）</w:t>
            </w:r>
          </w:p>
        </w:tc>
        <w:tc>
          <w:tcPr>
            <w:tcW w:w="480" w:type="dxa"/>
            <w:noWrap w:val="0"/>
            <w:tcMar>
              <w:top w:w="15" w:type="dxa"/>
              <w:left w:w="15" w:type="dxa"/>
              <w:right w:w="15" w:type="dxa"/>
            </w:tcMar>
            <w:vAlign w:val="center"/>
          </w:tcPr>
          <w:p w14:paraId="6016D7E4">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m</w:t>
            </w:r>
          </w:p>
        </w:tc>
        <w:tc>
          <w:tcPr>
            <w:tcW w:w="600" w:type="dxa"/>
            <w:noWrap w:val="0"/>
            <w:tcMar>
              <w:top w:w="15" w:type="dxa"/>
              <w:left w:w="15" w:type="dxa"/>
              <w:right w:w="15" w:type="dxa"/>
            </w:tcMar>
            <w:vAlign w:val="center"/>
          </w:tcPr>
          <w:p w14:paraId="20A9B86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1E3B2BD2">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256</w:t>
            </w:r>
          </w:p>
        </w:tc>
        <w:tc>
          <w:tcPr>
            <w:tcW w:w="1605" w:type="dxa"/>
            <w:noWrap w:val="0"/>
            <w:tcMar>
              <w:top w:w="15" w:type="dxa"/>
              <w:left w:w="15" w:type="dxa"/>
              <w:right w:w="15" w:type="dxa"/>
            </w:tcMar>
            <w:vAlign w:val="center"/>
          </w:tcPr>
          <w:p w14:paraId="025EE484">
            <w:pPr>
              <w:keepNext w:val="0"/>
              <w:keepLines w:val="0"/>
              <w:pageBreakBefore w:val="0"/>
              <w:shd w:val="clear" w:color="auto" w:fill="auto"/>
              <w:kinsoku/>
              <w:wordWrap/>
              <w:overflowPunct/>
              <w:topLinePunct w:val="0"/>
              <w:bidi w:val="0"/>
              <w:spacing w:line="240" w:lineRule="auto"/>
              <w:ind w:firstLine="1680" w:firstLineChars="800"/>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0940753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r>
      <w:tr w14:paraId="129F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15CF429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80" w:type="dxa"/>
            <w:vMerge w:val="continue"/>
            <w:noWrap w:val="0"/>
            <w:tcMar>
              <w:top w:w="15" w:type="dxa"/>
              <w:left w:w="15" w:type="dxa"/>
              <w:right w:w="15" w:type="dxa"/>
            </w:tcMar>
            <w:vAlign w:val="center"/>
          </w:tcPr>
          <w:p w14:paraId="46CCA9D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50" w:type="dxa"/>
            <w:noWrap w:val="0"/>
            <w:tcMar>
              <w:top w:w="15" w:type="dxa"/>
              <w:left w:w="15" w:type="dxa"/>
              <w:right w:w="15" w:type="dxa"/>
            </w:tcMar>
            <w:vAlign w:val="center"/>
          </w:tcPr>
          <w:p w14:paraId="47A6972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23</w:t>
            </w:r>
          </w:p>
        </w:tc>
        <w:tc>
          <w:tcPr>
            <w:tcW w:w="570" w:type="dxa"/>
            <w:noWrap w:val="0"/>
            <w:tcMar>
              <w:top w:w="15" w:type="dxa"/>
              <w:left w:w="15" w:type="dxa"/>
              <w:right w:w="15" w:type="dxa"/>
            </w:tcMar>
            <w:vAlign w:val="center"/>
          </w:tcPr>
          <w:p w14:paraId="78FF979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安装化粪池</w:t>
            </w:r>
          </w:p>
        </w:tc>
        <w:tc>
          <w:tcPr>
            <w:tcW w:w="2685" w:type="dxa"/>
            <w:noWrap w:val="0"/>
            <w:tcMar>
              <w:top w:w="15" w:type="dxa"/>
              <w:left w:w="15" w:type="dxa"/>
              <w:right w:w="15" w:type="dxa"/>
            </w:tcMar>
            <w:vAlign w:val="center"/>
          </w:tcPr>
          <w:p w14:paraId="7EAA15B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PE-3格牛筋化粪池，管口直径110mm，容量0.3-1立方</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含辅料及挖埋、安装人工费。</w:t>
            </w:r>
          </w:p>
        </w:tc>
        <w:tc>
          <w:tcPr>
            <w:tcW w:w="480" w:type="dxa"/>
            <w:noWrap w:val="0"/>
            <w:tcMar>
              <w:top w:w="15" w:type="dxa"/>
              <w:left w:w="15" w:type="dxa"/>
              <w:right w:w="15" w:type="dxa"/>
            </w:tcMar>
            <w:vAlign w:val="center"/>
          </w:tcPr>
          <w:p w14:paraId="0E8D7A7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套</w:t>
            </w:r>
          </w:p>
        </w:tc>
        <w:tc>
          <w:tcPr>
            <w:tcW w:w="600" w:type="dxa"/>
            <w:noWrap w:val="0"/>
            <w:tcMar>
              <w:top w:w="15" w:type="dxa"/>
              <w:left w:w="15" w:type="dxa"/>
              <w:right w:w="15" w:type="dxa"/>
            </w:tcMar>
            <w:vAlign w:val="center"/>
          </w:tcPr>
          <w:p w14:paraId="3DA6670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3120A89E">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1200</w:t>
            </w:r>
          </w:p>
        </w:tc>
        <w:tc>
          <w:tcPr>
            <w:tcW w:w="1605" w:type="dxa"/>
            <w:noWrap w:val="0"/>
            <w:tcMar>
              <w:top w:w="15" w:type="dxa"/>
              <w:left w:w="15" w:type="dxa"/>
              <w:right w:w="15" w:type="dxa"/>
            </w:tcMar>
            <w:vAlign w:val="center"/>
          </w:tcPr>
          <w:p w14:paraId="6DBC1BB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087B1F6F">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r>
      <w:tr w14:paraId="3C5D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trPr>
        <w:tc>
          <w:tcPr>
            <w:tcW w:w="420" w:type="dxa"/>
            <w:vMerge w:val="restart"/>
            <w:noWrap w:val="0"/>
            <w:tcMar>
              <w:top w:w="15" w:type="dxa"/>
              <w:left w:w="15" w:type="dxa"/>
              <w:right w:w="15" w:type="dxa"/>
            </w:tcMar>
            <w:vAlign w:val="center"/>
          </w:tcPr>
          <w:p w14:paraId="65AD4305">
            <w:pPr>
              <w:keepNext w:val="0"/>
              <w:keepLines w:val="0"/>
              <w:pageBreakBefore w:val="0"/>
              <w:shd w:val="clear" w:color="auto" w:fill="auto"/>
              <w:kinsoku/>
              <w:wordWrap/>
              <w:overflowPunct/>
              <w:topLinePunct w:val="0"/>
              <w:bidi w:val="0"/>
              <w:spacing w:line="240" w:lineRule="auto"/>
              <w:ind w:firstLine="420" w:firstLineChars="200"/>
              <w:jc w:val="center"/>
              <w:rPr>
                <w:rFonts w:hint="eastAsia" w:ascii="宋体" w:hAnsi="宋体" w:eastAsia="宋体" w:cs="宋体"/>
                <w:color w:val="000000"/>
                <w:sz w:val="21"/>
                <w:szCs w:val="21"/>
                <w:highlight w:val="none"/>
                <w:lang w:val="en-US" w:eastAsia="zh-CN"/>
              </w:rPr>
            </w:pPr>
          </w:p>
          <w:p w14:paraId="7A357889">
            <w:pPr>
              <w:keepNext w:val="0"/>
              <w:keepLines w:val="0"/>
              <w:pageBreakBefore w:val="0"/>
              <w:shd w:val="clear" w:color="auto" w:fill="auto"/>
              <w:kinsoku/>
              <w:wordWrap/>
              <w:overflowPunct/>
              <w:topLinePunct w:val="0"/>
              <w:bidi w:val="0"/>
              <w:spacing w:line="240" w:lineRule="auto"/>
              <w:ind w:firstLine="420" w:firstLineChars="200"/>
              <w:jc w:val="center"/>
              <w:rPr>
                <w:rFonts w:hint="eastAsia" w:ascii="宋体" w:hAnsi="宋体" w:eastAsia="宋体" w:cs="宋体"/>
                <w:color w:val="000000"/>
                <w:sz w:val="21"/>
                <w:szCs w:val="21"/>
                <w:highlight w:val="none"/>
                <w:lang w:val="en-US" w:eastAsia="zh-CN"/>
              </w:rPr>
            </w:pPr>
          </w:p>
          <w:p w14:paraId="6D1AA8A1">
            <w:pPr>
              <w:keepNext w:val="0"/>
              <w:keepLines w:val="0"/>
              <w:pageBreakBefore w:val="0"/>
              <w:shd w:val="clear" w:color="auto" w:fill="auto"/>
              <w:kinsoku/>
              <w:wordWrap/>
              <w:overflowPunct/>
              <w:topLinePunct w:val="0"/>
              <w:bidi w:val="0"/>
              <w:spacing w:line="240" w:lineRule="auto"/>
              <w:ind w:firstLine="420" w:firstLineChars="200"/>
              <w:jc w:val="center"/>
              <w:rPr>
                <w:rFonts w:hint="eastAsia" w:ascii="宋体" w:hAnsi="宋体" w:eastAsia="宋体" w:cs="宋体"/>
                <w:color w:val="000000"/>
                <w:sz w:val="21"/>
                <w:szCs w:val="21"/>
                <w:highlight w:val="none"/>
                <w:lang w:val="en-US" w:eastAsia="zh-CN"/>
              </w:rPr>
            </w:pPr>
          </w:p>
          <w:p w14:paraId="50B3F657">
            <w:pPr>
              <w:keepNext w:val="0"/>
              <w:keepLines w:val="0"/>
              <w:pageBreakBefore w:val="0"/>
              <w:shd w:val="clear" w:color="auto" w:fill="auto"/>
              <w:kinsoku/>
              <w:wordWrap/>
              <w:overflowPunct/>
              <w:topLinePunct w:val="0"/>
              <w:bidi w:val="0"/>
              <w:spacing w:line="240" w:lineRule="auto"/>
              <w:ind w:firstLine="420" w:firstLineChars="200"/>
              <w:jc w:val="center"/>
              <w:rPr>
                <w:rFonts w:hint="eastAsia" w:ascii="宋体" w:hAnsi="宋体" w:eastAsia="宋体" w:cs="宋体"/>
                <w:color w:val="000000"/>
                <w:sz w:val="21"/>
                <w:szCs w:val="21"/>
                <w:highlight w:val="none"/>
                <w:lang w:val="en-US" w:eastAsia="zh-CN"/>
              </w:rPr>
            </w:pPr>
          </w:p>
          <w:p w14:paraId="5321719C">
            <w:pPr>
              <w:keepNext w:val="0"/>
              <w:keepLines w:val="0"/>
              <w:pageBreakBefore w:val="0"/>
              <w:shd w:val="clear" w:color="auto" w:fill="auto"/>
              <w:kinsoku/>
              <w:wordWrap/>
              <w:overflowPunct/>
              <w:topLinePunct w:val="0"/>
              <w:bidi w:val="0"/>
              <w:spacing w:line="240" w:lineRule="auto"/>
              <w:ind w:firstLine="420" w:firstLineChars="200"/>
              <w:jc w:val="center"/>
              <w:rPr>
                <w:rFonts w:hint="eastAsia" w:ascii="宋体" w:hAnsi="宋体" w:eastAsia="宋体" w:cs="宋体"/>
                <w:color w:val="000000"/>
                <w:sz w:val="21"/>
                <w:szCs w:val="21"/>
                <w:highlight w:val="none"/>
                <w:lang w:val="en-US" w:eastAsia="zh-CN"/>
              </w:rPr>
            </w:pPr>
          </w:p>
          <w:p w14:paraId="68D572E6">
            <w:pPr>
              <w:keepNext w:val="0"/>
              <w:keepLines w:val="0"/>
              <w:pageBreakBefore w:val="0"/>
              <w:shd w:val="clear" w:color="auto" w:fill="auto"/>
              <w:kinsoku/>
              <w:wordWrap/>
              <w:overflowPunct/>
              <w:topLinePunct w:val="0"/>
              <w:bidi w:val="0"/>
              <w:spacing w:line="240" w:lineRule="auto"/>
              <w:ind w:firstLine="420" w:firstLineChars="200"/>
              <w:jc w:val="center"/>
              <w:rPr>
                <w:rFonts w:hint="eastAsia" w:ascii="宋体" w:hAnsi="宋体" w:eastAsia="宋体" w:cs="宋体"/>
                <w:color w:val="000000"/>
                <w:sz w:val="21"/>
                <w:szCs w:val="21"/>
                <w:highlight w:val="none"/>
                <w:lang w:val="en-US" w:eastAsia="zh-CN"/>
              </w:rPr>
            </w:pPr>
          </w:p>
          <w:p w14:paraId="494A1690">
            <w:pPr>
              <w:keepNext w:val="0"/>
              <w:keepLines w:val="0"/>
              <w:pageBreakBefore w:val="0"/>
              <w:shd w:val="clear" w:color="auto" w:fill="auto"/>
              <w:kinsoku/>
              <w:wordWrap/>
              <w:overflowPunct/>
              <w:topLinePunct w:val="0"/>
              <w:bidi w:val="0"/>
              <w:spacing w:line="240" w:lineRule="auto"/>
              <w:ind w:firstLine="210" w:firstLineChars="10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p w14:paraId="6B058A4D">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p>
          <w:p w14:paraId="70C6695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p>
          <w:p w14:paraId="33BE0064">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p>
          <w:p w14:paraId="43896C2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p>
          <w:p w14:paraId="57DA09FB">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p>
          <w:p w14:paraId="1E2862E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p>
          <w:p w14:paraId="24C35370">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172720</wp:posOffset>
                      </wp:positionV>
                      <wp:extent cx="457200" cy="762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5720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5pt;margin-top:13.6pt;height:0.6pt;width:36pt;z-index:251662336;mso-width-relative:page;mso-height-relative:page;" filled="f" stroked="t" coordsize="21600,21600" o:gfxdata="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ih0LnWAAAABwEAAA8AAAAAAAAAAQAgAAAAIgAAAGRycy9kb3ducmV2LnhtbFBL&#10;AQIUABQAAAAIAIdO4kBVcZEU+AEAAOgDAAAOAAAAAAAAAAEAIAAAACUBAABkcnMvZTJvRG9jLnht&#10;bFBLBQYAAAAABgAGAFkBAACPBQAAAAA=&#10;">
                      <v:fill on="f" focussize="0,0"/>
                      <v:stroke color="#000000" joinstyle="round"/>
                      <v:imagedata o:title=""/>
                      <o:lock v:ext="edit" aspectratio="f"/>
                    </v:line>
                  </w:pict>
                </mc:Fallback>
              </mc:AlternateContent>
            </w:r>
          </w:p>
          <w:p w14:paraId="04418E9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p>
          <w:p w14:paraId="3AA75311">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7</w:t>
            </w:r>
          </w:p>
        </w:tc>
        <w:tc>
          <w:tcPr>
            <w:tcW w:w="480" w:type="dxa"/>
            <w:vMerge w:val="continue"/>
            <w:noWrap w:val="0"/>
            <w:tcMar>
              <w:top w:w="15" w:type="dxa"/>
              <w:left w:w="15" w:type="dxa"/>
              <w:right w:w="15" w:type="dxa"/>
            </w:tcMar>
            <w:vAlign w:val="center"/>
          </w:tcPr>
          <w:p w14:paraId="3F0FAC1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50" w:type="dxa"/>
            <w:noWrap w:val="0"/>
            <w:tcMar>
              <w:top w:w="15" w:type="dxa"/>
              <w:left w:w="15" w:type="dxa"/>
              <w:right w:w="15" w:type="dxa"/>
            </w:tcMar>
            <w:vAlign w:val="center"/>
          </w:tcPr>
          <w:p w14:paraId="6E249D9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24</w:t>
            </w:r>
          </w:p>
        </w:tc>
        <w:tc>
          <w:tcPr>
            <w:tcW w:w="570" w:type="dxa"/>
            <w:noWrap w:val="0"/>
            <w:tcMar>
              <w:top w:w="15" w:type="dxa"/>
              <w:left w:w="15" w:type="dxa"/>
              <w:right w:w="15" w:type="dxa"/>
            </w:tcMar>
            <w:vAlign w:val="center"/>
          </w:tcPr>
          <w:p w14:paraId="7DC3974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坐便器</w:t>
            </w:r>
          </w:p>
        </w:tc>
        <w:tc>
          <w:tcPr>
            <w:tcW w:w="2685" w:type="dxa"/>
            <w:noWrap w:val="0"/>
            <w:tcMar>
              <w:top w:w="15" w:type="dxa"/>
              <w:left w:w="15" w:type="dxa"/>
              <w:right w:w="15" w:type="dxa"/>
            </w:tcMar>
            <w:vAlign w:val="center"/>
          </w:tcPr>
          <w:p w14:paraId="325DF2E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连体坐便器  冲落式马桶，缓冲上按两端式，地排，用水量≤7L，PP缓降阻尼盖板</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含辅料及安装人工费。</w:t>
            </w:r>
          </w:p>
        </w:tc>
        <w:tc>
          <w:tcPr>
            <w:tcW w:w="480" w:type="dxa"/>
            <w:noWrap w:val="0"/>
            <w:tcMar>
              <w:top w:w="15" w:type="dxa"/>
              <w:left w:w="15" w:type="dxa"/>
              <w:right w:w="15" w:type="dxa"/>
            </w:tcMar>
            <w:vAlign w:val="center"/>
          </w:tcPr>
          <w:p w14:paraId="65908AC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套</w:t>
            </w:r>
          </w:p>
        </w:tc>
        <w:tc>
          <w:tcPr>
            <w:tcW w:w="600" w:type="dxa"/>
            <w:noWrap w:val="0"/>
            <w:tcMar>
              <w:top w:w="15" w:type="dxa"/>
              <w:left w:w="15" w:type="dxa"/>
              <w:right w:w="15" w:type="dxa"/>
            </w:tcMar>
            <w:vAlign w:val="center"/>
          </w:tcPr>
          <w:p w14:paraId="0E63B02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534BB78B">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840</w:t>
            </w:r>
          </w:p>
        </w:tc>
        <w:tc>
          <w:tcPr>
            <w:tcW w:w="1605" w:type="dxa"/>
            <w:noWrap w:val="0"/>
            <w:tcMar>
              <w:top w:w="15" w:type="dxa"/>
              <w:left w:w="15" w:type="dxa"/>
              <w:right w:w="15" w:type="dxa"/>
            </w:tcMar>
            <w:vAlign w:val="center"/>
          </w:tcPr>
          <w:p w14:paraId="784DE6B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drawing>
                <wp:inline distT="0" distB="0" distL="114300" distR="114300">
                  <wp:extent cx="1748790" cy="1005840"/>
                  <wp:effectExtent l="0" t="0" r="3810" b="3810"/>
                  <wp:docPr id="10" name="图片 3" descr="1615427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1615427038(1)"/>
                          <pic:cNvPicPr>
                            <a:picLocks noChangeAspect="1"/>
                          </pic:cNvPicPr>
                        </pic:nvPicPr>
                        <pic:blipFill>
                          <a:blip r:embed="rId10"/>
                          <a:stretch>
                            <a:fillRect/>
                          </a:stretch>
                        </pic:blipFill>
                        <pic:spPr>
                          <a:xfrm>
                            <a:off x="0" y="0"/>
                            <a:ext cx="1748790" cy="1005840"/>
                          </a:xfrm>
                          <a:prstGeom prst="rect">
                            <a:avLst/>
                          </a:prstGeom>
                          <a:noFill/>
                          <a:ln>
                            <a:noFill/>
                          </a:ln>
                        </pic:spPr>
                      </pic:pic>
                    </a:graphicData>
                  </a:graphic>
                </wp:inline>
              </w:drawing>
            </w:r>
          </w:p>
        </w:tc>
        <w:tc>
          <w:tcPr>
            <w:tcW w:w="1626" w:type="dxa"/>
            <w:noWrap w:val="0"/>
            <w:tcMar>
              <w:top w:w="15" w:type="dxa"/>
              <w:left w:w="15" w:type="dxa"/>
              <w:right w:w="15" w:type="dxa"/>
            </w:tcMar>
            <w:vAlign w:val="center"/>
          </w:tcPr>
          <w:p w14:paraId="16AA82C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恒洁</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b w:val="0"/>
                <w:bCs w:val="0"/>
                <w:i w:val="0"/>
                <w:iCs w:val="0"/>
                <w:caps w:val="0"/>
                <w:color w:val="000000"/>
                <w:spacing w:val="0"/>
                <w:sz w:val="21"/>
                <w:szCs w:val="21"/>
                <w:highlight w:val="none"/>
                <w:shd w:val="clear" w:color="auto" w:fill="auto"/>
              </w:rPr>
              <w:t>九牧</w:t>
            </w:r>
            <w:r>
              <w:rPr>
                <w:rFonts w:hint="eastAsia" w:ascii="宋体" w:hAnsi="宋体" w:eastAsia="宋体" w:cs="宋体"/>
                <w:color w:val="000000"/>
                <w:kern w:val="0"/>
                <w:sz w:val="21"/>
                <w:szCs w:val="21"/>
                <w:highlight w:val="none"/>
                <w:shd w:val="clear" w:color="auto" w:fill="auto"/>
                <w:lang w:eastAsia="zh-CN" w:bidi="ar"/>
              </w:rPr>
              <w:t>、</w:t>
            </w:r>
            <w:r>
              <w:rPr>
                <w:rFonts w:hint="eastAsia" w:ascii="宋体" w:hAnsi="宋体" w:eastAsia="宋体" w:cs="宋体"/>
                <w:color w:val="000000"/>
                <w:kern w:val="0"/>
                <w:sz w:val="21"/>
                <w:szCs w:val="21"/>
                <w:highlight w:val="none"/>
                <w:lang w:bidi="ar"/>
              </w:rPr>
              <w:t>箭牌</w:t>
            </w:r>
            <w:r>
              <w:rPr>
                <w:rFonts w:hint="eastAsia" w:ascii="宋体" w:hAnsi="宋体" w:eastAsia="宋体" w:cs="宋体"/>
                <w:color w:val="000000"/>
                <w:sz w:val="21"/>
                <w:szCs w:val="21"/>
                <w:highlight w:val="none"/>
                <w:lang w:val="en-US" w:eastAsia="zh-CN"/>
              </w:rPr>
              <w:t>或相当于</w:t>
            </w:r>
          </w:p>
        </w:tc>
      </w:tr>
      <w:tr w14:paraId="106B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3BECFF2F">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80" w:type="dxa"/>
            <w:vMerge w:val="restart"/>
            <w:noWrap w:val="0"/>
            <w:tcMar>
              <w:top w:w="15" w:type="dxa"/>
              <w:left w:w="15" w:type="dxa"/>
              <w:right w:w="15" w:type="dxa"/>
            </w:tcMar>
            <w:vAlign w:val="center"/>
          </w:tcPr>
          <w:p w14:paraId="17305A2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卫生间</w:t>
            </w:r>
          </w:p>
        </w:tc>
        <w:tc>
          <w:tcPr>
            <w:tcW w:w="450" w:type="dxa"/>
            <w:noWrap w:val="0"/>
            <w:tcMar>
              <w:top w:w="15" w:type="dxa"/>
              <w:left w:w="15" w:type="dxa"/>
              <w:right w:w="15" w:type="dxa"/>
            </w:tcMar>
            <w:vAlign w:val="center"/>
          </w:tcPr>
          <w:p w14:paraId="351B9FC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w:t>
            </w:r>
          </w:p>
        </w:tc>
        <w:tc>
          <w:tcPr>
            <w:tcW w:w="570" w:type="dxa"/>
            <w:noWrap w:val="0"/>
            <w:tcMar>
              <w:top w:w="15" w:type="dxa"/>
              <w:left w:w="15" w:type="dxa"/>
              <w:right w:w="15" w:type="dxa"/>
            </w:tcMar>
            <w:vAlign w:val="center"/>
          </w:tcPr>
          <w:p w14:paraId="45A709B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洗脸台盆</w:t>
            </w:r>
          </w:p>
        </w:tc>
        <w:tc>
          <w:tcPr>
            <w:tcW w:w="2685" w:type="dxa"/>
            <w:noWrap w:val="0"/>
            <w:tcMar>
              <w:top w:w="15" w:type="dxa"/>
              <w:left w:w="15" w:type="dxa"/>
              <w:right w:w="15" w:type="dxa"/>
            </w:tcMar>
            <w:vAlign w:val="center"/>
          </w:tcPr>
          <w:p w14:paraId="4E8AB09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釉面洁净平滑，含下水软管、波纹管、立式台盆龙头、三角阀。轮椅可进入</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含辅料及安装人工费。</w:t>
            </w:r>
          </w:p>
        </w:tc>
        <w:tc>
          <w:tcPr>
            <w:tcW w:w="480" w:type="dxa"/>
            <w:noWrap w:val="0"/>
            <w:tcMar>
              <w:top w:w="15" w:type="dxa"/>
              <w:left w:w="15" w:type="dxa"/>
              <w:right w:w="15" w:type="dxa"/>
            </w:tcMar>
            <w:vAlign w:val="center"/>
          </w:tcPr>
          <w:p w14:paraId="7CDFCCD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套</w:t>
            </w:r>
          </w:p>
        </w:tc>
        <w:tc>
          <w:tcPr>
            <w:tcW w:w="600" w:type="dxa"/>
            <w:noWrap w:val="0"/>
            <w:tcMar>
              <w:top w:w="15" w:type="dxa"/>
              <w:left w:w="15" w:type="dxa"/>
              <w:right w:w="15" w:type="dxa"/>
            </w:tcMar>
            <w:vAlign w:val="center"/>
          </w:tcPr>
          <w:p w14:paraId="4A12ACB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23D8145B">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605" w:type="dxa"/>
            <w:noWrap w:val="0"/>
            <w:tcMar>
              <w:top w:w="15" w:type="dxa"/>
              <w:left w:w="15" w:type="dxa"/>
              <w:right w:w="15" w:type="dxa"/>
            </w:tcMar>
            <w:vAlign w:val="center"/>
          </w:tcPr>
          <w:p w14:paraId="233C5B8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17786BF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箭牌、九牧、四季沐歌</w:t>
            </w:r>
            <w:r>
              <w:rPr>
                <w:rFonts w:hint="eastAsia" w:ascii="宋体" w:hAnsi="宋体" w:eastAsia="宋体" w:cs="宋体"/>
                <w:color w:val="000000"/>
                <w:sz w:val="21"/>
                <w:szCs w:val="21"/>
                <w:highlight w:val="none"/>
                <w:lang w:val="en-US" w:eastAsia="zh-CN"/>
              </w:rPr>
              <w:t>或相当于</w:t>
            </w:r>
          </w:p>
        </w:tc>
      </w:tr>
      <w:tr w14:paraId="6359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392FD4CB">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80" w:type="dxa"/>
            <w:vMerge w:val="continue"/>
            <w:noWrap w:val="0"/>
            <w:tcMar>
              <w:top w:w="15" w:type="dxa"/>
              <w:left w:w="15" w:type="dxa"/>
              <w:right w:w="15" w:type="dxa"/>
            </w:tcMar>
            <w:vAlign w:val="center"/>
          </w:tcPr>
          <w:p w14:paraId="1DF1F58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50" w:type="dxa"/>
            <w:noWrap w:val="0"/>
            <w:tcMar>
              <w:top w:w="15" w:type="dxa"/>
              <w:left w:w="15" w:type="dxa"/>
              <w:right w:w="15" w:type="dxa"/>
            </w:tcMar>
            <w:vAlign w:val="center"/>
          </w:tcPr>
          <w:p w14:paraId="0187483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26</w:t>
            </w:r>
          </w:p>
        </w:tc>
        <w:tc>
          <w:tcPr>
            <w:tcW w:w="570" w:type="dxa"/>
            <w:noWrap w:val="0"/>
            <w:tcMar>
              <w:top w:w="15" w:type="dxa"/>
              <w:left w:w="15" w:type="dxa"/>
              <w:right w:w="15" w:type="dxa"/>
            </w:tcMar>
            <w:vAlign w:val="center"/>
          </w:tcPr>
          <w:p w14:paraId="4C68049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浴帘</w:t>
            </w:r>
          </w:p>
        </w:tc>
        <w:tc>
          <w:tcPr>
            <w:tcW w:w="2685" w:type="dxa"/>
            <w:noWrap w:val="0"/>
            <w:tcMar>
              <w:top w:w="15" w:type="dxa"/>
              <w:left w:w="15" w:type="dxa"/>
              <w:right w:w="15" w:type="dxa"/>
            </w:tcMar>
            <w:vAlign w:val="center"/>
          </w:tcPr>
          <w:p w14:paraId="22C6C08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浴帘高度≥1.8米，宽度≥1.2米，浴帘材质：涤纶，防水防霉，浴杆可伸缩，免打孔安装</w:t>
            </w:r>
            <w:r>
              <w:rPr>
                <w:rFonts w:hint="eastAsia" w:ascii="宋体" w:hAnsi="宋体" w:eastAsia="宋体" w:cs="宋体"/>
                <w:color w:val="000000"/>
                <w:kern w:val="0"/>
                <w:sz w:val="21"/>
                <w:szCs w:val="21"/>
                <w:highlight w:val="none"/>
                <w:lang w:eastAsia="zh-CN" w:bidi="ar"/>
              </w:rPr>
              <w:t>。</w:t>
            </w:r>
          </w:p>
        </w:tc>
        <w:tc>
          <w:tcPr>
            <w:tcW w:w="480" w:type="dxa"/>
            <w:noWrap w:val="0"/>
            <w:tcMar>
              <w:top w:w="15" w:type="dxa"/>
              <w:left w:w="15" w:type="dxa"/>
              <w:right w:w="15" w:type="dxa"/>
            </w:tcMar>
            <w:vAlign w:val="center"/>
          </w:tcPr>
          <w:p w14:paraId="1287619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个</w:t>
            </w:r>
          </w:p>
        </w:tc>
        <w:tc>
          <w:tcPr>
            <w:tcW w:w="600" w:type="dxa"/>
            <w:noWrap w:val="0"/>
            <w:tcMar>
              <w:top w:w="15" w:type="dxa"/>
              <w:left w:w="15" w:type="dxa"/>
              <w:right w:w="15" w:type="dxa"/>
            </w:tcMar>
            <w:vAlign w:val="center"/>
          </w:tcPr>
          <w:p w14:paraId="6B83AC0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762BA20B">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605" w:type="dxa"/>
            <w:noWrap w:val="0"/>
            <w:tcMar>
              <w:top w:w="15" w:type="dxa"/>
              <w:left w:w="15" w:type="dxa"/>
              <w:right w:w="15" w:type="dxa"/>
            </w:tcMar>
            <w:vAlign w:val="center"/>
          </w:tcPr>
          <w:p w14:paraId="7554757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5F76E32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欧时洁</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未来式、    帘香客</w:t>
            </w:r>
            <w:r>
              <w:rPr>
                <w:rFonts w:hint="eastAsia" w:ascii="宋体" w:hAnsi="宋体" w:eastAsia="宋体" w:cs="宋体"/>
                <w:color w:val="000000"/>
                <w:sz w:val="21"/>
                <w:szCs w:val="21"/>
                <w:highlight w:val="none"/>
                <w:lang w:val="en-US" w:eastAsia="zh-CN"/>
              </w:rPr>
              <w:t>或相当于</w:t>
            </w:r>
          </w:p>
        </w:tc>
      </w:tr>
      <w:tr w14:paraId="7D9C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trPr>
        <w:tc>
          <w:tcPr>
            <w:tcW w:w="420" w:type="dxa"/>
            <w:vMerge w:val="continue"/>
            <w:noWrap w:val="0"/>
            <w:tcMar>
              <w:top w:w="15" w:type="dxa"/>
              <w:left w:w="15" w:type="dxa"/>
              <w:right w:w="15" w:type="dxa"/>
            </w:tcMar>
            <w:vAlign w:val="center"/>
          </w:tcPr>
          <w:p w14:paraId="783CFA24">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p>
        </w:tc>
        <w:tc>
          <w:tcPr>
            <w:tcW w:w="480" w:type="dxa"/>
            <w:vMerge w:val="restart"/>
            <w:noWrap w:val="0"/>
            <w:tcMar>
              <w:top w:w="15" w:type="dxa"/>
              <w:left w:w="15" w:type="dxa"/>
              <w:right w:w="15" w:type="dxa"/>
            </w:tcMar>
            <w:vAlign w:val="center"/>
          </w:tcPr>
          <w:p w14:paraId="3CFCAB6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门窗</w:t>
            </w:r>
          </w:p>
        </w:tc>
        <w:tc>
          <w:tcPr>
            <w:tcW w:w="450" w:type="dxa"/>
            <w:noWrap w:val="0"/>
            <w:tcMar>
              <w:top w:w="15" w:type="dxa"/>
              <w:left w:w="15" w:type="dxa"/>
              <w:right w:w="15" w:type="dxa"/>
            </w:tcMar>
            <w:vAlign w:val="center"/>
          </w:tcPr>
          <w:p w14:paraId="20744F8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27</w:t>
            </w:r>
          </w:p>
        </w:tc>
        <w:tc>
          <w:tcPr>
            <w:tcW w:w="570" w:type="dxa"/>
            <w:noWrap w:val="0"/>
            <w:tcMar>
              <w:top w:w="15" w:type="dxa"/>
              <w:left w:w="15" w:type="dxa"/>
              <w:right w:w="15" w:type="dxa"/>
            </w:tcMar>
            <w:vAlign w:val="center"/>
          </w:tcPr>
          <w:p w14:paraId="7D93AB68">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免漆门</w:t>
            </w:r>
          </w:p>
        </w:tc>
        <w:tc>
          <w:tcPr>
            <w:tcW w:w="2685" w:type="dxa"/>
            <w:noWrap w:val="0"/>
            <w:tcMar>
              <w:top w:w="15" w:type="dxa"/>
              <w:left w:w="15" w:type="dxa"/>
              <w:right w:w="15" w:type="dxa"/>
            </w:tcMar>
            <w:vAlign w:val="center"/>
          </w:tcPr>
          <w:p w14:paraId="76CB4522">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门净宽不低于80cm，高度大于180cm,含门套、门锁等五金配件</w:t>
            </w:r>
            <w:r>
              <w:rPr>
                <w:rFonts w:hint="eastAsia" w:ascii="宋体" w:hAnsi="宋体" w:eastAsia="宋体" w:cs="宋体"/>
                <w:color w:val="000000"/>
                <w:kern w:val="0"/>
                <w:sz w:val="21"/>
                <w:szCs w:val="21"/>
                <w:highlight w:val="none"/>
                <w:lang w:val="en-US" w:eastAsia="zh-CN" w:bidi="ar"/>
              </w:rPr>
              <w:t>及安装费</w:t>
            </w:r>
            <w:r>
              <w:rPr>
                <w:rFonts w:hint="eastAsia" w:ascii="宋体" w:hAnsi="宋体" w:eastAsia="宋体" w:cs="宋体"/>
                <w:color w:val="000000"/>
                <w:kern w:val="0"/>
                <w:sz w:val="21"/>
                <w:szCs w:val="21"/>
                <w:highlight w:val="none"/>
                <w:lang w:eastAsia="zh-CN" w:bidi="ar"/>
              </w:rPr>
              <w:t>。</w:t>
            </w:r>
          </w:p>
        </w:tc>
        <w:tc>
          <w:tcPr>
            <w:tcW w:w="480" w:type="dxa"/>
            <w:noWrap w:val="0"/>
            <w:tcMar>
              <w:top w:w="15" w:type="dxa"/>
              <w:left w:w="15" w:type="dxa"/>
              <w:right w:w="15" w:type="dxa"/>
            </w:tcMar>
            <w:vAlign w:val="center"/>
          </w:tcPr>
          <w:p w14:paraId="7959F11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樘</w:t>
            </w:r>
          </w:p>
        </w:tc>
        <w:tc>
          <w:tcPr>
            <w:tcW w:w="600" w:type="dxa"/>
            <w:noWrap w:val="0"/>
            <w:tcMar>
              <w:top w:w="15" w:type="dxa"/>
              <w:left w:w="15" w:type="dxa"/>
              <w:right w:w="15" w:type="dxa"/>
            </w:tcMar>
            <w:vAlign w:val="center"/>
          </w:tcPr>
          <w:p w14:paraId="05C0CE8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45848140">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720</w:t>
            </w:r>
          </w:p>
        </w:tc>
        <w:tc>
          <w:tcPr>
            <w:tcW w:w="1605" w:type="dxa"/>
            <w:noWrap w:val="0"/>
            <w:tcMar>
              <w:top w:w="15" w:type="dxa"/>
              <w:left w:w="15" w:type="dxa"/>
              <w:right w:w="15" w:type="dxa"/>
            </w:tcMar>
            <w:vAlign w:val="center"/>
          </w:tcPr>
          <w:p w14:paraId="34EF6B4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232B84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bidi="ar"/>
              </w:rPr>
            </w:pPr>
            <w:r>
              <w:rPr>
                <w:rFonts w:hint="eastAsia" w:ascii="宋体" w:hAnsi="宋体" w:eastAsia="宋体" w:cs="宋体"/>
                <w:color w:val="000000"/>
                <w:kern w:val="0"/>
                <w:sz w:val="21"/>
                <w:szCs w:val="21"/>
                <w:highlight w:val="none"/>
                <w:lang w:val="en-US" w:eastAsia="zh-CN" w:bidi="ar"/>
              </w:rPr>
              <w:t>盼盼、千年舟、欧派</w:t>
            </w:r>
            <w:r>
              <w:rPr>
                <w:rFonts w:hint="eastAsia" w:ascii="宋体" w:hAnsi="宋体" w:eastAsia="宋体" w:cs="宋体"/>
                <w:color w:val="000000"/>
                <w:sz w:val="21"/>
                <w:szCs w:val="21"/>
                <w:highlight w:val="none"/>
                <w:lang w:val="en-US" w:eastAsia="zh-CN"/>
              </w:rPr>
              <w:t>或相当于</w:t>
            </w:r>
          </w:p>
        </w:tc>
      </w:tr>
      <w:tr w14:paraId="45F7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trPr>
        <w:tc>
          <w:tcPr>
            <w:tcW w:w="420" w:type="dxa"/>
            <w:vMerge w:val="continue"/>
            <w:noWrap w:val="0"/>
            <w:tcMar>
              <w:top w:w="15" w:type="dxa"/>
              <w:left w:w="15" w:type="dxa"/>
              <w:right w:w="15" w:type="dxa"/>
            </w:tcMar>
            <w:vAlign w:val="center"/>
          </w:tcPr>
          <w:p w14:paraId="148A86C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80" w:type="dxa"/>
            <w:vMerge w:val="continue"/>
            <w:noWrap w:val="0"/>
            <w:tcMar>
              <w:top w:w="15" w:type="dxa"/>
              <w:left w:w="15" w:type="dxa"/>
              <w:right w:w="15" w:type="dxa"/>
            </w:tcMar>
            <w:vAlign w:val="center"/>
          </w:tcPr>
          <w:p w14:paraId="601AED6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50" w:type="dxa"/>
            <w:noWrap w:val="0"/>
            <w:tcMar>
              <w:top w:w="15" w:type="dxa"/>
              <w:left w:w="15" w:type="dxa"/>
              <w:right w:w="15" w:type="dxa"/>
            </w:tcMar>
            <w:vAlign w:val="center"/>
          </w:tcPr>
          <w:p w14:paraId="31175C26">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28</w:t>
            </w:r>
          </w:p>
        </w:tc>
        <w:tc>
          <w:tcPr>
            <w:tcW w:w="570" w:type="dxa"/>
            <w:noWrap w:val="0"/>
            <w:tcMar>
              <w:top w:w="15" w:type="dxa"/>
              <w:left w:w="15" w:type="dxa"/>
              <w:right w:w="15" w:type="dxa"/>
            </w:tcMar>
            <w:vAlign w:val="center"/>
          </w:tcPr>
          <w:p w14:paraId="36D2935F">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铝合金门窗</w:t>
            </w:r>
          </w:p>
        </w:tc>
        <w:tc>
          <w:tcPr>
            <w:tcW w:w="2685" w:type="dxa"/>
            <w:noWrap w:val="0"/>
            <w:tcMar>
              <w:top w:w="15" w:type="dxa"/>
              <w:left w:w="15" w:type="dxa"/>
              <w:right w:w="15" w:type="dxa"/>
            </w:tcMar>
            <w:vAlign w:val="center"/>
          </w:tcPr>
          <w:p w14:paraId="2F08E95C">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铝材厚度1.2mm以上，单层玻璃厚度5mm，窗户含纱窗。含旧门窗拆除及新门窗安装费</w:t>
            </w:r>
            <w:r>
              <w:rPr>
                <w:rFonts w:hint="eastAsia" w:ascii="宋体" w:hAnsi="宋体" w:eastAsia="宋体" w:cs="宋体"/>
                <w:color w:val="000000"/>
                <w:kern w:val="0"/>
                <w:sz w:val="21"/>
                <w:szCs w:val="21"/>
                <w:highlight w:val="none"/>
                <w:lang w:eastAsia="zh-CN" w:bidi="ar"/>
              </w:rPr>
              <w:t>。</w:t>
            </w:r>
          </w:p>
        </w:tc>
        <w:tc>
          <w:tcPr>
            <w:tcW w:w="480" w:type="dxa"/>
            <w:noWrap w:val="0"/>
            <w:tcMar>
              <w:top w:w="15" w:type="dxa"/>
              <w:left w:w="15" w:type="dxa"/>
              <w:right w:w="15" w:type="dxa"/>
            </w:tcMar>
            <w:vAlign w:val="center"/>
          </w:tcPr>
          <w:p w14:paraId="47964D3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m2</w:t>
            </w:r>
          </w:p>
        </w:tc>
        <w:tc>
          <w:tcPr>
            <w:tcW w:w="600" w:type="dxa"/>
            <w:noWrap w:val="0"/>
            <w:tcMar>
              <w:top w:w="15" w:type="dxa"/>
              <w:left w:w="15" w:type="dxa"/>
              <w:right w:w="15" w:type="dxa"/>
            </w:tcMar>
            <w:vAlign w:val="center"/>
          </w:tcPr>
          <w:p w14:paraId="2FB27DE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0F807063">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720</w:t>
            </w:r>
          </w:p>
        </w:tc>
        <w:tc>
          <w:tcPr>
            <w:tcW w:w="1605" w:type="dxa"/>
            <w:noWrap w:val="0"/>
            <w:tcMar>
              <w:top w:w="15" w:type="dxa"/>
              <w:left w:w="15" w:type="dxa"/>
              <w:right w:w="15" w:type="dxa"/>
            </w:tcMar>
            <w:vAlign w:val="center"/>
          </w:tcPr>
          <w:p w14:paraId="293CEA1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23D6E0D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兴发、凤铝、坚美</w:t>
            </w:r>
            <w:r>
              <w:rPr>
                <w:rFonts w:hint="eastAsia" w:ascii="宋体" w:hAnsi="宋体" w:eastAsia="宋体" w:cs="宋体"/>
                <w:color w:val="000000"/>
                <w:sz w:val="21"/>
                <w:szCs w:val="21"/>
                <w:highlight w:val="none"/>
                <w:lang w:val="en-US" w:eastAsia="zh-CN"/>
              </w:rPr>
              <w:t>或相当于</w:t>
            </w:r>
          </w:p>
        </w:tc>
      </w:tr>
      <w:tr w14:paraId="459D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vMerge w:val="continue"/>
            <w:noWrap w:val="0"/>
            <w:tcMar>
              <w:top w:w="15" w:type="dxa"/>
              <w:left w:w="15" w:type="dxa"/>
              <w:right w:w="15" w:type="dxa"/>
            </w:tcMar>
            <w:vAlign w:val="center"/>
          </w:tcPr>
          <w:p w14:paraId="5537845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80" w:type="dxa"/>
            <w:vMerge w:val="continue"/>
            <w:noWrap w:val="0"/>
            <w:tcMar>
              <w:top w:w="15" w:type="dxa"/>
              <w:left w:w="15" w:type="dxa"/>
              <w:right w:w="15" w:type="dxa"/>
            </w:tcMar>
            <w:vAlign w:val="center"/>
          </w:tcPr>
          <w:p w14:paraId="0E245B4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50" w:type="dxa"/>
            <w:noWrap w:val="0"/>
            <w:tcMar>
              <w:top w:w="15" w:type="dxa"/>
              <w:left w:w="15" w:type="dxa"/>
              <w:right w:w="15" w:type="dxa"/>
            </w:tcMar>
            <w:vAlign w:val="center"/>
          </w:tcPr>
          <w:p w14:paraId="7AE0FF3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29</w:t>
            </w:r>
          </w:p>
        </w:tc>
        <w:tc>
          <w:tcPr>
            <w:tcW w:w="570" w:type="dxa"/>
            <w:noWrap w:val="0"/>
            <w:tcMar>
              <w:top w:w="15" w:type="dxa"/>
              <w:left w:w="15" w:type="dxa"/>
              <w:right w:w="15" w:type="dxa"/>
            </w:tcMar>
            <w:vAlign w:val="center"/>
          </w:tcPr>
          <w:p w14:paraId="1B14E58E">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门把手</w:t>
            </w:r>
          </w:p>
        </w:tc>
        <w:tc>
          <w:tcPr>
            <w:tcW w:w="2685" w:type="dxa"/>
            <w:noWrap w:val="0"/>
            <w:tcMar>
              <w:top w:w="15" w:type="dxa"/>
              <w:left w:w="15" w:type="dxa"/>
              <w:right w:w="15" w:type="dxa"/>
            </w:tcMar>
            <w:vAlign w:val="center"/>
          </w:tcPr>
          <w:p w14:paraId="4E95AB3D">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更换为T型把手</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含辅料及安装人工费。</w:t>
            </w:r>
          </w:p>
        </w:tc>
        <w:tc>
          <w:tcPr>
            <w:tcW w:w="480" w:type="dxa"/>
            <w:noWrap w:val="0"/>
            <w:tcMar>
              <w:top w:w="15" w:type="dxa"/>
              <w:left w:w="15" w:type="dxa"/>
              <w:right w:w="15" w:type="dxa"/>
            </w:tcMar>
            <w:vAlign w:val="center"/>
          </w:tcPr>
          <w:p w14:paraId="06CCC04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把</w:t>
            </w:r>
          </w:p>
        </w:tc>
        <w:tc>
          <w:tcPr>
            <w:tcW w:w="600" w:type="dxa"/>
            <w:noWrap w:val="0"/>
            <w:tcMar>
              <w:top w:w="15" w:type="dxa"/>
              <w:left w:w="15" w:type="dxa"/>
              <w:right w:w="15" w:type="dxa"/>
            </w:tcMar>
            <w:vAlign w:val="center"/>
          </w:tcPr>
          <w:p w14:paraId="79E0BDE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76D0C1A7">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1605" w:type="dxa"/>
            <w:noWrap w:val="0"/>
            <w:tcMar>
              <w:top w:w="15" w:type="dxa"/>
              <w:left w:w="15" w:type="dxa"/>
              <w:right w:w="15" w:type="dxa"/>
            </w:tcMar>
            <w:vAlign w:val="center"/>
          </w:tcPr>
          <w:p w14:paraId="6FF87E8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377988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r>
      <w:tr w14:paraId="1FFB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trPr>
        <w:tc>
          <w:tcPr>
            <w:tcW w:w="420" w:type="dxa"/>
            <w:vMerge w:val="continue"/>
            <w:noWrap w:val="0"/>
            <w:tcMar>
              <w:top w:w="15" w:type="dxa"/>
              <w:left w:w="15" w:type="dxa"/>
              <w:right w:w="15" w:type="dxa"/>
            </w:tcMar>
            <w:vAlign w:val="center"/>
          </w:tcPr>
          <w:p w14:paraId="3EC00FD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80" w:type="dxa"/>
            <w:vMerge w:val="continue"/>
            <w:noWrap w:val="0"/>
            <w:tcMar>
              <w:top w:w="15" w:type="dxa"/>
              <w:left w:w="15" w:type="dxa"/>
              <w:right w:w="15" w:type="dxa"/>
            </w:tcMar>
            <w:vAlign w:val="center"/>
          </w:tcPr>
          <w:p w14:paraId="579C6D0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50" w:type="dxa"/>
            <w:noWrap w:val="0"/>
            <w:tcMar>
              <w:top w:w="15" w:type="dxa"/>
              <w:left w:w="15" w:type="dxa"/>
              <w:right w:w="15" w:type="dxa"/>
            </w:tcMar>
            <w:vAlign w:val="center"/>
          </w:tcPr>
          <w:p w14:paraId="6A4880EF">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30</w:t>
            </w:r>
          </w:p>
        </w:tc>
        <w:tc>
          <w:tcPr>
            <w:tcW w:w="570" w:type="dxa"/>
            <w:noWrap w:val="0"/>
            <w:tcMar>
              <w:top w:w="15" w:type="dxa"/>
              <w:left w:w="15" w:type="dxa"/>
              <w:right w:w="15" w:type="dxa"/>
            </w:tcMar>
            <w:vAlign w:val="center"/>
          </w:tcPr>
          <w:p w14:paraId="18F63104">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纱窗</w:t>
            </w:r>
          </w:p>
        </w:tc>
        <w:tc>
          <w:tcPr>
            <w:tcW w:w="2685" w:type="dxa"/>
            <w:noWrap w:val="0"/>
            <w:tcMar>
              <w:top w:w="15" w:type="dxa"/>
              <w:left w:w="15" w:type="dxa"/>
              <w:right w:w="15" w:type="dxa"/>
            </w:tcMar>
            <w:vAlign w:val="center"/>
          </w:tcPr>
          <w:p w14:paraId="7F4C3397">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推拉纱窗，免打孔.圆润护角，加厚铝合金角码，拼装简单.双毛条，密封好</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含安装。</w:t>
            </w:r>
          </w:p>
        </w:tc>
        <w:tc>
          <w:tcPr>
            <w:tcW w:w="480" w:type="dxa"/>
            <w:noWrap w:val="0"/>
            <w:tcMar>
              <w:top w:w="15" w:type="dxa"/>
              <w:left w:w="15" w:type="dxa"/>
              <w:right w:w="15" w:type="dxa"/>
            </w:tcMar>
            <w:vAlign w:val="center"/>
          </w:tcPr>
          <w:p w14:paraId="4436CE6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w:t>
            </w:r>
          </w:p>
        </w:tc>
        <w:tc>
          <w:tcPr>
            <w:tcW w:w="600" w:type="dxa"/>
            <w:noWrap w:val="0"/>
            <w:tcMar>
              <w:top w:w="15" w:type="dxa"/>
              <w:left w:w="15" w:type="dxa"/>
              <w:right w:w="15" w:type="dxa"/>
            </w:tcMar>
            <w:vAlign w:val="center"/>
          </w:tcPr>
          <w:p w14:paraId="024A9D0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34477E6C">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1605" w:type="dxa"/>
            <w:noWrap w:val="0"/>
            <w:tcMar>
              <w:top w:w="15" w:type="dxa"/>
              <w:left w:w="15" w:type="dxa"/>
              <w:right w:w="15" w:type="dxa"/>
            </w:tcMar>
            <w:vAlign w:val="center"/>
          </w:tcPr>
          <w:p w14:paraId="2DACA9E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tc>
        <w:tc>
          <w:tcPr>
            <w:tcW w:w="1626" w:type="dxa"/>
            <w:noWrap w:val="0"/>
            <w:tcMar>
              <w:top w:w="15" w:type="dxa"/>
              <w:left w:w="15" w:type="dxa"/>
              <w:right w:w="15" w:type="dxa"/>
            </w:tcMar>
            <w:vAlign w:val="center"/>
          </w:tcPr>
          <w:p w14:paraId="76138FA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铝合金</w:t>
            </w:r>
            <w:r>
              <w:rPr>
                <w:rFonts w:hint="eastAsia" w:ascii="宋体" w:hAnsi="宋体" w:eastAsia="宋体" w:cs="宋体"/>
                <w:color w:val="000000"/>
                <w:kern w:val="0"/>
                <w:sz w:val="21"/>
                <w:szCs w:val="21"/>
                <w:highlight w:val="none"/>
                <w:lang w:val="en-US" w:eastAsia="zh-CN" w:bidi="ar"/>
              </w:rPr>
              <w:t>材料：兴发、凤铝、坚美</w:t>
            </w:r>
            <w:r>
              <w:rPr>
                <w:rFonts w:hint="eastAsia" w:ascii="宋体" w:hAnsi="宋体" w:eastAsia="宋体" w:cs="宋体"/>
                <w:color w:val="000000"/>
                <w:sz w:val="21"/>
                <w:szCs w:val="21"/>
                <w:highlight w:val="none"/>
                <w:lang w:val="en-US" w:eastAsia="zh-CN"/>
              </w:rPr>
              <w:t>或相当于</w:t>
            </w:r>
          </w:p>
        </w:tc>
      </w:tr>
      <w:tr w14:paraId="33EA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vMerge w:val="continue"/>
            <w:noWrap w:val="0"/>
            <w:tcMar>
              <w:top w:w="15" w:type="dxa"/>
              <w:left w:w="15" w:type="dxa"/>
              <w:right w:w="15" w:type="dxa"/>
            </w:tcMar>
            <w:vAlign w:val="center"/>
          </w:tcPr>
          <w:p w14:paraId="32EFBA5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80" w:type="dxa"/>
            <w:vMerge w:val="continue"/>
            <w:noWrap w:val="0"/>
            <w:tcMar>
              <w:top w:w="15" w:type="dxa"/>
              <w:left w:w="15" w:type="dxa"/>
              <w:right w:w="15" w:type="dxa"/>
            </w:tcMar>
            <w:vAlign w:val="center"/>
          </w:tcPr>
          <w:p w14:paraId="4293385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450" w:type="dxa"/>
            <w:noWrap w:val="0"/>
            <w:tcMar>
              <w:top w:w="15" w:type="dxa"/>
              <w:left w:w="15" w:type="dxa"/>
              <w:right w:w="15" w:type="dxa"/>
            </w:tcMar>
            <w:vAlign w:val="center"/>
          </w:tcPr>
          <w:p w14:paraId="26D1915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31</w:t>
            </w:r>
          </w:p>
        </w:tc>
        <w:tc>
          <w:tcPr>
            <w:tcW w:w="570" w:type="dxa"/>
            <w:noWrap w:val="0"/>
            <w:tcMar>
              <w:top w:w="15" w:type="dxa"/>
              <w:left w:w="15" w:type="dxa"/>
              <w:right w:w="15" w:type="dxa"/>
            </w:tcMar>
            <w:vAlign w:val="center"/>
          </w:tcPr>
          <w:p w14:paraId="7A08FD23">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门窗加固</w:t>
            </w:r>
          </w:p>
        </w:tc>
        <w:tc>
          <w:tcPr>
            <w:tcW w:w="2685" w:type="dxa"/>
            <w:noWrap w:val="0"/>
            <w:tcMar>
              <w:top w:w="15" w:type="dxa"/>
              <w:left w:w="15" w:type="dxa"/>
              <w:right w:w="15" w:type="dxa"/>
            </w:tcMar>
            <w:vAlign w:val="center"/>
          </w:tcPr>
          <w:p w14:paraId="1C9A55BC">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门窗加固，更换损坏的玻璃等</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含材料及人工费。</w:t>
            </w:r>
          </w:p>
        </w:tc>
        <w:tc>
          <w:tcPr>
            <w:tcW w:w="480" w:type="dxa"/>
            <w:noWrap w:val="0"/>
            <w:tcMar>
              <w:top w:w="15" w:type="dxa"/>
              <w:left w:w="15" w:type="dxa"/>
              <w:right w:w="15" w:type="dxa"/>
            </w:tcMar>
            <w:vAlign w:val="center"/>
          </w:tcPr>
          <w:p w14:paraId="1B666825">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w:t>
            </w:r>
          </w:p>
        </w:tc>
        <w:tc>
          <w:tcPr>
            <w:tcW w:w="600" w:type="dxa"/>
            <w:noWrap w:val="0"/>
            <w:tcMar>
              <w:top w:w="15" w:type="dxa"/>
              <w:left w:w="15" w:type="dxa"/>
              <w:right w:w="15" w:type="dxa"/>
            </w:tcMar>
            <w:vAlign w:val="center"/>
          </w:tcPr>
          <w:p w14:paraId="6507BF7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2EE441E9">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160</w:t>
            </w:r>
          </w:p>
        </w:tc>
        <w:tc>
          <w:tcPr>
            <w:tcW w:w="1605" w:type="dxa"/>
            <w:noWrap w:val="0"/>
            <w:tcMar>
              <w:top w:w="15" w:type="dxa"/>
              <w:left w:w="15" w:type="dxa"/>
              <w:right w:w="15" w:type="dxa"/>
            </w:tcMar>
            <w:vAlign w:val="center"/>
          </w:tcPr>
          <w:p w14:paraId="3936353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58D3DC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r>
      <w:tr w14:paraId="33E3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restart"/>
            <w:noWrap w:val="0"/>
            <w:tcMar>
              <w:top w:w="15" w:type="dxa"/>
              <w:left w:w="15" w:type="dxa"/>
              <w:right w:w="15" w:type="dxa"/>
            </w:tcMar>
            <w:vAlign w:val="center"/>
          </w:tcPr>
          <w:p w14:paraId="1EBAB55B">
            <w:pPr>
              <w:keepNext w:val="0"/>
              <w:keepLines w:val="0"/>
              <w:pageBreakBefore w:val="0"/>
              <w:shd w:val="clear" w:color="auto" w:fill="auto"/>
              <w:kinsoku/>
              <w:wordWrap/>
              <w:overflowPunct/>
              <w:topLinePunct w:val="0"/>
              <w:bidi w:val="0"/>
              <w:spacing w:line="240" w:lineRule="auto"/>
              <w:ind w:firstLine="210" w:firstLineChars="1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w:t>
            </w:r>
          </w:p>
        </w:tc>
        <w:tc>
          <w:tcPr>
            <w:tcW w:w="480" w:type="dxa"/>
            <w:vMerge w:val="restart"/>
            <w:noWrap w:val="0"/>
            <w:tcMar>
              <w:top w:w="15" w:type="dxa"/>
              <w:left w:w="15" w:type="dxa"/>
              <w:right w:w="15" w:type="dxa"/>
            </w:tcMar>
            <w:vAlign w:val="center"/>
          </w:tcPr>
          <w:p w14:paraId="30F3275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阳台</w:t>
            </w:r>
          </w:p>
        </w:tc>
        <w:tc>
          <w:tcPr>
            <w:tcW w:w="450" w:type="dxa"/>
            <w:noWrap w:val="0"/>
            <w:tcMar>
              <w:top w:w="15" w:type="dxa"/>
              <w:left w:w="15" w:type="dxa"/>
              <w:right w:w="15" w:type="dxa"/>
            </w:tcMar>
            <w:vAlign w:val="center"/>
          </w:tcPr>
          <w:p w14:paraId="55130C9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32</w:t>
            </w:r>
          </w:p>
        </w:tc>
        <w:tc>
          <w:tcPr>
            <w:tcW w:w="570" w:type="dxa"/>
            <w:noWrap w:val="0"/>
            <w:tcMar>
              <w:top w:w="15" w:type="dxa"/>
              <w:left w:w="15" w:type="dxa"/>
              <w:right w:w="15" w:type="dxa"/>
            </w:tcMar>
            <w:vAlign w:val="center"/>
          </w:tcPr>
          <w:p w14:paraId="0040B38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晾衣架</w:t>
            </w:r>
          </w:p>
        </w:tc>
        <w:tc>
          <w:tcPr>
            <w:tcW w:w="2685" w:type="dxa"/>
            <w:noWrap w:val="0"/>
            <w:tcMar>
              <w:top w:w="15" w:type="dxa"/>
              <w:left w:w="15" w:type="dxa"/>
              <w:right w:w="15" w:type="dxa"/>
            </w:tcMar>
            <w:vAlign w:val="center"/>
          </w:tcPr>
          <w:p w14:paraId="6044089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置地晾衣架</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X型，304不锈钢材质，厚度不小于1.0mm，</w:t>
            </w:r>
            <w:r>
              <w:rPr>
                <w:rFonts w:hint="eastAsia" w:ascii="宋体" w:hAnsi="宋体" w:eastAsia="宋体" w:cs="宋体"/>
                <w:color w:val="000000"/>
                <w:kern w:val="0"/>
                <w:sz w:val="21"/>
                <w:szCs w:val="21"/>
                <w:highlight w:val="none"/>
              </w:rPr>
              <w:t>长度120-160CM可调节，高度132CM，底座宽度75CM。</w:t>
            </w:r>
          </w:p>
        </w:tc>
        <w:tc>
          <w:tcPr>
            <w:tcW w:w="480" w:type="dxa"/>
            <w:noWrap w:val="0"/>
            <w:tcMar>
              <w:top w:w="15" w:type="dxa"/>
              <w:left w:w="15" w:type="dxa"/>
              <w:right w:w="15" w:type="dxa"/>
            </w:tcMar>
            <w:vAlign w:val="center"/>
          </w:tcPr>
          <w:p w14:paraId="5F6CCE47">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套</w:t>
            </w:r>
          </w:p>
        </w:tc>
        <w:tc>
          <w:tcPr>
            <w:tcW w:w="600" w:type="dxa"/>
            <w:noWrap w:val="0"/>
            <w:tcMar>
              <w:top w:w="15" w:type="dxa"/>
              <w:left w:w="15" w:type="dxa"/>
              <w:right w:w="15" w:type="dxa"/>
            </w:tcMar>
            <w:vAlign w:val="center"/>
          </w:tcPr>
          <w:p w14:paraId="770ABF27">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735" w:type="dxa"/>
            <w:noWrap w:val="0"/>
            <w:tcMar>
              <w:top w:w="15" w:type="dxa"/>
              <w:left w:w="15" w:type="dxa"/>
              <w:right w:w="15" w:type="dxa"/>
            </w:tcMar>
            <w:vAlign w:val="center"/>
          </w:tcPr>
          <w:p w14:paraId="6A75F3AE">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240</w:t>
            </w:r>
          </w:p>
        </w:tc>
        <w:tc>
          <w:tcPr>
            <w:tcW w:w="1605" w:type="dxa"/>
            <w:noWrap w:val="0"/>
            <w:tcMar>
              <w:top w:w="15" w:type="dxa"/>
              <w:left w:w="15" w:type="dxa"/>
              <w:right w:w="15" w:type="dxa"/>
            </w:tcMar>
            <w:vAlign w:val="center"/>
          </w:tcPr>
          <w:p w14:paraId="57052BC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6A49409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r>
      <w:tr w14:paraId="0288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vMerge w:val="continue"/>
            <w:noWrap w:val="0"/>
            <w:tcMar>
              <w:top w:w="15" w:type="dxa"/>
              <w:left w:w="15" w:type="dxa"/>
              <w:right w:w="15" w:type="dxa"/>
            </w:tcMar>
            <w:vAlign w:val="center"/>
          </w:tcPr>
          <w:p w14:paraId="6E2766A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263FF84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6148688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w:t>
            </w:r>
          </w:p>
        </w:tc>
        <w:tc>
          <w:tcPr>
            <w:tcW w:w="570" w:type="dxa"/>
            <w:noWrap w:val="0"/>
            <w:tcMar>
              <w:top w:w="15" w:type="dxa"/>
              <w:left w:w="15" w:type="dxa"/>
              <w:right w:w="15" w:type="dxa"/>
            </w:tcMar>
            <w:vAlign w:val="center"/>
          </w:tcPr>
          <w:p w14:paraId="6C64F94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手摇升降衣架</w:t>
            </w:r>
          </w:p>
        </w:tc>
        <w:tc>
          <w:tcPr>
            <w:tcW w:w="2685" w:type="dxa"/>
            <w:noWrap w:val="0"/>
            <w:tcMar>
              <w:top w:w="15" w:type="dxa"/>
              <w:left w:w="15" w:type="dxa"/>
              <w:right w:w="15" w:type="dxa"/>
            </w:tcMar>
            <w:vAlign w:val="center"/>
          </w:tcPr>
          <w:p w14:paraId="1EAC8AE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可升降晾衣架，低位操作，双杆，长度≥200厘米</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含安装人工费。</w:t>
            </w:r>
          </w:p>
        </w:tc>
        <w:tc>
          <w:tcPr>
            <w:tcW w:w="480" w:type="dxa"/>
            <w:noWrap w:val="0"/>
            <w:tcMar>
              <w:top w:w="15" w:type="dxa"/>
              <w:left w:w="15" w:type="dxa"/>
              <w:right w:w="15" w:type="dxa"/>
            </w:tcMar>
            <w:vAlign w:val="center"/>
          </w:tcPr>
          <w:p w14:paraId="00CAEAE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套</w:t>
            </w:r>
          </w:p>
        </w:tc>
        <w:tc>
          <w:tcPr>
            <w:tcW w:w="600" w:type="dxa"/>
            <w:noWrap w:val="0"/>
            <w:tcMar>
              <w:top w:w="15" w:type="dxa"/>
              <w:left w:w="15" w:type="dxa"/>
              <w:right w:w="15" w:type="dxa"/>
            </w:tcMar>
            <w:vAlign w:val="center"/>
          </w:tcPr>
          <w:p w14:paraId="3281F74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30103EB0">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605" w:type="dxa"/>
            <w:noWrap w:val="0"/>
            <w:tcMar>
              <w:top w:w="15" w:type="dxa"/>
              <w:left w:w="15" w:type="dxa"/>
              <w:right w:w="15" w:type="dxa"/>
            </w:tcMar>
            <w:vAlign w:val="center"/>
          </w:tcPr>
          <w:p w14:paraId="65217E3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3BC7447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金贵夫人、好太太、</w:t>
            </w:r>
            <w:r>
              <w:rPr>
                <w:rFonts w:hint="eastAsia" w:ascii="宋体" w:hAnsi="宋体" w:eastAsia="宋体" w:cs="宋体"/>
                <w:i w:val="0"/>
                <w:iCs w:val="0"/>
                <w:caps w:val="0"/>
                <w:color w:val="000000"/>
                <w:spacing w:val="0"/>
                <w:sz w:val="21"/>
                <w:szCs w:val="21"/>
                <w:highlight w:val="none"/>
                <w:shd w:val="clear" w:color="auto" w:fill="FFFFFF"/>
              </w:rPr>
              <w:t>卡贝</w:t>
            </w:r>
            <w:r>
              <w:rPr>
                <w:rFonts w:hint="eastAsia" w:ascii="宋体" w:hAnsi="宋体" w:eastAsia="宋体" w:cs="宋体"/>
                <w:color w:val="000000"/>
                <w:sz w:val="21"/>
                <w:szCs w:val="21"/>
                <w:highlight w:val="none"/>
                <w:lang w:val="en-US" w:eastAsia="zh-CN"/>
              </w:rPr>
              <w:t>或相当于</w:t>
            </w:r>
          </w:p>
        </w:tc>
      </w:tr>
      <w:tr w14:paraId="0102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restart"/>
            <w:noWrap w:val="0"/>
            <w:tcMar>
              <w:top w:w="15" w:type="dxa"/>
              <w:left w:w="15" w:type="dxa"/>
              <w:right w:w="15" w:type="dxa"/>
            </w:tcMar>
            <w:vAlign w:val="center"/>
          </w:tcPr>
          <w:p w14:paraId="46051D1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9</w:t>
            </w:r>
          </w:p>
        </w:tc>
        <w:tc>
          <w:tcPr>
            <w:tcW w:w="480" w:type="dxa"/>
            <w:vMerge w:val="restart"/>
            <w:noWrap w:val="0"/>
            <w:tcMar>
              <w:top w:w="15" w:type="dxa"/>
              <w:left w:w="15" w:type="dxa"/>
              <w:right w:w="15" w:type="dxa"/>
            </w:tcMar>
            <w:vAlign w:val="center"/>
          </w:tcPr>
          <w:p w14:paraId="7603B76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厨房</w:t>
            </w:r>
          </w:p>
        </w:tc>
        <w:tc>
          <w:tcPr>
            <w:tcW w:w="450" w:type="dxa"/>
            <w:noWrap w:val="0"/>
            <w:tcMar>
              <w:top w:w="15" w:type="dxa"/>
              <w:left w:w="15" w:type="dxa"/>
              <w:right w:w="15" w:type="dxa"/>
            </w:tcMar>
            <w:vAlign w:val="center"/>
          </w:tcPr>
          <w:p w14:paraId="4855414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34</w:t>
            </w:r>
          </w:p>
        </w:tc>
        <w:tc>
          <w:tcPr>
            <w:tcW w:w="570" w:type="dxa"/>
            <w:noWrap w:val="0"/>
            <w:tcMar>
              <w:top w:w="15" w:type="dxa"/>
              <w:left w:w="15" w:type="dxa"/>
              <w:right w:w="15" w:type="dxa"/>
            </w:tcMar>
            <w:vAlign w:val="center"/>
          </w:tcPr>
          <w:p w14:paraId="668B2FB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定制橱柜</w:t>
            </w:r>
          </w:p>
        </w:tc>
        <w:tc>
          <w:tcPr>
            <w:tcW w:w="2685" w:type="dxa"/>
            <w:noWrap w:val="0"/>
            <w:tcMar>
              <w:top w:w="15" w:type="dxa"/>
              <w:left w:w="15" w:type="dxa"/>
              <w:right w:w="15" w:type="dxa"/>
            </w:tcMar>
            <w:vAlign w:val="center"/>
          </w:tcPr>
          <w:p w14:paraId="027F54F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含</w:t>
            </w:r>
            <w:r>
              <w:rPr>
                <w:rFonts w:hint="eastAsia" w:ascii="宋体" w:hAnsi="宋体" w:eastAsia="宋体" w:cs="宋体"/>
                <w:color w:val="000000"/>
                <w:kern w:val="0"/>
                <w:sz w:val="21"/>
                <w:szCs w:val="21"/>
                <w:highlight w:val="none"/>
                <w:lang w:val="en-US" w:eastAsia="zh-CN" w:bidi="ar"/>
              </w:rPr>
              <w:t>下</w:t>
            </w:r>
            <w:r>
              <w:rPr>
                <w:rFonts w:hint="eastAsia" w:ascii="宋体" w:hAnsi="宋体" w:eastAsia="宋体" w:cs="宋体"/>
                <w:color w:val="000000"/>
                <w:kern w:val="0"/>
                <w:sz w:val="21"/>
                <w:szCs w:val="21"/>
                <w:highlight w:val="none"/>
                <w:lang w:bidi="ar"/>
              </w:rPr>
              <w:t>柜体、</w:t>
            </w:r>
            <w:r>
              <w:rPr>
                <w:rFonts w:hint="eastAsia" w:ascii="宋体" w:hAnsi="宋体" w:eastAsia="宋体" w:cs="宋体"/>
                <w:color w:val="000000"/>
                <w:kern w:val="0"/>
                <w:sz w:val="21"/>
                <w:szCs w:val="21"/>
                <w:highlight w:val="none"/>
                <w:lang w:val="en-US" w:eastAsia="zh-CN" w:bidi="ar"/>
              </w:rPr>
              <w:t>下</w:t>
            </w:r>
            <w:r>
              <w:rPr>
                <w:rFonts w:hint="eastAsia" w:ascii="宋体" w:hAnsi="宋体" w:eastAsia="宋体" w:cs="宋体"/>
                <w:color w:val="000000"/>
                <w:kern w:val="0"/>
                <w:sz w:val="21"/>
                <w:szCs w:val="21"/>
                <w:highlight w:val="none"/>
                <w:lang w:bidi="ar"/>
              </w:rPr>
              <w:t>柜门、五金件、台面采用人造石，柜门采用晶钢门板，易清洁。</w:t>
            </w:r>
            <w:r>
              <w:rPr>
                <w:rFonts w:hint="eastAsia" w:ascii="宋体" w:hAnsi="宋体" w:eastAsia="宋体" w:cs="宋体"/>
                <w:color w:val="000000"/>
                <w:kern w:val="0"/>
                <w:sz w:val="21"/>
                <w:szCs w:val="21"/>
                <w:highlight w:val="none"/>
                <w:lang w:val="en-US" w:eastAsia="zh-CN" w:bidi="ar"/>
              </w:rPr>
              <w:t>含材料、辅料及送货上门安装。</w:t>
            </w:r>
          </w:p>
        </w:tc>
        <w:tc>
          <w:tcPr>
            <w:tcW w:w="480" w:type="dxa"/>
            <w:noWrap w:val="0"/>
            <w:tcMar>
              <w:top w:w="15" w:type="dxa"/>
              <w:left w:w="15" w:type="dxa"/>
              <w:right w:w="15" w:type="dxa"/>
            </w:tcMar>
            <w:vAlign w:val="center"/>
          </w:tcPr>
          <w:p w14:paraId="47865BF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m</w:t>
            </w:r>
          </w:p>
        </w:tc>
        <w:tc>
          <w:tcPr>
            <w:tcW w:w="600" w:type="dxa"/>
            <w:noWrap w:val="0"/>
            <w:tcMar>
              <w:top w:w="15" w:type="dxa"/>
              <w:left w:w="15" w:type="dxa"/>
              <w:right w:w="15" w:type="dxa"/>
            </w:tcMar>
            <w:vAlign w:val="center"/>
          </w:tcPr>
          <w:p w14:paraId="184C80B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26ED74E6">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605" w:type="dxa"/>
            <w:noWrap w:val="0"/>
            <w:tcMar>
              <w:top w:w="15" w:type="dxa"/>
              <w:left w:w="15" w:type="dxa"/>
              <w:right w:w="15" w:type="dxa"/>
            </w:tcMar>
            <w:vAlign w:val="center"/>
          </w:tcPr>
          <w:p w14:paraId="7BC7AB0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2C9C37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国产品牌</w:t>
            </w:r>
          </w:p>
        </w:tc>
      </w:tr>
      <w:tr w14:paraId="5EF3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420" w:type="dxa"/>
            <w:vMerge w:val="continue"/>
            <w:noWrap w:val="0"/>
            <w:tcMar>
              <w:top w:w="15" w:type="dxa"/>
              <w:left w:w="15" w:type="dxa"/>
              <w:right w:w="15" w:type="dxa"/>
            </w:tcMar>
            <w:vAlign w:val="center"/>
          </w:tcPr>
          <w:p w14:paraId="29A1B34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69DF24AF">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7D7E39E3">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35</w:t>
            </w:r>
          </w:p>
        </w:tc>
        <w:tc>
          <w:tcPr>
            <w:tcW w:w="570" w:type="dxa"/>
            <w:noWrap w:val="0"/>
            <w:tcMar>
              <w:top w:w="15" w:type="dxa"/>
              <w:left w:w="15" w:type="dxa"/>
              <w:right w:w="15" w:type="dxa"/>
            </w:tcMar>
            <w:vAlign w:val="center"/>
          </w:tcPr>
          <w:p w14:paraId="0E06B79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定制吊柜</w:t>
            </w:r>
          </w:p>
        </w:tc>
        <w:tc>
          <w:tcPr>
            <w:tcW w:w="2685" w:type="dxa"/>
            <w:noWrap w:val="0"/>
            <w:tcMar>
              <w:top w:w="15" w:type="dxa"/>
              <w:left w:w="15" w:type="dxa"/>
              <w:right w:w="15" w:type="dxa"/>
            </w:tcMar>
            <w:vAlign w:val="center"/>
          </w:tcPr>
          <w:p w14:paraId="02FD6C97">
            <w:pPr>
              <w:keepNext w:val="0"/>
              <w:keepLines w:val="0"/>
              <w:pageBreakBefore w:val="0"/>
              <w:widowControl/>
              <w:shd w:val="clear" w:color="auto" w:fill="auto"/>
              <w:kinsoku/>
              <w:wordWrap/>
              <w:overflowPunct/>
              <w:topLinePunct w:val="0"/>
              <w:bidi w:val="0"/>
              <w:spacing w:line="240" w:lineRule="auto"/>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主体颗粒板材质，晶钢门板，含配件、辅料及安装费。</w:t>
            </w:r>
          </w:p>
        </w:tc>
        <w:tc>
          <w:tcPr>
            <w:tcW w:w="480" w:type="dxa"/>
            <w:noWrap w:val="0"/>
            <w:tcMar>
              <w:top w:w="15" w:type="dxa"/>
              <w:left w:w="15" w:type="dxa"/>
              <w:right w:w="15" w:type="dxa"/>
            </w:tcMar>
            <w:vAlign w:val="center"/>
          </w:tcPr>
          <w:p w14:paraId="6DA53E9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m</w:t>
            </w:r>
          </w:p>
        </w:tc>
        <w:tc>
          <w:tcPr>
            <w:tcW w:w="600" w:type="dxa"/>
            <w:noWrap w:val="0"/>
            <w:tcMar>
              <w:top w:w="15" w:type="dxa"/>
              <w:left w:w="15" w:type="dxa"/>
              <w:right w:w="15" w:type="dxa"/>
            </w:tcMar>
            <w:vAlign w:val="center"/>
          </w:tcPr>
          <w:p w14:paraId="32F1472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08DDE447">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720</w:t>
            </w:r>
          </w:p>
        </w:tc>
        <w:tc>
          <w:tcPr>
            <w:tcW w:w="1605" w:type="dxa"/>
            <w:noWrap w:val="0"/>
            <w:tcMar>
              <w:top w:w="15" w:type="dxa"/>
              <w:left w:w="15" w:type="dxa"/>
              <w:right w:w="15" w:type="dxa"/>
            </w:tcMar>
            <w:vAlign w:val="center"/>
          </w:tcPr>
          <w:p w14:paraId="1EF2EC1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1A16659E">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国产品牌</w:t>
            </w:r>
          </w:p>
        </w:tc>
      </w:tr>
      <w:tr w14:paraId="5EDB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trPr>
        <w:tc>
          <w:tcPr>
            <w:tcW w:w="420" w:type="dxa"/>
            <w:vMerge w:val="continue"/>
            <w:noWrap w:val="0"/>
            <w:tcMar>
              <w:top w:w="15" w:type="dxa"/>
              <w:left w:w="15" w:type="dxa"/>
              <w:right w:w="15" w:type="dxa"/>
            </w:tcMar>
            <w:vAlign w:val="center"/>
          </w:tcPr>
          <w:p w14:paraId="1E0FB30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2E7ACB7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0A214D48">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36</w:t>
            </w:r>
          </w:p>
        </w:tc>
        <w:tc>
          <w:tcPr>
            <w:tcW w:w="570" w:type="dxa"/>
            <w:noWrap w:val="0"/>
            <w:tcMar>
              <w:top w:w="15" w:type="dxa"/>
              <w:left w:w="15" w:type="dxa"/>
              <w:right w:w="15" w:type="dxa"/>
            </w:tcMar>
            <w:vAlign w:val="center"/>
          </w:tcPr>
          <w:p w14:paraId="166D03F4">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不锈钢厨房操作台</w:t>
            </w:r>
          </w:p>
        </w:tc>
        <w:tc>
          <w:tcPr>
            <w:tcW w:w="2685" w:type="dxa"/>
            <w:noWrap w:val="0"/>
            <w:tcMar>
              <w:top w:w="15" w:type="dxa"/>
              <w:left w:w="15" w:type="dxa"/>
              <w:right w:w="15" w:type="dxa"/>
            </w:tcMar>
            <w:vAlign w:val="center"/>
          </w:tcPr>
          <w:p w14:paraId="136E2527">
            <w:pPr>
              <w:keepNext w:val="0"/>
              <w:keepLines w:val="0"/>
              <w:pageBreakBefore w:val="0"/>
              <w:widowControl/>
              <w:shd w:val="clear" w:color="auto" w:fill="auto"/>
              <w:kinsoku/>
              <w:wordWrap/>
              <w:overflowPunct/>
              <w:topLinePunct w:val="0"/>
              <w:bidi w:val="0"/>
              <w:spacing w:line="240" w:lineRule="auto"/>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采用SUS304不锈钢材质，整体应为焊接一体，增加牢固度，长边一侧应具圆弧形，防止老年人碰伤，立柱脚高度可调节，高度及底部空间应符合无障碍要求，方便轮椅进入</w:t>
            </w:r>
            <w:r>
              <w:rPr>
                <w:rFonts w:hint="eastAsia" w:ascii="宋体" w:hAnsi="宋体" w:eastAsia="宋体" w:cs="宋体"/>
                <w:color w:val="000000"/>
                <w:kern w:val="0"/>
                <w:sz w:val="21"/>
                <w:szCs w:val="21"/>
                <w:highlight w:val="none"/>
                <w:lang w:eastAsia="zh-CN" w:bidi="ar"/>
              </w:rPr>
              <w:t>。</w:t>
            </w:r>
          </w:p>
        </w:tc>
        <w:tc>
          <w:tcPr>
            <w:tcW w:w="480" w:type="dxa"/>
            <w:noWrap w:val="0"/>
            <w:tcMar>
              <w:top w:w="15" w:type="dxa"/>
              <w:left w:w="15" w:type="dxa"/>
              <w:right w:w="15" w:type="dxa"/>
            </w:tcMar>
            <w:vAlign w:val="center"/>
          </w:tcPr>
          <w:p w14:paraId="537FA7D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个</w:t>
            </w:r>
          </w:p>
        </w:tc>
        <w:tc>
          <w:tcPr>
            <w:tcW w:w="600" w:type="dxa"/>
            <w:noWrap w:val="0"/>
            <w:tcMar>
              <w:top w:w="15" w:type="dxa"/>
              <w:left w:w="15" w:type="dxa"/>
              <w:right w:w="15" w:type="dxa"/>
            </w:tcMar>
            <w:vAlign w:val="center"/>
          </w:tcPr>
          <w:p w14:paraId="40C3EEE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7CE01AEF">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1088</w:t>
            </w:r>
          </w:p>
        </w:tc>
        <w:tc>
          <w:tcPr>
            <w:tcW w:w="1605" w:type="dxa"/>
            <w:noWrap w:val="0"/>
            <w:tcMar>
              <w:top w:w="15" w:type="dxa"/>
              <w:left w:w="15" w:type="dxa"/>
              <w:right w:w="15" w:type="dxa"/>
            </w:tcMar>
            <w:vAlign w:val="center"/>
          </w:tcPr>
          <w:p w14:paraId="6419BC7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drawing>
                <wp:inline distT="0" distB="0" distL="114300" distR="114300">
                  <wp:extent cx="2101850" cy="941070"/>
                  <wp:effectExtent l="0" t="0" r="12700" b="11430"/>
                  <wp:docPr id="9" name="图片 4" descr="C:\Users\ADMINI~1\AppData\Local\Temp\16157833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ADMINI~1\AppData\Local\Temp\1615783341(1).png"/>
                          <pic:cNvPicPr>
                            <a:picLocks noChangeAspect="1"/>
                          </pic:cNvPicPr>
                        </pic:nvPicPr>
                        <pic:blipFill>
                          <a:blip r:embed="rId11"/>
                          <a:stretch>
                            <a:fillRect/>
                          </a:stretch>
                        </pic:blipFill>
                        <pic:spPr>
                          <a:xfrm>
                            <a:off x="0" y="0"/>
                            <a:ext cx="2101850" cy="941070"/>
                          </a:xfrm>
                          <a:prstGeom prst="rect">
                            <a:avLst/>
                          </a:prstGeom>
                          <a:noFill/>
                          <a:ln>
                            <a:noFill/>
                          </a:ln>
                        </pic:spPr>
                      </pic:pic>
                    </a:graphicData>
                  </a:graphic>
                </wp:inline>
              </w:drawing>
            </w:r>
          </w:p>
        </w:tc>
        <w:tc>
          <w:tcPr>
            <w:tcW w:w="1626" w:type="dxa"/>
            <w:noWrap w:val="0"/>
            <w:tcMar>
              <w:top w:w="15" w:type="dxa"/>
              <w:left w:w="15" w:type="dxa"/>
              <w:right w:w="15" w:type="dxa"/>
            </w:tcMar>
            <w:vAlign w:val="center"/>
          </w:tcPr>
          <w:p w14:paraId="58F94F9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国产品牌</w:t>
            </w:r>
          </w:p>
        </w:tc>
      </w:tr>
      <w:tr w14:paraId="2609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0C846EF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478ECE8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7887CFAA">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37</w:t>
            </w:r>
          </w:p>
        </w:tc>
        <w:tc>
          <w:tcPr>
            <w:tcW w:w="570" w:type="dxa"/>
            <w:noWrap w:val="0"/>
            <w:tcMar>
              <w:top w:w="15" w:type="dxa"/>
              <w:left w:w="15" w:type="dxa"/>
              <w:right w:w="15" w:type="dxa"/>
            </w:tcMar>
            <w:vAlign w:val="center"/>
          </w:tcPr>
          <w:p w14:paraId="507E88BB">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不锈钢洗菜池</w:t>
            </w:r>
          </w:p>
        </w:tc>
        <w:tc>
          <w:tcPr>
            <w:tcW w:w="2685" w:type="dxa"/>
            <w:noWrap w:val="0"/>
            <w:tcMar>
              <w:top w:w="15" w:type="dxa"/>
              <w:left w:w="15" w:type="dxa"/>
              <w:right w:w="15" w:type="dxa"/>
            </w:tcMar>
            <w:vAlign w:val="center"/>
          </w:tcPr>
          <w:p w14:paraId="510078BB">
            <w:pPr>
              <w:keepNext w:val="0"/>
              <w:keepLines w:val="0"/>
              <w:pageBreakBefore w:val="0"/>
              <w:widowControl/>
              <w:shd w:val="clear" w:color="auto" w:fill="auto"/>
              <w:kinsoku/>
              <w:wordWrap/>
              <w:overflowPunct/>
              <w:topLinePunct w:val="0"/>
              <w:bidi w:val="0"/>
              <w:spacing w:line="240" w:lineRule="auto"/>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不锈钢单槽，带其他配件，带高脚龙头。304不锈钢材质</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含辅料及安装人工费。</w:t>
            </w:r>
          </w:p>
        </w:tc>
        <w:tc>
          <w:tcPr>
            <w:tcW w:w="480" w:type="dxa"/>
            <w:noWrap w:val="0"/>
            <w:tcMar>
              <w:top w:w="15" w:type="dxa"/>
              <w:left w:w="15" w:type="dxa"/>
              <w:right w:w="15" w:type="dxa"/>
            </w:tcMar>
            <w:vAlign w:val="center"/>
          </w:tcPr>
          <w:p w14:paraId="1CA2347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个</w:t>
            </w:r>
          </w:p>
        </w:tc>
        <w:tc>
          <w:tcPr>
            <w:tcW w:w="600" w:type="dxa"/>
            <w:noWrap w:val="0"/>
            <w:tcMar>
              <w:top w:w="15" w:type="dxa"/>
              <w:left w:w="15" w:type="dxa"/>
              <w:right w:w="15" w:type="dxa"/>
            </w:tcMar>
            <w:vAlign w:val="center"/>
          </w:tcPr>
          <w:p w14:paraId="7A2ED90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368E90B1">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605" w:type="dxa"/>
            <w:noWrap w:val="0"/>
            <w:tcMar>
              <w:top w:w="15" w:type="dxa"/>
              <w:left w:w="15" w:type="dxa"/>
              <w:right w:w="15" w:type="dxa"/>
            </w:tcMar>
            <w:vAlign w:val="center"/>
          </w:tcPr>
          <w:p w14:paraId="1BBBC89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3B179CB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国产品牌</w:t>
            </w:r>
          </w:p>
        </w:tc>
      </w:tr>
      <w:tr w14:paraId="4F8F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0E90222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34D0DB6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1AAB6F5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38</w:t>
            </w:r>
          </w:p>
        </w:tc>
        <w:tc>
          <w:tcPr>
            <w:tcW w:w="570" w:type="dxa"/>
            <w:noWrap w:val="0"/>
            <w:tcMar>
              <w:top w:w="15" w:type="dxa"/>
              <w:left w:w="15" w:type="dxa"/>
              <w:right w:w="15" w:type="dxa"/>
            </w:tcMar>
            <w:vAlign w:val="center"/>
          </w:tcPr>
          <w:p w14:paraId="7259437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煤气灶</w:t>
            </w:r>
          </w:p>
        </w:tc>
        <w:tc>
          <w:tcPr>
            <w:tcW w:w="2685" w:type="dxa"/>
            <w:noWrap w:val="0"/>
            <w:tcMar>
              <w:top w:w="15" w:type="dxa"/>
              <w:left w:w="15" w:type="dxa"/>
              <w:right w:w="15" w:type="dxa"/>
            </w:tcMar>
            <w:vAlign w:val="center"/>
          </w:tcPr>
          <w:p w14:paraId="3478A77C">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尺寸：280*380*145mm(含炉架高度）支持熄火保护，额定热流量（kw）3.8</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面板材质：不锈钢，</w:t>
            </w:r>
          </w:p>
        </w:tc>
        <w:tc>
          <w:tcPr>
            <w:tcW w:w="480" w:type="dxa"/>
            <w:noWrap w:val="0"/>
            <w:tcMar>
              <w:top w:w="15" w:type="dxa"/>
              <w:left w:w="15" w:type="dxa"/>
              <w:right w:w="15" w:type="dxa"/>
            </w:tcMar>
            <w:vAlign w:val="center"/>
          </w:tcPr>
          <w:p w14:paraId="691738F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只</w:t>
            </w:r>
          </w:p>
        </w:tc>
        <w:tc>
          <w:tcPr>
            <w:tcW w:w="600" w:type="dxa"/>
            <w:noWrap w:val="0"/>
            <w:tcMar>
              <w:top w:w="15" w:type="dxa"/>
              <w:left w:w="15" w:type="dxa"/>
              <w:right w:w="15" w:type="dxa"/>
            </w:tcMar>
            <w:vAlign w:val="center"/>
          </w:tcPr>
          <w:p w14:paraId="020541D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0429EFF8">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605" w:type="dxa"/>
            <w:noWrap w:val="0"/>
            <w:tcMar>
              <w:top w:w="15" w:type="dxa"/>
              <w:left w:w="15" w:type="dxa"/>
              <w:right w:w="15" w:type="dxa"/>
            </w:tcMar>
            <w:vAlign w:val="center"/>
          </w:tcPr>
          <w:p w14:paraId="4E3BE97B">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08D6771D">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美的、苏泊尔、华帝</w:t>
            </w:r>
          </w:p>
        </w:tc>
      </w:tr>
      <w:tr w14:paraId="3109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202E760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5EECAC0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0CB8B9A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39</w:t>
            </w:r>
          </w:p>
        </w:tc>
        <w:tc>
          <w:tcPr>
            <w:tcW w:w="570" w:type="dxa"/>
            <w:noWrap w:val="0"/>
            <w:tcMar>
              <w:top w:w="15" w:type="dxa"/>
              <w:left w:w="15" w:type="dxa"/>
              <w:right w:w="15" w:type="dxa"/>
            </w:tcMar>
            <w:vAlign w:val="center"/>
          </w:tcPr>
          <w:p w14:paraId="01E1839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外置煤气灶</w:t>
            </w:r>
          </w:p>
        </w:tc>
        <w:tc>
          <w:tcPr>
            <w:tcW w:w="2685" w:type="dxa"/>
            <w:noWrap w:val="0"/>
            <w:tcMar>
              <w:top w:w="15" w:type="dxa"/>
              <w:left w:w="15" w:type="dxa"/>
              <w:right w:w="15" w:type="dxa"/>
            </w:tcMar>
            <w:vAlign w:val="center"/>
          </w:tcPr>
          <w:p w14:paraId="4673F2B3">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双头灶，适用气源：液化气 天然气，额定热流量（kw）2.4-35.2。面板材质：不锈钢。</w:t>
            </w:r>
          </w:p>
        </w:tc>
        <w:tc>
          <w:tcPr>
            <w:tcW w:w="480" w:type="dxa"/>
            <w:noWrap w:val="0"/>
            <w:tcMar>
              <w:top w:w="15" w:type="dxa"/>
              <w:left w:w="15" w:type="dxa"/>
              <w:right w:w="15" w:type="dxa"/>
            </w:tcMar>
            <w:vAlign w:val="center"/>
          </w:tcPr>
          <w:p w14:paraId="4CB558C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只</w:t>
            </w:r>
          </w:p>
        </w:tc>
        <w:tc>
          <w:tcPr>
            <w:tcW w:w="600" w:type="dxa"/>
            <w:noWrap w:val="0"/>
            <w:tcMar>
              <w:top w:w="15" w:type="dxa"/>
              <w:left w:w="15" w:type="dxa"/>
              <w:right w:w="15" w:type="dxa"/>
            </w:tcMar>
            <w:vAlign w:val="center"/>
          </w:tcPr>
          <w:p w14:paraId="6DE7F9D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5F163ECD">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480</w:t>
            </w:r>
          </w:p>
        </w:tc>
        <w:tc>
          <w:tcPr>
            <w:tcW w:w="1605" w:type="dxa"/>
            <w:noWrap w:val="0"/>
            <w:tcMar>
              <w:top w:w="15" w:type="dxa"/>
              <w:left w:w="15" w:type="dxa"/>
              <w:right w:w="15" w:type="dxa"/>
            </w:tcMar>
            <w:vAlign w:val="center"/>
          </w:tcPr>
          <w:p w14:paraId="6E23BC0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4FBC525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美的、苏泊尔、华帝</w:t>
            </w:r>
          </w:p>
        </w:tc>
      </w:tr>
      <w:tr w14:paraId="3098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vMerge w:val="continue"/>
            <w:noWrap w:val="0"/>
            <w:tcMar>
              <w:top w:w="15" w:type="dxa"/>
              <w:left w:w="15" w:type="dxa"/>
              <w:right w:w="15" w:type="dxa"/>
            </w:tcMar>
            <w:vAlign w:val="center"/>
          </w:tcPr>
          <w:p w14:paraId="1BEF7C4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3CD63DE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5270C0A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w:t>
            </w:r>
          </w:p>
        </w:tc>
        <w:tc>
          <w:tcPr>
            <w:tcW w:w="570" w:type="dxa"/>
            <w:noWrap w:val="0"/>
            <w:tcMar>
              <w:top w:w="15" w:type="dxa"/>
              <w:left w:w="15" w:type="dxa"/>
              <w:right w:w="15" w:type="dxa"/>
            </w:tcMar>
            <w:vAlign w:val="center"/>
          </w:tcPr>
          <w:p w14:paraId="4135BA0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内嵌煤气灶</w:t>
            </w:r>
          </w:p>
        </w:tc>
        <w:tc>
          <w:tcPr>
            <w:tcW w:w="2685" w:type="dxa"/>
            <w:noWrap w:val="0"/>
            <w:tcMar>
              <w:top w:w="15" w:type="dxa"/>
              <w:left w:w="15" w:type="dxa"/>
              <w:right w:w="15" w:type="dxa"/>
            </w:tcMar>
            <w:vAlign w:val="center"/>
          </w:tcPr>
          <w:p w14:paraId="46C4164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外形尺寸：720*420*160mm ，额定热负荷（kw）T:4.2 KW   Y：4.2KW ，燃烧器：直火猛火燃烧器，能效：一级，适用气体：液化气</w:t>
            </w:r>
          </w:p>
        </w:tc>
        <w:tc>
          <w:tcPr>
            <w:tcW w:w="480" w:type="dxa"/>
            <w:noWrap w:val="0"/>
            <w:tcMar>
              <w:top w:w="15" w:type="dxa"/>
              <w:left w:w="15" w:type="dxa"/>
              <w:right w:w="15" w:type="dxa"/>
            </w:tcMar>
            <w:vAlign w:val="center"/>
          </w:tcPr>
          <w:p w14:paraId="2C753BD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只</w:t>
            </w:r>
          </w:p>
        </w:tc>
        <w:tc>
          <w:tcPr>
            <w:tcW w:w="600" w:type="dxa"/>
            <w:noWrap w:val="0"/>
            <w:tcMar>
              <w:top w:w="15" w:type="dxa"/>
              <w:left w:w="15" w:type="dxa"/>
              <w:right w:w="15" w:type="dxa"/>
            </w:tcMar>
            <w:vAlign w:val="center"/>
          </w:tcPr>
          <w:p w14:paraId="6D9D0BF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7C2546D1">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560</w:t>
            </w:r>
          </w:p>
        </w:tc>
        <w:tc>
          <w:tcPr>
            <w:tcW w:w="1605" w:type="dxa"/>
            <w:noWrap w:val="0"/>
            <w:tcMar>
              <w:top w:w="15" w:type="dxa"/>
              <w:left w:w="15" w:type="dxa"/>
              <w:right w:w="15" w:type="dxa"/>
            </w:tcMar>
            <w:vAlign w:val="center"/>
          </w:tcPr>
          <w:p w14:paraId="3D18DD1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64330D5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美的、苏泊尔、华帝</w:t>
            </w:r>
          </w:p>
        </w:tc>
      </w:tr>
      <w:tr w14:paraId="0AB0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noWrap w:val="0"/>
            <w:tcMar>
              <w:top w:w="15" w:type="dxa"/>
              <w:left w:w="15" w:type="dxa"/>
              <w:right w:w="15" w:type="dxa"/>
            </w:tcMar>
            <w:vAlign w:val="center"/>
          </w:tcPr>
          <w:p w14:paraId="2F8B2C8F">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49B0213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4846660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41</w:t>
            </w:r>
          </w:p>
        </w:tc>
        <w:tc>
          <w:tcPr>
            <w:tcW w:w="570" w:type="dxa"/>
            <w:noWrap w:val="0"/>
            <w:tcMar>
              <w:top w:w="15" w:type="dxa"/>
              <w:left w:w="15" w:type="dxa"/>
              <w:right w:w="15" w:type="dxa"/>
            </w:tcMar>
            <w:vAlign w:val="center"/>
          </w:tcPr>
          <w:p w14:paraId="266258AD">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抽拉式水龙头</w:t>
            </w:r>
          </w:p>
        </w:tc>
        <w:tc>
          <w:tcPr>
            <w:tcW w:w="2685" w:type="dxa"/>
            <w:noWrap w:val="0"/>
            <w:tcMar>
              <w:top w:w="15" w:type="dxa"/>
              <w:left w:w="15" w:type="dxa"/>
              <w:right w:w="15" w:type="dxa"/>
            </w:tcMar>
            <w:vAlign w:val="center"/>
          </w:tcPr>
          <w:p w14:paraId="2347C09D">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304不锈钢材质，防渗漏陶瓷阀芯，冷热出水，软管长度50CM，重力锤设计，抽拉自动回位。</w:t>
            </w:r>
            <w:r>
              <w:rPr>
                <w:rFonts w:hint="eastAsia" w:ascii="宋体" w:hAnsi="宋体" w:eastAsia="宋体" w:cs="宋体"/>
                <w:color w:val="000000"/>
                <w:kern w:val="0"/>
                <w:sz w:val="21"/>
                <w:szCs w:val="21"/>
                <w:highlight w:val="none"/>
                <w:lang w:val="en-US" w:eastAsia="zh-CN" w:bidi="ar"/>
              </w:rPr>
              <w:t>含安装人工费及辅料。</w:t>
            </w:r>
          </w:p>
        </w:tc>
        <w:tc>
          <w:tcPr>
            <w:tcW w:w="480" w:type="dxa"/>
            <w:noWrap w:val="0"/>
            <w:tcMar>
              <w:top w:w="15" w:type="dxa"/>
              <w:left w:w="15" w:type="dxa"/>
              <w:right w:w="15" w:type="dxa"/>
            </w:tcMar>
            <w:vAlign w:val="center"/>
          </w:tcPr>
          <w:p w14:paraId="1AD5C8E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个</w:t>
            </w:r>
          </w:p>
        </w:tc>
        <w:tc>
          <w:tcPr>
            <w:tcW w:w="600" w:type="dxa"/>
            <w:noWrap w:val="0"/>
            <w:tcMar>
              <w:top w:w="15" w:type="dxa"/>
              <w:left w:w="15" w:type="dxa"/>
              <w:right w:w="15" w:type="dxa"/>
            </w:tcMar>
            <w:vAlign w:val="center"/>
          </w:tcPr>
          <w:p w14:paraId="538B7B5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090E08D5">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1605" w:type="dxa"/>
            <w:noWrap w:val="0"/>
            <w:tcMar>
              <w:top w:w="15" w:type="dxa"/>
              <w:left w:w="15" w:type="dxa"/>
              <w:right w:w="15" w:type="dxa"/>
            </w:tcMar>
            <w:vAlign w:val="center"/>
          </w:tcPr>
          <w:p w14:paraId="6D8A466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1FD5C344">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 xml:space="preserve"> 九</w:t>
            </w:r>
            <w:r>
              <w:rPr>
                <w:rFonts w:hint="eastAsia" w:ascii="宋体" w:hAnsi="宋体" w:eastAsia="宋体" w:cs="宋体"/>
                <w:color w:val="000000"/>
                <w:kern w:val="0"/>
                <w:sz w:val="21"/>
                <w:szCs w:val="21"/>
                <w:highlight w:val="none"/>
                <w:lang w:val="en-US" w:eastAsia="zh-CN" w:bidi="ar"/>
              </w:rPr>
              <w:t>牧、</w:t>
            </w:r>
            <w:r>
              <w:rPr>
                <w:rFonts w:hint="eastAsia" w:ascii="宋体" w:hAnsi="宋体" w:eastAsia="宋体" w:cs="宋体"/>
                <w:color w:val="000000"/>
                <w:kern w:val="0"/>
                <w:sz w:val="21"/>
                <w:szCs w:val="21"/>
                <w:highlight w:val="none"/>
                <w:lang w:bidi="ar"/>
              </w:rPr>
              <w:t>箭牌</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恒洁</w:t>
            </w:r>
          </w:p>
        </w:tc>
      </w:tr>
      <w:tr w14:paraId="4BFD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restart"/>
            <w:noWrap w:val="0"/>
            <w:tcMar>
              <w:top w:w="15" w:type="dxa"/>
              <w:left w:w="15" w:type="dxa"/>
              <w:right w:w="15" w:type="dxa"/>
            </w:tcMar>
            <w:vAlign w:val="center"/>
          </w:tcPr>
          <w:p w14:paraId="6D45BF75">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10</w:t>
            </w:r>
          </w:p>
        </w:tc>
        <w:tc>
          <w:tcPr>
            <w:tcW w:w="480" w:type="dxa"/>
            <w:vMerge w:val="restart"/>
            <w:noWrap w:val="0"/>
            <w:tcMar>
              <w:top w:w="15" w:type="dxa"/>
              <w:left w:w="15" w:type="dxa"/>
              <w:right w:w="15" w:type="dxa"/>
            </w:tcMar>
            <w:vAlign w:val="center"/>
          </w:tcPr>
          <w:p w14:paraId="34A0F248">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儿童房</w:t>
            </w:r>
          </w:p>
          <w:p w14:paraId="449D15F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6D731A9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4</w:t>
            </w:r>
            <w:r>
              <w:rPr>
                <w:rFonts w:hint="eastAsia" w:ascii="宋体" w:hAnsi="宋体" w:eastAsia="宋体" w:cs="宋体"/>
                <w:color w:val="000000"/>
                <w:kern w:val="0"/>
                <w:sz w:val="21"/>
                <w:szCs w:val="21"/>
                <w:highlight w:val="none"/>
                <w:lang w:val="en-US" w:eastAsia="zh-CN" w:bidi="ar"/>
              </w:rPr>
              <w:t>2</w:t>
            </w:r>
          </w:p>
        </w:tc>
        <w:tc>
          <w:tcPr>
            <w:tcW w:w="570" w:type="dxa"/>
            <w:noWrap w:val="0"/>
            <w:tcMar>
              <w:top w:w="15" w:type="dxa"/>
              <w:left w:w="15" w:type="dxa"/>
              <w:right w:w="15" w:type="dxa"/>
            </w:tcMar>
            <w:vAlign w:val="center"/>
          </w:tcPr>
          <w:p w14:paraId="47AF4EBF">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儿童床</w:t>
            </w:r>
          </w:p>
        </w:tc>
        <w:tc>
          <w:tcPr>
            <w:tcW w:w="2685" w:type="dxa"/>
            <w:noWrap w:val="0"/>
            <w:tcMar>
              <w:top w:w="15" w:type="dxa"/>
              <w:left w:w="15" w:type="dxa"/>
              <w:right w:w="15" w:type="dxa"/>
            </w:tcMar>
            <w:vAlign w:val="center"/>
          </w:tcPr>
          <w:p w14:paraId="683373FC">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床体宽度1.2米*2米</w:t>
            </w:r>
          </w:p>
          <w:p w14:paraId="1BFE0666">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材料：主材实木支架及排骨架。辅材为环保多层板。</w:t>
            </w:r>
          </w:p>
          <w:p w14:paraId="39AC76A8">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底漆面漆采用环保油漆</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30DEE0E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张</w:t>
            </w:r>
          </w:p>
        </w:tc>
        <w:tc>
          <w:tcPr>
            <w:tcW w:w="600" w:type="dxa"/>
            <w:noWrap w:val="0"/>
            <w:tcMar>
              <w:top w:w="15" w:type="dxa"/>
              <w:left w:w="15" w:type="dxa"/>
              <w:right w:w="15" w:type="dxa"/>
            </w:tcMar>
            <w:vAlign w:val="center"/>
          </w:tcPr>
          <w:p w14:paraId="2287A96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24041526">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1120</w:t>
            </w:r>
          </w:p>
        </w:tc>
        <w:tc>
          <w:tcPr>
            <w:tcW w:w="1605" w:type="dxa"/>
            <w:noWrap w:val="0"/>
            <w:tcMar>
              <w:top w:w="15" w:type="dxa"/>
              <w:left w:w="15" w:type="dxa"/>
              <w:right w:w="15" w:type="dxa"/>
            </w:tcMar>
            <w:vAlign w:val="center"/>
          </w:tcPr>
          <w:p w14:paraId="7C5AA5C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66F1345A">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64D9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420" w:type="dxa"/>
            <w:vMerge w:val="continue"/>
            <w:noWrap w:val="0"/>
            <w:tcMar>
              <w:top w:w="15" w:type="dxa"/>
              <w:left w:w="15" w:type="dxa"/>
              <w:right w:w="15" w:type="dxa"/>
            </w:tcMar>
            <w:vAlign w:val="center"/>
          </w:tcPr>
          <w:p w14:paraId="4EFC955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20C64B7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4EA6D28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4</w:t>
            </w:r>
            <w:r>
              <w:rPr>
                <w:rFonts w:hint="eastAsia" w:ascii="宋体" w:hAnsi="宋体" w:eastAsia="宋体" w:cs="宋体"/>
                <w:color w:val="000000"/>
                <w:kern w:val="0"/>
                <w:sz w:val="21"/>
                <w:szCs w:val="21"/>
                <w:highlight w:val="none"/>
                <w:lang w:val="en-US" w:eastAsia="zh-CN" w:bidi="ar"/>
              </w:rPr>
              <w:t>3</w:t>
            </w:r>
          </w:p>
        </w:tc>
        <w:tc>
          <w:tcPr>
            <w:tcW w:w="570" w:type="dxa"/>
            <w:noWrap w:val="0"/>
            <w:tcMar>
              <w:top w:w="15" w:type="dxa"/>
              <w:left w:w="15" w:type="dxa"/>
              <w:right w:w="15" w:type="dxa"/>
            </w:tcMar>
            <w:vAlign w:val="center"/>
          </w:tcPr>
          <w:p w14:paraId="7B774C6F">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书桌和座椅</w:t>
            </w:r>
          </w:p>
        </w:tc>
        <w:tc>
          <w:tcPr>
            <w:tcW w:w="2685" w:type="dxa"/>
            <w:noWrap w:val="0"/>
            <w:tcMar>
              <w:top w:w="15" w:type="dxa"/>
              <w:left w:w="15" w:type="dxa"/>
              <w:right w:w="15" w:type="dxa"/>
            </w:tcMar>
            <w:vAlign w:val="center"/>
          </w:tcPr>
          <w:p w14:paraId="7E4BA2B9">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书桌五档高度调节，椅子三档调节。优质松木板材。增加书架收纳柜设计。尺寸：桌子尺寸104*60*123cm，椅子尺寸：50*50*73cm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4F24D2C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套</w:t>
            </w:r>
          </w:p>
        </w:tc>
        <w:tc>
          <w:tcPr>
            <w:tcW w:w="600" w:type="dxa"/>
            <w:noWrap w:val="0"/>
            <w:tcMar>
              <w:top w:w="15" w:type="dxa"/>
              <w:left w:w="15" w:type="dxa"/>
              <w:right w:w="15" w:type="dxa"/>
            </w:tcMar>
            <w:vAlign w:val="center"/>
          </w:tcPr>
          <w:p w14:paraId="16BE069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5BDF15F6">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1040</w:t>
            </w:r>
          </w:p>
        </w:tc>
        <w:tc>
          <w:tcPr>
            <w:tcW w:w="1605" w:type="dxa"/>
            <w:noWrap w:val="0"/>
            <w:tcMar>
              <w:top w:w="15" w:type="dxa"/>
              <w:left w:w="15" w:type="dxa"/>
              <w:right w:w="15" w:type="dxa"/>
            </w:tcMar>
            <w:vAlign w:val="center"/>
          </w:tcPr>
          <w:p w14:paraId="11879FD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096F4E1B">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0851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vMerge w:val="continue"/>
            <w:noWrap w:val="0"/>
            <w:tcMar>
              <w:top w:w="15" w:type="dxa"/>
              <w:left w:w="15" w:type="dxa"/>
              <w:right w:w="15" w:type="dxa"/>
            </w:tcMar>
            <w:vAlign w:val="center"/>
          </w:tcPr>
          <w:p w14:paraId="10FB79F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06CA66F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3FB42E1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4</w:t>
            </w:r>
            <w:r>
              <w:rPr>
                <w:rFonts w:hint="eastAsia" w:ascii="宋体" w:hAnsi="宋体" w:eastAsia="宋体" w:cs="宋体"/>
                <w:color w:val="000000"/>
                <w:kern w:val="0"/>
                <w:sz w:val="21"/>
                <w:szCs w:val="21"/>
                <w:highlight w:val="none"/>
                <w:lang w:val="en-US" w:eastAsia="zh-CN" w:bidi="ar"/>
              </w:rPr>
              <w:t>4</w:t>
            </w:r>
          </w:p>
        </w:tc>
        <w:tc>
          <w:tcPr>
            <w:tcW w:w="570" w:type="dxa"/>
            <w:noWrap w:val="0"/>
            <w:tcMar>
              <w:top w:w="15" w:type="dxa"/>
              <w:left w:w="15" w:type="dxa"/>
              <w:right w:w="15" w:type="dxa"/>
            </w:tcMar>
            <w:vAlign w:val="center"/>
          </w:tcPr>
          <w:p w14:paraId="4A95129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书柜</w:t>
            </w:r>
          </w:p>
        </w:tc>
        <w:tc>
          <w:tcPr>
            <w:tcW w:w="2685" w:type="dxa"/>
            <w:noWrap w:val="0"/>
            <w:tcMar>
              <w:top w:w="15" w:type="dxa"/>
              <w:left w:w="15" w:type="dxa"/>
              <w:right w:w="15" w:type="dxa"/>
            </w:tcMar>
            <w:vAlign w:val="center"/>
          </w:tcPr>
          <w:p w14:paraId="60AF0979">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玻璃门防尘书柜，甄选樟子松木，长80cm*30cm *180cm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317AF06B">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个</w:t>
            </w:r>
          </w:p>
        </w:tc>
        <w:tc>
          <w:tcPr>
            <w:tcW w:w="600" w:type="dxa"/>
            <w:noWrap w:val="0"/>
            <w:tcMar>
              <w:top w:w="15" w:type="dxa"/>
              <w:left w:w="15" w:type="dxa"/>
              <w:right w:w="15" w:type="dxa"/>
            </w:tcMar>
            <w:vAlign w:val="center"/>
          </w:tcPr>
          <w:p w14:paraId="3643682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439BE9A7">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960</w:t>
            </w:r>
          </w:p>
        </w:tc>
        <w:tc>
          <w:tcPr>
            <w:tcW w:w="1605" w:type="dxa"/>
            <w:noWrap w:val="0"/>
            <w:tcMar>
              <w:top w:w="15" w:type="dxa"/>
              <w:left w:w="15" w:type="dxa"/>
              <w:right w:w="15" w:type="dxa"/>
            </w:tcMar>
            <w:vAlign w:val="center"/>
          </w:tcPr>
          <w:p w14:paraId="73020CB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47D7ECC4">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5129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vMerge w:val="continue"/>
            <w:noWrap w:val="0"/>
            <w:tcMar>
              <w:top w:w="15" w:type="dxa"/>
              <w:left w:w="15" w:type="dxa"/>
              <w:right w:w="15" w:type="dxa"/>
            </w:tcMar>
            <w:vAlign w:val="center"/>
          </w:tcPr>
          <w:p w14:paraId="63F3A54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47162B3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3162E38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4</w:t>
            </w:r>
            <w:r>
              <w:rPr>
                <w:rFonts w:hint="eastAsia" w:ascii="宋体" w:hAnsi="宋体" w:eastAsia="宋体" w:cs="宋体"/>
                <w:color w:val="000000"/>
                <w:kern w:val="0"/>
                <w:sz w:val="21"/>
                <w:szCs w:val="21"/>
                <w:highlight w:val="none"/>
                <w:lang w:val="en-US" w:eastAsia="zh-CN" w:bidi="ar"/>
              </w:rPr>
              <w:t>5</w:t>
            </w:r>
          </w:p>
        </w:tc>
        <w:tc>
          <w:tcPr>
            <w:tcW w:w="570" w:type="dxa"/>
            <w:noWrap w:val="0"/>
            <w:tcMar>
              <w:top w:w="15" w:type="dxa"/>
              <w:left w:w="15" w:type="dxa"/>
              <w:right w:w="15" w:type="dxa"/>
            </w:tcMar>
            <w:vAlign w:val="center"/>
          </w:tcPr>
          <w:p w14:paraId="046EA3B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护眼台灯</w:t>
            </w:r>
          </w:p>
        </w:tc>
        <w:tc>
          <w:tcPr>
            <w:tcW w:w="2685" w:type="dxa"/>
            <w:noWrap w:val="0"/>
            <w:tcMar>
              <w:top w:w="15" w:type="dxa"/>
              <w:left w:w="15" w:type="dxa"/>
              <w:right w:w="15" w:type="dxa"/>
            </w:tcMar>
            <w:vAlign w:val="center"/>
          </w:tcPr>
          <w:p w14:paraId="4E8C5976">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国AA级照度，触控开关，12W，线长1.8米 尺寸：170mm*400mm</w:t>
            </w:r>
          </w:p>
        </w:tc>
        <w:tc>
          <w:tcPr>
            <w:tcW w:w="480" w:type="dxa"/>
            <w:noWrap w:val="0"/>
            <w:tcMar>
              <w:top w:w="15" w:type="dxa"/>
              <w:left w:w="15" w:type="dxa"/>
              <w:right w:w="15" w:type="dxa"/>
            </w:tcMar>
            <w:vAlign w:val="center"/>
          </w:tcPr>
          <w:p w14:paraId="6F1EA9B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盏</w:t>
            </w:r>
          </w:p>
        </w:tc>
        <w:tc>
          <w:tcPr>
            <w:tcW w:w="600" w:type="dxa"/>
            <w:noWrap w:val="0"/>
            <w:tcMar>
              <w:top w:w="15" w:type="dxa"/>
              <w:left w:w="15" w:type="dxa"/>
              <w:right w:w="15" w:type="dxa"/>
            </w:tcMar>
            <w:vAlign w:val="center"/>
          </w:tcPr>
          <w:p w14:paraId="2145D2A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3A7FD6D4">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1605" w:type="dxa"/>
            <w:noWrap w:val="0"/>
            <w:tcMar>
              <w:top w:w="15" w:type="dxa"/>
              <w:left w:w="15" w:type="dxa"/>
              <w:right w:w="15" w:type="dxa"/>
            </w:tcMar>
            <w:vAlign w:val="center"/>
          </w:tcPr>
          <w:p w14:paraId="47ED488F">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4E96E36B">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小米</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欧普</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华为</w:t>
            </w:r>
          </w:p>
        </w:tc>
      </w:tr>
      <w:tr w14:paraId="5886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vMerge w:val="continue"/>
            <w:noWrap w:val="0"/>
            <w:tcMar>
              <w:top w:w="15" w:type="dxa"/>
              <w:left w:w="15" w:type="dxa"/>
              <w:right w:w="15" w:type="dxa"/>
            </w:tcMar>
            <w:vAlign w:val="center"/>
          </w:tcPr>
          <w:p w14:paraId="5281C41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09DC6E7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06D1582A">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4</w:t>
            </w:r>
            <w:r>
              <w:rPr>
                <w:rFonts w:hint="eastAsia" w:ascii="宋体" w:hAnsi="宋体" w:eastAsia="宋体" w:cs="宋体"/>
                <w:color w:val="000000"/>
                <w:kern w:val="0"/>
                <w:sz w:val="21"/>
                <w:szCs w:val="21"/>
                <w:highlight w:val="none"/>
                <w:lang w:val="en-US" w:eastAsia="zh-CN" w:bidi="ar"/>
              </w:rPr>
              <w:t>6</w:t>
            </w:r>
          </w:p>
        </w:tc>
        <w:tc>
          <w:tcPr>
            <w:tcW w:w="570" w:type="dxa"/>
            <w:noWrap w:val="0"/>
            <w:tcMar>
              <w:top w:w="15" w:type="dxa"/>
              <w:left w:w="15" w:type="dxa"/>
              <w:right w:w="15" w:type="dxa"/>
            </w:tcMar>
            <w:vAlign w:val="center"/>
          </w:tcPr>
          <w:p w14:paraId="463238B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限位器</w:t>
            </w:r>
          </w:p>
        </w:tc>
        <w:tc>
          <w:tcPr>
            <w:tcW w:w="2685" w:type="dxa"/>
            <w:noWrap w:val="0"/>
            <w:tcMar>
              <w:top w:w="15" w:type="dxa"/>
              <w:left w:w="15" w:type="dxa"/>
              <w:right w:w="15" w:type="dxa"/>
            </w:tcMar>
            <w:vAlign w:val="center"/>
          </w:tcPr>
          <w:p w14:paraId="2FB3F9E0">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免打孔安装，自由固定，铝合金材料加不锈钢螺丝。</w:t>
            </w:r>
          </w:p>
        </w:tc>
        <w:tc>
          <w:tcPr>
            <w:tcW w:w="480" w:type="dxa"/>
            <w:noWrap w:val="0"/>
            <w:tcMar>
              <w:top w:w="15" w:type="dxa"/>
              <w:left w:w="15" w:type="dxa"/>
              <w:right w:w="15" w:type="dxa"/>
            </w:tcMar>
            <w:vAlign w:val="center"/>
          </w:tcPr>
          <w:p w14:paraId="2BBE669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个</w:t>
            </w:r>
          </w:p>
        </w:tc>
        <w:tc>
          <w:tcPr>
            <w:tcW w:w="600" w:type="dxa"/>
            <w:noWrap w:val="0"/>
            <w:tcMar>
              <w:top w:w="15" w:type="dxa"/>
              <w:left w:w="15" w:type="dxa"/>
              <w:right w:w="15" w:type="dxa"/>
            </w:tcMar>
            <w:vAlign w:val="center"/>
          </w:tcPr>
          <w:p w14:paraId="18DE8FA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6E29FC6E">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05" w:type="dxa"/>
            <w:noWrap w:val="0"/>
            <w:tcMar>
              <w:top w:w="15" w:type="dxa"/>
              <w:left w:w="15" w:type="dxa"/>
              <w:right w:w="15" w:type="dxa"/>
            </w:tcMar>
            <w:vAlign w:val="center"/>
          </w:tcPr>
          <w:p w14:paraId="1B2D8A9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F4A125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国产品牌</w:t>
            </w:r>
          </w:p>
        </w:tc>
      </w:tr>
      <w:tr w14:paraId="62DB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restart"/>
            <w:noWrap w:val="0"/>
            <w:tcMar>
              <w:top w:w="15" w:type="dxa"/>
              <w:left w:w="15" w:type="dxa"/>
              <w:right w:w="15" w:type="dxa"/>
            </w:tcMar>
            <w:vAlign w:val="center"/>
          </w:tcPr>
          <w:p w14:paraId="5207C0A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00E86817">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6E2E424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5AAE43CF">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6D22BCC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00689874">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6C2FA79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42349AEA">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4A61D1F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611FF701">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7555BAE8">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05740AAF">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02357464">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4CC4CEF9">
            <w:pPr>
              <w:pStyle w:val="35"/>
              <w:keepNext w:val="0"/>
              <w:keepLines w:val="0"/>
              <w:pageBreakBefore w:val="0"/>
              <w:shd w:val="clear" w:color="auto" w:fill="auto"/>
              <w:tabs>
                <w:tab w:val="right" w:leader="dot" w:pos="9628"/>
              </w:tabs>
              <w:kinsoku/>
              <w:wordWrap/>
              <w:overflowPunct/>
              <w:topLinePunct w:val="0"/>
              <w:bidi w:val="0"/>
              <w:spacing w:line="240" w:lineRule="auto"/>
              <w:jc w:val="center"/>
              <w:rPr>
                <w:rFonts w:hint="eastAsia" w:ascii="宋体" w:hAnsi="宋体" w:eastAsia="宋体" w:cs="宋体"/>
                <w:color w:val="000000"/>
                <w:sz w:val="21"/>
                <w:szCs w:val="21"/>
                <w:highlight w:val="none"/>
              </w:rPr>
            </w:pPr>
          </w:p>
          <w:p w14:paraId="75E907F2">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11</w:t>
            </w:r>
          </w:p>
        </w:tc>
        <w:tc>
          <w:tcPr>
            <w:tcW w:w="480" w:type="dxa"/>
            <w:vMerge w:val="restart"/>
            <w:noWrap w:val="0"/>
            <w:tcMar>
              <w:top w:w="15" w:type="dxa"/>
              <w:left w:w="15" w:type="dxa"/>
              <w:right w:w="15" w:type="dxa"/>
            </w:tcMar>
            <w:vAlign w:val="center"/>
          </w:tcPr>
          <w:p w14:paraId="55BBB43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适老化</w:t>
            </w:r>
          </w:p>
        </w:tc>
        <w:tc>
          <w:tcPr>
            <w:tcW w:w="450" w:type="dxa"/>
            <w:noWrap w:val="0"/>
            <w:tcMar>
              <w:top w:w="15" w:type="dxa"/>
              <w:left w:w="15" w:type="dxa"/>
              <w:right w:w="15" w:type="dxa"/>
            </w:tcMar>
            <w:vAlign w:val="center"/>
          </w:tcPr>
          <w:p w14:paraId="07A0621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4</w:t>
            </w:r>
            <w:r>
              <w:rPr>
                <w:rFonts w:hint="eastAsia" w:ascii="宋体" w:hAnsi="宋体" w:eastAsia="宋体" w:cs="宋体"/>
                <w:color w:val="000000"/>
                <w:kern w:val="0"/>
                <w:sz w:val="21"/>
                <w:szCs w:val="21"/>
                <w:highlight w:val="none"/>
                <w:lang w:val="en-US" w:eastAsia="zh-CN" w:bidi="ar"/>
              </w:rPr>
              <w:t>7</w:t>
            </w:r>
          </w:p>
        </w:tc>
        <w:tc>
          <w:tcPr>
            <w:tcW w:w="570" w:type="dxa"/>
            <w:noWrap w:val="0"/>
            <w:tcMar>
              <w:top w:w="15" w:type="dxa"/>
              <w:left w:w="15" w:type="dxa"/>
              <w:right w:w="15" w:type="dxa"/>
            </w:tcMar>
            <w:vAlign w:val="center"/>
          </w:tcPr>
          <w:p w14:paraId="3BFADAAD">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疏水防滑地垫</w:t>
            </w:r>
          </w:p>
        </w:tc>
        <w:tc>
          <w:tcPr>
            <w:tcW w:w="2685" w:type="dxa"/>
            <w:noWrap w:val="0"/>
            <w:tcMar>
              <w:top w:w="15" w:type="dxa"/>
              <w:left w:w="15" w:type="dxa"/>
              <w:right w:w="15" w:type="dxa"/>
            </w:tcMar>
            <w:vAlign w:val="center"/>
          </w:tcPr>
          <w:p w14:paraId="5302A227">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采用PVC材质，无异味，韧性佳；母环圆扣可拼接。尺寸300*300mm，厚度≥15mm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含安装费。</w:t>
            </w:r>
          </w:p>
        </w:tc>
        <w:tc>
          <w:tcPr>
            <w:tcW w:w="480" w:type="dxa"/>
            <w:noWrap w:val="0"/>
            <w:tcMar>
              <w:top w:w="15" w:type="dxa"/>
              <w:left w:w="15" w:type="dxa"/>
              <w:right w:w="15" w:type="dxa"/>
            </w:tcMar>
            <w:vAlign w:val="center"/>
          </w:tcPr>
          <w:p w14:paraId="0F3E538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个</w:t>
            </w:r>
          </w:p>
        </w:tc>
        <w:tc>
          <w:tcPr>
            <w:tcW w:w="600" w:type="dxa"/>
            <w:noWrap w:val="0"/>
            <w:tcMar>
              <w:top w:w="15" w:type="dxa"/>
              <w:left w:w="15" w:type="dxa"/>
              <w:right w:w="15" w:type="dxa"/>
            </w:tcMar>
            <w:vAlign w:val="center"/>
          </w:tcPr>
          <w:p w14:paraId="34524BB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7EBFFD0B">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605" w:type="dxa"/>
            <w:noWrap w:val="0"/>
            <w:tcMar>
              <w:top w:w="15" w:type="dxa"/>
              <w:left w:w="15" w:type="dxa"/>
              <w:right w:w="15" w:type="dxa"/>
            </w:tcMar>
            <w:vAlign w:val="center"/>
          </w:tcPr>
          <w:p w14:paraId="115BF2A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B908B3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佳洁利</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得亿</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三国鑫隆</w:t>
            </w:r>
          </w:p>
        </w:tc>
      </w:tr>
      <w:tr w14:paraId="68DB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trPr>
        <w:tc>
          <w:tcPr>
            <w:tcW w:w="420" w:type="dxa"/>
            <w:vMerge w:val="continue"/>
            <w:noWrap w:val="0"/>
            <w:tcMar>
              <w:top w:w="15" w:type="dxa"/>
              <w:left w:w="15" w:type="dxa"/>
              <w:right w:w="15" w:type="dxa"/>
            </w:tcMar>
            <w:vAlign w:val="center"/>
          </w:tcPr>
          <w:p w14:paraId="74A2F20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4046D52B">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0FD2706F">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4</w:t>
            </w:r>
            <w:r>
              <w:rPr>
                <w:rFonts w:hint="eastAsia" w:ascii="宋体" w:hAnsi="宋体" w:eastAsia="宋体" w:cs="宋体"/>
                <w:color w:val="000000"/>
                <w:kern w:val="0"/>
                <w:sz w:val="21"/>
                <w:szCs w:val="21"/>
                <w:highlight w:val="none"/>
                <w:lang w:val="en-US" w:eastAsia="zh-CN" w:bidi="ar"/>
              </w:rPr>
              <w:t>8</w:t>
            </w:r>
          </w:p>
        </w:tc>
        <w:tc>
          <w:tcPr>
            <w:tcW w:w="570" w:type="dxa"/>
            <w:noWrap w:val="0"/>
            <w:tcMar>
              <w:top w:w="15" w:type="dxa"/>
              <w:left w:w="15" w:type="dxa"/>
              <w:right w:w="15" w:type="dxa"/>
            </w:tcMar>
            <w:vAlign w:val="center"/>
          </w:tcPr>
          <w:p w14:paraId="236A521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防滑地胶</w:t>
            </w:r>
          </w:p>
        </w:tc>
        <w:tc>
          <w:tcPr>
            <w:tcW w:w="2685" w:type="dxa"/>
            <w:noWrap w:val="0"/>
            <w:tcMar>
              <w:top w:w="15" w:type="dxa"/>
              <w:left w:w="15" w:type="dxa"/>
              <w:right w:w="15" w:type="dxa"/>
            </w:tcMar>
            <w:vAlign w:val="center"/>
          </w:tcPr>
          <w:p w14:paraId="64A0E490">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采用PVC材质地板，抗菌防霉阻燃，厚度≥2mm，耐磨层≥0.4mm。</w:t>
            </w:r>
            <w:r>
              <w:rPr>
                <w:rFonts w:hint="eastAsia" w:ascii="宋体" w:hAnsi="宋体" w:eastAsia="宋体" w:cs="宋体"/>
                <w:color w:val="000000"/>
                <w:kern w:val="0"/>
                <w:sz w:val="21"/>
                <w:szCs w:val="21"/>
                <w:highlight w:val="none"/>
                <w:lang w:val="en-US" w:eastAsia="zh-CN" w:bidi="ar"/>
              </w:rPr>
              <w:t>含</w:t>
            </w:r>
            <w:r>
              <w:rPr>
                <w:rFonts w:hint="eastAsia" w:ascii="宋体" w:hAnsi="宋体" w:eastAsia="宋体" w:cs="宋体"/>
                <w:color w:val="000000"/>
                <w:kern w:val="0"/>
                <w:sz w:val="21"/>
                <w:szCs w:val="21"/>
                <w:highlight w:val="none"/>
                <w:lang w:bidi="ar"/>
              </w:rPr>
              <w:t>自流平+</w:t>
            </w:r>
            <w:r>
              <w:rPr>
                <w:rFonts w:hint="eastAsia" w:ascii="宋体" w:hAnsi="宋体" w:eastAsia="宋体" w:cs="宋体"/>
                <w:color w:val="000000"/>
                <w:kern w:val="0"/>
                <w:sz w:val="21"/>
                <w:szCs w:val="21"/>
                <w:highlight w:val="none"/>
                <w:lang w:val="en-US" w:eastAsia="zh-CN" w:bidi="ar"/>
              </w:rPr>
              <w:t>胶贴施工费</w:t>
            </w:r>
            <w:r>
              <w:rPr>
                <w:rFonts w:hint="eastAsia" w:ascii="宋体" w:hAnsi="宋体" w:eastAsia="宋体" w:cs="宋体"/>
                <w:color w:val="000000"/>
                <w:kern w:val="0"/>
                <w:sz w:val="21"/>
                <w:szCs w:val="21"/>
                <w:highlight w:val="none"/>
                <w:lang w:bidi="ar"/>
              </w:rPr>
              <w:t>；防湿滑系数为≥R10（防湿滑系数须提供国家级检测机构的检测告）</w:t>
            </w:r>
          </w:p>
        </w:tc>
        <w:tc>
          <w:tcPr>
            <w:tcW w:w="480" w:type="dxa"/>
            <w:noWrap w:val="0"/>
            <w:tcMar>
              <w:top w:w="15" w:type="dxa"/>
              <w:left w:w="15" w:type="dxa"/>
              <w:right w:w="15" w:type="dxa"/>
            </w:tcMar>
            <w:vAlign w:val="center"/>
          </w:tcPr>
          <w:p w14:paraId="21271649">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w:t>
            </w:r>
          </w:p>
        </w:tc>
        <w:tc>
          <w:tcPr>
            <w:tcW w:w="600" w:type="dxa"/>
            <w:noWrap w:val="0"/>
            <w:tcMar>
              <w:top w:w="15" w:type="dxa"/>
              <w:left w:w="15" w:type="dxa"/>
              <w:right w:w="15" w:type="dxa"/>
            </w:tcMar>
            <w:vAlign w:val="center"/>
          </w:tcPr>
          <w:p w14:paraId="39E0D999">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0AE65536">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1605" w:type="dxa"/>
            <w:noWrap w:val="0"/>
            <w:tcMar>
              <w:top w:w="15" w:type="dxa"/>
              <w:left w:w="15" w:type="dxa"/>
              <w:right w:w="15" w:type="dxa"/>
            </w:tcMar>
            <w:vAlign w:val="center"/>
          </w:tcPr>
          <w:p w14:paraId="0222D33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地面清理平整，防水胶水胶合黏贴</w:t>
            </w:r>
          </w:p>
        </w:tc>
        <w:tc>
          <w:tcPr>
            <w:tcW w:w="1626" w:type="dxa"/>
            <w:noWrap w:val="0"/>
            <w:tcMar>
              <w:top w:w="15" w:type="dxa"/>
              <w:left w:w="15" w:type="dxa"/>
              <w:right w:w="15" w:type="dxa"/>
            </w:tcMar>
            <w:vAlign w:val="center"/>
          </w:tcPr>
          <w:p w14:paraId="2DF7E0D0">
            <w:pPr>
              <w:keepNext w:val="0"/>
              <w:keepLines w:val="0"/>
              <w:pageBreakBefore w:val="0"/>
              <w:widowControl/>
              <w:shd w:val="clear" w:color="auto" w:fill="auto"/>
              <w:kinsoku/>
              <w:wordWrap/>
              <w:overflowPunct/>
              <w:topLinePunct w:val="0"/>
              <w:bidi w:val="0"/>
              <w:spacing w:line="240" w:lineRule="auto"/>
              <w:ind w:left="0" w:leftChars="0" w:firstLine="0" w:firstLineChars="0"/>
              <w:jc w:val="both"/>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昆</w:t>
            </w:r>
            <w:r>
              <w:rPr>
                <w:rFonts w:hint="eastAsia" w:ascii="宋体" w:hAnsi="宋体" w:eastAsia="宋体" w:cs="宋体"/>
                <w:color w:val="000000"/>
                <w:kern w:val="0"/>
                <w:sz w:val="21"/>
                <w:szCs w:val="21"/>
                <w:highlight w:val="none"/>
                <w:lang w:val="en-US" w:eastAsia="zh-CN" w:bidi="ar"/>
              </w:rPr>
              <w:t>伦</w:t>
            </w:r>
            <w:r>
              <w:rPr>
                <w:rFonts w:hint="eastAsia" w:ascii="宋体" w:hAnsi="宋体" w:eastAsia="宋体" w:cs="宋体"/>
                <w:color w:val="000000"/>
                <w:kern w:val="0"/>
                <w:sz w:val="21"/>
                <w:szCs w:val="21"/>
                <w:highlight w:val="none"/>
                <w:lang w:bidi="ar"/>
              </w:rPr>
              <w:t>达</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安稳龙、</w:t>
            </w:r>
            <w:r>
              <w:rPr>
                <w:rFonts w:hint="eastAsia" w:ascii="宋体" w:hAnsi="宋体" w:eastAsia="宋体" w:cs="宋体"/>
                <w:color w:val="000000"/>
                <w:kern w:val="0"/>
                <w:sz w:val="21"/>
                <w:szCs w:val="21"/>
                <w:highlight w:val="none"/>
                <w:lang w:bidi="ar"/>
              </w:rPr>
              <w:t>科洛弗</w:t>
            </w:r>
          </w:p>
        </w:tc>
      </w:tr>
      <w:tr w14:paraId="3DFF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3F09B61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63662EC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7E5E033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4</w:t>
            </w:r>
            <w:r>
              <w:rPr>
                <w:rFonts w:hint="eastAsia" w:ascii="宋体" w:hAnsi="宋体" w:eastAsia="宋体" w:cs="宋体"/>
                <w:color w:val="000000"/>
                <w:kern w:val="0"/>
                <w:sz w:val="21"/>
                <w:szCs w:val="21"/>
                <w:highlight w:val="none"/>
                <w:lang w:val="en-US" w:eastAsia="zh-CN" w:bidi="ar"/>
              </w:rPr>
              <w:t>9</w:t>
            </w:r>
          </w:p>
        </w:tc>
        <w:tc>
          <w:tcPr>
            <w:tcW w:w="570" w:type="dxa"/>
            <w:noWrap w:val="0"/>
            <w:tcMar>
              <w:top w:w="15" w:type="dxa"/>
              <w:left w:w="15" w:type="dxa"/>
              <w:right w:w="15" w:type="dxa"/>
            </w:tcMar>
            <w:vAlign w:val="center"/>
          </w:tcPr>
          <w:p w14:paraId="7D1E7546">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洗澡椅</w:t>
            </w:r>
          </w:p>
        </w:tc>
        <w:tc>
          <w:tcPr>
            <w:tcW w:w="2685" w:type="dxa"/>
            <w:noWrap w:val="0"/>
            <w:tcMar>
              <w:top w:w="15" w:type="dxa"/>
              <w:left w:w="15" w:type="dxa"/>
              <w:right w:w="15" w:type="dxa"/>
            </w:tcMar>
            <w:vAlign w:val="center"/>
          </w:tcPr>
          <w:p w14:paraId="0F4D835A">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椅架为铝合金材质，座板、背靠板为PE材质，座面板、坐垫为EVA材质，座椅高度≥3段可调节，折叠时可自行站立，扶手可抬起，承重力≥100kg。</w:t>
            </w:r>
          </w:p>
        </w:tc>
        <w:tc>
          <w:tcPr>
            <w:tcW w:w="480" w:type="dxa"/>
            <w:noWrap w:val="0"/>
            <w:tcMar>
              <w:top w:w="15" w:type="dxa"/>
              <w:left w:w="15" w:type="dxa"/>
              <w:right w:w="15" w:type="dxa"/>
            </w:tcMar>
            <w:vAlign w:val="center"/>
          </w:tcPr>
          <w:p w14:paraId="58366C5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w:t>
            </w:r>
          </w:p>
        </w:tc>
        <w:tc>
          <w:tcPr>
            <w:tcW w:w="600" w:type="dxa"/>
            <w:noWrap w:val="0"/>
            <w:tcMar>
              <w:top w:w="15" w:type="dxa"/>
              <w:left w:w="15" w:type="dxa"/>
              <w:right w:w="15" w:type="dxa"/>
            </w:tcMar>
            <w:vAlign w:val="center"/>
          </w:tcPr>
          <w:p w14:paraId="58863A2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2919C26C">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605" w:type="dxa"/>
            <w:noWrap w:val="0"/>
            <w:tcMar>
              <w:top w:w="15" w:type="dxa"/>
              <w:left w:w="15" w:type="dxa"/>
              <w:right w:w="15" w:type="dxa"/>
            </w:tcMar>
            <w:vAlign w:val="center"/>
          </w:tcPr>
          <w:p w14:paraId="4E004BC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39BC899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大仁</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法仕德</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永久亮</w:t>
            </w:r>
          </w:p>
        </w:tc>
      </w:tr>
      <w:tr w14:paraId="2F43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8" w:hRule="atLeast"/>
        </w:trPr>
        <w:tc>
          <w:tcPr>
            <w:tcW w:w="420" w:type="dxa"/>
            <w:vMerge w:val="continue"/>
            <w:noWrap w:val="0"/>
            <w:tcMar>
              <w:top w:w="15" w:type="dxa"/>
              <w:left w:w="15" w:type="dxa"/>
              <w:right w:w="15" w:type="dxa"/>
            </w:tcMar>
            <w:vAlign w:val="center"/>
          </w:tcPr>
          <w:p w14:paraId="584F8BA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3B4B6C1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7D23BB4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50</w:t>
            </w:r>
          </w:p>
        </w:tc>
        <w:tc>
          <w:tcPr>
            <w:tcW w:w="570" w:type="dxa"/>
            <w:noWrap w:val="0"/>
            <w:tcMar>
              <w:top w:w="15" w:type="dxa"/>
              <w:left w:w="15" w:type="dxa"/>
              <w:right w:w="15" w:type="dxa"/>
            </w:tcMar>
            <w:vAlign w:val="center"/>
          </w:tcPr>
          <w:p w14:paraId="06A8F1E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一字扶手</w:t>
            </w:r>
          </w:p>
        </w:tc>
        <w:tc>
          <w:tcPr>
            <w:tcW w:w="2685" w:type="dxa"/>
            <w:noWrap w:val="0"/>
            <w:tcMar>
              <w:top w:w="15" w:type="dxa"/>
              <w:left w:w="15" w:type="dxa"/>
              <w:right w:w="15" w:type="dxa"/>
            </w:tcMar>
            <w:vAlign w:val="center"/>
          </w:tcPr>
          <w:p w14:paraId="4EA23E66">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一字型扶手：颜色白色黄色可选，边长：370到1000mm可选，扶手外层为ABS抗菌尼龙材质，直径为35mm，内层不锈钢钢管直径28mm，厚度为1.0mm复合而成。扶手表面防滑浮点厚度为0.5mm，扶手承重力≥200kg。</w:t>
            </w:r>
            <w:r>
              <w:rPr>
                <w:rFonts w:hint="eastAsia" w:ascii="宋体" w:hAnsi="宋体" w:eastAsia="宋体" w:cs="宋体"/>
                <w:color w:val="000000"/>
                <w:kern w:val="0"/>
                <w:sz w:val="21"/>
                <w:szCs w:val="21"/>
                <w:highlight w:val="none"/>
                <w:lang w:val="en-US" w:eastAsia="zh-CN" w:bidi="ar"/>
              </w:rPr>
              <w:t>含配件及安装。</w:t>
            </w:r>
          </w:p>
        </w:tc>
        <w:tc>
          <w:tcPr>
            <w:tcW w:w="480" w:type="dxa"/>
            <w:noWrap w:val="0"/>
            <w:tcMar>
              <w:top w:w="15" w:type="dxa"/>
              <w:left w:w="15" w:type="dxa"/>
              <w:right w:w="15" w:type="dxa"/>
            </w:tcMar>
            <w:vAlign w:val="center"/>
          </w:tcPr>
          <w:p w14:paraId="537BDAC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个</w:t>
            </w:r>
          </w:p>
        </w:tc>
        <w:tc>
          <w:tcPr>
            <w:tcW w:w="600" w:type="dxa"/>
            <w:noWrap w:val="0"/>
            <w:tcMar>
              <w:top w:w="15" w:type="dxa"/>
              <w:left w:w="15" w:type="dxa"/>
              <w:right w:w="15" w:type="dxa"/>
            </w:tcMar>
            <w:vAlign w:val="center"/>
          </w:tcPr>
          <w:p w14:paraId="79D099C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16EE488E">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1605" w:type="dxa"/>
            <w:noWrap w:val="0"/>
            <w:tcMar>
              <w:top w:w="15" w:type="dxa"/>
              <w:left w:w="15" w:type="dxa"/>
              <w:right w:w="15" w:type="dxa"/>
            </w:tcMar>
            <w:vAlign w:val="center"/>
          </w:tcPr>
          <w:p w14:paraId="22BAC0A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drawing>
                <wp:inline distT="0" distB="0" distL="114300" distR="114300">
                  <wp:extent cx="2404110" cy="944880"/>
                  <wp:effectExtent l="0" t="0" r="15240" b="7620"/>
                  <wp:docPr id="18" name="图片 5" descr="1615429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1615429583(1)"/>
                          <pic:cNvPicPr>
                            <a:picLocks noChangeAspect="1"/>
                          </pic:cNvPicPr>
                        </pic:nvPicPr>
                        <pic:blipFill>
                          <a:blip r:embed="rId12"/>
                          <a:stretch>
                            <a:fillRect/>
                          </a:stretch>
                        </pic:blipFill>
                        <pic:spPr>
                          <a:xfrm>
                            <a:off x="0" y="0"/>
                            <a:ext cx="2404110" cy="944880"/>
                          </a:xfrm>
                          <a:prstGeom prst="rect">
                            <a:avLst/>
                          </a:prstGeom>
                          <a:noFill/>
                          <a:ln>
                            <a:noFill/>
                          </a:ln>
                        </pic:spPr>
                      </pic:pic>
                    </a:graphicData>
                  </a:graphic>
                </wp:inline>
              </w:drawing>
            </w:r>
          </w:p>
        </w:tc>
        <w:tc>
          <w:tcPr>
            <w:tcW w:w="1626" w:type="dxa"/>
            <w:noWrap w:val="0"/>
            <w:tcMar>
              <w:top w:w="15" w:type="dxa"/>
              <w:left w:w="15" w:type="dxa"/>
              <w:right w:w="15" w:type="dxa"/>
            </w:tcMar>
            <w:vAlign w:val="center"/>
          </w:tcPr>
          <w:p w14:paraId="5DFC00ED">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永久亮</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凯进</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蒂乐姆</w:t>
            </w:r>
          </w:p>
        </w:tc>
      </w:tr>
      <w:tr w14:paraId="0A03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trPr>
        <w:tc>
          <w:tcPr>
            <w:tcW w:w="420" w:type="dxa"/>
            <w:vMerge w:val="continue"/>
            <w:noWrap w:val="0"/>
            <w:tcMar>
              <w:top w:w="15" w:type="dxa"/>
              <w:left w:w="15" w:type="dxa"/>
              <w:right w:w="15" w:type="dxa"/>
            </w:tcMar>
            <w:vAlign w:val="center"/>
          </w:tcPr>
          <w:p w14:paraId="7DCA55E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02F1D73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0EB01DEE">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51</w:t>
            </w:r>
          </w:p>
        </w:tc>
        <w:tc>
          <w:tcPr>
            <w:tcW w:w="570" w:type="dxa"/>
            <w:noWrap w:val="0"/>
            <w:tcMar>
              <w:top w:w="15" w:type="dxa"/>
              <w:left w:w="15" w:type="dxa"/>
              <w:right w:w="15" w:type="dxa"/>
            </w:tcMar>
            <w:vAlign w:val="center"/>
          </w:tcPr>
          <w:p w14:paraId="2302648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L型扶手</w:t>
            </w:r>
          </w:p>
        </w:tc>
        <w:tc>
          <w:tcPr>
            <w:tcW w:w="2685" w:type="dxa"/>
            <w:noWrap w:val="0"/>
            <w:tcMar>
              <w:top w:w="15" w:type="dxa"/>
              <w:left w:w="15" w:type="dxa"/>
              <w:right w:w="15" w:type="dxa"/>
            </w:tcMar>
            <w:vAlign w:val="center"/>
          </w:tcPr>
          <w:p w14:paraId="0963DA77">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L型扶手：白色黄色可选，尺寸：700*500mm，外层为ABS 抗菌尼龙材质，直径为35mm；内部管材不锈钢材质；表面凹凸花纹设计，防滑耐磨，扶手承重力≥200kg。</w:t>
            </w:r>
            <w:r>
              <w:rPr>
                <w:rFonts w:hint="eastAsia" w:ascii="宋体" w:hAnsi="宋体" w:eastAsia="宋体" w:cs="宋体"/>
                <w:color w:val="000000"/>
                <w:kern w:val="0"/>
                <w:sz w:val="21"/>
                <w:szCs w:val="21"/>
                <w:highlight w:val="none"/>
                <w:lang w:val="en-US" w:eastAsia="zh-CN" w:bidi="ar"/>
              </w:rPr>
              <w:t>含配件及安装。</w:t>
            </w:r>
          </w:p>
        </w:tc>
        <w:tc>
          <w:tcPr>
            <w:tcW w:w="480" w:type="dxa"/>
            <w:noWrap w:val="0"/>
            <w:tcMar>
              <w:top w:w="15" w:type="dxa"/>
              <w:left w:w="15" w:type="dxa"/>
              <w:right w:w="15" w:type="dxa"/>
            </w:tcMar>
            <w:vAlign w:val="center"/>
          </w:tcPr>
          <w:p w14:paraId="51004F2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个</w:t>
            </w:r>
          </w:p>
        </w:tc>
        <w:tc>
          <w:tcPr>
            <w:tcW w:w="600" w:type="dxa"/>
            <w:noWrap w:val="0"/>
            <w:tcMar>
              <w:top w:w="15" w:type="dxa"/>
              <w:left w:w="15" w:type="dxa"/>
              <w:right w:w="15" w:type="dxa"/>
            </w:tcMar>
            <w:vAlign w:val="center"/>
          </w:tcPr>
          <w:p w14:paraId="5958540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6E298517">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188</w:t>
            </w:r>
          </w:p>
        </w:tc>
        <w:tc>
          <w:tcPr>
            <w:tcW w:w="1605" w:type="dxa"/>
            <w:noWrap w:val="0"/>
            <w:tcMar>
              <w:top w:w="15" w:type="dxa"/>
              <w:left w:w="15" w:type="dxa"/>
              <w:right w:w="15" w:type="dxa"/>
            </w:tcMar>
            <w:vAlign w:val="center"/>
          </w:tcPr>
          <w:p w14:paraId="5A4A1EA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drawing>
                <wp:inline distT="0" distB="0" distL="114300" distR="114300">
                  <wp:extent cx="2217420" cy="769620"/>
                  <wp:effectExtent l="0" t="0" r="11430" b="11430"/>
                  <wp:docPr id="16" name="图片 6" descr="1615429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1615429254(1)"/>
                          <pic:cNvPicPr>
                            <a:picLocks noChangeAspect="1"/>
                          </pic:cNvPicPr>
                        </pic:nvPicPr>
                        <pic:blipFill>
                          <a:blip r:embed="rId13"/>
                          <a:stretch>
                            <a:fillRect/>
                          </a:stretch>
                        </pic:blipFill>
                        <pic:spPr>
                          <a:xfrm>
                            <a:off x="0" y="0"/>
                            <a:ext cx="2217420" cy="769620"/>
                          </a:xfrm>
                          <a:prstGeom prst="rect">
                            <a:avLst/>
                          </a:prstGeom>
                          <a:noFill/>
                          <a:ln>
                            <a:noFill/>
                          </a:ln>
                        </pic:spPr>
                      </pic:pic>
                    </a:graphicData>
                  </a:graphic>
                </wp:inline>
              </w:drawing>
            </w:r>
          </w:p>
        </w:tc>
        <w:tc>
          <w:tcPr>
            <w:tcW w:w="1626" w:type="dxa"/>
            <w:noWrap w:val="0"/>
            <w:tcMar>
              <w:top w:w="15" w:type="dxa"/>
              <w:left w:w="15" w:type="dxa"/>
              <w:right w:w="15" w:type="dxa"/>
            </w:tcMar>
            <w:vAlign w:val="center"/>
          </w:tcPr>
          <w:p w14:paraId="4331E92E">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永久亮</w:t>
            </w:r>
            <w:r>
              <w:rPr>
                <w:rFonts w:hint="eastAsia" w:ascii="宋体" w:hAnsi="宋体" w:eastAsia="宋体" w:cs="宋体"/>
                <w:color w:val="000000"/>
                <w:kern w:val="0"/>
                <w:sz w:val="21"/>
                <w:szCs w:val="21"/>
                <w:highlight w:val="none"/>
                <w:lang w:eastAsia="zh-CN" w:bidi="ar"/>
              </w:rPr>
              <w:t>、</w:t>
            </w:r>
          </w:p>
          <w:p w14:paraId="7596C9B4">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凯进</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蒂乐姆</w:t>
            </w:r>
          </w:p>
        </w:tc>
      </w:tr>
      <w:tr w14:paraId="3A07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trPr>
        <w:tc>
          <w:tcPr>
            <w:tcW w:w="420" w:type="dxa"/>
            <w:vMerge w:val="continue"/>
            <w:noWrap w:val="0"/>
            <w:tcMar>
              <w:top w:w="15" w:type="dxa"/>
              <w:left w:w="15" w:type="dxa"/>
              <w:right w:w="15" w:type="dxa"/>
            </w:tcMar>
            <w:vAlign w:val="center"/>
          </w:tcPr>
          <w:p w14:paraId="1EEA267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45EE3BA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268155F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5</w:t>
            </w:r>
            <w:r>
              <w:rPr>
                <w:rFonts w:hint="eastAsia" w:ascii="宋体" w:hAnsi="宋体" w:eastAsia="宋体" w:cs="宋体"/>
                <w:color w:val="000000"/>
                <w:kern w:val="0"/>
                <w:sz w:val="21"/>
                <w:szCs w:val="21"/>
                <w:highlight w:val="none"/>
                <w:lang w:val="en-US" w:eastAsia="zh-CN" w:bidi="ar"/>
              </w:rPr>
              <w:t>2</w:t>
            </w:r>
          </w:p>
        </w:tc>
        <w:tc>
          <w:tcPr>
            <w:tcW w:w="570" w:type="dxa"/>
            <w:noWrap w:val="0"/>
            <w:tcMar>
              <w:top w:w="15" w:type="dxa"/>
              <w:left w:w="15" w:type="dxa"/>
              <w:right w:w="15" w:type="dxa"/>
            </w:tcMar>
            <w:vAlign w:val="center"/>
          </w:tcPr>
          <w:p w14:paraId="69B5E11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U型上翻 落地扶手</w:t>
            </w:r>
          </w:p>
        </w:tc>
        <w:tc>
          <w:tcPr>
            <w:tcW w:w="2685" w:type="dxa"/>
            <w:noWrap w:val="0"/>
            <w:tcMar>
              <w:top w:w="15" w:type="dxa"/>
              <w:left w:w="15" w:type="dxa"/>
              <w:right w:w="15" w:type="dxa"/>
            </w:tcMar>
            <w:vAlign w:val="center"/>
          </w:tcPr>
          <w:p w14:paraId="4927CF78">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上翻可落地扶手：白色黄色可选，尺寸：700*600mm，外层为ABS 抗菌尼龙材质，直径为35mm；内部管材不锈钢材质；表面凹凸花纹设计，防滑耐磨，扶手承重力≥200kg。</w:t>
            </w:r>
            <w:r>
              <w:rPr>
                <w:rFonts w:hint="eastAsia" w:ascii="宋体" w:hAnsi="宋体" w:eastAsia="宋体" w:cs="宋体"/>
                <w:color w:val="000000"/>
                <w:kern w:val="0"/>
                <w:sz w:val="21"/>
                <w:szCs w:val="21"/>
                <w:highlight w:val="none"/>
                <w:lang w:val="en-US" w:eastAsia="zh-CN" w:bidi="ar"/>
              </w:rPr>
              <w:t>含配件及安装。</w:t>
            </w:r>
          </w:p>
        </w:tc>
        <w:tc>
          <w:tcPr>
            <w:tcW w:w="480" w:type="dxa"/>
            <w:noWrap w:val="0"/>
            <w:tcMar>
              <w:top w:w="15" w:type="dxa"/>
              <w:left w:w="15" w:type="dxa"/>
              <w:right w:w="15" w:type="dxa"/>
            </w:tcMar>
            <w:vAlign w:val="center"/>
          </w:tcPr>
          <w:p w14:paraId="0F72D90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个</w:t>
            </w:r>
          </w:p>
        </w:tc>
        <w:tc>
          <w:tcPr>
            <w:tcW w:w="600" w:type="dxa"/>
            <w:noWrap w:val="0"/>
            <w:tcMar>
              <w:top w:w="15" w:type="dxa"/>
              <w:left w:w="15" w:type="dxa"/>
              <w:right w:w="15" w:type="dxa"/>
            </w:tcMar>
            <w:vAlign w:val="center"/>
          </w:tcPr>
          <w:p w14:paraId="74D9F4BF">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63AC15C8">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1605" w:type="dxa"/>
            <w:noWrap w:val="0"/>
            <w:tcMar>
              <w:top w:w="15" w:type="dxa"/>
              <w:left w:w="15" w:type="dxa"/>
              <w:right w:w="15" w:type="dxa"/>
            </w:tcMar>
            <w:vAlign w:val="center"/>
          </w:tcPr>
          <w:p w14:paraId="547501D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56005D3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永久亮</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凯进</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蒂乐姆</w:t>
            </w:r>
          </w:p>
        </w:tc>
      </w:tr>
      <w:tr w14:paraId="0589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trPr>
        <w:tc>
          <w:tcPr>
            <w:tcW w:w="420" w:type="dxa"/>
            <w:vMerge w:val="continue"/>
            <w:noWrap w:val="0"/>
            <w:tcMar>
              <w:top w:w="15" w:type="dxa"/>
              <w:left w:w="15" w:type="dxa"/>
              <w:right w:w="15" w:type="dxa"/>
            </w:tcMar>
            <w:vAlign w:val="center"/>
          </w:tcPr>
          <w:p w14:paraId="13139B7B">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78ACAB6F">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6EC398BE">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53</w:t>
            </w:r>
          </w:p>
        </w:tc>
        <w:tc>
          <w:tcPr>
            <w:tcW w:w="570" w:type="dxa"/>
            <w:noWrap w:val="0"/>
            <w:tcMar>
              <w:top w:w="15" w:type="dxa"/>
              <w:left w:w="15" w:type="dxa"/>
              <w:right w:w="15" w:type="dxa"/>
            </w:tcMar>
            <w:vAlign w:val="center"/>
          </w:tcPr>
          <w:p w14:paraId="5DCB0FBD">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上翻洗澡椅</w:t>
            </w:r>
          </w:p>
        </w:tc>
        <w:tc>
          <w:tcPr>
            <w:tcW w:w="2685" w:type="dxa"/>
            <w:noWrap w:val="0"/>
            <w:tcMar>
              <w:top w:w="15" w:type="dxa"/>
              <w:left w:w="15" w:type="dxa"/>
              <w:right w:w="15" w:type="dxa"/>
            </w:tcMar>
            <w:vAlign w:val="center"/>
          </w:tcPr>
          <w:p w14:paraId="01224B20">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尼龙材料，带支撑腿，内层不锈钢管，表面防滑抗菌，防老化，易清洁，白色黄色可选，安装简单，易固定、稳定性强，座板尺寸</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31.5×38.5cm 。</w:t>
            </w:r>
            <w:r>
              <w:rPr>
                <w:rFonts w:hint="eastAsia" w:ascii="宋体" w:hAnsi="宋体" w:eastAsia="宋体" w:cs="宋体"/>
                <w:color w:val="000000"/>
                <w:kern w:val="0"/>
                <w:sz w:val="21"/>
                <w:szCs w:val="21"/>
                <w:highlight w:val="none"/>
                <w:lang w:val="en-US" w:eastAsia="zh-CN" w:bidi="ar"/>
              </w:rPr>
              <w:t>含配件及安装。</w:t>
            </w:r>
          </w:p>
        </w:tc>
        <w:tc>
          <w:tcPr>
            <w:tcW w:w="480" w:type="dxa"/>
            <w:noWrap w:val="0"/>
            <w:tcMar>
              <w:top w:w="15" w:type="dxa"/>
              <w:left w:w="15" w:type="dxa"/>
              <w:right w:w="15" w:type="dxa"/>
            </w:tcMar>
            <w:vAlign w:val="center"/>
          </w:tcPr>
          <w:p w14:paraId="5244839F">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个</w:t>
            </w:r>
          </w:p>
        </w:tc>
        <w:tc>
          <w:tcPr>
            <w:tcW w:w="600" w:type="dxa"/>
            <w:noWrap w:val="0"/>
            <w:tcMar>
              <w:top w:w="15" w:type="dxa"/>
              <w:left w:w="15" w:type="dxa"/>
              <w:right w:w="15" w:type="dxa"/>
            </w:tcMar>
            <w:vAlign w:val="center"/>
          </w:tcPr>
          <w:p w14:paraId="399BC349">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p>
        </w:tc>
        <w:tc>
          <w:tcPr>
            <w:tcW w:w="735" w:type="dxa"/>
            <w:noWrap w:val="0"/>
            <w:tcMar>
              <w:top w:w="15" w:type="dxa"/>
              <w:left w:w="15" w:type="dxa"/>
              <w:right w:w="15" w:type="dxa"/>
            </w:tcMar>
            <w:vAlign w:val="center"/>
          </w:tcPr>
          <w:p w14:paraId="563567B3">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336</w:t>
            </w:r>
          </w:p>
        </w:tc>
        <w:tc>
          <w:tcPr>
            <w:tcW w:w="1605" w:type="dxa"/>
            <w:noWrap w:val="0"/>
            <w:tcMar>
              <w:top w:w="15" w:type="dxa"/>
              <w:left w:w="15" w:type="dxa"/>
              <w:right w:w="15" w:type="dxa"/>
            </w:tcMar>
            <w:vAlign w:val="center"/>
          </w:tcPr>
          <w:p w14:paraId="7530C3A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12A3476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永久亮</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凯进</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蒂乐姆</w:t>
            </w:r>
          </w:p>
        </w:tc>
      </w:tr>
      <w:tr w14:paraId="1022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trPr>
        <w:tc>
          <w:tcPr>
            <w:tcW w:w="420" w:type="dxa"/>
            <w:vMerge w:val="continue"/>
            <w:noWrap w:val="0"/>
            <w:tcMar>
              <w:top w:w="15" w:type="dxa"/>
              <w:left w:w="15" w:type="dxa"/>
              <w:right w:w="15" w:type="dxa"/>
            </w:tcMar>
            <w:vAlign w:val="center"/>
          </w:tcPr>
          <w:p w14:paraId="66F3DC1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495DA9E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74566BD6">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5</w:t>
            </w:r>
            <w:r>
              <w:rPr>
                <w:rFonts w:hint="eastAsia" w:ascii="宋体" w:hAnsi="宋体" w:eastAsia="宋体" w:cs="宋体"/>
                <w:color w:val="000000"/>
                <w:kern w:val="0"/>
                <w:sz w:val="21"/>
                <w:szCs w:val="21"/>
                <w:highlight w:val="none"/>
                <w:lang w:val="en-US" w:eastAsia="zh-CN" w:bidi="ar"/>
              </w:rPr>
              <w:t>4</w:t>
            </w:r>
          </w:p>
        </w:tc>
        <w:tc>
          <w:tcPr>
            <w:tcW w:w="570" w:type="dxa"/>
            <w:noWrap w:val="0"/>
            <w:tcMar>
              <w:top w:w="15" w:type="dxa"/>
              <w:left w:w="15" w:type="dxa"/>
              <w:right w:w="15" w:type="dxa"/>
            </w:tcMar>
            <w:vAlign w:val="center"/>
          </w:tcPr>
          <w:p w14:paraId="1193E8BD">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可拆卸式马桶扶手</w:t>
            </w:r>
          </w:p>
        </w:tc>
        <w:tc>
          <w:tcPr>
            <w:tcW w:w="2685" w:type="dxa"/>
            <w:noWrap w:val="0"/>
            <w:tcMar>
              <w:top w:w="15" w:type="dxa"/>
              <w:left w:w="15" w:type="dxa"/>
              <w:right w:w="15" w:type="dxa"/>
            </w:tcMar>
            <w:vAlign w:val="center"/>
          </w:tcPr>
          <w:p w14:paraId="1E9729C4">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材质∶ PP扶手，钢管支架，无需打孔安装，可直接固定在座便器，拆卸方便，扶手上下≥3档调节，适合不同老人对不同高度的需求，扶手可上翻收起，方便老人进出。</w:t>
            </w:r>
            <w:r>
              <w:rPr>
                <w:rFonts w:hint="eastAsia" w:ascii="宋体" w:hAnsi="宋体" w:eastAsia="宋体" w:cs="宋体"/>
                <w:color w:val="000000"/>
                <w:kern w:val="0"/>
                <w:sz w:val="21"/>
                <w:szCs w:val="21"/>
                <w:highlight w:val="none"/>
                <w:lang w:val="en-US" w:eastAsia="zh-CN" w:bidi="ar"/>
              </w:rPr>
              <w:t>含配件及安装。</w:t>
            </w:r>
          </w:p>
        </w:tc>
        <w:tc>
          <w:tcPr>
            <w:tcW w:w="480" w:type="dxa"/>
            <w:noWrap w:val="0"/>
            <w:tcMar>
              <w:top w:w="15" w:type="dxa"/>
              <w:left w:w="15" w:type="dxa"/>
              <w:right w:w="15" w:type="dxa"/>
            </w:tcMar>
            <w:vAlign w:val="center"/>
          </w:tcPr>
          <w:p w14:paraId="7BC806F8">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个</w:t>
            </w:r>
          </w:p>
        </w:tc>
        <w:tc>
          <w:tcPr>
            <w:tcW w:w="600" w:type="dxa"/>
            <w:noWrap w:val="0"/>
            <w:tcMar>
              <w:top w:w="15" w:type="dxa"/>
              <w:left w:w="15" w:type="dxa"/>
              <w:right w:w="15" w:type="dxa"/>
            </w:tcMar>
            <w:vAlign w:val="center"/>
          </w:tcPr>
          <w:p w14:paraId="1B712F3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3BA68B1D">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640</w:t>
            </w:r>
          </w:p>
        </w:tc>
        <w:tc>
          <w:tcPr>
            <w:tcW w:w="1605" w:type="dxa"/>
            <w:noWrap w:val="0"/>
            <w:tcMar>
              <w:top w:w="15" w:type="dxa"/>
              <w:left w:w="15" w:type="dxa"/>
              <w:right w:w="15" w:type="dxa"/>
            </w:tcMar>
            <w:vAlign w:val="center"/>
          </w:tcPr>
          <w:p w14:paraId="5C554B0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6C09F93D">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大仁</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法仕德</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永久亮</w:t>
            </w:r>
          </w:p>
        </w:tc>
      </w:tr>
      <w:tr w14:paraId="6EA4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9" w:hRule="atLeast"/>
        </w:trPr>
        <w:tc>
          <w:tcPr>
            <w:tcW w:w="420" w:type="dxa"/>
            <w:vMerge w:val="continue"/>
            <w:noWrap w:val="0"/>
            <w:tcMar>
              <w:top w:w="15" w:type="dxa"/>
              <w:left w:w="15" w:type="dxa"/>
              <w:right w:w="15" w:type="dxa"/>
            </w:tcMar>
            <w:vAlign w:val="center"/>
          </w:tcPr>
          <w:p w14:paraId="5EC9A4E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08F75BA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3B1BB3F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5</w:t>
            </w:r>
            <w:r>
              <w:rPr>
                <w:rFonts w:hint="eastAsia" w:ascii="宋体" w:hAnsi="宋体" w:eastAsia="宋体" w:cs="宋体"/>
                <w:color w:val="000000"/>
                <w:kern w:val="0"/>
                <w:sz w:val="21"/>
                <w:szCs w:val="21"/>
                <w:highlight w:val="none"/>
                <w:lang w:val="en-US" w:eastAsia="zh-CN" w:bidi="ar"/>
              </w:rPr>
              <w:t>5</w:t>
            </w:r>
          </w:p>
        </w:tc>
        <w:tc>
          <w:tcPr>
            <w:tcW w:w="570" w:type="dxa"/>
            <w:noWrap w:val="0"/>
            <w:tcMar>
              <w:top w:w="15" w:type="dxa"/>
              <w:left w:w="15" w:type="dxa"/>
              <w:right w:w="15" w:type="dxa"/>
            </w:tcMar>
            <w:vAlign w:val="center"/>
          </w:tcPr>
          <w:p w14:paraId="6CAEDEDA">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ABS扶手</w:t>
            </w:r>
          </w:p>
        </w:tc>
        <w:tc>
          <w:tcPr>
            <w:tcW w:w="2685" w:type="dxa"/>
            <w:noWrap w:val="0"/>
            <w:tcMar>
              <w:top w:w="15" w:type="dxa"/>
              <w:left w:w="15" w:type="dxa"/>
              <w:right w:w="15" w:type="dxa"/>
            </w:tcMar>
            <w:vAlign w:val="center"/>
          </w:tcPr>
          <w:p w14:paraId="38DAA802">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主体颜色为黄色，表面ABS抗菌尼龙，有防滑凸点，具有保温，抗菌功能。内部铝合金。整体直径3.5CM，龙骨直径2.8cm。适用于室内通道、楼梯、台阶靠墙安装。</w:t>
            </w:r>
            <w:r>
              <w:rPr>
                <w:rFonts w:hint="eastAsia" w:ascii="宋体" w:hAnsi="宋体" w:eastAsia="宋体" w:cs="宋体"/>
                <w:color w:val="000000"/>
                <w:kern w:val="0"/>
                <w:sz w:val="21"/>
                <w:szCs w:val="21"/>
                <w:highlight w:val="none"/>
                <w:lang w:val="en-US" w:eastAsia="zh-CN" w:bidi="ar"/>
              </w:rPr>
              <w:t>含配件及安装。</w:t>
            </w:r>
          </w:p>
        </w:tc>
        <w:tc>
          <w:tcPr>
            <w:tcW w:w="480" w:type="dxa"/>
            <w:noWrap w:val="0"/>
            <w:tcMar>
              <w:top w:w="15" w:type="dxa"/>
              <w:left w:w="15" w:type="dxa"/>
              <w:right w:w="15" w:type="dxa"/>
            </w:tcMar>
            <w:vAlign w:val="center"/>
          </w:tcPr>
          <w:p w14:paraId="790E4BC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米</w:t>
            </w:r>
          </w:p>
        </w:tc>
        <w:tc>
          <w:tcPr>
            <w:tcW w:w="600" w:type="dxa"/>
            <w:noWrap w:val="0"/>
            <w:tcMar>
              <w:top w:w="15" w:type="dxa"/>
              <w:left w:w="15" w:type="dxa"/>
              <w:right w:w="15" w:type="dxa"/>
            </w:tcMar>
            <w:vAlign w:val="center"/>
          </w:tcPr>
          <w:p w14:paraId="7DEC58B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71920786">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605" w:type="dxa"/>
            <w:noWrap w:val="0"/>
            <w:tcMar>
              <w:top w:w="15" w:type="dxa"/>
              <w:left w:w="15" w:type="dxa"/>
              <w:right w:w="15" w:type="dxa"/>
            </w:tcMar>
            <w:vAlign w:val="center"/>
          </w:tcPr>
          <w:p w14:paraId="67E4427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23BC6AF6">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永久亮</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凯进</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蒂乐姆</w:t>
            </w:r>
          </w:p>
        </w:tc>
      </w:tr>
      <w:tr w14:paraId="619D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5AA6E27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noWrap w:val="0"/>
            <w:tcMar>
              <w:top w:w="15" w:type="dxa"/>
              <w:left w:w="15" w:type="dxa"/>
              <w:right w:w="15" w:type="dxa"/>
            </w:tcMar>
            <w:vAlign w:val="center"/>
          </w:tcPr>
          <w:p w14:paraId="6F178D9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58D9A554">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56</w:t>
            </w:r>
          </w:p>
        </w:tc>
        <w:tc>
          <w:tcPr>
            <w:tcW w:w="570" w:type="dxa"/>
            <w:noWrap w:val="0"/>
            <w:tcMar>
              <w:top w:w="15" w:type="dxa"/>
              <w:left w:w="15" w:type="dxa"/>
              <w:right w:w="15" w:type="dxa"/>
            </w:tcMar>
            <w:vAlign w:val="center"/>
          </w:tcPr>
          <w:p w14:paraId="553FCEA9">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PVC扶手</w:t>
            </w:r>
          </w:p>
        </w:tc>
        <w:tc>
          <w:tcPr>
            <w:tcW w:w="2685" w:type="dxa"/>
            <w:noWrap w:val="0"/>
            <w:tcMar>
              <w:top w:w="15" w:type="dxa"/>
              <w:left w:w="15" w:type="dxa"/>
              <w:right w:w="15" w:type="dxa"/>
            </w:tcMar>
            <w:vAlign w:val="center"/>
          </w:tcPr>
          <w:p w14:paraId="1FAF357F">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外层PVC材质，内层为不锈钢或铝合金，圆形，直径为35-50mm;适用于室内通道、楼梯、台阶等靠墙安装。</w:t>
            </w:r>
            <w:r>
              <w:rPr>
                <w:rFonts w:hint="eastAsia" w:ascii="宋体" w:hAnsi="宋体" w:eastAsia="宋体" w:cs="宋体"/>
                <w:color w:val="000000"/>
                <w:kern w:val="0"/>
                <w:sz w:val="21"/>
                <w:szCs w:val="21"/>
                <w:highlight w:val="none"/>
                <w:lang w:val="en-US" w:eastAsia="zh-CN" w:bidi="ar"/>
              </w:rPr>
              <w:t>含配件及安装。</w:t>
            </w:r>
          </w:p>
        </w:tc>
        <w:tc>
          <w:tcPr>
            <w:tcW w:w="480" w:type="dxa"/>
            <w:noWrap w:val="0"/>
            <w:tcMar>
              <w:top w:w="15" w:type="dxa"/>
              <w:left w:w="15" w:type="dxa"/>
              <w:right w:w="15" w:type="dxa"/>
            </w:tcMar>
            <w:vAlign w:val="center"/>
          </w:tcPr>
          <w:p w14:paraId="59CA7E6F">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米</w:t>
            </w:r>
          </w:p>
        </w:tc>
        <w:tc>
          <w:tcPr>
            <w:tcW w:w="600" w:type="dxa"/>
            <w:noWrap w:val="0"/>
            <w:tcMar>
              <w:top w:w="15" w:type="dxa"/>
              <w:left w:w="15" w:type="dxa"/>
              <w:right w:w="15" w:type="dxa"/>
            </w:tcMar>
            <w:vAlign w:val="center"/>
          </w:tcPr>
          <w:p w14:paraId="1566A3FC">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2CF783EE">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605" w:type="dxa"/>
            <w:noWrap w:val="0"/>
            <w:tcMar>
              <w:top w:w="15" w:type="dxa"/>
              <w:left w:w="15" w:type="dxa"/>
              <w:right w:w="15" w:type="dxa"/>
            </w:tcMar>
            <w:vAlign w:val="center"/>
          </w:tcPr>
          <w:p w14:paraId="178F544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1ACA2704">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永久亮</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凯进</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蒂乐姆</w:t>
            </w:r>
          </w:p>
        </w:tc>
      </w:tr>
      <w:tr w14:paraId="6974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4" w:hRule="atLeast"/>
        </w:trPr>
        <w:tc>
          <w:tcPr>
            <w:tcW w:w="420" w:type="dxa"/>
            <w:vMerge w:val="continue"/>
            <w:noWrap w:val="0"/>
            <w:tcMar>
              <w:top w:w="15" w:type="dxa"/>
              <w:left w:w="15" w:type="dxa"/>
              <w:right w:w="15" w:type="dxa"/>
            </w:tcMar>
            <w:vAlign w:val="center"/>
          </w:tcPr>
          <w:p w14:paraId="361131C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restart"/>
            <w:noWrap w:val="0"/>
            <w:tcMar>
              <w:top w:w="15" w:type="dxa"/>
              <w:left w:w="15" w:type="dxa"/>
              <w:right w:w="15" w:type="dxa"/>
            </w:tcMar>
            <w:vAlign w:val="center"/>
          </w:tcPr>
          <w:p w14:paraId="127C1A4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35072F5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57</w:t>
            </w:r>
          </w:p>
        </w:tc>
        <w:tc>
          <w:tcPr>
            <w:tcW w:w="570" w:type="dxa"/>
            <w:noWrap w:val="0"/>
            <w:tcMar>
              <w:top w:w="15" w:type="dxa"/>
              <w:left w:w="15" w:type="dxa"/>
              <w:right w:w="15" w:type="dxa"/>
            </w:tcMar>
            <w:vAlign w:val="center"/>
          </w:tcPr>
          <w:p w14:paraId="6CD6289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实木扶手</w:t>
            </w:r>
          </w:p>
        </w:tc>
        <w:tc>
          <w:tcPr>
            <w:tcW w:w="2685" w:type="dxa"/>
            <w:noWrap w:val="0"/>
            <w:tcMar>
              <w:top w:w="15" w:type="dxa"/>
              <w:left w:w="15" w:type="dxa"/>
              <w:right w:w="15" w:type="dxa"/>
            </w:tcMar>
            <w:vAlign w:val="center"/>
          </w:tcPr>
          <w:p w14:paraId="3C9BE59D">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1.尺寸：直径35mm；</w:t>
            </w:r>
          </w:p>
          <w:p w14:paraId="4DF54E2E">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2.产品构造：集成材、长度方向指接、三层叠厚；</w:t>
            </w:r>
          </w:p>
          <w:p w14:paraId="3D2BA0DD">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3.产品规格：使用符合环保要求油漆、粘合剂；</w:t>
            </w:r>
          </w:p>
          <w:p w14:paraId="222313E1">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A/A级别、边材可以使用、无黑色材。含水量：8%-12%、指接和拼接无缝隙。弯曲度在0.3%；</w:t>
            </w:r>
          </w:p>
          <w:p w14:paraId="16F4B251">
            <w:pPr>
              <w:pStyle w:val="21"/>
              <w:keepNext w:val="0"/>
              <w:keepLines w:val="0"/>
              <w:pageBreakBefore w:val="0"/>
              <w:shd w:val="clear" w:color="auto" w:fill="auto"/>
              <w:kinsoku/>
              <w:wordWrap/>
              <w:overflowPunct/>
              <w:topLinePunct w:val="0"/>
              <w:bidi w:val="0"/>
              <w:spacing w:line="240" w:lineRule="auto"/>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含配件及安装。</w:t>
            </w:r>
          </w:p>
        </w:tc>
        <w:tc>
          <w:tcPr>
            <w:tcW w:w="480" w:type="dxa"/>
            <w:noWrap w:val="0"/>
            <w:tcMar>
              <w:top w:w="15" w:type="dxa"/>
              <w:left w:w="15" w:type="dxa"/>
              <w:right w:w="15" w:type="dxa"/>
            </w:tcMar>
            <w:vAlign w:val="center"/>
          </w:tcPr>
          <w:p w14:paraId="2CC7B808">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米</w:t>
            </w:r>
          </w:p>
        </w:tc>
        <w:tc>
          <w:tcPr>
            <w:tcW w:w="600" w:type="dxa"/>
            <w:noWrap w:val="0"/>
            <w:tcMar>
              <w:top w:w="15" w:type="dxa"/>
              <w:left w:w="15" w:type="dxa"/>
              <w:right w:w="15" w:type="dxa"/>
            </w:tcMar>
            <w:vAlign w:val="center"/>
          </w:tcPr>
          <w:p w14:paraId="0CBF9C6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25E4BB2D">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605" w:type="dxa"/>
            <w:noWrap w:val="0"/>
            <w:tcMar>
              <w:top w:w="15" w:type="dxa"/>
              <w:left w:w="15" w:type="dxa"/>
              <w:right w:w="15" w:type="dxa"/>
            </w:tcMar>
            <w:vAlign w:val="center"/>
          </w:tcPr>
          <w:p w14:paraId="2A713B9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528D09E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永久亮</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凯进</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海特木业</w:t>
            </w:r>
            <w:r>
              <w:rPr>
                <w:rFonts w:hint="eastAsia" w:ascii="宋体" w:hAnsi="宋体" w:eastAsia="宋体" w:cs="宋体"/>
                <w:color w:val="000000"/>
                <w:sz w:val="21"/>
                <w:szCs w:val="21"/>
                <w:highlight w:val="none"/>
              </w:rPr>
              <w:t>或者相当于</w:t>
            </w:r>
            <w:r>
              <w:rPr>
                <w:rFonts w:hint="eastAsia" w:ascii="宋体" w:hAnsi="宋体" w:eastAsia="宋体" w:cs="宋体"/>
                <w:color w:val="000000"/>
                <w:kern w:val="0"/>
                <w:sz w:val="21"/>
                <w:szCs w:val="21"/>
                <w:highlight w:val="none"/>
                <w:lang w:val="en-US" w:eastAsia="zh-CN" w:bidi="ar"/>
              </w:rPr>
              <w:t xml:space="preserve"> </w:t>
            </w:r>
          </w:p>
        </w:tc>
      </w:tr>
      <w:tr w14:paraId="7DA0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623F4E2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7BA1864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3F709E0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5</w:t>
            </w:r>
            <w:r>
              <w:rPr>
                <w:rFonts w:hint="eastAsia" w:ascii="宋体" w:hAnsi="宋体" w:eastAsia="宋体" w:cs="宋体"/>
                <w:color w:val="000000"/>
                <w:kern w:val="0"/>
                <w:sz w:val="21"/>
                <w:szCs w:val="21"/>
                <w:highlight w:val="none"/>
                <w:lang w:val="en-US" w:eastAsia="zh-CN" w:bidi="ar"/>
              </w:rPr>
              <w:t>8</w:t>
            </w:r>
          </w:p>
        </w:tc>
        <w:tc>
          <w:tcPr>
            <w:tcW w:w="570" w:type="dxa"/>
            <w:noWrap w:val="0"/>
            <w:tcMar>
              <w:top w:w="15" w:type="dxa"/>
              <w:left w:w="15" w:type="dxa"/>
              <w:right w:w="15" w:type="dxa"/>
            </w:tcMar>
            <w:vAlign w:val="center"/>
          </w:tcPr>
          <w:p w14:paraId="09D408F4">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不锈钢落地扶手</w:t>
            </w:r>
          </w:p>
        </w:tc>
        <w:tc>
          <w:tcPr>
            <w:tcW w:w="2685" w:type="dxa"/>
            <w:noWrap w:val="0"/>
            <w:tcMar>
              <w:top w:w="15" w:type="dxa"/>
              <w:left w:w="15" w:type="dxa"/>
              <w:right w:w="15" w:type="dxa"/>
            </w:tcMar>
            <w:vAlign w:val="center"/>
          </w:tcPr>
          <w:p w14:paraId="32A0E661">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全部采用304不锈钢管，含立柱，需上门实地安装。直径35-50mm，高度800-1000mm</w:t>
            </w:r>
            <w:r>
              <w:rPr>
                <w:rFonts w:hint="eastAsia" w:ascii="宋体" w:hAnsi="宋体" w:eastAsia="宋体" w:cs="宋体"/>
                <w:color w:val="000000"/>
                <w:kern w:val="0"/>
                <w:sz w:val="21"/>
                <w:szCs w:val="21"/>
                <w:highlight w:val="none"/>
                <w:lang w:eastAsia="zh-CN" w:bidi="ar"/>
              </w:rPr>
              <w:t>。</w:t>
            </w:r>
          </w:p>
        </w:tc>
        <w:tc>
          <w:tcPr>
            <w:tcW w:w="480" w:type="dxa"/>
            <w:noWrap w:val="0"/>
            <w:tcMar>
              <w:top w:w="15" w:type="dxa"/>
              <w:left w:w="15" w:type="dxa"/>
              <w:right w:w="15" w:type="dxa"/>
            </w:tcMar>
            <w:vAlign w:val="center"/>
          </w:tcPr>
          <w:p w14:paraId="71894AE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米</w:t>
            </w:r>
          </w:p>
        </w:tc>
        <w:tc>
          <w:tcPr>
            <w:tcW w:w="600" w:type="dxa"/>
            <w:noWrap w:val="0"/>
            <w:tcMar>
              <w:top w:w="15" w:type="dxa"/>
              <w:left w:w="15" w:type="dxa"/>
              <w:right w:w="15" w:type="dxa"/>
            </w:tcMar>
            <w:vAlign w:val="center"/>
          </w:tcPr>
          <w:p w14:paraId="3E78B3B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5C316A3F">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288</w:t>
            </w:r>
          </w:p>
        </w:tc>
        <w:tc>
          <w:tcPr>
            <w:tcW w:w="1605" w:type="dxa"/>
            <w:noWrap w:val="0"/>
            <w:tcMar>
              <w:top w:w="15" w:type="dxa"/>
              <w:left w:w="15" w:type="dxa"/>
              <w:right w:w="15" w:type="dxa"/>
            </w:tcMar>
            <w:vAlign w:val="center"/>
          </w:tcPr>
          <w:p w14:paraId="2B899DF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58CDD40F">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国产品牌</w:t>
            </w:r>
          </w:p>
        </w:tc>
      </w:tr>
      <w:tr w14:paraId="1D60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5F7428C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restart"/>
            <w:noWrap w:val="0"/>
            <w:tcMar>
              <w:top w:w="15" w:type="dxa"/>
              <w:left w:w="15" w:type="dxa"/>
              <w:right w:w="15" w:type="dxa"/>
            </w:tcMar>
            <w:vAlign w:val="center"/>
          </w:tcPr>
          <w:p w14:paraId="2724554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279F6923">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59</w:t>
            </w:r>
          </w:p>
        </w:tc>
        <w:tc>
          <w:tcPr>
            <w:tcW w:w="570" w:type="dxa"/>
            <w:noWrap w:val="0"/>
            <w:tcMar>
              <w:top w:w="15" w:type="dxa"/>
              <w:left w:w="15" w:type="dxa"/>
              <w:right w:w="15" w:type="dxa"/>
            </w:tcMar>
            <w:vAlign w:val="center"/>
          </w:tcPr>
          <w:p w14:paraId="6B4E943F">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床边扶手</w:t>
            </w:r>
          </w:p>
        </w:tc>
        <w:tc>
          <w:tcPr>
            <w:tcW w:w="2685" w:type="dxa"/>
            <w:noWrap w:val="0"/>
            <w:tcMar>
              <w:top w:w="15" w:type="dxa"/>
              <w:left w:w="15" w:type="dxa"/>
              <w:right w:w="15" w:type="dxa"/>
            </w:tcMar>
            <w:vAlign w:val="center"/>
          </w:tcPr>
          <w:p w14:paraId="608B4597">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扶手应采用无凉感的材质，底座采用稳固钢板材料，建议底座面积尺寸∶≥800*600mm，产品净重量≥20kg，提高使用安全性。</w:t>
            </w:r>
            <w:r>
              <w:rPr>
                <w:rFonts w:hint="eastAsia" w:ascii="宋体" w:hAnsi="宋体" w:eastAsia="宋体" w:cs="宋体"/>
                <w:color w:val="000000"/>
                <w:kern w:val="0"/>
                <w:sz w:val="21"/>
                <w:szCs w:val="21"/>
                <w:highlight w:val="none"/>
                <w:lang w:val="en-US" w:eastAsia="zh-CN" w:bidi="ar"/>
              </w:rPr>
              <w:t>含配件及安装。</w:t>
            </w:r>
          </w:p>
        </w:tc>
        <w:tc>
          <w:tcPr>
            <w:tcW w:w="480" w:type="dxa"/>
            <w:noWrap w:val="0"/>
            <w:tcMar>
              <w:top w:w="15" w:type="dxa"/>
              <w:left w:w="15" w:type="dxa"/>
              <w:right w:w="15" w:type="dxa"/>
            </w:tcMar>
            <w:vAlign w:val="center"/>
          </w:tcPr>
          <w:p w14:paraId="7CD1BBA9">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个</w:t>
            </w:r>
          </w:p>
        </w:tc>
        <w:tc>
          <w:tcPr>
            <w:tcW w:w="600" w:type="dxa"/>
            <w:noWrap w:val="0"/>
            <w:tcMar>
              <w:top w:w="15" w:type="dxa"/>
              <w:left w:w="15" w:type="dxa"/>
              <w:right w:w="15" w:type="dxa"/>
            </w:tcMar>
            <w:vAlign w:val="center"/>
          </w:tcPr>
          <w:p w14:paraId="6E76B93B">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43DAB07F">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605" w:type="dxa"/>
            <w:noWrap w:val="0"/>
            <w:tcMar>
              <w:top w:w="15" w:type="dxa"/>
              <w:left w:w="15" w:type="dxa"/>
              <w:right w:w="15" w:type="dxa"/>
            </w:tcMar>
            <w:vAlign w:val="center"/>
          </w:tcPr>
          <w:p w14:paraId="5268625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2865D6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法仕德</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永久亮</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黄麦</w:t>
            </w:r>
            <w:r>
              <w:rPr>
                <w:rFonts w:hint="eastAsia" w:ascii="宋体" w:hAnsi="宋体" w:eastAsia="宋体" w:cs="宋体"/>
                <w:color w:val="000000"/>
                <w:sz w:val="21"/>
                <w:szCs w:val="21"/>
                <w:highlight w:val="none"/>
              </w:rPr>
              <w:t>或者相当于</w:t>
            </w:r>
            <w:r>
              <w:rPr>
                <w:rFonts w:hint="eastAsia" w:ascii="宋体" w:hAnsi="宋体" w:eastAsia="宋体" w:cs="宋体"/>
                <w:color w:val="000000"/>
                <w:kern w:val="0"/>
                <w:sz w:val="21"/>
                <w:szCs w:val="21"/>
                <w:highlight w:val="none"/>
                <w:lang w:val="en-US" w:eastAsia="zh-CN" w:bidi="ar"/>
              </w:rPr>
              <w:t xml:space="preserve"> </w:t>
            </w:r>
          </w:p>
        </w:tc>
      </w:tr>
      <w:tr w14:paraId="7EFC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60BBA7E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78111B1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3680624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60</w:t>
            </w:r>
          </w:p>
        </w:tc>
        <w:tc>
          <w:tcPr>
            <w:tcW w:w="570" w:type="dxa"/>
            <w:noWrap w:val="0"/>
            <w:tcMar>
              <w:top w:w="15" w:type="dxa"/>
              <w:left w:w="15" w:type="dxa"/>
              <w:right w:w="15" w:type="dxa"/>
            </w:tcMar>
            <w:vAlign w:val="center"/>
          </w:tcPr>
          <w:p w14:paraId="011D145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拼接斜坡</w:t>
            </w:r>
          </w:p>
        </w:tc>
        <w:tc>
          <w:tcPr>
            <w:tcW w:w="2685" w:type="dxa"/>
            <w:noWrap w:val="0"/>
            <w:tcMar>
              <w:top w:w="15" w:type="dxa"/>
              <w:left w:w="15" w:type="dxa"/>
              <w:right w:w="15" w:type="dxa"/>
            </w:tcMar>
            <w:vAlign w:val="center"/>
          </w:tcPr>
          <w:p w14:paraId="32F6963E">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材质∶ PELD 及 PEHD 混合材料。性能∶表面防滑设计，安全性强。规格∶可根据实际情况灵活进行裁剪拼接，组装简单。</w:t>
            </w:r>
            <w:r>
              <w:rPr>
                <w:rFonts w:hint="eastAsia" w:ascii="宋体" w:hAnsi="宋体" w:eastAsia="宋体" w:cs="宋体"/>
                <w:color w:val="000000"/>
                <w:kern w:val="0"/>
                <w:sz w:val="21"/>
                <w:szCs w:val="21"/>
                <w:highlight w:val="none"/>
                <w:lang w:val="en-US" w:eastAsia="zh-CN" w:bidi="ar"/>
              </w:rPr>
              <w:t>含安装。</w:t>
            </w:r>
          </w:p>
        </w:tc>
        <w:tc>
          <w:tcPr>
            <w:tcW w:w="480" w:type="dxa"/>
            <w:noWrap w:val="0"/>
            <w:tcMar>
              <w:top w:w="15" w:type="dxa"/>
              <w:left w:w="15" w:type="dxa"/>
              <w:right w:w="15" w:type="dxa"/>
            </w:tcMar>
            <w:vAlign w:val="center"/>
          </w:tcPr>
          <w:p w14:paraId="342E889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米</w:t>
            </w:r>
          </w:p>
        </w:tc>
        <w:tc>
          <w:tcPr>
            <w:tcW w:w="600" w:type="dxa"/>
            <w:noWrap w:val="0"/>
            <w:tcMar>
              <w:top w:w="15" w:type="dxa"/>
              <w:left w:w="15" w:type="dxa"/>
              <w:right w:w="15" w:type="dxa"/>
            </w:tcMar>
            <w:vAlign w:val="center"/>
          </w:tcPr>
          <w:p w14:paraId="396EF6F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0DC90657">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605" w:type="dxa"/>
            <w:noWrap w:val="0"/>
            <w:tcMar>
              <w:top w:w="15" w:type="dxa"/>
              <w:left w:w="15" w:type="dxa"/>
              <w:right w:w="15" w:type="dxa"/>
            </w:tcMar>
            <w:vAlign w:val="center"/>
          </w:tcPr>
          <w:p w14:paraId="04E879A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1D9F3FAA">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明光达</w:t>
            </w:r>
            <w:r>
              <w:rPr>
                <w:rFonts w:hint="eastAsia" w:ascii="宋体" w:hAnsi="宋体" w:eastAsia="宋体" w:cs="宋体"/>
                <w:color w:val="000000"/>
                <w:kern w:val="0"/>
                <w:sz w:val="21"/>
                <w:szCs w:val="21"/>
                <w:highlight w:val="none"/>
                <w:lang w:eastAsia="zh-CN" w:bidi="ar"/>
              </w:rPr>
              <w:t>、</w:t>
            </w:r>
          </w:p>
          <w:p w14:paraId="1C053D4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威动力</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星飞</w:t>
            </w:r>
            <w:r>
              <w:rPr>
                <w:rFonts w:hint="eastAsia" w:ascii="宋体" w:hAnsi="宋体" w:eastAsia="宋体" w:cs="宋体"/>
                <w:color w:val="000000"/>
                <w:sz w:val="21"/>
                <w:szCs w:val="21"/>
                <w:highlight w:val="none"/>
              </w:rPr>
              <w:t>或者相当于</w:t>
            </w:r>
            <w:r>
              <w:rPr>
                <w:rFonts w:hint="eastAsia" w:ascii="宋体" w:hAnsi="宋体" w:eastAsia="宋体" w:cs="宋体"/>
                <w:color w:val="000000"/>
                <w:kern w:val="0"/>
                <w:sz w:val="21"/>
                <w:szCs w:val="21"/>
                <w:highlight w:val="none"/>
                <w:lang w:val="en-US" w:eastAsia="zh-CN" w:bidi="ar"/>
              </w:rPr>
              <w:t xml:space="preserve"> </w:t>
            </w:r>
          </w:p>
        </w:tc>
      </w:tr>
      <w:tr w14:paraId="6FB2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vMerge w:val="continue"/>
            <w:noWrap w:val="0"/>
            <w:tcMar>
              <w:top w:w="15" w:type="dxa"/>
              <w:left w:w="15" w:type="dxa"/>
              <w:right w:w="15" w:type="dxa"/>
            </w:tcMar>
            <w:vAlign w:val="center"/>
          </w:tcPr>
          <w:p w14:paraId="29CC9BA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260123C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28A1DDBA">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61</w:t>
            </w:r>
          </w:p>
        </w:tc>
        <w:tc>
          <w:tcPr>
            <w:tcW w:w="570" w:type="dxa"/>
            <w:noWrap w:val="0"/>
            <w:tcMar>
              <w:top w:w="15" w:type="dxa"/>
              <w:left w:w="15" w:type="dxa"/>
              <w:right w:w="15" w:type="dxa"/>
            </w:tcMar>
            <w:vAlign w:val="center"/>
          </w:tcPr>
          <w:p w14:paraId="0C95AB19">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橡胶坡道</w:t>
            </w:r>
          </w:p>
        </w:tc>
        <w:tc>
          <w:tcPr>
            <w:tcW w:w="2685" w:type="dxa"/>
            <w:noWrap w:val="0"/>
            <w:tcMar>
              <w:top w:w="15" w:type="dxa"/>
              <w:left w:w="15" w:type="dxa"/>
              <w:right w:w="15" w:type="dxa"/>
            </w:tcMar>
            <w:vAlign w:val="center"/>
          </w:tcPr>
          <w:p w14:paraId="6E9367AF">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材质∶天然橡胶，表面凹凸条纹防滑设计，耐水防滑、承重力高达500kg。</w:t>
            </w:r>
          </w:p>
        </w:tc>
        <w:tc>
          <w:tcPr>
            <w:tcW w:w="480" w:type="dxa"/>
            <w:noWrap w:val="0"/>
            <w:tcMar>
              <w:top w:w="15" w:type="dxa"/>
              <w:left w:w="15" w:type="dxa"/>
              <w:right w:w="15" w:type="dxa"/>
            </w:tcMar>
            <w:vAlign w:val="center"/>
          </w:tcPr>
          <w:p w14:paraId="59691A46">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块</w:t>
            </w:r>
          </w:p>
        </w:tc>
        <w:tc>
          <w:tcPr>
            <w:tcW w:w="600" w:type="dxa"/>
            <w:noWrap w:val="0"/>
            <w:tcMar>
              <w:top w:w="15" w:type="dxa"/>
              <w:left w:w="15" w:type="dxa"/>
              <w:right w:w="15" w:type="dxa"/>
            </w:tcMar>
            <w:vAlign w:val="center"/>
          </w:tcPr>
          <w:p w14:paraId="77803A2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276608EE">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320</w:t>
            </w:r>
          </w:p>
        </w:tc>
        <w:tc>
          <w:tcPr>
            <w:tcW w:w="1605" w:type="dxa"/>
            <w:noWrap w:val="0"/>
            <w:tcMar>
              <w:top w:w="15" w:type="dxa"/>
              <w:left w:w="15" w:type="dxa"/>
              <w:right w:w="15" w:type="dxa"/>
            </w:tcMar>
            <w:vAlign w:val="center"/>
          </w:tcPr>
          <w:p w14:paraId="7A9611C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2510859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路达曼</w:t>
            </w:r>
            <w:r>
              <w:rPr>
                <w:rFonts w:hint="eastAsia" w:ascii="宋体" w:hAnsi="宋体" w:eastAsia="宋体" w:cs="宋体"/>
                <w:color w:val="000000"/>
                <w:kern w:val="0"/>
                <w:sz w:val="21"/>
                <w:szCs w:val="21"/>
                <w:highlight w:val="none"/>
                <w:lang w:eastAsia="zh-CN" w:bidi="ar"/>
              </w:rPr>
              <w:t>、</w:t>
            </w:r>
          </w:p>
          <w:p w14:paraId="63C5B6F6">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星飞</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龙韵</w:t>
            </w:r>
            <w:r>
              <w:rPr>
                <w:rFonts w:hint="eastAsia" w:ascii="宋体" w:hAnsi="宋体" w:eastAsia="宋体" w:cs="宋体"/>
                <w:color w:val="000000"/>
                <w:sz w:val="21"/>
                <w:szCs w:val="21"/>
                <w:highlight w:val="none"/>
              </w:rPr>
              <w:t>或者相当于</w:t>
            </w:r>
            <w:r>
              <w:rPr>
                <w:rFonts w:hint="eastAsia" w:ascii="宋体" w:hAnsi="宋体" w:eastAsia="宋体" w:cs="宋体"/>
                <w:color w:val="000000"/>
                <w:kern w:val="0"/>
                <w:sz w:val="21"/>
                <w:szCs w:val="21"/>
                <w:highlight w:val="none"/>
                <w:lang w:val="en-US" w:eastAsia="zh-CN" w:bidi="ar"/>
              </w:rPr>
              <w:t xml:space="preserve"> </w:t>
            </w:r>
          </w:p>
        </w:tc>
      </w:tr>
      <w:tr w14:paraId="3896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41D87D5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2B44027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2D9EF1DE">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6</w:t>
            </w:r>
            <w:r>
              <w:rPr>
                <w:rFonts w:hint="eastAsia" w:ascii="宋体" w:hAnsi="宋体" w:eastAsia="宋体" w:cs="宋体"/>
                <w:color w:val="000000"/>
                <w:kern w:val="0"/>
                <w:sz w:val="21"/>
                <w:szCs w:val="21"/>
                <w:highlight w:val="none"/>
                <w:lang w:val="en-US" w:eastAsia="zh-CN" w:bidi="ar"/>
              </w:rPr>
              <w:t>2</w:t>
            </w:r>
          </w:p>
        </w:tc>
        <w:tc>
          <w:tcPr>
            <w:tcW w:w="570" w:type="dxa"/>
            <w:noWrap w:val="0"/>
            <w:tcMar>
              <w:top w:w="15" w:type="dxa"/>
              <w:left w:w="15" w:type="dxa"/>
              <w:right w:w="15" w:type="dxa"/>
            </w:tcMar>
            <w:vAlign w:val="center"/>
          </w:tcPr>
          <w:p w14:paraId="56355A0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水泥坡道</w:t>
            </w:r>
          </w:p>
        </w:tc>
        <w:tc>
          <w:tcPr>
            <w:tcW w:w="2685" w:type="dxa"/>
            <w:noWrap w:val="0"/>
            <w:tcMar>
              <w:top w:w="15" w:type="dxa"/>
              <w:left w:w="15" w:type="dxa"/>
              <w:right w:w="15" w:type="dxa"/>
            </w:tcMar>
            <w:vAlign w:val="center"/>
          </w:tcPr>
          <w:p w14:paraId="7302EC2F">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坡道宽度≧800。坡高≤350mm，高度与斜坡比例为1：8，坡高≤600mm，高度与斜坡比例为1：10，坡高≤750mm，高度与斜坡比例为1：12。</w:t>
            </w:r>
          </w:p>
        </w:tc>
        <w:tc>
          <w:tcPr>
            <w:tcW w:w="480" w:type="dxa"/>
            <w:noWrap w:val="0"/>
            <w:tcMar>
              <w:top w:w="15" w:type="dxa"/>
              <w:left w:w="15" w:type="dxa"/>
              <w:right w:w="15" w:type="dxa"/>
            </w:tcMar>
            <w:vAlign w:val="center"/>
          </w:tcPr>
          <w:p w14:paraId="6280DC7B">
            <w:pPr>
              <w:keepNext w:val="0"/>
              <w:keepLines w:val="0"/>
              <w:pageBreakBefore w:val="0"/>
              <w:widowControl/>
              <w:shd w:val="clear" w:color="auto" w:fill="auto"/>
              <w:kinsoku/>
              <w:wordWrap/>
              <w:overflowPunct/>
              <w:topLinePunct w:val="0"/>
              <w:bidi w:val="0"/>
              <w:spacing w:line="24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平方</w:t>
            </w:r>
          </w:p>
        </w:tc>
        <w:tc>
          <w:tcPr>
            <w:tcW w:w="600" w:type="dxa"/>
            <w:noWrap w:val="0"/>
            <w:tcMar>
              <w:top w:w="15" w:type="dxa"/>
              <w:left w:w="15" w:type="dxa"/>
              <w:right w:w="15" w:type="dxa"/>
            </w:tcMar>
            <w:vAlign w:val="center"/>
          </w:tcPr>
          <w:p w14:paraId="127F60B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30F0ED59">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605" w:type="dxa"/>
            <w:noWrap w:val="0"/>
            <w:tcMar>
              <w:top w:w="15" w:type="dxa"/>
              <w:left w:w="15" w:type="dxa"/>
              <w:right w:w="15" w:type="dxa"/>
            </w:tcMar>
            <w:vAlign w:val="center"/>
          </w:tcPr>
          <w:p w14:paraId="7FD4222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FA81D9B">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1BCE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vMerge w:val="continue"/>
            <w:noWrap w:val="0"/>
            <w:tcMar>
              <w:top w:w="15" w:type="dxa"/>
              <w:left w:w="15" w:type="dxa"/>
              <w:right w:w="15" w:type="dxa"/>
            </w:tcMar>
            <w:vAlign w:val="center"/>
          </w:tcPr>
          <w:p w14:paraId="4E829D0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7963046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10C0F593">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6</w:t>
            </w:r>
            <w:r>
              <w:rPr>
                <w:rFonts w:hint="eastAsia" w:ascii="宋体" w:hAnsi="宋体" w:eastAsia="宋体" w:cs="宋体"/>
                <w:color w:val="000000"/>
                <w:kern w:val="0"/>
                <w:sz w:val="21"/>
                <w:szCs w:val="21"/>
                <w:highlight w:val="none"/>
                <w:lang w:val="en-US" w:eastAsia="zh-CN" w:bidi="ar"/>
              </w:rPr>
              <w:t>3</w:t>
            </w:r>
          </w:p>
        </w:tc>
        <w:tc>
          <w:tcPr>
            <w:tcW w:w="570" w:type="dxa"/>
            <w:noWrap w:val="0"/>
            <w:tcMar>
              <w:top w:w="15" w:type="dxa"/>
              <w:left w:w="15" w:type="dxa"/>
              <w:right w:w="15" w:type="dxa"/>
            </w:tcMar>
            <w:vAlign w:val="center"/>
          </w:tcPr>
          <w:p w14:paraId="555E243A">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门槛移除</w:t>
            </w:r>
          </w:p>
        </w:tc>
        <w:tc>
          <w:tcPr>
            <w:tcW w:w="2685" w:type="dxa"/>
            <w:noWrap w:val="0"/>
            <w:tcMar>
              <w:top w:w="15" w:type="dxa"/>
              <w:left w:w="15" w:type="dxa"/>
              <w:right w:w="15" w:type="dxa"/>
            </w:tcMar>
            <w:vAlign w:val="center"/>
          </w:tcPr>
          <w:p w14:paraId="2F632C74">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拆除门槛，水泥找平或补过门石与地面平</w:t>
            </w:r>
            <w:r>
              <w:rPr>
                <w:rFonts w:hint="eastAsia" w:ascii="宋体" w:hAnsi="宋体" w:eastAsia="宋体" w:cs="宋体"/>
                <w:color w:val="000000"/>
                <w:kern w:val="0"/>
                <w:sz w:val="21"/>
                <w:szCs w:val="21"/>
                <w:highlight w:val="none"/>
                <w:lang w:eastAsia="zh-CN" w:bidi="ar"/>
              </w:rPr>
              <w:t>。</w:t>
            </w:r>
          </w:p>
        </w:tc>
        <w:tc>
          <w:tcPr>
            <w:tcW w:w="480" w:type="dxa"/>
            <w:noWrap w:val="0"/>
            <w:tcMar>
              <w:top w:w="15" w:type="dxa"/>
              <w:left w:w="15" w:type="dxa"/>
              <w:right w:w="15" w:type="dxa"/>
            </w:tcMar>
            <w:vAlign w:val="center"/>
          </w:tcPr>
          <w:p w14:paraId="43132394">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个</w:t>
            </w:r>
          </w:p>
        </w:tc>
        <w:tc>
          <w:tcPr>
            <w:tcW w:w="600" w:type="dxa"/>
            <w:noWrap w:val="0"/>
            <w:tcMar>
              <w:top w:w="15" w:type="dxa"/>
              <w:left w:w="15" w:type="dxa"/>
              <w:right w:w="15" w:type="dxa"/>
            </w:tcMar>
            <w:vAlign w:val="center"/>
          </w:tcPr>
          <w:p w14:paraId="08D50F8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510D4F7E">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640</w:t>
            </w:r>
          </w:p>
        </w:tc>
        <w:tc>
          <w:tcPr>
            <w:tcW w:w="1605" w:type="dxa"/>
            <w:noWrap w:val="0"/>
            <w:tcMar>
              <w:top w:w="15" w:type="dxa"/>
              <w:left w:w="15" w:type="dxa"/>
              <w:right w:w="15" w:type="dxa"/>
            </w:tcMar>
            <w:vAlign w:val="center"/>
          </w:tcPr>
          <w:p w14:paraId="2CDB5A0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D25ACDD">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14:paraId="19EA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3B1E513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7BB1337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4EE5512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6</w:t>
            </w:r>
            <w:r>
              <w:rPr>
                <w:rFonts w:hint="eastAsia" w:ascii="宋体" w:hAnsi="宋体" w:eastAsia="宋体" w:cs="宋体"/>
                <w:color w:val="000000"/>
                <w:kern w:val="0"/>
                <w:sz w:val="21"/>
                <w:szCs w:val="21"/>
                <w:highlight w:val="none"/>
                <w:lang w:val="en-US" w:eastAsia="zh-CN" w:bidi="ar"/>
              </w:rPr>
              <w:t>4</w:t>
            </w:r>
          </w:p>
        </w:tc>
        <w:tc>
          <w:tcPr>
            <w:tcW w:w="570" w:type="dxa"/>
            <w:noWrap w:val="0"/>
            <w:tcMar>
              <w:top w:w="15" w:type="dxa"/>
              <w:left w:w="15" w:type="dxa"/>
              <w:right w:w="15" w:type="dxa"/>
            </w:tcMar>
            <w:vAlign w:val="center"/>
          </w:tcPr>
          <w:p w14:paraId="6869774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门洞拓宽</w:t>
            </w:r>
          </w:p>
        </w:tc>
        <w:tc>
          <w:tcPr>
            <w:tcW w:w="2685" w:type="dxa"/>
            <w:noWrap w:val="0"/>
            <w:tcMar>
              <w:top w:w="15" w:type="dxa"/>
              <w:left w:w="15" w:type="dxa"/>
              <w:right w:w="15" w:type="dxa"/>
            </w:tcMar>
            <w:vAlign w:val="center"/>
          </w:tcPr>
          <w:p w14:paraId="25AFEAFC">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含门洞扩宽或加固，门槛（如有）坡化或去除门槛，不含门套及门的安装，扩宽后门洞净宽度不低于80CM.</w:t>
            </w:r>
          </w:p>
        </w:tc>
        <w:tc>
          <w:tcPr>
            <w:tcW w:w="480" w:type="dxa"/>
            <w:noWrap w:val="0"/>
            <w:tcMar>
              <w:top w:w="15" w:type="dxa"/>
              <w:left w:w="15" w:type="dxa"/>
              <w:right w:w="15" w:type="dxa"/>
            </w:tcMar>
            <w:vAlign w:val="center"/>
          </w:tcPr>
          <w:p w14:paraId="1724E38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个</w:t>
            </w:r>
          </w:p>
        </w:tc>
        <w:tc>
          <w:tcPr>
            <w:tcW w:w="600" w:type="dxa"/>
            <w:noWrap w:val="0"/>
            <w:tcMar>
              <w:top w:w="15" w:type="dxa"/>
              <w:left w:w="15" w:type="dxa"/>
              <w:right w:w="15" w:type="dxa"/>
            </w:tcMar>
            <w:vAlign w:val="center"/>
          </w:tcPr>
          <w:p w14:paraId="3842DF89">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3BD3D592">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605" w:type="dxa"/>
            <w:noWrap w:val="0"/>
            <w:tcMar>
              <w:top w:w="15" w:type="dxa"/>
              <w:left w:w="15" w:type="dxa"/>
              <w:right w:w="15" w:type="dxa"/>
            </w:tcMar>
            <w:vAlign w:val="center"/>
          </w:tcPr>
          <w:p w14:paraId="16644F8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5B3111E">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14:paraId="2A78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restart"/>
            <w:noWrap w:val="0"/>
            <w:tcMar>
              <w:top w:w="15" w:type="dxa"/>
              <w:left w:w="15" w:type="dxa"/>
              <w:right w:w="15" w:type="dxa"/>
            </w:tcMar>
            <w:vAlign w:val="center"/>
          </w:tcPr>
          <w:p w14:paraId="4A19A74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41C2416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66BA48B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75E2D30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4CBDBBF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7E87E971">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1F8EAE0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5649DFD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51ADDFA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6947DB9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1EC402B4">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20981244">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p w14:paraId="526973ED">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452120</wp:posOffset>
                      </wp:positionH>
                      <wp:positionV relativeFrom="paragraph">
                        <wp:posOffset>-1630045</wp:posOffset>
                      </wp:positionV>
                      <wp:extent cx="22860" cy="762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2286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6pt;margin-top:-128.35pt;height:0.6pt;width:1.8pt;z-index:251663360;mso-width-relative:page;mso-height-relative:page;" filled="f" stroked="t" coordsize="21600,21600" o:gfxdata="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4UtbZAAAACwEAAA8AAAAAAAAAAQAgAAAAIgAAAGRycy9kb3ducmV2Lnht&#10;bFBLAQIUABQAAAAIAIdO4kAsxn0t+AEAAOcDAAAOAAAAAAAAAAEAIAAAACgBAABkcnMvZTJvRG9j&#10;LnhtbFBLBQYAAAAABgAGAFkBAACSBQAAAAA=&#10;">
                      <v:fill on="f" focussize="0,0"/>
                      <v:stroke color="#000000" joinstyle="round"/>
                      <v:imagedata o:title=""/>
                      <o:lock v:ext="edit" aspectratio="f"/>
                    </v:line>
                  </w:pict>
                </mc:Fallback>
              </mc:AlternateContent>
            </w:r>
            <w:r>
              <w:rPr>
                <w:rFonts w:hint="eastAsia" w:ascii="宋体" w:hAnsi="宋体" w:eastAsia="宋体" w:cs="宋体"/>
                <w:color w:val="000000"/>
                <w:kern w:val="0"/>
                <w:sz w:val="21"/>
                <w:szCs w:val="21"/>
                <w:highlight w:val="none"/>
                <w:lang w:val="en-US" w:eastAsia="zh-CN" w:bidi="ar"/>
              </w:rPr>
              <w:t>12</w:t>
            </w:r>
          </w:p>
        </w:tc>
        <w:tc>
          <w:tcPr>
            <w:tcW w:w="480" w:type="dxa"/>
            <w:vMerge w:val="restart"/>
            <w:noWrap w:val="0"/>
            <w:tcMar>
              <w:top w:w="15" w:type="dxa"/>
              <w:left w:w="15" w:type="dxa"/>
              <w:right w:w="15" w:type="dxa"/>
            </w:tcMar>
            <w:vAlign w:val="center"/>
          </w:tcPr>
          <w:p w14:paraId="0115D79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p>
          <w:p w14:paraId="7B1624AB">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p>
          <w:p w14:paraId="1CA07410">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p>
          <w:p w14:paraId="27A0FFCC">
            <w:pPr>
              <w:pStyle w:val="35"/>
              <w:keepNext w:val="0"/>
              <w:keepLines w:val="0"/>
              <w:pageBreakBefore w:val="0"/>
              <w:shd w:val="clear" w:color="auto" w:fill="auto"/>
              <w:tabs>
                <w:tab w:val="right" w:leader="dot" w:pos="9628"/>
              </w:tabs>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p>
          <w:p w14:paraId="5B844D1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p>
          <w:p w14:paraId="0934E232">
            <w:pPr>
              <w:pStyle w:val="35"/>
              <w:keepNext w:val="0"/>
              <w:keepLines w:val="0"/>
              <w:pageBreakBefore w:val="0"/>
              <w:shd w:val="clear" w:color="auto" w:fill="auto"/>
              <w:tabs>
                <w:tab w:val="right" w:leader="dot" w:pos="9628"/>
              </w:tabs>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p>
          <w:p w14:paraId="48ACB77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p>
          <w:p w14:paraId="03E8A314">
            <w:pPr>
              <w:pStyle w:val="35"/>
              <w:keepNext w:val="0"/>
              <w:keepLines w:val="0"/>
              <w:pageBreakBefore w:val="0"/>
              <w:shd w:val="clear" w:color="auto" w:fill="auto"/>
              <w:tabs>
                <w:tab w:val="right" w:leader="dot" w:pos="9628"/>
              </w:tabs>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p w14:paraId="10C37F6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家具</w:t>
            </w:r>
          </w:p>
        </w:tc>
        <w:tc>
          <w:tcPr>
            <w:tcW w:w="450" w:type="dxa"/>
            <w:noWrap w:val="0"/>
            <w:tcMar>
              <w:top w:w="15" w:type="dxa"/>
              <w:left w:w="15" w:type="dxa"/>
              <w:right w:w="15" w:type="dxa"/>
            </w:tcMar>
            <w:vAlign w:val="center"/>
          </w:tcPr>
          <w:p w14:paraId="3807C0DD">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6</w:t>
            </w:r>
            <w:r>
              <w:rPr>
                <w:rFonts w:hint="eastAsia" w:ascii="宋体" w:hAnsi="宋体" w:eastAsia="宋体" w:cs="宋体"/>
                <w:color w:val="000000"/>
                <w:kern w:val="0"/>
                <w:sz w:val="21"/>
                <w:szCs w:val="21"/>
                <w:highlight w:val="none"/>
                <w:lang w:val="en-US" w:eastAsia="zh-CN" w:bidi="ar"/>
              </w:rPr>
              <w:t>5</w:t>
            </w:r>
          </w:p>
        </w:tc>
        <w:tc>
          <w:tcPr>
            <w:tcW w:w="570" w:type="dxa"/>
            <w:noWrap w:val="0"/>
            <w:tcMar>
              <w:top w:w="15" w:type="dxa"/>
              <w:left w:w="15" w:type="dxa"/>
              <w:right w:w="15" w:type="dxa"/>
            </w:tcMar>
            <w:vAlign w:val="center"/>
          </w:tcPr>
          <w:p w14:paraId="1E868D4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适老餐桌</w:t>
            </w:r>
          </w:p>
        </w:tc>
        <w:tc>
          <w:tcPr>
            <w:tcW w:w="2685" w:type="dxa"/>
            <w:noWrap w:val="0"/>
            <w:tcMar>
              <w:top w:w="15" w:type="dxa"/>
              <w:left w:w="15" w:type="dxa"/>
              <w:right w:w="15" w:type="dxa"/>
            </w:tcMar>
            <w:vAlign w:val="center"/>
          </w:tcPr>
          <w:p w14:paraId="64D6979F">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餐桌应稳固，桌面采用实木材料，桌边角处采用倒圆工艺，无锐角，底部应方便轮椅进入。</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7573BBA6">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张</w:t>
            </w:r>
          </w:p>
        </w:tc>
        <w:tc>
          <w:tcPr>
            <w:tcW w:w="600" w:type="dxa"/>
            <w:noWrap w:val="0"/>
            <w:tcMar>
              <w:top w:w="15" w:type="dxa"/>
              <w:left w:w="15" w:type="dxa"/>
              <w:right w:w="15" w:type="dxa"/>
            </w:tcMar>
            <w:vAlign w:val="center"/>
          </w:tcPr>
          <w:p w14:paraId="4AC229F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42E73E88">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912</w:t>
            </w:r>
          </w:p>
        </w:tc>
        <w:tc>
          <w:tcPr>
            <w:tcW w:w="1605" w:type="dxa"/>
            <w:noWrap w:val="0"/>
            <w:tcMar>
              <w:top w:w="15" w:type="dxa"/>
              <w:left w:w="15" w:type="dxa"/>
              <w:right w:w="15" w:type="dxa"/>
            </w:tcMar>
            <w:vAlign w:val="center"/>
          </w:tcPr>
          <w:p w14:paraId="3C340E8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drawing>
                <wp:inline distT="0" distB="0" distL="114300" distR="114300">
                  <wp:extent cx="2217420" cy="640080"/>
                  <wp:effectExtent l="0" t="0" r="11430" b="7620"/>
                  <wp:docPr id="8" name="图片 7" descr="1615445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615445841(1)"/>
                          <pic:cNvPicPr>
                            <a:picLocks noChangeAspect="1"/>
                          </pic:cNvPicPr>
                        </pic:nvPicPr>
                        <pic:blipFill>
                          <a:blip r:embed="rId14"/>
                          <a:stretch>
                            <a:fillRect/>
                          </a:stretch>
                        </pic:blipFill>
                        <pic:spPr>
                          <a:xfrm>
                            <a:off x="0" y="0"/>
                            <a:ext cx="2217420" cy="640080"/>
                          </a:xfrm>
                          <a:prstGeom prst="rect">
                            <a:avLst/>
                          </a:prstGeom>
                          <a:noFill/>
                          <a:ln>
                            <a:noFill/>
                          </a:ln>
                        </pic:spPr>
                      </pic:pic>
                    </a:graphicData>
                  </a:graphic>
                </wp:inline>
              </w:drawing>
            </w:r>
          </w:p>
        </w:tc>
        <w:tc>
          <w:tcPr>
            <w:tcW w:w="1626" w:type="dxa"/>
            <w:noWrap w:val="0"/>
            <w:tcMar>
              <w:top w:w="15" w:type="dxa"/>
              <w:left w:w="15" w:type="dxa"/>
              <w:right w:w="15" w:type="dxa"/>
            </w:tcMar>
            <w:vAlign w:val="center"/>
          </w:tcPr>
          <w:p w14:paraId="5C9B820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4FB8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6F014C0B">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2ADC29E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01795D6A">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6</w:t>
            </w:r>
            <w:r>
              <w:rPr>
                <w:rFonts w:hint="eastAsia" w:ascii="宋体" w:hAnsi="宋体" w:eastAsia="宋体" w:cs="宋体"/>
                <w:color w:val="000000"/>
                <w:kern w:val="0"/>
                <w:sz w:val="21"/>
                <w:szCs w:val="21"/>
                <w:highlight w:val="none"/>
                <w:lang w:val="en-US" w:eastAsia="zh-CN" w:bidi="ar"/>
              </w:rPr>
              <w:t>6</w:t>
            </w:r>
          </w:p>
        </w:tc>
        <w:tc>
          <w:tcPr>
            <w:tcW w:w="570" w:type="dxa"/>
            <w:noWrap w:val="0"/>
            <w:tcMar>
              <w:top w:w="15" w:type="dxa"/>
              <w:left w:w="15" w:type="dxa"/>
              <w:right w:w="15" w:type="dxa"/>
            </w:tcMar>
            <w:vAlign w:val="center"/>
          </w:tcPr>
          <w:p w14:paraId="71012DA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适老扶手椅</w:t>
            </w:r>
          </w:p>
        </w:tc>
        <w:tc>
          <w:tcPr>
            <w:tcW w:w="2685" w:type="dxa"/>
            <w:noWrap w:val="0"/>
            <w:tcMar>
              <w:top w:w="15" w:type="dxa"/>
              <w:left w:w="15" w:type="dxa"/>
              <w:right w:w="15" w:type="dxa"/>
            </w:tcMar>
            <w:vAlign w:val="center"/>
          </w:tcPr>
          <w:p w14:paraId="7BB3DE6E">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扶手椅应稳固，建议椅子扶手采用曲木材质，扶手处应留有可放置拐杖位置，座垫为高密度海绵，外套透气布料或皮质材质。</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01A678CD">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个</w:t>
            </w:r>
          </w:p>
        </w:tc>
        <w:tc>
          <w:tcPr>
            <w:tcW w:w="600" w:type="dxa"/>
            <w:noWrap w:val="0"/>
            <w:tcMar>
              <w:top w:w="15" w:type="dxa"/>
              <w:left w:w="15" w:type="dxa"/>
              <w:right w:w="15" w:type="dxa"/>
            </w:tcMar>
            <w:vAlign w:val="center"/>
          </w:tcPr>
          <w:p w14:paraId="30C200A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3E45B4BC">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1605" w:type="dxa"/>
            <w:noWrap w:val="0"/>
            <w:tcMar>
              <w:top w:w="15" w:type="dxa"/>
              <w:left w:w="15" w:type="dxa"/>
              <w:right w:w="15" w:type="dxa"/>
            </w:tcMar>
            <w:vAlign w:val="center"/>
          </w:tcPr>
          <w:p w14:paraId="301FF22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drawing>
                <wp:inline distT="0" distB="0" distL="114300" distR="114300">
                  <wp:extent cx="1000125" cy="645160"/>
                  <wp:effectExtent l="0" t="0" r="9525" b="2540"/>
                  <wp:docPr id="7" name="图片 8" descr="168439265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1684392659211"/>
                          <pic:cNvPicPr>
                            <a:picLocks noChangeAspect="1"/>
                          </pic:cNvPicPr>
                        </pic:nvPicPr>
                        <pic:blipFill>
                          <a:blip r:embed="rId15"/>
                          <a:stretch>
                            <a:fillRect/>
                          </a:stretch>
                        </pic:blipFill>
                        <pic:spPr>
                          <a:xfrm>
                            <a:off x="0" y="0"/>
                            <a:ext cx="1000125" cy="645160"/>
                          </a:xfrm>
                          <a:prstGeom prst="rect">
                            <a:avLst/>
                          </a:prstGeom>
                          <a:noFill/>
                          <a:ln>
                            <a:noFill/>
                          </a:ln>
                        </pic:spPr>
                      </pic:pic>
                    </a:graphicData>
                  </a:graphic>
                </wp:inline>
              </w:drawing>
            </w:r>
          </w:p>
        </w:tc>
        <w:tc>
          <w:tcPr>
            <w:tcW w:w="1626" w:type="dxa"/>
            <w:noWrap w:val="0"/>
            <w:tcMar>
              <w:top w:w="15" w:type="dxa"/>
              <w:left w:w="15" w:type="dxa"/>
              <w:right w:w="15" w:type="dxa"/>
            </w:tcMar>
            <w:vAlign w:val="center"/>
          </w:tcPr>
          <w:p w14:paraId="4C773D44">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42A4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420" w:type="dxa"/>
            <w:vMerge w:val="continue"/>
            <w:noWrap w:val="0"/>
            <w:tcMar>
              <w:top w:w="15" w:type="dxa"/>
              <w:left w:w="15" w:type="dxa"/>
              <w:right w:w="15" w:type="dxa"/>
            </w:tcMar>
            <w:vAlign w:val="center"/>
          </w:tcPr>
          <w:p w14:paraId="0009B6D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2FF54E3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5732EB5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6</w:t>
            </w:r>
            <w:r>
              <w:rPr>
                <w:rFonts w:hint="eastAsia" w:ascii="宋体" w:hAnsi="宋体" w:eastAsia="宋体" w:cs="宋体"/>
                <w:color w:val="000000"/>
                <w:kern w:val="0"/>
                <w:sz w:val="21"/>
                <w:szCs w:val="21"/>
                <w:highlight w:val="none"/>
                <w:lang w:val="en-US" w:eastAsia="zh-CN" w:bidi="ar"/>
              </w:rPr>
              <w:t>7</w:t>
            </w:r>
          </w:p>
        </w:tc>
        <w:tc>
          <w:tcPr>
            <w:tcW w:w="570" w:type="dxa"/>
            <w:noWrap w:val="0"/>
            <w:tcMar>
              <w:top w:w="15" w:type="dxa"/>
              <w:left w:w="15" w:type="dxa"/>
              <w:right w:w="15" w:type="dxa"/>
            </w:tcMar>
            <w:vAlign w:val="center"/>
          </w:tcPr>
          <w:p w14:paraId="46EC936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居家床</w:t>
            </w:r>
          </w:p>
        </w:tc>
        <w:tc>
          <w:tcPr>
            <w:tcW w:w="2685" w:type="dxa"/>
            <w:noWrap w:val="0"/>
            <w:tcMar>
              <w:top w:w="15" w:type="dxa"/>
              <w:left w:w="15" w:type="dxa"/>
              <w:right w:w="15" w:type="dxa"/>
            </w:tcMar>
            <w:vAlign w:val="center"/>
          </w:tcPr>
          <w:p w14:paraId="0D340321">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床体宽度1.2米材料：主材实木支架及排骨架。辅材为环保多层板。底漆面漆采用环保油漆床垫：棕床垫。</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50645C12">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张</w:t>
            </w:r>
          </w:p>
        </w:tc>
        <w:tc>
          <w:tcPr>
            <w:tcW w:w="600" w:type="dxa"/>
            <w:noWrap w:val="0"/>
            <w:tcMar>
              <w:top w:w="15" w:type="dxa"/>
              <w:left w:w="15" w:type="dxa"/>
              <w:right w:w="15" w:type="dxa"/>
            </w:tcMar>
            <w:vAlign w:val="center"/>
          </w:tcPr>
          <w:p w14:paraId="1BA08176">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75EEDDB8">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1264</w:t>
            </w:r>
          </w:p>
        </w:tc>
        <w:tc>
          <w:tcPr>
            <w:tcW w:w="1605" w:type="dxa"/>
            <w:noWrap w:val="0"/>
            <w:tcMar>
              <w:top w:w="15" w:type="dxa"/>
              <w:left w:w="15" w:type="dxa"/>
              <w:right w:w="15" w:type="dxa"/>
            </w:tcMar>
            <w:vAlign w:val="center"/>
          </w:tcPr>
          <w:p w14:paraId="64CB4C7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6B091B1A">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6DA6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282DB29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48ACEC55">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7E38747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6</w:t>
            </w:r>
            <w:r>
              <w:rPr>
                <w:rFonts w:hint="eastAsia" w:ascii="宋体" w:hAnsi="宋体" w:eastAsia="宋体" w:cs="宋体"/>
                <w:color w:val="000000"/>
                <w:kern w:val="0"/>
                <w:sz w:val="21"/>
                <w:szCs w:val="21"/>
                <w:highlight w:val="none"/>
                <w:lang w:val="en-US" w:eastAsia="zh-CN" w:bidi="ar"/>
              </w:rPr>
              <w:t>8</w:t>
            </w:r>
          </w:p>
        </w:tc>
        <w:tc>
          <w:tcPr>
            <w:tcW w:w="570" w:type="dxa"/>
            <w:noWrap w:val="0"/>
            <w:tcMar>
              <w:top w:w="15" w:type="dxa"/>
              <w:left w:w="15" w:type="dxa"/>
              <w:right w:w="15" w:type="dxa"/>
            </w:tcMar>
            <w:vAlign w:val="center"/>
          </w:tcPr>
          <w:p w14:paraId="01A0B9BB">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衣柜</w:t>
            </w:r>
          </w:p>
        </w:tc>
        <w:tc>
          <w:tcPr>
            <w:tcW w:w="2685" w:type="dxa"/>
            <w:noWrap w:val="0"/>
            <w:tcMar>
              <w:top w:w="15" w:type="dxa"/>
              <w:left w:w="15" w:type="dxa"/>
              <w:right w:w="15" w:type="dxa"/>
            </w:tcMar>
            <w:vAlign w:val="center"/>
          </w:tcPr>
          <w:p w14:paraId="2AB7A78B">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 xml:space="preserve">双开门，宽≥800cm，高≥1800cm，材质：实木或人造板材，底漆面漆采用环保油漆 </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37F9DFAB">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个</w:t>
            </w:r>
          </w:p>
        </w:tc>
        <w:tc>
          <w:tcPr>
            <w:tcW w:w="600" w:type="dxa"/>
            <w:noWrap w:val="0"/>
            <w:tcMar>
              <w:top w:w="15" w:type="dxa"/>
              <w:left w:w="15" w:type="dxa"/>
              <w:right w:w="15" w:type="dxa"/>
            </w:tcMar>
            <w:vAlign w:val="center"/>
          </w:tcPr>
          <w:p w14:paraId="0B8CF93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7ACEEB8C">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720</w:t>
            </w:r>
          </w:p>
        </w:tc>
        <w:tc>
          <w:tcPr>
            <w:tcW w:w="1605" w:type="dxa"/>
            <w:noWrap w:val="0"/>
            <w:tcMar>
              <w:top w:w="15" w:type="dxa"/>
              <w:left w:w="15" w:type="dxa"/>
              <w:right w:w="15" w:type="dxa"/>
            </w:tcMar>
            <w:vAlign w:val="center"/>
          </w:tcPr>
          <w:p w14:paraId="48DA83D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1BE585D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19E5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1" w:hRule="atLeast"/>
        </w:trPr>
        <w:tc>
          <w:tcPr>
            <w:tcW w:w="420" w:type="dxa"/>
            <w:vMerge w:val="continue"/>
            <w:noWrap w:val="0"/>
            <w:tcMar>
              <w:top w:w="15" w:type="dxa"/>
              <w:left w:w="15" w:type="dxa"/>
              <w:right w:w="15" w:type="dxa"/>
            </w:tcMar>
            <w:vAlign w:val="center"/>
          </w:tcPr>
          <w:p w14:paraId="75D0E54F">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426410B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27C51B6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69</w:t>
            </w:r>
          </w:p>
        </w:tc>
        <w:tc>
          <w:tcPr>
            <w:tcW w:w="570" w:type="dxa"/>
            <w:noWrap w:val="0"/>
            <w:tcMar>
              <w:top w:w="15" w:type="dxa"/>
              <w:left w:w="15" w:type="dxa"/>
              <w:right w:w="15" w:type="dxa"/>
            </w:tcMar>
            <w:vAlign w:val="center"/>
          </w:tcPr>
          <w:p w14:paraId="52E787B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适老化床头柜</w:t>
            </w:r>
          </w:p>
        </w:tc>
        <w:tc>
          <w:tcPr>
            <w:tcW w:w="2685" w:type="dxa"/>
            <w:noWrap w:val="0"/>
            <w:tcMar>
              <w:top w:w="15" w:type="dxa"/>
              <w:left w:w="15" w:type="dxa"/>
              <w:right w:w="15" w:type="dxa"/>
            </w:tcMar>
            <w:vAlign w:val="center"/>
          </w:tcPr>
          <w:p w14:paraId="53510DF9">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高度：大于等于65厘米</w:t>
            </w:r>
          </w:p>
          <w:p w14:paraId="1F535279">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 xml:space="preserve">材质：环保等级E0级板材，甲醛释放量≤0.5mg/100g。                        </w:t>
            </w:r>
          </w:p>
          <w:p w14:paraId="3EC9ED5A">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 xml:space="preserve">贴面：优质耐磨三聚氢胺浸渍饰面。                            </w:t>
            </w:r>
          </w:p>
          <w:p w14:paraId="216B5C8F">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 xml:space="preserve">封边：2.5mm厚同色PVC封边条。                                </w:t>
            </w:r>
          </w:p>
          <w:p w14:paraId="042D92BF">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优质五金件链接。</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09A0F23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张</w:t>
            </w:r>
          </w:p>
        </w:tc>
        <w:tc>
          <w:tcPr>
            <w:tcW w:w="600" w:type="dxa"/>
            <w:noWrap w:val="0"/>
            <w:tcMar>
              <w:top w:w="15" w:type="dxa"/>
              <w:left w:w="15" w:type="dxa"/>
              <w:right w:w="15" w:type="dxa"/>
            </w:tcMar>
            <w:vAlign w:val="center"/>
          </w:tcPr>
          <w:p w14:paraId="1C394254">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0B9FDA06">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1605" w:type="dxa"/>
            <w:noWrap w:val="0"/>
            <w:tcMar>
              <w:top w:w="15" w:type="dxa"/>
              <w:left w:w="15" w:type="dxa"/>
              <w:right w:w="15" w:type="dxa"/>
            </w:tcMar>
            <w:vAlign w:val="center"/>
          </w:tcPr>
          <w:p w14:paraId="3FA3F87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2D519FE6">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71B8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trPr>
        <w:tc>
          <w:tcPr>
            <w:tcW w:w="420" w:type="dxa"/>
            <w:vMerge w:val="continue"/>
            <w:noWrap w:val="0"/>
            <w:tcMar>
              <w:top w:w="15" w:type="dxa"/>
              <w:left w:w="15" w:type="dxa"/>
              <w:right w:w="15" w:type="dxa"/>
            </w:tcMar>
            <w:vAlign w:val="center"/>
          </w:tcPr>
          <w:p w14:paraId="222B0E1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45CCE3C3">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1EA010A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7</w:t>
            </w:r>
            <w:r>
              <w:rPr>
                <w:rFonts w:hint="eastAsia" w:ascii="宋体" w:hAnsi="宋体" w:eastAsia="宋体" w:cs="宋体"/>
                <w:color w:val="000000"/>
                <w:kern w:val="0"/>
                <w:sz w:val="21"/>
                <w:szCs w:val="21"/>
                <w:highlight w:val="none"/>
                <w:lang w:val="en-US" w:eastAsia="zh-CN" w:bidi="ar"/>
              </w:rPr>
              <w:t>0</w:t>
            </w:r>
          </w:p>
        </w:tc>
        <w:tc>
          <w:tcPr>
            <w:tcW w:w="570" w:type="dxa"/>
            <w:noWrap w:val="0"/>
            <w:tcMar>
              <w:top w:w="15" w:type="dxa"/>
              <w:left w:w="15" w:type="dxa"/>
              <w:right w:w="15" w:type="dxa"/>
            </w:tcMar>
            <w:vAlign w:val="center"/>
          </w:tcPr>
          <w:p w14:paraId="60A9AE96">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鞋柜</w:t>
            </w:r>
          </w:p>
        </w:tc>
        <w:tc>
          <w:tcPr>
            <w:tcW w:w="2685" w:type="dxa"/>
            <w:noWrap w:val="0"/>
            <w:tcMar>
              <w:top w:w="15" w:type="dxa"/>
              <w:left w:w="15" w:type="dxa"/>
              <w:right w:w="15" w:type="dxa"/>
            </w:tcMar>
            <w:vAlign w:val="center"/>
          </w:tcPr>
          <w:p w14:paraId="19AB59F6">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橡胶木色+白色  60*32*100cm 材质：人造板 毛重26KG</w:t>
            </w:r>
          </w:p>
          <w:p w14:paraId="21108624">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特点：合理分区储物，层板可拆卸。内部存储空间大。宽大台面载物。</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14A51D2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张</w:t>
            </w:r>
          </w:p>
        </w:tc>
        <w:tc>
          <w:tcPr>
            <w:tcW w:w="600" w:type="dxa"/>
            <w:noWrap w:val="0"/>
            <w:tcMar>
              <w:top w:w="15" w:type="dxa"/>
              <w:left w:w="15" w:type="dxa"/>
              <w:right w:w="15" w:type="dxa"/>
            </w:tcMar>
            <w:vAlign w:val="center"/>
          </w:tcPr>
          <w:p w14:paraId="500E95CA">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tc>
        <w:tc>
          <w:tcPr>
            <w:tcW w:w="735" w:type="dxa"/>
            <w:noWrap w:val="0"/>
            <w:tcMar>
              <w:top w:w="15" w:type="dxa"/>
              <w:left w:w="15" w:type="dxa"/>
              <w:right w:w="15" w:type="dxa"/>
            </w:tcMar>
            <w:vAlign w:val="center"/>
          </w:tcPr>
          <w:p w14:paraId="3F0D7F59">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480</w:t>
            </w:r>
          </w:p>
        </w:tc>
        <w:tc>
          <w:tcPr>
            <w:tcW w:w="1605" w:type="dxa"/>
            <w:noWrap w:val="0"/>
            <w:tcMar>
              <w:top w:w="15" w:type="dxa"/>
              <w:left w:w="15" w:type="dxa"/>
              <w:right w:w="15" w:type="dxa"/>
            </w:tcMar>
            <w:vAlign w:val="center"/>
          </w:tcPr>
          <w:p w14:paraId="79D19D8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505420CD">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246A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20" w:type="dxa"/>
            <w:vMerge w:val="continue"/>
            <w:noWrap w:val="0"/>
            <w:tcMar>
              <w:top w:w="15" w:type="dxa"/>
              <w:left w:w="15" w:type="dxa"/>
              <w:right w:w="15" w:type="dxa"/>
            </w:tcMar>
            <w:vAlign w:val="center"/>
          </w:tcPr>
          <w:p w14:paraId="7613A48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6A7F1BBD">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7F5B47D3">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71</w:t>
            </w:r>
          </w:p>
        </w:tc>
        <w:tc>
          <w:tcPr>
            <w:tcW w:w="570" w:type="dxa"/>
            <w:noWrap w:val="0"/>
            <w:tcMar>
              <w:top w:w="15" w:type="dxa"/>
              <w:left w:w="15" w:type="dxa"/>
              <w:right w:w="15" w:type="dxa"/>
            </w:tcMar>
            <w:vAlign w:val="center"/>
          </w:tcPr>
          <w:p w14:paraId="21E2C568">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电视柜</w:t>
            </w:r>
          </w:p>
        </w:tc>
        <w:tc>
          <w:tcPr>
            <w:tcW w:w="2685" w:type="dxa"/>
            <w:noWrap w:val="0"/>
            <w:tcMar>
              <w:top w:w="15" w:type="dxa"/>
              <w:left w:w="15" w:type="dxa"/>
              <w:right w:w="15" w:type="dxa"/>
            </w:tcMar>
            <w:vAlign w:val="center"/>
          </w:tcPr>
          <w:p w14:paraId="0EE6CB7B">
            <w:pPr>
              <w:keepNext w:val="0"/>
              <w:keepLines w:val="0"/>
              <w:pageBreakBefore w:val="0"/>
              <w:widowControl/>
              <w:shd w:val="clear" w:color="auto" w:fill="auto"/>
              <w:kinsoku/>
              <w:wordWrap/>
              <w:overflowPunct/>
              <w:topLinePunct w:val="0"/>
              <w:bidi w:val="0"/>
              <w:spacing w:line="240" w:lineRule="auto"/>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古檀木色，尺寸：100*30*80CM，材料：人造密度板，毛重：25.85KG</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27F846D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张</w:t>
            </w:r>
          </w:p>
        </w:tc>
        <w:tc>
          <w:tcPr>
            <w:tcW w:w="600" w:type="dxa"/>
            <w:noWrap w:val="0"/>
            <w:tcMar>
              <w:top w:w="15" w:type="dxa"/>
              <w:left w:w="15" w:type="dxa"/>
              <w:right w:w="15" w:type="dxa"/>
            </w:tcMar>
            <w:vAlign w:val="center"/>
          </w:tcPr>
          <w:p w14:paraId="1CB2DE04">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tc>
        <w:tc>
          <w:tcPr>
            <w:tcW w:w="735" w:type="dxa"/>
            <w:noWrap w:val="0"/>
            <w:tcMar>
              <w:top w:w="15" w:type="dxa"/>
              <w:left w:w="15" w:type="dxa"/>
              <w:right w:w="15" w:type="dxa"/>
            </w:tcMar>
            <w:vAlign w:val="center"/>
          </w:tcPr>
          <w:p w14:paraId="28BDF090">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1605" w:type="dxa"/>
            <w:noWrap w:val="0"/>
            <w:tcMar>
              <w:top w:w="15" w:type="dxa"/>
              <w:left w:w="15" w:type="dxa"/>
              <w:right w:w="15" w:type="dxa"/>
            </w:tcMar>
            <w:vAlign w:val="center"/>
          </w:tcPr>
          <w:p w14:paraId="6BFBA68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3D9DDB3">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767E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6" w:hRule="atLeast"/>
        </w:trPr>
        <w:tc>
          <w:tcPr>
            <w:tcW w:w="420" w:type="dxa"/>
            <w:vMerge w:val="continue"/>
            <w:noWrap w:val="0"/>
            <w:tcMar>
              <w:top w:w="15" w:type="dxa"/>
              <w:left w:w="15" w:type="dxa"/>
              <w:right w:w="15" w:type="dxa"/>
            </w:tcMar>
            <w:vAlign w:val="center"/>
          </w:tcPr>
          <w:p w14:paraId="08110379">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2AB92B9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45DDC964">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72</w:t>
            </w:r>
          </w:p>
        </w:tc>
        <w:tc>
          <w:tcPr>
            <w:tcW w:w="570" w:type="dxa"/>
            <w:noWrap w:val="0"/>
            <w:tcMar>
              <w:top w:w="15" w:type="dxa"/>
              <w:left w:w="15" w:type="dxa"/>
              <w:right w:w="15" w:type="dxa"/>
            </w:tcMar>
            <w:vAlign w:val="center"/>
          </w:tcPr>
          <w:p w14:paraId="1D1F27EB">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双人沙发</w:t>
            </w:r>
          </w:p>
        </w:tc>
        <w:tc>
          <w:tcPr>
            <w:tcW w:w="2685" w:type="dxa"/>
            <w:noWrap w:val="0"/>
            <w:tcMar>
              <w:top w:w="15" w:type="dxa"/>
              <w:left w:w="15" w:type="dxa"/>
              <w:right w:w="15" w:type="dxa"/>
            </w:tcMar>
            <w:vAlign w:val="center"/>
          </w:tcPr>
          <w:p w14:paraId="50A998F9">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1.尺寸：1400*650*950mm；</w:t>
            </w:r>
          </w:p>
          <w:p w14:paraId="72A8A15B">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2.材料：主材进口橡胶木实木支架，经防潮、防腐、防虫化学处理；</w:t>
            </w:r>
          </w:p>
          <w:p w14:paraId="43CF3D10">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 xml:space="preserve">3.品牌环保油漆：底漆面漆均采用环保油漆，健康环保；                            </w:t>
            </w:r>
          </w:p>
          <w:p w14:paraId="3DEB7FDB">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4.高回弹海绵，柔软舒适有支撑力，采用优质布艺面料/优质防水防污超纤皮软包。</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0A8CCAC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张</w:t>
            </w:r>
          </w:p>
        </w:tc>
        <w:tc>
          <w:tcPr>
            <w:tcW w:w="600" w:type="dxa"/>
            <w:noWrap w:val="0"/>
            <w:tcMar>
              <w:top w:w="15" w:type="dxa"/>
              <w:left w:w="15" w:type="dxa"/>
              <w:right w:w="15" w:type="dxa"/>
            </w:tcMar>
            <w:vAlign w:val="center"/>
          </w:tcPr>
          <w:p w14:paraId="3ACA7E73">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tc>
        <w:tc>
          <w:tcPr>
            <w:tcW w:w="735" w:type="dxa"/>
            <w:noWrap w:val="0"/>
            <w:tcMar>
              <w:top w:w="15" w:type="dxa"/>
              <w:left w:w="15" w:type="dxa"/>
              <w:right w:w="15" w:type="dxa"/>
            </w:tcMar>
            <w:vAlign w:val="center"/>
          </w:tcPr>
          <w:p w14:paraId="6056345C">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1584</w:t>
            </w:r>
          </w:p>
        </w:tc>
        <w:tc>
          <w:tcPr>
            <w:tcW w:w="1605" w:type="dxa"/>
            <w:noWrap w:val="0"/>
            <w:tcMar>
              <w:top w:w="15" w:type="dxa"/>
              <w:left w:w="15" w:type="dxa"/>
              <w:right w:w="15" w:type="dxa"/>
            </w:tcMar>
            <w:vAlign w:val="center"/>
          </w:tcPr>
          <w:p w14:paraId="1D795A0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21445DCE">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388A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4" w:hRule="atLeast"/>
        </w:trPr>
        <w:tc>
          <w:tcPr>
            <w:tcW w:w="420" w:type="dxa"/>
            <w:vMerge w:val="continue"/>
            <w:noWrap w:val="0"/>
            <w:tcMar>
              <w:top w:w="15" w:type="dxa"/>
              <w:left w:w="15" w:type="dxa"/>
              <w:right w:w="15" w:type="dxa"/>
            </w:tcMar>
            <w:vAlign w:val="center"/>
          </w:tcPr>
          <w:p w14:paraId="0C69F7CF">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442E622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5B4A3F2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p w14:paraId="34981A43">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p w14:paraId="5FEE84B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p w14:paraId="6F05EF6B">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p w14:paraId="61D39969">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p w14:paraId="63E495E1">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73</w:t>
            </w:r>
          </w:p>
        </w:tc>
        <w:tc>
          <w:tcPr>
            <w:tcW w:w="570" w:type="dxa"/>
            <w:noWrap w:val="0"/>
            <w:tcMar>
              <w:top w:w="15" w:type="dxa"/>
              <w:left w:w="15" w:type="dxa"/>
              <w:right w:w="15" w:type="dxa"/>
            </w:tcMar>
            <w:vAlign w:val="center"/>
          </w:tcPr>
          <w:p w14:paraId="3530CCF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茶几</w:t>
            </w:r>
          </w:p>
        </w:tc>
        <w:tc>
          <w:tcPr>
            <w:tcW w:w="2685" w:type="dxa"/>
            <w:noWrap w:val="0"/>
            <w:tcMar>
              <w:top w:w="15" w:type="dxa"/>
              <w:left w:w="15" w:type="dxa"/>
              <w:right w:w="15" w:type="dxa"/>
            </w:tcMar>
            <w:vAlign w:val="center"/>
          </w:tcPr>
          <w:p w14:paraId="6FC673EC">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1.尺寸：500*500*585mm；</w:t>
            </w:r>
          </w:p>
          <w:p w14:paraId="066BCE8F">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 xml:space="preserve">2.材质：白蜡木，实木框架，经久耐用；       </w:t>
            </w:r>
          </w:p>
          <w:p w14:paraId="5ACDDFCF">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3.面板：多层板，表面贴实木贴皮；</w:t>
            </w:r>
          </w:p>
          <w:p w14:paraId="72443159">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4.茶几双层设计，开敞式双层置物；</w:t>
            </w:r>
          </w:p>
          <w:p w14:paraId="18DAAE76">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5.表层设有导水槽镂线，能防止洒落的水流到地面造成隐患；</w:t>
            </w:r>
          </w:p>
          <w:p w14:paraId="5F86CE90">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6.曲折脚造型，刷环保油漆；</w:t>
            </w:r>
          </w:p>
          <w:p w14:paraId="1A4A720F">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7.大圆角设计，安全，保护老人不易受伤。</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6B4A803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bidi="ar"/>
              </w:rPr>
              <w:t>张</w:t>
            </w:r>
          </w:p>
        </w:tc>
        <w:tc>
          <w:tcPr>
            <w:tcW w:w="600" w:type="dxa"/>
            <w:noWrap w:val="0"/>
            <w:tcMar>
              <w:top w:w="15" w:type="dxa"/>
              <w:left w:w="15" w:type="dxa"/>
              <w:right w:w="15" w:type="dxa"/>
            </w:tcMar>
            <w:vAlign w:val="center"/>
          </w:tcPr>
          <w:p w14:paraId="4C192A64">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2FD43798">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760</w:t>
            </w:r>
          </w:p>
        </w:tc>
        <w:tc>
          <w:tcPr>
            <w:tcW w:w="1605" w:type="dxa"/>
            <w:noWrap w:val="0"/>
            <w:tcMar>
              <w:top w:w="15" w:type="dxa"/>
              <w:left w:w="15" w:type="dxa"/>
              <w:right w:w="15" w:type="dxa"/>
            </w:tcMar>
            <w:vAlign w:val="center"/>
          </w:tcPr>
          <w:p w14:paraId="1230C697">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652B4580">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p>
        </w:tc>
      </w:tr>
      <w:tr w14:paraId="2EC5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noWrap w:val="0"/>
            <w:tcMar>
              <w:top w:w="15" w:type="dxa"/>
              <w:left w:w="15" w:type="dxa"/>
              <w:right w:w="15" w:type="dxa"/>
            </w:tcMar>
            <w:vAlign w:val="center"/>
          </w:tcPr>
          <w:p w14:paraId="252612C4">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p>
        </w:tc>
        <w:tc>
          <w:tcPr>
            <w:tcW w:w="480" w:type="dxa"/>
            <w:noWrap w:val="0"/>
            <w:tcMar>
              <w:top w:w="15" w:type="dxa"/>
              <w:left w:w="15" w:type="dxa"/>
              <w:right w:w="15" w:type="dxa"/>
            </w:tcMar>
            <w:vAlign w:val="center"/>
          </w:tcPr>
          <w:p w14:paraId="120ED2C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p>
        </w:tc>
        <w:tc>
          <w:tcPr>
            <w:tcW w:w="450" w:type="dxa"/>
            <w:noWrap w:val="0"/>
            <w:tcMar>
              <w:top w:w="15" w:type="dxa"/>
              <w:left w:w="15" w:type="dxa"/>
              <w:right w:w="15" w:type="dxa"/>
            </w:tcMar>
            <w:vAlign w:val="center"/>
          </w:tcPr>
          <w:p w14:paraId="0AA202A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74</w:t>
            </w:r>
          </w:p>
        </w:tc>
        <w:tc>
          <w:tcPr>
            <w:tcW w:w="570" w:type="dxa"/>
            <w:noWrap w:val="0"/>
            <w:tcMar>
              <w:top w:w="15" w:type="dxa"/>
              <w:left w:w="15" w:type="dxa"/>
              <w:right w:w="15" w:type="dxa"/>
            </w:tcMar>
            <w:vAlign w:val="center"/>
          </w:tcPr>
          <w:p w14:paraId="57BAD446">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油烟机</w:t>
            </w:r>
          </w:p>
        </w:tc>
        <w:tc>
          <w:tcPr>
            <w:tcW w:w="2685" w:type="dxa"/>
            <w:noWrap w:val="0"/>
            <w:tcMar>
              <w:top w:w="15" w:type="dxa"/>
              <w:left w:w="15" w:type="dxa"/>
              <w:right w:w="15" w:type="dxa"/>
            </w:tcMar>
            <w:vAlign w:val="center"/>
          </w:tcPr>
          <w:p w14:paraId="55503D7F">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经典家用油烟机，尺寸型号适配改造对象户，</w:t>
            </w:r>
            <w:r>
              <w:rPr>
                <w:rFonts w:hint="eastAsia" w:ascii="宋体" w:hAnsi="宋体" w:eastAsia="宋体" w:cs="宋体"/>
                <w:color w:val="000000"/>
                <w:kern w:val="0"/>
                <w:sz w:val="21"/>
                <w:szCs w:val="21"/>
                <w:highlight w:val="none"/>
                <w:lang w:val="en-US" w:eastAsia="zh-CN" w:bidi="ar"/>
              </w:rPr>
              <w:t>含送货安装。</w:t>
            </w:r>
          </w:p>
        </w:tc>
        <w:tc>
          <w:tcPr>
            <w:tcW w:w="480" w:type="dxa"/>
            <w:noWrap w:val="0"/>
            <w:tcMar>
              <w:top w:w="15" w:type="dxa"/>
              <w:left w:w="15" w:type="dxa"/>
              <w:right w:w="15" w:type="dxa"/>
            </w:tcMar>
            <w:vAlign w:val="center"/>
          </w:tcPr>
          <w:p w14:paraId="4DE312E1">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p>
        </w:tc>
        <w:tc>
          <w:tcPr>
            <w:tcW w:w="600" w:type="dxa"/>
            <w:noWrap w:val="0"/>
            <w:tcMar>
              <w:top w:w="15" w:type="dxa"/>
              <w:left w:w="15" w:type="dxa"/>
              <w:right w:w="15" w:type="dxa"/>
            </w:tcMar>
            <w:vAlign w:val="center"/>
          </w:tcPr>
          <w:p w14:paraId="1F9FEFFF">
            <w:pPr>
              <w:keepNext w:val="0"/>
              <w:keepLines w:val="0"/>
              <w:pageBreakBefore w:val="0"/>
              <w:shd w:val="clear" w:color="auto" w:fill="auto"/>
              <w:kinsoku/>
              <w:wordWrap/>
              <w:overflowPunct/>
              <w:topLinePunct w:val="0"/>
              <w:bidi w:val="0"/>
              <w:spacing w:line="240" w:lineRule="auto"/>
              <w:jc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226EB1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1250</w:t>
            </w:r>
          </w:p>
        </w:tc>
        <w:tc>
          <w:tcPr>
            <w:tcW w:w="1605" w:type="dxa"/>
            <w:noWrap w:val="0"/>
            <w:tcMar>
              <w:top w:w="15" w:type="dxa"/>
              <w:left w:w="15" w:type="dxa"/>
              <w:right w:w="15" w:type="dxa"/>
            </w:tcMar>
            <w:vAlign w:val="center"/>
          </w:tcPr>
          <w:p w14:paraId="734B8808">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5576465C">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bidi="ar"/>
              </w:rPr>
            </w:pPr>
          </w:p>
        </w:tc>
      </w:tr>
      <w:tr w14:paraId="4C53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420" w:type="dxa"/>
            <w:vMerge w:val="restart"/>
            <w:noWrap w:val="0"/>
            <w:tcMar>
              <w:top w:w="15" w:type="dxa"/>
              <w:left w:w="15" w:type="dxa"/>
              <w:right w:w="15" w:type="dxa"/>
            </w:tcMar>
            <w:vAlign w:val="center"/>
          </w:tcPr>
          <w:p w14:paraId="76479C60">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3</w:t>
            </w:r>
          </w:p>
        </w:tc>
        <w:tc>
          <w:tcPr>
            <w:tcW w:w="480" w:type="dxa"/>
            <w:vMerge w:val="restart"/>
            <w:noWrap w:val="0"/>
            <w:tcMar>
              <w:top w:w="15" w:type="dxa"/>
              <w:left w:w="15" w:type="dxa"/>
              <w:right w:w="15" w:type="dxa"/>
            </w:tcMar>
            <w:vAlign w:val="center"/>
          </w:tcPr>
          <w:p w14:paraId="2F518C5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其他</w:t>
            </w:r>
          </w:p>
        </w:tc>
        <w:tc>
          <w:tcPr>
            <w:tcW w:w="450" w:type="dxa"/>
            <w:noWrap w:val="0"/>
            <w:tcMar>
              <w:top w:w="15" w:type="dxa"/>
              <w:left w:w="15" w:type="dxa"/>
              <w:right w:w="15" w:type="dxa"/>
            </w:tcMar>
            <w:vAlign w:val="center"/>
          </w:tcPr>
          <w:p w14:paraId="60C1E2E8">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75</w:t>
            </w:r>
          </w:p>
        </w:tc>
        <w:tc>
          <w:tcPr>
            <w:tcW w:w="570" w:type="dxa"/>
            <w:noWrap w:val="0"/>
            <w:tcMar>
              <w:top w:w="15" w:type="dxa"/>
              <w:left w:w="15" w:type="dxa"/>
              <w:right w:w="15" w:type="dxa"/>
            </w:tcMar>
            <w:vAlign w:val="center"/>
          </w:tcPr>
          <w:p w14:paraId="7FAE8E1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售后服务卡</w:t>
            </w:r>
          </w:p>
        </w:tc>
        <w:tc>
          <w:tcPr>
            <w:tcW w:w="2685" w:type="dxa"/>
            <w:noWrap w:val="0"/>
            <w:tcMar>
              <w:top w:w="15" w:type="dxa"/>
              <w:left w:w="15" w:type="dxa"/>
              <w:right w:w="15" w:type="dxa"/>
            </w:tcMar>
            <w:vAlign w:val="center"/>
          </w:tcPr>
          <w:p w14:paraId="1578BFFE">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含施工单位名称、售后服务电话等。</w:t>
            </w:r>
          </w:p>
        </w:tc>
        <w:tc>
          <w:tcPr>
            <w:tcW w:w="480" w:type="dxa"/>
            <w:noWrap w:val="0"/>
            <w:tcMar>
              <w:top w:w="15" w:type="dxa"/>
              <w:left w:w="15" w:type="dxa"/>
              <w:right w:w="15" w:type="dxa"/>
            </w:tcMar>
            <w:vAlign w:val="center"/>
          </w:tcPr>
          <w:p w14:paraId="4BC56B1A">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张</w:t>
            </w:r>
          </w:p>
        </w:tc>
        <w:tc>
          <w:tcPr>
            <w:tcW w:w="600" w:type="dxa"/>
            <w:noWrap w:val="0"/>
            <w:tcMar>
              <w:top w:w="15" w:type="dxa"/>
              <w:left w:w="15" w:type="dxa"/>
              <w:right w:w="15" w:type="dxa"/>
            </w:tcMar>
            <w:vAlign w:val="center"/>
          </w:tcPr>
          <w:p w14:paraId="780751EE">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1833F9AF">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605" w:type="dxa"/>
            <w:noWrap w:val="0"/>
            <w:tcMar>
              <w:top w:w="15" w:type="dxa"/>
              <w:left w:w="15" w:type="dxa"/>
              <w:right w:w="15" w:type="dxa"/>
            </w:tcMar>
            <w:vAlign w:val="center"/>
          </w:tcPr>
          <w:p w14:paraId="5230A0F4">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2D1D45F6">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bidi="ar"/>
              </w:rPr>
            </w:pPr>
          </w:p>
        </w:tc>
      </w:tr>
      <w:tr w14:paraId="0C23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420" w:type="dxa"/>
            <w:vMerge w:val="continue"/>
            <w:noWrap w:val="0"/>
            <w:tcMar>
              <w:top w:w="15" w:type="dxa"/>
              <w:left w:w="15" w:type="dxa"/>
              <w:right w:w="15" w:type="dxa"/>
            </w:tcMar>
            <w:vAlign w:val="center"/>
          </w:tcPr>
          <w:p w14:paraId="362F2B2C">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80" w:type="dxa"/>
            <w:vMerge w:val="continue"/>
            <w:noWrap w:val="0"/>
            <w:tcMar>
              <w:top w:w="15" w:type="dxa"/>
              <w:left w:w="15" w:type="dxa"/>
              <w:right w:w="15" w:type="dxa"/>
            </w:tcMar>
            <w:vAlign w:val="center"/>
          </w:tcPr>
          <w:p w14:paraId="033289E6">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kern w:val="0"/>
                <w:sz w:val="21"/>
                <w:szCs w:val="21"/>
                <w:highlight w:val="none"/>
                <w:lang w:bidi="ar"/>
              </w:rPr>
            </w:pPr>
          </w:p>
        </w:tc>
        <w:tc>
          <w:tcPr>
            <w:tcW w:w="450" w:type="dxa"/>
            <w:noWrap w:val="0"/>
            <w:tcMar>
              <w:top w:w="15" w:type="dxa"/>
              <w:left w:w="15" w:type="dxa"/>
              <w:right w:w="15" w:type="dxa"/>
            </w:tcMar>
            <w:vAlign w:val="center"/>
          </w:tcPr>
          <w:p w14:paraId="2CCBC458">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76</w:t>
            </w:r>
          </w:p>
        </w:tc>
        <w:tc>
          <w:tcPr>
            <w:tcW w:w="570" w:type="dxa"/>
            <w:noWrap w:val="0"/>
            <w:tcMar>
              <w:top w:w="15" w:type="dxa"/>
              <w:left w:w="15" w:type="dxa"/>
              <w:right w:w="15" w:type="dxa"/>
            </w:tcMar>
            <w:vAlign w:val="center"/>
          </w:tcPr>
          <w:p w14:paraId="00A416B7">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入户评估改造方案设计</w:t>
            </w:r>
          </w:p>
        </w:tc>
        <w:tc>
          <w:tcPr>
            <w:tcW w:w="2685" w:type="dxa"/>
            <w:noWrap w:val="0"/>
            <w:tcMar>
              <w:top w:w="15" w:type="dxa"/>
              <w:left w:w="15" w:type="dxa"/>
              <w:right w:w="15" w:type="dxa"/>
            </w:tcMar>
            <w:vAlign w:val="center"/>
          </w:tcPr>
          <w:p w14:paraId="5DDAA0CE">
            <w:pPr>
              <w:keepNext w:val="0"/>
              <w:keepLines w:val="0"/>
              <w:pageBreakBefore w:val="0"/>
              <w:widowControl/>
              <w:shd w:val="clear" w:color="auto" w:fill="auto"/>
              <w:kinsoku/>
              <w:wordWrap/>
              <w:overflowPunct/>
              <w:topLinePunct w:val="0"/>
              <w:bidi w:val="0"/>
              <w:spacing w:line="240" w:lineRule="auto"/>
              <w:ind w:left="0" w:leftChars="0" w:firstLine="0" w:firstLineChars="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入户评估、点位采集、方案设计、改造档案整理、系统数据录入、照片上传等</w:t>
            </w:r>
          </w:p>
        </w:tc>
        <w:tc>
          <w:tcPr>
            <w:tcW w:w="480" w:type="dxa"/>
            <w:noWrap w:val="0"/>
            <w:tcMar>
              <w:top w:w="15" w:type="dxa"/>
              <w:left w:w="15" w:type="dxa"/>
              <w:right w:w="15" w:type="dxa"/>
            </w:tcMar>
            <w:vAlign w:val="center"/>
          </w:tcPr>
          <w:p w14:paraId="3EA3437E">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户</w:t>
            </w:r>
          </w:p>
        </w:tc>
        <w:tc>
          <w:tcPr>
            <w:tcW w:w="600" w:type="dxa"/>
            <w:noWrap w:val="0"/>
            <w:tcMar>
              <w:top w:w="15" w:type="dxa"/>
              <w:left w:w="15" w:type="dxa"/>
              <w:right w:w="15" w:type="dxa"/>
            </w:tcMar>
            <w:vAlign w:val="center"/>
          </w:tcPr>
          <w:p w14:paraId="5494C22F">
            <w:pPr>
              <w:keepNext w:val="0"/>
              <w:keepLines w:val="0"/>
              <w:pageBreakBefore w:val="0"/>
              <w:shd w:val="clear" w:color="auto" w:fill="auto"/>
              <w:kinsoku/>
              <w:wordWrap/>
              <w:overflowPunct/>
              <w:topLinePunct w:val="0"/>
              <w:bidi w:val="0"/>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735" w:type="dxa"/>
            <w:noWrap w:val="0"/>
            <w:tcMar>
              <w:top w:w="15" w:type="dxa"/>
              <w:left w:w="15" w:type="dxa"/>
              <w:right w:w="15" w:type="dxa"/>
            </w:tcMar>
            <w:vAlign w:val="center"/>
          </w:tcPr>
          <w:p w14:paraId="4D3AC40A">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605" w:type="dxa"/>
            <w:noWrap w:val="0"/>
            <w:tcMar>
              <w:top w:w="15" w:type="dxa"/>
              <w:left w:w="15" w:type="dxa"/>
              <w:right w:w="15" w:type="dxa"/>
            </w:tcMar>
            <w:vAlign w:val="center"/>
          </w:tcPr>
          <w:p w14:paraId="5CA43F1B">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000000"/>
                <w:sz w:val="21"/>
                <w:szCs w:val="21"/>
                <w:highlight w:val="none"/>
              </w:rPr>
            </w:pPr>
          </w:p>
        </w:tc>
        <w:tc>
          <w:tcPr>
            <w:tcW w:w="1626" w:type="dxa"/>
            <w:noWrap w:val="0"/>
            <w:tcMar>
              <w:top w:w="15" w:type="dxa"/>
              <w:left w:w="15" w:type="dxa"/>
              <w:right w:w="15" w:type="dxa"/>
            </w:tcMar>
            <w:vAlign w:val="center"/>
          </w:tcPr>
          <w:p w14:paraId="73AC14B5">
            <w:pPr>
              <w:keepNext w:val="0"/>
              <w:keepLines w:val="0"/>
              <w:pageBreakBefore w:val="0"/>
              <w:widowControl/>
              <w:shd w:val="clear" w:color="auto" w:fill="auto"/>
              <w:kinsoku/>
              <w:wordWrap/>
              <w:overflowPunct/>
              <w:topLinePunct w:val="0"/>
              <w:bidi w:val="0"/>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bidi="ar"/>
              </w:rPr>
            </w:pPr>
          </w:p>
        </w:tc>
      </w:tr>
    </w:tbl>
    <w:p w14:paraId="69CFD14D">
      <w:pPr>
        <w:pageBreakBefore w:val="0"/>
        <w:kinsoku/>
        <w:wordWrap/>
        <w:overflowPunct/>
        <w:topLinePunct w:val="0"/>
        <w:autoSpaceDE w:val="0"/>
        <w:autoSpaceDN w:val="0"/>
        <w:bidi w:val="0"/>
        <w:adjustRightInd w:val="0"/>
        <w:snapToGrid w:val="0"/>
        <w:spacing w:line="360" w:lineRule="auto"/>
        <w:ind w:firstLine="422" w:firstLineChars="200"/>
        <w:jc w:val="left"/>
        <w:textAlignment w:val="bottom"/>
        <w:rPr>
          <w:rFonts w:hint="eastAsia" w:asciiTheme="minorEastAsia" w:hAnsiTheme="minorEastAsia" w:eastAsiaTheme="minorEastAsia" w:cstheme="minorEastAsia"/>
          <w:b/>
          <w:bCs w:val="0"/>
          <w:sz w:val="21"/>
          <w:szCs w:val="21"/>
          <w:highlight w:val="none"/>
          <w:lang w:val="en-US" w:eastAsia="zh-CN"/>
        </w:rPr>
      </w:pPr>
      <w:r>
        <w:rPr>
          <w:rFonts w:hint="eastAsia" w:asciiTheme="minorEastAsia" w:hAnsiTheme="minorEastAsia" w:eastAsiaTheme="minorEastAsia" w:cstheme="minorEastAsia"/>
          <w:b/>
          <w:bCs w:val="0"/>
          <w:sz w:val="21"/>
          <w:szCs w:val="21"/>
          <w:highlight w:val="none"/>
          <w:lang w:val="en-US" w:eastAsia="zh-CN"/>
        </w:rPr>
        <w:t>注：1、以上清单报价包含材料费、人工费、损耗费、装运费（运至指定地点）、卸载、利润和税费（税票指增值税专用发票）等所有费用。</w:t>
      </w:r>
    </w:p>
    <w:p w14:paraId="0E7C99C0">
      <w:pPr>
        <w:pageBreakBefore w:val="0"/>
        <w:numPr>
          <w:ilvl w:val="0"/>
          <w:numId w:val="0"/>
        </w:numPr>
        <w:kinsoku/>
        <w:wordWrap/>
        <w:overflowPunct/>
        <w:topLinePunct w:val="0"/>
        <w:autoSpaceDE w:val="0"/>
        <w:autoSpaceDN w:val="0"/>
        <w:bidi w:val="0"/>
        <w:adjustRightInd w:val="0"/>
        <w:snapToGrid w:val="0"/>
        <w:spacing w:line="360" w:lineRule="auto"/>
        <w:ind w:leftChars="200"/>
        <w:jc w:val="left"/>
        <w:textAlignment w:val="bottom"/>
        <w:rPr>
          <w:rFonts w:hint="eastAsia" w:asciiTheme="minorEastAsia" w:hAnsiTheme="minorEastAsia" w:eastAsiaTheme="minorEastAsia" w:cstheme="minorEastAsia"/>
          <w:b/>
          <w:bCs w:val="0"/>
          <w:sz w:val="21"/>
          <w:szCs w:val="21"/>
          <w:highlight w:val="none"/>
          <w:lang w:val="en-US" w:eastAsia="zh-CN"/>
        </w:rPr>
      </w:pPr>
      <w:r>
        <w:rPr>
          <w:rFonts w:hint="eastAsia" w:asciiTheme="minorEastAsia" w:hAnsiTheme="minorEastAsia" w:eastAsiaTheme="minorEastAsia" w:cstheme="minorEastAsia"/>
          <w:b/>
          <w:bCs w:val="0"/>
          <w:sz w:val="21"/>
          <w:szCs w:val="21"/>
          <w:highlight w:val="none"/>
          <w:lang w:val="en-US" w:eastAsia="zh-CN"/>
        </w:rPr>
        <w:t>2、以上清单中有推荐品牌的按照推荐品牌采购或同等级别的品牌，没有明确推荐品牌的，采购之前报监理和采购人认可后采购。如在改造期间所需产品在本次招标采购清单中未列入的，价格则根据采购人市场调查后确定单价同比例下浮。</w:t>
      </w:r>
    </w:p>
    <w:p w14:paraId="3BED5850">
      <w:pPr>
        <w:spacing w:line="440" w:lineRule="exact"/>
        <w:rPr>
          <w:rFonts w:hint="eastAsia" w:ascii="宋体" w:hAnsi="宋体" w:eastAsia="宋体" w:cs="宋体"/>
          <w:bCs/>
          <w:color w:val="auto"/>
          <w:sz w:val="24"/>
          <w:highlight w:val="none"/>
        </w:rPr>
      </w:pPr>
    </w:p>
    <w:p w14:paraId="301C4FAD">
      <w:pPr>
        <w:pStyle w:val="4"/>
        <w:rPr>
          <w:rFonts w:hint="eastAsia" w:ascii="宋体" w:hAnsi="宋体" w:eastAsia="宋体" w:cs="宋体"/>
          <w:bCs/>
          <w:color w:val="auto"/>
          <w:sz w:val="24"/>
          <w:highlight w:val="none"/>
        </w:rPr>
      </w:pPr>
    </w:p>
    <w:p w14:paraId="74E36AF8">
      <w:pPr>
        <w:rPr>
          <w:rFonts w:hint="eastAsia" w:ascii="宋体" w:hAnsi="宋体" w:eastAsia="宋体" w:cs="宋体"/>
          <w:bCs/>
          <w:color w:val="auto"/>
          <w:sz w:val="24"/>
          <w:highlight w:val="none"/>
        </w:rPr>
      </w:pPr>
    </w:p>
    <w:p w14:paraId="1D8E0124">
      <w:pPr>
        <w:pStyle w:val="4"/>
        <w:rPr>
          <w:rFonts w:hint="eastAsia" w:ascii="宋体" w:hAnsi="宋体" w:eastAsia="宋体" w:cs="宋体"/>
          <w:bCs/>
          <w:color w:val="auto"/>
          <w:sz w:val="24"/>
          <w:highlight w:val="none"/>
        </w:rPr>
      </w:pPr>
    </w:p>
    <w:p w14:paraId="59846D2D">
      <w:pPr>
        <w:rPr>
          <w:rFonts w:hint="eastAsia" w:ascii="宋体" w:hAnsi="宋体" w:eastAsia="宋体" w:cs="宋体"/>
          <w:bCs/>
          <w:color w:val="auto"/>
          <w:sz w:val="24"/>
          <w:highlight w:val="none"/>
        </w:rPr>
      </w:pPr>
    </w:p>
    <w:p w14:paraId="6DE82497">
      <w:pPr>
        <w:pStyle w:val="2"/>
        <w:rPr>
          <w:rFonts w:hint="eastAsia"/>
        </w:rPr>
      </w:pPr>
    </w:p>
    <w:p w14:paraId="638CE1EA">
      <w:pPr>
        <w:rPr>
          <w:rFonts w:hint="eastAsia"/>
        </w:rPr>
      </w:pPr>
    </w:p>
    <w:bookmarkEnd w:id="19"/>
    <w:bookmarkEnd w:id="20"/>
    <w:p w14:paraId="4D688BBA">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第三章  供应商磋商须知  </w:t>
      </w:r>
    </w:p>
    <w:p w14:paraId="22CB1FC2">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w:t>
      </w:r>
    </w:p>
    <w:tbl>
      <w:tblPr>
        <w:tblStyle w:val="49"/>
        <w:tblW w:w="10492" w:type="dxa"/>
        <w:tblInd w:w="-8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9757"/>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5"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757"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35"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757" w:type="dxa"/>
            <w:tcBorders>
              <w:top w:val="single" w:color="auto" w:sz="4" w:space="0"/>
              <w:left w:val="single" w:color="auto" w:sz="4" w:space="0"/>
              <w:bottom w:val="single" w:color="auto" w:sz="4" w:space="0"/>
              <w:right w:val="single" w:color="auto" w:sz="4" w:space="0"/>
            </w:tcBorders>
            <w:vAlign w:val="center"/>
          </w:tcPr>
          <w:p w14:paraId="2FF51229">
            <w:pPr>
              <w:pStyle w:val="44"/>
              <w:spacing w:before="0" w:beforeAutospacing="0" w:after="0" w:afterAutospacing="0" w:line="480" w:lineRule="exact"/>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项目名称：</w:t>
            </w:r>
            <w:r>
              <w:rPr>
                <w:rFonts w:hint="eastAsia" w:cs="宋体"/>
                <w:color w:val="auto"/>
                <w:kern w:val="2"/>
                <w:highlight w:val="none"/>
                <w:lang w:val="en-US" w:eastAsia="zh-CN"/>
              </w:rPr>
              <w:t>临海市民政局2025年善居工程采购</w:t>
            </w:r>
            <w:r>
              <w:rPr>
                <w:rFonts w:hint="eastAsia" w:cs="宋体"/>
                <w:color w:val="auto"/>
                <w:highlight w:val="none"/>
                <w:lang w:eastAsia="zh-CN"/>
              </w:rPr>
              <w:t>（重新招标）</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5"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757"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735"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757" w:type="dxa"/>
            <w:tcBorders>
              <w:top w:val="single" w:color="auto" w:sz="4" w:space="0"/>
              <w:left w:val="single" w:color="auto" w:sz="4" w:space="0"/>
              <w:bottom w:val="single" w:color="auto" w:sz="4" w:space="0"/>
              <w:right w:val="single" w:color="auto" w:sz="4" w:space="0"/>
            </w:tcBorders>
            <w:vAlign w:val="center"/>
          </w:tcPr>
          <w:p w14:paraId="4DB8EF5D">
            <w:pPr>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投标报价及费用：1、本项目投标应以人民币报价；2、不论投标结果如何，供应商均应自行承担所有与投标有关的全部费用； </w:t>
            </w:r>
            <w:r>
              <w:rPr>
                <w:rFonts w:hint="eastAsia" w:ascii="宋体" w:hAnsi="宋体" w:eastAsia="宋体" w:cs="宋体"/>
                <w:b/>
                <w:bCs/>
                <w:color w:val="auto"/>
                <w:sz w:val="24"/>
                <w:highlight w:val="none"/>
              </w:rPr>
              <w:t>3、</w:t>
            </w:r>
            <w:r>
              <w:rPr>
                <w:rFonts w:hint="eastAsia" w:ascii="宋体" w:hAnsi="宋体"/>
                <w:b/>
                <w:bCs/>
                <w:sz w:val="24"/>
                <w:highlight w:val="none"/>
              </w:rPr>
              <w:t>本项目招标代理费</w:t>
            </w:r>
            <w:r>
              <w:rPr>
                <w:rFonts w:hint="eastAsia" w:ascii="宋体" w:hAnsi="宋体"/>
                <w:b/>
                <w:bCs/>
                <w:sz w:val="24"/>
                <w:highlight w:val="none"/>
                <w:u w:val="single"/>
                <w:lang w:val="en-US" w:eastAsia="zh-CN"/>
              </w:rPr>
              <w:t>柒仟贰佰</w:t>
            </w:r>
            <w:r>
              <w:rPr>
                <w:rFonts w:hint="eastAsia" w:ascii="宋体" w:hAnsi="宋体"/>
                <w:b/>
                <w:bCs/>
                <w:sz w:val="24"/>
                <w:highlight w:val="none"/>
              </w:rPr>
              <w:t>元整（￥</w:t>
            </w:r>
            <w:r>
              <w:rPr>
                <w:rFonts w:hint="eastAsia" w:ascii="宋体" w:hAnsi="宋体"/>
                <w:b/>
                <w:bCs/>
                <w:sz w:val="24"/>
                <w:highlight w:val="none"/>
                <w:u w:val="single"/>
                <w:lang w:val="en-US" w:eastAsia="zh-CN"/>
              </w:rPr>
              <w:t>7200</w:t>
            </w:r>
            <w:r>
              <w:rPr>
                <w:rFonts w:hint="eastAsia" w:ascii="宋体" w:hAnsi="宋体"/>
                <w:b/>
                <w:bCs/>
                <w:sz w:val="24"/>
                <w:highlight w:val="none"/>
              </w:rPr>
              <w:t>元），由中标人支付给招标代理机构，在招标代理机构</w:t>
            </w:r>
            <w:r>
              <w:rPr>
                <w:rFonts w:hint="eastAsia" w:ascii="宋体" w:hAnsi="宋体"/>
                <w:b/>
                <w:bCs/>
                <w:sz w:val="24"/>
              </w:rPr>
              <w:t>发中标通知书前一次性付清招标代理服务费用。</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735"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757"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现场踏勘</w:t>
            </w:r>
            <w:r>
              <w:rPr>
                <w:rFonts w:hint="eastAsia" w:ascii="宋体" w:hAnsi="宋体" w:eastAsia="宋体" w:cs="宋体"/>
                <w:color w:val="auto"/>
                <w:sz w:val="24"/>
                <w:highlight w:val="none"/>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5" w:hRule="atLeast"/>
        </w:trPr>
        <w:tc>
          <w:tcPr>
            <w:tcW w:w="735"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757"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质疑与澄清</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eastAsia="宋体" w:cs="宋体"/>
                <w:color w:val="auto"/>
                <w:sz w:val="24"/>
                <w:highlight w:val="none"/>
              </w:rPr>
              <w:t>招标人对已发出的磋商文件进行必要的澄清、答复、修改和补充将以更正公告的形式予以发布。</w:t>
            </w:r>
            <w:r>
              <w:rPr>
                <w:rFonts w:hint="eastAsia" w:ascii="宋体" w:hAnsi="宋体" w:eastAsia="宋体" w:cs="宋体"/>
                <w:b/>
                <w:color w:val="auto"/>
                <w:sz w:val="24"/>
                <w:highlight w:val="none"/>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5"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757"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35"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757"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757"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shd w:val="pct10" w:color="auto" w:fill="FFFFFF"/>
              </w:rPr>
              <w:t>▲</w:t>
            </w:r>
            <w:r>
              <w:rPr>
                <w:rFonts w:hint="eastAsia" w:ascii="宋体" w:hAnsi="宋体" w:eastAsia="宋体" w:cs="宋体"/>
                <w:color w:val="auto"/>
                <w:sz w:val="24"/>
                <w:highlight w:val="none"/>
              </w:rPr>
              <w:t>投标有效期：自投标截止日起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35"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9757"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5"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9757"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成交公告及成交通知书：评标结束后7个工作日内，成交公告发布于竞争性磋商公告发布的网站。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5"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9757"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35"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9757" w:type="dxa"/>
            <w:tcBorders>
              <w:top w:val="single" w:color="auto" w:sz="4" w:space="0"/>
              <w:left w:val="single" w:color="auto" w:sz="4" w:space="0"/>
              <w:bottom w:val="single" w:color="auto" w:sz="4" w:space="0"/>
              <w:right w:val="single" w:color="auto" w:sz="4" w:space="0"/>
            </w:tcBorders>
            <w:vAlign w:val="center"/>
          </w:tcPr>
          <w:p w14:paraId="166AF5F0">
            <w:pPr>
              <w:spacing w:line="360" w:lineRule="auto"/>
              <w:rPr>
                <w:rFonts w:hint="eastAsia" w:ascii="宋体" w:hAnsi="宋体" w:eastAsia="宋体" w:cs="宋体"/>
                <w:color w:val="auto"/>
                <w:sz w:val="24"/>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sz w:val="24"/>
                <w:highlight w:val="none"/>
              </w:rPr>
              <w:t>付款方式</w:t>
            </w:r>
            <w:r>
              <w:rPr>
                <w:rFonts w:hint="eastAsia" w:ascii="宋体" w:hAnsi="宋体" w:eastAsia="宋体" w:cs="宋体"/>
                <w:i w:val="0"/>
                <w:iCs w:val="0"/>
                <w:color w:val="auto"/>
                <w:sz w:val="24"/>
                <w:highlight w:val="none"/>
                <w:lang w:eastAsia="zh-CN"/>
              </w:rPr>
              <w:t>：</w:t>
            </w:r>
            <w:r>
              <w:rPr>
                <w:rFonts w:hint="eastAsia" w:ascii="宋体" w:hAnsi="宋体"/>
                <w:i w:val="0"/>
                <w:iCs w:val="0"/>
                <w:sz w:val="24"/>
                <w:highlight w:val="none"/>
              </w:rPr>
              <w:t>合同生效以及具备实施条件后7个工作日内采购人向供应商支付项目金额的30%，完成所有工作并经采购人确认后支付至70%，项目验收合格后支付至100%。</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35"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9757" w:type="dxa"/>
            <w:tcBorders>
              <w:top w:val="single" w:color="auto" w:sz="4" w:space="0"/>
              <w:left w:val="single" w:color="auto" w:sz="4" w:space="0"/>
              <w:bottom w:val="single" w:color="auto" w:sz="4" w:space="0"/>
              <w:right w:val="single" w:color="auto" w:sz="4" w:space="0"/>
            </w:tcBorders>
            <w:vAlign w:val="center"/>
          </w:tcPr>
          <w:p w14:paraId="3B05A157">
            <w:pPr>
              <w:pStyle w:val="21"/>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履约保证金的收取及退还:按成交价</w:t>
            </w:r>
            <w:r>
              <w:rPr>
                <w:rFonts w:hint="eastAsia" w:ascii="宋体" w:hAnsi="宋体" w:eastAsia="宋体" w:cs="宋体"/>
                <w:b/>
                <w:color w:val="auto"/>
                <w:sz w:val="24"/>
                <w:highlight w:val="none"/>
              </w:rPr>
              <w:t>的1%收</w:t>
            </w:r>
            <w:r>
              <w:rPr>
                <w:rFonts w:hint="eastAsia" w:ascii="宋体" w:hAnsi="宋体" w:eastAsia="宋体" w:cs="宋体"/>
                <w:color w:val="auto"/>
                <w:sz w:val="24"/>
                <w:highlight w:val="none"/>
              </w:rPr>
              <w:t>取，</w:t>
            </w:r>
            <w:r>
              <w:rPr>
                <w:rFonts w:hint="eastAsia" w:ascii="宋体" w:hAnsi="宋体" w:eastAsia="宋体" w:cs="宋体"/>
                <w:b/>
                <w:color w:val="auto"/>
                <w:sz w:val="24"/>
                <w:highlight w:val="none"/>
                <w:u w:val="single"/>
                <w:shd w:val="pct10" w:color="auto" w:fill="FFFFFF"/>
              </w:rPr>
              <w:t>领取成交通知书前缴纳至临海市公共资源交易中心账户。</w:t>
            </w:r>
            <w:r>
              <w:rPr>
                <w:rFonts w:hint="eastAsia" w:ascii="宋体" w:hAnsi="宋体" w:eastAsia="宋体" w:cs="宋体"/>
                <w:color w:val="auto"/>
                <w:sz w:val="24"/>
                <w:highlight w:val="none"/>
              </w:rPr>
              <w:t>验收合格后</w:t>
            </w:r>
            <w:r>
              <w:rPr>
                <w:rFonts w:hint="eastAsia" w:ascii="宋体" w:hAnsi="宋体" w:eastAsia="宋体" w:cs="宋体"/>
                <w:color w:val="auto"/>
                <w:sz w:val="24"/>
                <w:highlight w:val="none"/>
                <w:lang w:val="zh-CN"/>
              </w:rPr>
              <w:t>凭《临海市政府采购验收单》向临海市公共资源交易中心</w:t>
            </w:r>
            <w:r>
              <w:rPr>
                <w:rFonts w:hint="eastAsia" w:ascii="宋体" w:hAnsi="宋体" w:eastAsia="宋体" w:cs="宋体"/>
                <w:color w:val="auto"/>
                <w:sz w:val="24"/>
                <w:highlight w:val="none"/>
                <w:lang w:val="en-US" w:eastAsia="zh-CN"/>
              </w:rPr>
              <w:t>申请</w:t>
            </w:r>
            <w:r>
              <w:rPr>
                <w:rFonts w:hint="eastAsia" w:ascii="宋体" w:hAnsi="宋体" w:eastAsia="宋体" w:cs="宋体"/>
                <w:color w:val="auto"/>
                <w:sz w:val="24"/>
                <w:highlight w:val="none"/>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35"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9757"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解释：本磋商文件的解释权属于招标人。</w:t>
            </w:r>
            <w:r>
              <w:rPr>
                <w:rFonts w:hint="eastAsia" w:ascii="宋体" w:hAnsi="宋体" w:eastAsia="宋体" w:cs="宋体"/>
                <w:b/>
                <w:bCs/>
                <w:color w:val="auto"/>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8"/>
        <w:snapToGrid w:val="0"/>
        <w:spacing w:beforeLines="0" w:afterLines="0" w:line="42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4F41FCB2">
      <w:pPr>
        <w:pStyle w:val="28"/>
        <w:snapToGrid w:val="0"/>
        <w:spacing w:beforeLines="0" w:afterLines="0" w:line="420" w:lineRule="exact"/>
        <w:ind w:firstLine="482" w:firstLineChars="200"/>
        <w:rPr>
          <w:rFonts w:hint="eastAsia" w:ascii="宋体" w:hAnsi="宋体" w:eastAsia="宋体" w:cs="宋体"/>
          <w:b/>
          <w:color w:val="auto"/>
          <w:highlight w:val="none"/>
        </w:rPr>
      </w:pPr>
    </w:p>
    <w:p w14:paraId="658A6722">
      <w:pPr>
        <w:pStyle w:val="28"/>
        <w:snapToGrid w:val="0"/>
        <w:spacing w:beforeLines="0" w:afterLines="0" w:line="42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 、总  则</w:t>
      </w:r>
    </w:p>
    <w:p w14:paraId="26F478BC">
      <w:pPr>
        <w:snapToGrid w:val="0"/>
        <w:spacing w:line="42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（一）适用范围</w:t>
      </w:r>
    </w:p>
    <w:p w14:paraId="75D06569">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本磋商文件适用于本项目的招标、响应、磋商、定标、验收、合同履约、付款等行为。</w:t>
      </w:r>
    </w:p>
    <w:p w14:paraId="2405B524">
      <w:pPr>
        <w:snapToGrid w:val="0"/>
        <w:spacing w:before="120" w:beforeLines="50" w:line="420" w:lineRule="exact"/>
        <w:ind w:firstLine="354" w:firstLineChars="14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（二）定义</w:t>
      </w:r>
    </w:p>
    <w:p w14:paraId="52F4B2E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1.“招标人”系指组织本次招标的采购代理机构和采购单位。</w:t>
      </w:r>
    </w:p>
    <w:p w14:paraId="780166FA">
      <w:pPr>
        <w:spacing w:line="420" w:lineRule="exact"/>
        <w:ind w:firstLine="482" w:firstLineChars="200"/>
        <w:rPr>
          <w:rFonts w:hint="eastAsia" w:ascii="宋体" w:hAnsi="宋体" w:eastAsia="宋体" w:cs="宋体"/>
          <w:b/>
          <w:bCs/>
          <w:color w:val="auto"/>
          <w:sz w:val="24"/>
          <w:highlight w:val="none"/>
          <w:u w:val="single"/>
          <w:shd w:val="pct10" w:color="auto" w:fill="FFFFFF"/>
        </w:rPr>
      </w:pPr>
      <w:bookmarkStart w:id="26" w:name="_Hlk60996806"/>
      <w:r>
        <w:rPr>
          <w:rFonts w:hint="eastAsia" w:ascii="宋体" w:hAnsi="宋体" w:eastAsia="宋体" w:cs="宋体"/>
          <w:b/>
          <w:bCs/>
          <w:color w:val="auto"/>
          <w:sz w:val="24"/>
          <w:highlight w:val="none"/>
          <w:u w:val="single"/>
          <w:shd w:val="pct10" w:color="auto" w:fill="FFFFFF"/>
        </w:rPr>
        <w:t>2.“供应商”系指向招标人提交磋商响应文件的单位和组织。</w:t>
      </w:r>
    </w:p>
    <w:bookmarkEnd w:id="26"/>
    <w:p w14:paraId="4B0620CC">
      <w:pPr>
        <w:spacing w:line="420" w:lineRule="exact"/>
        <w:ind w:firstLine="482" w:firstLineChars="200"/>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b/>
          <w:bCs/>
          <w:color w:val="auto"/>
          <w:sz w:val="24"/>
          <w:highlight w:val="none"/>
          <w:u w:val="single"/>
          <w:shd w:val="pct10" w:color="auto" w:fill="FFFFFF"/>
        </w:rPr>
        <w:t>3.“磋商响应文件”系指参与政府采购活动的供应商按照竞争性磋商文件要求编制的响应文件。</w:t>
      </w:r>
    </w:p>
    <w:p w14:paraId="1D5DF19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4.“产品”系指供方按竞争性磋商文件规定，须向采购单位提供的一切设备、保险、税金、备品备件、工具、手册及其它有关技术资料和材料。</w:t>
      </w:r>
    </w:p>
    <w:p w14:paraId="64316334">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5.“服务”系指竞争性磋商文件规定供应商须承担的安装、调试、技术协助、校准、培训、技术指导以及其他类似的义务。</w:t>
      </w:r>
    </w:p>
    <w:p w14:paraId="47F4E47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6.“项目”系指供应商按竞争性磋商文件规定向采购单位提供的产品和服务。</w:t>
      </w:r>
    </w:p>
    <w:p w14:paraId="1E5B5881">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7.“书面形式”包括信函、传真、电报等。</w:t>
      </w:r>
    </w:p>
    <w:p w14:paraId="0D4ED40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8.“▲”系指实质性要求条款。</w:t>
      </w:r>
    </w:p>
    <w:p w14:paraId="0772CC87">
      <w:pPr>
        <w:snapToGrid w:val="0"/>
        <w:spacing w:before="120" w:beforeLines="50" w:line="42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14:paraId="22B596F5">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本次招标采用竞争性磋商方式进行。</w:t>
      </w:r>
    </w:p>
    <w:p w14:paraId="422AD9E6">
      <w:pPr>
        <w:snapToGrid w:val="0"/>
        <w:spacing w:before="120" w:beforeLines="50" w:line="42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14:paraId="019BA7FC">
      <w:pPr>
        <w:pStyle w:val="22"/>
        <w:snapToGrid w:val="0"/>
        <w:spacing w:line="420" w:lineRule="exact"/>
        <w:ind w:firstLine="464"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（五）投标费用及结算</w:t>
      </w:r>
    </w:p>
    <w:p w14:paraId="45763EF4">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1）不论投标结果如何，供应商均应自行承担所有与投标有关的全部费用。</w:t>
      </w:r>
    </w:p>
    <w:p w14:paraId="65FF434A">
      <w:pPr>
        <w:spacing w:line="420" w:lineRule="exact"/>
        <w:ind w:firstLine="480" w:firstLineChars="200"/>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2）除业主要求或设计变更要求外不签署任何增加费用的联系单，</w:t>
      </w:r>
      <w:r>
        <w:rPr>
          <w:rFonts w:hint="eastAsia" w:ascii="宋体" w:hAnsi="宋体" w:eastAsia="宋体" w:cs="宋体"/>
          <w:b/>
          <w:color w:val="auto"/>
          <w:sz w:val="24"/>
          <w:highlight w:val="none"/>
        </w:rPr>
        <w:t>工程量清单外</w:t>
      </w:r>
      <w:r>
        <w:rPr>
          <w:rFonts w:hint="eastAsia" w:ascii="宋体" w:hAnsi="宋体" w:eastAsia="宋体" w:cs="宋体"/>
          <w:color w:val="auto"/>
          <w:sz w:val="24"/>
          <w:highlight w:val="none"/>
        </w:rPr>
        <w:t>可能增加的成本各供应商自行考虑并计入投标报价，成交后不予调整。</w:t>
      </w:r>
      <w:r>
        <w:rPr>
          <w:rFonts w:hint="eastAsia" w:ascii="宋体" w:hAnsi="宋体" w:eastAsia="宋体" w:cs="宋体"/>
          <w:b/>
          <w:color w:val="auto"/>
          <w:sz w:val="24"/>
          <w:highlight w:val="none"/>
        </w:rPr>
        <w:t>投标时工程量按照磋商文件中提供的工程量进行投标报价，竣工决算时按实决算。</w:t>
      </w:r>
    </w:p>
    <w:p w14:paraId="760272C1">
      <w:pPr>
        <w:snapToGrid w:val="0"/>
        <w:spacing w:before="120" w:beforeLines="50" w:line="42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（六）</w:t>
      </w:r>
      <w:r>
        <w:rPr>
          <w:rFonts w:hint="eastAsia" w:ascii="宋体" w:hAnsi="宋体" w:eastAsia="宋体" w:cs="宋体"/>
          <w:b/>
          <w:color w:val="auto"/>
          <w:kern w:val="0"/>
          <w:sz w:val="24"/>
          <w:highlight w:val="none"/>
        </w:rPr>
        <w:t>转包与分包</w:t>
      </w:r>
    </w:p>
    <w:p w14:paraId="34355FFC">
      <w:pPr>
        <w:snapToGrid w:val="0"/>
        <w:spacing w:line="420" w:lineRule="exact"/>
        <w:ind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本项目不允许转包与违法分包。</w:t>
      </w:r>
    </w:p>
    <w:p w14:paraId="4A9B0493">
      <w:pPr>
        <w:snapToGrid w:val="0"/>
        <w:spacing w:before="120" w:beforeLines="50" w:line="42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（七）特别说明</w:t>
      </w:r>
    </w:p>
    <w:p w14:paraId="565BF252">
      <w:pPr>
        <w:widowControl/>
        <w:spacing w:line="42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1.单位负责人为同一人或者存在直接控股、管理关系的不同投标人，不得参加同一合同项下的政府采购活动。如有上述行为的，相关投标均无效。</w:t>
      </w:r>
    </w:p>
    <w:p w14:paraId="653C4C44">
      <w:pPr>
        <w:pStyle w:val="28"/>
        <w:snapToGrid w:val="0"/>
        <w:spacing w:beforeLines="0" w:afterLines="0" w:line="420" w:lineRule="exact"/>
        <w:ind w:left="2" w:leftChars="1"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2.供应商投标所使用的资格、信誉、荣誉、业绩必须为本法人所拥有。供应商投标所使用的采购项目实施人员须为本法人员工。</w:t>
      </w:r>
    </w:p>
    <w:p w14:paraId="1AA9DF3A">
      <w:pPr>
        <w:pStyle w:val="28"/>
        <w:snapToGrid w:val="0"/>
        <w:spacing w:beforeLines="0" w:afterLines="0" w:line="420" w:lineRule="exact"/>
        <w:ind w:left="2"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3.供应商应仔细阅读磋商文件的所有内容，按照磋商文件的要求提交响应文件，并对所提供的全部资料的真实性承担法律责任。</w:t>
      </w:r>
    </w:p>
    <w:p w14:paraId="14A90B3F">
      <w:pPr>
        <w:pStyle w:val="28"/>
        <w:snapToGrid w:val="0"/>
        <w:spacing w:beforeLines="0" w:afterLines="0" w:line="420" w:lineRule="exact"/>
        <w:ind w:left="2" w:leftChars="1" w:firstLine="480" w:firstLineChars="200"/>
        <w:rPr>
          <w:rFonts w:hint="eastAsia" w:ascii="宋体" w:hAnsi="宋体" w:eastAsia="宋体" w:cs="宋体"/>
          <w:b/>
          <w:color w:val="auto"/>
          <w:highlight w:val="none"/>
        </w:rPr>
      </w:pPr>
      <w:r>
        <w:rPr>
          <w:rFonts w:hint="eastAsia" w:ascii="宋体" w:hAnsi="宋体" w:eastAsia="宋体" w:cs="宋体"/>
          <w:color w:val="auto"/>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snapToGrid w:val="0"/>
        <w:spacing w:beforeLines="0" w:afterLines="0" w:line="420" w:lineRule="exact"/>
        <w:ind w:left="2" w:leftChars="1" w:firstLine="482" w:firstLineChars="200"/>
        <w:rPr>
          <w:rFonts w:hint="eastAsia" w:ascii="宋体" w:hAnsi="宋体" w:eastAsia="宋体" w:cs="宋体"/>
          <w:b/>
          <w:bCs/>
          <w:color w:val="auto"/>
          <w:highlight w:val="none"/>
        </w:rPr>
      </w:pPr>
      <w:bookmarkStart w:id="27" w:name="_Hlk81829695"/>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八</w:t>
      </w:r>
      <w:r>
        <w:rPr>
          <w:rFonts w:hint="eastAsia" w:ascii="宋体" w:hAnsi="宋体" w:eastAsia="宋体" w:cs="宋体"/>
          <w:b/>
          <w:bCs/>
          <w:color w:val="auto"/>
          <w:highlight w:val="none"/>
        </w:rPr>
        <w:t>）质疑</w:t>
      </w:r>
    </w:p>
    <w:p w14:paraId="734AB815">
      <w:pPr>
        <w:pStyle w:val="28"/>
        <w:snapToGrid w:val="0"/>
        <w:spacing w:beforeLines="0" w:afterLines="0" w:line="420" w:lineRule="exact"/>
        <w:ind w:left="2"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bookmarkStart w:id="28" w:name="_Hlk81828896"/>
      <w:r>
        <w:rPr>
          <w:rFonts w:hint="eastAsia" w:ascii="宋体" w:hAnsi="宋体" w:eastAsia="宋体" w:cs="宋体"/>
          <w:color w:val="auto"/>
          <w:highlight w:val="none"/>
        </w:rPr>
        <w:t>供应商</w:t>
      </w:r>
      <w:bookmarkEnd w:id="28"/>
      <w:r>
        <w:rPr>
          <w:rFonts w:hint="eastAsia" w:ascii="宋体" w:hAnsi="宋体" w:eastAsia="宋体" w:cs="宋体"/>
          <w:color w:val="auto"/>
          <w:highlight w:val="none"/>
        </w:rPr>
        <w:t>认为磋商文件、磋商过程和成交结果使自己的权益受到损害的，以书面形式</w:t>
      </w:r>
      <w:r>
        <w:rPr>
          <w:rFonts w:hint="eastAsia" w:ascii="宋体" w:hAnsi="宋体" w:eastAsia="宋体" w:cs="宋体"/>
          <w:b/>
          <w:color w:val="auto"/>
          <w:highlight w:val="none"/>
        </w:rPr>
        <w:t>并在</w:t>
      </w:r>
      <w:r>
        <w:rPr>
          <w:rFonts w:hint="eastAsia" w:ascii="宋体" w:hAnsi="宋体" w:eastAsia="宋体" w:cs="宋体"/>
          <w:color w:val="auto"/>
          <w:highlight w:val="none"/>
        </w:rPr>
        <w:t>政采云平台的质疑系统一次性向采购人或采购组织机构提出质疑：</w:t>
      </w:r>
    </w:p>
    <w:p w14:paraId="68CAE1DA">
      <w:pPr>
        <w:widowControl/>
        <w:spacing w:line="420" w:lineRule="exact"/>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供应商</w:t>
      </w:r>
      <w:r>
        <w:rPr>
          <w:rFonts w:hint="eastAsia" w:ascii="宋体" w:hAnsi="宋体" w:eastAsia="宋体" w:cs="宋体"/>
          <w:color w:val="auto"/>
          <w:kern w:val="0"/>
          <w:sz w:val="24"/>
          <w:highlight w:val="none"/>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供应商</w:t>
      </w:r>
      <w:r>
        <w:rPr>
          <w:rFonts w:hint="eastAsia" w:ascii="宋体" w:hAnsi="宋体" w:eastAsia="宋体" w:cs="宋体"/>
          <w:color w:val="auto"/>
          <w:kern w:val="0"/>
          <w:sz w:val="24"/>
          <w:highlight w:val="none"/>
        </w:rPr>
        <w:t>对磋商过程提出质疑的，应当在各磋商程序环节结束之日起7个工作日内提出质疑；</w:t>
      </w:r>
    </w:p>
    <w:p w14:paraId="55CE95D4">
      <w:pPr>
        <w:widowControl/>
        <w:spacing w:line="420" w:lineRule="exact"/>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sz w:val="24"/>
          <w:highlight w:val="none"/>
        </w:rPr>
        <w:t>供应商</w:t>
      </w:r>
      <w:r>
        <w:rPr>
          <w:rFonts w:hint="eastAsia" w:ascii="宋体" w:hAnsi="宋体" w:eastAsia="宋体" w:cs="宋体"/>
          <w:color w:val="auto"/>
          <w:kern w:val="0"/>
          <w:sz w:val="24"/>
          <w:highlight w:val="none"/>
        </w:rPr>
        <w:t>对成交结果提出质疑的，</w:t>
      </w:r>
      <w:r>
        <w:rPr>
          <w:rFonts w:hint="eastAsia" w:ascii="宋体" w:hAnsi="宋体" w:eastAsia="宋体" w:cs="宋体"/>
          <w:b/>
          <w:color w:val="auto"/>
          <w:kern w:val="0"/>
          <w:sz w:val="24"/>
          <w:highlight w:val="none"/>
        </w:rPr>
        <w:t>应当在成交结果公告之日起</w:t>
      </w:r>
      <w:r>
        <w:rPr>
          <w:rFonts w:hint="eastAsia" w:ascii="宋体" w:hAnsi="宋体" w:eastAsia="宋体" w:cs="宋体"/>
          <w:color w:val="auto"/>
          <w:kern w:val="0"/>
          <w:sz w:val="24"/>
          <w:highlight w:val="none"/>
        </w:rPr>
        <w:t>7个工作日内提出质疑；</w:t>
      </w:r>
    </w:p>
    <w:p w14:paraId="60601E90">
      <w:pPr>
        <w:widowControl/>
        <w:spacing w:line="420" w:lineRule="exact"/>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27"/>
    <w:p w14:paraId="6FCAB495">
      <w:pPr>
        <w:widowControl/>
        <w:spacing w:line="420" w:lineRule="exact"/>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（九）投诉</w:t>
      </w:r>
    </w:p>
    <w:p w14:paraId="15AA13A8">
      <w:pPr>
        <w:pStyle w:val="2"/>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质疑供应商对采购人或采购代理机构的答复不满意或者采购人、采购代理机构未在规定的时间内作出答复的，可以在答复期满后十五个工作日内按照</w:t>
      </w:r>
      <w:r>
        <w:rPr>
          <w:rFonts w:hint="eastAsia" w:ascii="宋体" w:hAnsi="宋体" w:eastAsia="宋体" w:cs="宋体"/>
          <w:color w:val="auto"/>
          <w:sz w:val="24"/>
          <w:highlight w:val="none"/>
        </w:rPr>
        <w:t>《中华人民共和国政府采购法》、《中华人民共和国政府采购法实施条例》</w:t>
      </w:r>
      <w:r>
        <w:rPr>
          <w:rFonts w:hint="eastAsia" w:ascii="宋体" w:hAnsi="宋体" w:eastAsia="宋体" w:cs="宋体"/>
          <w:color w:val="auto"/>
          <w:kern w:val="0"/>
          <w:sz w:val="24"/>
          <w:highlight w:val="none"/>
        </w:rPr>
        <w:t>、《政府采购质疑和投诉办法》（财政部令第94号）等有关规定向</w:t>
      </w:r>
      <w:r>
        <w:rPr>
          <w:rFonts w:hint="eastAsia" w:ascii="宋体" w:hAnsi="宋体" w:eastAsia="宋体" w:cs="宋体"/>
          <w:color w:val="auto"/>
          <w:kern w:val="0"/>
          <w:sz w:val="24"/>
          <w:highlight w:val="none"/>
          <w:lang w:val="en-US" w:eastAsia="zh-CN"/>
        </w:rPr>
        <w:t>本项目监管机构</w:t>
      </w:r>
      <w:r>
        <w:rPr>
          <w:rFonts w:hint="eastAsia" w:ascii="宋体" w:hAnsi="宋体" w:eastAsia="宋体" w:cs="宋体"/>
          <w:color w:val="auto"/>
          <w:kern w:val="0"/>
          <w:sz w:val="24"/>
          <w:highlight w:val="none"/>
        </w:rPr>
        <w:t>临海市财政局</w:t>
      </w:r>
      <w:r>
        <w:rPr>
          <w:rFonts w:hint="eastAsia" w:ascii="宋体" w:hAnsi="宋体" w:eastAsia="宋体" w:cs="宋体"/>
          <w:color w:val="auto"/>
          <w:kern w:val="0"/>
          <w:sz w:val="24"/>
          <w:highlight w:val="none"/>
          <w:lang w:val="en-US" w:eastAsia="zh-CN"/>
        </w:rPr>
        <w:t>以</w:t>
      </w:r>
      <w:r>
        <w:rPr>
          <w:rFonts w:hint="eastAsia" w:ascii="宋体" w:hAnsi="宋体" w:eastAsia="宋体" w:cs="宋体"/>
          <w:color w:val="auto"/>
          <w:kern w:val="0"/>
          <w:sz w:val="24"/>
          <w:highlight w:val="none"/>
        </w:rPr>
        <w:t>书面形式邮寄方式</w:t>
      </w:r>
      <w:r>
        <w:rPr>
          <w:rFonts w:hint="eastAsia" w:ascii="宋体" w:hAnsi="宋体" w:eastAsia="宋体" w:cs="宋体"/>
          <w:color w:val="auto"/>
          <w:kern w:val="0"/>
          <w:sz w:val="24"/>
          <w:highlight w:val="none"/>
          <w:lang w:val="en-US" w:eastAsia="zh-CN"/>
        </w:rPr>
        <w:t>进行</w:t>
      </w:r>
      <w:r>
        <w:rPr>
          <w:rFonts w:hint="eastAsia" w:ascii="宋体" w:hAnsi="宋体" w:eastAsia="宋体" w:cs="宋体"/>
          <w:color w:val="auto"/>
          <w:kern w:val="0"/>
          <w:sz w:val="24"/>
          <w:highlight w:val="none"/>
        </w:rPr>
        <w:t>投诉，联系地址：临海市巾山东路112号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联系</w:t>
      </w:r>
      <w:r>
        <w:rPr>
          <w:rFonts w:hint="eastAsia" w:ascii="宋体" w:hAnsi="宋体" w:eastAsia="宋体" w:cs="宋体"/>
          <w:color w:val="auto"/>
          <w:kern w:val="0"/>
          <w:sz w:val="24"/>
          <w:highlight w:val="none"/>
          <w:lang w:val="en-US" w:eastAsia="zh-CN"/>
        </w:rPr>
        <w:t>部门</w:t>
      </w:r>
      <w:r>
        <w:rPr>
          <w:rFonts w:hint="eastAsia" w:ascii="宋体" w:hAnsi="宋体" w:eastAsia="宋体" w:cs="宋体"/>
          <w:color w:val="auto"/>
          <w:kern w:val="0"/>
          <w:sz w:val="24"/>
          <w:highlight w:val="none"/>
        </w:rPr>
        <w:t>：政府采购监管科</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监督、投诉联系电话：0576-85188034</w:t>
      </w:r>
      <w:r>
        <w:rPr>
          <w:rFonts w:hint="eastAsia" w:ascii="宋体" w:hAnsi="宋体" w:eastAsia="宋体" w:cs="宋体"/>
          <w:color w:val="auto"/>
          <w:kern w:val="0"/>
          <w:sz w:val="24"/>
          <w:highlight w:val="none"/>
          <w:lang w:eastAsia="zh-CN"/>
        </w:rPr>
        <w:t>。</w:t>
      </w:r>
    </w:p>
    <w:p w14:paraId="6FFC0782">
      <w:pPr>
        <w:pStyle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供应商投诉的事项不得超出已质疑事项的范围，基于质疑答复内容提出的投诉事项除外。</w:t>
      </w:r>
    </w:p>
    <w:p w14:paraId="01D21438">
      <w:pPr>
        <w:pStyle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供应商投诉应当有明确的请求和必要的证明材料。</w:t>
      </w:r>
    </w:p>
    <w:p w14:paraId="5E510B06">
      <w:pPr>
        <w:pStyle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以联合体形式参加政府采购活动的，其投诉应当由组成联合体的所有供应商共同提出。</w:t>
      </w:r>
    </w:p>
    <w:p w14:paraId="3BB98963">
      <w:pPr>
        <w:pStyle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投诉书范本请到浙江政府采购网下载专区下载。</w:t>
      </w:r>
    </w:p>
    <w:p w14:paraId="2163C579">
      <w:pPr>
        <w:pStyle w:val="28"/>
        <w:snapToGrid w:val="0"/>
        <w:spacing w:beforeLines="0" w:afterLines="0" w:line="420" w:lineRule="exact"/>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二、竞争性磋商文件</w:t>
      </w:r>
    </w:p>
    <w:p w14:paraId="4B6970E4">
      <w:pPr>
        <w:snapToGrid w:val="0"/>
        <w:spacing w:line="42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（一）磋商文件的构成</w:t>
      </w:r>
    </w:p>
    <w:p w14:paraId="50C01E86">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1.竞争性磋商公告</w:t>
      </w:r>
    </w:p>
    <w:p w14:paraId="269D48D3">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2.采购需求</w:t>
      </w:r>
    </w:p>
    <w:p w14:paraId="766E077C">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3.供应商磋商须知</w:t>
      </w:r>
    </w:p>
    <w:p w14:paraId="59A0266A">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4.磋商原则及评标办法</w:t>
      </w:r>
    </w:p>
    <w:p w14:paraId="040B15B8">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14:paraId="6FB0087B">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6.响应文件格式</w:t>
      </w:r>
    </w:p>
    <w:p w14:paraId="606A9620">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7.本项目磋商文件的澄清、答复、修改、补充的内容（如有）</w:t>
      </w:r>
    </w:p>
    <w:p w14:paraId="1CBE5267">
      <w:pPr>
        <w:snapToGrid w:val="0"/>
        <w:spacing w:before="120" w:beforeLines="50" w:line="42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（二）供应商的风险</w:t>
      </w:r>
    </w:p>
    <w:p w14:paraId="0A7445E8">
      <w:pPr>
        <w:pStyle w:val="39"/>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供应商没有按照磋商文件要求提供全部资料，或者供应商没有对磋商文件在各方面作出实质性响应是供应商的风险，并可能导致其投标被拒绝。</w:t>
      </w:r>
    </w:p>
    <w:p w14:paraId="3BED2019">
      <w:pPr>
        <w:pStyle w:val="13"/>
        <w:widowControl w:val="0"/>
        <w:tabs>
          <w:tab w:val="left" w:pos="420"/>
        </w:tabs>
        <w:snapToGrid w:val="0"/>
        <w:spacing w:before="120" w:beforeLines="50" w:afterLines="0" w:line="420" w:lineRule="exact"/>
        <w:ind w:left="0" w:firstLine="472" w:firstLineChars="196"/>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（三）磋商文件的澄清与修改 </w:t>
      </w:r>
    </w:p>
    <w:p w14:paraId="58CBFE38">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供应商应认真阅读本磋商文件，发现其中有误或有不合理要求的，供应商必须在前附表规定的时间前以书面形式要求招标人澄清</w:t>
      </w:r>
      <w:r>
        <w:rPr>
          <w:rFonts w:hint="eastAsia" w:ascii="宋体" w:hAnsi="宋体" w:eastAsia="宋体" w:cs="宋体"/>
          <w:color w:val="auto"/>
          <w:highlight w:val="none"/>
        </w:rPr>
        <w:t>。招标人对已发出的磋商文件进行必要澄清、答复、修改或补充的，应当在磋商文件要求提交响应文件截止时间前，在采购公告发布的网站予以发布。</w:t>
      </w:r>
    </w:p>
    <w:p w14:paraId="36F36914">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2.磋商文件澄清、答复、修改、补充的内容为磋商标文件的组成部分。当磋商文件与磋商文件的答复、澄清、修改、补充通知就同一内容的表述不一致时，以最后发出的公告为准。</w:t>
      </w:r>
    </w:p>
    <w:p w14:paraId="780D92EC">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3.磋商文件的澄清、答复、修改或补充都应该通过招标人以法定形式发布，采购人没有通过招标人，不得擅自澄清、答复、修改或补充磋商文件。</w:t>
      </w:r>
    </w:p>
    <w:p w14:paraId="3F41612E">
      <w:pPr>
        <w:pStyle w:val="28"/>
        <w:snapToGrid w:val="0"/>
        <w:spacing w:beforeLines="0" w:afterLines="0" w:line="420" w:lineRule="exact"/>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三、响应文件的编制</w:t>
      </w:r>
    </w:p>
    <w:p w14:paraId="67ADEE16">
      <w:pPr>
        <w:snapToGrid w:val="0"/>
        <w:spacing w:line="42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（一）响应文件的组成</w:t>
      </w:r>
    </w:p>
    <w:p w14:paraId="167B76F7">
      <w:pPr>
        <w:snapToGrid w:val="0"/>
        <w:spacing w:line="42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响应文件由资格响应文件、商务技术文件、报价文件三部份组成。</w:t>
      </w:r>
      <w:r>
        <w:rPr>
          <w:rFonts w:hint="eastAsia" w:ascii="宋体" w:hAnsi="宋体" w:eastAsia="宋体" w:cs="宋体"/>
          <w:color w:val="auto"/>
          <w:sz w:val="24"/>
          <w:highlight w:val="none"/>
        </w:rPr>
        <w:t>相关格式见附件，其余格式自拟。</w:t>
      </w:r>
    </w:p>
    <w:p w14:paraId="4FEF4CAF">
      <w:pPr>
        <w:snapToGrid w:val="0"/>
        <w:spacing w:line="42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1.资格响应文件</w:t>
      </w:r>
    </w:p>
    <w:p w14:paraId="13A2549A">
      <w:pPr>
        <w:snapToGrid w:val="0"/>
        <w:spacing w:line="4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（1）营业执照</w:t>
      </w:r>
      <w:r>
        <w:rPr>
          <w:rFonts w:hint="eastAsia" w:ascii="宋体" w:hAnsi="宋体" w:eastAsia="宋体" w:cs="宋体"/>
          <w:b/>
          <w:color w:val="auto"/>
          <w:sz w:val="24"/>
          <w:highlight w:val="none"/>
        </w:rPr>
        <w:t>（推荐使用电子营业执照）</w:t>
      </w:r>
      <w:r>
        <w:rPr>
          <w:rFonts w:hint="eastAsia" w:ascii="宋体" w:hAnsi="宋体" w:eastAsia="宋体" w:cs="宋体"/>
          <w:bCs/>
          <w:color w:val="auto"/>
          <w:sz w:val="24"/>
          <w:highlight w:val="none"/>
        </w:rPr>
        <w:t>或事业法人登记证或其他工商等登记证明材料原件扫描件或复印件；</w:t>
      </w:r>
    </w:p>
    <w:p w14:paraId="6BC991A1">
      <w:pPr>
        <w:snapToGrid w:val="0"/>
        <w:spacing w:line="42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资质文件复印件（如有）；</w:t>
      </w:r>
    </w:p>
    <w:p w14:paraId="1FC5FD75">
      <w:pPr>
        <w:snapToGrid w:val="0"/>
        <w:spacing w:line="420" w:lineRule="exact"/>
        <w:ind w:firstLine="480" w:firstLineChars="200"/>
        <w:jc w:val="left"/>
        <w:rPr>
          <w:rFonts w:hint="eastAsia" w:ascii="宋体" w:hAnsi="宋体" w:eastAsia="宋体" w:cs="宋体"/>
          <w:bCs/>
          <w:color w:val="auto"/>
          <w:sz w:val="24"/>
          <w:highlight w:val="none"/>
        </w:rPr>
      </w:pPr>
      <w:bookmarkStart w:id="29" w:name="_Hlk68075338"/>
      <w:r>
        <w:rPr>
          <w:rFonts w:hint="eastAsia" w:ascii="宋体" w:hAnsi="宋体" w:eastAsia="宋体" w:cs="宋体"/>
          <w:bCs/>
          <w:color w:val="auto"/>
          <w:sz w:val="24"/>
          <w:highlight w:val="none"/>
        </w:rPr>
        <w:t>（3）</w:t>
      </w:r>
      <w:bookmarkEnd w:id="29"/>
      <w:r>
        <w:rPr>
          <w:rFonts w:hint="eastAsia" w:ascii="宋体" w:hAnsi="宋体" w:eastAsia="宋体" w:cs="宋体"/>
          <w:bCs/>
          <w:color w:val="auto"/>
          <w:sz w:val="24"/>
          <w:highlight w:val="none"/>
        </w:rPr>
        <w:t>没有重大违法记录的承诺函</w:t>
      </w:r>
      <w:bookmarkStart w:id="30" w:name="_Hlk69365455"/>
      <w:r>
        <w:rPr>
          <w:rFonts w:hint="eastAsia" w:ascii="宋体" w:hAnsi="宋体" w:eastAsia="宋体" w:cs="宋体"/>
          <w:b/>
          <w:color w:val="auto"/>
          <w:sz w:val="24"/>
          <w:highlight w:val="none"/>
          <w:u w:val="single"/>
          <w:shd w:val="pct10" w:color="auto" w:fill="FFFFFF"/>
        </w:rPr>
        <w:t>（请供应商在资格响应文件中勿遗漏该表格）</w:t>
      </w:r>
      <w:r>
        <w:rPr>
          <w:rFonts w:hint="eastAsia" w:ascii="宋体" w:hAnsi="宋体" w:eastAsia="宋体" w:cs="宋体"/>
          <w:bCs/>
          <w:color w:val="auto"/>
          <w:sz w:val="24"/>
          <w:highlight w:val="none"/>
        </w:rPr>
        <w:t>；</w:t>
      </w:r>
    </w:p>
    <w:bookmarkEnd w:id="30"/>
    <w:p w14:paraId="75BDDADB">
      <w:pPr>
        <w:snapToGrid w:val="0"/>
        <w:spacing w:line="42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bookmarkStart w:id="31" w:name="_Hlk534200662"/>
      <w:r>
        <w:rPr>
          <w:rFonts w:hint="eastAsia" w:ascii="宋体" w:hAnsi="宋体" w:eastAsia="宋体" w:cs="宋体"/>
          <w:b/>
          <w:color w:val="auto"/>
          <w:sz w:val="24"/>
          <w:highlight w:val="none"/>
        </w:rPr>
        <w:t>商务</w:t>
      </w:r>
      <w:r>
        <w:rPr>
          <w:rFonts w:hint="eastAsia" w:ascii="宋体" w:hAnsi="宋体" w:eastAsia="宋体" w:cs="宋体"/>
          <w:b/>
          <w:bCs/>
          <w:color w:val="auto"/>
          <w:sz w:val="24"/>
          <w:highlight w:val="none"/>
        </w:rPr>
        <w:t>技术</w:t>
      </w:r>
      <w:r>
        <w:rPr>
          <w:rFonts w:hint="eastAsia" w:ascii="宋体" w:hAnsi="宋体" w:eastAsia="宋体" w:cs="宋体"/>
          <w:b/>
          <w:color w:val="auto"/>
          <w:sz w:val="24"/>
          <w:highlight w:val="none"/>
        </w:rPr>
        <w:t>文件</w:t>
      </w:r>
      <w:bookmarkEnd w:id="31"/>
    </w:p>
    <w:p w14:paraId="7FE2C061">
      <w:pPr>
        <w:snapToGrid w:val="0"/>
        <w:spacing w:line="42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w:t>
      </w:r>
    </w:p>
    <w:p w14:paraId="15C7015F">
      <w:pPr>
        <w:snapToGrid w:val="0"/>
        <w:spacing w:line="42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bookmarkStart w:id="32" w:name="_Hlk534200539"/>
      <w:r>
        <w:rPr>
          <w:rFonts w:hint="eastAsia" w:ascii="宋体" w:hAnsi="宋体" w:eastAsia="宋体" w:cs="宋体"/>
          <w:color w:val="auto"/>
          <w:sz w:val="24"/>
          <w:highlight w:val="none"/>
        </w:rPr>
        <w:t>法定代表人授权委托书</w:t>
      </w:r>
      <w:bookmarkEnd w:id="32"/>
      <w:r>
        <w:rPr>
          <w:rFonts w:hint="eastAsia" w:ascii="宋体" w:hAnsi="宋体" w:eastAsia="宋体" w:cs="宋体"/>
          <w:color w:val="auto"/>
          <w:sz w:val="24"/>
          <w:highlight w:val="none"/>
        </w:rPr>
        <w:t>（或法定代表人身份证明）；</w:t>
      </w:r>
    </w:p>
    <w:p w14:paraId="6418B8F1">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（3）供应商按照评分标准要求提供的相应资料；</w:t>
      </w:r>
    </w:p>
    <w:p w14:paraId="242D79E5">
      <w:pPr>
        <w:snapToGrid w:val="0"/>
        <w:spacing w:line="420" w:lineRule="exact"/>
        <w:ind w:firstLine="480" w:firstLineChars="200"/>
        <w:jc w:val="left"/>
        <w:rPr>
          <w:rFonts w:hint="eastAsia" w:ascii="宋体" w:hAnsi="宋体" w:eastAsia="宋体" w:cs="宋体"/>
          <w:color w:val="auto"/>
          <w:sz w:val="24"/>
          <w:highlight w:val="none"/>
        </w:rPr>
      </w:pPr>
      <w:bookmarkStart w:id="33" w:name="_Hlk65237132"/>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bookmarkEnd w:id="33"/>
      <w:r>
        <w:rPr>
          <w:rFonts w:hint="eastAsia" w:ascii="宋体" w:hAnsi="宋体" w:eastAsia="宋体" w:cs="宋体"/>
          <w:color w:val="auto"/>
          <w:sz w:val="24"/>
          <w:highlight w:val="none"/>
        </w:rPr>
        <w:t>项目负责人简历表；</w:t>
      </w:r>
    </w:p>
    <w:p w14:paraId="5FE76327">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）项目实施人员一览表； </w:t>
      </w:r>
    </w:p>
    <w:p w14:paraId="46CFB8DB">
      <w:pPr>
        <w:snapToGrid w:val="0"/>
        <w:spacing w:line="42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）供应商类似成功案例一览表；</w:t>
      </w:r>
    </w:p>
    <w:p w14:paraId="7A70DD4B">
      <w:pPr>
        <w:snapToGrid w:val="0"/>
        <w:spacing w:line="42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）售后服务网点情况表；</w:t>
      </w:r>
    </w:p>
    <w:p w14:paraId="546376E5">
      <w:pPr>
        <w:snapToGrid w:val="0"/>
        <w:spacing w:line="42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）商务技术响应表；</w:t>
      </w:r>
    </w:p>
    <w:p w14:paraId="6CB66A64">
      <w:pPr>
        <w:snapToGrid w:val="0"/>
        <w:spacing w:line="42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）供应商认为需要提供的其他资料。</w:t>
      </w:r>
      <w:bookmarkStart w:id="34" w:name="_Hlk534294060"/>
    </w:p>
    <w:bookmarkEnd w:id="34"/>
    <w:p w14:paraId="4D5D3446">
      <w:pPr>
        <w:snapToGrid w:val="0"/>
        <w:spacing w:line="42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14:paraId="6BBFE643">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w:t>
      </w:r>
    </w:p>
    <w:p w14:paraId="6359BA2A">
      <w:pPr>
        <w:pStyle w:val="30"/>
        <w:snapToGrid w:val="0"/>
        <w:spacing w:line="4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（2）报价明细表；</w:t>
      </w:r>
    </w:p>
    <w:p w14:paraId="6C443443">
      <w:pPr>
        <w:pStyle w:val="30"/>
        <w:snapToGrid w:val="0"/>
        <w:spacing w:line="420" w:lineRule="exact"/>
        <w:ind w:left="0" w:leftChars="0" w:firstLine="482" w:firstLineChars="200"/>
        <w:rPr>
          <w:rFonts w:hint="eastAsia" w:ascii="宋体" w:hAnsi="宋体" w:eastAsia="宋体" w:cs="宋体"/>
          <w:color w:val="auto"/>
          <w:highlight w:val="none"/>
          <w:lang w:eastAsia="zh-CN"/>
        </w:rPr>
      </w:pPr>
      <w:r>
        <w:rPr>
          <w:rFonts w:hint="eastAsia" w:ascii="宋体" w:hAnsi="宋体" w:eastAsia="宋体" w:cs="宋体"/>
          <w:b/>
          <w:color w:val="auto"/>
          <w:sz w:val="24"/>
          <w:szCs w:val="24"/>
          <w:highlight w:val="none"/>
          <w:u w:val="single"/>
          <w:shd w:val="pct10" w:color="auto" w:fill="FFFFFF"/>
        </w:rPr>
        <w:t>（</w:t>
      </w:r>
      <w:r>
        <w:rPr>
          <w:rFonts w:hint="eastAsia" w:ascii="宋体" w:hAnsi="宋体" w:eastAsia="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rPr>
        <w:t>）</w:t>
      </w:r>
      <w:r>
        <w:rPr>
          <w:rFonts w:hint="eastAsia" w:ascii="宋体" w:hAnsi="宋体" w:eastAsia="宋体" w:cs="宋体"/>
          <w:b/>
          <w:color w:val="auto"/>
          <w:sz w:val="24"/>
          <w:szCs w:val="24"/>
          <w:highlight w:val="none"/>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cs="宋体"/>
          <w:b/>
          <w:color w:val="auto"/>
          <w:sz w:val="24"/>
          <w:szCs w:val="24"/>
          <w:highlight w:val="none"/>
          <w:u w:val="single"/>
          <w:shd w:val="pct10" w:color="auto" w:fill="FFFFFF"/>
        </w:rPr>
        <w:t>（不影响企业规模类型判定的除外）</w:t>
      </w:r>
      <w:r>
        <w:rPr>
          <w:rFonts w:hint="eastAsia" w:ascii="宋体" w:hAnsi="宋体" w:eastAsia="宋体" w:cs="宋体"/>
          <w:b/>
          <w:color w:val="auto"/>
          <w:sz w:val="24"/>
          <w:szCs w:val="24"/>
          <w:highlight w:val="none"/>
          <w:u w:val="single"/>
          <w:shd w:val="pct10" w:color="auto" w:fill="FFFFFF"/>
          <w:lang w:eastAsia="zh-CN"/>
        </w:rPr>
        <w:t>、未如实填写的，将不给予供应商享受中小企业扶持政策。</w:t>
      </w:r>
    </w:p>
    <w:p w14:paraId="6CAC4C8A">
      <w:pPr>
        <w:spacing w:line="42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zh-CN"/>
        </w:rPr>
        <w:t>磋商小组根据上述资料和《政府采购促进中小企业发展管理办法》财库［2020］46号文件、工信部联企业[2011]300号文件、浙财采监〔2018〕2号、浙财采监【2022】3号文件等规定，</w:t>
      </w:r>
      <w:r>
        <w:rPr>
          <w:rFonts w:hint="eastAsia" w:ascii="宋体" w:hAnsi="宋体" w:eastAsia="宋体" w:cs="宋体"/>
          <w:b/>
          <w:color w:val="auto"/>
          <w:sz w:val="24"/>
          <w:highlight w:val="none"/>
          <w:lang w:val="zh-CN"/>
        </w:rPr>
        <w:t>综合评判后确认供应商是否享受中小企业扶持政策。</w:t>
      </w:r>
      <w:r>
        <w:rPr>
          <w:rFonts w:hint="eastAsia" w:ascii="宋体" w:hAnsi="宋体" w:eastAsia="宋体" w:cs="宋体"/>
          <w:b/>
          <w:color w:val="auto"/>
          <w:sz w:val="24"/>
          <w:highlight w:val="none"/>
          <w:u w:val="single"/>
          <w:shd w:val="pct10" w:color="auto" w:fill="FFFFFF"/>
        </w:rPr>
        <w:t>磋商过程中如须核实有关单位网上统计、社保、税务等信息的，供应商须提供配合。</w:t>
      </w:r>
    </w:p>
    <w:p w14:paraId="41DD6BD6">
      <w:pPr>
        <w:snapToGrid w:val="0"/>
        <w:spacing w:before="100" w:beforeAutospacing="1" w:after="100" w:afterAutospacing="1" w:line="420" w:lineRule="exact"/>
        <w:ind w:firstLine="236" w:firstLineChars="98"/>
        <w:jc w:val="left"/>
        <w:rPr>
          <w:rFonts w:hint="eastAsia" w:ascii="宋体" w:hAnsi="宋体" w:eastAsia="宋体" w:cs="宋体"/>
          <w:b/>
          <w:color w:val="auto"/>
          <w:spacing w:val="-4"/>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pacing w:val="-4"/>
          <w:sz w:val="24"/>
          <w:highlight w:val="none"/>
        </w:rPr>
        <w:t>采购项目评分索引表(该表格仅为方便评标之用，不涉及无效标条款，表格放置在商务技术文件目录的前页，以方便评委进行评审，格式见第四章)</w:t>
      </w:r>
    </w:p>
    <w:p w14:paraId="1E0FBCA7">
      <w:pPr>
        <w:snapToGrid w:val="0"/>
        <w:spacing w:line="420" w:lineRule="exact"/>
        <w:ind w:firstLine="361" w:firstLineChars="1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（三）响应文件的语言及计量</w:t>
      </w:r>
    </w:p>
    <w:p w14:paraId="2D529D2A">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（四）投标报价</w:t>
      </w:r>
    </w:p>
    <w:p w14:paraId="1F17B5FD">
      <w:pPr>
        <w:pStyle w:val="28"/>
        <w:snapToGrid w:val="0"/>
        <w:spacing w:beforeLines="0" w:afterLines="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1.投标报价应按磋商文件中相关附表格式填写。</w:t>
      </w:r>
    </w:p>
    <w:p w14:paraId="360910F3">
      <w:pPr>
        <w:pStyle w:val="28"/>
        <w:snapToGrid w:val="0"/>
        <w:spacing w:beforeLines="0" w:afterLines="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▲3.响应文件只允许有一个报价，有选择的或有条件的报价将不予接受。</w:t>
      </w:r>
    </w:p>
    <w:p w14:paraId="3FFC924E">
      <w:pPr>
        <w:tabs>
          <w:tab w:val="left" w:pos="525"/>
        </w:tabs>
        <w:snapToGrid w:val="0"/>
        <w:spacing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此项符合性在报价文件中进行评审</w:t>
      </w:r>
      <w:r>
        <w:rPr>
          <w:rFonts w:hint="eastAsia" w:ascii="宋体" w:hAnsi="宋体" w:eastAsia="宋体" w:cs="宋体"/>
          <w:color w:val="auto"/>
          <w:sz w:val="24"/>
          <w:highlight w:val="none"/>
          <w:lang w:eastAsia="zh-CN"/>
        </w:rPr>
        <w:t>）</w:t>
      </w:r>
    </w:p>
    <w:p w14:paraId="191E5901">
      <w:pPr>
        <w:pStyle w:val="13"/>
        <w:widowControl w:val="0"/>
        <w:tabs>
          <w:tab w:val="left" w:pos="420"/>
        </w:tabs>
        <w:snapToGrid w:val="0"/>
        <w:spacing w:before="120" w:beforeLines="50" w:afterLines="0" w:line="420" w:lineRule="exact"/>
        <w:ind w:left="0" w:firstLine="472" w:firstLineChars="196"/>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（五）投标有效期</w:t>
      </w:r>
    </w:p>
    <w:p w14:paraId="1C4AB18F">
      <w:pPr>
        <w:pStyle w:val="13"/>
        <w:widowControl w:val="0"/>
        <w:tabs>
          <w:tab w:val="left" w:pos="420"/>
        </w:tabs>
        <w:snapToGrid w:val="0"/>
        <w:spacing w:afterLines="0" w:line="420" w:lineRule="exact"/>
        <w:ind w:left="-25" w:leftChars="-12" w:firstLine="360" w:firstLine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▲1.自投标截止日起</w:t>
      </w:r>
      <w:r>
        <w:rPr>
          <w:rFonts w:hint="eastAsia" w:ascii="宋体" w:hAnsi="宋体" w:eastAsia="宋体" w:cs="宋体"/>
          <w:color w:val="auto"/>
          <w:szCs w:val="24"/>
          <w:highlight w:val="none"/>
          <w:u w:val="single"/>
        </w:rPr>
        <w:t xml:space="preserve">  90  </w:t>
      </w:r>
      <w:r>
        <w:rPr>
          <w:rFonts w:hint="eastAsia" w:ascii="宋体" w:hAnsi="宋体" w:eastAsia="宋体" w:cs="宋体"/>
          <w:color w:val="auto"/>
          <w:szCs w:val="24"/>
          <w:highlight w:val="none"/>
        </w:rPr>
        <w:t>天响应文件应保持有效。</w:t>
      </w:r>
    </w:p>
    <w:p w14:paraId="63A14AE6">
      <w:pPr>
        <w:pStyle w:val="13"/>
        <w:widowControl w:val="0"/>
        <w:tabs>
          <w:tab w:val="left" w:pos="420"/>
        </w:tabs>
        <w:snapToGrid w:val="0"/>
        <w:spacing w:afterLines="0" w:line="42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3.供应商可拒绝接受延期要求，同意延长有效期的供应商不能修改响应文件内容。 </w:t>
      </w:r>
    </w:p>
    <w:p w14:paraId="270AE9FD">
      <w:pPr>
        <w:snapToGrid w:val="0"/>
        <w:spacing w:line="420" w:lineRule="exact"/>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4.成交供应商的响应文件自开标之日起至合同履行完毕止均应保持有效。</w:t>
      </w:r>
    </w:p>
    <w:p w14:paraId="0EDF9838">
      <w:pPr>
        <w:snapToGrid w:val="0"/>
        <w:spacing w:line="420" w:lineRule="exact"/>
        <w:ind w:firstLine="472" w:firstLineChars="196"/>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5.供应商有下列情形之一的，按有关规定进行处罚：</w:t>
      </w:r>
    </w:p>
    <w:p w14:paraId="7C7221F2">
      <w:pPr>
        <w:snapToGrid w:val="0"/>
        <w:spacing w:line="42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（1）供应商在投标有效期内撤回响应文件的；</w:t>
      </w:r>
    </w:p>
    <w:p w14:paraId="616F9270">
      <w:pPr>
        <w:snapToGrid w:val="0"/>
        <w:spacing w:line="42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（2）未按规定提交履约保证金的；</w:t>
      </w:r>
    </w:p>
    <w:p w14:paraId="428CABD9">
      <w:pPr>
        <w:snapToGrid w:val="0"/>
        <w:spacing w:line="42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（3）供应商在投标过程中弄虚作假，提供虚假材料的；</w:t>
      </w:r>
    </w:p>
    <w:p w14:paraId="720825CE">
      <w:pPr>
        <w:snapToGrid w:val="0"/>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（4）成交供应商无正当理由不与采购人签订合同的；</w:t>
      </w:r>
    </w:p>
    <w:p w14:paraId="4A74C4F0">
      <w:pPr>
        <w:snapToGrid w:val="0"/>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Cs/>
          <w:color w:val="auto"/>
          <w:sz w:val="24"/>
          <w:highlight w:val="none"/>
        </w:rPr>
        <w:t>将成交项目转让给他人或者在响应文件中未说明且未经招标人同意，将成交项目分包给他人的；</w:t>
      </w:r>
    </w:p>
    <w:p w14:paraId="16FB9E4A">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（6）拒绝履行合同义务的；</w:t>
      </w:r>
    </w:p>
    <w:p w14:paraId="1956BCE9">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（7）其他严重扰乱招投标程序的。</w:t>
      </w:r>
    </w:p>
    <w:p w14:paraId="6ACED8CA">
      <w:pPr>
        <w:snapToGrid w:val="0"/>
        <w:spacing w:before="120" w:beforeLines="50" w:line="42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（六）响应文件的签署</w:t>
      </w:r>
    </w:p>
    <w:p w14:paraId="169C6F18">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b/>
          <w:color w:val="auto"/>
          <w:sz w:val="24"/>
          <w:highlight w:val="none"/>
        </w:rPr>
        <w:t>电子响应文件中公章采用CA签章</w:t>
      </w:r>
      <w:r>
        <w:rPr>
          <w:rFonts w:hint="eastAsia" w:ascii="宋体" w:hAnsi="宋体" w:eastAsia="宋体" w:cs="宋体"/>
          <w:bCs/>
          <w:color w:val="auto"/>
          <w:sz w:val="24"/>
          <w:highlight w:val="none"/>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eastAsia="宋体" w:cs="宋体"/>
          <w:bCs/>
          <w:color w:val="auto"/>
          <w:sz w:val="24"/>
          <w:highlight w:val="none"/>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.温馨提醒：</w:t>
      </w:r>
      <w:r>
        <w:rPr>
          <w:rFonts w:hint="eastAsia" w:ascii="宋体" w:hAnsi="宋体" w:eastAsia="宋体" w:cs="宋体"/>
          <w:color w:val="auto"/>
          <w:sz w:val="24"/>
          <w:highlight w:val="none"/>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（七）投标无效的情形</w:t>
      </w:r>
    </w:p>
    <w:p w14:paraId="655F2A0A">
      <w:pPr>
        <w:snapToGrid w:val="0"/>
        <w:spacing w:line="4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hint="eastAsia" w:ascii="宋体" w:hAnsi="宋体" w:eastAsia="宋体" w:cs="宋体"/>
          <w:b/>
          <w:bCs/>
          <w:color w:val="auto"/>
          <w:spacing w:val="-4"/>
          <w:sz w:val="24"/>
          <w:highlight w:val="none"/>
        </w:rPr>
      </w:pPr>
      <w:bookmarkStart w:id="35" w:name="_Hlk59462445"/>
      <w:r>
        <w:rPr>
          <w:rFonts w:hint="eastAsia" w:ascii="宋体" w:hAnsi="宋体" w:eastAsia="宋体" w:cs="宋体"/>
          <w:b/>
          <w:bCs/>
          <w:color w:val="auto"/>
          <w:spacing w:val="-4"/>
          <w:sz w:val="24"/>
          <w:highlight w:val="none"/>
        </w:rPr>
        <w:t>1.</w:t>
      </w:r>
      <w:bookmarkStart w:id="36" w:name="_Hlk534294335"/>
      <w:r>
        <w:rPr>
          <w:rFonts w:hint="eastAsia" w:ascii="宋体" w:hAnsi="宋体" w:eastAsia="宋体" w:cs="宋体"/>
          <w:b/>
          <w:bCs/>
          <w:color w:val="auto"/>
          <w:spacing w:val="-4"/>
          <w:sz w:val="24"/>
          <w:highlight w:val="none"/>
        </w:rPr>
        <w:t>在符合性审查和商务技术评审时，如发现下列情形之一的，响应文件将被视为无效：</w:t>
      </w:r>
    </w:p>
    <w:bookmarkEnd w:id="36"/>
    <w:p w14:paraId="6145A891">
      <w:pPr>
        <w:snapToGrid w:val="0"/>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（1）资格响应文件未提供齐全的或者资格响应文件存在过期的或者不符合磋商文件标明的资格要求的；</w:t>
      </w:r>
    </w:p>
    <w:p w14:paraId="765A5375">
      <w:pPr>
        <w:snapToGrid w:val="0"/>
        <w:spacing w:line="420" w:lineRule="exact"/>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电子响应文件</w:t>
      </w:r>
      <w:r>
        <w:rPr>
          <w:rFonts w:hint="eastAsia" w:ascii="宋体" w:hAnsi="宋体" w:eastAsia="宋体" w:cs="宋体"/>
          <w:b/>
          <w:bCs/>
          <w:color w:val="auto"/>
          <w:kern w:val="0"/>
          <w:sz w:val="24"/>
          <w:highlight w:val="none"/>
          <w:u w:val="single"/>
          <w:shd w:val="pct10" w:color="auto" w:fill="FFFFFF"/>
        </w:rPr>
        <w:t>在</w:t>
      </w:r>
      <w:r>
        <w:rPr>
          <w:rFonts w:hint="eastAsia" w:ascii="宋体" w:hAnsi="宋体" w:eastAsia="宋体" w:cs="宋体"/>
          <w:b/>
          <w:bCs/>
          <w:color w:val="auto"/>
          <w:kern w:val="0"/>
          <w:sz w:val="24"/>
          <w:highlight w:val="none"/>
          <w:u w:val="single"/>
          <w:shd w:val="pct10" w:color="auto" w:fill="FFFFFF"/>
          <w:lang w:val="en-US" w:eastAsia="zh-CN"/>
        </w:rPr>
        <w:t>磋商文件格式</w:t>
      </w:r>
      <w:r>
        <w:rPr>
          <w:rFonts w:hint="eastAsia" w:ascii="宋体" w:hAnsi="宋体" w:eastAsia="宋体" w:cs="宋体"/>
          <w:b/>
          <w:bCs/>
          <w:color w:val="auto"/>
          <w:kern w:val="0"/>
          <w:sz w:val="24"/>
          <w:highlight w:val="none"/>
          <w:u w:val="single"/>
          <w:shd w:val="pct10" w:color="auto" w:fill="FFFFFF"/>
        </w:rPr>
        <w:t>指定页面无法定代表人盖章或签字、未在</w:t>
      </w:r>
      <w:r>
        <w:rPr>
          <w:rFonts w:hint="eastAsia" w:ascii="宋体" w:hAnsi="宋体" w:eastAsia="宋体" w:cs="宋体"/>
          <w:b/>
          <w:bCs/>
          <w:color w:val="auto"/>
          <w:kern w:val="0"/>
          <w:sz w:val="24"/>
          <w:highlight w:val="none"/>
          <w:u w:val="single"/>
          <w:shd w:val="pct10" w:color="auto" w:fill="FFFFFF"/>
          <w:lang w:val="en-US" w:eastAsia="zh-CN"/>
        </w:rPr>
        <w:t>磋商文件格式</w:t>
      </w:r>
      <w:r>
        <w:rPr>
          <w:rFonts w:hint="eastAsia" w:ascii="宋体" w:hAnsi="宋体" w:eastAsia="宋体" w:cs="宋体"/>
          <w:b/>
          <w:bCs/>
          <w:color w:val="auto"/>
          <w:kern w:val="0"/>
          <w:sz w:val="24"/>
          <w:highlight w:val="none"/>
          <w:u w:val="single"/>
          <w:shd w:val="pct10" w:color="auto" w:fill="FFFFFF"/>
        </w:rPr>
        <w:t>指定页面盖公章、在</w:t>
      </w:r>
      <w:r>
        <w:rPr>
          <w:rFonts w:hint="eastAsia" w:ascii="宋体" w:hAnsi="宋体" w:eastAsia="宋体" w:cs="宋体"/>
          <w:b/>
          <w:bCs/>
          <w:color w:val="auto"/>
          <w:kern w:val="0"/>
          <w:sz w:val="24"/>
          <w:highlight w:val="none"/>
          <w:u w:val="single"/>
          <w:shd w:val="pct10" w:color="auto" w:fill="FFFFFF"/>
          <w:lang w:val="en-US" w:eastAsia="zh-CN"/>
        </w:rPr>
        <w:t>磋商文件格式</w:t>
      </w:r>
      <w:r>
        <w:rPr>
          <w:rFonts w:hint="eastAsia" w:ascii="宋体" w:hAnsi="宋体" w:eastAsia="宋体" w:cs="宋体"/>
          <w:b/>
          <w:bCs/>
          <w:color w:val="auto"/>
          <w:kern w:val="0"/>
          <w:sz w:val="24"/>
          <w:highlight w:val="none"/>
          <w:u w:val="single"/>
          <w:shd w:val="pct10" w:color="auto" w:fill="FFFFFF"/>
        </w:rPr>
        <w:t>指定页面无被授权人签字（打字无效</w:t>
      </w:r>
      <w:r>
        <w:rPr>
          <w:rFonts w:hint="eastAsia" w:ascii="宋体" w:hAnsi="宋体" w:eastAsia="宋体" w:cs="宋体"/>
          <w:b/>
          <w:bCs/>
          <w:color w:val="auto"/>
          <w:kern w:val="0"/>
          <w:sz w:val="24"/>
          <w:highlight w:val="none"/>
          <w:u w:val="single"/>
          <w:shd w:val="pct10" w:color="auto" w:fill="FFFFFF"/>
          <w:lang w:eastAsia="zh-CN"/>
        </w:rPr>
        <w:t>；</w:t>
      </w:r>
      <w:r>
        <w:rPr>
          <w:rFonts w:hint="eastAsia" w:ascii="宋体" w:hAnsi="宋体" w:eastAsia="宋体" w:cs="宋体"/>
          <w:b/>
          <w:bCs/>
          <w:color w:val="auto"/>
          <w:kern w:val="0"/>
          <w:sz w:val="24"/>
          <w:highlight w:val="none"/>
          <w:u w:val="single"/>
          <w:shd w:val="pct10" w:color="auto" w:fill="FFFFFF"/>
          <w:lang w:val="en-US" w:eastAsia="zh-CN"/>
        </w:rPr>
        <w:t>如提供法定代表人身份证明可无需签字</w:t>
      </w:r>
      <w:r>
        <w:rPr>
          <w:rFonts w:hint="eastAsia" w:ascii="宋体" w:hAnsi="宋体" w:eastAsia="宋体" w:cs="宋体"/>
          <w:b/>
          <w:bCs/>
          <w:color w:val="auto"/>
          <w:kern w:val="0"/>
          <w:sz w:val="24"/>
          <w:highlight w:val="none"/>
          <w:u w:val="single"/>
          <w:shd w:val="pct10" w:color="auto" w:fill="FFFFFF"/>
        </w:rPr>
        <w:t>）</w:t>
      </w:r>
      <w:r>
        <w:rPr>
          <w:rFonts w:hint="eastAsia" w:ascii="宋体" w:hAnsi="宋体" w:eastAsia="宋体" w:cs="宋体"/>
          <w:b/>
          <w:bCs/>
          <w:color w:val="auto"/>
          <w:kern w:val="0"/>
          <w:sz w:val="24"/>
          <w:highlight w:val="none"/>
          <w:u w:val="single"/>
        </w:rPr>
        <w:t>、</w:t>
      </w:r>
      <w:r>
        <w:rPr>
          <w:rFonts w:hint="eastAsia" w:ascii="宋体" w:hAnsi="宋体" w:eastAsia="宋体" w:cs="宋体"/>
          <w:b/>
          <w:bCs/>
          <w:color w:val="auto"/>
          <w:kern w:val="0"/>
          <w:sz w:val="24"/>
          <w:highlight w:val="none"/>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snapToGrid w:val="0"/>
        <w:spacing w:line="420" w:lineRule="exact"/>
        <w:ind w:firstLine="454" w:firstLineChars="196"/>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（3）多项主要服务响应或者主要设备功能响应不满足磋商文件要求或</w:t>
      </w:r>
      <w:r>
        <w:rPr>
          <w:rFonts w:hint="eastAsia" w:ascii="宋体" w:hAnsi="宋体" w:eastAsia="宋体" w:cs="宋体"/>
          <w:color w:val="auto"/>
          <w:sz w:val="24"/>
          <w:highlight w:val="none"/>
        </w:rPr>
        <w:t>缺项的，</w:t>
      </w:r>
      <w:r>
        <w:rPr>
          <w:rFonts w:hint="eastAsia" w:ascii="宋体" w:hAnsi="宋体" w:eastAsia="宋体" w:cs="宋体"/>
          <w:b/>
          <w:bCs/>
          <w:color w:val="auto"/>
          <w:sz w:val="24"/>
          <w:szCs w:val="24"/>
          <w:highlight w:val="none"/>
        </w:rPr>
        <w:t>主要设备尺寸严重不满足磋商文件要求的。</w:t>
      </w:r>
    </w:p>
    <w:p w14:paraId="02205C4A">
      <w:pPr>
        <w:pStyle w:val="22"/>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snapToGrid w:val="0"/>
          <w:color w:val="auto"/>
          <w:sz w:val="24"/>
          <w:szCs w:val="24"/>
          <w:highlight w:val="none"/>
        </w:rPr>
        <w:t>与</w:t>
      </w:r>
      <w:r>
        <w:rPr>
          <w:rFonts w:hint="eastAsia" w:ascii="宋体" w:hAnsi="宋体" w:eastAsia="宋体" w:cs="宋体"/>
          <w:color w:val="auto"/>
          <w:sz w:val="24"/>
          <w:szCs w:val="24"/>
          <w:highlight w:val="none"/>
        </w:rPr>
        <w:t>磋商文件中标“▲”的技术指标、主要功能参数、服务响应发生实质性负偏离</w:t>
      </w:r>
      <w:r>
        <w:rPr>
          <w:rFonts w:hint="eastAsia" w:ascii="宋体" w:hAnsi="宋体" w:eastAsia="宋体" w:cs="宋体"/>
          <w:snapToGrid w:val="0"/>
          <w:color w:val="auto"/>
          <w:sz w:val="24"/>
          <w:szCs w:val="24"/>
          <w:highlight w:val="none"/>
        </w:rPr>
        <w:t>或内容缺失</w:t>
      </w:r>
      <w:r>
        <w:rPr>
          <w:rFonts w:hint="eastAsia" w:ascii="宋体" w:hAnsi="宋体" w:eastAsia="宋体" w:cs="宋体"/>
          <w:color w:val="auto"/>
          <w:sz w:val="24"/>
          <w:szCs w:val="24"/>
          <w:highlight w:val="none"/>
        </w:rPr>
        <w:t>的；</w:t>
      </w:r>
    </w:p>
    <w:p w14:paraId="37562E5A">
      <w:pPr>
        <w:pStyle w:val="22"/>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（5）未如实提供投标货物的技术参数，或者响应文件标明的响应或偏离存在虚假的；</w:t>
      </w:r>
    </w:p>
    <w:p w14:paraId="43351621">
      <w:pPr>
        <w:pStyle w:val="22"/>
        <w:snapToGrid w:val="0"/>
        <w:spacing w:line="420" w:lineRule="exact"/>
        <w:ind w:firstLine="454" w:firstLineChars="196"/>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（6）投标有效期、工期（供货期、交货时间、服务期）、保修期（质保期）、付款方式等商务条款不能满足磋商文件要求或缺失的</w:t>
      </w:r>
      <w:r>
        <w:rPr>
          <w:rFonts w:hint="eastAsia" w:ascii="宋体" w:hAnsi="宋体" w:eastAsia="宋体" w:cs="宋体"/>
          <w:snapToGrid w:val="0"/>
          <w:color w:val="auto"/>
          <w:sz w:val="24"/>
          <w:szCs w:val="24"/>
          <w:highlight w:val="none"/>
        </w:rPr>
        <w:t>；</w:t>
      </w:r>
    </w:p>
    <w:bookmarkEnd w:id="35"/>
    <w:p w14:paraId="31B3A7F3">
      <w:pPr>
        <w:pStyle w:val="22"/>
        <w:snapToGrid w:val="0"/>
        <w:spacing w:line="420" w:lineRule="exact"/>
        <w:ind w:firstLine="454" w:firstLineChars="196"/>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（8）投标文件有招标方不能接受的附加条件的；</w:t>
      </w:r>
    </w:p>
    <w:p w14:paraId="7444B768">
      <w:pPr>
        <w:pStyle w:val="22"/>
        <w:snapToGrid w:val="0"/>
        <w:spacing w:line="42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（9）商务技术文件中出现投标总报价的；</w:t>
      </w:r>
    </w:p>
    <w:p w14:paraId="286CC32A">
      <w:pPr>
        <w:pStyle w:val="22"/>
        <w:snapToGrid w:val="0"/>
        <w:spacing w:line="420" w:lineRule="exact"/>
        <w:ind w:firstLine="454" w:firstLineChars="196"/>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10）投标人存在下列情形之一且无法合理解释的，其投标文件无效:</w:t>
      </w:r>
    </w:p>
    <w:p w14:paraId="060AA587">
      <w:pPr>
        <w:pStyle w:val="22"/>
        <w:snapToGrid w:val="0"/>
        <w:spacing w:line="420" w:lineRule="exact"/>
        <w:ind w:firstLine="454"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1.不同供应商的电子投标文件上传计算机的IP地址、网卡MAC地址或硬盘序列号等硬件信息相同的</w:t>
      </w:r>
      <w:r>
        <w:rPr>
          <w:rFonts w:hint="eastAsia" w:hAnsi="宋体" w:cs="宋体"/>
          <w:color w:val="auto"/>
          <w:sz w:val="24"/>
          <w:szCs w:val="24"/>
          <w:highlight w:val="none"/>
          <w:lang w:eastAsia="zh-CN"/>
        </w:rPr>
        <w:t>；</w:t>
      </w:r>
    </w:p>
    <w:p w14:paraId="7BEC911C">
      <w:pPr>
        <w:pStyle w:val="22"/>
        <w:snapToGrid w:val="0"/>
        <w:spacing w:line="420" w:lineRule="exact"/>
        <w:ind w:firstLine="454"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2.上传的电子投标文件若出现使用本项目其他投标供应商的数字证书加密的，或者加盖本项目其他投标供应商的电子印章的</w:t>
      </w:r>
      <w:r>
        <w:rPr>
          <w:rFonts w:hint="eastAsia" w:hAnsi="宋体" w:cs="宋体"/>
          <w:color w:val="auto"/>
          <w:sz w:val="24"/>
          <w:szCs w:val="24"/>
          <w:highlight w:val="none"/>
          <w:lang w:eastAsia="zh-CN"/>
        </w:rPr>
        <w:t>；</w:t>
      </w:r>
    </w:p>
    <w:p w14:paraId="166EBFA3">
      <w:pPr>
        <w:pStyle w:val="22"/>
        <w:snapToGrid w:val="0"/>
        <w:spacing w:line="420" w:lineRule="exact"/>
        <w:ind w:firstLine="454"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3.不同供应商的投标文件的内容存在3处(含)以上错误一致的</w:t>
      </w:r>
      <w:r>
        <w:rPr>
          <w:rFonts w:hint="eastAsia" w:hAnsi="宋体" w:cs="宋体"/>
          <w:color w:val="auto"/>
          <w:sz w:val="24"/>
          <w:szCs w:val="24"/>
          <w:highlight w:val="none"/>
          <w:lang w:eastAsia="zh-CN"/>
        </w:rPr>
        <w:t>；</w:t>
      </w:r>
    </w:p>
    <w:p w14:paraId="0DD008D1">
      <w:pPr>
        <w:pStyle w:val="22"/>
        <w:snapToGrid w:val="0"/>
        <w:spacing w:line="420" w:lineRule="exact"/>
        <w:ind w:firstLine="454"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4.不同供应商联系人为同一人或不同联系人的联系电话一致的</w:t>
      </w:r>
      <w:r>
        <w:rPr>
          <w:rFonts w:hint="eastAsia" w:ascii="宋体" w:hAnsi="宋体" w:eastAsia="宋体" w:cs="宋体"/>
          <w:color w:val="auto"/>
          <w:sz w:val="24"/>
          <w:szCs w:val="24"/>
          <w:highlight w:val="none"/>
          <w:lang w:eastAsia="zh-CN"/>
        </w:rPr>
        <w:t>。</w:t>
      </w:r>
    </w:p>
    <w:p w14:paraId="298BE94A">
      <w:pPr>
        <w:pStyle w:val="22"/>
        <w:snapToGrid w:val="0"/>
        <w:spacing w:line="420" w:lineRule="exact"/>
        <w:ind w:firstLine="457"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2.在报价评审时，如发现下列情形之一的，响应文件将被视为无效：</w:t>
      </w:r>
    </w:p>
    <w:p w14:paraId="67E316D1">
      <w:pPr>
        <w:pStyle w:val="22"/>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（1）未采用人民币报价或者未按照磋商文件标明的币种报价的；</w:t>
      </w:r>
    </w:p>
    <w:p w14:paraId="437FDEDD">
      <w:pPr>
        <w:pStyle w:val="22"/>
        <w:snapToGrid w:val="0"/>
        <w:spacing w:line="420" w:lineRule="exact"/>
        <w:ind w:firstLine="454"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（2）投标报价具有选择性，或者开标价格与响应文件承诺的优惠（折扣）价格不一致的；</w:t>
      </w:r>
    </w:p>
    <w:p w14:paraId="637028E9">
      <w:pPr>
        <w:pStyle w:val="22"/>
        <w:snapToGrid w:val="0"/>
        <w:spacing w:line="420" w:lineRule="exact"/>
        <w:ind w:firstLine="457"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（3）报价超过磋商文件中规定的预算金额或者最高限价的；</w:t>
      </w:r>
    </w:p>
    <w:p w14:paraId="477ACD43">
      <w:pPr>
        <w:pStyle w:val="22"/>
        <w:snapToGrid w:val="0"/>
        <w:spacing w:line="420" w:lineRule="exact"/>
        <w:ind w:firstLine="457"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（4）未填写投标报价的</w:t>
      </w:r>
      <w:r>
        <w:rPr>
          <w:rFonts w:hint="eastAsia" w:ascii="宋体" w:hAnsi="宋体" w:eastAsia="宋体" w:cs="宋体"/>
          <w:b/>
          <w:bCs/>
          <w:color w:val="auto"/>
          <w:sz w:val="24"/>
          <w:szCs w:val="24"/>
          <w:highlight w:val="none"/>
          <w:lang w:eastAsia="zh-CN"/>
        </w:rPr>
        <w:t>、《报价明细表》</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lang w:eastAsia="zh-CN"/>
        </w:rPr>
        <w:t>工程量</w:t>
      </w:r>
      <w:r>
        <w:rPr>
          <w:rFonts w:hint="eastAsia" w:ascii="宋体" w:hAnsi="宋体" w:eastAsia="宋体" w:cs="宋体"/>
          <w:b/>
          <w:bCs/>
          <w:color w:val="auto"/>
          <w:sz w:val="24"/>
          <w:szCs w:val="24"/>
          <w:highlight w:val="none"/>
          <w:lang w:val="en-US" w:eastAsia="zh-CN"/>
        </w:rPr>
        <w:t>少于磋商</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lang w:eastAsia="zh-CN"/>
        </w:rPr>
        <w:t>提供的工程量数量</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eastAsia="zh-CN"/>
        </w:rPr>
        <w:t>。</w:t>
      </w:r>
    </w:p>
    <w:p w14:paraId="58F7E855">
      <w:pPr>
        <w:pStyle w:val="22"/>
        <w:snapToGrid w:val="0"/>
        <w:spacing w:line="420" w:lineRule="exact"/>
        <w:ind w:firstLine="457"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（5）未提交最后报价的。</w:t>
      </w:r>
    </w:p>
    <w:p w14:paraId="6414923B">
      <w:pPr>
        <w:pStyle w:val="22"/>
        <w:snapToGrid w:val="0"/>
        <w:spacing w:line="420" w:lineRule="exact"/>
        <w:ind w:firstLine="457"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3.被拒绝的响应文件为无效。</w:t>
      </w:r>
    </w:p>
    <w:p w14:paraId="5443BF0D">
      <w:pPr>
        <w:spacing w:line="420" w:lineRule="exact"/>
        <w:ind w:firstLine="354" w:firstLineChars="147"/>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（八）在招标采购中，出现下列情形之一的，应予废标</w:t>
      </w:r>
    </w:p>
    <w:p w14:paraId="10BEFBC2">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1、出现影响采购公正的违法、违规行为的；</w:t>
      </w:r>
    </w:p>
    <w:p w14:paraId="3761936E">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2、因重大变故，采购任务取消的；</w:t>
      </w:r>
    </w:p>
    <w:p w14:paraId="3FEF795A">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3、供应商的报价均超过了采购预算价，采购人不能支付的。</w:t>
      </w:r>
    </w:p>
    <w:p w14:paraId="3B7F722D">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4.其他法律法规规定应予以废标的情形。</w:t>
      </w:r>
    </w:p>
    <w:p w14:paraId="015FC92C">
      <w:pPr>
        <w:autoSpaceDE w:val="0"/>
        <w:autoSpaceDN w:val="0"/>
        <w:spacing w:line="420" w:lineRule="exact"/>
        <w:ind w:firstLine="480" w:firstLineChars="200"/>
        <w:textAlignment w:val="bottom"/>
        <w:rPr>
          <w:rFonts w:hint="eastAsia" w:ascii="宋体" w:hAnsi="宋体" w:eastAsia="宋体" w:cs="宋体"/>
          <w:color w:val="auto"/>
          <w:sz w:val="24"/>
          <w:highlight w:val="none"/>
        </w:rPr>
      </w:pPr>
    </w:p>
    <w:p w14:paraId="3925CE79">
      <w:pPr>
        <w:autoSpaceDE w:val="0"/>
        <w:autoSpaceDN w:val="0"/>
        <w:spacing w:line="420" w:lineRule="exact"/>
        <w:ind w:firstLine="482" w:firstLineChars="200"/>
        <w:textAlignment w:val="bottom"/>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四、磋商</w:t>
      </w:r>
    </w:p>
    <w:p w14:paraId="1329B095">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hint="eastAsia" w:ascii="宋体" w:hAnsi="宋体" w:eastAsia="宋体" w:cs="宋体"/>
          <w:b/>
          <w:bCs/>
          <w:color w:val="auto"/>
          <w:sz w:val="24"/>
          <w:highlight w:val="none"/>
        </w:rPr>
      </w:pPr>
      <w:bookmarkStart w:id="37" w:name="_Hlk81829719"/>
      <w:r>
        <w:rPr>
          <w:rFonts w:hint="eastAsia" w:ascii="宋体" w:hAnsi="宋体" w:eastAsia="宋体" w:cs="宋体"/>
          <w:b/>
          <w:bCs/>
          <w:color w:val="auto"/>
          <w:sz w:val="24"/>
          <w:highlight w:val="none"/>
        </w:rPr>
        <w:t>（一）组建磋商小组</w:t>
      </w:r>
    </w:p>
    <w:p w14:paraId="69C0F868">
      <w:pPr>
        <w:autoSpaceDE w:val="0"/>
        <w:autoSpaceDN w:val="0"/>
        <w:spacing w:line="420" w:lineRule="exact"/>
        <w:ind w:firstLine="482" w:firstLineChars="200"/>
        <w:textAlignment w:val="bottom"/>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（1）本项目磋商小组由招标人依法组建。</w:t>
      </w:r>
    </w:p>
    <w:p w14:paraId="58DB141B">
      <w:pPr>
        <w:autoSpaceDE w:val="0"/>
        <w:autoSpaceDN w:val="0"/>
        <w:spacing w:line="420" w:lineRule="exact"/>
        <w:ind w:firstLine="482" w:firstLineChars="200"/>
        <w:textAlignment w:val="bottom"/>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（2）磋商小组成员与参与投标的供应商有下列情形之一的，应当回避：</w:t>
      </w:r>
    </w:p>
    <w:p w14:paraId="70501D7C">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①参加采购活动前3年内与供应商存在劳动关系；</w:t>
      </w:r>
    </w:p>
    <w:p w14:paraId="46FEB3FF">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②参加采购活动前3年内担任供应商的董事、监事；</w:t>
      </w:r>
    </w:p>
    <w:p w14:paraId="374AC74F">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③参加采购活动前3年内是供应商的控股股东或者实际控制人；</w:t>
      </w:r>
    </w:p>
    <w:p w14:paraId="1C25F6DC">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⑤与供应商有其他可能影响政府采购活动公平、公正进行的关系。</w:t>
      </w:r>
    </w:p>
    <w:p w14:paraId="2FB54A29">
      <w:pPr>
        <w:autoSpaceDE w:val="0"/>
        <w:autoSpaceDN w:val="0"/>
        <w:spacing w:line="420" w:lineRule="exact"/>
        <w:ind w:firstLine="482" w:firstLineChars="200"/>
        <w:textAlignment w:val="bottom"/>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（3）磋商小组负责具体评标事务，并独立履行下列职责：</w:t>
      </w:r>
    </w:p>
    <w:p w14:paraId="0B007FFB">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1.审查、评价响应文件是否符合磋商文件的商务、技术等实质性要求；</w:t>
      </w:r>
    </w:p>
    <w:p w14:paraId="0E5C8514">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2.要求供应商对响应文件有关事项作出澄清或者说明；</w:t>
      </w:r>
    </w:p>
    <w:p w14:paraId="2BD212A6">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3.对响应文件进行比较和评价；</w:t>
      </w:r>
    </w:p>
    <w:p w14:paraId="46490E76">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4.确定成交候选人名单，以及根据采购人委托直接确定成交人；</w:t>
      </w:r>
    </w:p>
    <w:p w14:paraId="00CD3511">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5.向采购人、采购组织机构或者有关部门报告评标中发现的违法行为；</w:t>
      </w:r>
    </w:p>
    <w:p w14:paraId="70930EB0">
      <w:pPr>
        <w:autoSpaceDE w:val="0"/>
        <w:autoSpaceDN w:val="0"/>
        <w:spacing w:line="42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6.法律法规规定的其他职责。</w:t>
      </w:r>
    </w:p>
    <w:bookmarkEnd w:id="37"/>
    <w:p w14:paraId="1739F06D">
      <w:pPr>
        <w:pStyle w:val="28"/>
        <w:snapToGrid w:val="0"/>
        <w:spacing w:beforeLines="0" w:afterLines="0" w:line="42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（二）磋商准备</w:t>
      </w:r>
    </w:p>
    <w:p w14:paraId="6D892D08">
      <w:pPr>
        <w:pStyle w:val="28"/>
        <w:snapToGrid w:val="0"/>
        <w:spacing w:beforeLines="0" w:afterLines="0" w:line="420" w:lineRule="exact"/>
        <w:ind w:firstLine="472" w:firstLineChars="196"/>
        <w:rPr>
          <w:rFonts w:hint="eastAsia" w:ascii="宋体" w:hAnsi="宋体" w:eastAsia="宋体" w:cs="宋体"/>
          <w:b/>
          <w:color w:val="auto"/>
          <w:highlight w:val="none"/>
          <w:u w:val="single"/>
          <w:shd w:val="pct10" w:color="auto" w:fill="FFFFFF"/>
        </w:rPr>
      </w:pPr>
      <w:r>
        <w:rPr>
          <w:rFonts w:hint="eastAsia" w:ascii="宋体" w:hAnsi="宋体" w:eastAsia="宋体" w:cs="宋体"/>
          <w:b/>
          <w:color w:val="auto"/>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5218CCD6">
      <w:pPr>
        <w:pStyle w:val="28"/>
        <w:snapToGrid w:val="0"/>
        <w:spacing w:beforeLines="0" w:afterLines="0" w:line="420" w:lineRule="exact"/>
        <w:ind w:firstLine="470"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采购过程中出现以下情形，导致电子交易平台无法正常运行，或者无法保证电子交易的公平、公正和安全时，采购组织机构可中止电子交易活动：</w:t>
      </w:r>
    </w:p>
    <w:p w14:paraId="4E9A22BB">
      <w:pPr>
        <w:pStyle w:val="28"/>
        <w:snapToGrid w:val="0"/>
        <w:spacing w:beforeLines="0" w:afterLines="0" w:line="420" w:lineRule="exact"/>
        <w:ind w:firstLine="470"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 xml:space="preserve">（1）电子交易平台发生故障、停电而无法登录访问的； </w:t>
      </w:r>
    </w:p>
    <w:p w14:paraId="4D433AA2">
      <w:pPr>
        <w:pStyle w:val="28"/>
        <w:snapToGrid w:val="0"/>
        <w:spacing w:beforeLines="0" w:afterLines="0" w:line="420" w:lineRule="exact"/>
        <w:ind w:firstLine="470"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（2）电子交易平台应用或数据库出现错误，不能进行正常操作的；</w:t>
      </w:r>
    </w:p>
    <w:p w14:paraId="4C882502">
      <w:pPr>
        <w:pStyle w:val="28"/>
        <w:snapToGrid w:val="0"/>
        <w:spacing w:beforeLines="0" w:afterLines="0" w:line="420" w:lineRule="exact"/>
        <w:ind w:firstLine="470"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（3）电子交易平台发现严重安全漏洞，有潜在泄密危险的；</w:t>
      </w:r>
    </w:p>
    <w:p w14:paraId="4AF3ABAC">
      <w:pPr>
        <w:pStyle w:val="28"/>
        <w:snapToGrid w:val="0"/>
        <w:spacing w:beforeLines="0" w:afterLines="0" w:line="420" w:lineRule="exact"/>
        <w:ind w:firstLine="470"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 xml:space="preserve">（4）病毒发作导致不能进行正常操作的； </w:t>
      </w:r>
    </w:p>
    <w:p w14:paraId="21431830">
      <w:pPr>
        <w:pStyle w:val="28"/>
        <w:snapToGrid w:val="0"/>
        <w:spacing w:beforeLines="0" w:afterLines="0" w:line="420" w:lineRule="exact"/>
        <w:ind w:firstLine="470"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（5）其他无法保证电子交易的公平、公正和安全的情况。</w:t>
      </w:r>
    </w:p>
    <w:p w14:paraId="028E1E7D">
      <w:pPr>
        <w:pStyle w:val="28"/>
        <w:snapToGrid w:val="0"/>
        <w:spacing w:beforeLines="0" w:afterLines="0" w:line="420" w:lineRule="exact"/>
        <w:ind w:firstLine="470"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出现前款规定情形，不影响采购公平、公正性的，采购组织机构可以待上述情形消除后继续组织电子交易活动，影响或可能影响采购公平、公正性的，应当重新采购。</w:t>
      </w:r>
    </w:p>
    <w:p w14:paraId="6DB15290">
      <w:pPr>
        <w:pStyle w:val="28"/>
        <w:snapToGrid w:val="0"/>
        <w:spacing w:beforeLines="0" w:afterLines="0" w:line="420" w:lineRule="exact"/>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 xml:space="preserve">（三）磋商程序    </w:t>
      </w:r>
    </w:p>
    <w:p w14:paraId="45725744">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1.开标会由招标人主持，</w:t>
      </w:r>
      <w:bookmarkStart w:id="38" w:name="_Hlk59694585"/>
      <w:r>
        <w:rPr>
          <w:rFonts w:hint="eastAsia" w:ascii="宋体" w:hAnsi="宋体" w:eastAsia="宋体" w:cs="宋体"/>
          <w:b/>
          <w:bCs/>
          <w:color w:val="auto"/>
          <w:highlight w:val="none"/>
          <w:u w:val="single"/>
          <w:shd w:val="pct10" w:color="auto" w:fill="FFFFFF"/>
        </w:rPr>
        <w:t>并通过临海市公共资源交易中心网站--每日直播平台进行现场直播，各供应商请准时在线参加。</w:t>
      </w:r>
      <w:bookmarkStart w:id="39" w:name="_Hlk59690176"/>
      <w:r>
        <w:rPr>
          <w:rFonts w:hint="eastAsia" w:ascii="宋体" w:hAnsi="宋体" w:eastAsia="宋体" w:cs="宋体"/>
          <w:b/>
          <w:bCs/>
          <w:color w:val="auto"/>
          <w:highlight w:val="none"/>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38"/>
      <w:r>
        <w:rPr>
          <w:rFonts w:hint="eastAsia" w:ascii="宋体" w:hAnsi="宋体" w:eastAsia="宋体" w:cs="宋体"/>
          <w:b/>
          <w:bCs/>
          <w:color w:val="auto"/>
          <w:highlight w:val="none"/>
          <w:u w:val="single"/>
          <w:shd w:val="pct10" w:color="auto" w:fill="FFFFFF"/>
        </w:rPr>
        <w:t>；</w:t>
      </w:r>
    </w:p>
    <w:bookmarkEnd w:id="39"/>
    <w:p w14:paraId="0750B04E">
      <w:pPr>
        <w:pStyle w:val="28"/>
        <w:snapToGrid w:val="0"/>
        <w:spacing w:beforeLines="0" w:afterLines="0" w:line="420" w:lineRule="exact"/>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 招标人点击政采云系统--【开始解密】按钮，</w:t>
      </w:r>
      <w:bookmarkStart w:id="40" w:name="_Hlk59625783"/>
      <w:r>
        <w:rPr>
          <w:rFonts w:hint="eastAsia" w:ascii="宋体" w:hAnsi="宋体" w:eastAsia="宋体" w:cs="宋体"/>
          <w:color w:val="auto"/>
          <w:highlight w:val="none"/>
        </w:rPr>
        <w:t>由供应商按磋商文件规定的时间</w:t>
      </w:r>
      <w:bookmarkStart w:id="41" w:name="_Hlk60946168"/>
      <w:r>
        <w:rPr>
          <w:rFonts w:hint="eastAsia" w:ascii="宋体" w:hAnsi="宋体" w:eastAsia="宋体" w:cs="宋体"/>
          <w:color w:val="auto"/>
          <w:highlight w:val="none"/>
        </w:rPr>
        <w:t>及</w:t>
      </w:r>
      <w:bookmarkStart w:id="42" w:name="_Hlk59626264"/>
      <w:r>
        <w:rPr>
          <w:rFonts w:hint="eastAsia" w:ascii="宋体" w:hAnsi="宋体" w:eastAsia="宋体" w:cs="宋体"/>
          <w:color w:val="auto"/>
          <w:highlight w:val="none"/>
        </w:rPr>
        <w:t>政采云平台</w:t>
      </w:r>
      <w:bookmarkEnd w:id="42"/>
      <w:r>
        <w:rPr>
          <w:rFonts w:hint="eastAsia" w:ascii="宋体" w:hAnsi="宋体" w:eastAsia="宋体" w:cs="宋体"/>
          <w:color w:val="auto"/>
          <w:highlight w:val="none"/>
        </w:rPr>
        <w:t>显示的时间内自行进行响应文件解密。</w:t>
      </w:r>
      <w:bookmarkEnd w:id="40"/>
      <w:r>
        <w:rPr>
          <w:rFonts w:hint="eastAsia" w:ascii="宋体" w:hAnsi="宋体" w:eastAsia="宋体" w:cs="宋体"/>
          <w:color w:val="auto"/>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43" w:name="_Hlk59805375"/>
      <w:r>
        <w:rPr>
          <w:rFonts w:hint="eastAsia" w:ascii="宋体" w:hAnsi="宋体" w:eastAsia="宋体" w:cs="宋体"/>
          <w:color w:val="auto"/>
          <w:highlight w:val="none"/>
          <w:u w:val="single"/>
        </w:rPr>
        <w:t>供应商未按时解密或解密失败的，其响应文件为无效标。</w:t>
      </w:r>
      <w:bookmarkEnd w:id="43"/>
    </w:p>
    <w:p w14:paraId="75BBD34C">
      <w:pPr>
        <w:pStyle w:val="28"/>
        <w:snapToGrid w:val="0"/>
        <w:spacing w:beforeLines="0" w:afterLines="0" w:line="420" w:lineRule="exact"/>
        <w:rPr>
          <w:rFonts w:hint="eastAsia" w:ascii="宋体" w:hAnsi="宋体" w:eastAsia="宋体" w:cs="宋体"/>
          <w:b/>
          <w:bCs/>
          <w:color w:val="auto"/>
          <w:highlight w:val="none"/>
          <w:u w:val="single"/>
          <w:shd w:val="pct10" w:color="auto" w:fill="FFFFFF"/>
        </w:rPr>
      </w:pPr>
    </w:p>
    <w:p w14:paraId="74A6AFE5">
      <w:pPr>
        <w:pStyle w:val="28"/>
        <w:snapToGrid w:val="0"/>
        <w:spacing w:beforeLines="0" w:afterLines="0" w:line="420" w:lineRule="exact"/>
        <w:rPr>
          <w:rFonts w:hint="eastAsia" w:ascii="宋体" w:hAnsi="宋体" w:eastAsia="宋体" w:cs="宋体"/>
          <w:b/>
          <w:bCs/>
          <w:color w:val="auto"/>
          <w:highlight w:val="none"/>
          <w:u w:val="single"/>
          <w:shd w:val="pct10" w:color="auto" w:fill="FFFFFF"/>
        </w:rPr>
      </w:pPr>
      <w:r>
        <w:rPr>
          <w:rFonts w:hint="eastAsia" w:ascii="宋体" w:hAnsi="宋体" w:eastAsia="宋体" w:cs="宋体"/>
          <w:b/>
          <w:bCs/>
          <w:color w:val="auto"/>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41"/>
    <w:p w14:paraId="12147D6F">
      <w:pPr>
        <w:pStyle w:val="28"/>
        <w:snapToGrid w:val="0"/>
        <w:spacing w:beforeLines="0" w:afterLines="0" w:line="420" w:lineRule="exact"/>
        <w:ind w:firstLine="480" w:firstLineChars="200"/>
        <w:rPr>
          <w:rFonts w:hint="eastAsia" w:ascii="宋体" w:hAnsi="宋体" w:eastAsia="宋体" w:cs="宋体"/>
          <w:b/>
          <w:bCs/>
          <w:color w:val="auto"/>
          <w:highlight w:val="none"/>
          <w:u w:val="single"/>
          <w:shd w:val="pct10" w:color="auto" w:fill="FFFFFF"/>
        </w:rPr>
      </w:pPr>
      <w:r>
        <w:rPr>
          <w:rFonts w:hint="eastAsia" w:ascii="宋体" w:hAnsi="宋体" w:eastAsia="宋体" w:cs="宋体"/>
          <w:color w:val="auto"/>
          <w:highlight w:val="none"/>
        </w:rPr>
        <w:t>3.解密结束后，主持人介绍参加开标会的采购代理机构人员名单、供应商名称，并告知是否有需要回避的情况；</w:t>
      </w:r>
    </w:p>
    <w:p w14:paraId="0102FF58">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4.响应文件结束解密后，供应商应当通过邮件形式，将经授权代表签署的《政府采购活动现场确认声明书》</w:t>
      </w:r>
      <w:r>
        <w:rPr>
          <w:rFonts w:hint="eastAsia" w:ascii="宋体" w:hAnsi="宋体" w:eastAsia="宋体" w:cs="宋体"/>
          <w:b/>
          <w:bCs/>
          <w:color w:val="auto"/>
          <w:highlight w:val="none"/>
          <w:u w:val="single"/>
        </w:rPr>
        <w:t>（格式见磋商文件最后一页17.政府采购活动现场确认声明书</w:t>
      </w:r>
      <w:r>
        <w:rPr>
          <w:rFonts w:hint="eastAsia" w:ascii="宋体" w:hAnsi="宋体" w:eastAsia="宋体" w:cs="宋体"/>
          <w:color w:val="auto"/>
          <w:highlight w:val="none"/>
        </w:rPr>
        <w:t>）扫描件发至代理机构电子邮箱（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"mailto:lhzb.gov.cn@163.com）,联系人" </w:instrText>
      </w:r>
      <w:r>
        <w:rPr>
          <w:rFonts w:hint="eastAsia" w:ascii="宋体" w:hAnsi="宋体" w:eastAsia="宋体" w:cs="宋体"/>
          <w:color w:val="auto"/>
          <w:highlight w:val="none"/>
        </w:rPr>
        <w:fldChar w:fldCharType="separate"/>
      </w:r>
      <w:r>
        <w:rPr>
          <w:rFonts w:hint="eastAsia" w:hAnsi="宋体" w:cs="宋体"/>
          <w:color w:val="auto"/>
          <w:highlight w:val="none"/>
          <w:lang w:val="en-US" w:eastAsia="zh-CN"/>
        </w:rPr>
        <w:t>343595626</w:t>
      </w:r>
      <w:r>
        <w:rPr>
          <w:rFonts w:hint="eastAsia" w:ascii="宋体" w:hAnsi="宋体" w:eastAsia="宋体" w:cs="宋体"/>
          <w:color w:val="auto"/>
          <w:highlight w:val="none"/>
          <w:lang w:val="en-US" w:eastAsia="zh-CN"/>
        </w:rPr>
        <w:t>@qq.com</w:t>
      </w:r>
      <w:r>
        <w:rPr>
          <w:rFonts w:hint="eastAsia" w:ascii="宋体" w:hAnsi="宋体" w:eastAsia="宋体" w:cs="宋体"/>
          <w:color w:val="auto"/>
          <w:highlight w:val="none"/>
        </w:rPr>
        <w:t>）,联系人</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r>
        <w:rPr>
          <w:rFonts w:hint="eastAsia" w:hAnsi="宋体" w:cs="宋体"/>
          <w:color w:val="auto"/>
          <w:highlight w:val="none"/>
          <w:lang w:val="en-US" w:eastAsia="zh-CN"/>
        </w:rPr>
        <w:t>汤女士</w:t>
      </w:r>
      <w:r>
        <w:rPr>
          <w:rFonts w:hint="eastAsia" w:ascii="宋体" w:hAnsi="宋体" w:eastAsia="宋体" w:cs="宋体"/>
          <w:color w:val="auto"/>
          <w:highlight w:val="none"/>
        </w:rPr>
        <w:t>，电话：</w:t>
      </w:r>
      <w:r>
        <w:rPr>
          <w:rFonts w:hint="eastAsia" w:ascii="宋体" w:hAnsi="宋体" w:eastAsia="宋体" w:cs="宋体"/>
          <w:bCs/>
          <w:color w:val="auto"/>
          <w:spacing w:val="0"/>
          <w:sz w:val="24"/>
          <w:szCs w:val="24"/>
          <w:highlight w:val="none"/>
        </w:rPr>
        <w:t>0576-85</w:t>
      </w:r>
      <w:r>
        <w:rPr>
          <w:rFonts w:hint="eastAsia" w:hAnsi="宋体" w:cs="宋体"/>
          <w:bCs/>
          <w:color w:val="auto"/>
          <w:spacing w:val="0"/>
          <w:sz w:val="24"/>
          <w:szCs w:val="24"/>
          <w:highlight w:val="none"/>
          <w:lang w:val="en-US" w:eastAsia="zh-CN"/>
        </w:rPr>
        <w:t>192636</w:t>
      </w:r>
      <w:r>
        <w:rPr>
          <w:rFonts w:hint="eastAsia" w:ascii="宋体" w:hAnsi="宋体" w:eastAsia="宋体" w:cs="宋体"/>
          <w:color w:val="auto"/>
          <w:highlight w:val="none"/>
        </w:rPr>
        <w:t>；</w:t>
      </w:r>
    </w:p>
    <w:p w14:paraId="08BA6A88">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5.采购组织机构点击【</w:t>
      </w:r>
      <w:bookmarkStart w:id="44" w:name="_Hlk59371589"/>
      <w:r>
        <w:rPr>
          <w:rFonts w:hint="eastAsia" w:ascii="宋体" w:hAnsi="宋体" w:eastAsia="宋体" w:cs="宋体"/>
          <w:color w:val="auto"/>
          <w:highlight w:val="none"/>
        </w:rPr>
        <w:t>开启标书信息</w:t>
      </w:r>
      <w:bookmarkEnd w:id="44"/>
      <w:r>
        <w:rPr>
          <w:rFonts w:hint="eastAsia" w:ascii="宋体" w:hAnsi="宋体" w:eastAsia="宋体" w:cs="宋体"/>
          <w:color w:val="auto"/>
          <w:highlight w:val="none"/>
        </w:rPr>
        <w:t>】，开启标书成功后进行磋商文件评审；</w:t>
      </w:r>
    </w:p>
    <w:p w14:paraId="6A2FDA46">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6.磋商小组全体成员通过“政采云视频询标（视频讲标）系统”分别与单一供应商进行磋商，</w:t>
      </w:r>
      <w:r>
        <w:rPr>
          <w:rFonts w:hint="eastAsia" w:ascii="宋体" w:hAnsi="宋体" w:eastAsia="宋体" w:cs="宋体"/>
          <w:color w:val="auto"/>
          <w:highlight w:val="none"/>
          <w:u w:val="single"/>
        </w:rPr>
        <w:t>磋商顺序可按照磋商响应文件解密顺序进行</w:t>
      </w:r>
      <w:r>
        <w:rPr>
          <w:rFonts w:hint="eastAsia" w:ascii="宋体" w:hAnsi="宋体" w:eastAsia="宋体" w:cs="宋体"/>
          <w:color w:val="auto"/>
          <w:highlight w:val="none"/>
        </w:rPr>
        <w:t>。“政采云视频询标（视频讲标）系统”通过音视频的方式进行评委和供应商的实时音视频对话。</w:t>
      </w:r>
    </w:p>
    <w:p w14:paraId="7B85DB90">
      <w:pPr>
        <w:spacing w:line="420" w:lineRule="exact"/>
        <w:ind w:firstLine="482" w:firstLineChars="200"/>
        <w:rPr>
          <w:rFonts w:hint="eastAsia" w:ascii="宋体" w:hAnsi="宋体" w:eastAsia="宋体" w:cs="宋体"/>
          <w:b/>
          <w:bCs/>
          <w:color w:val="auto"/>
          <w:kern w:val="0"/>
          <w:sz w:val="24"/>
          <w:highlight w:val="none"/>
          <w:u w:val="single"/>
          <w:shd w:val="pct10" w:color="auto" w:fill="FFFFFF"/>
        </w:rPr>
      </w:pPr>
      <w:r>
        <w:rPr>
          <w:rFonts w:hint="eastAsia" w:ascii="宋体" w:hAnsi="宋体" w:eastAsia="宋体" w:cs="宋体"/>
          <w:b/>
          <w:bCs/>
          <w:color w:val="auto"/>
          <w:kern w:val="0"/>
          <w:sz w:val="24"/>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221EAC59">
      <w:pPr>
        <w:spacing w:line="420" w:lineRule="exact"/>
        <w:ind w:firstLine="480" w:firstLineChars="200"/>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color w:val="auto"/>
          <w:sz w:val="24"/>
          <w:highlight w:val="none"/>
        </w:rPr>
        <w:t>8、磋商文件能够详细列明采购标的的技术、服务要求的，磋商结束后，磋商小组将要求所有实质性响应的供应商在规定时间内</w:t>
      </w:r>
      <w:r>
        <w:rPr>
          <w:rFonts w:hint="eastAsia" w:ascii="宋体" w:hAnsi="宋体" w:eastAsia="宋体" w:cs="宋体"/>
          <w:b/>
          <w:bCs/>
          <w:color w:val="auto"/>
          <w:sz w:val="24"/>
          <w:highlight w:val="none"/>
          <w:u w:val="single"/>
          <w:shd w:val="pct10" w:color="auto" w:fill="FFFFFF"/>
        </w:rPr>
        <w:t>（时间为30分钟，具体时间以政采云系统上显示的时间为准）</w:t>
      </w:r>
      <w:r>
        <w:rPr>
          <w:rFonts w:hint="eastAsia" w:ascii="宋体" w:hAnsi="宋体" w:eastAsia="宋体" w:cs="宋体"/>
          <w:color w:val="auto"/>
          <w:sz w:val="24"/>
          <w:highlight w:val="none"/>
        </w:rPr>
        <w:t>在政采云系统上提交</w:t>
      </w:r>
      <w:bookmarkStart w:id="45" w:name="_Hlk4055646"/>
      <w:r>
        <w:rPr>
          <w:rFonts w:hint="eastAsia" w:ascii="宋体" w:hAnsi="宋体" w:eastAsia="宋体" w:cs="宋体"/>
          <w:color w:val="auto"/>
          <w:sz w:val="24"/>
          <w:highlight w:val="none"/>
        </w:rPr>
        <w:t>最后报价，</w:t>
      </w:r>
      <w:bookmarkEnd w:id="45"/>
      <w:bookmarkStart w:id="46" w:name="_Hlk4055866"/>
      <w:r>
        <w:rPr>
          <w:rFonts w:hint="eastAsia" w:ascii="宋体" w:hAnsi="宋体" w:eastAsia="宋体" w:cs="宋体"/>
          <w:color w:val="auto"/>
          <w:sz w:val="24"/>
          <w:highlight w:val="none"/>
        </w:rPr>
        <w:t>最后报价</w:t>
      </w:r>
      <w:bookmarkEnd w:id="46"/>
      <w:r>
        <w:rPr>
          <w:rFonts w:hint="eastAsia" w:ascii="宋体" w:hAnsi="宋体" w:eastAsia="宋体" w:cs="宋体"/>
          <w:color w:val="auto"/>
          <w:sz w:val="24"/>
          <w:highlight w:val="none"/>
        </w:rPr>
        <w:t>是供应商响应文件的有效组成部分。</w:t>
      </w:r>
      <w:r>
        <w:rPr>
          <w:rFonts w:hint="eastAsia" w:ascii="宋体" w:hAnsi="宋体" w:eastAsia="宋体" w:cs="宋体"/>
          <w:b/>
          <w:bCs/>
          <w:color w:val="auto"/>
          <w:sz w:val="24"/>
          <w:highlight w:val="none"/>
          <w:u w:val="single"/>
          <w:shd w:val="pct10" w:color="auto" w:fill="FFFFFF"/>
        </w:rPr>
        <w:t>未在规定时间内提交最后报价的为无效标；</w:t>
      </w:r>
    </w:p>
    <w:p w14:paraId="46EE9D1A">
      <w:pPr>
        <w:spacing w:line="42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shd w:val="pct10" w:color="auto" w:fill="FFFFFF"/>
        </w:rPr>
        <w:t>报价明细表中的最终单价根据初次总报价和最后总报价之间的下浮率作相应的下浮。</w:t>
      </w:r>
    </w:p>
    <w:p w14:paraId="18794DB0">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9、磋商小组</w:t>
      </w:r>
      <w:bookmarkStart w:id="47" w:name="_Hlk4052304"/>
      <w:r>
        <w:rPr>
          <w:rFonts w:hint="eastAsia" w:ascii="宋体" w:hAnsi="宋体" w:eastAsia="宋体" w:cs="宋体"/>
          <w:color w:val="auto"/>
          <w:highlight w:val="none"/>
        </w:rPr>
        <w:t>对提交最后报价</w:t>
      </w:r>
      <w:bookmarkStart w:id="48" w:name="_Hlk4052265"/>
      <w:r>
        <w:rPr>
          <w:rFonts w:hint="eastAsia" w:ascii="宋体" w:hAnsi="宋体" w:eastAsia="宋体" w:cs="宋体"/>
          <w:color w:val="auto"/>
          <w:highlight w:val="none"/>
        </w:rPr>
        <w:t>供应商的</w:t>
      </w:r>
      <w:bookmarkStart w:id="49" w:name="_Hlk61427018"/>
      <w:r>
        <w:rPr>
          <w:rFonts w:hint="eastAsia" w:ascii="宋体" w:hAnsi="宋体" w:eastAsia="宋体" w:cs="宋体"/>
          <w:color w:val="auto"/>
          <w:highlight w:val="none"/>
        </w:rPr>
        <w:t>商务技术文件</w:t>
      </w:r>
      <w:bookmarkEnd w:id="49"/>
      <w:r>
        <w:rPr>
          <w:rFonts w:hint="eastAsia" w:ascii="宋体" w:hAnsi="宋体" w:eastAsia="宋体" w:cs="宋体"/>
          <w:color w:val="auto"/>
          <w:highlight w:val="none"/>
        </w:rPr>
        <w:t>进行</w:t>
      </w:r>
      <w:bookmarkEnd w:id="48"/>
      <w:r>
        <w:rPr>
          <w:rFonts w:hint="eastAsia" w:ascii="宋体" w:hAnsi="宋体" w:eastAsia="宋体" w:cs="宋体"/>
          <w:color w:val="auto"/>
          <w:highlight w:val="none"/>
        </w:rPr>
        <w:t>综合评分</w:t>
      </w:r>
      <w:bookmarkEnd w:id="47"/>
      <w:r>
        <w:rPr>
          <w:rFonts w:hint="eastAsia" w:ascii="宋体" w:hAnsi="宋体" w:eastAsia="宋体" w:cs="宋体"/>
          <w:color w:val="auto"/>
          <w:highlight w:val="none"/>
        </w:rPr>
        <w:t>；</w:t>
      </w:r>
    </w:p>
    <w:p w14:paraId="295CDCE9">
      <w:pPr>
        <w:pStyle w:val="28"/>
        <w:snapToGrid w:val="0"/>
        <w:spacing w:beforeLines="0" w:afterLines="0" w:line="420" w:lineRule="exact"/>
        <w:ind w:firstLine="48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10.由主持人公布商务技术文件无效的供应商名单、投标无效的原因及其他有效投标的商务技术文件评分汇总分；</w:t>
      </w:r>
      <w:r>
        <w:rPr>
          <w:rFonts w:hint="eastAsia" w:ascii="宋体" w:hAnsi="宋体" w:eastAsia="宋体" w:cs="宋体"/>
          <w:b/>
          <w:bCs/>
          <w:color w:val="auto"/>
          <w:highlight w:val="none"/>
          <w:u w:val="single"/>
          <w:shd w:val="pct10" w:color="auto" w:fill="FFFFFF"/>
        </w:rPr>
        <w:t>供应商可通过政采云平台及临海市公共资源交易中心视频直播平台查看评审结果，请各供应商注意收看；</w:t>
      </w:r>
    </w:p>
    <w:p w14:paraId="1DE43C36">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11.开启报价响应文件，</w:t>
      </w:r>
      <w:r>
        <w:rPr>
          <w:rFonts w:hint="eastAsia" w:ascii="宋体" w:hAnsi="宋体" w:eastAsia="宋体" w:cs="宋体"/>
          <w:b/>
          <w:bCs/>
          <w:color w:val="auto"/>
          <w:highlight w:val="none"/>
          <w:u w:val="single"/>
        </w:rPr>
        <w:t>代理机构在线公布开标一览表有关内容，供应商应在10分钟内在线签字确认（不予确认或超时确认的应说明原因，否则视为无异议）；</w:t>
      </w:r>
    </w:p>
    <w:p w14:paraId="63873625">
      <w:pPr>
        <w:pStyle w:val="28"/>
        <w:snapToGrid w:val="0"/>
        <w:spacing w:beforeLines="0" w:afterLines="0" w:line="420" w:lineRule="exact"/>
        <w:ind w:left="719" w:leftChars="228" w:hanging="240" w:hangingChars="100"/>
        <w:rPr>
          <w:rFonts w:hint="eastAsia" w:ascii="宋体" w:hAnsi="宋体" w:eastAsia="宋体" w:cs="宋体"/>
          <w:color w:val="auto"/>
          <w:highlight w:val="none"/>
        </w:rPr>
      </w:pPr>
      <w:r>
        <w:rPr>
          <w:rFonts w:hint="eastAsia" w:ascii="宋体" w:hAnsi="宋体" w:eastAsia="宋体" w:cs="宋体"/>
          <w:color w:val="auto"/>
          <w:highlight w:val="none"/>
        </w:rPr>
        <w:t>12.报价文件评审,</w:t>
      </w:r>
      <w:r>
        <w:rPr>
          <w:rFonts w:hint="eastAsia" w:ascii="宋体" w:hAnsi="宋体" w:eastAsia="宋体" w:cs="宋体"/>
          <w:b/>
          <w:bCs/>
          <w:color w:val="auto"/>
          <w:highlight w:val="none"/>
        </w:rPr>
        <w:t>审核各供应商小微企业情况；</w:t>
      </w:r>
    </w:p>
    <w:p w14:paraId="4A209586">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13．由主持人公布报价文件无效的供应商名单、投标无效的原因及其他有效投标的报价文件得分；</w:t>
      </w:r>
    </w:p>
    <w:p w14:paraId="04AF7A5D">
      <w:pPr>
        <w:pStyle w:val="28"/>
        <w:snapToGrid w:val="0"/>
        <w:spacing w:beforeLines="0" w:afterLines="0" w:line="420" w:lineRule="exact"/>
        <w:ind w:firstLine="48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14．宣布综合</w:t>
      </w:r>
      <w:bookmarkStart w:id="50" w:name="_Hlk59371720"/>
      <w:r>
        <w:rPr>
          <w:rFonts w:hint="eastAsia" w:ascii="宋体" w:hAnsi="宋体" w:eastAsia="宋体" w:cs="宋体"/>
          <w:color w:val="auto"/>
          <w:highlight w:val="none"/>
        </w:rPr>
        <w:t>得分结果</w:t>
      </w:r>
      <w:bookmarkEnd w:id="50"/>
      <w:r>
        <w:rPr>
          <w:rFonts w:hint="eastAsia" w:ascii="宋体" w:hAnsi="宋体" w:eastAsia="宋体" w:cs="宋体"/>
          <w:color w:val="auto"/>
          <w:highlight w:val="none"/>
        </w:rPr>
        <w:t>及成交候选人名单。</w:t>
      </w:r>
      <w:r>
        <w:rPr>
          <w:rFonts w:hint="eastAsia" w:ascii="宋体" w:hAnsi="宋体" w:eastAsia="宋体" w:cs="宋体"/>
          <w:b/>
          <w:bCs/>
          <w:color w:val="auto"/>
          <w:highlight w:val="none"/>
          <w:u w:val="single"/>
          <w:shd w:val="pct10" w:color="auto" w:fill="FFFFFF"/>
        </w:rPr>
        <w:t>供应商可通过</w:t>
      </w:r>
      <w:bookmarkStart w:id="51" w:name="_Hlk59626287"/>
      <w:r>
        <w:rPr>
          <w:rFonts w:hint="eastAsia" w:ascii="宋体" w:hAnsi="宋体" w:eastAsia="宋体" w:cs="宋体"/>
          <w:b/>
          <w:bCs/>
          <w:color w:val="auto"/>
          <w:highlight w:val="none"/>
          <w:u w:val="single"/>
          <w:shd w:val="pct10" w:color="auto" w:fill="FFFFFF"/>
        </w:rPr>
        <w:t>政采云平台及</w:t>
      </w:r>
      <w:bookmarkEnd w:id="51"/>
      <w:r>
        <w:rPr>
          <w:rFonts w:hint="eastAsia" w:ascii="宋体" w:hAnsi="宋体" w:eastAsia="宋体" w:cs="宋体"/>
          <w:b/>
          <w:bCs/>
          <w:color w:val="auto"/>
          <w:highlight w:val="none"/>
          <w:u w:val="single"/>
          <w:shd w:val="pct10" w:color="auto" w:fill="FFFFFF"/>
        </w:rPr>
        <w:t>临海市公共资源交易中心视频直播平台查看评审结果，请各供应商注意收看；</w:t>
      </w:r>
    </w:p>
    <w:p w14:paraId="70A79F4E">
      <w:pPr>
        <w:pStyle w:val="28"/>
        <w:snapToGrid w:val="0"/>
        <w:spacing w:beforeLines="0" w:afterLines="0" w:line="420" w:lineRule="exact"/>
        <w:ind w:left="719" w:leftChars="228" w:hanging="240" w:hangingChars="100"/>
        <w:rPr>
          <w:rFonts w:hint="eastAsia" w:ascii="宋体" w:hAnsi="宋体" w:eastAsia="宋体" w:cs="宋体"/>
          <w:color w:val="auto"/>
          <w:highlight w:val="none"/>
        </w:rPr>
      </w:pPr>
      <w:r>
        <w:rPr>
          <w:rFonts w:hint="eastAsia" w:ascii="宋体" w:hAnsi="宋体" w:eastAsia="宋体" w:cs="宋体"/>
          <w:color w:val="auto"/>
          <w:highlight w:val="none"/>
        </w:rPr>
        <w:t>15．磋商会议结束。</w:t>
      </w:r>
    </w:p>
    <w:p w14:paraId="247902F6">
      <w:pPr>
        <w:snapToGrid w:val="0"/>
        <w:spacing w:line="420" w:lineRule="exact"/>
        <w:ind w:firstLine="241" w:firstLineChars="100"/>
        <w:rPr>
          <w:rFonts w:hint="eastAsia" w:ascii="宋体" w:hAnsi="宋体" w:eastAsia="宋体" w:cs="宋体"/>
          <w:b/>
          <w:color w:val="auto"/>
          <w:sz w:val="24"/>
          <w:highlight w:val="none"/>
        </w:rPr>
      </w:pPr>
      <w:bookmarkStart w:id="52" w:name="_Hlk60950411"/>
      <w:r>
        <w:rPr>
          <w:rFonts w:hint="eastAsia" w:ascii="宋体" w:hAnsi="宋体" w:eastAsia="宋体" w:cs="宋体"/>
          <w:b/>
          <w:color w:val="auto"/>
          <w:sz w:val="24"/>
          <w:highlight w:val="none"/>
        </w:rPr>
        <w:t>（四）澄清问题的形式</w:t>
      </w:r>
    </w:p>
    <w:p w14:paraId="503FF0EC">
      <w:pPr>
        <w:pStyle w:val="28"/>
        <w:snapToGrid w:val="0"/>
        <w:spacing w:beforeLines="0" w:afterLines="0" w:line="420" w:lineRule="exact"/>
        <w:ind w:firstLine="48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对响应文件中含义不明确、同类问题表述不一致或者有明显文字和计算错误的内容，磋商小组可要求供应商作出必要的</w:t>
      </w:r>
      <w:bookmarkStart w:id="53" w:name="_Hlk59372079"/>
      <w:r>
        <w:rPr>
          <w:rFonts w:hint="eastAsia" w:ascii="宋体" w:hAnsi="宋体" w:eastAsia="宋体" w:cs="宋体"/>
          <w:color w:val="auto"/>
          <w:highlight w:val="none"/>
        </w:rPr>
        <w:t>澄清、说明</w:t>
      </w:r>
      <w:bookmarkEnd w:id="53"/>
      <w:r>
        <w:rPr>
          <w:rFonts w:hint="eastAsia" w:ascii="宋体" w:hAnsi="宋体" w:eastAsia="宋体" w:cs="宋体"/>
          <w:color w:val="auto"/>
          <w:highlight w:val="none"/>
        </w:rPr>
        <w:t>或者补正。磋商小组的澄清内容及供应商的澄清、说明或者补正均通过</w:t>
      </w:r>
      <w:bookmarkStart w:id="54" w:name="_Hlk59371846"/>
      <w:r>
        <w:rPr>
          <w:rFonts w:hint="eastAsia" w:ascii="宋体" w:hAnsi="宋体" w:eastAsia="宋体" w:cs="宋体"/>
          <w:color w:val="auto"/>
          <w:highlight w:val="none"/>
        </w:rPr>
        <w:t>政采云电子交易平台交换数据电文。</w:t>
      </w:r>
      <w:bookmarkEnd w:id="54"/>
      <w:bookmarkStart w:id="55" w:name="_Hlk59700505"/>
      <w:r>
        <w:rPr>
          <w:rFonts w:hint="eastAsia" w:ascii="宋体" w:hAnsi="宋体" w:eastAsia="宋体" w:cs="宋体"/>
          <w:b/>
          <w:bCs/>
          <w:color w:val="auto"/>
          <w:highlight w:val="none"/>
        </w:rPr>
        <w:t>同时采购代理机构也将通过临海市公共资源交易中心视频直播平台、</w:t>
      </w:r>
      <w:bookmarkStart w:id="56" w:name="_Hlk59371920"/>
      <w:r>
        <w:rPr>
          <w:rFonts w:hint="eastAsia" w:ascii="宋体" w:hAnsi="宋体" w:eastAsia="宋体" w:cs="宋体"/>
          <w:b/>
          <w:bCs/>
          <w:color w:val="auto"/>
          <w:highlight w:val="none"/>
        </w:rPr>
        <w:t>政采云视频询标（视频讲标）系统协助进行问题澄清。</w:t>
      </w:r>
      <w:r>
        <w:rPr>
          <w:rFonts w:hint="eastAsia" w:ascii="宋体" w:hAnsi="宋体" w:eastAsia="宋体" w:cs="宋体"/>
          <w:b/>
          <w:bCs/>
          <w:color w:val="auto"/>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55"/>
    </w:p>
    <w:bookmarkEnd w:id="56"/>
    <w:p w14:paraId="5AFB2292">
      <w:pPr>
        <w:snapToGrid w:val="0"/>
        <w:spacing w:line="420" w:lineRule="exact"/>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磋商小组</w:t>
      </w:r>
      <w:r>
        <w:rPr>
          <w:rFonts w:hint="eastAsia" w:ascii="宋体" w:hAnsi="宋体" w:eastAsia="宋体" w:cs="宋体"/>
          <w:color w:val="auto"/>
          <w:sz w:val="24"/>
          <w:highlight w:val="none"/>
        </w:rPr>
        <w:t>发出澄清内容后，供应商应当在采购代理机构及政采云平台上</w:t>
      </w:r>
      <w:r>
        <w:rPr>
          <w:rFonts w:hint="eastAsia" w:ascii="宋体" w:hAnsi="宋体" w:eastAsia="宋体" w:cs="宋体"/>
          <w:b/>
          <w:bCs/>
          <w:color w:val="auto"/>
          <w:sz w:val="24"/>
          <w:highlight w:val="none"/>
          <w:u w:val="single"/>
          <w:shd w:val="pct10" w:color="auto" w:fill="FFFFFF"/>
        </w:rPr>
        <w:t>规定的时间内（30分钟，具体时间以政采云系统上显示的时间为准）</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（五）错误修正</w:t>
      </w:r>
    </w:p>
    <w:p w14:paraId="55637DF4">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磋商响应文件报价出现前后不一致的，按照下列规定修正：</w:t>
      </w:r>
    </w:p>
    <w:p w14:paraId="2902104D">
      <w:pPr>
        <w:snapToGrid w:val="0"/>
        <w:spacing w:line="420" w:lineRule="exact"/>
        <w:ind w:firstLine="480" w:firstLineChars="200"/>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color w:val="auto"/>
          <w:sz w:val="24"/>
          <w:highlight w:val="none"/>
        </w:rPr>
        <w:t>（一）磋商响应文件中</w:t>
      </w:r>
      <w:bookmarkStart w:id="57" w:name="_Hlk61427222"/>
      <w:r>
        <w:rPr>
          <w:rFonts w:hint="eastAsia" w:ascii="宋体" w:hAnsi="宋体" w:eastAsia="宋体" w:cs="宋体"/>
          <w:color w:val="auto"/>
          <w:sz w:val="24"/>
          <w:highlight w:val="none"/>
        </w:rPr>
        <w:t>开标一览表</w:t>
      </w:r>
      <w:bookmarkEnd w:id="57"/>
      <w:r>
        <w:rPr>
          <w:rFonts w:hint="eastAsia" w:ascii="宋体" w:hAnsi="宋体" w:eastAsia="宋体" w:cs="宋体"/>
          <w:color w:val="auto"/>
          <w:sz w:val="24"/>
          <w:highlight w:val="none"/>
        </w:rPr>
        <w:t>内容与磋商响应文件中相应内容不一致的，以开标一览表为准；</w:t>
      </w:r>
      <w:bookmarkStart w:id="58" w:name="_Hlk78209380"/>
      <w:r>
        <w:rPr>
          <w:rFonts w:hint="eastAsia" w:ascii="宋体" w:hAnsi="宋体" w:eastAsia="宋体" w:cs="宋体"/>
          <w:b/>
          <w:bCs/>
          <w:color w:val="auto"/>
          <w:sz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58"/>
    </w:p>
    <w:p w14:paraId="4E09174C">
      <w:pPr>
        <w:snapToGrid w:val="0"/>
        <w:spacing w:line="420" w:lineRule="exact"/>
        <w:ind w:firstLine="480" w:firstLineChars="200"/>
        <w:rPr>
          <w:rFonts w:hint="eastAsia" w:ascii="宋体" w:hAnsi="宋体" w:eastAsia="宋体" w:cs="宋体"/>
          <w:color w:val="auto"/>
          <w:sz w:val="24"/>
          <w:highlight w:val="none"/>
        </w:rPr>
      </w:pPr>
      <w:bookmarkStart w:id="59" w:name="_Hlk81829635"/>
      <w:r>
        <w:rPr>
          <w:rFonts w:hint="eastAsia" w:ascii="宋体" w:hAnsi="宋体" w:eastAsia="宋体" w:cs="宋体"/>
          <w:color w:val="auto"/>
          <w:sz w:val="24"/>
          <w:highlight w:val="none"/>
        </w:rPr>
        <w:t>（二）</w:t>
      </w:r>
      <w:bookmarkEnd w:id="59"/>
      <w:r>
        <w:rPr>
          <w:rFonts w:hint="eastAsia" w:ascii="宋体" w:hAnsi="宋体" w:eastAsia="宋体" w:cs="宋体"/>
          <w:color w:val="auto"/>
          <w:sz w:val="24"/>
          <w:highlight w:val="none"/>
        </w:rPr>
        <w:t>大写金额和小写金额不一致的，以大写金额为准；</w:t>
      </w:r>
    </w:p>
    <w:p w14:paraId="375B5B72">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（三）单价金额小数点或者百分比有明显错位的，以开标一览表的总价为准，并修改单价；</w:t>
      </w:r>
    </w:p>
    <w:p w14:paraId="488C9BEF">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（四）总价金额与按单价汇总金额不一致的，以单价金额计算结果为准。</w:t>
      </w:r>
    </w:p>
    <w:p w14:paraId="5D7FCE07">
      <w:pPr>
        <w:pStyle w:val="44"/>
        <w:spacing w:before="0" w:beforeAutospacing="0" w:after="0" w:afterAutospacing="0" w:line="420" w:lineRule="exact"/>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52"/>
    <w:p w14:paraId="7DF7EE96">
      <w:pPr>
        <w:pStyle w:val="28"/>
        <w:tabs>
          <w:tab w:val="left" w:pos="630"/>
        </w:tabs>
        <w:snapToGrid w:val="0"/>
        <w:spacing w:beforeLines="0" w:afterLines="0" w:line="420" w:lineRule="exact"/>
        <w:ind w:firstLine="241" w:firstLineChars="100"/>
        <w:rPr>
          <w:rFonts w:hint="eastAsia" w:ascii="宋体" w:hAnsi="宋体" w:eastAsia="宋体" w:cs="宋体"/>
          <w:b/>
          <w:color w:val="auto"/>
          <w:highlight w:val="none"/>
        </w:rPr>
      </w:pPr>
      <w:r>
        <w:rPr>
          <w:rFonts w:hint="eastAsia" w:ascii="宋体" w:hAnsi="宋体" w:eastAsia="宋体" w:cs="宋体"/>
          <w:b/>
          <w:color w:val="auto"/>
          <w:highlight w:val="none"/>
        </w:rPr>
        <w:t>（六）评标原则和评标办法</w:t>
      </w:r>
    </w:p>
    <w:p w14:paraId="3FB28091">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2.评标办法。本项目评标办法是</w:t>
      </w:r>
      <w:r>
        <w:rPr>
          <w:rFonts w:hint="eastAsia" w:ascii="宋体" w:hAnsi="宋体" w:eastAsia="宋体" w:cs="宋体"/>
          <w:b/>
          <w:color w:val="auto"/>
          <w:highlight w:val="none"/>
          <w:u w:val="single"/>
        </w:rPr>
        <w:t>综合评分法</w:t>
      </w:r>
      <w:r>
        <w:rPr>
          <w:rFonts w:hint="eastAsia" w:ascii="宋体" w:hAnsi="宋体" w:eastAsia="宋体" w:cs="宋体"/>
          <w:color w:val="auto"/>
          <w:highlight w:val="none"/>
        </w:rPr>
        <w:t>，具体评标内容及评分标准等详见《第四章：评标办法及评分标准》。</w:t>
      </w:r>
    </w:p>
    <w:p w14:paraId="2F17535A">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五、成交结果确定</w:t>
      </w:r>
    </w:p>
    <w:p w14:paraId="5CEC04ED">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（一）确定成交供应商</w:t>
      </w:r>
    </w:p>
    <w:p w14:paraId="64EED456">
      <w:pPr>
        <w:spacing w:line="4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1.招标人在评标结束后2</w:t>
      </w:r>
      <w:r>
        <w:rPr>
          <w:rFonts w:hint="eastAsia" w:ascii="宋体" w:hAnsi="宋体" w:eastAsia="宋体" w:cs="宋体"/>
          <w:color w:val="auto"/>
          <w:sz w:val="24"/>
          <w:highlight w:val="none"/>
        </w:rPr>
        <w:t>个工作日内将评标报告交采购单位确认</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采购单位应在收到评标报告后5个工作日内对评标结果进行确认。如有磋商供应商对评标结果提出质疑的，采购单位可在质疑处理完毕后确定成交供应商。</w:t>
      </w:r>
    </w:p>
    <w:p w14:paraId="517AEC53">
      <w:pPr>
        <w:snapToGrid w:val="0"/>
        <w:spacing w:line="420" w:lineRule="exact"/>
        <w:ind w:firstLine="480" w:firstLineChars="200"/>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color w:val="auto"/>
          <w:sz w:val="24"/>
          <w:highlight w:val="none"/>
        </w:rPr>
        <w:t>2.采购单位依法确定成交供应商后2个工作日内，招标人以书面形式发出《成交通知书》,并同时在竞争性磋商公告发布的网站上发布成交结果公告。</w:t>
      </w:r>
      <w:r>
        <w:rPr>
          <w:rFonts w:hint="eastAsia" w:ascii="宋体" w:hAnsi="宋体" w:eastAsia="宋体" w:cs="宋体"/>
          <w:b/>
          <w:bCs/>
          <w:color w:val="auto"/>
          <w:sz w:val="24"/>
          <w:highlight w:val="none"/>
          <w:u w:val="single"/>
          <w:shd w:val="pct10" w:color="auto" w:fill="FFFFFF"/>
        </w:rPr>
        <w:t>成交供应商享受小微企业报价优惠扣除的，将在成交结果公告中公开成交供应商的《中小企业声明函》</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3.定标中，应坚持第一成交候选人为首选成交供应商，但出现其它原因的，采购单位可以确定排名第二的候选人为成交供应商，</w:t>
      </w:r>
      <w:r>
        <w:rPr>
          <w:rFonts w:hint="eastAsia" w:ascii="宋体" w:hAnsi="宋体" w:eastAsia="宋体" w:cs="宋体"/>
          <w:b/>
          <w:color w:val="auto"/>
          <w:sz w:val="24"/>
          <w:highlight w:val="none"/>
        </w:rPr>
        <w:t>或重新组织招标。</w:t>
      </w:r>
      <w:r>
        <w:rPr>
          <w:rFonts w:hint="eastAsia" w:ascii="宋体" w:hAnsi="宋体" w:eastAsia="宋体" w:cs="宋体"/>
          <w:color w:val="auto"/>
          <w:sz w:val="24"/>
          <w:highlight w:val="none"/>
        </w:rPr>
        <w:t>采购单位如确定第二成交候选人为成交供应商的，应当在确定前向</w:t>
      </w:r>
      <w:r>
        <w:rPr>
          <w:rFonts w:hint="eastAsia" w:ascii="宋体" w:hAnsi="宋体" w:eastAsia="宋体" w:cs="宋体"/>
          <w:b/>
          <w:color w:val="auto"/>
          <w:sz w:val="24"/>
          <w:highlight w:val="none"/>
        </w:rPr>
        <w:t>临海市财政局</w:t>
      </w:r>
      <w:r>
        <w:rPr>
          <w:rFonts w:hint="eastAsia" w:ascii="宋体" w:hAnsi="宋体" w:eastAsia="宋体" w:cs="宋体"/>
          <w:color w:val="auto"/>
          <w:sz w:val="24"/>
          <w:highlight w:val="none"/>
        </w:rPr>
        <w:t>报告说明。</w:t>
      </w:r>
    </w:p>
    <w:p w14:paraId="41E1C8CF">
      <w:pPr>
        <w:snapToGrid w:val="0"/>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bookmarkStart w:id="60" w:name="_Hlk59627548"/>
      <w:bookmarkStart w:id="61" w:name="_Hlk59369379"/>
      <w:r>
        <w:rPr>
          <w:rFonts w:hint="eastAsia" w:ascii="宋体" w:hAnsi="宋体" w:eastAsia="宋体" w:cs="宋体"/>
          <w:b/>
          <w:bCs/>
          <w:color w:val="auto"/>
          <w:sz w:val="24"/>
          <w:highlight w:val="none"/>
          <w:u w:val="single"/>
          <w:shd w:val="pct10" w:color="auto" w:fill="FFFFFF"/>
        </w:rPr>
        <w:t>为营造更优质的营商环境，</w:t>
      </w:r>
      <w:bookmarkStart w:id="62" w:name="_Hlk59708763"/>
      <w:r>
        <w:rPr>
          <w:rFonts w:hint="eastAsia" w:ascii="宋体" w:hAnsi="宋体" w:eastAsia="宋体" w:cs="宋体"/>
          <w:b/>
          <w:bCs/>
          <w:color w:val="auto"/>
          <w:sz w:val="24"/>
          <w:highlight w:val="none"/>
          <w:u w:val="single"/>
          <w:shd w:val="pct10" w:color="auto" w:fill="FFFFFF"/>
        </w:rPr>
        <w:t>成交人可选择采购代理机构以邮寄方式向其寄达《成交通知书》（邮寄地址、收件人等信息请在“投标函”中详细写明，邮费可到付）。</w:t>
      </w:r>
      <w:bookmarkEnd w:id="62"/>
      <w:bookmarkStart w:id="63" w:name="_Hlk59708451"/>
      <w:r>
        <w:rPr>
          <w:rFonts w:hint="eastAsia" w:ascii="宋体" w:hAnsi="宋体" w:eastAsia="宋体" w:cs="宋体"/>
          <w:b/>
          <w:bCs/>
          <w:color w:val="auto"/>
          <w:sz w:val="24"/>
          <w:highlight w:val="none"/>
          <w:u w:val="single"/>
          <w:shd w:val="pct10" w:color="auto" w:fill="FFFFFF"/>
        </w:rPr>
        <w:t>同时成交人应在成交后</w:t>
      </w:r>
      <w:bookmarkStart w:id="64" w:name="_Hlk59521069"/>
      <w:r>
        <w:rPr>
          <w:rFonts w:hint="eastAsia" w:ascii="宋体" w:hAnsi="宋体" w:eastAsia="宋体" w:cs="宋体"/>
          <w:b/>
          <w:bCs/>
          <w:color w:val="auto"/>
          <w:sz w:val="24"/>
          <w:highlight w:val="none"/>
          <w:u w:val="single"/>
          <w:shd w:val="pct10" w:color="auto" w:fill="FFFFFF"/>
        </w:rPr>
        <w:t>以邮寄</w:t>
      </w:r>
      <w:bookmarkEnd w:id="64"/>
      <w:r>
        <w:rPr>
          <w:rFonts w:hint="eastAsia" w:ascii="宋体" w:hAnsi="宋体" w:eastAsia="宋体" w:cs="宋体"/>
          <w:b/>
          <w:bCs/>
          <w:color w:val="auto"/>
          <w:sz w:val="24"/>
          <w:highlight w:val="none"/>
          <w:u w:val="single"/>
          <w:shd w:val="pct10" w:color="auto" w:fill="FFFFFF"/>
        </w:rPr>
        <w:t>或其他方式向</w:t>
      </w:r>
      <w:bookmarkStart w:id="65" w:name="_Hlk59521051"/>
      <w:r>
        <w:rPr>
          <w:rFonts w:hint="eastAsia" w:ascii="宋体" w:hAnsi="宋体" w:eastAsia="宋体" w:cs="宋体"/>
          <w:b/>
          <w:bCs/>
          <w:color w:val="auto"/>
          <w:sz w:val="24"/>
          <w:highlight w:val="none"/>
          <w:u w:val="single"/>
          <w:shd w:val="pct10" w:color="auto" w:fill="FFFFFF"/>
        </w:rPr>
        <w:t>采购代理机构</w:t>
      </w:r>
      <w:bookmarkEnd w:id="65"/>
      <w:r>
        <w:rPr>
          <w:rFonts w:hint="eastAsia" w:ascii="宋体" w:hAnsi="宋体" w:eastAsia="宋体" w:cs="宋体"/>
          <w:b/>
          <w:bCs/>
          <w:color w:val="auto"/>
          <w:sz w:val="24"/>
          <w:highlight w:val="none"/>
          <w:u w:val="single"/>
          <w:shd w:val="pct10" w:color="auto" w:fill="FFFFFF"/>
        </w:rPr>
        <w:t>提供3套与电子版响应文件相同的胶装版本磋商响应文件。</w:t>
      </w:r>
      <w:bookmarkEnd w:id="60"/>
      <w:bookmarkEnd w:id="61"/>
      <w:bookmarkEnd w:id="63"/>
    </w:p>
    <w:p w14:paraId="74DDBFCE">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六、合同授予</w:t>
      </w:r>
    </w:p>
    <w:p w14:paraId="7222E5B7">
      <w:pPr>
        <w:snapToGrid w:val="0"/>
        <w:spacing w:line="420" w:lineRule="exact"/>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（一）签订合同</w:t>
      </w:r>
    </w:p>
    <w:p w14:paraId="51380519">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1.采购人与成交供应商</w:t>
      </w:r>
      <w:r>
        <w:rPr>
          <w:rFonts w:hint="eastAsia" w:ascii="宋体" w:hAnsi="宋体" w:eastAsia="宋体" w:cs="宋体"/>
          <w:b/>
          <w:color w:val="auto"/>
          <w:sz w:val="24"/>
          <w:highlight w:val="none"/>
        </w:rPr>
        <w:t>应当在《成交通知书》发出之日起30日内签订政府采</w:t>
      </w:r>
      <w:r>
        <w:rPr>
          <w:rFonts w:hint="eastAsia" w:ascii="宋体" w:hAnsi="宋体" w:eastAsia="宋体" w:cs="宋体"/>
          <w:color w:val="auto"/>
          <w:sz w:val="24"/>
          <w:highlight w:val="none"/>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eastAsia="宋体" w:cs="宋体"/>
          <w:b/>
          <w:bCs/>
          <w:color w:val="auto"/>
          <w:sz w:val="24"/>
          <w:highlight w:val="none"/>
          <w:u w:val="single"/>
          <w:shd w:val="pct10" w:color="auto" w:fill="FFFFFF"/>
        </w:rPr>
        <w:t>为营造更优质的营商环境，</w:t>
      </w:r>
      <w:bookmarkStart w:id="66" w:name="_Hlk59627623"/>
      <w:r>
        <w:rPr>
          <w:rFonts w:hint="eastAsia" w:ascii="宋体" w:hAnsi="宋体" w:eastAsia="宋体" w:cs="宋体"/>
          <w:b/>
          <w:bCs/>
          <w:color w:val="auto"/>
          <w:sz w:val="24"/>
          <w:highlight w:val="none"/>
          <w:u w:val="single"/>
          <w:shd w:val="pct10" w:color="auto" w:fill="FFFFFF"/>
        </w:rPr>
        <w:t>成交人可选择采购代理机构以邮寄方式向其寄达</w:t>
      </w:r>
      <w:bookmarkStart w:id="67" w:name="_Hlk59708805"/>
      <w:r>
        <w:rPr>
          <w:rFonts w:hint="eastAsia" w:ascii="宋体" w:hAnsi="宋体" w:eastAsia="宋体" w:cs="宋体"/>
          <w:b/>
          <w:bCs/>
          <w:color w:val="auto"/>
          <w:sz w:val="24"/>
          <w:highlight w:val="none"/>
          <w:u w:val="single"/>
          <w:shd w:val="pct10" w:color="auto" w:fill="FFFFFF"/>
        </w:rPr>
        <w:t>《政府采购合同》</w:t>
      </w:r>
      <w:bookmarkEnd w:id="67"/>
      <w:r>
        <w:rPr>
          <w:rFonts w:hint="eastAsia" w:ascii="宋体" w:hAnsi="宋体" w:eastAsia="宋体" w:cs="宋体"/>
          <w:b/>
          <w:bCs/>
          <w:color w:val="auto"/>
          <w:sz w:val="24"/>
          <w:highlight w:val="none"/>
          <w:u w:val="single"/>
          <w:shd w:val="pct10" w:color="auto" w:fill="FFFFFF"/>
        </w:rPr>
        <w:t>。</w:t>
      </w:r>
      <w:bookmarkEnd w:id="66"/>
    </w:p>
    <w:p w14:paraId="36A4A37D">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2.成交供应商拒绝与采购人签订合同的，采购人可以按照评审报告推荐的成交候选人名单排序，确定下一候选人为成交供应商，也可以重新开展政府采购活动。</w:t>
      </w:r>
      <w:bookmarkStart w:id="68" w:name="_Hlk52994129"/>
      <w:r>
        <w:rPr>
          <w:rFonts w:hint="eastAsia" w:ascii="宋体" w:hAnsi="宋体" w:eastAsia="宋体" w:cs="宋体"/>
          <w:color w:val="auto"/>
          <w:sz w:val="24"/>
          <w:highlight w:val="none"/>
        </w:rPr>
        <w:t>拒绝签订政府采购合同的成交供应商不得参加对该项目重新开展的采购活动。</w:t>
      </w:r>
    </w:p>
    <w:bookmarkEnd w:id="68"/>
    <w:p w14:paraId="72465C18">
      <w:pPr>
        <w:pStyle w:val="28"/>
        <w:snapToGrid w:val="0"/>
        <w:spacing w:beforeLines="0" w:afterLines="0" w:line="420" w:lineRule="exact"/>
        <w:ind w:firstLine="241" w:firstLineChars="100"/>
        <w:rPr>
          <w:rFonts w:hint="eastAsia" w:ascii="宋体" w:hAnsi="宋体" w:eastAsia="宋体" w:cs="宋体"/>
          <w:b/>
          <w:color w:val="auto"/>
          <w:highlight w:val="none"/>
        </w:rPr>
      </w:pPr>
      <w:r>
        <w:rPr>
          <w:rFonts w:hint="eastAsia" w:ascii="宋体" w:hAnsi="宋体" w:eastAsia="宋体" w:cs="宋体"/>
          <w:b/>
          <w:color w:val="auto"/>
          <w:highlight w:val="none"/>
        </w:rPr>
        <w:t>（二）履约保证金</w:t>
      </w:r>
    </w:p>
    <w:p w14:paraId="26F64E4C">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1.签订合同前，成交供应商应根据磋商文件确定的履约保证金的金额，交纳履约保证金：</w:t>
      </w:r>
    </w:p>
    <w:p w14:paraId="3A5A84CC">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201000102293922000003。财务咨询电话：0576-85280673）。</w:t>
      </w:r>
    </w:p>
    <w:p w14:paraId="3823A30D">
      <w:pPr>
        <w:pStyle w:val="28"/>
        <w:snapToGrid w:val="0"/>
        <w:spacing w:before="120" w:after="12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2.签订合同后，如成交供应商不按双方合同约定履约，则其履约保证金将不予退回，履约保证金不足以赔偿损失的，按实际损失赔偿。</w:t>
      </w:r>
    </w:p>
    <w:p w14:paraId="1A069EC7">
      <w:pPr>
        <w:pStyle w:val="28"/>
        <w:snapToGrid w:val="0"/>
        <w:spacing w:beforeLines="0" w:afterLines="0"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3.履约保证金在成交供应商履行合同义务后且经验收合格，凭《临海市政府采购验收单》向临海市公共资源交易中心</w:t>
      </w:r>
      <w:r>
        <w:rPr>
          <w:rFonts w:hint="eastAsia" w:ascii="宋体" w:hAnsi="宋体" w:eastAsia="宋体" w:cs="宋体"/>
          <w:color w:val="auto"/>
          <w:sz w:val="24"/>
          <w:highlight w:val="none"/>
          <w:lang w:val="en-US" w:eastAsia="zh-CN"/>
        </w:rPr>
        <w:t>申请</w:t>
      </w:r>
      <w:r>
        <w:rPr>
          <w:rFonts w:hint="eastAsia" w:ascii="宋体" w:hAnsi="宋体" w:eastAsia="宋体" w:cs="宋体"/>
          <w:color w:val="auto"/>
          <w:highlight w:val="none"/>
        </w:rPr>
        <w:t>退还。</w:t>
      </w:r>
    </w:p>
    <w:p w14:paraId="6A74CFC8">
      <w:pPr>
        <w:spacing w:before="120" w:beforeLines="50" w:after="120" w:afterLines="50" w:line="400" w:lineRule="exact"/>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7584E31">
      <w:pPr>
        <w:spacing w:before="120" w:beforeLines="50" w:after="120" w:afterLines="50" w:line="400" w:lineRule="exact"/>
        <w:jc w:val="center"/>
        <w:outlineLvl w:val="0"/>
        <w:rPr>
          <w:rFonts w:hint="eastAsia" w:ascii="宋体" w:hAnsi="宋体" w:eastAsia="宋体" w:cs="宋体"/>
          <w:b/>
          <w:color w:val="auto"/>
          <w:sz w:val="30"/>
          <w:szCs w:val="30"/>
          <w:highlight w:val="none"/>
        </w:rPr>
      </w:pPr>
      <w:bookmarkStart w:id="69" w:name="_Toc466534750"/>
      <w:bookmarkStart w:id="70" w:name="_Toc48835714"/>
      <w:r>
        <w:rPr>
          <w:rFonts w:hint="eastAsia" w:ascii="宋体" w:hAnsi="宋体" w:eastAsia="宋体" w:cs="宋体"/>
          <w:b/>
          <w:color w:val="auto"/>
          <w:sz w:val="30"/>
          <w:szCs w:val="30"/>
          <w:highlight w:val="none"/>
        </w:rPr>
        <w:t>第四章 评标办法及评分标准</w:t>
      </w:r>
      <w:bookmarkEnd w:id="69"/>
      <w:bookmarkEnd w:id="70"/>
    </w:p>
    <w:p w14:paraId="3FA5444E">
      <w:pPr>
        <w:spacing w:before="120" w:beforeLines="50" w:after="120" w:afterLines="50" w:line="40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本办法适用于本项目的</w:t>
      </w:r>
      <w:r>
        <w:rPr>
          <w:rFonts w:hint="eastAsia" w:ascii="宋体" w:hAnsi="宋体" w:eastAsia="宋体" w:cs="宋体"/>
          <w:bCs/>
          <w:color w:val="auto"/>
          <w:sz w:val="24"/>
          <w:highlight w:val="none"/>
        </w:rPr>
        <w:t>评标。</w:t>
      </w:r>
    </w:p>
    <w:p w14:paraId="176E0C95">
      <w:pPr>
        <w:spacing w:before="120" w:beforeLines="50" w:after="120" w:afterLines="50" w:line="40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一、总则</w:t>
      </w:r>
    </w:p>
    <w:p w14:paraId="6A408FB9">
      <w:pPr>
        <w:spacing w:before="120" w:beforeLines="50" w:after="120" w:afterLines="50"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bCs/>
          <w:color w:val="auto"/>
          <w:sz w:val="24"/>
          <w:highlight w:val="none"/>
        </w:rPr>
        <w:t>商务</w:t>
      </w:r>
      <w:r>
        <w:rPr>
          <w:rFonts w:hint="eastAsia" w:ascii="宋体" w:hAnsi="宋体" w:eastAsia="宋体" w:cs="宋体"/>
          <w:color w:val="auto"/>
          <w:sz w:val="24"/>
          <w:highlight w:val="none"/>
        </w:rPr>
        <w:t>技术分</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0分两部分。合格供应商的评标得分为各项目汇总得分，成交候选资格按评标得分由高到低顺序排列，得分相同的，按投标报价由低到高顺序排列；得分且投标报价相同的，按技术得分由高到低顺序排列。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eastAsia="宋体" w:cs="宋体"/>
          <w:b/>
          <w:bCs/>
          <w:color w:val="auto"/>
          <w:sz w:val="24"/>
          <w:highlight w:val="none"/>
        </w:rPr>
        <w:t>排名第一的供应商为成交候选人,排名第二的供应商为候补成交候选人</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排名第</w:t>
      </w:r>
      <w:r>
        <w:rPr>
          <w:rFonts w:hint="eastAsia" w:ascii="宋体" w:hAnsi="宋体" w:eastAsia="宋体" w:cs="宋体"/>
          <w:b w:val="0"/>
          <w:bCs w:val="0"/>
          <w:color w:val="auto"/>
          <w:sz w:val="24"/>
          <w:highlight w:val="none"/>
          <w:lang w:val="en-US" w:eastAsia="zh-CN"/>
        </w:rPr>
        <w:t>三</w:t>
      </w:r>
      <w:r>
        <w:rPr>
          <w:rFonts w:hint="eastAsia" w:ascii="宋体" w:hAnsi="宋体" w:eastAsia="宋体" w:cs="宋体"/>
          <w:b w:val="0"/>
          <w:bCs w:val="0"/>
          <w:color w:val="auto"/>
          <w:sz w:val="24"/>
          <w:highlight w:val="none"/>
        </w:rPr>
        <w:t>的供应商为</w:t>
      </w:r>
      <w:r>
        <w:rPr>
          <w:rFonts w:hint="eastAsia" w:ascii="宋体" w:hAnsi="宋体" w:eastAsia="宋体" w:cs="宋体"/>
          <w:b w:val="0"/>
          <w:bCs w:val="0"/>
          <w:color w:val="auto"/>
          <w:sz w:val="24"/>
          <w:highlight w:val="none"/>
          <w:lang w:val="en-US" w:eastAsia="zh-CN"/>
        </w:rPr>
        <w:t>第三</w:t>
      </w:r>
      <w:r>
        <w:rPr>
          <w:rFonts w:hint="eastAsia" w:ascii="宋体" w:hAnsi="宋体" w:eastAsia="宋体" w:cs="宋体"/>
          <w:b w:val="0"/>
          <w:bCs w:val="0"/>
          <w:color w:val="auto"/>
          <w:sz w:val="24"/>
          <w:highlight w:val="none"/>
        </w:rPr>
        <w:t>成交候选人</w:t>
      </w:r>
      <w:r>
        <w:rPr>
          <w:rFonts w:hint="eastAsia" w:ascii="宋体" w:hAnsi="宋体" w:eastAsia="宋体" w:cs="宋体"/>
          <w:b w:val="0"/>
          <w:bCs w:val="0"/>
          <w:color w:val="auto"/>
          <w:sz w:val="24"/>
          <w:highlight w:val="none"/>
          <w:lang w:eastAsia="zh-CN"/>
        </w:rPr>
        <w:t>。</w:t>
      </w:r>
      <w:r>
        <w:rPr>
          <w:rFonts w:hint="eastAsia" w:ascii="宋体" w:hAnsi="宋体" w:eastAsia="宋体" w:cs="宋体"/>
          <w:bCs/>
          <w:color w:val="auto"/>
          <w:sz w:val="24"/>
          <w:highlight w:val="none"/>
        </w:rPr>
        <w:t>评分过程中采用四舍五入法，并保留小数2位。</w:t>
      </w:r>
    </w:p>
    <w:p w14:paraId="04378C02">
      <w:pPr>
        <w:spacing w:before="120" w:beforeLines="50" w:after="120" w:afterLines="5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节能环保产品，不发达地区、少数民族地区、</w:t>
      </w:r>
      <w:r>
        <w:rPr>
          <w:rFonts w:hint="eastAsia" w:ascii="宋体" w:hAnsi="宋体" w:eastAsia="宋体" w:cs="宋体"/>
          <w:bCs/>
          <w:color w:val="auto"/>
          <w:sz w:val="24"/>
          <w:highlight w:val="none"/>
        </w:rPr>
        <w:t>监狱企业、残疾人企业、制造精品</w:t>
      </w:r>
      <w:r>
        <w:rPr>
          <w:rFonts w:hint="eastAsia" w:ascii="宋体" w:hAnsi="宋体" w:eastAsia="宋体" w:cs="宋体"/>
          <w:color w:val="auto"/>
          <w:sz w:val="24"/>
          <w:highlight w:val="none"/>
        </w:rPr>
        <w:t>产品的政府采购优惠政策按相关文件规定执行。供应商提供的产品如为</w:t>
      </w:r>
      <w:r>
        <w:rPr>
          <w:rFonts w:hint="eastAsia" w:ascii="宋体" w:hAnsi="宋体" w:eastAsia="宋体" w:cs="宋体"/>
          <w:b/>
          <w:bCs/>
          <w:color w:val="auto"/>
          <w:sz w:val="24"/>
          <w:highlight w:val="none"/>
        </w:rPr>
        <w:t>首台套产品的，业绩分为满分。</w:t>
      </w:r>
    </w:p>
    <w:p w14:paraId="43E5B90F">
      <w:pPr>
        <w:spacing w:before="120" w:beforeLines="50" w:after="120" w:afterLines="5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供应商评标</w:t>
      </w:r>
      <w:r>
        <w:rPr>
          <w:rFonts w:hint="eastAsia" w:ascii="宋体" w:hAnsi="宋体" w:eastAsia="宋体" w:cs="宋体"/>
          <w:bCs/>
          <w:color w:val="auto"/>
          <w:sz w:val="24"/>
          <w:highlight w:val="none"/>
        </w:rPr>
        <w:t>综合得分=价格分+商务技术分</w:t>
      </w:r>
    </w:p>
    <w:p w14:paraId="0E455437">
      <w:pPr>
        <w:spacing w:before="120" w:beforeLines="50" w:after="120" w:afterLines="50"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二、评标内容及标准</w:t>
      </w:r>
    </w:p>
    <w:p w14:paraId="4082E55A">
      <w:pPr>
        <w:pStyle w:val="22"/>
        <w:spacing w:before="120" w:beforeLines="50" w:after="120" w:afterLines="50" w:line="400" w:lineRule="exact"/>
        <w:ind w:firstLine="466"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sz w:val="24"/>
          <w:szCs w:val="24"/>
          <w:highlight w:val="none"/>
        </w:rPr>
        <w:t>价格分（</w:t>
      </w: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r>
        <w:rPr>
          <w:rFonts w:hint="eastAsia" w:ascii="宋体" w:hAnsi="宋体" w:eastAsia="宋体" w:cs="宋体"/>
          <w:b/>
          <w:color w:val="auto"/>
          <w:spacing w:val="0"/>
          <w:sz w:val="24"/>
          <w:szCs w:val="24"/>
          <w:highlight w:val="none"/>
        </w:rPr>
        <w:t>分</w:t>
      </w:r>
      <w:r>
        <w:rPr>
          <w:rFonts w:hint="eastAsia" w:ascii="宋体" w:hAnsi="宋体" w:eastAsia="宋体" w:cs="宋体"/>
          <w:b/>
          <w:bCs/>
          <w:color w:val="auto"/>
          <w:sz w:val="24"/>
          <w:szCs w:val="24"/>
          <w:highlight w:val="none"/>
        </w:rPr>
        <w:t>）</w:t>
      </w:r>
    </w:p>
    <w:p w14:paraId="6F8244F1">
      <w:pPr>
        <w:pStyle w:val="22"/>
        <w:spacing w:before="120" w:beforeLines="50" w:after="120" w:afterLines="50" w:line="400" w:lineRule="exact"/>
        <w:ind w:firstLine="464"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价格分=（评标基准价/投标报价）×</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0%×100</w:t>
      </w:r>
    </w:p>
    <w:p w14:paraId="2AC3D753">
      <w:pPr>
        <w:pStyle w:val="22"/>
        <w:spacing w:before="120" w:beforeLines="50" w:after="120" w:afterLines="50" w:line="400" w:lineRule="exact"/>
        <w:ind w:firstLine="466" w:firstLineChars="200"/>
        <w:rPr>
          <w:rFonts w:hint="eastAsia"/>
        </w:rPr>
      </w:pPr>
      <w:r>
        <w:rPr>
          <w:rFonts w:hint="eastAsia" w:hAnsi="宋体"/>
          <w:b/>
          <w:bCs/>
          <w:sz w:val="24"/>
          <w:szCs w:val="24"/>
        </w:rPr>
        <w:t>磋商小组根据供应商提供的资料综合评判后确认是否给予</w:t>
      </w:r>
      <w:r>
        <w:rPr>
          <w:rFonts w:hint="eastAsia" w:hAnsi="宋体"/>
          <w:b/>
          <w:bCs/>
          <w:color w:val="auto"/>
          <w:sz w:val="24"/>
          <w:szCs w:val="24"/>
        </w:rPr>
        <w:t>供应商报价</w:t>
      </w:r>
      <w:r>
        <w:rPr>
          <w:rFonts w:hAnsi="宋体"/>
          <w:b/>
          <w:bCs/>
          <w:color w:val="auto"/>
          <w:sz w:val="24"/>
          <w:szCs w:val="24"/>
        </w:rPr>
        <w:t>10</w:t>
      </w:r>
      <w:r>
        <w:rPr>
          <w:rFonts w:hint="eastAsia" w:hAnsi="宋体"/>
          <w:b/>
          <w:bCs/>
          <w:color w:val="auto"/>
          <w:sz w:val="24"/>
          <w:szCs w:val="24"/>
        </w:rPr>
        <w:t>%（工程项目为</w:t>
      </w:r>
      <w:r>
        <w:rPr>
          <w:rFonts w:hAnsi="宋体"/>
          <w:b/>
          <w:bCs/>
          <w:color w:val="auto"/>
          <w:sz w:val="24"/>
          <w:szCs w:val="24"/>
        </w:rPr>
        <w:t>5</w:t>
      </w:r>
      <w:r>
        <w:rPr>
          <w:rFonts w:hint="eastAsia" w:hAnsi="宋体"/>
          <w:b/>
          <w:bCs/>
          <w:color w:val="auto"/>
          <w:sz w:val="24"/>
          <w:szCs w:val="24"/>
        </w:rPr>
        <w:t>%）</w:t>
      </w:r>
      <w:r>
        <w:rPr>
          <w:rFonts w:hint="eastAsia" w:hAnsi="宋体"/>
          <w:b/>
          <w:bCs/>
          <w:sz w:val="24"/>
          <w:szCs w:val="24"/>
        </w:rPr>
        <w:t>的小微企业优惠扣除，用扣除后的价格参加评审。如未按磋商文件要求提供上述小微企业证明材料的，将不给予供应商小微企业报价优惠扣除。</w:t>
      </w:r>
    </w:p>
    <w:p w14:paraId="41CCEBA2">
      <w:pPr>
        <w:spacing w:beforeLines="50" w:afterLines="50" w:line="400" w:lineRule="exact"/>
        <w:ind w:firstLine="482" w:firstLineChars="200"/>
        <w:rPr>
          <w:rFonts w:ascii="宋体" w:hAnsi="宋体"/>
          <w:b/>
          <w:sz w:val="24"/>
        </w:rPr>
      </w:pPr>
      <w:r>
        <w:rPr>
          <w:rFonts w:hint="eastAsia" w:ascii="宋体" w:hAnsi="宋体"/>
          <w:b/>
          <w:bCs/>
          <w:sz w:val="24"/>
        </w:rPr>
        <w:t>（二）商务</w:t>
      </w:r>
      <w:r>
        <w:rPr>
          <w:rFonts w:hint="eastAsia" w:ascii="宋体" w:hAnsi="宋体"/>
          <w:b/>
          <w:sz w:val="24"/>
        </w:rPr>
        <w:t>技术分（</w:t>
      </w:r>
      <w:r>
        <w:rPr>
          <w:rFonts w:hint="eastAsia" w:ascii="宋体" w:hAnsi="宋体"/>
          <w:b/>
          <w:sz w:val="24"/>
          <w:lang w:val="en-US" w:eastAsia="zh-CN"/>
        </w:rPr>
        <w:t>70</w:t>
      </w:r>
      <w:r>
        <w:rPr>
          <w:rFonts w:hint="eastAsia" w:ascii="宋体" w:hAnsi="宋体"/>
          <w:b/>
          <w:sz w:val="24"/>
        </w:rPr>
        <w:t>分）</w:t>
      </w:r>
    </w:p>
    <w:p w14:paraId="426D4E39">
      <w:pPr>
        <w:spacing w:line="400" w:lineRule="exact"/>
        <w:ind w:firstLine="480" w:firstLineChars="200"/>
        <w:rPr>
          <w:rFonts w:hAnsi="宋体"/>
          <w:sz w:val="24"/>
          <w:lang w:val="zh-CN"/>
        </w:rPr>
      </w:pPr>
      <w:r>
        <w:rPr>
          <w:rFonts w:hint="eastAsia" w:hAnsi="宋体"/>
          <w:sz w:val="24"/>
          <w:lang w:val="zh-CN"/>
        </w:rPr>
        <w:t>磋商小组对通过符合性审查的供应商的投标技术参数或方案充分审核后，进行综合评定独立打分。</w:t>
      </w:r>
    </w:p>
    <w:tbl>
      <w:tblPr>
        <w:tblStyle w:val="49"/>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16"/>
        <w:gridCol w:w="6735"/>
        <w:gridCol w:w="902"/>
      </w:tblGrid>
      <w:tr w14:paraId="088D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34" w:type="dxa"/>
            <w:noWrap w:val="0"/>
            <w:vAlign w:val="center"/>
          </w:tcPr>
          <w:p w14:paraId="139BDDBE">
            <w:pPr>
              <w:snapToGrid w:val="0"/>
              <w:ind w:left="60"/>
              <w:jc w:val="center"/>
              <w:textAlignment w:val="baseline"/>
              <w:rPr>
                <w:rFonts w:ascii="宋体" w:hAnsi="宋体" w:cs="宋体"/>
                <w:b/>
                <w:bCs/>
                <w:color w:val="auto"/>
                <w:sz w:val="24"/>
                <w:szCs w:val="24"/>
              </w:rPr>
            </w:pPr>
            <w:r>
              <w:rPr>
                <w:rFonts w:hint="eastAsia" w:ascii="宋体" w:hAnsi="宋体" w:cs="宋体"/>
                <w:b/>
                <w:bCs/>
                <w:color w:val="auto"/>
                <w:sz w:val="24"/>
                <w:szCs w:val="24"/>
              </w:rPr>
              <w:t>序号</w:t>
            </w:r>
          </w:p>
        </w:tc>
        <w:tc>
          <w:tcPr>
            <w:tcW w:w="1316" w:type="dxa"/>
            <w:noWrap w:val="0"/>
            <w:vAlign w:val="center"/>
          </w:tcPr>
          <w:p w14:paraId="21CC399D">
            <w:pPr>
              <w:snapToGrid w:val="0"/>
              <w:ind w:left="60"/>
              <w:jc w:val="center"/>
              <w:textAlignment w:val="baseline"/>
              <w:rPr>
                <w:rFonts w:ascii="宋体" w:hAnsi="宋体" w:cs="宋体"/>
                <w:b/>
                <w:bCs/>
                <w:color w:val="auto"/>
                <w:sz w:val="24"/>
                <w:szCs w:val="24"/>
              </w:rPr>
            </w:pPr>
            <w:r>
              <w:rPr>
                <w:rFonts w:hint="eastAsia" w:ascii="宋体" w:hAnsi="宋体" w:cs="宋体"/>
                <w:b/>
                <w:bCs/>
                <w:color w:val="auto"/>
                <w:sz w:val="24"/>
                <w:szCs w:val="24"/>
              </w:rPr>
              <w:t>评分项目</w:t>
            </w:r>
          </w:p>
        </w:tc>
        <w:tc>
          <w:tcPr>
            <w:tcW w:w="6735" w:type="dxa"/>
            <w:noWrap w:val="0"/>
            <w:vAlign w:val="center"/>
          </w:tcPr>
          <w:p w14:paraId="038E1048">
            <w:pPr>
              <w:snapToGrid w:val="0"/>
              <w:ind w:firstLine="560"/>
              <w:jc w:val="center"/>
              <w:textAlignment w:val="baseline"/>
              <w:rPr>
                <w:rFonts w:ascii="宋体" w:hAnsi="宋体" w:cs="宋体"/>
                <w:b/>
                <w:bCs/>
                <w:color w:val="auto"/>
                <w:sz w:val="24"/>
                <w:szCs w:val="24"/>
              </w:rPr>
            </w:pPr>
            <w:r>
              <w:rPr>
                <w:rFonts w:hint="eastAsia" w:ascii="宋体" w:hAnsi="宋体" w:cs="宋体"/>
                <w:b/>
                <w:bCs/>
                <w:color w:val="auto"/>
                <w:sz w:val="24"/>
                <w:szCs w:val="24"/>
              </w:rPr>
              <w:t>评审细则</w:t>
            </w:r>
          </w:p>
        </w:tc>
        <w:tc>
          <w:tcPr>
            <w:tcW w:w="902" w:type="dxa"/>
            <w:noWrap w:val="0"/>
            <w:vAlign w:val="center"/>
          </w:tcPr>
          <w:p w14:paraId="0CF4887D">
            <w:pPr>
              <w:snapToGrid w:val="0"/>
              <w:jc w:val="center"/>
              <w:textAlignment w:val="baseline"/>
              <w:rPr>
                <w:rFonts w:ascii="宋体" w:hAnsi="宋体" w:cs="宋体"/>
                <w:b/>
                <w:bCs/>
                <w:color w:val="auto"/>
                <w:sz w:val="24"/>
                <w:szCs w:val="24"/>
              </w:rPr>
            </w:pPr>
            <w:r>
              <w:rPr>
                <w:rFonts w:hint="eastAsia" w:ascii="宋体" w:hAnsi="宋体" w:cs="宋体"/>
                <w:b/>
                <w:bCs/>
                <w:color w:val="auto"/>
                <w:sz w:val="24"/>
                <w:szCs w:val="24"/>
              </w:rPr>
              <w:t>分值</w:t>
            </w:r>
          </w:p>
        </w:tc>
      </w:tr>
      <w:tr w14:paraId="5D98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634" w:type="dxa"/>
            <w:vMerge w:val="restart"/>
            <w:noWrap w:val="0"/>
            <w:vAlign w:val="center"/>
          </w:tcPr>
          <w:p w14:paraId="4502FDB0">
            <w:pPr>
              <w:snapToGrid w:val="0"/>
              <w:ind w:left="60"/>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316" w:type="dxa"/>
            <w:vMerge w:val="restart"/>
            <w:noWrap w:val="0"/>
            <w:vAlign w:val="center"/>
          </w:tcPr>
          <w:p w14:paraId="7525FCB6">
            <w:pPr>
              <w:snapToGrid w:val="0"/>
              <w:ind w:left="60"/>
              <w:jc w:val="center"/>
              <w:textAlignment w:val="baseline"/>
              <w:rPr>
                <w:rFonts w:hint="eastAsia" w:ascii="宋体" w:hAnsi="宋体" w:cs="宋体"/>
                <w:color w:val="auto"/>
                <w:sz w:val="24"/>
                <w:szCs w:val="24"/>
              </w:rPr>
            </w:pPr>
            <w:r>
              <w:rPr>
                <w:rFonts w:hint="eastAsia" w:ascii="宋体" w:hAnsi="宋体" w:cs="宋体"/>
                <w:color w:val="auto"/>
                <w:sz w:val="24"/>
                <w:highlight w:val="none"/>
              </w:rPr>
              <w:t>企业实力</w:t>
            </w:r>
          </w:p>
        </w:tc>
        <w:tc>
          <w:tcPr>
            <w:tcW w:w="6735" w:type="dxa"/>
            <w:noWrap w:val="0"/>
            <w:vAlign w:val="center"/>
          </w:tcPr>
          <w:p w14:paraId="49D33581">
            <w:pPr>
              <w:keepNext w:val="0"/>
              <w:keepLines w:val="0"/>
              <w:pageBreakBefore w:val="0"/>
              <w:kinsoku/>
              <w:wordWrap/>
              <w:overflowPunct/>
              <w:topLinePunct w:val="0"/>
              <w:autoSpaceDE/>
              <w:autoSpaceDN/>
              <w:bidi w:val="0"/>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投标供应商具有有效的ISO9001质量管理体系认证证书，ISO14001环境管理体系认证证书和ISO45001职业健康安全管理体系认证证书的，每提供一份得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分，本项最高得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3C91F2D5">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b/>
                <w:bCs/>
                <w:color w:val="auto"/>
                <w:sz w:val="24"/>
                <w:highlight w:val="none"/>
                <w:lang w:eastAsia="zh-CN"/>
              </w:rPr>
              <w:t>注：</w:t>
            </w:r>
            <w:r>
              <w:rPr>
                <w:rFonts w:hint="eastAsia" w:ascii="宋体" w:hAnsi="宋体" w:cs="宋体"/>
                <w:b/>
                <w:bCs/>
                <w:color w:val="auto"/>
                <w:sz w:val="24"/>
                <w:highlight w:val="none"/>
              </w:rPr>
              <w:t>提供</w:t>
            </w:r>
            <w:r>
              <w:rPr>
                <w:rFonts w:hint="eastAsia" w:ascii="宋体" w:hAnsi="宋体" w:cs="宋体"/>
                <w:b/>
                <w:bCs/>
                <w:color w:val="auto"/>
                <w:kern w:val="2"/>
                <w:sz w:val="24"/>
                <w:szCs w:val="24"/>
                <w:lang w:val="en-US" w:eastAsia="zh-CN" w:bidi="ar-SA"/>
              </w:rPr>
              <w:t>清晰可辨的</w:t>
            </w:r>
            <w:r>
              <w:rPr>
                <w:rFonts w:hint="eastAsia" w:ascii="宋体" w:hAnsi="宋体" w:cs="宋体"/>
                <w:b/>
                <w:bCs/>
                <w:color w:val="auto"/>
                <w:sz w:val="24"/>
                <w:highlight w:val="none"/>
              </w:rPr>
              <w:t>证书扫描件加盖公章，</w:t>
            </w:r>
            <w:r>
              <w:rPr>
                <w:rFonts w:hint="eastAsia" w:ascii="宋体" w:hAnsi="宋体" w:eastAsia="宋体" w:cs="宋体"/>
                <w:b/>
                <w:bCs/>
                <w:color w:val="auto"/>
                <w:sz w:val="24"/>
                <w:szCs w:val="24"/>
                <w:highlight w:val="none"/>
              </w:rPr>
              <w:t>未提供或不符合要求均</w:t>
            </w:r>
            <w:r>
              <w:rPr>
                <w:rFonts w:hint="eastAsia" w:ascii="宋体" w:hAnsi="宋体" w:eastAsia="宋体" w:cs="宋体"/>
                <w:b/>
                <w:bCs/>
                <w:color w:val="auto"/>
                <w:sz w:val="24"/>
                <w:szCs w:val="24"/>
                <w:highlight w:val="none"/>
                <w:lang w:val="zh-TW" w:eastAsia="zh-TW"/>
              </w:rPr>
              <w:t>不得分</w:t>
            </w:r>
            <w:r>
              <w:rPr>
                <w:rFonts w:hint="eastAsia" w:ascii="宋体" w:hAnsi="宋体" w:eastAsia="宋体" w:cs="宋体"/>
                <w:b/>
                <w:bCs/>
                <w:color w:val="auto"/>
                <w:sz w:val="24"/>
                <w:szCs w:val="24"/>
                <w:highlight w:val="none"/>
                <w:lang w:val="zh-TW" w:eastAsia="zh-CN"/>
              </w:rPr>
              <w:t>。</w:t>
            </w:r>
          </w:p>
        </w:tc>
        <w:tc>
          <w:tcPr>
            <w:tcW w:w="902" w:type="dxa"/>
            <w:vMerge w:val="restart"/>
            <w:noWrap w:val="0"/>
            <w:vAlign w:val="center"/>
          </w:tcPr>
          <w:p w14:paraId="3999ECD5">
            <w:pPr>
              <w:snapToGrid w:val="0"/>
              <w:jc w:val="center"/>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4分</w:t>
            </w:r>
          </w:p>
        </w:tc>
      </w:tr>
      <w:tr w14:paraId="5E59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634" w:type="dxa"/>
            <w:vMerge w:val="continue"/>
            <w:noWrap w:val="0"/>
            <w:vAlign w:val="center"/>
          </w:tcPr>
          <w:p w14:paraId="1660403C">
            <w:pPr>
              <w:snapToGrid w:val="0"/>
              <w:ind w:left="60"/>
              <w:jc w:val="center"/>
              <w:textAlignment w:val="baseline"/>
              <w:rPr>
                <w:rFonts w:hint="eastAsia" w:ascii="宋体" w:hAnsi="宋体" w:cs="宋体"/>
                <w:color w:val="auto"/>
                <w:sz w:val="24"/>
                <w:szCs w:val="24"/>
                <w:lang w:val="en-US" w:eastAsia="zh-CN"/>
              </w:rPr>
            </w:pPr>
          </w:p>
        </w:tc>
        <w:tc>
          <w:tcPr>
            <w:tcW w:w="1316" w:type="dxa"/>
            <w:vMerge w:val="continue"/>
            <w:noWrap w:val="0"/>
            <w:vAlign w:val="center"/>
          </w:tcPr>
          <w:p w14:paraId="74C5B8D1">
            <w:pPr>
              <w:snapToGrid w:val="0"/>
              <w:ind w:left="60"/>
              <w:jc w:val="center"/>
              <w:textAlignment w:val="baseline"/>
              <w:rPr>
                <w:rFonts w:hint="eastAsia" w:ascii="宋体" w:hAnsi="宋体" w:cs="宋体"/>
                <w:color w:val="auto"/>
                <w:sz w:val="24"/>
                <w:highlight w:val="none"/>
              </w:rPr>
            </w:pPr>
          </w:p>
        </w:tc>
        <w:tc>
          <w:tcPr>
            <w:tcW w:w="6735" w:type="dxa"/>
            <w:noWrap w:val="0"/>
            <w:vAlign w:val="center"/>
          </w:tcPr>
          <w:p w14:paraId="7D127930">
            <w:pPr>
              <w:keepNext w:val="0"/>
              <w:keepLines w:val="0"/>
              <w:pageBreakBefore w:val="0"/>
              <w:kinsoku/>
              <w:wordWrap/>
              <w:overflowPunct/>
              <w:topLinePunct w:val="0"/>
              <w:autoSpaceDE/>
              <w:autoSpaceDN/>
              <w:bidi w:val="0"/>
              <w:spacing w:line="420" w:lineRule="exact"/>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投标人具有建筑装修装饰工程专业承包二级及以上资质的得</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lang w:eastAsia="zh-CN"/>
              </w:rPr>
              <w:t>分。</w:t>
            </w:r>
          </w:p>
          <w:p w14:paraId="56D81079">
            <w:pPr>
              <w:keepNext w:val="0"/>
              <w:keepLines w:val="0"/>
              <w:pageBreakBefore w:val="0"/>
              <w:kinsoku/>
              <w:wordWrap/>
              <w:overflowPunct/>
              <w:topLinePunct w:val="0"/>
              <w:autoSpaceDE/>
              <w:autoSpaceDN/>
              <w:bidi w:val="0"/>
              <w:spacing w:line="420" w:lineRule="exact"/>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注：</w:t>
            </w:r>
            <w:r>
              <w:rPr>
                <w:rFonts w:hint="eastAsia" w:ascii="宋体" w:hAnsi="宋体" w:cs="宋体"/>
                <w:b/>
                <w:bCs/>
                <w:color w:val="auto"/>
                <w:sz w:val="24"/>
                <w:highlight w:val="none"/>
              </w:rPr>
              <w:t>提供</w:t>
            </w:r>
            <w:r>
              <w:rPr>
                <w:rFonts w:hint="eastAsia" w:ascii="宋体" w:hAnsi="宋体" w:cs="宋体"/>
                <w:b/>
                <w:bCs/>
                <w:color w:val="auto"/>
                <w:kern w:val="2"/>
                <w:sz w:val="24"/>
                <w:szCs w:val="24"/>
                <w:highlight w:val="none"/>
                <w:lang w:val="en-US" w:eastAsia="zh-CN" w:bidi="ar-SA"/>
              </w:rPr>
              <w:t>清晰可辨的</w:t>
            </w:r>
            <w:r>
              <w:rPr>
                <w:rFonts w:hint="eastAsia" w:ascii="宋体" w:hAnsi="宋体" w:cs="宋体"/>
                <w:b/>
                <w:bCs/>
                <w:color w:val="auto"/>
                <w:sz w:val="24"/>
                <w:highlight w:val="none"/>
              </w:rPr>
              <w:t>证书扫描件加盖公章，</w:t>
            </w:r>
            <w:r>
              <w:rPr>
                <w:rFonts w:hint="eastAsia" w:ascii="宋体" w:hAnsi="宋体" w:eastAsia="宋体" w:cs="宋体"/>
                <w:b/>
                <w:bCs/>
                <w:color w:val="auto"/>
                <w:sz w:val="24"/>
                <w:szCs w:val="24"/>
                <w:highlight w:val="none"/>
              </w:rPr>
              <w:t>未提供或不符合要求均</w:t>
            </w:r>
            <w:r>
              <w:rPr>
                <w:rFonts w:hint="eastAsia" w:ascii="宋体" w:hAnsi="宋体" w:eastAsia="宋体" w:cs="宋体"/>
                <w:b/>
                <w:bCs/>
                <w:color w:val="auto"/>
                <w:sz w:val="24"/>
                <w:szCs w:val="24"/>
                <w:highlight w:val="none"/>
                <w:lang w:val="zh-TW" w:eastAsia="zh-TW"/>
              </w:rPr>
              <w:t>不得分</w:t>
            </w:r>
            <w:r>
              <w:rPr>
                <w:rFonts w:hint="eastAsia" w:ascii="宋体" w:hAnsi="宋体" w:eastAsia="宋体" w:cs="宋体"/>
                <w:b/>
                <w:bCs/>
                <w:color w:val="auto"/>
                <w:sz w:val="24"/>
                <w:szCs w:val="24"/>
                <w:highlight w:val="none"/>
                <w:lang w:val="zh-TW" w:eastAsia="zh-CN"/>
              </w:rPr>
              <w:t>。</w:t>
            </w:r>
          </w:p>
        </w:tc>
        <w:tc>
          <w:tcPr>
            <w:tcW w:w="902" w:type="dxa"/>
            <w:vMerge w:val="continue"/>
            <w:noWrap w:val="0"/>
            <w:vAlign w:val="center"/>
          </w:tcPr>
          <w:p w14:paraId="49C2FE4D">
            <w:pPr>
              <w:snapToGrid w:val="0"/>
              <w:jc w:val="center"/>
              <w:textAlignment w:val="baseline"/>
              <w:rPr>
                <w:rFonts w:hint="eastAsia" w:ascii="宋体" w:hAnsi="宋体" w:cs="宋体"/>
                <w:color w:val="auto"/>
                <w:sz w:val="24"/>
                <w:szCs w:val="24"/>
                <w:lang w:val="en-US" w:eastAsia="zh-CN"/>
              </w:rPr>
            </w:pPr>
          </w:p>
        </w:tc>
      </w:tr>
      <w:tr w14:paraId="674D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634" w:type="dxa"/>
            <w:noWrap w:val="0"/>
            <w:vAlign w:val="center"/>
          </w:tcPr>
          <w:p w14:paraId="1DDCD9BA">
            <w:pPr>
              <w:snapToGrid w:val="0"/>
              <w:jc w:val="center"/>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1316" w:type="dxa"/>
            <w:noWrap w:val="0"/>
            <w:vAlign w:val="center"/>
          </w:tcPr>
          <w:p w14:paraId="78E49E8A">
            <w:pPr>
              <w:snapToGrid w:val="0"/>
              <w:spacing w:line="300" w:lineRule="exact"/>
              <w:ind w:left="45" w:right="45"/>
              <w:jc w:val="center"/>
              <w:textAlignment w:val="baseline"/>
              <w:rPr>
                <w:rFonts w:ascii="宋体" w:hAnsi="宋体" w:cs="宋体"/>
                <w:color w:val="auto"/>
                <w:sz w:val="24"/>
                <w:szCs w:val="24"/>
              </w:rPr>
            </w:pPr>
            <w:r>
              <w:rPr>
                <w:rFonts w:hint="eastAsia" w:ascii="宋体" w:hAnsi="宋体" w:cs="宋体"/>
                <w:color w:val="auto"/>
                <w:sz w:val="24"/>
                <w:szCs w:val="24"/>
              </w:rPr>
              <w:t>项目业绩</w:t>
            </w:r>
          </w:p>
        </w:tc>
        <w:tc>
          <w:tcPr>
            <w:tcW w:w="6735" w:type="dxa"/>
            <w:noWrap w:val="0"/>
            <w:vAlign w:val="center"/>
          </w:tcPr>
          <w:p w14:paraId="63A4BC77">
            <w:pPr>
              <w:snapToGrid w:val="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投标人自20</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年1月1日以来（以合同签订时间为准）承担过</w:t>
            </w:r>
            <w:r>
              <w:rPr>
                <w:rFonts w:hint="eastAsia" w:ascii="宋体" w:hAnsi="宋体" w:eastAsia="宋体" w:cs="宋体"/>
                <w:color w:val="auto"/>
                <w:kern w:val="0"/>
                <w:sz w:val="24"/>
                <w:szCs w:val="24"/>
                <w:highlight w:val="none"/>
                <w:lang w:val="en-US" w:eastAsia="zh-CN"/>
              </w:rPr>
              <w:t>类似</w:t>
            </w:r>
            <w:r>
              <w:rPr>
                <w:rFonts w:hint="eastAsia" w:ascii="宋体" w:hAnsi="宋体" w:eastAsia="宋体" w:cs="宋体"/>
                <w:color w:val="auto"/>
                <w:kern w:val="0"/>
                <w:sz w:val="24"/>
                <w:szCs w:val="24"/>
                <w:highlight w:val="none"/>
              </w:rPr>
              <w:t>项目业绩的（合同业绩须同时包含</w:t>
            </w:r>
            <w:r>
              <w:rPr>
                <w:rFonts w:hint="eastAsia" w:ascii="宋体" w:hAnsi="宋体" w:eastAsia="宋体" w:cs="宋体"/>
                <w:color w:val="auto"/>
                <w:kern w:val="0"/>
                <w:sz w:val="24"/>
                <w:szCs w:val="24"/>
                <w:highlight w:val="none"/>
                <w:lang w:eastAsia="zh-CN"/>
              </w:rPr>
              <w:t>室内改造</w:t>
            </w:r>
            <w:r>
              <w:rPr>
                <w:rFonts w:hint="eastAsia" w:ascii="宋体" w:hAnsi="宋体" w:eastAsia="宋体" w:cs="宋体"/>
                <w:color w:val="auto"/>
                <w:kern w:val="0"/>
                <w:sz w:val="24"/>
                <w:szCs w:val="24"/>
                <w:highlight w:val="none"/>
              </w:rPr>
              <w:t>内容，否则不得分）每个得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462F1C67">
            <w:pPr>
              <w:snapToGrid w:val="0"/>
              <w:textAlignment w:val="baseline"/>
              <w:rPr>
                <w:rFonts w:ascii="宋体" w:hAnsi="宋体" w:cs="宋体"/>
                <w:color w:val="auto"/>
                <w:sz w:val="24"/>
                <w:szCs w:val="24"/>
                <w:highlight w:val="none"/>
              </w:rPr>
            </w:pPr>
            <w:r>
              <w:rPr>
                <w:rFonts w:hint="eastAsia" w:ascii="宋体" w:hAnsi="宋体" w:cs="宋体"/>
                <w:b/>
                <w:bCs/>
                <w:color w:val="auto"/>
                <w:sz w:val="24"/>
                <w:szCs w:val="24"/>
                <w:highlight w:val="none"/>
                <w:lang w:eastAsia="zh-CN"/>
              </w:rPr>
              <w:t>注：</w:t>
            </w:r>
            <w:r>
              <w:rPr>
                <w:rFonts w:hint="eastAsia" w:ascii="宋体" w:hAnsi="宋体" w:cs="宋体"/>
                <w:b/>
                <w:bCs/>
                <w:color w:val="auto"/>
                <w:sz w:val="24"/>
                <w:szCs w:val="24"/>
                <w:highlight w:val="none"/>
              </w:rPr>
              <w:t>提供</w:t>
            </w:r>
            <w:r>
              <w:rPr>
                <w:rFonts w:hint="eastAsia" w:ascii="宋体" w:hAnsi="宋体" w:cs="宋体"/>
                <w:b/>
                <w:bCs/>
                <w:color w:val="auto"/>
                <w:kern w:val="2"/>
                <w:sz w:val="24"/>
                <w:szCs w:val="24"/>
                <w:highlight w:val="none"/>
                <w:lang w:val="en-US" w:eastAsia="zh-CN" w:bidi="ar-SA"/>
              </w:rPr>
              <w:t>清晰可辨的</w:t>
            </w:r>
            <w:r>
              <w:rPr>
                <w:rFonts w:hint="eastAsia" w:ascii="宋体" w:hAnsi="宋体" w:cs="宋体"/>
                <w:b/>
                <w:bCs/>
                <w:color w:val="auto"/>
                <w:sz w:val="24"/>
                <w:szCs w:val="24"/>
                <w:highlight w:val="none"/>
              </w:rPr>
              <w:t>合同证明材料扫描件</w:t>
            </w:r>
            <w:r>
              <w:rPr>
                <w:rFonts w:hint="eastAsia" w:ascii="宋体" w:hAnsi="宋体" w:cs="宋体"/>
                <w:b/>
                <w:bCs/>
                <w:color w:val="auto"/>
                <w:sz w:val="24"/>
                <w:szCs w:val="24"/>
                <w:highlight w:val="none"/>
                <w:lang w:eastAsia="zh-CN"/>
              </w:rPr>
              <w:t>并</w:t>
            </w:r>
            <w:r>
              <w:rPr>
                <w:rFonts w:hint="eastAsia" w:ascii="宋体" w:hAnsi="宋体" w:cs="宋体"/>
                <w:b/>
                <w:bCs/>
                <w:color w:val="auto"/>
                <w:sz w:val="24"/>
                <w:szCs w:val="24"/>
                <w:highlight w:val="none"/>
              </w:rPr>
              <w:t>加盖公章，</w:t>
            </w:r>
            <w:r>
              <w:rPr>
                <w:rFonts w:hint="eastAsia"/>
                <w:b/>
                <w:bCs/>
                <w:color w:val="auto"/>
                <w:sz w:val="24"/>
                <w:szCs w:val="24"/>
                <w:highlight w:val="none"/>
                <w:lang w:eastAsia="zh-CN"/>
              </w:rPr>
              <w:t>否则不得分。</w:t>
            </w:r>
          </w:p>
        </w:tc>
        <w:tc>
          <w:tcPr>
            <w:tcW w:w="902" w:type="dxa"/>
            <w:noWrap w:val="0"/>
            <w:vAlign w:val="center"/>
          </w:tcPr>
          <w:p w14:paraId="76DC62A6">
            <w:pPr>
              <w:snapToGrid w:val="0"/>
              <w:jc w:val="center"/>
              <w:textAlignment w:val="baseline"/>
              <w:rPr>
                <w:rFonts w:ascii="宋体" w:hAnsi="宋体" w:cs="宋体"/>
                <w:color w:val="auto"/>
                <w:spacing w:val="-6"/>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分</w:t>
            </w:r>
          </w:p>
        </w:tc>
      </w:tr>
      <w:tr w14:paraId="415A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34" w:type="dxa"/>
            <w:vMerge w:val="restart"/>
            <w:noWrap w:val="0"/>
            <w:vAlign w:val="center"/>
          </w:tcPr>
          <w:p w14:paraId="1ACF01A5">
            <w:pPr>
              <w:snapToGrid w:val="0"/>
              <w:jc w:val="center"/>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1316" w:type="dxa"/>
            <w:vMerge w:val="restart"/>
            <w:noWrap w:val="0"/>
            <w:vAlign w:val="center"/>
          </w:tcPr>
          <w:p w14:paraId="7482CB1A">
            <w:pPr>
              <w:snapToGrid w:val="0"/>
              <w:spacing w:line="300" w:lineRule="exact"/>
              <w:ind w:left="45" w:right="45"/>
              <w:jc w:val="center"/>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rPr>
              <w:t>项目团队</w:t>
            </w:r>
            <w:r>
              <w:rPr>
                <w:rFonts w:hint="eastAsia" w:ascii="宋体" w:hAnsi="宋体" w:cs="宋体"/>
                <w:color w:val="auto"/>
                <w:sz w:val="24"/>
                <w:szCs w:val="24"/>
                <w:lang w:eastAsia="zh-CN"/>
              </w:rPr>
              <w:t>情况</w:t>
            </w:r>
          </w:p>
        </w:tc>
        <w:tc>
          <w:tcPr>
            <w:tcW w:w="6735" w:type="dxa"/>
            <w:noWrap w:val="0"/>
            <w:vAlign w:val="center"/>
          </w:tcPr>
          <w:p w14:paraId="3DD72397">
            <w:pPr>
              <w:numPr>
                <w:ilvl w:val="0"/>
                <w:numId w:val="5"/>
              </w:numPr>
              <w:snapToGrid w:val="0"/>
              <w:textAlignment w:val="baseline"/>
              <w:rPr>
                <w:rFonts w:hint="eastAsia" w:ascii="宋体" w:hAnsi="宋体" w:cs="宋体"/>
                <w:b w:val="0"/>
                <w:bCs w:val="0"/>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投标人拟定的项目负责人</w:t>
            </w:r>
            <w:r>
              <w:rPr>
                <w:rFonts w:hint="eastAsia" w:ascii="宋体" w:hAnsi="宋体" w:eastAsia="宋体" w:cs="宋体"/>
                <w:color w:val="auto"/>
                <w:kern w:val="2"/>
                <w:sz w:val="24"/>
                <w:szCs w:val="24"/>
                <w:highlight w:val="none"/>
                <w:lang w:val="zh-TW" w:eastAsia="zh-TW" w:bidi="ar-SA"/>
              </w:rPr>
              <w:t>具备</w:t>
            </w:r>
            <w:r>
              <w:rPr>
                <w:rFonts w:hint="eastAsia" w:cs="宋体"/>
                <w:color w:val="auto"/>
                <w:kern w:val="2"/>
                <w:sz w:val="24"/>
                <w:szCs w:val="24"/>
                <w:highlight w:val="none"/>
                <w:lang w:val="en-US" w:eastAsia="zh-CN" w:bidi="ar-SA"/>
              </w:rPr>
              <w:t>二级及以上建造师证书</w:t>
            </w:r>
            <w:r>
              <w:rPr>
                <w:rFonts w:hint="eastAsia" w:ascii="宋体" w:hAnsi="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分；</w:t>
            </w:r>
          </w:p>
          <w:p w14:paraId="2092F4D4">
            <w:pPr>
              <w:numPr>
                <w:ilvl w:val="0"/>
                <w:numId w:val="5"/>
              </w:numPr>
              <w:snapToGrid w:val="0"/>
              <w:ind w:left="0" w:leftChars="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具有中级职称</w:t>
            </w:r>
            <w:r>
              <w:rPr>
                <w:rFonts w:hint="eastAsia" w:ascii="宋体" w:hAnsi="宋体" w:eastAsia="宋体" w:cs="宋体"/>
                <w:color w:val="auto"/>
                <w:sz w:val="24"/>
                <w:szCs w:val="24"/>
                <w:highlight w:val="none"/>
                <w:lang w:eastAsia="zh-CN"/>
              </w:rPr>
              <w:t>及以上的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4A3698D">
            <w:pPr>
              <w:numPr>
                <w:ilvl w:val="0"/>
                <w:numId w:val="0"/>
              </w:numPr>
              <w:snapToGrid w:val="0"/>
              <w:ind w:leftChars="0"/>
              <w:textAlignment w:val="baseline"/>
              <w:rPr>
                <w:rFonts w:hint="default"/>
                <w:color w:val="auto"/>
                <w:highlight w:val="none"/>
                <w:lang w:val="en-US"/>
              </w:rPr>
            </w:pPr>
            <w:r>
              <w:rPr>
                <w:rFonts w:hint="eastAsia" w:ascii="宋体" w:hAnsi="宋体" w:eastAsia="宋体" w:cs="宋体"/>
                <w:color w:val="auto"/>
                <w:sz w:val="24"/>
                <w:szCs w:val="24"/>
                <w:highlight w:val="none"/>
                <w:lang w:eastAsia="zh-CN"/>
              </w:rPr>
              <w:t>本项最高得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54E7ABFE">
            <w:pPr>
              <w:snapToGrid w:val="0"/>
              <w:textAlignment w:val="baseline"/>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r>
              <w:rPr>
                <w:rFonts w:hint="eastAsia" w:ascii="宋体" w:hAnsi="宋体" w:eastAsia="宋体" w:cs="宋体"/>
                <w:b/>
                <w:bCs/>
                <w:color w:val="auto"/>
                <w:kern w:val="2"/>
                <w:sz w:val="24"/>
                <w:szCs w:val="24"/>
                <w:highlight w:val="none"/>
                <w:lang w:val="en-US" w:eastAsia="zh-CN" w:bidi="ar-SA"/>
              </w:rPr>
              <w:t>提供</w:t>
            </w:r>
            <w:r>
              <w:rPr>
                <w:rFonts w:hint="eastAsia" w:ascii="宋体" w:hAnsi="宋体" w:cs="宋体"/>
                <w:b/>
                <w:bCs/>
                <w:color w:val="auto"/>
                <w:kern w:val="2"/>
                <w:sz w:val="24"/>
                <w:szCs w:val="24"/>
                <w:highlight w:val="none"/>
                <w:lang w:val="en-US" w:eastAsia="zh-CN" w:bidi="ar-SA"/>
              </w:rPr>
              <w:t>清晰可辨的</w:t>
            </w:r>
            <w:r>
              <w:rPr>
                <w:rFonts w:hint="eastAsia" w:ascii="宋体" w:hAnsi="宋体" w:eastAsia="宋体" w:cs="宋体"/>
                <w:b/>
                <w:bCs/>
                <w:color w:val="auto"/>
                <w:kern w:val="2"/>
                <w:sz w:val="24"/>
                <w:szCs w:val="24"/>
                <w:highlight w:val="none"/>
                <w:lang w:val="en-US" w:eastAsia="zh-CN" w:bidi="ar-SA"/>
              </w:rPr>
              <w:t>证书复印件</w:t>
            </w:r>
            <w:r>
              <w:rPr>
                <w:rFonts w:hint="eastAsia" w:cs="宋体"/>
                <w:b/>
                <w:bCs/>
                <w:color w:val="auto"/>
                <w:kern w:val="2"/>
                <w:sz w:val="24"/>
                <w:szCs w:val="24"/>
                <w:highlight w:val="none"/>
                <w:lang w:val="en-US" w:eastAsia="zh-CN" w:bidi="ar-SA"/>
              </w:rPr>
              <w:t>及近三个月社保</w:t>
            </w:r>
            <w:r>
              <w:rPr>
                <w:rFonts w:hint="eastAsia" w:ascii="宋体" w:hAnsi="宋体" w:eastAsia="宋体" w:cs="宋体"/>
                <w:b/>
                <w:bCs/>
                <w:color w:val="auto"/>
                <w:kern w:val="2"/>
                <w:sz w:val="24"/>
                <w:szCs w:val="24"/>
                <w:highlight w:val="none"/>
                <w:lang w:val="en-US" w:eastAsia="zh-CN" w:bidi="ar-SA"/>
              </w:rPr>
              <w:t>相关证明材料原件扫描件加盖公章</w:t>
            </w:r>
            <w:r>
              <w:rPr>
                <w:rFonts w:hint="eastAsia" w:ascii="宋体" w:hAnsi="宋体" w:eastAsia="宋体" w:cs="宋体"/>
                <w:b/>
                <w:bCs/>
                <w:color w:val="auto"/>
                <w:kern w:val="2"/>
                <w:sz w:val="24"/>
                <w:szCs w:val="24"/>
                <w:highlight w:val="none"/>
                <w:lang w:val="zh-TW" w:eastAsia="zh-CN" w:bidi="ar-SA"/>
              </w:rPr>
              <w:t>，</w:t>
            </w:r>
            <w:r>
              <w:rPr>
                <w:rFonts w:hint="eastAsia" w:ascii="宋体" w:hAnsi="宋体" w:eastAsia="宋体" w:cs="宋体"/>
                <w:b/>
                <w:bCs/>
                <w:color w:val="auto"/>
                <w:kern w:val="2"/>
                <w:sz w:val="24"/>
                <w:szCs w:val="24"/>
                <w:highlight w:val="none"/>
                <w:lang w:val="en-US" w:eastAsia="zh-CN" w:bidi="ar-SA"/>
              </w:rPr>
              <w:t>否则不得分</w:t>
            </w:r>
            <w:r>
              <w:rPr>
                <w:rFonts w:hint="eastAsia" w:ascii="宋体" w:hAnsi="宋体" w:cs="宋体"/>
                <w:b/>
                <w:bCs/>
                <w:color w:val="auto"/>
                <w:kern w:val="2"/>
                <w:sz w:val="24"/>
                <w:szCs w:val="24"/>
                <w:highlight w:val="none"/>
                <w:lang w:val="en-US" w:eastAsia="zh-CN" w:bidi="ar-SA"/>
              </w:rPr>
              <w:t>。</w:t>
            </w:r>
          </w:p>
        </w:tc>
        <w:tc>
          <w:tcPr>
            <w:tcW w:w="902" w:type="dxa"/>
            <w:vMerge w:val="restart"/>
            <w:noWrap w:val="0"/>
            <w:vAlign w:val="center"/>
          </w:tcPr>
          <w:p w14:paraId="4BC02A06">
            <w:pPr>
              <w:snapToGrid w:val="0"/>
              <w:jc w:val="center"/>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9分</w:t>
            </w:r>
          </w:p>
        </w:tc>
      </w:tr>
      <w:tr w14:paraId="3F51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34" w:type="dxa"/>
            <w:vMerge w:val="continue"/>
            <w:noWrap w:val="0"/>
            <w:vAlign w:val="center"/>
          </w:tcPr>
          <w:p w14:paraId="7779F080">
            <w:pPr>
              <w:snapToGrid w:val="0"/>
              <w:jc w:val="center"/>
              <w:textAlignment w:val="baseline"/>
              <w:rPr>
                <w:rFonts w:hint="eastAsia" w:ascii="宋体" w:hAnsi="宋体" w:cs="宋体"/>
                <w:color w:val="auto"/>
                <w:sz w:val="24"/>
                <w:szCs w:val="24"/>
                <w:lang w:val="en-US" w:eastAsia="zh-CN"/>
              </w:rPr>
            </w:pPr>
          </w:p>
        </w:tc>
        <w:tc>
          <w:tcPr>
            <w:tcW w:w="1316" w:type="dxa"/>
            <w:vMerge w:val="continue"/>
            <w:noWrap w:val="0"/>
            <w:vAlign w:val="center"/>
          </w:tcPr>
          <w:p w14:paraId="371448B6">
            <w:pPr>
              <w:snapToGrid w:val="0"/>
              <w:spacing w:line="300" w:lineRule="exact"/>
              <w:ind w:left="45" w:right="45"/>
              <w:jc w:val="center"/>
              <w:textAlignment w:val="baseline"/>
              <w:rPr>
                <w:rFonts w:hint="eastAsia" w:ascii="宋体" w:hAnsi="宋体" w:cs="宋体"/>
                <w:color w:val="auto"/>
                <w:sz w:val="24"/>
                <w:szCs w:val="24"/>
              </w:rPr>
            </w:pPr>
          </w:p>
        </w:tc>
        <w:tc>
          <w:tcPr>
            <w:tcW w:w="6735" w:type="dxa"/>
            <w:noWrap w:val="0"/>
            <w:vAlign w:val="center"/>
          </w:tcPr>
          <w:p w14:paraId="5783D4E0">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拟投入的项目组成员具有专业的技术实施人员，实施人员具有住房和城乡建设部门颁发的</w:t>
            </w:r>
            <w:r>
              <w:rPr>
                <w:rFonts w:hint="eastAsia" w:ascii="宋体" w:hAnsi="宋体" w:cs="宋体"/>
                <w:b/>
                <w:bCs/>
                <w:color w:val="auto"/>
                <w:sz w:val="24"/>
                <w:szCs w:val="24"/>
                <w:highlight w:val="none"/>
                <w:u w:val="none"/>
                <w:lang w:eastAsia="zh-CN"/>
              </w:rPr>
              <w:t>施工员、质量员、材料员、资料员</w:t>
            </w:r>
            <w:r>
              <w:rPr>
                <w:rFonts w:hint="eastAsia" w:ascii="宋体" w:hAnsi="宋体" w:eastAsia="宋体" w:cs="宋体"/>
                <w:color w:val="auto"/>
                <w:sz w:val="24"/>
                <w:szCs w:val="24"/>
                <w:highlight w:val="none"/>
              </w:rPr>
              <w:t>证书的，每类证书得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918E125">
            <w:pPr>
              <w:snapToGrid w:val="0"/>
              <w:textAlignment w:val="baseline"/>
              <w:rPr>
                <w:rFonts w:hint="default" w:ascii="宋体" w:hAnsi="宋体" w:cs="宋体"/>
                <w:b w:val="0"/>
                <w:bCs w:val="0"/>
                <w:color w:val="auto"/>
                <w:sz w:val="24"/>
                <w:szCs w:val="24"/>
                <w:highlight w:val="none"/>
                <w:lang w:val="en-US"/>
              </w:rPr>
            </w:pPr>
            <w:r>
              <w:rPr>
                <w:rFonts w:hint="eastAsia" w:ascii="宋体" w:hAnsi="宋体"/>
                <w:b/>
                <w:bCs/>
                <w:color w:val="auto"/>
                <w:sz w:val="24"/>
                <w:szCs w:val="24"/>
                <w:highlight w:val="none"/>
                <w:lang w:eastAsia="zh-CN" w:bidi="ar"/>
              </w:rPr>
              <w:t>注</w:t>
            </w:r>
            <w:r>
              <w:rPr>
                <w:rFonts w:hint="eastAsia" w:ascii="宋体" w:hAnsi="宋体"/>
                <w:b/>
                <w:bCs/>
                <w:color w:val="auto"/>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SA"/>
              </w:rPr>
              <w:t>提供</w:t>
            </w:r>
            <w:r>
              <w:rPr>
                <w:rFonts w:hint="eastAsia" w:ascii="宋体" w:hAnsi="宋体" w:cs="宋体"/>
                <w:b/>
                <w:bCs/>
                <w:color w:val="auto"/>
                <w:kern w:val="2"/>
                <w:sz w:val="24"/>
                <w:szCs w:val="24"/>
                <w:highlight w:val="none"/>
                <w:lang w:val="en-US" w:eastAsia="zh-CN" w:bidi="ar-SA"/>
              </w:rPr>
              <w:t>清晰可辨的</w:t>
            </w:r>
            <w:r>
              <w:rPr>
                <w:rFonts w:hint="eastAsia" w:ascii="宋体" w:hAnsi="宋体" w:eastAsia="宋体" w:cs="宋体"/>
                <w:b/>
                <w:bCs/>
                <w:color w:val="auto"/>
                <w:kern w:val="2"/>
                <w:sz w:val="24"/>
                <w:szCs w:val="24"/>
                <w:highlight w:val="none"/>
                <w:lang w:val="en-US" w:eastAsia="zh-CN" w:bidi="ar-SA"/>
              </w:rPr>
              <w:t>证书复印件</w:t>
            </w:r>
            <w:r>
              <w:rPr>
                <w:rFonts w:hint="eastAsia" w:cs="宋体"/>
                <w:b/>
                <w:bCs/>
                <w:color w:val="auto"/>
                <w:kern w:val="2"/>
                <w:sz w:val="24"/>
                <w:szCs w:val="24"/>
                <w:highlight w:val="none"/>
                <w:lang w:val="en-US" w:eastAsia="zh-CN" w:bidi="ar-SA"/>
              </w:rPr>
              <w:t>及近三个月社保</w:t>
            </w:r>
            <w:r>
              <w:rPr>
                <w:rFonts w:hint="eastAsia" w:ascii="宋体" w:hAnsi="宋体" w:eastAsia="宋体" w:cs="宋体"/>
                <w:b/>
                <w:bCs/>
                <w:color w:val="auto"/>
                <w:kern w:val="2"/>
                <w:sz w:val="24"/>
                <w:szCs w:val="24"/>
                <w:highlight w:val="none"/>
                <w:lang w:val="en-US" w:eastAsia="zh-CN" w:bidi="ar-SA"/>
              </w:rPr>
              <w:t>相关证明材料原件扫描件加盖公章，否则不得分</w:t>
            </w:r>
            <w:r>
              <w:rPr>
                <w:rFonts w:hint="eastAsia" w:ascii="宋体" w:hAnsi="宋体" w:cs="宋体"/>
                <w:b/>
                <w:bCs/>
                <w:color w:val="auto"/>
                <w:kern w:val="2"/>
                <w:sz w:val="24"/>
                <w:szCs w:val="24"/>
                <w:highlight w:val="none"/>
                <w:lang w:val="en-US" w:eastAsia="zh-CN" w:bidi="ar-SA"/>
              </w:rPr>
              <w:t>。</w:t>
            </w:r>
            <w:r>
              <w:rPr>
                <w:rFonts w:hint="eastAsia" w:ascii="宋体" w:hAnsi="宋体"/>
                <w:b/>
                <w:bCs/>
                <w:color w:val="auto"/>
                <w:sz w:val="24"/>
                <w:szCs w:val="24"/>
                <w:highlight w:val="none"/>
                <w:lang w:bidi="ar"/>
              </w:rPr>
              <w:t>同一人有多个</w:t>
            </w:r>
            <w:r>
              <w:rPr>
                <w:rFonts w:hint="eastAsia" w:ascii="宋体" w:hAnsi="宋体"/>
                <w:b/>
                <w:bCs/>
                <w:color w:val="auto"/>
                <w:sz w:val="24"/>
                <w:szCs w:val="24"/>
                <w:highlight w:val="none"/>
                <w:lang w:val="en-US" w:eastAsia="zh-CN" w:bidi="ar"/>
              </w:rPr>
              <w:t>证书只计0.5分，</w:t>
            </w:r>
            <w:r>
              <w:rPr>
                <w:rFonts w:hint="eastAsia" w:ascii="宋体" w:hAnsi="宋体"/>
                <w:b/>
                <w:bCs/>
                <w:color w:val="auto"/>
                <w:sz w:val="24"/>
                <w:szCs w:val="24"/>
                <w:highlight w:val="none"/>
                <w:lang w:bidi="ar"/>
              </w:rPr>
              <w:t>不累计</w:t>
            </w:r>
            <w:r>
              <w:rPr>
                <w:rFonts w:hint="eastAsia" w:ascii="宋体" w:hAnsi="宋体"/>
                <w:b/>
                <w:bCs/>
                <w:color w:val="auto"/>
                <w:sz w:val="24"/>
                <w:szCs w:val="24"/>
                <w:highlight w:val="none"/>
                <w:lang w:val="en-US" w:eastAsia="zh-CN" w:bidi="ar"/>
              </w:rPr>
              <w:t>计算。</w:t>
            </w:r>
          </w:p>
        </w:tc>
        <w:tc>
          <w:tcPr>
            <w:tcW w:w="902" w:type="dxa"/>
            <w:vMerge w:val="continue"/>
            <w:noWrap w:val="0"/>
            <w:vAlign w:val="center"/>
          </w:tcPr>
          <w:p w14:paraId="27C9083B">
            <w:pPr>
              <w:snapToGrid w:val="0"/>
              <w:jc w:val="center"/>
              <w:textAlignment w:val="baseline"/>
              <w:rPr>
                <w:rFonts w:hint="eastAsia" w:ascii="宋体" w:hAnsi="宋体" w:cs="宋体"/>
                <w:color w:val="auto"/>
                <w:sz w:val="24"/>
                <w:szCs w:val="24"/>
                <w:lang w:val="en-US" w:eastAsia="zh-CN"/>
              </w:rPr>
            </w:pPr>
          </w:p>
        </w:tc>
      </w:tr>
      <w:tr w14:paraId="6CBA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34" w:type="dxa"/>
            <w:vMerge w:val="continue"/>
            <w:noWrap w:val="0"/>
            <w:vAlign w:val="center"/>
          </w:tcPr>
          <w:p w14:paraId="4D0B1FBB">
            <w:pPr>
              <w:snapToGrid w:val="0"/>
              <w:jc w:val="center"/>
              <w:textAlignment w:val="baseline"/>
              <w:rPr>
                <w:rFonts w:hint="eastAsia" w:ascii="宋体" w:hAnsi="宋体" w:cs="宋体"/>
                <w:color w:val="auto"/>
                <w:sz w:val="24"/>
                <w:szCs w:val="24"/>
                <w:lang w:val="en-US" w:eastAsia="zh-CN"/>
              </w:rPr>
            </w:pPr>
          </w:p>
        </w:tc>
        <w:tc>
          <w:tcPr>
            <w:tcW w:w="1316" w:type="dxa"/>
            <w:vMerge w:val="continue"/>
            <w:noWrap w:val="0"/>
            <w:vAlign w:val="center"/>
          </w:tcPr>
          <w:p w14:paraId="7838799A">
            <w:pPr>
              <w:snapToGrid w:val="0"/>
              <w:spacing w:line="300" w:lineRule="exact"/>
              <w:ind w:left="45" w:right="45"/>
              <w:jc w:val="center"/>
              <w:textAlignment w:val="baseline"/>
              <w:rPr>
                <w:rFonts w:hint="eastAsia" w:ascii="宋体" w:hAnsi="宋体" w:cs="宋体"/>
                <w:color w:val="auto"/>
                <w:sz w:val="24"/>
                <w:szCs w:val="24"/>
              </w:rPr>
            </w:pPr>
          </w:p>
        </w:tc>
        <w:tc>
          <w:tcPr>
            <w:tcW w:w="6735" w:type="dxa"/>
            <w:noWrap w:val="0"/>
            <w:vAlign w:val="center"/>
          </w:tcPr>
          <w:p w14:paraId="61FCF9F0">
            <w:pPr>
              <w:snapToGrid w:val="0"/>
              <w:textAlignment w:val="baseline"/>
              <w:rPr>
                <w:rFonts w:hint="eastAsia" w:ascii="宋体" w:hAnsi="宋体" w:cs="宋体"/>
                <w:b/>
                <w:bCs/>
                <w:color w:val="auto"/>
                <w:sz w:val="24"/>
                <w:szCs w:val="24"/>
              </w:rPr>
            </w:pPr>
            <w:r>
              <w:rPr>
                <w:rFonts w:hint="eastAsia" w:ascii="宋体" w:hAnsi="宋体" w:cs="宋体"/>
                <w:b w:val="0"/>
                <w:bCs w:val="0"/>
                <w:color w:val="auto"/>
                <w:sz w:val="24"/>
                <w:szCs w:val="24"/>
              </w:rPr>
              <w:t>根据人员管理体系健全、团队人员配置完善进行打分（0-</w:t>
            </w: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rPr>
              <w:t>）。</w:t>
            </w:r>
          </w:p>
        </w:tc>
        <w:tc>
          <w:tcPr>
            <w:tcW w:w="902" w:type="dxa"/>
            <w:vMerge w:val="continue"/>
            <w:noWrap w:val="0"/>
            <w:vAlign w:val="center"/>
          </w:tcPr>
          <w:p w14:paraId="45843FCF">
            <w:pPr>
              <w:snapToGrid w:val="0"/>
              <w:jc w:val="center"/>
              <w:textAlignment w:val="baseline"/>
              <w:rPr>
                <w:rFonts w:hint="eastAsia" w:ascii="宋体" w:hAnsi="宋体" w:cs="宋体"/>
                <w:color w:val="auto"/>
                <w:sz w:val="24"/>
                <w:szCs w:val="24"/>
                <w:lang w:val="en-US" w:eastAsia="zh-CN"/>
              </w:rPr>
            </w:pPr>
          </w:p>
        </w:tc>
      </w:tr>
      <w:tr w14:paraId="698C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34" w:type="dxa"/>
            <w:vMerge w:val="restart"/>
            <w:noWrap w:val="0"/>
            <w:vAlign w:val="center"/>
          </w:tcPr>
          <w:p w14:paraId="1560099D">
            <w:pPr>
              <w:snapToGrid w:val="0"/>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16" w:type="dxa"/>
            <w:vMerge w:val="restart"/>
            <w:noWrap w:val="0"/>
            <w:vAlign w:val="center"/>
          </w:tcPr>
          <w:p w14:paraId="7BE3143D">
            <w:pPr>
              <w:snapToGrid w:val="0"/>
              <w:spacing w:line="300" w:lineRule="exact"/>
              <w:ind w:left="45" w:right="45"/>
              <w:jc w:val="center"/>
              <w:textAlignment w:val="baseline"/>
              <w:rPr>
                <w:rFonts w:ascii="宋体" w:hAnsi="宋体" w:cs="宋体"/>
                <w:color w:val="auto"/>
                <w:sz w:val="24"/>
                <w:szCs w:val="24"/>
              </w:rPr>
            </w:pPr>
            <w:r>
              <w:rPr>
                <w:rFonts w:hint="eastAsia" w:ascii="宋体" w:hAnsi="宋体" w:cs="宋体"/>
                <w:color w:val="auto"/>
                <w:sz w:val="24"/>
                <w:szCs w:val="24"/>
              </w:rPr>
              <w:t>项目背景及现状分析</w:t>
            </w:r>
          </w:p>
        </w:tc>
        <w:tc>
          <w:tcPr>
            <w:tcW w:w="6735" w:type="dxa"/>
            <w:noWrap w:val="0"/>
            <w:vAlign w:val="center"/>
          </w:tcPr>
          <w:p w14:paraId="3C286233">
            <w:pPr>
              <w:snapToGrid w:val="0"/>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rPr>
              <w:t>根据投标人对</w:t>
            </w:r>
            <w:r>
              <w:rPr>
                <w:rFonts w:hint="eastAsia" w:ascii="宋体" w:hAnsi="宋体" w:cs="宋体"/>
                <w:b/>
                <w:bCs/>
                <w:color w:val="auto"/>
                <w:sz w:val="24"/>
                <w:szCs w:val="24"/>
              </w:rPr>
              <w:t>项目背景</w:t>
            </w:r>
            <w:r>
              <w:rPr>
                <w:rFonts w:hint="eastAsia" w:ascii="宋体" w:hAnsi="宋体" w:cs="宋体"/>
                <w:color w:val="auto"/>
                <w:sz w:val="24"/>
                <w:szCs w:val="24"/>
              </w:rPr>
              <w:t>的深度、针对性及准确性，进行打分。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0-2分</w:t>
            </w:r>
            <w:r>
              <w:rPr>
                <w:rFonts w:hint="eastAsia" w:ascii="宋体" w:hAnsi="宋体" w:cs="宋体"/>
                <w:color w:val="auto"/>
                <w:sz w:val="24"/>
                <w:szCs w:val="24"/>
                <w:lang w:eastAsia="zh-CN"/>
              </w:rPr>
              <w:t>）</w:t>
            </w:r>
          </w:p>
        </w:tc>
        <w:tc>
          <w:tcPr>
            <w:tcW w:w="902" w:type="dxa"/>
            <w:vMerge w:val="restart"/>
            <w:noWrap w:val="0"/>
            <w:vAlign w:val="center"/>
          </w:tcPr>
          <w:p w14:paraId="74B8F365">
            <w:pPr>
              <w:snapToGrid w:val="0"/>
              <w:jc w:val="center"/>
              <w:textAlignment w:val="baseline"/>
              <w:rPr>
                <w:rFonts w:ascii="宋体" w:hAnsi="宋体" w:cs="宋体"/>
                <w:color w:val="auto"/>
                <w:spacing w:val="-6"/>
                <w:sz w:val="24"/>
                <w:szCs w:val="24"/>
              </w:rPr>
            </w:pPr>
            <w:r>
              <w:rPr>
                <w:rFonts w:hint="eastAsia" w:ascii="宋体" w:hAnsi="宋体" w:cs="宋体"/>
                <w:color w:val="auto"/>
                <w:spacing w:val="-6"/>
                <w:sz w:val="24"/>
                <w:szCs w:val="24"/>
                <w:lang w:val="en-US" w:eastAsia="zh-CN"/>
              </w:rPr>
              <w:t>6</w:t>
            </w:r>
            <w:r>
              <w:rPr>
                <w:rFonts w:hint="eastAsia" w:ascii="宋体" w:hAnsi="宋体" w:cs="宋体"/>
                <w:color w:val="auto"/>
                <w:spacing w:val="-6"/>
                <w:sz w:val="24"/>
                <w:szCs w:val="24"/>
              </w:rPr>
              <w:t>分</w:t>
            </w:r>
          </w:p>
        </w:tc>
      </w:tr>
      <w:tr w14:paraId="0F7B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34" w:type="dxa"/>
            <w:vMerge w:val="continue"/>
            <w:noWrap w:val="0"/>
            <w:vAlign w:val="center"/>
          </w:tcPr>
          <w:p w14:paraId="06EDD3FF">
            <w:pPr>
              <w:snapToGrid w:val="0"/>
              <w:textAlignment w:val="baseline"/>
              <w:rPr>
                <w:color w:val="auto"/>
              </w:rPr>
            </w:pPr>
          </w:p>
        </w:tc>
        <w:tc>
          <w:tcPr>
            <w:tcW w:w="1316" w:type="dxa"/>
            <w:vMerge w:val="continue"/>
            <w:noWrap w:val="0"/>
            <w:vAlign w:val="center"/>
          </w:tcPr>
          <w:p w14:paraId="3641C330">
            <w:pPr>
              <w:snapToGrid w:val="0"/>
              <w:textAlignment w:val="baseline"/>
              <w:rPr>
                <w:color w:val="auto"/>
              </w:rPr>
            </w:pPr>
          </w:p>
        </w:tc>
        <w:tc>
          <w:tcPr>
            <w:tcW w:w="6735" w:type="dxa"/>
            <w:noWrap w:val="0"/>
            <w:vAlign w:val="center"/>
          </w:tcPr>
          <w:p w14:paraId="2BBF9E81">
            <w:pPr>
              <w:snapToGrid w:val="0"/>
              <w:textAlignment w:val="baseline"/>
              <w:rPr>
                <w:rFonts w:hint="eastAsia" w:ascii="宋体" w:hAnsi="宋体" w:cs="宋体"/>
                <w:color w:val="auto"/>
                <w:sz w:val="24"/>
                <w:szCs w:val="24"/>
              </w:rPr>
            </w:pPr>
            <w:r>
              <w:rPr>
                <w:rFonts w:hint="eastAsia" w:ascii="宋体" w:hAnsi="宋体" w:cs="宋体"/>
                <w:color w:val="auto"/>
                <w:sz w:val="24"/>
                <w:szCs w:val="24"/>
              </w:rPr>
              <w:t>根据投标人对</w:t>
            </w:r>
            <w:r>
              <w:rPr>
                <w:rFonts w:hint="eastAsia" w:ascii="宋体" w:hAnsi="宋体" w:cs="宋体"/>
                <w:b/>
                <w:bCs/>
                <w:color w:val="auto"/>
                <w:sz w:val="24"/>
                <w:szCs w:val="24"/>
              </w:rPr>
              <w:t>现状的解读</w:t>
            </w:r>
            <w:r>
              <w:rPr>
                <w:rFonts w:hint="eastAsia" w:ascii="宋体" w:hAnsi="宋体" w:cs="宋体"/>
                <w:color w:val="auto"/>
                <w:sz w:val="24"/>
                <w:szCs w:val="24"/>
              </w:rPr>
              <w:t>的深度、针对性及准确性，进行打分。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0-2分</w:t>
            </w:r>
            <w:r>
              <w:rPr>
                <w:rFonts w:hint="eastAsia" w:ascii="宋体" w:hAnsi="宋体" w:cs="宋体"/>
                <w:color w:val="auto"/>
                <w:sz w:val="24"/>
                <w:szCs w:val="24"/>
                <w:lang w:eastAsia="zh-CN"/>
              </w:rPr>
              <w:t>）</w:t>
            </w:r>
          </w:p>
        </w:tc>
        <w:tc>
          <w:tcPr>
            <w:tcW w:w="902" w:type="dxa"/>
            <w:vMerge w:val="continue"/>
            <w:noWrap w:val="0"/>
            <w:vAlign w:val="center"/>
          </w:tcPr>
          <w:p w14:paraId="3FAEEBA8">
            <w:pPr>
              <w:snapToGrid w:val="0"/>
              <w:textAlignment w:val="baseline"/>
              <w:rPr>
                <w:rFonts w:hint="eastAsia" w:ascii="宋体" w:hAnsi="宋体" w:cs="宋体"/>
                <w:color w:val="auto"/>
                <w:sz w:val="24"/>
                <w:szCs w:val="24"/>
              </w:rPr>
            </w:pPr>
          </w:p>
        </w:tc>
      </w:tr>
      <w:tr w14:paraId="64DE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34" w:type="dxa"/>
            <w:vMerge w:val="continue"/>
            <w:noWrap w:val="0"/>
            <w:vAlign w:val="center"/>
          </w:tcPr>
          <w:p w14:paraId="4EAF7498">
            <w:pPr>
              <w:snapToGrid w:val="0"/>
              <w:textAlignment w:val="baseline"/>
              <w:rPr>
                <w:rFonts w:hint="eastAsia" w:ascii="宋体" w:hAnsi="宋体" w:cs="宋体"/>
                <w:color w:val="auto"/>
                <w:sz w:val="24"/>
                <w:szCs w:val="24"/>
              </w:rPr>
            </w:pPr>
          </w:p>
        </w:tc>
        <w:tc>
          <w:tcPr>
            <w:tcW w:w="1316" w:type="dxa"/>
            <w:vMerge w:val="continue"/>
            <w:noWrap w:val="0"/>
            <w:vAlign w:val="center"/>
          </w:tcPr>
          <w:p w14:paraId="4F6F4F67">
            <w:pPr>
              <w:snapToGrid w:val="0"/>
              <w:textAlignment w:val="baseline"/>
              <w:rPr>
                <w:rFonts w:hint="eastAsia" w:ascii="宋体" w:hAnsi="宋体" w:cs="宋体"/>
                <w:color w:val="auto"/>
                <w:sz w:val="24"/>
                <w:szCs w:val="24"/>
              </w:rPr>
            </w:pPr>
          </w:p>
        </w:tc>
        <w:tc>
          <w:tcPr>
            <w:tcW w:w="6735" w:type="dxa"/>
            <w:noWrap w:val="0"/>
            <w:vAlign w:val="center"/>
          </w:tcPr>
          <w:p w14:paraId="5F4B46DE">
            <w:pPr>
              <w:snapToGrid w:val="0"/>
              <w:textAlignment w:val="baseline"/>
              <w:rPr>
                <w:rFonts w:hint="eastAsia" w:ascii="宋体" w:hAnsi="宋体" w:cs="宋体"/>
                <w:color w:val="auto"/>
                <w:sz w:val="24"/>
                <w:szCs w:val="24"/>
              </w:rPr>
            </w:pPr>
            <w:r>
              <w:rPr>
                <w:rFonts w:hint="eastAsia" w:ascii="宋体" w:hAnsi="宋体" w:cs="宋体"/>
                <w:color w:val="auto"/>
                <w:sz w:val="24"/>
                <w:szCs w:val="24"/>
              </w:rPr>
              <w:t>根据投标人对</w:t>
            </w:r>
            <w:r>
              <w:rPr>
                <w:rFonts w:hint="eastAsia" w:ascii="宋体" w:hAnsi="宋体" w:cs="宋体"/>
                <w:b/>
                <w:bCs/>
                <w:color w:val="auto"/>
                <w:sz w:val="24"/>
                <w:szCs w:val="24"/>
              </w:rPr>
              <w:t>理解程度</w:t>
            </w:r>
            <w:r>
              <w:rPr>
                <w:rFonts w:hint="eastAsia" w:ascii="宋体" w:hAnsi="宋体" w:cs="宋体"/>
                <w:color w:val="auto"/>
                <w:sz w:val="24"/>
                <w:szCs w:val="24"/>
              </w:rPr>
              <w:t>的深度、针对性及准确性，进行打分。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0-2分</w:t>
            </w:r>
            <w:r>
              <w:rPr>
                <w:rFonts w:hint="eastAsia" w:ascii="宋体" w:hAnsi="宋体" w:cs="宋体"/>
                <w:color w:val="auto"/>
                <w:sz w:val="24"/>
                <w:szCs w:val="24"/>
                <w:lang w:eastAsia="zh-CN"/>
              </w:rPr>
              <w:t>）</w:t>
            </w:r>
          </w:p>
        </w:tc>
        <w:tc>
          <w:tcPr>
            <w:tcW w:w="902" w:type="dxa"/>
            <w:vMerge w:val="continue"/>
            <w:noWrap w:val="0"/>
            <w:vAlign w:val="center"/>
          </w:tcPr>
          <w:p w14:paraId="7313258F">
            <w:pPr>
              <w:snapToGrid w:val="0"/>
              <w:textAlignment w:val="baseline"/>
              <w:rPr>
                <w:rFonts w:hint="eastAsia" w:ascii="宋体" w:hAnsi="宋体" w:cs="宋体"/>
                <w:color w:val="auto"/>
                <w:sz w:val="24"/>
                <w:szCs w:val="24"/>
              </w:rPr>
            </w:pPr>
          </w:p>
        </w:tc>
      </w:tr>
      <w:tr w14:paraId="49B2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34" w:type="dxa"/>
            <w:vMerge w:val="restart"/>
            <w:noWrap w:val="0"/>
            <w:vAlign w:val="center"/>
          </w:tcPr>
          <w:p w14:paraId="42A1D2F3">
            <w:pPr>
              <w:widowControl/>
              <w:snapToGrid w:val="0"/>
              <w:spacing w:line="320" w:lineRule="exact"/>
              <w:jc w:val="center"/>
              <w:textAlignment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316" w:type="dxa"/>
            <w:vMerge w:val="restart"/>
            <w:noWrap w:val="0"/>
            <w:vAlign w:val="center"/>
          </w:tcPr>
          <w:p w14:paraId="359E3A1A">
            <w:pPr>
              <w:widowControl/>
              <w:snapToGrid w:val="0"/>
              <w:spacing w:line="320" w:lineRule="exact"/>
              <w:jc w:val="center"/>
              <w:textAlignment w:val="center"/>
              <w:rPr>
                <w:rFonts w:ascii="宋体" w:hAnsi="宋体" w:cs="宋体"/>
                <w:color w:val="auto"/>
                <w:sz w:val="24"/>
                <w:szCs w:val="24"/>
              </w:rPr>
            </w:pPr>
            <w:r>
              <w:rPr>
                <w:rFonts w:hint="eastAsia" w:ascii="宋体" w:hAnsi="宋体" w:cs="宋体"/>
                <w:color w:val="auto"/>
                <w:sz w:val="24"/>
                <w:szCs w:val="24"/>
              </w:rPr>
              <w:t>前期入户需求调查和改造设计方案</w:t>
            </w:r>
          </w:p>
        </w:tc>
        <w:tc>
          <w:tcPr>
            <w:tcW w:w="6735" w:type="dxa"/>
            <w:noWrap w:val="0"/>
            <w:vAlign w:val="center"/>
          </w:tcPr>
          <w:p w14:paraId="7EA7F309">
            <w:pPr>
              <w:snapToGrid w:val="0"/>
              <w:textAlignment w:val="baseline"/>
              <w:rPr>
                <w:rFonts w:ascii="宋体" w:hAnsi="宋体" w:cs="宋体"/>
                <w:color w:val="auto"/>
                <w:sz w:val="24"/>
                <w:szCs w:val="24"/>
              </w:rPr>
            </w:pPr>
            <w:r>
              <w:rPr>
                <w:rFonts w:hint="eastAsia" w:ascii="宋体" w:hAnsi="宋体" w:eastAsia="宋体" w:cs="宋体"/>
                <w:b w:val="0"/>
                <w:bCs/>
                <w:color w:val="auto"/>
                <w:sz w:val="24"/>
                <w:szCs w:val="24"/>
                <w:highlight w:val="none"/>
                <w:lang w:val="en-US" w:eastAsia="zh-CN"/>
              </w:rPr>
              <w:t>根据投标人提供的前期入户需求评估方案，是否经过实地考察调研，是否符合实际需求</w:t>
            </w:r>
            <w:r>
              <w:rPr>
                <w:rFonts w:hint="eastAsia" w:ascii="宋体" w:hAnsi="宋体" w:cs="宋体"/>
                <w:color w:val="auto"/>
                <w:sz w:val="24"/>
                <w:szCs w:val="24"/>
              </w:rPr>
              <w:t>等进行打分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0-4分</w:t>
            </w:r>
            <w:r>
              <w:rPr>
                <w:rFonts w:hint="eastAsia" w:ascii="宋体" w:hAnsi="宋体" w:cs="宋体"/>
                <w:color w:val="auto"/>
                <w:sz w:val="24"/>
                <w:szCs w:val="24"/>
                <w:lang w:eastAsia="zh-CN"/>
              </w:rPr>
              <w:t>）</w:t>
            </w:r>
          </w:p>
        </w:tc>
        <w:tc>
          <w:tcPr>
            <w:tcW w:w="902" w:type="dxa"/>
            <w:vMerge w:val="restart"/>
            <w:noWrap w:val="0"/>
            <w:vAlign w:val="center"/>
          </w:tcPr>
          <w:p w14:paraId="43D246B4">
            <w:pPr>
              <w:snapToGrid w:val="0"/>
              <w:jc w:val="center"/>
              <w:textAlignment w:val="baseline"/>
              <w:rPr>
                <w:rFonts w:ascii="宋体" w:hAnsi="宋体" w:cs="宋体"/>
                <w:color w:val="auto"/>
                <w:spacing w:val="-6"/>
                <w:sz w:val="24"/>
                <w:szCs w:val="24"/>
              </w:rPr>
            </w:pPr>
            <w:r>
              <w:rPr>
                <w:rFonts w:hint="eastAsia" w:ascii="宋体" w:hAnsi="宋体" w:cs="宋体"/>
                <w:color w:val="auto"/>
                <w:spacing w:val="-6"/>
                <w:sz w:val="24"/>
                <w:szCs w:val="24"/>
                <w:lang w:val="en-US" w:eastAsia="zh-CN"/>
              </w:rPr>
              <w:t>8</w:t>
            </w:r>
            <w:r>
              <w:rPr>
                <w:rFonts w:hint="eastAsia" w:ascii="宋体" w:hAnsi="宋体" w:cs="宋体"/>
                <w:color w:val="auto"/>
                <w:spacing w:val="-6"/>
                <w:sz w:val="24"/>
                <w:szCs w:val="24"/>
              </w:rPr>
              <w:t>分</w:t>
            </w:r>
          </w:p>
        </w:tc>
      </w:tr>
      <w:tr w14:paraId="5610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34" w:type="dxa"/>
            <w:vMerge w:val="continue"/>
            <w:noWrap w:val="0"/>
            <w:vAlign w:val="center"/>
          </w:tcPr>
          <w:p w14:paraId="185368D7">
            <w:pPr>
              <w:snapToGrid w:val="0"/>
              <w:textAlignment w:val="baseline"/>
              <w:rPr>
                <w:color w:val="auto"/>
              </w:rPr>
            </w:pPr>
          </w:p>
        </w:tc>
        <w:tc>
          <w:tcPr>
            <w:tcW w:w="1316" w:type="dxa"/>
            <w:vMerge w:val="continue"/>
            <w:noWrap w:val="0"/>
            <w:vAlign w:val="center"/>
          </w:tcPr>
          <w:p w14:paraId="75B40471">
            <w:pPr>
              <w:snapToGrid w:val="0"/>
              <w:textAlignment w:val="baseline"/>
              <w:rPr>
                <w:color w:val="auto"/>
              </w:rPr>
            </w:pPr>
          </w:p>
        </w:tc>
        <w:tc>
          <w:tcPr>
            <w:tcW w:w="6735" w:type="dxa"/>
            <w:noWrap w:val="0"/>
            <w:vAlign w:val="center"/>
          </w:tcPr>
          <w:p w14:paraId="4C8A3A56">
            <w:pPr>
              <w:snapToGrid w:val="0"/>
              <w:textAlignment w:val="baseline"/>
              <w:rPr>
                <w:rFonts w:hint="eastAsia" w:ascii="宋体" w:hAnsi="宋体" w:cs="宋体"/>
                <w:color w:val="auto"/>
                <w:sz w:val="24"/>
                <w:szCs w:val="24"/>
              </w:rPr>
            </w:pPr>
            <w:r>
              <w:rPr>
                <w:rFonts w:hint="eastAsia" w:ascii="宋体" w:hAnsi="宋体" w:cs="宋体"/>
                <w:color w:val="auto"/>
                <w:sz w:val="24"/>
                <w:szCs w:val="24"/>
              </w:rPr>
              <w:t>根据投标人对技术方案（包括但不限于前期入户需求调查评估</w:t>
            </w:r>
            <w:r>
              <w:rPr>
                <w:rFonts w:hint="eastAsia" w:ascii="宋体" w:hAnsi="宋体" w:cs="宋体"/>
                <w:color w:val="auto"/>
                <w:sz w:val="24"/>
                <w:szCs w:val="24"/>
                <w:lang w:eastAsia="zh-CN"/>
              </w:rPr>
              <w:t>）</w:t>
            </w:r>
            <w:r>
              <w:rPr>
                <w:rFonts w:hint="eastAsia" w:ascii="宋体" w:hAnsi="宋体" w:cs="宋体"/>
                <w:color w:val="auto"/>
                <w:sz w:val="24"/>
                <w:szCs w:val="24"/>
              </w:rPr>
              <w:t>方案</w:t>
            </w:r>
            <w:r>
              <w:rPr>
                <w:rFonts w:hint="eastAsia" w:ascii="宋体" w:hAnsi="宋体" w:cs="宋体"/>
                <w:color w:val="auto"/>
                <w:sz w:val="24"/>
                <w:szCs w:val="24"/>
                <w:lang w:eastAsia="zh-CN"/>
              </w:rPr>
              <w:t>的</w:t>
            </w:r>
            <w:r>
              <w:rPr>
                <w:rFonts w:hint="eastAsia" w:ascii="宋体" w:hAnsi="宋体" w:cs="宋体"/>
                <w:color w:val="auto"/>
                <w:sz w:val="24"/>
                <w:szCs w:val="24"/>
              </w:rPr>
              <w:t>完整性、合理性、先进性等进行打分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0-4分</w:t>
            </w:r>
            <w:r>
              <w:rPr>
                <w:rFonts w:hint="eastAsia" w:ascii="宋体" w:hAnsi="宋体" w:cs="宋体"/>
                <w:color w:val="auto"/>
                <w:sz w:val="24"/>
                <w:szCs w:val="24"/>
                <w:lang w:eastAsia="zh-CN"/>
              </w:rPr>
              <w:t>）</w:t>
            </w:r>
          </w:p>
        </w:tc>
        <w:tc>
          <w:tcPr>
            <w:tcW w:w="902" w:type="dxa"/>
            <w:vMerge w:val="continue"/>
            <w:noWrap w:val="0"/>
            <w:vAlign w:val="center"/>
          </w:tcPr>
          <w:p w14:paraId="2EB29A7D">
            <w:pPr>
              <w:snapToGrid w:val="0"/>
              <w:textAlignment w:val="baseline"/>
              <w:rPr>
                <w:rFonts w:hint="eastAsia" w:ascii="宋体" w:hAnsi="宋体" w:cs="宋体"/>
                <w:color w:val="auto"/>
                <w:sz w:val="24"/>
                <w:szCs w:val="24"/>
              </w:rPr>
            </w:pPr>
          </w:p>
        </w:tc>
      </w:tr>
      <w:tr w14:paraId="17F9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34" w:type="dxa"/>
            <w:vMerge w:val="restart"/>
            <w:noWrap w:val="0"/>
            <w:vAlign w:val="center"/>
          </w:tcPr>
          <w:p w14:paraId="4D97287C">
            <w:pPr>
              <w:snapToGrid w:val="0"/>
              <w:jc w:val="center"/>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316" w:type="dxa"/>
            <w:vMerge w:val="restart"/>
            <w:noWrap w:val="0"/>
            <w:vAlign w:val="center"/>
          </w:tcPr>
          <w:p w14:paraId="56B41EB2">
            <w:pPr>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实施方案</w:t>
            </w:r>
          </w:p>
        </w:tc>
        <w:tc>
          <w:tcPr>
            <w:tcW w:w="6735" w:type="dxa"/>
            <w:noWrap w:val="0"/>
            <w:vAlign w:val="center"/>
          </w:tcPr>
          <w:p w14:paraId="6668A2DE">
            <w:pPr>
              <w:spacing w:line="240" w:lineRule="atLeas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根据投标人提供的总体实施方案（内容包括但不限于整体方案概述、实施流程、施工效果图、预期目标等），从合理性、全面性、科学性、可行性</w:t>
            </w:r>
            <w:r>
              <w:rPr>
                <w:rFonts w:hint="eastAsia" w:ascii="宋体" w:hAnsi="宋体" w:cs="宋体"/>
                <w:color w:val="auto"/>
                <w:sz w:val="24"/>
                <w:szCs w:val="24"/>
              </w:rPr>
              <w:t>等进行打分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0-4分</w:t>
            </w:r>
            <w:r>
              <w:rPr>
                <w:rFonts w:hint="eastAsia" w:ascii="宋体" w:hAnsi="宋体" w:cs="宋体"/>
                <w:color w:val="auto"/>
                <w:sz w:val="24"/>
                <w:szCs w:val="24"/>
                <w:lang w:eastAsia="zh-CN"/>
              </w:rPr>
              <w:t>）</w:t>
            </w:r>
          </w:p>
        </w:tc>
        <w:tc>
          <w:tcPr>
            <w:tcW w:w="902" w:type="dxa"/>
            <w:vMerge w:val="restart"/>
            <w:noWrap w:val="0"/>
            <w:vAlign w:val="center"/>
          </w:tcPr>
          <w:p w14:paraId="37B365E0">
            <w:pPr>
              <w:snapToGrid w:val="0"/>
              <w:ind w:left="44" w:leftChars="21"/>
              <w:jc w:val="center"/>
              <w:textAlignment w:val="baseline"/>
              <w:rPr>
                <w:rFonts w:hint="default" w:ascii="宋体" w:hAnsi="宋体" w:cs="宋体"/>
                <w:color w:val="auto"/>
                <w:spacing w:val="-6"/>
                <w:sz w:val="24"/>
                <w:szCs w:val="24"/>
                <w:lang w:val="en-US" w:eastAsia="zh-CN"/>
              </w:rPr>
            </w:pPr>
            <w:r>
              <w:rPr>
                <w:rFonts w:hint="eastAsia" w:ascii="宋体" w:hAnsi="宋体" w:cs="宋体"/>
                <w:color w:val="auto"/>
                <w:spacing w:val="-6"/>
                <w:sz w:val="24"/>
                <w:szCs w:val="24"/>
                <w:lang w:val="en-US" w:eastAsia="zh-CN"/>
              </w:rPr>
              <w:t>8分</w:t>
            </w:r>
          </w:p>
        </w:tc>
      </w:tr>
      <w:tr w14:paraId="52B0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34" w:type="dxa"/>
            <w:vMerge w:val="continue"/>
            <w:noWrap w:val="0"/>
            <w:vAlign w:val="center"/>
          </w:tcPr>
          <w:p w14:paraId="7191601D">
            <w:pPr>
              <w:snapToGrid w:val="0"/>
              <w:jc w:val="center"/>
              <w:textAlignment w:val="baseline"/>
              <w:rPr>
                <w:rFonts w:hint="eastAsia" w:ascii="宋体" w:hAnsi="宋体" w:cs="宋体"/>
                <w:color w:val="auto"/>
                <w:sz w:val="24"/>
                <w:szCs w:val="24"/>
                <w:lang w:val="en-US" w:eastAsia="zh-CN"/>
              </w:rPr>
            </w:pPr>
          </w:p>
        </w:tc>
        <w:tc>
          <w:tcPr>
            <w:tcW w:w="1316" w:type="dxa"/>
            <w:vMerge w:val="continue"/>
            <w:noWrap w:val="0"/>
            <w:vAlign w:val="center"/>
          </w:tcPr>
          <w:p w14:paraId="71804B48">
            <w:pPr>
              <w:spacing w:line="240" w:lineRule="atLeast"/>
              <w:jc w:val="center"/>
              <w:rPr>
                <w:rFonts w:hint="eastAsia" w:ascii="宋体" w:hAnsi="宋体" w:eastAsia="宋体" w:cs="宋体"/>
                <w:color w:val="auto"/>
                <w:kern w:val="2"/>
                <w:sz w:val="24"/>
                <w:szCs w:val="24"/>
                <w:lang w:val="en-US" w:eastAsia="zh-CN" w:bidi="ar-SA"/>
              </w:rPr>
            </w:pPr>
          </w:p>
        </w:tc>
        <w:tc>
          <w:tcPr>
            <w:tcW w:w="6735" w:type="dxa"/>
            <w:noWrap w:val="0"/>
            <w:vAlign w:val="center"/>
          </w:tcPr>
          <w:p w14:paraId="1F576C47">
            <w:pPr>
              <w:spacing w:line="240" w:lineRule="atLeas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据投标人提供的</w:t>
            </w:r>
            <w:r>
              <w:rPr>
                <w:rFonts w:hint="eastAsia" w:ascii="宋体" w:hAnsi="宋体" w:eastAsia="宋体" w:cs="宋体"/>
                <w:color w:val="auto"/>
                <w:sz w:val="24"/>
                <w:szCs w:val="24"/>
                <w:highlight w:val="none"/>
                <w:lang w:val="en-US" w:eastAsia="zh-CN"/>
              </w:rPr>
              <w:t>施工设备投入、人工投入、材料、货物的</w:t>
            </w:r>
            <w:r>
              <w:rPr>
                <w:rFonts w:hint="eastAsia" w:ascii="宋体" w:hAnsi="宋体" w:eastAsia="宋体" w:cs="宋体"/>
                <w:color w:val="auto"/>
                <w:sz w:val="24"/>
                <w:szCs w:val="24"/>
                <w:highlight w:val="none"/>
              </w:rPr>
              <w:t>供货、运输、安装、调试、验收方案</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，从合理性、全面性、科学性、可行性</w:t>
            </w:r>
            <w:r>
              <w:rPr>
                <w:rFonts w:hint="eastAsia" w:ascii="宋体" w:hAnsi="宋体" w:cs="宋体"/>
                <w:color w:val="auto"/>
                <w:sz w:val="24"/>
                <w:szCs w:val="24"/>
              </w:rPr>
              <w:t>等进行打分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0-4分</w:t>
            </w:r>
            <w:r>
              <w:rPr>
                <w:rFonts w:hint="eastAsia" w:ascii="宋体" w:hAnsi="宋体" w:cs="宋体"/>
                <w:color w:val="auto"/>
                <w:sz w:val="24"/>
                <w:szCs w:val="24"/>
                <w:lang w:eastAsia="zh-CN"/>
              </w:rPr>
              <w:t>）</w:t>
            </w:r>
          </w:p>
        </w:tc>
        <w:tc>
          <w:tcPr>
            <w:tcW w:w="902" w:type="dxa"/>
            <w:vMerge w:val="continue"/>
            <w:noWrap w:val="0"/>
            <w:vAlign w:val="center"/>
          </w:tcPr>
          <w:p w14:paraId="3437986E">
            <w:pPr>
              <w:snapToGrid w:val="0"/>
              <w:ind w:left="44" w:leftChars="21"/>
              <w:jc w:val="center"/>
              <w:textAlignment w:val="baseline"/>
              <w:rPr>
                <w:rFonts w:hint="eastAsia" w:ascii="宋体" w:hAnsi="宋体" w:cs="宋体"/>
                <w:color w:val="auto"/>
                <w:spacing w:val="-6"/>
                <w:sz w:val="24"/>
                <w:szCs w:val="24"/>
                <w:lang w:val="en-US" w:eastAsia="zh-CN"/>
              </w:rPr>
            </w:pPr>
          </w:p>
        </w:tc>
      </w:tr>
      <w:tr w14:paraId="7E6D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634" w:type="dxa"/>
            <w:noWrap w:val="0"/>
            <w:vAlign w:val="center"/>
          </w:tcPr>
          <w:p w14:paraId="319F3260">
            <w:pPr>
              <w:snapToGrid w:val="0"/>
              <w:jc w:val="center"/>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1316" w:type="dxa"/>
            <w:noWrap w:val="0"/>
            <w:vAlign w:val="center"/>
          </w:tcPr>
          <w:p w14:paraId="29361ECF">
            <w:pPr>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产品功能性能配置要求</w:t>
            </w:r>
          </w:p>
        </w:tc>
        <w:tc>
          <w:tcPr>
            <w:tcW w:w="6735" w:type="dxa"/>
            <w:noWrap w:val="0"/>
            <w:vAlign w:val="center"/>
          </w:tcPr>
          <w:p w14:paraId="57D8B988">
            <w:pPr>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根据投标人对提供的产品配置清单、型号、产品技术参数、检测报告等内容与项目的符合程度、实用性、先进性等方面进行评审，完全满足招标文件要求的得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分，产品技术参数要求每一条不满足扣1分，</w:t>
            </w:r>
            <w:r>
              <w:rPr>
                <w:rFonts w:hint="eastAsia" w:ascii="宋体" w:hAnsi="宋体" w:eastAsia="宋体" w:cs="宋体"/>
                <w:color w:val="auto"/>
                <w:kern w:val="0"/>
                <w:sz w:val="24"/>
                <w:szCs w:val="24"/>
                <w:highlight w:val="none"/>
              </w:rPr>
              <w:t>扣完为止</w:t>
            </w:r>
            <w:r>
              <w:rPr>
                <w:rFonts w:hint="eastAsia" w:ascii="宋体" w:hAnsi="宋体" w:eastAsia="宋体" w:cs="宋体"/>
                <w:color w:val="auto"/>
                <w:sz w:val="24"/>
                <w:szCs w:val="24"/>
                <w:highlight w:val="none"/>
              </w:rPr>
              <w:t>。</w:t>
            </w:r>
          </w:p>
        </w:tc>
        <w:tc>
          <w:tcPr>
            <w:tcW w:w="902" w:type="dxa"/>
            <w:noWrap w:val="0"/>
            <w:vAlign w:val="center"/>
          </w:tcPr>
          <w:p w14:paraId="3318EC70">
            <w:pPr>
              <w:snapToGrid w:val="0"/>
              <w:ind w:left="44" w:leftChars="21"/>
              <w:jc w:val="center"/>
              <w:textAlignment w:val="baseline"/>
              <w:rPr>
                <w:rFonts w:hint="default" w:ascii="宋体" w:hAnsi="宋体" w:cs="宋体"/>
                <w:color w:val="auto"/>
                <w:spacing w:val="-6"/>
                <w:sz w:val="24"/>
                <w:szCs w:val="24"/>
                <w:lang w:val="en-US" w:eastAsia="zh-CN"/>
              </w:rPr>
            </w:pPr>
            <w:r>
              <w:rPr>
                <w:rFonts w:hint="eastAsia" w:ascii="宋体" w:hAnsi="宋体" w:cs="宋体"/>
                <w:color w:val="auto"/>
                <w:spacing w:val="-6"/>
                <w:sz w:val="24"/>
                <w:szCs w:val="24"/>
                <w:lang w:val="en-US" w:eastAsia="zh-CN"/>
              </w:rPr>
              <w:t>8分</w:t>
            </w:r>
          </w:p>
        </w:tc>
      </w:tr>
      <w:tr w14:paraId="06C0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634" w:type="dxa"/>
            <w:noWrap w:val="0"/>
            <w:vAlign w:val="center"/>
          </w:tcPr>
          <w:p w14:paraId="2B89127B">
            <w:pPr>
              <w:snapToGrid w:val="0"/>
              <w:jc w:val="center"/>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w:t>
            </w:r>
          </w:p>
        </w:tc>
        <w:tc>
          <w:tcPr>
            <w:tcW w:w="1316" w:type="dxa"/>
            <w:noWrap w:val="0"/>
            <w:vAlign w:val="center"/>
          </w:tcPr>
          <w:p w14:paraId="67015570">
            <w:pPr>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信息化管理</w:t>
            </w:r>
          </w:p>
        </w:tc>
        <w:tc>
          <w:tcPr>
            <w:tcW w:w="6735" w:type="dxa"/>
            <w:noWrap w:val="0"/>
            <w:vAlign w:val="center"/>
          </w:tcPr>
          <w:p w14:paraId="6AABE03D">
            <w:pPr>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具有信息化管理软件，具备客户（项目）管理及改造数据录入、评估管理，施工任务分配、评估对象家庭定位功能、改造方案审核、前后照片对比功能，改造数据储存功能、二维码生成功能，提供软件系统应用截图，每个功能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902" w:type="dxa"/>
            <w:noWrap w:val="0"/>
            <w:vAlign w:val="center"/>
          </w:tcPr>
          <w:p w14:paraId="30DB2F4E">
            <w:pPr>
              <w:snapToGrid w:val="0"/>
              <w:ind w:left="44" w:leftChars="21"/>
              <w:jc w:val="center"/>
              <w:textAlignment w:val="baseline"/>
              <w:rPr>
                <w:rFonts w:hint="default" w:ascii="宋体" w:hAnsi="宋体" w:cs="宋体"/>
                <w:color w:val="auto"/>
                <w:spacing w:val="-6"/>
                <w:sz w:val="24"/>
                <w:szCs w:val="24"/>
                <w:lang w:val="en-US" w:eastAsia="zh-CN"/>
              </w:rPr>
            </w:pPr>
            <w:r>
              <w:rPr>
                <w:rFonts w:hint="eastAsia" w:ascii="宋体" w:hAnsi="宋体" w:cs="宋体"/>
                <w:color w:val="auto"/>
                <w:spacing w:val="-6"/>
                <w:sz w:val="24"/>
                <w:szCs w:val="24"/>
                <w:lang w:val="en-US" w:eastAsia="zh-CN"/>
              </w:rPr>
              <w:t>4分</w:t>
            </w:r>
          </w:p>
        </w:tc>
      </w:tr>
      <w:tr w14:paraId="15A1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34" w:type="dxa"/>
            <w:vMerge w:val="restart"/>
            <w:noWrap w:val="0"/>
            <w:vAlign w:val="center"/>
          </w:tcPr>
          <w:p w14:paraId="1094D861">
            <w:pPr>
              <w:snapToGrid w:val="0"/>
              <w:jc w:val="center"/>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w:t>
            </w:r>
          </w:p>
        </w:tc>
        <w:tc>
          <w:tcPr>
            <w:tcW w:w="1316" w:type="dxa"/>
            <w:vMerge w:val="restart"/>
            <w:noWrap w:val="0"/>
            <w:vAlign w:val="center"/>
          </w:tcPr>
          <w:p w14:paraId="4BA984D7">
            <w:pPr>
              <w:spacing w:line="24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增值服务与创新举措</w:t>
            </w:r>
          </w:p>
        </w:tc>
        <w:tc>
          <w:tcPr>
            <w:tcW w:w="6735" w:type="dxa"/>
            <w:noWrap w:val="0"/>
            <w:vAlign w:val="center"/>
          </w:tcPr>
          <w:p w14:paraId="4B8401B6">
            <w:pPr>
              <w:spacing w:line="240" w:lineRule="atLeas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根据</w:t>
            </w:r>
            <w:r>
              <w:rPr>
                <w:rFonts w:hint="eastAsia" w:ascii="宋体" w:hAnsi="宋体" w:eastAsia="宋体" w:cs="宋体"/>
                <w:color w:val="auto"/>
                <w:sz w:val="24"/>
                <w:szCs w:val="24"/>
                <w:highlight w:val="none"/>
              </w:rPr>
              <w:t>投标供应商针对本项目提供的</w:t>
            </w:r>
            <w:r>
              <w:rPr>
                <w:rFonts w:hint="eastAsia" w:ascii="宋体" w:hAnsi="宋体" w:eastAsia="宋体" w:cs="宋体"/>
                <w:b/>
                <w:bCs/>
                <w:color w:val="auto"/>
                <w:sz w:val="24"/>
                <w:szCs w:val="24"/>
                <w:highlight w:val="none"/>
              </w:rPr>
              <w:t>增值服务</w:t>
            </w:r>
            <w:r>
              <w:rPr>
                <w:rFonts w:hint="eastAsia" w:ascii="宋体" w:hAnsi="宋体" w:eastAsia="宋体" w:cs="宋体"/>
                <w:color w:val="auto"/>
                <w:sz w:val="24"/>
                <w:szCs w:val="24"/>
                <w:highlight w:val="none"/>
              </w:rPr>
              <w:t>的意义作用、特色和可行性</w:t>
            </w:r>
            <w:r>
              <w:rPr>
                <w:rFonts w:hint="eastAsia" w:ascii="宋体" w:hAnsi="宋体" w:cs="宋体"/>
                <w:color w:val="auto"/>
                <w:sz w:val="24"/>
                <w:szCs w:val="24"/>
                <w:highlight w:val="none"/>
                <w:lang w:eastAsia="zh-CN"/>
              </w:rPr>
              <w:t>等</w:t>
            </w:r>
            <w:r>
              <w:rPr>
                <w:rFonts w:hint="eastAsia" w:ascii="宋体" w:hAnsi="宋体" w:cs="宋体"/>
                <w:color w:val="auto"/>
                <w:sz w:val="24"/>
                <w:szCs w:val="24"/>
              </w:rPr>
              <w:t>进行打分</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0-4分</w:t>
            </w:r>
            <w:r>
              <w:rPr>
                <w:rFonts w:hint="eastAsia" w:ascii="宋体" w:hAnsi="宋体" w:cs="宋体"/>
                <w:color w:val="auto"/>
                <w:sz w:val="24"/>
                <w:szCs w:val="24"/>
                <w:lang w:eastAsia="zh-CN"/>
              </w:rPr>
              <w:t>）</w:t>
            </w:r>
          </w:p>
        </w:tc>
        <w:tc>
          <w:tcPr>
            <w:tcW w:w="902" w:type="dxa"/>
            <w:vMerge w:val="restart"/>
            <w:noWrap w:val="0"/>
            <w:vAlign w:val="center"/>
          </w:tcPr>
          <w:p w14:paraId="0BB7E5AB">
            <w:pPr>
              <w:snapToGrid w:val="0"/>
              <w:ind w:left="44" w:leftChars="21"/>
              <w:jc w:val="center"/>
              <w:textAlignment w:val="baseline"/>
              <w:rPr>
                <w:rFonts w:hint="default" w:ascii="宋体" w:hAnsi="宋体" w:cs="宋体"/>
                <w:color w:val="auto"/>
                <w:spacing w:val="-6"/>
                <w:sz w:val="24"/>
                <w:szCs w:val="24"/>
                <w:lang w:val="en-US" w:eastAsia="zh-CN"/>
              </w:rPr>
            </w:pPr>
            <w:r>
              <w:rPr>
                <w:rFonts w:hint="eastAsia" w:ascii="宋体" w:hAnsi="宋体" w:cs="宋体"/>
                <w:color w:val="auto"/>
                <w:spacing w:val="-6"/>
                <w:sz w:val="24"/>
                <w:szCs w:val="24"/>
                <w:lang w:val="en-US" w:eastAsia="zh-CN"/>
              </w:rPr>
              <w:t>8分</w:t>
            </w:r>
          </w:p>
        </w:tc>
      </w:tr>
      <w:tr w14:paraId="396D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34" w:type="dxa"/>
            <w:vMerge w:val="continue"/>
            <w:noWrap w:val="0"/>
            <w:vAlign w:val="center"/>
          </w:tcPr>
          <w:p w14:paraId="787F5431">
            <w:pPr>
              <w:snapToGrid w:val="0"/>
              <w:jc w:val="center"/>
              <w:textAlignment w:val="baseline"/>
              <w:rPr>
                <w:rFonts w:hint="default" w:ascii="宋体" w:hAnsi="宋体" w:cs="宋体"/>
                <w:color w:val="auto"/>
                <w:sz w:val="24"/>
                <w:szCs w:val="24"/>
                <w:lang w:val="en-US" w:eastAsia="zh-CN"/>
              </w:rPr>
            </w:pPr>
          </w:p>
        </w:tc>
        <w:tc>
          <w:tcPr>
            <w:tcW w:w="1316" w:type="dxa"/>
            <w:vMerge w:val="continue"/>
            <w:noWrap w:val="0"/>
            <w:vAlign w:val="center"/>
          </w:tcPr>
          <w:p w14:paraId="7D43B894">
            <w:pPr>
              <w:spacing w:line="240" w:lineRule="atLeast"/>
              <w:jc w:val="center"/>
              <w:rPr>
                <w:rFonts w:hint="eastAsia" w:ascii="宋体" w:hAnsi="宋体" w:eastAsia="宋体" w:cs="宋体"/>
                <w:color w:val="auto"/>
                <w:kern w:val="2"/>
                <w:sz w:val="24"/>
                <w:szCs w:val="24"/>
                <w:highlight w:val="none"/>
                <w:lang w:val="en-US" w:eastAsia="zh-CN" w:bidi="ar-SA"/>
              </w:rPr>
            </w:pPr>
          </w:p>
        </w:tc>
        <w:tc>
          <w:tcPr>
            <w:tcW w:w="6735" w:type="dxa"/>
            <w:noWrap w:val="0"/>
            <w:vAlign w:val="center"/>
          </w:tcPr>
          <w:p w14:paraId="7C4828CB">
            <w:pPr>
              <w:spacing w:line="240" w:lineRule="atLeas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根据</w:t>
            </w:r>
            <w:r>
              <w:rPr>
                <w:rFonts w:hint="eastAsia" w:ascii="宋体" w:hAnsi="宋体" w:eastAsia="宋体" w:cs="宋体"/>
                <w:color w:val="auto"/>
                <w:sz w:val="24"/>
                <w:szCs w:val="24"/>
                <w:highlight w:val="none"/>
              </w:rPr>
              <w:t>投标供应商针对本项目提供的</w:t>
            </w:r>
            <w:r>
              <w:rPr>
                <w:rFonts w:hint="eastAsia" w:ascii="宋体" w:hAnsi="宋体" w:eastAsia="宋体" w:cs="宋体"/>
                <w:b/>
                <w:bCs/>
                <w:color w:val="auto"/>
                <w:sz w:val="24"/>
                <w:szCs w:val="24"/>
                <w:highlight w:val="none"/>
              </w:rPr>
              <w:t>创新举措</w:t>
            </w:r>
            <w:r>
              <w:rPr>
                <w:rFonts w:hint="eastAsia" w:ascii="宋体" w:hAnsi="宋体" w:eastAsia="宋体" w:cs="宋体"/>
                <w:color w:val="auto"/>
                <w:sz w:val="24"/>
                <w:szCs w:val="24"/>
                <w:highlight w:val="none"/>
              </w:rPr>
              <w:t>的意义作用、特色和可行性</w:t>
            </w:r>
            <w:r>
              <w:rPr>
                <w:rFonts w:hint="eastAsia" w:ascii="宋体" w:hAnsi="宋体" w:cs="宋体"/>
                <w:color w:val="auto"/>
                <w:sz w:val="24"/>
                <w:szCs w:val="24"/>
                <w:highlight w:val="none"/>
                <w:lang w:eastAsia="zh-CN"/>
              </w:rPr>
              <w:t>等</w:t>
            </w:r>
            <w:r>
              <w:rPr>
                <w:rFonts w:hint="eastAsia" w:ascii="宋体" w:hAnsi="宋体" w:cs="宋体"/>
                <w:color w:val="auto"/>
                <w:sz w:val="24"/>
                <w:szCs w:val="24"/>
              </w:rPr>
              <w:t>进行打分</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0-4分</w:t>
            </w:r>
            <w:r>
              <w:rPr>
                <w:rFonts w:hint="eastAsia" w:ascii="宋体" w:hAnsi="宋体" w:cs="宋体"/>
                <w:color w:val="auto"/>
                <w:sz w:val="24"/>
                <w:szCs w:val="24"/>
                <w:lang w:eastAsia="zh-CN"/>
              </w:rPr>
              <w:t>）</w:t>
            </w:r>
          </w:p>
        </w:tc>
        <w:tc>
          <w:tcPr>
            <w:tcW w:w="902" w:type="dxa"/>
            <w:vMerge w:val="continue"/>
            <w:noWrap w:val="0"/>
            <w:vAlign w:val="center"/>
          </w:tcPr>
          <w:p w14:paraId="47235161">
            <w:pPr>
              <w:snapToGrid w:val="0"/>
              <w:ind w:left="44" w:leftChars="21"/>
              <w:jc w:val="center"/>
              <w:textAlignment w:val="baseline"/>
              <w:rPr>
                <w:rFonts w:hint="default" w:ascii="宋体" w:hAnsi="宋体" w:cs="宋体"/>
                <w:color w:val="auto"/>
                <w:spacing w:val="-6"/>
                <w:sz w:val="24"/>
                <w:szCs w:val="24"/>
                <w:lang w:val="en-US" w:eastAsia="zh-CN"/>
              </w:rPr>
            </w:pPr>
          </w:p>
        </w:tc>
      </w:tr>
      <w:tr w14:paraId="4E23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34" w:type="dxa"/>
            <w:noWrap w:val="0"/>
            <w:vAlign w:val="center"/>
          </w:tcPr>
          <w:p w14:paraId="3A5F5B39">
            <w:pPr>
              <w:snapToGrid w:val="0"/>
              <w:jc w:val="center"/>
              <w:textAlignment w:val="baseline"/>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w:t>
            </w:r>
          </w:p>
        </w:tc>
        <w:tc>
          <w:tcPr>
            <w:tcW w:w="1316" w:type="dxa"/>
            <w:noWrap w:val="0"/>
            <w:vAlign w:val="center"/>
          </w:tcPr>
          <w:p w14:paraId="49A19A73">
            <w:pPr>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进度计划及进度保障措施</w:t>
            </w:r>
          </w:p>
        </w:tc>
        <w:tc>
          <w:tcPr>
            <w:tcW w:w="6735" w:type="dxa"/>
            <w:noWrap w:val="0"/>
            <w:vAlign w:val="center"/>
          </w:tcPr>
          <w:p w14:paraId="2DF9C2B7">
            <w:pPr>
              <w:spacing w:line="240" w:lineRule="atLeas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根据投标人提供的进度计划、人员安排计划、管理流程优化、实时监管跟进</w:t>
            </w:r>
            <w:r>
              <w:rPr>
                <w:rFonts w:hint="eastAsia" w:ascii="宋体" w:hAnsi="宋体" w:cs="宋体"/>
                <w:color w:val="auto"/>
                <w:kern w:val="2"/>
                <w:sz w:val="24"/>
                <w:szCs w:val="24"/>
                <w:lang w:val="en-US" w:eastAsia="zh-CN" w:bidi="ar-SA"/>
              </w:rPr>
              <w:t>、大救助信息系统数据录入计划</w:t>
            </w:r>
            <w:r>
              <w:rPr>
                <w:rFonts w:hint="eastAsia" w:ascii="宋体" w:hAnsi="宋体" w:eastAsia="宋体" w:cs="宋体"/>
                <w:color w:val="auto"/>
                <w:kern w:val="2"/>
                <w:sz w:val="24"/>
                <w:szCs w:val="24"/>
                <w:lang w:val="en-US" w:eastAsia="zh-CN" w:bidi="ar-SA"/>
              </w:rPr>
              <w:t>等的合理性进行综合</w:t>
            </w:r>
            <w:r>
              <w:rPr>
                <w:rFonts w:hint="eastAsia" w:ascii="宋体" w:hAnsi="宋体" w:eastAsia="宋体" w:cs="宋体"/>
                <w:color w:val="auto"/>
                <w:sz w:val="24"/>
                <w:szCs w:val="24"/>
                <w:lang w:eastAsia="zh-CN"/>
              </w:rPr>
              <w:t>打分</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0-4分</w:t>
            </w:r>
            <w:r>
              <w:rPr>
                <w:rFonts w:hint="eastAsia" w:ascii="宋体" w:hAnsi="宋体" w:cs="宋体"/>
                <w:color w:val="auto"/>
                <w:sz w:val="24"/>
                <w:szCs w:val="24"/>
                <w:lang w:eastAsia="zh-CN"/>
              </w:rPr>
              <w:t>）</w:t>
            </w:r>
          </w:p>
        </w:tc>
        <w:tc>
          <w:tcPr>
            <w:tcW w:w="902" w:type="dxa"/>
            <w:noWrap w:val="0"/>
            <w:vAlign w:val="center"/>
          </w:tcPr>
          <w:p w14:paraId="03F531A5">
            <w:pPr>
              <w:snapToGrid w:val="0"/>
              <w:ind w:left="44" w:leftChars="21"/>
              <w:jc w:val="center"/>
              <w:textAlignment w:val="baseline"/>
              <w:rPr>
                <w:rFonts w:hint="eastAsia" w:ascii="宋体" w:hAnsi="宋体" w:eastAsia="宋体" w:cs="宋体"/>
                <w:color w:val="auto"/>
                <w:spacing w:val="-6"/>
                <w:kern w:val="2"/>
                <w:sz w:val="24"/>
                <w:szCs w:val="24"/>
                <w:lang w:val="en-US" w:eastAsia="zh-CN" w:bidi="ar-SA"/>
              </w:rPr>
            </w:pPr>
            <w:r>
              <w:rPr>
                <w:rFonts w:hint="eastAsia" w:ascii="宋体" w:hAnsi="宋体" w:cs="宋体"/>
                <w:color w:val="auto"/>
                <w:spacing w:val="-6"/>
                <w:sz w:val="24"/>
                <w:szCs w:val="24"/>
                <w:lang w:val="en-US" w:eastAsia="zh-CN"/>
              </w:rPr>
              <w:t>4分</w:t>
            </w:r>
          </w:p>
        </w:tc>
      </w:tr>
      <w:tr w14:paraId="0148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0" w:type="auto"/>
            <w:vAlign w:val="center"/>
          </w:tcPr>
          <w:p w14:paraId="63C011E9">
            <w:pPr>
              <w:snapToGrid w:val="0"/>
              <w:jc w:val="center"/>
              <w:textAlignment w:val="baseline"/>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11</w:t>
            </w:r>
          </w:p>
        </w:tc>
        <w:tc>
          <w:tcPr>
            <w:tcW w:w="0" w:type="auto"/>
            <w:vAlign w:val="center"/>
          </w:tcPr>
          <w:p w14:paraId="45ECD15A">
            <w:pPr>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质保期</w:t>
            </w:r>
          </w:p>
        </w:tc>
        <w:tc>
          <w:tcPr>
            <w:tcW w:w="0" w:type="auto"/>
            <w:vAlign w:val="center"/>
          </w:tcPr>
          <w:p w14:paraId="17681C61">
            <w:pPr>
              <w:spacing w:line="240" w:lineRule="atLeas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质保期不低于2年，投标供应商承诺2年免费质保期不得分，质保期每延长1年得1</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分，最高</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分。</w:t>
            </w:r>
          </w:p>
        </w:tc>
        <w:tc>
          <w:tcPr>
            <w:tcW w:w="902" w:type="dxa"/>
            <w:vAlign w:val="center"/>
          </w:tcPr>
          <w:p w14:paraId="13B0E584">
            <w:pPr>
              <w:snapToGrid w:val="0"/>
              <w:ind w:left="44" w:leftChars="21"/>
              <w:jc w:val="center"/>
              <w:textAlignment w:val="baseline"/>
              <w:rPr>
                <w:rFonts w:ascii="宋体" w:hAnsi="宋体" w:eastAsia="宋体" w:cs="宋体"/>
                <w:color w:val="auto"/>
                <w:spacing w:val="-6"/>
                <w:kern w:val="2"/>
                <w:sz w:val="24"/>
                <w:szCs w:val="24"/>
                <w:lang w:val="en-US" w:eastAsia="zh-CN" w:bidi="ar-SA"/>
              </w:rPr>
            </w:pPr>
            <w:r>
              <w:rPr>
                <w:rFonts w:hint="eastAsia" w:ascii="宋体" w:hAnsi="宋体" w:cs="宋体"/>
                <w:color w:val="auto"/>
                <w:spacing w:val="-6"/>
                <w:sz w:val="24"/>
                <w:szCs w:val="24"/>
                <w:lang w:val="en-US" w:eastAsia="zh-CN"/>
              </w:rPr>
              <w:t>3</w:t>
            </w:r>
            <w:r>
              <w:rPr>
                <w:rFonts w:hint="eastAsia" w:ascii="宋体" w:hAnsi="宋体" w:cs="宋体"/>
                <w:color w:val="auto"/>
                <w:spacing w:val="-6"/>
                <w:sz w:val="24"/>
                <w:szCs w:val="24"/>
              </w:rPr>
              <w:t>分</w:t>
            </w:r>
          </w:p>
        </w:tc>
      </w:tr>
      <w:tr w14:paraId="5D6E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0" w:type="auto"/>
            <w:vAlign w:val="center"/>
          </w:tcPr>
          <w:p w14:paraId="773B1C7D">
            <w:pPr>
              <w:snapToGrid w:val="0"/>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0" w:type="auto"/>
            <w:vAlign w:val="center"/>
          </w:tcPr>
          <w:p w14:paraId="0E2F6829">
            <w:pPr>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质量控制措施</w:t>
            </w:r>
          </w:p>
        </w:tc>
        <w:tc>
          <w:tcPr>
            <w:tcW w:w="0" w:type="auto"/>
            <w:vAlign w:val="center"/>
          </w:tcPr>
          <w:p w14:paraId="0BE93AE0">
            <w:pPr>
              <w:spacing w:line="240" w:lineRule="atLeast"/>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根据投标供应商提供的项目质量控制措施的针对性、合理性、有效性</w:t>
            </w:r>
            <w:r>
              <w:rPr>
                <w:rFonts w:hint="eastAsia" w:ascii="宋体" w:hAnsi="宋体" w:cs="宋体"/>
                <w:color w:val="auto"/>
                <w:sz w:val="24"/>
                <w:szCs w:val="24"/>
              </w:rPr>
              <w:t>等进行打分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 xml:space="preserve">                                                                                                                                                                                                                                                                                                                                                                                                                                                                        </w:t>
            </w:r>
          </w:p>
        </w:tc>
        <w:tc>
          <w:tcPr>
            <w:tcW w:w="902" w:type="dxa"/>
            <w:vAlign w:val="center"/>
          </w:tcPr>
          <w:p w14:paraId="0BE979DF">
            <w:pPr>
              <w:snapToGrid w:val="0"/>
              <w:ind w:left="44" w:leftChars="21"/>
              <w:jc w:val="center"/>
              <w:textAlignment w:val="baseline"/>
              <w:rPr>
                <w:rFonts w:hint="default" w:ascii="宋体" w:hAnsi="宋体" w:cs="宋体"/>
                <w:color w:val="auto"/>
                <w:spacing w:val="-6"/>
                <w:sz w:val="24"/>
                <w:szCs w:val="24"/>
                <w:lang w:val="en-US" w:eastAsia="zh-CN"/>
              </w:rPr>
            </w:pPr>
            <w:r>
              <w:rPr>
                <w:rFonts w:hint="eastAsia" w:ascii="宋体" w:hAnsi="宋体" w:cs="宋体"/>
                <w:color w:val="auto"/>
                <w:spacing w:val="-6"/>
                <w:sz w:val="24"/>
                <w:szCs w:val="24"/>
                <w:lang w:val="en-US" w:eastAsia="zh-CN"/>
              </w:rPr>
              <w:t>2分</w:t>
            </w:r>
          </w:p>
        </w:tc>
      </w:tr>
      <w:tr w14:paraId="74E7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0" w:type="auto"/>
            <w:vAlign w:val="center"/>
          </w:tcPr>
          <w:p w14:paraId="63070348">
            <w:pPr>
              <w:snapToGrid w:val="0"/>
              <w:jc w:val="center"/>
              <w:textAlignment w:val="baseline"/>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p>
        </w:tc>
        <w:tc>
          <w:tcPr>
            <w:tcW w:w="0" w:type="auto"/>
            <w:vAlign w:val="center"/>
          </w:tcPr>
          <w:p w14:paraId="47742541">
            <w:pPr>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应急预案及安全保障措施</w:t>
            </w:r>
          </w:p>
        </w:tc>
        <w:tc>
          <w:tcPr>
            <w:tcW w:w="0" w:type="auto"/>
            <w:vAlign w:val="center"/>
          </w:tcPr>
          <w:p w14:paraId="03680D8C">
            <w:pPr>
              <w:spacing w:line="240" w:lineRule="atLeas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根据投标人提供的应急预案及安全保障措施的内容详细全面程度、针对性及合理性进行综合</w:t>
            </w:r>
            <w:r>
              <w:rPr>
                <w:rFonts w:hint="eastAsia" w:ascii="宋体" w:hAnsi="宋体" w:eastAsia="宋体" w:cs="宋体"/>
                <w:color w:val="auto"/>
                <w:sz w:val="24"/>
                <w:szCs w:val="24"/>
                <w:lang w:eastAsia="zh-CN"/>
              </w:rPr>
              <w:t>打分</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0-2分</w:t>
            </w:r>
            <w:r>
              <w:rPr>
                <w:rFonts w:hint="eastAsia" w:ascii="宋体" w:hAnsi="宋体" w:cs="宋体"/>
                <w:color w:val="auto"/>
                <w:sz w:val="24"/>
                <w:szCs w:val="24"/>
                <w:lang w:eastAsia="zh-CN"/>
              </w:rPr>
              <w:t>）</w:t>
            </w:r>
          </w:p>
        </w:tc>
        <w:tc>
          <w:tcPr>
            <w:tcW w:w="902" w:type="dxa"/>
            <w:vAlign w:val="center"/>
          </w:tcPr>
          <w:p w14:paraId="588F8D83">
            <w:pPr>
              <w:snapToGrid w:val="0"/>
              <w:ind w:left="44" w:leftChars="21"/>
              <w:jc w:val="center"/>
              <w:textAlignment w:val="baseline"/>
              <w:rPr>
                <w:rFonts w:ascii="宋体" w:hAnsi="宋体" w:eastAsia="宋体" w:cs="宋体"/>
                <w:color w:val="auto"/>
                <w:spacing w:val="-6"/>
                <w:kern w:val="2"/>
                <w:sz w:val="24"/>
                <w:szCs w:val="24"/>
                <w:lang w:val="en-US" w:eastAsia="zh-CN" w:bidi="ar-SA"/>
              </w:rPr>
            </w:pPr>
            <w:r>
              <w:rPr>
                <w:rFonts w:hint="eastAsia" w:ascii="宋体" w:hAnsi="宋体" w:cs="宋体"/>
                <w:color w:val="auto"/>
                <w:spacing w:val="-6"/>
                <w:sz w:val="24"/>
                <w:szCs w:val="24"/>
                <w:lang w:val="en-US" w:eastAsia="zh-CN"/>
              </w:rPr>
              <w:t>2</w:t>
            </w:r>
            <w:r>
              <w:rPr>
                <w:rFonts w:hint="eastAsia" w:ascii="宋体" w:hAnsi="宋体" w:cs="宋体"/>
                <w:color w:val="auto"/>
                <w:spacing w:val="-6"/>
                <w:sz w:val="24"/>
                <w:szCs w:val="24"/>
              </w:rPr>
              <w:t>分</w:t>
            </w:r>
          </w:p>
        </w:tc>
      </w:tr>
      <w:tr w14:paraId="2350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0" w:type="auto"/>
            <w:vAlign w:val="center"/>
          </w:tcPr>
          <w:p w14:paraId="16B6C6C0">
            <w:pPr>
              <w:snapToGrid w:val="0"/>
              <w:jc w:val="center"/>
              <w:textAlignment w:val="baseline"/>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14</w:t>
            </w:r>
          </w:p>
        </w:tc>
        <w:tc>
          <w:tcPr>
            <w:tcW w:w="0" w:type="auto"/>
            <w:vAlign w:val="center"/>
          </w:tcPr>
          <w:p w14:paraId="0A62ED2C">
            <w:pPr>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w:t>
            </w:r>
          </w:p>
        </w:tc>
        <w:tc>
          <w:tcPr>
            <w:tcW w:w="0" w:type="auto"/>
            <w:vAlign w:val="center"/>
          </w:tcPr>
          <w:p w14:paraId="7D4BFAB5">
            <w:pPr>
              <w:spacing w:line="24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售后服务方案（内容包括但不限于投标人的售后服务呼叫电话和响应时间、现场服务支持能力、售后巡检、质量保证期限及范围、培训人员技术、执业能力、培训内容及培训方式、培训效果预期）进行综合</w:t>
            </w:r>
            <w:r>
              <w:rPr>
                <w:rFonts w:hint="eastAsia" w:ascii="宋体" w:hAnsi="宋体" w:eastAsia="宋体" w:cs="宋体"/>
                <w:color w:val="auto"/>
                <w:sz w:val="24"/>
                <w:szCs w:val="24"/>
                <w:lang w:eastAsia="zh-CN"/>
              </w:rPr>
              <w:t>打分</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0-3分</w:t>
            </w:r>
            <w:r>
              <w:rPr>
                <w:rFonts w:hint="eastAsia" w:ascii="宋体" w:hAnsi="宋体" w:cs="宋体"/>
                <w:color w:val="auto"/>
                <w:sz w:val="24"/>
                <w:szCs w:val="24"/>
                <w:lang w:eastAsia="zh-CN"/>
              </w:rPr>
              <w:t>）</w:t>
            </w:r>
          </w:p>
        </w:tc>
        <w:tc>
          <w:tcPr>
            <w:tcW w:w="902" w:type="dxa"/>
            <w:vAlign w:val="center"/>
          </w:tcPr>
          <w:p w14:paraId="554A1864">
            <w:pPr>
              <w:snapToGrid w:val="0"/>
              <w:ind w:left="44" w:leftChars="21"/>
              <w:jc w:val="center"/>
              <w:textAlignment w:val="baseline"/>
              <w:rPr>
                <w:rFonts w:hint="default" w:ascii="宋体" w:hAnsi="宋体" w:eastAsia="宋体" w:cs="宋体"/>
                <w:color w:val="auto"/>
                <w:spacing w:val="-6"/>
                <w:kern w:val="2"/>
                <w:sz w:val="24"/>
                <w:szCs w:val="24"/>
                <w:lang w:val="en-US" w:eastAsia="zh-CN" w:bidi="ar-SA"/>
              </w:rPr>
            </w:pPr>
            <w:r>
              <w:rPr>
                <w:rFonts w:hint="eastAsia" w:ascii="宋体" w:hAnsi="宋体" w:cs="宋体"/>
                <w:color w:val="auto"/>
                <w:spacing w:val="-6"/>
                <w:sz w:val="24"/>
                <w:szCs w:val="24"/>
                <w:lang w:val="en-US" w:eastAsia="zh-CN"/>
              </w:rPr>
              <w:t>3</w:t>
            </w:r>
            <w:r>
              <w:rPr>
                <w:rFonts w:hint="default" w:ascii="宋体" w:hAnsi="宋体" w:cs="宋体"/>
                <w:color w:val="auto"/>
                <w:spacing w:val="-6"/>
                <w:sz w:val="24"/>
                <w:szCs w:val="24"/>
                <w:lang w:val="en-US"/>
              </w:rPr>
              <w:t>分</w:t>
            </w:r>
          </w:p>
        </w:tc>
      </w:tr>
    </w:tbl>
    <w:p w14:paraId="0A9E5028">
      <w:pPr>
        <w:spacing w:line="400" w:lineRule="exact"/>
        <w:rPr>
          <w:rFonts w:hint="eastAsia" w:ascii="宋体" w:hAnsi="宋体" w:eastAsia="宋体" w:cs="宋体"/>
          <w:b/>
          <w:bCs/>
          <w:color w:val="auto"/>
          <w:sz w:val="24"/>
          <w:highlight w:val="none"/>
        </w:rPr>
      </w:pPr>
    </w:p>
    <w:p w14:paraId="191E71A8">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提示：</w:t>
      </w:r>
    </w:p>
    <w:p w14:paraId="14ED3AEF">
      <w:pPr>
        <w:spacing w:line="400" w:lineRule="exac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b/>
          <w:bCs/>
          <w:color w:val="auto"/>
          <w:sz w:val="24"/>
          <w:highlight w:val="none"/>
          <w:u w:val="single"/>
          <w:shd w:val="pct10" w:color="auto" w:fill="FFFFFF"/>
        </w:rPr>
        <w:t>2、供应商提交的所有响应文件、资料（包括所有证书、合同、报告等）都是准确、真实、合规的，如提供虚假资料，供应商需承担一切后果。</w:t>
      </w:r>
    </w:p>
    <w:p w14:paraId="3E401D39">
      <w:pPr>
        <w:spacing w:line="400" w:lineRule="exact"/>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b/>
          <w:bCs/>
          <w:color w:val="auto"/>
          <w:sz w:val="24"/>
          <w:highlight w:val="none"/>
          <w:u w:val="single"/>
          <w:shd w:val="pct10" w:color="auto" w:fill="FFFFFF"/>
        </w:rPr>
        <w:t>3、为了评审工作更加优质、高效，响应文件张数建议不要超过300张。</w:t>
      </w:r>
    </w:p>
    <w:p w14:paraId="30F0E1C9">
      <w:pPr>
        <w:spacing w:line="400" w:lineRule="exact"/>
        <w:rPr>
          <w:rFonts w:hint="eastAsia" w:ascii="宋体" w:hAnsi="宋体" w:eastAsia="宋体" w:cs="宋体"/>
          <w:color w:val="auto"/>
          <w:sz w:val="24"/>
          <w:highlight w:val="none"/>
          <w:shd w:val="pct10" w:color="auto" w:fill="FFFFFF"/>
          <w:lang w:val="zh-CN"/>
        </w:rPr>
      </w:pPr>
      <w:r>
        <w:rPr>
          <w:rFonts w:hint="eastAsia" w:ascii="宋体" w:hAnsi="宋体" w:eastAsia="宋体" w:cs="宋体"/>
          <w:b/>
          <w:bCs/>
          <w:color w:val="auto"/>
          <w:sz w:val="24"/>
          <w:highlight w:val="none"/>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（三）商务技术分的计算方式</w:t>
      </w:r>
    </w:p>
    <w:p w14:paraId="0780012B">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商务技术分按照磋商小组成员的独立评分结果汇总后，取全部磋商小组成员评分值的算术平均分，计算公式为：</w:t>
      </w:r>
    </w:p>
    <w:p w14:paraId="5E99A3CE">
      <w:pPr>
        <w:spacing w:line="360" w:lineRule="exact"/>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商务技术分=（磋商小组所有成员评分合计数）/（磋商小组组成人员数）</w:t>
      </w:r>
    </w:p>
    <w:p w14:paraId="3F0BA369">
      <w:pPr>
        <w:pStyle w:val="22"/>
        <w:spacing w:before="120" w:beforeLines="50" w:after="120" w:afterLines="50" w:line="360" w:lineRule="auto"/>
        <w:ind w:firstLine="46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三、供应商义务</w:t>
      </w:r>
    </w:p>
    <w:p w14:paraId="123D0548">
      <w:pPr>
        <w:pStyle w:val="22"/>
        <w:spacing w:before="120" w:beforeLines="50" w:after="120" w:afterLines="50" w:line="360" w:lineRule="auto"/>
        <w:ind w:firstLine="464"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评标期间，供应商应随时随地答复磋商小组的询标，解答包括有关的商务、技术问题等</w:t>
      </w:r>
    </w:p>
    <w:p w14:paraId="3E299AE0">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0"/>
          <w:szCs w:val="30"/>
          <w:highlight w:val="none"/>
        </w:rPr>
        <w:t>采购项目评分索引表</w:t>
      </w:r>
    </w:p>
    <w:p w14:paraId="1054A716">
      <w:pPr>
        <w:snapToGrid w:val="0"/>
        <w:spacing w:before="100" w:beforeAutospacing="1" w:after="100" w:afterAutospacing="1" w:line="400" w:lineRule="exact"/>
        <w:rPr>
          <w:rFonts w:hint="eastAsia" w:ascii="宋体" w:hAnsi="宋体" w:eastAsia="宋体" w:cs="宋体"/>
          <w:b/>
          <w:color w:val="auto"/>
          <w:spacing w:val="-4"/>
          <w:sz w:val="24"/>
          <w:highlight w:val="none"/>
          <w:shd w:val="pct10" w:color="auto" w:fill="FFFFFF"/>
        </w:rPr>
      </w:pPr>
      <w:r>
        <w:rPr>
          <w:rFonts w:hint="eastAsia" w:ascii="宋体" w:hAnsi="宋体" w:eastAsia="宋体" w:cs="宋体"/>
          <w:b/>
          <w:color w:val="auto"/>
          <w:spacing w:val="-4"/>
          <w:sz w:val="24"/>
          <w:highlight w:val="none"/>
        </w:rPr>
        <w:t>（</w:t>
      </w:r>
      <w:r>
        <w:rPr>
          <w:rFonts w:hint="eastAsia" w:ascii="宋体" w:hAnsi="宋体" w:eastAsia="宋体" w:cs="宋体"/>
          <w:b/>
          <w:color w:val="auto"/>
          <w:spacing w:val="-4"/>
          <w:sz w:val="24"/>
          <w:highlight w:val="none"/>
          <w:shd w:val="pct10" w:color="auto" w:fill="FFFFFF"/>
        </w:rPr>
        <w:t>重要提示：本采购项目评分索引表放在商务技术文件目录的前页，</w:t>
      </w:r>
      <w:r>
        <w:rPr>
          <w:rFonts w:hint="eastAsia" w:ascii="宋体" w:hAnsi="宋体" w:eastAsia="宋体" w:cs="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eastAsia="宋体" w:cs="宋体"/>
          <w:b/>
          <w:color w:val="auto"/>
          <w:spacing w:val="-4"/>
          <w:sz w:val="24"/>
          <w:highlight w:val="none"/>
          <w:shd w:val="pct10" w:color="auto" w:fill="FFFFFF"/>
        </w:rPr>
        <w:t>)</w:t>
      </w:r>
    </w:p>
    <w:p w14:paraId="38CF6B8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                               供应商名称：</w:t>
      </w:r>
    </w:p>
    <w:tbl>
      <w:tblPr>
        <w:tblStyle w:val="49"/>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915"/>
        <w:gridCol w:w="813"/>
        <w:gridCol w:w="808"/>
        <w:gridCol w:w="3258"/>
        <w:gridCol w:w="1084"/>
      </w:tblGrid>
      <w:tr w14:paraId="0496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422" w:type="dxa"/>
            <w:gridSpan w:val="2"/>
            <w:vAlign w:val="center"/>
          </w:tcPr>
          <w:p w14:paraId="492BB557">
            <w:pPr>
              <w:widowControl/>
              <w:jc w:val="center"/>
              <w:rPr>
                <w:rFonts w:ascii="宋体" w:hAnsi="宋体"/>
                <w:b/>
                <w:bCs/>
                <w:szCs w:val="21"/>
              </w:rPr>
            </w:pPr>
            <w:r>
              <w:rPr>
                <w:rFonts w:hint="eastAsia" w:ascii="宋体" w:hAnsi="宋体"/>
                <w:b/>
                <w:bCs/>
                <w:szCs w:val="21"/>
              </w:rPr>
              <w:t>评标内容</w:t>
            </w:r>
          </w:p>
        </w:tc>
        <w:tc>
          <w:tcPr>
            <w:tcW w:w="813" w:type="dxa"/>
            <w:vAlign w:val="center"/>
          </w:tcPr>
          <w:p w14:paraId="46857932">
            <w:pPr>
              <w:widowControl/>
              <w:jc w:val="center"/>
              <w:rPr>
                <w:rFonts w:ascii="宋体"/>
                <w:b/>
                <w:bCs/>
                <w:szCs w:val="21"/>
              </w:rPr>
            </w:pPr>
            <w:r>
              <w:rPr>
                <w:rFonts w:hint="eastAsia" w:ascii="宋体"/>
                <w:b/>
                <w:bCs/>
                <w:szCs w:val="21"/>
              </w:rPr>
              <w:t>分值</w:t>
            </w:r>
          </w:p>
        </w:tc>
        <w:tc>
          <w:tcPr>
            <w:tcW w:w="808" w:type="dxa"/>
            <w:vAlign w:val="center"/>
          </w:tcPr>
          <w:p w14:paraId="51BE88EE">
            <w:pPr>
              <w:widowControl/>
              <w:jc w:val="center"/>
              <w:rPr>
                <w:rFonts w:ascii="宋体"/>
                <w:b/>
                <w:bCs/>
                <w:szCs w:val="21"/>
              </w:rPr>
            </w:pPr>
            <w:r>
              <w:rPr>
                <w:rFonts w:hint="eastAsia" w:ascii="宋体" w:hAnsi="宋体"/>
                <w:b/>
                <w:bCs/>
                <w:szCs w:val="21"/>
              </w:rPr>
              <w:t>响应文件响应页码</w:t>
            </w:r>
          </w:p>
        </w:tc>
        <w:tc>
          <w:tcPr>
            <w:tcW w:w="3258" w:type="dxa"/>
            <w:tcBorders>
              <w:top w:val="single" w:color="auto" w:sz="4" w:space="0"/>
              <w:left w:val="nil"/>
              <w:bottom w:val="single" w:color="auto" w:sz="4" w:space="0"/>
              <w:right w:val="single" w:color="auto" w:sz="4" w:space="0"/>
            </w:tcBorders>
            <w:vAlign w:val="center"/>
          </w:tcPr>
          <w:p w14:paraId="75327814">
            <w:pPr>
              <w:widowControl/>
              <w:jc w:val="center"/>
              <w:rPr>
                <w:rFonts w:ascii="宋体" w:hAnsi="宋体" w:cs="宋体"/>
                <w:b/>
                <w:bCs/>
                <w:kern w:val="0"/>
                <w:szCs w:val="21"/>
              </w:rPr>
            </w:pPr>
            <w:r>
              <w:rPr>
                <w:rFonts w:hint="eastAsia" w:ascii="宋体" w:hAnsi="宋体" w:cs="宋体"/>
                <w:b/>
                <w:bCs/>
                <w:kern w:val="0"/>
                <w:szCs w:val="21"/>
              </w:rPr>
              <w:t>供应商</w:t>
            </w:r>
          </w:p>
          <w:p w14:paraId="4A10C784">
            <w:pPr>
              <w:widowControl/>
              <w:jc w:val="center"/>
              <w:rPr>
                <w:rFonts w:ascii="宋体" w:hAnsi="宋体"/>
                <w:b/>
                <w:bCs/>
                <w:szCs w:val="21"/>
              </w:rPr>
            </w:pPr>
            <w:r>
              <w:rPr>
                <w:rFonts w:hint="eastAsia" w:ascii="宋体" w:hAnsi="宋体" w:cs="宋体"/>
                <w:b/>
                <w:bCs/>
                <w:kern w:val="0"/>
                <w:szCs w:val="21"/>
              </w:rPr>
              <w:t>应标情况</w:t>
            </w:r>
          </w:p>
        </w:tc>
        <w:tc>
          <w:tcPr>
            <w:tcW w:w="1084" w:type="dxa"/>
            <w:tcBorders>
              <w:top w:val="single" w:color="auto" w:sz="4" w:space="0"/>
              <w:left w:val="nil"/>
              <w:bottom w:val="single" w:color="auto" w:sz="4" w:space="0"/>
              <w:right w:val="single" w:color="auto" w:sz="4" w:space="0"/>
            </w:tcBorders>
            <w:vAlign w:val="center"/>
          </w:tcPr>
          <w:p w14:paraId="46314918">
            <w:pPr>
              <w:widowControl/>
              <w:jc w:val="center"/>
              <w:rPr>
                <w:rFonts w:ascii="宋体" w:hAnsi="宋体"/>
                <w:b/>
                <w:bCs/>
                <w:szCs w:val="21"/>
              </w:rPr>
            </w:pPr>
            <w:r>
              <w:rPr>
                <w:rFonts w:hint="eastAsia" w:ascii="宋体" w:hAnsi="宋体" w:cs="宋体"/>
                <w:b/>
                <w:bCs/>
                <w:kern w:val="0"/>
                <w:szCs w:val="21"/>
              </w:rPr>
              <w:t>供应商自评分值</w:t>
            </w:r>
          </w:p>
        </w:tc>
      </w:tr>
      <w:tr w14:paraId="3FA8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07" w:type="dxa"/>
            <w:vAlign w:val="center"/>
          </w:tcPr>
          <w:p w14:paraId="731C5270">
            <w:pPr>
              <w:widowControl/>
              <w:adjustRightInd w:val="0"/>
              <w:snapToGrid w:val="0"/>
              <w:jc w:val="center"/>
              <w:textAlignment w:val="center"/>
              <w:rPr>
                <w:rFonts w:ascii="宋体" w:hAnsi="宋体"/>
                <w:bCs/>
                <w:szCs w:val="21"/>
              </w:rPr>
            </w:pPr>
            <w:r>
              <w:rPr>
                <w:rFonts w:hint="eastAsia" w:ascii="宋体" w:hAnsi="宋体" w:cs="宋体"/>
                <w:kern w:val="0"/>
                <w:szCs w:val="21"/>
              </w:rPr>
              <w:t>1</w:t>
            </w:r>
          </w:p>
        </w:tc>
        <w:tc>
          <w:tcPr>
            <w:tcW w:w="2915" w:type="dxa"/>
            <w:vAlign w:val="center"/>
          </w:tcPr>
          <w:p w14:paraId="23FFA0C9">
            <w:pPr>
              <w:widowControl/>
              <w:adjustRightInd w:val="0"/>
              <w:snapToGrid w:val="0"/>
              <w:jc w:val="center"/>
              <w:textAlignment w:val="center"/>
              <w:rPr>
                <w:rFonts w:hint="eastAsia" w:ascii="宋体" w:hAnsi="宋体" w:cs="宋体"/>
                <w:kern w:val="0"/>
                <w:szCs w:val="21"/>
              </w:rPr>
            </w:pPr>
            <w:r>
              <w:rPr>
                <w:rFonts w:hint="eastAsia" w:ascii="宋体" w:hAnsi="宋体" w:cs="宋体"/>
                <w:color w:val="auto"/>
                <w:sz w:val="24"/>
                <w:highlight w:val="none"/>
              </w:rPr>
              <w:t>企业实力</w:t>
            </w:r>
          </w:p>
        </w:tc>
        <w:tc>
          <w:tcPr>
            <w:tcW w:w="813" w:type="dxa"/>
            <w:vAlign w:val="center"/>
          </w:tcPr>
          <w:p w14:paraId="31F7BCF7">
            <w:pPr>
              <w:snapToGrid w:val="0"/>
              <w:jc w:val="center"/>
              <w:textAlignment w:val="baseline"/>
              <w:rPr>
                <w:rFonts w:hint="default" w:ascii="宋体" w:hAnsi="宋体" w:cs="宋体"/>
                <w:kern w:val="0"/>
                <w:szCs w:val="21"/>
                <w:lang w:val="en-US" w:eastAsia="zh-CN"/>
              </w:rPr>
            </w:pPr>
            <w:r>
              <w:rPr>
                <w:rFonts w:hint="eastAsia" w:ascii="宋体" w:hAnsi="宋体" w:cs="宋体"/>
                <w:color w:val="auto"/>
                <w:sz w:val="24"/>
                <w:szCs w:val="24"/>
                <w:lang w:val="en-US" w:eastAsia="zh-CN"/>
              </w:rPr>
              <w:t>4分</w:t>
            </w:r>
          </w:p>
        </w:tc>
        <w:tc>
          <w:tcPr>
            <w:tcW w:w="808" w:type="dxa"/>
            <w:vAlign w:val="center"/>
          </w:tcPr>
          <w:p w14:paraId="01889892">
            <w:pPr>
              <w:jc w:val="center"/>
              <w:rPr>
                <w:rFonts w:ascii="宋体"/>
                <w:bCs/>
                <w:szCs w:val="21"/>
              </w:rPr>
            </w:pPr>
          </w:p>
        </w:tc>
        <w:tc>
          <w:tcPr>
            <w:tcW w:w="3258" w:type="dxa"/>
            <w:tcBorders>
              <w:top w:val="nil"/>
              <w:left w:val="nil"/>
              <w:right w:val="single" w:color="auto" w:sz="4" w:space="0"/>
            </w:tcBorders>
            <w:vAlign w:val="center"/>
          </w:tcPr>
          <w:p w14:paraId="0F96BC4D">
            <w:pPr>
              <w:jc w:val="center"/>
              <w:rPr>
                <w:rFonts w:ascii="宋体"/>
                <w:bCs/>
                <w:szCs w:val="21"/>
              </w:rPr>
            </w:pPr>
            <w:r>
              <w:rPr>
                <w:rFonts w:hint="eastAsia" w:ascii="宋体" w:hAnsi="宋体" w:eastAsia="宋体" w:cs="宋体"/>
                <w:b/>
                <w:bCs/>
                <w:color w:val="auto"/>
                <w:kern w:val="0"/>
                <w:sz w:val="22"/>
                <w:szCs w:val="22"/>
                <w:highlight w:val="none"/>
                <w:shd w:val="pct10" w:color="auto" w:fill="FFFFFF"/>
              </w:rPr>
              <w:t>供应商务必将应标证书内容逐项详细填写齐全，以方便评委进行更加优质、高效的评审</w:t>
            </w:r>
          </w:p>
        </w:tc>
        <w:tc>
          <w:tcPr>
            <w:tcW w:w="1084" w:type="dxa"/>
            <w:tcBorders>
              <w:top w:val="nil"/>
              <w:left w:val="nil"/>
              <w:right w:val="single" w:color="auto" w:sz="4" w:space="0"/>
            </w:tcBorders>
            <w:vAlign w:val="center"/>
          </w:tcPr>
          <w:p w14:paraId="219A0AD5">
            <w:pPr>
              <w:jc w:val="center"/>
              <w:rPr>
                <w:rFonts w:ascii="宋体"/>
                <w:bCs/>
                <w:szCs w:val="21"/>
              </w:rPr>
            </w:pPr>
            <w:r>
              <w:rPr>
                <w:rFonts w:hint="eastAsia" w:ascii="宋体" w:hAnsi="宋体" w:eastAsia="宋体" w:cs="宋体"/>
                <w:b/>
                <w:bCs/>
                <w:color w:val="auto"/>
                <w:kern w:val="0"/>
                <w:sz w:val="22"/>
                <w:szCs w:val="22"/>
                <w:highlight w:val="none"/>
                <w:shd w:val="pct10" w:color="auto" w:fill="FFFFFF"/>
              </w:rPr>
              <w:t>供应商将应得分值填写准确</w:t>
            </w:r>
          </w:p>
        </w:tc>
      </w:tr>
      <w:tr w14:paraId="7687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07" w:type="dxa"/>
            <w:vAlign w:val="center"/>
          </w:tcPr>
          <w:p w14:paraId="55EA8D61">
            <w:pPr>
              <w:widowControl/>
              <w:adjustRightInd w:val="0"/>
              <w:snapToGrid w:val="0"/>
              <w:jc w:val="center"/>
              <w:textAlignment w:val="center"/>
              <w:rPr>
                <w:rFonts w:ascii="宋体" w:hAnsi="宋体"/>
                <w:bCs/>
                <w:szCs w:val="21"/>
              </w:rPr>
            </w:pPr>
            <w:r>
              <w:rPr>
                <w:rFonts w:hint="eastAsia" w:ascii="宋体" w:hAnsi="宋体" w:cs="宋体"/>
                <w:kern w:val="0"/>
                <w:szCs w:val="21"/>
              </w:rPr>
              <w:t>2</w:t>
            </w:r>
          </w:p>
        </w:tc>
        <w:tc>
          <w:tcPr>
            <w:tcW w:w="2915" w:type="dxa"/>
            <w:vAlign w:val="center"/>
          </w:tcPr>
          <w:p w14:paraId="4BAC8573">
            <w:pPr>
              <w:snapToGrid w:val="0"/>
              <w:spacing w:line="300" w:lineRule="exact"/>
              <w:ind w:left="45" w:leftChars="0" w:right="45" w:rightChars="0"/>
              <w:jc w:val="center"/>
              <w:textAlignment w:val="baseline"/>
              <w:rPr>
                <w:rFonts w:hint="eastAsia" w:ascii="宋体" w:hAnsi="宋体" w:cs="宋体"/>
                <w:kern w:val="0"/>
                <w:szCs w:val="21"/>
              </w:rPr>
            </w:pPr>
            <w:r>
              <w:rPr>
                <w:rFonts w:hint="eastAsia" w:ascii="宋体" w:hAnsi="宋体" w:cs="宋体"/>
                <w:color w:val="000000"/>
                <w:sz w:val="24"/>
                <w:szCs w:val="24"/>
              </w:rPr>
              <w:t>项目业绩</w:t>
            </w:r>
          </w:p>
        </w:tc>
        <w:tc>
          <w:tcPr>
            <w:tcW w:w="813" w:type="dxa"/>
            <w:vAlign w:val="center"/>
          </w:tcPr>
          <w:p w14:paraId="783F2592">
            <w:pPr>
              <w:snapToGrid w:val="0"/>
              <w:jc w:val="center"/>
              <w:textAlignment w:val="baseline"/>
              <w:rPr>
                <w:rFonts w:hint="eastAsia" w:ascii="宋体" w:hAnsi="宋体" w:cs="宋体"/>
                <w:kern w:val="0"/>
                <w:szCs w:val="21"/>
                <w:lang w:val="en-US"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分</w:t>
            </w:r>
          </w:p>
        </w:tc>
        <w:tc>
          <w:tcPr>
            <w:tcW w:w="808" w:type="dxa"/>
            <w:vAlign w:val="center"/>
          </w:tcPr>
          <w:p w14:paraId="6DF4A550">
            <w:pPr>
              <w:jc w:val="center"/>
              <w:rPr>
                <w:rFonts w:ascii="宋体"/>
                <w:bCs/>
                <w:szCs w:val="21"/>
              </w:rPr>
            </w:pPr>
          </w:p>
        </w:tc>
        <w:tc>
          <w:tcPr>
            <w:tcW w:w="3258" w:type="dxa"/>
            <w:tcBorders>
              <w:top w:val="nil"/>
              <w:left w:val="nil"/>
              <w:right w:val="single" w:color="auto" w:sz="4" w:space="0"/>
            </w:tcBorders>
            <w:vAlign w:val="center"/>
          </w:tcPr>
          <w:p w14:paraId="0B643615">
            <w:pPr>
              <w:jc w:val="center"/>
              <w:rPr>
                <w:rFonts w:ascii="宋体"/>
                <w:bCs/>
                <w:szCs w:val="21"/>
              </w:rPr>
            </w:pPr>
            <w:r>
              <w:rPr>
                <w:rFonts w:hint="eastAsia" w:ascii="宋体" w:hAnsi="宋体" w:eastAsia="宋体" w:cs="宋体"/>
                <w:b/>
                <w:bCs/>
                <w:color w:val="auto"/>
                <w:kern w:val="0"/>
                <w:sz w:val="22"/>
                <w:szCs w:val="22"/>
                <w:highlight w:val="none"/>
                <w:shd w:val="pct10" w:color="auto" w:fill="FFFFFF"/>
              </w:rPr>
              <w:t>供应商务必将应标证书内容逐项详细填写齐全，以方便评委进行更加优质、高效的评审</w:t>
            </w:r>
          </w:p>
        </w:tc>
        <w:tc>
          <w:tcPr>
            <w:tcW w:w="1084" w:type="dxa"/>
            <w:tcBorders>
              <w:top w:val="nil"/>
              <w:left w:val="nil"/>
              <w:right w:val="single" w:color="auto" w:sz="4" w:space="0"/>
            </w:tcBorders>
            <w:vAlign w:val="center"/>
          </w:tcPr>
          <w:p w14:paraId="6EEF5933">
            <w:pPr>
              <w:jc w:val="center"/>
              <w:rPr>
                <w:rFonts w:hint="eastAsia" w:ascii="宋体" w:eastAsia="宋体"/>
                <w:bCs/>
                <w:szCs w:val="21"/>
                <w:lang w:val="en-US" w:eastAsia="zh-CN"/>
              </w:rPr>
            </w:pPr>
            <w:r>
              <w:rPr>
                <w:rFonts w:hint="eastAsia" w:ascii="宋体" w:hAnsi="宋体" w:eastAsia="宋体" w:cs="宋体"/>
                <w:b/>
                <w:bCs/>
                <w:color w:val="auto"/>
                <w:kern w:val="0"/>
                <w:sz w:val="22"/>
                <w:szCs w:val="22"/>
                <w:highlight w:val="none"/>
                <w:shd w:val="pct10" w:color="auto" w:fill="FFFFFF"/>
              </w:rPr>
              <w:t>供应商将应得分值填写准确</w:t>
            </w:r>
          </w:p>
        </w:tc>
      </w:tr>
      <w:tr w14:paraId="0FBE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07" w:type="dxa"/>
            <w:vAlign w:val="center"/>
          </w:tcPr>
          <w:p w14:paraId="107FC663">
            <w:pPr>
              <w:widowControl/>
              <w:adjustRightInd w:val="0"/>
              <w:snapToGrid w:val="0"/>
              <w:jc w:val="center"/>
              <w:textAlignment w:val="center"/>
              <w:rPr>
                <w:rFonts w:ascii="宋体" w:hAnsi="宋体"/>
                <w:bCs/>
                <w:szCs w:val="21"/>
              </w:rPr>
            </w:pPr>
            <w:r>
              <w:rPr>
                <w:rFonts w:hint="eastAsia" w:ascii="宋体" w:hAnsi="宋体" w:cs="宋体"/>
                <w:kern w:val="0"/>
                <w:szCs w:val="21"/>
              </w:rPr>
              <w:t>3</w:t>
            </w:r>
          </w:p>
        </w:tc>
        <w:tc>
          <w:tcPr>
            <w:tcW w:w="2915" w:type="dxa"/>
            <w:vAlign w:val="center"/>
          </w:tcPr>
          <w:p w14:paraId="1D71B880">
            <w:pPr>
              <w:snapToGrid w:val="0"/>
              <w:spacing w:line="300" w:lineRule="exact"/>
              <w:ind w:left="45" w:leftChars="0" w:right="45" w:rightChars="0"/>
              <w:jc w:val="center"/>
              <w:textAlignment w:val="baseline"/>
              <w:rPr>
                <w:rFonts w:hint="eastAsia" w:ascii="宋体" w:hAnsi="宋体" w:cs="宋体"/>
                <w:kern w:val="0"/>
                <w:szCs w:val="21"/>
              </w:rPr>
            </w:pPr>
            <w:r>
              <w:rPr>
                <w:rFonts w:hint="eastAsia" w:ascii="宋体" w:hAnsi="宋体" w:cs="宋体"/>
                <w:color w:val="000000"/>
                <w:sz w:val="24"/>
                <w:szCs w:val="24"/>
              </w:rPr>
              <w:t>项目团队</w:t>
            </w:r>
            <w:r>
              <w:rPr>
                <w:rFonts w:hint="eastAsia" w:ascii="宋体" w:hAnsi="宋体" w:cs="宋体"/>
                <w:color w:val="000000"/>
                <w:sz w:val="24"/>
                <w:szCs w:val="24"/>
                <w:lang w:eastAsia="zh-CN"/>
              </w:rPr>
              <w:t>情况</w:t>
            </w:r>
          </w:p>
        </w:tc>
        <w:tc>
          <w:tcPr>
            <w:tcW w:w="813" w:type="dxa"/>
            <w:vAlign w:val="center"/>
          </w:tcPr>
          <w:p w14:paraId="25321EF3">
            <w:pPr>
              <w:snapToGrid w:val="0"/>
              <w:jc w:val="center"/>
              <w:textAlignment w:val="baseline"/>
              <w:rPr>
                <w:rFonts w:hint="eastAsia" w:ascii="宋体" w:hAnsi="宋体" w:cs="宋体"/>
                <w:kern w:val="0"/>
                <w:szCs w:val="21"/>
                <w:lang w:val="en-US" w:eastAsia="zh-CN"/>
              </w:rPr>
            </w:pPr>
            <w:r>
              <w:rPr>
                <w:rFonts w:hint="eastAsia" w:ascii="宋体" w:hAnsi="宋体" w:cs="宋体"/>
                <w:color w:val="auto"/>
                <w:sz w:val="24"/>
                <w:szCs w:val="24"/>
                <w:lang w:val="en-US" w:eastAsia="zh-CN"/>
              </w:rPr>
              <w:t>9分</w:t>
            </w:r>
          </w:p>
        </w:tc>
        <w:tc>
          <w:tcPr>
            <w:tcW w:w="808" w:type="dxa"/>
            <w:vAlign w:val="center"/>
          </w:tcPr>
          <w:p w14:paraId="2B5AECD0">
            <w:pPr>
              <w:jc w:val="center"/>
              <w:rPr>
                <w:rFonts w:ascii="宋体"/>
                <w:bCs/>
                <w:szCs w:val="21"/>
              </w:rPr>
            </w:pPr>
          </w:p>
        </w:tc>
        <w:tc>
          <w:tcPr>
            <w:tcW w:w="3258" w:type="dxa"/>
            <w:vAlign w:val="center"/>
          </w:tcPr>
          <w:p w14:paraId="7F55CB90">
            <w:pPr>
              <w:jc w:val="center"/>
              <w:rPr>
                <w:rFonts w:ascii="宋体"/>
                <w:b/>
                <w:szCs w:val="21"/>
              </w:rPr>
            </w:pPr>
            <w:r>
              <w:rPr>
                <w:rFonts w:hint="eastAsia" w:ascii="宋体" w:hAnsi="宋体" w:eastAsia="宋体" w:cs="宋体"/>
                <w:b/>
                <w:bCs/>
                <w:color w:val="auto"/>
                <w:kern w:val="0"/>
                <w:sz w:val="22"/>
                <w:szCs w:val="22"/>
                <w:highlight w:val="none"/>
                <w:shd w:val="pct10" w:color="auto" w:fill="FFFFFF"/>
              </w:rPr>
              <w:t>供应商务必将应标证书内容逐项详细填写齐全，以方便评委进行更加优质、高效的评审</w:t>
            </w:r>
          </w:p>
        </w:tc>
        <w:tc>
          <w:tcPr>
            <w:tcW w:w="1084" w:type="dxa"/>
            <w:vAlign w:val="center"/>
          </w:tcPr>
          <w:p w14:paraId="01010D72">
            <w:pPr>
              <w:jc w:val="center"/>
              <w:rPr>
                <w:rFonts w:hint="eastAsia" w:ascii="宋体" w:eastAsia="宋体"/>
                <w:b/>
                <w:szCs w:val="21"/>
                <w:lang w:val="en-US" w:eastAsia="zh-CN"/>
              </w:rPr>
            </w:pPr>
            <w:r>
              <w:rPr>
                <w:rFonts w:hint="eastAsia" w:ascii="宋体" w:hAnsi="宋体" w:eastAsia="宋体" w:cs="宋体"/>
                <w:b/>
                <w:bCs/>
                <w:color w:val="auto"/>
                <w:kern w:val="0"/>
                <w:sz w:val="22"/>
                <w:szCs w:val="22"/>
                <w:highlight w:val="none"/>
                <w:shd w:val="pct10" w:color="auto" w:fill="FFFFFF"/>
              </w:rPr>
              <w:t>供应商将应得分值填写准确</w:t>
            </w:r>
          </w:p>
        </w:tc>
      </w:tr>
      <w:tr w14:paraId="3DDE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07" w:type="dxa"/>
            <w:vAlign w:val="center"/>
          </w:tcPr>
          <w:p w14:paraId="4B2075E1">
            <w:pPr>
              <w:widowControl/>
              <w:adjustRightInd w:val="0"/>
              <w:snapToGrid w:val="0"/>
              <w:jc w:val="center"/>
              <w:textAlignment w:val="center"/>
              <w:rPr>
                <w:rFonts w:ascii="宋体" w:hAnsi="宋体"/>
                <w:bCs/>
                <w:szCs w:val="21"/>
              </w:rPr>
            </w:pPr>
            <w:r>
              <w:rPr>
                <w:rFonts w:hint="eastAsia" w:ascii="宋体" w:hAnsi="宋体" w:cs="宋体"/>
                <w:kern w:val="0"/>
                <w:szCs w:val="21"/>
              </w:rPr>
              <w:t>4</w:t>
            </w:r>
          </w:p>
        </w:tc>
        <w:tc>
          <w:tcPr>
            <w:tcW w:w="2915" w:type="dxa"/>
            <w:vAlign w:val="center"/>
          </w:tcPr>
          <w:p w14:paraId="43CB1FCF">
            <w:pPr>
              <w:snapToGrid w:val="0"/>
              <w:spacing w:line="300" w:lineRule="exact"/>
              <w:ind w:left="45" w:leftChars="0" w:right="45" w:rightChars="0"/>
              <w:jc w:val="center"/>
              <w:textAlignment w:val="baseline"/>
              <w:rPr>
                <w:rFonts w:hint="eastAsia" w:ascii="宋体" w:hAnsi="宋体" w:cs="宋体"/>
                <w:kern w:val="0"/>
                <w:szCs w:val="21"/>
              </w:rPr>
            </w:pPr>
            <w:r>
              <w:rPr>
                <w:rFonts w:hint="eastAsia" w:ascii="宋体" w:hAnsi="宋体" w:cs="宋体"/>
                <w:color w:val="000000"/>
                <w:sz w:val="24"/>
                <w:szCs w:val="24"/>
              </w:rPr>
              <w:t>项目背景及现状分析</w:t>
            </w:r>
          </w:p>
        </w:tc>
        <w:tc>
          <w:tcPr>
            <w:tcW w:w="813" w:type="dxa"/>
            <w:vAlign w:val="center"/>
          </w:tcPr>
          <w:p w14:paraId="671F3A71">
            <w:pPr>
              <w:snapToGrid w:val="0"/>
              <w:jc w:val="center"/>
              <w:textAlignment w:val="baseline"/>
              <w:rPr>
                <w:rFonts w:hint="default" w:ascii="宋体" w:hAnsi="宋体" w:cs="宋体"/>
                <w:kern w:val="0"/>
                <w:szCs w:val="21"/>
                <w:lang w:val="en-US" w:eastAsia="zh-CN"/>
              </w:rPr>
            </w:pPr>
            <w:r>
              <w:rPr>
                <w:rFonts w:hint="eastAsia" w:ascii="宋体" w:hAnsi="宋体" w:cs="宋体"/>
                <w:color w:val="auto"/>
                <w:spacing w:val="-6"/>
                <w:sz w:val="24"/>
                <w:szCs w:val="24"/>
                <w:lang w:val="en-US" w:eastAsia="zh-CN"/>
              </w:rPr>
              <w:t>6</w:t>
            </w:r>
            <w:r>
              <w:rPr>
                <w:rFonts w:hint="eastAsia" w:ascii="宋体" w:hAnsi="宋体" w:cs="宋体"/>
                <w:color w:val="auto"/>
                <w:spacing w:val="-6"/>
                <w:sz w:val="24"/>
                <w:szCs w:val="24"/>
              </w:rPr>
              <w:t>分</w:t>
            </w:r>
          </w:p>
        </w:tc>
        <w:tc>
          <w:tcPr>
            <w:tcW w:w="808" w:type="dxa"/>
            <w:vAlign w:val="center"/>
          </w:tcPr>
          <w:p w14:paraId="00F984B4">
            <w:pPr>
              <w:jc w:val="center"/>
              <w:rPr>
                <w:rFonts w:ascii="宋体"/>
                <w:bCs/>
                <w:szCs w:val="21"/>
              </w:rPr>
            </w:pPr>
          </w:p>
        </w:tc>
        <w:tc>
          <w:tcPr>
            <w:tcW w:w="3258" w:type="dxa"/>
            <w:vAlign w:val="center"/>
          </w:tcPr>
          <w:p w14:paraId="048577EC">
            <w:pPr>
              <w:snapToGrid w:val="0"/>
              <w:jc w:val="center"/>
              <w:rPr>
                <w:rFonts w:hint="eastAsia" w:ascii="宋体" w:eastAsia="宋体"/>
                <w:bCs/>
                <w:szCs w:val="21"/>
                <w:lang w:eastAsia="zh-CN"/>
              </w:rPr>
            </w:pPr>
            <w:r>
              <w:rPr>
                <w:rFonts w:hint="eastAsia" w:ascii="宋体"/>
                <w:b/>
                <w:szCs w:val="21"/>
              </w:rPr>
              <w:t>/</w:t>
            </w:r>
          </w:p>
        </w:tc>
        <w:tc>
          <w:tcPr>
            <w:tcW w:w="1084" w:type="dxa"/>
            <w:vAlign w:val="center"/>
          </w:tcPr>
          <w:p w14:paraId="3C4EE5FC">
            <w:pPr>
              <w:snapToGrid w:val="0"/>
              <w:jc w:val="center"/>
              <w:rPr>
                <w:rFonts w:ascii="宋体"/>
                <w:bCs/>
                <w:szCs w:val="21"/>
              </w:rPr>
            </w:pPr>
            <w:r>
              <w:rPr>
                <w:rFonts w:hint="eastAsia" w:ascii="宋体"/>
                <w:b/>
                <w:szCs w:val="21"/>
              </w:rPr>
              <w:t>/</w:t>
            </w:r>
          </w:p>
        </w:tc>
      </w:tr>
      <w:tr w14:paraId="070B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7" w:type="dxa"/>
            <w:vAlign w:val="center"/>
          </w:tcPr>
          <w:p w14:paraId="58B69B83">
            <w:pPr>
              <w:widowControl/>
              <w:adjustRightInd w:val="0"/>
              <w:snapToGrid w:val="0"/>
              <w:jc w:val="center"/>
              <w:textAlignment w:val="center"/>
              <w:rPr>
                <w:rFonts w:ascii="宋体" w:hAnsi="宋体"/>
                <w:bCs/>
                <w:szCs w:val="21"/>
              </w:rPr>
            </w:pPr>
            <w:r>
              <w:rPr>
                <w:rFonts w:hint="eastAsia" w:ascii="宋体" w:hAnsi="宋体" w:cs="宋体"/>
                <w:kern w:val="0"/>
                <w:szCs w:val="21"/>
              </w:rPr>
              <w:t>5</w:t>
            </w:r>
          </w:p>
        </w:tc>
        <w:tc>
          <w:tcPr>
            <w:tcW w:w="2915" w:type="dxa"/>
            <w:vAlign w:val="center"/>
          </w:tcPr>
          <w:p w14:paraId="13DFE55F">
            <w:pPr>
              <w:widowControl/>
              <w:snapToGrid w:val="0"/>
              <w:spacing w:line="320" w:lineRule="exact"/>
              <w:jc w:val="center"/>
              <w:textAlignment w:val="center"/>
              <w:rPr>
                <w:rFonts w:hint="eastAsia" w:ascii="宋体" w:hAnsi="宋体" w:cs="宋体"/>
                <w:kern w:val="0"/>
                <w:szCs w:val="21"/>
              </w:rPr>
            </w:pPr>
            <w:r>
              <w:rPr>
                <w:rFonts w:hint="eastAsia" w:ascii="宋体" w:hAnsi="宋体" w:cs="宋体"/>
                <w:sz w:val="24"/>
                <w:szCs w:val="24"/>
              </w:rPr>
              <w:t>前期入户需求调查和改造设计方案</w:t>
            </w:r>
          </w:p>
        </w:tc>
        <w:tc>
          <w:tcPr>
            <w:tcW w:w="813" w:type="dxa"/>
            <w:vAlign w:val="center"/>
          </w:tcPr>
          <w:p w14:paraId="4CA71A2E">
            <w:pPr>
              <w:snapToGrid w:val="0"/>
              <w:jc w:val="center"/>
              <w:textAlignment w:val="baseline"/>
              <w:rPr>
                <w:rFonts w:hint="eastAsia" w:ascii="宋体" w:hAnsi="宋体" w:cs="宋体"/>
                <w:kern w:val="0"/>
                <w:szCs w:val="21"/>
                <w:lang w:val="en-US" w:eastAsia="zh-CN"/>
              </w:rPr>
            </w:pPr>
            <w:r>
              <w:rPr>
                <w:rFonts w:hint="eastAsia" w:ascii="宋体" w:hAnsi="宋体" w:cs="宋体"/>
                <w:color w:val="auto"/>
                <w:spacing w:val="-6"/>
                <w:sz w:val="24"/>
                <w:szCs w:val="24"/>
                <w:lang w:val="en-US" w:eastAsia="zh-CN"/>
              </w:rPr>
              <w:t>8</w:t>
            </w:r>
            <w:r>
              <w:rPr>
                <w:rFonts w:hint="eastAsia" w:ascii="宋体" w:hAnsi="宋体" w:cs="宋体"/>
                <w:color w:val="auto"/>
                <w:spacing w:val="-6"/>
                <w:sz w:val="24"/>
                <w:szCs w:val="24"/>
              </w:rPr>
              <w:t>分</w:t>
            </w:r>
          </w:p>
        </w:tc>
        <w:tc>
          <w:tcPr>
            <w:tcW w:w="808" w:type="dxa"/>
            <w:vAlign w:val="center"/>
          </w:tcPr>
          <w:p w14:paraId="59B3EE6B">
            <w:pPr>
              <w:jc w:val="center"/>
              <w:rPr>
                <w:rFonts w:ascii="宋体"/>
                <w:bCs/>
                <w:szCs w:val="21"/>
              </w:rPr>
            </w:pPr>
          </w:p>
        </w:tc>
        <w:tc>
          <w:tcPr>
            <w:tcW w:w="3258" w:type="dxa"/>
            <w:tcBorders>
              <w:top w:val="nil"/>
              <w:left w:val="nil"/>
              <w:bottom w:val="single" w:color="auto" w:sz="4" w:space="0"/>
              <w:right w:val="single" w:color="auto" w:sz="4" w:space="0"/>
            </w:tcBorders>
            <w:vAlign w:val="center"/>
          </w:tcPr>
          <w:p w14:paraId="75E56D5E">
            <w:pPr>
              <w:snapToGrid w:val="0"/>
              <w:jc w:val="center"/>
              <w:rPr>
                <w:rFonts w:ascii="宋体"/>
                <w:bCs/>
                <w:szCs w:val="21"/>
              </w:rPr>
            </w:pPr>
            <w:r>
              <w:rPr>
                <w:rFonts w:hint="eastAsia" w:ascii="宋体"/>
                <w:b/>
                <w:szCs w:val="21"/>
              </w:rPr>
              <w:t>/</w:t>
            </w:r>
          </w:p>
        </w:tc>
        <w:tc>
          <w:tcPr>
            <w:tcW w:w="1084" w:type="dxa"/>
            <w:tcBorders>
              <w:top w:val="nil"/>
              <w:left w:val="nil"/>
              <w:bottom w:val="single" w:color="auto" w:sz="4" w:space="0"/>
              <w:right w:val="single" w:color="auto" w:sz="4" w:space="0"/>
            </w:tcBorders>
            <w:vAlign w:val="center"/>
          </w:tcPr>
          <w:p w14:paraId="2E4EC47C">
            <w:pPr>
              <w:snapToGrid w:val="0"/>
              <w:jc w:val="center"/>
              <w:rPr>
                <w:rFonts w:ascii="宋体"/>
                <w:bCs/>
                <w:szCs w:val="21"/>
              </w:rPr>
            </w:pPr>
            <w:r>
              <w:rPr>
                <w:rFonts w:hint="eastAsia" w:ascii="宋体"/>
                <w:b/>
                <w:szCs w:val="21"/>
              </w:rPr>
              <w:t>/</w:t>
            </w:r>
          </w:p>
        </w:tc>
      </w:tr>
      <w:tr w14:paraId="2F1C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07" w:type="dxa"/>
            <w:vAlign w:val="center"/>
          </w:tcPr>
          <w:p w14:paraId="29DECDF3">
            <w:pPr>
              <w:widowControl/>
              <w:adjustRightInd w:val="0"/>
              <w:snapToGrid w:val="0"/>
              <w:jc w:val="center"/>
              <w:textAlignment w:val="center"/>
              <w:rPr>
                <w:rFonts w:ascii="宋体" w:hAnsi="宋体"/>
                <w:bCs/>
                <w:szCs w:val="21"/>
              </w:rPr>
            </w:pPr>
            <w:r>
              <w:rPr>
                <w:rFonts w:hint="eastAsia" w:ascii="宋体" w:hAnsi="宋体" w:cs="宋体"/>
                <w:kern w:val="0"/>
                <w:szCs w:val="21"/>
              </w:rPr>
              <w:t>6</w:t>
            </w:r>
          </w:p>
        </w:tc>
        <w:tc>
          <w:tcPr>
            <w:tcW w:w="2915" w:type="dxa"/>
            <w:vAlign w:val="center"/>
          </w:tcPr>
          <w:p w14:paraId="21109A9B">
            <w:pPr>
              <w:spacing w:line="240" w:lineRule="atLeast"/>
              <w:jc w:val="center"/>
              <w:rPr>
                <w:rFonts w:hint="eastAsia" w:ascii="宋体" w:hAnsi="宋体" w:cs="宋体"/>
                <w:kern w:val="0"/>
                <w:szCs w:val="21"/>
              </w:rPr>
            </w:pPr>
            <w:r>
              <w:rPr>
                <w:rFonts w:hint="eastAsia" w:ascii="宋体" w:hAnsi="宋体" w:eastAsia="宋体" w:cs="宋体"/>
                <w:kern w:val="2"/>
                <w:sz w:val="24"/>
                <w:szCs w:val="24"/>
                <w:lang w:val="en-US" w:eastAsia="zh-CN" w:bidi="ar-SA"/>
              </w:rPr>
              <w:t>实施方案</w:t>
            </w:r>
          </w:p>
        </w:tc>
        <w:tc>
          <w:tcPr>
            <w:tcW w:w="813" w:type="dxa"/>
            <w:vAlign w:val="center"/>
          </w:tcPr>
          <w:p w14:paraId="025FDFB8">
            <w:pPr>
              <w:snapToGrid w:val="0"/>
              <w:ind w:left="44" w:leftChars="21"/>
              <w:jc w:val="center"/>
              <w:textAlignment w:val="baseline"/>
              <w:rPr>
                <w:rFonts w:hint="default" w:ascii="宋体" w:hAnsi="宋体" w:cs="宋体"/>
                <w:kern w:val="0"/>
                <w:szCs w:val="21"/>
                <w:lang w:val="en-US" w:eastAsia="zh-CN"/>
              </w:rPr>
            </w:pPr>
            <w:r>
              <w:rPr>
                <w:rFonts w:hint="eastAsia" w:ascii="宋体" w:hAnsi="宋体" w:cs="宋体"/>
                <w:color w:val="auto"/>
                <w:spacing w:val="-6"/>
                <w:sz w:val="24"/>
                <w:szCs w:val="24"/>
                <w:lang w:val="en-US" w:eastAsia="zh-CN"/>
              </w:rPr>
              <w:t>8分</w:t>
            </w:r>
          </w:p>
        </w:tc>
        <w:tc>
          <w:tcPr>
            <w:tcW w:w="808" w:type="dxa"/>
            <w:vAlign w:val="center"/>
          </w:tcPr>
          <w:p w14:paraId="3DDE2281">
            <w:pPr>
              <w:jc w:val="center"/>
              <w:rPr>
                <w:rFonts w:ascii="宋体"/>
                <w:bCs/>
                <w:szCs w:val="21"/>
              </w:rPr>
            </w:pPr>
          </w:p>
        </w:tc>
        <w:tc>
          <w:tcPr>
            <w:tcW w:w="3258" w:type="dxa"/>
            <w:tcBorders>
              <w:top w:val="nil"/>
              <w:left w:val="nil"/>
              <w:bottom w:val="single" w:color="auto" w:sz="4" w:space="0"/>
              <w:right w:val="single" w:color="auto" w:sz="4" w:space="0"/>
            </w:tcBorders>
            <w:vAlign w:val="center"/>
          </w:tcPr>
          <w:p w14:paraId="62E54DAC">
            <w:pPr>
              <w:snapToGrid w:val="0"/>
              <w:jc w:val="center"/>
              <w:rPr>
                <w:rFonts w:ascii="宋体"/>
                <w:bCs/>
                <w:szCs w:val="21"/>
              </w:rPr>
            </w:pPr>
            <w:r>
              <w:rPr>
                <w:rFonts w:hint="eastAsia" w:ascii="宋体"/>
                <w:b/>
                <w:szCs w:val="21"/>
              </w:rPr>
              <w:t>/</w:t>
            </w:r>
          </w:p>
        </w:tc>
        <w:tc>
          <w:tcPr>
            <w:tcW w:w="1084" w:type="dxa"/>
            <w:tcBorders>
              <w:top w:val="nil"/>
              <w:left w:val="nil"/>
              <w:bottom w:val="single" w:color="auto" w:sz="4" w:space="0"/>
              <w:right w:val="single" w:color="auto" w:sz="4" w:space="0"/>
            </w:tcBorders>
            <w:vAlign w:val="center"/>
          </w:tcPr>
          <w:p w14:paraId="7DBFC9AB">
            <w:pPr>
              <w:snapToGrid w:val="0"/>
              <w:jc w:val="center"/>
              <w:rPr>
                <w:rFonts w:ascii="宋体"/>
                <w:bCs/>
                <w:szCs w:val="21"/>
              </w:rPr>
            </w:pPr>
            <w:r>
              <w:rPr>
                <w:rFonts w:hint="eastAsia" w:ascii="宋体"/>
                <w:b/>
                <w:szCs w:val="21"/>
              </w:rPr>
              <w:t>/</w:t>
            </w:r>
          </w:p>
        </w:tc>
      </w:tr>
      <w:tr w14:paraId="3E44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07" w:type="dxa"/>
            <w:vAlign w:val="center"/>
          </w:tcPr>
          <w:p w14:paraId="1DA01D02">
            <w:pPr>
              <w:widowControl/>
              <w:adjustRightInd w:val="0"/>
              <w:snapToGrid w:val="0"/>
              <w:jc w:val="center"/>
              <w:textAlignment w:val="center"/>
              <w:rPr>
                <w:rFonts w:ascii="宋体" w:hAnsi="宋体"/>
                <w:bCs/>
                <w:szCs w:val="21"/>
              </w:rPr>
            </w:pPr>
            <w:r>
              <w:rPr>
                <w:rFonts w:hint="eastAsia" w:ascii="宋体" w:hAnsi="宋体" w:cs="宋体"/>
                <w:kern w:val="0"/>
                <w:szCs w:val="21"/>
              </w:rPr>
              <w:t>7</w:t>
            </w:r>
          </w:p>
        </w:tc>
        <w:tc>
          <w:tcPr>
            <w:tcW w:w="2915" w:type="dxa"/>
            <w:vAlign w:val="center"/>
          </w:tcPr>
          <w:p w14:paraId="49665BE3">
            <w:pPr>
              <w:spacing w:line="240" w:lineRule="atLeast"/>
              <w:jc w:val="center"/>
              <w:rPr>
                <w:rFonts w:hint="eastAsia" w:ascii="宋体" w:hAnsi="宋体" w:cs="宋体"/>
                <w:kern w:val="0"/>
                <w:szCs w:val="21"/>
              </w:rPr>
            </w:pPr>
            <w:r>
              <w:rPr>
                <w:rFonts w:hint="eastAsia" w:ascii="宋体" w:hAnsi="宋体" w:eastAsia="宋体" w:cs="宋体"/>
                <w:kern w:val="2"/>
                <w:sz w:val="24"/>
                <w:szCs w:val="24"/>
                <w:lang w:val="en-US" w:eastAsia="zh-CN" w:bidi="ar-SA"/>
              </w:rPr>
              <w:t>产品功能性能配置要求</w:t>
            </w:r>
          </w:p>
        </w:tc>
        <w:tc>
          <w:tcPr>
            <w:tcW w:w="813" w:type="dxa"/>
            <w:vAlign w:val="center"/>
          </w:tcPr>
          <w:p w14:paraId="7B907DF9">
            <w:pPr>
              <w:snapToGrid w:val="0"/>
              <w:ind w:left="44" w:leftChars="21"/>
              <w:jc w:val="center"/>
              <w:textAlignment w:val="baseline"/>
              <w:rPr>
                <w:rFonts w:hint="default" w:ascii="宋体" w:hAnsi="宋体" w:cs="宋体"/>
                <w:kern w:val="0"/>
                <w:szCs w:val="21"/>
                <w:lang w:val="en-US" w:eastAsia="zh-CN"/>
              </w:rPr>
            </w:pPr>
            <w:r>
              <w:rPr>
                <w:rFonts w:hint="eastAsia" w:ascii="宋体" w:hAnsi="宋体" w:cs="宋体"/>
                <w:color w:val="auto"/>
                <w:spacing w:val="-6"/>
                <w:sz w:val="24"/>
                <w:szCs w:val="24"/>
                <w:lang w:val="en-US" w:eastAsia="zh-CN"/>
              </w:rPr>
              <w:t>8分</w:t>
            </w:r>
          </w:p>
        </w:tc>
        <w:tc>
          <w:tcPr>
            <w:tcW w:w="808" w:type="dxa"/>
            <w:vAlign w:val="center"/>
          </w:tcPr>
          <w:p w14:paraId="695888DA">
            <w:pPr>
              <w:jc w:val="center"/>
              <w:rPr>
                <w:rFonts w:ascii="宋体"/>
                <w:bCs/>
                <w:szCs w:val="21"/>
              </w:rPr>
            </w:pPr>
          </w:p>
        </w:tc>
        <w:tc>
          <w:tcPr>
            <w:tcW w:w="3258" w:type="dxa"/>
            <w:vAlign w:val="center"/>
          </w:tcPr>
          <w:p w14:paraId="060D6899">
            <w:pPr>
              <w:snapToGrid w:val="0"/>
              <w:jc w:val="center"/>
              <w:rPr>
                <w:rFonts w:ascii="宋体"/>
                <w:bCs/>
                <w:szCs w:val="21"/>
              </w:rPr>
            </w:pPr>
            <w:r>
              <w:rPr>
                <w:rFonts w:hint="eastAsia" w:ascii="宋体"/>
                <w:b/>
                <w:szCs w:val="21"/>
              </w:rPr>
              <w:t>/</w:t>
            </w:r>
          </w:p>
        </w:tc>
        <w:tc>
          <w:tcPr>
            <w:tcW w:w="1084" w:type="dxa"/>
            <w:vAlign w:val="center"/>
          </w:tcPr>
          <w:p w14:paraId="72FDCCF6">
            <w:pPr>
              <w:snapToGrid w:val="0"/>
              <w:jc w:val="center"/>
              <w:rPr>
                <w:rFonts w:ascii="宋体"/>
                <w:bCs/>
                <w:szCs w:val="21"/>
              </w:rPr>
            </w:pPr>
            <w:r>
              <w:rPr>
                <w:rFonts w:hint="eastAsia" w:ascii="宋体"/>
                <w:b/>
                <w:szCs w:val="21"/>
              </w:rPr>
              <w:t>/</w:t>
            </w:r>
          </w:p>
        </w:tc>
      </w:tr>
      <w:tr w14:paraId="5FA3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07" w:type="dxa"/>
            <w:vAlign w:val="center"/>
          </w:tcPr>
          <w:p w14:paraId="776E80A1">
            <w:pPr>
              <w:widowControl/>
              <w:adjustRightInd w:val="0"/>
              <w:snapToGrid w:val="0"/>
              <w:jc w:val="center"/>
              <w:textAlignment w:val="center"/>
              <w:rPr>
                <w:rFonts w:hint="eastAsia" w:ascii="宋体" w:hAnsi="宋体" w:cs="宋体"/>
                <w:kern w:val="0"/>
                <w:szCs w:val="21"/>
              </w:rPr>
            </w:pPr>
            <w:r>
              <w:rPr>
                <w:rFonts w:hint="eastAsia" w:ascii="宋体" w:hAnsi="宋体" w:cs="宋体"/>
                <w:kern w:val="0"/>
                <w:szCs w:val="21"/>
                <w:lang w:val="en-US" w:eastAsia="zh-CN"/>
              </w:rPr>
              <w:t>8</w:t>
            </w:r>
          </w:p>
        </w:tc>
        <w:tc>
          <w:tcPr>
            <w:tcW w:w="2915" w:type="dxa"/>
            <w:vAlign w:val="center"/>
          </w:tcPr>
          <w:p w14:paraId="55B6A7E9">
            <w:pPr>
              <w:spacing w:line="240" w:lineRule="atLeast"/>
              <w:jc w:val="center"/>
              <w:rPr>
                <w:rFonts w:hint="eastAsia" w:ascii="宋体" w:hAnsi="宋体" w:cs="宋体"/>
                <w:kern w:val="0"/>
                <w:szCs w:val="21"/>
              </w:rPr>
            </w:pPr>
            <w:r>
              <w:rPr>
                <w:rFonts w:hint="eastAsia" w:ascii="宋体" w:hAnsi="宋体" w:eastAsia="宋体" w:cs="宋体"/>
                <w:kern w:val="2"/>
                <w:sz w:val="24"/>
                <w:szCs w:val="24"/>
                <w:highlight w:val="none"/>
                <w:lang w:val="en-US" w:eastAsia="zh-CN" w:bidi="ar-SA"/>
              </w:rPr>
              <w:t>信息化管理</w:t>
            </w:r>
          </w:p>
        </w:tc>
        <w:tc>
          <w:tcPr>
            <w:tcW w:w="813" w:type="dxa"/>
            <w:vAlign w:val="center"/>
          </w:tcPr>
          <w:p w14:paraId="42084333">
            <w:pPr>
              <w:snapToGrid w:val="0"/>
              <w:ind w:left="44" w:leftChars="21"/>
              <w:jc w:val="center"/>
              <w:textAlignment w:val="baseline"/>
              <w:rPr>
                <w:rFonts w:hint="default" w:ascii="宋体" w:hAnsi="宋体" w:cs="宋体"/>
                <w:kern w:val="0"/>
                <w:szCs w:val="21"/>
                <w:lang w:val="en-US" w:eastAsia="zh-CN"/>
              </w:rPr>
            </w:pPr>
            <w:r>
              <w:rPr>
                <w:rFonts w:hint="eastAsia" w:ascii="宋体" w:hAnsi="宋体" w:cs="宋体"/>
                <w:color w:val="auto"/>
                <w:spacing w:val="-6"/>
                <w:sz w:val="24"/>
                <w:szCs w:val="24"/>
                <w:lang w:val="en-US" w:eastAsia="zh-CN"/>
              </w:rPr>
              <w:t>4分</w:t>
            </w:r>
          </w:p>
        </w:tc>
        <w:tc>
          <w:tcPr>
            <w:tcW w:w="808" w:type="dxa"/>
            <w:vAlign w:val="center"/>
          </w:tcPr>
          <w:p w14:paraId="64887571">
            <w:pPr>
              <w:jc w:val="center"/>
              <w:rPr>
                <w:rFonts w:ascii="宋体"/>
                <w:bCs/>
                <w:szCs w:val="21"/>
              </w:rPr>
            </w:pPr>
          </w:p>
        </w:tc>
        <w:tc>
          <w:tcPr>
            <w:tcW w:w="3258" w:type="dxa"/>
            <w:vAlign w:val="center"/>
          </w:tcPr>
          <w:p w14:paraId="12ADCB6B">
            <w:pPr>
              <w:snapToGrid w:val="0"/>
              <w:jc w:val="center"/>
              <w:rPr>
                <w:rFonts w:hint="eastAsia" w:ascii="宋体" w:hAnsi="宋体" w:cs="宋体"/>
                <w:b/>
                <w:bCs/>
                <w:szCs w:val="21"/>
                <w:shd w:val="pct10" w:color="auto" w:fill="FFFFFF"/>
              </w:rPr>
            </w:pPr>
            <w:r>
              <w:rPr>
                <w:rFonts w:hint="eastAsia" w:ascii="宋体"/>
                <w:b/>
                <w:szCs w:val="21"/>
              </w:rPr>
              <w:t>/</w:t>
            </w:r>
          </w:p>
        </w:tc>
        <w:tc>
          <w:tcPr>
            <w:tcW w:w="1084" w:type="dxa"/>
            <w:vAlign w:val="center"/>
          </w:tcPr>
          <w:p w14:paraId="31F03196">
            <w:pPr>
              <w:snapToGrid w:val="0"/>
              <w:jc w:val="center"/>
              <w:rPr>
                <w:rFonts w:ascii="宋体"/>
                <w:bCs/>
                <w:szCs w:val="21"/>
              </w:rPr>
            </w:pPr>
            <w:r>
              <w:rPr>
                <w:rFonts w:hint="eastAsia" w:ascii="宋体"/>
                <w:b/>
                <w:szCs w:val="21"/>
              </w:rPr>
              <w:t>/</w:t>
            </w:r>
          </w:p>
        </w:tc>
      </w:tr>
      <w:tr w14:paraId="5BC2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07" w:type="dxa"/>
            <w:vAlign w:val="center"/>
          </w:tcPr>
          <w:p w14:paraId="04CC25D7">
            <w:pPr>
              <w:widowControl/>
              <w:adjustRightInd w:val="0"/>
              <w:snapToGrid w:val="0"/>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9</w:t>
            </w:r>
          </w:p>
        </w:tc>
        <w:tc>
          <w:tcPr>
            <w:tcW w:w="2915" w:type="dxa"/>
            <w:vAlign w:val="center"/>
          </w:tcPr>
          <w:p w14:paraId="325C8499">
            <w:pPr>
              <w:spacing w:line="240" w:lineRule="atLeast"/>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highlight w:val="none"/>
                <w:lang w:val="en-US" w:eastAsia="zh-CN" w:bidi="ar-SA"/>
              </w:rPr>
              <w:t>增值服务与创新举措</w:t>
            </w:r>
          </w:p>
        </w:tc>
        <w:tc>
          <w:tcPr>
            <w:tcW w:w="813" w:type="dxa"/>
            <w:vAlign w:val="center"/>
          </w:tcPr>
          <w:p w14:paraId="25817A57">
            <w:pPr>
              <w:snapToGrid w:val="0"/>
              <w:ind w:left="44" w:leftChars="21"/>
              <w:jc w:val="center"/>
              <w:textAlignment w:val="baseline"/>
              <w:rPr>
                <w:rFonts w:hint="default" w:ascii="宋体" w:hAnsi="宋体" w:cs="宋体"/>
                <w:spacing w:val="-6"/>
                <w:sz w:val="24"/>
                <w:szCs w:val="24"/>
                <w:lang w:val="en-US" w:eastAsia="zh-CN"/>
              </w:rPr>
            </w:pPr>
            <w:r>
              <w:rPr>
                <w:rFonts w:hint="eastAsia" w:ascii="宋体" w:hAnsi="宋体" w:cs="宋体"/>
                <w:color w:val="auto"/>
                <w:spacing w:val="-6"/>
                <w:sz w:val="24"/>
                <w:szCs w:val="24"/>
                <w:lang w:val="en-US" w:eastAsia="zh-CN"/>
              </w:rPr>
              <w:t>8分</w:t>
            </w:r>
          </w:p>
        </w:tc>
        <w:tc>
          <w:tcPr>
            <w:tcW w:w="808" w:type="dxa"/>
            <w:tcBorders>
              <w:bottom w:val="single" w:color="auto" w:sz="4" w:space="0"/>
            </w:tcBorders>
            <w:vAlign w:val="center"/>
          </w:tcPr>
          <w:p w14:paraId="62A3491B">
            <w:pPr>
              <w:pStyle w:val="14"/>
              <w:ind w:firstLine="400"/>
              <w:jc w:val="center"/>
              <w:rPr>
                <w:rFonts w:ascii="宋体"/>
                <w:bCs/>
                <w:sz w:val="21"/>
                <w:szCs w:val="21"/>
              </w:rPr>
            </w:pPr>
          </w:p>
        </w:tc>
        <w:tc>
          <w:tcPr>
            <w:tcW w:w="3258" w:type="dxa"/>
            <w:tcBorders>
              <w:top w:val="nil"/>
              <w:left w:val="nil"/>
              <w:bottom w:val="single" w:color="auto" w:sz="4" w:space="0"/>
              <w:right w:val="single" w:color="auto" w:sz="4" w:space="0"/>
            </w:tcBorders>
            <w:vAlign w:val="center"/>
          </w:tcPr>
          <w:p w14:paraId="37DC2961">
            <w:pPr>
              <w:snapToGrid w:val="0"/>
              <w:jc w:val="center"/>
              <w:rPr>
                <w:rFonts w:hint="eastAsia" w:ascii="宋体"/>
                <w:b/>
                <w:szCs w:val="21"/>
              </w:rPr>
            </w:pPr>
          </w:p>
        </w:tc>
        <w:tc>
          <w:tcPr>
            <w:tcW w:w="1084" w:type="dxa"/>
            <w:tcBorders>
              <w:top w:val="nil"/>
              <w:left w:val="nil"/>
              <w:bottom w:val="single" w:color="auto" w:sz="4" w:space="0"/>
              <w:right w:val="single" w:color="auto" w:sz="4" w:space="0"/>
            </w:tcBorders>
            <w:vAlign w:val="center"/>
          </w:tcPr>
          <w:p w14:paraId="5BEFF7F3">
            <w:pPr>
              <w:snapToGrid w:val="0"/>
              <w:jc w:val="center"/>
              <w:rPr>
                <w:rFonts w:hint="eastAsia" w:ascii="宋体"/>
                <w:b/>
                <w:szCs w:val="21"/>
              </w:rPr>
            </w:pPr>
          </w:p>
        </w:tc>
      </w:tr>
      <w:tr w14:paraId="1CCA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7" w:type="dxa"/>
            <w:vAlign w:val="center"/>
          </w:tcPr>
          <w:p w14:paraId="3CBA35F7">
            <w:pPr>
              <w:widowControl/>
              <w:adjustRightInd w:val="0"/>
              <w:snapToGrid w:val="0"/>
              <w:jc w:val="center"/>
              <w:textAlignment w:val="center"/>
              <w:rPr>
                <w:rFonts w:hint="default" w:ascii="宋体" w:hAnsi="宋体" w:cs="宋体"/>
                <w:kern w:val="0"/>
                <w:szCs w:val="21"/>
                <w:lang w:val="en-US"/>
              </w:rPr>
            </w:pPr>
            <w:r>
              <w:rPr>
                <w:rFonts w:hint="eastAsia" w:ascii="宋体" w:hAnsi="宋体" w:cs="宋体"/>
                <w:kern w:val="0"/>
                <w:szCs w:val="21"/>
                <w:lang w:val="en-US" w:eastAsia="zh-CN"/>
              </w:rPr>
              <w:t>10</w:t>
            </w:r>
          </w:p>
        </w:tc>
        <w:tc>
          <w:tcPr>
            <w:tcW w:w="2915" w:type="dxa"/>
            <w:vAlign w:val="center"/>
          </w:tcPr>
          <w:p w14:paraId="6014E83C">
            <w:pPr>
              <w:spacing w:line="240" w:lineRule="atLeast"/>
              <w:jc w:val="center"/>
              <w:rPr>
                <w:rFonts w:hint="eastAsia" w:ascii="宋体" w:hAnsi="宋体" w:cs="宋体"/>
                <w:kern w:val="0"/>
                <w:szCs w:val="21"/>
              </w:rPr>
            </w:pPr>
            <w:r>
              <w:rPr>
                <w:rFonts w:hint="eastAsia" w:ascii="宋体" w:hAnsi="宋体" w:eastAsia="宋体" w:cs="宋体"/>
                <w:kern w:val="2"/>
                <w:sz w:val="24"/>
                <w:szCs w:val="24"/>
                <w:lang w:val="en-US" w:eastAsia="zh-CN" w:bidi="ar-SA"/>
              </w:rPr>
              <w:t>进度计划及进度保障措施</w:t>
            </w:r>
          </w:p>
        </w:tc>
        <w:tc>
          <w:tcPr>
            <w:tcW w:w="813" w:type="dxa"/>
            <w:vAlign w:val="center"/>
          </w:tcPr>
          <w:p w14:paraId="28CBCB84">
            <w:pPr>
              <w:snapToGrid w:val="0"/>
              <w:ind w:left="44" w:leftChars="21"/>
              <w:jc w:val="center"/>
              <w:textAlignment w:val="baseline"/>
              <w:rPr>
                <w:rFonts w:hint="eastAsia" w:ascii="宋体" w:hAnsi="宋体" w:cs="宋体"/>
                <w:kern w:val="0"/>
                <w:szCs w:val="21"/>
                <w:lang w:val="en-US" w:eastAsia="zh-CN"/>
              </w:rPr>
            </w:pPr>
            <w:r>
              <w:rPr>
                <w:rFonts w:hint="eastAsia" w:ascii="宋体" w:hAnsi="宋体" w:cs="宋体"/>
                <w:color w:val="auto"/>
                <w:spacing w:val="-6"/>
                <w:sz w:val="24"/>
                <w:szCs w:val="24"/>
                <w:lang w:val="en-US" w:eastAsia="zh-CN"/>
              </w:rPr>
              <w:t>4分</w:t>
            </w:r>
          </w:p>
        </w:tc>
        <w:tc>
          <w:tcPr>
            <w:tcW w:w="808" w:type="dxa"/>
            <w:tcBorders>
              <w:bottom w:val="single" w:color="auto" w:sz="4" w:space="0"/>
            </w:tcBorders>
            <w:vAlign w:val="center"/>
          </w:tcPr>
          <w:p w14:paraId="5A039A0F">
            <w:pPr>
              <w:pStyle w:val="14"/>
              <w:ind w:firstLine="400"/>
              <w:jc w:val="center"/>
              <w:rPr>
                <w:rFonts w:ascii="宋体"/>
                <w:bCs/>
                <w:sz w:val="21"/>
                <w:szCs w:val="21"/>
              </w:rPr>
            </w:pPr>
          </w:p>
        </w:tc>
        <w:tc>
          <w:tcPr>
            <w:tcW w:w="3258" w:type="dxa"/>
            <w:tcBorders>
              <w:top w:val="nil"/>
              <w:left w:val="nil"/>
              <w:bottom w:val="single" w:color="auto" w:sz="4" w:space="0"/>
              <w:right w:val="single" w:color="auto" w:sz="4" w:space="0"/>
            </w:tcBorders>
            <w:vAlign w:val="center"/>
          </w:tcPr>
          <w:p w14:paraId="42D49ACA">
            <w:pPr>
              <w:snapToGrid w:val="0"/>
              <w:jc w:val="center"/>
              <w:rPr>
                <w:rFonts w:ascii="宋体"/>
                <w:bCs/>
                <w:sz w:val="21"/>
                <w:szCs w:val="21"/>
              </w:rPr>
            </w:pPr>
            <w:r>
              <w:rPr>
                <w:rFonts w:hint="eastAsia" w:ascii="宋体"/>
                <w:b/>
                <w:szCs w:val="21"/>
              </w:rPr>
              <w:t>/</w:t>
            </w:r>
          </w:p>
        </w:tc>
        <w:tc>
          <w:tcPr>
            <w:tcW w:w="1084" w:type="dxa"/>
            <w:tcBorders>
              <w:top w:val="nil"/>
              <w:left w:val="nil"/>
              <w:bottom w:val="single" w:color="auto" w:sz="4" w:space="0"/>
              <w:right w:val="single" w:color="auto" w:sz="4" w:space="0"/>
            </w:tcBorders>
            <w:vAlign w:val="center"/>
          </w:tcPr>
          <w:p w14:paraId="4A52E6D7">
            <w:pPr>
              <w:snapToGrid w:val="0"/>
              <w:jc w:val="center"/>
              <w:rPr>
                <w:rFonts w:ascii="宋体"/>
                <w:bCs/>
                <w:sz w:val="21"/>
                <w:szCs w:val="21"/>
              </w:rPr>
            </w:pPr>
            <w:r>
              <w:rPr>
                <w:rFonts w:hint="eastAsia" w:ascii="宋体"/>
                <w:b/>
                <w:szCs w:val="21"/>
              </w:rPr>
              <w:t>/</w:t>
            </w:r>
          </w:p>
        </w:tc>
      </w:tr>
      <w:tr w14:paraId="5A7D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7" w:type="dxa"/>
            <w:vAlign w:val="center"/>
          </w:tcPr>
          <w:p w14:paraId="0D04E120">
            <w:pPr>
              <w:widowControl/>
              <w:adjustRightInd w:val="0"/>
              <w:snapToGrid w:val="0"/>
              <w:jc w:val="center"/>
              <w:textAlignment w:val="center"/>
              <w:rPr>
                <w:rFonts w:ascii="宋体" w:hAnsi="宋体" w:cs="宋体"/>
                <w:kern w:val="0"/>
                <w:szCs w:val="21"/>
              </w:rPr>
            </w:pPr>
            <w:r>
              <w:rPr>
                <w:rFonts w:hint="eastAsia" w:ascii="宋体" w:hAnsi="宋体" w:cs="宋体"/>
                <w:kern w:val="0"/>
                <w:szCs w:val="21"/>
                <w:lang w:val="en-US" w:eastAsia="zh-CN"/>
              </w:rPr>
              <w:t>11</w:t>
            </w:r>
          </w:p>
        </w:tc>
        <w:tc>
          <w:tcPr>
            <w:tcW w:w="2915" w:type="dxa"/>
            <w:vAlign w:val="center"/>
          </w:tcPr>
          <w:p w14:paraId="0A1F2574">
            <w:pPr>
              <w:spacing w:line="240" w:lineRule="atLeast"/>
              <w:jc w:val="center"/>
              <w:rPr>
                <w:rFonts w:hint="eastAsia" w:ascii="宋体" w:hAnsi="宋体" w:cs="宋体"/>
                <w:kern w:val="0"/>
                <w:szCs w:val="21"/>
              </w:rPr>
            </w:pPr>
            <w:r>
              <w:rPr>
                <w:rFonts w:hint="eastAsia" w:ascii="宋体" w:hAnsi="宋体" w:eastAsia="宋体" w:cs="宋体"/>
                <w:kern w:val="2"/>
                <w:sz w:val="24"/>
                <w:szCs w:val="24"/>
                <w:lang w:val="en-US" w:eastAsia="zh-CN" w:bidi="ar-SA"/>
              </w:rPr>
              <w:t>质保期</w:t>
            </w:r>
          </w:p>
        </w:tc>
        <w:tc>
          <w:tcPr>
            <w:tcW w:w="813" w:type="dxa"/>
            <w:vAlign w:val="center"/>
          </w:tcPr>
          <w:p w14:paraId="6296166E">
            <w:pPr>
              <w:snapToGrid w:val="0"/>
              <w:ind w:left="44" w:leftChars="21"/>
              <w:jc w:val="center"/>
              <w:textAlignment w:val="baseline"/>
              <w:rPr>
                <w:rFonts w:hint="eastAsia" w:ascii="宋体" w:hAnsi="宋体" w:cs="宋体"/>
                <w:kern w:val="0"/>
                <w:szCs w:val="21"/>
                <w:lang w:val="en-US" w:eastAsia="zh-CN"/>
              </w:rPr>
            </w:pPr>
            <w:r>
              <w:rPr>
                <w:rFonts w:hint="eastAsia" w:ascii="宋体" w:hAnsi="宋体" w:cs="宋体"/>
                <w:color w:val="auto"/>
                <w:spacing w:val="-6"/>
                <w:sz w:val="24"/>
                <w:szCs w:val="24"/>
                <w:lang w:val="en-US" w:eastAsia="zh-CN"/>
              </w:rPr>
              <w:t>3</w:t>
            </w:r>
            <w:r>
              <w:rPr>
                <w:rFonts w:hint="eastAsia" w:ascii="宋体" w:hAnsi="宋体" w:cs="宋体"/>
                <w:color w:val="auto"/>
                <w:spacing w:val="-6"/>
                <w:sz w:val="24"/>
                <w:szCs w:val="24"/>
              </w:rPr>
              <w:t>分</w:t>
            </w:r>
          </w:p>
        </w:tc>
        <w:tc>
          <w:tcPr>
            <w:tcW w:w="808" w:type="dxa"/>
            <w:tcBorders>
              <w:top w:val="single" w:color="auto" w:sz="4" w:space="0"/>
              <w:bottom w:val="single" w:color="auto" w:sz="4" w:space="0"/>
              <w:right w:val="single" w:color="auto" w:sz="4" w:space="0"/>
            </w:tcBorders>
            <w:vAlign w:val="center"/>
          </w:tcPr>
          <w:p w14:paraId="40E60AE5">
            <w:pPr>
              <w:pStyle w:val="14"/>
              <w:ind w:firstLine="400"/>
              <w:jc w:val="center"/>
              <w:rPr>
                <w:rFonts w:ascii="宋体"/>
                <w:bCs/>
                <w:sz w:val="21"/>
                <w:szCs w:val="21"/>
              </w:rPr>
            </w:pPr>
          </w:p>
        </w:tc>
        <w:tc>
          <w:tcPr>
            <w:tcW w:w="3258" w:type="dxa"/>
            <w:tcBorders>
              <w:top w:val="single" w:color="auto" w:sz="4" w:space="0"/>
              <w:left w:val="single" w:color="auto" w:sz="4" w:space="0"/>
              <w:bottom w:val="single" w:color="auto" w:sz="4" w:space="0"/>
              <w:right w:val="single" w:color="auto" w:sz="4" w:space="0"/>
            </w:tcBorders>
            <w:vAlign w:val="center"/>
          </w:tcPr>
          <w:p w14:paraId="61E6AAB9">
            <w:pPr>
              <w:jc w:val="center"/>
              <w:rPr>
                <w:rFonts w:ascii="宋体"/>
                <w:b/>
                <w:sz w:val="21"/>
                <w:szCs w:val="21"/>
              </w:rPr>
            </w:pPr>
            <w:r>
              <w:rPr>
                <w:rFonts w:hint="eastAsia" w:ascii="宋体" w:hAnsi="宋体" w:eastAsia="宋体" w:cs="宋体"/>
                <w:b/>
                <w:bCs/>
                <w:color w:val="auto"/>
                <w:kern w:val="0"/>
                <w:sz w:val="22"/>
                <w:szCs w:val="22"/>
                <w:highlight w:val="none"/>
                <w:shd w:val="pct10" w:color="auto" w:fill="FFFFFF"/>
              </w:rPr>
              <w:t>供应商务必将应标证书内容逐项详细填写齐全，以方便评委进行更加优质、高效的评审</w:t>
            </w:r>
          </w:p>
        </w:tc>
        <w:tc>
          <w:tcPr>
            <w:tcW w:w="1084" w:type="dxa"/>
            <w:tcBorders>
              <w:top w:val="single" w:color="auto" w:sz="4" w:space="0"/>
              <w:left w:val="single" w:color="auto" w:sz="4" w:space="0"/>
              <w:bottom w:val="single" w:color="auto" w:sz="4" w:space="0"/>
              <w:right w:val="single" w:color="auto" w:sz="4" w:space="0"/>
            </w:tcBorders>
            <w:vAlign w:val="center"/>
          </w:tcPr>
          <w:p w14:paraId="67AB01F3">
            <w:pPr>
              <w:jc w:val="center"/>
              <w:rPr>
                <w:rFonts w:ascii="宋体"/>
                <w:b/>
                <w:sz w:val="21"/>
                <w:szCs w:val="21"/>
              </w:rPr>
            </w:pPr>
            <w:r>
              <w:rPr>
                <w:rFonts w:hint="eastAsia" w:ascii="宋体" w:hAnsi="宋体" w:eastAsia="宋体" w:cs="宋体"/>
                <w:b/>
                <w:bCs/>
                <w:color w:val="auto"/>
                <w:kern w:val="0"/>
                <w:sz w:val="22"/>
                <w:szCs w:val="22"/>
                <w:highlight w:val="none"/>
                <w:shd w:val="pct10" w:color="auto" w:fill="FFFFFF"/>
              </w:rPr>
              <w:t>供应商将应得分值填写准确</w:t>
            </w:r>
          </w:p>
        </w:tc>
      </w:tr>
      <w:tr w14:paraId="6F6B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7" w:type="dxa"/>
            <w:vAlign w:val="center"/>
          </w:tcPr>
          <w:p w14:paraId="2B1069CF">
            <w:pPr>
              <w:widowControl/>
              <w:adjustRightInd w:val="0"/>
              <w:snapToGrid w:val="0"/>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12</w:t>
            </w:r>
          </w:p>
        </w:tc>
        <w:tc>
          <w:tcPr>
            <w:tcW w:w="2915" w:type="dxa"/>
            <w:vAlign w:val="center"/>
          </w:tcPr>
          <w:p w14:paraId="678A749A">
            <w:pPr>
              <w:spacing w:line="240" w:lineRule="atLeast"/>
              <w:jc w:val="center"/>
              <w:rPr>
                <w:rFonts w:hint="eastAsia" w:ascii="宋体" w:hAnsi="宋体" w:cs="宋体"/>
                <w:kern w:val="0"/>
                <w:szCs w:val="21"/>
              </w:rPr>
            </w:pPr>
            <w:r>
              <w:rPr>
                <w:rFonts w:hint="eastAsia" w:ascii="宋体" w:hAnsi="宋体" w:eastAsia="宋体" w:cs="宋体"/>
                <w:color w:val="000000"/>
                <w:sz w:val="24"/>
                <w:szCs w:val="24"/>
                <w:highlight w:val="none"/>
              </w:rPr>
              <w:t>质量控制措施</w:t>
            </w:r>
          </w:p>
        </w:tc>
        <w:tc>
          <w:tcPr>
            <w:tcW w:w="813" w:type="dxa"/>
            <w:vAlign w:val="center"/>
          </w:tcPr>
          <w:p w14:paraId="750972EB">
            <w:pPr>
              <w:snapToGrid w:val="0"/>
              <w:ind w:left="44" w:leftChars="21"/>
              <w:jc w:val="center"/>
              <w:textAlignment w:val="baseline"/>
              <w:rPr>
                <w:rFonts w:hint="eastAsia" w:ascii="宋体" w:hAnsi="宋体" w:cs="宋体"/>
                <w:kern w:val="0"/>
                <w:szCs w:val="21"/>
                <w:lang w:val="en-US" w:eastAsia="zh-CN"/>
              </w:rPr>
            </w:pPr>
            <w:r>
              <w:rPr>
                <w:rFonts w:hint="eastAsia" w:ascii="宋体" w:hAnsi="宋体" w:cs="宋体"/>
                <w:color w:val="auto"/>
                <w:spacing w:val="-6"/>
                <w:sz w:val="24"/>
                <w:szCs w:val="24"/>
                <w:lang w:val="en-US" w:eastAsia="zh-CN"/>
              </w:rPr>
              <w:t>2分</w:t>
            </w:r>
          </w:p>
        </w:tc>
        <w:tc>
          <w:tcPr>
            <w:tcW w:w="808" w:type="dxa"/>
            <w:tcBorders>
              <w:top w:val="single" w:color="auto" w:sz="4" w:space="0"/>
              <w:bottom w:val="single" w:color="auto" w:sz="4" w:space="0"/>
              <w:right w:val="single" w:color="auto" w:sz="4" w:space="0"/>
            </w:tcBorders>
            <w:vAlign w:val="center"/>
          </w:tcPr>
          <w:p w14:paraId="2DED39AD">
            <w:pPr>
              <w:pStyle w:val="14"/>
              <w:ind w:firstLine="400"/>
              <w:jc w:val="center"/>
              <w:rPr>
                <w:rFonts w:ascii="宋体"/>
                <w:bCs/>
                <w:sz w:val="21"/>
                <w:szCs w:val="21"/>
              </w:rPr>
            </w:pPr>
          </w:p>
        </w:tc>
        <w:tc>
          <w:tcPr>
            <w:tcW w:w="3258" w:type="dxa"/>
            <w:tcBorders>
              <w:top w:val="single" w:color="auto" w:sz="4" w:space="0"/>
              <w:left w:val="single" w:color="auto" w:sz="4" w:space="0"/>
              <w:bottom w:val="single" w:color="auto" w:sz="4" w:space="0"/>
              <w:right w:val="single" w:color="auto" w:sz="4" w:space="0"/>
            </w:tcBorders>
            <w:vAlign w:val="center"/>
          </w:tcPr>
          <w:p w14:paraId="47C5E38A">
            <w:pPr>
              <w:snapToGrid w:val="0"/>
              <w:jc w:val="center"/>
              <w:rPr>
                <w:rFonts w:hint="eastAsia" w:ascii="宋体"/>
                <w:b/>
                <w:szCs w:val="21"/>
              </w:rPr>
            </w:pPr>
            <w:r>
              <w:rPr>
                <w:rFonts w:hint="eastAsia" w:ascii="宋体"/>
                <w:b/>
                <w:szCs w:val="21"/>
              </w:rPr>
              <w:t>/</w:t>
            </w:r>
          </w:p>
        </w:tc>
        <w:tc>
          <w:tcPr>
            <w:tcW w:w="1084" w:type="dxa"/>
            <w:tcBorders>
              <w:top w:val="single" w:color="auto" w:sz="4" w:space="0"/>
              <w:left w:val="single" w:color="auto" w:sz="4" w:space="0"/>
              <w:bottom w:val="single" w:color="auto" w:sz="4" w:space="0"/>
              <w:right w:val="single" w:color="auto" w:sz="4" w:space="0"/>
            </w:tcBorders>
            <w:vAlign w:val="center"/>
          </w:tcPr>
          <w:p w14:paraId="052946FA">
            <w:pPr>
              <w:snapToGrid w:val="0"/>
              <w:jc w:val="center"/>
              <w:rPr>
                <w:rFonts w:hint="eastAsia" w:ascii="宋体"/>
                <w:b/>
                <w:szCs w:val="21"/>
              </w:rPr>
            </w:pPr>
            <w:r>
              <w:rPr>
                <w:rFonts w:hint="eastAsia" w:ascii="宋体"/>
                <w:b/>
                <w:szCs w:val="21"/>
              </w:rPr>
              <w:t>/</w:t>
            </w:r>
          </w:p>
        </w:tc>
      </w:tr>
      <w:tr w14:paraId="0E3D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07" w:type="dxa"/>
            <w:vAlign w:val="center"/>
          </w:tcPr>
          <w:p w14:paraId="42751FB6">
            <w:pPr>
              <w:widowControl/>
              <w:adjustRightInd w:val="0"/>
              <w:snapToGrid w:val="0"/>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13</w:t>
            </w:r>
          </w:p>
        </w:tc>
        <w:tc>
          <w:tcPr>
            <w:tcW w:w="2915" w:type="dxa"/>
            <w:vAlign w:val="center"/>
          </w:tcPr>
          <w:p w14:paraId="00CB247B">
            <w:pPr>
              <w:spacing w:line="240" w:lineRule="atLeast"/>
              <w:jc w:val="center"/>
              <w:rPr>
                <w:rFonts w:hint="eastAsia" w:ascii="宋体" w:hAnsi="宋体" w:cs="宋体"/>
                <w:kern w:val="0"/>
                <w:szCs w:val="21"/>
              </w:rPr>
            </w:pPr>
            <w:r>
              <w:rPr>
                <w:rFonts w:hint="eastAsia" w:ascii="宋体" w:hAnsi="宋体" w:eastAsia="宋体" w:cs="宋体"/>
                <w:kern w:val="2"/>
                <w:sz w:val="24"/>
                <w:szCs w:val="24"/>
                <w:lang w:val="en-US" w:eastAsia="zh-CN" w:bidi="ar-SA"/>
              </w:rPr>
              <w:t>应急预案及安全保障措施</w:t>
            </w:r>
          </w:p>
        </w:tc>
        <w:tc>
          <w:tcPr>
            <w:tcW w:w="813" w:type="dxa"/>
            <w:vAlign w:val="center"/>
          </w:tcPr>
          <w:p w14:paraId="0DB0895A">
            <w:pPr>
              <w:snapToGrid w:val="0"/>
              <w:ind w:left="44" w:leftChars="21"/>
              <w:jc w:val="center"/>
              <w:textAlignment w:val="baseline"/>
              <w:rPr>
                <w:rFonts w:hint="eastAsia" w:ascii="宋体" w:hAnsi="宋体" w:cs="宋体"/>
                <w:kern w:val="0"/>
                <w:szCs w:val="21"/>
                <w:lang w:val="en-US" w:eastAsia="zh-CN"/>
              </w:rPr>
            </w:pPr>
            <w:r>
              <w:rPr>
                <w:rFonts w:hint="eastAsia" w:ascii="宋体" w:hAnsi="宋体" w:cs="宋体"/>
                <w:color w:val="auto"/>
                <w:spacing w:val="-6"/>
                <w:sz w:val="24"/>
                <w:szCs w:val="24"/>
                <w:lang w:val="en-US" w:eastAsia="zh-CN"/>
              </w:rPr>
              <w:t>2</w:t>
            </w:r>
            <w:r>
              <w:rPr>
                <w:rFonts w:hint="eastAsia" w:ascii="宋体" w:hAnsi="宋体" w:cs="宋体"/>
                <w:color w:val="auto"/>
                <w:spacing w:val="-6"/>
                <w:sz w:val="24"/>
                <w:szCs w:val="24"/>
              </w:rPr>
              <w:t>分</w:t>
            </w:r>
          </w:p>
        </w:tc>
        <w:tc>
          <w:tcPr>
            <w:tcW w:w="808" w:type="dxa"/>
            <w:tcBorders>
              <w:top w:val="single" w:color="auto" w:sz="4" w:space="0"/>
              <w:bottom w:val="single" w:color="auto" w:sz="4" w:space="0"/>
              <w:right w:val="single" w:color="auto" w:sz="4" w:space="0"/>
            </w:tcBorders>
            <w:vAlign w:val="center"/>
          </w:tcPr>
          <w:p w14:paraId="1BB25EF7">
            <w:pPr>
              <w:pStyle w:val="14"/>
              <w:ind w:firstLine="400"/>
              <w:jc w:val="center"/>
              <w:rPr>
                <w:rFonts w:ascii="宋体"/>
                <w:bCs/>
                <w:sz w:val="21"/>
                <w:szCs w:val="21"/>
              </w:rPr>
            </w:pPr>
          </w:p>
        </w:tc>
        <w:tc>
          <w:tcPr>
            <w:tcW w:w="3258" w:type="dxa"/>
            <w:tcBorders>
              <w:top w:val="single" w:color="auto" w:sz="4" w:space="0"/>
              <w:left w:val="single" w:color="auto" w:sz="4" w:space="0"/>
              <w:bottom w:val="single" w:color="auto" w:sz="4" w:space="0"/>
              <w:right w:val="single" w:color="auto" w:sz="4" w:space="0"/>
            </w:tcBorders>
            <w:vAlign w:val="center"/>
          </w:tcPr>
          <w:p w14:paraId="71604852">
            <w:pPr>
              <w:snapToGrid w:val="0"/>
              <w:jc w:val="center"/>
              <w:rPr>
                <w:rFonts w:hint="eastAsia" w:ascii="宋体"/>
                <w:b/>
                <w:szCs w:val="21"/>
              </w:rPr>
            </w:pPr>
            <w:r>
              <w:rPr>
                <w:rFonts w:hint="eastAsia" w:ascii="宋体"/>
                <w:b/>
                <w:szCs w:val="21"/>
              </w:rPr>
              <w:t>/</w:t>
            </w:r>
          </w:p>
        </w:tc>
        <w:tc>
          <w:tcPr>
            <w:tcW w:w="1084" w:type="dxa"/>
            <w:tcBorders>
              <w:top w:val="single" w:color="auto" w:sz="4" w:space="0"/>
              <w:left w:val="single" w:color="auto" w:sz="4" w:space="0"/>
              <w:bottom w:val="single" w:color="auto" w:sz="4" w:space="0"/>
              <w:right w:val="single" w:color="auto" w:sz="4" w:space="0"/>
            </w:tcBorders>
            <w:vAlign w:val="center"/>
          </w:tcPr>
          <w:p w14:paraId="36069F49">
            <w:pPr>
              <w:snapToGrid w:val="0"/>
              <w:jc w:val="center"/>
              <w:rPr>
                <w:rFonts w:hint="eastAsia" w:ascii="宋体"/>
                <w:b/>
                <w:szCs w:val="21"/>
              </w:rPr>
            </w:pPr>
            <w:r>
              <w:rPr>
                <w:rFonts w:hint="eastAsia" w:ascii="宋体"/>
                <w:b/>
                <w:szCs w:val="21"/>
              </w:rPr>
              <w:t>/</w:t>
            </w:r>
          </w:p>
        </w:tc>
      </w:tr>
      <w:tr w14:paraId="127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7" w:type="dxa"/>
            <w:vAlign w:val="center"/>
          </w:tcPr>
          <w:p w14:paraId="23710027">
            <w:pPr>
              <w:widowControl/>
              <w:adjustRightInd w:val="0"/>
              <w:snapToGrid w:val="0"/>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2915" w:type="dxa"/>
            <w:vAlign w:val="center"/>
          </w:tcPr>
          <w:p w14:paraId="59DAB26A">
            <w:pPr>
              <w:spacing w:line="240" w:lineRule="atLeast"/>
              <w:jc w:val="center"/>
              <w:rPr>
                <w:rFonts w:hint="eastAsia" w:ascii="宋体" w:hAnsi="宋体" w:cs="宋体"/>
                <w:kern w:val="0"/>
                <w:szCs w:val="21"/>
              </w:rPr>
            </w:pPr>
            <w:r>
              <w:rPr>
                <w:rFonts w:hint="eastAsia" w:ascii="宋体" w:hAnsi="宋体" w:eastAsia="宋体" w:cs="宋体"/>
                <w:kern w:val="2"/>
                <w:sz w:val="24"/>
                <w:szCs w:val="24"/>
                <w:lang w:val="en-US" w:eastAsia="zh-CN" w:bidi="ar-SA"/>
              </w:rPr>
              <w:t>售后服务</w:t>
            </w:r>
          </w:p>
        </w:tc>
        <w:tc>
          <w:tcPr>
            <w:tcW w:w="813" w:type="dxa"/>
            <w:vAlign w:val="center"/>
          </w:tcPr>
          <w:p w14:paraId="1246A9E1">
            <w:pPr>
              <w:snapToGrid w:val="0"/>
              <w:ind w:left="44" w:leftChars="21"/>
              <w:jc w:val="center"/>
              <w:textAlignment w:val="baseline"/>
              <w:rPr>
                <w:rFonts w:hint="eastAsia" w:ascii="宋体" w:hAnsi="宋体" w:cs="宋体"/>
                <w:kern w:val="0"/>
                <w:szCs w:val="21"/>
                <w:lang w:val="en-US" w:eastAsia="zh-CN"/>
              </w:rPr>
            </w:pPr>
            <w:r>
              <w:rPr>
                <w:rFonts w:hint="eastAsia" w:ascii="宋体" w:hAnsi="宋体" w:cs="宋体"/>
                <w:color w:val="auto"/>
                <w:spacing w:val="-6"/>
                <w:sz w:val="24"/>
                <w:szCs w:val="24"/>
                <w:lang w:val="en-US" w:eastAsia="zh-CN"/>
              </w:rPr>
              <w:t>3</w:t>
            </w:r>
            <w:r>
              <w:rPr>
                <w:rFonts w:hint="default" w:ascii="宋体" w:hAnsi="宋体" w:cs="宋体"/>
                <w:color w:val="auto"/>
                <w:spacing w:val="-6"/>
                <w:sz w:val="24"/>
                <w:szCs w:val="24"/>
                <w:lang w:val="en-US"/>
              </w:rPr>
              <w:t>分</w:t>
            </w:r>
          </w:p>
        </w:tc>
        <w:tc>
          <w:tcPr>
            <w:tcW w:w="808" w:type="dxa"/>
            <w:tcBorders>
              <w:top w:val="single" w:color="auto" w:sz="4" w:space="0"/>
              <w:bottom w:val="single" w:color="auto" w:sz="4" w:space="0"/>
              <w:right w:val="single" w:color="auto" w:sz="4" w:space="0"/>
            </w:tcBorders>
            <w:vAlign w:val="center"/>
          </w:tcPr>
          <w:p w14:paraId="637B5B0F">
            <w:pPr>
              <w:pStyle w:val="14"/>
              <w:ind w:firstLine="400"/>
              <w:jc w:val="center"/>
              <w:rPr>
                <w:rFonts w:ascii="宋体"/>
                <w:bCs/>
                <w:sz w:val="21"/>
                <w:szCs w:val="21"/>
              </w:rPr>
            </w:pPr>
          </w:p>
        </w:tc>
        <w:tc>
          <w:tcPr>
            <w:tcW w:w="3258" w:type="dxa"/>
            <w:tcBorders>
              <w:top w:val="single" w:color="auto" w:sz="4" w:space="0"/>
              <w:left w:val="single" w:color="auto" w:sz="4" w:space="0"/>
              <w:bottom w:val="single" w:color="auto" w:sz="4" w:space="0"/>
              <w:right w:val="single" w:color="auto" w:sz="4" w:space="0"/>
            </w:tcBorders>
            <w:vAlign w:val="center"/>
          </w:tcPr>
          <w:p w14:paraId="731A8A52">
            <w:pPr>
              <w:snapToGrid w:val="0"/>
              <w:jc w:val="center"/>
              <w:rPr>
                <w:rFonts w:hint="eastAsia" w:ascii="宋体"/>
                <w:b/>
                <w:szCs w:val="21"/>
              </w:rPr>
            </w:pPr>
            <w:r>
              <w:rPr>
                <w:rFonts w:hint="eastAsia" w:ascii="宋体"/>
                <w:b/>
                <w:szCs w:val="21"/>
              </w:rPr>
              <w:t>/</w:t>
            </w:r>
          </w:p>
        </w:tc>
        <w:tc>
          <w:tcPr>
            <w:tcW w:w="1084" w:type="dxa"/>
            <w:tcBorders>
              <w:top w:val="single" w:color="auto" w:sz="4" w:space="0"/>
              <w:left w:val="single" w:color="auto" w:sz="4" w:space="0"/>
              <w:bottom w:val="single" w:color="auto" w:sz="4" w:space="0"/>
              <w:right w:val="single" w:color="auto" w:sz="4" w:space="0"/>
            </w:tcBorders>
            <w:vAlign w:val="center"/>
          </w:tcPr>
          <w:p w14:paraId="55585AFB">
            <w:pPr>
              <w:snapToGrid w:val="0"/>
              <w:jc w:val="center"/>
              <w:rPr>
                <w:rFonts w:hint="eastAsia" w:ascii="宋体"/>
                <w:b/>
                <w:szCs w:val="21"/>
              </w:rPr>
            </w:pPr>
            <w:r>
              <w:rPr>
                <w:rFonts w:hint="eastAsia" w:ascii="宋体"/>
                <w:b/>
                <w:szCs w:val="21"/>
              </w:rPr>
              <w:t>/</w:t>
            </w:r>
          </w:p>
        </w:tc>
      </w:tr>
      <w:tr w14:paraId="6599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422" w:type="dxa"/>
            <w:gridSpan w:val="2"/>
            <w:vAlign w:val="center"/>
          </w:tcPr>
          <w:p w14:paraId="74149291">
            <w:pPr>
              <w:jc w:val="center"/>
              <w:rPr>
                <w:rFonts w:ascii="宋体"/>
                <w:szCs w:val="21"/>
              </w:rPr>
            </w:pPr>
            <w:r>
              <w:rPr>
                <w:rFonts w:hint="eastAsia" w:ascii="宋体" w:hAnsi="宋体"/>
                <w:szCs w:val="21"/>
              </w:rPr>
              <w:t>合计</w:t>
            </w:r>
          </w:p>
        </w:tc>
        <w:tc>
          <w:tcPr>
            <w:tcW w:w="813" w:type="dxa"/>
            <w:vAlign w:val="center"/>
          </w:tcPr>
          <w:p w14:paraId="193643A0">
            <w:pPr>
              <w:jc w:val="center"/>
              <w:rPr>
                <w:rFonts w:hint="default" w:ascii="宋体" w:eastAsia="宋体"/>
                <w:szCs w:val="21"/>
                <w:lang w:val="en-US" w:eastAsia="zh-CN"/>
              </w:rPr>
            </w:pPr>
            <w:r>
              <w:rPr>
                <w:rFonts w:hint="eastAsia" w:ascii="宋体"/>
                <w:szCs w:val="21"/>
                <w:lang w:val="en-US" w:eastAsia="zh-CN"/>
              </w:rPr>
              <w:t>70分</w:t>
            </w:r>
          </w:p>
        </w:tc>
        <w:tc>
          <w:tcPr>
            <w:tcW w:w="808" w:type="dxa"/>
            <w:vAlign w:val="center"/>
          </w:tcPr>
          <w:p w14:paraId="63073E87">
            <w:pPr>
              <w:snapToGrid w:val="0"/>
              <w:jc w:val="center"/>
              <w:rPr>
                <w:rFonts w:ascii="宋体"/>
                <w:bCs/>
                <w:szCs w:val="21"/>
                <w:lang w:val="zh-CN"/>
              </w:rPr>
            </w:pPr>
          </w:p>
        </w:tc>
        <w:tc>
          <w:tcPr>
            <w:tcW w:w="3258" w:type="dxa"/>
            <w:tcBorders>
              <w:top w:val="nil"/>
              <w:left w:val="nil"/>
              <w:bottom w:val="single" w:color="auto" w:sz="4" w:space="0"/>
              <w:right w:val="single" w:color="auto" w:sz="4" w:space="0"/>
            </w:tcBorders>
            <w:vAlign w:val="center"/>
          </w:tcPr>
          <w:p w14:paraId="573E0E61">
            <w:pPr>
              <w:snapToGrid w:val="0"/>
              <w:jc w:val="center"/>
              <w:rPr>
                <w:rFonts w:ascii="宋体"/>
                <w:bCs/>
                <w:szCs w:val="21"/>
                <w:lang w:val="zh-CN"/>
              </w:rPr>
            </w:pPr>
            <w:r>
              <w:rPr>
                <w:rFonts w:hint="eastAsia" w:ascii="宋体"/>
                <w:b/>
                <w:szCs w:val="21"/>
              </w:rPr>
              <w:t>/</w:t>
            </w:r>
          </w:p>
        </w:tc>
        <w:tc>
          <w:tcPr>
            <w:tcW w:w="1084" w:type="dxa"/>
            <w:tcBorders>
              <w:top w:val="nil"/>
              <w:left w:val="nil"/>
              <w:bottom w:val="single" w:color="auto" w:sz="4" w:space="0"/>
              <w:right w:val="single" w:color="auto" w:sz="4" w:space="0"/>
            </w:tcBorders>
            <w:vAlign w:val="center"/>
          </w:tcPr>
          <w:p w14:paraId="0EB2D97B">
            <w:pPr>
              <w:snapToGrid w:val="0"/>
              <w:jc w:val="center"/>
              <w:rPr>
                <w:rFonts w:ascii="宋体"/>
                <w:bCs/>
                <w:szCs w:val="21"/>
                <w:lang w:val="zh-CN"/>
              </w:rPr>
            </w:pPr>
            <w:r>
              <w:rPr>
                <w:rFonts w:hint="eastAsia" w:ascii="宋体"/>
                <w:b/>
                <w:szCs w:val="21"/>
              </w:rPr>
              <w:t>/</w:t>
            </w:r>
          </w:p>
        </w:tc>
      </w:tr>
    </w:tbl>
    <w:p w14:paraId="465B7DB9">
      <w:pPr>
        <w:rPr>
          <w:rFonts w:hint="eastAsia" w:ascii="宋体" w:hAnsi="宋体" w:eastAsia="宋体" w:cs="宋体"/>
          <w:b/>
          <w:color w:val="auto"/>
          <w:sz w:val="24"/>
          <w:highlight w:val="none"/>
        </w:rPr>
      </w:pPr>
    </w:p>
    <w:p w14:paraId="2C98A953">
      <w:pPr>
        <w:spacing w:before="120" w:beforeLines="50" w:after="120" w:afterLines="50" w:line="400" w:lineRule="exact"/>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76CA2E6">
      <w:pPr>
        <w:pStyle w:val="3"/>
        <w:spacing w:line="240" w:lineRule="auto"/>
        <w:jc w:val="center"/>
      </w:pPr>
      <w:bookmarkStart w:id="71" w:name="_Toc48835715"/>
      <w:bookmarkStart w:id="72" w:name="_Toc466534751"/>
      <w:r>
        <w:rPr>
          <w:rFonts w:hint="eastAsia" w:hAnsi="宋体"/>
          <w:color w:val="000000"/>
          <w:sz w:val="30"/>
          <w:szCs w:val="30"/>
        </w:rPr>
        <w:t>第五章  合同主要条款</w:t>
      </w:r>
      <w:bookmarkEnd w:id="71"/>
    </w:p>
    <w:p w14:paraId="1A6307C6">
      <w:pPr>
        <w:ind w:left="4216" w:hanging="4216" w:hangingChars="1400"/>
        <w:jc w:val="center"/>
        <w:rPr>
          <w:rFonts w:hAnsi="宋体"/>
          <w:b/>
          <w:sz w:val="30"/>
          <w:szCs w:val="30"/>
        </w:rPr>
      </w:pPr>
      <w:r>
        <w:rPr>
          <w:rStyle w:val="172"/>
          <w:rFonts w:hint="eastAsia"/>
          <w:sz w:val="30"/>
          <w:szCs w:val="30"/>
        </w:rPr>
        <w:t>（服务类）</w:t>
      </w:r>
    </w:p>
    <w:p w14:paraId="7683AB48">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55E294DD">
      <w:pPr>
        <w:adjustRightInd w:val="0"/>
        <w:spacing w:line="240" w:lineRule="atLeast"/>
        <w:jc w:val="center"/>
        <w:rPr>
          <w:rFonts w:hAnsi="宋体"/>
          <w:color w:val="000000"/>
          <w:sz w:val="28"/>
          <w:szCs w:val="28"/>
          <w:shd w:val="pct10" w:color="auto" w:fill="FFFFFF"/>
        </w:rPr>
      </w:pPr>
    </w:p>
    <w:p w14:paraId="4C7E5017">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14:paraId="781E38F0">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14:paraId="0CFFD6BC">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见证方：采购代理机构</w:t>
      </w:r>
    </w:p>
    <w:p w14:paraId="09814B29">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14:paraId="7F0C07F8">
      <w:pPr>
        <w:snapToGrid w:val="0"/>
        <w:spacing w:before="120" w:after="120" w:line="460" w:lineRule="exact"/>
        <w:rPr>
          <w:rFonts w:ascii="宋体" w:hAnsi="宋体"/>
          <w:b/>
          <w:sz w:val="24"/>
        </w:rPr>
      </w:pPr>
      <w:r>
        <w:rPr>
          <w:rFonts w:hint="eastAsia" w:ascii="宋体" w:hAnsi="宋体"/>
          <w:b/>
          <w:sz w:val="24"/>
        </w:rPr>
        <w:t>一、项目内容</w:t>
      </w:r>
    </w:p>
    <w:p w14:paraId="09453305">
      <w:pPr>
        <w:snapToGrid w:val="0"/>
        <w:spacing w:before="120" w:after="120" w:line="460" w:lineRule="exact"/>
        <w:rPr>
          <w:rFonts w:ascii="宋体" w:hAnsi="宋体"/>
          <w:b/>
          <w:sz w:val="24"/>
        </w:rPr>
      </w:pPr>
    </w:p>
    <w:p w14:paraId="224EEA7E">
      <w:pPr>
        <w:snapToGrid w:val="0"/>
        <w:spacing w:before="120" w:after="120" w:line="460" w:lineRule="exact"/>
        <w:rPr>
          <w:rFonts w:ascii="宋体" w:hAnsi="宋体"/>
          <w:b/>
          <w:sz w:val="24"/>
        </w:rPr>
      </w:pPr>
      <w:r>
        <w:rPr>
          <w:rFonts w:hint="eastAsia" w:ascii="宋体" w:hAnsi="宋体"/>
          <w:b/>
          <w:sz w:val="24"/>
        </w:rPr>
        <w:t>二、合同金额</w:t>
      </w:r>
    </w:p>
    <w:p w14:paraId="717A50EA">
      <w:pPr>
        <w:snapToGrid w:val="0"/>
        <w:spacing w:before="120" w:after="120" w:line="460" w:lineRule="exact"/>
        <w:ind w:left="410" w:hanging="410" w:hangingChars="171"/>
        <w:rPr>
          <w:rFonts w:ascii="宋体" w:hAnsi="宋体"/>
          <w:sz w:val="24"/>
        </w:rPr>
      </w:pPr>
      <w:r>
        <w:rPr>
          <w:rFonts w:hint="eastAsia" w:ascii="宋体" w:hAnsi="宋体"/>
          <w:sz w:val="24"/>
        </w:rPr>
        <w:t>本合同金额为（大写）：____________________________________元（￥_______________元）人民币。</w:t>
      </w:r>
    </w:p>
    <w:p w14:paraId="7450EE0E">
      <w:pPr>
        <w:snapToGrid w:val="0"/>
        <w:spacing w:before="120" w:after="120" w:line="460" w:lineRule="exact"/>
        <w:rPr>
          <w:rFonts w:ascii="宋体" w:hAnsi="宋体"/>
          <w:b/>
          <w:sz w:val="24"/>
        </w:rPr>
      </w:pPr>
      <w:r>
        <w:rPr>
          <w:rFonts w:hint="eastAsia" w:ascii="宋体" w:hAnsi="宋体"/>
          <w:b/>
          <w:sz w:val="24"/>
        </w:rPr>
        <w:t>三、技术资料</w:t>
      </w:r>
    </w:p>
    <w:p w14:paraId="187F99F9">
      <w:pPr>
        <w:snapToGrid w:val="0"/>
        <w:spacing w:before="120" w:after="120" w:line="460" w:lineRule="exact"/>
        <w:ind w:left="410" w:hanging="410" w:hangingChars="171"/>
        <w:rPr>
          <w:rFonts w:ascii="宋体" w:hAnsi="宋体"/>
          <w:sz w:val="24"/>
        </w:rPr>
      </w:pPr>
      <w:r>
        <w:rPr>
          <w:rFonts w:hint="eastAsia" w:ascii="宋体" w:hAnsi="宋体"/>
          <w:sz w:val="24"/>
        </w:rPr>
        <w:t>1. 乙方应按磋商文件规定的时间向甲方提供有关技术资料。</w:t>
      </w:r>
    </w:p>
    <w:p w14:paraId="67D6D45C">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1FBDFA2">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53816881">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4238BF99">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14:paraId="15A82093">
      <w:pPr>
        <w:pStyle w:val="28"/>
        <w:snapToGrid w:val="0"/>
        <w:spacing w:beforeLines="0" w:afterLines="0" w:line="480" w:lineRule="exact"/>
        <w:ind w:left="408" w:hanging="408" w:hangingChars="170"/>
        <w:jc w:val="left"/>
        <w:rPr>
          <w:rFonts w:hAnsi="宋体"/>
          <w:color w:val="auto"/>
        </w:rPr>
      </w:pPr>
      <w:r>
        <w:rPr>
          <w:rFonts w:hint="eastAsia" w:hAnsi="宋体"/>
        </w:rPr>
        <w:t>乙方交纳成交</w:t>
      </w:r>
      <w:r>
        <w:rPr>
          <w:rFonts w:hint="eastAsia" w:hAnsi="宋体"/>
          <w:color w:val="auto"/>
        </w:rPr>
        <w:t>价的</w:t>
      </w:r>
      <w:r>
        <w:rPr>
          <w:rFonts w:hint="eastAsia" w:hAnsi="宋体"/>
          <w:b/>
          <w:color w:val="auto"/>
          <w:u w:val="single"/>
        </w:rPr>
        <w:t xml:space="preserve">       </w:t>
      </w:r>
      <w:r>
        <w:rPr>
          <w:rFonts w:hint="eastAsia" w:hAnsi="宋体"/>
          <w:color w:val="auto"/>
        </w:rPr>
        <w:t>作为本合同的履约保证金。履约保证金在中标人履行合</w:t>
      </w:r>
    </w:p>
    <w:p w14:paraId="0B6BF124">
      <w:pPr>
        <w:pStyle w:val="28"/>
        <w:snapToGrid w:val="0"/>
        <w:spacing w:beforeLines="0" w:afterLines="0" w:line="480" w:lineRule="exact"/>
        <w:ind w:left="408" w:hanging="408" w:hangingChars="170"/>
        <w:jc w:val="left"/>
        <w:rPr>
          <w:rFonts w:hAnsi="宋体"/>
          <w:color w:val="auto"/>
        </w:rPr>
      </w:pPr>
      <w:r>
        <w:rPr>
          <w:rFonts w:hint="eastAsia" w:hAnsi="宋体"/>
          <w:color w:val="auto"/>
        </w:rPr>
        <w:t>同义务后且经验收合格，凭《临海市政府采购验收单》向临海市公共资源交易中心</w:t>
      </w:r>
    </w:p>
    <w:p w14:paraId="5F2536CD">
      <w:pPr>
        <w:pStyle w:val="28"/>
        <w:snapToGrid w:val="0"/>
        <w:spacing w:beforeLines="0" w:afterLines="0" w:line="480" w:lineRule="exact"/>
        <w:ind w:left="408" w:hanging="408" w:hangingChars="170"/>
        <w:jc w:val="left"/>
        <w:rPr>
          <w:rFonts w:hAnsi="宋体"/>
          <w:color w:val="auto"/>
        </w:rPr>
      </w:pPr>
      <w:r>
        <w:rPr>
          <w:rFonts w:hint="eastAsia" w:hAnsi="宋体"/>
          <w:color w:val="auto"/>
        </w:rPr>
        <w:t>退还。</w:t>
      </w:r>
    </w:p>
    <w:p w14:paraId="01A5E6CD">
      <w:pPr>
        <w:snapToGrid w:val="0"/>
        <w:spacing w:before="120" w:beforeLines="50" w:after="120" w:afterLines="50" w:line="460" w:lineRule="exact"/>
        <w:rPr>
          <w:rFonts w:ascii="宋体" w:hAnsi="宋体"/>
          <w:b/>
          <w:sz w:val="24"/>
        </w:rPr>
      </w:pPr>
      <w:r>
        <w:rPr>
          <w:rFonts w:hint="eastAsia" w:ascii="宋体" w:hAnsi="宋体"/>
          <w:b/>
          <w:sz w:val="24"/>
        </w:rPr>
        <w:t>六、转包或分包</w:t>
      </w:r>
    </w:p>
    <w:p w14:paraId="546A3DC2">
      <w:pPr>
        <w:snapToGrid w:val="0"/>
        <w:spacing w:before="120" w:beforeLines="50" w:after="120" w:afterLines="50" w:line="460" w:lineRule="exact"/>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2469275E">
      <w:pPr>
        <w:snapToGrid w:val="0"/>
        <w:spacing w:before="120" w:beforeLines="50" w:after="120" w:afterLines="50" w:line="460" w:lineRule="exact"/>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14:paraId="6D8F9D52">
      <w:pPr>
        <w:snapToGrid w:val="0"/>
        <w:spacing w:before="120" w:beforeLines="50" w:after="120" w:afterLines="50" w:line="460" w:lineRule="exact"/>
        <w:rPr>
          <w:rFonts w:ascii="宋体" w:hAnsi="宋体"/>
          <w:sz w:val="24"/>
        </w:rPr>
      </w:pPr>
      <w:r>
        <w:rPr>
          <w:rFonts w:hint="eastAsia" w:ascii="宋体" w:hAnsi="宋体"/>
          <w:sz w:val="24"/>
        </w:rPr>
        <w:t>3.如有转让和未经甲方同意的分包行为，甲方有权解除合同，没收履约保证金并追究乙方的违约责任。</w:t>
      </w:r>
    </w:p>
    <w:p w14:paraId="773E1B61">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14:paraId="2D8ACEF2">
      <w:pPr>
        <w:snapToGrid w:val="0"/>
        <w:spacing w:before="120" w:after="120" w:line="460" w:lineRule="exact"/>
        <w:ind w:left="410" w:hanging="410" w:hangingChars="171"/>
        <w:rPr>
          <w:rFonts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14:paraId="74615663">
      <w:pPr>
        <w:snapToGrid w:val="0"/>
        <w:spacing w:before="120" w:after="120" w:line="460" w:lineRule="exact"/>
        <w:ind w:left="410" w:hanging="410" w:hangingChars="171"/>
        <w:rPr>
          <w:rFonts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14:paraId="3E1D0511">
      <w:pPr>
        <w:snapToGrid w:val="0"/>
        <w:spacing w:before="120" w:after="120" w:line="460" w:lineRule="exact"/>
        <w:rPr>
          <w:rFonts w:ascii="宋体" w:hAnsi="宋体"/>
          <w:b/>
          <w:sz w:val="24"/>
        </w:rPr>
      </w:pPr>
      <w:r>
        <w:rPr>
          <w:rFonts w:hint="eastAsia" w:ascii="宋体" w:hAnsi="宋体"/>
          <w:b/>
          <w:sz w:val="24"/>
        </w:rPr>
        <w:t>八、合同履行时间、履行方式及履行地点</w:t>
      </w:r>
    </w:p>
    <w:p w14:paraId="0565D514">
      <w:pPr>
        <w:snapToGrid w:val="0"/>
        <w:spacing w:before="120" w:after="120" w:line="460" w:lineRule="exact"/>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14:paraId="521E65C5">
      <w:pPr>
        <w:snapToGrid w:val="0"/>
        <w:spacing w:before="120" w:after="120" w:line="460" w:lineRule="exact"/>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1F3C9AE8">
      <w:pPr>
        <w:snapToGrid w:val="0"/>
        <w:spacing w:before="120" w:after="120" w:line="460" w:lineRule="exact"/>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2B302195">
      <w:pPr>
        <w:snapToGrid w:val="0"/>
        <w:spacing w:before="120" w:after="120" w:line="460" w:lineRule="exact"/>
        <w:rPr>
          <w:rFonts w:ascii="宋体" w:hAnsi="宋体"/>
          <w:b/>
          <w:sz w:val="24"/>
        </w:rPr>
      </w:pPr>
      <w:r>
        <w:rPr>
          <w:rFonts w:hint="eastAsia" w:ascii="宋体" w:hAnsi="宋体"/>
          <w:b/>
          <w:sz w:val="24"/>
        </w:rPr>
        <w:t>九、款项支付</w:t>
      </w:r>
    </w:p>
    <w:p w14:paraId="0AC04F72">
      <w:pPr>
        <w:snapToGrid w:val="0"/>
        <w:spacing w:before="120" w:after="120" w:line="460" w:lineRule="exact"/>
        <w:rPr>
          <w:rFonts w:ascii="宋体" w:hAnsi="宋体"/>
          <w:bCs/>
          <w:sz w:val="24"/>
        </w:rPr>
      </w:pPr>
      <w:r>
        <w:rPr>
          <w:rFonts w:hint="eastAsia" w:ascii="宋体" w:hAnsi="宋体"/>
          <w:bCs/>
          <w:sz w:val="24"/>
        </w:rPr>
        <w:t>付款方式：</w:t>
      </w:r>
    </w:p>
    <w:p w14:paraId="19EFEFF0">
      <w:pPr>
        <w:pStyle w:val="24"/>
        <w:adjustRightInd w:val="0"/>
        <w:snapToGrid w:val="0"/>
        <w:spacing w:line="480" w:lineRule="exact"/>
        <w:ind w:left="98" w:leftChars="0" w:hanging="98" w:hangingChars="41"/>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14:paraId="002D4507">
      <w:pPr>
        <w:pStyle w:val="24"/>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14:paraId="0658CD0F">
      <w:pPr>
        <w:snapToGrid w:val="0"/>
        <w:spacing w:before="120" w:beforeLines="50" w:after="120" w:afterLines="50" w:line="460" w:lineRule="exact"/>
        <w:rPr>
          <w:rFonts w:ascii="宋体" w:hAnsi="宋体"/>
          <w:b/>
          <w:sz w:val="24"/>
        </w:rPr>
      </w:pPr>
      <w:r>
        <w:rPr>
          <w:rFonts w:hint="eastAsia" w:ascii="宋体" w:hAnsi="宋体"/>
          <w:b/>
          <w:sz w:val="24"/>
        </w:rPr>
        <w:t>十、税费</w:t>
      </w:r>
    </w:p>
    <w:p w14:paraId="37DEF5FF">
      <w:pPr>
        <w:snapToGrid w:val="0"/>
        <w:spacing w:before="120" w:beforeLines="50" w:after="120" w:afterLines="50" w:line="460" w:lineRule="exact"/>
        <w:rPr>
          <w:rFonts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14:paraId="11042138">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14:paraId="70B1167B">
      <w:pPr>
        <w:snapToGrid w:val="0"/>
        <w:spacing w:before="120" w:after="120" w:line="460" w:lineRule="exact"/>
        <w:ind w:left="410" w:hanging="410" w:hangingChars="171"/>
        <w:rPr>
          <w:rFonts w:ascii="宋体" w:hAnsi="宋体"/>
          <w:sz w:val="24"/>
        </w:rPr>
      </w:pPr>
      <w:r>
        <w:rPr>
          <w:rFonts w:hint="eastAsia" w:ascii="宋体" w:hAnsi="宋体"/>
          <w:sz w:val="24"/>
        </w:rPr>
        <w:t>1．乙方应按磋商文件规定向甲方提供服务。</w:t>
      </w:r>
    </w:p>
    <w:p w14:paraId="0ED2BDB1">
      <w:pPr>
        <w:snapToGrid w:val="0"/>
        <w:spacing w:before="120" w:after="120" w:line="460" w:lineRule="exact"/>
        <w:ind w:left="480" w:hanging="480" w:hangingChars="200"/>
        <w:rPr>
          <w:rFonts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14:paraId="00430F7F">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14:paraId="33D7D4B9">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14:paraId="5EC5E74C">
      <w:pPr>
        <w:snapToGrid w:val="0"/>
        <w:spacing w:before="120" w:after="120" w:line="460" w:lineRule="exact"/>
        <w:ind w:left="420" w:leftChars="200"/>
        <w:rPr>
          <w:rFonts w:ascii="宋体" w:hAnsi="宋体"/>
          <w:sz w:val="24"/>
        </w:rPr>
      </w:pPr>
      <w:r>
        <w:rPr>
          <w:rFonts w:hint="eastAsia" w:ascii="宋体" w:hAnsi="宋体"/>
          <w:sz w:val="24"/>
        </w:rPr>
        <w:t>⑶解除合同。</w:t>
      </w:r>
    </w:p>
    <w:p w14:paraId="3925D4B8">
      <w:pPr>
        <w:snapToGrid w:val="0"/>
        <w:spacing w:before="120" w:after="120" w:line="460" w:lineRule="exact"/>
        <w:rPr>
          <w:rFonts w:ascii="宋体" w:hAnsi="宋体"/>
          <w:sz w:val="24"/>
        </w:rPr>
      </w:pPr>
      <w:r>
        <w:rPr>
          <w:rFonts w:hint="eastAsia" w:ascii="宋体" w:hAnsi="宋体"/>
          <w:sz w:val="24"/>
        </w:rPr>
        <w:t>3． 如在使用过程中发生问题，乙方在接到甲方通知后在△小时内到达甲方现场。</w:t>
      </w:r>
    </w:p>
    <w:p w14:paraId="1D8A3F99">
      <w:pPr>
        <w:snapToGrid w:val="0"/>
        <w:spacing w:before="120" w:after="120" w:line="460" w:lineRule="exact"/>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w:t>
      </w:r>
    </w:p>
    <w:p w14:paraId="6D7A62CD">
      <w:pPr>
        <w:snapToGrid w:val="0"/>
        <w:spacing w:before="120" w:after="120" w:line="460" w:lineRule="exact"/>
        <w:ind w:firstLine="360" w:firstLineChars="150"/>
        <w:rPr>
          <w:rFonts w:ascii="宋体" w:hAnsi="宋体"/>
          <w:sz w:val="24"/>
        </w:rPr>
      </w:pPr>
      <w:r>
        <w:rPr>
          <w:rFonts w:hint="eastAsia" w:ascii="宋体" w:hAnsi="宋体"/>
          <w:sz w:val="24"/>
        </w:rPr>
        <w:t>一切费用。</w:t>
      </w:r>
    </w:p>
    <w:p w14:paraId="53115FAB">
      <w:pPr>
        <w:snapToGrid w:val="0"/>
        <w:spacing w:before="120" w:after="120" w:line="460" w:lineRule="exact"/>
        <w:rPr>
          <w:rFonts w:ascii="宋体" w:hAnsi="宋体"/>
          <w:b/>
          <w:color w:val="auto"/>
          <w:sz w:val="24"/>
        </w:rPr>
      </w:pPr>
      <w:r>
        <w:rPr>
          <w:rFonts w:hint="eastAsia" w:ascii="宋体" w:hAnsi="宋体"/>
          <w:b/>
          <w:color w:val="auto"/>
          <w:sz w:val="24"/>
        </w:rPr>
        <w:t>十二、违约责任</w:t>
      </w:r>
    </w:p>
    <w:p w14:paraId="755A75FC">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1．甲方无正当理由拒收接受服务的，甲方向乙方偿付合同款项百分之五作为违约金。</w:t>
      </w:r>
    </w:p>
    <w:p w14:paraId="0B2A33B0">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2．甲方无故逾期验收和办理款项支付手续的,甲方应按逾期付款总额每日万分之五向乙方支付违约金。</w:t>
      </w:r>
    </w:p>
    <w:p w14:paraId="17632BE0">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3922272E">
      <w:pPr>
        <w:snapToGrid w:val="0"/>
        <w:spacing w:before="120" w:after="120" w:line="460" w:lineRule="exact"/>
        <w:rPr>
          <w:rFonts w:ascii="宋体" w:hAnsi="宋体"/>
          <w:b/>
          <w:color w:val="auto"/>
          <w:sz w:val="24"/>
        </w:rPr>
      </w:pPr>
      <w:r>
        <w:rPr>
          <w:rFonts w:hint="eastAsia" w:ascii="宋体" w:hAnsi="宋体"/>
          <w:b/>
          <w:color w:val="auto"/>
          <w:sz w:val="24"/>
        </w:rPr>
        <w:t>十三、不可抗力事件处理</w:t>
      </w:r>
    </w:p>
    <w:p w14:paraId="7BB7ED91">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1．在合同有效期内，任何一方因不可抗力事件导致不能履行合同，则合同履行</w:t>
      </w:r>
    </w:p>
    <w:p w14:paraId="7252CAA7">
      <w:pPr>
        <w:snapToGrid w:val="0"/>
        <w:spacing w:before="120" w:after="120" w:line="460" w:lineRule="exact"/>
        <w:ind w:firstLine="360" w:firstLineChars="150"/>
        <w:rPr>
          <w:rFonts w:ascii="宋体" w:hAnsi="宋体"/>
          <w:color w:val="auto"/>
          <w:sz w:val="24"/>
        </w:rPr>
      </w:pPr>
      <w:r>
        <w:rPr>
          <w:rFonts w:hint="eastAsia" w:ascii="宋体" w:hAnsi="宋体"/>
          <w:color w:val="auto"/>
          <w:sz w:val="24"/>
        </w:rPr>
        <w:t>期可延长，其延长期与不可抗力影响期相同。</w:t>
      </w:r>
    </w:p>
    <w:p w14:paraId="3795C392">
      <w:pPr>
        <w:snapToGrid w:val="0"/>
        <w:spacing w:before="120" w:after="120" w:line="460" w:lineRule="exact"/>
        <w:rPr>
          <w:rFonts w:ascii="宋体" w:hAnsi="宋体"/>
          <w:color w:val="auto"/>
          <w:sz w:val="24"/>
        </w:rPr>
      </w:pPr>
      <w:r>
        <w:rPr>
          <w:rFonts w:hint="eastAsia" w:ascii="宋体" w:hAnsi="宋体"/>
          <w:color w:val="auto"/>
          <w:sz w:val="24"/>
        </w:rPr>
        <w:t>2．不可抗力事件发生后，应立即通知对方，并寄送有关权威机构出具的证明。</w:t>
      </w:r>
    </w:p>
    <w:p w14:paraId="76DA546C">
      <w:pPr>
        <w:snapToGrid w:val="0"/>
        <w:spacing w:before="120" w:after="120" w:line="460" w:lineRule="exact"/>
        <w:rPr>
          <w:rFonts w:ascii="宋体" w:hAnsi="宋体"/>
          <w:color w:val="auto"/>
          <w:sz w:val="24"/>
        </w:rPr>
      </w:pPr>
      <w:r>
        <w:rPr>
          <w:rFonts w:hint="eastAsia" w:ascii="宋体" w:hAnsi="宋体"/>
          <w:color w:val="auto"/>
          <w:sz w:val="24"/>
        </w:rPr>
        <w:t>3．不可抗力事件延续120天以上，双方应通过友好协商，确定是否继续履行合</w:t>
      </w:r>
    </w:p>
    <w:p w14:paraId="2905D4B8">
      <w:pPr>
        <w:snapToGrid w:val="0"/>
        <w:spacing w:before="120" w:after="120" w:line="460" w:lineRule="exact"/>
        <w:ind w:firstLine="360" w:firstLineChars="150"/>
        <w:rPr>
          <w:rFonts w:ascii="宋体" w:hAnsi="宋体"/>
          <w:color w:val="auto"/>
          <w:sz w:val="24"/>
        </w:rPr>
      </w:pPr>
      <w:r>
        <w:rPr>
          <w:rFonts w:hint="eastAsia" w:ascii="宋体" w:hAnsi="宋体"/>
          <w:color w:val="auto"/>
          <w:sz w:val="24"/>
        </w:rPr>
        <w:t>同。</w:t>
      </w:r>
    </w:p>
    <w:p w14:paraId="0BBAA2E0">
      <w:pPr>
        <w:snapToGrid w:val="0"/>
        <w:spacing w:before="120" w:after="120" w:line="460" w:lineRule="exact"/>
        <w:rPr>
          <w:rFonts w:ascii="宋体" w:hAnsi="宋体"/>
          <w:b/>
          <w:color w:val="auto"/>
          <w:sz w:val="24"/>
        </w:rPr>
      </w:pPr>
      <w:r>
        <w:rPr>
          <w:rFonts w:hint="eastAsia" w:ascii="宋体" w:hAnsi="宋体"/>
          <w:b/>
          <w:color w:val="auto"/>
          <w:sz w:val="24"/>
        </w:rPr>
        <w:t>十四、诉讼</w:t>
      </w:r>
    </w:p>
    <w:p w14:paraId="0263E648">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 xml:space="preserve"> 双方在执行合同中所发生的一切争议，应通过协商解决。如协商不成，可向甲</w:t>
      </w:r>
    </w:p>
    <w:p w14:paraId="23F3DB7F">
      <w:pPr>
        <w:snapToGrid w:val="0"/>
        <w:spacing w:before="120" w:after="120" w:line="460" w:lineRule="exact"/>
        <w:ind w:left="480" w:leftChars="57" w:hanging="360" w:hangingChars="150"/>
        <w:rPr>
          <w:rFonts w:ascii="宋体" w:hAnsi="宋体"/>
          <w:color w:val="auto"/>
          <w:sz w:val="24"/>
        </w:rPr>
      </w:pPr>
      <w:r>
        <w:rPr>
          <w:rFonts w:hint="eastAsia" w:ascii="宋体" w:hAnsi="宋体"/>
          <w:color w:val="auto"/>
          <w:sz w:val="24"/>
        </w:rPr>
        <w:t>方所在地法院起诉。</w:t>
      </w:r>
    </w:p>
    <w:p w14:paraId="51DCA208">
      <w:pPr>
        <w:snapToGrid w:val="0"/>
        <w:spacing w:before="120" w:after="120" w:line="460" w:lineRule="exact"/>
        <w:rPr>
          <w:rFonts w:ascii="宋体" w:hAnsi="宋体"/>
          <w:b/>
          <w:color w:val="auto"/>
          <w:sz w:val="24"/>
        </w:rPr>
      </w:pPr>
      <w:r>
        <w:rPr>
          <w:rFonts w:hint="eastAsia" w:ascii="宋体" w:hAnsi="宋体"/>
          <w:b/>
          <w:color w:val="auto"/>
          <w:sz w:val="24"/>
        </w:rPr>
        <w:t>十五、合同生效及其它</w:t>
      </w:r>
    </w:p>
    <w:p w14:paraId="210BE028">
      <w:pPr>
        <w:snapToGrid w:val="0"/>
        <w:spacing w:before="120" w:after="120" w:line="460" w:lineRule="exact"/>
        <w:rPr>
          <w:rFonts w:ascii="宋体" w:hAnsi="宋体"/>
          <w:color w:val="auto"/>
          <w:sz w:val="24"/>
        </w:rPr>
      </w:pPr>
      <w:r>
        <w:rPr>
          <w:rFonts w:hint="eastAsia" w:ascii="宋体" w:hAnsi="宋体"/>
          <w:color w:val="auto"/>
          <w:sz w:val="24"/>
        </w:rPr>
        <w:t>1．合同经双方法定代表人或授权代表签字并加盖单位公章后生效。招标文件、投标文件与本合同具有同等法律效力。</w:t>
      </w:r>
    </w:p>
    <w:p w14:paraId="421587E2">
      <w:pPr>
        <w:snapToGrid w:val="0"/>
        <w:spacing w:before="120" w:after="120" w:line="460" w:lineRule="exact"/>
        <w:rPr>
          <w:rFonts w:ascii="宋体" w:hAnsi="宋体"/>
          <w:sz w:val="24"/>
        </w:rPr>
      </w:pPr>
      <w:r>
        <w:rPr>
          <w:rFonts w:hint="eastAsia" w:ascii="宋体" w:hAnsi="宋体"/>
          <w:sz w:val="24"/>
        </w:rPr>
        <w:t>2．合同执行中涉及采购资金和采购内容修改或补充的，须经财政部门审批，并签书面补充协议报政府采购监督管理部门备案，方可作为主合同不可分割的一部分。</w:t>
      </w:r>
    </w:p>
    <w:p w14:paraId="76FCAD21">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14:paraId="441AC318">
      <w:pPr>
        <w:snapToGrid w:val="0"/>
        <w:spacing w:line="480" w:lineRule="exact"/>
        <w:rPr>
          <w:rFonts w:ascii="宋体" w:hAnsi="宋体"/>
          <w:b/>
          <w:bCs/>
          <w:color w:val="000000"/>
          <w:kern w:val="0"/>
          <w:sz w:val="24"/>
          <w:lang w:val="zh-CN" w:eastAsia="zh-CN"/>
        </w:rPr>
      </w:pPr>
      <w:r>
        <w:rPr>
          <w:rFonts w:hint="eastAsia" w:ascii="宋体" w:hAnsi="宋体"/>
          <w:color w:val="000000"/>
          <w:kern w:val="0"/>
          <w:sz w:val="24"/>
          <w:lang w:val="zh-CN" w:eastAsia="zh-CN"/>
        </w:rPr>
        <w:t>4.本合同正本一式四份,甲乙双方签订后采购代理机构见证盖章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采购代理机构需留备二份。</w:t>
      </w:r>
    </w:p>
    <w:p w14:paraId="51C4FC32">
      <w:pPr>
        <w:snapToGrid w:val="0"/>
        <w:spacing w:line="480" w:lineRule="exact"/>
        <w:ind w:firstLine="240" w:firstLineChars="100"/>
        <w:rPr>
          <w:rFonts w:ascii="宋体" w:hAnsi="宋体"/>
          <w:color w:val="000000"/>
          <w:kern w:val="0"/>
          <w:sz w:val="24"/>
          <w:lang w:val="zh-CN" w:eastAsia="zh-CN"/>
        </w:rPr>
      </w:pPr>
    </w:p>
    <w:p w14:paraId="3D80038C">
      <w:pPr>
        <w:snapToGrid w:val="0"/>
        <w:spacing w:line="480" w:lineRule="exact"/>
        <w:ind w:firstLine="240" w:firstLineChars="100"/>
        <w:rPr>
          <w:rFonts w:ascii="宋体" w:hAnsi="宋体"/>
          <w:color w:val="000000"/>
          <w:kern w:val="0"/>
          <w:sz w:val="24"/>
          <w:lang w:val="zh-CN" w:eastAsia="zh-CN"/>
        </w:rPr>
      </w:pPr>
    </w:p>
    <w:p w14:paraId="6C1ABB91">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14:paraId="0D5F0068">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14:paraId="44E77952">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14:paraId="197C9990">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14:paraId="4794350D">
      <w:pPr>
        <w:snapToGrid w:val="0"/>
        <w:spacing w:line="480" w:lineRule="exact"/>
        <w:ind w:firstLine="360" w:firstLineChars="150"/>
        <w:rPr>
          <w:rFonts w:ascii="宋体" w:hAnsi="宋体"/>
          <w:color w:val="000000"/>
          <w:kern w:val="0"/>
          <w:sz w:val="24"/>
          <w:lang w:val="zh-CN"/>
        </w:rPr>
      </w:pPr>
    </w:p>
    <w:p w14:paraId="5283D985">
      <w:pPr>
        <w:pStyle w:val="28"/>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35BD9521">
      <w:pPr>
        <w:pStyle w:val="28"/>
        <w:snapToGrid w:val="0"/>
        <w:spacing w:before="120" w:after="120" w:line="420" w:lineRule="exact"/>
        <w:ind w:firstLine="201"/>
        <w:rPr>
          <w:rFonts w:hAnsi="宋体"/>
          <w:b/>
          <w:bCs/>
          <w:color w:val="000000"/>
        </w:rPr>
      </w:pPr>
    </w:p>
    <w:p w14:paraId="233A7A3C">
      <w:pPr>
        <w:adjustRightInd w:val="0"/>
        <w:spacing w:line="240" w:lineRule="atLeast"/>
        <w:rPr>
          <w:rFonts w:hAnsi="宋体"/>
          <w:b/>
          <w:bCs/>
          <w:color w:val="000000"/>
          <w:sz w:val="28"/>
          <w:szCs w:val="28"/>
          <w:u w:val="single"/>
          <w:shd w:val="pct10" w:color="auto" w:fill="FFFFFF"/>
        </w:rPr>
      </w:pPr>
    </w:p>
    <w:p w14:paraId="4F97E573">
      <w:pPr>
        <w:adjustRightInd w:val="0"/>
        <w:spacing w:line="240" w:lineRule="atLeast"/>
        <w:ind w:left="3092" w:hanging="3092" w:hangingChars="1100"/>
        <w:rPr>
          <w:rFonts w:hint="eastAsia" w:ascii="宋体" w:hAnsi="宋体" w:eastAsia="宋体" w:cs="宋体"/>
          <w:b/>
          <w:bCs/>
          <w:color w:val="auto"/>
          <w:sz w:val="28"/>
          <w:szCs w:val="28"/>
          <w:highlight w:val="none"/>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br w:type="page"/>
      </w:r>
      <w:r>
        <w:rPr>
          <w:rFonts w:hint="eastAsia" w:ascii="宋体" w:hAnsi="宋体" w:eastAsia="宋体" w:cs="宋体"/>
          <w:b/>
          <w:color w:val="auto"/>
          <w:sz w:val="30"/>
          <w:szCs w:val="30"/>
          <w:highlight w:val="none"/>
        </w:rPr>
        <w:t>第六章　响应文件格式</w:t>
      </w:r>
    </w:p>
    <w:p w14:paraId="284F7D1A">
      <w:pPr>
        <w:pStyle w:val="28"/>
        <w:snapToGrid w:val="0"/>
        <w:spacing w:beforeLines="0" w:afterLines="0" w:line="420" w:lineRule="exact"/>
        <w:jc w:val="center"/>
        <w:rPr>
          <w:rFonts w:hint="eastAsia" w:ascii="宋体" w:hAnsi="宋体" w:eastAsia="宋体" w:cs="宋体"/>
          <w:color w:val="auto"/>
          <w:sz w:val="30"/>
          <w:szCs w:val="30"/>
          <w:highlight w:val="none"/>
        </w:rPr>
      </w:pPr>
    </w:p>
    <w:p w14:paraId="01C273CB">
      <w:pPr>
        <w:snapToGrid w:val="0"/>
        <w:spacing w:before="120" w:beforeLines="50" w:after="50"/>
        <w:jc w:val="center"/>
        <w:outlineLvl w:val="1"/>
        <w:rPr>
          <w:rFonts w:hint="eastAsia" w:ascii="宋体" w:hAnsi="宋体" w:eastAsia="宋体" w:cs="宋体"/>
          <w:b/>
          <w:bCs/>
          <w:color w:val="auto"/>
          <w:sz w:val="28"/>
          <w:szCs w:val="28"/>
          <w:highlight w:val="none"/>
        </w:rPr>
      </w:pPr>
      <w:bookmarkStart w:id="73" w:name="_Toc265669850"/>
      <w:r>
        <w:rPr>
          <w:rFonts w:hint="eastAsia" w:ascii="宋体" w:hAnsi="宋体" w:eastAsia="宋体" w:cs="宋体"/>
          <w:b/>
          <w:bCs/>
          <w:color w:val="auto"/>
          <w:sz w:val="28"/>
          <w:szCs w:val="28"/>
          <w:highlight w:val="none"/>
        </w:rPr>
        <w:t>一、资格响应文件格式</w:t>
      </w:r>
    </w:p>
    <w:p w14:paraId="2F7FB019">
      <w:pPr>
        <w:snapToGrid w:val="0"/>
        <w:spacing w:before="120" w:beforeLines="50" w:after="50"/>
        <w:jc w:val="center"/>
        <w:rPr>
          <w:rFonts w:hint="eastAsia" w:ascii="宋体" w:hAnsi="宋体" w:eastAsia="宋体" w:cs="宋体"/>
          <w:color w:val="auto"/>
          <w:sz w:val="28"/>
          <w:szCs w:val="28"/>
          <w:highlight w:val="none"/>
        </w:rPr>
      </w:pPr>
    </w:p>
    <w:p w14:paraId="1514DBEE">
      <w:pPr>
        <w:snapToGrid w:val="0"/>
        <w:spacing w:before="120" w:beforeLines="50" w:after="50"/>
        <w:jc w:val="center"/>
        <w:rPr>
          <w:rFonts w:hint="eastAsia" w:ascii="宋体" w:hAnsi="宋体" w:eastAsia="宋体" w:cs="宋体"/>
          <w:color w:val="auto"/>
          <w:sz w:val="28"/>
          <w:szCs w:val="28"/>
          <w:highlight w:val="none"/>
        </w:rPr>
      </w:pPr>
    </w:p>
    <w:p w14:paraId="3C198DC4">
      <w:pPr>
        <w:snapToGrid w:val="0"/>
        <w:spacing w:before="120" w:beforeLines="50" w:after="5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1.资格响应文件封面格式： </w:t>
      </w:r>
    </w:p>
    <w:p w14:paraId="0BE4DE59">
      <w:pPr>
        <w:snapToGrid w:val="0"/>
        <w:spacing w:before="120" w:beforeLines="50" w:after="5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30D59147">
      <w:pPr>
        <w:snapToGrid w:val="0"/>
        <w:spacing w:before="120" w:beforeLines="50" w:after="50"/>
        <w:rPr>
          <w:rFonts w:hint="eastAsia" w:ascii="宋体" w:hAnsi="宋体" w:eastAsia="宋体" w:cs="宋体"/>
          <w:color w:val="auto"/>
          <w:sz w:val="28"/>
          <w:szCs w:val="28"/>
          <w:highlight w:val="none"/>
        </w:rPr>
      </w:pPr>
    </w:p>
    <w:p w14:paraId="13660DF6">
      <w:pPr>
        <w:snapToGrid w:val="0"/>
        <w:spacing w:before="120" w:beforeLines="50" w:after="50"/>
        <w:jc w:val="center"/>
        <w:rPr>
          <w:rFonts w:hint="eastAsia" w:ascii="宋体" w:hAnsi="宋体" w:eastAsia="宋体" w:cs="宋体"/>
          <w:bCs/>
          <w:color w:val="auto"/>
          <w:sz w:val="28"/>
          <w:szCs w:val="28"/>
          <w:highlight w:val="none"/>
        </w:rPr>
      </w:pPr>
    </w:p>
    <w:p w14:paraId="72FBB154">
      <w:pPr>
        <w:snapToGrid w:val="0"/>
        <w:spacing w:before="120" w:beforeLines="50" w:after="5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资格响应文件</w:t>
      </w:r>
    </w:p>
    <w:p w14:paraId="6AA4A910">
      <w:pPr>
        <w:snapToGrid w:val="0"/>
        <w:spacing w:before="120" w:beforeLines="50" w:after="50" w:line="360" w:lineRule="auto"/>
        <w:jc w:val="center"/>
        <w:rPr>
          <w:rFonts w:hint="eastAsia" w:ascii="宋体" w:hAnsi="宋体" w:eastAsia="宋体" w:cs="宋体"/>
          <w:bCs/>
          <w:color w:val="auto"/>
          <w:sz w:val="28"/>
          <w:szCs w:val="28"/>
          <w:highlight w:val="none"/>
        </w:rPr>
      </w:pPr>
    </w:p>
    <w:p w14:paraId="378B9418">
      <w:pPr>
        <w:snapToGrid w:val="0"/>
        <w:spacing w:before="120" w:beforeLines="50" w:after="50" w:line="360" w:lineRule="auto"/>
        <w:jc w:val="center"/>
        <w:rPr>
          <w:rFonts w:hint="eastAsia" w:ascii="宋体" w:hAnsi="宋体" w:eastAsia="宋体" w:cs="宋体"/>
          <w:bCs/>
          <w:color w:val="auto"/>
          <w:sz w:val="28"/>
          <w:szCs w:val="28"/>
          <w:highlight w:val="none"/>
        </w:rPr>
      </w:pPr>
    </w:p>
    <w:p w14:paraId="7B68EC62">
      <w:pPr>
        <w:snapToGrid w:val="0"/>
        <w:spacing w:before="120" w:beforeLines="50" w:after="50" w:line="360" w:lineRule="auto"/>
        <w:ind w:firstLine="1246" w:firstLineChars="44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160B652A">
      <w:pPr>
        <w:snapToGrid w:val="0"/>
        <w:spacing w:before="120"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项目编号：    </w:t>
      </w:r>
    </w:p>
    <w:p w14:paraId="2763CDF1">
      <w:pPr>
        <w:pStyle w:val="14"/>
        <w:snapToGrid w:val="0"/>
        <w:spacing w:before="50" w:after="50" w:line="360" w:lineRule="auto"/>
        <w:ind w:firstLine="1164" w:firstLineChars="416"/>
        <w:rPr>
          <w:rFonts w:hint="eastAsia" w:ascii="宋体" w:hAnsi="宋体" w:eastAsia="宋体" w:cs="宋体"/>
          <w:bCs/>
          <w:color w:val="auto"/>
          <w:sz w:val="28"/>
          <w:szCs w:val="28"/>
          <w:highlight w:val="none"/>
        </w:rPr>
      </w:pPr>
    </w:p>
    <w:p w14:paraId="516108C2">
      <w:pPr>
        <w:pStyle w:val="14"/>
        <w:snapToGrid w:val="0"/>
        <w:spacing w:before="50" w:after="50" w:line="360" w:lineRule="auto"/>
        <w:ind w:firstLine="1164" w:firstLineChars="41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28F86436">
      <w:pPr>
        <w:pStyle w:val="14"/>
        <w:snapToGrid w:val="0"/>
        <w:spacing w:before="50" w:after="50" w:line="360" w:lineRule="auto"/>
        <w:ind w:firstLine="1164" w:firstLineChars="41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供应商地址：</w:t>
      </w:r>
    </w:p>
    <w:p w14:paraId="619F3C2E">
      <w:pPr>
        <w:pStyle w:val="14"/>
        <w:snapToGrid w:val="0"/>
        <w:spacing w:before="50" w:after="50"/>
        <w:ind w:firstLine="1120" w:firstLineChars="400"/>
        <w:rPr>
          <w:rFonts w:hint="eastAsia" w:ascii="宋体" w:hAnsi="宋体" w:eastAsia="宋体" w:cs="宋体"/>
          <w:bCs/>
          <w:color w:val="auto"/>
          <w:sz w:val="28"/>
          <w:szCs w:val="28"/>
          <w:highlight w:val="none"/>
        </w:rPr>
      </w:pPr>
    </w:p>
    <w:p w14:paraId="2C469CA1">
      <w:pPr>
        <w:snapToGrid w:val="0"/>
        <w:spacing w:line="360" w:lineRule="auto"/>
        <w:ind w:firstLine="3360" w:firstLineChars="1200"/>
        <w:jc w:val="left"/>
        <w:rPr>
          <w:rFonts w:hint="eastAsia" w:ascii="宋体" w:hAnsi="宋体" w:eastAsia="宋体" w:cs="宋体"/>
          <w:color w:val="auto"/>
          <w:sz w:val="28"/>
          <w:szCs w:val="28"/>
          <w:highlight w:val="none"/>
        </w:rPr>
      </w:pPr>
    </w:p>
    <w:p w14:paraId="4E93A93F">
      <w:pPr>
        <w:snapToGrid w:val="0"/>
        <w:spacing w:line="360" w:lineRule="auto"/>
        <w:ind w:firstLine="3640" w:firstLineChars="1300"/>
        <w:jc w:val="left"/>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年  月  日</w:t>
      </w:r>
      <w:r>
        <w:rPr>
          <w:rFonts w:hint="eastAsia" w:ascii="宋体" w:hAnsi="宋体" w:eastAsia="宋体" w:cs="宋体"/>
          <w:color w:val="auto"/>
          <w:sz w:val="28"/>
          <w:szCs w:val="28"/>
          <w:highlight w:val="none"/>
        </w:rPr>
        <w:br w:type="page"/>
      </w:r>
      <w:bookmarkStart w:id="74" w:name="_Hlk60757343"/>
      <w:r>
        <w:rPr>
          <w:rFonts w:hint="eastAsia" w:ascii="宋体" w:hAnsi="宋体" w:eastAsia="宋体" w:cs="宋体"/>
          <w:color w:val="auto"/>
          <w:sz w:val="24"/>
          <w:highlight w:val="none"/>
        </w:rPr>
        <w:t>2.营业执照等：</w:t>
      </w:r>
      <w:bookmarkEnd w:id="74"/>
    </w:p>
    <w:p w14:paraId="53BDBD1C">
      <w:pPr>
        <w:snapToGrid w:val="0"/>
        <w:spacing w:line="360" w:lineRule="auto"/>
        <w:jc w:val="center"/>
        <w:rPr>
          <w:rFonts w:hint="eastAsia" w:ascii="宋体" w:hAnsi="宋体" w:eastAsia="宋体" w:cs="宋体"/>
          <w:b/>
          <w:color w:val="auto"/>
          <w:kern w:val="0"/>
          <w:sz w:val="32"/>
          <w:szCs w:val="32"/>
          <w:highlight w:val="none"/>
          <w:lang w:val="zh-CN"/>
        </w:rPr>
      </w:pPr>
    </w:p>
    <w:p w14:paraId="7E41150C">
      <w:pPr>
        <w:snapToGrid w:val="0"/>
        <w:spacing w:line="360" w:lineRule="auto"/>
        <w:jc w:val="center"/>
        <w:rPr>
          <w:rFonts w:hint="eastAsia" w:ascii="宋体" w:hAnsi="宋体" w:eastAsia="宋体" w:cs="宋体"/>
          <w:b/>
          <w:color w:val="auto"/>
          <w:kern w:val="0"/>
          <w:sz w:val="32"/>
          <w:szCs w:val="32"/>
          <w:highlight w:val="none"/>
          <w:lang w:val="zh-CN"/>
        </w:rPr>
      </w:pPr>
    </w:p>
    <w:p w14:paraId="6E71C183">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营业执照（推荐使用电子营业执照）</w:t>
      </w:r>
    </w:p>
    <w:p w14:paraId="45ED01F9">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或事业法人登记证或其他工商等登记证明材料原件扫描件或复印件</w:t>
      </w:r>
    </w:p>
    <w:p w14:paraId="4E11F75C">
      <w:pPr>
        <w:snapToGrid w:val="0"/>
        <w:spacing w:line="360" w:lineRule="auto"/>
        <w:rPr>
          <w:rFonts w:hint="eastAsia" w:ascii="宋体" w:hAnsi="宋体" w:eastAsia="宋体" w:cs="宋体"/>
          <w:bCs/>
          <w:color w:val="auto"/>
          <w:kern w:val="0"/>
          <w:sz w:val="28"/>
          <w:szCs w:val="28"/>
          <w:highlight w:val="none"/>
          <w:lang w:val="zh-CN"/>
        </w:rPr>
      </w:pPr>
      <w:r>
        <w:rPr>
          <w:rFonts w:hint="eastAsia" w:ascii="宋体" w:hAnsi="宋体" w:eastAsia="宋体" w:cs="宋体"/>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hint="eastAsia" w:ascii="宋体" w:hAnsi="宋体" w:eastAsia="宋体" w:cs="宋体"/>
          <w:b/>
          <w:color w:val="auto"/>
          <w:sz w:val="32"/>
          <w:szCs w:val="32"/>
          <w:highlight w:val="none"/>
        </w:rPr>
      </w:pPr>
    </w:p>
    <w:p w14:paraId="3180E5B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特定资格条件要求的资质文件复印件（如有）</w:t>
      </w:r>
    </w:p>
    <w:p w14:paraId="6D7C0F8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hint="eastAsia" w:ascii="宋体" w:hAnsi="宋体" w:eastAsia="宋体" w:cs="宋体"/>
          <w:color w:val="auto"/>
          <w:sz w:val="24"/>
          <w:highlight w:val="none"/>
        </w:rPr>
      </w:pPr>
    </w:p>
    <w:p w14:paraId="0EB8F2B9">
      <w:pPr>
        <w:spacing w:line="360" w:lineRule="auto"/>
        <w:jc w:val="center"/>
        <w:rPr>
          <w:rFonts w:hint="eastAsia" w:ascii="宋体" w:hAnsi="宋体" w:eastAsia="宋体" w:cs="宋体"/>
          <w:b/>
          <w:bCs/>
          <w:color w:val="auto"/>
          <w:sz w:val="32"/>
          <w:szCs w:val="32"/>
          <w:highlight w:val="none"/>
        </w:rPr>
      </w:pPr>
    </w:p>
    <w:p w14:paraId="5C16EBFA">
      <w:pPr>
        <w:widowControl/>
        <w:spacing w:line="360" w:lineRule="auto"/>
        <w:ind w:firstLine="480" w:firstLineChars="200"/>
        <w:jc w:val="left"/>
        <w:rPr>
          <w:rFonts w:hint="eastAsia" w:ascii="宋体" w:hAnsi="宋体" w:eastAsia="宋体" w:cs="宋体"/>
          <w:color w:val="auto"/>
          <w:sz w:val="24"/>
          <w:highlight w:val="none"/>
        </w:rPr>
      </w:pPr>
    </w:p>
    <w:p w14:paraId="53C885A6">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color w:val="auto"/>
          <w:sz w:val="30"/>
          <w:szCs w:val="30"/>
          <w:highlight w:val="none"/>
        </w:rPr>
        <w:br w:type="page"/>
      </w:r>
    </w:p>
    <w:p w14:paraId="3E0CD32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没有重大违法记录的承诺函格式：</w:t>
      </w:r>
    </w:p>
    <w:p w14:paraId="2BA67C49">
      <w:pPr>
        <w:spacing w:line="360" w:lineRule="auto"/>
        <w:jc w:val="center"/>
        <w:rPr>
          <w:rFonts w:hint="eastAsia" w:ascii="宋体" w:hAnsi="宋体" w:eastAsia="宋体" w:cs="宋体"/>
          <w:b/>
          <w:color w:val="auto"/>
          <w:kern w:val="0"/>
          <w:sz w:val="32"/>
          <w:szCs w:val="32"/>
          <w:highlight w:val="none"/>
        </w:rPr>
      </w:pPr>
    </w:p>
    <w:p w14:paraId="002EF41C">
      <w:pPr>
        <w:spacing w:line="5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参加本次政府采购项目前三年内在经营活动中</w:t>
      </w:r>
    </w:p>
    <w:p w14:paraId="67F9A2C9">
      <w:pPr>
        <w:spacing w:line="5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没有重大违法记录的承诺函</w:t>
      </w:r>
    </w:p>
    <w:p w14:paraId="57E740A7">
      <w:pPr>
        <w:spacing w:line="520" w:lineRule="exact"/>
        <w:jc w:val="center"/>
        <w:rPr>
          <w:rFonts w:hint="eastAsia" w:ascii="宋体" w:hAnsi="宋体" w:eastAsia="宋体" w:cs="宋体"/>
          <w:bCs/>
          <w:color w:val="auto"/>
          <w:sz w:val="24"/>
          <w:highlight w:val="none"/>
        </w:rPr>
      </w:pPr>
    </w:p>
    <w:p w14:paraId="7735804B">
      <w:pPr>
        <w:ind w:firstLine="420"/>
        <w:rPr>
          <w:rFonts w:hint="eastAsia" w:ascii="宋体" w:hAnsi="宋体" w:eastAsia="宋体" w:cs="宋体"/>
          <w:color w:val="auto"/>
          <w:sz w:val="24"/>
          <w:highlight w:val="none"/>
        </w:rPr>
      </w:pPr>
    </w:p>
    <w:p w14:paraId="494F104B">
      <w:pPr>
        <w:spacing w:line="360" w:lineRule="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名称）</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w:t>
      </w:r>
    </w:p>
    <w:p w14:paraId="6920846E">
      <w:pPr>
        <w:snapToGrid w:val="0"/>
        <w:spacing w:before="120" w:beforeLines="50"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我方郑重承诺，我方在参加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hint="eastAsia" w:ascii="宋体" w:hAnsi="宋体" w:eastAsia="宋体" w:cs="宋体"/>
          <w:color w:val="auto"/>
          <w:sz w:val="24"/>
          <w:highlight w:val="none"/>
        </w:rPr>
      </w:pPr>
    </w:p>
    <w:p w14:paraId="4D055401">
      <w:pPr>
        <w:snapToGrid w:val="0"/>
        <w:spacing w:before="120" w:beforeLines="50"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w:t>
      </w:r>
      <w:r>
        <w:rPr>
          <w:rFonts w:hint="eastAsia" w:ascii="宋体" w:hAnsi="宋体" w:eastAsia="宋体" w:cs="宋体"/>
          <w:color w:val="auto"/>
          <w:kern w:val="0"/>
          <w:sz w:val="24"/>
          <w:highlight w:val="none"/>
        </w:rPr>
        <w:t>承诺</w:t>
      </w:r>
      <w:r>
        <w:rPr>
          <w:rFonts w:hint="eastAsia" w:ascii="宋体" w:hAnsi="宋体" w:eastAsia="宋体" w:cs="宋体"/>
          <w:color w:val="auto"/>
          <w:sz w:val="24"/>
          <w:highlight w:val="none"/>
        </w:rPr>
        <w:t>！</w:t>
      </w:r>
    </w:p>
    <w:p w14:paraId="1A86C85B">
      <w:pPr>
        <w:snapToGrid w:val="0"/>
        <w:spacing w:before="50" w:after="120" w:afterLines="50"/>
        <w:jc w:val="left"/>
        <w:rPr>
          <w:rFonts w:hint="eastAsia" w:ascii="宋体" w:hAnsi="宋体" w:eastAsia="宋体" w:cs="宋体"/>
          <w:color w:val="auto"/>
          <w:kern w:val="0"/>
          <w:sz w:val="24"/>
          <w:highlight w:val="none"/>
          <w:lang w:val="zh-CN"/>
        </w:rPr>
      </w:pPr>
    </w:p>
    <w:p w14:paraId="58A9B0B2">
      <w:pPr>
        <w:snapToGrid w:val="0"/>
        <w:spacing w:before="50" w:after="120" w:afterLines="50"/>
        <w:jc w:val="left"/>
        <w:rPr>
          <w:rFonts w:hint="eastAsia" w:ascii="宋体" w:hAnsi="宋体" w:eastAsia="宋体" w:cs="宋体"/>
          <w:color w:val="auto"/>
          <w:kern w:val="0"/>
          <w:sz w:val="24"/>
          <w:highlight w:val="none"/>
          <w:lang w:val="zh-CN"/>
        </w:rPr>
      </w:pPr>
    </w:p>
    <w:p w14:paraId="5D4AD00E">
      <w:pPr>
        <w:snapToGrid w:val="0"/>
        <w:spacing w:before="50" w:after="120" w:afterLines="50"/>
        <w:jc w:val="left"/>
        <w:rPr>
          <w:rFonts w:hint="eastAsia" w:ascii="宋体" w:hAnsi="宋体" w:eastAsia="宋体" w:cs="宋体"/>
          <w:color w:val="auto"/>
          <w:kern w:val="0"/>
          <w:sz w:val="24"/>
          <w:highlight w:val="none"/>
          <w:lang w:val="zh-CN"/>
        </w:rPr>
      </w:pPr>
    </w:p>
    <w:p w14:paraId="04E2286A">
      <w:pPr>
        <w:snapToGrid w:val="0"/>
        <w:spacing w:before="50" w:after="120" w:afterLines="50"/>
        <w:jc w:val="left"/>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法定代表人签字（或盖章）：         供应商（盖章）：</w:t>
      </w:r>
    </w:p>
    <w:p w14:paraId="0CE98557">
      <w:pPr>
        <w:snapToGrid w:val="0"/>
        <w:spacing w:before="50" w:after="120" w:afterLines="50"/>
        <w:jc w:val="left"/>
        <w:rPr>
          <w:rFonts w:hint="eastAsia" w:ascii="宋体" w:hAnsi="宋体" w:eastAsia="宋体" w:cs="宋体"/>
          <w:b/>
          <w:color w:val="auto"/>
          <w:sz w:val="24"/>
          <w:highlight w:val="none"/>
        </w:rPr>
      </w:pPr>
    </w:p>
    <w:p w14:paraId="7FF0A9F0">
      <w:pPr>
        <w:snapToGrid w:val="0"/>
        <w:spacing w:before="50" w:after="120" w:afterLines="50"/>
        <w:jc w:val="left"/>
        <w:rPr>
          <w:rFonts w:hint="eastAsia" w:ascii="宋体" w:hAnsi="宋体" w:eastAsia="宋体" w:cs="宋体"/>
          <w:b/>
          <w:color w:val="auto"/>
          <w:sz w:val="24"/>
          <w:highlight w:val="none"/>
        </w:rPr>
      </w:pPr>
    </w:p>
    <w:p w14:paraId="699BFC3C">
      <w:pPr>
        <w:snapToGrid w:val="0"/>
        <w:spacing w:before="50" w:after="120" w:afterLine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日期：  _____年___月___日</w:t>
      </w:r>
    </w:p>
    <w:p w14:paraId="0A9227D2">
      <w:pPr>
        <w:snapToGrid w:val="0"/>
        <w:spacing w:before="50" w:after="120" w:afterLines="50"/>
        <w:jc w:val="left"/>
        <w:rPr>
          <w:rFonts w:hint="eastAsia" w:ascii="宋体" w:hAnsi="宋体" w:eastAsia="宋体" w:cs="宋体"/>
          <w:color w:val="auto"/>
          <w:sz w:val="28"/>
          <w:szCs w:val="28"/>
          <w:highlight w:val="none"/>
        </w:rPr>
      </w:pPr>
    </w:p>
    <w:p w14:paraId="770BCA9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br w:type="page"/>
      </w:r>
    </w:p>
    <w:p w14:paraId="1B2F2AE1">
      <w:pPr>
        <w:snapToGrid w:val="0"/>
        <w:spacing w:before="120" w:beforeLines="50" w:after="50"/>
        <w:outlineLvl w:val="1"/>
        <w:rPr>
          <w:rFonts w:hint="eastAsia" w:ascii="宋体" w:hAnsi="宋体" w:eastAsia="宋体" w:cs="宋体"/>
          <w:color w:val="auto"/>
          <w:kern w:val="0"/>
          <w:sz w:val="24"/>
          <w:highlight w:val="none"/>
        </w:rPr>
      </w:pPr>
    </w:p>
    <w:p w14:paraId="5764D0F1">
      <w:pPr>
        <w:snapToGrid w:val="0"/>
        <w:spacing w:before="120" w:beforeLines="50" w:after="50"/>
        <w:outlineLvl w:val="1"/>
        <w:rPr>
          <w:rFonts w:hint="eastAsia" w:ascii="宋体" w:hAnsi="宋体" w:eastAsia="宋体" w:cs="宋体"/>
          <w:b/>
          <w:bCs/>
          <w:color w:val="auto"/>
          <w:sz w:val="24"/>
          <w:highlight w:val="none"/>
        </w:rPr>
      </w:pPr>
    </w:p>
    <w:p w14:paraId="6B4D8536">
      <w:pPr>
        <w:snapToGrid w:val="0"/>
        <w:spacing w:before="120" w:beforeLines="50" w:after="50"/>
        <w:outlineLvl w:val="1"/>
        <w:rPr>
          <w:rFonts w:hint="eastAsia" w:ascii="宋体" w:hAnsi="宋体" w:eastAsia="宋体" w:cs="宋体"/>
          <w:b/>
          <w:bCs/>
          <w:color w:val="auto"/>
          <w:sz w:val="24"/>
          <w:highlight w:val="none"/>
        </w:rPr>
      </w:pPr>
    </w:p>
    <w:p w14:paraId="265909CF">
      <w:pPr>
        <w:snapToGrid w:val="0"/>
        <w:spacing w:before="120" w:beforeLines="50" w:after="50"/>
        <w:jc w:val="center"/>
        <w:outlineLvl w:val="1"/>
        <w:rPr>
          <w:rFonts w:hint="eastAsia" w:ascii="宋体" w:hAnsi="宋体" w:eastAsia="宋体" w:cs="宋体"/>
          <w:b/>
          <w:bCs/>
          <w:color w:val="auto"/>
          <w:sz w:val="24"/>
          <w:highlight w:val="none"/>
        </w:rPr>
      </w:pPr>
    </w:p>
    <w:p w14:paraId="5858404B">
      <w:pPr>
        <w:snapToGrid w:val="0"/>
        <w:spacing w:before="120" w:beforeLines="50" w:after="50"/>
        <w:jc w:val="center"/>
        <w:outlineLvl w:val="1"/>
        <w:rPr>
          <w:rFonts w:hint="eastAsia" w:ascii="宋体" w:hAnsi="宋体" w:eastAsia="宋体" w:cs="宋体"/>
          <w:b/>
          <w:bCs/>
          <w:color w:val="auto"/>
          <w:sz w:val="28"/>
          <w:szCs w:val="28"/>
          <w:highlight w:val="none"/>
        </w:rPr>
      </w:pPr>
      <w:bookmarkStart w:id="75" w:name="_Toc466534753"/>
      <w:r>
        <w:rPr>
          <w:rFonts w:hint="eastAsia" w:ascii="宋体" w:hAnsi="宋体" w:eastAsia="宋体" w:cs="宋体"/>
          <w:b/>
          <w:bCs/>
          <w:color w:val="auto"/>
          <w:sz w:val="28"/>
          <w:szCs w:val="28"/>
          <w:highlight w:val="none"/>
        </w:rPr>
        <w:t>二、商务技术文件格式</w:t>
      </w:r>
      <w:bookmarkEnd w:id="73"/>
      <w:bookmarkEnd w:id="75"/>
    </w:p>
    <w:p w14:paraId="364E36B7">
      <w:pPr>
        <w:snapToGrid w:val="0"/>
        <w:spacing w:before="120" w:beforeLines="50" w:after="50"/>
        <w:jc w:val="center"/>
        <w:rPr>
          <w:rFonts w:hint="eastAsia" w:ascii="宋体" w:hAnsi="宋体" w:eastAsia="宋体" w:cs="宋体"/>
          <w:color w:val="auto"/>
          <w:sz w:val="28"/>
          <w:szCs w:val="28"/>
          <w:highlight w:val="none"/>
        </w:rPr>
      </w:pPr>
    </w:p>
    <w:p w14:paraId="7666F85B">
      <w:pPr>
        <w:snapToGrid w:val="0"/>
        <w:spacing w:before="120" w:beforeLines="50" w:after="50"/>
        <w:jc w:val="center"/>
        <w:rPr>
          <w:rFonts w:hint="eastAsia" w:ascii="宋体" w:hAnsi="宋体" w:eastAsia="宋体" w:cs="宋体"/>
          <w:color w:val="auto"/>
          <w:sz w:val="28"/>
          <w:szCs w:val="28"/>
          <w:highlight w:val="none"/>
        </w:rPr>
      </w:pPr>
    </w:p>
    <w:p w14:paraId="7F24E20A">
      <w:pPr>
        <w:snapToGrid w:val="0"/>
        <w:spacing w:before="120" w:beforeLines="50" w:after="50"/>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.商务技术文件封面格式： </w:t>
      </w:r>
    </w:p>
    <w:p w14:paraId="1659A728">
      <w:pPr>
        <w:snapToGrid w:val="0"/>
        <w:spacing w:before="120" w:beforeLines="50" w:after="5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2D549821">
      <w:pPr>
        <w:snapToGrid w:val="0"/>
        <w:spacing w:before="120" w:beforeLines="50" w:after="50"/>
        <w:rPr>
          <w:rFonts w:hint="eastAsia" w:ascii="宋体" w:hAnsi="宋体" w:eastAsia="宋体" w:cs="宋体"/>
          <w:color w:val="auto"/>
          <w:sz w:val="28"/>
          <w:szCs w:val="28"/>
          <w:highlight w:val="none"/>
        </w:rPr>
      </w:pPr>
    </w:p>
    <w:p w14:paraId="59319CF1">
      <w:pPr>
        <w:snapToGrid w:val="0"/>
        <w:spacing w:before="120" w:beforeLines="50" w:after="50"/>
        <w:jc w:val="center"/>
        <w:rPr>
          <w:rFonts w:hint="eastAsia" w:ascii="宋体" w:hAnsi="宋体" w:eastAsia="宋体" w:cs="宋体"/>
          <w:bCs/>
          <w:color w:val="auto"/>
          <w:sz w:val="28"/>
          <w:szCs w:val="28"/>
          <w:highlight w:val="none"/>
        </w:rPr>
      </w:pPr>
    </w:p>
    <w:p w14:paraId="46786EE6">
      <w:pPr>
        <w:snapToGrid w:val="0"/>
        <w:spacing w:before="120" w:beforeLines="50" w:after="5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商务技术文件</w:t>
      </w:r>
    </w:p>
    <w:p w14:paraId="02EA9832">
      <w:pPr>
        <w:snapToGrid w:val="0"/>
        <w:spacing w:before="120" w:beforeLines="50" w:after="50" w:line="360" w:lineRule="auto"/>
        <w:jc w:val="center"/>
        <w:rPr>
          <w:rFonts w:hint="eastAsia" w:ascii="宋体" w:hAnsi="宋体" w:eastAsia="宋体" w:cs="宋体"/>
          <w:bCs/>
          <w:color w:val="auto"/>
          <w:sz w:val="28"/>
          <w:szCs w:val="28"/>
          <w:highlight w:val="none"/>
        </w:rPr>
      </w:pPr>
    </w:p>
    <w:p w14:paraId="50F45EC4">
      <w:pPr>
        <w:snapToGrid w:val="0"/>
        <w:spacing w:before="120" w:beforeLines="50" w:after="50" w:line="360" w:lineRule="auto"/>
        <w:jc w:val="center"/>
        <w:rPr>
          <w:rFonts w:hint="eastAsia" w:ascii="宋体" w:hAnsi="宋体" w:eastAsia="宋体" w:cs="宋体"/>
          <w:bCs/>
          <w:color w:val="auto"/>
          <w:sz w:val="28"/>
          <w:szCs w:val="28"/>
          <w:highlight w:val="none"/>
        </w:rPr>
      </w:pPr>
    </w:p>
    <w:p w14:paraId="048DE3E8">
      <w:pPr>
        <w:snapToGrid w:val="0"/>
        <w:spacing w:before="120" w:beforeLines="50" w:after="50" w:line="360" w:lineRule="auto"/>
        <w:ind w:firstLine="1246" w:firstLineChars="44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4E6D3907">
      <w:pPr>
        <w:snapToGrid w:val="0"/>
        <w:spacing w:before="120"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项目编号：    </w:t>
      </w:r>
    </w:p>
    <w:p w14:paraId="1E003710">
      <w:pPr>
        <w:pStyle w:val="14"/>
        <w:snapToGrid w:val="0"/>
        <w:spacing w:before="50" w:after="50" w:line="360" w:lineRule="auto"/>
        <w:ind w:firstLine="1164" w:firstLineChars="416"/>
        <w:rPr>
          <w:rFonts w:hint="eastAsia" w:ascii="宋体" w:hAnsi="宋体" w:eastAsia="宋体" w:cs="宋体"/>
          <w:bCs/>
          <w:color w:val="auto"/>
          <w:sz w:val="28"/>
          <w:szCs w:val="28"/>
          <w:highlight w:val="none"/>
        </w:rPr>
      </w:pPr>
    </w:p>
    <w:p w14:paraId="5A262C16">
      <w:pPr>
        <w:pStyle w:val="14"/>
        <w:snapToGrid w:val="0"/>
        <w:spacing w:before="50" w:after="50" w:line="360" w:lineRule="auto"/>
        <w:ind w:firstLine="1164" w:firstLineChars="41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73A27A39">
      <w:pPr>
        <w:pStyle w:val="14"/>
        <w:snapToGrid w:val="0"/>
        <w:spacing w:before="50" w:after="50" w:line="360" w:lineRule="auto"/>
        <w:ind w:firstLine="1164" w:firstLineChars="41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供应商地址：</w:t>
      </w:r>
    </w:p>
    <w:p w14:paraId="4C47FE6E">
      <w:pPr>
        <w:pStyle w:val="14"/>
        <w:snapToGrid w:val="0"/>
        <w:spacing w:before="50" w:after="50"/>
        <w:ind w:firstLine="1120" w:firstLineChars="400"/>
        <w:rPr>
          <w:rFonts w:hint="eastAsia" w:ascii="宋体" w:hAnsi="宋体" w:eastAsia="宋体" w:cs="宋体"/>
          <w:bCs/>
          <w:color w:val="auto"/>
          <w:sz w:val="28"/>
          <w:szCs w:val="28"/>
          <w:highlight w:val="none"/>
        </w:rPr>
      </w:pPr>
    </w:p>
    <w:p w14:paraId="5B5B4221">
      <w:pPr>
        <w:pStyle w:val="28"/>
        <w:snapToGrid w:val="0"/>
        <w:spacing w:beforeLines="0" w:afterLines="0" w:line="420" w:lineRule="exact"/>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r>
        <w:rPr>
          <w:rFonts w:hint="eastAsia" w:ascii="宋体" w:hAnsi="宋体" w:eastAsia="宋体" w:cs="宋体"/>
          <w:color w:val="auto"/>
          <w:sz w:val="28"/>
          <w:szCs w:val="28"/>
          <w:highlight w:val="none"/>
        </w:rPr>
        <w:br w:type="page"/>
      </w:r>
    </w:p>
    <w:p w14:paraId="30727580">
      <w:pPr>
        <w:snapToGrid w:val="0"/>
        <w:spacing w:before="120" w:beforeLines="50" w:after="50"/>
        <w:jc w:val="left"/>
        <w:rPr>
          <w:rFonts w:hint="eastAsia" w:ascii="宋体" w:hAnsi="宋体" w:eastAsia="宋体" w:cs="宋体"/>
          <w:color w:val="auto"/>
          <w:sz w:val="24"/>
          <w:highlight w:val="none"/>
        </w:rPr>
      </w:pPr>
      <w:bookmarkStart w:id="76" w:name="_Hlk60757098"/>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.投标函格式：</w:t>
      </w:r>
      <w:bookmarkEnd w:id="76"/>
    </w:p>
    <w:p w14:paraId="23C93186">
      <w:pPr>
        <w:snapToGrid w:val="0"/>
        <w:spacing w:before="120"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函</w:t>
      </w:r>
    </w:p>
    <w:p w14:paraId="436EB1D6">
      <w:pPr>
        <w:snapToGrid w:val="0"/>
        <w:spacing w:before="120" w:beforeLines="50" w:after="50" w:line="380" w:lineRule="exac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致：______</w:t>
      </w:r>
      <w:r>
        <w:rPr>
          <w:rFonts w:hint="eastAsia" w:ascii="宋体" w:hAnsi="宋体" w:eastAsia="宋体" w:cs="宋体"/>
          <w:color w:val="auto"/>
          <w:sz w:val="24"/>
          <w:highlight w:val="none"/>
          <w:u w:val="single"/>
        </w:rPr>
        <w:t>_     _</w:t>
      </w:r>
      <w:r>
        <w:rPr>
          <w:rFonts w:hint="eastAsia" w:ascii="宋体" w:hAnsi="宋体" w:eastAsia="宋体" w:cs="宋体"/>
          <w:color w:val="auto"/>
          <w:sz w:val="24"/>
          <w:highlight w:val="none"/>
        </w:rPr>
        <w:t>_（采购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名称）：</w:t>
      </w:r>
    </w:p>
    <w:p w14:paraId="70082D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1、我方自愿参加贵方组织的_____</w:t>
      </w:r>
      <w:r>
        <w:rPr>
          <w:rFonts w:hint="eastAsia" w:ascii="宋体" w:hAnsi="宋体" w:eastAsia="宋体" w:cs="宋体"/>
          <w:color w:val="auto"/>
          <w:sz w:val="24"/>
          <w:highlight w:val="none"/>
          <w:u w:val="single"/>
        </w:rPr>
        <w:t>_              _</w:t>
      </w:r>
      <w:r>
        <w:rPr>
          <w:rFonts w:hint="eastAsia" w:ascii="宋体" w:hAnsi="宋体" w:eastAsia="宋体" w:cs="宋体"/>
          <w:color w:val="auto"/>
          <w:sz w:val="24"/>
          <w:highlight w:val="none"/>
        </w:rPr>
        <w:t>_项目（项目编号：____</w:t>
      </w:r>
      <w:r>
        <w:rPr>
          <w:rFonts w:hint="eastAsia" w:ascii="宋体" w:hAnsi="宋体" w:eastAsia="宋体" w:cs="宋体"/>
          <w:color w:val="auto"/>
          <w:sz w:val="24"/>
          <w:highlight w:val="none"/>
          <w:u w:val="single"/>
        </w:rPr>
        <w:t>_     _</w:t>
      </w:r>
      <w:r>
        <w:rPr>
          <w:rFonts w:hint="eastAsia" w:ascii="宋体" w:hAnsi="宋体" w:eastAsia="宋体" w:cs="宋体"/>
          <w:color w:val="auto"/>
          <w:sz w:val="24"/>
          <w:highlight w:val="none"/>
        </w:rPr>
        <w:t>_）的投标，并按采购文件的要求提交商务技术文件、报价文件。</w:t>
      </w:r>
    </w:p>
    <w:p w14:paraId="5CE84A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2、我方完全理解并接受磋商文件（包括修改补充文件）的各项规定和要求，不再对磋商文件的合理性、合法性等相关内容提出质疑或投诉。</w:t>
      </w:r>
    </w:p>
    <w:p w14:paraId="5B92D6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3、我方不是采购单位的附属机构以及其它法律法规所规定的限制投标单位。</w:t>
      </w:r>
    </w:p>
    <w:p w14:paraId="19E24848">
      <w:pPr>
        <w:snapToGrid w:val="0"/>
        <w:spacing w:line="360" w:lineRule="auto"/>
        <w:ind w:firstLine="482" w:firstLineChars="200"/>
        <w:rPr>
          <w:rFonts w:hint="eastAsia" w:ascii="宋体" w:hAnsi="宋体" w:eastAsia="宋体" w:cs="宋体"/>
          <w:b/>
          <w:bCs/>
          <w:color w:val="auto"/>
          <w:sz w:val="24"/>
          <w:highlight w:val="none"/>
          <w:shd w:val="pct10" w:color="auto" w:fill="FFFFFF"/>
        </w:rPr>
      </w:pPr>
      <w:r>
        <w:rPr>
          <w:rFonts w:hint="eastAsia" w:ascii="宋体" w:hAnsi="宋体" w:eastAsia="宋体" w:cs="宋体"/>
          <w:b/>
          <w:bCs/>
          <w:color w:val="auto"/>
          <w:sz w:val="24"/>
          <w:highlight w:val="none"/>
          <w:shd w:val="pct10" w:color="auto" w:fill="FFFFFF"/>
        </w:rPr>
        <w:t>4.、我方向贵方提交的所有响应文件、资料（包括所有</w:t>
      </w:r>
      <w:bookmarkStart w:id="77" w:name="_Hlk59707887"/>
      <w:r>
        <w:rPr>
          <w:rFonts w:hint="eastAsia" w:ascii="宋体" w:hAnsi="宋体" w:eastAsia="宋体" w:cs="宋体"/>
          <w:b/>
          <w:bCs/>
          <w:color w:val="auto"/>
          <w:sz w:val="24"/>
          <w:highlight w:val="none"/>
          <w:shd w:val="pct10" w:color="auto" w:fill="FFFFFF"/>
        </w:rPr>
        <w:t>证书、合同、报告等</w:t>
      </w:r>
      <w:bookmarkEnd w:id="77"/>
      <w:r>
        <w:rPr>
          <w:rFonts w:hint="eastAsia" w:ascii="宋体" w:hAnsi="宋体" w:eastAsia="宋体" w:cs="宋体"/>
          <w:b/>
          <w:bCs/>
          <w:color w:val="auto"/>
          <w:sz w:val="24"/>
          <w:highlight w:val="none"/>
          <w:shd w:val="pct10" w:color="auto" w:fill="FFFFFF"/>
        </w:rPr>
        <w:t>）都是准确、真实、合规的，如有虚假或隐瞒，我方愿意承担一切后果。</w:t>
      </w:r>
    </w:p>
    <w:p w14:paraId="195AFA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5、自投标截止日起 90天内有效。</w:t>
      </w:r>
    </w:p>
    <w:p w14:paraId="4EB72D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7、以上事项如有虚假或隐瞒，我方愿意承担一切后果，并不再寻求任何旨在减轻或免除法律责任的辩解，同意我方的履约保证金不予退回，并对招标采购单位因此引起的损失予以赔偿。</w:t>
      </w:r>
    </w:p>
    <w:p w14:paraId="0F2E06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8、我方全权授权被授权人办理针对上述项目的投标、开标、磋商、签约等具体事务和签署相关文件，对被授权的各项行为负全部责任，在撤销授权的书面通知以前，本授权书一直有效，被授权人无转委托权。</w:t>
      </w:r>
    </w:p>
    <w:p w14:paraId="6DD3D89B">
      <w:pPr>
        <w:snapToGrid w:val="0"/>
        <w:spacing w:line="360" w:lineRule="auto"/>
        <w:ind w:firstLine="361" w:firstLineChars="150"/>
        <w:rPr>
          <w:rFonts w:hint="eastAsia" w:ascii="宋体" w:hAnsi="宋体" w:eastAsia="宋体" w:cs="宋体"/>
          <w:b/>
          <w:bCs/>
          <w:color w:val="auto"/>
          <w:sz w:val="24"/>
          <w:highlight w:val="none"/>
          <w:u w:val="single"/>
          <w:shd w:val="pct10" w:color="auto" w:fill="FFFFFF"/>
        </w:rPr>
      </w:pPr>
      <w:bookmarkStart w:id="78" w:name="_Hlk36048718"/>
      <w:r>
        <w:rPr>
          <w:rFonts w:hint="eastAsia" w:ascii="宋体" w:hAnsi="宋体" w:eastAsia="宋体" w:cs="宋体"/>
          <w:b/>
          <w:bCs/>
          <w:color w:val="auto"/>
          <w:sz w:val="24"/>
          <w:highlight w:val="none"/>
        </w:rPr>
        <w:t>与本投标有关的一切正式往来信函、传真或邮件</w:t>
      </w:r>
      <w:r>
        <w:rPr>
          <w:rFonts w:hint="eastAsia" w:ascii="宋体" w:hAnsi="宋体" w:eastAsia="宋体" w:cs="宋体"/>
          <w:b/>
          <w:bCs/>
          <w:color w:val="auto"/>
          <w:sz w:val="24"/>
          <w:highlight w:val="none"/>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邮寄详细地址：__________</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邮编：__________</w:t>
      </w:r>
    </w:p>
    <w:p w14:paraId="3E91ED3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收件人姓名：_______</w:t>
      </w:r>
      <w:r>
        <w:rPr>
          <w:rFonts w:hint="eastAsia" w:ascii="宋体" w:hAnsi="宋体" w:eastAsia="宋体" w:cs="宋体"/>
          <w:color w:val="auto"/>
          <w:sz w:val="24"/>
          <w:highlight w:val="none"/>
          <w:u w:val="single"/>
        </w:rPr>
        <w:t xml:space="preserve">_   </w:t>
      </w:r>
      <w:r>
        <w:rPr>
          <w:rFonts w:hint="eastAsia" w:ascii="宋体" w:hAnsi="宋体" w:eastAsia="宋体" w:cs="宋体"/>
          <w:color w:val="auto"/>
          <w:sz w:val="24"/>
          <w:highlight w:val="none"/>
        </w:rPr>
        <w:t>联系手机：</w:t>
      </w:r>
      <w:bookmarkStart w:id="79" w:name="_Hlk59370410"/>
      <w:r>
        <w:rPr>
          <w:rFonts w:hint="eastAsia" w:ascii="宋体" w:hAnsi="宋体" w:eastAsia="宋体" w:cs="宋体"/>
          <w:color w:val="auto"/>
          <w:sz w:val="24"/>
          <w:highlight w:val="none"/>
        </w:rPr>
        <w:t>_______</w:t>
      </w:r>
      <w:r>
        <w:rPr>
          <w:rFonts w:hint="eastAsia" w:ascii="宋体" w:hAnsi="宋体" w:eastAsia="宋体" w:cs="宋体"/>
          <w:color w:val="auto"/>
          <w:sz w:val="24"/>
          <w:highlight w:val="none"/>
          <w:u w:val="single"/>
        </w:rPr>
        <w:t xml:space="preserve">_       </w:t>
      </w:r>
      <w:bookmarkEnd w:id="79"/>
      <w:r>
        <w:rPr>
          <w:rFonts w:hint="eastAsia" w:ascii="宋体" w:hAnsi="宋体" w:eastAsia="宋体" w:cs="宋体"/>
          <w:color w:val="auto"/>
          <w:sz w:val="24"/>
          <w:highlight w:val="none"/>
        </w:rPr>
        <w:t>公司电子邮箱</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u w:val="single"/>
        </w:rPr>
        <w:t xml:space="preserve"> _     __ </w:t>
      </w:r>
      <w:r>
        <w:rPr>
          <w:rFonts w:hint="eastAsia" w:ascii="宋体" w:hAnsi="宋体" w:eastAsia="宋体" w:cs="宋体"/>
          <w:color w:val="auto"/>
          <w:sz w:val="24"/>
          <w:highlight w:val="none"/>
        </w:rPr>
        <w:t xml:space="preserve"> </w:t>
      </w:r>
    </w:p>
    <w:p w14:paraId="2831167E">
      <w:pPr>
        <w:snapToGrid w:val="0"/>
        <w:spacing w:line="360" w:lineRule="auto"/>
        <w:ind w:firstLine="361" w:firstLineChars="150"/>
        <w:jc w:val="left"/>
        <w:rPr>
          <w:rFonts w:hint="eastAsia" w:ascii="宋体" w:hAnsi="宋体" w:eastAsia="宋体" w:cs="宋体"/>
          <w:b/>
          <w:bCs/>
          <w:color w:val="auto"/>
          <w:sz w:val="24"/>
          <w:highlight w:val="none"/>
          <w:shd w:val="pct10" w:color="auto" w:fill="FFFFFF"/>
        </w:rPr>
      </w:pPr>
      <w:bookmarkStart w:id="80" w:name="_Hlk59370586"/>
      <w:r>
        <w:rPr>
          <w:rFonts w:hint="eastAsia" w:ascii="宋体" w:hAnsi="宋体" w:eastAsia="宋体" w:cs="宋体"/>
          <w:b/>
          <w:bCs/>
          <w:color w:val="auto"/>
          <w:sz w:val="24"/>
          <w:highlight w:val="none"/>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响应文件编制人</w:t>
      </w:r>
      <w:bookmarkEnd w:id="80"/>
      <w:r>
        <w:rPr>
          <w:rFonts w:hint="eastAsia" w:ascii="宋体" w:hAnsi="宋体" w:eastAsia="宋体" w:cs="宋体"/>
          <w:b/>
          <w:bCs/>
          <w:color w:val="auto"/>
          <w:sz w:val="24"/>
          <w:highlight w:val="none"/>
        </w:rPr>
        <w:t>姓名：_</w:t>
      </w:r>
      <w:r>
        <w:rPr>
          <w:rFonts w:hint="eastAsia" w:ascii="宋体" w:hAnsi="宋体" w:eastAsia="宋体" w:cs="宋体"/>
          <w:b/>
          <w:bCs/>
          <w:color w:val="auto"/>
          <w:sz w:val="24"/>
          <w:highlight w:val="none"/>
          <w:u w:val="single"/>
        </w:rPr>
        <w:t>_</w:t>
      </w:r>
      <w:r>
        <w:rPr>
          <w:rFonts w:hint="eastAsia" w:ascii="宋体" w:hAnsi="宋体" w:eastAsia="宋体" w:cs="宋体"/>
          <w:b/>
          <w:bCs/>
          <w:color w:val="auto"/>
          <w:sz w:val="24"/>
          <w:highlight w:val="none"/>
        </w:rPr>
        <w:t>________    手机号码：__</w:t>
      </w:r>
      <w:r>
        <w:rPr>
          <w:rFonts w:hint="eastAsia" w:ascii="宋体" w:hAnsi="宋体" w:eastAsia="宋体" w:cs="宋体"/>
          <w:b/>
          <w:bCs/>
          <w:color w:val="auto"/>
          <w:sz w:val="24"/>
          <w:highlight w:val="none"/>
          <w:u w:val="single"/>
        </w:rPr>
        <w:t>____    _    __</w:t>
      </w:r>
    </w:p>
    <w:p w14:paraId="54B92C71">
      <w:pPr>
        <w:snapToGrid w:val="0"/>
        <w:spacing w:line="360" w:lineRule="auto"/>
        <w:ind w:firstLine="361" w:firstLineChars="150"/>
        <w:jc w:val="left"/>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shd w:val="pct10" w:color="auto" w:fill="FFFFFF"/>
        </w:rPr>
        <w:t>法定代表人（签字或盖章）：</w:t>
      </w:r>
    </w:p>
    <w:p w14:paraId="3EAAE434">
      <w:pPr>
        <w:snapToGrid w:val="0"/>
        <w:spacing w:line="360" w:lineRule="auto"/>
        <w:ind w:firstLine="361" w:firstLineChars="150"/>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shd w:val="pct10" w:color="auto" w:fill="FFFFFF"/>
        </w:rPr>
        <w:t>被授权人（签字）:</w:t>
      </w:r>
      <w:bookmarkStart w:id="81" w:name="_Hlk34136414"/>
      <w:r>
        <w:rPr>
          <w:rFonts w:hint="eastAsia" w:ascii="宋体" w:hAnsi="宋体" w:eastAsia="宋体" w:cs="宋体"/>
          <w:b/>
          <w:color w:val="auto"/>
          <w:sz w:val="24"/>
          <w:highlight w:val="none"/>
        </w:rPr>
        <w:t>_</w:t>
      </w:r>
      <w:r>
        <w:rPr>
          <w:rFonts w:hint="eastAsia" w:ascii="宋体" w:hAnsi="宋体" w:eastAsia="宋体" w:cs="宋体"/>
          <w:color w:val="auto"/>
          <w:sz w:val="24"/>
          <w:highlight w:val="none"/>
        </w:rPr>
        <w:t>_</w:t>
      </w:r>
      <w:r>
        <w:rPr>
          <w:rFonts w:hint="eastAsia" w:ascii="宋体" w:hAnsi="宋体" w:eastAsia="宋体" w:cs="宋体"/>
          <w:color w:val="auto"/>
          <w:sz w:val="24"/>
          <w:highlight w:val="none"/>
          <w:u w:val="single"/>
        </w:rPr>
        <w:t>_</w:t>
      </w:r>
      <w:r>
        <w:rPr>
          <w:rFonts w:hint="eastAsia" w:ascii="宋体" w:hAnsi="宋体" w:eastAsia="宋体" w:cs="宋体"/>
          <w:color w:val="auto"/>
          <w:sz w:val="24"/>
          <w:highlight w:val="none"/>
        </w:rPr>
        <w:t>________</w:t>
      </w:r>
      <w:bookmarkEnd w:id="81"/>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被授权人手机号码：</w:t>
      </w:r>
      <w:r>
        <w:rPr>
          <w:rFonts w:hint="eastAsia" w:ascii="宋体" w:hAnsi="宋体" w:eastAsia="宋体" w:cs="宋体"/>
          <w:b/>
          <w:color w:val="auto"/>
          <w:sz w:val="24"/>
          <w:highlight w:val="none"/>
        </w:rPr>
        <w:t>_</w:t>
      </w:r>
      <w:r>
        <w:rPr>
          <w:rFonts w:hint="eastAsia" w:ascii="宋体" w:hAnsi="宋体" w:eastAsia="宋体" w:cs="宋体"/>
          <w:color w:val="auto"/>
          <w:sz w:val="24"/>
          <w:highlight w:val="none"/>
        </w:rPr>
        <w:t>_</w:t>
      </w:r>
      <w:r>
        <w:rPr>
          <w:rFonts w:hint="eastAsia" w:ascii="宋体" w:hAnsi="宋体" w:eastAsia="宋体" w:cs="宋体"/>
          <w:color w:val="auto"/>
          <w:sz w:val="24"/>
          <w:highlight w:val="none"/>
          <w:u w:val="single"/>
        </w:rPr>
        <w:t xml:space="preserve">____    _    __   </w:t>
      </w:r>
    </w:p>
    <w:bookmarkEnd w:id="78"/>
    <w:p w14:paraId="153F4AA7">
      <w:pPr>
        <w:snapToGrid w:val="0"/>
        <w:spacing w:line="360" w:lineRule="auto"/>
        <w:jc w:val="left"/>
        <w:rPr>
          <w:rFonts w:hint="eastAsia" w:ascii="宋体" w:hAnsi="宋体" w:eastAsia="宋体" w:cs="宋体"/>
          <w:color w:val="auto"/>
          <w:sz w:val="24"/>
          <w:highlight w:val="none"/>
        </w:rPr>
      </w:pPr>
    </w:p>
    <w:p w14:paraId="6DD17FC8">
      <w:pPr>
        <w:snapToGrid w:val="0"/>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供应商:(公章) </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日期:_____年___月___日</w:t>
      </w:r>
    </w:p>
    <w:p w14:paraId="10336C94">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highlight w:val="none"/>
        </w:rPr>
        <w:br w:type="page"/>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.法定代表人授权委托书格式：</w:t>
      </w:r>
    </w:p>
    <w:p w14:paraId="185BC0BD">
      <w:pPr>
        <w:snapToGrid w:val="0"/>
        <w:spacing w:before="120" w:beforeLines="50" w:after="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法定代表人授权委托书</w:t>
      </w:r>
    </w:p>
    <w:p w14:paraId="199BF17E">
      <w:pPr>
        <w:snapToGrid w:val="0"/>
        <w:spacing w:before="120" w:beforeLines="50" w:after="50" w:line="460" w:lineRule="exact"/>
        <w:rPr>
          <w:rFonts w:hint="eastAsia" w:ascii="宋体" w:hAnsi="宋体" w:eastAsia="宋体" w:cs="宋体"/>
          <w:b/>
          <w:bCs/>
          <w:color w:val="auto"/>
          <w:sz w:val="24"/>
          <w:szCs w:val="20"/>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rPr>
        <w:t>______</w:t>
      </w:r>
      <w:r>
        <w:rPr>
          <w:rFonts w:hint="eastAsia" w:ascii="宋体" w:hAnsi="宋体" w:eastAsia="宋体" w:cs="宋体"/>
          <w:color w:val="auto"/>
          <w:sz w:val="24"/>
          <w:highlight w:val="none"/>
          <w:u w:val="single"/>
        </w:rPr>
        <w:t>_     _</w:t>
      </w:r>
      <w:r>
        <w:rPr>
          <w:rFonts w:hint="eastAsia" w:ascii="宋体" w:hAnsi="宋体" w:eastAsia="宋体" w:cs="宋体"/>
          <w:color w:val="auto"/>
          <w:sz w:val="24"/>
          <w:highlight w:val="none"/>
        </w:rPr>
        <w:t>_（采购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名称）：</w:t>
      </w:r>
    </w:p>
    <w:p w14:paraId="305F86A8">
      <w:pPr>
        <w:snapToGrid w:val="0"/>
        <w:spacing w:before="120" w:beforeLines="50" w:after="50"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我</w:t>
      </w:r>
      <w:bookmarkStart w:id="82" w:name="_Hlk12177807"/>
      <w:r>
        <w:rPr>
          <w:rFonts w:hint="eastAsia" w:ascii="宋体" w:hAnsi="宋体" w:eastAsia="宋体" w:cs="宋体"/>
          <w:color w:val="auto"/>
          <w:sz w:val="24"/>
          <w:highlight w:val="none"/>
        </w:rPr>
        <w:t>______</w:t>
      </w:r>
      <w:r>
        <w:rPr>
          <w:rFonts w:hint="eastAsia" w:ascii="宋体" w:hAnsi="宋体" w:eastAsia="宋体" w:cs="宋体"/>
          <w:color w:val="auto"/>
          <w:sz w:val="24"/>
          <w:highlight w:val="none"/>
          <w:u w:val="single"/>
        </w:rPr>
        <w:t>_</w:t>
      </w:r>
      <w:r>
        <w:rPr>
          <w:rFonts w:hint="eastAsia" w:ascii="宋体" w:hAnsi="宋体" w:eastAsia="宋体" w:cs="宋体"/>
          <w:color w:val="auto"/>
          <w:sz w:val="24"/>
          <w:highlight w:val="none"/>
        </w:rPr>
        <w:t>_</w:t>
      </w:r>
      <w:bookmarkEnd w:id="82"/>
      <w:r>
        <w:rPr>
          <w:rFonts w:hint="eastAsia" w:ascii="宋体" w:hAnsi="宋体" w:eastAsia="宋体" w:cs="宋体"/>
          <w:color w:val="auto"/>
          <w:sz w:val="24"/>
          <w:highlight w:val="none"/>
        </w:rPr>
        <w:t>（姓名）系______</w:t>
      </w:r>
      <w:r>
        <w:rPr>
          <w:rFonts w:hint="eastAsia" w:ascii="宋体" w:hAnsi="宋体" w:eastAsia="宋体" w:cs="宋体"/>
          <w:color w:val="auto"/>
          <w:sz w:val="24"/>
          <w:highlight w:val="none"/>
          <w:u w:val="single"/>
        </w:rPr>
        <w:t>_     _</w:t>
      </w:r>
      <w:r>
        <w:rPr>
          <w:rFonts w:hint="eastAsia" w:ascii="宋体" w:hAnsi="宋体" w:eastAsia="宋体" w:cs="宋体"/>
          <w:color w:val="auto"/>
          <w:sz w:val="24"/>
          <w:highlight w:val="none"/>
        </w:rPr>
        <w:t xml:space="preserve">_（投标单位名称）的法定代表人，现授权委托本单位职工 </w:t>
      </w:r>
      <w:bookmarkStart w:id="83" w:name="_Hlk12177819"/>
      <w:r>
        <w:rPr>
          <w:rFonts w:hint="eastAsia" w:ascii="宋体" w:hAnsi="宋体" w:eastAsia="宋体" w:cs="宋体"/>
          <w:color w:val="auto"/>
          <w:sz w:val="24"/>
          <w:highlight w:val="none"/>
        </w:rPr>
        <w:t>______</w:t>
      </w:r>
      <w:r>
        <w:rPr>
          <w:rFonts w:hint="eastAsia" w:ascii="宋体" w:hAnsi="宋体" w:eastAsia="宋体" w:cs="宋体"/>
          <w:color w:val="auto"/>
          <w:sz w:val="24"/>
          <w:highlight w:val="none"/>
          <w:u w:val="single"/>
        </w:rPr>
        <w:t xml:space="preserve">_ </w:t>
      </w:r>
      <w:bookmarkEnd w:id="83"/>
      <w:r>
        <w:rPr>
          <w:rFonts w:hint="eastAsia" w:ascii="宋体" w:hAnsi="宋体" w:eastAsia="宋体" w:cs="宋体"/>
          <w:color w:val="auto"/>
          <w:sz w:val="24"/>
          <w:highlight w:val="none"/>
        </w:rPr>
        <w:t>（姓名）以我方的名义参加______</w:t>
      </w:r>
      <w:r>
        <w:rPr>
          <w:rFonts w:hint="eastAsia" w:ascii="宋体" w:hAnsi="宋体" w:eastAsia="宋体" w:cs="宋体"/>
          <w:color w:val="auto"/>
          <w:sz w:val="24"/>
          <w:highlight w:val="none"/>
          <w:u w:val="single"/>
        </w:rPr>
        <w:t xml:space="preserve">_          </w:t>
      </w:r>
      <w:r>
        <w:rPr>
          <w:rFonts w:hint="eastAsia" w:ascii="宋体" w:hAnsi="宋体" w:eastAsia="宋体" w:cs="宋体"/>
          <w:color w:val="auto"/>
          <w:sz w:val="24"/>
          <w:highlight w:val="none"/>
        </w:rPr>
        <w:t>项目的投标活动，并代表我方全权办理针对上述项目的投标、开标、磋商、签约等具体事务和签署相关文件。</w:t>
      </w:r>
    </w:p>
    <w:p w14:paraId="0C88E296">
      <w:pPr>
        <w:snapToGrid w:val="0"/>
        <w:spacing w:before="120" w:beforeLines="50" w:after="50" w:line="460" w:lineRule="exac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 xml:space="preserve">    我方对被授权人的签名事项负全部责任。</w:t>
      </w:r>
    </w:p>
    <w:p w14:paraId="3AC8B546">
      <w:pPr>
        <w:snapToGrid w:val="0"/>
        <w:spacing w:before="120" w:beforeLines="50" w:after="50" w:line="46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被授权人在授权书有效期内签署的所有文件不因授权的撤销而失效。</w:t>
      </w:r>
    </w:p>
    <w:p w14:paraId="7BAB2496">
      <w:pPr>
        <w:snapToGrid w:val="0"/>
        <w:spacing w:before="120" w:beforeLines="50" w:after="50" w:line="46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被授权人无转委托权，特此委托。</w:t>
      </w:r>
    </w:p>
    <w:p w14:paraId="6B78BC25">
      <w:pPr>
        <w:snapToGrid w:val="0"/>
        <w:spacing w:before="120" w:beforeLines="50" w:after="50" w:line="460" w:lineRule="exac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u w:val="single"/>
        </w:rPr>
        <w:t>法定代表人签名或盖章：</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u w:val="single"/>
        </w:rPr>
        <w:t xml:space="preserve">被授权人签字： </w:t>
      </w:r>
      <w:r>
        <w:rPr>
          <w:rFonts w:hint="eastAsia" w:ascii="宋体" w:hAnsi="宋体" w:eastAsia="宋体" w:cs="宋体"/>
          <w:color w:val="auto"/>
          <w:sz w:val="28"/>
          <w:szCs w:val="28"/>
          <w:highlight w:val="none"/>
        </w:rPr>
        <w:t xml:space="preserve">               </w:t>
      </w:r>
    </w:p>
    <w:p w14:paraId="25DB9FE6">
      <w:pPr>
        <w:snapToGrid w:val="0"/>
        <w:spacing w:before="120" w:beforeLines="50" w:after="50" w:line="460" w:lineRule="exact"/>
        <w:rPr>
          <w:rFonts w:hint="eastAsia" w:ascii="宋体" w:hAnsi="宋体" w:eastAsia="宋体" w:cs="宋体"/>
          <w:color w:val="auto"/>
          <w:sz w:val="24"/>
          <w:szCs w:val="20"/>
          <w:highlight w:val="none"/>
          <w:u w:val="single"/>
        </w:rPr>
      </w:pPr>
    </w:p>
    <w:p w14:paraId="708BA95F">
      <w:pPr>
        <w:snapToGrid w:val="0"/>
        <w:spacing w:before="120" w:beforeLines="50" w:after="50" w:line="46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法定代表人身份证复印件            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身份证复印件粘贴处，正反两面均复印，复印件清晰可认。</w:t>
            </w:r>
          </w:p>
        </w:tc>
        <w:tc>
          <w:tcPr>
            <w:tcW w:w="4961" w:type="dxa"/>
          </w:tcPr>
          <w:p w14:paraId="5A931411">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rFonts w:hint="eastAsia" w:ascii="宋体" w:hAnsi="宋体" w:eastAsia="宋体" w:cs="宋体"/>
                <w:color w:val="auto"/>
                <w:sz w:val="30"/>
                <w:szCs w:val="30"/>
                <w:highlight w:val="none"/>
              </w:rPr>
            </w:pPr>
          </w:p>
        </w:tc>
        <w:tc>
          <w:tcPr>
            <w:tcW w:w="4961" w:type="dxa"/>
          </w:tcPr>
          <w:p w14:paraId="7675066F">
            <w:pPr>
              <w:spacing w:line="360" w:lineRule="auto"/>
              <w:rPr>
                <w:rFonts w:hint="eastAsia" w:ascii="宋体" w:hAnsi="宋体" w:eastAsia="宋体" w:cs="宋体"/>
                <w:color w:val="auto"/>
                <w:sz w:val="30"/>
                <w:szCs w:val="30"/>
                <w:highlight w:val="none"/>
              </w:rPr>
            </w:pPr>
          </w:p>
        </w:tc>
      </w:tr>
    </w:tbl>
    <w:p w14:paraId="79511A46">
      <w:pPr>
        <w:snapToGrid w:val="0"/>
        <w:spacing w:line="360" w:lineRule="auto"/>
        <w:jc w:val="left"/>
        <w:rPr>
          <w:rFonts w:hint="eastAsia" w:ascii="宋体" w:hAnsi="宋体" w:eastAsia="宋体" w:cs="宋体"/>
          <w:color w:val="auto"/>
          <w:sz w:val="24"/>
          <w:highlight w:val="none"/>
        </w:rPr>
      </w:pPr>
    </w:p>
    <w:p w14:paraId="2F5D47D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供应商:(公章) </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日期:_____年___月___日</w:t>
      </w:r>
    </w:p>
    <w:p w14:paraId="2B78AC4C">
      <w:pPr>
        <w:rPr>
          <w:rFonts w:hint="eastAsia" w:ascii="宋体" w:hAnsi="宋体" w:eastAsia="宋体" w:cs="宋体"/>
          <w:color w:val="auto"/>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lang w:val="en-US" w:eastAsia="zh-CN"/>
        </w:rPr>
        <w:t>-1</w:t>
      </w:r>
      <w:r>
        <w:rPr>
          <w:rFonts w:hint="eastAsia" w:ascii="宋体" w:hAnsi="宋体" w:eastAsia="宋体" w:cs="宋体"/>
          <w:b/>
          <w:bCs/>
          <w:color w:val="auto"/>
          <w:sz w:val="28"/>
          <w:szCs w:val="28"/>
          <w:highlight w:val="none"/>
        </w:rPr>
        <w:t>法定代表人身份证明格式：</w:t>
      </w:r>
    </w:p>
    <w:p w14:paraId="60D88868">
      <w:pPr>
        <w:pageBreakBefore w:val="0"/>
        <w:numPr>
          <w:ilvl w:val="0"/>
          <w:numId w:val="0"/>
        </w:numPr>
        <w:kinsoku/>
        <w:overflowPunct/>
        <w:bidi w:val="0"/>
        <w:spacing w:beforeAutospacing="0" w:afterAutospacing="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法定代表人身份证明</w:t>
      </w:r>
    </w:p>
    <w:p w14:paraId="7F3C5053">
      <w:pPr>
        <w:pageBreakBefore w:val="0"/>
        <w:numPr>
          <w:ilvl w:val="0"/>
          <w:numId w:val="0"/>
        </w:numPr>
        <w:kinsoku/>
        <w:overflowPunct/>
        <w:bidi w:val="0"/>
        <w:spacing w:beforeAutospacing="0" w:afterAutospacing="0"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lang w:val="en-US" w:eastAsia="zh-CN"/>
        </w:rPr>
        <w:t>（适用于法定代表人、单位负责人本人代表投标人参加投标）</w:t>
      </w:r>
    </w:p>
    <w:p w14:paraId="38D15048">
      <w:pPr>
        <w:pageBreakBefore w:val="0"/>
        <w:kinsoku/>
        <w:wordWrap w:val="0"/>
        <w:overflowPunct/>
        <w:bidi w:val="0"/>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法定代表人身份证明</w:t>
      </w:r>
      <w:r>
        <w:rPr>
          <w:rFonts w:hint="eastAsia" w:ascii="宋体" w:hAnsi="宋体" w:eastAsia="宋体" w:cs="宋体"/>
          <w:b/>
          <w:color w:val="auto"/>
          <w:sz w:val="28"/>
          <w:highlight w:val="none"/>
        </w:rPr>
        <w:t>（参考样张）</w:t>
      </w:r>
    </w:p>
    <w:p w14:paraId="437BA0D4">
      <w:pPr>
        <w:pageBreakBefore w:val="0"/>
        <w:kinsoku/>
        <w:overflowPunct/>
        <w:bidi w:val="0"/>
        <w:snapToGrid w:val="0"/>
        <w:spacing w:beforeAutospacing="0" w:afterAutospacing="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1CFD8F84">
      <w:pPr>
        <w:pageBreakBefore w:val="0"/>
        <w:kinsoku/>
        <w:overflowPunct/>
        <w:bidi w:val="0"/>
        <w:snapToGrid w:val="0"/>
        <w:spacing w:beforeAutospacing="0" w:afterAutospacing="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p w14:paraId="068E8C72">
      <w:pPr>
        <w:pStyle w:val="421"/>
        <w:pageBreakBefore w:val="0"/>
        <w:kinsoku/>
        <w:overflowPunct/>
        <w:bidi w:val="0"/>
        <w:spacing w:beforeAutospacing="0" w:afterAutospacing="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32936A10">
      <w:pPr>
        <w:pageBreakBefore w:val="0"/>
        <w:kinsoku/>
        <w:overflowPunct/>
        <w:bidi w:val="0"/>
        <w:snapToGrid w:val="0"/>
        <w:spacing w:beforeAutospacing="0" w:afterAutospacing="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61312;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50PGZe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手机号码：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82B63C2">
      <w:pPr>
        <w:pageBreakBefore w:val="0"/>
        <w:kinsoku/>
        <w:overflowPunct/>
        <w:bidi w:val="0"/>
        <w:snapToGrid w:val="0"/>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的法定代表人                        </w:t>
      </w:r>
    </w:p>
    <w:p w14:paraId="366CAF7D">
      <w:pPr>
        <w:snapToGrid w:val="0"/>
        <w:spacing w:before="120" w:beforeLines="50" w:after="50"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   附</w:t>
      </w:r>
      <w:r>
        <w:rPr>
          <w:rFonts w:hint="eastAsia" w:ascii="宋体" w:hAnsi="宋体" w:eastAsia="宋体" w:cs="宋体"/>
          <w:b/>
          <w:bCs/>
          <w:color w:val="auto"/>
          <w:sz w:val="28"/>
          <w:szCs w:val="28"/>
          <w:highlight w:val="none"/>
        </w:rPr>
        <w:t>法定代表人身份证复印件</w:t>
      </w:r>
    </w:p>
    <w:p w14:paraId="2F429D43">
      <w:pPr>
        <w:pStyle w:val="2"/>
        <w:rPr>
          <w:rFonts w:hint="eastAsia" w:ascii="宋体" w:hAnsi="宋体" w:eastAsia="宋体" w:cs="宋体"/>
          <w:color w:val="auto"/>
          <w:highlight w:val="none"/>
          <w:lang w:val="en-US" w:eastAsia="zh-CN"/>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634C678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238" w:hRule="atLeast"/>
        </w:trPr>
        <w:tc>
          <w:tcPr>
            <w:tcW w:w="4962" w:type="dxa"/>
            <w:noWrap w:val="0"/>
            <w:vAlign w:val="top"/>
          </w:tcPr>
          <w:p w14:paraId="1262D028">
            <w:pPr>
              <w:jc w:val="center"/>
              <w:rPr>
                <w:rFonts w:hint="eastAsia" w:ascii="宋体" w:hAnsi="宋体" w:eastAsia="宋体" w:cs="宋体"/>
                <w:color w:val="auto"/>
                <w:sz w:val="24"/>
                <w:szCs w:val="24"/>
                <w:highlight w:val="none"/>
              </w:rPr>
            </w:pPr>
          </w:p>
          <w:p w14:paraId="0105730D">
            <w:pPr>
              <w:jc w:val="both"/>
              <w:rPr>
                <w:rFonts w:hint="eastAsia" w:ascii="宋体" w:hAnsi="宋体" w:eastAsia="宋体" w:cs="宋体"/>
                <w:color w:val="auto"/>
                <w:sz w:val="24"/>
                <w:szCs w:val="24"/>
                <w:highlight w:val="none"/>
              </w:rPr>
            </w:pPr>
          </w:p>
          <w:p w14:paraId="47419B55">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法定代表人身份证正面复印件粘贴处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复印件清晰可认</w:t>
            </w:r>
          </w:p>
          <w:p w14:paraId="7866AED4">
            <w:pPr>
              <w:spacing w:line="360" w:lineRule="auto"/>
              <w:rPr>
                <w:rFonts w:hint="eastAsia" w:ascii="宋体" w:hAnsi="宋体" w:eastAsia="宋体" w:cs="宋体"/>
                <w:color w:val="auto"/>
                <w:sz w:val="30"/>
                <w:szCs w:val="30"/>
                <w:highlight w:val="none"/>
              </w:rPr>
            </w:pPr>
          </w:p>
        </w:tc>
      </w:tr>
      <w:tr w14:paraId="66BB8F2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099" w:hRule="atLeast"/>
        </w:trPr>
        <w:tc>
          <w:tcPr>
            <w:tcW w:w="4962" w:type="dxa"/>
            <w:noWrap w:val="0"/>
            <w:vAlign w:val="top"/>
          </w:tcPr>
          <w:p w14:paraId="11300509">
            <w:pPr>
              <w:jc w:val="both"/>
              <w:rPr>
                <w:rFonts w:hint="eastAsia" w:ascii="宋体" w:hAnsi="宋体" w:eastAsia="宋体" w:cs="宋体"/>
                <w:color w:val="auto"/>
                <w:sz w:val="24"/>
                <w:szCs w:val="24"/>
                <w:highlight w:val="none"/>
              </w:rPr>
            </w:pPr>
          </w:p>
          <w:p w14:paraId="04BA6EC8">
            <w:pPr>
              <w:jc w:val="both"/>
              <w:rPr>
                <w:rFonts w:hint="eastAsia" w:ascii="宋体" w:hAnsi="宋体" w:eastAsia="宋体" w:cs="宋体"/>
                <w:color w:val="auto"/>
                <w:sz w:val="24"/>
                <w:szCs w:val="24"/>
                <w:highlight w:val="none"/>
              </w:rPr>
            </w:pPr>
          </w:p>
          <w:p w14:paraId="794C9BF0">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法定代表人身份证反面复印件粘贴处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复印件清晰可认</w:t>
            </w:r>
          </w:p>
          <w:p w14:paraId="41917130">
            <w:pPr>
              <w:jc w:val="center"/>
              <w:rPr>
                <w:rFonts w:hint="eastAsia" w:ascii="宋体" w:hAnsi="宋体" w:eastAsia="宋体" w:cs="宋体"/>
                <w:color w:val="auto"/>
                <w:sz w:val="21"/>
                <w:szCs w:val="21"/>
                <w:highlight w:val="none"/>
                <w:lang w:eastAsia="zh-CN"/>
              </w:rPr>
            </w:pPr>
          </w:p>
          <w:p w14:paraId="7520A943">
            <w:pPr>
              <w:spacing w:line="360" w:lineRule="auto"/>
              <w:rPr>
                <w:rFonts w:hint="eastAsia" w:ascii="宋体" w:hAnsi="宋体" w:eastAsia="宋体" w:cs="宋体"/>
                <w:color w:val="auto"/>
                <w:sz w:val="30"/>
                <w:szCs w:val="30"/>
                <w:highlight w:val="none"/>
              </w:rPr>
            </w:pPr>
          </w:p>
        </w:tc>
      </w:tr>
    </w:tbl>
    <w:p w14:paraId="2769617A">
      <w:pPr>
        <w:snapToGrid w:val="0"/>
        <w:spacing w:before="120" w:beforeLines="50" w:after="50" w:line="46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70FA451F">
      <w:pPr>
        <w:snapToGrid w:val="0"/>
        <w:spacing w:before="120" w:beforeLines="50" w:after="50" w:line="460" w:lineRule="exact"/>
        <w:rPr>
          <w:rFonts w:hint="eastAsia" w:ascii="宋体" w:hAnsi="宋体" w:eastAsia="宋体" w:cs="宋体"/>
          <w:b/>
          <w:color w:val="auto"/>
          <w:sz w:val="24"/>
          <w:highlight w:val="none"/>
        </w:rPr>
      </w:pPr>
    </w:p>
    <w:p w14:paraId="23383F47">
      <w:pPr>
        <w:snapToGrid w:val="0"/>
        <w:spacing w:before="120" w:beforeLines="50" w:after="50" w:line="460" w:lineRule="exact"/>
        <w:rPr>
          <w:rFonts w:hint="eastAsia" w:ascii="宋体" w:hAnsi="宋体" w:eastAsia="宋体" w:cs="宋体"/>
          <w:b/>
          <w:color w:val="auto"/>
          <w:sz w:val="24"/>
          <w:highlight w:val="none"/>
        </w:rPr>
      </w:pPr>
    </w:p>
    <w:p w14:paraId="155ACAA1">
      <w:pPr>
        <w:snapToGrid w:val="0"/>
        <w:spacing w:before="120" w:beforeLines="50" w:after="50" w:line="460" w:lineRule="exact"/>
        <w:rPr>
          <w:rFonts w:hint="eastAsia" w:ascii="宋体" w:hAnsi="宋体" w:eastAsia="宋体" w:cs="宋体"/>
          <w:b/>
          <w:color w:val="auto"/>
          <w:sz w:val="24"/>
          <w:highlight w:val="none"/>
        </w:rPr>
      </w:pPr>
    </w:p>
    <w:p w14:paraId="13A645D1">
      <w:pPr>
        <w:snapToGrid w:val="0"/>
        <w:spacing w:before="120" w:beforeLines="50" w:after="50" w:line="460" w:lineRule="exact"/>
        <w:rPr>
          <w:rFonts w:hint="eastAsia" w:ascii="宋体" w:hAnsi="宋体" w:eastAsia="宋体" w:cs="宋体"/>
          <w:b/>
          <w:color w:val="auto"/>
          <w:sz w:val="24"/>
          <w:highlight w:val="none"/>
        </w:rPr>
      </w:pPr>
    </w:p>
    <w:p w14:paraId="11EC4450">
      <w:pPr>
        <w:snapToGrid w:val="0"/>
        <w:spacing w:before="120" w:beforeLines="50" w:after="50" w:line="460" w:lineRule="exact"/>
        <w:rPr>
          <w:rFonts w:hint="eastAsia" w:ascii="宋体" w:hAnsi="宋体" w:eastAsia="宋体" w:cs="宋体"/>
          <w:b/>
          <w:color w:val="auto"/>
          <w:sz w:val="24"/>
          <w:highlight w:val="none"/>
        </w:rPr>
      </w:pPr>
    </w:p>
    <w:p w14:paraId="7CC28D9F">
      <w:pPr>
        <w:snapToGrid w:val="0"/>
        <w:spacing w:before="120" w:beforeLines="50" w:after="50" w:line="460" w:lineRule="exact"/>
        <w:rPr>
          <w:rFonts w:hint="eastAsia" w:ascii="宋体" w:hAnsi="宋体" w:eastAsia="宋体" w:cs="宋体"/>
          <w:b/>
          <w:color w:val="auto"/>
          <w:sz w:val="24"/>
          <w:highlight w:val="none"/>
        </w:rPr>
      </w:pPr>
    </w:p>
    <w:p w14:paraId="7539C1F9">
      <w:pPr>
        <w:snapToGrid w:val="0"/>
        <w:spacing w:before="120" w:beforeLines="50" w:after="50" w:line="460" w:lineRule="exact"/>
        <w:rPr>
          <w:rFonts w:hint="eastAsia" w:ascii="宋体" w:hAnsi="宋体" w:eastAsia="宋体" w:cs="宋体"/>
          <w:b/>
          <w:color w:val="auto"/>
          <w:sz w:val="24"/>
          <w:highlight w:val="none"/>
        </w:rPr>
      </w:pPr>
    </w:p>
    <w:p w14:paraId="6E4D7F09">
      <w:pPr>
        <w:snapToGrid w:val="0"/>
        <w:spacing w:before="120" w:beforeLines="50" w:after="50" w:line="460" w:lineRule="exact"/>
        <w:rPr>
          <w:rFonts w:hint="eastAsia" w:ascii="宋体" w:hAnsi="宋体" w:eastAsia="宋体" w:cs="宋体"/>
          <w:b/>
          <w:color w:val="auto"/>
          <w:sz w:val="24"/>
          <w:highlight w:val="none"/>
        </w:rPr>
      </w:pPr>
    </w:p>
    <w:p w14:paraId="31F9451C">
      <w:pPr>
        <w:snapToGrid w:val="0"/>
        <w:spacing w:before="120" w:beforeLines="50" w:after="50" w:line="460" w:lineRule="exact"/>
        <w:rPr>
          <w:rFonts w:hint="eastAsia" w:ascii="宋体" w:hAnsi="宋体" w:eastAsia="宋体" w:cs="宋体"/>
          <w:b/>
          <w:color w:val="auto"/>
          <w:sz w:val="24"/>
          <w:highlight w:val="none"/>
        </w:rPr>
      </w:pPr>
    </w:p>
    <w:p w14:paraId="2622D580">
      <w:pPr>
        <w:snapToGrid w:val="0"/>
        <w:spacing w:before="120" w:beforeLines="50" w:after="50" w:line="460" w:lineRule="exact"/>
        <w:rPr>
          <w:rFonts w:hint="eastAsia" w:ascii="宋体" w:hAnsi="宋体" w:eastAsia="宋体" w:cs="宋体"/>
          <w:b/>
          <w:color w:val="auto"/>
          <w:sz w:val="24"/>
          <w:highlight w:val="none"/>
        </w:rPr>
      </w:pPr>
    </w:p>
    <w:p w14:paraId="37999FE7">
      <w:pPr>
        <w:snapToGrid w:val="0"/>
        <w:spacing w:before="120" w:beforeLines="50" w:after="50" w:line="460" w:lineRule="exact"/>
        <w:rPr>
          <w:rFonts w:hint="eastAsia" w:ascii="宋体" w:hAnsi="宋体" w:eastAsia="宋体" w:cs="宋体"/>
          <w:color w:val="auto"/>
          <w:highlight w:val="none"/>
        </w:rPr>
      </w:pP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pacing w:val="20"/>
          <w:sz w:val="24"/>
          <w:highlight w:val="none"/>
        </w:rPr>
        <w:t>（盖章）</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日期：  _____年___月___日</w:t>
      </w: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2" name="矩形 2"/>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a:effectLst/>
                      </wps:spPr>
                      <wps:txbx>
                        <w:txbxContent>
                          <w:p w14:paraId="1D64EDF1"/>
                        </w:txbxContent>
                      </wps:txbx>
                      <wps:bodyPr rot="0" vert="horz" wrap="square" lIns="0" tIns="0" rIns="0" bIns="0" anchor="t" anchorCtr="0"/>
                    </wps:wsp>
                  </a:graphicData>
                </a:graphic>
              </wp:anchor>
            </w:drawing>
          </mc:Choice>
          <mc:Fallback>
            <w:pict>
              <v:rect id="_x0000_s1026" o:spid="_x0000_s1026" o:spt="1" style="position:absolute;left:0pt;margin-left:98pt;margin-top:43pt;height:26pt;width:274pt;z-index:251659264;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DYYNUAAAAKAQAADwAA&#10;AAAAAAABACAAAAAiAAAAZHJzL2Rvd25yZXYueG1sUEsBAhQAFAAAAAgAh07iQMdupyzgAQAA8gMA&#10;AA4AAAAAAAAAAQAgAAAAJAEAAGRycy9lMm9Eb2MueG1sUEsFBgAAAAAGAAYAWQEAAHYFAAAAAA==&#10;">
                <v:fill on="t" focussize="0,0"/>
                <v:stroke color="#FFFFFF" joinstyle="round"/>
                <v:imagedata o:title=""/>
                <o:lock v:ext="edit" aspectratio="f"/>
                <v:textbox inset="0mm,0mm,0mm,0mm">
                  <w:txbxContent>
                    <w:p w14:paraId="1D64EDF1"/>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3" name="直接连接符 3"/>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a:effectLst/>
                      </wps:spPr>
                      <wps:bodyPr rot="0" vert="horz" wrap="square" lIns="0" tIns="0" rIns="0" bIns="0" anchor="t" anchorCtr="0"/>
                    </wps:wsp>
                  </a:graphicData>
                </a:graphic>
              </wp:anchor>
            </w:drawing>
          </mc:Choice>
          <mc:Fallback>
            <w:pict>
              <v:line id="_x0000_s1026" o:spid="_x0000_s1026" o:spt="20" style="position:absolute;left:0pt;margin-left:0pt;margin-top:0pt;height:1pt;width:377pt;z-index:251660288;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tATTAAAAAwEAAA8AAAAAAAAAAQAgAAAAIgAAAGRycy9kb3ducmV2LnhtbFBLAQIU&#10;ABQAAAAIAIdO4kDr2jwy+AEAAAMEAAAOAAAAAAAAAAEAIAAAACIBAABkcnMvZTJvRG9jLnhtbFBL&#10;BQYAAAAABgAGAFkBAACMBQAAAAA=&#10;">
                <v:fill on="t" focussize="0,0"/>
                <v:stroke weight="1pt" color="#FFFFFF" joinstyle="round"/>
                <v:imagedata o:title=""/>
                <o:lock v:ext="edit" aspectratio="f"/>
              </v:line>
            </w:pict>
          </mc:Fallback>
        </mc:AlternateContent>
      </w:r>
    </w:p>
    <w:p w14:paraId="2D116388">
      <w:pPr>
        <w:snapToGrid w:val="0"/>
        <w:spacing w:line="360" w:lineRule="auto"/>
        <w:ind w:firstLine="480" w:firstLineChars="200"/>
        <w:rPr>
          <w:rFonts w:hint="eastAsia" w:ascii="宋体" w:hAnsi="宋体" w:eastAsia="宋体" w:cs="宋体"/>
          <w:color w:val="auto"/>
          <w:sz w:val="24"/>
          <w:highlight w:val="none"/>
        </w:rPr>
      </w:pPr>
    </w:p>
    <w:p w14:paraId="1066E8C4">
      <w:pPr>
        <w:snapToGrid w:val="0"/>
        <w:spacing w:before="120" w:beforeLines="50" w:after="50" w:line="460" w:lineRule="exact"/>
        <w:rPr>
          <w:rFonts w:hint="eastAsia" w:ascii="宋体" w:hAnsi="宋体" w:eastAsia="宋体" w:cs="宋体"/>
          <w:color w:val="auto"/>
          <w:sz w:val="24"/>
          <w:highlight w:val="none"/>
        </w:rPr>
        <w:sectPr>
          <w:headerReference r:id="rId3" w:type="default"/>
          <w:footerReference r:id="rId4" w:type="default"/>
          <w:pgSz w:w="11906" w:h="16838"/>
          <w:pgMar w:top="1021" w:right="1588" w:bottom="851" w:left="1588" w:header="567" w:footer="454" w:gutter="0"/>
          <w:pgNumType w:fmt="decimal"/>
          <w:cols w:space="425" w:num="1"/>
          <w:docGrid w:linePitch="286" w:charSpace="0"/>
        </w:sectPr>
      </w:pPr>
    </w:p>
    <w:p w14:paraId="41766FE3">
      <w:pPr>
        <w:snapToGrid w:val="0"/>
        <w:spacing w:before="50" w:after="120" w:afterLines="5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.项目负责人简历</w:t>
      </w:r>
      <w:r>
        <w:rPr>
          <w:rFonts w:hint="eastAsia" w:ascii="宋体" w:hAnsi="宋体" w:eastAsia="宋体" w:cs="宋体"/>
          <w:color w:val="auto"/>
          <w:sz w:val="24"/>
          <w:highlight w:val="none"/>
          <w:lang w:val="en-US" w:eastAsia="zh-CN"/>
        </w:rPr>
        <w:t>表格式</w:t>
      </w:r>
      <w:r>
        <w:rPr>
          <w:rFonts w:hint="eastAsia" w:ascii="宋体" w:hAnsi="宋体" w:eastAsia="宋体" w:cs="宋体"/>
          <w:color w:val="auto"/>
          <w:sz w:val="24"/>
          <w:highlight w:val="none"/>
        </w:rPr>
        <w:t>：</w:t>
      </w:r>
    </w:p>
    <w:p w14:paraId="34D1891A">
      <w:pPr>
        <w:snapToGrid w:val="0"/>
        <w:spacing w:before="50" w:after="120" w:afterLines="50"/>
        <w:jc w:val="left"/>
        <w:rPr>
          <w:rFonts w:hint="eastAsia" w:ascii="宋体" w:hAnsi="宋体" w:eastAsia="宋体" w:cs="宋体"/>
          <w:color w:val="auto"/>
          <w:sz w:val="24"/>
          <w:szCs w:val="20"/>
          <w:highlight w:val="none"/>
        </w:rPr>
      </w:pPr>
    </w:p>
    <w:p w14:paraId="58F57D0D">
      <w:pPr>
        <w:jc w:val="center"/>
        <w:rPr>
          <w:rFonts w:hint="eastAsia" w:ascii="宋体" w:hAnsi="宋体" w:eastAsia="宋体" w:cs="宋体"/>
          <w:snapToGrid w:val="0"/>
          <w:color w:val="auto"/>
          <w:sz w:val="28"/>
          <w:highlight w:val="none"/>
        </w:rPr>
      </w:pPr>
      <w:r>
        <w:rPr>
          <w:rFonts w:hint="eastAsia" w:ascii="宋体" w:hAnsi="宋体" w:eastAsia="宋体" w:cs="宋体"/>
          <w:snapToGrid w:val="0"/>
          <w:color w:val="auto"/>
          <w:sz w:val="28"/>
          <w:highlight w:val="none"/>
        </w:rPr>
        <w:t>项目负责人简历表</w:t>
      </w:r>
    </w:p>
    <w:p w14:paraId="24A8F622">
      <w:pPr>
        <w:snapToGrid w:val="0"/>
        <w:spacing w:before="120" w:beforeLines="50" w:after="50" w:line="360" w:lineRule="auto"/>
        <w:jc w:val="center"/>
        <w:rPr>
          <w:rFonts w:hint="eastAsia" w:ascii="宋体" w:hAnsi="宋体" w:eastAsia="宋体" w:cs="宋体"/>
          <w:bCs/>
          <w:color w:val="auto"/>
          <w:sz w:val="24"/>
          <w:highlight w:val="none"/>
        </w:rPr>
      </w:pPr>
    </w:p>
    <w:p w14:paraId="4E16BCED">
      <w:pPr>
        <w:snapToGrid w:val="0"/>
        <w:spacing w:before="120" w:beforeLines="50" w:after="50" w:line="48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项目名称：</w:t>
      </w:r>
    </w:p>
    <w:p w14:paraId="31F1AAB2">
      <w:pPr>
        <w:snapToGrid w:val="0"/>
        <w:spacing w:before="120" w:beforeLines="50" w:after="50" w:line="480" w:lineRule="auto"/>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hint="eastAsia" w:ascii="宋体" w:hAnsi="宋体" w:eastAsia="宋体" w:cs="宋体"/>
                <w:color w:val="auto"/>
                <w:sz w:val="28"/>
                <w:highlight w:val="none"/>
                <w:u w:color="000000"/>
              </w:rPr>
            </w:pPr>
            <w:r>
              <w:rPr>
                <w:rFonts w:hint="eastAsia" w:ascii="宋体" w:hAnsi="宋体" w:eastAsia="宋体" w:cs="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hint="eastAsia" w:ascii="宋体" w:hAnsi="宋体" w:eastAsia="宋体" w:cs="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hint="eastAsia" w:ascii="宋体" w:hAnsi="宋体" w:eastAsia="宋体" w:cs="宋体"/>
                <w:color w:val="auto"/>
                <w:sz w:val="28"/>
                <w:highlight w:val="none"/>
                <w:u w:color="000000"/>
              </w:rPr>
            </w:pPr>
            <w:r>
              <w:rPr>
                <w:rFonts w:hint="eastAsia" w:ascii="宋体" w:hAnsi="宋体" w:eastAsia="宋体" w:cs="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hint="eastAsia" w:ascii="宋体" w:hAnsi="宋体" w:eastAsia="宋体" w:cs="宋体"/>
                <w:color w:val="auto"/>
                <w:sz w:val="28"/>
                <w:highlight w:val="none"/>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hint="eastAsia" w:ascii="宋体" w:hAnsi="宋体" w:eastAsia="宋体" w:cs="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hint="eastAsia" w:ascii="宋体" w:hAnsi="宋体" w:eastAsia="宋体" w:cs="宋体"/>
                <w:color w:val="auto"/>
                <w:sz w:val="28"/>
                <w:highlight w:val="none"/>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hint="eastAsia" w:ascii="宋体" w:hAnsi="宋体" w:eastAsia="宋体" w:cs="宋体"/>
                <w:color w:val="auto"/>
                <w:sz w:val="28"/>
                <w:highlight w:val="none"/>
                <w:u w:color="000000"/>
              </w:rPr>
            </w:pPr>
            <w:r>
              <w:rPr>
                <w:rFonts w:hint="eastAsia" w:ascii="宋体" w:hAnsi="宋体" w:eastAsia="宋体" w:cs="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hint="eastAsia" w:ascii="宋体" w:hAnsi="宋体" w:eastAsia="宋体" w:cs="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hint="eastAsia" w:ascii="宋体" w:hAnsi="宋体" w:eastAsia="宋体" w:cs="宋体"/>
                <w:color w:val="auto"/>
                <w:sz w:val="28"/>
                <w:highlight w:val="none"/>
                <w:u w:color="000000"/>
              </w:rPr>
            </w:pPr>
            <w:r>
              <w:rPr>
                <w:rFonts w:hint="eastAsia" w:ascii="宋体" w:hAnsi="宋体" w:eastAsia="宋体" w:cs="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hint="eastAsia" w:ascii="宋体" w:hAnsi="宋体" w:eastAsia="宋体" w:cs="宋体"/>
                <w:color w:val="auto"/>
                <w:sz w:val="28"/>
                <w:highlight w:val="none"/>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hint="eastAsia" w:ascii="宋体" w:hAnsi="宋体" w:eastAsia="宋体" w:cs="宋体"/>
                <w:color w:val="auto"/>
                <w:sz w:val="28"/>
                <w:highlight w:val="none"/>
                <w:u w:color="000000"/>
              </w:rPr>
            </w:pPr>
            <w:r>
              <w:rPr>
                <w:rFonts w:hint="eastAsia" w:ascii="宋体" w:hAnsi="宋体" w:eastAsia="宋体" w:cs="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hint="eastAsia" w:ascii="宋体" w:hAnsi="宋体" w:eastAsia="宋体" w:cs="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hint="eastAsia" w:ascii="宋体" w:hAnsi="宋体" w:eastAsia="宋体" w:cs="宋体"/>
                <w:color w:val="auto"/>
                <w:sz w:val="28"/>
                <w:highlight w:val="none"/>
                <w:u w:color="000000"/>
              </w:rPr>
            </w:pPr>
            <w:r>
              <w:rPr>
                <w:rFonts w:hint="eastAsia" w:ascii="宋体" w:hAnsi="宋体" w:eastAsia="宋体" w:cs="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hint="eastAsia" w:ascii="宋体" w:hAnsi="宋体" w:eastAsia="宋体" w:cs="宋体"/>
                <w:color w:val="auto"/>
                <w:sz w:val="28"/>
                <w:highlight w:val="none"/>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hint="eastAsia" w:ascii="宋体" w:hAnsi="宋体" w:eastAsia="宋体" w:cs="宋体"/>
                <w:color w:val="auto"/>
                <w:sz w:val="28"/>
                <w:highlight w:val="none"/>
                <w:u w:color="000000"/>
              </w:rPr>
            </w:pPr>
            <w:r>
              <w:rPr>
                <w:rFonts w:hint="eastAsia" w:ascii="宋体" w:hAnsi="宋体" w:eastAsia="宋体" w:cs="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hint="eastAsia" w:ascii="宋体" w:hAnsi="宋体" w:eastAsia="宋体" w:cs="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hint="eastAsia" w:ascii="宋体" w:hAnsi="宋体" w:eastAsia="宋体" w:cs="宋体"/>
                <w:color w:val="auto"/>
                <w:sz w:val="28"/>
                <w:highlight w:val="none"/>
                <w:u w:color="000000"/>
              </w:rPr>
            </w:pPr>
            <w:r>
              <w:rPr>
                <w:rFonts w:hint="eastAsia" w:ascii="宋体" w:hAnsi="宋体" w:eastAsia="宋体" w:cs="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hint="eastAsia" w:ascii="宋体" w:hAnsi="宋体" w:eastAsia="宋体" w:cs="宋体"/>
                <w:color w:val="auto"/>
                <w:sz w:val="28"/>
                <w:highlight w:val="none"/>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hint="eastAsia" w:ascii="宋体" w:hAnsi="宋体" w:eastAsia="宋体" w:cs="宋体"/>
                <w:color w:val="auto"/>
                <w:sz w:val="28"/>
                <w:highlight w:val="none"/>
                <w:u w:color="000000"/>
              </w:rPr>
            </w:pPr>
            <w:r>
              <w:rPr>
                <w:rFonts w:hint="eastAsia" w:ascii="宋体" w:hAnsi="宋体" w:eastAsia="宋体" w:cs="宋体"/>
                <w:color w:val="auto"/>
                <w:sz w:val="28"/>
                <w:highlight w:val="none"/>
              </w:rPr>
              <w:t>简</w:t>
            </w:r>
          </w:p>
          <w:p w14:paraId="0015E275">
            <w:pPr>
              <w:jc w:val="center"/>
              <w:rPr>
                <w:rFonts w:hint="eastAsia" w:ascii="宋体" w:hAnsi="宋体" w:eastAsia="宋体" w:cs="宋体"/>
                <w:color w:val="auto"/>
                <w:sz w:val="28"/>
                <w:highlight w:val="none"/>
              </w:rPr>
            </w:pPr>
          </w:p>
          <w:p w14:paraId="11B9B714">
            <w:pPr>
              <w:jc w:val="center"/>
              <w:rPr>
                <w:rFonts w:hint="eastAsia" w:ascii="宋体" w:hAnsi="宋体" w:eastAsia="宋体" w:cs="宋体"/>
                <w:color w:val="auto"/>
                <w:sz w:val="28"/>
                <w:highlight w:val="none"/>
              </w:rPr>
            </w:pPr>
          </w:p>
          <w:p w14:paraId="410B1CAF">
            <w:pPr>
              <w:spacing w:line="351" w:lineRule="atLeast"/>
              <w:jc w:val="center"/>
              <w:rPr>
                <w:rFonts w:hint="eastAsia" w:ascii="宋体" w:hAnsi="宋体" w:eastAsia="宋体" w:cs="宋体"/>
                <w:color w:val="auto"/>
                <w:highlight w:val="none"/>
                <w:u w:color="000000"/>
              </w:rPr>
            </w:pPr>
            <w:r>
              <w:rPr>
                <w:rFonts w:hint="eastAsia" w:ascii="宋体" w:hAnsi="宋体" w:eastAsia="宋体" w:cs="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hint="eastAsia" w:ascii="宋体" w:hAnsi="宋体" w:eastAsia="宋体" w:cs="宋体"/>
                <w:color w:val="auto"/>
                <w:highlight w:val="none"/>
                <w:u w:color="000000"/>
              </w:rPr>
            </w:pPr>
          </w:p>
        </w:tc>
      </w:tr>
    </w:tbl>
    <w:p w14:paraId="77B2A070">
      <w:pPr>
        <w:rPr>
          <w:rFonts w:hint="eastAsia" w:ascii="宋体" w:hAnsi="宋体" w:eastAsia="宋体" w:cs="宋体"/>
          <w:bCs/>
          <w:snapToGrid w:val="0"/>
          <w:color w:val="auto"/>
          <w:highlight w:val="none"/>
        </w:rPr>
      </w:pPr>
    </w:p>
    <w:p w14:paraId="7649C49B">
      <w:pPr>
        <w:snapToGrid w:val="0"/>
        <w:spacing w:before="50" w:after="120" w:afterLines="50"/>
        <w:jc w:val="left"/>
        <w:rPr>
          <w:rFonts w:hint="eastAsia" w:ascii="宋体" w:hAnsi="宋体" w:eastAsia="宋体" w:cs="宋体"/>
          <w:b/>
          <w:color w:val="auto"/>
          <w:spacing w:val="20"/>
          <w:sz w:val="24"/>
          <w:highlight w:val="none"/>
        </w:rPr>
      </w:pPr>
      <w:bookmarkStart w:id="84" w:name="_Hlk60757472"/>
      <w:r>
        <w:rPr>
          <w:rFonts w:hint="eastAsia" w:ascii="宋体" w:hAnsi="宋体" w:eastAsia="宋体" w:cs="宋体"/>
          <w:b/>
          <w:color w:val="auto"/>
          <w:spacing w:val="20"/>
          <w:sz w:val="24"/>
          <w:highlight w:val="none"/>
        </w:rPr>
        <w:t>法定代表人签字（或盖章）：            供应商（盖章）：</w:t>
      </w:r>
    </w:p>
    <w:p w14:paraId="5E1BAA67">
      <w:pPr>
        <w:snapToGrid w:val="0"/>
        <w:spacing w:before="50" w:after="120" w:afterLines="50"/>
        <w:jc w:val="left"/>
        <w:rPr>
          <w:rFonts w:hint="eastAsia" w:ascii="宋体" w:hAnsi="宋体" w:eastAsia="宋体" w:cs="宋体"/>
          <w:b/>
          <w:color w:val="auto"/>
          <w:sz w:val="24"/>
          <w:highlight w:val="none"/>
        </w:rPr>
      </w:pPr>
    </w:p>
    <w:p w14:paraId="19370387">
      <w:pPr>
        <w:snapToGrid w:val="0"/>
        <w:spacing w:before="50" w:after="120" w:afterLine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日期:_____年___月___日</w:t>
      </w:r>
    </w:p>
    <w:bookmarkEnd w:id="84"/>
    <w:p w14:paraId="2E019D8D">
      <w:pPr>
        <w:snapToGrid w:val="0"/>
        <w:spacing w:before="50" w:after="120" w:afterLine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1B4FDBF">
      <w:pPr>
        <w:snapToGrid w:val="0"/>
        <w:spacing w:before="50" w:after="120" w:afterLines="50"/>
        <w:jc w:val="left"/>
        <w:rPr>
          <w:rFonts w:hint="eastAsia" w:ascii="宋体" w:hAnsi="宋体" w:eastAsia="宋体" w:cs="宋体"/>
          <w:color w:val="auto"/>
          <w:sz w:val="24"/>
          <w:szCs w:val="20"/>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、项目实施人员一览表格式</w:t>
      </w:r>
    </w:p>
    <w:p w14:paraId="20F3CA65">
      <w:pPr>
        <w:snapToGrid w:val="0"/>
        <w:spacing w:before="50" w:after="120" w:afterLines="50"/>
        <w:jc w:val="left"/>
        <w:rPr>
          <w:rFonts w:hint="eastAsia" w:ascii="宋体" w:hAnsi="宋体" w:eastAsia="宋体" w:cs="宋体"/>
          <w:color w:val="auto"/>
          <w:sz w:val="24"/>
          <w:szCs w:val="20"/>
          <w:highlight w:val="none"/>
        </w:rPr>
      </w:pPr>
    </w:p>
    <w:p w14:paraId="428FEC10">
      <w:pPr>
        <w:snapToGrid w:val="0"/>
        <w:spacing w:before="120" w:beforeLines="50" w:after="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项目实施人员（主要从业人员及其技术资格）一览表</w:t>
      </w:r>
    </w:p>
    <w:p w14:paraId="38FF19C7">
      <w:pPr>
        <w:snapToGrid w:val="0"/>
        <w:spacing w:before="120" w:beforeLines="50" w:after="50" w:line="48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项目名称：</w:t>
      </w:r>
    </w:p>
    <w:p w14:paraId="70689D68">
      <w:pPr>
        <w:snapToGrid w:val="0"/>
        <w:spacing w:before="120" w:beforeLines="50" w:after="50" w:line="48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hint="eastAsia" w:ascii="宋体" w:hAnsi="宋体" w:eastAsia="宋体" w:cs="宋体"/>
                <w:color w:val="auto"/>
                <w:sz w:val="24"/>
                <w:highlight w:val="none"/>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hint="eastAsia" w:ascii="宋体" w:hAnsi="宋体" w:eastAsia="宋体" w:cs="宋体"/>
                <w:color w:val="auto"/>
                <w:sz w:val="24"/>
                <w:highlight w:val="none"/>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0"/>
              <w:snapToGrid w:val="0"/>
              <w:spacing w:before="120" w:beforeLines="50" w:after="50" w:line="360" w:lineRule="auto"/>
              <w:ind w:left="5250"/>
              <w:rPr>
                <w:rFonts w:hint="eastAsia" w:ascii="宋体" w:hAnsi="宋体" w:eastAsia="宋体" w:cs="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hint="eastAsia" w:ascii="宋体" w:hAnsi="宋体" w:eastAsia="宋体" w:cs="宋体"/>
                <w:color w:val="auto"/>
                <w:sz w:val="24"/>
                <w:highlight w:val="none"/>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hint="eastAsia" w:ascii="宋体" w:hAnsi="宋体" w:eastAsia="宋体" w:cs="宋体"/>
                <w:color w:val="auto"/>
                <w:sz w:val="24"/>
                <w:highlight w:val="none"/>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hint="eastAsia" w:ascii="宋体" w:hAnsi="宋体" w:eastAsia="宋体" w:cs="宋体"/>
                <w:color w:val="auto"/>
                <w:sz w:val="24"/>
                <w:highlight w:val="none"/>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hint="eastAsia" w:ascii="宋体" w:hAnsi="宋体" w:eastAsia="宋体" w:cs="宋体"/>
                <w:color w:val="auto"/>
                <w:sz w:val="24"/>
                <w:highlight w:val="none"/>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hint="eastAsia" w:ascii="宋体" w:hAnsi="宋体" w:eastAsia="宋体" w:cs="宋体"/>
                <w:color w:val="auto"/>
                <w:sz w:val="24"/>
                <w:highlight w:val="none"/>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hint="eastAsia" w:ascii="宋体" w:hAnsi="宋体" w:eastAsia="宋体" w:cs="宋体"/>
                <w:color w:val="auto"/>
                <w:sz w:val="24"/>
                <w:highlight w:val="none"/>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hint="eastAsia" w:ascii="宋体" w:hAnsi="宋体" w:eastAsia="宋体" w:cs="宋体"/>
                <w:color w:val="auto"/>
                <w:sz w:val="24"/>
                <w:highlight w:val="none"/>
              </w:rPr>
            </w:pPr>
          </w:p>
        </w:tc>
      </w:tr>
    </w:tbl>
    <w:p w14:paraId="44E57E48">
      <w:pPr>
        <w:snapToGrid w:val="0"/>
        <w:spacing w:before="120" w:beforeLines="50" w:after="50" w:line="480" w:lineRule="auto"/>
        <w:rPr>
          <w:rFonts w:hint="eastAsia" w:ascii="宋体" w:hAnsi="宋体" w:eastAsia="宋体" w:cs="宋体"/>
          <w:bCs/>
          <w:color w:val="auto"/>
          <w:sz w:val="24"/>
          <w:highlight w:val="none"/>
        </w:rPr>
      </w:pPr>
    </w:p>
    <w:p w14:paraId="1AF55D4C">
      <w:pPr>
        <w:snapToGrid w:val="0"/>
        <w:spacing w:before="50" w:after="120" w:afterLines="5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注：填写本表格时如不适合供应商的实际情况，可根据本表格式自行修订填写。</w:t>
      </w:r>
    </w:p>
    <w:p w14:paraId="70132BA9">
      <w:pPr>
        <w:snapToGrid w:val="0"/>
        <w:spacing w:before="50" w:after="120" w:afterLines="50" w:line="360" w:lineRule="auto"/>
        <w:jc w:val="left"/>
        <w:rPr>
          <w:rFonts w:hint="eastAsia" w:ascii="宋体" w:hAnsi="宋体" w:eastAsia="宋体" w:cs="宋体"/>
          <w:color w:val="auto"/>
          <w:sz w:val="24"/>
          <w:szCs w:val="20"/>
          <w:highlight w:val="none"/>
        </w:rPr>
      </w:pPr>
    </w:p>
    <w:p w14:paraId="0E057FAC">
      <w:pPr>
        <w:snapToGrid w:val="0"/>
        <w:spacing w:before="50" w:after="50" w:line="360" w:lineRule="auto"/>
        <w:rPr>
          <w:rFonts w:hint="eastAsia" w:ascii="宋体" w:hAnsi="宋体" w:eastAsia="宋体" w:cs="宋体"/>
          <w:b/>
          <w:color w:val="auto"/>
          <w:sz w:val="24"/>
          <w:szCs w:val="20"/>
          <w:highlight w:val="none"/>
        </w:rPr>
      </w:pPr>
      <w:r>
        <w:rPr>
          <w:rFonts w:hint="eastAsia" w:ascii="宋体" w:hAnsi="宋体" w:eastAsia="宋体" w:cs="宋体"/>
          <w:b/>
          <w:color w:val="auto"/>
          <w:spacing w:val="20"/>
          <w:sz w:val="24"/>
          <w:highlight w:val="none"/>
        </w:rPr>
        <w:t xml:space="preserve">法定代表人签字（或盖章）：            供应商（盖章）：          </w:t>
      </w:r>
    </w:p>
    <w:p w14:paraId="53062466">
      <w:pPr>
        <w:pStyle w:val="28"/>
        <w:snapToGrid w:val="0"/>
        <w:spacing w:beforeLines="0" w:afterLines="0" w:line="240" w:lineRule="auto"/>
        <w:rPr>
          <w:rFonts w:hint="eastAsia" w:ascii="宋体" w:hAnsi="宋体" w:eastAsia="宋体" w:cs="宋体"/>
          <w:b/>
          <w:color w:val="auto"/>
          <w:highlight w:val="none"/>
        </w:rPr>
      </w:pPr>
    </w:p>
    <w:p w14:paraId="306BA1AD">
      <w:pPr>
        <w:pStyle w:val="28"/>
        <w:snapToGrid w:val="0"/>
        <w:spacing w:beforeLines="0" w:afterLines="0" w:line="240" w:lineRule="auto"/>
        <w:rPr>
          <w:rFonts w:hint="eastAsia" w:ascii="宋体" w:hAnsi="宋体" w:eastAsia="宋体" w:cs="宋体"/>
          <w:b/>
          <w:color w:val="auto"/>
          <w:highlight w:val="none"/>
        </w:rPr>
      </w:pPr>
      <w:r>
        <w:rPr>
          <w:rFonts w:hint="eastAsia" w:ascii="宋体" w:hAnsi="宋体" w:eastAsia="宋体" w:cs="宋体"/>
          <w:b/>
          <w:color w:val="auto"/>
          <w:highlight w:val="none"/>
        </w:rPr>
        <w:t>日期:_____年___月___日</w:t>
      </w:r>
    </w:p>
    <w:p w14:paraId="1C69D219">
      <w:pPr>
        <w:pStyle w:val="28"/>
        <w:snapToGrid w:val="0"/>
        <w:spacing w:beforeLines="0" w:afterLines="0" w:line="240" w:lineRule="auto"/>
        <w:rPr>
          <w:rFonts w:hint="eastAsia" w:ascii="宋体" w:hAnsi="宋体" w:eastAsia="宋体" w:cs="宋体"/>
          <w:color w:val="auto"/>
          <w:highlight w:val="none"/>
        </w:rPr>
      </w:pPr>
    </w:p>
    <w:p w14:paraId="50B2C118">
      <w:pPr>
        <w:pStyle w:val="28"/>
        <w:snapToGrid w:val="0"/>
        <w:spacing w:beforeLines="0" w:afterLines="0" w:line="240" w:lineRule="auto"/>
        <w:rPr>
          <w:rFonts w:hint="eastAsia" w:ascii="宋体" w:hAnsi="宋体" w:eastAsia="宋体" w:cs="宋体"/>
          <w:color w:val="auto"/>
          <w:highlight w:val="none"/>
        </w:rPr>
      </w:pPr>
    </w:p>
    <w:p w14:paraId="50A4B6F2">
      <w:pPr>
        <w:pStyle w:val="28"/>
        <w:snapToGrid w:val="0"/>
        <w:spacing w:beforeLines="0" w:afterLines="0" w:line="240" w:lineRule="auto"/>
        <w:rPr>
          <w:rFonts w:hint="eastAsia" w:ascii="宋体" w:hAnsi="宋体" w:eastAsia="宋体" w:cs="宋体"/>
          <w:color w:val="auto"/>
          <w:highlight w:val="none"/>
        </w:rPr>
        <w:sectPr>
          <w:pgSz w:w="11906" w:h="16838"/>
          <w:pgMar w:top="1021" w:right="1588" w:bottom="851" w:left="1588" w:header="567" w:footer="454" w:gutter="0"/>
          <w:pgNumType w:fmt="decimal"/>
          <w:cols w:space="720" w:num="1"/>
          <w:docGrid w:linePitch="286" w:charSpace="0"/>
        </w:sectPr>
      </w:pPr>
    </w:p>
    <w:p w14:paraId="2D7D20EC">
      <w:pPr>
        <w:snapToGrid w:val="0"/>
        <w:spacing w:before="50" w:after="120" w:afterLines="50"/>
        <w:ind w:firstLine="360" w:firstLineChars="15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.供应商类似合同案例一览表格式：</w:t>
      </w:r>
    </w:p>
    <w:p w14:paraId="67BD1E0A">
      <w:pPr>
        <w:snapToGrid w:val="0"/>
        <w:spacing w:before="50" w:after="120" w:afterLine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供应商类似合同案例一览表</w:t>
      </w:r>
    </w:p>
    <w:p w14:paraId="2466FAB9">
      <w:pPr>
        <w:snapToGrid w:val="0"/>
        <w:spacing w:before="120" w:beforeLines="50" w:after="50" w:line="480" w:lineRule="auto"/>
        <w:ind w:firstLine="1068" w:firstLineChars="445"/>
        <w:rPr>
          <w:rFonts w:hint="eastAsia" w:ascii="宋体" w:hAnsi="宋体" w:eastAsia="宋体" w:cs="宋体"/>
          <w:bCs/>
          <w:color w:val="auto"/>
          <w:sz w:val="24"/>
          <w:highlight w:val="none"/>
        </w:rPr>
      </w:pPr>
    </w:p>
    <w:p w14:paraId="4F98CB1A">
      <w:pPr>
        <w:snapToGrid w:val="0"/>
        <w:spacing w:before="120" w:beforeLines="50" w:after="50" w:line="480" w:lineRule="auto"/>
        <w:ind w:firstLine="1068" w:firstLineChars="44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项目名称：                                            </w:t>
      </w:r>
      <w:r>
        <w:rPr>
          <w:rFonts w:hint="eastAsia" w:ascii="宋体" w:hAnsi="宋体" w:eastAsia="宋体" w:cs="宋体"/>
          <w:color w:val="auto"/>
          <w:sz w:val="24"/>
          <w:highlight w:val="none"/>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14:paraId="58F3C75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hint="eastAsia" w:ascii="宋体" w:hAnsi="宋体" w:eastAsia="宋体" w:cs="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hint="eastAsia" w:ascii="宋体" w:hAnsi="宋体" w:eastAsia="宋体" w:cs="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hint="eastAsia" w:ascii="宋体" w:hAnsi="宋体" w:eastAsia="宋体" w:cs="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hint="eastAsia" w:ascii="宋体" w:hAnsi="宋体" w:eastAsia="宋体" w:cs="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hint="eastAsia" w:ascii="宋体" w:hAnsi="宋体" w:eastAsia="宋体" w:cs="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hint="eastAsia" w:ascii="宋体" w:hAnsi="宋体" w:eastAsia="宋体" w:cs="宋体"/>
                <w:color w:val="auto"/>
                <w:sz w:val="24"/>
                <w:highlight w:val="none"/>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hint="eastAsia" w:ascii="宋体" w:hAnsi="宋体" w:eastAsia="宋体" w:cs="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hint="eastAsia" w:ascii="宋体" w:hAnsi="宋体" w:eastAsia="宋体" w:cs="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hint="eastAsia" w:ascii="宋体" w:hAnsi="宋体" w:eastAsia="宋体" w:cs="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hint="eastAsia" w:ascii="宋体" w:hAnsi="宋体" w:eastAsia="宋体" w:cs="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hint="eastAsia" w:ascii="宋体" w:hAnsi="宋体" w:eastAsia="宋体" w:cs="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hint="eastAsia" w:ascii="宋体" w:hAnsi="宋体" w:eastAsia="宋体" w:cs="宋体"/>
                <w:color w:val="auto"/>
                <w:sz w:val="24"/>
                <w:szCs w:val="20"/>
                <w:highlight w:val="none"/>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hint="eastAsia" w:ascii="宋体" w:hAnsi="宋体" w:eastAsia="宋体" w:cs="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hint="eastAsia" w:ascii="宋体" w:hAnsi="宋体" w:eastAsia="宋体" w:cs="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hint="eastAsia" w:ascii="宋体" w:hAnsi="宋体" w:eastAsia="宋体" w:cs="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hint="eastAsia" w:ascii="宋体" w:hAnsi="宋体" w:eastAsia="宋体" w:cs="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hint="eastAsia" w:ascii="宋体" w:hAnsi="宋体" w:eastAsia="宋体" w:cs="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hint="eastAsia" w:ascii="宋体" w:hAnsi="宋体" w:eastAsia="宋体" w:cs="宋体"/>
                <w:color w:val="auto"/>
                <w:sz w:val="24"/>
                <w:szCs w:val="20"/>
                <w:highlight w:val="none"/>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hint="eastAsia" w:ascii="宋体" w:hAnsi="宋体" w:eastAsia="宋体" w:cs="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hint="eastAsia" w:ascii="宋体" w:hAnsi="宋体" w:eastAsia="宋体" w:cs="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hint="eastAsia" w:ascii="宋体" w:hAnsi="宋体" w:eastAsia="宋体" w:cs="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hint="eastAsia" w:ascii="宋体" w:hAnsi="宋体" w:eastAsia="宋体" w:cs="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hint="eastAsia" w:ascii="宋体" w:hAnsi="宋体" w:eastAsia="宋体" w:cs="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hint="eastAsia" w:ascii="宋体" w:hAnsi="宋体" w:eastAsia="宋体" w:cs="宋体"/>
                <w:color w:val="auto"/>
                <w:sz w:val="24"/>
                <w:szCs w:val="20"/>
                <w:highlight w:val="none"/>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hint="eastAsia" w:ascii="宋体" w:hAnsi="宋体" w:eastAsia="宋体" w:cs="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hint="eastAsia" w:ascii="宋体" w:hAnsi="宋体" w:eastAsia="宋体" w:cs="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hint="eastAsia" w:ascii="宋体" w:hAnsi="宋体" w:eastAsia="宋体" w:cs="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hint="eastAsia" w:ascii="宋体" w:hAnsi="宋体" w:eastAsia="宋体" w:cs="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hint="eastAsia" w:ascii="宋体" w:hAnsi="宋体" w:eastAsia="宋体" w:cs="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hint="eastAsia" w:ascii="宋体" w:hAnsi="宋体" w:eastAsia="宋体" w:cs="宋体"/>
                <w:color w:val="auto"/>
                <w:sz w:val="24"/>
                <w:szCs w:val="20"/>
                <w:highlight w:val="none"/>
              </w:rPr>
            </w:pPr>
          </w:p>
        </w:tc>
      </w:tr>
    </w:tbl>
    <w:p w14:paraId="15FBCB7E">
      <w:pPr>
        <w:pStyle w:val="15"/>
        <w:snapToGrid w:val="0"/>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48EB736">
      <w:pPr>
        <w:pStyle w:val="15"/>
        <w:snapToGrid w:val="0"/>
        <w:ind w:firstLine="360" w:firstLineChars="150"/>
        <w:rPr>
          <w:rFonts w:hint="eastAsia" w:ascii="宋体" w:hAnsi="宋体" w:eastAsia="宋体" w:cs="宋体"/>
          <w:color w:val="auto"/>
          <w:sz w:val="24"/>
          <w:szCs w:val="24"/>
          <w:highlight w:val="none"/>
        </w:rPr>
      </w:pPr>
    </w:p>
    <w:p w14:paraId="450ADD33">
      <w:pPr>
        <w:pStyle w:val="15"/>
        <w:snapToGrid w:val="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法定代表人签字（或盖章）：                            供应商（盖章）：                    日期:_____年___月___日</w:t>
      </w:r>
    </w:p>
    <w:p w14:paraId="652B7D0F">
      <w:pPr>
        <w:pStyle w:val="15"/>
        <w:snapToGrid w:val="0"/>
        <w:rPr>
          <w:rFonts w:hint="eastAsia" w:ascii="宋体" w:hAnsi="宋体" w:eastAsia="宋体" w:cs="宋体"/>
          <w:color w:val="auto"/>
          <w:sz w:val="24"/>
          <w:szCs w:val="24"/>
          <w:highlight w:val="none"/>
        </w:rPr>
      </w:pPr>
    </w:p>
    <w:p w14:paraId="0FA267DB">
      <w:pPr>
        <w:rPr>
          <w:rFonts w:hint="eastAsia" w:ascii="宋体" w:hAnsi="宋体" w:eastAsia="宋体" w:cs="宋体"/>
          <w:color w:val="auto"/>
          <w:highlight w:val="none"/>
        </w:rPr>
        <w:sectPr>
          <w:pgSz w:w="16838" w:h="11906" w:orient="landscape"/>
          <w:pgMar w:top="1588" w:right="1021" w:bottom="1588" w:left="851" w:header="851" w:footer="851" w:gutter="0"/>
          <w:pgNumType w:fmt="decimal"/>
          <w:cols w:space="720" w:num="1"/>
        </w:sectPr>
      </w:pPr>
    </w:p>
    <w:p w14:paraId="3241161F">
      <w:pPr>
        <w:snapToGrid w:val="0"/>
        <w:spacing w:before="50" w:after="120" w:afterLines="50"/>
        <w:jc w:val="left"/>
        <w:rPr>
          <w:rFonts w:hint="eastAsia" w:ascii="宋体" w:hAnsi="宋体" w:eastAsia="宋体" w:cs="宋体"/>
          <w:color w:val="auto"/>
          <w:sz w:val="24"/>
          <w:szCs w:val="20"/>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.售后服务网点情况表格式：</w:t>
      </w:r>
    </w:p>
    <w:p w14:paraId="7F9B39FB">
      <w:pPr>
        <w:snapToGrid w:val="0"/>
        <w:spacing w:before="50" w:after="120" w:afterLines="5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429CAF5A">
      <w:pPr>
        <w:pStyle w:val="37"/>
        <w:snapToGrid w:val="0"/>
        <w:ind w:left="480" w:hanging="480"/>
        <w:rPr>
          <w:rFonts w:hint="eastAsia" w:ascii="宋体" w:hAnsi="宋体" w:eastAsia="宋体" w:cs="宋体"/>
          <w:color w:val="auto"/>
          <w:sz w:val="24"/>
          <w:highlight w:val="none"/>
        </w:rPr>
      </w:pPr>
    </w:p>
    <w:p w14:paraId="6DE1EC64">
      <w:pPr>
        <w:pStyle w:val="37"/>
        <w:snapToGrid w:val="0"/>
        <w:ind w:left="482" w:hanging="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售后服务网点情况表</w:t>
      </w:r>
    </w:p>
    <w:p w14:paraId="7C8DF2B9">
      <w:pPr>
        <w:snapToGrid w:val="0"/>
        <w:spacing w:before="120" w:beforeLines="50" w:after="50" w:line="360" w:lineRule="auto"/>
        <w:jc w:val="center"/>
        <w:rPr>
          <w:rFonts w:hint="eastAsia" w:ascii="宋体" w:hAnsi="宋体" w:eastAsia="宋体" w:cs="宋体"/>
          <w:bCs/>
          <w:color w:val="auto"/>
          <w:sz w:val="24"/>
          <w:highlight w:val="none"/>
        </w:rPr>
      </w:pPr>
    </w:p>
    <w:p w14:paraId="10F919B3">
      <w:pPr>
        <w:snapToGrid w:val="0"/>
        <w:spacing w:before="120" w:beforeLines="50" w:after="50" w:line="480" w:lineRule="auto"/>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项目名称：</w:t>
      </w:r>
    </w:p>
    <w:p w14:paraId="5ED18343">
      <w:pPr>
        <w:snapToGrid w:val="0"/>
        <w:spacing w:before="120" w:beforeLines="50" w:after="50" w:line="48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hint="eastAsia" w:ascii="宋体" w:hAnsi="宋体" w:eastAsia="宋体" w:cs="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hint="eastAsia" w:ascii="宋体" w:hAnsi="宋体" w:eastAsia="宋体" w:cs="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hint="eastAsia" w:ascii="宋体" w:hAnsi="宋体" w:eastAsia="宋体" w:cs="宋体"/>
                <w:color w:val="auto"/>
                <w:sz w:val="24"/>
                <w:szCs w:val="20"/>
                <w:highlight w:val="none"/>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hint="eastAsia" w:ascii="宋体" w:hAnsi="宋体" w:eastAsia="宋体" w:cs="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hint="eastAsia" w:ascii="宋体" w:hAnsi="宋体" w:eastAsia="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hint="eastAsia" w:ascii="宋体" w:hAnsi="宋体" w:eastAsia="宋体" w:cs="宋体"/>
                <w:color w:val="auto"/>
                <w:sz w:val="24"/>
                <w:szCs w:val="20"/>
                <w:highlight w:val="none"/>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hint="eastAsia" w:ascii="宋体" w:hAnsi="宋体" w:eastAsia="宋体" w:cs="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hint="eastAsia" w:ascii="宋体" w:hAnsi="宋体" w:eastAsia="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hint="eastAsia" w:ascii="宋体" w:hAnsi="宋体" w:eastAsia="宋体" w:cs="宋体"/>
                <w:color w:val="auto"/>
                <w:sz w:val="24"/>
                <w:szCs w:val="20"/>
                <w:highlight w:val="none"/>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hint="eastAsia" w:ascii="宋体" w:hAnsi="宋体" w:eastAsia="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hint="eastAsia" w:ascii="宋体" w:hAnsi="宋体" w:eastAsia="宋体" w:cs="宋体"/>
                <w:color w:val="auto"/>
                <w:sz w:val="24"/>
                <w:szCs w:val="20"/>
                <w:highlight w:val="none"/>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hint="eastAsia" w:ascii="宋体" w:hAnsi="宋体" w:eastAsia="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hint="eastAsia" w:ascii="宋体" w:hAnsi="宋体" w:eastAsia="宋体" w:cs="宋体"/>
                <w:color w:val="auto"/>
                <w:sz w:val="24"/>
                <w:szCs w:val="20"/>
                <w:highlight w:val="none"/>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hint="eastAsia" w:ascii="宋体" w:hAnsi="宋体" w:eastAsia="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hint="eastAsia" w:ascii="宋体" w:hAnsi="宋体" w:eastAsia="宋体" w:cs="宋体"/>
                <w:color w:val="auto"/>
                <w:sz w:val="24"/>
                <w:szCs w:val="20"/>
                <w:highlight w:val="none"/>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hint="eastAsia" w:ascii="宋体" w:hAnsi="宋体" w:eastAsia="宋体" w:cs="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hint="eastAsia" w:ascii="宋体" w:hAnsi="宋体" w:eastAsia="宋体" w:cs="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hint="eastAsia" w:ascii="宋体" w:hAnsi="宋体" w:eastAsia="宋体" w:cs="宋体"/>
                <w:color w:val="auto"/>
                <w:sz w:val="24"/>
                <w:szCs w:val="20"/>
                <w:highlight w:val="none"/>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hint="eastAsia" w:ascii="宋体" w:hAnsi="宋体" w:eastAsia="宋体" w:cs="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hint="eastAsia" w:ascii="宋体" w:hAnsi="宋体" w:eastAsia="宋体" w:cs="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hint="eastAsia" w:ascii="宋体" w:hAnsi="宋体" w:eastAsia="宋体" w:cs="宋体"/>
                <w:color w:val="auto"/>
                <w:sz w:val="24"/>
                <w:szCs w:val="20"/>
                <w:highlight w:val="none"/>
              </w:rPr>
            </w:pPr>
          </w:p>
        </w:tc>
      </w:tr>
    </w:tbl>
    <w:p w14:paraId="6216219D">
      <w:pPr>
        <w:pStyle w:val="37"/>
        <w:snapToGrid w:val="0"/>
        <w:ind w:left="199" w:hanging="199" w:hangingChars="83"/>
        <w:rPr>
          <w:rFonts w:hint="eastAsia" w:ascii="宋体" w:hAnsi="宋体" w:eastAsia="宋体" w:cs="宋体"/>
          <w:color w:val="auto"/>
          <w:sz w:val="24"/>
          <w:highlight w:val="none"/>
        </w:rPr>
      </w:pPr>
    </w:p>
    <w:p w14:paraId="0617EC29">
      <w:pPr>
        <w:pStyle w:val="15"/>
        <w:snapToGrid w:val="0"/>
        <w:rPr>
          <w:rFonts w:hint="eastAsia" w:ascii="宋体" w:hAnsi="宋体" w:eastAsia="宋体" w:cs="宋体"/>
          <w:color w:val="auto"/>
          <w:sz w:val="24"/>
          <w:highlight w:val="none"/>
        </w:rPr>
      </w:pPr>
    </w:p>
    <w:p w14:paraId="7F6E2839">
      <w:pPr>
        <w:pStyle w:val="21"/>
        <w:snapToGrid w:val="0"/>
        <w:rPr>
          <w:rFonts w:hint="eastAsia" w:ascii="宋体" w:hAnsi="宋体" w:eastAsia="宋体" w:cs="宋体"/>
          <w:b/>
          <w:color w:val="auto"/>
          <w:sz w:val="24"/>
          <w:highlight w:val="none"/>
        </w:rPr>
      </w:pPr>
      <w:r>
        <w:rPr>
          <w:rFonts w:hint="eastAsia" w:ascii="宋体" w:hAnsi="宋体" w:eastAsia="宋体" w:cs="宋体"/>
          <w:b/>
          <w:color w:val="auto"/>
          <w:spacing w:val="20"/>
          <w:sz w:val="24"/>
          <w:highlight w:val="none"/>
        </w:rPr>
        <w:t xml:space="preserve">法定代表人签字（或盖章）：            供应商（盖章）： </w:t>
      </w:r>
      <w:r>
        <w:rPr>
          <w:rFonts w:hint="eastAsia" w:ascii="宋体" w:hAnsi="宋体" w:eastAsia="宋体" w:cs="宋体"/>
          <w:b/>
          <w:color w:val="auto"/>
          <w:sz w:val="24"/>
          <w:highlight w:val="none"/>
        </w:rPr>
        <w:t xml:space="preserve">           　 </w:t>
      </w:r>
    </w:p>
    <w:p w14:paraId="4D27EDCF">
      <w:pPr>
        <w:pStyle w:val="21"/>
        <w:snapToGrid w:val="0"/>
        <w:rPr>
          <w:rFonts w:hint="eastAsia" w:ascii="宋体" w:hAnsi="宋体" w:eastAsia="宋体" w:cs="宋体"/>
          <w:b/>
          <w:color w:val="auto"/>
          <w:sz w:val="24"/>
          <w:highlight w:val="none"/>
        </w:rPr>
      </w:pPr>
    </w:p>
    <w:p w14:paraId="42587F3C">
      <w:pPr>
        <w:snapToGrid w:val="0"/>
        <w:spacing w:before="50" w:after="120" w:afterLines="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日期:_____年___月___日</w:t>
      </w:r>
    </w:p>
    <w:p w14:paraId="189641C7">
      <w:pPr>
        <w:snapToGrid w:val="0"/>
        <w:spacing w:before="50"/>
        <w:jc w:val="left"/>
        <w:rPr>
          <w:rFonts w:hint="eastAsia" w:ascii="宋体" w:hAnsi="宋体" w:eastAsia="宋体" w:cs="宋体"/>
          <w:color w:val="auto"/>
          <w:sz w:val="24"/>
          <w:highlight w:val="none"/>
        </w:rPr>
      </w:pPr>
    </w:p>
    <w:p w14:paraId="4EFCF9FC">
      <w:pPr>
        <w:snapToGrid w:val="0"/>
        <w:spacing w:before="50"/>
        <w:jc w:val="left"/>
        <w:rPr>
          <w:rFonts w:hint="eastAsia" w:ascii="宋体" w:hAnsi="宋体" w:eastAsia="宋体" w:cs="宋体"/>
          <w:color w:val="auto"/>
          <w:sz w:val="24"/>
          <w:highlight w:val="none"/>
        </w:rPr>
      </w:pPr>
    </w:p>
    <w:p w14:paraId="3CC8FF43">
      <w:pPr>
        <w:snapToGrid w:val="0"/>
        <w:spacing w:before="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.商务及技术响应表格式：</w:t>
      </w:r>
    </w:p>
    <w:p w14:paraId="7A9AFBC0">
      <w:pPr>
        <w:snapToGrid w:val="0"/>
        <w:spacing w:before="50"/>
        <w:jc w:val="left"/>
        <w:rPr>
          <w:rFonts w:hint="eastAsia" w:ascii="宋体" w:hAnsi="宋体" w:eastAsia="宋体" w:cs="宋体"/>
          <w:color w:val="auto"/>
          <w:sz w:val="24"/>
          <w:highlight w:val="none"/>
        </w:rPr>
      </w:pPr>
    </w:p>
    <w:p w14:paraId="21A1543A">
      <w:pPr>
        <w:snapToGrid w:val="0"/>
        <w:spacing w:before="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商务及技术响应表</w:t>
      </w:r>
    </w:p>
    <w:p w14:paraId="1C093DF7">
      <w:pPr>
        <w:snapToGrid w:val="0"/>
        <w:spacing w:before="120" w:beforeLines="50" w:after="50" w:line="360" w:lineRule="auto"/>
        <w:jc w:val="center"/>
        <w:rPr>
          <w:rFonts w:hint="eastAsia" w:ascii="宋体" w:hAnsi="宋体" w:eastAsia="宋体" w:cs="宋体"/>
          <w:bCs/>
          <w:color w:val="auto"/>
          <w:sz w:val="24"/>
          <w:highlight w:val="none"/>
        </w:rPr>
      </w:pPr>
    </w:p>
    <w:p w14:paraId="263038F7">
      <w:pPr>
        <w:snapToGrid w:val="0"/>
        <w:spacing w:before="120" w:beforeLines="50" w:after="50" w:line="48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项目名称：</w:t>
      </w:r>
    </w:p>
    <w:p w14:paraId="392B4682">
      <w:pPr>
        <w:snapToGrid w:val="0"/>
        <w:spacing w:before="120" w:beforeLines="50" w:after="50" w:line="48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hint="eastAsia" w:ascii="宋体" w:hAnsi="宋体" w:eastAsia="宋体" w:cs="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hint="eastAsia" w:ascii="宋体" w:hAnsi="宋体" w:eastAsia="宋体" w:cs="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hint="eastAsia" w:ascii="宋体" w:hAnsi="宋体" w:eastAsia="宋体" w:cs="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hint="eastAsia" w:ascii="宋体" w:hAnsi="宋体" w:eastAsia="宋体" w:cs="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hint="eastAsia" w:ascii="宋体" w:hAnsi="宋体" w:eastAsia="宋体" w:cs="宋体"/>
                <w:color w:val="auto"/>
                <w:sz w:val="24"/>
                <w:szCs w:val="20"/>
                <w:highlight w:val="none"/>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hint="eastAsia" w:ascii="宋体" w:hAnsi="宋体" w:eastAsia="宋体" w:cs="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hint="eastAsia" w:ascii="宋体" w:hAnsi="宋体" w:eastAsia="宋体" w:cs="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hint="eastAsia" w:ascii="宋体" w:hAnsi="宋体" w:eastAsia="宋体" w:cs="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hint="eastAsia" w:ascii="宋体" w:hAnsi="宋体" w:eastAsia="宋体" w:cs="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hint="eastAsia" w:ascii="宋体" w:hAnsi="宋体" w:eastAsia="宋体" w:cs="宋体"/>
                <w:color w:val="auto"/>
                <w:sz w:val="24"/>
                <w:szCs w:val="20"/>
                <w:highlight w:val="none"/>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hint="eastAsia" w:ascii="宋体" w:hAnsi="宋体" w:eastAsia="宋体" w:cs="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hint="eastAsia" w:ascii="宋体" w:hAnsi="宋体" w:eastAsia="宋体" w:cs="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hint="eastAsia" w:ascii="宋体" w:hAnsi="宋体" w:eastAsia="宋体" w:cs="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hint="eastAsia" w:ascii="宋体" w:hAnsi="宋体" w:eastAsia="宋体" w:cs="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hint="eastAsia" w:ascii="宋体" w:hAnsi="宋体" w:eastAsia="宋体" w:cs="宋体"/>
                <w:color w:val="auto"/>
                <w:sz w:val="24"/>
                <w:szCs w:val="20"/>
                <w:highlight w:val="none"/>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hint="eastAsia" w:ascii="宋体" w:hAnsi="宋体" w:eastAsia="宋体" w:cs="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hint="eastAsia" w:ascii="宋体" w:hAnsi="宋体" w:eastAsia="宋体" w:cs="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hint="eastAsia" w:ascii="宋体" w:hAnsi="宋体" w:eastAsia="宋体" w:cs="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hint="eastAsia" w:ascii="宋体" w:hAnsi="宋体" w:eastAsia="宋体" w:cs="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hint="eastAsia" w:ascii="宋体" w:hAnsi="宋体" w:eastAsia="宋体" w:cs="宋体"/>
                <w:color w:val="auto"/>
                <w:sz w:val="24"/>
                <w:szCs w:val="20"/>
                <w:highlight w:val="none"/>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hint="eastAsia" w:ascii="宋体" w:hAnsi="宋体" w:eastAsia="宋体" w:cs="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hint="eastAsia" w:ascii="宋体" w:hAnsi="宋体" w:eastAsia="宋体" w:cs="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hint="eastAsia" w:ascii="宋体" w:hAnsi="宋体" w:eastAsia="宋体" w:cs="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hint="eastAsia" w:ascii="宋体" w:hAnsi="宋体" w:eastAsia="宋体" w:cs="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hint="eastAsia" w:ascii="宋体" w:hAnsi="宋体" w:eastAsia="宋体" w:cs="宋体"/>
                <w:color w:val="auto"/>
                <w:sz w:val="24"/>
                <w:szCs w:val="20"/>
                <w:highlight w:val="none"/>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hint="eastAsia" w:ascii="宋体" w:hAnsi="宋体" w:eastAsia="宋体" w:cs="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hint="eastAsia" w:ascii="宋体" w:hAnsi="宋体" w:eastAsia="宋体" w:cs="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hint="eastAsia" w:ascii="宋体" w:hAnsi="宋体" w:eastAsia="宋体" w:cs="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hint="eastAsia" w:ascii="宋体" w:hAnsi="宋体" w:eastAsia="宋体" w:cs="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hint="eastAsia" w:ascii="宋体" w:hAnsi="宋体" w:eastAsia="宋体" w:cs="宋体"/>
                <w:color w:val="auto"/>
                <w:sz w:val="24"/>
                <w:szCs w:val="20"/>
                <w:highlight w:val="none"/>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hint="eastAsia" w:ascii="宋体" w:hAnsi="宋体" w:eastAsia="宋体" w:cs="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hint="eastAsia" w:ascii="宋体" w:hAnsi="宋体" w:eastAsia="宋体" w:cs="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hint="eastAsia" w:ascii="宋体" w:hAnsi="宋体" w:eastAsia="宋体" w:cs="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hint="eastAsia" w:ascii="宋体" w:hAnsi="宋体" w:eastAsia="宋体" w:cs="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hint="eastAsia" w:ascii="宋体" w:hAnsi="宋体" w:eastAsia="宋体" w:cs="宋体"/>
                <w:color w:val="auto"/>
                <w:sz w:val="24"/>
                <w:szCs w:val="20"/>
                <w:highlight w:val="none"/>
              </w:rPr>
            </w:pPr>
          </w:p>
        </w:tc>
      </w:tr>
    </w:tbl>
    <w:p w14:paraId="1D3702A6">
      <w:pPr>
        <w:snapToGrid w:val="0"/>
        <w:spacing w:line="400" w:lineRule="exact"/>
        <w:rPr>
          <w:rFonts w:hint="eastAsia" w:ascii="宋体" w:hAnsi="宋体" w:eastAsia="宋体" w:cs="宋体"/>
          <w:b/>
          <w:color w:val="auto"/>
          <w:sz w:val="24"/>
          <w:szCs w:val="20"/>
          <w:highlight w:val="none"/>
          <w:u w:val="single"/>
          <w:shd w:val="pct10" w:color="auto" w:fill="FFFFFF"/>
        </w:rPr>
      </w:pPr>
      <w:r>
        <w:rPr>
          <w:rFonts w:hint="eastAsia" w:ascii="宋体" w:hAnsi="宋体" w:eastAsia="宋体" w:cs="宋体"/>
          <w:b/>
          <w:color w:val="auto"/>
          <w:sz w:val="24"/>
          <w:szCs w:val="20"/>
          <w:highlight w:val="none"/>
          <w:u w:val="single"/>
          <w:shd w:val="pct10" w:color="auto" w:fill="FFFFFF"/>
        </w:rPr>
        <w:t>特别说明：</w:t>
      </w:r>
    </w:p>
    <w:p w14:paraId="70D172A7">
      <w:pPr>
        <w:snapToGrid w:val="0"/>
        <w:spacing w:line="400" w:lineRule="exact"/>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u w:val="single"/>
          <w:shd w:val="pct10" w:color="auto" w:fill="FFFFFF"/>
        </w:rPr>
        <w:t>1、投标人应在此表中将招标文件中列明</w:t>
      </w:r>
      <w:bookmarkStart w:id="85" w:name="_Hlk535995896"/>
      <w:r>
        <w:rPr>
          <w:rFonts w:hint="eastAsia" w:ascii="宋体" w:hAnsi="宋体" w:eastAsia="宋体" w:cs="宋体"/>
          <w:b/>
          <w:color w:val="auto"/>
          <w:sz w:val="24"/>
          <w:highlight w:val="none"/>
          <w:u w:val="single"/>
          <w:shd w:val="pct10" w:color="auto" w:fill="FFFFFF"/>
        </w:rPr>
        <w:t>的商务要求和技术参数要求的正偏离或负偏离的应标内容详细写明，</w:t>
      </w:r>
      <w:bookmarkEnd w:id="85"/>
      <w:r>
        <w:rPr>
          <w:rFonts w:hint="eastAsia" w:ascii="宋体" w:hAnsi="宋体" w:eastAsia="宋体" w:cs="宋体"/>
          <w:b/>
          <w:color w:val="auto"/>
          <w:sz w:val="24"/>
          <w:highlight w:val="none"/>
          <w:u w:val="single"/>
          <w:shd w:val="pct10" w:color="auto" w:fill="FFFFFF"/>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u w:val="single"/>
          <w:shd w:val="pct10" w:color="auto" w:fill="FFFFFF"/>
        </w:rPr>
        <w:t>2、如果在本表格中</w:t>
      </w:r>
      <w:r>
        <w:rPr>
          <w:rFonts w:hint="eastAsia" w:ascii="宋体" w:hAnsi="宋体" w:eastAsia="宋体" w:cs="宋体"/>
          <w:b/>
          <w:color w:val="auto"/>
          <w:sz w:val="24"/>
          <w:highlight w:val="none"/>
          <w:u w:val="single"/>
          <w:shd w:val="pct10" w:color="auto" w:fill="FFFFFF"/>
          <w:lang w:val="en-US" w:eastAsia="zh-CN"/>
        </w:rPr>
        <w:t>--</w:t>
      </w:r>
      <w:r>
        <w:rPr>
          <w:rFonts w:hint="eastAsia" w:ascii="宋体" w:hAnsi="宋体" w:eastAsia="宋体" w:cs="宋体"/>
          <w:b/>
          <w:color w:val="auto"/>
          <w:sz w:val="24"/>
          <w:highlight w:val="none"/>
          <w:u w:val="single"/>
          <w:shd w:val="pct10" w:color="auto" w:fill="FFFFFF"/>
        </w:rPr>
        <w:t>投标人的应标情况</w:t>
      </w:r>
      <w:r>
        <w:rPr>
          <w:rFonts w:hint="eastAsia" w:ascii="宋体" w:hAnsi="宋体" w:eastAsia="宋体" w:cs="宋体"/>
          <w:b/>
          <w:color w:val="auto"/>
          <w:sz w:val="24"/>
          <w:highlight w:val="none"/>
          <w:u w:val="single"/>
          <w:shd w:val="pct10" w:color="auto" w:fill="FFFFFF"/>
          <w:lang w:val="en-US" w:eastAsia="zh-CN"/>
        </w:rPr>
        <w:t>栏中</w:t>
      </w:r>
      <w:r>
        <w:rPr>
          <w:rFonts w:hint="eastAsia" w:ascii="宋体" w:hAnsi="宋体" w:eastAsia="宋体" w:cs="宋体"/>
          <w:b/>
          <w:color w:val="auto"/>
          <w:sz w:val="24"/>
          <w:highlight w:val="none"/>
          <w:u w:val="single"/>
          <w:shd w:val="pct10" w:color="auto" w:fill="FFFFFF"/>
        </w:rPr>
        <w:t>仅填写</w:t>
      </w:r>
      <w:r>
        <w:rPr>
          <w:rFonts w:hint="eastAsia" w:ascii="宋体" w:hAnsi="宋体" w:eastAsia="宋体" w:cs="宋体"/>
          <w:b/>
          <w:color w:val="auto"/>
          <w:sz w:val="24"/>
          <w:highlight w:val="none"/>
          <w:u w:val="single"/>
          <w:shd w:val="pct10" w:color="auto" w:fill="FFFFFF"/>
          <w:lang w:val="en-US" w:eastAsia="zh-CN"/>
        </w:rPr>
        <w:t>响应或</w:t>
      </w:r>
      <w:r>
        <w:rPr>
          <w:rFonts w:hint="eastAsia" w:ascii="宋体" w:hAnsi="宋体" w:eastAsia="宋体" w:cs="宋体"/>
          <w:b/>
          <w:color w:val="auto"/>
          <w:sz w:val="24"/>
          <w:highlight w:val="none"/>
          <w:u w:val="single"/>
          <w:shd w:val="pct10" w:color="auto" w:fill="FFFFFF"/>
        </w:rPr>
        <w:t>完全响应</w:t>
      </w:r>
      <w:r>
        <w:rPr>
          <w:rFonts w:hint="eastAsia" w:ascii="宋体" w:hAnsi="宋体" w:eastAsia="宋体" w:cs="宋体"/>
          <w:b/>
          <w:color w:val="auto"/>
          <w:sz w:val="24"/>
          <w:highlight w:val="none"/>
          <w:u w:val="single"/>
          <w:shd w:val="pct10" w:color="auto" w:fill="FFFFFF"/>
          <w:lang w:val="en-US" w:eastAsia="zh-CN"/>
        </w:rPr>
        <w:t>等文字</w:t>
      </w:r>
      <w:r>
        <w:rPr>
          <w:rFonts w:hint="eastAsia" w:ascii="宋体" w:hAnsi="宋体" w:eastAsia="宋体" w:cs="宋体"/>
          <w:b/>
          <w:color w:val="auto"/>
          <w:sz w:val="24"/>
          <w:highlight w:val="none"/>
          <w:u w:val="single"/>
          <w:shd w:val="pct10" w:color="auto" w:fill="FFFFFF"/>
        </w:rPr>
        <w:t>而不列出</w:t>
      </w:r>
      <w:r>
        <w:rPr>
          <w:rFonts w:hint="eastAsia" w:ascii="宋体" w:hAnsi="宋体" w:eastAsia="宋体" w:cs="宋体"/>
          <w:b/>
          <w:color w:val="auto"/>
          <w:sz w:val="24"/>
          <w:highlight w:val="none"/>
          <w:u w:val="single"/>
          <w:shd w:val="pct10" w:color="auto" w:fill="FFFFFF"/>
          <w:lang w:val="en-US" w:eastAsia="zh-CN"/>
        </w:rPr>
        <w:t>具体</w:t>
      </w:r>
      <w:r>
        <w:rPr>
          <w:rFonts w:hint="eastAsia" w:ascii="宋体" w:hAnsi="宋体" w:eastAsia="宋体" w:cs="宋体"/>
          <w:b/>
          <w:color w:val="auto"/>
          <w:sz w:val="24"/>
          <w:highlight w:val="none"/>
          <w:u w:val="single"/>
          <w:shd w:val="pct10" w:color="auto" w:fill="FFFFFF"/>
        </w:rPr>
        <w:t>的应标内容，不予认可该商务及技术条款已作响应。</w:t>
      </w:r>
    </w:p>
    <w:p w14:paraId="08C0430D">
      <w:pPr>
        <w:pStyle w:val="28"/>
        <w:snapToGrid w:val="0"/>
        <w:spacing w:beforeLines="0" w:afterLines="0" w:line="240" w:lineRule="auto"/>
        <w:rPr>
          <w:rFonts w:hint="eastAsia" w:ascii="宋体" w:hAnsi="宋体" w:eastAsia="宋体" w:cs="宋体"/>
          <w:color w:val="auto"/>
          <w:spacing w:val="20"/>
          <w:highlight w:val="none"/>
        </w:rPr>
      </w:pPr>
    </w:p>
    <w:p w14:paraId="0FD54F15">
      <w:pPr>
        <w:pStyle w:val="28"/>
        <w:snapToGrid w:val="0"/>
        <w:spacing w:beforeLines="0" w:afterLines="0" w:line="240" w:lineRule="auto"/>
        <w:rPr>
          <w:rFonts w:hint="eastAsia" w:ascii="宋体" w:hAnsi="宋体" w:eastAsia="宋体" w:cs="宋体"/>
          <w:b/>
          <w:color w:val="auto"/>
          <w:highlight w:val="none"/>
        </w:rPr>
      </w:pPr>
      <w:r>
        <w:rPr>
          <w:rFonts w:hint="eastAsia" w:ascii="宋体" w:hAnsi="宋体" w:eastAsia="宋体" w:cs="宋体"/>
          <w:b/>
          <w:color w:val="auto"/>
          <w:spacing w:val="20"/>
          <w:highlight w:val="none"/>
        </w:rPr>
        <w:t>法定代表人签字（或盖章）：            供应商（盖章）：</w:t>
      </w:r>
    </w:p>
    <w:p w14:paraId="4E5E6E8B">
      <w:pPr>
        <w:widowControl/>
        <w:jc w:val="left"/>
        <w:rPr>
          <w:rFonts w:hint="eastAsia" w:ascii="宋体" w:hAnsi="宋体" w:eastAsia="宋体" w:cs="宋体"/>
          <w:b/>
          <w:color w:val="auto"/>
          <w:sz w:val="24"/>
          <w:highlight w:val="none"/>
        </w:rPr>
      </w:pPr>
    </w:p>
    <w:p w14:paraId="45A645AB">
      <w:pPr>
        <w:snapToGrid w:val="0"/>
        <w:spacing w:before="50" w:after="120" w:afterLines="50"/>
        <w:jc w:val="left"/>
        <w:rPr>
          <w:rFonts w:hint="eastAsia" w:ascii="宋体" w:hAnsi="宋体" w:eastAsia="宋体" w:cs="宋体"/>
          <w:b/>
          <w:color w:val="auto"/>
          <w:sz w:val="24"/>
          <w:szCs w:val="20"/>
          <w:highlight w:val="none"/>
        </w:rPr>
      </w:pPr>
      <w:bookmarkStart w:id="86" w:name="_Toc265669851"/>
      <w:r>
        <w:rPr>
          <w:rFonts w:hint="eastAsia" w:ascii="宋体" w:hAnsi="宋体" w:eastAsia="宋体" w:cs="宋体"/>
          <w:b/>
          <w:color w:val="auto"/>
          <w:sz w:val="24"/>
          <w:szCs w:val="20"/>
          <w:highlight w:val="none"/>
        </w:rPr>
        <w:t>日期:_____年___月___日</w:t>
      </w:r>
    </w:p>
    <w:p w14:paraId="738D2AEB">
      <w:pPr>
        <w:snapToGrid w:val="0"/>
        <w:spacing w:before="50" w:after="120" w:afterLines="5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F48D0F2">
      <w:pPr>
        <w:snapToGrid w:val="0"/>
        <w:spacing w:before="50" w:after="120" w:afterLines="50"/>
        <w:jc w:val="center"/>
        <w:outlineLvl w:val="1"/>
        <w:rPr>
          <w:rFonts w:hint="eastAsia" w:ascii="宋体" w:hAnsi="宋体" w:eastAsia="宋体" w:cs="宋体"/>
          <w:b/>
          <w:color w:val="auto"/>
          <w:sz w:val="24"/>
          <w:highlight w:val="none"/>
        </w:rPr>
      </w:pPr>
    </w:p>
    <w:bookmarkEnd w:id="72"/>
    <w:bookmarkEnd w:id="86"/>
    <w:p w14:paraId="4B3F8F04">
      <w:pPr>
        <w:snapToGrid w:val="0"/>
        <w:spacing w:before="50" w:after="120" w:afterLines="50"/>
        <w:jc w:val="center"/>
        <w:outlineLvl w:val="1"/>
        <w:rPr>
          <w:rFonts w:hint="eastAsia" w:ascii="宋体" w:hAnsi="宋体" w:eastAsia="宋体" w:cs="宋体"/>
          <w:b/>
          <w:color w:val="auto"/>
          <w:sz w:val="30"/>
          <w:szCs w:val="30"/>
          <w:highlight w:val="none"/>
        </w:rPr>
      </w:pPr>
      <w:bookmarkStart w:id="87" w:name="_Toc466534754"/>
      <w:r>
        <w:rPr>
          <w:rFonts w:hint="eastAsia" w:ascii="宋体" w:hAnsi="宋体" w:eastAsia="宋体" w:cs="宋体"/>
          <w:b/>
          <w:color w:val="auto"/>
          <w:sz w:val="30"/>
          <w:szCs w:val="30"/>
          <w:highlight w:val="none"/>
        </w:rPr>
        <w:t>三、报价文件格式</w:t>
      </w:r>
      <w:bookmarkEnd w:id="87"/>
    </w:p>
    <w:p w14:paraId="509D2D57">
      <w:pPr>
        <w:snapToGrid w:val="0"/>
        <w:spacing w:before="120" w:beforeLines="50" w:after="50"/>
        <w:ind w:firstLine="645"/>
        <w:jc w:val="center"/>
        <w:rPr>
          <w:rFonts w:hint="eastAsia" w:ascii="宋体" w:hAnsi="宋体" w:eastAsia="宋体" w:cs="宋体"/>
          <w:color w:val="auto"/>
          <w:sz w:val="24"/>
          <w:szCs w:val="20"/>
          <w:highlight w:val="none"/>
        </w:rPr>
      </w:pPr>
      <w:r>
        <w:rPr>
          <w:rFonts w:hint="eastAsia" w:ascii="宋体" w:hAnsi="宋体" w:eastAsia="宋体" w:cs="宋体"/>
          <w:bCs/>
          <w:color w:val="auto"/>
          <w:sz w:val="24"/>
          <w:highlight w:val="none"/>
        </w:rPr>
        <w:t xml:space="preserve"> </w:t>
      </w:r>
    </w:p>
    <w:p w14:paraId="02F392A7">
      <w:pPr>
        <w:snapToGrid w:val="0"/>
        <w:spacing w:before="120" w:beforeLines="50" w:after="50"/>
        <w:rPr>
          <w:rFonts w:hint="eastAsia" w:ascii="宋体" w:hAnsi="宋体" w:eastAsia="宋体" w:cs="宋体"/>
          <w:color w:val="auto"/>
          <w:sz w:val="24"/>
          <w:szCs w:val="20"/>
          <w:highlight w:val="none"/>
        </w:rPr>
      </w:pPr>
    </w:p>
    <w:p w14:paraId="1ADF1C93">
      <w:pPr>
        <w:snapToGrid w:val="0"/>
        <w:spacing w:before="120" w:beforeLines="50" w:after="50"/>
        <w:rPr>
          <w:rFonts w:hint="eastAsia" w:ascii="宋体" w:hAnsi="宋体" w:eastAsia="宋体" w:cs="宋体"/>
          <w:color w:val="auto"/>
          <w:sz w:val="24"/>
          <w:szCs w:val="20"/>
          <w:highlight w:val="none"/>
        </w:rPr>
      </w:pPr>
    </w:p>
    <w:p w14:paraId="0993A2CB">
      <w:pPr>
        <w:snapToGrid w:val="0"/>
        <w:spacing w:before="120" w:beforeLines="50" w:after="5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.报价文件封面格式： </w:t>
      </w:r>
    </w:p>
    <w:p w14:paraId="34C0987B">
      <w:pPr>
        <w:snapToGrid w:val="0"/>
        <w:spacing w:before="120" w:beforeLines="50" w:after="5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报 价 文 件</w:t>
      </w:r>
    </w:p>
    <w:p w14:paraId="41840EB5">
      <w:pPr>
        <w:snapToGrid w:val="0"/>
        <w:spacing w:before="120" w:beforeLines="50" w:after="5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000BD6CB">
      <w:pPr>
        <w:snapToGrid w:val="0"/>
        <w:spacing w:before="120" w:beforeLines="50" w:after="50" w:line="360" w:lineRule="auto"/>
        <w:jc w:val="center"/>
        <w:rPr>
          <w:rFonts w:hint="eastAsia" w:ascii="宋体" w:hAnsi="宋体" w:eastAsia="宋体" w:cs="宋体"/>
          <w:bCs/>
          <w:color w:val="auto"/>
          <w:sz w:val="28"/>
          <w:szCs w:val="28"/>
          <w:highlight w:val="none"/>
        </w:rPr>
      </w:pPr>
    </w:p>
    <w:p w14:paraId="33F659D6">
      <w:pPr>
        <w:snapToGrid w:val="0"/>
        <w:spacing w:before="120" w:beforeLines="50" w:after="50" w:line="360" w:lineRule="auto"/>
        <w:ind w:firstLine="1246" w:firstLineChars="44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58D6BA62">
      <w:pPr>
        <w:snapToGrid w:val="0"/>
        <w:spacing w:before="120"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项目编号：</w:t>
      </w:r>
    </w:p>
    <w:p w14:paraId="6DC38CEF">
      <w:pPr>
        <w:pStyle w:val="14"/>
        <w:snapToGrid w:val="0"/>
        <w:spacing w:before="50" w:after="50" w:line="360" w:lineRule="auto"/>
        <w:ind w:firstLine="1164" w:firstLineChars="416"/>
        <w:rPr>
          <w:rFonts w:hint="eastAsia" w:ascii="宋体" w:hAnsi="宋体" w:eastAsia="宋体" w:cs="宋体"/>
          <w:bCs/>
          <w:color w:val="auto"/>
          <w:sz w:val="28"/>
          <w:szCs w:val="28"/>
          <w:highlight w:val="none"/>
        </w:rPr>
      </w:pPr>
    </w:p>
    <w:p w14:paraId="5CD05E57">
      <w:pPr>
        <w:pStyle w:val="14"/>
        <w:snapToGrid w:val="0"/>
        <w:spacing w:before="50" w:after="50" w:line="360" w:lineRule="auto"/>
        <w:ind w:firstLine="1164" w:firstLineChars="41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034F472D">
      <w:pPr>
        <w:pStyle w:val="14"/>
        <w:snapToGrid w:val="0"/>
        <w:spacing w:before="50" w:after="50" w:line="360" w:lineRule="auto"/>
        <w:ind w:firstLine="1164" w:firstLineChars="41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供应商地址：</w:t>
      </w:r>
    </w:p>
    <w:p w14:paraId="16539F54">
      <w:pPr>
        <w:snapToGrid w:val="0"/>
        <w:spacing w:before="120"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76801CF">
      <w:pPr>
        <w:snapToGrid w:val="0"/>
        <w:spacing w:before="120"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38461472">
      <w:pPr>
        <w:pStyle w:val="28"/>
        <w:snapToGrid w:val="0"/>
        <w:spacing w:beforeLines="0" w:afterLines="0"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w:t>
      </w:r>
      <w:r>
        <w:rPr>
          <w:rFonts w:hint="eastAsia" w:hAnsi="宋体" w:cs="宋体"/>
          <w:color w:val="auto"/>
          <w:highlight w:val="none"/>
          <w:lang w:val="en-US" w:eastAsia="zh-CN"/>
        </w:rPr>
        <w:t>3</w:t>
      </w:r>
      <w:r>
        <w:rPr>
          <w:rFonts w:hint="eastAsia" w:ascii="宋体" w:hAnsi="宋体" w:eastAsia="宋体" w:cs="宋体"/>
          <w:color w:val="auto"/>
          <w:highlight w:val="none"/>
        </w:rPr>
        <w:t>.开标一览表格式：</w:t>
      </w:r>
    </w:p>
    <w:p w14:paraId="2A4DC8E2">
      <w:pPr>
        <w:pStyle w:val="28"/>
        <w:snapToGrid w:val="0"/>
        <w:spacing w:beforeLines="0" w:afterLines="0"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开标一览表</w:t>
      </w:r>
    </w:p>
    <w:p w14:paraId="26F80BBF">
      <w:pPr>
        <w:snapToGrid w:val="0"/>
        <w:spacing w:before="120" w:beforeLines="50" w:after="50" w:line="480" w:lineRule="auto"/>
        <w:rPr>
          <w:rFonts w:hint="eastAsia" w:ascii="宋体" w:hAnsi="宋体" w:eastAsia="宋体" w:cs="宋体"/>
          <w:b/>
          <w:color w:val="auto"/>
          <w:sz w:val="24"/>
          <w:highlight w:val="none"/>
        </w:rPr>
      </w:pPr>
    </w:p>
    <w:p w14:paraId="1AC12F43">
      <w:pPr>
        <w:snapToGrid w:val="0"/>
        <w:spacing w:before="120" w:beforeLines="50" w:after="50" w:line="480" w:lineRule="auto"/>
        <w:ind w:firstLine="480" w:firstLineChars="20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项目名称：</w:t>
      </w:r>
    </w:p>
    <w:p w14:paraId="35B3318D">
      <w:pPr>
        <w:snapToGrid w:val="0"/>
        <w:spacing w:before="120" w:beforeLines="50" w:after="50" w:line="48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1728" w:type="dxa"/>
            <w:vAlign w:val="center"/>
          </w:tcPr>
          <w:p w14:paraId="2151DE36">
            <w:pPr>
              <w:pStyle w:val="28"/>
              <w:snapToGrid w:val="0"/>
              <w:spacing w:beforeLines="0" w:afterLines="0" w:line="240" w:lineRule="auto"/>
              <w:jc w:val="center"/>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名称</w:t>
            </w:r>
          </w:p>
        </w:tc>
        <w:tc>
          <w:tcPr>
            <w:tcW w:w="5760" w:type="dxa"/>
            <w:vAlign w:val="center"/>
          </w:tcPr>
          <w:p w14:paraId="45E509A4">
            <w:pPr>
              <w:pStyle w:val="28"/>
              <w:snapToGrid w:val="0"/>
              <w:spacing w:beforeLines="0" w:afterLines="0" w:line="240" w:lineRule="auto"/>
              <w:jc w:val="center"/>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内容</w:t>
            </w:r>
          </w:p>
        </w:tc>
        <w:tc>
          <w:tcPr>
            <w:tcW w:w="1620" w:type="dxa"/>
            <w:vAlign w:val="center"/>
          </w:tcPr>
          <w:p w14:paraId="64DF79D0">
            <w:pPr>
              <w:pStyle w:val="28"/>
              <w:snapToGrid w:val="0"/>
              <w:spacing w:beforeLines="0" w:afterLines="0" w:line="240" w:lineRule="auto"/>
              <w:jc w:val="center"/>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8"/>
              <w:snapToGrid w:val="0"/>
              <w:spacing w:beforeLines="0" w:afterLines="0" w:line="240" w:lineRule="auto"/>
              <w:jc w:val="center"/>
              <w:rPr>
                <w:rFonts w:hint="eastAsia" w:ascii="宋体" w:hAnsi="宋体" w:eastAsia="宋体" w:cs="宋体"/>
                <w:b/>
                <w:color w:val="auto"/>
                <w:kern w:val="2"/>
                <w:highlight w:val="none"/>
              </w:rPr>
            </w:pPr>
          </w:p>
          <w:p w14:paraId="533EADC8">
            <w:pPr>
              <w:pStyle w:val="28"/>
              <w:snapToGrid w:val="0"/>
              <w:spacing w:beforeLines="0" w:afterLines="0" w:line="240" w:lineRule="auto"/>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w:t>
            </w:r>
            <w:r>
              <w:rPr>
                <w:rFonts w:hint="eastAsia" w:ascii="宋体" w:hAnsi="宋体" w:eastAsia="宋体" w:cs="宋体"/>
                <w:b/>
                <w:bCs/>
                <w:color w:val="auto"/>
                <w:kern w:val="2"/>
                <w:highlight w:val="none"/>
              </w:rPr>
              <w:t>总</w:t>
            </w:r>
            <w:r>
              <w:rPr>
                <w:rFonts w:hint="eastAsia" w:ascii="宋体" w:hAnsi="宋体" w:eastAsia="宋体" w:cs="宋体"/>
                <w:color w:val="auto"/>
                <w:kern w:val="2"/>
                <w:highlight w:val="none"/>
              </w:rPr>
              <w:t>报价</w:t>
            </w:r>
          </w:p>
          <w:p w14:paraId="6FC016A9">
            <w:pPr>
              <w:pStyle w:val="28"/>
              <w:snapToGrid w:val="0"/>
              <w:spacing w:beforeLines="0" w:afterLines="0" w:line="240" w:lineRule="auto"/>
              <w:jc w:val="center"/>
              <w:rPr>
                <w:rFonts w:hint="eastAsia" w:ascii="宋体" w:hAnsi="宋体" w:eastAsia="宋体" w:cs="宋体"/>
                <w:b/>
                <w:color w:val="auto"/>
                <w:kern w:val="2"/>
                <w:highlight w:val="none"/>
              </w:rPr>
            </w:pPr>
          </w:p>
          <w:p w14:paraId="62645755">
            <w:pPr>
              <w:pStyle w:val="28"/>
              <w:snapToGrid w:val="0"/>
              <w:spacing w:beforeLines="0" w:afterLines="0" w:line="240" w:lineRule="auto"/>
              <w:jc w:val="center"/>
              <w:rPr>
                <w:rFonts w:hint="eastAsia" w:ascii="宋体" w:hAnsi="宋体" w:eastAsia="宋体" w:cs="宋体"/>
                <w:b/>
                <w:color w:val="auto"/>
                <w:kern w:val="2"/>
                <w:highlight w:val="none"/>
              </w:rPr>
            </w:pPr>
          </w:p>
          <w:p w14:paraId="72854FD2">
            <w:pPr>
              <w:pStyle w:val="28"/>
              <w:snapToGrid w:val="0"/>
              <w:spacing w:beforeLines="0" w:afterLines="0" w:line="240" w:lineRule="auto"/>
              <w:jc w:val="center"/>
              <w:rPr>
                <w:rFonts w:hint="eastAsia" w:ascii="宋体" w:hAnsi="宋体" w:eastAsia="宋体" w:cs="宋体"/>
                <w:b/>
                <w:color w:val="auto"/>
                <w:kern w:val="2"/>
                <w:highlight w:val="none"/>
              </w:rPr>
            </w:pPr>
          </w:p>
        </w:tc>
        <w:tc>
          <w:tcPr>
            <w:tcW w:w="5760" w:type="dxa"/>
            <w:vAlign w:val="center"/>
          </w:tcPr>
          <w:p w14:paraId="36AE7B36">
            <w:pPr>
              <w:pStyle w:val="28"/>
              <w:snapToGrid w:val="0"/>
              <w:spacing w:beforeLines="0" w:afterLines="0" w:line="240" w:lineRule="auto"/>
              <w:rPr>
                <w:rFonts w:hint="eastAsia" w:ascii="宋体" w:hAnsi="宋体" w:eastAsia="宋体" w:cs="宋体"/>
                <w:color w:val="auto"/>
                <w:kern w:val="2"/>
                <w:highlight w:val="none"/>
              </w:rPr>
            </w:pPr>
          </w:p>
          <w:p w14:paraId="043F1939">
            <w:pPr>
              <w:pStyle w:val="28"/>
              <w:snapToGrid w:val="0"/>
              <w:spacing w:beforeLines="0" w:afterLines="0" w:line="240" w:lineRule="auto"/>
              <w:ind w:left="240" w:hanging="240" w:hangingChars="100"/>
              <w:rPr>
                <w:rFonts w:hint="eastAsia" w:ascii="宋体" w:hAnsi="宋体" w:eastAsia="宋体" w:cs="宋体"/>
                <w:color w:val="auto"/>
                <w:kern w:val="2"/>
                <w:highlight w:val="none"/>
              </w:rPr>
            </w:pPr>
            <w:r>
              <w:rPr>
                <w:rFonts w:hint="eastAsia" w:ascii="宋体" w:hAnsi="宋体" w:eastAsia="宋体" w:cs="宋体"/>
                <w:color w:val="auto"/>
                <w:kern w:val="2"/>
                <w:highlight w:val="none"/>
              </w:rPr>
              <w:t>大写：人民币</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佰</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拾</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万</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仟</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佰</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拾</w:t>
            </w:r>
          </w:p>
          <w:p w14:paraId="56EF3A0B">
            <w:pPr>
              <w:pStyle w:val="28"/>
              <w:snapToGrid w:val="0"/>
              <w:spacing w:beforeLines="0" w:afterLines="0" w:line="240" w:lineRule="auto"/>
              <w:ind w:left="210" w:leftChars="100"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 xml:space="preserve">元 </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角</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分整</w:t>
            </w:r>
          </w:p>
          <w:p w14:paraId="227A62BA">
            <w:pPr>
              <w:pStyle w:val="28"/>
              <w:snapToGrid w:val="0"/>
              <w:spacing w:beforeLines="0" w:afterLines="0" w:line="240" w:lineRule="auto"/>
              <w:rPr>
                <w:rFonts w:hint="eastAsia" w:ascii="宋体" w:hAnsi="宋体" w:eastAsia="宋体" w:cs="宋体"/>
                <w:color w:val="auto"/>
                <w:kern w:val="2"/>
                <w:highlight w:val="none"/>
              </w:rPr>
            </w:pPr>
          </w:p>
          <w:p w14:paraId="745E468C">
            <w:pPr>
              <w:pStyle w:val="28"/>
              <w:snapToGrid w:val="0"/>
              <w:spacing w:beforeLines="0" w:afterLines="0"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小写：</w:t>
            </w:r>
            <w:r>
              <w:rPr>
                <w:rFonts w:hint="eastAsia" w:ascii="宋体" w:hAnsi="宋体" w:eastAsia="宋体" w:cs="宋体"/>
                <w:color w:val="auto"/>
                <w:kern w:val="2"/>
                <w:highlight w:val="none"/>
                <w:u w:val="single"/>
              </w:rPr>
              <w:t>￥_</w:t>
            </w:r>
            <w:r>
              <w:rPr>
                <w:rFonts w:hint="eastAsia" w:ascii="宋体" w:hAnsi="宋体" w:eastAsia="宋体" w:cs="宋体"/>
                <w:color w:val="auto"/>
                <w:kern w:val="2"/>
                <w:highlight w:val="none"/>
              </w:rPr>
              <w:t>_______________________元整</w:t>
            </w:r>
          </w:p>
          <w:p w14:paraId="3304B81A">
            <w:pPr>
              <w:pStyle w:val="28"/>
              <w:snapToGrid w:val="0"/>
              <w:spacing w:beforeLines="0" w:afterLines="0" w:line="240" w:lineRule="auto"/>
              <w:rPr>
                <w:rFonts w:hint="eastAsia" w:ascii="宋体" w:hAnsi="宋体" w:eastAsia="宋体" w:cs="宋体"/>
                <w:b/>
                <w:color w:val="auto"/>
                <w:kern w:val="2"/>
                <w:highlight w:val="none"/>
              </w:rPr>
            </w:pPr>
          </w:p>
        </w:tc>
        <w:tc>
          <w:tcPr>
            <w:tcW w:w="1620" w:type="dxa"/>
          </w:tcPr>
          <w:p w14:paraId="4E4B189C">
            <w:pPr>
              <w:pStyle w:val="28"/>
              <w:snapToGrid w:val="0"/>
              <w:spacing w:beforeLines="0" w:afterLines="0" w:line="240" w:lineRule="auto"/>
              <w:rPr>
                <w:rFonts w:hint="eastAsia" w:ascii="宋体" w:hAnsi="宋体" w:eastAsia="宋体" w:cs="宋体"/>
                <w:b/>
                <w:color w:val="auto"/>
                <w:kern w:val="2"/>
                <w:highlight w:val="none"/>
              </w:rPr>
            </w:pPr>
          </w:p>
        </w:tc>
      </w:tr>
    </w:tbl>
    <w:p w14:paraId="057620E4">
      <w:pPr>
        <w:pStyle w:val="28"/>
        <w:snapToGrid w:val="0"/>
        <w:spacing w:beforeLines="0" w:afterLines="0" w:line="240" w:lineRule="auto"/>
        <w:rPr>
          <w:rFonts w:hint="eastAsia" w:ascii="宋体" w:hAnsi="宋体" w:eastAsia="宋体" w:cs="宋体"/>
          <w:b/>
          <w:color w:val="auto"/>
          <w:highlight w:val="none"/>
        </w:rPr>
      </w:pPr>
    </w:p>
    <w:p w14:paraId="3129F90E">
      <w:pPr>
        <w:pStyle w:val="28"/>
        <w:snapToGrid w:val="0"/>
        <w:spacing w:beforeLines="0" w:afterLines="0" w:line="480" w:lineRule="exact"/>
        <w:rPr>
          <w:rFonts w:hint="eastAsia" w:ascii="宋体" w:hAnsi="宋体" w:eastAsia="宋体" w:cs="宋体"/>
          <w:b/>
          <w:color w:val="auto"/>
          <w:kern w:val="2"/>
          <w:szCs w:val="20"/>
          <w:highlight w:val="none"/>
        </w:rPr>
      </w:pPr>
    </w:p>
    <w:p w14:paraId="316E47F0">
      <w:pPr>
        <w:pStyle w:val="28"/>
        <w:snapToGrid w:val="0"/>
        <w:spacing w:beforeLines="0" w:afterLines="0" w:line="480" w:lineRule="exact"/>
        <w:rPr>
          <w:rFonts w:hint="eastAsia" w:ascii="宋体" w:hAnsi="宋体" w:eastAsia="宋体" w:cs="宋体"/>
          <w:b/>
          <w:color w:val="auto"/>
          <w:kern w:val="2"/>
          <w:szCs w:val="20"/>
          <w:highlight w:val="none"/>
        </w:rPr>
      </w:pPr>
      <w:r>
        <w:rPr>
          <w:rFonts w:hint="eastAsia" w:ascii="宋体" w:hAnsi="宋体" w:eastAsia="宋体" w:cs="宋体"/>
          <w:b/>
          <w:color w:val="auto"/>
          <w:kern w:val="2"/>
          <w:szCs w:val="20"/>
          <w:highlight w:val="none"/>
        </w:rPr>
        <w:t>投标总报价包括人工工资、物料款、设备折旧、消耗物品、其他费用、保险、税金、培训、服务、合同包含的所有风险责任等各项费用及不可预见费等所需的全部费用。</w:t>
      </w:r>
    </w:p>
    <w:p w14:paraId="51AEC34C">
      <w:pPr>
        <w:pStyle w:val="28"/>
        <w:snapToGrid w:val="0"/>
        <w:spacing w:beforeLines="0" w:afterLines="0" w:line="240" w:lineRule="auto"/>
        <w:rPr>
          <w:rFonts w:hint="eastAsia" w:ascii="宋体" w:hAnsi="宋体" w:eastAsia="宋体" w:cs="宋体"/>
          <w:b/>
          <w:color w:val="auto"/>
          <w:kern w:val="2"/>
          <w:szCs w:val="20"/>
          <w:highlight w:val="none"/>
        </w:rPr>
      </w:pPr>
    </w:p>
    <w:p w14:paraId="7AD12F44">
      <w:pPr>
        <w:snapToGrid w:val="0"/>
        <w:spacing w:before="50" w:after="120" w:afterLines="50" w:line="360" w:lineRule="auto"/>
        <w:jc w:val="left"/>
        <w:rPr>
          <w:rFonts w:hint="eastAsia" w:ascii="宋体" w:hAnsi="宋体" w:eastAsia="宋体" w:cs="宋体"/>
          <w:color w:val="auto"/>
          <w:sz w:val="24"/>
          <w:szCs w:val="20"/>
          <w:highlight w:val="none"/>
        </w:rPr>
      </w:pPr>
    </w:p>
    <w:p w14:paraId="637FCF07">
      <w:pPr>
        <w:pStyle w:val="28"/>
        <w:snapToGrid w:val="0"/>
        <w:spacing w:beforeLines="0" w:afterLines="0" w:line="240" w:lineRule="auto"/>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rPr>
        <w:t xml:space="preserve">法定代表人签字（或盖章）：            供应商（盖章）：  </w:t>
      </w:r>
    </w:p>
    <w:p w14:paraId="1DDCBAA4">
      <w:pPr>
        <w:pStyle w:val="28"/>
        <w:snapToGrid w:val="0"/>
        <w:spacing w:beforeLines="0" w:afterLines="0" w:line="240" w:lineRule="auto"/>
        <w:rPr>
          <w:rFonts w:hint="eastAsia" w:ascii="宋体" w:hAnsi="宋体" w:eastAsia="宋体" w:cs="宋体"/>
          <w:color w:val="auto"/>
          <w:highlight w:val="none"/>
        </w:rPr>
      </w:pPr>
    </w:p>
    <w:p w14:paraId="1FBB0FA8">
      <w:pPr>
        <w:snapToGrid w:val="0"/>
        <w:spacing w:before="50" w:after="120" w:afterLines="50"/>
        <w:jc w:val="left"/>
        <w:rPr>
          <w:rFonts w:hint="eastAsia" w:ascii="宋体" w:hAnsi="宋体" w:eastAsia="宋体" w:cs="宋体"/>
          <w:b/>
          <w:color w:val="auto"/>
          <w:sz w:val="24"/>
          <w:szCs w:val="20"/>
          <w:highlight w:val="none"/>
        </w:rPr>
      </w:pPr>
    </w:p>
    <w:p w14:paraId="007EFD4E">
      <w:pPr>
        <w:snapToGrid w:val="0"/>
        <w:spacing w:before="50" w:after="120" w:afterLines="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日期:_____年___月___日</w:t>
      </w:r>
    </w:p>
    <w:p w14:paraId="06B4B8B6">
      <w:pPr>
        <w:pStyle w:val="28"/>
        <w:snapToGrid w:val="0"/>
        <w:spacing w:beforeLines="0" w:afterLines="0" w:line="240" w:lineRule="auto"/>
        <w:rPr>
          <w:rFonts w:hint="eastAsia" w:ascii="宋体" w:hAnsi="宋体" w:eastAsia="宋体" w:cs="宋体"/>
          <w:color w:val="auto"/>
          <w:highlight w:val="none"/>
        </w:rPr>
      </w:pPr>
    </w:p>
    <w:p w14:paraId="7B480536">
      <w:pPr>
        <w:pStyle w:val="28"/>
        <w:snapToGrid w:val="0"/>
        <w:spacing w:beforeLines="0" w:afterLines="0" w:line="240" w:lineRule="auto"/>
        <w:rPr>
          <w:rFonts w:hint="eastAsia" w:ascii="宋体" w:hAnsi="宋体" w:eastAsia="宋体" w:cs="宋体"/>
          <w:color w:val="auto"/>
          <w:highlight w:val="none"/>
        </w:rPr>
      </w:pPr>
    </w:p>
    <w:p w14:paraId="792BFEB3">
      <w:pPr>
        <w:pStyle w:val="28"/>
        <w:snapToGrid w:val="0"/>
        <w:spacing w:beforeLines="0" w:afterLines="0" w:line="240" w:lineRule="auto"/>
        <w:rPr>
          <w:rFonts w:hint="eastAsia" w:ascii="宋体" w:hAnsi="宋体" w:eastAsia="宋体" w:cs="宋体"/>
          <w:color w:val="auto"/>
          <w:highlight w:val="none"/>
        </w:rPr>
      </w:pPr>
    </w:p>
    <w:p w14:paraId="6D26A90A">
      <w:pPr>
        <w:pStyle w:val="28"/>
        <w:snapToGrid w:val="0"/>
        <w:spacing w:beforeLines="0" w:afterLines="0" w:line="240" w:lineRule="auto"/>
        <w:rPr>
          <w:rFonts w:hint="eastAsia" w:ascii="宋体" w:hAnsi="宋体" w:eastAsia="宋体" w:cs="宋体"/>
          <w:color w:val="auto"/>
          <w:highlight w:val="none"/>
        </w:rPr>
      </w:pPr>
    </w:p>
    <w:p w14:paraId="223E7D4B">
      <w:pPr>
        <w:pStyle w:val="28"/>
        <w:snapToGrid w:val="0"/>
        <w:spacing w:beforeLines="0" w:afterLines="0" w:line="240" w:lineRule="auto"/>
        <w:rPr>
          <w:rFonts w:hint="eastAsia" w:ascii="宋体" w:hAnsi="宋体" w:eastAsia="宋体" w:cs="宋体"/>
          <w:color w:val="auto"/>
          <w:highlight w:val="none"/>
        </w:rPr>
      </w:pPr>
    </w:p>
    <w:p w14:paraId="04DE88D9">
      <w:pPr>
        <w:pStyle w:val="28"/>
        <w:snapToGrid w:val="0"/>
        <w:spacing w:beforeLines="0" w:afterLines="0" w:line="240" w:lineRule="auto"/>
        <w:rPr>
          <w:rFonts w:hint="eastAsia" w:ascii="宋体" w:hAnsi="宋体" w:eastAsia="宋体" w:cs="宋体"/>
          <w:color w:val="auto"/>
          <w:highlight w:val="none"/>
        </w:rPr>
      </w:pPr>
    </w:p>
    <w:p w14:paraId="6C1035A3">
      <w:pPr>
        <w:pStyle w:val="28"/>
        <w:snapToGrid w:val="0"/>
        <w:spacing w:beforeLines="0" w:afterLines="0" w:line="240" w:lineRule="auto"/>
        <w:rPr>
          <w:rFonts w:hint="eastAsia" w:ascii="宋体" w:hAnsi="宋体" w:eastAsia="宋体" w:cs="宋体"/>
          <w:color w:val="auto"/>
          <w:highlight w:val="none"/>
        </w:rPr>
      </w:pPr>
    </w:p>
    <w:p w14:paraId="194C9615">
      <w:pPr>
        <w:pStyle w:val="28"/>
        <w:snapToGrid w:val="0"/>
        <w:spacing w:beforeLines="0" w:afterLines="0" w:line="240" w:lineRule="auto"/>
        <w:rPr>
          <w:rFonts w:hint="eastAsia" w:ascii="宋体" w:hAnsi="宋体" w:eastAsia="宋体" w:cs="宋体"/>
          <w:color w:val="auto"/>
          <w:highlight w:val="none"/>
        </w:rPr>
      </w:pPr>
    </w:p>
    <w:p w14:paraId="29C82BBE">
      <w:pPr>
        <w:pStyle w:val="28"/>
        <w:snapToGrid w:val="0"/>
        <w:spacing w:beforeLines="0" w:afterLines="0" w:line="240" w:lineRule="auto"/>
        <w:rPr>
          <w:rFonts w:hint="eastAsia" w:ascii="宋体" w:hAnsi="宋体" w:eastAsia="宋体" w:cs="宋体"/>
          <w:color w:val="auto"/>
          <w:highlight w:val="none"/>
        </w:rPr>
      </w:pPr>
    </w:p>
    <w:p w14:paraId="18F72D42">
      <w:pPr>
        <w:pStyle w:val="28"/>
        <w:snapToGrid w:val="0"/>
        <w:spacing w:beforeLines="0" w:afterLines="0" w:line="240" w:lineRule="auto"/>
        <w:rPr>
          <w:rFonts w:hint="eastAsia" w:ascii="宋体" w:hAnsi="宋体" w:eastAsia="宋体" w:cs="宋体"/>
          <w:color w:val="auto"/>
          <w:highlight w:val="none"/>
        </w:rPr>
      </w:pPr>
    </w:p>
    <w:p w14:paraId="214D9895">
      <w:pPr>
        <w:pStyle w:val="28"/>
        <w:snapToGrid w:val="0"/>
        <w:spacing w:beforeLines="0" w:afterLines="0" w:line="240" w:lineRule="auto"/>
        <w:rPr>
          <w:rFonts w:hint="eastAsia" w:ascii="宋体" w:hAnsi="宋体" w:eastAsia="宋体" w:cs="宋体"/>
          <w:color w:val="auto"/>
          <w:highlight w:val="none"/>
        </w:rPr>
      </w:pPr>
    </w:p>
    <w:p w14:paraId="3E7C698B">
      <w:pPr>
        <w:pStyle w:val="28"/>
        <w:snapToGrid w:val="0"/>
        <w:spacing w:beforeLines="0" w:afterLines="0" w:line="240" w:lineRule="auto"/>
        <w:rPr>
          <w:rFonts w:hint="eastAsia" w:ascii="宋体" w:hAnsi="宋体" w:eastAsia="宋体" w:cs="宋体"/>
          <w:color w:val="auto"/>
          <w:highlight w:val="none"/>
        </w:rPr>
      </w:pPr>
    </w:p>
    <w:p w14:paraId="7D1AC744">
      <w:pPr>
        <w:pStyle w:val="28"/>
        <w:snapToGrid w:val="0"/>
        <w:spacing w:beforeLines="0" w:afterLines="0" w:line="240" w:lineRule="auto"/>
        <w:rPr>
          <w:rFonts w:hint="eastAsia" w:ascii="宋体" w:hAnsi="宋体" w:eastAsia="宋体" w:cs="宋体"/>
          <w:color w:val="auto"/>
          <w:highlight w:val="none"/>
        </w:rPr>
      </w:pPr>
    </w:p>
    <w:p w14:paraId="45EA6475">
      <w:pPr>
        <w:pStyle w:val="28"/>
        <w:snapToGrid w:val="0"/>
        <w:spacing w:beforeLines="0" w:afterLines="0" w:line="240" w:lineRule="auto"/>
        <w:rPr>
          <w:rFonts w:hAnsi="宋体"/>
        </w:rPr>
      </w:pPr>
      <w:r>
        <w:rPr>
          <w:rFonts w:hint="eastAsia" w:hAnsi="宋体"/>
        </w:rPr>
        <w:t>1</w:t>
      </w:r>
      <w:r>
        <w:rPr>
          <w:rFonts w:hint="eastAsia" w:hAnsi="宋体"/>
          <w:lang w:val="en-US" w:eastAsia="zh-CN"/>
        </w:rPr>
        <w:t>4</w:t>
      </w:r>
      <w:r>
        <w:rPr>
          <w:rFonts w:hint="eastAsia" w:hAnsi="宋体"/>
        </w:rPr>
        <w:t xml:space="preserve">.报价明细表格式：       </w:t>
      </w:r>
    </w:p>
    <w:p w14:paraId="4559C8FE">
      <w:pPr>
        <w:pStyle w:val="28"/>
        <w:snapToGrid w:val="0"/>
        <w:spacing w:beforeLines="0" w:afterLines="0" w:line="240" w:lineRule="auto"/>
        <w:jc w:val="center"/>
        <w:rPr>
          <w:rFonts w:hAnsi="宋体"/>
          <w:b/>
        </w:rPr>
      </w:pPr>
      <w:r>
        <w:rPr>
          <w:rFonts w:hint="eastAsia" w:hAnsi="宋体"/>
          <w:b/>
        </w:rPr>
        <w:t>报价明细表</w:t>
      </w:r>
    </w:p>
    <w:p w14:paraId="1E6B0D44">
      <w:pPr>
        <w:snapToGrid w:val="0"/>
        <w:spacing w:beforeLines="50" w:after="50" w:line="360" w:lineRule="auto"/>
        <w:rPr>
          <w:rFonts w:ascii="宋体" w:hAnsi="宋体"/>
          <w:bCs/>
          <w:sz w:val="24"/>
          <w:szCs w:val="20"/>
        </w:rPr>
      </w:pPr>
      <w:r>
        <w:rPr>
          <w:rFonts w:hint="eastAsia" w:ascii="宋体" w:hAnsi="宋体"/>
          <w:bCs/>
          <w:sz w:val="24"/>
        </w:rPr>
        <w:t>项目名称：</w:t>
      </w:r>
    </w:p>
    <w:p w14:paraId="4300E981">
      <w:pPr>
        <w:snapToGrid w:val="0"/>
        <w:spacing w:beforeLines="50" w:after="50" w:line="360" w:lineRule="auto"/>
        <w:rPr>
          <w:rFonts w:ascii="宋体" w:hAnsi="宋体"/>
          <w:bCs/>
          <w:sz w:val="24"/>
        </w:rPr>
      </w:pPr>
      <w:r>
        <w:rPr>
          <w:rFonts w:hint="eastAsia" w:ascii="宋体" w:hAnsi="宋体"/>
          <w:sz w:val="24"/>
        </w:rPr>
        <w:t>项目编号：</w:t>
      </w:r>
    </w:p>
    <w:tbl>
      <w:tblPr>
        <w:tblStyle w:val="49"/>
        <w:tblW w:w="9569"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
        <w:gridCol w:w="650"/>
        <w:gridCol w:w="441"/>
        <w:gridCol w:w="1292"/>
        <w:gridCol w:w="4300"/>
        <w:gridCol w:w="700"/>
        <w:gridCol w:w="1034"/>
        <w:gridCol w:w="700"/>
      </w:tblGrid>
      <w:tr w14:paraId="2AA3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452" w:type="dxa"/>
            <w:tcBorders>
              <w:top w:val="single" w:color="000000" w:sz="4" w:space="0"/>
              <w:left w:val="single" w:color="000000" w:sz="4" w:space="0"/>
              <w:bottom w:val="single" w:color="000000" w:sz="4" w:space="0"/>
              <w:right w:val="single" w:color="000000" w:sz="4" w:space="0"/>
            </w:tcBorders>
            <w:vAlign w:val="center"/>
          </w:tcPr>
          <w:p w14:paraId="4D7CDA1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序号</w:t>
            </w:r>
          </w:p>
        </w:tc>
        <w:tc>
          <w:tcPr>
            <w:tcW w:w="650" w:type="dxa"/>
            <w:tcBorders>
              <w:top w:val="single" w:color="000000" w:sz="4" w:space="0"/>
              <w:left w:val="single" w:color="000000" w:sz="4" w:space="0"/>
              <w:bottom w:val="single" w:color="000000" w:sz="4" w:space="0"/>
              <w:right w:val="single" w:color="000000" w:sz="4" w:space="0"/>
            </w:tcBorders>
            <w:vAlign w:val="center"/>
          </w:tcPr>
          <w:p w14:paraId="3DD4A27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类别</w:t>
            </w:r>
          </w:p>
        </w:tc>
        <w:tc>
          <w:tcPr>
            <w:tcW w:w="441" w:type="dxa"/>
            <w:tcBorders>
              <w:top w:val="single" w:color="000000" w:sz="4" w:space="0"/>
              <w:left w:val="single" w:color="000000" w:sz="4" w:space="0"/>
              <w:bottom w:val="single" w:color="000000" w:sz="4" w:space="0"/>
              <w:right w:val="single" w:color="000000" w:sz="4" w:space="0"/>
            </w:tcBorders>
            <w:vAlign w:val="center"/>
          </w:tcPr>
          <w:p w14:paraId="6F3FBCF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编号</w:t>
            </w:r>
          </w:p>
        </w:tc>
        <w:tc>
          <w:tcPr>
            <w:tcW w:w="1292" w:type="dxa"/>
            <w:tcBorders>
              <w:top w:val="single" w:color="000000" w:sz="4" w:space="0"/>
              <w:left w:val="single" w:color="000000" w:sz="4" w:space="0"/>
              <w:bottom w:val="single" w:color="000000" w:sz="4" w:space="0"/>
              <w:right w:val="single" w:color="000000" w:sz="4" w:space="0"/>
            </w:tcBorders>
            <w:vAlign w:val="center"/>
          </w:tcPr>
          <w:p w14:paraId="3C3B70D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项目名称</w:t>
            </w:r>
          </w:p>
        </w:tc>
        <w:tc>
          <w:tcPr>
            <w:tcW w:w="4300" w:type="dxa"/>
            <w:tcBorders>
              <w:top w:val="single" w:color="000000" w:sz="4" w:space="0"/>
              <w:left w:val="single" w:color="000000" w:sz="4" w:space="0"/>
              <w:bottom w:val="single" w:color="000000" w:sz="4" w:space="0"/>
              <w:right w:val="single" w:color="000000" w:sz="4" w:space="0"/>
            </w:tcBorders>
            <w:vAlign w:val="center"/>
          </w:tcPr>
          <w:p w14:paraId="44A7331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参数规格要求</w:t>
            </w:r>
          </w:p>
        </w:tc>
        <w:tc>
          <w:tcPr>
            <w:tcW w:w="700" w:type="dxa"/>
            <w:tcBorders>
              <w:top w:val="single" w:color="000000" w:sz="4" w:space="0"/>
              <w:left w:val="single" w:color="000000" w:sz="4" w:space="0"/>
              <w:bottom w:val="single" w:color="000000" w:sz="4" w:space="0"/>
              <w:right w:val="single" w:color="000000" w:sz="4" w:space="0"/>
            </w:tcBorders>
            <w:vAlign w:val="center"/>
          </w:tcPr>
          <w:p w14:paraId="4A97F4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单位</w:t>
            </w:r>
          </w:p>
        </w:tc>
        <w:tc>
          <w:tcPr>
            <w:tcW w:w="1034" w:type="dxa"/>
            <w:tcBorders>
              <w:top w:val="single" w:color="000000" w:sz="4" w:space="0"/>
              <w:left w:val="single" w:color="000000" w:sz="4" w:space="0"/>
              <w:bottom w:val="single" w:color="000000" w:sz="4" w:space="0"/>
              <w:right w:val="single" w:color="000000" w:sz="4" w:space="0"/>
            </w:tcBorders>
            <w:vAlign w:val="center"/>
          </w:tcPr>
          <w:p w14:paraId="7065B29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单价（元）</w:t>
            </w:r>
          </w:p>
        </w:tc>
        <w:tc>
          <w:tcPr>
            <w:tcW w:w="700" w:type="dxa"/>
            <w:tcBorders>
              <w:top w:val="single" w:color="000000" w:sz="4" w:space="0"/>
              <w:left w:val="single" w:color="000000" w:sz="4" w:space="0"/>
              <w:bottom w:val="single" w:color="000000" w:sz="4" w:space="0"/>
              <w:right w:val="single" w:color="000000" w:sz="4" w:space="0"/>
            </w:tcBorders>
            <w:vAlign w:val="center"/>
          </w:tcPr>
          <w:p w14:paraId="6E61473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品牌</w:t>
            </w:r>
          </w:p>
        </w:tc>
      </w:tr>
      <w:tr w14:paraId="1BBF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restart"/>
            <w:tcBorders>
              <w:top w:val="single" w:color="000000" w:sz="4" w:space="0"/>
              <w:left w:val="single" w:color="000000" w:sz="4" w:space="0"/>
              <w:bottom w:val="single" w:color="000000" w:sz="4" w:space="0"/>
              <w:right w:val="single" w:color="000000" w:sz="4" w:space="0"/>
            </w:tcBorders>
            <w:vAlign w:val="center"/>
          </w:tcPr>
          <w:p w14:paraId="1BECE35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650" w:type="dxa"/>
            <w:vMerge w:val="restart"/>
            <w:tcBorders>
              <w:top w:val="single" w:color="000000" w:sz="4" w:space="0"/>
              <w:left w:val="single" w:color="000000" w:sz="4" w:space="0"/>
              <w:bottom w:val="single" w:color="000000" w:sz="4" w:space="0"/>
              <w:right w:val="single" w:color="000000" w:sz="4" w:space="0"/>
            </w:tcBorders>
            <w:vAlign w:val="center"/>
          </w:tcPr>
          <w:p w14:paraId="3E64CB3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线路改造</w:t>
            </w:r>
          </w:p>
        </w:tc>
        <w:tc>
          <w:tcPr>
            <w:tcW w:w="441" w:type="dxa"/>
            <w:tcBorders>
              <w:top w:val="single" w:color="000000" w:sz="4" w:space="0"/>
              <w:left w:val="single" w:color="000000" w:sz="4" w:space="0"/>
              <w:bottom w:val="single" w:color="000000" w:sz="4" w:space="0"/>
              <w:right w:val="single" w:color="000000" w:sz="4" w:space="0"/>
            </w:tcBorders>
            <w:vAlign w:val="center"/>
          </w:tcPr>
          <w:p w14:paraId="73F41B2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vAlign w:val="center"/>
          </w:tcPr>
          <w:p w14:paraId="0FEE576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1.5mm平方线</w:t>
            </w:r>
          </w:p>
        </w:tc>
        <w:tc>
          <w:tcPr>
            <w:tcW w:w="4300" w:type="dxa"/>
            <w:tcBorders>
              <w:top w:val="single" w:color="000000" w:sz="4" w:space="0"/>
              <w:left w:val="single" w:color="000000" w:sz="4" w:space="0"/>
              <w:bottom w:val="single" w:color="000000" w:sz="4" w:space="0"/>
              <w:right w:val="single" w:color="000000" w:sz="4" w:space="0"/>
            </w:tcBorders>
            <w:vAlign w:val="center"/>
          </w:tcPr>
          <w:p w14:paraId="33E2EB04">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09326C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1034" w:type="dxa"/>
            <w:tcBorders>
              <w:top w:val="single" w:color="000000" w:sz="4" w:space="0"/>
              <w:left w:val="single" w:color="000000" w:sz="4" w:space="0"/>
              <w:bottom w:val="single" w:color="000000" w:sz="4" w:space="0"/>
              <w:right w:val="single" w:color="000000" w:sz="4" w:space="0"/>
            </w:tcBorders>
            <w:vAlign w:val="center"/>
          </w:tcPr>
          <w:p w14:paraId="148A50F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4837BDE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561E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continue"/>
            <w:tcBorders>
              <w:top w:val="single" w:color="000000" w:sz="4" w:space="0"/>
              <w:left w:val="single" w:color="000000" w:sz="4" w:space="0"/>
              <w:bottom w:val="single" w:color="000000" w:sz="4" w:space="0"/>
              <w:right w:val="single" w:color="000000" w:sz="4" w:space="0"/>
            </w:tcBorders>
            <w:vAlign w:val="center"/>
          </w:tcPr>
          <w:p w14:paraId="20AFB9F9">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3DCB552F">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441" w:type="dxa"/>
            <w:tcBorders>
              <w:top w:val="single" w:color="000000" w:sz="4" w:space="0"/>
              <w:left w:val="single" w:color="000000" w:sz="4" w:space="0"/>
              <w:bottom w:val="single" w:color="000000" w:sz="4" w:space="0"/>
              <w:right w:val="single" w:color="000000" w:sz="4" w:space="0"/>
            </w:tcBorders>
            <w:vAlign w:val="center"/>
          </w:tcPr>
          <w:p w14:paraId="1363E7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vAlign w:val="center"/>
          </w:tcPr>
          <w:p w14:paraId="1F8F134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2.5mm平方线</w:t>
            </w:r>
          </w:p>
        </w:tc>
        <w:tc>
          <w:tcPr>
            <w:tcW w:w="4300" w:type="dxa"/>
            <w:tcBorders>
              <w:top w:val="single" w:color="000000" w:sz="4" w:space="0"/>
              <w:left w:val="single" w:color="000000" w:sz="4" w:space="0"/>
              <w:bottom w:val="single" w:color="000000" w:sz="4" w:space="0"/>
              <w:right w:val="single" w:color="000000" w:sz="4" w:space="0"/>
            </w:tcBorders>
            <w:vAlign w:val="center"/>
          </w:tcPr>
          <w:p w14:paraId="2297C21E">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525FFD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1034" w:type="dxa"/>
            <w:tcBorders>
              <w:top w:val="single" w:color="000000" w:sz="4" w:space="0"/>
              <w:left w:val="single" w:color="000000" w:sz="4" w:space="0"/>
              <w:bottom w:val="single" w:color="000000" w:sz="4" w:space="0"/>
              <w:right w:val="single" w:color="000000" w:sz="4" w:space="0"/>
            </w:tcBorders>
            <w:vAlign w:val="center"/>
          </w:tcPr>
          <w:p w14:paraId="2045335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4AABDCC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7DB7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continue"/>
            <w:tcBorders>
              <w:top w:val="single" w:color="000000" w:sz="4" w:space="0"/>
              <w:left w:val="single" w:color="000000" w:sz="4" w:space="0"/>
              <w:bottom w:val="single" w:color="000000" w:sz="4" w:space="0"/>
              <w:right w:val="single" w:color="000000" w:sz="4" w:space="0"/>
            </w:tcBorders>
            <w:vAlign w:val="center"/>
          </w:tcPr>
          <w:p w14:paraId="753E0FE7">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545C0E30">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441" w:type="dxa"/>
            <w:tcBorders>
              <w:top w:val="single" w:color="000000" w:sz="4" w:space="0"/>
              <w:left w:val="single" w:color="000000" w:sz="4" w:space="0"/>
              <w:bottom w:val="single" w:color="000000" w:sz="4" w:space="0"/>
              <w:right w:val="single" w:color="000000" w:sz="4" w:space="0"/>
            </w:tcBorders>
            <w:vAlign w:val="center"/>
          </w:tcPr>
          <w:p w14:paraId="05CB725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vAlign w:val="center"/>
          </w:tcPr>
          <w:p w14:paraId="7873F60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4mm平方线</w:t>
            </w:r>
          </w:p>
        </w:tc>
        <w:tc>
          <w:tcPr>
            <w:tcW w:w="4300" w:type="dxa"/>
            <w:tcBorders>
              <w:top w:val="single" w:color="000000" w:sz="4" w:space="0"/>
              <w:left w:val="single" w:color="000000" w:sz="4" w:space="0"/>
              <w:bottom w:val="single" w:color="000000" w:sz="4" w:space="0"/>
              <w:right w:val="single" w:color="000000" w:sz="4" w:space="0"/>
            </w:tcBorders>
            <w:vAlign w:val="center"/>
          </w:tcPr>
          <w:p w14:paraId="29AA8645">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7A48A89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1034" w:type="dxa"/>
            <w:tcBorders>
              <w:top w:val="single" w:color="000000" w:sz="4" w:space="0"/>
              <w:left w:val="single" w:color="000000" w:sz="4" w:space="0"/>
              <w:bottom w:val="single" w:color="000000" w:sz="4" w:space="0"/>
              <w:right w:val="single" w:color="000000" w:sz="4" w:space="0"/>
            </w:tcBorders>
            <w:vAlign w:val="center"/>
          </w:tcPr>
          <w:p w14:paraId="57EFED4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7C5621D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18E2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continue"/>
            <w:tcBorders>
              <w:top w:val="single" w:color="000000" w:sz="4" w:space="0"/>
              <w:left w:val="single" w:color="000000" w:sz="4" w:space="0"/>
              <w:bottom w:val="single" w:color="000000" w:sz="4" w:space="0"/>
              <w:right w:val="single" w:color="000000" w:sz="4" w:space="0"/>
            </w:tcBorders>
            <w:vAlign w:val="center"/>
          </w:tcPr>
          <w:p w14:paraId="71EB8406">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49AA0836">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441" w:type="dxa"/>
            <w:tcBorders>
              <w:top w:val="single" w:color="000000" w:sz="4" w:space="0"/>
              <w:left w:val="single" w:color="000000" w:sz="4" w:space="0"/>
              <w:bottom w:val="single" w:color="000000" w:sz="4" w:space="0"/>
              <w:right w:val="single" w:color="000000" w:sz="4" w:space="0"/>
            </w:tcBorders>
            <w:vAlign w:val="center"/>
          </w:tcPr>
          <w:p w14:paraId="4E7E2A4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4</w:t>
            </w:r>
          </w:p>
        </w:tc>
        <w:tc>
          <w:tcPr>
            <w:tcW w:w="1292" w:type="dxa"/>
            <w:tcBorders>
              <w:top w:val="single" w:color="000000" w:sz="4" w:space="0"/>
              <w:left w:val="single" w:color="000000" w:sz="4" w:space="0"/>
              <w:bottom w:val="single" w:color="000000" w:sz="4" w:space="0"/>
              <w:right w:val="single" w:color="000000" w:sz="4" w:space="0"/>
            </w:tcBorders>
            <w:vAlign w:val="center"/>
          </w:tcPr>
          <w:p w14:paraId="1C662D9D">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w:t>
            </w:r>
          </w:p>
        </w:tc>
        <w:tc>
          <w:tcPr>
            <w:tcW w:w="4300" w:type="dxa"/>
            <w:tcBorders>
              <w:top w:val="single" w:color="000000" w:sz="4" w:space="0"/>
              <w:left w:val="single" w:color="000000" w:sz="4" w:space="0"/>
              <w:bottom w:val="single" w:color="000000" w:sz="4" w:space="0"/>
              <w:right w:val="single" w:color="000000" w:sz="4" w:space="0"/>
            </w:tcBorders>
            <w:vAlign w:val="center"/>
          </w:tcPr>
          <w:p w14:paraId="13706682">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46FE8C1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84836A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73E677C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1BE7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continue"/>
            <w:tcBorders>
              <w:top w:val="single" w:color="000000" w:sz="4" w:space="0"/>
              <w:left w:val="single" w:color="000000" w:sz="4" w:space="0"/>
              <w:bottom w:val="single" w:color="000000" w:sz="4" w:space="0"/>
              <w:right w:val="single" w:color="000000" w:sz="4" w:space="0"/>
            </w:tcBorders>
            <w:vAlign w:val="center"/>
          </w:tcPr>
          <w:p w14:paraId="7389C3ED">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0332EE0A">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441" w:type="dxa"/>
            <w:tcBorders>
              <w:top w:val="single" w:color="000000" w:sz="4" w:space="0"/>
              <w:left w:val="single" w:color="000000" w:sz="4" w:space="0"/>
              <w:bottom w:val="single" w:color="000000" w:sz="4" w:space="0"/>
              <w:right w:val="single" w:color="000000" w:sz="4" w:space="0"/>
            </w:tcBorders>
            <w:vAlign w:val="center"/>
          </w:tcPr>
          <w:p w14:paraId="5DB07E8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01B7B2E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4300" w:type="dxa"/>
            <w:tcBorders>
              <w:top w:val="single" w:color="000000" w:sz="4" w:space="0"/>
              <w:left w:val="single" w:color="000000" w:sz="4" w:space="0"/>
              <w:bottom w:val="single" w:color="000000" w:sz="4" w:space="0"/>
              <w:right w:val="single" w:color="000000" w:sz="4" w:space="0"/>
            </w:tcBorders>
            <w:vAlign w:val="center"/>
          </w:tcPr>
          <w:p w14:paraId="3223E043">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102EA6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342474B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643DC10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2043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restart"/>
            <w:tcBorders>
              <w:top w:val="single" w:color="000000" w:sz="4" w:space="0"/>
              <w:left w:val="single" w:color="000000" w:sz="4" w:space="0"/>
              <w:bottom w:val="single" w:color="000000" w:sz="4" w:space="0"/>
              <w:right w:val="single" w:color="000000" w:sz="4" w:space="0"/>
            </w:tcBorders>
            <w:vAlign w:val="center"/>
          </w:tcPr>
          <w:p w14:paraId="1D69B12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650" w:type="dxa"/>
            <w:vMerge w:val="restart"/>
            <w:tcBorders>
              <w:top w:val="single" w:color="000000" w:sz="4" w:space="0"/>
              <w:left w:val="single" w:color="000000" w:sz="4" w:space="0"/>
              <w:bottom w:val="single" w:color="000000" w:sz="4" w:space="0"/>
              <w:right w:val="single" w:color="000000" w:sz="4" w:space="0"/>
            </w:tcBorders>
            <w:vAlign w:val="center"/>
          </w:tcPr>
          <w:p w14:paraId="1BE1EA9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墙面处理</w:t>
            </w:r>
          </w:p>
        </w:tc>
        <w:tc>
          <w:tcPr>
            <w:tcW w:w="441" w:type="dxa"/>
            <w:tcBorders>
              <w:top w:val="single" w:color="000000" w:sz="4" w:space="0"/>
              <w:left w:val="single" w:color="000000" w:sz="4" w:space="0"/>
              <w:bottom w:val="single" w:color="000000" w:sz="4" w:space="0"/>
              <w:right w:val="single" w:color="000000" w:sz="4" w:space="0"/>
            </w:tcBorders>
            <w:vAlign w:val="center"/>
          </w:tcPr>
          <w:p w14:paraId="448E9B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vAlign w:val="center"/>
          </w:tcPr>
          <w:p w14:paraId="28B7B09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新建隔墙</w:t>
            </w:r>
          </w:p>
        </w:tc>
        <w:tc>
          <w:tcPr>
            <w:tcW w:w="4300" w:type="dxa"/>
            <w:tcBorders>
              <w:top w:val="single" w:color="000000" w:sz="4" w:space="0"/>
              <w:left w:val="single" w:color="000000" w:sz="4" w:space="0"/>
              <w:bottom w:val="single" w:color="000000" w:sz="4" w:space="0"/>
              <w:right w:val="single" w:color="000000" w:sz="4" w:space="0"/>
            </w:tcBorders>
            <w:vAlign w:val="center"/>
          </w:tcPr>
          <w:p w14:paraId="4FA98C7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6DFC850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平方</w:t>
            </w:r>
          </w:p>
        </w:tc>
        <w:tc>
          <w:tcPr>
            <w:tcW w:w="1034" w:type="dxa"/>
            <w:tcBorders>
              <w:top w:val="single" w:color="000000" w:sz="4" w:space="0"/>
              <w:left w:val="single" w:color="000000" w:sz="4" w:space="0"/>
              <w:bottom w:val="single" w:color="000000" w:sz="4" w:space="0"/>
              <w:right w:val="single" w:color="000000" w:sz="4" w:space="0"/>
            </w:tcBorders>
            <w:vAlign w:val="center"/>
          </w:tcPr>
          <w:p w14:paraId="007731F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23F7E08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6C03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continue"/>
            <w:tcBorders>
              <w:top w:val="single" w:color="000000" w:sz="4" w:space="0"/>
              <w:left w:val="single" w:color="000000" w:sz="4" w:space="0"/>
              <w:bottom w:val="single" w:color="000000" w:sz="4" w:space="0"/>
              <w:right w:val="single" w:color="000000" w:sz="4" w:space="0"/>
            </w:tcBorders>
            <w:vAlign w:val="center"/>
          </w:tcPr>
          <w:p w14:paraId="03190A1E">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663536CA">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441" w:type="dxa"/>
            <w:tcBorders>
              <w:top w:val="single" w:color="000000" w:sz="4" w:space="0"/>
              <w:left w:val="single" w:color="000000" w:sz="4" w:space="0"/>
              <w:bottom w:val="single" w:color="000000" w:sz="4" w:space="0"/>
              <w:right w:val="single" w:color="000000" w:sz="4" w:space="0"/>
            </w:tcBorders>
            <w:vAlign w:val="center"/>
          </w:tcPr>
          <w:p w14:paraId="21D2D54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1292" w:type="dxa"/>
            <w:tcBorders>
              <w:top w:val="single" w:color="000000" w:sz="4" w:space="0"/>
              <w:left w:val="single" w:color="000000" w:sz="4" w:space="0"/>
              <w:bottom w:val="single" w:color="000000" w:sz="4" w:space="0"/>
              <w:right w:val="single" w:color="000000" w:sz="4" w:space="0"/>
            </w:tcBorders>
            <w:vAlign w:val="center"/>
          </w:tcPr>
          <w:p w14:paraId="3729AB6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墙面抹灰</w:t>
            </w:r>
          </w:p>
        </w:tc>
        <w:tc>
          <w:tcPr>
            <w:tcW w:w="4300" w:type="dxa"/>
            <w:tcBorders>
              <w:top w:val="single" w:color="000000" w:sz="4" w:space="0"/>
              <w:left w:val="single" w:color="000000" w:sz="4" w:space="0"/>
              <w:bottom w:val="single" w:color="000000" w:sz="4" w:space="0"/>
              <w:right w:val="single" w:color="000000" w:sz="4" w:space="0"/>
            </w:tcBorders>
            <w:vAlign w:val="center"/>
          </w:tcPr>
          <w:p w14:paraId="70F2D29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6566528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平方</w:t>
            </w:r>
          </w:p>
        </w:tc>
        <w:tc>
          <w:tcPr>
            <w:tcW w:w="1034" w:type="dxa"/>
            <w:tcBorders>
              <w:top w:val="single" w:color="000000" w:sz="4" w:space="0"/>
              <w:left w:val="single" w:color="000000" w:sz="4" w:space="0"/>
              <w:bottom w:val="single" w:color="000000" w:sz="4" w:space="0"/>
              <w:right w:val="single" w:color="000000" w:sz="4" w:space="0"/>
            </w:tcBorders>
            <w:vAlign w:val="center"/>
          </w:tcPr>
          <w:p w14:paraId="40BCCDB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7F13A89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4506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continue"/>
            <w:tcBorders>
              <w:top w:val="single" w:color="000000" w:sz="4" w:space="0"/>
              <w:left w:val="single" w:color="000000" w:sz="4" w:space="0"/>
              <w:bottom w:val="single" w:color="000000" w:sz="4" w:space="0"/>
              <w:right w:val="single" w:color="000000" w:sz="4" w:space="0"/>
            </w:tcBorders>
            <w:vAlign w:val="center"/>
          </w:tcPr>
          <w:p w14:paraId="7CF404BB">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5A3DE0D8">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441" w:type="dxa"/>
            <w:tcBorders>
              <w:top w:val="single" w:color="000000" w:sz="4" w:space="0"/>
              <w:left w:val="single" w:color="000000" w:sz="4" w:space="0"/>
              <w:bottom w:val="single" w:color="000000" w:sz="4" w:space="0"/>
              <w:right w:val="single" w:color="000000" w:sz="4" w:space="0"/>
            </w:tcBorders>
            <w:vAlign w:val="center"/>
          </w:tcPr>
          <w:p w14:paraId="1A3547B5">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12</w:t>
            </w:r>
          </w:p>
        </w:tc>
        <w:tc>
          <w:tcPr>
            <w:tcW w:w="1292" w:type="dxa"/>
            <w:tcBorders>
              <w:top w:val="single" w:color="000000" w:sz="4" w:space="0"/>
              <w:left w:val="single" w:color="000000" w:sz="4" w:space="0"/>
              <w:bottom w:val="single" w:color="000000" w:sz="4" w:space="0"/>
              <w:right w:val="single" w:color="000000" w:sz="4" w:space="0"/>
            </w:tcBorders>
            <w:vAlign w:val="center"/>
          </w:tcPr>
          <w:p w14:paraId="04E8E32D">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w:t>
            </w:r>
          </w:p>
        </w:tc>
        <w:tc>
          <w:tcPr>
            <w:tcW w:w="4300" w:type="dxa"/>
            <w:tcBorders>
              <w:top w:val="single" w:color="000000" w:sz="4" w:space="0"/>
              <w:left w:val="single" w:color="000000" w:sz="4" w:space="0"/>
              <w:bottom w:val="single" w:color="000000" w:sz="4" w:space="0"/>
              <w:right w:val="single" w:color="000000" w:sz="4" w:space="0"/>
            </w:tcBorders>
            <w:vAlign w:val="center"/>
          </w:tcPr>
          <w:p w14:paraId="177D1D2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202BEE8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03AC3AE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63A188A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6969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continue"/>
            <w:tcBorders>
              <w:top w:val="single" w:color="000000" w:sz="4" w:space="0"/>
              <w:left w:val="single" w:color="000000" w:sz="4" w:space="0"/>
              <w:bottom w:val="single" w:color="000000" w:sz="4" w:space="0"/>
              <w:right w:val="single" w:color="000000" w:sz="4" w:space="0"/>
            </w:tcBorders>
            <w:vAlign w:val="center"/>
          </w:tcPr>
          <w:p w14:paraId="286F4D54">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2B5C89E6">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441" w:type="dxa"/>
            <w:tcBorders>
              <w:top w:val="single" w:color="000000" w:sz="4" w:space="0"/>
              <w:left w:val="single" w:color="000000" w:sz="4" w:space="0"/>
              <w:bottom w:val="single" w:color="000000" w:sz="4" w:space="0"/>
              <w:right w:val="single" w:color="000000" w:sz="4" w:space="0"/>
            </w:tcBorders>
            <w:vAlign w:val="center"/>
          </w:tcPr>
          <w:p w14:paraId="18B59E1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7693A37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4300" w:type="dxa"/>
            <w:tcBorders>
              <w:top w:val="single" w:color="000000" w:sz="4" w:space="0"/>
              <w:left w:val="single" w:color="000000" w:sz="4" w:space="0"/>
              <w:bottom w:val="single" w:color="000000" w:sz="4" w:space="0"/>
              <w:right w:val="single" w:color="000000" w:sz="4" w:space="0"/>
            </w:tcBorders>
            <w:vAlign w:val="center"/>
          </w:tcPr>
          <w:p w14:paraId="03F013C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43B5AC1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71B2BAD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664C60B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475F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52" w:type="dxa"/>
            <w:tcBorders>
              <w:top w:val="single" w:color="000000" w:sz="4" w:space="0"/>
              <w:left w:val="single" w:color="000000" w:sz="4" w:space="0"/>
              <w:bottom w:val="single" w:color="000000" w:sz="4" w:space="0"/>
              <w:right w:val="single" w:color="000000" w:sz="4" w:space="0"/>
            </w:tcBorders>
            <w:vAlign w:val="center"/>
          </w:tcPr>
          <w:p w14:paraId="68B8C42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vAlign w:val="center"/>
          </w:tcPr>
          <w:p w14:paraId="1EDC0AB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吊顶</w:t>
            </w:r>
          </w:p>
        </w:tc>
        <w:tc>
          <w:tcPr>
            <w:tcW w:w="441" w:type="dxa"/>
            <w:tcBorders>
              <w:top w:val="single" w:color="000000" w:sz="4" w:space="0"/>
              <w:left w:val="single" w:color="000000" w:sz="4" w:space="0"/>
              <w:bottom w:val="single" w:color="000000" w:sz="4" w:space="0"/>
              <w:right w:val="single" w:color="000000" w:sz="4" w:space="0"/>
            </w:tcBorders>
            <w:vAlign w:val="center"/>
          </w:tcPr>
          <w:p w14:paraId="2FF04CF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292" w:type="dxa"/>
            <w:tcBorders>
              <w:top w:val="single" w:color="000000" w:sz="4" w:space="0"/>
              <w:left w:val="single" w:color="000000" w:sz="4" w:space="0"/>
              <w:bottom w:val="single" w:color="000000" w:sz="4" w:space="0"/>
              <w:right w:val="single" w:color="000000" w:sz="4" w:space="0"/>
            </w:tcBorders>
            <w:vAlign w:val="center"/>
          </w:tcPr>
          <w:p w14:paraId="79D4D88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吊顶</w:t>
            </w:r>
          </w:p>
        </w:tc>
        <w:tc>
          <w:tcPr>
            <w:tcW w:w="4300" w:type="dxa"/>
            <w:tcBorders>
              <w:top w:val="single" w:color="000000" w:sz="4" w:space="0"/>
              <w:left w:val="single" w:color="000000" w:sz="4" w:space="0"/>
              <w:bottom w:val="single" w:color="000000" w:sz="4" w:space="0"/>
              <w:right w:val="single" w:color="000000" w:sz="4" w:space="0"/>
            </w:tcBorders>
            <w:vAlign w:val="center"/>
          </w:tcPr>
          <w:p w14:paraId="00DFB9E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35DFF6F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平方</w:t>
            </w:r>
          </w:p>
        </w:tc>
        <w:tc>
          <w:tcPr>
            <w:tcW w:w="1034" w:type="dxa"/>
            <w:tcBorders>
              <w:top w:val="single" w:color="000000" w:sz="4" w:space="0"/>
              <w:left w:val="single" w:color="000000" w:sz="4" w:space="0"/>
              <w:bottom w:val="single" w:color="000000" w:sz="4" w:space="0"/>
              <w:right w:val="single" w:color="000000" w:sz="4" w:space="0"/>
            </w:tcBorders>
            <w:vAlign w:val="center"/>
          </w:tcPr>
          <w:p w14:paraId="117E749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663E8D6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680F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restart"/>
            <w:tcBorders>
              <w:top w:val="single" w:color="000000" w:sz="4" w:space="0"/>
              <w:left w:val="single" w:color="000000" w:sz="4" w:space="0"/>
              <w:bottom w:val="single" w:color="000000" w:sz="4" w:space="0"/>
              <w:right w:val="single" w:color="000000" w:sz="4" w:space="0"/>
            </w:tcBorders>
            <w:vAlign w:val="center"/>
          </w:tcPr>
          <w:p w14:paraId="6C14AF0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650" w:type="dxa"/>
            <w:vMerge w:val="restart"/>
            <w:tcBorders>
              <w:top w:val="single" w:color="000000" w:sz="4" w:space="0"/>
              <w:left w:val="single" w:color="000000" w:sz="4" w:space="0"/>
              <w:bottom w:val="single" w:color="000000" w:sz="4" w:space="0"/>
              <w:right w:val="single" w:color="000000" w:sz="4" w:space="0"/>
            </w:tcBorders>
            <w:vAlign w:val="center"/>
          </w:tcPr>
          <w:p w14:paraId="5F5BBF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地面处理</w:t>
            </w:r>
          </w:p>
        </w:tc>
        <w:tc>
          <w:tcPr>
            <w:tcW w:w="441" w:type="dxa"/>
            <w:tcBorders>
              <w:top w:val="single" w:color="000000" w:sz="4" w:space="0"/>
              <w:left w:val="single" w:color="000000" w:sz="4" w:space="0"/>
              <w:bottom w:val="single" w:color="000000" w:sz="4" w:space="0"/>
              <w:right w:val="single" w:color="000000" w:sz="4" w:space="0"/>
            </w:tcBorders>
            <w:vAlign w:val="center"/>
          </w:tcPr>
          <w:p w14:paraId="60C9C6C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1292" w:type="dxa"/>
            <w:tcBorders>
              <w:top w:val="single" w:color="000000" w:sz="4" w:space="0"/>
              <w:left w:val="single" w:color="000000" w:sz="4" w:space="0"/>
              <w:bottom w:val="single" w:color="000000" w:sz="4" w:space="0"/>
              <w:right w:val="single" w:color="000000" w:sz="4" w:space="0"/>
            </w:tcBorders>
            <w:vAlign w:val="center"/>
          </w:tcPr>
          <w:p w14:paraId="440EA54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地面硬化</w:t>
            </w:r>
          </w:p>
        </w:tc>
        <w:tc>
          <w:tcPr>
            <w:tcW w:w="4300" w:type="dxa"/>
            <w:tcBorders>
              <w:top w:val="single" w:color="000000" w:sz="4" w:space="0"/>
              <w:left w:val="single" w:color="000000" w:sz="4" w:space="0"/>
              <w:bottom w:val="single" w:color="000000" w:sz="4" w:space="0"/>
              <w:right w:val="single" w:color="000000" w:sz="4" w:space="0"/>
            </w:tcBorders>
            <w:vAlign w:val="center"/>
          </w:tcPr>
          <w:p w14:paraId="6D4EA4A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1CC4B7B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平方</w:t>
            </w:r>
          </w:p>
        </w:tc>
        <w:tc>
          <w:tcPr>
            <w:tcW w:w="1034" w:type="dxa"/>
            <w:tcBorders>
              <w:top w:val="single" w:color="000000" w:sz="4" w:space="0"/>
              <w:left w:val="single" w:color="000000" w:sz="4" w:space="0"/>
              <w:bottom w:val="single" w:color="000000" w:sz="4" w:space="0"/>
              <w:right w:val="single" w:color="000000" w:sz="4" w:space="0"/>
            </w:tcBorders>
            <w:vAlign w:val="center"/>
          </w:tcPr>
          <w:p w14:paraId="25A68E9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3D67D4F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3F96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continue"/>
            <w:tcBorders>
              <w:top w:val="single" w:color="000000" w:sz="4" w:space="0"/>
              <w:left w:val="single" w:color="000000" w:sz="4" w:space="0"/>
              <w:bottom w:val="single" w:color="000000" w:sz="4" w:space="0"/>
              <w:right w:val="single" w:color="000000" w:sz="4" w:space="0"/>
            </w:tcBorders>
            <w:vAlign w:val="center"/>
          </w:tcPr>
          <w:p w14:paraId="40F4FF79">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1287A6B0">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441" w:type="dxa"/>
            <w:tcBorders>
              <w:top w:val="single" w:color="000000" w:sz="4" w:space="0"/>
              <w:left w:val="single" w:color="000000" w:sz="4" w:space="0"/>
              <w:bottom w:val="single" w:color="000000" w:sz="4" w:space="0"/>
              <w:right w:val="single" w:color="000000" w:sz="4" w:space="0"/>
            </w:tcBorders>
            <w:vAlign w:val="center"/>
          </w:tcPr>
          <w:p w14:paraId="75BBB1E4">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16</w:t>
            </w:r>
          </w:p>
        </w:tc>
        <w:tc>
          <w:tcPr>
            <w:tcW w:w="1292" w:type="dxa"/>
            <w:tcBorders>
              <w:top w:val="single" w:color="000000" w:sz="4" w:space="0"/>
              <w:left w:val="single" w:color="000000" w:sz="4" w:space="0"/>
              <w:bottom w:val="single" w:color="000000" w:sz="4" w:space="0"/>
              <w:right w:val="single" w:color="000000" w:sz="4" w:space="0"/>
            </w:tcBorders>
            <w:vAlign w:val="center"/>
          </w:tcPr>
          <w:p w14:paraId="3A0D7A0C">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w:t>
            </w:r>
          </w:p>
        </w:tc>
        <w:tc>
          <w:tcPr>
            <w:tcW w:w="4300" w:type="dxa"/>
            <w:tcBorders>
              <w:top w:val="single" w:color="000000" w:sz="4" w:space="0"/>
              <w:left w:val="single" w:color="000000" w:sz="4" w:space="0"/>
              <w:bottom w:val="single" w:color="000000" w:sz="4" w:space="0"/>
              <w:right w:val="single" w:color="000000" w:sz="4" w:space="0"/>
            </w:tcBorders>
            <w:vAlign w:val="center"/>
          </w:tcPr>
          <w:p w14:paraId="1FE2E89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4CC58C9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28AB4B5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7025123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544F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vMerge w:val="continue"/>
            <w:tcBorders>
              <w:top w:val="single" w:color="000000" w:sz="4" w:space="0"/>
              <w:left w:val="single" w:color="000000" w:sz="4" w:space="0"/>
              <w:bottom w:val="single" w:color="000000" w:sz="4" w:space="0"/>
              <w:right w:val="single" w:color="000000" w:sz="4" w:space="0"/>
            </w:tcBorders>
            <w:vAlign w:val="center"/>
          </w:tcPr>
          <w:p w14:paraId="153F1489">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4421D4A1">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441" w:type="dxa"/>
            <w:tcBorders>
              <w:top w:val="single" w:color="000000" w:sz="4" w:space="0"/>
              <w:left w:val="single" w:color="000000" w:sz="4" w:space="0"/>
              <w:bottom w:val="single" w:color="000000" w:sz="4" w:space="0"/>
              <w:right w:val="single" w:color="000000" w:sz="4" w:space="0"/>
            </w:tcBorders>
            <w:vAlign w:val="center"/>
          </w:tcPr>
          <w:p w14:paraId="3CDA127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6B2938F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4300" w:type="dxa"/>
            <w:tcBorders>
              <w:top w:val="single" w:color="000000" w:sz="4" w:space="0"/>
              <w:left w:val="single" w:color="000000" w:sz="4" w:space="0"/>
              <w:bottom w:val="single" w:color="000000" w:sz="4" w:space="0"/>
              <w:right w:val="single" w:color="000000" w:sz="4" w:space="0"/>
            </w:tcBorders>
            <w:vAlign w:val="center"/>
          </w:tcPr>
          <w:p w14:paraId="6F86042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338ADA9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2FA3135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030A83D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0FC8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tcBorders>
              <w:top w:val="single" w:color="000000" w:sz="4" w:space="0"/>
              <w:left w:val="single" w:color="000000" w:sz="4" w:space="0"/>
              <w:bottom w:val="single" w:color="000000" w:sz="4" w:space="0"/>
              <w:right w:val="single" w:color="000000" w:sz="4" w:space="0"/>
            </w:tcBorders>
            <w:vAlign w:val="center"/>
          </w:tcPr>
          <w:p w14:paraId="21BE2C97">
            <w:pPr>
              <w:spacing w:line="240" w:lineRule="auto"/>
              <w:jc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5</w:t>
            </w:r>
          </w:p>
        </w:tc>
        <w:tc>
          <w:tcPr>
            <w:tcW w:w="650" w:type="dxa"/>
            <w:tcBorders>
              <w:top w:val="single" w:color="000000" w:sz="4" w:space="0"/>
              <w:left w:val="single" w:color="000000" w:sz="4" w:space="0"/>
              <w:bottom w:val="single" w:color="000000" w:sz="4" w:space="0"/>
              <w:right w:val="single" w:color="000000" w:sz="4" w:space="0"/>
            </w:tcBorders>
            <w:vAlign w:val="center"/>
          </w:tcPr>
          <w:p w14:paraId="62CD1FFA">
            <w:pPr>
              <w:spacing w:line="240" w:lineRule="auto"/>
              <w:jc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w:t>
            </w:r>
          </w:p>
        </w:tc>
        <w:tc>
          <w:tcPr>
            <w:tcW w:w="441" w:type="dxa"/>
            <w:tcBorders>
              <w:top w:val="single" w:color="000000" w:sz="4" w:space="0"/>
              <w:left w:val="single" w:color="000000" w:sz="4" w:space="0"/>
              <w:bottom w:val="single" w:color="000000" w:sz="4" w:space="0"/>
              <w:right w:val="single" w:color="000000" w:sz="4" w:space="0"/>
            </w:tcBorders>
            <w:vAlign w:val="center"/>
          </w:tcPr>
          <w:p w14:paraId="6D2BA28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61AEBFA6">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w:t>
            </w:r>
          </w:p>
        </w:tc>
        <w:tc>
          <w:tcPr>
            <w:tcW w:w="4300" w:type="dxa"/>
            <w:tcBorders>
              <w:top w:val="single" w:color="000000" w:sz="4" w:space="0"/>
              <w:left w:val="single" w:color="000000" w:sz="4" w:space="0"/>
              <w:bottom w:val="single" w:color="000000" w:sz="4" w:space="0"/>
              <w:right w:val="single" w:color="000000" w:sz="4" w:space="0"/>
            </w:tcBorders>
            <w:vAlign w:val="center"/>
          </w:tcPr>
          <w:p w14:paraId="16CDFF6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255F3B82">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w:t>
            </w:r>
          </w:p>
        </w:tc>
        <w:tc>
          <w:tcPr>
            <w:tcW w:w="1034" w:type="dxa"/>
            <w:tcBorders>
              <w:top w:val="single" w:color="000000" w:sz="4" w:space="0"/>
              <w:left w:val="single" w:color="000000" w:sz="4" w:space="0"/>
              <w:bottom w:val="single" w:color="000000" w:sz="4" w:space="0"/>
              <w:right w:val="single" w:color="000000" w:sz="4" w:space="0"/>
            </w:tcBorders>
            <w:vAlign w:val="center"/>
          </w:tcPr>
          <w:p w14:paraId="0B35769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2CA72AC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r w14:paraId="6F30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2" w:type="dxa"/>
            <w:tcBorders>
              <w:top w:val="single" w:color="000000" w:sz="4" w:space="0"/>
              <w:left w:val="single" w:color="000000" w:sz="4" w:space="0"/>
              <w:bottom w:val="single" w:color="000000" w:sz="4" w:space="0"/>
              <w:right w:val="single" w:color="000000" w:sz="4" w:space="0"/>
            </w:tcBorders>
            <w:vAlign w:val="center"/>
          </w:tcPr>
          <w:p w14:paraId="046A8DEA">
            <w:pPr>
              <w:spacing w:line="240" w:lineRule="auto"/>
              <w:jc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6</w:t>
            </w:r>
          </w:p>
        </w:tc>
        <w:tc>
          <w:tcPr>
            <w:tcW w:w="650" w:type="dxa"/>
            <w:tcBorders>
              <w:top w:val="single" w:color="000000" w:sz="4" w:space="0"/>
              <w:left w:val="single" w:color="000000" w:sz="4" w:space="0"/>
              <w:bottom w:val="single" w:color="000000" w:sz="4" w:space="0"/>
              <w:right w:val="single" w:color="000000" w:sz="4" w:space="0"/>
            </w:tcBorders>
            <w:vAlign w:val="center"/>
          </w:tcPr>
          <w:p w14:paraId="3C4B455F">
            <w:pPr>
              <w:spacing w:line="240" w:lineRule="auto"/>
              <w:jc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w:t>
            </w:r>
          </w:p>
        </w:tc>
        <w:tc>
          <w:tcPr>
            <w:tcW w:w="441" w:type="dxa"/>
            <w:tcBorders>
              <w:top w:val="single" w:color="000000" w:sz="4" w:space="0"/>
              <w:left w:val="single" w:color="000000" w:sz="4" w:space="0"/>
              <w:bottom w:val="single" w:color="000000" w:sz="4" w:space="0"/>
              <w:right w:val="single" w:color="000000" w:sz="4" w:space="0"/>
            </w:tcBorders>
            <w:vAlign w:val="center"/>
          </w:tcPr>
          <w:p w14:paraId="5618439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1292" w:type="dxa"/>
            <w:tcBorders>
              <w:top w:val="single" w:color="000000" w:sz="4" w:space="0"/>
              <w:left w:val="single" w:color="000000" w:sz="4" w:space="0"/>
              <w:bottom w:val="single" w:color="000000" w:sz="4" w:space="0"/>
              <w:right w:val="single" w:color="000000" w:sz="4" w:space="0"/>
            </w:tcBorders>
            <w:vAlign w:val="center"/>
          </w:tcPr>
          <w:p w14:paraId="00CE7C54">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w:t>
            </w:r>
          </w:p>
        </w:tc>
        <w:tc>
          <w:tcPr>
            <w:tcW w:w="4300" w:type="dxa"/>
            <w:tcBorders>
              <w:top w:val="single" w:color="000000" w:sz="4" w:space="0"/>
              <w:left w:val="single" w:color="000000" w:sz="4" w:space="0"/>
              <w:bottom w:val="single" w:color="000000" w:sz="4" w:space="0"/>
              <w:right w:val="single" w:color="000000" w:sz="4" w:space="0"/>
            </w:tcBorders>
            <w:vAlign w:val="center"/>
          </w:tcPr>
          <w:p w14:paraId="23697E8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248744F6">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w:t>
            </w:r>
          </w:p>
        </w:tc>
        <w:tc>
          <w:tcPr>
            <w:tcW w:w="1034" w:type="dxa"/>
            <w:tcBorders>
              <w:top w:val="single" w:color="000000" w:sz="4" w:space="0"/>
              <w:left w:val="single" w:color="000000" w:sz="4" w:space="0"/>
              <w:bottom w:val="single" w:color="000000" w:sz="4" w:space="0"/>
              <w:right w:val="single" w:color="000000" w:sz="4" w:space="0"/>
            </w:tcBorders>
            <w:vAlign w:val="center"/>
          </w:tcPr>
          <w:p w14:paraId="30A3BAB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42B9CB8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p>
        </w:tc>
      </w:tr>
    </w:tbl>
    <w:p w14:paraId="775C92A1">
      <w:pPr>
        <w:snapToGrid w:val="0"/>
        <w:spacing w:before="50" w:after="50"/>
        <w:jc w:val="left"/>
        <w:rPr>
          <w:rFonts w:hint="eastAsia" w:ascii="宋体" w:hAnsi="宋体"/>
          <w:b/>
          <w:bCs/>
          <w:sz w:val="24"/>
        </w:rPr>
      </w:pPr>
    </w:p>
    <w:p w14:paraId="695AD163">
      <w:pPr>
        <w:snapToGrid w:val="0"/>
        <w:spacing w:before="50" w:after="50"/>
        <w:jc w:val="left"/>
        <w:rPr>
          <w:rFonts w:ascii="宋体" w:hAnsi="宋体"/>
          <w:b/>
          <w:bCs/>
          <w:sz w:val="24"/>
        </w:rPr>
      </w:pPr>
      <w:r>
        <w:rPr>
          <w:rFonts w:hint="eastAsia" w:ascii="宋体" w:hAnsi="宋体"/>
          <w:b/>
          <w:bCs/>
          <w:sz w:val="24"/>
        </w:rPr>
        <w:t>说明：</w:t>
      </w:r>
    </w:p>
    <w:p w14:paraId="49883FDC">
      <w:pPr>
        <w:snapToGrid w:val="0"/>
        <w:spacing w:before="50" w:after="50"/>
        <w:jc w:val="left"/>
        <w:rPr>
          <w:rFonts w:ascii="宋体" w:hAnsi="宋体"/>
          <w:sz w:val="24"/>
        </w:rPr>
      </w:pPr>
      <w:r>
        <w:rPr>
          <w:rFonts w:hint="eastAsia" w:ascii="宋体" w:hAnsi="宋体"/>
          <w:b/>
          <w:sz w:val="24"/>
        </w:rPr>
        <w:t>1、本报价明细表供应商请根据竞争性磋商文件采购清单中的内容进行填写，不得漏项。</w:t>
      </w:r>
    </w:p>
    <w:p w14:paraId="21A21EC7">
      <w:pPr>
        <w:snapToGrid w:val="0"/>
        <w:spacing w:before="50" w:after="50" w:line="420" w:lineRule="exact"/>
        <w:jc w:val="left"/>
        <w:rPr>
          <w:rFonts w:ascii="宋体" w:hAnsi="宋体"/>
          <w:sz w:val="24"/>
        </w:rPr>
      </w:pPr>
      <w:r>
        <w:rPr>
          <w:rFonts w:hint="eastAsia" w:ascii="宋体" w:hAnsi="宋体"/>
          <w:sz w:val="24"/>
          <w:lang w:val="en-US" w:eastAsia="zh-CN"/>
        </w:rPr>
        <w:t>2</w:t>
      </w:r>
      <w:r>
        <w:rPr>
          <w:rFonts w:hint="eastAsia" w:ascii="宋体" w:hAnsi="宋体"/>
          <w:sz w:val="24"/>
        </w:rPr>
        <w:t>、报价一经涂改，应在涂改处加盖单位公章或者由法定代表人签字或盖章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sz w:val="24"/>
        </w:rPr>
        <w:t>。</w:t>
      </w:r>
    </w:p>
    <w:p w14:paraId="12F1299A">
      <w:pPr>
        <w:snapToGrid w:val="0"/>
        <w:spacing w:before="50" w:afterLines="50" w:line="360" w:lineRule="auto"/>
        <w:jc w:val="left"/>
        <w:rPr>
          <w:rFonts w:ascii="宋体" w:hAnsi="宋体"/>
          <w:b/>
          <w:spacing w:val="20"/>
          <w:sz w:val="24"/>
        </w:rPr>
      </w:pPr>
      <w:r>
        <w:rPr>
          <w:rFonts w:hint="eastAsia" w:ascii="宋体" w:hAnsi="宋体"/>
          <w:b/>
          <w:spacing w:val="20"/>
          <w:sz w:val="24"/>
        </w:rPr>
        <w:t>法定代表人签字（或盖章）：            供应商（盖章）：</w:t>
      </w:r>
    </w:p>
    <w:p w14:paraId="11871D6E">
      <w:pPr>
        <w:tabs>
          <w:tab w:val="left" w:pos="606"/>
        </w:tabs>
        <w:rPr>
          <w:rFonts w:ascii="宋体" w:hAnsi="宋体"/>
          <w:b/>
        </w:rPr>
      </w:pPr>
      <w:r>
        <w:rPr>
          <w:rFonts w:hint="eastAsia" w:ascii="宋体" w:hAnsi="宋体"/>
          <w:b/>
          <w:spacing w:val="20"/>
          <w:sz w:val="24"/>
        </w:rPr>
        <w:t>日期：</w:t>
      </w:r>
    </w:p>
    <w:p w14:paraId="4416197E">
      <w:pPr>
        <w:pStyle w:val="28"/>
        <w:snapToGrid w:val="0"/>
        <w:spacing w:beforeLines="0" w:afterLines="0" w:line="240" w:lineRule="auto"/>
        <w:rPr>
          <w:rFonts w:hint="eastAsia" w:ascii="宋体" w:hAnsi="宋体" w:eastAsia="宋体" w:cs="宋体"/>
          <w:color w:val="auto"/>
          <w:highlight w:val="none"/>
        </w:rPr>
      </w:pPr>
    </w:p>
    <w:p w14:paraId="69404860">
      <w:pPr>
        <w:pStyle w:val="28"/>
        <w:snapToGrid w:val="0"/>
        <w:spacing w:beforeLines="0" w:afterLines="0"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EF78F09">
      <w:pPr>
        <w:snapToGrid w:val="0"/>
        <w:spacing w:before="50" w:after="120" w:afterLines="50" w:line="360" w:lineRule="auto"/>
        <w:jc w:val="left"/>
        <w:rPr>
          <w:rFonts w:hAnsi="宋体"/>
        </w:rPr>
      </w:pPr>
      <w:r>
        <w:rPr>
          <w:rFonts w:hint="eastAsia" w:hAnsi="宋体"/>
          <w:sz w:val="24"/>
          <w:lang w:val="en-US" w:eastAsia="zh-CN"/>
        </w:rPr>
        <w:t>15</w:t>
      </w:r>
      <w:r>
        <w:rPr>
          <w:rFonts w:hint="eastAsia" w:hAnsi="宋体"/>
          <w:sz w:val="24"/>
        </w:rPr>
        <w:t>.</w:t>
      </w:r>
      <w:r>
        <w:rPr>
          <w:rFonts w:hint="eastAsia" w:hAnsi="宋体"/>
        </w:rPr>
        <w:t>中小企业声明函</w:t>
      </w:r>
    </w:p>
    <w:p w14:paraId="1B16163C">
      <w:pPr>
        <w:pStyle w:val="28"/>
        <w:snapToGrid w:val="0"/>
        <w:spacing w:before="120" w:beforeLines="0" w:after="120" w:afterLines="0" w:line="240" w:lineRule="auto"/>
        <w:jc w:val="center"/>
        <w:rPr>
          <w:b/>
          <w:sz w:val="28"/>
          <w:szCs w:val="28"/>
        </w:rPr>
      </w:pPr>
      <w:r>
        <w:rPr>
          <w:rFonts w:hint="eastAsia"/>
          <w:b/>
          <w:sz w:val="28"/>
          <w:szCs w:val="28"/>
        </w:rPr>
        <w:t>中小企业声明函（服务类）</w:t>
      </w:r>
    </w:p>
    <w:p w14:paraId="7AEF8414">
      <w:pPr>
        <w:pStyle w:val="28"/>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5861070E">
      <w:pPr>
        <w:pStyle w:val="28"/>
        <w:snapToGrid w:val="0"/>
        <w:spacing w:before="120" w:beforeLines="0" w:after="120" w:afterLines="0" w:line="360" w:lineRule="auto"/>
        <w:ind w:firstLine="480"/>
        <w:jc w:val="left"/>
        <w:rPr>
          <w:bCs/>
          <w:u w:val="single"/>
        </w:rPr>
      </w:pPr>
      <w:r>
        <w:rPr>
          <w:rFonts w:hint="eastAsia"/>
          <w:bCs/>
        </w:rPr>
        <w:t>1、</w:t>
      </w:r>
      <w:bookmarkStart w:id="88" w:name="_Hlk77602836"/>
      <w:r>
        <w:rPr>
          <w:rFonts w:hint="eastAsia"/>
          <w:bCs/>
          <w:u w:val="single"/>
        </w:rPr>
        <w:t>（标的名称）</w:t>
      </w:r>
      <w:r>
        <w:rPr>
          <w:rFonts w:hint="eastAsia"/>
          <w:bCs/>
        </w:rPr>
        <w:t>，属于</w:t>
      </w:r>
      <w:r>
        <w:rPr>
          <w:rFonts w:hint="eastAsia" w:hAnsi="宋体" w:cs="宋体"/>
          <w:u w:val="single"/>
        </w:rPr>
        <w:t>（</w:t>
      </w:r>
      <w:r>
        <w:rPr>
          <w:rFonts w:hint="eastAsia" w:hAnsi="宋体" w:cs="宋体"/>
          <w:u w:val="single"/>
          <w:lang w:eastAsia="zh-CN"/>
        </w:rPr>
        <w:t>工业</w:t>
      </w:r>
      <w:r>
        <w:rPr>
          <w:rFonts w:hint="eastAsia" w:hAnsi="宋体" w:cs="宋体"/>
          <w:u w:val="single"/>
        </w:rPr>
        <w:t>）</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bookmarkEnd w:id="88"/>
    <w:p w14:paraId="6CCF9FB5">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989D029">
      <w:pPr>
        <w:pStyle w:val="28"/>
        <w:snapToGrid w:val="0"/>
        <w:spacing w:before="120" w:beforeLines="0" w:after="120" w:afterLines="0" w:line="360" w:lineRule="auto"/>
        <w:ind w:firstLine="480" w:firstLineChars="200"/>
        <w:jc w:val="left"/>
        <w:rPr>
          <w:bCs/>
        </w:rPr>
      </w:pPr>
      <w:r>
        <w:rPr>
          <w:bCs/>
        </w:rPr>
        <w:t>………</w:t>
      </w:r>
    </w:p>
    <w:p w14:paraId="6F8EBD7A">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0AF08D02">
      <w:pPr>
        <w:pStyle w:val="28"/>
        <w:snapToGrid w:val="0"/>
        <w:spacing w:before="120" w:beforeLines="0" w:after="120" w:afterLines="0" w:line="360" w:lineRule="auto"/>
        <w:ind w:firstLine="482" w:firstLineChars="200"/>
        <w:jc w:val="left"/>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1E059C10">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4B4686B9">
      <w:pPr>
        <w:snapToGrid w:val="0"/>
        <w:spacing w:line="360" w:lineRule="auto"/>
        <w:jc w:val="center"/>
        <w:rPr>
          <w:rFonts w:ascii="宋体" w:hAnsi="宋体"/>
          <w:b/>
          <w:sz w:val="24"/>
        </w:rPr>
      </w:pPr>
      <w:r>
        <w:rPr>
          <w:rFonts w:hint="eastAsia" w:ascii="宋体" w:hAnsi="宋体"/>
          <w:b/>
          <w:sz w:val="24"/>
        </w:rPr>
        <w:t xml:space="preserve">                                              </w:t>
      </w:r>
    </w:p>
    <w:p w14:paraId="153DFA22">
      <w:pPr>
        <w:snapToGrid w:val="0"/>
        <w:spacing w:line="360" w:lineRule="auto"/>
        <w:jc w:val="center"/>
        <w:rPr>
          <w:b/>
        </w:rPr>
      </w:pPr>
      <w:r>
        <w:rPr>
          <w:rFonts w:hint="eastAsia"/>
          <w:b/>
        </w:rPr>
        <w:t xml:space="preserve">                                             日期:_____年___月___日</w:t>
      </w:r>
    </w:p>
    <w:p w14:paraId="635A042A">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highlight w:val="none"/>
          <w:u w:val="none"/>
          <w:shd w:val="clear" w:color="FFFFFF" w:fill="D9D9D9"/>
          <w:lang w:val="en-US" w:eastAsia="zh-CN"/>
        </w:rPr>
      </w:pPr>
    </w:p>
    <w:p w14:paraId="6B3A79B5">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highlight w:val="none"/>
          <w:u w:val="none"/>
          <w:shd w:val="clear" w:color="FFFFFF" w:fill="D9D9D9"/>
          <w:lang w:val="en-US" w:eastAsia="zh-CN"/>
        </w:rPr>
      </w:pPr>
    </w:p>
    <w:p w14:paraId="23DEF8DF">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7BE11CE9">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里面的内容全部填写齐全，《中小企业声明函》中内容未填写齐全的、缺项的，将不给予供应商小微企业报价优惠扣除。</w:t>
      </w:r>
    </w:p>
    <w:p w14:paraId="0A22C9FF">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里面的内容全部填写正确，《中小企业声明函》中填写内容出现错误的（不影响企业规模类型判定的除外）、未如实填写的，将不给予供应商小微企业报价优惠扣除。</w:t>
      </w:r>
    </w:p>
    <w:p w14:paraId="79F1E1EE">
      <w:pPr>
        <w:pStyle w:val="28"/>
        <w:snapToGrid w:val="0"/>
        <w:spacing w:before="120" w:beforeLines="0" w:after="120" w:afterLines="0"/>
        <w:jc w:val="left"/>
        <w:rPr>
          <w:rFonts w:hint="eastAsia"/>
          <w:b/>
          <w:bCs/>
          <w:color w:val="auto"/>
          <w:sz w:val="28"/>
          <w:szCs w:val="28"/>
          <w:u w:val="single"/>
          <w:shd w:val="pct10" w:color="auto" w:fill="FFFFFF"/>
        </w:rPr>
      </w:pPr>
    </w:p>
    <w:p w14:paraId="790CAEA3">
      <w:pPr>
        <w:pStyle w:val="28"/>
        <w:snapToGrid w:val="0"/>
        <w:spacing w:before="120" w:beforeLines="0" w:after="120" w:afterLines="0"/>
        <w:jc w:val="left"/>
        <w:rPr>
          <w:rFonts w:hint="eastAsia"/>
          <w:b/>
          <w:bCs/>
          <w:color w:val="auto"/>
          <w:sz w:val="28"/>
          <w:szCs w:val="28"/>
          <w:u w:val="single"/>
          <w:shd w:val="pct10" w:color="auto" w:fill="FFFFFF"/>
        </w:rPr>
      </w:pPr>
    </w:p>
    <w:p w14:paraId="70691839">
      <w:pPr>
        <w:pStyle w:val="28"/>
        <w:snapToGrid w:val="0"/>
        <w:spacing w:before="120" w:beforeLines="0" w:after="120" w:afterLines="0"/>
        <w:jc w:val="left"/>
        <w:rPr>
          <w:rFonts w:hint="eastAsia"/>
          <w:b/>
          <w:bCs/>
          <w:color w:val="auto"/>
          <w:sz w:val="28"/>
          <w:szCs w:val="28"/>
          <w:u w:val="single"/>
          <w:shd w:val="pct10" w:color="auto" w:fill="FFFFFF"/>
        </w:rPr>
      </w:pPr>
    </w:p>
    <w:p w14:paraId="09EFA06F">
      <w:pPr>
        <w:pStyle w:val="28"/>
        <w:snapToGrid w:val="0"/>
        <w:spacing w:before="120" w:beforeLines="0" w:after="120" w:afterLines="0"/>
        <w:jc w:val="left"/>
        <w:rPr>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填表说明：</w:t>
      </w:r>
    </w:p>
    <w:p w14:paraId="18F6511F">
      <w:pPr>
        <w:pStyle w:val="28"/>
        <w:snapToGrid w:val="0"/>
        <w:spacing w:before="120" w:beforeLines="0" w:after="120" w:afterLines="0"/>
        <w:jc w:val="left"/>
        <w:rPr>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1、标的分别由不同承接企业承接的，请按序号填写齐全所有标的承接企业的信息。</w:t>
      </w:r>
    </w:p>
    <w:p w14:paraId="492AA3BF">
      <w:pPr>
        <w:pStyle w:val="28"/>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2、从业人员、营业收入、资产总额填报上一年度数据，无上一年度数据的新成立企业可不填报。</w:t>
      </w:r>
    </w:p>
    <w:p w14:paraId="21B5C32A">
      <w:pPr>
        <w:pStyle w:val="28"/>
        <w:snapToGrid w:val="0"/>
        <w:spacing w:before="120" w:after="120"/>
        <w:jc w:val="left"/>
        <w:rPr>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3、（1）按照国家统计局统计口径规定，单位从业人员指报告期末最后一日在本单位工作，并取得工资或其他形式劳动报酬的人员数。</w:t>
      </w:r>
    </w:p>
    <w:p w14:paraId="5824A86E">
      <w:pPr>
        <w:pStyle w:val="28"/>
        <w:snapToGrid w:val="0"/>
        <w:spacing w:before="120" w:after="12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（2）企业划型时，应将分公司的从业人员、营业收入纳入合并计算。</w:t>
      </w:r>
    </w:p>
    <w:p w14:paraId="581F35B3">
      <w:pPr>
        <w:pStyle w:val="28"/>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4、供应商应当按照</w:t>
      </w:r>
      <w:r>
        <w:rPr>
          <w:rFonts w:hint="eastAsia"/>
          <w:b/>
          <w:bCs/>
          <w:color w:val="auto"/>
          <w:sz w:val="24"/>
          <w:szCs w:val="24"/>
          <w:u w:val="single"/>
          <w:shd w:val="pct10" w:color="auto" w:fill="FFFFFF"/>
          <w:lang w:val="en-US" w:eastAsia="zh-CN"/>
        </w:rPr>
        <w:t>磋商</w:t>
      </w:r>
      <w:r>
        <w:rPr>
          <w:rFonts w:hint="eastAsia"/>
          <w:b/>
          <w:bCs/>
          <w:color w:val="auto"/>
          <w:sz w:val="24"/>
          <w:szCs w:val="24"/>
          <w:u w:val="single"/>
          <w:shd w:val="pct10" w:color="auto" w:fill="FFFFFF"/>
          <w:lang w:eastAsia="zh-CN"/>
        </w:rPr>
        <w:t>文件中明确的采购标的所属行业的划分标准来评判承接企业的企业规模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w:t>
      </w:r>
    </w:p>
    <w:p w14:paraId="36FC6CE5">
      <w:pPr>
        <w:pStyle w:val="28"/>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5、为了更加准确判定制造商是否为小微企业，请投标人根据工业和信息化部官方网站---中小企业规模类型自测小程序来辨别制造商企业规模类型，中小企业规模类型自测小程序链接网址为</w:t>
      </w:r>
    </w:p>
    <w:p w14:paraId="220366C2">
      <w:pPr>
        <w:pStyle w:val="28"/>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http://202.106.120.146/baosong/appweb/orgScale.html</w:t>
      </w:r>
    </w:p>
    <w:p w14:paraId="579FDB42">
      <w:pPr>
        <w:pStyle w:val="28"/>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6、投标人未提供《中小企业声明函》的、《中小企业声明函》中内容未填写齐全的、缺项的、填写内容出现错误的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u w:val="single"/>
          <w:shd w:val="pct10" w:color="auto" w:fill="FFFFFF"/>
          <w:lang w:eastAsia="zh-CN"/>
        </w:rPr>
        <w:t>、未如实填写的，将不给予投标人小微企业报价优惠扣除。</w:t>
      </w:r>
    </w:p>
    <w:p w14:paraId="3AA9D6FA">
      <w:pPr>
        <w:pStyle w:val="28"/>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中标人享受小微企业报价优惠扣除的，将在中标（成交）结果公告中公开中标人的《中小企业声明函》。</w:t>
      </w:r>
    </w:p>
    <w:p w14:paraId="5279D814">
      <w:pPr>
        <w:pStyle w:val="28"/>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52CE4FCC">
      <w:pPr>
        <w:widowControl/>
        <w:spacing w:line="330" w:lineRule="atLeast"/>
        <w:jc w:val="both"/>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8、如国家对中小企业划型标准有新的规定的，从其规定。</w:t>
      </w:r>
    </w:p>
    <w:p w14:paraId="0BF1B544">
      <w:pPr>
        <w:widowControl/>
        <w:spacing w:line="330" w:lineRule="atLeast"/>
        <w:jc w:val="center"/>
        <w:rPr>
          <w:rFonts w:hint="eastAsia" w:ascii="方正小标宋_GBK" w:hAnsi="宋体" w:eastAsia="方正小标宋_GBK" w:cs="宋体"/>
          <w:color w:val="000000"/>
          <w:kern w:val="0"/>
          <w:sz w:val="36"/>
          <w:szCs w:val="32"/>
        </w:rPr>
      </w:pPr>
      <w:r>
        <w:br w:type="page"/>
      </w: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A24107A">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1B4BD349">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5152A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5CDEA61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4EAD722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229B5A8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14F7E6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85C91D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CD8343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0DF5BC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81782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9CE4CA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E04E2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5FE04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CA996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3259F04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23B721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23E4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5C51C2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AAFE2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D3B3D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52E4EF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4D4FB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810C0F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818C8C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8A1FBF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D477BE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7625A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ED97A8">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237D32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DCB9A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1C540A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8A5C5A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BCB7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30AB6F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CD6AC8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58C1704A">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38C1D04">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195303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44913F5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C8C18B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AC88C4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D3775B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B6CC1E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6629F0">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AE7E8A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55575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085D156C">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2D419A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B2598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98AC9B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6B53EE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0BF579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FA5AE2C">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7723AD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40955636">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09D13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DF4A6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A264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ED749C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B88A0E">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B80852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3B7CC0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3709945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72B5EB8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1A4E1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04022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58F56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26428E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C4571E">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1F7F99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475ACC5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57FCE5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1DB60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29967E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EE68C3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B5C45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4382B5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6717EB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45B718F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384BD0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B15B4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2ADC979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BECBCB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1FCAD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1BEE35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D16A8F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1195D9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785DE4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79EB0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4DCA76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E11624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91A15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9B671A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4ABD1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765807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E0A0A2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D6B4D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759B89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11538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E4353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E31F30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8354F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0A34313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5ECD43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2EB5DE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FE4C8C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D090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34E192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48E677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2E60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C84655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75C2F8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FAE7F4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5232AEE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E378A9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FA93DC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0C43D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7B30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44E271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5816DE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B2FA3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E2155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0D1985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17354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28AE57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AC0A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582943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4137B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05D53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BA5E04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6B09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ACC1D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677967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945F2C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D3A1F6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4606E6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83052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CF194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B198E3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08546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61C906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A7525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F02677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C070E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B1B13F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AD2E0D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D68196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A660A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35277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B8C3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84E45F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1A098D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ECB5F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5AA0CC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A42A2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5C0896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3C7C4C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4EB44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67A21C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CF024B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1CE036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080A10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D05302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7783D90">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6646A67B">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7A8B31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D19C4D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03D08D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A8B6AE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E9C6B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599A7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3F1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104105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7FD15B5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5155C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6FD2C7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F671F2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43549E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D867FB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6643E2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C6C17C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700A54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9B20F7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4F78B2C">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B48C7C0">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B241D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28F5C4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DF18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E3EBC2D">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47FA6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150EE2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FA227E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AA9CE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D74095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B9D612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655E84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8AAE5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4F23480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6D59A0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6CDF7E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568DEB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2EF4F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7BC946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C5AD07">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F2B922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5613F0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763AE8EB">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6D95BC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641FD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15A474D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D57E71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16EEAA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110B16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B8E700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073449E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3964CC6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55C734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88412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50078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418F1D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7F3CF25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D6616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762E447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7F8DC8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2CEF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17020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F87578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6FE04E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AA40A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B66B47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6DD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B0E4EF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BAC6D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681E0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A4991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09B9779">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2F68F1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5BCBD6E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3EDFDE2">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F1AD77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BE33B1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FAAA6C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6E0814A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C0A84D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AA47BF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EF599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1C76254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64D8449C">
      <w:pPr>
        <w:widowControl/>
        <w:spacing w:line="540" w:lineRule="exact"/>
        <w:rPr>
          <w:rFonts w:hint="eastAsia"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2FD87132">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6811CBA2">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F7AD411">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E8A9879">
      <w:pPr>
        <w:spacing w:line="540" w:lineRule="exact"/>
        <w:rPr>
          <w:rFonts w:hint="eastAsia" w:ascii="宋体" w:hAnsi="宋体" w:eastAsia="宋体" w:cs="宋体"/>
          <w:color w:val="000000"/>
          <w:spacing w:val="8"/>
          <w:kern w:val="0"/>
          <w:sz w:val="28"/>
          <w:szCs w:val="28"/>
        </w:rPr>
      </w:pPr>
    </w:p>
    <w:p w14:paraId="6D66E20E">
      <w:pPr>
        <w:pStyle w:val="28"/>
        <w:snapToGrid w:val="0"/>
        <w:spacing w:before="120" w:beforeLines="0" w:after="120" w:afterLines="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w:t>
      </w:r>
      <w:r>
        <w:rPr>
          <w:rFonts w:hint="eastAsia" w:hAnsi="宋体" w:cs="宋体"/>
          <w:color w:val="auto"/>
          <w:highlight w:val="none"/>
          <w:lang w:val="en-US" w:eastAsia="zh-CN"/>
        </w:rPr>
        <w:t>6</w:t>
      </w:r>
      <w:r>
        <w:rPr>
          <w:rFonts w:hint="eastAsia" w:ascii="宋体" w:hAnsi="宋体" w:eastAsia="宋体" w:cs="宋体"/>
          <w:color w:val="auto"/>
          <w:highlight w:val="none"/>
        </w:rPr>
        <w:t>.政府采购活动现场确认声明书</w:t>
      </w:r>
    </w:p>
    <w:p w14:paraId="3E832F62">
      <w:pPr>
        <w:snapToGrid w:val="0"/>
        <w:spacing w:line="500" w:lineRule="exact"/>
        <w:jc w:val="center"/>
        <w:rPr>
          <w:rFonts w:hint="eastAsia" w:ascii="宋体" w:hAnsi="宋体" w:eastAsia="宋体" w:cs="宋体"/>
          <w:color w:val="auto"/>
          <w:sz w:val="44"/>
          <w:szCs w:val="44"/>
          <w:highlight w:val="none"/>
        </w:rPr>
      </w:pPr>
    </w:p>
    <w:p w14:paraId="52A66793">
      <w:pPr>
        <w:snapToGrid w:val="0"/>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政府采购活动现场确认声明书</w:t>
      </w:r>
    </w:p>
    <w:p w14:paraId="14F58D26">
      <w:pPr>
        <w:snapToGrid w:val="0"/>
        <w:spacing w:line="500" w:lineRule="exac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（采购组织机构名称）：</w:t>
      </w:r>
    </w:p>
    <w:p w14:paraId="39485588">
      <w:pPr>
        <w:widowControl/>
        <w:spacing w:line="360" w:lineRule="exact"/>
        <w:ind w:firstLine="504"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spacing w:val="6"/>
          <w:kern w:val="0"/>
          <w:sz w:val="24"/>
          <w:highlight w:val="none"/>
          <w:lang w:val="zh-CN" w:eastAsia="zh-CN"/>
        </w:rPr>
        <w:t>本人经由</w:t>
      </w:r>
      <w:r>
        <w:rPr>
          <w:rFonts w:hint="eastAsia" w:ascii="宋体" w:hAnsi="宋体" w:eastAsia="宋体" w:cs="宋体"/>
          <w:color w:val="auto"/>
          <w:spacing w:val="6"/>
          <w:kern w:val="0"/>
          <w:sz w:val="24"/>
          <w:highlight w:val="none"/>
          <w:u w:val="single"/>
          <w:lang w:val="zh-CN" w:eastAsia="zh-CN"/>
        </w:rPr>
        <w:t xml:space="preserve">                </w:t>
      </w:r>
      <w:r>
        <w:rPr>
          <w:rFonts w:hint="eastAsia" w:ascii="宋体" w:hAnsi="宋体" w:eastAsia="宋体" w:cs="宋体"/>
          <w:color w:val="auto"/>
          <w:spacing w:val="6"/>
          <w:kern w:val="0"/>
          <w:sz w:val="24"/>
          <w:highlight w:val="none"/>
          <w:u w:val="single"/>
          <w:lang w:val="zh-CN"/>
        </w:rPr>
        <w:t xml:space="preserve">  </w:t>
      </w:r>
      <w:r>
        <w:rPr>
          <w:rFonts w:hint="eastAsia" w:ascii="宋体" w:hAnsi="宋体" w:eastAsia="宋体" w:cs="宋体"/>
          <w:color w:val="auto"/>
          <w:spacing w:val="6"/>
          <w:kern w:val="0"/>
          <w:sz w:val="24"/>
          <w:highlight w:val="none"/>
          <w:u w:val="single"/>
          <w:lang w:val="zh-CN" w:eastAsia="zh-CN"/>
        </w:rPr>
        <w:t xml:space="preserve">           </w:t>
      </w:r>
      <w:r>
        <w:rPr>
          <w:rFonts w:hint="eastAsia" w:ascii="宋体" w:hAnsi="宋体" w:eastAsia="宋体" w:cs="宋体"/>
          <w:color w:val="auto"/>
          <w:spacing w:val="6"/>
          <w:kern w:val="0"/>
          <w:sz w:val="24"/>
          <w:highlight w:val="none"/>
          <w:lang w:val="zh-CN" w:eastAsia="zh-CN"/>
        </w:rPr>
        <w:t>单位</w:t>
      </w:r>
      <w:r>
        <w:rPr>
          <w:rFonts w:hint="eastAsia" w:ascii="宋体" w:hAnsi="宋体" w:eastAsia="宋体" w:cs="宋体"/>
          <w:color w:val="auto"/>
          <w:spacing w:val="6"/>
          <w:kern w:val="0"/>
          <w:sz w:val="24"/>
          <w:highlight w:val="none"/>
          <w:u w:val="single"/>
          <w:lang w:val="zh-CN" w:eastAsia="zh-CN"/>
        </w:rPr>
        <w:t xml:space="preserve">         (</w:t>
      </w:r>
      <w:r>
        <w:rPr>
          <w:rFonts w:hint="eastAsia" w:ascii="宋体" w:hAnsi="宋体" w:eastAsia="宋体" w:cs="宋体"/>
          <w:color w:val="auto"/>
          <w:spacing w:val="6"/>
          <w:kern w:val="0"/>
          <w:sz w:val="24"/>
          <w:highlight w:val="none"/>
          <w:u w:val="single"/>
          <w:lang w:val="zh-CN"/>
        </w:rPr>
        <w:t>法人代表)</w:t>
      </w:r>
      <w:r>
        <w:rPr>
          <w:rFonts w:hint="eastAsia" w:ascii="宋体" w:hAnsi="宋体" w:eastAsia="宋体" w:cs="宋体"/>
          <w:color w:val="auto"/>
          <w:spacing w:val="6"/>
          <w:kern w:val="0"/>
          <w:sz w:val="24"/>
          <w:highlight w:val="none"/>
          <w:lang w:val="zh-CN" w:eastAsia="zh-CN"/>
        </w:rPr>
        <w:t>合法授权参加</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zh-CN" w:eastAsia="zh-CN"/>
        </w:rPr>
        <w:t>采购</w:t>
      </w:r>
      <w:r>
        <w:rPr>
          <w:rFonts w:hint="eastAsia" w:ascii="宋体" w:hAnsi="宋体" w:eastAsia="宋体" w:cs="宋体"/>
          <w:color w:val="auto"/>
          <w:spacing w:val="6"/>
          <w:kern w:val="0"/>
          <w:sz w:val="24"/>
          <w:highlight w:val="none"/>
          <w:u w:val="single"/>
          <w:lang w:val="zh-CN" w:eastAsia="zh-CN"/>
        </w:rPr>
        <w:t>（编号：</w:t>
      </w:r>
      <w:r>
        <w:rPr>
          <w:rFonts w:hint="eastAsia" w:ascii="宋体" w:hAnsi="宋体" w:eastAsia="宋体" w:cs="宋体"/>
          <w:color w:val="auto"/>
          <w:spacing w:val="6"/>
          <w:kern w:val="0"/>
          <w:sz w:val="24"/>
          <w:highlight w:val="none"/>
          <w:u w:val="single"/>
          <w:lang w:val="zh-CN"/>
        </w:rPr>
        <w:t xml:space="preserve">       </w:t>
      </w:r>
      <w:r>
        <w:rPr>
          <w:rFonts w:hint="eastAsia" w:ascii="宋体" w:hAnsi="宋体" w:eastAsia="宋体" w:cs="宋体"/>
          <w:color w:val="auto"/>
          <w:spacing w:val="6"/>
          <w:kern w:val="0"/>
          <w:sz w:val="24"/>
          <w:highlight w:val="none"/>
          <w:u w:val="single"/>
          <w:lang w:val="zh-CN" w:eastAsia="zh-CN"/>
        </w:rPr>
        <w:t>）</w:t>
      </w:r>
      <w:r>
        <w:rPr>
          <w:rFonts w:hint="eastAsia" w:ascii="宋体" w:hAnsi="宋体" w:eastAsia="宋体" w:cs="宋体"/>
          <w:color w:val="auto"/>
          <w:spacing w:val="6"/>
          <w:kern w:val="0"/>
          <w:sz w:val="24"/>
          <w:highlight w:val="none"/>
          <w:lang w:val="zh-CN" w:eastAsia="zh-CN"/>
        </w:rPr>
        <w:t>政府采购活动，经与本单位法人代表（负责人）联系确认，现就有关公平竞争事项郑重声明如下：</w:t>
      </w:r>
    </w:p>
    <w:p w14:paraId="41D7A715">
      <w:pPr>
        <w:widowControl/>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一、本单位与采购人之间</w:t>
      </w:r>
    </w:p>
    <w:p w14:paraId="361D7F0F">
      <w:pPr>
        <w:widowControl/>
        <w:snapToGrid w:val="0"/>
        <w:spacing w:line="440" w:lineRule="exact"/>
        <w:ind w:left="454"/>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□不存在利害关系</w:t>
      </w:r>
    </w:p>
    <w:p w14:paraId="56A7B73D">
      <w:pPr>
        <w:widowControl/>
        <w:snapToGrid w:val="0"/>
        <w:spacing w:line="440" w:lineRule="exact"/>
        <w:ind w:left="454"/>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□存在下列利害关系：</w:t>
      </w:r>
    </w:p>
    <w:p w14:paraId="00026EC6">
      <w:pPr>
        <w:widowControl/>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A.投资关系    B.行政隶属关系    C.业务指导关系</w:t>
      </w:r>
    </w:p>
    <w:p w14:paraId="50A2748E">
      <w:pPr>
        <w:widowControl/>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D.其他可能</w:t>
      </w:r>
      <w:r>
        <w:rPr>
          <w:rFonts w:hint="eastAsia" w:ascii="宋体" w:hAnsi="宋体" w:eastAsia="宋体" w:cs="宋体"/>
          <w:color w:val="auto"/>
          <w:sz w:val="24"/>
          <w:highlight w:val="none"/>
        </w:rPr>
        <w:t>影响采购公正的</w:t>
      </w:r>
      <w:r>
        <w:rPr>
          <w:rFonts w:hint="eastAsia" w:ascii="宋体" w:hAnsi="宋体" w:eastAsia="宋体" w:cs="宋体"/>
          <w:color w:val="auto"/>
          <w:kern w:val="0"/>
          <w:sz w:val="24"/>
          <w:highlight w:val="none"/>
        </w:rPr>
        <w:t>利害关系。</w:t>
      </w:r>
    </w:p>
    <w:p w14:paraId="6A2C2263">
      <w:pPr>
        <w:widowControl/>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spacing w:val="6"/>
          <w:sz w:val="24"/>
          <w:highlight w:val="none"/>
        </w:rPr>
        <w:t>二、</w:t>
      </w:r>
      <w:r>
        <w:rPr>
          <w:rFonts w:hint="eastAsia" w:ascii="宋体" w:hAnsi="宋体" w:eastAsia="宋体" w:cs="宋体"/>
          <w:color w:val="auto"/>
          <w:kern w:val="0"/>
          <w:sz w:val="24"/>
          <w:highlight w:val="none"/>
        </w:rPr>
        <w:t>现已清楚知道参加本项目采购活动的其他所有供应商名称，本单位</w:t>
      </w:r>
    </w:p>
    <w:p w14:paraId="17695F70">
      <w:pPr>
        <w:widowControl/>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□与其他所有供应商之间均不存在利害关系</w:t>
      </w:r>
    </w:p>
    <w:p w14:paraId="301D039E">
      <w:pPr>
        <w:widowControl/>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□与之间存在下列利害关系：</w:t>
      </w:r>
    </w:p>
    <w:p w14:paraId="3FD3D1C2">
      <w:pPr>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A.法定代表人或负责人或实际控制人是同一人</w:t>
      </w:r>
    </w:p>
    <w:p w14:paraId="12D440A5">
      <w:pPr>
        <w:snapToGrid w:val="0"/>
        <w:spacing w:line="440" w:lineRule="exact"/>
        <w:rPr>
          <w:rFonts w:hint="eastAsia" w:ascii="宋体" w:hAnsi="宋体" w:eastAsia="宋体" w:cs="宋体"/>
          <w:color w:val="auto"/>
          <w:spacing w:val="6"/>
          <w:sz w:val="24"/>
          <w:highlight w:val="none"/>
        </w:rPr>
      </w:pPr>
      <w:r>
        <w:rPr>
          <w:rFonts w:hint="eastAsia" w:ascii="宋体" w:hAnsi="宋体" w:eastAsia="宋体" w:cs="宋体"/>
          <w:color w:val="auto"/>
          <w:kern w:val="0"/>
          <w:sz w:val="24"/>
          <w:highlight w:val="none"/>
        </w:rPr>
        <w:t xml:space="preserve">  B.法定代表人或负责人或实际控制人是夫妻关系</w:t>
      </w:r>
    </w:p>
    <w:p w14:paraId="7B098BAD">
      <w:pPr>
        <w:snapToGrid w:val="0"/>
        <w:spacing w:line="440" w:lineRule="exact"/>
        <w:rPr>
          <w:rFonts w:hint="eastAsia" w:ascii="宋体" w:hAnsi="宋体" w:eastAsia="宋体" w:cs="宋体"/>
          <w:color w:val="auto"/>
          <w:spacing w:val="6"/>
          <w:sz w:val="24"/>
          <w:highlight w:val="none"/>
        </w:rPr>
      </w:pPr>
      <w:r>
        <w:rPr>
          <w:rFonts w:hint="eastAsia" w:ascii="宋体" w:hAnsi="宋体" w:eastAsia="宋体" w:cs="宋体"/>
          <w:color w:val="auto"/>
          <w:kern w:val="0"/>
          <w:sz w:val="24"/>
          <w:highlight w:val="none"/>
        </w:rPr>
        <w:t xml:space="preserve">  C.法定代表人或负责人或实际控制人是直系血亲关系</w:t>
      </w:r>
    </w:p>
    <w:p w14:paraId="531F45BD">
      <w:pPr>
        <w:snapToGrid w:val="0"/>
        <w:spacing w:line="440" w:lineRule="exact"/>
        <w:rPr>
          <w:rFonts w:hint="eastAsia" w:ascii="宋体" w:hAnsi="宋体" w:eastAsia="宋体" w:cs="宋体"/>
          <w:color w:val="auto"/>
          <w:spacing w:val="6"/>
          <w:sz w:val="24"/>
          <w:highlight w:val="none"/>
        </w:rPr>
      </w:pPr>
      <w:r>
        <w:rPr>
          <w:rFonts w:hint="eastAsia" w:ascii="宋体" w:hAnsi="宋体" w:eastAsia="宋体" w:cs="宋体"/>
          <w:color w:val="auto"/>
          <w:kern w:val="0"/>
          <w:sz w:val="24"/>
          <w:highlight w:val="none"/>
        </w:rPr>
        <w:t xml:space="preserve">  D.法定代表人或负责人或实际控制人存在三代以内旁系血亲关系</w:t>
      </w:r>
    </w:p>
    <w:p w14:paraId="13AD2E22">
      <w:pPr>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E.法定代表人或负责人或实际控制人存在近姻亲关系</w:t>
      </w:r>
    </w:p>
    <w:p w14:paraId="42FC9A1F">
      <w:pPr>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F.法定代表人或负责人或实际控制人存在股份控制或实际控制关系</w:t>
      </w:r>
    </w:p>
    <w:p w14:paraId="00ADF631">
      <w:pPr>
        <w:snapToGrid w:val="0"/>
        <w:spacing w:line="440" w:lineRule="exact"/>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G.存在共同直接或间接投资设立子公司、联营企业和合营企业情况</w:t>
      </w:r>
    </w:p>
    <w:p w14:paraId="29AEC404">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  H.存在分级代理或代销关系、同一生产制造商关系、</w:t>
      </w:r>
      <w:r>
        <w:rPr>
          <w:rFonts w:hint="eastAsia" w:ascii="宋体" w:hAnsi="宋体" w:eastAsia="宋体" w:cs="宋体"/>
          <w:color w:val="auto"/>
          <w:sz w:val="24"/>
          <w:highlight w:val="none"/>
        </w:rPr>
        <w:t>管理关系、重要业务（占主营业务收入50%以上）或重要财务往来关系（如融资）等其他实质性控制关系</w:t>
      </w:r>
    </w:p>
    <w:p w14:paraId="79AFF322">
      <w:pPr>
        <w:snapToGrid w:val="0"/>
        <w:spacing w:line="440" w:lineRule="exact"/>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I</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其他利害关系情况</w:t>
      </w:r>
      <w:r>
        <w:rPr>
          <w:rFonts w:hint="eastAsia" w:ascii="宋体" w:hAnsi="宋体" w:eastAsia="宋体" w:cs="宋体"/>
          <w:color w:val="auto"/>
          <w:kern w:val="0"/>
          <w:sz w:val="24"/>
          <w:highlight w:val="none"/>
        </w:rPr>
        <w:t>。</w:t>
      </w:r>
    </w:p>
    <w:p w14:paraId="541BC4DB">
      <w:pPr>
        <w:widowControl/>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三、现已清楚知道并</w:t>
      </w:r>
      <w:r>
        <w:rPr>
          <w:rFonts w:hint="eastAsia" w:ascii="宋体" w:hAnsi="宋体" w:eastAsia="宋体" w:cs="宋体"/>
          <w:color w:val="auto"/>
          <w:kern w:val="0"/>
          <w:sz w:val="24"/>
          <w:highlight w:val="none"/>
        </w:rPr>
        <w:t>严格遵守政府采购法律法规和现场纪律。</w:t>
      </w:r>
    </w:p>
    <w:p w14:paraId="3B7ABE75">
      <w:pPr>
        <w:widowControl/>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四、我发现供应商之间存在或可能存在上述第二条第项利害关系。</w:t>
      </w:r>
    </w:p>
    <w:p w14:paraId="0A53D02A">
      <w:pPr>
        <w:widowControl/>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□不存在利害关系</w:t>
      </w:r>
    </w:p>
    <w:p w14:paraId="57B8C12C">
      <w:pPr>
        <w:widowControl/>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□存在下列利害关系</w:t>
      </w:r>
    </w:p>
    <w:p w14:paraId="5BD6C555">
      <w:pPr>
        <w:snapToGrid w:val="0"/>
        <w:spacing w:line="500" w:lineRule="exact"/>
        <w:ind w:firstLine="480" w:firstLineChars="200"/>
        <w:rPr>
          <w:rFonts w:hint="eastAsia" w:ascii="宋体" w:hAnsi="宋体" w:eastAsia="宋体" w:cs="宋体"/>
          <w:color w:val="auto"/>
          <w:sz w:val="24"/>
          <w:highlight w:val="none"/>
        </w:rPr>
      </w:pPr>
    </w:p>
    <w:p w14:paraId="3F6F8A14">
      <w:pPr>
        <w:snapToGrid w:val="0"/>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供应商代表签名：</w:t>
      </w:r>
    </w:p>
    <w:p w14:paraId="230F8471">
      <w:pPr>
        <w:ind w:firstLine="3840" w:firstLineChars="1600"/>
        <w:rPr>
          <w:rFonts w:hint="eastAsia" w:ascii="宋体" w:hAnsi="宋体" w:eastAsia="宋体" w:cs="宋体"/>
          <w:color w:val="auto"/>
          <w:sz w:val="24"/>
          <w:highlight w:val="none"/>
        </w:rPr>
      </w:pPr>
    </w:p>
    <w:p w14:paraId="34D83101">
      <w:pPr>
        <w:ind w:firstLine="5880" w:firstLineChars="245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sectPr>
      <w:footerReference r:id="rId5" w:type="default"/>
      <w:footerReference r:id="rId6" w:type="even"/>
      <w:pgSz w:w="11906" w:h="16838"/>
      <w:pgMar w:top="1021" w:right="1588" w:bottom="851" w:left="1588" w:header="567" w:footer="45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NumberOnly"/>
    <w:panose1 w:val="020B0403020202020204"/>
    <w:charset w:val="00"/>
    <w:family w:val="swiss"/>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BB45F">
                          <w:pPr>
                            <w:pStyle w:val="33"/>
                            <w:jc w:val="right"/>
                          </w:pPr>
                          <w:r>
                            <w:fldChar w:fldCharType="begin"/>
                          </w:r>
                          <w:r>
                            <w:instrText xml:space="preserve">PAGE   \* MERGEFORMAT</w:instrText>
                          </w:r>
                          <w:r>
                            <w:fldChar w:fldCharType="separate"/>
                          </w:r>
                          <w:r>
                            <w:rPr>
                              <w:lang w:val="zh-CN"/>
                            </w:rP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DBB45F">
                    <w:pPr>
                      <w:pStyle w:val="33"/>
                      <w:jc w:val="right"/>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14:paraId="115341D8">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6EC5">
    <w:pPr>
      <w:pStyle w:val="3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6D301">
                          <w:pPr>
                            <w:pStyle w:val="33"/>
                            <w:rPr>
                              <w:rStyle w:val="53"/>
                            </w:rPr>
                          </w:pPr>
                          <w:r>
                            <w:fldChar w:fldCharType="begin"/>
                          </w:r>
                          <w:r>
                            <w:rPr>
                              <w:rStyle w:val="53"/>
                            </w:rPr>
                            <w:instrText xml:space="preserve">PAGE  </w:instrText>
                          </w:r>
                          <w:r>
                            <w:fldChar w:fldCharType="separate"/>
                          </w:r>
                          <w:r>
                            <w:rPr>
                              <w:rStyle w:val="53"/>
                            </w:rP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06D301">
                    <w:pPr>
                      <w:pStyle w:val="33"/>
                      <w:rPr>
                        <w:rStyle w:val="53"/>
                      </w:rPr>
                    </w:pPr>
                    <w:r>
                      <w:fldChar w:fldCharType="begin"/>
                    </w:r>
                    <w:r>
                      <w:rPr>
                        <w:rStyle w:val="53"/>
                      </w:rPr>
                      <w:instrText xml:space="preserve">PAGE  </w:instrText>
                    </w:r>
                    <w:r>
                      <w:fldChar w:fldCharType="separate"/>
                    </w:r>
                    <w:r>
                      <w:rPr>
                        <w:rStyle w:val="53"/>
                      </w:rP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4E7A6"/>
    <w:multiLevelType w:val="singleLevel"/>
    <w:tmpl w:val="E494E7A6"/>
    <w:lvl w:ilvl="0" w:tentative="0">
      <w:start w:val="1"/>
      <w:numFmt w:val="decimal"/>
      <w:suff w:val="nothing"/>
      <w:lvlText w:val="%1、"/>
      <w:lvlJc w:val="left"/>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80"/>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9364B06"/>
    <w:multiLevelType w:val="singleLevel"/>
    <w:tmpl w:val="59364B06"/>
    <w:lvl w:ilvl="0" w:tentative="0">
      <w:start w:val="1"/>
      <w:numFmt w:val="decimal"/>
      <w:suff w:val="nothing"/>
      <w:lvlText w:val="%1、"/>
      <w:lvlJc w:val="left"/>
      <w:rPr>
        <w:rFonts w:hint="default"/>
        <w:b w:val="0"/>
        <w:bCs w:val="0"/>
      </w:rPr>
    </w:lvl>
  </w:abstractNum>
  <w:num w:numId="1">
    <w:abstractNumId w:val="2"/>
  </w:num>
  <w:num w:numId="2">
    <w:abstractNumId w:val="1"/>
    <w:lvlOverride w:ilvl="0">
      <w:lvl w:ilvl="0" w:tentative="1">
        <w:start w:val="0"/>
        <w:numFmt w:val="bullet"/>
        <w:pStyle w:val="308"/>
        <w:lvlText w:val=""/>
        <w:legacy w:legacy="1" w:legacySpace="0" w:legacyIndent="360"/>
        <w:lvlJc w:val="left"/>
        <w:rPr>
          <w:rFonts w:hint="default" w:ascii="Symbol" w:hAnsi="Symbol"/>
        </w:rPr>
      </w:lvl>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8B9"/>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2C2434F"/>
    <w:rsid w:val="04BC0663"/>
    <w:rsid w:val="07983D2E"/>
    <w:rsid w:val="08BE6B9D"/>
    <w:rsid w:val="0A6C0C98"/>
    <w:rsid w:val="0AD02E01"/>
    <w:rsid w:val="0D335069"/>
    <w:rsid w:val="0DD31124"/>
    <w:rsid w:val="0F7B3941"/>
    <w:rsid w:val="11E5626B"/>
    <w:rsid w:val="134223C1"/>
    <w:rsid w:val="14D00DDF"/>
    <w:rsid w:val="18840E92"/>
    <w:rsid w:val="1ED23F5F"/>
    <w:rsid w:val="1F5E479D"/>
    <w:rsid w:val="246615F4"/>
    <w:rsid w:val="27FA0D7D"/>
    <w:rsid w:val="283B09FF"/>
    <w:rsid w:val="283C6D97"/>
    <w:rsid w:val="28F51235"/>
    <w:rsid w:val="29E96216"/>
    <w:rsid w:val="2A777809"/>
    <w:rsid w:val="2C182496"/>
    <w:rsid w:val="2CD64511"/>
    <w:rsid w:val="2D3B1518"/>
    <w:rsid w:val="2F1001B1"/>
    <w:rsid w:val="32DE4916"/>
    <w:rsid w:val="32FB3538"/>
    <w:rsid w:val="33B21DB7"/>
    <w:rsid w:val="380017DA"/>
    <w:rsid w:val="388B14B0"/>
    <w:rsid w:val="38CD6721"/>
    <w:rsid w:val="3AC11B74"/>
    <w:rsid w:val="402B1DEA"/>
    <w:rsid w:val="40D407AD"/>
    <w:rsid w:val="412C533B"/>
    <w:rsid w:val="42E16E80"/>
    <w:rsid w:val="42F535F3"/>
    <w:rsid w:val="430E37EA"/>
    <w:rsid w:val="45372A98"/>
    <w:rsid w:val="465D18D6"/>
    <w:rsid w:val="48E5353B"/>
    <w:rsid w:val="4B84663A"/>
    <w:rsid w:val="4DAA5EF7"/>
    <w:rsid w:val="4F0F3639"/>
    <w:rsid w:val="4F4C6922"/>
    <w:rsid w:val="4FE9026E"/>
    <w:rsid w:val="505849B7"/>
    <w:rsid w:val="52076924"/>
    <w:rsid w:val="549A7E9F"/>
    <w:rsid w:val="56056329"/>
    <w:rsid w:val="59913C4B"/>
    <w:rsid w:val="5C7906B8"/>
    <w:rsid w:val="5CD7083D"/>
    <w:rsid w:val="5D884F81"/>
    <w:rsid w:val="5EF32381"/>
    <w:rsid w:val="5F5E6805"/>
    <w:rsid w:val="6120160D"/>
    <w:rsid w:val="62172BB5"/>
    <w:rsid w:val="625E4788"/>
    <w:rsid w:val="62C855FE"/>
    <w:rsid w:val="660C5F5B"/>
    <w:rsid w:val="67B436C4"/>
    <w:rsid w:val="680663E7"/>
    <w:rsid w:val="6842639B"/>
    <w:rsid w:val="69AB6951"/>
    <w:rsid w:val="6A0F021F"/>
    <w:rsid w:val="6B157639"/>
    <w:rsid w:val="6B5D440C"/>
    <w:rsid w:val="6BCB007C"/>
    <w:rsid w:val="6CF1138C"/>
    <w:rsid w:val="6DBE2210"/>
    <w:rsid w:val="72892320"/>
    <w:rsid w:val="75AB7CDD"/>
    <w:rsid w:val="76D05301"/>
    <w:rsid w:val="7D33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8"/>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3"/>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8"/>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2"/>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2"/>
    <w:qFormat/>
    <w:uiPriority w:val="0"/>
    <w:pPr>
      <w:keepNext/>
      <w:keepLines/>
      <w:spacing w:before="240" w:after="64" w:line="320" w:lineRule="auto"/>
      <w:outlineLvl w:val="6"/>
    </w:pPr>
    <w:rPr>
      <w:b/>
      <w:bCs/>
      <w:kern w:val="0"/>
      <w:sz w:val="24"/>
    </w:rPr>
  </w:style>
  <w:style w:type="paragraph" w:styleId="10">
    <w:name w:val="heading 8"/>
    <w:basedOn w:val="1"/>
    <w:next w:val="1"/>
    <w:link w:val="222"/>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2"/>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1"/>
    <w:qFormat/>
    <w:uiPriority w:val="99"/>
    <w:pPr>
      <w:shd w:val="clear" w:color="auto" w:fill="000080"/>
    </w:pPr>
    <w:rPr>
      <w:kern w:val="0"/>
      <w:sz w:val="20"/>
    </w:rPr>
  </w:style>
  <w:style w:type="paragraph" w:styleId="18">
    <w:name w:val="toa heading"/>
    <w:basedOn w:val="1"/>
    <w:next w:val="1"/>
    <w:link w:val="161"/>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7"/>
    <w:qFormat/>
    <w:uiPriority w:val="0"/>
    <w:pPr>
      <w:jc w:val="left"/>
    </w:pPr>
    <w:rPr>
      <w:kern w:val="0"/>
      <w:sz w:val="20"/>
    </w:rPr>
  </w:style>
  <w:style w:type="paragraph" w:styleId="20">
    <w:name w:val="Body Text 3"/>
    <w:basedOn w:val="1"/>
    <w:link w:val="74"/>
    <w:qFormat/>
    <w:uiPriority w:val="0"/>
    <w:pPr>
      <w:snapToGrid w:val="0"/>
      <w:spacing w:before="50" w:after="50"/>
    </w:pPr>
    <w:rPr>
      <w:rFonts w:hAnsi="宋体" w:eastAsia="仿宋_GB2312"/>
      <w:b/>
      <w:bCs/>
      <w:kern w:val="0"/>
      <w:sz w:val="24"/>
      <w:szCs w:val="20"/>
    </w:rPr>
  </w:style>
  <w:style w:type="paragraph" w:styleId="21">
    <w:name w:val="Body Text"/>
    <w:basedOn w:val="1"/>
    <w:next w:val="1"/>
    <w:link w:val="99"/>
    <w:qFormat/>
    <w:uiPriority w:val="0"/>
    <w:pPr>
      <w:spacing w:after="120"/>
    </w:pPr>
    <w:rPr>
      <w:kern w:val="0"/>
      <w:sz w:val="28"/>
    </w:rPr>
  </w:style>
  <w:style w:type="paragraph" w:styleId="22">
    <w:name w:val="Body Text Indent"/>
    <w:basedOn w:val="1"/>
    <w:next w:val="1"/>
    <w:link w:val="142"/>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90"/>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7"/>
    <w:qFormat/>
    <w:uiPriority w:val="0"/>
    <w:pPr>
      <w:ind w:left="2500" w:leftChars="2500"/>
    </w:pPr>
    <w:rPr>
      <w:rFonts w:eastAsia="楷体_GB2312"/>
      <w:kern w:val="0"/>
      <w:sz w:val="32"/>
      <w:szCs w:val="20"/>
    </w:rPr>
  </w:style>
  <w:style w:type="paragraph" w:styleId="31">
    <w:name w:val="Body Text Indent 2"/>
    <w:basedOn w:val="1"/>
    <w:link w:val="174"/>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2"/>
    <w:qFormat/>
    <w:uiPriority w:val="99"/>
    <w:rPr>
      <w:kern w:val="0"/>
      <w:sz w:val="18"/>
      <w:szCs w:val="18"/>
    </w:rPr>
  </w:style>
  <w:style w:type="paragraph" w:styleId="33">
    <w:name w:val="footer"/>
    <w:basedOn w:val="1"/>
    <w:link w:val="217"/>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4"/>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9"/>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3"/>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8"/>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2"/>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71"/>
    <w:qFormat/>
    <w:uiPriority w:val="99"/>
    <w:rPr>
      <w:b/>
      <w:bCs/>
    </w:rPr>
  </w:style>
  <w:style w:type="paragraph" w:styleId="48">
    <w:name w:val="Body Text First Indent"/>
    <w:basedOn w:val="21"/>
    <w:next w:val="38"/>
    <w:link w:val="164"/>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标题 2 Char"/>
    <w:qFormat/>
    <w:uiPriority w:val="9"/>
    <w:rPr>
      <w:rFonts w:ascii="Arial" w:hAnsi="Arial" w:eastAsia="黑体" w:cs="Times New Roman"/>
      <w:b/>
      <w:bCs/>
      <w:kern w:val="0"/>
      <w:sz w:val="32"/>
      <w:szCs w:val="32"/>
    </w:rPr>
  </w:style>
  <w:style w:type="character" w:customStyle="1" w:styleId="59">
    <w:name w:val="标题 3 Char"/>
    <w:qFormat/>
    <w:uiPriority w:val="0"/>
    <w:rPr>
      <w:rFonts w:ascii="Times New Roman" w:hAnsi="Times New Roman" w:eastAsia="楷体_GB2312" w:cs="Times New Roman"/>
      <w:b/>
      <w:bCs/>
      <w:kern w:val="0"/>
      <w:sz w:val="32"/>
      <w:szCs w:val="32"/>
    </w:rPr>
  </w:style>
  <w:style w:type="character" w:customStyle="1" w:styleId="60">
    <w:name w:val="Plain Text Char"/>
    <w:semiHidden/>
    <w:qFormat/>
    <w:locked/>
    <w:uiPriority w:val="0"/>
    <w:rPr>
      <w:rFonts w:ascii="宋体" w:hAnsi="Courier New" w:cs="Courier New"/>
      <w:kern w:val="0"/>
      <w:sz w:val="21"/>
      <w:szCs w:val="21"/>
    </w:rPr>
  </w:style>
  <w:style w:type="character" w:customStyle="1" w:styleId="61">
    <w:name w:val="Char Char1111"/>
    <w:qFormat/>
    <w:uiPriority w:val="0"/>
    <w:rPr>
      <w:kern w:val="2"/>
      <w:sz w:val="28"/>
      <w:szCs w:val="24"/>
    </w:rPr>
  </w:style>
  <w:style w:type="character" w:customStyle="1" w:styleId="62">
    <w:name w:val="标题 4 字符"/>
    <w:link w:val="6"/>
    <w:qFormat/>
    <w:uiPriority w:val="0"/>
    <w:rPr>
      <w:rFonts w:ascii="Arial" w:hAnsi="Arial" w:eastAsia="黑体" w:cs="Times New Roman"/>
      <w:b/>
      <w:bCs/>
      <w:kern w:val="0"/>
      <w:sz w:val="28"/>
      <w:szCs w:val="28"/>
    </w:rPr>
  </w:style>
  <w:style w:type="character" w:customStyle="1" w:styleId="63">
    <w:name w:val="Heading 8 Char"/>
    <w:semiHidden/>
    <w:qFormat/>
    <w:locked/>
    <w:uiPriority w:val="0"/>
    <w:rPr>
      <w:rFonts w:ascii="Cambria" w:hAnsi="Cambria" w:eastAsia="宋体" w:cs="Times New Roman"/>
      <w:kern w:val="0"/>
      <w:sz w:val="24"/>
      <w:szCs w:val="24"/>
    </w:rPr>
  </w:style>
  <w:style w:type="character" w:customStyle="1" w:styleId="64">
    <w:name w:val="Body Text Char"/>
    <w:semiHidden/>
    <w:qFormat/>
    <w:locked/>
    <w:uiPriority w:val="0"/>
    <w:rPr>
      <w:rFonts w:cs="Times New Roman"/>
      <w:kern w:val="0"/>
      <w:sz w:val="21"/>
      <w:szCs w:val="21"/>
    </w:rPr>
  </w:style>
  <w:style w:type="character" w:customStyle="1" w:styleId="65">
    <w:name w:val="font11"/>
    <w:basedOn w:val="51"/>
    <w:qFormat/>
    <w:uiPriority w:val="0"/>
    <w:rPr>
      <w:rFonts w:hint="default" w:ascii="Times New Roman" w:hAnsi="Times New Roman" w:cs="Times New Roman"/>
      <w:color w:val="000000"/>
      <w:sz w:val="20"/>
      <w:szCs w:val="20"/>
      <w:u w:val="none"/>
    </w:rPr>
  </w:style>
  <w:style w:type="character" w:customStyle="1" w:styleId="66">
    <w:name w:val="wj1"/>
    <w:qFormat/>
    <w:uiPriority w:val="0"/>
    <w:rPr>
      <w:color w:val="000000"/>
      <w:sz w:val="18"/>
      <w:szCs w:val="18"/>
      <w:u w:val="none"/>
    </w:rPr>
  </w:style>
  <w:style w:type="character" w:customStyle="1" w:styleId="67">
    <w:name w:val="!标题3 Ctrl+3 Char"/>
    <w:link w:val="68"/>
    <w:qFormat/>
    <w:locked/>
    <w:uiPriority w:val="0"/>
    <w:rPr>
      <w:rFonts w:ascii="Arial" w:hAnsi="Arial" w:eastAsia="黑体"/>
      <w:b/>
      <w:kern w:val="2"/>
      <w:sz w:val="32"/>
      <w:szCs w:val="32"/>
    </w:rPr>
  </w:style>
  <w:style w:type="paragraph" w:customStyle="1" w:styleId="68">
    <w:name w:val="!标题3 Ctrl+3"/>
    <w:basedOn w:val="5"/>
    <w:next w:val="1"/>
    <w:link w:val="67"/>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9">
    <w:name w:val="H4 Char"/>
    <w:qFormat/>
    <w:uiPriority w:val="0"/>
    <w:rPr>
      <w:rFonts w:ascii="Arial" w:hAnsi="Arial" w:eastAsia="黑体" w:cs="Times New Roman"/>
      <w:b/>
      <w:bCs/>
      <w:sz w:val="28"/>
      <w:szCs w:val="28"/>
    </w:rPr>
  </w:style>
  <w:style w:type="character" w:customStyle="1" w:styleId="70">
    <w:name w:val="Char Char15"/>
    <w:qFormat/>
    <w:uiPriority w:val="0"/>
    <w:rPr>
      <w:rFonts w:hAnsi="宋体" w:eastAsia="仿宋_GB2312"/>
      <w:b/>
      <w:bCs/>
      <w:kern w:val="2"/>
      <w:sz w:val="24"/>
    </w:rPr>
  </w:style>
  <w:style w:type="character" w:customStyle="1" w:styleId="71">
    <w:name w:val="Char Char18"/>
    <w:qFormat/>
    <w:uiPriority w:val="0"/>
    <w:rPr>
      <w:rFonts w:eastAsia="黑体"/>
      <w:sz w:val="18"/>
      <w:szCs w:val="18"/>
    </w:rPr>
  </w:style>
  <w:style w:type="character" w:customStyle="1" w:styleId="72">
    <w:name w:val="Char Char12"/>
    <w:qFormat/>
    <w:uiPriority w:val="0"/>
    <w:rPr>
      <w:rFonts w:ascii="仿宋_GB2312" w:hAnsi="宋体" w:eastAsia="仿宋_GB2312"/>
      <w:color w:val="000000"/>
      <w:kern w:val="2"/>
      <w:sz w:val="24"/>
      <w:szCs w:val="24"/>
    </w:rPr>
  </w:style>
  <w:style w:type="character" w:customStyle="1" w:styleId="73">
    <w:name w:val="标题 3 字符"/>
    <w:link w:val="5"/>
    <w:qFormat/>
    <w:uiPriority w:val="0"/>
    <w:rPr>
      <w:rFonts w:ascii="Times New Roman" w:hAnsi="Times New Roman" w:eastAsia="楷体_GB2312" w:cs="Times New Roman"/>
      <w:b/>
      <w:bCs/>
      <w:kern w:val="0"/>
      <w:sz w:val="32"/>
      <w:szCs w:val="32"/>
    </w:rPr>
  </w:style>
  <w:style w:type="character" w:customStyle="1" w:styleId="74">
    <w:name w:val="正文文本 3 字符"/>
    <w:link w:val="20"/>
    <w:qFormat/>
    <w:uiPriority w:val="0"/>
    <w:rPr>
      <w:rFonts w:hAnsi="宋体" w:eastAsia="仿宋_GB2312"/>
      <w:b/>
      <w:bCs/>
      <w:sz w:val="24"/>
    </w:rPr>
  </w:style>
  <w:style w:type="character" w:customStyle="1" w:styleId="75">
    <w:name w:val="Char Char3"/>
    <w:qFormat/>
    <w:uiPriority w:val="0"/>
    <w:rPr>
      <w:kern w:val="2"/>
      <w:sz w:val="24"/>
      <w:szCs w:val="24"/>
    </w:rPr>
  </w:style>
  <w:style w:type="character" w:customStyle="1" w:styleId="76">
    <w:name w:val="Char Char7"/>
    <w:qFormat/>
    <w:uiPriority w:val="0"/>
    <w:rPr>
      <w:rFonts w:eastAsia="宋体"/>
      <w:kern w:val="2"/>
      <w:sz w:val="21"/>
      <w:lang w:val="en-US" w:eastAsia="zh-CN" w:bidi="ar-SA"/>
    </w:rPr>
  </w:style>
  <w:style w:type="character" w:customStyle="1" w:styleId="77">
    <w:name w:val="样式7 Char"/>
    <w:qFormat/>
    <w:uiPriority w:val="0"/>
    <w:rPr>
      <w:rFonts w:eastAsia="宋体" w:cs="宋体"/>
      <w:kern w:val="2"/>
      <w:sz w:val="24"/>
      <w:szCs w:val="24"/>
      <w:lang w:val="en-US" w:eastAsia="zh-CN" w:bidi="ar-SA"/>
    </w:rPr>
  </w:style>
  <w:style w:type="character" w:customStyle="1" w:styleId="78">
    <w:name w:val="普通(网站) 字符"/>
    <w:link w:val="44"/>
    <w:qFormat/>
    <w:uiPriority w:val="0"/>
    <w:rPr>
      <w:rFonts w:ascii="宋体" w:hAnsi="宋体"/>
      <w:sz w:val="24"/>
      <w:szCs w:val="24"/>
    </w:rPr>
  </w:style>
  <w:style w:type="character" w:customStyle="1" w:styleId="79">
    <w:name w:val="Char Char13"/>
    <w:qFormat/>
    <w:uiPriority w:val="0"/>
    <w:rPr>
      <w:b/>
      <w:bCs/>
      <w:kern w:val="2"/>
      <w:sz w:val="21"/>
      <w:szCs w:val="24"/>
    </w:rPr>
  </w:style>
  <w:style w:type="character" w:customStyle="1" w:styleId="80">
    <w:name w:val="￥正文 Char Char"/>
    <w:qFormat/>
    <w:uiPriority w:val="0"/>
    <w:rPr>
      <w:rFonts w:ascii="Calibri" w:hAnsi="Calibri"/>
      <w:sz w:val="24"/>
    </w:rPr>
  </w:style>
  <w:style w:type="character" w:customStyle="1" w:styleId="81">
    <w:name w:val="newscontent1"/>
    <w:qFormat/>
    <w:uiPriority w:val="0"/>
    <w:rPr>
      <w:rFonts w:hint="default" w:ascii="Verdana" w:hAnsi="Verdana"/>
      <w:color w:val="333333"/>
      <w:sz w:val="18"/>
      <w:szCs w:val="18"/>
    </w:rPr>
  </w:style>
  <w:style w:type="character" w:customStyle="1" w:styleId="82">
    <w:name w:val="Heading 6 Char"/>
    <w:semiHidden/>
    <w:qFormat/>
    <w:locked/>
    <w:uiPriority w:val="0"/>
    <w:rPr>
      <w:rFonts w:ascii="Cambria" w:hAnsi="Cambria" w:eastAsia="宋体" w:cs="Times New Roman"/>
      <w:b/>
      <w:bCs/>
      <w:kern w:val="0"/>
      <w:sz w:val="24"/>
      <w:szCs w:val="24"/>
    </w:rPr>
  </w:style>
  <w:style w:type="character" w:customStyle="1" w:styleId="83">
    <w:name w:val="中等深浅网格 2 字符"/>
    <w:link w:val="84"/>
    <w:qFormat/>
    <w:uiPriority w:val="1"/>
    <w:rPr>
      <w:kern w:val="2"/>
      <w:sz w:val="21"/>
      <w:szCs w:val="24"/>
      <w:lang w:val="en-US" w:eastAsia="zh-CN" w:bidi="ar-SA"/>
    </w:rPr>
  </w:style>
  <w:style w:type="paragraph" w:customStyle="1" w:styleId="84">
    <w:name w:val="中等深浅网格 21"/>
    <w:link w:val="83"/>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H2 Char"/>
    <w:qFormat/>
    <w:uiPriority w:val="0"/>
    <w:rPr>
      <w:rFonts w:ascii="Cambria" w:hAnsi="Cambria" w:eastAsia="宋体" w:cs="Times New Roman"/>
      <w:b/>
      <w:bCs/>
      <w:sz w:val="32"/>
      <w:szCs w:val="32"/>
    </w:rPr>
  </w:style>
  <w:style w:type="character" w:customStyle="1" w:styleId="86">
    <w:name w:val="正文文字缩进4字符 Char"/>
    <w:qFormat/>
    <w:uiPriority w:val="0"/>
    <w:rPr>
      <w:rFonts w:ascii="Times New Roman" w:hAnsi="Times New Roman" w:eastAsia="宋体" w:cs="Times New Roman"/>
      <w:sz w:val="24"/>
      <w:szCs w:val="24"/>
    </w:rPr>
  </w:style>
  <w:style w:type="character" w:customStyle="1" w:styleId="87">
    <w:name w:val="Balloon Text Char"/>
    <w:qFormat/>
    <w:locked/>
    <w:uiPriority w:val="0"/>
    <w:rPr>
      <w:rFonts w:cs="Times New Roman"/>
      <w:sz w:val="18"/>
      <w:szCs w:val="18"/>
    </w:rPr>
  </w:style>
  <w:style w:type="character" w:customStyle="1" w:styleId="88">
    <w:name w:val="标题 2 字符"/>
    <w:link w:val="4"/>
    <w:qFormat/>
    <w:uiPriority w:val="9"/>
    <w:rPr>
      <w:rFonts w:ascii="Arial" w:hAnsi="Arial" w:eastAsia="黑体" w:cs="Times New Roman"/>
      <w:b/>
      <w:bCs/>
      <w:kern w:val="0"/>
      <w:sz w:val="32"/>
      <w:szCs w:val="32"/>
    </w:rPr>
  </w:style>
  <w:style w:type="character" w:customStyle="1" w:styleId="89">
    <w:name w:val="表正文 Char"/>
    <w:qFormat/>
    <w:uiPriority w:val="0"/>
    <w:rPr>
      <w:rFonts w:ascii="Times New Roman" w:hAnsi="Times New Roman" w:eastAsia="宋体" w:cs="Times New Roman"/>
      <w:szCs w:val="24"/>
    </w:rPr>
  </w:style>
  <w:style w:type="character" w:customStyle="1" w:styleId="90">
    <w:name w:val="纯文本 字符2"/>
    <w:link w:val="28"/>
    <w:qFormat/>
    <w:uiPriority w:val="0"/>
    <w:rPr>
      <w:rFonts w:ascii="宋体" w:hAnsi="Courier New" w:eastAsia="宋体"/>
      <w:sz w:val="24"/>
      <w:szCs w:val="24"/>
    </w:rPr>
  </w:style>
  <w:style w:type="character" w:customStyle="1" w:styleId="91">
    <w:name w:val="正文文本 3 Char1"/>
    <w:semiHidden/>
    <w:qFormat/>
    <w:uiPriority w:val="99"/>
    <w:rPr>
      <w:rFonts w:ascii="Times New Roman" w:hAnsi="Times New Roman" w:eastAsia="宋体" w:cs="Times New Roman"/>
      <w:sz w:val="16"/>
      <w:szCs w:val="16"/>
    </w:rPr>
  </w:style>
  <w:style w:type="character" w:customStyle="1" w:styleId="92">
    <w:name w:val="标题 6 字符"/>
    <w:link w:val="8"/>
    <w:qFormat/>
    <w:uiPriority w:val="0"/>
    <w:rPr>
      <w:rFonts w:ascii="Arial" w:hAnsi="Arial" w:eastAsia="黑体" w:cs="Times New Roman"/>
      <w:b/>
      <w:bCs/>
      <w:kern w:val="0"/>
      <w:sz w:val="24"/>
      <w:szCs w:val="24"/>
    </w:rPr>
  </w:style>
  <w:style w:type="character" w:customStyle="1" w:styleId="93">
    <w:name w:val="彩色列表 - 着色 1 字符"/>
    <w:link w:val="94"/>
    <w:qFormat/>
    <w:locked/>
    <w:uiPriority w:val="34"/>
    <w:rPr>
      <w:rFonts w:ascii="Times New Roman" w:hAnsi="Times New Roman"/>
      <w:kern w:val="2"/>
      <w:sz w:val="21"/>
      <w:szCs w:val="24"/>
    </w:rPr>
  </w:style>
  <w:style w:type="paragraph" w:customStyle="1" w:styleId="94">
    <w:name w:val="彩色列表 - 着色 11"/>
    <w:basedOn w:val="1"/>
    <w:link w:val="93"/>
    <w:qFormat/>
    <w:uiPriority w:val="34"/>
    <w:pPr>
      <w:ind w:firstLine="420" w:firstLineChars="200"/>
    </w:pPr>
  </w:style>
  <w:style w:type="character" w:customStyle="1" w:styleId="95">
    <w:name w:val="Item List Char"/>
    <w:link w:val="96"/>
    <w:qFormat/>
    <w:uiPriority w:val="0"/>
    <w:rPr>
      <w:rFonts w:cs="Arial"/>
      <w:kern w:val="2"/>
      <w:sz w:val="21"/>
      <w:szCs w:val="21"/>
      <w:lang w:val="en-US" w:eastAsia="zh-CN" w:bidi="ar-SA"/>
    </w:rPr>
  </w:style>
  <w:style w:type="paragraph" w:customStyle="1" w:styleId="96">
    <w:name w:val="Item List"/>
    <w:link w:val="95"/>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7">
    <w:name w:val="样式 (中文) 放宋 小四号"/>
    <w:qFormat/>
    <w:uiPriority w:val="0"/>
    <w:rPr>
      <w:rFonts w:eastAsia="仿宋_GB2312"/>
      <w:sz w:val="24"/>
    </w:rPr>
  </w:style>
  <w:style w:type="character" w:customStyle="1" w:styleId="98">
    <w:name w:val="纯文本 Char1"/>
    <w:qFormat/>
    <w:uiPriority w:val="0"/>
    <w:rPr>
      <w:rFonts w:ascii="宋体" w:hAnsi="Courier New" w:eastAsia="宋体"/>
      <w:kern w:val="2"/>
      <w:sz w:val="24"/>
      <w:szCs w:val="24"/>
      <w:lang w:val="en-US" w:eastAsia="zh-CN" w:bidi="ar-SA"/>
    </w:rPr>
  </w:style>
  <w:style w:type="character" w:customStyle="1" w:styleId="99">
    <w:name w:val="正文文本 字符"/>
    <w:link w:val="21"/>
    <w:qFormat/>
    <w:uiPriority w:val="0"/>
    <w:rPr>
      <w:rFonts w:ascii="Times New Roman" w:hAnsi="Times New Roman" w:eastAsia="宋体" w:cs="Times New Roman"/>
      <w:kern w:val="0"/>
      <w:sz w:val="28"/>
      <w:szCs w:val="24"/>
    </w:rPr>
  </w:style>
  <w:style w:type="character" w:customStyle="1" w:styleId="100">
    <w:name w:val="Char Char4"/>
    <w:qFormat/>
    <w:uiPriority w:val="0"/>
    <w:rPr>
      <w:rFonts w:ascii="宋体" w:hAnsi="Courier New" w:eastAsia="宋体"/>
      <w:kern w:val="2"/>
      <w:sz w:val="24"/>
      <w:szCs w:val="24"/>
      <w:lang w:val="en-US" w:eastAsia="zh-CN" w:bidi="ar-SA"/>
    </w:rPr>
  </w:style>
  <w:style w:type="character" w:customStyle="1" w:styleId="101">
    <w:name w:val="文档结构图 Char1"/>
    <w:semiHidden/>
    <w:qFormat/>
    <w:uiPriority w:val="99"/>
    <w:rPr>
      <w:rFonts w:ascii="宋体" w:hAnsi="Times New Roman" w:eastAsia="宋体" w:cs="Times New Roman"/>
      <w:sz w:val="18"/>
      <w:szCs w:val="18"/>
    </w:rPr>
  </w:style>
  <w:style w:type="character" w:customStyle="1" w:styleId="102">
    <w:name w:val="正文缩进 字符"/>
    <w:link w:val="14"/>
    <w:qFormat/>
    <w:uiPriority w:val="0"/>
    <w:rPr>
      <w:rFonts w:eastAsia="宋体"/>
    </w:rPr>
  </w:style>
  <w:style w:type="character" w:customStyle="1" w:styleId="103">
    <w:name w:val="正文文本 2 字符"/>
    <w:link w:val="43"/>
    <w:qFormat/>
    <w:uiPriority w:val="99"/>
    <w:rPr>
      <w:rFonts w:ascii="宋体" w:hAnsi="宋体"/>
      <w:color w:val="000000"/>
      <w:sz w:val="24"/>
      <w:szCs w:val="24"/>
    </w:rPr>
  </w:style>
  <w:style w:type="character" w:customStyle="1" w:styleId="104">
    <w:name w:val="body1"/>
    <w:qFormat/>
    <w:uiPriority w:val="0"/>
    <w:rPr>
      <w:rFonts w:hint="default"/>
      <w:sz w:val="18"/>
    </w:rPr>
  </w:style>
  <w:style w:type="character" w:customStyle="1" w:styleId="105">
    <w:name w:val="font71"/>
    <w:qFormat/>
    <w:uiPriority w:val="0"/>
    <w:rPr>
      <w:rFonts w:hint="default" w:ascii="Arial" w:hAnsi="Arial" w:cs="Arial"/>
      <w:color w:val="auto"/>
      <w:sz w:val="20"/>
      <w:szCs w:val="20"/>
      <w:u w:val="none"/>
    </w:rPr>
  </w:style>
  <w:style w:type="character" w:customStyle="1" w:styleId="106">
    <w:name w:val="正文文本 Char"/>
    <w:qFormat/>
    <w:uiPriority w:val="0"/>
    <w:rPr>
      <w:rFonts w:ascii="Times New Roman" w:hAnsi="Times New Roman" w:eastAsia="宋体" w:cs="Times New Roman"/>
      <w:szCs w:val="24"/>
    </w:rPr>
  </w:style>
  <w:style w:type="character" w:customStyle="1" w:styleId="107">
    <w:name w:val="Body Text Indent 3 Char"/>
    <w:qFormat/>
    <w:locked/>
    <w:uiPriority w:val="0"/>
    <w:rPr>
      <w:rFonts w:cs="Times New Roman"/>
      <w:kern w:val="2"/>
      <w:sz w:val="16"/>
      <w:szCs w:val="16"/>
    </w:rPr>
  </w:style>
  <w:style w:type="character" w:customStyle="1" w:styleId="108">
    <w:name w:val="标题 5 字符"/>
    <w:link w:val="7"/>
    <w:qFormat/>
    <w:uiPriority w:val="9"/>
    <w:rPr>
      <w:rFonts w:ascii="Times New Roman" w:hAnsi="Times New Roman" w:eastAsia="宋体" w:cs="Times New Roman"/>
      <w:b/>
      <w:bCs/>
      <w:kern w:val="0"/>
      <w:sz w:val="28"/>
      <w:szCs w:val="28"/>
    </w:rPr>
  </w:style>
  <w:style w:type="character" w:customStyle="1" w:styleId="109">
    <w:name w:val="文章正文 Char Char"/>
    <w:link w:val="110"/>
    <w:qFormat/>
    <w:uiPriority w:val="0"/>
    <w:rPr>
      <w:rFonts w:ascii="宋体" w:hAnsi="宋体"/>
      <w:sz w:val="24"/>
      <w:szCs w:val="24"/>
    </w:rPr>
  </w:style>
  <w:style w:type="paragraph" w:customStyle="1" w:styleId="110">
    <w:name w:val="文章正文"/>
    <w:basedOn w:val="1"/>
    <w:link w:val="109"/>
    <w:qFormat/>
    <w:uiPriority w:val="0"/>
    <w:pPr>
      <w:spacing w:line="360" w:lineRule="auto"/>
      <w:ind w:firstLine="200" w:firstLineChars="200"/>
      <w:jc w:val="left"/>
    </w:pPr>
    <w:rPr>
      <w:rFonts w:ascii="宋体" w:hAnsi="宋体"/>
      <w:kern w:val="0"/>
      <w:sz w:val="24"/>
    </w:rPr>
  </w:style>
  <w:style w:type="character" w:customStyle="1" w:styleId="111">
    <w:name w:val="文档结构图 字符"/>
    <w:link w:val="17"/>
    <w:qFormat/>
    <w:uiPriority w:val="99"/>
    <w:rPr>
      <w:szCs w:val="24"/>
      <w:shd w:val="clear" w:color="auto" w:fill="000080"/>
    </w:rPr>
  </w:style>
  <w:style w:type="character" w:customStyle="1" w:styleId="112">
    <w:name w:val="批注框文本 字符"/>
    <w:link w:val="32"/>
    <w:qFormat/>
    <w:uiPriority w:val="99"/>
    <w:rPr>
      <w:sz w:val="18"/>
      <w:szCs w:val="18"/>
    </w:rPr>
  </w:style>
  <w:style w:type="character" w:customStyle="1" w:styleId="113">
    <w:name w:val="con-all2"/>
    <w:qFormat/>
    <w:uiPriority w:val="0"/>
  </w:style>
  <w:style w:type="character" w:customStyle="1" w:styleId="114">
    <w:name w:val="正文1 Char Char"/>
    <w:link w:val="115"/>
    <w:qFormat/>
    <w:uiPriority w:val="0"/>
    <w:rPr>
      <w:rFonts w:ascii="宋体" w:hAnsi="宋体" w:eastAsia="宋体"/>
      <w:color w:val="000000"/>
      <w:sz w:val="24"/>
    </w:rPr>
  </w:style>
  <w:style w:type="paragraph" w:customStyle="1" w:styleId="115">
    <w:name w:val="正文1"/>
    <w:basedOn w:val="1"/>
    <w:link w:val="114"/>
    <w:qFormat/>
    <w:uiPriority w:val="0"/>
    <w:pPr>
      <w:spacing w:line="360" w:lineRule="auto"/>
      <w:ind w:firstLine="200" w:firstLineChars="200"/>
      <w:jc w:val="left"/>
    </w:pPr>
    <w:rPr>
      <w:rFonts w:ascii="宋体" w:hAnsi="宋体"/>
      <w:color w:val="000000"/>
      <w:kern w:val="0"/>
      <w:sz w:val="24"/>
      <w:szCs w:val="20"/>
    </w:rPr>
  </w:style>
  <w:style w:type="character" w:customStyle="1" w:styleId="116">
    <w:name w:val="标题 9 字符"/>
    <w:link w:val="11"/>
    <w:qFormat/>
    <w:uiPriority w:val="0"/>
    <w:rPr>
      <w:rFonts w:ascii="Arial" w:hAnsi="Arial" w:eastAsia="黑体" w:cs="Times New Roman"/>
      <w:kern w:val="0"/>
      <w:sz w:val="20"/>
      <w:szCs w:val="21"/>
    </w:rPr>
  </w:style>
  <w:style w:type="character" w:customStyle="1" w:styleId="117">
    <w:name w:val="Heading 2 Char"/>
    <w:semiHidden/>
    <w:qFormat/>
    <w:locked/>
    <w:uiPriority w:val="0"/>
    <w:rPr>
      <w:rFonts w:ascii="Cambria" w:hAnsi="Cambria" w:eastAsia="宋体" w:cs="Times New Roman"/>
      <w:b/>
      <w:bCs/>
      <w:kern w:val="0"/>
      <w:sz w:val="32"/>
      <w:szCs w:val="32"/>
    </w:rPr>
  </w:style>
  <w:style w:type="character" w:customStyle="1" w:styleId="118">
    <w:name w:val="粘贴正文 Char"/>
    <w:link w:val="119"/>
    <w:qFormat/>
    <w:uiPriority w:val="0"/>
    <w:rPr>
      <w:kern w:val="2"/>
      <w:sz w:val="24"/>
      <w:szCs w:val="21"/>
      <w:lang w:val="en-US" w:eastAsia="zh-CN" w:bidi="ar-SA"/>
    </w:rPr>
  </w:style>
  <w:style w:type="paragraph" w:customStyle="1" w:styleId="119">
    <w:name w:val="粘贴正文"/>
    <w:link w:val="118"/>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0">
    <w:name w:val="txt1"/>
    <w:qFormat/>
    <w:uiPriority w:val="0"/>
    <w:rPr>
      <w:rFonts w:hint="default" w:ascii="ˎ̥" w:hAnsi="ˎ̥"/>
      <w:sz w:val="18"/>
      <w:szCs w:val="18"/>
    </w:rPr>
  </w:style>
  <w:style w:type="character" w:customStyle="1" w:styleId="121">
    <w:name w:val="font41"/>
    <w:qFormat/>
    <w:uiPriority w:val="0"/>
    <w:rPr>
      <w:rFonts w:hint="eastAsia" w:ascii="宋体" w:hAnsi="宋体" w:eastAsia="宋体" w:cs="宋体"/>
      <w:color w:val="000000"/>
      <w:sz w:val="20"/>
      <w:szCs w:val="20"/>
      <w:u w:val="none"/>
    </w:rPr>
  </w:style>
  <w:style w:type="character" w:customStyle="1" w:styleId="122">
    <w:name w:val="Char Char20"/>
    <w:qFormat/>
    <w:uiPriority w:val="0"/>
    <w:rPr>
      <w:rFonts w:ascii="Arial" w:hAnsi="Arial" w:eastAsia="黑体"/>
      <w:kern w:val="2"/>
      <w:sz w:val="24"/>
      <w:szCs w:val="24"/>
    </w:rPr>
  </w:style>
  <w:style w:type="character" w:customStyle="1" w:styleId="123">
    <w:name w:val="Char Char27"/>
    <w:qFormat/>
    <w:uiPriority w:val="0"/>
    <w:rPr>
      <w:b/>
      <w:bCs/>
      <w:kern w:val="44"/>
      <w:sz w:val="44"/>
      <w:szCs w:val="44"/>
    </w:rPr>
  </w:style>
  <w:style w:type="character" w:customStyle="1" w:styleId="124">
    <w:name w:val="font51"/>
    <w:qFormat/>
    <w:uiPriority w:val="0"/>
    <w:rPr>
      <w:rFonts w:hint="eastAsia" w:ascii="宋体" w:hAnsi="宋体" w:eastAsia="宋体" w:cs="宋体"/>
      <w:color w:val="auto"/>
      <w:sz w:val="18"/>
      <w:szCs w:val="18"/>
      <w:u w:val="none"/>
    </w:rPr>
  </w:style>
  <w:style w:type="character" w:customStyle="1" w:styleId="125">
    <w:name w:val="Heading 7 Char"/>
    <w:semiHidden/>
    <w:qFormat/>
    <w:locked/>
    <w:uiPriority w:val="0"/>
    <w:rPr>
      <w:rFonts w:cs="Times New Roman"/>
      <w:b/>
      <w:bCs/>
      <w:kern w:val="0"/>
      <w:sz w:val="24"/>
      <w:szCs w:val="24"/>
    </w:rPr>
  </w:style>
  <w:style w:type="character" w:customStyle="1" w:styleId="126">
    <w:name w:val="正文样式 Char"/>
    <w:link w:val="127"/>
    <w:qFormat/>
    <w:uiPriority w:val="0"/>
    <w:rPr>
      <w:rFonts w:ascii="宋体" w:hAnsi="Calibri" w:eastAsia="宋体" w:cs="宋体"/>
      <w:sz w:val="24"/>
      <w:szCs w:val="24"/>
      <w:lang w:val="zh-CN" w:eastAsia="en-US" w:bidi="he-IL"/>
    </w:rPr>
  </w:style>
  <w:style w:type="paragraph" w:customStyle="1" w:styleId="127">
    <w:name w:val="正文样式"/>
    <w:basedOn w:val="1"/>
    <w:link w:val="126"/>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8">
    <w:name w:val="Heading 3 Char"/>
    <w:semiHidden/>
    <w:qFormat/>
    <w:locked/>
    <w:uiPriority w:val="0"/>
    <w:rPr>
      <w:rFonts w:cs="Times New Roman"/>
      <w:b/>
      <w:bCs/>
      <w:kern w:val="0"/>
      <w:sz w:val="32"/>
      <w:szCs w:val="32"/>
    </w:rPr>
  </w:style>
  <w:style w:type="character" w:customStyle="1" w:styleId="129">
    <w:name w:val="标书正文格式 Char"/>
    <w:link w:val="130"/>
    <w:qFormat/>
    <w:uiPriority w:val="0"/>
    <w:rPr>
      <w:rFonts w:eastAsia="楷体_GB2312"/>
      <w:kern w:val="2"/>
      <w:sz w:val="24"/>
      <w:szCs w:val="24"/>
      <w:lang w:val="en-US" w:eastAsia="zh-CN" w:bidi="ar-SA"/>
    </w:rPr>
  </w:style>
  <w:style w:type="paragraph" w:customStyle="1" w:styleId="130">
    <w:name w:val="标书正文格式"/>
    <w:link w:val="129"/>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1">
    <w:name w:val="BOD 4 Char Char"/>
    <w:qFormat/>
    <w:uiPriority w:val="0"/>
    <w:rPr>
      <w:rFonts w:ascii="Arial" w:hAnsi="Arial" w:eastAsia="黑体" w:cs="Times New Roman"/>
      <w:b/>
      <w:bCs/>
      <w:sz w:val="24"/>
      <w:szCs w:val="24"/>
    </w:rPr>
  </w:style>
  <w:style w:type="character" w:customStyle="1" w:styleId="132">
    <w:name w:val="中等深浅网格 1 - 强调文字颜色 2 Char"/>
    <w:link w:val="133"/>
    <w:qFormat/>
    <w:uiPriority w:val="0"/>
    <w:rPr>
      <w:rFonts w:ascii="Calibri" w:hAnsi="Calibri" w:eastAsia="宋体"/>
      <w:sz w:val="24"/>
      <w:lang w:bidi="ar-SA"/>
    </w:rPr>
  </w:style>
  <w:style w:type="paragraph" w:customStyle="1" w:styleId="133">
    <w:name w:val="中等深浅网格 1 - 强调文字颜色 21"/>
    <w:basedOn w:val="1"/>
    <w:link w:val="132"/>
    <w:qFormat/>
    <w:uiPriority w:val="0"/>
    <w:pPr>
      <w:spacing w:line="360" w:lineRule="auto"/>
      <w:ind w:firstLine="420" w:firstLineChars="200"/>
    </w:pPr>
    <w:rPr>
      <w:rFonts w:ascii="Calibri" w:hAnsi="Calibri"/>
      <w:kern w:val="0"/>
      <w:sz w:val="24"/>
      <w:szCs w:val="20"/>
    </w:rPr>
  </w:style>
  <w:style w:type="character" w:customStyle="1" w:styleId="134">
    <w:name w:val="Char Char26"/>
    <w:qFormat/>
    <w:uiPriority w:val="0"/>
    <w:rPr>
      <w:rFonts w:ascii="Arial" w:hAnsi="Arial" w:eastAsia="黑体"/>
      <w:b/>
      <w:bCs/>
      <w:kern w:val="2"/>
      <w:sz w:val="32"/>
      <w:szCs w:val="32"/>
    </w:rPr>
  </w:style>
  <w:style w:type="character" w:customStyle="1" w:styleId="135">
    <w:name w:val="Char Char17"/>
    <w:qFormat/>
    <w:uiPriority w:val="0"/>
    <w:rPr>
      <w:rFonts w:ascii="仿宋_GB2312" w:hAnsi="宋体" w:cs="Arial"/>
      <w:b/>
      <w:bCs/>
      <w:color w:val="000000"/>
      <w:kern w:val="2"/>
      <w:sz w:val="24"/>
      <w:szCs w:val="24"/>
    </w:rPr>
  </w:style>
  <w:style w:type="character" w:customStyle="1" w:styleId="136">
    <w:name w:val="Char Char22"/>
    <w:qFormat/>
    <w:uiPriority w:val="0"/>
    <w:rPr>
      <w:rFonts w:ascii="Arial" w:hAnsi="Arial" w:eastAsia="黑体"/>
      <w:b/>
      <w:bCs/>
      <w:kern w:val="2"/>
      <w:sz w:val="24"/>
      <w:szCs w:val="24"/>
    </w:rPr>
  </w:style>
  <w:style w:type="character" w:customStyle="1" w:styleId="137">
    <w:name w:val="正文文本缩进 Char1"/>
    <w:semiHidden/>
    <w:qFormat/>
    <w:uiPriority w:val="99"/>
    <w:rPr>
      <w:rFonts w:ascii="Times New Roman" w:hAnsi="Times New Roman" w:eastAsia="宋体" w:cs="Times New Roman"/>
      <w:szCs w:val="24"/>
    </w:rPr>
  </w:style>
  <w:style w:type="character" w:customStyle="1" w:styleId="138">
    <w:name w:val="Heading 4 Char"/>
    <w:qFormat/>
    <w:locked/>
    <w:uiPriority w:val="0"/>
    <w:rPr>
      <w:rFonts w:cs="Times New Roman"/>
      <w:b/>
      <w:sz w:val="21"/>
    </w:rPr>
  </w:style>
  <w:style w:type="character" w:customStyle="1" w:styleId="139">
    <w:name w:val="Char Char14"/>
    <w:qFormat/>
    <w:uiPriority w:val="0"/>
    <w:rPr>
      <w:kern w:val="2"/>
      <w:sz w:val="18"/>
      <w:szCs w:val="18"/>
    </w:rPr>
  </w:style>
  <w:style w:type="character" w:customStyle="1" w:styleId="140">
    <w:name w:val="批注主题 Char1"/>
    <w:semiHidden/>
    <w:qFormat/>
    <w:uiPriority w:val="99"/>
    <w:rPr>
      <w:rFonts w:ascii="Times New Roman" w:hAnsi="Times New Roman" w:eastAsia="宋体" w:cs="Times New Roman"/>
      <w:b/>
      <w:bCs/>
      <w:szCs w:val="24"/>
    </w:rPr>
  </w:style>
  <w:style w:type="character" w:customStyle="1" w:styleId="141">
    <w:name w:val="批注文字 Char1"/>
    <w:semiHidden/>
    <w:qFormat/>
    <w:uiPriority w:val="99"/>
    <w:rPr>
      <w:rFonts w:ascii="Times New Roman" w:hAnsi="Times New Roman" w:eastAsia="宋体" w:cs="Times New Roman"/>
      <w:szCs w:val="24"/>
    </w:rPr>
  </w:style>
  <w:style w:type="character" w:customStyle="1" w:styleId="142">
    <w:name w:val="正文文本缩进 字符1"/>
    <w:link w:val="22"/>
    <w:qFormat/>
    <w:uiPriority w:val="0"/>
    <w:rPr>
      <w:rFonts w:ascii="宋体" w:hAnsi="Courier New"/>
      <w:spacing w:val="-4"/>
      <w:sz w:val="18"/>
    </w:rPr>
  </w:style>
  <w:style w:type="character" w:customStyle="1" w:styleId="143">
    <w:name w:val="常规 Char"/>
    <w:link w:val="144"/>
    <w:qFormat/>
    <w:uiPriority w:val="0"/>
    <w:rPr>
      <w:rFonts w:eastAsia="宋体"/>
      <w:szCs w:val="21"/>
      <w:lang w:bidi="ar-SA"/>
    </w:rPr>
  </w:style>
  <w:style w:type="paragraph" w:customStyle="1" w:styleId="144">
    <w:name w:val="常规"/>
    <w:basedOn w:val="1"/>
    <w:link w:val="143"/>
    <w:qFormat/>
    <w:uiPriority w:val="0"/>
    <w:pPr>
      <w:spacing w:beforeLines="100" w:afterLines="100"/>
      <w:ind w:left="1134"/>
    </w:pPr>
    <w:rPr>
      <w:kern w:val="0"/>
      <w:sz w:val="20"/>
      <w:szCs w:val="21"/>
    </w:rPr>
  </w:style>
  <w:style w:type="character" w:customStyle="1" w:styleId="145">
    <w:name w:val="Char Char6"/>
    <w:qFormat/>
    <w:uiPriority w:val="0"/>
    <w:rPr>
      <w:rFonts w:ascii="Cambria" w:hAnsi="Cambria"/>
      <w:b/>
      <w:bCs/>
      <w:kern w:val="2"/>
      <w:sz w:val="32"/>
      <w:szCs w:val="32"/>
    </w:rPr>
  </w:style>
  <w:style w:type="character" w:customStyle="1" w:styleId="146">
    <w:name w:val="Char Char24"/>
    <w:qFormat/>
    <w:uiPriority w:val="0"/>
    <w:rPr>
      <w:rFonts w:ascii="Arial" w:hAnsi="Arial" w:eastAsia="黑体"/>
      <w:b/>
      <w:bCs/>
      <w:kern w:val="2"/>
      <w:sz w:val="28"/>
      <w:szCs w:val="28"/>
    </w:rPr>
  </w:style>
  <w:style w:type="character" w:customStyle="1" w:styleId="147">
    <w:name w:val="日期 字符"/>
    <w:link w:val="30"/>
    <w:qFormat/>
    <w:uiPriority w:val="0"/>
    <w:rPr>
      <w:rFonts w:eastAsia="楷体_GB2312"/>
      <w:sz w:val="32"/>
    </w:rPr>
  </w:style>
  <w:style w:type="character" w:customStyle="1" w:styleId="148">
    <w:name w:val="无格式标题 Char"/>
    <w:link w:val="149"/>
    <w:qFormat/>
    <w:uiPriority w:val="0"/>
    <w:rPr>
      <w:rFonts w:ascii="微软雅黑" w:hAnsi="微软雅黑" w:eastAsia="微软雅黑"/>
      <w:b/>
      <w:szCs w:val="24"/>
      <w:lang w:bidi="ar-SA"/>
    </w:rPr>
  </w:style>
  <w:style w:type="paragraph" w:customStyle="1" w:styleId="149">
    <w:name w:val="无格式标题"/>
    <w:basedOn w:val="1"/>
    <w:link w:val="148"/>
    <w:qFormat/>
    <w:uiPriority w:val="0"/>
    <w:pPr>
      <w:spacing w:line="360" w:lineRule="auto"/>
    </w:pPr>
    <w:rPr>
      <w:rFonts w:ascii="微软雅黑" w:hAnsi="微软雅黑" w:eastAsia="微软雅黑"/>
      <w:b/>
      <w:kern w:val="0"/>
      <w:sz w:val="20"/>
    </w:rPr>
  </w:style>
  <w:style w:type="character" w:customStyle="1" w:styleId="150">
    <w:name w:val="Char Char19"/>
    <w:qFormat/>
    <w:uiPriority w:val="0"/>
    <w:rPr>
      <w:rFonts w:ascii="Arial" w:hAnsi="Arial" w:eastAsia="黑体"/>
      <w:kern w:val="2"/>
      <w:sz w:val="21"/>
      <w:szCs w:val="21"/>
    </w:rPr>
  </w:style>
  <w:style w:type="character" w:customStyle="1" w:styleId="151">
    <w:name w:val="Char Char8"/>
    <w:qFormat/>
    <w:uiPriority w:val="0"/>
    <w:rPr>
      <w:rFonts w:eastAsia="楷体_GB2312"/>
      <w:kern w:val="2"/>
      <w:sz w:val="32"/>
    </w:rPr>
  </w:style>
  <w:style w:type="character" w:customStyle="1" w:styleId="152">
    <w:name w:val="正文文本缩进 3 Char1"/>
    <w:semiHidden/>
    <w:qFormat/>
    <w:uiPriority w:val="99"/>
    <w:rPr>
      <w:rFonts w:ascii="Times New Roman" w:hAnsi="Times New Roman" w:eastAsia="宋体" w:cs="Times New Roman"/>
      <w:sz w:val="16"/>
      <w:szCs w:val="16"/>
    </w:rPr>
  </w:style>
  <w:style w:type="character" w:customStyle="1" w:styleId="153">
    <w:name w:val="Heading 9 Char"/>
    <w:semiHidden/>
    <w:qFormat/>
    <w:locked/>
    <w:uiPriority w:val="0"/>
    <w:rPr>
      <w:rFonts w:ascii="Cambria" w:hAnsi="Cambria" w:eastAsia="宋体" w:cs="Times New Roman"/>
      <w:kern w:val="0"/>
      <w:sz w:val="21"/>
      <w:szCs w:val="21"/>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批注框文本 Char1"/>
    <w:semiHidden/>
    <w:qFormat/>
    <w:uiPriority w:val="99"/>
    <w:rPr>
      <w:rFonts w:ascii="Times New Roman" w:hAnsi="Times New Roman" w:eastAsia="宋体" w:cs="Times New Roman"/>
      <w:sz w:val="18"/>
      <w:szCs w:val="18"/>
    </w:rPr>
  </w:style>
  <w:style w:type="character" w:customStyle="1" w:styleId="156">
    <w:name w:val="Char Char9"/>
    <w:qFormat/>
    <w:uiPriority w:val="0"/>
    <w:rPr>
      <w:rFonts w:eastAsia="仿宋_GB2312"/>
      <w:kern w:val="2"/>
      <w:sz w:val="18"/>
    </w:rPr>
  </w:style>
  <w:style w:type="character" w:customStyle="1" w:styleId="157">
    <w:name w:val="A7"/>
    <w:qFormat/>
    <w:uiPriority w:val="0"/>
    <w:rPr>
      <w:rFonts w:ascii="HelveticaNeueLT Std Lt" w:eastAsia="HelveticaNeueLT Std Lt" w:cs="HelveticaNeueLT Std Lt"/>
      <w:color w:val="000000"/>
      <w:sz w:val="20"/>
      <w:szCs w:val="20"/>
    </w:rPr>
  </w:style>
  <w:style w:type="character" w:customStyle="1" w:styleId="158">
    <w:name w:val="普通段落 Char"/>
    <w:link w:val="159"/>
    <w:qFormat/>
    <w:uiPriority w:val="0"/>
    <w:rPr>
      <w:rFonts w:ascii="Arial" w:hAnsi="Arial" w:eastAsia="宋体"/>
      <w:lang w:bidi="ar-SA"/>
    </w:rPr>
  </w:style>
  <w:style w:type="paragraph" w:customStyle="1" w:styleId="159">
    <w:name w:val="普通段落"/>
    <w:basedOn w:val="1"/>
    <w:link w:val="158"/>
    <w:qFormat/>
    <w:uiPriority w:val="0"/>
    <w:pPr>
      <w:spacing w:after="240" w:line="276" w:lineRule="auto"/>
    </w:pPr>
    <w:rPr>
      <w:rFonts w:ascii="Arial" w:hAnsi="Arial"/>
      <w:kern w:val="0"/>
      <w:sz w:val="20"/>
      <w:szCs w:val="20"/>
    </w:rPr>
  </w:style>
  <w:style w:type="character" w:customStyle="1" w:styleId="160">
    <w:name w:val="Char Char10"/>
    <w:qFormat/>
    <w:uiPriority w:val="0"/>
    <w:rPr>
      <w:kern w:val="2"/>
      <w:sz w:val="21"/>
      <w:szCs w:val="24"/>
      <w:shd w:val="clear" w:color="auto" w:fill="000080"/>
    </w:rPr>
  </w:style>
  <w:style w:type="character" w:customStyle="1" w:styleId="161">
    <w:name w:val="引文目录标题 字符"/>
    <w:link w:val="18"/>
    <w:qFormat/>
    <w:uiPriority w:val="0"/>
    <w:rPr>
      <w:rFonts w:ascii="Arial" w:hAnsi="Arial" w:eastAsia="宋体" w:cs="Times New Roman"/>
      <w:kern w:val="0"/>
      <w:sz w:val="24"/>
      <w:szCs w:val="20"/>
    </w:rPr>
  </w:style>
  <w:style w:type="character" w:customStyle="1" w:styleId="162">
    <w:name w:val="正文首行缩进1 Char"/>
    <w:qFormat/>
    <w:uiPriority w:val="0"/>
    <w:rPr>
      <w:rFonts w:ascii="Arial" w:hAnsi="Arial" w:eastAsia="宋体"/>
      <w:sz w:val="24"/>
      <w:szCs w:val="21"/>
      <w:lang w:bidi="ar-SA"/>
    </w:rPr>
  </w:style>
  <w:style w:type="character" w:customStyle="1" w:styleId="163">
    <w:name w:val="cn1"/>
    <w:qFormat/>
    <w:uiPriority w:val="0"/>
  </w:style>
  <w:style w:type="character" w:customStyle="1" w:styleId="164">
    <w:name w:val="正文首行缩进 字符"/>
    <w:link w:val="48"/>
    <w:qFormat/>
    <w:uiPriority w:val="0"/>
    <w:rPr>
      <w:sz w:val="24"/>
      <w:szCs w:val="24"/>
    </w:rPr>
  </w:style>
  <w:style w:type="character" w:customStyle="1" w:styleId="165">
    <w:name w:val="H1 Char"/>
    <w:qFormat/>
    <w:uiPriority w:val="0"/>
    <w:rPr>
      <w:rFonts w:ascii="Times New Roman" w:hAnsi="Times New Roman" w:eastAsia="宋体" w:cs="Times New Roman"/>
      <w:b/>
      <w:bCs/>
      <w:kern w:val="44"/>
      <w:sz w:val="44"/>
      <w:szCs w:val="44"/>
    </w:rPr>
  </w:style>
  <w:style w:type="character" w:customStyle="1" w:styleId="166">
    <w:name w:val="Heading 3 - old Char"/>
    <w:qFormat/>
    <w:uiPriority w:val="0"/>
    <w:rPr>
      <w:rFonts w:ascii="Times New Roman" w:hAnsi="Times New Roman" w:eastAsia="宋体" w:cs="Times New Roman"/>
      <w:b/>
      <w:bCs/>
      <w:sz w:val="32"/>
      <w:szCs w:val="32"/>
    </w:rPr>
  </w:style>
  <w:style w:type="character" w:customStyle="1" w:styleId="167">
    <w:name w:val="批注文字 字符"/>
    <w:link w:val="19"/>
    <w:qFormat/>
    <w:uiPriority w:val="0"/>
    <w:rPr>
      <w:szCs w:val="24"/>
    </w:rPr>
  </w:style>
  <w:style w:type="character" w:customStyle="1" w:styleId="168">
    <w:name w:val="font31"/>
    <w:qFormat/>
    <w:uiPriority w:val="0"/>
    <w:rPr>
      <w:rFonts w:hint="default" w:ascii="Times New Roman" w:hAnsi="Times New Roman" w:cs="Times New Roman"/>
      <w:color w:val="000000"/>
      <w:sz w:val="20"/>
      <w:szCs w:val="20"/>
      <w:u w:val="none"/>
    </w:rPr>
  </w:style>
  <w:style w:type="character" w:customStyle="1" w:styleId="169">
    <w:name w:val="正文文本缩进 3 字符"/>
    <w:link w:val="39"/>
    <w:qFormat/>
    <w:uiPriority w:val="0"/>
    <w:rPr>
      <w:rFonts w:ascii="仿宋_GB2312" w:hAnsi="宋体" w:eastAsia="仿宋_GB2312"/>
      <w:color w:val="000000"/>
      <w:sz w:val="24"/>
      <w:szCs w:val="24"/>
    </w:rPr>
  </w:style>
  <w:style w:type="character" w:customStyle="1" w:styleId="170">
    <w:name w:val="Char Char16"/>
    <w:qFormat/>
    <w:uiPriority w:val="0"/>
    <w:rPr>
      <w:rFonts w:ascii="宋体" w:hAnsi="Courier New"/>
      <w:spacing w:val="-4"/>
      <w:kern w:val="2"/>
      <w:sz w:val="18"/>
    </w:rPr>
  </w:style>
  <w:style w:type="character" w:customStyle="1" w:styleId="171">
    <w:name w:val="批注主题 字符"/>
    <w:link w:val="47"/>
    <w:qFormat/>
    <w:uiPriority w:val="99"/>
    <w:rPr>
      <w:b/>
      <w:bCs/>
      <w:szCs w:val="24"/>
    </w:rPr>
  </w:style>
  <w:style w:type="character" w:customStyle="1" w:styleId="172">
    <w:name w:val="标题 1 字符"/>
    <w:link w:val="3"/>
    <w:qFormat/>
    <w:uiPriority w:val="9"/>
    <w:rPr>
      <w:rFonts w:ascii="Times New Roman" w:hAnsi="Times New Roman" w:eastAsia="宋体" w:cs="Times New Roman"/>
      <w:b/>
      <w:bCs/>
      <w:kern w:val="44"/>
      <w:sz w:val="44"/>
      <w:szCs w:val="44"/>
    </w:rPr>
  </w:style>
  <w:style w:type="character" w:customStyle="1" w:styleId="173">
    <w:name w:val="正文首行缩进 Char1"/>
    <w:semiHidden/>
    <w:qFormat/>
    <w:uiPriority w:val="99"/>
    <w:rPr>
      <w:rFonts w:ascii="Times New Roman" w:hAnsi="Times New Roman" w:eastAsia="宋体" w:cs="Times New Roman"/>
      <w:szCs w:val="24"/>
    </w:rPr>
  </w:style>
  <w:style w:type="character" w:customStyle="1" w:styleId="174">
    <w:name w:val="正文文本缩进 2 字符"/>
    <w:link w:val="31"/>
    <w:qFormat/>
    <w:uiPriority w:val="0"/>
    <w:rPr>
      <w:rFonts w:ascii="仿宋_GB2312" w:hAnsi="宋体" w:cs="Arial"/>
      <w:b/>
      <w:bCs/>
      <w:color w:val="000000"/>
      <w:sz w:val="24"/>
      <w:szCs w:val="24"/>
    </w:rPr>
  </w:style>
  <w:style w:type="character" w:customStyle="1" w:styleId="175">
    <w:name w:val="普通 (Web) Char"/>
    <w:qFormat/>
    <w:uiPriority w:val="0"/>
    <w:rPr>
      <w:rFonts w:ascii="宋体" w:hAnsi="宋体" w:eastAsia="宋体" w:cs="Times New Roman"/>
      <w:kern w:val="0"/>
      <w:sz w:val="24"/>
      <w:szCs w:val="24"/>
    </w:rPr>
  </w:style>
  <w:style w:type="character" w:customStyle="1" w:styleId="176">
    <w:name w:val="zhenwen14"/>
    <w:qFormat/>
    <w:uiPriority w:val="0"/>
    <w:rPr>
      <w:color w:val="085994"/>
      <w:sz w:val="18"/>
      <w:szCs w:val="18"/>
    </w:rPr>
  </w:style>
  <w:style w:type="character" w:customStyle="1" w:styleId="177">
    <w:name w:val="font81"/>
    <w:qFormat/>
    <w:uiPriority w:val="0"/>
    <w:rPr>
      <w:rFonts w:hint="eastAsia" w:ascii="宋体" w:hAnsi="宋体" w:eastAsia="宋体" w:cs="宋体"/>
      <w:color w:val="000000"/>
      <w:sz w:val="20"/>
      <w:szCs w:val="20"/>
      <w:u w:val="none"/>
      <w:vertAlign w:val="superscript"/>
    </w:rPr>
  </w:style>
  <w:style w:type="character" w:customStyle="1" w:styleId="178">
    <w:name w:val="Heading 5 Char"/>
    <w:semiHidden/>
    <w:qFormat/>
    <w:locked/>
    <w:uiPriority w:val="0"/>
    <w:rPr>
      <w:rFonts w:cs="Times New Roman"/>
      <w:b/>
      <w:bCs/>
      <w:kern w:val="0"/>
      <w:sz w:val="28"/>
      <w:szCs w:val="28"/>
    </w:rPr>
  </w:style>
  <w:style w:type="character" w:customStyle="1" w:styleId="179">
    <w:name w:val="日期 Char1"/>
    <w:semiHidden/>
    <w:qFormat/>
    <w:uiPriority w:val="99"/>
    <w:rPr>
      <w:rFonts w:ascii="Times New Roman" w:hAnsi="Times New Roman" w:eastAsia="宋体" w:cs="Times New Roman"/>
      <w:szCs w:val="24"/>
    </w:rPr>
  </w:style>
  <w:style w:type="character" w:customStyle="1" w:styleId="180">
    <w:name w:val="缺省文本 Char"/>
    <w:link w:val="181"/>
    <w:qFormat/>
    <w:uiPriority w:val="0"/>
    <w:rPr>
      <w:rFonts w:ascii="Arial" w:hAnsi="Arial"/>
      <w:szCs w:val="21"/>
    </w:rPr>
  </w:style>
  <w:style w:type="paragraph" w:customStyle="1" w:styleId="181">
    <w:name w:val="缺省文本"/>
    <w:basedOn w:val="1"/>
    <w:link w:val="180"/>
    <w:qFormat/>
    <w:uiPriority w:val="0"/>
    <w:pPr>
      <w:autoSpaceDE w:val="0"/>
      <w:autoSpaceDN w:val="0"/>
      <w:adjustRightInd w:val="0"/>
      <w:spacing w:line="360" w:lineRule="auto"/>
      <w:jc w:val="left"/>
    </w:pPr>
    <w:rPr>
      <w:rFonts w:ascii="Arial" w:hAnsi="Arial"/>
      <w:kern w:val="0"/>
      <w:sz w:val="20"/>
      <w:szCs w:val="21"/>
    </w:rPr>
  </w:style>
  <w:style w:type="character" w:customStyle="1" w:styleId="182">
    <w:name w:val="A正文 Char"/>
    <w:link w:val="183"/>
    <w:qFormat/>
    <w:uiPriority w:val="0"/>
    <w:rPr>
      <w:szCs w:val="24"/>
    </w:rPr>
  </w:style>
  <w:style w:type="paragraph" w:customStyle="1" w:styleId="183">
    <w:name w:val="A正文"/>
    <w:basedOn w:val="1"/>
    <w:link w:val="182"/>
    <w:qFormat/>
    <w:uiPriority w:val="0"/>
    <w:pPr>
      <w:spacing w:line="360" w:lineRule="auto"/>
      <w:ind w:firstLine="200" w:firstLineChars="200"/>
    </w:pPr>
    <w:rPr>
      <w:kern w:val="0"/>
      <w:sz w:val="20"/>
    </w:rPr>
  </w:style>
  <w:style w:type="character" w:customStyle="1" w:styleId="184">
    <w:name w:val="style211"/>
    <w:qFormat/>
    <w:uiPriority w:val="0"/>
    <w:rPr>
      <w:color w:val="0000FF"/>
    </w:rPr>
  </w:style>
  <w:style w:type="character" w:customStyle="1" w:styleId="185">
    <w:name w:val="def正文 Char Char"/>
    <w:link w:val="186"/>
    <w:qFormat/>
    <w:uiPriority w:val="0"/>
    <w:rPr>
      <w:sz w:val="24"/>
      <w:szCs w:val="24"/>
    </w:rPr>
  </w:style>
  <w:style w:type="paragraph" w:customStyle="1" w:styleId="186">
    <w:name w:val="def正文"/>
    <w:basedOn w:val="21"/>
    <w:link w:val="185"/>
    <w:qFormat/>
    <w:uiPriority w:val="0"/>
    <w:pPr>
      <w:widowControl/>
      <w:spacing w:after="0" w:line="360" w:lineRule="auto"/>
      <w:ind w:firstLine="510"/>
      <w:jc w:val="left"/>
    </w:pPr>
    <w:rPr>
      <w:sz w:val="24"/>
    </w:rPr>
  </w:style>
  <w:style w:type="character" w:customStyle="1" w:styleId="187">
    <w:name w:val="￥正文 Char"/>
    <w:link w:val="188"/>
    <w:qFormat/>
    <w:uiPriority w:val="0"/>
    <w:rPr>
      <w:rFonts w:ascii="Calibri" w:hAnsi="Calibri" w:eastAsia="宋体"/>
      <w:sz w:val="24"/>
      <w:lang w:bidi="ar-SA"/>
    </w:rPr>
  </w:style>
  <w:style w:type="paragraph" w:customStyle="1" w:styleId="188">
    <w:name w:val="￥正文"/>
    <w:basedOn w:val="1"/>
    <w:link w:val="187"/>
    <w:qFormat/>
    <w:uiPriority w:val="0"/>
    <w:pPr>
      <w:spacing w:line="360" w:lineRule="auto"/>
      <w:ind w:firstLine="200" w:firstLineChars="200"/>
    </w:pPr>
    <w:rPr>
      <w:rFonts w:ascii="Calibri" w:hAnsi="Calibri"/>
      <w:kern w:val="0"/>
      <w:sz w:val="24"/>
      <w:szCs w:val="20"/>
    </w:rPr>
  </w:style>
  <w:style w:type="character" w:customStyle="1" w:styleId="189">
    <w:name w:val="Char Char21"/>
    <w:qFormat/>
    <w:uiPriority w:val="0"/>
    <w:rPr>
      <w:b/>
      <w:bCs/>
      <w:kern w:val="2"/>
      <w:sz w:val="24"/>
      <w:szCs w:val="24"/>
    </w:rPr>
  </w:style>
  <w:style w:type="character" w:customStyle="1" w:styleId="190">
    <w:name w:val="页脚 Char1"/>
    <w:semiHidden/>
    <w:qFormat/>
    <w:uiPriority w:val="99"/>
    <w:rPr>
      <w:rFonts w:ascii="Times New Roman" w:hAnsi="Times New Roman" w:eastAsia="宋体" w:cs="Times New Roman"/>
      <w:sz w:val="18"/>
      <w:szCs w:val="18"/>
    </w:rPr>
  </w:style>
  <w:style w:type="character" w:customStyle="1" w:styleId="191">
    <w:name w:val="Char Char25"/>
    <w:qFormat/>
    <w:uiPriority w:val="0"/>
    <w:rPr>
      <w:rFonts w:eastAsia="楷体_GB2312"/>
      <w:b/>
      <w:bCs/>
      <w:kern w:val="2"/>
      <w:sz w:val="32"/>
      <w:szCs w:val="32"/>
    </w:rPr>
  </w:style>
  <w:style w:type="character" w:customStyle="1" w:styleId="192">
    <w:name w:val="标题 字符"/>
    <w:link w:val="46"/>
    <w:qFormat/>
    <w:uiPriority w:val="0"/>
    <w:rPr>
      <w:rFonts w:ascii="Cambria" w:hAnsi="Cambria"/>
      <w:b/>
      <w:bCs/>
      <w:sz w:val="32"/>
      <w:szCs w:val="32"/>
    </w:rPr>
  </w:style>
  <w:style w:type="character" w:customStyle="1" w:styleId="193">
    <w:name w:val="h Char"/>
    <w:qFormat/>
    <w:uiPriority w:val="0"/>
    <w:rPr>
      <w:rFonts w:ascii="Times New Roman" w:hAnsi="Times New Roman" w:eastAsia="宋体" w:cs="Times New Roman"/>
      <w:sz w:val="18"/>
      <w:szCs w:val="18"/>
    </w:rPr>
  </w:style>
  <w:style w:type="character" w:customStyle="1" w:styleId="194">
    <w:name w:val="标题 Char1"/>
    <w:qFormat/>
    <w:uiPriority w:val="10"/>
    <w:rPr>
      <w:rFonts w:ascii="Cambria" w:hAnsi="Cambria" w:eastAsia="宋体" w:cs="Times New Roman"/>
      <w:b/>
      <w:bCs/>
      <w:sz w:val="32"/>
      <w:szCs w:val="32"/>
    </w:rPr>
  </w:style>
  <w:style w:type="character" w:customStyle="1" w:styleId="195">
    <w:name w:val="表格文本 Char Char"/>
    <w:link w:val="196"/>
    <w:qFormat/>
    <w:uiPriority w:val="0"/>
    <w:rPr>
      <w:rFonts w:ascii="Arial" w:hAnsi="Arial"/>
      <w:kern w:val="2"/>
      <w:sz w:val="21"/>
      <w:szCs w:val="21"/>
      <w:lang w:val="en-US" w:eastAsia="zh-CN" w:bidi="ar-SA"/>
    </w:rPr>
  </w:style>
  <w:style w:type="paragraph" w:customStyle="1" w:styleId="196">
    <w:name w:val="表格文本 Char"/>
    <w:link w:val="195"/>
    <w:qFormat/>
    <w:uiPriority w:val="0"/>
    <w:pPr>
      <w:tabs>
        <w:tab w:val="decimal" w:pos="0"/>
      </w:tabs>
    </w:pPr>
    <w:rPr>
      <w:rFonts w:ascii="Arial" w:hAnsi="Arial" w:eastAsia="宋体" w:cs="Times New Roman"/>
      <w:kern w:val="2"/>
      <w:sz w:val="21"/>
      <w:szCs w:val="21"/>
      <w:lang w:val="en-US" w:eastAsia="zh-CN" w:bidi="ar-SA"/>
    </w:rPr>
  </w:style>
  <w:style w:type="character" w:customStyle="1" w:styleId="197">
    <w:name w:val="Char Char23"/>
    <w:qFormat/>
    <w:uiPriority w:val="0"/>
    <w:rPr>
      <w:b/>
      <w:bCs/>
      <w:kern w:val="2"/>
      <w:sz w:val="28"/>
      <w:szCs w:val="28"/>
    </w:rPr>
  </w:style>
  <w:style w:type="character" w:customStyle="1" w:styleId="198">
    <w:name w:val="style551"/>
    <w:qFormat/>
    <w:uiPriority w:val="0"/>
    <w:rPr>
      <w:rFonts w:hint="default" w:ascii="Arial" w:hAnsi="Arial" w:cs="Arial"/>
      <w:color w:val="333333"/>
      <w:sz w:val="18"/>
      <w:szCs w:val="18"/>
    </w:rPr>
  </w:style>
  <w:style w:type="character" w:customStyle="1" w:styleId="199">
    <w:name w:val="unnamed21"/>
    <w:qFormat/>
    <w:uiPriority w:val="0"/>
    <w:rPr>
      <w:b/>
      <w:bCs/>
      <w:spacing w:val="330"/>
      <w:sz w:val="21"/>
      <w:szCs w:val="21"/>
    </w:rPr>
  </w:style>
  <w:style w:type="character" w:customStyle="1" w:styleId="200">
    <w:name w:val="标题 1 Char Char"/>
    <w:qFormat/>
    <w:uiPriority w:val="0"/>
    <w:rPr>
      <w:rFonts w:eastAsia="宋体"/>
      <w:b/>
      <w:spacing w:val="-2"/>
      <w:sz w:val="24"/>
      <w:lang w:val="en-US" w:eastAsia="zh-CN" w:bidi="ar-SA"/>
    </w:rPr>
  </w:style>
  <w:style w:type="character" w:customStyle="1" w:styleId="201">
    <w:name w:val="Char Char5"/>
    <w:qFormat/>
    <w:uiPriority w:val="0"/>
    <w:rPr>
      <w:rFonts w:ascii="宋体" w:hAnsi="宋体"/>
      <w:sz w:val="24"/>
      <w:szCs w:val="24"/>
    </w:rPr>
  </w:style>
  <w:style w:type="character" w:customStyle="1" w:styleId="202">
    <w:name w:val="正文文本 2 Char1"/>
    <w:semiHidden/>
    <w:qFormat/>
    <w:uiPriority w:val="99"/>
    <w:rPr>
      <w:rFonts w:ascii="Times New Roman" w:hAnsi="Times New Roman" w:eastAsia="宋体" w:cs="Times New Roman"/>
      <w:szCs w:val="24"/>
    </w:rPr>
  </w:style>
  <w:style w:type="character" w:customStyle="1" w:styleId="203">
    <w:name w:val="Char Char111"/>
    <w:qFormat/>
    <w:uiPriority w:val="0"/>
    <w:rPr>
      <w:kern w:val="2"/>
      <w:sz w:val="28"/>
      <w:szCs w:val="24"/>
    </w:rPr>
  </w:style>
  <w:style w:type="character" w:customStyle="1" w:styleId="204">
    <w:name w:val="font91"/>
    <w:qFormat/>
    <w:uiPriority w:val="0"/>
    <w:rPr>
      <w:rFonts w:hint="default" w:ascii="Arial" w:hAnsi="Arial" w:cs="Arial"/>
      <w:b/>
      <w:color w:val="auto"/>
      <w:sz w:val="20"/>
      <w:szCs w:val="20"/>
      <w:u w:val="none"/>
    </w:rPr>
  </w:style>
  <w:style w:type="character" w:customStyle="1" w:styleId="205">
    <w:name w:val="普通文字 Char Char"/>
    <w:qFormat/>
    <w:uiPriority w:val="0"/>
    <w:rPr>
      <w:rFonts w:ascii="宋体" w:hAnsi="Courier New" w:eastAsia="宋体" w:cs="Times New Roman"/>
      <w:szCs w:val="20"/>
    </w:rPr>
  </w:style>
  <w:style w:type="character" w:customStyle="1" w:styleId="206">
    <w:name w:val="3zw"/>
    <w:qFormat/>
    <w:uiPriority w:val="0"/>
  </w:style>
  <w:style w:type="character" w:customStyle="1" w:styleId="207">
    <w:name w:val="普通 (Web) Char1"/>
    <w:qFormat/>
    <w:locked/>
    <w:uiPriority w:val="0"/>
    <w:rPr>
      <w:rFonts w:ascii="宋体" w:hAnsi="宋体" w:eastAsia="宋体"/>
      <w:sz w:val="24"/>
      <w:szCs w:val="24"/>
      <w:lang w:val="en-US" w:eastAsia="zh-CN" w:bidi="ar-SA"/>
    </w:rPr>
  </w:style>
  <w:style w:type="character" w:customStyle="1" w:styleId="208">
    <w:name w:val="Heading 1 Char"/>
    <w:qFormat/>
    <w:locked/>
    <w:uiPriority w:val="0"/>
    <w:rPr>
      <w:rFonts w:cs="Times New Roman"/>
      <w:b/>
      <w:bCs/>
      <w:kern w:val="44"/>
      <w:sz w:val="44"/>
      <w:szCs w:val="44"/>
    </w:rPr>
  </w:style>
  <w:style w:type="character" w:customStyle="1" w:styleId="209">
    <w:name w:val="Footer Char"/>
    <w:qFormat/>
    <w:locked/>
    <w:uiPriority w:val="0"/>
    <w:rPr>
      <w:rFonts w:ascii="Calibri" w:hAnsi="Calibri" w:eastAsia="宋体" w:cs="Times New Roman"/>
      <w:sz w:val="18"/>
      <w:szCs w:val="18"/>
    </w:rPr>
  </w:style>
  <w:style w:type="character" w:customStyle="1" w:styleId="210">
    <w:name w:val="Char Char1"/>
    <w:qFormat/>
    <w:uiPriority w:val="0"/>
    <w:rPr>
      <w:kern w:val="2"/>
      <w:sz w:val="21"/>
      <w:szCs w:val="24"/>
    </w:rPr>
  </w:style>
  <w:style w:type="character" w:customStyle="1" w:styleId="211">
    <w:name w:val="font61"/>
    <w:qFormat/>
    <w:uiPriority w:val="0"/>
    <w:rPr>
      <w:rFonts w:hint="eastAsia" w:ascii="宋体" w:hAnsi="宋体" w:eastAsia="宋体" w:cs="宋体"/>
      <w:color w:val="000000"/>
      <w:sz w:val="24"/>
      <w:szCs w:val="24"/>
      <w:u w:val="none"/>
    </w:rPr>
  </w:style>
  <w:style w:type="character" w:customStyle="1" w:styleId="212">
    <w:name w:val="标题 7 字符"/>
    <w:link w:val="9"/>
    <w:qFormat/>
    <w:uiPriority w:val="0"/>
    <w:rPr>
      <w:rFonts w:ascii="Times New Roman" w:hAnsi="Times New Roman" w:eastAsia="宋体" w:cs="Times New Roman"/>
      <w:b/>
      <w:bCs/>
      <w:kern w:val="0"/>
      <w:sz w:val="24"/>
      <w:szCs w:val="24"/>
    </w:rPr>
  </w:style>
  <w:style w:type="character" w:customStyle="1" w:styleId="213">
    <w:name w:val="font21"/>
    <w:qFormat/>
    <w:uiPriority w:val="0"/>
    <w:rPr>
      <w:rFonts w:hint="eastAsia" w:ascii="宋体" w:hAnsi="宋体" w:eastAsia="宋体" w:cs="宋体"/>
      <w:color w:val="000000"/>
      <w:sz w:val="20"/>
      <w:szCs w:val="20"/>
      <w:u w:val="none"/>
    </w:rPr>
  </w:style>
  <w:style w:type="character" w:customStyle="1" w:styleId="214">
    <w:name w:val="页脚 Char"/>
    <w:qFormat/>
    <w:uiPriority w:val="99"/>
    <w:rPr>
      <w:rFonts w:eastAsia="Calibri"/>
      <w:sz w:val="21"/>
    </w:rPr>
  </w:style>
  <w:style w:type="character" w:customStyle="1" w:styleId="215">
    <w:name w:val="标题 3 Char1"/>
    <w:qFormat/>
    <w:uiPriority w:val="0"/>
    <w:rPr>
      <w:rFonts w:ascii="Times New Roman" w:hAnsi="Times New Roman" w:eastAsia="宋体" w:cs="Times New Roman"/>
      <w:b/>
      <w:bCs/>
      <w:sz w:val="32"/>
      <w:szCs w:val="32"/>
    </w:rPr>
  </w:style>
  <w:style w:type="character" w:customStyle="1" w:styleId="216">
    <w:name w:val="纯文本 Char2"/>
    <w:semiHidden/>
    <w:qFormat/>
    <w:uiPriority w:val="99"/>
    <w:rPr>
      <w:rFonts w:ascii="宋体" w:hAnsi="Courier New" w:eastAsia="宋体" w:cs="Courier New"/>
      <w:szCs w:val="21"/>
    </w:rPr>
  </w:style>
  <w:style w:type="character" w:customStyle="1" w:styleId="217">
    <w:name w:val="页脚 字符"/>
    <w:link w:val="33"/>
    <w:qFormat/>
    <w:uiPriority w:val="99"/>
    <w:rPr>
      <w:rFonts w:eastAsia="黑体"/>
      <w:sz w:val="18"/>
      <w:szCs w:val="18"/>
    </w:rPr>
  </w:style>
  <w:style w:type="character" w:customStyle="1" w:styleId="218">
    <w:name w:val="段落文本 Char"/>
    <w:link w:val="219"/>
    <w:qFormat/>
    <w:uiPriority w:val="0"/>
    <w:rPr>
      <w:rFonts w:eastAsia="宋体"/>
      <w:szCs w:val="21"/>
      <w:lang w:bidi="ar-SA"/>
    </w:rPr>
  </w:style>
  <w:style w:type="paragraph" w:customStyle="1" w:styleId="219">
    <w:name w:val="段落文本"/>
    <w:basedOn w:val="1"/>
    <w:link w:val="218"/>
    <w:qFormat/>
    <w:uiPriority w:val="0"/>
    <w:pPr>
      <w:spacing w:line="360" w:lineRule="auto"/>
      <w:ind w:firstLine="420"/>
    </w:pPr>
    <w:rPr>
      <w:kern w:val="0"/>
      <w:sz w:val="20"/>
      <w:szCs w:val="21"/>
    </w:rPr>
  </w:style>
  <w:style w:type="character" w:customStyle="1" w:styleId="220">
    <w:name w:val="彩色列表 - 强调文字颜色 1 Char"/>
    <w:link w:val="221"/>
    <w:qFormat/>
    <w:uiPriority w:val="0"/>
    <w:rPr>
      <w:rFonts w:ascii="微软雅黑" w:hAnsi="微软雅黑" w:eastAsia="微软雅黑" w:cs="宋体"/>
      <w:kern w:val="2"/>
      <w:sz w:val="24"/>
      <w:szCs w:val="21"/>
      <w:lang w:val="en-US" w:eastAsia="zh-CN" w:bidi="ar-SA"/>
    </w:rPr>
  </w:style>
  <w:style w:type="paragraph" w:customStyle="1" w:styleId="221">
    <w:name w:val="列出段落22"/>
    <w:basedOn w:val="1"/>
    <w:link w:val="220"/>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2">
    <w:name w:val="标题 8 字符"/>
    <w:link w:val="10"/>
    <w:qFormat/>
    <w:uiPriority w:val="0"/>
    <w:rPr>
      <w:rFonts w:ascii="Arial" w:hAnsi="Arial" w:eastAsia="黑体" w:cs="Times New Roman"/>
      <w:kern w:val="0"/>
      <w:sz w:val="24"/>
      <w:szCs w:val="24"/>
    </w:rPr>
  </w:style>
  <w:style w:type="character" w:customStyle="1" w:styleId="223">
    <w:name w:val="Normal Indent Char"/>
    <w:qFormat/>
    <w:locked/>
    <w:uiPriority w:val="0"/>
    <w:rPr>
      <w:sz w:val="20"/>
    </w:rPr>
  </w:style>
  <w:style w:type="character" w:customStyle="1" w:styleId="224">
    <w:name w:val="页眉 字符"/>
    <w:link w:val="34"/>
    <w:qFormat/>
    <w:uiPriority w:val="99"/>
    <w:rPr>
      <w:rFonts w:eastAsia="仿宋_GB2312"/>
      <w:sz w:val="18"/>
    </w:rPr>
  </w:style>
  <w:style w:type="character" w:customStyle="1" w:styleId="225">
    <w:name w:val="内容文本 Char"/>
    <w:link w:val="226"/>
    <w:qFormat/>
    <w:uiPriority w:val="0"/>
    <w:rPr>
      <w:rFonts w:ascii="宋体" w:hAnsi="宋体" w:eastAsia="宋体"/>
      <w:kern w:val="2"/>
      <w:sz w:val="24"/>
      <w:szCs w:val="24"/>
      <w:lang w:bidi="ar-SA"/>
    </w:rPr>
  </w:style>
  <w:style w:type="paragraph" w:customStyle="1" w:styleId="226">
    <w:name w:val="内容文本"/>
    <w:basedOn w:val="1"/>
    <w:link w:val="225"/>
    <w:qFormat/>
    <w:uiPriority w:val="0"/>
    <w:pPr>
      <w:spacing w:line="360" w:lineRule="auto"/>
      <w:ind w:firstLine="480" w:firstLineChars="200"/>
    </w:pPr>
    <w:rPr>
      <w:rFonts w:ascii="宋体" w:hAnsi="宋体"/>
      <w:sz w:val="24"/>
    </w:rPr>
  </w:style>
  <w:style w:type="character" w:customStyle="1" w:styleId="227">
    <w:name w:val="style171"/>
    <w:qFormat/>
    <w:uiPriority w:val="0"/>
    <w:rPr>
      <w:sz w:val="20"/>
      <w:szCs w:val="20"/>
    </w:rPr>
  </w:style>
  <w:style w:type="character" w:customStyle="1" w:styleId="228">
    <w:name w:val="Char Char2"/>
    <w:qFormat/>
    <w:uiPriority w:val="0"/>
    <w:rPr>
      <w:rFonts w:ascii="宋体" w:hAnsi="宋体"/>
      <w:color w:val="000000"/>
      <w:kern w:val="2"/>
      <w:sz w:val="24"/>
      <w:szCs w:val="24"/>
    </w:rPr>
  </w:style>
  <w:style w:type="character" w:customStyle="1" w:styleId="229">
    <w:name w:val="正文文本缩进 2 Char1"/>
    <w:semiHidden/>
    <w:qFormat/>
    <w:uiPriority w:val="99"/>
    <w:rPr>
      <w:rFonts w:ascii="Times New Roman" w:hAnsi="Times New Roman" w:eastAsia="宋体" w:cs="Times New Roman"/>
      <w:szCs w:val="24"/>
    </w:rPr>
  </w:style>
  <w:style w:type="character" w:customStyle="1" w:styleId="230">
    <w:name w:val="* table text Char"/>
    <w:link w:val="231"/>
    <w:qFormat/>
    <w:locked/>
    <w:uiPriority w:val="0"/>
    <w:rPr>
      <w:rFonts w:ascii="Arial" w:hAnsi="Arial" w:eastAsia="宋体"/>
      <w:color w:val="333333"/>
      <w:sz w:val="18"/>
      <w:szCs w:val="18"/>
      <w:lang w:bidi="ar-SA"/>
    </w:rPr>
  </w:style>
  <w:style w:type="paragraph" w:customStyle="1" w:styleId="231">
    <w:name w:val="* table text"/>
    <w:basedOn w:val="1"/>
    <w:link w:val="230"/>
    <w:qFormat/>
    <w:uiPriority w:val="0"/>
    <w:pPr>
      <w:widowControl/>
    </w:pPr>
    <w:rPr>
      <w:rFonts w:ascii="Arial" w:hAnsi="Arial"/>
      <w:color w:val="333333"/>
      <w:kern w:val="0"/>
      <w:sz w:val="18"/>
      <w:szCs w:val="18"/>
    </w:rPr>
  </w:style>
  <w:style w:type="character" w:customStyle="1" w:styleId="232">
    <w:name w:val="样式 加粗"/>
    <w:qFormat/>
    <w:uiPriority w:val="0"/>
    <w:rPr>
      <w:rFonts w:eastAsia="仿宋_GB2312"/>
      <w:b/>
      <w:bCs/>
      <w:sz w:val="24"/>
    </w:rPr>
  </w:style>
  <w:style w:type="character" w:customStyle="1" w:styleId="233">
    <w:name w:val="Header Char"/>
    <w:qFormat/>
    <w:locked/>
    <w:uiPriority w:val="0"/>
    <w:rPr>
      <w:rFonts w:ascii="Calibri" w:hAnsi="Calibri" w:eastAsia="宋体" w:cs="Times New Roman"/>
      <w:sz w:val="18"/>
      <w:szCs w:val="18"/>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5">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9">
    <w:name w:val="Char11"/>
    <w:basedOn w:val="1"/>
    <w:qFormat/>
    <w:uiPriority w:val="0"/>
    <w:rPr>
      <w:rFonts w:ascii="仿宋_GB2312" w:hAnsi="宋体" w:eastAsia="仿宋_GB2312" w:cs="宋体"/>
      <w:b/>
      <w:sz w:val="32"/>
      <w:szCs w:val="32"/>
    </w:rPr>
  </w:style>
  <w:style w:type="paragraph" w:customStyle="1" w:styleId="240">
    <w:name w:val="简单回函地址"/>
    <w:basedOn w:val="1"/>
    <w:qFormat/>
    <w:uiPriority w:val="0"/>
    <w:rPr>
      <w:szCs w:val="20"/>
    </w:rPr>
  </w:style>
  <w:style w:type="paragraph" w:customStyle="1" w:styleId="241">
    <w:name w:val="正文段"/>
    <w:basedOn w:val="1"/>
    <w:qFormat/>
    <w:uiPriority w:val="0"/>
    <w:pPr>
      <w:widowControl/>
      <w:snapToGrid w:val="0"/>
      <w:spacing w:afterLines="50"/>
      <w:ind w:firstLine="200" w:firstLineChars="200"/>
    </w:pPr>
    <w:rPr>
      <w:kern w:val="0"/>
      <w:sz w:val="24"/>
      <w:szCs w:val="20"/>
    </w:rPr>
  </w:style>
  <w:style w:type="paragraph" w:customStyle="1" w:styleId="242">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3">
    <w:name w:val="p0"/>
    <w:basedOn w:val="1"/>
    <w:qFormat/>
    <w:uiPriority w:val="0"/>
    <w:pPr>
      <w:widowControl/>
      <w:jc w:val="left"/>
    </w:pPr>
    <w:rPr>
      <w:rFonts w:ascii="宋体" w:hAnsi="宋体"/>
      <w:kern w:val="0"/>
      <w:sz w:val="20"/>
      <w:szCs w:val="20"/>
    </w:rPr>
  </w:style>
  <w:style w:type="paragraph" w:customStyle="1" w:styleId="244">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6">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9">
    <w:name w:val="Char Char Char Char Char Char"/>
    <w:basedOn w:val="1"/>
    <w:qFormat/>
    <w:uiPriority w:val="0"/>
    <w:pPr>
      <w:ind w:firstLine="200" w:firstLineChars="200"/>
    </w:pPr>
    <w:rPr>
      <w:szCs w:val="20"/>
    </w:rPr>
  </w:style>
  <w:style w:type="paragraph" w:customStyle="1" w:styleId="250">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2">
    <w:name w:val="首行缩进"/>
    <w:basedOn w:val="1"/>
    <w:qFormat/>
    <w:uiPriority w:val="0"/>
    <w:pPr>
      <w:spacing w:line="360" w:lineRule="auto"/>
      <w:ind w:firstLine="720"/>
    </w:pPr>
    <w:rPr>
      <w:szCs w:val="21"/>
    </w:rPr>
  </w:style>
  <w:style w:type="paragraph" w:customStyle="1" w:styleId="253">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5">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列出段落1"/>
    <w:basedOn w:val="1"/>
    <w:qFormat/>
    <w:uiPriority w:val="0"/>
    <w:pPr>
      <w:spacing w:line="360" w:lineRule="auto"/>
      <w:ind w:firstLine="420" w:firstLineChars="200"/>
    </w:pPr>
    <w:rPr>
      <w:rFonts w:ascii="宋体" w:hAnsi="宋体"/>
      <w:sz w:val="24"/>
    </w:rPr>
  </w:style>
  <w:style w:type="paragraph" w:customStyle="1" w:styleId="257">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9">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0">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1">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2">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5">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1">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2">
    <w:name w:val="Item Step in Table"/>
    <w:basedOn w:val="1"/>
    <w:qFormat/>
    <w:uiPriority w:val="0"/>
    <w:pPr>
      <w:tabs>
        <w:tab w:val="left" w:pos="420"/>
      </w:tabs>
      <w:ind w:left="420" w:hanging="420"/>
      <w:jc w:val="left"/>
    </w:pPr>
  </w:style>
  <w:style w:type="paragraph" w:customStyle="1" w:styleId="27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4">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5">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6">
    <w:name w:val="Pa5"/>
    <w:basedOn w:val="1"/>
    <w:next w:val="1"/>
    <w:qFormat/>
    <w:uiPriority w:val="0"/>
    <w:pPr>
      <w:spacing w:line="241" w:lineRule="auto"/>
      <w:ind w:firstLine="1680" w:firstLineChars="200"/>
    </w:pPr>
    <w:rPr>
      <w:rFonts w:ascii="EtGsHeiBold" w:eastAsia="EtGsHeiBold"/>
      <w:sz w:val="24"/>
    </w:rPr>
  </w:style>
  <w:style w:type="paragraph" w:customStyle="1" w:styleId="27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9">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0">
    <w:name w:val="Item List in Table"/>
    <w:basedOn w:val="1"/>
    <w:qFormat/>
    <w:uiPriority w:val="0"/>
    <w:pPr>
      <w:numPr>
        <w:ilvl w:val="0"/>
        <w:numId w:val="1"/>
      </w:numPr>
      <w:jc w:val="left"/>
    </w:pPr>
  </w:style>
  <w:style w:type="paragraph" w:customStyle="1" w:styleId="2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3">
    <w:name w:val="_Style 3"/>
    <w:basedOn w:val="1"/>
    <w:qFormat/>
    <w:uiPriority w:val="34"/>
    <w:pPr>
      <w:spacing w:line="360" w:lineRule="auto"/>
      <w:ind w:firstLine="420" w:firstLineChars="200"/>
    </w:pPr>
    <w:rPr>
      <w:rFonts w:ascii="Calibri" w:hAnsi="Calibri"/>
      <w:szCs w:val="22"/>
    </w:rPr>
  </w:style>
  <w:style w:type="paragraph" w:customStyle="1" w:styleId="284">
    <w:name w:val="次小点说明"/>
    <w:basedOn w:val="14"/>
    <w:qFormat/>
    <w:uiPriority w:val="0"/>
    <w:pPr>
      <w:tabs>
        <w:tab w:val="left" w:pos="720"/>
      </w:tabs>
      <w:spacing w:line="360" w:lineRule="auto"/>
      <w:ind w:left="777" w:hanging="417"/>
    </w:pPr>
    <w:rPr>
      <w:sz w:val="24"/>
    </w:rPr>
  </w:style>
  <w:style w:type="paragraph" w:customStyle="1" w:styleId="28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6">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7">
    <w:name w:val="Char Char"/>
    <w:basedOn w:val="1"/>
    <w:qFormat/>
    <w:uiPriority w:val="0"/>
    <w:pPr>
      <w:jc w:val="center"/>
    </w:pPr>
    <w:rPr>
      <w:rFonts w:ascii="仿宋_GB2312" w:eastAsia="仿宋_GB2312"/>
      <w:b/>
      <w:kern w:val="0"/>
      <w:sz w:val="32"/>
      <w:szCs w:val="32"/>
      <w:lang w:val="en-GB"/>
    </w:rPr>
  </w:style>
  <w:style w:type="paragraph" w:customStyle="1" w:styleId="288">
    <w:name w:val="此正文"/>
    <w:basedOn w:val="1"/>
    <w:qFormat/>
    <w:uiPriority w:val="0"/>
    <w:pPr>
      <w:spacing w:line="360" w:lineRule="auto"/>
      <w:ind w:firstLine="200" w:firstLineChars="200"/>
    </w:pPr>
    <w:rPr>
      <w:sz w:val="24"/>
    </w:rPr>
  </w:style>
  <w:style w:type="paragraph" w:customStyle="1" w:styleId="289">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9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1">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3">
    <w:name w:val="正文符号1"/>
    <w:basedOn w:val="294"/>
    <w:qFormat/>
    <w:uiPriority w:val="0"/>
    <w:pPr>
      <w:tabs>
        <w:tab w:val="left" w:pos="1080"/>
      </w:tabs>
      <w:ind w:left="1134" w:firstLine="0" w:firstLineChars="0"/>
    </w:pPr>
  </w:style>
  <w:style w:type="paragraph" w:customStyle="1" w:styleId="294">
    <w:name w:val="正文首行缩进2字"/>
    <w:basedOn w:val="1"/>
    <w:qFormat/>
    <w:uiPriority w:val="0"/>
    <w:pPr>
      <w:spacing w:line="360" w:lineRule="auto"/>
      <w:ind w:firstLine="412" w:firstLineChars="196"/>
    </w:pPr>
    <w:rPr>
      <w:rFonts w:ascii="宋体" w:hAnsi="宋体"/>
      <w:kern w:val="0"/>
      <w:szCs w:val="21"/>
    </w:rPr>
  </w:style>
  <w:style w:type="paragraph" w:customStyle="1" w:styleId="295">
    <w:name w:val="图片"/>
    <w:basedOn w:val="1"/>
    <w:next w:val="1"/>
    <w:qFormat/>
    <w:uiPriority w:val="0"/>
    <w:pPr>
      <w:jc w:val="center"/>
    </w:pPr>
  </w:style>
  <w:style w:type="paragraph" w:customStyle="1" w:styleId="296">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7">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8">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9">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0">
    <w:name w:val="Char"/>
    <w:basedOn w:val="1"/>
    <w:qFormat/>
    <w:uiPriority w:val="0"/>
    <w:rPr>
      <w:rFonts w:ascii="仿宋_GB2312" w:eastAsia="仿宋_GB2312"/>
      <w:b/>
      <w:sz w:val="32"/>
      <w:szCs w:val="32"/>
    </w:rPr>
  </w:style>
  <w:style w:type="paragraph" w:customStyle="1" w:styleId="301">
    <w:name w:val="项目正文"/>
    <w:basedOn w:val="1"/>
    <w:qFormat/>
    <w:uiPriority w:val="0"/>
    <w:pPr>
      <w:ind w:left="420" w:hanging="420"/>
    </w:pPr>
    <w:rPr>
      <w:sz w:val="28"/>
      <w:szCs w:val="20"/>
    </w:rPr>
  </w:style>
  <w:style w:type="paragraph" w:customStyle="1" w:styleId="30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4">
    <w:name w:val="样式26"/>
    <w:basedOn w:val="305"/>
    <w:qFormat/>
    <w:uiPriority w:val="0"/>
    <w:pPr>
      <w:tabs>
        <w:tab w:val="left" w:pos="180"/>
        <w:tab w:val="left" w:pos="1580"/>
      </w:tabs>
      <w:ind w:left="1603" w:hanging="363"/>
    </w:pPr>
  </w:style>
  <w:style w:type="paragraph" w:customStyle="1" w:styleId="305">
    <w:name w:val="样式25"/>
    <w:basedOn w:val="1"/>
    <w:qFormat/>
    <w:uiPriority w:val="0"/>
    <w:pPr>
      <w:tabs>
        <w:tab w:val="left" w:pos="180"/>
      </w:tabs>
      <w:ind w:left="1260" w:hanging="720"/>
    </w:pPr>
    <w:rPr>
      <w:sz w:val="24"/>
      <w:szCs w:val="20"/>
    </w:rPr>
  </w:style>
  <w:style w:type="paragraph" w:customStyle="1" w:styleId="306">
    <w:name w:val="Block"/>
    <w:basedOn w:val="1"/>
    <w:next w:val="144"/>
    <w:qFormat/>
    <w:uiPriority w:val="0"/>
    <w:pPr>
      <w:tabs>
        <w:tab w:val="left" w:pos="0"/>
      </w:tabs>
    </w:pPr>
    <w:rPr>
      <w:rFonts w:ascii="Arial" w:hAnsi="Arial" w:eastAsia="楷体_GB2312"/>
      <w:color w:val="000080"/>
      <w:sz w:val="28"/>
      <w:szCs w:val="28"/>
    </w:rPr>
  </w:style>
  <w:style w:type="paragraph" w:customStyle="1" w:styleId="30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0">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1">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2">
    <w:name w:val="Item Step"/>
    <w:basedOn w:val="1"/>
    <w:qFormat/>
    <w:uiPriority w:val="0"/>
    <w:pPr>
      <w:widowControl/>
      <w:numPr>
        <w:ilvl w:val="0"/>
        <w:numId w:val="3"/>
      </w:numPr>
      <w:spacing w:afterLines="50"/>
      <w:jc w:val="left"/>
    </w:p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4">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5">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6">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8">
    <w:name w:val="小点说明"/>
    <w:basedOn w:val="1"/>
    <w:qFormat/>
    <w:uiPriority w:val="0"/>
    <w:pPr>
      <w:tabs>
        <w:tab w:val="left" w:pos="420"/>
      </w:tabs>
      <w:spacing w:after="80" w:line="360" w:lineRule="auto"/>
      <w:ind w:left="420" w:hanging="420"/>
    </w:pPr>
    <w:rPr>
      <w:sz w:val="24"/>
    </w:rPr>
  </w:style>
  <w:style w:type="paragraph" w:customStyle="1" w:styleId="31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2">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3">
    <w:name w:val="段落正文 Char Char"/>
    <w:basedOn w:val="1"/>
    <w:qFormat/>
    <w:uiPriority w:val="0"/>
    <w:pPr>
      <w:spacing w:line="360" w:lineRule="auto"/>
      <w:ind w:firstLine="461" w:firstLineChars="192"/>
    </w:pPr>
    <w:rPr>
      <w:rFonts w:ascii="宋体" w:hAnsi="宋体"/>
      <w:sz w:val="24"/>
    </w:rPr>
  </w:style>
  <w:style w:type="paragraph" w:customStyle="1" w:styleId="324">
    <w:name w:val="Figure Description"/>
    <w:basedOn w:val="325"/>
    <w:next w:val="144"/>
    <w:qFormat/>
    <w:uiPriority w:val="0"/>
    <w:pPr>
      <w:tabs>
        <w:tab w:val="left" w:pos="680"/>
      </w:tabs>
      <w:spacing w:afterLines="100"/>
    </w:pPr>
    <w:rPr>
      <w:sz w:val="18"/>
    </w:rPr>
  </w:style>
  <w:style w:type="paragraph" w:customStyle="1" w:styleId="325">
    <w:name w:val="Figure"/>
    <w:basedOn w:val="1"/>
    <w:next w:val="324"/>
    <w:qFormat/>
    <w:uiPriority w:val="0"/>
    <w:pPr>
      <w:keepNext/>
      <w:keepLines/>
      <w:ind w:left="1134"/>
      <w:jc w:val="center"/>
    </w:pPr>
  </w:style>
  <w:style w:type="paragraph" w:customStyle="1" w:styleId="326">
    <w:name w:val="列出段落2"/>
    <w:basedOn w:val="1"/>
    <w:qFormat/>
    <w:uiPriority w:val="0"/>
    <w:pPr>
      <w:ind w:firstLine="420" w:firstLineChars="200"/>
    </w:pPr>
  </w:style>
  <w:style w:type="paragraph" w:customStyle="1" w:styleId="32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8">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9">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0">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1">
    <w:name w:val="Table Text"/>
    <w:basedOn w:val="1"/>
    <w:qFormat/>
    <w:uiPriority w:val="0"/>
    <w:rPr>
      <w:sz w:val="18"/>
    </w:rPr>
  </w:style>
  <w:style w:type="paragraph" w:customStyle="1" w:styleId="332">
    <w:name w:val="默认段落字体 Para Char Char Char Char Char Char Char Char Char1 Char Char Char Char"/>
    <w:basedOn w:val="1"/>
    <w:qFormat/>
    <w:uiPriority w:val="0"/>
    <w:rPr>
      <w:rFonts w:ascii="Tahoma" w:hAnsi="Tahoma"/>
      <w:sz w:val="24"/>
      <w:szCs w:val="20"/>
    </w:rPr>
  </w:style>
  <w:style w:type="paragraph" w:customStyle="1" w:styleId="333">
    <w:name w:val="p18"/>
    <w:basedOn w:val="1"/>
    <w:qFormat/>
    <w:uiPriority w:val="0"/>
    <w:pPr>
      <w:widowControl/>
      <w:spacing w:afterLines="100"/>
      <w:ind w:left="1134"/>
      <w:jc w:val="center"/>
    </w:pPr>
    <w:rPr>
      <w:kern w:val="0"/>
      <w:sz w:val="18"/>
      <w:szCs w:val="18"/>
    </w:rPr>
  </w:style>
  <w:style w:type="paragraph" w:customStyle="1" w:styleId="334">
    <w:name w:val="p16"/>
    <w:basedOn w:val="1"/>
    <w:qFormat/>
    <w:uiPriority w:val="0"/>
    <w:pPr>
      <w:widowControl/>
    </w:pPr>
    <w:rPr>
      <w:rFonts w:ascii="Arial" w:hAnsi="Arial" w:cs="Arial"/>
      <w:color w:val="333333"/>
      <w:kern w:val="0"/>
      <w:sz w:val="18"/>
      <w:szCs w:val="18"/>
    </w:rPr>
  </w:style>
  <w:style w:type="paragraph" w:customStyle="1" w:styleId="3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6">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7">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8">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9">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0">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1">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2">
    <w:name w:val="Char Char11"/>
    <w:basedOn w:val="1"/>
    <w:qFormat/>
    <w:uiPriority w:val="0"/>
    <w:pPr>
      <w:widowControl/>
      <w:jc w:val="left"/>
    </w:pPr>
    <w:rPr>
      <w:sz w:val="36"/>
    </w:rPr>
  </w:style>
  <w:style w:type="paragraph" w:customStyle="1" w:styleId="343">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4">
    <w:name w:val="Char2"/>
    <w:basedOn w:val="1"/>
    <w:qFormat/>
    <w:uiPriority w:val="0"/>
    <w:pPr>
      <w:spacing w:line="240" w:lineRule="atLeast"/>
      <w:ind w:left="420" w:firstLine="420"/>
    </w:pPr>
  </w:style>
  <w:style w:type="paragraph" w:customStyle="1" w:styleId="34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默认段落字体 Para Char"/>
    <w:basedOn w:val="1"/>
    <w:qFormat/>
    <w:uiPriority w:val="0"/>
    <w:rPr>
      <w:szCs w:val="20"/>
    </w:rPr>
  </w:style>
  <w:style w:type="paragraph" w:customStyle="1" w:styleId="347">
    <w:name w:val="二级编号"/>
    <w:basedOn w:val="1"/>
    <w:qFormat/>
    <w:uiPriority w:val="0"/>
    <w:pPr>
      <w:tabs>
        <w:tab w:val="left" w:pos="851"/>
      </w:tabs>
      <w:spacing w:line="360" w:lineRule="auto"/>
      <w:jc w:val="left"/>
    </w:pPr>
    <w:rPr>
      <w:rFonts w:cs="宋体"/>
      <w:sz w:val="24"/>
      <w:szCs w:val="20"/>
    </w:rPr>
  </w:style>
  <w:style w:type="paragraph" w:customStyle="1" w:styleId="34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0">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1">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2">
    <w:name w:val="样式 正文缩进 + 首行缩进:  2 字符"/>
    <w:basedOn w:val="14"/>
    <w:qFormat/>
    <w:uiPriority w:val="0"/>
    <w:pPr>
      <w:spacing w:after="80" w:line="360" w:lineRule="auto"/>
      <w:ind w:firstLine="480" w:firstLineChars="200"/>
    </w:pPr>
    <w:rPr>
      <w:sz w:val="24"/>
    </w:rPr>
  </w:style>
  <w:style w:type="paragraph" w:customStyle="1" w:styleId="353">
    <w:name w:val="Char111"/>
    <w:basedOn w:val="1"/>
    <w:qFormat/>
    <w:uiPriority w:val="0"/>
    <w:rPr>
      <w:rFonts w:ascii="仿宋_GB2312" w:hAnsi="宋体" w:eastAsia="仿宋_GB2312" w:cs="宋体"/>
      <w:b/>
      <w:sz w:val="32"/>
      <w:szCs w:val="32"/>
    </w:rPr>
  </w:style>
  <w:style w:type="paragraph" w:customStyle="1" w:styleId="3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5">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p19"/>
    <w:basedOn w:val="1"/>
    <w:qFormat/>
    <w:uiPriority w:val="0"/>
    <w:pPr>
      <w:widowControl/>
      <w:spacing w:beforeLines="100" w:afterLines="100"/>
      <w:ind w:left="1134"/>
    </w:pPr>
    <w:rPr>
      <w:kern w:val="0"/>
      <w:szCs w:val="21"/>
    </w:rPr>
  </w:style>
  <w:style w:type="paragraph" w:customStyle="1" w:styleId="36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5">
    <w:name w:val="样式23"/>
    <w:basedOn w:val="318"/>
    <w:qFormat/>
    <w:uiPriority w:val="0"/>
    <w:pPr>
      <w:adjustRightInd w:val="0"/>
      <w:snapToGrid w:val="0"/>
      <w:spacing w:after="0" w:line="240" w:lineRule="auto"/>
    </w:pPr>
    <w:rPr>
      <w:szCs w:val="20"/>
    </w:rPr>
  </w:style>
  <w:style w:type="paragraph" w:customStyle="1" w:styleId="36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2">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3">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5">
    <w:name w:val="样式 A正文 + 首行缩进:  0 字符"/>
    <w:basedOn w:val="183"/>
    <w:qFormat/>
    <w:uiPriority w:val="0"/>
    <w:pPr>
      <w:spacing w:line="240" w:lineRule="auto"/>
      <w:ind w:firstLine="0" w:firstLineChars="0"/>
    </w:pPr>
    <w:rPr>
      <w:rFonts w:cs="宋体"/>
      <w:szCs w:val="20"/>
    </w:rPr>
  </w:style>
  <w:style w:type="paragraph" w:customStyle="1" w:styleId="376">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8">
    <w:name w:val="5"/>
    <w:qFormat/>
    <w:uiPriority w:val="0"/>
    <w:rPr>
      <w:rFonts w:ascii="Times New Roman" w:hAnsi="Times New Roman" w:eastAsia="宋体" w:cs="Times New Roman"/>
      <w:kern w:val="2"/>
      <w:sz w:val="21"/>
      <w:szCs w:val="22"/>
      <w:lang w:val="en-US" w:eastAsia="zh-CN" w:bidi="ar-SA"/>
    </w:rPr>
  </w:style>
  <w:style w:type="paragraph" w:customStyle="1" w:styleId="37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0">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1">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2">
    <w:name w:val="Table Heading"/>
    <w:basedOn w:val="1"/>
    <w:qFormat/>
    <w:uiPriority w:val="0"/>
    <w:pPr>
      <w:jc w:val="center"/>
    </w:pPr>
    <w:rPr>
      <w:rFonts w:ascii="Arial" w:hAnsi="Arial" w:eastAsia="黑体"/>
      <w:b/>
    </w:rPr>
  </w:style>
  <w:style w:type="paragraph" w:customStyle="1" w:styleId="38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5">
    <w:name w:val="纯文本 Char3"/>
    <w:qFormat/>
    <w:uiPriority w:val="0"/>
    <w:rPr>
      <w:rFonts w:ascii="宋体" w:hAnsi="Courier New" w:eastAsia="宋体"/>
      <w:sz w:val="24"/>
      <w:szCs w:val="24"/>
    </w:rPr>
  </w:style>
  <w:style w:type="character" w:customStyle="1" w:styleId="386">
    <w:name w:val="纯文本 字符"/>
    <w:qFormat/>
    <w:uiPriority w:val="0"/>
    <w:rPr>
      <w:rFonts w:ascii="宋体" w:hAnsi="Courier New"/>
      <w:sz w:val="24"/>
      <w:szCs w:val="24"/>
    </w:rPr>
  </w:style>
  <w:style w:type="character" w:customStyle="1" w:styleId="387">
    <w:name w:val="正文文本缩进 字符"/>
    <w:qFormat/>
    <w:uiPriority w:val="0"/>
    <w:rPr>
      <w:rFonts w:ascii="宋体" w:hAnsi="Courier New"/>
      <w:spacing w:val="-4"/>
      <w:sz w:val="18"/>
    </w:rPr>
  </w:style>
  <w:style w:type="character" w:customStyle="1" w:styleId="388">
    <w:name w:val="纯文本 字符1"/>
    <w:qFormat/>
    <w:locked/>
    <w:uiPriority w:val="0"/>
    <w:rPr>
      <w:rFonts w:ascii="宋体" w:hAnsi="Courier New"/>
      <w:sz w:val="24"/>
      <w:szCs w:val="24"/>
    </w:rPr>
  </w:style>
  <w:style w:type="paragraph" w:customStyle="1" w:styleId="38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0">
    <w:name w:val="正文文本缩进 Char"/>
    <w:qFormat/>
    <w:uiPriority w:val="0"/>
    <w:rPr>
      <w:rFonts w:ascii="宋体" w:hAnsi="Courier New"/>
      <w:spacing w:val="-4"/>
      <w:sz w:val="18"/>
    </w:rPr>
  </w:style>
  <w:style w:type="character" w:customStyle="1" w:styleId="391">
    <w:name w:val="纯文本 Char"/>
    <w:qFormat/>
    <w:uiPriority w:val="0"/>
    <w:rPr>
      <w:rFonts w:ascii="宋体" w:hAnsi="Courier New" w:eastAsia="宋体"/>
      <w:sz w:val="24"/>
      <w:szCs w:val="24"/>
    </w:rPr>
  </w:style>
  <w:style w:type="character" w:customStyle="1" w:styleId="392">
    <w:name w:val="未处理的提及1"/>
    <w:basedOn w:val="51"/>
    <w:semiHidden/>
    <w:unhideWhenUsed/>
    <w:qFormat/>
    <w:uiPriority w:val="99"/>
    <w:rPr>
      <w:color w:val="605E5C"/>
      <w:shd w:val="clear" w:color="auto" w:fill="E1DFDD"/>
    </w:rPr>
  </w:style>
  <w:style w:type="character" w:customStyle="1" w:styleId="393">
    <w:name w:val="页脚 Char2"/>
    <w:qFormat/>
    <w:uiPriority w:val="99"/>
    <w:rPr>
      <w:rFonts w:eastAsia="黑体"/>
      <w:sz w:val="18"/>
      <w:szCs w:val="18"/>
    </w:rPr>
  </w:style>
  <w:style w:type="character" w:customStyle="1" w:styleId="394">
    <w:name w:val="页眉 Char"/>
    <w:qFormat/>
    <w:uiPriority w:val="99"/>
    <w:rPr>
      <w:rFonts w:eastAsia="仿宋_GB2312"/>
      <w:sz w:val="18"/>
    </w:rPr>
  </w:style>
  <w:style w:type="paragraph" w:styleId="395">
    <w:name w:val="List Paragraph"/>
    <w:basedOn w:val="1"/>
    <w:qFormat/>
    <w:uiPriority w:val="99"/>
    <w:pPr>
      <w:ind w:firstLine="420" w:firstLineChars="200"/>
    </w:pPr>
  </w:style>
  <w:style w:type="character" w:customStyle="1" w:styleId="396">
    <w:name w:val="日期 Char"/>
    <w:qFormat/>
    <w:uiPriority w:val="0"/>
    <w:rPr>
      <w:rFonts w:eastAsia="楷体_GB2312"/>
      <w:sz w:val="32"/>
    </w:rPr>
  </w:style>
  <w:style w:type="character" w:customStyle="1" w:styleId="397">
    <w:name w:val="标题 4 Char"/>
    <w:qFormat/>
    <w:uiPriority w:val="0"/>
    <w:rPr>
      <w:rFonts w:ascii="Arial" w:hAnsi="Arial" w:eastAsia="黑体" w:cs="Times New Roman"/>
      <w:b/>
      <w:bCs/>
      <w:kern w:val="0"/>
      <w:sz w:val="28"/>
      <w:szCs w:val="28"/>
    </w:rPr>
  </w:style>
  <w:style w:type="paragraph" w:customStyle="1" w:styleId="398">
    <w:name w:val="_Style 394"/>
    <w:basedOn w:val="1"/>
    <w:next w:val="1"/>
    <w:link w:val="410"/>
    <w:unhideWhenUsed/>
    <w:qFormat/>
    <w:uiPriority w:val="0"/>
    <w:pPr>
      <w:ind w:left="2940" w:leftChars="1400"/>
    </w:pPr>
    <w:rPr>
      <w:kern w:val="0"/>
      <w:sz w:val="24"/>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8"/>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2">
    <w:name w:val="网新正文文本"/>
    <w:autoRedefine/>
    <w:qFormat/>
    <w:uiPriority w:val="0"/>
    <w:pPr>
      <w:spacing w:line="360" w:lineRule="auto"/>
      <w:ind w:firstLine="200" w:firstLineChars="200"/>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8150</Words>
  <Characters>9197</Characters>
  <Lines>283</Lines>
  <Paragraphs>79</Paragraphs>
  <TotalTime>2</TotalTime>
  <ScaleCrop>false</ScaleCrop>
  <LinksUpToDate>false</LinksUpToDate>
  <CharactersWithSpaces>9393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WPS_1503645033</cp:lastModifiedBy>
  <cp:lastPrinted>2025-06-09T07:37:00Z</cp:lastPrinted>
  <dcterms:modified xsi:type="dcterms:W3CDTF">2025-06-25T01:55:19Z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C5AD55C8B7CB4E3B96AFA50B3FDFA737_13</vt:lpwstr>
  </property>
  <property fmtid="{D5CDD505-2E9C-101B-9397-08002B2CF9AE}" pid="4" name="KSOTemplateDocerSaveRecord">
    <vt:lpwstr>eyJoZGlkIjoiZmJiNzg0NDQ0ODhlMTA2ODY2MDlhNjcyNzcwOGQ5ODciLCJ1c2VySWQiOiIyOTc2NTg1MTcifQ==</vt:lpwstr>
  </property>
</Properties>
</file>