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insoku w:val="0"/>
        <w:spacing w:before="2"/>
        <w:jc w:val="center"/>
        <w:rPr>
          <w:sz w:val="36"/>
          <w:szCs w:val="36"/>
        </w:rPr>
      </w:pPr>
      <w:bookmarkStart w:id="0" w:name="_Toc152042286"/>
      <w:bookmarkStart w:id="1" w:name="_Toc144974478"/>
    </w:p>
    <w:p>
      <w:pPr>
        <w:pStyle w:val="16"/>
        <w:kinsoku w:val="0"/>
        <w:spacing w:before="2"/>
        <w:jc w:val="center"/>
        <w:rPr>
          <w:sz w:val="36"/>
          <w:szCs w:val="36"/>
        </w:rPr>
      </w:pPr>
      <w:r>
        <w:rPr>
          <w:rFonts w:hint="eastAsia"/>
          <w:sz w:val="36"/>
          <w:szCs w:val="36"/>
        </w:rPr>
        <w:t>绿色药都产业园配套设施提升工程（北区）（</w:t>
      </w:r>
      <w:r>
        <w:rPr>
          <w:rFonts w:hint="eastAsia"/>
          <w:sz w:val="36"/>
          <w:szCs w:val="36"/>
          <w:lang w:eastAsia="zh-CN"/>
        </w:rPr>
        <w:t>亮化工程</w:t>
      </w:r>
      <w:r>
        <w:rPr>
          <w:rFonts w:hint="eastAsia"/>
          <w:sz w:val="36"/>
          <w:szCs w:val="36"/>
        </w:rPr>
        <w:t>）</w:t>
      </w:r>
    </w:p>
    <w:p>
      <w:pPr>
        <w:pStyle w:val="16"/>
        <w:tabs>
          <w:tab w:val="left" w:pos="5834"/>
        </w:tabs>
        <w:kinsoku w:val="0"/>
        <w:spacing w:before="14"/>
        <w:ind w:right="175"/>
        <w:jc w:val="center"/>
        <w:rPr>
          <w:spacing w:val="-1"/>
          <w:sz w:val="28"/>
          <w:szCs w:val="28"/>
        </w:rPr>
      </w:pPr>
    </w:p>
    <w:p>
      <w:pPr>
        <w:pStyle w:val="16"/>
        <w:tabs>
          <w:tab w:val="left" w:pos="5834"/>
        </w:tabs>
        <w:kinsoku w:val="0"/>
        <w:spacing w:before="14"/>
        <w:ind w:right="175"/>
        <w:jc w:val="center"/>
        <w:rPr>
          <w:rFonts w:ascii="宋体" w:hAnsi="宋体" w:cs="宋体"/>
          <w:b/>
          <w:bCs/>
          <w:sz w:val="28"/>
          <w:szCs w:val="28"/>
        </w:rPr>
      </w:pPr>
      <w:r>
        <w:rPr>
          <w:rFonts w:hint="eastAsia" w:ascii="宋体" w:hAnsi="宋体" w:cs="宋体"/>
          <w:b/>
          <w:bCs/>
          <w:spacing w:val="-1"/>
          <w:sz w:val="28"/>
          <w:szCs w:val="28"/>
        </w:rPr>
        <w:t>（招标编号：ZJXD-JJCF</w:t>
      </w:r>
      <w:r>
        <w:rPr>
          <w:rFonts w:hint="eastAsia" w:ascii="宋体" w:hAnsi="宋体" w:cs="宋体"/>
          <w:b/>
          <w:bCs/>
          <w:spacing w:val="-1"/>
          <w:sz w:val="28"/>
          <w:szCs w:val="28"/>
          <w:lang w:eastAsia="zh-CN"/>
        </w:rPr>
        <w:t>2404</w:t>
      </w:r>
      <w:r>
        <w:rPr>
          <w:rFonts w:hint="eastAsia" w:ascii="宋体" w:hAnsi="宋体" w:cs="宋体"/>
          <w:b/>
          <w:bCs/>
          <w:sz w:val="28"/>
          <w:szCs w:val="28"/>
        </w:rPr>
        <w:t>）</w:t>
      </w:r>
    </w:p>
    <w:p>
      <w:pPr>
        <w:pStyle w:val="16"/>
        <w:kinsoku w:val="0"/>
        <w:rPr>
          <w:sz w:val="20"/>
          <w:szCs w:val="20"/>
        </w:rPr>
      </w:pPr>
    </w:p>
    <w:p>
      <w:pPr>
        <w:pStyle w:val="16"/>
        <w:kinsoku w:val="0"/>
        <w:rPr>
          <w:sz w:val="20"/>
          <w:szCs w:val="20"/>
        </w:rPr>
      </w:pPr>
    </w:p>
    <w:p>
      <w:pPr>
        <w:pStyle w:val="16"/>
        <w:kinsoku w:val="0"/>
        <w:rPr>
          <w:sz w:val="20"/>
          <w:szCs w:val="20"/>
        </w:rPr>
      </w:pPr>
    </w:p>
    <w:p>
      <w:pPr>
        <w:pStyle w:val="16"/>
        <w:kinsoku w:val="0"/>
        <w:rPr>
          <w:sz w:val="20"/>
          <w:szCs w:val="20"/>
        </w:rPr>
      </w:pPr>
    </w:p>
    <w:p>
      <w:pPr>
        <w:pStyle w:val="16"/>
        <w:kinsoku w:val="0"/>
        <w:rPr>
          <w:sz w:val="20"/>
          <w:szCs w:val="20"/>
        </w:rPr>
      </w:pPr>
    </w:p>
    <w:p>
      <w:pPr>
        <w:pStyle w:val="16"/>
        <w:kinsoku w:val="0"/>
        <w:spacing w:before="106"/>
        <w:ind w:right="4"/>
        <w:jc w:val="center"/>
        <w:rPr>
          <w:sz w:val="44"/>
          <w:szCs w:val="44"/>
        </w:rPr>
      </w:pPr>
      <w:r>
        <w:rPr>
          <w:rFonts w:hint="eastAsia"/>
          <w:sz w:val="44"/>
          <w:szCs w:val="44"/>
        </w:rPr>
        <w:t>招标文件</w:t>
      </w:r>
    </w:p>
    <w:p>
      <w:pPr>
        <w:pStyle w:val="16"/>
        <w:kinsoku w:val="0"/>
        <w:spacing w:before="106"/>
        <w:ind w:right="4"/>
        <w:jc w:val="center"/>
        <w:rPr>
          <w:sz w:val="40"/>
          <w:szCs w:val="40"/>
        </w:rPr>
      </w:pPr>
      <w:r>
        <w:rPr>
          <w:rFonts w:hint="eastAsia" w:hAnsi="宋体"/>
          <w:sz w:val="44"/>
          <w:szCs w:val="44"/>
        </w:rPr>
        <w:t>(</w:t>
      </w:r>
      <w:r>
        <w:rPr>
          <w:rFonts w:hint="eastAsia" w:hAnsi="宋体"/>
          <w:sz w:val="44"/>
          <w:szCs w:val="44"/>
        </w:rPr>
        <w:sym w:font="Wingdings 2" w:char="0052"/>
      </w:r>
      <w:r>
        <w:rPr>
          <w:rFonts w:hint="eastAsia"/>
          <w:sz w:val="44"/>
          <w:szCs w:val="44"/>
        </w:rPr>
        <w:t>公开招标</w:t>
      </w:r>
      <w:r>
        <w:rPr>
          <w:rFonts w:hint="eastAsia" w:hAnsi="宋体"/>
          <w:sz w:val="44"/>
          <w:szCs w:val="44"/>
        </w:rPr>
        <w:t>□</w:t>
      </w:r>
      <w:r>
        <w:rPr>
          <w:rFonts w:hint="eastAsia"/>
          <w:sz w:val="44"/>
          <w:szCs w:val="44"/>
        </w:rPr>
        <w:t>邀请招标)</w:t>
      </w:r>
    </w:p>
    <w:p>
      <w:pPr>
        <w:pStyle w:val="16"/>
        <w:kinsoku w:val="0"/>
        <w:rPr>
          <w:sz w:val="44"/>
          <w:szCs w:val="44"/>
        </w:rPr>
      </w:pPr>
    </w:p>
    <w:p>
      <w:pPr>
        <w:pStyle w:val="16"/>
        <w:kinsoku w:val="0"/>
        <w:spacing w:before="8" w:line="360" w:lineRule="auto"/>
        <w:rPr>
          <w:sz w:val="33"/>
          <w:szCs w:val="33"/>
        </w:rPr>
      </w:pPr>
    </w:p>
    <w:p>
      <w:pPr>
        <w:pStyle w:val="17"/>
        <w:ind w:firstLine="210"/>
      </w:pPr>
    </w:p>
    <w:p>
      <w:pPr>
        <w:pStyle w:val="16"/>
        <w:tabs>
          <w:tab w:val="left" w:pos="2593"/>
        </w:tabs>
        <w:kinsoku w:val="0"/>
        <w:spacing w:before="120" w:line="480" w:lineRule="auto"/>
        <w:ind w:left="420" w:leftChars="200"/>
        <w:rPr>
          <w:sz w:val="28"/>
          <w:szCs w:val="28"/>
        </w:rPr>
      </w:pPr>
      <w:r>
        <w:rPr>
          <w:rFonts w:hint="eastAsia"/>
          <w:sz w:val="28"/>
          <w:szCs w:val="28"/>
        </w:rPr>
        <w:t>招   标   人：</w:t>
      </w:r>
      <w:r>
        <w:rPr>
          <w:rFonts w:hint="eastAsia"/>
          <w:sz w:val="28"/>
          <w:szCs w:val="28"/>
          <w:u w:val="single"/>
        </w:rPr>
        <w:t xml:space="preserve"> 台州市椒江城市发展投资集团有限公司 </w:t>
      </w:r>
      <w:r>
        <w:rPr>
          <w:rFonts w:hint="eastAsia"/>
          <w:sz w:val="28"/>
          <w:szCs w:val="28"/>
        </w:rPr>
        <w:t>（单位盖章）</w:t>
      </w:r>
    </w:p>
    <w:p>
      <w:pPr>
        <w:pStyle w:val="16"/>
        <w:tabs>
          <w:tab w:val="left" w:pos="2593"/>
        </w:tabs>
        <w:kinsoku w:val="0"/>
        <w:spacing w:before="120" w:line="480" w:lineRule="auto"/>
        <w:ind w:left="420" w:leftChars="200"/>
      </w:pPr>
      <w:r>
        <w:rPr>
          <w:rFonts w:hint="eastAsia"/>
          <w:spacing w:val="96"/>
          <w:kern w:val="4"/>
          <w:sz w:val="28"/>
          <w:szCs w:val="28"/>
        </w:rPr>
        <w:t>总包单</w:t>
      </w:r>
      <w:r>
        <w:rPr>
          <w:rFonts w:hint="eastAsia"/>
          <w:kern w:val="4"/>
          <w:sz w:val="28"/>
          <w:szCs w:val="28"/>
        </w:rPr>
        <w:t>位</w:t>
      </w:r>
      <w:r>
        <w:rPr>
          <w:rFonts w:hint="eastAsia"/>
          <w:sz w:val="28"/>
          <w:szCs w:val="28"/>
        </w:rPr>
        <w:t>：</w:t>
      </w:r>
      <w:r>
        <w:rPr>
          <w:rFonts w:hint="eastAsia"/>
          <w:sz w:val="28"/>
          <w:szCs w:val="28"/>
          <w:u w:val="single"/>
        </w:rPr>
        <w:t xml:space="preserve">  广西建工第一建筑工程集团有限公司  </w:t>
      </w:r>
      <w:r>
        <w:rPr>
          <w:rFonts w:hint="eastAsia"/>
          <w:sz w:val="28"/>
          <w:szCs w:val="28"/>
        </w:rPr>
        <w:t>（单位盖章）</w:t>
      </w:r>
    </w:p>
    <w:p>
      <w:pPr>
        <w:pStyle w:val="16"/>
        <w:tabs>
          <w:tab w:val="left" w:pos="2593"/>
        </w:tabs>
        <w:kinsoku w:val="0"/>
        <w:spacing w:before="120" w:line="480" w:lineRule="auto"/>
        <w:ind w:left="420" w:leftChars="200"/>
        <w:rPr>
          <w:sz w:val="28"/>
          <w:szCs w:val="28"/>
        </w:rPr>
      </w:pPr>
      <w:r>
        <w:rPr>
          <w:rFonts w:hint="eastAsia"/>
          <w:sz w:val="28"/>
          <w:szCs w:val="28"/>
        </w:rPr>
        <w:t>招标代理机构：</w:t>
      </w:r>
      <w:r>
        <w:rPr>
          <w:rFonts w:hint="eastAsia"/>
          <w:sz w:val="28"/>
          <w:szCs w:val="28"/>
          <w:u w:val="single"/>
        </w:rPr>
        <w:t xml:space="preserve">       </w:t>
      </w:r>
      <w:r>
        <w:rPr>
          <w:rFonts w:hint="eastAsia" w:ascii="宋体" w:hAnsi="宋体"/>
          <w:sz w:val="28"/>
          <w:u w:val="single"/>
        </w:rPr>
        <w:t>浙江信达工程咨询有限公司</w:t>
      </w:r>
      <w:r>
        <w:rPr>
          <w:rFonts w:hint="eastAsia"/>
          <w:sz w:val="28"/>
          <w:szCs w:val="28"/>
          <w:u w:val="single"/>
        </w:rPr>
        <w:t xml:space="preserve">     </w:t>
      </w:r>
      <w:r>
        <w:rPr>
          <w:rFonts w:hint="eastAsia"/>
          <w:sz w:val="28"/>
          <w:szCs w:val="28"/>
        </w:rPr>
        <w:t>（单位盖章）</w:t>
      </w:r>
    </w:p>
    <w:p>
      <w:pPr>
        <w:spacing w:line="360" w:lineRule="auto"/>
        <w:jc w:val="center"/>
        <w:rPr>
          <w:sz w:val="28"/>
          <w:szCs w:val="28"/>
          <w:u w:val="single"/>
        </w:rPr>
      </w:pPr>
    </w:p>
    <w:p>
      <w:pPr>
        <w:spacing w:line="400" w:lineRule="exact"/>
        <w:jc w:val="center"/>
        <w:rPr>
          <w:sz w:val="28"/>
          <w:szCs w:val="28"/>
          <w:u w:val="single"/>
        </w:rPr>
      </w:pPr>
    </w:p>
    <w:p>
      <w:pPr>
        <w:spacing w:line="400" w:lineRule="exact"/>
        <w:jc w:val="center"/>
        <w:rPr>
          <w:sz w:val="28"/>
        </w:rPr>
      </w:pPr>
      <w:r>
        <w:rPr>
          <w:rFonts w:hint="eastAsia"/>
          <w:sz w:val="28"/>
          <w:szCs w:val="28"/>
          <w:u w:val="single"/>
        </w:rPr>
        <w:t xml:space="preserve"> 2024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4</w:t>
      </w:r>
      <w:r>
        <w:rPr>
          <w:rFonts w:hint="eastAsia"/>
          <w:sz w:val="28"/>
          <w:szCs w:val="28"/>
          <w:u w:val="single"/>
        </w:rPr>
        <w:t xml:space="preserve"> </w:t>
      </w:r>
      <w:r>
        <w:rPr>
          <w:rFonts w:hint="eastAsia"/>
          <w:sz w:val="28"/>
          <w:szCs w:val="28"/>
        </w:rPr>
        <w:t>月</w:t>
      </w:r>
    </w:p>
    <w:p>
      <w:pPr>
        <w:spacing w:line="400" w:lineRule="exact"/>
        <w:jc w:val="center"/>
        <w:sectPr>
          <w:headerReference r:id="rId3" w:type="default"/>
          <w:footerReference r:id="rId4" w:type="default"/>
          <w:type w:val="continuous"/>
          <w:pgSz w:w="11907" w:h="16840"/>
          <w:pgMar w:top="1417" w:right="1418" w:bottom="1417" w:left="1531" w:header="851" w:footer="992" w:gutter="0"/>
          <w:cols w:space="720" w:num="1"/>
          <w:docGrid w:type="lines" w:linePitch="312" w:charSpace="0"/>
        </w:sectPr>
      </w:pPr>
    </w:p>
    <w:p>
      <w:pPr>
        <w:spacing w:line="400" w:lineRule="exact"/>
        <w:jc w:val="center"/>
        <w:rPr>
          <w:rFonts w:eastAsia="黑体"/>
          <w:b/>
          <w:bCs/>
          <w:sz w:val="32"/>
        </w:rPr>
      </w:pPr>
    </w:p>
    <w:p>
      <w:pPr>
        <w:spacing w:line="400" w:lineRule="exact"/>
        <w:jc w:val="center"/>
        <w:rPr>
          <w:rFonts w:eastAsia="黑体"/>
          <w:b/>
          <w:bCs/>
          <w:sz w:val="32"/>
        </w:rPr>
        <w:sectPr>
          <w:headerReference r:id="rId5" w:type="default"/>
          <w:footerReference r:id="rId6" w:type="default"/>
          <w:type w:val="continuous"/>
          <w:pgSz w:w="11907" w:h="16840"/>
          <w:pgMar w:top="1417" w:right="1418" w:bottom="1417" w:left="1531" w:header="851" w:footer="992" w:gutter="0"/>
          <w:cols w:space="720" w:num="1"/>
          <w:docGrid w:type="lines" w:linePitch="312" w:charSpace="0"/>
        </w:sectPr>
      </w:pPr>
    </w:p>
    <w:p>
      <w:pPr>
        <w:spacing w:line="400" w:lineRule="exact"/>
        <w:jc w:val="center"/>
        <w:rPr>
          <w:rFonts w:eastAsia="黑体"/>
          <w:b/>
          <w:bCs/>
          <w:sz w:val="32"/>
        </w:rPr>
      </w:pPr>
      <w:r>
        <w:rPr>
          <w:rFonts w:hint="eastAsia" w:eastAsia="黑体"/>
          <w:b/>
          <w:bCs/>
          <w:sz w:val="32"/>
        </w:rPr>
        <w:t>目  录</w:t>
      </w:r>
      <w:bookmarkEnd w:id="0"/>
      <w:bookmarkEnd w:id="1"/>
    </w:p>
    <w:p>
      <w:pPr>
        <w:pStyle w:val="32"/>
        <w:tabs>
          <w:tab w:val="right" w:leader="dot" w:pos="8958"/>
        </w:tabs>
      </w:pPr>
    </w:p>
    <w:p>
      <w:pPr>
        <w:pStyle w:val="32"/>
        <w:tabs>
          <w:tab w:val="right" w:leader="dot" w:pos="8958"/>
        </w:tabs>
      </w:pPr>
      <w:r>
        <w:fldChar w:fldCharType="begin"/>
      </w:r>
      <w:r>
        <w:instrText xml:space="preserve">TOC \o "1-2" \h \u </w:instrText>
      </w:r>
      <w:r>
        <w:fldChar w:fldCharType="separate"/>
      </w:r>
      <w:r>
        <w:fldChar w:fldCharType="begin"/>
      </w:r>
      <w:r>
        <w:instrText xml:space="preserve"> HYPERLINK \l _Toc9241 </w:instrText>
      </w:r>
      <w:r>
        <w:fldChar w:fldCharType="separate"/>
      </w:r>
      <w:r>
        <w:rPr>
          <w:rFonts w:hint="eastAsia" w:ascii="Arial" w:hAnsi="Arial" w:eastAsia="黑体" w:cs="Arial"/>
          <w:bCs/>
          <w:kern w:val="44"/>
          <w:szCs w:val="32"/>
        </w:rPr>
        <w:t>招标公告</w:t>
      </w:r>
      <w:r>
        <w:tab/>
      </w:r>
      <w:r>
        <w:fldChar w:fldCharType="begin"/>
      </w:r>
      <w:r>
        <w:instrText xml:space="preserve"> PAGEREF _Toc9241 \h </w:instrText>
      </w:r>
      <w:r>
        <w:fldChar w:fldCharType="separate"/>
      </w:r>
      <w:r>
        <w:t>1</w:t>
      </w:r>
      <w:r>
        <w:fldChar w:fldCharType="end"/>
      </w:r>
      <w:r>
        <w:fldChar w:fldCharType="end"/>
      </w:r>
    </w:p>
    <w:p>
      <w:pPr>
        <w:pStyle w:val="32"/>
        <w:tabs>
          <w:tab w:val="right" w:leader="dot" w:pos="8958"/>
        </w:tabs>
      </w:pPr>
      <w:r>
        <w:fldChar w:fldCharType="begin"/>
      </w:r>
      <w:r>
        <w:instrText xml:space="preserve"> HYPERLINK \l _Toc30173 </w:instrText>
      </w:r>
      <w:r>
        <w:fldChar w:fldCharType="separate"/>
      </w:r>
      <w:r>
        <w:rPr>
          <w:rFonts w:hint="eastAsia"/>
          <w:lang w:eastAsia="zh-CN"/>
        </w:rPr>
        <w:t>投标人须知</w:t>
      </w:r>
      <w:r>
        <w:rPr>
          <w:rFonts w:hint="eastAsia"/>
        </w:rPr>
        <w:t>前附表</w:t>
      </w:r>
      <w:r>
        <w:tab/>
      </w:r>
      <w:r>
        <w:fldChar w:fldCharType="begin"/>
      </w:r>
      <w:r>
        <w:instrText xml:space="preserve"> PAGEREF _Toc30173 \h </w:instrText>
      </w:r>
      <w:r>
        <w:fldChar w:fldCharType="separate"/>
      </w:r>
      <w:r>
        <w:t>6</w:t>
      </w:r>
      <w:r>
        <w:fldChar w:fldCharType="end"/>
      </w:r>
      <w:r>
        <w:fldChar w:fldCharType="end"/>
      </w:r>
    </w:p>
    <w:p>
      <w:pPr>
        <w:pStyle w:val="32"/>
        <w:tabs>
          <w:tab w:val="right" w:leader="dot" w:pos="8958"/>
        </w:tabs>
      </w:pPr>
      <w:r>
        <w:fldChar w:fldCharType="begin"/>
      </w:r>
      <w:r>
        <w:instrText xml:space="preserve"> HYPERLINK \l _Toc1958 </w:instrText>
      </w:r>
      <w:r>
        <w:fldChar w:fldCharType="separate"/>
      </w:r>
      <w:r>
        <w:rPr>
          <w:rFonts w:hint="eastAsia"/>
        </w:rPr>
        <w:t xml:space="preserve">第一章  </w:t>
      </w:r>
      <w:r>
        <w:rPr>
          <w:rFonts w:hint="eastAsia"/>
          <w:lang w:eastAsia="zh-CN"/>
        </w:rPr>
        <w:t>投标人须知</w:t>
      </w:r>
      <w:r>
        <w:tab/>
      </w:r>
      <w:r>
        <w:fldChar w:fldCharType="begin"/>
      </w:r>
      <w:r>
        <w:instrText xml:space="preserve"> PAGEREF _Toc1958 \h </w:instrText>
      </w:r>
      <w:r>
        <w:fldChar w:fldCharType="separate"/>
      </w:r>
      <w:r>
        <w:t>10</w:t>
      </w:r>
      <w:r>
        <w:fldChar w:fldCharType="end"/>
      </w:r>
      <w:r>
        <w:fldChar w:fldCharType="end"/>
      </w:r>
    </w:p>
    <w:p>
      <w:pPr>
        <w:pStyle w:val="38"/>
        <w:tabs>
          <w:tab w:val="right" w:leader="dot" w:pos="8958"/>
        </w:tabs>
      </w:pPr>
      <w:r>
        <w:fldChar w:fldCharType="begin"/>
      </w:r>
      <w:r>
        <w:instrText xml:space="preserve"> HYPERLINK \l _Toc9343 </w:instrText>
      </w:r>
      <w:r>
        <w:fldChar w:fldCharType="separate"/>
      </w:r>
      <w:r>
        <w:rPr>
          <w:rFonts w:hint="eastAsia"/>
        </w:rPr>
        <w:t>第一节  总  则</w:t>
      </w:r>
      <w:r>
        <w:tab/>
      </w:r>
      <w:r>
        <w:fldChar w:fldCharType="begin"/>
      </w:r>
      <w:r>
        <w:instrText xml:space="preserve"> PAGEREF _Toc9343 \h </w:instrText>
      </w:r>
      <w:r>
        <w:fldChar w:fldCharType="separate"/>
      </w:r>
      <w:r>
        <w:t>10</w:t>
      </w:r>
      <w:r>
        <w:fldChar w:fldCharType="end"/>
      </w:r>
      <w:r>
        <w:fldChar w:fldCharType="end"/>
      </w:r>
    </w:p>
    <w:p>
      <w:pPr>
        <w:pStyle w:val="38"/>
        <w:tabs>
          <w:tab w:val="right" w:leader="dot" w:pos="8958"/>
        </w:tabs>
      </w:pPr>
      <w:r>
        <w:fldChar w:fldCharType="begin"/>
      </w:r>
      <w:r>
        <w:instrText xml:space="preserve"> HYPERLINK \l _Toc24832 </w:instrText>
      </w:r>
      <w:r>
        <w:fldChar w:fldCharType="separate"/>
      </w:r>
      <w:r>
        <w:rPr>
          <w:rFonts w:hint="eastAsia"/>
        </w:rPr>
        <w:t>第二节  招标文件</w:t>
      </w:r>
      <w:r>
        <w:tab/>
      </w:r>
      <w:r>
        <w:fldChar w:fldCharType="begin"/>
      </w:r>
      <w:r>
        <w:instrText xml:space="preserve"> PAGEREF _Toc24832 \h </w:instrText>
      </w:r>
      <w:r>
        <w:fldChar w:fldCharType="separate"/>
      </w:r>
      <w:r>
        <w:t>12</w:t>
      </w:r>
      <w:r>
        <w:fldChar w:fldCharType="end"/>
      </w:r>
      <w:r>
        <w:fldChar w:fldCharType="end"/>
      </w:r>
    </w:p>
    <w:p>
      <w:pPr>
        <w:pStyle w:val="38"/>
        <w:tabs>
          <w:tab w:val="right" w:leader="dot" w:pos="8958"/>
        </w:tabs>
      </w:pPr>
      <w:r>
        <w:fldChar w:fldCharType="begin"/>
      </w:r>
      <w:r>
        <w:instrText xml:space="preserve"> HYPERLINK \l _Toc5449 </w:instrText>
      </w:r>
      <w:r>
        <w:fldChar w:fldCharType="separate"/>
      </w:r>
      <w:r>
        <w:rPr>
          <w:rFonts w:hint="eastAsia"/>
        </w:rPr>
        <w:t>第三节  投标文件的编制</w:t>
      </w:r>
      <w:r>
        <w:tab/>
      </w:r>
      <w:r>
        <w:fldChar w:fldCharType="begin"/>
      </w:r>
      <w:r>
        <w:instrText xml:space="preserve"> PAGEREF _Toc5449 \h </w:instrText>
      </w:r>
      <w:r>
        <w:fldChar w:fldCharType="separate"/>
      </w:r>
      <w:r>
        <w:t>13</w:t>
      </w:r>
      <w:r>
        <w:fldChar w:fldCharType="end"/>
      </w:r>
      <w:r>
        <w:fldChar w:fldCharType="end"/>
      </w:r>
    </w:p>
    <w:p>
      <w:pPr>
        <w:pStyle w:val="38"/>
        <w:tabs>
          <w:tab w:val="right" w:leader="dot" w:pos="8958"/>
        </w:tabs>
      </w:pPr>
      <w:r>
        <w:fldChar w:fldCharType="begin"/>
      </w:r>
      <w:r>
        <w:instrText xml:space="preserve"> HYPERLINK \l _Toc4667 </w:instrText>
      </w:r>
      <w:r>
        <w:fldChar w:fldCharType="separate"/>
      </w:r>
      <w:r>
        <w:rPr>
          <w:rFonts w:hint="eastAsia"/>
        </w:rPr>
        <w:t>第四节  投标文件的递交</w:t>
      </w:r>
      <w:r>
        <w:tab/>
      </w:r>
      <w:r>
        <w:fldChar w:fldCharType="begin"/>
      </w:r>
      <w:r>
        <w:instrText xml:space="preserve"> PAGEREF _Toc4667 \h </w:instrText>
      </w:r>
      <w:r>
        <w:fldChar w:fldCharType="separate"/>
      </w:r>
      <w:r>
        <w:t>14</w:t>
      </w:r>
      <w:r>
        <w:fldChar w:fldCharType="end"/>
      </w:r>
      <w:r>
        <w:fldChar w:fldCharType="end"/>
      </w:r>
    </w:p>
    <w:p>
      <w:pPr>
        <w:pStyle w:val="38"/>
        <w:tabs>
          <w:tab w:val="right" w:leader="dot" w:pos="8958"/>
        </w:tabs>
      </w:pPr>
      <w:r>
        <w:fldChar w:fldCharType="begin"/>
      </w:r>
      <w:r>
        <w:instrText xml:space="preserve"> HYPERLINK \l _Toc2164 </w:instrText>
      </w:r>
      <w:r>
        <w:fldChar w:fldCharType="separate"/>
      </w:r>
      <w:r>
        <w:rPr>
          <w:rFonts w:hint="eastAsia"/>
        </w:rPr>
        <w:t>第五节  开   标</w:t>
      </w:r>
      <w:r>
        <w:tab/>
      </w:r>
      <w:r>
        <w:fldChar w:fldCharType="begin"/>
      </w:r>
      <w:r>
        <w:instrText xml:space="preserve"> PAGEREF _Toc2164 \h </w:instrText>
      </w:r>
      <w:r>
        <w:fldChar w:fldCharType="separate"/>
      </w:r>
      <w:r>
        <w:t>15</w:t>
      </w:r>
      <w:r>
        <w:fldChar w:fldCharType="end"/>
      </w:r>
      <w:r>
        <w:fldChar w:fldCharType="end"/>
      </w:r>
    </w:p>
    <w:p>
      <w:pPr>
        <w:pStyle w:val="38"/>
        <w:tabs>
          <w:tab w:val="right" w:leader="dot" w:pos="8958"/>
        </w:tabs>
      </w:pPr>
      <w:r>
        <w:fldChar w:fldCharType="begin"/>
      </w:r>
      <w:r>
        <w:instrText xml:space="preserve"> HYPERLINK \l _Toc28499 </w:instrText>
      </w:r>
      <w:r>
        <w:fldChar w:fldCharType="separate"/>
      </w:r>
      <w:r>
        <w:rPr>
          <w:rFonts w:hint="eastAsia"/>
        </w:rPr>
        <w:t>第六节  评   标</w:t>
      </w:r>
      <w:r>
        <w:tab/>
      </w:r>
      <w:r>
        <w:fldChar w:fldCharType="begin"/>
      </w:r>
      <w:r>
        <w:instrText xml:space="preserve"> PAGEREF _Toc28499 \h </w:instrText>
      </w:r>
      <w:r>
        <w:fldChar w:fldCharType="separate"/>
      </w:r>
      <w:r>
        <w:t>15</w:t>
      </w:r>
      <w:r>
        <w:fldChar w:fldCharType="end"/>
      </w:r>
      <w:r>
        <w:fldChar w:fldCharType="end"/>
      </w:r>
    </w:p>
    <w:p>
      <w:pPr>
        <w:pStyle w:val="38"/>
        <w:tabs>
          <w:tab w:val="right" w:leader="dot" w:pos="8958"/>
        </w:tabs>
      </w:pPr>
      <w:r>
        <w:fldChar w:fldCharType="begin"/>
      </w:r>
      <w:r>
        <w:instrText xml:space="preserve"> HYPERLINK \l _Toc27652 </w:instrText>
      </w:r>
      <w:r>
        <w:fldChar w:fldCharType="separate"/>
      </w:r>
      <w:r>
        <w:rPr>
          <w:rFonts w:hint="eastAsia"/>
        </w:rPr>
        <w:t>第七节  授予合同</w:t>
      </w:r>
      <w:r>
        <w:tab/>
      </w:r>
      <w:r>
        <w:fldChar w:fldCharType="begin"/>
      </w:r>
      <w:r>
        <w:instrText xml:space="preserve"> PAGEREF _Toc27652 \h </w:instrText>
      </w:r>
      <w:r>
        <w:fldChar w:fldCharType="separate"/>
      </w:r>
      <w:r>
        <w:t>17</w:t>
      </w:r>
      <w:r>
        <w:fldChar w:fldCharType="end"/>
      </w:r>
      <w:r>
        <w:fldChar w:fldCharType="end"/>
      </w:r>
    </w:p>
    <w:p>
      <w:pPr>
        <w:pStyle w:val="32"/>
        <w:tabs>
          <w:tab w:val="right" w:leader="dot" w:pos="8958"/>
        </w:tabs>
      </w:pPr>
      <w:r>
        <w:fldChar w:fldCharType="begin"/>
      </w:r>
      <w:r>
        <w:instrText xml:space="preserve"> HYPERLINK \l _Toc30770 </w:instrText>
      </w:r>
      <w:r>
        <w:fldChar w:fldCharType="separate"/>
      </w:r>
      <w:r>
        <w:rPr>
          <w:rFonts w:hint="eastAsia" w:eastAsia="黑体"/>
          <w:bCs/>
        </w:rPr>
        <w:t>第二章</w:t>
      </w:r>
      <w:r>
        <w:rPr>
          <w:rFonts w:hint="eastAsia"/>
        </w:rPr>
        <w:t xml:space="preserve">  </w:t>
      </w:r>
      <w:r>
        <w:rPr>
          <w:rFonts w:hint="eastAsia" w:eastAsia="黑体"/>
          <w:bCs/>
        </w:rPr>
        <w:t>评标办法</w:t>
      </w:r>
      <w:r>
        <w:tab/>
      </w:r>
      <w:r>
        <w:fldChar w:fldCharType="begin"/>
      </w:r>
      <w:r>
        <w:instrText xml:space="preserve"> PAGEREF _Toc30770 \h </w:instrText>
      </w:r>
      <w:r>
        <w:fldChar w:fldCharType="separate"/>
      </w:r>
      <w:r>
        <w:t>19</w:t>
      </w:r>
      <w:r>
        <w:fldChar w:fldCharType="end"/>
      </w:r>
      <w:r>
        <w:fldChar w:fldCharType="end"/>
      </w:r>
    </w:p>
    <w:p>
      <w:pPr>
        <w:pStyle w:val="32"/>
        <w:tabs>
          <w:tab w:val="right" w:leader="dot" w:pos="8958"/>
        </w:tabs>
      </w:pPr>
      <w:r>
        <w:fldChar w:fldCharType="begin"/>
      </w:r>
      <w:r>
        <w:instrText xml:space="preserve"> HYPERLINK \l _Toc19031 </w:instrText>
      </w:r>
      <w:r>
        <w:fldChar w:fldCharType="separate"/>
      </w:r>
      <w:r>
        <w:rPr>
          <w:rFonts w:hint="eastAsia" w:eastAsia="黑体"/>
          <w:bCs/>
        </w:rPr>
        <w:t>第三章</w:t>
      </w:r>
      <w:r>
        <w:rPr>
          <w:rFonts w:hint="eastAsia"/>
        </w:rPr>
        <w:t xml:space="preserve">  </w:t>
      </w:r>
      <w:r>
        <w:rPr>
          <w:rFonts w:hint="eastAsia" w:eastAsia="黑体"/>
          <w:bCs/>
        </w:rPr>
        <w:t>合同条款及格式</w:t>
      </w:r>
      <w:r>
        <w:tab/>
      </w:r>
      <w:r>
        <w:fldChar w:fldCharType="begin"/>
      </w:r>
      <w:r>
        <w:instrText xml:space="preserve"> PAGEREF _Toc19031 \h </w:instrText>
      </w:r>
      <w:r>
        <w:fldChar w:fldCharType="separate"/>
      </w:r>
      <w:r>
        <w:t>24</w:t>
      </w:r>
      <w:r>
        <w:fldChar w:fldCharType="end"/>
      </w:r>
      <w:r>
        <w:fldChar w:fldCharType="end"/>
      </w:r>
    </w:p>
    <w:p>
      <w:pPr>
        <w:pStyle w:val="38"/>
        <w:tabs>
          <w:tab w:val="right" w:leader="dot" w:pos="8958"/>
        </w:tabs>
      </w:pPr>
      <w:r>
        <w:fldChar w:fldCharType="begin"/>
      </w:r>
      <w:r>
        <w:instrText xml:space="preserve"> HYPERLINK \l _Toc14221 </w:instrText>
      </w:r>
      <w:r>
        <w:fldChar w:fldCharType="separate"/>
      </w:r>
      <w:r>
        <w:rPr>
          <w:rFonts w:hint="eastAsia" w:ascii="宋体" w:hAnsi="宋体" w:cs="宋体"/>
          <w:bCs/>
          <w:szCs w:val="32"/>
        </w:rPr>
        <w:t>第一部分　合同协议书</w:t>
      </w:r>
      <w:r>
        <w:tab/>
      </w:r>
      <w:r>
        <w:fldChar w:fldCharType="begin"/>
      </w:r>
      <w:r>
        <w:instrText xml:space="preserve"> PAGEREF _Toc14221 \h </w:instrText>
      </w:r>
      <w:r>
        <w:fldChar w:fldCharType="separate"/>
      </w:r>
      <w:r>
        <w:t>25</w:t>
      </w:r>
      <w:r>
        <w:fldChar w:fldCharType="end"/>
      </w:r>
      <w:r>
        <w:fldChar w:fldCharType="end"/>
      </w:r>
    </w:p>
    <w:p>
      <w:pPr>
        <w:pStyle w:val="38"/>
        <w:tabs>
          <w:tab w:val="right" w:leader="dot" w:pos="8958"/>
        </w:tabs>
      </w:pPr>
      <w:r>
        <w:fldChar w:fldCharType="begin"/>
      </w:r>
      <w:r>
        <w:instrText xml:space="preserve"> HYPERLINK \l _Toc11756 </w:instrText>
      </w:r>
      <w:r>
        <w:fldChar w:fldCharType="separate"/>
      </w:r>
      <w:r>
        <w:rPr>
          <w:rFonts w:hint="eastAsia" w:ascii="宋体" w:hAnsi="宋体" w:cs="宋体"/>
          <w:bCs/>
          <w:szCs w:val="32"/>
        </w:rPr>
        <w:t>第二部分  通用合同条款（略）</w:t>
      </w:r>
      <w:r>
        <w:tab/>
      </w:r>
      <w:r>
        <w:fldChar w:fldCharType="begin"/>
      </w:r>
      <w:r>
        <w:instrText xml:space="preserve"> PAGEREF _Toc11756 \h </w:instrText>
      </w:r>
      <w:r>
        <w:fldChar w:fldCharType="separate"/>
      </w:r>
      <w:r>
        <w:t>29</w:t>
      </w:r>
      <w:r>
        <w:fldChar w:fldCharType="end"/>
      </w:r>
      <w:r>
        <w:fldChar w:fldCharType="end"/>
      </w:r>
    </w:p>
    <w:p>
      <w:pPr>
        <w:pStyle w:val="38"/>
        <w:tabs>
          <w:tab w:val="right" w:leader="dot" w:pos="8958"/>
        </w:tabs>
      </w:pPr>
      <w:r>
        <w:fldChar w:fldCharType="begin"/>
      </w:r>
      <w:r>
        <w:instrText xml:space="preserve"> HYPERLINK \l _Toc5632 </w:instrText>
      </w:r>
      <w:r>
        <w:fldChar w:fldCharType="separate"/>
      </w:r>
      <w:r>
        <w:rPr>
          <w:rFonts w:hint="eastAsia" w:ascii="宋体" w:hAnsi="宋体" w:cs="宋体"/>
          <w:bCs/>
          <w:szCs w:val="32"/>
        </w:rPr>
        <w:t>第三部分　专用合同条款</w:t>
      </w:r>
      <w:r>
        <w:tab/>
      </w:r>
      <w:r>
        <w:fldChar w:fldCharType="begin"/>
      </w:r>
      <w:r>
        <w:instrText xml:space="preserve"> PAGEREF _Toc5632 \h </w:instrText>
      </w:r>
      <w:r>
        <w:fldChar w:fldCharType="separate"/>
      </w:r>
      <w:r>
        <w:t>30</w:t>
      </w:r>
      <w:r>
        <w:fldChar w:fldCharType="end"/>
      </w:r>
      <w:r>
        <w:fldChar w:fldCharType="end"/>
      </w:r>
    </w:p>
    <w:p>
      <w:pPr>
        <w:pStyle w:val="38"/>
        <w:tabs>
          <w:tab w:val="right" w:leader="dot" w:pos="8958"/>
        </w:tabs>
      </w:pPr>
      <w:r>
        <w:fldChar w:fldCharType="begin"/>
      </w:r>
      <w:r>
        <w:instrText xml:space="preserve"> HYPERLINK \l _Toc11423 </w:instrText>
      </w:r>
      <w:r>
        <w:fldChar w:fldCharType="separate"/>
      </w:r>
      <w:r>
        <w:rPr>
          <w:rFonts w:hint="eastAsia" w:ascii="宋体" w:hAnsi="宋体" w:cs="宋体"/>
          <w:bCs/>
          <w:szCs w:val="32"/>
        </w:rPr>
        <w:t>第四部分  重点建设项目廉政责任书</w:t>
      </w:r>
      <w:r>
        <w:tab/>
      </w:r>
      <w:r>
        <w:fldChar w:fldCharType="begin"/>
      </w:r>
      <w:r>
        <w:instrText xml:space="preserve"> PAGEREF _Toc11423 \h </w:instrText>
      </w:r>
      <w:r>
        <w:fldChar w:fldCharType="separate"/>
      </w:r>
      <w:r>
        <w:t>54</w:t>
      </w:r>
      <w:r>
        <w:fldChar w:fldCharType="end"/>
      </w:r>
      <w:r>
        <w:fldChar w:fldCharType="end"/>
      </w:r>
    </w:p>
    <w:p>
      <w:pPr>
        <w:pStyle w:val="38"/>
        <w:tabs>
          <w:tab w:val="right" w:leader="dot" w:pos="8958"/>
        </w:tabs>
      </w:pPr>
      <w:r>
        <w:fldChar w:fldCharType="begin"/>
      </w:r>
      <w:r>
        <w:instrText xml:space="preserve"> HYPERLINK \l _Toc10974 </w:instrText>
      </w:r>
      <w:r>
        <w:fldChar w:fldCharType="separate"/>
      </w:r>
      <w:r>
        <w:rPr>
          <w:rFonts w:hint="eastAsia" w:ascii="宋体" w:hAnsi="宋体" w:cs="宋体"/>
          <w:bCs/>
          <w:szCs w:val="32"/>
        </w:rPr>
        <w:t>第五部分  安全生产协议书</w:t>
      </w:r>
      <w:r>
        <w:tab/>
      </w:r>
      <w:r>
        <w:fldChar w:fldCharType="begin"/>
      </w:r>
      <w:r>
        <w:instrText xml:space="preserve"> PAGEREF _Toc10974 \h </w:instrText>
      </w:r>
      <w:r>
        <w:fldChar w:fldCharType="separate"/>
      </w:r>
      <w:r>
        <w:t>56</w:t>
      </w:r>
      <w:r>
        <w:fldChar w:fldCharType="end"/>
      </w:r>
      <w:r>
        <w:fldChar w:fldCharType="end"/>
      </w:r>
    </w:p>
    <w:p>
      <w:pPr>
        <w:pStyle w:val="32"/>
        <w:tabs>
          <w:tab w:val="right" w:leader="dot" w:pos="8958"/>
        </w:tabs>
      </w:pPr>
      <w:r>
        <w:fldChar w:fldCharType="begin"/>
      </w:r>
      <w:r>
        <w:instrText xml:space="preserve"> HYPERLINK \l _Toc7612 </w:instrText>
      </w:r>
      <w:r>
        <w:fldChar w:fldCharType="separate"/>
      </w:r>
      <w:r>
        <w:rPr>
          <w:rFonts w:hint="eastAsia" w:eastAsia="黑体"/>
          <w:bCs/>
        </w:rPr>
        <w:t>第四章</w:t>
      </w:r>
      <w:r>
        <w:rPr>
          <w:rFonts w:hint="eastAsia"/>
        </w:rPr>
        <w:t xml:space="preserve">  </w:t>
      </w:r>
      <w:r>
        <w:rPr>
          <w:rFonts w:hint="eastAsia" w:eastAsia="黑体"/>
          <w:bCs/>
        </w:rPr>
        <w:t>图  纸</w:t>
      </w:r>
      <w:r>
        <w:tab/>
      </w:r>
      <w:r>
        <w:fldChar w:fldCharType="begin"/>
      </w:r>
      <w:r>
        <w:instrText xml:space="preserve"> PAGEREF _Toc7612 \h </w:instrText>
      </w:r>
      <w:r>
        <w:fldChar w:fldCharType="separate"/>
      </w:r>
      <w:r>
        <w:t>58</w:t>
      </w:r>
      <w:r>
        <w:fldChar w:fldCharType="end"/>
      </w:r>
      <w:r>
        <w:fldChar w:fldCharType="end"/>
      </w:r>
    </w:p>
    <w:p>
      <w:pPr>
        <w:pStyle w:val="32"/>
        <w:tabs>
          <w:tab w:val="right" w:leader="dot" w:pos="8958"/>
        </w:tabs>
      </w:pPr>
      <w:r>
        <w:fldChar w:fldCharType="begin"/>
      </w:r>
      <w:r>
        <w:instrText xml:space="preserve"> HYPERLINK \l _Toc8321 </w:instrText>
      </w:r>
      <w:r>
        <w:fldChar w:fldCharType="separate"/>
      </w:r>
      <w:r>
        <w:rPr>
          <w:rFonts w:hint="eastAsia" w:eastAsia="黑体"/>
          <w:bCs/>
        </w:rPr>
        <w:t>第五章</w:t>
      </w:r>
      <w:r>
        <w:rPr>
          <w:rFonts w:hint="eastAsia"/>
        </w:rPr>
        <w:t xml:space="preserve">  </w:t>
      </w:r>
      <w:r>
        <w:rPr>
          <w:rFonts w:hint="eastAsia" w:eastAsia="黑体"/>
          <w:bCs/>
        </w:rPr>
        <w:t>技术标准和要求</w:t>
      </w:r>
      <w:r>
        <w:tab/>
      </w:r>
      <w:r>
        <w:fldChar w:fldCharType="begin"/>
      </w:r>
      <w:r>
        <w:instrText xml:space="preserve"> PAGEREF _Toc8321 \h </w:instrText>
      </w:r>
      <w:r>
        <w:fldChar w:fldCharType="separate"/>
      </w:r>
      <w:r>
        <w:t>59</w:t>
      </w:r>
      <w:r>
        <w:fldChar w:fldCharType="end"/>
      </w:r>
      <w:r>
        <w:fldChar w:fldCharType="end"/>
      </w:r>
    </w:p>
    <w:p>
      <w:pPr>
        <w:pStyle w:val="32"/>
        <w:tabs>
          <w:tab w:val="right" w:leader="dot" w:pos="8958"/>
        </w:tabs>
      </w:pPr>
      <w:r>
        <w:fldChar w:fldCharType="begin"/>
      </w:r>
      <w:r>
        <w:instrText xml:space="preserve"> HYPERLINK \l _Toc22919 </w:instrText>
      </w:r>
      <w:r>
        <w:fldChar w:fldCharType="separate"/>
      </w:r>
      <w:r>
        <w:rPr>
          <w:rFonts w:hint="eastAsia" w:eastAsia="黑体"/>
          <w:bCs w:val="0"/>
        </w:rPr>
        <w:t>第六章</w:t>
      </w:r>
      <w:r>
        <w:rPr>
          <w:rFonts w:hint="eastAsia"/>
        </w:rPr>
        <w:t xml:space="preserve">  </w:t>
      </w:r>
      <w:r>
        <w:rPr>
          <w:rFonts w:hint="eastAsia" w:eastAsia="黑体"/>
          <w:bCs w:val="0"/>
        </w:rPr>
        <w:t>投标文件格式</w:t>
      </w:r>
      <w:r>
        <w:tab/>
      </w:r>
      <w:r>
        <w:fldChar w:fldCharType="begin"/>
      </w:r>
      <w:r>
        <w:instrText xml:space="preserve"> PAGEREF _Toc22919 \h </w:instrText>
      </w:r>
      <w:r>
        <w:fldChar w:fldCharType="separate"/>
      </w:r>
      <w:r>
        <w:t>63</w:t>
      </w:r>
      <w:r>
        <w:fldChar w:fldCharType="end"/>
      </w:r>
      <w:r>
        <w:fldChar w:fldCharType="end"/>
      </w:r>
    </w:p>
    <w:p>
      <w:pPr>
        <w:tabs>
          <w:tab w:val="right" w:leader="dot" w:pos="8296"/>
        </w:tabs>
        <w:spacing w:line="336" w:lineRule="auto"/>
        <w:ind w:firstLine="420"/>
        <w:sectPr>
          <w:footerReference r:id="rId7" w:type="default"/>
          <w:pgSz w:w="11907" w:h="16840"/>
          <w:pgMar w:top="1417" w:right="1418" w:bottom="1417" w:left="1531" w:header="851" w:footer="992" w:gutter="0"/>
          <w:pgNumType w:start="1"/>
          <w:cols w:space="720" w:num="1"/>
          <w:docGrid w:type="lines" w:linePitch="312" w:charSpace="0"/>
        </w:sectPr>
      </w:pPr>
      <w:r>
        <w:fldChar w:fldCharType="end"/>
      </w:r>
    </w:p>
    <w:p>
      <w:pPr>
        <w:autoSpaceDE w:val="0"/>
        <w:autoSpaceDN w:val="0"/>
        <w:adjustRightInd w:val="0"/>
        <w:spacing w:line="360" w:lineRule="auto"/>
        <w:jc w:val="center"/>
        <w:rPr>
          <w:spacing w:val="-1"/>
          <w:kern w:val="0"/>
          <w:sz w:val="28"/>
          <w:szCs w:val="28"/>
        </w:rPr>
      </w:pPr>
      <w:bookmarkStart w:id="2" w:name="_Toc363480127"/>
      <w:bookmarkStart w:id="3" w:name="_Toc9153"/>
      <w:bookmarkStart w:id="4" w:name="_Toc353454311"/>
      <w:bookmarkStart w:id="5" w:name="_Toc24526"/>
      <w:bookmarkStart w:id="6" w:name="_Toc3447"/>
      <w:bookmarkStart w:id="7" w:name="_Toc144974496"/>
      <w:bookmarkStart w:id="8" w:name="_Toc394573881"/>
      <w:bookmarkStart w:id="9" w:name="_Toc152042304"/>
      <w:bookmarkStart w:id="10" w:name="_Toc531161970"/>
      <w:bookmarkStart w:id="11" w:name="_Toc152045528"/>
      <w:bookmarkStart w:id="12" w:name="_Toc50019836"/>
      <w:r>
        <w:rPr>
          <w:rFonts w:hint="eastAsia"/>
          <w:spacing w:val="-1"/>
          <w:kern w:val="0"/>
          <w:sz w:val="28"/>
          <w:szCs w:val="28"/>
        </w:rPr>
        <w:t>绿色药都产业园配套设施提升工程（北区）（</w:t>
      </w:r>
      <w:r>
        <w:rPr>
          <w:rFonts w:hint="eastAsia"/>
          <w:spacing w:val="-1"/>
          <w:kern w:val="0"/>
          <w:sz w:val="28"/>
          <w:szCs w:val="28"/>
          <w:lang w:eastAsia="zh-CN"/>
        </w:rPr>
        <w:t>亮化工程</w:t>
      </w:r>
      <w:r>
        <w:rPr>
          <w:rFonts w:hint="eastAsia"/>
          <w:spacing w:val="-1"/>
          <w:kern w:val="0"/>
          <w:sz w:val="28"/>
          <w:szCs w:val="28"/>
        </w:rPr>
        <w:t>）</w:t>
      </w:r>
    </w:p>
    <w:p>
      <w:pPr>
        <w:keepNext/>
        <w:keepLines/>
        <w:spacing w:before="100" w:beforeAutospacing="1" w:after="100" w:afterAutospacing="1"/>
        <w:jc w:val="center"/>
        <w:outlineLvl w:val="0"/>
        <w:rPr>
          <w:rFonts w:ascii="Arial" w:hAnsi="Arial" w:eastAsia="黑体" w:cs="Arial"/>
          <w:b/>
          <w:bCs/>
          <w:kern w:val="44"/>
          <w:sz w:val="32"/>
          <w:szCs w:val="32"/>
        </w:rPr>
      </w:pPr>
      <w:bookmarkStart w:id="13" w:name="_Toc9241"/>
      <w:bookmarkStart w:id="14" w:name="_Toc31392"/>
      <w:r>
        <w:rPr>
          <w:rFonts w:hint="eastAsia" w:ascii="Arial" w:hAnsi="Arial" w:eastAsia="黑体" w:cs="Arial"/>
          <w:b/>
          <w:bCs/>
          <w:kern w:val="44"/>
          <w:sz w:val="32"/>
          <w:szCs w:val="32"/>
        </w:rPr>
        <w:t>招标公告</w:t>
      </w:r>
      <w:bookmarkEnd w:id="2"/>
      <w:bookmarkEnd w:id="13"/>
      <w:bookmarkEnd w:id="14"/>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1.招标条件</w:t>
      </w:r>
    </w:p>
    <w:p>
      <w:pPr>
        <w:tabs>
          <w:tab w:val="left" w:pos="1343"/>
          <w:tab w:val="left" w:pos="2697"/>
          <w:tab w:val="left" w:pos="3264"/>
          <w:tab w:val="left" w:pos="4896"/>
          <w:tab w:val="left" w:pos="6005"/>
          <w:tab w:val="left" w:pos="7085"/>
          <w:tab w:val="left" w:pos="7498"/>
        </w:tabs>
        <w:kinsoku w:val="0"/>
        <w:autoSpaceDE w:val="0"/>
        <w:autoSpaceDN w:val="0"/>
        <w:spacing w:line="360" w:lineRule="auto"/>
        <w:ind w:firstLine="476" w:firstLineChars="200"/>
        <w:rPr>
          <w:rFonts w:ascii="宋体" w:hAnsi="宋体" w:cs="宋体"/>
          <w:sz w:val="24"/>
        </w:rPr>
      </w:pPr>
      <w:r>
        <w:rPr>
          <w:rFonts w:hint="eastAsia" w:ascii="宋体" w:hAnsi="宋体" w:cs="宋体"/>
          <w:spacing w:val="-1"/>
          <w:sz w:val="24"/>
          <w:u w:val="single"/>
        </w:rPr>
        <w:t>绿色药都产业园配套设施提升工程（北区）</w:t>
      </w:r>
      <w:r>
        <w:rPr>
          <w:rFonts w:hint="eastAsia" w:ascii="宋体" w:hAnsi="宋体" w:cs="宋体"/>
          <w:spacing w:val="-1"/>
          <w:sz w:val="24"/>
        </w:rPr>
        <w:t>已</w:t>
      </w:r>
      <w:r>
        <w:rPr>
          <w:rFonts w:hint="eastAsia" w:ascii="宋体" w:hAnsi="宋体" w:cs="宋体"/>
          <w:spacing w:val="-1"/>
          <w:sz w:val="24"/>
          <w:u w:val="single"/>
        </w:rPr>
        <w:t>台州市椒江区发展和改革局</w:t>
      </w:r>
      <w:r>
        <w:rPr>
          <w:rFonts w:hint="eastAsia" w:ascii="宋体" w:hAnsi="宋体" w:cs="宋体"/>
          <w:spacing w:val="-5"/>
          <w:sz w:val="24"/>
        </w:rPr>
        <w:t>以</w:t>
      </w:r>
      <w:r>
        <w:rPr>
          <w:rFonts w:hint="eastAsia" w:ascii="宋体" w:hAnsi="宋体" w:cs="宋体"/>
          <w:spacing w:val="-4"/>
          <w:sz w:val="24"/>
          <w:u w:val="single"/>
        </w:rPr>
        <w:t>椒发改投[2021]75号</w:t>
      </w:r>
      <w:r>
        <w:rPr>
          <w:rFonts w:hint="eastAsia" w:ascii="宋体" w:hAnsi="宋体" w:cs="宋体"/>
          <w:spacing w:val="-4"/>
          <w:sz w:val="24"/>
        </w:rPr>
        <w:t>批准建设，建设资金来</w:t>
      </w:r>
      <w:r>
        <w:rPr>
          <w:rFonts w:hint="eastAsia" w:ascii="宋体" w:hAnsi="宋体" w:cs="宋体"/>
          <w:spacing w:val="-97"/>
          <w:sz w:val="24"/>
        </w:rPr>
        <w:t xml:space="preserve"> </w:t>
      </w:r>
      <w:r>
        <w:rPr>
          <w:rFonts w:hint="eastAsia" w:ascii="宋体" w:hAnsi="宋体" w:cs="宋体"/>
          <w:spacing w:val="-1"/>
          <w:sz w:val="24"/>
        </w:rPr>
        <w:t>自</w:t>
      </w:r>
      <w:r>
        <w:rPr>
          <w:rFonts w:hint="eastAsia" w:ascii="宋体" w:hAnsi="宋体" w:cs="宋体"/>
          <w:sz w:val="24"/>
          <w:u w:val="single"/>
        </w:rPr>
        <w:t>国有资金</w:t>
      </w:r>
      <w:r>
        <w:rPr>
          <w:rFonts w:hint="eastAsia" w:ascii="宋体" w:hAnsi="宋体" w:cs="宋体"/>
          <w:spacing w:val="-12"/>
          <w:sz w:val="24"/>
        </w:rPr>
        <w:t>，出资比例为</w:t>
      </w:r>
      <w:r>
        <w:rPr>
          <w:rFonts w:hint="eastAsia" w:ascii="宋体" w:hAnsi="宋体" w:cs="宋体"/>
          <w:sz w:val="24"/>
          <w:u w:val="single"/>
        </w:rPr>
        <w:t>国有100%</w:t>
      </w:r>
      <w:r>
        <w:rPr>
          <w:rFonts w:hint="eastAsia" w:ascii="宋体" w:hAnsi="宋体" w:cs="宋体"/>
          <w:spacing w:val="-6"/>
          <w:sz w:val="24"/>
        </w:rPr>
        <w:t>，项目业主为</w:t>
      </w:r>
      <w:r>
        <w:rPr>
          <w:rFonts w:hint="eastAsia" w:ascii="宋体" w:hAnsi="宋体" w:cs="宋体"/>
          <w:spacing w:val="-6"/>
          <w:sz w:val="24"/>
          <w:u w:val="single"/>
        </w:rPr>
        <w:t>台州市椒江城市发展投资集团有限公司</w:t>
      </w:r>
      <w:r>
        <w:rPr>
          <w:rFonts w:hint="eastAsia" w:ascii="宋体" w:hAnsi="宋体" w:cs="宋体"/>
          <w:spacing w:val="-6"/>
          <w:sz w:val="24"/>
        </w:rPr>
        <w:t>，招标人为</w:t>
      </w:r>
      <w:r>
        <w:rPr>
          <w:rFonts w:hint="eastAsia" w:ascii="宋体" w:hAnsi="宋体" w:cs="宋体"/>
          <w:spacing w:val="-6"/>
          <w:sz w:val="24"/>
          <w:u w:val="single"/>
        </w:rPr>
        <w:t>台州市椒江城市发展投资集团有限公司</w:t>
      </w:r>
      <w:r>
        <w:rPr>
          <w:rFonts w:hint="eastAsia" w:ascii="宋体" w:hAnsi="宋体" w:cs="宋体"/>
          <w:spacing w:val="-6"/>
          <w:sz w:val="24"/>
        </w:rPr>
        <w:t>，委托代理机构为</w:t>
      </w:r>
      <w:r>
        <w:rPr>
          <w:rFonts w:hint="eastAsia" w:ascii="宋体" w:hAnsi="宋体" w:cs="宋体"/>
          <w:spacing w:val="-6"/>
          <w:sz w:val="24"/>
          <w:u w:val="single"/>
        </w:rPr>
        <w:t>浙江信达工程咨询有限公司</w:t>
      </w:r>
      <w:r>
        <w:rPr>
          <w:rFonts w:hint="eastAsia" w:ascii="宋体" w:hAnsi="宋体" w:cs="宋体"/>
          <w:spacing w:val="-4"/>
          <w:sz w:val="24"/>
        </w:rPr>
        <w:t>。项目已具备招标</w:t>
      </w:r>
      <w:r>
        <w:rPr>
          <w:rFonts w:hint="eastAsia" w:ascii="宋体" w:hAnsi="宋体" w:cs="宋体"/>
          <w:spacing w:val="-95"/>
          <w:sz w:val="24"/>
        </w:rPr>
        <w:t xml:space="preserve"> </w:t>
      </w:r>
      <w:r>
        <w:rPr>
          <w:rFonts w:hint="eastAsia" w:ascii="宋体" w:hAnsi="宋体" w:cs="宋体"/>
          <w:sz w:val="24"/>
        </w:rPr>
        <w:t>条件，现对该项目的</w:t>
      </w:r>
      <w:r>
        <w:rPr>
          <w:rFonts w:hint="eastAsia" w:ascii="宋体" w:hAnsi="宋体" w:cs="宋体"/>
          <w:sz w:val="24"/>
          <w:u w:val="single"/>
        </w:rPr>
        <w:t>绿色药都产业园配套设施提升工程（北区）（</w:t>
      </w:r>
      <w:r>
        <w:rPr>
          <w:rFonts w:hint="eastAsia" w:ascii="宋体" w:hAnsi="宋体" w:cs="宋体"/>
          <w:sz w:val="24"/>
          <w:u w:val="single"/>
          <w:lang w:eastAsia="zh-CN"/>
        </w:rPr>
        <w:t>亮化工程</w:t>
      </w:r>
      <w:r>
        <w:rPr>
          <w:rFonts w:hint="eastAsia" w:ascii="宋体" w:hAnsi="宋体" w:cs="宋体"/>
          <w:sz w:val="24"/>
          <w:u w:val="single"/>
        </w:rPr>
        <w:t>）</w:t>
      </w:r>
      <w:r>
        <w:rPr>
          <w:rFonts w:hint="eastAsia" w:ascii="宋体" w:hAnsi="宋体" w:cs="宋体"/>
          <w:sz w:val="24"/>
        </w:rPr>
        <w:t>的施工进行公开招标。</w:t>
      </w:r>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2.项目概况与招标范围</w:t>
      </w:r>
    </w:p>
    <w:p>
      <w:pPr>
        <w:tabs>
          <w:tab w:val="left" w:pos="1343"/>
          <w:tab w:val="left" w:pos="2697"/>
          <w:tab w:val="left" w:pos="3264"/>
          <w:tab w:val="left" w:pos="4896"/>
          <w:tab w:val="left" w:pos="6005"/>
          <w:tab w:val="left" w:pos="7085"/>
          <w:tab w:val="left" w:pos="7498"/>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2.1项目概况：本项目投资估算</w:t>
      </w:r>
      <w:r>
        <w:rPr>
          <w:rFonts w:hint="eastAsia" w:ascii="宋体" w:hAnsi="宋体" w:cs="宋体"/>
          <w:sz w:val="24"/>
          <w:u w:val="single"/>
        </w:rPr>
        <w:t xml:space="preserve"> 103608 </w:t>
      </w:r>
      <w:r>
        <w:rPr>
          <w:rFonts w:hint="eastAsia" w:ascii="宋体" w:hAnsi="宋体" w:cs="宋体"/>
          <w:sz w:val="24"/>
        </w:rPr>
        <w:t>万元，工程概算</w:t>
      </w:r>
      <w:r>
        <w:rPr>
          <w:rFonts w:hint="eastAsia" w:ascii="宋体" w:hAnsi="宋体" w:cs="宋体"/>
          <w:sz w:val="24"/>
          <w:u w:val="single"/>
        </w:rPr>
        <w:t xml:space="preserve"> 100851 </w:t>
      </w:r>
      <w:r>
        <w:rPr>
          <w:rFonts w:hint="eastAsia" w:ascii="宋体" w:hAnsi="宋体" w:cs="宋体"/>
          <w:sz w:val="24"/>
        </w:rPr>
        <w:t>万元，其中建安工程造价</w:t>
      </w:r>
      <w:r>
        <w:rPr>
          <w:rFonts w:hint="eastAsia" w:ascii="宋体" w:hAnsi="宋体" w:cs="宋体"/>
          <w:sz w:val="24"/>
          <w:u w:val="single"/>
        </w:rPr>
        <w:t xml:space="preserve"> 80842 </w:t>
      </w:r>
      <w:r>
        <w:rPr>
          <w:rFonts w:hint="eastAsia" w:ascii="宋体" w:hAnsi="宋体" w:cs="宋体"/>
          <w:sz w:val="24"/>
        </w:rPr>
        <w:t>万元，建设规模：</w:t>
      </w:r>
      <w:r>
        <w:rPr>
          <w:rFonts w:hint="eastAsia" w:ascii="宋体" w:hAnsi="宋体" w:cs="宋体"/>
          <w:sz w:val="24"/>
          <w:u w:val="single"/>
        </w:rPr>
        <w:t>总用地面积约71648平方米(107.46亩)，其中规划建设用地面积约67817平方米(101.71亩)，代征道路用地面积约3831平方米(5.75亩)。设计总建筑面积180654.94㎡，其中地上建筑面积142579.24</w:t>
      </w:r>
      <w:r>
        <w:rPr>
          <w:rFonts w:hint="eastAsia" w:ascii="宋体" w:hAnsi="宋体" w:cs="宋体"/>
          <w:sz w:val="24"/>
          <w:u w:val="single"/>
          <w:lang w:eastAsia="zh-CN"/>
        </w:rPr>
        <w:t>㎡</w:t>
      </w:r>
      <w:r>
        <w:rPr>
          <w:rFonts w:hint="eastAsia" w:ascii="宋体" w:hAnsi="宋体" w:cs="宋体"/>
          <w:sz w:val="24"/>
          <w:u w:val="single"/>
        </w:rPr>
        <w:t>，地下建筑面积38075.7</w:t>
      </w:r>
      <w:r>
        <w:rPr>
          <w:rFonts w:hint="eastAsia" w:ascii="宋体" w:hAnsi="宋体" w:cs="宋体"/>
          <w:sz w:val="24"/>
          <w:u w:val="single"/>
          <w:lang w:eastAsia="zh-CN"/>
        </w:rPr>
        <w:t>㎡</w:t>
      </w:r>
      <w:r>
        <w:rPr>
          <w:rFonts w:hint="eastAsia" w:ascii="宋体" w:hAnsi="宋体" w:cs="宋体"/>
          <w:sz w:val="24"/>
          <w:u w:val="single"/>
        </w:rPr>
        <w:t>。由1幢16层和7幢19层住宅、2幢14层宿舍、1幢2层和2幢13层综合配套用房、1幢3层幼儿园、地下一层停车库以及物管等配套公共设施用房组成。</w:t>
      </w:r>
    </w:p>
    <w:p>
      <w:pPr>
        <w:tabs>
          <w:tab w:val="left" w:pos="1343"/>
          <w:tab w:val="left" w:pos="2697"/>
          <w:tab w:val="left" w:pos="3264"/>
          <w:tab w:val="left" w:pos="4896"/>
          <w:tab w:val="left" w:pos="6005"/>
          <w:tab w:val="left" w:pos="7085"/>
          <w:tab w:val="left" w:pos="7498"/>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建设地点：</w:t>
      </w:r>
      <w:r>
        <w:rPr>
          <w:rFonts w:hint="eastAsia" w:ascii="宋体" w:hAnsi="宋体" w:cs="宋体"/>
          <w:sz w:val="24"/>
          <w:u w:val="single"/>
        </w:rPr>
        <w:t>台州市椒江区海门街道，枫南东路以南，四塘路以东，规划路以北，五塘北路以西</w:t>
      </w:r>
      <w:r>
        <w:rPr>
          <w:rFonts w:hint="eastAsia" w:ascii="宋体" w:hAnsi="宋体" w:cs="宋体"/>
          <w:sz w:val="24"/>
        </w:rPr>
        <w:t>。</w:t>
      </w:r>
    </w:p>
    <w:p>
      <w:pPr>
        <w:tabs>
          <w:tab w:val="left" w:pos="1343"/>
          <w:tab w:val="left" w:pos="2697"/>
          <w:tab w:val="left" w:pos="3264"/>
          <w:tab w:val="left" w:pos="4896"/>
          <w:tab w:val="left" w:pos="6005"/>
          <w:tab w:val="left" w:pos="7085"/>
          <w:tab w:val="left" w:pos="7498"/>
        </w:tabs>
        <w:kinsoku w:val="0"/>
        <w:autoSpaceDE w:val="0"/>
        <w:autoSpaceDN w:val="0"/>
        <w:spacing w:line="360" w:lineRule="auto"/>
        <w:ind w:firstLine="480" w:firstLineChars="200"/>
        <w:rPr>
          <w:rFonts w:ascii="宋体" w:hAnsi="宋体" w:cs="宋体"/>
          <w:sz w:val="24"/>
          <w:u w:val="single"/>
        </w:rPr>
      </w:pPr>
      <w:r>
        <w:rPr>
          <w:rFonts w:hint="eastAsia" w:ascii="宋体" w:hAnsi="宋体" w:cs="宋体"/>
          <w:sz w:val="24"/>
        </w:rPr>
        <w:t>2.2招标范围：</w:t>
      </w:r>
      <w:r>
        <w:rPr>
          <w:rFonts w:hint="eastAsia" w:ascii="宋体" w:hAnsi="宋体" w:cs="宋体"/>
          <w:sz w:val="24"/>
          <w:u w:val="single"/>
          <w:lang w:eastAsia="zh-CN"/>
        </w:rPr>
        <w:t>招标人所提供的施工图纸所包含的亮化工程</w:t>
      </w:r>
      <w:r>
        <w:rPr>
          <w:rFonts w:hint="eastAsia" w:ascii="宋体" w:hAnsi="宋体" w:cs="宋体"/>
          <w:sz w:val="24"/>
          <w:u w:val="single"/>
        </w:rPr>
        <w:t>。具体内容详见招标人提供的工程量清单及编制说明</w:t>
      </w:r>
      <w:r>
        <w:rPr>
          <w:rFonts w:hint="eastAsia" w:ascii="宋体" w:hAnsi="宋体" w:cs="宋体"/>
          <w:sz w:val="24"/>
        </w:rPr>
        <w:t>。</w:t>
      </w:r>
    </w:p>
    <w:p>
      <w:pPr>
        <w:tabs>
          <w:tab w:val="left" w:pos="1343"/>
          <w:tab w:val="left" w:pos="2697"/>
          <w:tab w:val="left" w:pos="3264"/>
          <w:tab w:val="left" w:pos="4896"/>
          <w:tab w:val="left" w:pos="6005"/>
          <w:tab w:val="left" w:pos="7085"/>
          <w:tab w:val="left" w:pos="7498"/>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本次招标建安工程造价</w:t>
      </w:r>
      <w:r>
        <w:rPr>
          <w:rFonts w:hint="eastAsia" w:ascii="宋体" w:hAnsi="宋体" w:cs="宋体"/>
          <w:sz w:val="24"/>
          <w:u w:val="single"/>
        </w:rPr>
        <w:t xml:space="preserve"> </w:t>
      </w:r>
      <w:r>
        <w:rPr>
          <w:rFonts w:hint="eastAsia" w:ascii="宋体" w:hAnsi="宋体" w:cs="宋体"/>
          <w:sz w:val="24"/>
          <w:u w:val="single"/>
          <w:lang w:eastAsia="zh-CN"/>
        </w:rPr>
        <w:t>3828266</w:t>
      </w:r>
      <w:r>
        <w:rPr>
          <w:rFonts w:hint="eastAsia" w:ascii="宋体" w:hAnsi="宋体" w:cs="宋体"/>
          <w:sz w:val="24"/>
          <w:u w:val="single"/>
        </w:rPr>
        <w:t xml:space="preserve"> </w:t>
      </w:r>
      <w:r>
        <w:rPr>
          <w:rFonts w:hint="eastAsia" w:ascii="宋体" w:hAnsi="宋体" w:cs="宋体"/>
          <w:sz w:val="24"/>
        </w:rPr>
        <w:t>元。</w:t>
      </w:r>
    </w:p>
    <w:p>
      <w:pPr>
        <w:tabs>
          <w:tab w:val="left" w:pos="1343"/>
          <w:tab w:val="left" w:pos="2697"/>
          <w:tab w:val="left" w:pos="3264"/>
          <w:tab w:val="left" w:pos="4896"/>
          <w:tab w:val="left" w:pos="6005"/>
          <w:tab w:val="left" w:pos="7085"/>
          <w:tab w:val="left" w:pos="7498"/>
        </w:tabs>
        <w:kinsoku w:val="0"/>
        <w:autoSpaceDE w:val="0"/>
        <w:autoSpaceDN w:val="0"/>
        <w:spacing w:line="360" w:lineRule="auto"/>
        <w:ind w:firstLine="480" w:firstLineChars="200"/>
        <w:rPr>
          <w:rFonts w:ascii="宋体" w:hAnsi="宋体" w:cs="宋体"/>
          <w:sz w:val="24"/>
          <w:u w:val="single"/>
        </w:rPr>
      </w:pPr>
      <w:r>
        <w:rPr>
          <w:rFonts w:hint="eastAsia" w:ascii="宋体" w:hAnsi="宋体" w:cs="宋体"/>
          <w:sz w:val="24"/>
        </w:rPr>
        <w:t>2.3本次招标施工总工期：</w:t>
      </w:r>
      <w:r>
        <w:rPr>
          <w:rFonts w:hint="eastAsia" w:ascii="宋体" w:hAnsi="宋体" w:eastAsia="宋体" w:cs="宋体"/>
          <w:color w:val="auto"/>
          <w:sz w:val="24"/>
          <w:szCs w:val="24"/>
          <w:highlight w:val="none"/>
          <w:lang w:val="en-US" w:eastAsia="zh-CN" w:bidi="ar-SA"/>
        </w:rPr>
        <w:t>不超过</w:t>
      </w:r>
      <w:r>
        <w:rPr>
          <w:rFonts w:hint="eastAsia" w:ascii="宋体" w:hAnsi="宋体" w:eastAsia="宋体" w:cs="宋体"/>
          <w:color w:val="auto"/>
          <w:sz w:val="24"/>
          <w:szCs w:val="24"/>
          <w:highlight w:val="none"/>
          <w:u w:val="single"/>
          <w:lang w:val="en-US" w:eastAsia="zh-CN" w:bidi="ar-SA"/>
        </w:rPr>
        <w:t xml:space="preserve"> 90 </w:t>
      </w:r>
      <w:r>
        <w:rPr>
          <w:rFonts w:hint="eastAsia" w:ascii="宋体" w:hAnsi="宋体" w:eastAsia="宋体" w:cs="宋体"/>
          <w:color w:val="auto"/>
          <w:sz w:val="24"/>
          <w:szCs w:val="24"/>
          <w:highlight w:val="none"/>
          <w:u w:val="none"/>
          <w:lang w:val="en-US" w:eastAsia="zh-CN" w:bidi="ar-SA"/>
        </w:rPr>
        <w:t>个</w:t>
      </w:r>
      <w:r>
        <w:rPr>
          <w:rFonts w:hint="eastAsia" w:ascii="宋体" w:hAnsi="宋体" w:eastAsia="宋体" w:cs="宋体"/>
          <w:color w:val="auto"/>
          <w:sz w:val="24"/>
          <w:szCs w:val="24"/>
          <w:highlight w:val="none"/>
          <w:lang w:val="en-US" w:eastAsia="zh-CN" w:bidi="ar-SA"/>
        </w:rPr>
        <w:t>日历天，配合总包进度按期竣工并移交整个工程。</w:t>
      </w:r>
    </w:p>
    <w:p>
      <w:pPr>
        <w:autoSpaceDE w:val="0"/>
        <w:autoSpaceDN w:val="0"/>
        <w:spacing w:line="360" w:lineRule="auto"/>
        <w:ind w:firstLine="643" w:firstLineChars="200"/>
        <w:jc w:val="left"/>
        <w:rPr>
          <w:rFonts w:ascii="宋体" w:hAnsi="宋体" w:cs="宋体"/>
          <w:b/>
          <w:kern w:val="0"/>
          <w:sz w:val="32"/>
          <w:szCs w:val="32"/>
          <w:highlight w:val="none"/>
        </w:rPr>
      </w:pPr>
      <w:r>
        <w:rPr>
          <w:rFonts w:hint="eastAsia" w:ascii="宋体" w:hAnsi="宋体" w:cs="宋体"/>
          <w:b/>
          <w:kern w:val="0"/>
          <w:sz w:val="32"/>
          <w:szCs w:val="32"/>
        </w:rPr>
        <w:t>3.投标人资格要求</w:t>
      </w:r>
    </w:p>
    <w:p>
      <w:pPr>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（一）投标人：</w:t>
      </w:r>
    </w:p>
    <w:p>
      <w:pPr>
        <w:autoSpaceDE w:val="0"/>
        <w:autoSpaceDN w:val="0"/>
        <w:spacing w:line="360" w:lineRule="auto"/>
        <w:ind w:firstLine="480" w:firstLineChars="200"/>
        <w:rPr>
          <w:rFonts w:ascii="宋体" w:hAnsi="宋体" w:cs="宋体"/>
          <w:sz w:val="24"/>
          <w:highlight w:val="none"/>
          <w:u w:val="single"/>
        </w:rPr>
      </w:pPr>
      <w:r>
        <w:rPr>
          <w:rFonts w:hint="eastAsia" w:ascii="宋体" w:hAnsi="宋体" w:cs="宋体"/>
          <w:sz w:val="24"/>
          <w:highlight w:val="none"/>
        </w:rPr>
        <w:t>3.1具备</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城市及道路照明工程专业承包三级及以上</w:t>
      </w:r>
      <w:r>
        <w:rPr>
          <w:rFonts w:hint="eastAsia" w:ascii="宋体" w:hAnsi="宋体" w:cs="宋体"/>
          <w:sz w:val="24"/>
          <w:highlight w:val="none"/>
          <w:u w:val="single"/>
        </w:rPr>
        <w:t xml:space="preserve"> </w:t>
      </w:r>
      <w:r>
        <w:rPr>
          <w:rFonts w:hint="eastAsia" w:ascii="宋体" w:hAnsi="宋体" w:cs="宋体"/>
          <w:sz w:val="24"/>
          <w:highlight w:val="none"/>
        </w:rPr>
        <w:t>资质（对应资质应在“浙江省建筑市场监管公共服务系统”上动态核查结果处于“合格”状态）；</w:t>
      </w:r>
    </w:p>
    <w:p>
      <w:pPr>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3.2本次招标不接受联合体投标。</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（二）拟派项目负责人：</w:t>
      </w:r>
    </w:p>
    <w:p>
      <w:pPr>
        <w:pStyle w:val="18"/>
        <w:spacing w:after="0" w:line="360" w:lineRule="auto"/>
        <w:ind w:left="0" w:leftChars="0" w:firstLine="480" w:firstLineChars="200"/>
        <w:rPr>
          <w:highlight w:val="none"/>
        </w:rPr>
      </w:pPr>
      <w:r>
        <w:rPr>
          <w:rFonts w:hint="eastAsia" w:ascii="宋体" w:hAnsi="宋体" w:cs="宋体"/>
          <w:kern w:val="0"/>
          <w:sz w:val="24"/>
          <w:highlight w:val="none"/>
        </w:rPr>
        <w:t>3.3拟派项目负责人具有注册在投标人单位的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机电工程专业注册建造师二级及以上</w:t>
      </w:r>
      <w:r>
        <w:rPr>
          <w:rFonts w:hint="eastAsia" w:ascii="宋体" w:hAnsi="宋体" w:cs="宋体"/>
          <w:b/>
          <w:bCs/>
          <w:kern w:val="0"/>
          <w:sz w:val="24"/>
          <w:highlight w:val="none"/>
          <w:u w:val="single"/>
        </w:rPr>
        <w:t xml:space="preserve"> </w:t>
      </w:r>
      <w:r>
        <w:rPr>
          <w:rFonts w:hint="eastAsia" w:ascii="宋体" w:hAnsi="宋体" w:cs="宋体"/>
          <w:kern w:val="0"/>
          <w:sz w:val="24"/>
          <w:highlight w:val="none"/>
        </w:rPr>
        <w:t>执业资格（建造师临时执业证书无效）。</w:t>
      </w:r>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4.招投标方式</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4.1公开招标。</w:t>
      </w:r>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5.报名及招标文件的获取</w:t>
      </w:r>
    </w:p>
    <w:p>
      <w:pPr>
        <w:spacing w:line="360" w:lineRule="auto"/>
        <w:ind w:firstLine="482" w:firstLineChars="200"/>
        <w:jc w:val="left"/>
        <w:rPr>
          <w:rFonts w:hint="eastAsia" w:ascii="宋体" w:hAnsi="宋体" w:cs="Arial"/>
          <w:b/>
          <w:bCs/>
          <w:color w:val="auto"/>
          <w:kern w:val="0"/>
          <w:sz w:val="24"/>
          <w:highlight w:val="none"/>
        </w:rPr>
      </w:pPr>
      <w:r>
        <w:rPr>
          <w:rFonts w:hint="eastAsia" w:ascii="宋体" w:hAnsi="宋体" w:cs="Arial"/>
          <w:b/>
          <w:bCs/>
          <w:color w:val="auto"/>
          <w:kern w:val="0"/>
          <w:sz w:val="24"/>
          <w:highlight w:val="none"/>
          <w:lang w:val="en-US" w:eastAsia="zh-CN"/>
        </w:rPr>
        <w:t>5.</w:t>
      </w:r>
      <w:r>
        <w:rPr>
          <w:rFonts w:hint="eastAsia" w:ascii="宋体" w:hAnsi="宋体" w:cs="Arial"/>
          <w:b/>
          <w:bCs/>
          <w:color w:val="auto"/>
          <w:kern w:val="0"/>
          <w:sz w:val="24"/>
          <w:highlight w:val="none"/>
        </w:rPr>
        <w:t>1本项目招标文件实行“乐采云平台”在线获取，不提供招标文件纸质版。供应商获取招标文件前应先完成“乐采云平台”的账号注册；</w:t>
      </w:r>
    </w:p>
    <w:p>
      <w:pPr>
        <w:spacing w:line="360" w:lineRule="auto"/>
        <w:ind w:firstLine="480" w:firstLineChars="200"/>
        <w:jc w:val="left"/>
        <w:rPr>
          <w:rFonts w:hint="eastAsia" w:ascii="宋体" w:hAnsi="宋体" w:cs="Arial"/>
          <w:color w:val="auto"/>
          <w:kern w:val="0"/>
          <w:sz w:val="24"/>
          <w:highlight w:val="none"/>
        </w:rPr>
      </w:pPr>
      <w:r>
        <w:rPr>
          <w:rFonts w:hint="eastAsia" w:ascii="宋体" w:hAnsi="宋体" w:cs="Arial"/>
          <w:color w:val="auto"/>
          <w:kern w:val="0"/>
          <w:sz w:val="24"/>
          <w:highlight w:val="none"/>
        </w:rPr>
        <w:t>报名时间：202</w:t>
      </w:r>
      <w:r>
        <w:rPr>
          <w:rFonts w:hint="eastAsia" w:ascii="宋体" w:hAnsi="宋体" w:cs="Arial"/>
          <w:color w:val="auto"/>
          <w:kern w:val="0"/>
          <w:sz w:val="24"/>
          <w:highlight w:val="none"/>
          <w:lang w:val="en-US" w:eastAsia="zh-CN"/>
        </w:rPr>
        <w:t>4</w:t>
      </w:r>
      <w:r>
        <w:rPr>
          <w:rFonts w:hint="eastAsia" w:ascii="宋体" w:hAnsi="宋体" w:cs="Arial"/>
          <w:color w:val="auto"/>
          <w:kern w:val="0"/>
          <w:sz w:val="24"/>
          <w:highlight w:val="none"/>
        </w:rPr>
        <w:t>年</w:t>
      </w:r>
      <w:r>
        <w:rPr>
          <w:rFonts w:hint="eastAsia" w:ascii="宋体" w:hAnsi="宋体" w:cs="Arial"/>
          <w:color w:val="auto"/>
          <w:kern w:val="0"/>
          <w:sz w:val="24"/>
          <w:highlight w:val="none"/>
          <w:lang w:val="en-US" w:eastAsia="zh-CN"/>
        </w:rPr>
        <w:t>4</w:t>
      </w:r>
      <w:r>
        <w:rPr>
          <w:rFonts w:hint="eastAsia" w:ascii="宋体" w:hAnsi="宋体" w:cs="Arial"/>
          <w:color w:val="auto"/>
          <w:kern w:val="0"/>
          <w:sz w:val="24"/>
          <w:highlight w:val="none"/>
        </w:rPr>
        <w:t>月</w:t>
      </w:r>
      <w:r>
        <w:rPr>
          <w:rFonts w:hint="eastAsia" w:ascii="宋体" w:hAnsi="宋体" w:cs="Arial"/>
          <w:color w:val="auto"/>
          <w:kern w:val="0"/>
          <w:sz w:val="24"/>
          <w:highlight w:val="none"/>
          <w:lang w:val="en-US" w:eastAsia="zh-CN"/>
        </w:rPr>
        <w:t>26</w:t>
      </w:r>
      <w:r>
        <w:rPr>
          <w:rFonts w:hint="eastAsia" w:ascii="宋体" w:hAnsi="宋体" w:cs="Arial"/>
          <w:color w:val="auto"/>
          <w:kern w:val="0"/>
          <w:sz w:val="24"/>
          <w:highlight w:val="none"/>
        </w:rPr>
        <w:t>日起至202</w:t>
      </w:r>
      <w:r>
        <w:rPr>
          <w:rFonts w:hint="eastAsia" w:ascii="宋体" w:hAnsi="宋体" w:cs="Arial"/>
          <w:color w:val="auto"/>
          <w:kern w:val="0"/>
          <w:sz w:val="24"/>
          <w:highlight w:val="none"/>
          <w:lang w:val="en-US" w:eastAsia="zh-CN"/>
        </w:rPr>
        <w:t>4</w:t>
      </w:r>
      <w:r>
        <w:rPr>
          <w:rFonts w:hint="eastAsia" w:ascii="宋体" w:hAnsi="宋体" w:cs="Arial"/>
          <w:color w:val="auto"/>
          <w:kern w:val="0"/>
          <w:sz w:val="24"/>
          <w:highlight w:val="none"/>
        </w:rPr>
        <w:t>年</w:t>
      </w:r>
      <w:r>
        <w:rPr>
          <w:rFonts w:hint="eastAsia" w:ascii="宋体" w:hAnsi="宋体" w:cs="Arial"/>
          <w:color w:val="auto"/>
          <w:kern w:val="0"/>
          <w:sz w:val="24"/>
          <w:highlight w:val="none"/>
          <w:lang w:val="en-US" w:eastAsia="zh-CN"/>
        </w:rPr>
        <w:t>5</w:t>
      </w:r>
      <w:r>
        <w:rPr>
          <w:rFonts w:hint="eastAsia" w:ascii="宋体" w:hAnsi="宋体" w:cs="Arial"/>
          <w:color w:val="auto"/>
          <w:kern w:val="0"/>
          <w:sz w:val="24"/>
          <w:highlight w:val="none"/>
        </w:rPr>
        <w:t>月</w:t>
      </w:r>
      <w:r>
        <w:rPr>
          <w:rFonts w:hint="eastAsia" w:ascii="宋体" w:hAnsi="宋体" w:cs="Arial"/>
          <w:color w:val="auto"/>
          <w:kern w:val="0"/>
          <w:sz w:val="24"/>
          <w:highlight w:val="none"/>
          <w:lang w:val="en-US" w:eastAsia="zh-CN"/>
        </w:rPr>
        <w:t>6</w:t>
      </w:r>
      <w:r>
        <w:rPr>
          <w:rFonts w:hint="eastAsia" w:ascii="宋体" w:hAnsi="宋体" w:cs="Arial"/>
          <w:color w:val="auto"/>
          <w:kern w:val="0"/>
          <w:sz w:val="24"/>
          <w:highlight w:val="none"/>
        </w:rPr>
        <w:t>日</w:t>
      </w:r>
      <w:r>
        <w:rPr>
          <w:rFonts w:hint="eastAsia" w:ascii="宋体" w:hAnsi="宋体" w:cs="Arial"/>
          <w:color w:val="auto"/>
          <w:kern w:val="0"/>
          <w:sz w:val="24"/>
          <w:highlight w:val="none"/>
          <w:lang w:val="en-US" w:eastAsia="zh-CN"/>
        </w:rPr>
        <w:t xml:space="preserve"> </w:t>
      </w:r>
      <w:r>
        <w:rPr>
          <w:rFonts w:hint="eastAsia" w:ascii="宋体" w:hAnsi="宋体" w:cs="Arial"/>
          <w:color w:val="auto"/>
          <w:kern w:val="0"/>
          <w:sz w:val="24"/>
          <w:highlight w:val="none"/>
        </w:rPr>
        <w:t>上午</w:t>
      </w:r>
      <w:r>
        <w:rPr>
          <w:rFonts w:hint="eastAsia" w:ascii="宋体" w:hAnsi="宋体" w:cs="宋体"/>
          <w:kern w:val="0"/>
          <w:sz w:val="24"/>
        </w:rPr>
        <w:t>8:30-11:30</w:t>
      </w:r>
      <w:r>
        <w:rPr>
          <w:rFonts w:hint="eastAsia" w:ascii="宋体" w:hAnsi="宋体" w:cs="Arial"/>
          <w:color w:val="auto"/>
          <w:kern w:val="0"/>
          <w:sz w:val="24"/>
          <w:highlight w:val="none"/>
        </w:rPr>
        <w:t>，下午</w:t>
      </w:r>
      <w:r>
        <w:rPr>
          <w:rFonts w:hint="eastAsia" w:ascii="宋体" w:hAnsi="宋体" w:cs="宋体"/>
          <w:kern w:val="0"/>
          <w:sz w:val="24"/>
        </w:rPr>
        <w:t>14:30-17:00</w:t>
      </w:r>
      <w:r>
        <w:rPr>
          <w:rFonts w:hint="eastAsia" w:ascii="宋体" w:hAnsi="宋体" w:cs="Arial"/>
          <w:color w:val="auto"/>
          <w:kern w:val="0"/>
          <w:sz w:val="24"/>
          <w:highlight w:val="none"/>
        </w:rPr>
        <w:t>（北京时间），</w:t>
      </w:r>
      <w:r>
        <w:rPr>
          <w:rFonts w:hint="eastAsia" w:ascii="宋体" w:hAnsi="宋体" w:cs="Arial"/>
          <w:color w:val="auto"/>
          <w:kern w:val="0"/>
          <w:sz w:val="24"/>
          <w:highlight w:val="none"/>
          <w:lang w:val="en-US" w:eastAsia="zh-CN"/>
        </w:rPr>
        <w:t>双休日及</w:t>
      </w:r>
      <w:r>
        <w:rPr>
          <w:rFonts w:hint="eastAsia" w:ascii="宋体" w:hAnsi="宋体" w:cs="Arial"/>
          <w:color w:val="auto"/>
          <w:kern w:val="0"/>
          <w:sz w:val="24"/>
          <w:highlight w:val="none"/>
        </w:rPr>
        <w:t>法定节假日除外。</w:t>
      </w:r>
      <w:r>
        <w:rPr>
          <w:rFonts w:hint="eastAsia" w:ascii="宋体" w:hAnsi="宋体" w:cs="Arial"/>
          <w:color w:val="auto"/>
          <w:kern w:val="0"/>
          <w:sz w:val="24"/>
          <w:highlight w:val="none"/>
          <w:lang w:val="en-US" w:eastAsia="zh-CN"/>
        </w:rPr>
        <w:t>请各供</w:t>
      </w:r>
      <w:bookmarkStart w:id="1014" w:name="_GoBack"/>
      <w:bookmarkEnd w:id="1014"/>
      <w:r>
        <w:rPr>
          <w:rFonts w:hint="eastAsia" w:ascii="宋体" w:hAnsi="宋体" w:cs="Arial"/>
          <w:color w:val="auto"/>
          <w:kern w:val="0"/>
          <w:sz w:val="24"/>
          <w:highlight w:val="none"/>
          <w:lang w:val="en-US" w:eastAsia="zh-CN"/>
        </w:rPr>
        <w:t>应商在报名时间内完成全部报名手续并向招标代理机构确认报名结果，</w:t>
      </w:r>
      <w:r>
        <w:rPr>
          <w:rFonts w:hint="eastAsia" w:ascii="宋体" w:hAnsi="宋体" w:cs="Arial"/>
          <w:color w:val="auto"/>
          <w:kern w:val="0"/>
          <w:sz w:val="24"/>
          <w:highlight w:val="none"/>
        </w:rPr>
        <w:t>联系人：</w:t>
      </w:r>
      <w:r>
        <w:rPr>
          <w:rFonts w:hint="eastAsia" w:ascii="宋体" w:hAnsi="宋体" w:cs="Arial"/>
          <w:color w:val="auto"/>
          <w:kern w:val="0"/>
          <w:sz w:val="24"/>
          <w:highlight w:val="none"/>
          <w:lang w:val="en-US" w:eastAsia="zh-CN"/>
        </w:rPr>
        <w:t>张女士</w:t>
      </w:r>
      <w:r>
        <w:rPr>
          <w:rFonts w:hint="eastAsia" w:ascii="宋体" w:hAnsi="宋体" w:cs="Arial"/>
          <w:color w:val="auto"/>
          <w:kern w:val="0"/>
          <w:sz w:val="24"/>
          <w:highlight w:val="none"/>
        </w:rPr>
        <w:t>（电话:0576-88596085、18806763588）</w:t>
      </w:r>
    </w:p>
    <w:p>
      <w:pPr>
        <w:spacing w:line="360" w:lineRule="auto"/>
        <w:ind w:firstLine="482" w:firstLineChars="200"/>
        <w:jc w:val="left"/>
        <w:rPr>
          <w:rFonts w:hint="eastAsia" w:ascii="宋体" w:hAnsi="宋体" w:cs="Arial"/>
          <w:b/>
          <w:bCs/>
          <w:color w:val="auto"/>
          <w:kern w:val="0"/>
          <w:sz w:val="24"/>
          <w:highlight w:val="none"/>
        </w:rPr>
      </w:pPr>
      <w:r>
        <w:rPr>
          <w:rFonts w:hint="eastAsia" w:ascii="宋体" w:hAnsi="宋体" w:cs="Arial"/>
          <w:b/>
          <w:bCs/>
          <w:color w:val="auto"/>
          <w:kern w:val="0"/>
          <w:sz w:val="24"/>
          <w:highlight w:val="none"/>
          <w:lang w:val="en-US" w:eastAsia="zh-CN"/>
        </w:rPr>
        <w:t>5.</w:t>
      </w:r>
      <w:r>
        <w:rPr>
          <w:rFonts w:hint="eastAsia" w:ascii="宋体" w:hAnsi="宋体" w:cs="Arial"/>
          <w:b/>
          <w:bCs/>
          <w:color w:val="auto"/>
          <w:kern w:val="0"/>
          <w:sz w:val="24"/>
          <w:highlight w:val="none"/>
        </w:rPr>
        <w:t>2获取地点：</w:t>
      </w:r>
    </w:p>
    <w:p>
      <w:pPr>
        <w:spacing w:line="360" w:lineRule="auto"/>
        <w:ind w:firstLine="482" w:firstLineChars="200"/>
        <w:jc w:val="left"/>
        <w:rPr>
          <w:rFonts w:hint="eastAsia" w:ascii="宋体" w:hAnsi="宋体" w:cs="Arial"/>
          <w:b/>
          <w:bCs/>
          <w:color w:val="auto"/>
          <w:kern w:val="0"/>
          <w:sz w:val="24"/>
          <w:highlight w:val="none"/>
        </w:rPr>
      </w:pPr>
      <w:r>
        <w:rPr>
          <w:rFonts w:hint="eastAsia" w:ascii="宋体" w:hAnsi="宋体" w:cs="Arial"/>
          <w:b/>
          <w:bCs/>
          <w:color w:val="auto"/>
          <w:kern w:val="0"/>
          <w:sz w:val="24"/>
          <w:highlight w:val="none"/>
        </w:rPr>
        <w:t>（1）乐采云平台（https://www.lecaiyun.com/）；</w:t>
      </w:r>
    </w:p>
    <w:p>
      <w:pPr>
        <w:spacing w:line="360" w:lineRule="auto"/>
        <w:ind w:firstLine="482" w:firstLineChars="200"/>
        <w:jc w:val="left"/>
        <w:rPr>
          <w:rFonts w:hint="eastAsia" w:ascii="宋体" w:hAnsi="宋体" w:cs="Arial"/>
          <w:b/>
          <w:bCs/>
          <w:color w:val="auto"/>
          <w:kern w:val="0"/>
          <w:sz w:val="24"/>
          <w:highlight w:val="none"/>
        </w:rPr>
      </w:pPr>
      <w:r>
        <w:rPr>
          <w:rFonts w:hint="eastAsia" w:ascii="宋体" w:hAnsi="宋体" w:cs="Arial"/>
          <w:b/>
          <w:bCs/>
          <w:color w:val="auto"/>
          <w:kern w:val="0"/>
          <w:sz w:val="24"/>
          <w:highlight w:val="none"/>
        </w:rPr>
        <w:t>（2）供应商网上操作指南：“乐采云平台-</w:t>
      </w:r>
      <w:r>
        <w:rPr>
          <w:rFonts w:hint="eastAsia" w:ascii="宋体" w:hAnsi="宋体" w:cs="Arial"/>
          <w:b/>
          <w:bCs/>
          <w:color w:val="auto"/>
          <w:kern w:val="0"/>
          <w:sz w:val="24"/>
          <w:highlight w:val="none"/>
          <w:lang w:val="en-US" w:eastAsia="zh-CN"/>
        </w:rPr>
        <w:t>服务</w:t>
      </w:r>
      <w:r>
        <w:rPr>
          <w:rFonts w:hint="eastAsia" w:ascii="宋体" w:hAnsi="宋体" w:cs="Arial"/>
          <w:b/>
          <w:bCs/>
          <w:color w:val="auto"/>
          <w:kern w:val="0"/>
          <w:sz w:val="24"/>
          <w:highlight w:val="none"/>
        </w:rPr>
        <w:t>指南”。</w:t>
      </w:r>
    </w:p>
    <w:p>
      <w:pPr>
        <w:spacing w:line="360" w:lineRule="auto"/>
        <w:ind w:firstLine="482" w:firstLineChars="200"/>
        <w:jc w:val="left"/>
        <w:rPr>
          <w:rFonts w:hint="eastAsia" w:ascii="宋体" w:hAnsi="宋体" w:eastAsia="宋体" w:cs="Arial"/>
          <w:color w:val="auto"/>
          <w:kern w:val="0"/>
          <w:sz w:val="24"/>
          <w:highlight w:val="none"/>
          <w:lang w:eastAsia="zh-CN"/>
        </w:rPr>
      </w:pPr>
      <w:r>
        <w:rPr>
          <w:rFonts w:hint="eastAsia" w:ascii="宋体" w:hAnsi="宋体" w:cs="Arial"/>
          <w:b/>
          <w:bCs/>
          <w:color w:val="auto"/>
          <w:kern w:val="0"/>
          <w:sz w:val="24"/>
          <w:highlight w:val="none"/>
          <w:lang w:val="en-US" w:eastAsia="zh-CN"/>
        </w:rPr>
        <w:t>5.3</w:t>
      </w:r>
      <w:r>
        <w:rPr>
          <w:rFonts w:hint="eastAsia" w:ascii="宋体" w:hAnsi="宋体" w:cs="Arial"/>
          <w:b/>
          <w:bCs/>
          <w:color w:val="auto"/>
          <w:kern w:val="0"/>
          <w:sz w:val="24"/>
          <w:highlight w:val="none"/>
        </w:rPr>
        <w:t>获取方式：潜在供应商登陆“乐采云平台”，在线申请获取招标文件（进入“项目采购”应用，在获取招标文件菜单中选择项目，申请获取招标文件，</w:t>
      </w:r>
      <w:r>
        <w:rPr>
          <w:rFonts w:hint="eastAsia" w:ascii="宋体" w:hAnsi="宋体" w:cs="Arial"/>
          <w:color w:val="auto"/>
          <w:kern w:val="0"/>
          <w:sz w:val="24"/>
          <w:highlight w:val="none"/>
        </w:rPr>
        <w:t>招标文件请至公告附件处下载，获取前缴纳招标文件工本费</w:t>
      </w:r>
      <w:r>
        <w:rPr>
          <w:rFonts w:hint="eastAsia" w:ascii="宋体" w:hAnsi="宋体" w:cs="Arial"/>
          <w:color w:val="auto"/>
          <w:kern w:val="0"/>
          <w:sz w:val="24"/>
          <w:highlight w:val="none"/>
          <w:lang w:val="en-US" w:eastAsia="zh-CN"/>
        </w:rPr>
        <w:t>5</w:t>
      </w:r>
      <w:r>
        <w:rPr>
          <w:rFonts w:hint="eastAsia" w:ascii="宋体" w:hAnsi="宋体" w:cs="Arial"/>
          <w:color w:val="auto"/>
          <w:kern w:val="0"/>
          <w:sz w:val="24"/>
          <w:highlight w:val="none"/>
        </w:rPr>
        <w:t>00元</w:t>
      </w:r>
      <w:r>
        <w:rPr>
          <w:rFonts w:hint="eastAsia" w:ascii="宋体" w:hAnsi="宋体" w:cs="Arial"/>
          <w:color w:val="auto"/>
          <w:kern w:val="0"/>
          <w:sz w:val="24"/>
          <w:highlight w:val="none"/>
          <w:lang w:eastAsia="zh-CN"/>
        </w:rPr>
        <w:t>，</w:t>
      </w:r>
      <w:r>
        <w:rPr>
          <w:rFonts w:hint="eastAsia" w:ascii="宋体" w:hAnsi="宋体" w:cs="宋体"/>
          <w:color w:val="000000"/>
          <w:sz w:val="24"/>
          <w:highlight w:val="none"/>
        </w:rPr>
        <w:t>售后恕不退还</w:t>
      </w:r>
      <w:r>
        <w:rPr>
          <w:rFonts w:hint="eastAsia" w:ascii="宋体" w:hAnsi="宋体" w:cs="Arial"/>
          <w:color w:val="auto"/>
          <w:kern w:val="0"/>
          <w:sz w:val="24"/>
          <w:highlight w:val="none"/>
        </w:rPr>
        <w:t>。</w:t>
      </w:r>
      <w:r>
        <w:rPr>
          <w:rFonts w:hint="eastAsia" w:ascii="Times New Roman" w:hAnsi="Times New Roman"/>
          <w:color w:val="000000"/>
          <w:sz w:val="24"/>
          <w:szCs w:val="24"/>
          <w:highlight w:val="none"/>
        </w:rPr>
        <w:t>工本费在报名截止时间前</w:t>
      </w:r>
      <w:r>
        <w:rPr>
          <w:rFonts w:hint="eastAsia"/>
          <w:color w:val="000000"/>
          <w:sz w:val="24"/>
          <w:szCs w:val="24"/>
          <w:highlight w:val="none"/>
          <w:lang w:val="en-US" w:eastAsia="zh-CN"/>
        </w:rPr>
        <w:t>汇至</w:t>
      </w:r>
      <w:r>
        <w:rPr>
          <w:rFonts w:hint="eastAsia" w:ascii="Times New Roman" w:hAnsi="Times New Roman"/>
          <w:color w:val="000000"/>
          <w:sz w:val="24"/>
          <w:szCs w:val="24"/>
          <w:highlight w:val="none"/>
        </w:rPr>
        <w:t>以下指定账户：</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户名：浙江信达工程咨询有限公司</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开户银行：台州银行临海崇和支行</w:t>
      </w:r>
    </w:p>
    <w:p>
      <w:pPr>
        <w:spacing w:line="360" w:lineRule="auto"/>
        <w:ind w:firstLine="480" w:firstLineChars="200"/>
        <w:jc w:val="left"/>
        <w:rPr>
          <w:rFonts w:hint="eastAsia" w:ascii="宋体" w:hAnsi="宋体" w:cs="Arial"/>
          <w:color w:val="auto"/>
          <w:kern w:val="0"/>
          <w:sz w:val="24"/>
          <w:highlight w:val="none"/>
        </w:rPr>
      </w:pPr>
      <w:r>
        <w:rPr>
          <w:rFonts w:hint="eastAsia" w:ascii="宋体" w:hAnsi="宋体" w:cs="宋体"/>
          <w:kern w:val="0"/>
          <w:sz w:val="24"/>
        </w:rPr>
        <w:t>账号：510022683800020</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（备注：汇款请在用途栏中注明</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编号</w:t>
      </w:r>
      <w:r>
        <w:rPr>
          <w:rFonts w:hint="eastAsia" w:ascii="宋体" w:hAnsi="宋体" w:cs="宋体"/>
          <w:b w:val="0"/>
          <w:bCs/>
          <w:snapToGrid w:val="0"/>
          <w:kern w:val="0"/>
          <w:sz w:val="24"/>
          <w:lang w:val="en-US" w:eastAsia="zh-CN"/>
        </w:rPr>
        <w:t>以及投标人名称</w:t>
      </w:r>
      <w:r>
        <w:rPr>
          <w:rFonts w:hint="eastAsia" w:ascii="宋体" w:hAnsi="宋体" w:eastAsia="宋体" w:cs="宋体"/>
          <w:color w:val="auto"/>
          <w:sz w:val="24"/>
          <w:szCs w:val="24"/>
          <w:highlight w:val="none"/>
        </w:rPr>
        <w:t>）</w:t>
      </w:r>
    </w:p>
    <w:p>
      <w:pPr>
        <w:shd w:val="clear" w:color="auto" w:fill="auto"/>
        <w:snapToGrid w:val="0"/>
        <w:spacing w:line="360" w:lineRule="auto"/>
        <w:ind w:left="124" w:right="-21" w:rightChars="-10"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4报名所需资料</w:t>
      </w:r>
      <w:r>
        <w:rPr>
          <w:rFonts w:hint="eastAsia" w:ascii="宋体" w:hAnsi="宋体" w:cs="宋体"/>
          <w:color w:val="000000"/>
          <w:sz w:val="24"/>
          <w:highlight w:val="none"/>
          <w:lang w:val="en-US" w:eastAsia="zh-CN"/>
        </w:rPr>
        <w:t>（发送邮箱：</w:t>
      </w:r>
      <w:r>
        <w:rPr>
          <w:rFonts w:hint="eastAsia" w:ascii="宋体" w:hAnsi="宋体" w:cs="宋体"/>
          <w:color w:val="auto"/>
          <w:sz w:val="24"/>
          <w:szCs w:val="24"/>
          <w:highlight w:val="none"/>
          <w:lang w:val="en-US" w:eastAsia="zh-CN"/>
        </w:rPr>
        <w:t>tivenc</w:t>
      </w:r>
      <w:r>
        <w:rPr>
          <w:rFonts w:hint="eastAsia" w:ascii="宋体" w:hAnsi="宋体" w:eastAsia="宋体" w:cs="宋体"/>
          <w:color w:val="auto"/>
          <w:sz w:val="24"/>
          <w:szCs w:val="24"/>
          <w:highlight w:val="none"/>
          <w:lang w:eastAsia="zh-Hans"/>
        </w:rPr>
        <w:t>@</w:t>
      </w:r>
      <w:r>
        <w:rPr>
          <w:rFonts w:hint="eastAsia" w:ascii="宋体" w:hAnsi="宋体" w:cs="宋体"/>
          <w:color w:val="auto"/>
          <w:sz w:val="24"/>
          <w:szCs w:val="24"/>
          <w:highlight w:val="none"/>
          <w:lang w:val="en-US" w:eastAsia="zh-CN"/>
        </w:rPr>
        <w:t>foxmail</w:t>
      </w:r>
      <w:r>
        <w:rPr>
          <w:rFonts w:hint="eastAsia" w:ascii="宋体" w:hAnsi="宋体" w:eastAsia="宋体" w:cs="宋体"/>
          <w:color w:val="auto"/>
          <w:sz w:val="24"/>
          <w:szCs w:val="24"/>
          <w:highlight w:val="none"/>
          <w:lang w:eastAsia="zh-Hans"/>
        </w:rPr>
        <w:t>.com</w:t>
      </w:r>
      <w:r>
        <w:rPr>
          <w:rFonts w:hint="eastAsia" w:ascii="宋体" w:hAnsi="宋体" w:cs="宋体"/>
          <w:color w:val="000000"/>
          <w:sz w:val="24"/>
          <w:highlight w:val="none"/>
          <w:lang w:val="en-US" w:eastAsia="zh-CN"/>
        </w:rPr>
        <w:t>）</w:t>
      </w:r>
      <w:r>
        <w:rPr>
          <w:rFonts w:hint="eastAsia" w:ascii="宋体" w:hAnsi="宋体" w:cs="宋体"/>
          <w:color w:val="000000"/>
          <w:sz w:val="24"/>
          <w:highlight w:val="none"/>
        </w:rPr>
        <w:t>：</w:t>
      </w:r>
    </w:p>
    <w:p>
      <w:pPr>
        <w:shd w:val="clear" w:color="auto" w:fill="auto"/>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1）建筑业企业资质证书副本复印件（若为住房和城乡建设部同意企业资质电子化试点的省、市可提供企业电子资质证书打印件）（加盖单位公章），《建筑业企业资质证书》上的有关内容均以全国建筑市场监管与诚信信息发布平台查询网址：www.mohurd.gov.cn/docmaap中查询结果为准；</w:t>
      </w:r>
    </w:p>
    <w:p>
      <w:pPr>
        <w:shd w:val="clear" w:color="auto" w:fill="auto"/>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2）项目负责人建造师注册证书（加盖单位公章）。投标人拟派项目负责人为二级建造师的可采用纸质证书或电子证书影印件。若投标人拟派项目负责人为一级建造师须采用电子证书影印件，且须执行住房和城乡建设部的文件（建办市〔2021〕40号）的相关规定。一级建造师电子证书打印后，应在个人签名处手写本人签名，未手写签名或与签名图像笔迹不一致的，该电子证书无效；</w:t>
      </w:r>
    </w:p>
    <w:p>
      <w:pPr>
        <w:shd w:val="clear" w:color="auto" w:fill="auto"/>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3）有效期内的省外企业进浙承接业务证书或在“浙江省建筑市场监管公共服务系统”已完成备案的证明材料（仅指浙江省省外企业）（加盖单位公章）。</w:t>
      </w:r>
    </w:p>
    <w:p>
      <w:pPr>
        <w:shd w:val="clear" w:color="auto" w:fill="auto"/>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cs="宋体"/>
          <w:snapToGrid w:val="0"/>
          <w:kern w:val="0"/>
          <w:sz w:val="24"/>
        </w:rPr>
        <w:t>4）投标人代表（投标人的法定代表人或其授权委托代理人）的有效身份证复印件，如授权委托代理人的，需提供有效的授权委托书原件（加盖单位公章）</w:t>
      </w:r>
      <w:r>
        <w:rPr>
          <w:rFonts w:hint="eastAsia" w:ascii="宋体" w:hAnsi="宋体" w:cs="宋体"/>
          <w:snapToGrid w:val="0"/>
          <w:kern w:val="0"/>
          <w:sz w:val="24"/>
          <w:lang w:eastAsia="zh-CN"/>
        </w:rPr>
        <w:t>。</w:t>
      </w:r>
    </w:p>
    <w:p>
      <w:pPr>
        <w:autoSpaceDE w:val="0"/>
        <w:autoSpaceDN w:val="0"/>
        <w:adjustRightInd w:val="0"/>
        <w:snapToGrid w:val="0"/>
        <w:spacing w:line="360" w:lineRule="auto"/>
        <w:ind w:firstLine="482" w:firstLineChars="200"/>
        <w:jc w:val="left"/>
        <w:rPr>
          <w:rFonts w:hint="eastAsia" w:ascii="宋体" w:hAnsi="宋体"/>
          <w:b/>
          <w:bCs/>
          <w:snapToGrid w:val="0"/>
          <w:kern w:val="0"/>
          <w:sz w:val="24"/>
        </w:rPr>
      </w:pPr>
      <w:r>
        <w:rPr>
          <w:rFonts w:hint="eastAsia" w:ascii="宋体" w:hAnsi="宋体"/>
          <w:b/>
          <w:bCs/>
          <w:snapToGrid w:val="0"/>
          <w:kern w:val="0"/>
          <w:sz w:val="24"/>
        </w:rPr>
        <w:t>注：请供应商按上述要求</w:t>
      </w:r>
      <w:r>
        <w:rPr>
          <w:rFonts w:hint="eastAsia" w:ascii="宋体" w:hAnsi="宋体"/>
          <w:b/>
          <w:bCs/>
          <w:snapToGrid w:val="0"/>
          <w:kern w:val="0"/>
          <w:sz w:val="24"/>
          <w:lang w:val="en-US" w:eastAsia="zh-CN"/>
        </w:rPr>
        <w:t>报名及</w:t>
      </w:r>
      <w:r>
        <w:rPr>
          <w:rFonts w:hint="eastAsia" w:ascii="宋体" w:hAnsi="宋体"/>
          <w:b/>
          <w:bCs/>
          <w:snapToGrid w:val="0"/>
          <w:kern w:val="0"/>
          <w:sz w:val="24"/>
        </w:rPr>
        <w:t>获取招标文件，如未在“乐采云平台”系统内完成相关流程，或未在报名时间内完成报名手续，引起的投标无效责任自负。</w:t>
      </w:r>
    </w:p>
    <w:p>
      <w:pPr>
        <w:autoSpaceDE w:val="0"/>
        <w:autoSpaceDN w:val="0"/>
        <w:adjustRightInd w:val="0"/>
        <w:snapToGrid w:val="0"/>
        <w:spacing w:line="360" w:lineRule="auto"/>
        <w:ind w:firstLine="482" w:firstLineChars="200"/>
        <w:jc w:val="left"/>
        <w:rPr>
          <w:rFonts w:ascii="宋体" w:hAnsi="宋体" w:cs="宋体"/>
          <w:kern w:val="0"/>
          <w:sz w:val="24"/>
        </w:rPr>
      </w:pPr>
      <w:r>
        <w:rPr>
          <w:rFonts w:hint="eastAsia" w:ascii="宋体" w:hAnsi="宋体"/>
          <w:b/>
          <w:bCs/>
          <w:snapToGrid w:val="0"/>
          <w:kern w:val="0"/>
          <w:sz w:val="24"/>
        </w:rPr>
        <w:t>购买招标文件不视为投标人满足资格审查要求，本项目采用资格后审，资格评审以评标结果为准。</w:t>
      </w:r>
    </w:p>
    <w:p>
      <w:pPr>
        <w:wordWrap w:val="0"/>
        <w:autoSpaceDE w:val="0"/>
        <w:autoSpaceDN w:val="0"/>
        <w:spacing w:line="360" w:lineRule="auto"/>
        <w:ind w:firstLine="480" w:firstLineChars="200"/>
        <w:jc w:val="left"/>
        <w:rPr>
          <w:rFonts w:ascii="宋体" w:hAnsi="宋体" w:cs="宋体"/>
          <w:kern w:val="0"/>
          <w:sz w:val="24"/>
          <w:u w:val="single"/>
        </w:rPr>
      </w:pPr>
      <w:r>
        <w:rPr>
          <w:rFonts w:hint="eastAsia" w:ascii="宋体" w:hAnsi="宋体" w:cs="宋体"/>
          <w:kern w:val="0"/>
          <w:sz w:val="24"/>
        </w:rPr>
        <w:t>5.</w:t>
      </w:r>
      <w:r>
        <w:rPr>
          <w:rFonts w:hint="eastAsia" w:ascii="宋体" w:hAnsi="宋体" w:cs="宋体"/>
          <w:kern w:val="0"/>
          <w:sz w:val="24"/>
          <w:lang w:val="en-US" w:eastAsia="zh-CN"/>
        </w:rPr>
        <w:t>5</w:t>
      </w:r>
      <w:r>
        <w:rPr>
          <w:rFonts w:hint="eastAsia" w:ascii="宋体" w:hAnsi="宋体" w:cs="宋体"/>
          <w:kern w:val="0"/>
          <w:sz w:val="24"/>
        </w:rPr>
        <w:t>招标公告及补充（答疑、澄清）、修改文件发布网址：本项目发布于乐采云(https://lecaiyun.com）。公告信息将同步推送浙江政府采购网(https://zfcg.czt.zj.gov.cn)和浙江企业采购信息服务网（https://b.zhengcaiyun.cn）。</w:t>
      </w:r>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6.投标保证金</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6.1担保金额：</w:t>
      </w:r>
      <w:r>
        <w:rPr>
          <w:rFonts w:hint="eastAsia" w:ascii="宋体" w:hAnsi="宋体" w:cs="宋体"/>
          <w:kern w:val="0"/>
          <w:sz w:val="24"/>
          <w:u w:val="single"/>
          <w:lang w:eastAsia="zh-CN"/>
        </w:rPr>
        <w:t>柒</w:t>
      </w:r>
      <w:r>
        <w:rPr>
          <w:rFonts w:hint="eastAsia" w:ascii="宋体" w:hAnsi="宋体" w:cs="宋体"/>
          <w:kern w:val="0"/>
          <w:sz w:val="24"/>
          <w:u w:val="single"/>
        </w:rPr>
        <w:t>万</w:t>
      </w:r>
      <w:r>
        <w:rPr>
          <w:rFonts w:hint="eastAsia" w:ascii="宋体" w:hAnsi="宋体" w:cs="宋体"/>
          <w:kern w:val="0"/>
          <w:sz w:val="24"/>
        </w:rPr>
        <w:t>元</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6.2担保形式：转账、电汇、银行汇票、银行保函、保险机构保证保险保单、融资担保公司保函。</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（1）转账、电汇、银行汇票：</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投标保证金应在投标截止时间前以投标人名义转至浙江信达工程咨询有限公司账户</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户名：浙江信达工程咨询有限公司</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开户银行：台州银行临海崇和支行</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账号：510022683800020</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（2）银行保函、保险机构保证保险保单、融资担保公司保函（以下合称“工程保函”）须在投标截止时间前提交；</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①工程保函受益人：</w:t>
      </w:r>
      <w:r>
        <w:rPr>
          <w:rFonts w:hint="eastAsia" w:ascii="宋体" w:hAnsi="宋体" w:cs="宋体"/>
          <w:kern w:val="0"/>
          <w:sz w:val="24"/>
          <w:u w:val="single"/>
        </w:rPr>
        <w:t>台州市椒江城市发展投资集团有限公司</w:t>
      </w:r>
      <w:r>
        <w:rPr>
          <w:rFonts w:hint="eastAsia" w:ascii="宋体" w:hAnsi="宋体" w:cs="宋体"/>
          <w:kern w:val="0"/>
          <w:sz w:val="24"/>
        </w:rPr>
        <w:t>（招标人名称）；</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②工程保函的有效期为1年（工程保函有效期起始时间最早为招标公告发布之日，最迟为投标截止日）；</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③递交方式：</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1、递交方式一（电子保函系统）：</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投标人可优先以电子保函方式缴纳。投标人以电子保函形式缴纳投标保证金的，可登录【浙江政府采购网】-【金融服务模块】或直接登录【乐采云】平台在顶部导航栏选择【金融支撑】模块进行业务办理：</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直达链接：https://jinrong.lecaiyun.com/luban/home</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金融服务支撑热线：400-903-9583</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注：电子保单生效时间为投保第二天 00:00，各投标人至少须在投标截止时间1天前申购电子保函；付款后请确认已收到出单提醒短信，或者在系统中查看保单状态为“已出单”，因未确认保函出单情况导致递交投标保证金失败的，所有后果由投标人自行承担。</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2、递交方式二（非电子保函系统）：</w:t>
      </w:r>
    </w:p>
    <w:p>
      <w:pPr>
        <w:autoSpaceDE w:val="0"/>
        <w:autoSpaceDN w:val="0"/>
        <w:spacing w:line="36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投标人须在投标截止时间前</w:t>
      </w:r>
      <w:r>
        <w:rPr>
          <w:rFonts w:hint="eastAsia" w:ascii="宋体" w:hAnsi="宋体" w:cs="宋体"/>
          <w:kern w:val="0"/>
          <w:sz w:val="24"/>
          <w:highlight w:val="none"/>
          <w:lang w:val="en-US" w:eastAsia="zh-CN"/>
        </w:rPr>
        <w:t>一日（</w:t>
      </w:r>
      <w:r>
        <w:rPr>
          <w:rFonts w:hint="eastAsia" w:ascii="宋体" w:hAnsi="宋体" w:cs="Arial"/>
          <w:color w:val="auto"/>
          <w:kern w:val="0"/>
          <w:sz w:val="24"/>
          <w:highlight w:val="none"/>
        </w:rPr>
        <w:t>上午</w:t>
      </w:r>
      <w:r>
        <w:rPr>
          <w:rFonts w:hint="eastAsia" w:ascii="宋体" w:hAnsi="宋体" w:cs="宋体"/>
          <w:kern w:val="0"/>
          <w:sz w:val="24"/>
          <w:highlight w:val="none"/>
        </w:rPr>
        <w:t>8:30-11:30</w:t>
      </w:r>
      <w:r>
        <w:rPr>
          <w:rFonts w:hint="eastAsia" w:ascii="宋体" w:hAnsi="宋体" w:cs="Arial"/>
          <w:color w:val="auto"/>
          <w:kern w:val="0"/>
          <w:sz w:val="24"/>
          <w:highlight w:val="none"/>
        </w:rPr>
        <w:t>，下午</w:t>
      </w:r>
      <w:r>
        <w:rPr>
          <w:rFonts w:hint="eastAsia" w:ascii="宋体" w:hAnsi="宋体" w:cs="宋体"/>
          <w:kern w:val="0"/>
          <w:sz w:val="24"/>
          <w:highlight w:val="none"/>
        </w:rPr>
        <w:t>14:30-17:00</w:t>
      </w:r>
      <w:r>
        <w:rPr>
          <w:rFonts w:hint="eastAsia" w:ascii="宋体" w:hAnsi="宋体" w:cs="Arial"/>
          <w:color w:val="auto"/>
          <w:kern w:val="0"/>
          <w:sz w:val="24"/>
          <w:highlight w:val="none"/>
        </w:rPr>
        <w:t>（北京时间）</w:t>
      </w:r>
      <w:r>
        <w:rPr>
          <w:rFonts w:hint="eastAsia" w:ascii="宋体" w:hAnsi="宋体" w:cs="Arial"/>
          <w:color w:val="auto"/>
          <w:kern w:val="0"/>
          <w:sz w:val="24"/>
          <w:highlight w:val="none"/>
          <w:lang w:eastAsia="zh-CN"/>
        </w:rPr>
        <w:t>）</w:t>
      </w:r>
      <w:r>
        <w:rPr>
          <w:rFonts w:hint="eastAsia" w:ascii="宋体" w:hAnsi="宋体" w:cs="宋体"/>
          <w:kern w:val="0"/>
          <w:sz w:val="24"/>
          <w:highlight w:val="none"/>
        </w:rPr>
        <w:t>将工程保函纸质原件、基本账户证明材料复印件（加盖公章）、保费支付的银行回单一并按要求递交。</w:t>
      </w:r>
    </w:p>
    <w:p>
      <w:pPr>
        <w:autoSpaceDE w:val="0"/>
        <w:autoSpaceDN w:val="0"/>
        <w:spacing w:line="36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递交地点：</w:t>
      </w:r>
      <w:r>
        <w:rPr>
          <w:rFonts w:hint="eastAsia" w:ascii="宋体" w:hAnsi="宋体" w:cs="宋体"/>
          <w:kern w:val="0"/>
          <w:sz w:val="24"/>
          <w:highlight w:val="none"/>
          <w:u w:val="single"/>
        </w:rPr>
        <w:t>台州市椒江区纬一路88号塘岸村综合楼2幢6楼</w:t>
      </w:r>
      <w:r>
        <w:rPr>
          <w:rFonts w:hint="eastAsia" w:ascii="宋体" w:hAnsi="宋体" w:cs="宋体"/>
          <w:kern w:val="0"/>
          <w:sz w:val="24"/>
          <w:highlight w:val="none"/>
          <w:u w:val="single"/>
          <w:lang w:val="en-US" w:eastAsia="zh-CN"/>
        </w:rPr>
        <w:t>信达咨询</w:t>
      </w:r>
      <w:r>
        <w:rPr>
          <w:rFonts w:hint="eastAsia" w:ascii="宋体" w:hAnsi="宋体" w:cs="宋体"/>
          <w:kern w:val="0"/>
          <w:sz w:val="24"/>
          <w:highlight w:val="none"/>
        </w:rPr>
        <w:t xml:space="preserve">； </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接收人：</w:t>
      </w:r>
      <w:r>
        <w:rPr>
          <w:rFonts w:hint="eastAsia" w:ascii="宋体" w:hAnsi="宋体" w:cs="宋体"/>
          <w:kern w:val="0"/>
          <w:sz w:val="24"/>
          <w:u w:val="single"/>
        </w:rPr>
        <w:t>浙江信达工程咨询有限公司</w:t>
      </w:r>
      <w:r>
        <w:rPr>
          <w:rFonts w:hint="eastAsia" w:ascii="宋体" w:hAnsi="宋体" w:cs="宋体"/>
          <w:kern w:val="0"/>
          <w:sz w:val="24"/>
        </w:rPr>
        <w:t xml:space="preserve">（代理机构）； </w:t>
      </w:r>
    </w:p>
    <w:p>
      <w:pPr>
        <w:autoSpaceDE w:val="0"/>
        <w:autoSpaceDN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接收人联系方式：</w:t>
      </w:r>
      <w:r>
        <w:rPr>
          <w:rFonts w:hint="eastAsia" w:ascii="宋体" w:hAnsi="宋体" w:cs="宋体"/>
          <w:kern w:val="0"/>
          <w:sz w:val="24"/>
          <w:u w:val="single"/>
        </w:rPr>
        <w:t>18806763588</w:t>
      </w:r>
      <w:r>
        <w:rPr>
          <w:rFonts w:hint="eastAsia" w:ascii="宋体" w:hAnsi="宋体" w:cs="宋体"/>
          <w:kern w:val="0"/>
          <w:sz w:val="24"/>
        </w:rPr>
        <w:t>（代理机构联系方式）；</w:t>
      </w:r>
    </w:p>
    <w:p>
      <w:pPr>
        <w:autoSpaceDE w:val="0"/>
        <w:autoSpaceDN w:val="0"/>
        <w:spacing w:line="360" w:lineRule="auto"/>
        <w:ind w:firstLine="480" w:firstLineChars="200"/>
        <w:jc w:val="left"/>
        <w:rPr>
          <w:rFonts w:ascii="宋体" w:hAnsi="宋体" w:cs="宋体"/>
          <w:kern w:val="0"/>
          <w:sz w:val="24"/>
        </w:rPr>
      </w:pPr>
      <w:r>
        <w:rPr>
          <w:rFonts w:hint="eastAsia" w:ascii="宋体" w:hAnsi="宋体" w:cs="宋体"/>
          <w:kern w:val="0"/>
          <w:sz w:val="24"/>
        </w:rPr>
        <w:t>注：投标保函文件中必须包含投标企业的信息，包含但不限于投标企业名称、保证方式、保证金额、保函获得时间、保证项目名称、保函有效期限、保费标准、费用支付账户（基本账户）等。保费应一函一付，通过企业基本账户支付。工程保函的保险（保证）责任必须包括本招标文件“投标人须知</w:t>
      </w:r>
      <w:r>
        <w:rPr>
          <w:rFonts w:hint="eastAsia" w:ascii="宋体" w:hAnsi="宋体" w:cs="宋体"/>
          <w:kern w:val="0"/>
          <w:sz w:val="24"/>
          <w:lang w:val="en-US" w:eastAsia="zh-CN"/>
        </w:rPr>
        <w:t>15.4</w:t>
      </w:r>
      <w:r>
        <w:rPr>
          <w:rFonts w:hint="eastAsia" w:ascii="宋体" w:hAnsi="宋体" w:cs="宋体"/>
          <w:kern w:val="0"/>
          <w:sz w:val="24"/>
        </w:rPr>
        <w:t>”所列条款。</w:t>
      </w:r>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7.投标截止时间及投标文件的递交</w:t>
      </w:r>
    </w:p>
    <w:p>
      <w:pPr>
        <w:spacing w:line="360" w:lineRule="auto"/>
        <w:ind w:firstLine="480" w:firstLineChars="200"/>
        <w:rPr>
          <w:bCs/>
          <w:sz w:val="24"/>
        </w:rPr>
      </w:pPr>
      <w:r>
        <w:rPr>
          <w:rFonts w:ascii="宋体" w:hAnsi="宋体"/>
          <w:sz w:val="24"/>
        </w:rPr>
        <w:t>投标文件递交</w:t>
      </w:r>
      <w:r>
        <w:rPr>
          <w:rFonts w:hint="eastAsia" w:ascii="宋体" w:hAnsi="宋体"/>
          <w:sz w:val="24"/>
          <w:lang w:val="en-US" w:eastAsia="zh-CN"/>
        </w:rPr>
        <w:t>截止</w:t>
      </w:r>
      <w:r>
        <w:rPr>
          <w:rFonts w:ascii="宋体" w:hAnsi="宋体"/>
          <w:sz w:val="24"/>
        </w:rPr>
        <w:t>时间：</w:t>
      </w:r>
      <w:r>
        <w:rPr>
          <w:rFonts w:hint="eastAsia" w:ascii="宋体" w:hAnsi="宋体"/>
          <w:b/>
          <w:sz w:val="24"/>
        </w:rPr>
        <w:t>2024年</w:t>
      </w:r>
      <w:r>
        <w:rPr>
          <w:rFonts w:hint="eastAsia" w:ascii="宋体" w:hAnsi="宋体"/>
          <w:b/>
          <w:sz w:val="24"/>
          <w:lang w:val="en-US" w:eastAsia="zh-CN"/>
        </w:rPr>
        <w:t>5</w:t>
      </w:r>
      <w:r>
        <w:rPr>
          <w:rFonts w:hint="eastAsia" w:ascii="宋体" w:hAnsi="宋体"/>
          <w:b/>
          <w:sz w:val="24"/>
        </w:rPr>
        <w:t>月</w:t>
      </w:r>
      <w:r>
        <w:rPr>
          <w:rFonts w:hint="eastAsia" w:ascii="宋体" w:hAnsi="宋体"/>
          <w:b/>
          <w:sz w:val="24"/>
          <w:lang w:val="en-US" w:eastAsia="zh-CN"/>
        </w:rPr>
        <w:t>15</w:t>
      </w:r>
      <w:r>
        <w:rPr>
          <w:rFonts w:hint="eastAsia" w:ascii="宋体" w:hAnsi="宋体"/>
          <w:b/>
          <w:sz w:val="24"/>
        </w:rPr>
        <w:t>日</w:t>
      </w:r>
      <w:r>
        <w:rPr>
          <w:rFonts w:hint="eastAsia" w:ascii="宋体" w:hAnsi="宋体"/>
          <w:b/>
          <w:sz w:val="24"/>
          <w:lang w:val="en-US" w:eastAsia="zh-CN"/>
        </w:rPr>
        <w:t>9:3</w:t>
      </w:r>
      <w:r>
        <w:rPr>
          <w:rFonts w:hint="eastAsia" w:ascii="宋体" w:hAnsi="宋体"/>
          <w:b/>
          <w:sz w:val="24"/>
        </w:rPr>
        <w:t>0时</w:t>
      </w:r>
    </w:p>
    <w:p>
      <w:pPr>
        <w:spacing w:line="360" w:lineRule="auto"/>
        <w:ind w:firstLine="480" w:firstLineChars="200"/>
        <w:rPr>
          <w:rFonts w:ascii="宋体" w:hAnsi="宋体"/>
          <w:b/>
          <w:sz w:val="24"/>
        </w:rPr>
      </w:pPr>
      <w:r>
        <w:rPr>
          <w:rFonts w:ascii="宋体" w:hAnsi="宋体"/>
          <w:sz w:val="24"/>
        </w:rPr>
        <w:t>投标文件递交地点：</w:t>
      </w:r>
      <w:r>
        <w:rPr>
          <w:rFonts w:hint="eastAsia" w:ascii="宋体" w:hAnsi="宋体"/>
          <w:sz w:val="24"/>
        </w:rPr>
        <w:t>在乐采云平台（https://www.lecaiyun.com/）在线递交</w:t>
      </w:r>
      <w:r>
        <w:rPr>
          <w:rFonts w:ascii="宋体" w:hAnsi="宋体"/>
          <w:sz w:val="24"/>
        </w:rPr>
        <w:t>。</w:t>
      </w:r>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8.开标</w:t>
      </w:r>
    </w:p>
    <w:p>
      <w:pPr>
        <w:spacing w:line="360" w:lineRule="auto"/>
        <w:ind w:firstLine="480" w:firstLineChars="200"/>
        <w:rPr>
          <w:rFonts w:ascii="宋体" w:hAnsi="宋体"/>
          <w:b/>
          <w:bCs w:val="0"/>
          <w:sz w:val="24"/>
        </w:rPr>
      </w:pPr>
      <w:r>
        <w:rPr>
          <w:rFonts w:ascii="宋体" w:hAnsi="宋体"/>
          <w:sz w:val="24"/>
        </w:rPr>
        <w:t>开标时间：</w:t>
      </w:r>
      <w:r>
        <w:rPr>
          <w:rFonts w:hint="eastAsia" w:ascii="宋体" w:hAnsi="宋体"/>
          <w:b/>
          <w:bCs w:val="0"/>
          <w:sz w:val="24"/>
        </w:rPr>
        <w:t>2024年</w:t>
      </w:r>
      <w:r>
        <w:rPr>
          <w:rFonts w:hint="eastAsia" w:ascii="宋体" w:hAnsi="宋体"/>
          <w:b/>
          <w:bCs w:val="0"/>
          <w:sz w:val="24"/>
          <w:lang w:val="en-US" w:eastAsia="zh-CN"/>
        </w:rPr>
        <w:t>5</w:t>
      </w:r>
      <w:r>
        <w:rPr>
          <w:rFonts w:hint="eastAsia" w:ascii="宋体" w:hAnsi="宋体"/>
          <w:b/>
          <w:bCs w:val="0"/>
          <w:sz w:val="24"/>
        </w:rPr>
        <w:t>月</w:t>
      </w:r>
      <w:r>
        <w:rPr>
          <w:rFonts w:hint="eastAsia" w:ascii="宋体" w:hAnsi="宋体"/>
          <w:b/>
          <w:bCs w:val="0"/>
          <w:sz w:val="24"/>
          <w:lang w:val="en-US" w:eastAsia="zh-CN"/>
        </w:rPr>
        <w:t>15</w:t>
      </w:r>
      <w:r>
        <w:rPr>
          <w:rFonts w:hint="eastAsia" w:ascii="宋体" w:hAnsi="宋体"/>
          <w:b/>
          <w:bCs w:val="0"/>
          <w:sz w:val="24"/>
        </w:rPr>
        <w:t>日</w:t>
      </w:r>
      <w:r>
        <w:rPr>
          <w:rFonts w:hint="eastAsia" w:ascii="宋体" w:hAnsi="宋体"/>
          <w:b/>
          <w:bCs w:val="0"/>
          <w:sz w:val="24"/>
          <w:lang w:val="en-US" w:eastAsia="zh-CN"/>
        </w:rPr>
        <w:t>9:3</w:t>
      </w:r>
      <w:r>
        <w:rPr>
          <w:rFonts w:hint="eastAsia" w:ascii="宋体" w:hAnsi="宋体"/>
          <w:b/>
          <w:bCs w:val="0"/>
          <w:sz w:val="24"/>
        </w:rPr>
        <w:t>0时</w:t>
      </w:r>
    </w:p>
    <w:p>
      <w:pPr>
        <w:spacing w:line="360" w:lineRule="auto"/>
        <w:ind w:firstLine="480" w:firstLineChars="200"/>
        <w:rPr>
          <w:rStyle w:val="47"/>
          <w:color w:val="auto"/>
          <w:sz w:val="24"/>
          <w:szCs w:val="22"/>
        </w:rPr>
      </w:pPr>
      <w:r>
        <w:rPr>
          <w:rFonts w:ascii="宋体" w:hAnsi="宋体"/>
          <w:sz w:val="24"/>
        </w:rPr>
        <w:t>开标地点：</w:t>
      </w:r>
      <w:r>
        <w:rPr>
          <w:rFonts w:hint="eastAsia" w:ascii="宋体" w:hAnsi="宋体"/>
          <w:sz w:val="24"/>
        </w:rPr>
        <w:t>乐采云平台（https://www.lecaiyun.com/）</w:t>
      </w:r>
    </w:p>
    <w:p>
      <w:pPr>
        <w:autoSpaceDE w:val="0"/>
        <w:autoSpaceDN w:val="0"/>
        <w:spacing w:line="360" w:lineRule="auto"/>
        <w:ind w:firstLine="643" w:firstLineChars="200"/>
        <w:jc w:val="left"/>
        <w:rPr>
          <w:rFonts w:ascii="宋体" w:hAnsi="宋体" w:cs="宋体"/>
          <w:b/>
          <w:kern w:val="0"/>
          <w:sz w:val="32"/>
          <w:szCs w:val="32"/>
        </w:rPr>
      </w:pPr>
      <w:r>
        <w:rPr>
          <w:rFonts w:hint="eastAsia" w:ascii="宋体" w:hAnsi="宋体" w:cs="宋体"/>
          <w:b/>
          <w:kern w:val="0"/>
          <w:sz w:val="32"/>
          <w:szCs w:val="32"/>
        </w:rPr>
        <w:t>9.联系方式</w:t>
      </w:r>
    </w:p>
    <w:p>
      <w:pPr>
        <w:tabs>
          <w:tab w:val="left" w:pos="4228"/>
          <w:tab w:val="left" w:pos="7975"/>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招  标</w:t>
      </w:r>
      <w:r>
        <w:rPr>
          <w:rFonts w:hint="eastAsia" w:ascii="宋体" w:hAnsi="宋体" w:cs="宋体"/>
          <w:spacing w:val="2"/>
          <w:sz w:val="24"/>
        </w:rPr>
        <w:t xml:space="preserve">  </w:t>
      </w:r>
      <w:r>
        <w:rPr>
          <w:rFonts w:hint="eastAsia" w:ascii="宋体" w:hAnsi="宋体" w:cs="宋体"/>
          <w:sz w:val="24"/>
        </w:rPr>
        <w:t>人：台州市椒江城市发展投资集团有限公司</w:t>
      </w:r>
    </w:p>
    <w:p>
      <w:pPr>
        <w:tabs>
          <w:tab w:val="left" w:pos="4228"/>
          <w:tab w:val="left" w:pos="7975"/>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 xml:space="preserve">地      址：浙江省台州市椒江区东枫山路9号         </w:t>
      </w:r>
    </w:p>
    <w:p>
      <w:pPr>
        <w:tabs>
          <w:tab w:val="left" w:pos="4228"/>
          <w:tab w:val="left" w:pos="7975"/>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 xml:space="preserve">联  系 </w:t>
      </w:r>
      <w:r>
        <w:rPr>
          <w:rFonts w:hint="eastAsia" w:ascii="宋体" w:hAnsi="宋体" w:cs="宋体"/>
          <w:spacing w:val="4"/>
          <w:sz w:val="24"/>
        </w:rPr>
        <w:t xml:space="preserve"> </w:t>
      </w:r>
      <w:r>
        <w:rPr>
          <w:rFonts w:hint="eastAsia" w:ascii="宋体" w:hAnsi="宋体" w:cs="宋体"/>
          <w:sz w:val="24"/>
        </w:rPr>
        <w:t>人：张先生</w:t>
      </w:r>
      <w:r>
        <w:rPr>
          <w:rFonts w:hint="eastAsia" w:ascii="宋体" w:hAnsi="宋体" w:cs="宋体"/>
          <w:sz w:val="24"/>
          <w:szCs w:val="21"/>
        </w:rPr>
        <w:t xml:space="preserve">                               </w:t>
      </w:r>
    </w:p>
    <w:p>
      <w:pPr>
        <w:tabs>
          <w:tab w:val="left" w:pos="4228"/>
          <w:tab w:val="left" w:pos="7975"/>
        </w:tabs>
        <w:kinsoku w:val="0"/>
        <w:autoSpaceDE w:val="0"/>
        <w:autoSpaceDN w:val="0"/>
        <w:spacing w:line="360" w:lineRule="auto"/>
        <w:ind w:firstLine="480" w:firstLineChars="200"/>
        <w:rPr>
          <w:rFonts w:ascii="宋体" w:hAnsi="宋体" w:cs="宋体"/>
          <w:w w:val="28"/>
          <w:sz w:val="24"/>
        </w:rPr>
      </w:pPr>
      <w:r>
        <w:rPr>
          <w:rFonts w:hint="eastAsia" w:ascii="宋体" w:hAnsi="宋体" w:cs="宋体"/>
          <w:sz w:val="24"/>
        </w:rPr>
        <w:t xml:space="preserve">电     </w:t>
      </w:r>
      <w:r>
        <w:rPr>
          <w:rFonts w:hint="eastAsia" w:ascii="宋体" w:hAnsi="宋体" w:cs="宋体"/>
          <w:spacing w:val="3"/>
          <w:sz w:val="24"/>
        </w:rPr>
        <w:t xml:space="preserve"> </w:t>
      </w:r>
      <w:r>
        <w:rPr>
          <w:rFonts w:hint="eastAsia" w:ascii="宋体" w:hAnsi="宋体" w:cs="宋体"/>
          <w:sz w:val="24"/>
        </w:rPr>
        <w:t>话：0576-88989672</w:t>
      </w:r>
      <w:r>
        <w:rPr>
          <w:rFonts w:hint="eastAsia" w:ascii="宋体" w:hAnsi="宋体" w:cs="宋体"/>
          <w:sz w:val="24"/>
          <w:szCs w:val="21"/>
        </w:rPr>
        <w:t xml:space="preserve">            </w:t>
      </w:r>
    </w:p>
    <w:p>
      <w:pPr>
        <w:tabs>
          <w:tab w:val="left" w:pos="4228"/>
          <w:tab w:val="left" w:pos="7975"/>
        </w:tabs>
        <w:kinsoku w:val="0"/>
        <w:autoSpaceDE w:val="0"/>
        <w:autoSpaceDN w:val="0"/>
        <w:spacing w:line="360" w:lineRule="auto"/>
        <w:ind w:firstLine="480" w:firstLineChars="200"/>
        <w:rPr>
          <w:rFonts w:ascii="宋体" w:hAnsi="宋体" w:cs="宋体"/>
          <w:sz w:val="24"/>
        </w:rPr>
      </w:pPr>
    </w:p>
    <w:p>
      <w:pPr>
        <w:tabs>
          <w:tab w:val="left" w:pos="4228"/>
          <w:tab w:val="left" w:pos="7975"/>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招标代理机构：浙江信达工程咨询有限公司</w:t>
      </w:r>
    </w:p>
    <w:p>
      <w:pPr>
        <w:tabs>
          <w:tab w:val="left" w:pos="4228"/>
          <w:tab w:val="left" w:pos="7975"/>
        </w:tabs>
        <w:kinsoku w:val="0"/>
        <w:autoSpaceDE w:val="0"/>
        <w:autoSpaceDN w:val="0"/>
        <w:spacing w:line="360" w:lineRule="auto"/>
        <w:ind w:firstLine="480" w:firstLineChars="200"/>
        <w:rPr>
          <w:rFonts w:ascii="宋体" w:hAnsi="宋体" w:cs="宋体"/>
          <w:w w:val="28"/>
          <w:sz w:val="24"/>
        </w:rPr>
      </w:pPr>
      <w:r>
        <w:rPr>
          <w:rFonts w:hint="eastAsia" w:ascii="宋体" w:hAnsi="宋体" w:cs="宋体"/>
          <w:sz w:val="24"/>
        </w:rPr>
        <w:t xml:space="preserve">地     </w:t>
      </w:r>
      <w:r>
        <w:rPr>
          <w:rFonts w:hint="eastAsia" w:ascii="宋体" w:hAnsi="宋体" w:cs="宋体"/>
          <w:spacing w:val="5"/>
          <w:sz w:val="24"/>
        </w:rPr>
        <w:t xml:space="preserve"> </w:t>
      </w:r>
      <w:r>
        <w:rPr>
          <w:rFonts w:hint="eastAsia" w:ascii="宋体" w:hAnsi="宋体" w:cs="宋体"/>
          <w:sz w:val="24"/>
        </w:rPr>
        <w:t>址：临海市江滨东路295号</w:t>
      </w:r>
    </w:p>
    <w:p>
      <w:pPr>
        <w:tabs>
          <w:tab w:val="left" w:pos="4228"/>
          <w:tab w:val="left" w:pos="7975"/>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 xml:space="preserve">联  系 </w:t>
      </w:r>
      <w:r>
        <w:rPr>
          <w:rFonts w:hint="eastAsia" w:ascii="宋体" w:hAnsi="宋体" w:cs="宋体"/>
          <w:spacing w:val="4"/>
          <w:sz w:val="24"/>
        </w:rPr>
        <w:t xml:space="preserve"> </w:t>
      </w:r>
      <w:r>
        <w:rPr>
          <w:rFonts w:hint="eastAsia" w:ascii="宋体" w:hAnsi="宋体" w:cs="宋体"/>
          <w:sz w:val="24"/>
        </w:rPr>
        <w:t>人：张女士</w:t>
      </w:r>
    </w:p>
    <w:p>
      <w:pPr>
        <w:tabs>
          <w:tab w:val="left" w:pos="4228"/>
          <w:tab w:val="left" w:pos="7975"/>
        </w:tabs>
        <w:kinsoku w:val="0"/>
        <w:autoSpaceDE w:val="0"/>
        <w:autoSpaceDN w:val="0"/>
        <w:spacing w:line="360" w:lineRule="auto"/>
        <w:ind w:firstLine="480" w:firstLineChars="200"/>
        <w:rPr>
          <w:rFonts w:ascii="宋体" w:hAnsi="宋体" w:cs="宋体"/>
          <w:sz w:val="24"/>
        </w:rPr>
      </w:pPr>
      <w:r>
        <w:rPr>
          <w:rFonts w:hint="eastAsia" w:ascii="宋体" w:hAnsi="宋体" w:cs="宋体"/>
          <w:sz w:val="24"/>
        </w:rPr>
        <w:t xml:space="preserve">电     </w:t>
      </w:r>
      <w:r>
        <w:rPr>
          <w:rFonts w:hint="eastAsia" w:ascii="宋体" w:hAnsi="宋体" w:cs="宋体"/>
          <w:spacing w:val="5"/>
          <w:sz w:val="24"/>
        </w:rPr>
        <w:t xml:space="preserve"> </w:t>
      </w:r>
      <w:r>
        <w:rPr>
          <w:rFonts w:hint="eastAsia" w:ascii="宋体" w:hAnsi="宋体" w:cs="宋体"/>
          <w:sz w:val="24"/>
        </w:rPr>
        <w:t>话：0576-88596085、18806763588</w:t>
      </w:r>
    </w:p>
    <w:p>
      <w:pPr>
        <w:tabs>
          <w:tab w:val="left" w:pos="4228"/>
          <w:tab w:val="left" w:pos="7975"/>
        </w:tabs>
        <w:kinsoku w:val="0"/>
        <w:autoSpaceDE w:val="0"/>
        <w:autoSpaceDN w:val="0"/>
        <w:spacing w:line="360" w:lineRule="auto"/>
        <w:ind w:firstLine="480" w:firstLineChars="200"/>
        <w:jc w:val="right"/>
        <w:rPr>
          <w:rFonts w:ascii="宋体" w:hAnsi="宋体" w:cs="宋体"/>
          <w:sz w:val="24"/>
        </w:rPr>
      </w:pPr>
    </w:p>
    <w:p>
      <w:pPr>
        <w:jc w:val="right"/>
      </w:pPr>
      <w:r>
        <w:rPr>
          <w:rFonts w:hint="eastAsia" w:ascii="宋体" w:hAnsi="宋体" w:cs="宋体"/>
          <w:sz w:val="24"/>
        </w:rPr>
        <w:t>2024年</w:t>
      </w:r>
      <w:r>
        <w:rPr>
          <w:rFonts w:hint="eastAsia" w:ascii="宋体" w:hAnsi="宋体" w:cs="宋体"/>
          <w:sz w:val="24"/>
          <w:lang w:val="en-US" w:eastAsia="zh-CN"/>
        </w:rPr>
        <w:t>4</w:t>
      </w:r>
      <w:r>
        <w:rPr>
          <w:rFonts w:hint="eastAsia" w:ascii="宋体" w:hAnsi="宋体" w:cs="宋体"/>
          <w:spacing w:val="-3"/>
          <w:sz w:val="24"/>
        </w:rPr>
        <w:t>月</w:t>
      </w:r>
    </w:p>
    <w:p>
      <w:r>
        <w:rPr>
          <w:rFonts w:hint="eastAsia"/>
        </w:rPr>
        <w:br w:type="page"/>
      </w:r>
    </w:p>
    <w:p>
      <w:pPr>
        <w:widowControl/>
        <w:jc w:val="center"/>
        <w:outlineLvl w:val="0"/>
        <w:rPr>
          <w:rFonts w:hint="eastAsia" w:eastAsia="黑体"/>
          <w:b/>
          <w:bCs/>
          <w:sz w:val="32"/>
          <w:lang w:eastAsia="zh-CN"/>
        </w:rPr>
      </w:pPr>
      <w:bookmarkStart w:id="15" w:name="_Toc30173"/>
      <w:r>
        <w:rPr>
          <w:rFonts w:hint="eastAsia" w:eastAsia="黑体"/>
          <w:b/>
          <w:bCs/>
          <w:sz w:val="32"/>
          <w:lang w:eastAsia="zh-CN"/>
        </w:rPr>
        <w:t>投标人须知前附表</w:t>
      </w:r>
      <w:bookmarkEnd w:id="3"/>
      <w:bookmarkEnd w:id="4"/>
      <w:bookmarkEnd w:id="5"/>
      <w:bookmarkEnd w:id="6"/>
      <w:bookmarkEnd w:id="15"/>
    </w:p>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78"/>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88" w:type="dxa"/>
            <w:vAlign w:val="center"/>
          </w:tcPr>
          <w:p>
            <w:pPr>
              <w:jc w:val="center"/>
              <w:rPr>
                <w:rFonts w:ascii="宋体" w:hAnsi="宋体"/>
              </w:rPr>
            </w:pPr>
            <w:r>
              <w:rPr>
                <w:rFonts w:hint="eastAsia" w:ascii="宋体" w:hAnsi="宋体"/>
              </w:rPr>
              <w:t>序号</w:t>
            </w:r>
          </w:p>
        </w:tc>
        <w:tc>
          <w:tcPr>
            <w:tcW w:w="1978" w:type="dxa"/>
            <w:vAlign w:val="center"/>
          </w:tcPr>
          <w:p>
            <w:pPr>
              <w:jc w:val="center"/>
              <w:rPr>
                <w:rFonts w:ascii="宋体" w:hAnsi="宋体"/>
              </w:rPr>
            </w:pPr>
            <w:r>
              <w:rPr>
                <w:rFonts w:hint="eastAsia" w:ascii="宋体" w:hAnsi="宋体"/>
              </w:rPr>
              <w:t>内  容</w:t>
            </w:r>
          </w:p>
        </w:tc>
        <w:tc>
          <w:tcPr>
            <w:tcW w:w="6265" w:type="dxa"/>
            <w:vAlign w:val="center"/>
          </w:tcPr>
          <w:p>
            <w:pPr>
              <w:jc w:val="center"/>
              <w:rPr>
                <w:rFonts w:ascii="宋体" w:hAnsi="宋体"/>
              </w:rPr>
            </w:pPr>
            <w:r>
              <w:rPr>
                <w:rFonts w:hint="eastAsia" w:ascii="宋体"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8" w:type="dxa"/>
            <w:tcBorders>
              <w:bottom w:val="single" w:color="auto" w:sz="4" w:space="0"/>
            </w:tcBorders>
            <w:vAlign w:val="center"/>
          </w:tcPr>
          <w:p>
            <w:pPr>
              <w:jc w:val="center"/>
              <w:rPr>
                <w:rFonts w:ascii="宋体" w:hAnsi="宋体"/>
              </w:rPr>
            </w:pPr>
            <w:r>
              <w:rPr>
                <w:rFonts w:hint="eastAsia" w:ascii="宋体" w:hAnsi="宋体"/>
              </w:rPr>
              <w:t>1</w:t>
            </w:r>
          </w:p>
        </w:tc>
        <w:tc>
          <w:tcPr>
            <w:tcW w:w="1978" w:type="dxa"/>
            <w:tcBorders>
              <w:bottom w:val="single" w:color="auto" w:sz="4" w:space="0"/>
            </w:tcBorders>
            <w:vAlign w:val="center"/>
          </w:tcPr>
          <w:p>
            <w:pPr>
              <w:jc w:val="center"/>
              <w:rPr>
                <w:rFonts w:ascii="宋体" w:hAnsi="宋体"/>
                <w:color w:val="0C0C0C"/>
              </w:rPr>
            </w:pPr>
            <w:r>
              <w:rPr>
                <w:rFonts w:hint="eastAsia" w:ascii="宋体" w:hAnsi="宋体"/>
                <w:color w:val="0C0C0C"/>
              </w:rPr>
              <w:t>工程名称</w:t>
            </w:r>
          </w:p>
        </w:tc>
        <w:tc>
          <w:tcPr>
            <w:tcW w:w="6265" w:type="dxa"/>
            <w:tcBorders>
              <w:bottom w:val="single" w:color="auto" w:sz="4" w:space="0"/>
            </w:tcBorders>
            <w:vAlign w:val="center"/>
          </w:tcPr>
          <w:p>
            <w:pPr>
              <w:adjustRightInd w:val="0"/>
              <w:snapToGrid w:val="0"/>
              <w:rPr>
                <w:color w:val="0C0C0C"/>
              </w:rPr>
            </w:pPr>
            <w:r>
              <w:rPr>
                <w:rFonts w:hint="eastAsia"/>
                <w:color w:val="0C0C0C"/>
              </w:rPr>
              <w:t>绿色药都产业园配套设施提升工程（北区）（</w:t>
            </w:r>
            <w:r>
              <w:rPr>
                <w:rFonts w:hint="eastAsia"/>
                <w:color w:val="0C0C0C"/>
                <w:lang w:eastAsia="zh-CN"/>
              </w:rPr>
              <w:t>亮化工程</w:t>
            </w:r>
            <w:r>
              <w:rPr>
                <w:rFonts w:hint="eastAsia"/>
                <w:color w:val="0C0C0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688" w:type="dxa"/>
            <w:tcBorders>
              <w:bottom w:val="single" w:color="auto" w:sz="4" w:space="0"/>
            </w:tcBorders>
            <w:vAlign w:val="center"/>
          </w:tcPr>
          <w:p>
            <w:pPr>
              <w:jc w:val="center"/>
              <w:rPr>
                <w:rFonts w:ascii="宋体" w:hAnsi="宋体"/>
              </w:rPr>
            </w:pPr>
            <w:r>
              <w:rPr>
                <w:rFonts w:hint="eastAsia" w:ascii="宋体" w:hAnsi="宋体"/>
              </w:rPr>
              <w:t>2</w:t>
            </w:r>
          </w:p>
        </w:tc>
        <w:tc>
          <w:tcPr>
            <w:tcW w:w="1978" w:type="dxa"/>
            <w:tcBorders>
              <w:bottom w:val="single" w:color="auto" w:sz="4" w:space="0"/>
            </w:tcBorders>
            <w:vAlign w:val="center"/>
          </w:tcPr>
          <w:p>
            <w:pPr>
              <w:jc w:val="center"/>
              <w:rPr>
                <w:rFonts w:ascii="宋体" w:hAnsi="宋体"/>
                <w:color w:val="0C0C0C"/>
              </w:rPr>
            </w:pPr>
            <w:r>
              <w:rPr>
                <w:rFonts w:hint="eastAsia" w:ascii="宋体" w:hAnsi="宋体"/>
                <w:color w:val="0C0C0C"/>
              </w:rPr>
              <w:t>建设地点</w:t>
            </w:r>
          </w:p>
        </w:tc>
        <w:tc>
          <w:tcPr>
            <w:tcW w:w="6265" w:type="dxa"/>
            <w:tcBorders>
              <w:bottom w:val="single" w:color="auto" w:sz="4" w:space="0"/>
            </w:tcBorders>
            <w:vAlign w:val="center"/>
          </w:tcPr>
          <w:p>
            <w:pPr>
              <w:adjustRightInd w:val="0"/>
              <w:snapToGrid w:val="0"/>
              <w:rPr>
                <w:rFonts w:ascii="宋体" w:hAnsi="宋体"/>
                <w:color w:val="0C0C0C"/>
                <w:szCs w:val="21"/>
              </w:rPr>
            </w:pPr>
            <w:r>
              <w:rPr>
                <w:rFonts w:hint="eastAsia" w:ascii="宋体" w:hAnsi="宋体"/>
                <w:color w:val="0C0C0C"/>
                <w:szCs w:val="21"/>
              </w:rPr>
              <w:t>台州市椒江区海门街道，枫南东路以南，四塘路以东，规划路以北，五塘北路以西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688" w:type="dxa"/>
            <w:tcBorders>
              <w:bottom w:val="single" w:color="auto" w:sz="4" w:space="0"/>
            </w:tcBorders>
            <w:vAlign w:val="center"/>
          </w:tcPr>
          <w:p>
            <w:pPr>
              <w:jc w:val="center"/>
              <w:rPr>
                <w:rFonts w:ascii="宋体" w:hAnsi="宋体"/>
              </w:rPr>
            </w:pPr>
            <w:r>
              <w:rPr>
                <w:rFonts w:hint="eastAsia" w:ascii="宋体" w:hAnsi="宋体"/>
              </w:rPr>
              <w:t>3</w:t>
            </w:r>
          </w:p>
        </w:tc>
        <w:tc>
          <w:tcPr>
            <w:tcW w:w="1978" w:type="dxa"/>
            <w:tcBorders>
              <w:bottom w:val="single" w:color="auto" w:sz="4" w:space="0"/>
            </w:tcBorders>
            <w:vAlign w:val="center"/>
          </w:tcPr>
          <w:p>
            <w:pPr>
              <w:jc w:val="center"/>
              <w:rPr>
                <w:rFonts w:ascii="宋体" w:hAnsi="宋体"/>
              </w:rPr>
            </w:pPr>
            <w:r>
              <w:rPr>
                <w:rFonts w:hint="eastAsia" w:ascii="宋体" w:hAnsi="宋体"/>
              </w:rPr>
              <w:t>建设规模</w:t>
            </w:r>
          </w:p>
        </w:tc>
        <w:tc>
          <w:tcPr>
            <w:tcW w:w="6265" w:type="dxa"/>
            <w:tcBorders>
              <w:bottom w:val="single" w:color="auto" w:sz="4" w:space="0"/>
            </w:tcBorders>
            <w:vAlign w:val="center"/>
          </w:tcPr>
          <w:p>
            <w:pPr>
              <w:adjustRightInd w:val="0"/>
              <w:snapToGrid w:val="0"/>
              <w:rPr>
                <w:rFonts w:ascii="宋体" w:hAnsi="宋体"/>
              </w:rPr>
            </w:pPr>
            <w:r>
              <w:rPr>
                <w:rFonts w:hint="eastAsia" w:ascii="宋体" w:hAnsi="宋体"/>
              </w:rPr>
              <w:t>项目内容主要为室外灯具及预埋管线、桥架、开关电源、灯具控制器、配电箱等亮化工程。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688" w:type="dxa"/>
            <w:tcBorders>
              <w:bottom w:val="single" w:color="auto" w:sz="4" w:space="0"/>
            </w:tcBorders>
            <w:vAlign w:val="center"/>
          </w:tcPr>
          <w:p>
            <w:pPr>
              <w:jc w:val="center"/>
              <w:rPr>
                <w:rFonts w:ascii="宋体" w:hAnsi="宋体"/>
              </w:rPr>
            </w:pPr>
            <w:r>
              <w:rPr>
                <w:rFonts w:hint="eastAsia" w:ascii="宋体" w:hAnsi="宋体"/>
              </w:rPr>
              <w:t>4</w:t>
            </w:r>
          </w:p>
        </w:tc>
        <w:tc>
          <w:tcPr>
            <w:tcW w:w="1978" w:type="dxa"/>
            <w:tcBorders>
              <w:bottom w:val="single" w:color="auto" w:sz="4" w:space="0"/>
            </w:tcBorders>
            <w:vAlign w:val="center"/>
          </w:tcPr>
          <w:p>
            <w:pPr>
              <w:jc w:val="center"/>
              <w:rPr>
                <w:rFonts w:ascii="宋体" w:hAnsi="宋体"/>
              </w:rPr>
            </w:pPr>
            <w:r>
              <w:rPr>
                <w:rFonts w:hint="eastAsia" w:ascii="宋体" w:hAnsi="宋体"/>
              </w:rPr>
              <w:t>招标控制价及最高投标限价</w:t>
            </w:r>
          </w:p>
        </w:tc>
        <w:tc>
          <w:tcPr>
            <w:tcW w:w="6265" w:type="dxa"/>
            <w:tcBorders>
              <w:bottom w:val="single" w:color="auto" w:sz="4" w:space="0"/>
            </w:tcBorders>
            <w:vAlign w:val="center"/>
          </w:tcPr>
          <w:p>
            <w:pPr>
              <w:adjustRightInd w:val="0"/>
              <w:snapToGrid w:val="0"/>
              <w:rPr>
                <w:rFonts w:ascii="宋体" w:hAnsi="宋体"/>
                <w:highlight w:val="none"/>
              </w:rPr>
            </w:pPr>
            <w:r>
              <w:rPr>
                <w:rFonts w:hint="eastAsia" w:ascii="宋体" w:hAnsi="宋体"/>
              </w:rPr>
              <w:t>招标控制价：</w:t>
            </w:r>
            <w:r>
              <w:rPr>
                <w:rFonts w:hint="eastAsia" w:ascii="宋体" w:hAnsi="宋体"/>
                <w:u w:val="single"/>
              </w:rPr>
              <w:t xml:space="preserve"> </w:t>
            </w:r>
            <w:r>
              <w:rPr>
                <w:rFonts w:hint="eastAsia" w:ascii="宋体" w:hAnsi="宋体"/>
                <w:u w:val="single"/>
                <w:lang w:eastAsia="zh-CN"/>
              </w:rPr>
              <w:t>3828266</w:t>
            </w:r>
            <w:r>
              <w:rPr>
                <w:rFonts w:hint="eastAsia" w:ascii="宋体" w:hAnsi="宋体"/>
                <w:u w:val="single"/>
              </w:rPr>
              <w:t xml:space="preserve"> </w:t>
            </w:r>
            <w:r>
              <w:rPr>
                <w:rFonts w:hint="eastAsia" w:ascii="宋体" w:hAnsi="宋体"/>
              </w:rPr>
              <w:t>元</w:t>
            </w:r>
          </w:p>
          <w:p>
            <w:pPr>
              <w:adjustRightInd w:val="0"/>
              <w:snapToGrid w:val="0"/>
              <w:rPr>
                <w:rFonts w:ascii="宋体" w:hAnsi="宋体"/>
              </w:rPr>
            </w:pPr>
            <w:r>
              <w:rPr>
                <w:rFonts w:hint="eastAsia" w:ascii="宋体" w:hAnsi="宋体"/>
                <w:highlight w:val="none"/>
              </w:rPr>
              <w:t>最高投标限价:</w:t>
            </w:r>
            <w:r>
              <w:rPr>
                <w:rFonts w:hint="eastAsia" w:ascii="宋体" w:hAnsi="宋体"/>
                <w:szCs w:val="22"/>
                <w:highlight w:val="none"/>
                <w:u w:val="single"/>
              </w:rPr>
              <w:t xml:space="preserve"> 340715</w:t>
            </w:r>
            <w:r>
              <w:rPr>
                <w:rFonts w:hint="eastAsia" w:ascii="宋体" w:hAnsi="宋体"/>
                <w:szCs w:val="22"/>
                <w:highlight w:val="none"/>
                <w:u w:val="single"/>
                <w:lang w:val="en-US" w:eastAsia="zh-CN"/>
              </w:rPr>
              <w:t>7</w:t>
            </w:r>
            <w:r>
              <w:rPr>
                <w:rFonts w:hint="eastAsia" w:ascii="宋体" w:hAnsi="宋体"/>
                <w:szCs w:val="22"/>
                <w:highlight w:val="none"/>
                <w:u w:val="single"/>
              </w:rPr>
              <w:t xml:space="preserve"> </w:t>
            </w:r>
            <w:r>
              <w:rPr>
                <w:rFonts w:hint="eastAsia" w:ascii="宋体" w:hAnsi="宋体"/>
                <w:highlight w:val="none"/>
              </w:rPr>
              <w:t>元（招标控制价×</w:t>
            </w:r>
            <w:r>
              <w:rPr>
                <w:rFonts w:hint="eastAsia" w:ascii="宋体" w:hAnsi="宋体"/>
                <w:highlight w:val="none"/>
                <w:lang w:val="en-US" w:eastAsia="zh-CN"/>
              </w:rPr>
              <w:t>89</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688" w:type="dxa"/>
            <w:tcBorders>
              <w:bottom w:val="single" w:color="auto" w:sz="4" w:space="0"/>
            </w:tcBorders>
            <w:vAlign w:val="center"/>
          </w:tcPr>
          <w:p>
            <w:pPr>
              <w:jc w:val="center"/>
              <w:rPr>
                <w:rFonts w:ascii="宋体" w:hAnsi="宋体"/>
              </w:rPr>
            </w:pPr>
            <w:r>
              <w:rPr>
                <w:rFonts w:hint="eastAsia" w:ascii="宋体" w:hAnsi="宋体"/>
              </w:rPr>
              <w:t>5</w:t>
            </w:r>
          </w:p>
        </w:tc>
        <w:tc>
          <w:tcPr>
            <w:tcW w:w="1978" w:type="dxa"/>
            <w:tcBorders>
              <w:bottom w:val="single" w:color="auto" w:sz="4" w:space="0"/>
            </w:tcBorders>
            <w:vAlign w:val="center"/>
          </w:tcPr>
          <w:p>
            <w:pPr>
              <w:jc w:val="center"/>
              <w:rPr>
                <w:rFonts w:ascii="宋体" w:hAnsi="宋体"/>
              </w:rPr>
            </w:pPr>
            <w:r>
              <w:rPr>
                <w:rFonts w:hint="eastAsia" w:ascii="宋体" w:hAnsi="宋体"/>
              </w:rPr>
              <w:t>承包方式</w:t>
            </w:r>
          </w:p>
        </w:tc>
        <w:tc>
          <w:tcPr>
            <w:tcW w:w="6265" w:type="dxa"/>
            <w:tcBorders>
              <w:bottom w:val="single" w:color="auto" w:sz="4" w:space="0"/>
            </w:tcBorders>
            <w:vAlign w:val="center"/>
          </w:tcPr>
          <w:p>
            <w:pPr>
              <w:adjustRightInd w:val="0"/>
              <w:snapToGrid w:val="0"/>
              <w:rPr>
                <w:rFonts w:ascii="宋体" w:hAnsi="宋体"/>
              </w:rPr>
            </w:pPr>
            <w:r>
              <w:rPr>
                <w:rFonts w:hint="eastAsia" w:ascii="宋体" w:hAnsi="宋体"/>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688" w:type="dxa"/>
            <w:tcBorders>
              <w:bottom w:val="single" w:color="auto" w:sz="4" w:space="0"/>
            </w:tcBorders>
            <w:vAlign w:val="center"/>
          </w:tcPr>
          <w:p>
            <w:pPr>
              <w:jc w:val="center"/>
              <w:rPr>
                <w:rFonts w:ascii="宋体" w:hAnsi="宋体"/>
              </w:rPr>
            </w:pPr>
            <w:r>
              <w:rPr>
                <w:rFonts w:hint="eastAsia" w:ascii="宋体" w:hAnsi="宋体"/>
              </w:rPr>
              <w:t>6</w:t>
            </w:r>
          </w:p>
        </w:tc>
        <w:tc>
          <w:tcPr>
            <w:tcW w:w="1978" w:type="dxa"/>
            <w:tcBorders>
              <w:bottom w:val="single" w:color="auto" w:sz="4" w:space="0"/>
            </w:tcBorders>
            <w:vAlign w:val="center"/>
          </w:tcPr>
          <w:p>
            <w:pPr>
              <w:jc w:val="center"/>
              <w:rPr>
                <w:rFonts w:ascii="宋体" w:hAnsi="宋体"/>
              </w:rPr>
            </w:pPr>
            <w:r>
              <w:rPr>
                <w:rFonts w:hint="eastAsia" w:ascii="宋体" w:hAnsi="宋体"/>
              </w:rPr>
              <w:t>质量标准</w:t>
            </w:r>
          </w:p>
        </w:tc>
        <w:tc>
          <w:tcPr>
            <w:tcW w:w="6265" w:type="dxa"/>
            <w:tcBorders>
              <w:bottom w:val="single" w:color="auto" w:sz="4" w:space="0"/>
            </w:tcBorders>
            <w:vAlign w:val="center"/>
          </w:tcPr>
          <w:p>
            <w:pPr>
              <w:adjustRightInd w:val="0"/>
              <w:snapToGrid w:val="0"/>
              <w:rPr>
                <w:rFonts w:ascii="宋体" w:hAnsi="宋体"/>
              </w:rPr>
            </w:pPr>
            <w:r>
              <w:rPr>
                <w:rFonts w:hint="eastAsia" w:ascii="宋体" w:hAnsi="宋体"/>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688" w:type="dxa"/>
            <w:tcBorders>
              <w:bottom w:val="single" w:color="auto" w:sz="4" w:space="0"/>
            </w:tcBorders>
            <w:vAlign w:val="center"/>
          </w:tcPr>
          <w:p>
            <w:pPr>
              <w:jc w:val="center"/>
              <w:rPr>
                <w:rFonts w:ascii="宋体" w:hAnsi="宋体"/>
              </w:rPr>
            </w:pPr>
            <w:r>
              <w:rPr>
                <w:rFonts w:hint="eastAsia" w:ascii="宋体" w:hAnsi="宋体"/>
              </w:rPr>
              <w:t>7</w:t>
            </w:r>
          </w:p>
        </w:tc>
        <w:tc>
          <w:tcPr>
            <w:tcW w:w="1978" w:type="dxa"/>
            <w:tcBorders>
              <w:bottom w:val="single" w:color="auto" w:sz="4" w:space="0"/>
            </w:tcBorders>
            <w:vAlign w:val="center"/>
          </w:tcPr>
          <w:p>
            <w:pPr>
              <w:jc w:val="center"/>
              <w:rPr>
                <w:rFonts w:ascii="宋体" w:hAnsi="宋体"/>
              </w:rPr>
            </w:pPr>
            <w:r>
              <w:rPr>
                <w:rFonts w:hint="eastAsia" w:ascii="宋体" w:hAnsi="宋体"/>
              </w:rPr>
              <w:t>工期要求</w:t>
            </w:r>
          </w:p>
        </w:tc>
        <w:tc>
          <w:tcPr>
            <w:tcW w:w="6265" w:type="dxa"/>
            <w:tcBorders>
              <w:bottom w:val="single" w:color="auto" w:sz="4" w:space="0"/>
            </w:tcBorders>
            <w:vAlign w:val="center"/>
          </w:tcPr>
          <w:p>
            <w:pPr>
              <w:adjustRightInd w:val="0"/>
              <w:snapToGrid w:val="0"/>
              <w:rPr>
                <w:rFonts w:ascii="宋体" w:hAnsi="宋体"/>
              </w:rPr>
            </w:pPr>
            <w:r>
              <w:rPr>
                <w:rFonts w:hint="eastAsia" w:ascii="宋体" w:hAnsi="宋体"/>
              </w:rPr>
              <w:t>不超过</w:t>
            </w:r>
            <w:r>
              <w:rPr>
                <w:rFonts w:hint="eastAsia" w:ascii="宋体" w:hAnsi="宋体"/>
                <w:u w:val="single"/>
              </w:rPr>
              <w:t xml:space="preserve"> 90 </w:t>
            </w:r>
            <w:r>
              <w:rPr>
                <w:rFonts w:hint="eastAsia" w:ascii="宋体" w:hAnsi="宋体"/>
              </w:rPr>
              <w:t>个日历天，配合总包进度按期竣工并移交整个工程。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688" w:type="dxa"/>
            <w:vAlign w:val="center"/>
          </w:tcPr>
          <w:p>
            <w:pPr>
              <w:jc w:val="center"/>
              <w:rPr>
                <w:rFonts w:ascii="宋体" w:hAnsi="宋体"/>
              </w:rPr>
            </w:pPr>
            <w:r>
              <w:rPr>
                <w:rFonts w:hint="eastAsia" w:ascii="宋体" w:hAnsi="宋体"/>
              </w:rPr>
              <w:t>8</w:t>
            </w:r>
          </w:p>
        </w:tc>
        <w:tc>
          <w:tcPr>
            <w:tcW w:w="1978" w:type="dxa"/>
            <w:vAlign w:val="center"/>
          </w:tcPr>
          <w:p>
            <w:pPr>
              <w:jc w:val="center"/>
              <w:rPr>
                <w:rFonts w:ascii="宋体" w:hAnsi="宋体"/>
                <w:color w:val="0C0C0C"/>
              </w:rPr>
            </w:pPr>
            <w:r>
              <w:rPr>
                <w:rFonts w:hint="eastAsia" w:ascii="宋体" w:hAnsi="宋体"/>
                <w:color w:val="0C0C0C"/>
              </w:rPr>
              <w:t>招标方式</w:t>
            </w:r>
          </w:p>
        </w:tc>
        <w:tc>
          <w:tcPr>
            <w:tcW w:w="6265" w:type="dxa"/>
            <w:vAlign w:val="center"/>
          </w:tcPr>
          <w:p>
            <w:pPr>
              <w:rPr>
                <w:rFonts w:ascii="宋体" w:hAnsi="宋体"/>
              </w:rPr>
            </w:pPr>
            <w:r>
              <w:rPr>
                <w:rFonts w:hint="eastAsia" w:ascii="宋体" w:hAnsi="宋体"/>
                <w:color w:val="00000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trPr>
        <w:tc>
          <w:tcPr>
            <w:tcW w:w="688" w:type="dxa"/>
            <w:tcBorders>
              <w:bottom w:val="single" w:color="auto" w:sz="4" w:space="0"/>
            </w:tcBorders>
            <w:vAlign w:val="center"/>
          </w:tcPr>
          <w:p>
            <w:pPr>
              <w:jc w:val="center"/>
              <w:rPr>
                <w:rFonts w:ascii="宋体" w:hAnsi="宋体"/>
              </w:rPr>
            </w:pPr>
            <w:r>
              <w:rPr>
                <w:rFonts w:hint="eastAsia" w:ascii="宋体" w:hAnsi="宋体"/>
              </w:rPr>
              <w:t>9</w:t>
            </w:r>
          </w:p>
        </w:tc>
        <w:tc>
          <w:tcPr>
            <w:tcW w:w="1978" w:type="dxa"/>
            <w:tcBorders>
              <w:bottom w:val="single" w:color="auto" w:sz="4" w:space="0"/>
            </w:tcBorders>
            <w:vAlign w:val="center"/>
          </w:tcPr>
          <w:p>
            <w:pPr>
              <w:jc w:val="center"/>
              <w:rPr>
                <w:rFonts w:ascii="宋体" w:hAnsi="宋体"/>
              </w:rPr>
            </w:pPr>
            <w:r>
              <w:rPr>
                <w:rFonts w:hint="eastAsia" w:ascii="宋体" w:hAnsi="宋体"/>
              </w:rPr>
              <w:t>招标范围</w:t>
            </w:r>
          </w:p>
        </w:tc>
        <w:tc>
          <w:tcPr>
            <w:tcW w:w="6265" w:type="dxa"/>
            <w:tcBorders>
              <w:bottom w:val="single" w:color="auto" w:sz="4" w:space="0"/>
            </w:tcBorders>
            <w:vAlign w:val="center"/>
          </w:tcPr>
          <w:p>
            <w:pPr>
              <w:tabs>
                <w:tab w:val="left" w:pos="3060"/>
                <w:tab w:val="left" w:pos="9180"/>
                <w:tab w:val="left" w:pos="9360"/>
              </w:tabs>
              <w:spacing w:line="288" w:lineRule="auto"/>
              <w:ind w:right="21" w:rightChars="10"/>
              <w:rPr>
                <w:rFonts w:ascii="宋体" w:hAnsi="宋体"/>
              </w:rPr>
            </w:pPr>
            <w:r>
              <w:rPr>
                <w:rFonts w:hint="eastAsia" w:ascii="宋体" w:hAnsi="宋体"/>
              </w:rPr>
              <w:t>招标范围为</w:t>
            </w:r>
            <w:r>
              <w:rPr>
                <w:rFonts w:hint="eastAsia" w:ascii="宋体" w:hAnsi="宋体"/>
                <w:lang w:eastAsia="zh-CN"/>
              </w:rPr>
              <w:t>招标人所提供的施工图纸所包含的亮化工程</w:t>
            </w:r>
            <w:r>
              <w:rPr>
                <w:rFonts w:hint="eastAsia" w:ascii="宋体" w:hAnsi="宋体"/>
              </w:rPr>
              <w:t>。具体内容详见招标人提供的工程量清单及编制说明。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688" w:type="dxa"/>
            <w:tcBorders>
              <w:bottom w:val="single" w:color="auto" w:sz="4" w:space="0"/>
            </w:tcBorders>
            <w:vAlign w:val="center"/>
          </w:tcPr>
          <w:p>
            <w:pPr>
              <w:jc w:val="center"/>
              <w:rPr>
                <w:rFonts w:ascii="宋体" w:hAnsi="宋体"/>
              </w:rPr>
            </w:pPr>
            <w:r>
              <w:rPr>
                <w:rFonts w:hint="eastAsia" w:ascii="宋体" w:hAnsi="宋体"/>
              </w:rPr>
              <w:t>10</w:t>
            </w:r>
          </w:p>
        </w:tc>
        <w:tc>
          <w:tcPr>
            <w:tcW w:w="1978" w:type="dxa"/>
            <w:tcBorders>
              <w:bottom w:val="single" w:color="auto" w:sz="4" w:space="0"/>
            </w:tcBorders>
            <w:vAlign w:val="center"/>
          </w:tcPr>
          <w:p>
            <w:pPr>
              <w:jc w:val="center"/>
              <w:rPr>
                <w:rFonts w:ascii="宋体" w:hAnsi="宋体"/>
              </w:rPr>
            </w:pPr>
            <w:r>
              <w:rPr>
                <w:rFonts w:hint="eastAsia" w:ascii="宋体" w:hAnsi="宋体"/>
              </w:rPr>
              <w:t>资金来源</w:t>
            </w:r>
          </w:p>
        </w:tc>
        <w:tc>
          <w:tcPr>
            <w:tcW w:w="6265" w:type="dxa"/>
            <w:tcBorders>
              <w:bottom w:val="single" w:color="auto" w:sz="4" w:space="0"/>
            </w:tcBorders>
            <w:vAlign w:val="center"/>
          </w:tcPr>
          <w:p>
            <w:pPr>
              <w:adjustRightInd w:val="0"/>
              <w:snapToGrid w:val="0"/>
            </w:pPr>
            <w:r>
              <w:rPr>
                <w:rFonts w:hint="eastAsia"/>
              </w:rPr>
              <w:t>国有100%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88" w:type="dxa"/>
            <w:tcBorders>
              <w:bottom w:val="single" w:color="auto" w:sz="4" w:space="0"/>
            </w:tcBorders>
            <w:vAlign w:val="center"/>
          </w:tcPr>
          <w:p>
            <w:pPr>
              <w:jc w:val="center"/>
              <w:rPr>
                <w:rFonts w:ascii="宋体" w:hAnsi="宋体"/>
              </w:rPr>
            </w:pPr>
            <w:r>
              <w:rPr>
                <w:rFonts w:hint="eastAsia" w:ascii="宋体" w:hAnsi="宋体"/>
              </w:rPr>
              <w:t>11</w:t>
            </w:r>
          </w:p>
        </w:tc>
        <w:tc>
          <w:tcPr>
            <w:tcW w:w="1978" w:type="dxa"/>
            <w:tcBorders>
              <w:bottom w:val="single" w:color="auto" w:sz="4" w:space="0"/>
            </w:tcBorders>
            <w:vAlign w:val="center"/>
          </w:tcPr>
          <w:p>
            <w:pPr>
              <w:jc w:val="center"/>
              <w:rPr>
                <w:rFonts w:ascii="宋体" w:hAnsi="宋体"/>
              </w:rPr>
            </w:pPr>
            <w:r>
              <w:rPr>
                <w:rFonts w:hint="eastAsia" w:ascii="宋体" w:hAnsi="宋体"/>
              </w:rPr>
              <w:t>投标人要求</w:t>
            </w:r>
          </w:p>
        </w:tc>
        <w:tc>
          <w:tcPr>
            <w:tcW w:w="6265" w:type="dxa"/>
            <w:tcBorders>
              <w:bottom w:val="single" w:color="auto" w:sz="4" w:space="0"/>
            </w:tcBorders>
            <w:vAlign w:val="center"/>
          </w:tcPr>
          <w:p>
            <w:pPr>
              <w:adjustRightInd w:val="0"/>
              <w:snapToGrid w:val="0"/>
              <w:rPr>
                <w:highlight w:val="none"/>
              </w:rPr>
            </w:pPr>
            <w:r>
              <w:rPr>
                <w:rFonts w:hint="eastAsia"/>
                <w:highlight w:val="none"/>
              </w:rPr>
              <w:t>具备</w:t>
            </w:r>
            <w:r>
              <w:rPr>
                <w:rFonts w:hint="eastAsia"/>
                <w:highlight w:val="none"/>
                <w:lang w:eastAsia="zh-CN"/>
              </w:rPr>
              <w:t>城市及道路照明工程专业承包三级及以上</w:t>
            </w:r>
            <w:r>
              <w:rPr>
                <w:rFonts w:hint="eastAsia"/>
                <w:highlight w:val="none"/>
              </w:rPr>
              <w:t>资质（对应资质应在“浙江省建筑市场监管公共服务系统”上动态核查结果处于“合格”状态）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688" w:type="dxa"/>
            <w:vAlign w:val="center"/>
          </w:tcPr>
          <w:p>
            <w:pPr>
              <w:jc w:val="center"/>
              <w:rPr>
                <w:rFonts w:ascii="宋体" w:hAnsi="宋体"/>
              </w:rPr>
            </w:pPr>
            <w:r>
              <w:rPr>
                <w:rFonts w:hint="eastAsia" w:ascii="宋体" w:hAnsi="宋体"/>
              </w:rPr>
              <w:t>12</w:t>
            </w:r>
          </w:p>
        </w:tc>
        <w:tc>
          <w:tcPr>
            <w:tcW w:w="1978" w:type="dxa"/>
            <w:vAlign w:val="center"/>
          </w:tcPr>
          <w:p>
            <w:pPr>
              <w:jc w:val="center"/>
              <w:rPr>
                <w:rFonts w:ascii="宋体" w:hAnsi="宋体"/>
              </w:rPr>
            </w:pPr>
            <w:r>
              <w:rPr>
                <w:rFonts w:hint="eastAsia" w:ascii="宋体" w:hAnsi="宋体"/>
              </w:rPr>
              <w:t>项目负责人要求</w:t>
            </w:r>
          </w:p>
        </w:tc>
        <w:tc>
          <w:tcPr>
            <w:tcW w:w="6265" w:type="dxa"/>
            <w:vAlign w:val="center"/>
          </w:tcPr>
          <w:p>
            <w:pPr>
              <w:widowControl/>
              <w:rPr>
                <w:rFonts w:ascii="宋体" w:hAnsi="宋体"/>
                <w:color w:val="000000"/>
                <w:highlight w:val="none"/>
              </w:rPr>
            </w:pPr>
            <w:r>
              <w:rPr>
                <w:rFonts w:hint="eastAsia" w:ascii="宋体" w:hAnsi="宋体"/>
                <w:color w:val="000000"/>
                <w:highlight w:val="none"/>
                <w:lang w:eastAsia="zh-CN"/>
              </w:rPr>
              <w:t>机电工程专业注册建造师二级及以上</w:t>
            </w:r>
            <w:r>
              <w:rPr>
                <w:rFonts w:hint="eastAsia" w:ascii="宋体" w:hAnsi="宋体"/>
                <w:color w:val="000000"/>
                <w:highlight w:val="none"/>
              </w:rPr>
              <w:t>执业资格（建造师临时执业证书无效）。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688" w:type="dxa"/>
            <w:vAlign w:val="center"/>
          </w:tcPr>
          <w:p>
            <w:pPr>
              <w:jc w:val="center"/>
              <w:rPr>
                <w:rFonts w:ascii="宋体" w:hAnsi="宋体"/>
              </w:rPr>
            </w:pPr>
            <w:r>
              <w:rPr>
                <w:rFonts w:hint="eastAsia" w:ascii="宋体" w:hAnsi="宋体"/>
              </w:rPr>
              <w:t>13</w:t>
            </w:r>
          </w:p>
        </w:tc>
        <w:tc>
          <w:tcPr>
            <w:tcW w:w="1978" w:type="dxa"/>
            <w:vAlign w:val="center"/>
          </w:tcPr>
          <w:p>
            <w:pPr>
              <w:jc w:val="center"/>
              <w:rPr>
                <w:rFonts w:ascii="宋体" w:hAnsi="宋体"/>
              </w:rPr>
            </w:pPr>
            <w:r>
              <w:rPr>
                <w:rFonts w:hint="eastAsia" w:ascii="宋体" w:hAnsi="宋体"/>
              </w:rPr>
              <w:t>资格审查方式</w:t>
            </w:r>
          </w:p>
        </w:tc>
        <w:tc>
          <w:tcPr>
            <w:tcW w:w="6265" w:type="dxa"/>
            <w:vAlign w:val="center"/>
          </w:tcPr>
          <w:p>
            <w:pPr>
              <w:rPr>
                <w:rFonts w:ascii="宋体" w:hAnsi="宋体"/>
              </w:rPr>
            </w:pPr>
            <w:r>
              <w:rPr>
                <w:rFonts w:hint="eastAsia" w:ascii="宋体" w:hAnsi="宋体"/>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88" w:type="dxa"/>
            <w:vAlign w:val="center"/>
          </w:tcPr>
          <w:p>
            <w:pPr>
              <w:jc w:val="center"/>
              <w:rPr>
                <w:rFonts w:ascii="宋体" w:hAnsi="宋体"/>
              </w:rPr>
            </w:pPr>
            <w:r>
              <w:rPr>
                <w:rFonts w:hint="eastAsia" w:ascii="宋体" w:hAnsi="宋体"/>
              </w:rPr>
              <w:t>14</w:t>
            </w:r>
          </w:p>
        </w:tc>
        <w:tc>
          <w:tcPr>
            <w:tcW w:w="1978" w:type="dxa"/>
            <w:vAlign w:val="center"/>
          </w:tcPr>
          <w:p>
            <w:pPr>
              <w:widowControl/>
              <w:jc w:val="center"/>
              <w:rPr>
                <w:rFonts w:ascii="宋体" w:hAnsi="宋体"/>
                <w:color w:val="000000"/>
                <w:szCs w:val="22"/>
              </w:rPr>
            </w:pPr>
            <w:r>
              <w:rPr>
                <w:rFonts w:hint="eastAsia" w:ascii="宋体" w:hAnsi="宋体"/>
                <w:color w:val="000000"/>
                <w:szCs w:val="22"/>
              </w:rPr>
              <w:t>投标文件组成</w:t>
            </w:r>
          </w:p>
        </w:tc>
        <w:tc>
          <w:tcPr>
            <w:tcW w:w="6265" w:type="dxa"/>
          </w:tcPr>
          <w:p>
            <w:pPr>
              <w:widowControl/>
              <w:rPr>
                <w:rFonts w:ascii="宋体" w:hAnsi="宋体"/>
                <w:color w:val="000000"/>
                <w:szCs w:val="22"/>
              </w:rPr>
            </w:pPr>
            <w:r>
              <w:rPr>
                <w:rFonts w:hint="eastAsia" w:ascii="宋体" w:hAnsi="宋体"/>
                <w:color w:val="000000"/>
                <w:szCs w:val="22"/>
              </w:rPr>
              <w:t>投标文件由</w:t>
            </w:r>
            <w:r>
              <w:rPr>
                <w:rFonts w:hint="eastAsia"/>
                <w:i w:val="0"/>
                <w:iCs w:val="0"/>
                <w:color w:val="auto"/>
                <w:highlight w:val="none"/>
              </w:rPr>
              <w:t>资</w:t>
            </w:r>
            <w:r>
              <w:rPr>
                <w:rFonts w:hint="eastAsia"/>
                <w:i w:val="0"/>
                <w:iCs w:val="0"/>
                <w:color w:val="auto"/>
                <w:highlight w:val="none"/>
                <w:lang w:val="en-US" w:eastAsia="zh-CN"/>
              </w:rPr>
              <w:t>格证明文件</w:t>
            </w:r>
            <w:r>
              <w:rPr>
                <w:rFonts w:hint="eastAsia" w:ascii="宋体" w:hAnsi="宋体"/>
                <w:color w:val="000000"/>
                <w:szCs w:val="22"/>
                <w:lang w:eastAsia="zh-CN"/>
              </w:rPr>
              <w:t>、</w:t>
            </w:r>
            <w:r>
              <w:rPr>
                <w:rFonts w:hint="eastAsia" w:ascii="宋体" w:hAnsi="宋体"/>
                <w:color w:val="000000"/>
                <w:szCs w:val="22"/>
                <w:lang w:val="en-US" w:eastAsia="zh-CN"/>
              </w:rPr>
              <w:t>商务</w:t>
            </w:r>
            <w:r>
              <w:rPr>
                <w:rFonts w:hint="eastAsia" w:ascii="宋体" w:hAnsi="宋体"/>
                <w:color w:val="000000"/>
                <w:szCs w:val="22"/>
              </w:rPr>
              <w:t>技术</w:t>
            </w:r>
            <w:r>
              <w:rPr>
                <w:rFonts w:hint="eastAsia" w:ascii="宋体" w:hAnsi="宋体"/>
                <w:color w:val="000000"/>
                <w:szCs w:val="22"/>
                <w:lang w:val="en-US" w:eastAsia="zh-CN"/>
              </w:rPr>
              <w:t>文件</w:t>
            </w:r>
            <w:r>
              <w:rPr>
                <w:rFonts w:hint="eastAsia" w:ascii="宋体" w:hAnsi="宋体"/>
                <w:color w:val="000000"/>
                <w:szCs w:val="22"/>
              </w:rPr>
              <w:t>和</w:t>
            </w:r>
            <w:r>
              <w:rPr>
                <w:rFonts w:hint="eastAsia" w:ascii="宋体" w:hAnsi="宋体"/>
                <w:color w:val="000000"/>
                <w:szCs w:val="22"/>
                <w:lang w:val="en-US" w:eastAsia="zh-CN"/>
              </w:rPr>
              <w:t>报价文件三</w:t>
            </w:r>
            <w:r>
              <w:rPr>
                <w:rFonts w:hint="eastAsia" w:ascii="宋体" w:hAnsi="宋体"/>
                <w:color w:val="000000"/>
                <w:szCs w:val="22"/>
              </w:rPr>
              <w:t>部分组成。</w:t>
            </w:r>
          </w:p>
          <w:p>
            <w:pPr>
              <w:widowControl/>
              <w:rPr>
                <w:rFonts w:ascii="宋体" w:hAnsi="宋体"/>
                <w:color w:val="000000"/>
                <w:szCs w:val="22"/>
              </w:rPr>
            </w:pPr>
            <w:r>
              <w:rPr>
                <w:rFonts w:hint="eastAsia"/>
                <w:i w:val="0"/>
                <w:iCs w:val="0"/>
                <w:color w:val="auto"/>
                <w:highlight w:val="none"/>
                <w:lang w:val="en-US" w:eastAsia="zh-CN"/>
              </w:rPr>
              <w:t>1、</w:t>
            </w:r>
            <w:r>
              <w:rPr>
                <w:rFonts w:hint="eastAsia"/>
                <w:i w:val="0"/>
                <w:iCs w:val="0"/>
                <w:color w:val="auto"/>
                <w:highlight w:val="none"/>
              </w:rPr>
              <w:t>资</w:t>
            </w:r>
            <w:r>
              <w:rPr>
                <w:rFonts w:hint="eastAsia"/>
                <w:i w:val="0"/>
                <w:iCs w:val="0"/>
                <w:color w:val="auto"/>
                <w:highlight w:val="none"/>
                <w:lang w:val="en-US" w:eastAsia="zh-CN"/>
              </w:rPr>
              <w:t>格证明文件</w:t>
            </w:r>
            <w:r>
              <w:rPr>
                <w:rFonts w:hint="eastAsia"/>
                <w:i w:val="0"/>
                <w:iCs w:val="0"/>
                <w:color w:val="auto"/>
                <w:highlight w:val="none"/>
              </w:rPr>
              <w:t>（对应投标人资质条件和项目负责人资格要求提供）</w:t>
            </w:r>
            <w:r>
              <w:rPr>
                <w:rFonts w:hint="eastAsia" w:ascii="宋体" w:hAnsi="宋体"/>
                <w:color w:val="000000"/>
                <w:szCs w:val="22"/>
              </w:rPr>
              <w:t>：</w:t>
            </w:r>
          </w:p>
          <w:p>
            <w:pPr>
              <w:widowControl/>
              <w:rPr>
                <w:rFonts w:ascii="宋体" w:hAnsi="宋体"/>
                <w:color w:val="000000"/>
                <w:szCs w:val="22"/>
              </w:rPr>
            </w:pPr>
            <w:r>
              <w:rPr>
                <w:rFonts w:hint="eastAsia" w:ascii="宋体" w:hAnsi="宋体"/>
                <w:color w:val="000000"/>
                <w:szCs w:val="22"/>
              </w:rPr>
              <w:t>（1）资格标封面（格式见附件）；</w:t>
            </w:r>
          </w:p>
          <w:p>
            <w:pPr>
              <w:widowControl/>
              <w:rPr>
                <w:rFonts w:ascii="宋体" w:hAnsi="宋体"/>
                <w:color w:val="000000"/>
                <w:szCs w:val="22"/>
              </w:rPr>
            </w:pPr>
            <w:r>
              <w:rPr>
                <w:rFonts w:hint="eastAsia" w:ascii="宋体" w:hAnsi="宋体"/>
                <w:color w:val="000000"/>
                <w:szCs w:val="22"/>
              </w:rPr>
              <w:t>（2）项目负责人简历表（格式见附件）；</w:t>
            </w:r>
          </w:p>
          <w:p>
            <w:pPr>
              <w:widowControl/>
              <w:rPr>
                <w:rFonts w:ascii="宋体" w:hAnsi="宋体"/>
                <w:color w:val="000000"/>
                <w:szCs w:val="22"/>
              </w:rPr>
            </w:pPr>
            <w:r>
              <w:rPr>
                <w:rFonts w:hint="eastAsia" w:ascii="宋体" w:hAnsi="宋体"/>
                <w:color w:val="000000"/>
                <w:szCs w:val="22"/>
              </w:rPr>
              <w:t>（3）技术负责人简历表（格式见附件）；</w:t>
            </w:r>
          </w:p>
          <w:p>
            <w:pPr>
              <w:widowControl/>
              <w:rPr>
                <w:rFonts w:ascii="宋体" w:hAnsi="宋体"/>
                <w:color w:val="000000"/>
                <w:szCs w:val="22"/>
              </w:rPr>
            </w:pPr>
            <w:r>
              <w:rPr>
                <w:rFonts w:hint="eastAsia" w:ascii="宋体" w:hAnsi="宋体"/>
                <w:color w:val="000000"/>
                <w:szCs w:val="22"/>
              </w:rPr>
              <w:t>（4）主要施工机械设备表（格式见附件）；</w:t>
            </w:r>
          </w:p>
          <w:p>
            <w:pPr>
              <w:widowControl/>
              <w:rPr>
                <w:rFonts w:ascii="宋体" w:hAnsi="宋体"/>
                <w:color w:val="000000"/>
                <w:szCs w:val="22"/>
              </w:rPr>
            </w:pPr>
            <w:r>
              <w:rPr>
                <w:rFonts w:hint="eastAsia" w:ascii="宋体" w:hAnsi="宋体"/>
                <w:color w:val="000000"/>
                <w:szCs w:val="22"/>
              </w:rPr>
              <w:t>（5）台州市重点建设项目诚信投标承诺书（格式见附件）；</w:t>
            </w:r>
          </w:p>
          <w:p>
            <w:pPr>
              <w:widowControl/>
              <w:rPr>
                <w:rFonts w:ascii="宋体" w:hAnsi="宋体"/>
                <w:color w:val="000000"/>
                <w:szCs w:val="22"/>
              </w:rPr>
            </w:pPr>
            <w:r>
              <w:rPr>
                <w:rFonts w:hint="eastAsia" w:ascii="宋体" w:hAnsi="宋体"/>
                <w:color w:val="000000"/>
                <w:szCs w:val="22"/>
              </w:rPr>
              <w:t>（6）法定代表人授权委托书或法定代表人身份证明（格式见附件）；</w:t>
            </w:r>
          </w:p>
          <w:p>
            <w:pPr>
              <w:widowControl/>
              <w:rPr>
                <w:rFonts w:ascii="宋体" w:hAnsi="宋体"/>
                <w:color w:val="000000"/>
                <w:szCs w:val="22"/>
                <w:highlight w:val="none"/>
              </w:rPr>
            </w:pPr>
            <w:r>
              <w:rPr>
                <w:rFonts w:hint="eastAsia" w:ascii="宋体" w:hAnsi="宋体"/>
                <w:color w:val="000000"/>
                <w:szCs w:val="22"/>
              </w:rPr>
              <w:t>（7）项目负责人无在建工程承诺书</w:t>
            </w:r>
            <w:r>
              <w:rPr>
                <w:rFonts w:hint="eastAsia" w:ascii="宋体" w:hAnsi="宋体"/>
                <w:color w:val="000000"/>
                <w:szCs w:val="22"/>
                <w:highlight w:val="none"/>
              </w:rPr>
              <w:t>（格式见附件）；</w:t>
            </w:r>
          </w:p>
          <w:p>
            <w:pPr>
              <w:widowControl/>
              <w:rPr>
                <w:rFonts w:ascii="宋体" w:hAnsi="宋体"/>
                <w:color w:val="000000"/>
                <w:szCs w:val="22"/>
                <w:highlight w:val="none"/>
              </w:rPr>
            </w:pPr>
            <w:r>
              <w:rPr>
                <w:rFonts w:hint="eastAsia" w:ascii="宋体" w:hAnsi="宋体"/>
                <w:color w:val="000000"/>
                <w:szCs w:val="22"/>
                <w:highlight w:val="none"/>
              </w:rPr>
              <w:t>（8）《浙江省建筑业企业资质动态核查证明》（核查发布日期须为</w:t>
            </w:r>
            <w:r>
              <w:rPr>
                <w:rFonts w:hint="eastAsia" w:ascii="宋体" w:hAnsi="宋体"/>
                <w:color w:val="000000"/>
                <w:szCs w:val="22"/>
                <w:highlight w:val="none"/>
                <w:lang w:val="en-US" w:eastAsia="zh-CN"/>
              </w:rPr>
              <w:t>2024</w:t>
            </w:r>
            <w:r>
              <w:rPr>
                <w:rFonts w:hint="eastAsia" w:ascii="宋体" w:hAnsi="宋体"/>
                <w:color w:val="000000"/>
                <w:szCs w:val="22"/>
                <w:highlight w:val="none"/>
              </w:rPr>
              <w:t>年</w:t>
            </w:r>
            <w:r>
              <w:rPr>
                <w:rFonts w:hint="eastAsia" w:ascii="宋体" w:hAnsi="宋体"/>
                <w:color w:val="000000"/>
                <w:szCs w:val="22"/>
                <w:highlight w:val="none"/>
                <w:lang w:val="en-US" w:eastAsia="zh-CN"/>
              </w:rPr>
              <w:t>4</w:t>
            </w:r>
            <w:r>
              <w:rPr>
                <w:rFonts w:hint="eastAsia" w:ascii="宋体" w:hAnsi="宋体"/>
                <w:color w:val="000000"/>
                <w:szCs w:val="22"/>
                <w:highlight w:val="none"/>
              </w:rPr>
              <w:t>月</w:t>
            </w:r>
            <w:r>
              <w:rPr>
                <w:rFonts w:hint="eastAsia" w:ascii="宋体" w:hAnsi="宋体"/>
                <w:color w:val="000000"/>
                <w:szCs w:val="22"/>
                <w:highlight w:val="none"/>
                <w:lang w:val="en-US" w:eastAsia="zh-CN"/>
              </w:rPr>
              <w:t>29</w:t>
            </w:r>
            <w:r>
              <w:rPr>
                <w:rFonts w:hint="eastAsia" w:ascii="宋体" w:hAnsi="宋体"/>
                <w:color w:val="000000"/>
                <w:szCs w:val="22"/>
                <w:highlight w:val="none"/>
              </w:rPr>
              <w:t>日及之后）；</w:t>
            </w:r>
          </w:p>
          <w:p>
            <w:pPr>
              <w:widowControl/>
              <w:rPr>
                <w:rFonts w:ascii="宋体" w:hAnsi="宋体"/>
                <w:color w:val="000000"/>
                <w:szCs w:val="22"/>
              </w:rPr>
            </w:pPr>
            <w:r>
              <w:rPr>
                <w:rFonts w:hint="eastAsia" w:ascii="宋体" w:hAnsi="宋体"/>
                <w:color w:val="000000"/>
                <w:szCs w:val="22"/>
              </w:rPr>
              <w:t xml:space="preserve">（9）证书材料（仅提供证书扫描件或电子证书）： </w:t>
            </w:r>
          </w:p>
          <w:p>
            <w:pPr>
              <w:spacing w:line="288" w:lineRule="auto"/>
              <w:ind w:right="200" w:firstLine="420" w:firstLineChars="200"/>
              <w:rPr>
                <w:rFonts w:ascii="宋体" w:hAnsi="宋体"/>
                <w:b/>
                <w:szCs w:val="20"/>
              </w:rPr>
            </w:pPr>
            <w:r>
              <w:rPr>
                <w:rFonts w:hint="eastAsia" w:ascii="宋体" w:hAnsi="宋体"/>
                <w:szCs w:val="20"/>
              </w:rPr>
              <w:t>①《建筑业企业资质证书》</w:t>
            </w:r>
            <w:r>
              <w:rPr>
                <w:rFonts w:hint="eastAsia" w:ascii="宋体" w:hAnsi="宋体"/>
                <w:b/>
                <w:szCs w:val="20"/>
              </w:rPr>
              <w:t>；（若为住房和城乡建设部同意企业资质电子化试点的省、市可提供企业电子资质证书），投标人提供的《建筑业企业资质证书》上的有关内容真实性均以全国建筑市场监管公共服务平台查询网址：</w:t>
            </w:r>
            <w:r>
              <w:rPr>
                <w:rFonts w:hint="eastAsia" w:ascii="Calibri" w:hAnsi="Calibri" w:eastAsia="仿宋_GB2312"/>
                <w:sz w:val="32"/>
                <w:szCs w:val="20"/>
              </w:rPr>
              <w:fldChar w:fldCharType="begin"/>
            </w:r>
            <w:r>
              <w:rPr>
                <w:rFonts w:ascii="Calibri" w:hAnsi="Calibri" w:eastAsia="仿宋_GB2312"/>
                <w:sz w:val="32"/>
                <w:szCs w:val="20"/>
              </w:rPr>
              <w:instrText xml:space="preserve"> HYPERLINK "http://jzsc.mohurd.gov.cn/（或省、直辖市相应平台）中查询结果为准。" </w:instrText>
            </w:r>
            <w:r>
              <w:rPr>
                <w:rFonts w:hint="eastAsia" w:ascii="Calibri" w:hAnsi="Calibri" w:eastAsia="仿宋_GB2312"/>
                <w:sz w:val="32"/>
                <w:szCs w:val="20"/>
              </w:rPr>
              <w:fldChar w:fldCharType="separate"/>
            </w:r>
            <w:r>
              <w:rPr>
                <w:rFonts w:hint="eastAsia" w:ascii="宋体" w:hAnsi="宋体"/>
                <w:b/>
                <w:szCs w:val="20"/>
              </w:rPr>
              <w:t>http://jzsc.mohurd.gov.cn/（或省、直辖市相应平台）中查询结果为准</w:t>
            </w:r>
            <w:r>
              <w:rPr>
                <w:rFonts w:hint="eastAsia" w:ascii="宋体" w:hAnsi="宋体"/>
                <w:b/>
                <w:szCs w:val="20"/>
              </w:rPr>
              <w:fldChar w:fldCharType="end"/>
            </w:r>
            <w:r>
              <w:rPr>
                <w:rFonts w:hint="eastAsia" w:ascii="宋体" w:hAnsi="宋体"/>
                <w:b/>
                <w:szCs w:val="20"/>
              </w:rPr>
              <w:t>；</w:t>
            </w:r>
          </w:p>
          <w:p>
            <w:pPr>
              <w:spacing w:line="300" w:lineRule="exact"/>
              <w:ind w:firstLine="420" w:firstLineChars="200"/>
              <w:rPr>
                <w:rFonts w:ascii="宋体" w:hAnsi="宋体" w:cs="宋体"/>
                <w:szCs w:val="21"/>
              </w:rPr>
            </w:pPr>
            <w:r>
              <w:rPr>
                <w:rFonts w:hint="eastAsia" w:ascii="宋体" w:hAnsi="宋体"/>
                <w:szCs w:val="22"/>
              </w:rPr>
              <w:t>②</w:t>
            </w:r>
            <w:r>
              <w:rPr>
                <w:rFonts w:ascii="宋体" w:hAnsi="宋体" w:cs="宋体"/>
                <w:szCs w:val="21"/>
              </w:rPr>
              <w:t>企业</w:t>
            </w:r>
            <w:r>
              <w:rPr>
                <w:rFonts w:hint="eastAsia" w:ascii="宋体" w:hAnsi="宋体" w:cs="宋体"/>
                <w:szCs w:val="21"/>
              </w:rPr>
              <w:t>法定代表人、项目负责人身份证</w:t>
            </w:r>
            <w:r>
              <w:rPr>
                <w:rFonts w:hint="eastAsia" w:ascii="宋体" w:hAnsi="宋体" w:cs="宋体"/>
                <w:szCs w:val="21"/>
                <w:lang w:eastAsia="zh-CN"/>
              </w:rPr>
              <w:t>扫描件</w:t>
            </w:r>
            <w:r>
              <w:rPr>
                <w:rFonts w:hint="eastAsia" w:ascii="宋体" w:hAnsi="宋体" w:cs="宋体"/>
                <w:szCs w:val="21"/>
              </w:rPr>
              <w:t>；</w:t>
            </w:r>
          </w:p>
          <w:p>
            <w:pPr>
              <w:spacing w:line="300" w:lineRule="exact"/>
              <w:ind w:firstLine="420" w:firstLineChars="200"/>
              <w:rPr>
                <w:rFonts w:ascii="宋体" w:hAnsi="宋体" w:cs="宋体"/>
                <w:szCs w:val="21"/>
              </w:rPr>
            </w:pPr>
            <w:r>
              <w:rPr>
                <w:rFonts w:hint="eastAsia" w:ascii="宋体" w:hAnsi="宋体" w:cs="宋体"/>
                <w:szCs w:val="21"/>
              </w:rPr>
              <w:t>③项目负责人的《项目负责人建造师注册证书》；</w:t>
            </w:r>
          </w:p>
          <w:p>
            <w:pPr>
              <w:spacing w:line="300" w:lineRule="exact"/>
              <w:ind w:firstLine="420" w:firstLineChars="200"/>
              <w:rPr>
                <w:rFonts w:ascii="宋体" w:hAnsi="宋体" w:cs="宋体"/>
                <w:szCs w:val="21"/>
              </w:rPr>
            </w:pPr>
            <w:r>
              <w:rPr>
                <w:rFonts w:hint="eastAsia" w:ascii="宋体" w:hAnsi="宋体" w:cs="宋体"/>
                <w:szCs w:val="21"/>
              </w:rPr>
              <w:t>如为二级建造师证书：</w:t>
            </w:r>
            <w:r>
              <w:rPr>
                <w:rFonts w:hint="eastAsia" w:ascii="宋体" w:hAnsi="宋体" w:cs="宋体"/>
                <w:b/>
                <w:szCs w:val="21"/>
              </w:rPr>
              <w:t>住房和城乡建设部同意的建设领域从业人员有关证书电子化试点的省、市或住房和城乡建设部同意开展二级建造师注册证书电子化试点的省、市，可提供从业人员的电子证书；如为一级建造师证书，按</w:t>
            </w:r>
            <w:r>
              <w:rPr>
                <w:rFonts w:hint="eastAsia" w:ascii="宋体" w:hAnsi="宋体" w:cs="宋体"/>
                <w:szCs w:val="21"/>
              </w:rPr>
              <w:t>《</w:t>
            </w:r>
            <w:r>
              <w:rPr>
                <w:rFonts w:hint="eastAsia" w:ascii="宋体" w:hAnsi="宋体" w:cs="宋体"/>
                <w:b/>
                <w:szCs w:val="21"/>
              </w:rPr>
              <w:t>住房和城乡建设部办公厅关于全面实行一级建造师电子注册证书的通知</w:t>
            </w:r>
            <w:r>
              <w:rPr>
                <w:rFonts w:hint="eastAsia" w:ascii="宋体" w:hAnsi="宋体" w:cs="宋体"/>
                <w:szCs w:val="21"/>
              </w:rPr>
              <w:t>》</w:t>
            </w:r>
            <w:r>
              <w:rPr>
                <w:rFonts w:hint="eastAsia" w:ascii="宋体" w:hAnsi="宋体" w:cs="宋体"/>
                <w:b/>
                <w:szCs w:val="21"/>
              </w:rPr>
              <w:t>建办市〔2021〕40号规定执行</w:t>
            </w:r>
            <w:r>
              <w:rPr>
                <w:rFonts w:hint="eastAsia" w:ascii="宋体" w:hAnsi="宋体" w:cs="宋体"/>
                <w:b/>
                <w:bCs/>
                <w:szCs w:val="21"/>
              </w:rPr>
              <w:t>。一级建造师电子证书打印后，应在个人签名处手写本人签名，未手写签名或与签名图像笔迹不一致的，该电子证书无效。</w:t>
            </w:r>
          </w:p>
          <w:p>
            <w:pPr>
              <w:spacing w:line="300" w:lineRule="exact"/>
              <w:ind w:firstLine="420" w:firstLineChars="200"/>
              <w:rPr>
                <w:rFonts w:ascii="宋体" w:hAnsi="宋体" w:cs="宋体"/>
                <w:szCs w:val="21"/>
              </w:rPr>
            </w:pPr>
            <w:r>
              <w:rPr>
                <w:rFonts w:hint="eastAsia" w:ascii="宋体" w:hAnsi="宋体" w:cs="宋体"/>
                <w:szCs w:val="21"/>
              </w:rPr>
              <w:t>④如投标人为浙江省省外企业的，应提供有效期内的省外企业进浙承接业务证书或在“浙江省建筑市场监管公共服务系统”已完成备案的证明材料。</w:t>
            </w:r>
          </w:p>
          <w:p>
            <w:pPr>
              <w:spacing w:line="300" w:lineRule="exact"/>
              <w:rPr>
                <w:rFonts w:ascii="宋体" w:hAnsi="宋体"/>
                <w:color w:val="000000"/>
                <w:szCs w:val="22"/>
              </w:rPr>
            </w:pPr>
            <w:r>
              <w:rPr>
                <w:rFonts w:hint="eastAsia" w:ascii="宋体" w:hAnsi="宋体" w:cs="宋体"/>
                <w:szCs w:val="21"/>
              </w:rPr>
              <w:t>2、</w:t>
            </w:r>
            <w:r>
              <w:rPr>
                <w:rFonts w:hint="eastAsia" w:ascii="宋体" w:hAnsi="宋体" w:cs="宋体"/>
                <w:szCs w:val="21"/>
                <w:lang w:val="en-US" w:eastAsia="zh-CN"/>
              </w:rPr>
              <w:t>商务技术文件</w:t>
            </w:r>
            <w:r>
              <w:rPr>
                <w:rFonts w:hint="eastAsia" w:ascii="宋体" w:hAnsi="宋体" w:cs="宋体"/>
                <w:szCs w:val="21"/>
              </w:rPr>
              <w:t>（投标人根据招标文件评标办法内容编制</w:t>
            </w:r>
            <w:r>
              <w:rPr>
                <w:rFonts w:hint="eastAsia" w:ascii="宋体" w:hAnsi="宋体"/>
                <w:color w:val="000000"/>
                <w:szCs w:val="22"/>
              </w:rPr>
              <w:t>）</w:t>
            </w:r>
          </w:p>
          <w:p>
            <w:pPr>
              <w:widowControl/>
              <w:rPr>
                <w:rFonts w:ascii="宋体" w:hAnsi="宋体"/>
                <w:color w:val="000000"/>
                <w:szCs w:val="22"/>
              </w:rPr>
            </w:pPr>
            <w:r>
              <w:rPr>
                <w:rFonts w:hint="eastAsia" w:ascii="宋体" w:hAnsi="宋体"/>
                <w:color w:val="000000"/>
                <w:szCs w:val="22"/>
              </w:rPr>
              <w:t>3、</w:t>
            </w:r>
            <w:r>
              <w:rPr>
                <w:rFonts w:hint="eastAsia" w:ascii="宋体" w:hAnsi="宋体"/>
                <w:color w:val="000000"/>
                <w:szCs w:val="22"/>
                <w:lang w:val="en-US" w:eastAsia="zh-CN"/>
              </w:rPr>
              <w:t>报价文件</w:t>
            </w:r>
            <w:r>
              <w:rPr>
                <w:rFonts w:hint="eastAsia" w:ascii="宋体" w:hAnsi="宋体"/>
                <w:color w:val="000000"/>
                <w:szCs w:val="22"/>
              </w:rPr>
              <w:t>：</w:t>
            </w:r>
          </w:p>
          <w:p>
            <w:pPr>
              <w:widowControl/>
              <w:rPr>
                <w:rFonts w:ascii="宋体" w:hAnsi="宋体"/>
                <w:color w:val="000000"/>
                <w:szCs w:val="22"/>
              </w:rPr>
            </w:pPr>
            <w:r>
              <w:rPr>
                <w:rFonts w:hint="eastAsia" w:ascii="宋体" w:hAnsi="宋体"/>
                <w:color w:val="000000"/>
                <w:szCs w:val="22"/>
              </w:rPr>
              <w:t>（1）商务标投标文件封面（格式见附件）；</w:t>
            </w:r>
          </w:p>
          <w:p>
            <w:pPr>
              <w:widowControl/>
            </w:pPr>
            <w:r>
              <w:rPr>
                <w:rFonts w:hint="eastAsia" w:ascii="宋体" w:hAnsi="宋体"/>
                <w:color w:val="000000"/>
                <w:szCs w:val="22"/>
              </w:rPr>
              <w:t>（2）投标函（格式见附件）。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88" w:type="dxa"/>
            <w:vAlign w:val="center"/>
          </w:tcPr>
          <w:p>
            <w:pPr>
              <w:jc w:val="center"/>
              <w:rPr>
                <w:rFonts w:ascii="宋体" w:hAnsi="宋体"/>
                <w:highlight w:val="none"/>
              </w:rPr>
            </w:pPr>
            <w:r>
              <w:rPr>
                <w:rFonts w:hint="eastAsia" w:ascii="宋体" w:hAnsi="宋体"/>
                <w:highlight w:val="none"/>
              </w:rPr>
              <w:t>15</w:t>
            </w:r>
          </w:p>
        </w:tc>
        <w:tc>
          <w:tcPr>
            <w:tcW w:w="1978" w:type="dxa"/>
            <w:vAlign w:val="center"/>
          </w:tcPr>
          <w:p>
            <w:pPr>
              <w:jc w:val="center"/>
              <w:rPr>
                <w:rFonts w:ascii="宋体" w:hAnsi="宋体"/>
                <w:highlight w:val="none"/>
              </w:rPr>
            </w:pPr>
            <w:r>
              <w:rPr>
                <w:rFonts w:hint="eastAsia" w:ascii="宋体" w:hAnsi="宋体"/>
                <w:highlight w:val="none"/>
              </w:rPr>
              <w:t>投标文件格式</w:t>
            </w:r>
          </w:p>
        </w:tc>
        <w:tc>
          <w:tcPr>
            <w:tcW w:w="6265" w:type="dxa"/>
            <w:vAlign w:val="center"/>
          </w:tcPr>
          <w:p>
            <w:pPr>
              <w:pStyle w:val="81"/>
              <w:ind w:firstLine="420"/>
              <w:rPr>
                <w:rFonts w:hAnsi="宋体"/>
                <w:color w:val="000000"/>
                <w:sz w:val="21"/>
                <w:szCs w:val="22"/>
                <w:highlight w:val="none"/>
              </w:rPr>
            </w:pPr>
            <w:r>
              <w:rPr>
                <w:rFonts w:hint="eastAsia" w:hAnsi="宋体"/>
                <w:color w:val="000000"/>
                <w:sz w:val="21"/>
                <w:szCs w:val="22"/>
                <w:highlight w:val="none"/>
              </w:rPr>
              <w:t>1、投标人应使用招标文件中提供的附件格式。表格如不够用时，可以按同样格式扩展。</w:t>
            </w:r>
          </w:p>
          <w:p>
            <w:pPr>
              <w:pStyle w:val="81"/>
              <w:ind w:firstLine="420"/>
              <w:rPr>
                <w:rFonts w:hint="eastAsia" w:hAnsi="宋体"/>
                <w:color w:val="000000"/>
                <w:sz w:val="21"/>
                <w:szCs w:val="22"/>
                <w:highlight w:val="none"/>
              </w:rPr>
            </w:pPr>
            <w:r>
              <w:rPr>
                <w:rFonts w:hint="eastAsia" w:hAnsi="宋体"/>
                <w:color w:val="000000"/>
                <w:sz w:val="21"/>
                <w:szCs w:val="22"/>
                <w:highlight w:val="none"/>
              </w:rPr>
              <w:t>2、投标人投标文件所用的纸张建议采用A4型纸，图表可根据需要作适当扩展。</w:t>
            </w:r>
          </w:p>
          <w:p>
            <w:pPr>
              <w:pStyle w:val="81"/>
              <w:ind w:firstLine="420"/>
              <w:rPr>
                <w:rFonts w:hint="eastAsia" w:hAnsi="宋体"/>
                <w:b/>
                <w:bCs/>
                <w:color w:val="000000"/>
                <w:sz w:val="21"/>
                <w:szCs w:val="22"/>
                <w:highlight w:val="none"/>
              </w:rPr>
            </w:pPr>
            <w:r>
              <w:rPr>
                <w:rFonts w:hint="eastAsia" w:hAnsi="宋体"/>
                <w:b/>
                <w:bCs/>
                <w:color w:val="000000"/>
                <w:sz w:val="21"/>
                <w:szCs w:val="22"/>
                <w:highlight w:val="none"/>
              </w:rPr>
              <w:t>3、商务技术文件（技术部分）编制要求：</w:t>
            </w:r>
          </w:p>
          <w:p>
            <w:pPr>
              <w:pStyle w:val="81"/>
              <w:ind w:firstLine="420"/>
              <w:rPr>
                <w:rFonts w:hint="eastAsia" w:hAnsi="宋体"/>
                <w:b/>
                <w:bCs/>
                <w:color w:val="000000"/>
                <w:sz w:val="21"/>
                <w:szCs w:val="22"/>
                <w:highlight w:val="none"/>
              </w:rPr>
            </w:pPr>
            <w:r>
              <w:rPr>
                <w:rFonts w:hint="eastAsia" w:hAnsi="宋体"/>
                <w:b/>
                <w:bCs/>
                <w:color w:val="000000"/>
                <w:sz w:val="21"/>
                <w:szCs w:val="22"/>
                <w:highlight w:val="none"/>
              </w:rPr>
              <w:t>（</w:t>
            </w:r>
            <w:r>
              <w:rPr>
                <w:rFonts w:hint="eastAsia" w:hAnsi="宋体"/>
                <w:b/>
                <w:bCs/>
                <w:color w:val="000000"/>
                <w:sz w:val="21"/>
                <w:szCs w:val="22"/>
                <w:highlight w:val="none"/>
                <w:lang w:val="en-US" w:eastAsia="zh-CN"/>
              </w:rPr>
              <w:t>1</w:t>
            </w:r>
            <w:r>
              <w:rPr>
                <w:rFonts w:hint="eastAsia" w:hAnsi="宋体"/>
                <w:b/>
                <w:bCs/>
                <w:color w:val="000000"/>
                <w:sz w:val="21"/>
                <w:szCs w:val="22"/>
                <w:highlight w:val="none"/>
              </w:rPr>
              <w:t>）商务技术文件（技术部分）总页数（封面、封底、目录除外</w:t>
            </w:r>
            <w:r>
              <w:rPr>
                <w:rFonts w:hint="eastAsia" w:hAnsi="宋体"/>
                <w:b/>
                <w:bCs/>
                <w:color w:val="000000"/>
                <w:sz w:val="21"/>
                <w:szCs w:val="22"/>
                <w:highlight w:val="none"/>
                <w:lang w:eastAsia="zh-CN"/>
              </w:rPr>
              <w:t>）</w:t>
            </w:r>
            <w:r>
              <w:rPr>
                <w:rFonts w:hint="eastAsia" w:hAnsi="宋体"/>
                <w:b/>
                <w:bCs/>
                <w:color w:val="000000"/>
                <w:sz w:val="21"/>
                <w:szCs w:val="22"/>
                <w:highlight w:val="none"/>
              </w:rPr>
              <w:t>不得超过10</w:t>
            </w:r>
            <w:r>
              <w:rPr>
                <w:rFonts w:hint="eastAsia" w:hAnsi="宋体"/>
                <w:b/>
                <w:bCs/>
                <w:color w:val="000000"/>
                <w:sz w:val="21"/>
                <w:szCs w:val="22"/>
                <w:highlight w:val="none"/>
                <w:lang w:val="en-US" w:eastAsia="zh-CN"/>
              </w:rPr>
              <w:t>页，否则按无效标处理</w:t>
            </w:r>
            <w:r>
              <w:rPr>
                <w:rFonts w:hint="eastAsia" w:hAnsi="宋体"/>
                <w:b/>
                <w:bCs/>
                <w:color w:val="000000"/>
                <w:sz w:val="21"/>
                <w:szCs w:val="22"/>
                <w:highlight w:val="none"/>
              </w:rPr>
              <w:t>；</w:t>
            </w:r>
          </w:p>
          <w:p>
            <w:pPr>
              <w:pStyle w:val="81"/>
              <w:ind w:firstLine="420"/>
              <w:rPr>
                <w:rFonts w:hint="eastAsia" w:hAnsi="宋体"/>
                <w:b/>
                <w:bCs/>
                <w:color w:val="000000"/>
                <w:sz w:val="21"/>
                <w:szCs w:val="22"/>
                <w:highlight w:val="none"/>
              </w:rPr>
            </w:pPr>
            <w:r>
              <w:rPr>
                <w:rFonts w:hint="eastAsia" w:hAnsi="宋体"/>
                <w:b/>
                <w:bCs/>
                <w:color w:val="000000"/>
                <w:sz w:val="21"/>
                <w:szCs w:val="22"/>
                <w:highlight w:val="none"/>
              </w:rPr>
              <w:t>（</w:t>
            </w:r>
            <w:r>
              <w:rPr>
                <w:rFonts w:hint="eastAsia" w:hAnsi="宋体"/>
                <w:b/>
                <w:bCs/>
                <w:color w:val="000000"/>
                <w:sz w:val="21"/>
                <w:szCs w:val="22"/>
                <w:highlight w:val="none"/>
                <w:lang w:val="en-US" w:eastAsia="zh-CN"/>
              </w:rPr>
              <w:t>2</w:t>
            </w:r>
            <w:r>
              <w:rPr>
                <w:rFonts w:hint="eastAsia" w:hAnsi="宋体"/>
                <w:b/>
                <w:bCs/>
                <w:color w:val="000000"/>
                <w:sz w:val="21"/>
                <w:szCs w:val="22"/>
                <w:highlight w:val="none"/>
              </w:rPr>
              <w:t>）建议商务技术文件（技术部分）字体为四号宋体，行距1.5倍。</w:t>
            </w:r>
          </w:p>
          <w:p>
            <w:pPr>
              <w:pStyle w:val="81"/>
              <w:ind w:firstLine="420"/>
              <w:rPr>
                <w:rFonts w:hint="eastAsia" w:hAnsi="宋体" w:eastAsia="宋体"/>
                <w:b/>
                <w:bCs/>
                <w:color w:val="000000"/>
                <w:sz w:val="21"/>
                <w:szCs w:val="22"/>
                <w:highlight w:val="none"/>
                <w:lang w:val="en-US" w:eastAsia="zh-CN"/>
              </w:rPr>
            </w:pPr>
            <w:r>
              <w:rPr>
                <w:rFonts w:hint="eastAsia" w:hAnsi="宋体"/>
                <w:b/>
                <w:bCs/>
                <w:color w:val="000000"/>
                <w:sz w:val="21"/>
                <w:szCs w:val="22"/>
                <w:highlight w:val="none"/>
              </w:rPr>
              <w:t>（</w:t>
            </w:r>
            <w:r>
              <w:rPr>
                <w:rFonts w:hint="eastAsia" w:hAnsi="宋体"/>
                <w:b/>
                <w:bCs/>
                <w:color w:val="000000"/>
                <w:sz w:val="21"/>
                <w:szCs w:val="22"/>
                <w:highlight w:val="none"/>
                <w:lang w:val="en-US" w:eastAsia="zh-CN"/>
              </w:rPr>
              <w:t>3</w:t>
            </w:r>
            <w:r>
              <w:rPr>
                <w:rFonts w:hint="eastAsia" w:hAnsi="宋体"/>
                <w:b/>
                <w:bCs/>
                <w:color w:val="000000"/>
                <w:sz w:val="21"/>
                <w:szCs w:val="22"/>
                <w:highlight w:val="none"/>
              </w:rPr>
              <w:t>）</w:t>
            </w:r>
            <w:r>
              <w:rPr>
                <w:rFonts w:hint="eastAsia" w:hAnsi="宋体"/>
                <w:b/>
                <w:bCs/>
                <w:color w:val="000000"/>
                <w:sz w:val="21"/>
                <w:szCs w:val="22"/>
                <w:highlight w:val="none"/>
                <w:lang w:val="en-US" w:eastAsia="zh-CN"/>
              </w:rPr>
              <w:t>建议</w:t>
            </w:r>
            <w:r>
              <w:rPr>
                <w:rFonts w:hint="eastAsia" w:hAnsi="宋体"/>
                <w:b/>
                <w:bCs/>
                <w:color w:val="000000"/>
                <w:sz w:val="21"/>
                <w:szCs w:val="22"/>
                <w:highlight w:val="none"/>
              </w:rPr>
              <w:t>采用A4幅面</w:t>
            </w:r>
            <w:r>
              <w:rPr>
                <w:rFonts w:hint="eastAsia" w:hAnsi="宋体"/>
                <w:b/>
                <w:bCs/>
                <w:color w:val="000000"/>
                <w:sz w:val="21"/>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ascii="宋体" w:hAnsi="宋体"/>
              </w:rPr>
            </w:pPr>
            <w:r>
              <w:rPr>
                <w:rFonts w:hint="eastAsia" w:ascii="宋体" w:hAnsi="宋体"/>
              </w:rPr>
              <w:t>16</w:t>
            </w:r>
          </w:p>
        </w:tc>
        <w:tc>
          <w:tcPr>
            <w:tcW w:w="1978" w:type="dxa"/>
            <w:vAlign w:val="center"/>
          </w:tcPr>
          <w:p>
            <w:pPr>
              <w:jc w:val="center"/>
              <w:rPr>
                <w:rFonts w:ascii="宋体" w:hAnsi="宋体"/>
              </w:rPr>
            </w:pPr>
            <w:r>
              <w:rPr>
                <w:rFonts w:hint="eastAsia" w:ascii="宋体" w:hAnsi="宋体"/>
              </w:rPr>
              <w:t>报价方式</w:t>
            </w:r>
          </w:p>
        </w:tc>
        <w:tc>
          <w:tcPr>
            <w:tcW w:w="6265" w:type="dxa"/>
            <w:vAlign w:val="center"/>
          </w:tcPr>
          <w:p>
            <w:pPr>
              <w:rPr>
                <w:rFonts w:ascii="宋体" w:hAnsi="宋体"/>
              </w:rPr>
            </w:pPr>
            <w:r>
              <w:rPr>
                <w:rFonts w:hint="eastAsia" w:ascii="宋体" w:hAnsi="宋体"/>
              </w:rPr>
              <w:t>总价结算率法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88" w:type="dxa"/>
            <w:vAlign w:val="center"/>
          </w:tcPr>
          <w:p>
            <w:pPr>
              <w:jc w:val="center"/>
              <w:rPr>
                <w:rFonts w:ascii="宋体" w:hAnsi="宋体"/>
              </w:rPr>
            </w:pPr>
            <w:r>
              <w:rPr>
                <w:rFonts w:hint="eastAsia" w:ascii="宋体" w:hAnsi="宋体"/>
              </w:rPr>
              <w:t>17</w:t>
            </w:r>
          </w:p>
        </w:tc>
        <w:tc>
          <w:tcPr>
            <w:tcW w:w="1978" w:type="dxa"/>
            <w:vAlign w:val="center"/>
          </w:tcPr>
          <w:p>
            <w:pPr>
              <w:jc w:val="center"/>
              <w:rPr>
                <w:rFonts w:ascii="宋体" w:hAnsi="宋体"/>
              </w:rPr>
            </w:pPr>
            <w:r>
              <w:rPr>
                <w:rFonts w:hint="eastAsia" w:ascii="宋体" w:hAnsi="宋体"/>
              </w:rPr>
              <w:t>投标保证金要求</w:t>
            </w:r>
          </w:p>
        </w:tc>
        <w:tc>
          <w:tcPr>
            <w:tcW w:w="62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eastAsia" w:ascii="宋体" w:hAnsi="宋体" w:cs="宋体"/>
                <w:kern w:val="0"/>
                <w:sz w:val="21"/>
                <w:szCs w:val="21"/>
              </w:rPr>
            </w:pPr>
            <w:r>
              <w:rPr>
                <w:rFonts w:hint="eastAsia" w:ascii="宋体" w:hAnsi="宋体" w:cs="宋体"/>
                <w:kern w:val="0"/>
                <w:sz w:val="21"/>
                <w:szCs w:val="21"/>
                <w:lang w:val="en-US" w:eastAsia="zh-CN"/>
              </w:rPr>
              <w:t>1、</w:t>
            </w:r>
            <w:r>
              <w:rPr>
                <w:rFonts w:hint="eastAsia" w:ascii="宋体" w:hAnsi="宋体" w:cs="宋体"/>
                <w:kern w:val="0"/>
                <w:sz w:val="21"/>
                <w:szCs w:val="21"/>
              </w:rPr>
              <w:t>担保金额：</w:t>
            </w:r>
            <w:r>
              <w:rPr>
                <w:rFonts w:hint="eastAsia" w:ascii="宋体" w:hAnsi="宋体" w:cs="宋体"/>
                <w:kern w:val="0"/>
                <w:sz w:val="21"/>
                <w:szCs w:val="21"/>
                <w:u w:val="single"/>
                <w:lang w:eastAsia="zh-CN"/>
              </w:rPr>
              <w:t>柒</w:t>
            </w:r>
            <w:r>
              <w:rPr>
                <w:rFonts w:hint="eastAsia" w:ascii="宋体" w:hAnsi="宋体" w:cs="宋体"/>
                <w:kern w:val="0"/>
                <w:sz w:val="21"/>
                <w:szCs w:val="21"/>
                <w:u w:val="single"/>
              </w:rPr>
              <w:t>万</w:t>
            </w:r>
            <w:r>
              <w:rPr>
                <w:rFonts w:hint="eastAsia" w:ascii="宋体" w:hAnsi="宋体" w:cs="宋体"/>
                <w:kern w:val="0"/>
                <w:sz w:val="21"/>
                <w:szCs w:val="21"/>
              </w:rPr>
              <w:t>元</w:t>
            </w:r>
          </w:p>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ascii="宋体" w:hAnsi="宋体" w:cs="宋体"/>
                <w:kern w:val="0"/>
                <w:sz w:val="21"/>
                <w:szCs w:val="21"/>
              </w:rPr>
            </w:pPr>
            <w:r>
              <w:rPr>
                <w:rFonts w:hint="eastAsia" w:ascii="宋体" w:hAnsi="宋体" w:cs="宋体"/>
                <w:kern w:val="0"/>
                <w:sz w:val="21"/>
                <w:szCs w:val="21"/>
                <w:lang w:val="en-US" w:eastAsia="zh-CN"/>
              </w:rPr>
              <w:t>2、</w:t>
            </w:r>
            <w:r>
              <w:rPr>
                <w:rFonts w:hint="eastAsia" w:ascii="宋体" w:hAnsi="宋体" w:cs="宋体"/>
                <w:kern w:val="0"/>
                <w:sz w:val="21"/>
                <w:szCs w:val="21"/>
              </w:rPr>
              <w:t>担保形式：转账、电汇、银行汇票、银行保函、保险机构保证保险保单、融资担保公司保函。</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（1）转账、电汇、银行汇票：</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投标保证金应在投标截止时间前以投标人名义转至浙江信达工程咨询有限公司账户</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户名：浙江信达工程咨询有限公司</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开户银行：台州银行临海崇和支行</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ascii="宋体" w:hAnsi="宋体" w:cs="宋体"/>
                <w:kern w:val="0"/>
                <w:sz w:val="21"/>
                <w:szCs w:val="21"/>
              </w:rPr>
            </w:pPr>
            <w:r>
              <w:rPr>
                <w:rFonts w:hint="eastAsia" w:ascii="宋体" w:hAnsi="宋体" w:cs="宋体"/>
                <w:kern w:val="0"/>
                <w:sz w:val="21"/>
                <w:szCs w:val="21"/>
              </w:rPr>
              <w:t>账号：510022683800020</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（2）银行保函、保险机构保证保险保单、融资担保公司保函（以下合称“工程保函”）须在投标截止时间前提交；</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①工程保函受益人：</w:t>
            </w:r>
            <w:r>
              <w:rPr>
                <w:rFonts w:hint="eastAsia" w:ascii="宋体" w:hAnsi="宋体" w:cs="宋体"/>
                <w:kern w:val="0"/>
                <w:sz w:val="21"/>
                <w:szCs w:val="21"/>
                <w:u w:val="single"/>
              </w:rPr>
              <w:t>台州市椒江城市发展投资集团有限公司</w:t>
            </w:r>
            <w:r>
              <w:rPr>
                <w:rFonts w:hint="eastAsia" w:ascii="宋体" w:hAnsi="宋体" w:cs="宋体"/>
                <w:kern w:val="0"/>
                <w:sz w:val="21"/>
                <w:szCs w:val="21"/>
              </w:rPr>
              <w:t>（招标人名称）；</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②工程保函的有效期为1年（工程保函有效期起始时间最早为招标公告发布之日，最迟为投标截止日）；</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③递交方式：</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1、递交方式一（电子保函系统）：</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投标人可优先以电子保函方式缴纳。投标人以电子保函形式缴纳投标保证金的，可登录【浙江政府采购网】-【金融服务模块】或直接登录【乐采云】平台在顶部导航栏选择【金融支撑】模块进行业务办理：</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直达链接：https://jinrong.lecaiyun.com/luban/home</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金融服务支撑热线：400-903-9583</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注：电子保单生效时间为投保第二天 00:00，各投标人至少须在投标截止时间1天前申购电子保函；付款后请确认已收到出单提醒短信，或者在系统中查看保单状态为“已出单”，因未确认保函出单情况导致递交投标保证金失败的，所有后果由投标人自行承担。</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2、递交方式二（非电子保函系统）：</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投标人须在投标截止时间前一日（上午8:30-11:30，下午14:30-17:00（北京时间））将工程保函纸质原件、基本账户证明材料复印件（加盖公章）、保费支付的银行回单一并按要求递交。</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递交地点：</w:t>
            </w:r>
            <w:r>
              <w:rPr>
                <w:rFonts w:hint="eastAsia" w:ascii="宋体" w:hAnsi="宋体" w:cs="宋体"/>
                <w:kern w:val="0"/>
                <w:sz w:val="21"/>
                <w:szCs w:val="21"/>
                <w:u w:val="single"/>
              </w:rPr>
              <w:t>台州市椒江区纬一路88号塘岸村综合楼2幢6楼信达咨询</w:t>
            </w:r>
            <w:r>
              <w:rPr>
                <w:rFonts w:hint="eastAsia" w:ascii="宋体" w:hAnsi="宋体" w:cs="宋体"/>
                <w:kern w:val="0"/>
                <w:sz w:val="21"/>
                <w:szCs w:val="21"/>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接收人：</w:t>
            </w:r>
            <w:r>
              <w:rPr>
                <w:rFonts w:hint="eastAsia" w:ascii="宋体" w:hAnsi="宋体" w:cs="宋体"/>
                <w:kern w:val="0"/>
                <w:sz w:val="21"/>
                <w:szCs w:val="21"/>
                <w:u w:val="single"/>
              </w:rPr>
              <w:t>浙江信达工程咨询有限公司</w:t>
            </w:r>
            <w:r>
              <w:rPr>
                <w:rFonts w:hint="eastAsia" w:ascii="宋体" w:hAnsi="宋体" w:cs="宋体"/>
                <w:kern w:val="0"/>
                <w:sz w:val="21"/>
                <w:szCs w:val="21"/>
              </w:rPr>
              <w:t xml:space="preserve">（代理机构）； </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rPr>
              <w:t>接收人联系方式：</w:t>
            </w:r>
            <w:r>
              <w:rPr>
                <w:rFonts w:hint="eastAsia" w:ascii="宋体" w:hAnsi="宋体" w:cs="宋体"/>
                <w:kern w:val="0"/>
                <w:sz w:val="21"/>
                <w:szCs w:val="21"/>
                <w:u w:val="single"/>
              </w:rPr>
              <w:t>18806763588</w:t>
            </w:r>
            <w:r>
              <w:rPr>
                <w:rFonts w:hint="eastAsia" w:ascii="宋体" w:hAnsi="宋体" w:cs="宋体"/>
                <w:kern w:val="0"/>
                <w:sz w:val="21"/>
                <w:szCs w:val="21"/>
              </w:rPr>
              <w:t>（代理机构联系方式）；</w:t>
            </w:r>
          </w:p>
          <w:p>
            <w:pPr>
              <w:keepNext w:val="0"/>
              <w:keepLines w:val="0"/>
              <w:pageBreakBefore w:val="0"/>
              <w:widowControl w:val="0"/>
              <w:kinsoku/>
              <w:wordWrap/>
              <w:overflowPunct/>
              <w:topLinePunct w:val="0"/>
              <w:bidi w:val="0"/>
              <w:adjustRightInd/>
              <w:snapToGrid/>
              <w:spacing w:line="240" w:lineRule="auto"/>
              <w:textAlignment w:val="auto"/>
              <w:rPr>
                <w:rFonts w:ascii="宋体" w:hAnsi="宋体"/>
              </w:rPr>
            </w:pPr>
            <w:r>
              <w:rPr>
                <w:rFonts w:hint="eastAsia" w:ascii="宋体" w:hAnsi="宋体" w:cs="宋体"/>
                <w:kern w:val="0"/>
                <w:sz w:val="21"/>
                <w:szCs w:val="21"/>
              </w:rPr>
              <w:t>注：投标保函文件中必须包含投标企业的信息，包含但不限于投标企业名称、保证方式、保证金额、保函获得时间、保证项目名称、保函有效期限、保费标准、费用支付账户（基本账户）等。保费应一函一付，通过企业基本账户支付。工程保函的保险（保证）责任必须包括本招标文件“投标人须知</w:t>
            </w:r>
            <w:r>
              <w:rPr>
                <w:rFonts w:hint="eastAsia" w:ascii="宋体" w:hAnsi="宋体" w:cs="宋体"/>
                <w:kern w:val="0"/>
                <w:sz w:val="21"/>
                <w:szCs w:val="21"/>
                <w:lang w:val="en-US" w:eastAsia="zh-CN"/>
              </w:rPr>
              <w:t>15.4</w:t>
            </w:r>
            <w:r>
              <w:rPr>
                <w:rFonts w:hint="eastAsia" w:ascii="宋体" w:hAnsi="宋体" w:cs="宋体"/>
                <w:kern w:val="0"/>
                <w:sz w:val="21"/>
                <w:szCs w:val="21"/>
              </w:rPr>
              <w:t>”所列条款。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ascii="宋体" w:hAnsi="宋体"/>
              </w:rPr>
            </w:pPr>
            <w:r>
              <w:rPr>
                <w:rFonts w:hint="eastAsia" w:ascii="宋体" w:hAnsi="宋体"/>
              </w:rPr>
              <w:t>18</w:t>
            </w:r>
          </w:p>
        </w:tc>
        <w:tc>
          <w:tcPr>
            <w:tcW w:w="1978" w:type="dxa"/>
            <w:vAlign w:val="center"/>
          </w:tcPr>
          <w:p>
            <w:pPr>
              <w:jc w:val="center"/>
              <w:rPr>
                <w:rFonts w:ascii="宋体" w:hAnsi="宋体"/>
              </w:rPr>
            </w:pPr>
            <w:r>
              <w:rPr>
                <w:rFonts w:hint="eastAsia" w:ascii="宋体" w:hAnsi="宋体"/>
              </w:rPr>
              <w:t>投标有效期</w:t>
            </w:r>
          </w:p>
        </w:tc>
        <w:tc>
          <w:tcPr>
            <w:tcW w:w="6265" w:type="dxa"/>
            <w:vAlign w:val="center"/>
          </w:tcPr>
          <w:p>
            <w:pPr>
              <w:rPr>
                <w:b/>
                <w:szCs w:val="21"/>
              </w:rPr>
            </w:pPr>
            <w:r>
              <w:rPr>
                <w:rFonts w:hint="eastAsia" w:ascii="宋体" w:hAnsi="宋体"/>
              </w:rPr>
              <w:t>60日历天（自投标截止日起计算）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hint="default" w:ascii="宋体" w:hAnsi="宋体" w:eastAsia="宋体"/>
                <w:lang w:val="en-US" w:eastAsia="zh-CN"/>
              </w:rPr>
            </w:pPr>
            <w:r>
              <w:rPr>
                <w:rFonts w:hint="eastAsia" w:ascii="宋体" w:hAnsi="宋体"/>
                <w:lang w:val="en-US" w:eastAsia="zh-CN"/>
              </w:rPr>
              <w:t>19</w:t>
            </w:r>
          </w:p>
        </w:tc>
        <w:tc>
          <w:tcPr>
            <w:tcW w:w="1978" w:type="dxa"/>
            <w:vAlign w:val="center"/>
          </w:tcPr>
          <w:p>
            <w:pPr>
              <w:jc w:val="center"/>
              <w:rPr>
                <w:rFonts w:ascii="宋体" w:hAnsi="宋体"/>
              </w:rPr>
            </w:pPr>
            <w:r>
              <w:rPr>
                <w:rFonts w:hint="eastAsia" w:ascii="宋体" w:hAnsi="宋体"/>
              </w:rPr>
              <w:t>投标文件提交地点与开标地点</w:t>
            </w:r>
          </w:p>
        </w:tc>
        <w:tc>
          <w:tcPr>
            <w:tcW w:w="6265" w:type="dxa"/>
            <w:vAlign w:val="center"/>
          </w:tcPr>
          <w:p>
            <w:pPr>
              <w:jc w:val="left"/>
              <w:rPr>
                <w:rFonts w:hint="eastAsia" w:ascii="宋体" w:hAnsi="宋体" w:eastAsia="宋体"/>
                <w:lang w:eastAsia="zh-CN"/>
              </w:rPr>
            </w:pPr>
            <w:r>
              <w:rPr>
                <w:rFonts w:hint="eastAsia"/>
                <w:i w:val="0"/>
                <w:iCs w:val="0"/>
                <w:color w:val="auto"/>
                <w:highlight w:val="none"/>
              </w:rPr>
              <w:t>乐采云平台（https://www.lecaiyun.com/）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hint="default" w:ascii="宋体" w:hAnsi="宋体" w:eastAsia="宋体"/>
                <w:lang w:val="en-US" w:eastAsia="zh-CN"/>
              </w:rPr>
            </w:pPr>
            <w:r>
              <w:rPr>
                <w:rFonts w:hint="eastAsia" w:ascii="宋体" w:hAnsi="宋体"/>
                <w:lang w:val="en-US" w:eastAsia="zh-CN"/>
              </w:rPr>
              <w:t>20</w:t>
            </w:r>
          </w:p>
        </w:tc>
        <w:tc>
          <w:tcPr>
            <w:tcW w:w="1978" w:type="dxa"/>
            <w:vAlign w:val="center"/>
          </w:tcPr>
          <w:p>
            <w:pPr>
              <w:jc w:val="center"/>
              <w:rPr>
                <w:rFonts w:ascii="宋体" w:hAnsi="宋体"/>
                <w:szCs w:val="22"/>
              </w:rPr>
            </w:pPr>
            <w:r>
              <w:rPr>
                <w:rFonts w:hint="eastAsia" w:ascii="宋体" w:hAnsi="宋体"/>
                <w:szCs w:val="22"/>
              </w:rPr>
              <w:t>投标文件提交截止时间与开标时间</w:t>
            </w:r>
          </w:p>
        </w:tc>
        <w:tc>
          <w:tcPr>
            <w:tcW w:w="6265" w:type="dxa"/>
            <w:vAlign w:val="center"/>
          </w:tcPr>
          <w:p>
            <w:pPr>
              <w:jc w:val="left"/>
              <w:rPr>
                <w:rFonts w:ascii="宋体" w:hAnsi="宋体"/>
                <w:szCs w:val="22"/>
              </w:rPr>
            </w:pPr>
            <w:r>
              <w:rPr>
                <w:rFonts w:hint="eastAsia" w:ascii="宋体" w:hAnsi="宋体"/>
                <w:szCs w:val="22"/>
              </w:rPr>
              <w:t>详见本工程招标公告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hint="default" w:ascii="宋体" w:hAnsi="宋体" w:eastAsia="宋体"/>
                <w:lang w:val="en-US" w:eastAsia="zh-CN"/>
              </w:rPr>
            </w:pPr>
            <w:r>
              <w:rPr>
                <w:rFonts w:hint="eastAsia" w:ascii="宋体" w:hAnsi="宋体"/>
                <w:lang w:val="en-US" w:eastAsia="zh-CN"/>
              </w:rPr>
              <w:t>21</w:t>
            </w:r>
          </w:p>
        </w:tc>
        <w:tc>
          <w:tcPr>
            <w:tcW w:w="1978" w:type="dxa"/>
            <w:vAlign w:val="center"/>
          </w:tcPr>
          <w:p>
            <w:pPr>
              <w:jc w:val="center"/>
              <w:rPr>
                <w:rFonts w:ascii="宋体" w:hAnsi="宋体"/>
                <w:highlight w:val="yellow"/>
              </w:rPr>
            </w:pPr>
            <w:r>
              <w:rPr>
                <w:rFonts w:hint="eastAsia" w:ascii="宋体" w:hAnsi="宋体" w:cs="宋体"/>
                <w:i w:val="0"/>
                <w:iCs w:val="0"/>
                <w:color w:val="auto"/>
                <w:szCs w:val="21"/>
                <w:highlight w:val="none"/>
              </w:rPr>
              <w:t>投标文件的上传和递交</w:t>
            </w:r>
          </w:p>
        </w:tc>
        <w:tc>
          <w:tcPr>
            <w:tcW w:w="6265" w:type="dxa"/>
            <w:vAlign w:val="center"/>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cs="宋体"/>
                <w:i w:val="0"/>
                <w:iCs w:val="0"/>
                <w:color w:val="auto"/>
                <w:szCs w:val="21"/>
                <w:highlight w:val="none"/>
              </w:rPr>
            </w:pPr>
            <w:r>
              <w:rPr>
                <w:rFonts w:hint="eastAsia" w:ascii="宋体" w:hAnsi="宋体" w:cs="宋体"/>
                <w:i w:val="0"/>
                <w:iCs w:val="0"/>
                <w:color w:val="auto"/>
                <w:szCs w:val="21"/>
                <w:highlight w:val="none"/>
              </w:rPr>
              <w:t>电子投标文件通过投标工具生成加密。</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宋体" w:hAnsi="宋体" w:cs="宋体"/>
                <w:i w:val="0"/>
                <w:iCs w:val="0"/>
                <w:color w:val="auto"/>
                <w:szCs w:val="21"/>
                <w:highlight w:val="none"/>
              </w:rPr>
            </w:pPr>
            <w:r>
              <w:rPr>
                <w:rFonts w:hint="eastAsia" w:ascii="宋体" w:hAnsi="宋体" w:cs="宋体"/>
                <w:i w:val="0"/>
                <w:iCs w:val="0"/>
                <w:color w:val="auto"/>
                <w:szCs w:val="21"/>
                <w:highlight w:val="none"/>
              </w:rPr>
              <w:t>本项目的投标文件必须使用投标工具软件编制。投标文件的编制和递交，应依照招标文件的规定进行。如未按招标文件要求编制、递交电子投标文件，将可能导致废标，其后果由投标人自负。投标工具的开发商可根据投标人的要求，提供必要的培训和技术指导。</w:t>
            </w:r>
          </w:p>
          <w:p>
            <w:pPr>
              <w:pStyle w:val="146"/>
              <w:keepNext w:val="0"/>
              <w:keepLines w:val="0"/>
              <w:pageBreakBefore w:val="0"/>
              <w:widowControl w:val="0"/>
              <w:kinsoku/>
              <w:wordWrap w:val="0"/>
              <w:overflowPunct/>
              <w:topLinePunct w:val="0"/>
              <w:autoSpaceDE/>
              <w:autoSpaceDN/>
              <w:bidi w:val="0"/>
              <w:adjustRightInd/>
              <w:snapToGrid/>
              <w:spacing w:line="240" w:lineRule="auto"/>
              <w:textAlignment w:val="auto"/>
              <w:rPr>
                <w:rFonts w:ascii="宋体" w:hAnsi="宋体"/>
                <w:highlight w:val="yellow"/>
              </w:rPr>
            </w:pPr>
            <w:r>
              <w:rPr>
                <w:rFonts w:hint="eastAsia" w:ascii="宋体" w:hAnsi="宋体" w:eastAsia="宋体" w:cs="宋体"/>
                <w:i w:val="0"/>
                <w:iCs w:val="0"/>
                <w:color w:val="auto"/>
                <w:kern w:val="0"/>
                <w:sz w:val="21"/>
                <w:szCs w:val="21"/>
                <w:highlight w:val="none"/>
              </w:rPr>
              <w:t>具体流程详见【浙江省】供应商-政府采购项目电子交易操作指南网址：</w:t>
            </w:r>
            <w:r>
              <w:rPr>
                <w:rFonts w:hint="eastAsia" w:ascii="宋体" w:hAnsi="宋体" w:eastAsia="宋体" w:cs="宋体"/>
                <w:i w:val="0"/>
                <w:iCs w:val="0"/>
                <w:color w:val="auto"/>
                <w:sz w:val="21"/>
                <w:szCs w:val="21"/>
                <w:highlight w:val="none"/>
              </w:rPr>
              <w:fldChar w:fldCharType="begin"/>
            </w:r>
            <w:r>
              <w:rPr>
                <w:rFonts w:hint="eastAsia" w:ascii="宋体" w:hAnsi="宋体" w:eastAsia="宋体" w:cs="宋体"/>
                <w:i w:val="0"/>
                <w:iCs w:val="0"/>
                <w:color w:val="auto"/>
                <w:sz w:val="21"/>
                <w:szCs w:val="21"/>
                <w:highlight w:val="none"/>
              </w:rPr>
              <w:instrText xml:space="preserve"> HYPERLINK "https://service.zcygov.cn/" \l "/knowledges/CW1EtGwBFdiHxlNd6I3m/6IMVAG0BFdiHxlNdQ8Na" </w:instrText>
            </w:r>
            <w:r>
              <w:rPr>
                <w:rFonts w:hint="eastAsia" w:ascii="宋体" w:hAnsi="宋体" w:eastAsia="宋体" w:cs="宋体"/>
                <w:i w:val="0"/>
                <w:iCs w:val="0"/>
                <w:color w:val="auto"/>
                <w:sz w:val="21"/>
                <w:szCs w:val="21"/>
                <w:highlight w:val="none"/>
              </w:rPr>
              <w:fldChar w:fldCharType="separate"/>
            </w:r>
            <w:r>
              <w:rPr>
                <w:rFonts w:hint="eastAsia" w:ascii="宋体" w:hAnsi="宋体" w:eastAsia="宋体" w:cs="宋体"/>
                <w:i w:val="0"/>
                <w:iCs w:val="0"/>
                <w:color w:val="auto"/>
                <w:kern w:val="0"/>
                <w:sz w:val="21"/>
                <w:szCs w:val="21"/>
                <w:highlight w:val="none"/>
              </w:rPr>
              <w:t>https://service.zcygov.cn/#/knowledges/CW1EtGwBFdiHxlNd6I3m/6IMVAG0BFdiHxlNdQ8Na</w:t>
            </w:r>
            <w:r>
              <w:rPr>
                <w:rFonts w:hint="eastAsia" w:ascii="宋体" w:hAnsi="宋体" w:eastAsia="宋体" w:cs="宋体"/>
                <w:i w:val="0"/>
                <w:iCs w:val="0"/>
                <w:color w:val="auto"/>
                <w:kern w:val="0"/>
                <w:sz w:val="2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hint="default" w:ascii="宋体" w:hAnsi="宋体" w:eastAsia="宋体"/>
                <w:lang w:val="en-US" w:eastAsia="zh-CN"/>
              </w:rPr>
            </w:pPr>
            <w:r>
              <w:rPr>
                <w:rFonts w:hint="eastAsia" w:ascii="宋体" w:hAnsi="宋体"/>
                <w:lang w:val="en-US" w:eastAsia="zh-CN"/>
              </w:rPr>
              <w:t>22</w:t>
            </w:r>
          </w:p>
        </w:tc>
        <w:tc>
          <w:tcPr>
            <w:tcW w:w="1978" w:type="dxa"/>
            <w:vAlign w:val="center"/>
          </w:tcPr>
          <w:p>
            <w:pPr>
              <w:jc w:val="center"/>
              <w:rPr>
                <w:rFonts w:ascii="宋体" w:hAnsi="宋体"/>
                <w:highlight w:val="none"/>
              </w:rPr>
            </w:pPr>
            <w:r>
              <w:rPr>
                <w:rFonts w:hint="eastAsia" w:ascii="宋体" w:hAnsi="宋体"/>
                <w:highlight w:val="none"/>
              </w:rPr>
              <w:t>开标顺序</w:t>
            </w:r>
          </w:p>
        </w:tc>
        <w:tc>
          <w:tcPr>
            <w:tcW w:w="6265" w:type="dxa"/>
            <w:vAlign w:val="center"/>
          </w:tcPr>
          <w:p>
            <w:pPr>
              <w:rPr>
                <w:rFonts w:hint="eastAsia"/>
                <w:highlight w:val="none"/>
              </w:rPr>
            </w:pPr>
            <w:r>
              <w:rPr>
                <w:rFonts w:hint="eastAsia"/>
                <w:highlight w:val="none"/>
              </w:rPr>
              <w:t>本项目先开资格证明文件，待资格证明文件宣布结果后，再开商务技术文件，结果宣布后再开报价文件。</w:t>
            </w:r>
          </w:p>
          <w:p>
            <w:pPr>
              <w:rPr>
                <w:rFonts w:hint="eastAsia"/>
                <w:highlight w:val="none"/>
              </w:rPr>
            </w:pPr>
            <w:r>
              <w:rPr>
                <w:rFonts w:hint="eastAsia"/>
                <w:highlight w:val="none"/>
              </w:rPr>
              <w:t>1、开标会由招标项目负责人主持，主持人宣布开标会议开始；</w:t>
            </w:r>
          </w:p>
          <w:p>
            <w:pPr>
              <w:rPr>
                <w:rFonts w:hint="eastAsia"/>
                <w:highlight w:val="none"/>
              </w:rPr>
            </w:pPr>
            <w:r>
              <w:rPr>
                <w:rFonts w:hint="eastAsia"/>
                <w:highlight w:val="none"/>
              </w:rPr>
              <w:t>2、主持人介绍参加开标会的人员名单；</w:t>
            </w:r>
          </w:p>
          <w:p>
            <w:pPr>
              <w:rPr>
                <w:rFonts w:hint="eastAsia"/>
                <w:highlight w:val="none"/>
              </w:rPr>
            </w:pPr>
            <w:r>
              <w:rPr>
                <w:rFonts w:hint="eastAsia"/>
                <w:highlight w:val="none"/>
              </w:rPr>
              <w:t>3、主持人宣布评标期间的有关事项，告知应当回避的情形，提请有关人员回避；对投标人进行签到验证。</w:t>
            </w:r>
          </w:p>
          <w:p>
            <w:pPr>
              <w:rPr>
                <w:rFonts w:hint="eastAsia"/>
                <w:highlight w:val="none"/>
              </w:rPr>
            </w:pPr>
            <w:r>
              <w:rPr>
                <w:rFonts w:hint="eastAsia"/>
                <w:highlight w:val="none"/>
              </w:rPr>
              <w:t>4、向各投标人发出电子加密投标文件【开始解密】通知，由投标人</w:t>
            </w:r>
            <w:r>
              <w:rPr>
                <w:rFonts w:hint="eastAsia"/>
                <w:highlight w:val="none"/>
                <w:lang w:val="en-US" w:eastAsia="zh-CN"/>
              </w:rPr>
              <w:t>在</w:t>
            </w:r>
            <w:r>
              <w:rPr>
                <w:rFonts w:hint="eastAsia"/>
                <w:b/>
                <w:bCs/>
                <w:highlight w:val="none"/>
              </w:rPr>
              <w:t>30分钟内</w:t>
            </w:r>
            <w:r>
              <w:rPr>
                <w:rFonts w:hint="eastAsia"/>
                <w:highlight w:val="none"/>
              </w:rPr>
              <w:t>自行进行投标文件解密。投标文件的制作和解密应使用同一个数字证书，否则将可能解密失败。</w:t>
            </w:r>
          </w:p>
          <w:p>
            <w:pPr>
              <w:rPr>
                <w:rFonts w:hint="eastAsia"/>
                <w:highlight w:val="none"/>
              </w:rPr>
            </w:pPr>
            <w:r>
              <w:rPr>
                <w:rFonts w:hint="eastAsia"/>
                <w:highlight w:val="none"/>
              </w:rPr>
              <w:t>5、招标组织机构点击【开启标书信息】，开启标书成功后进入开标流程。</w:t>
            </w:r>
          </w:p>
          <w:p>
            <w:pPr>
              <w:rPr>
                <w:rFonts w:hint="eastAsia"/>
                <w:highlight w:val="none"/>
              </w:rPr>
            </w:pPr>
            <w:r>
              <w:rPr>
                <w:rFonts w:hint="eastAsia"/>
                <w:highlight w:val="none"/>
              </w:rPr>
              <w:t>6、评标委员会根据招标文件规定的评标程序进行评审；</w:t>
            </w:r>
          </w:p>
          <w:p>
            <w:pPr>
              <w:rPr>
                <w:rFonts w:hint="eastAsia"/>
                <w:highlight w:val="none"/>
              </w:rPr>
            </w:pPr>
            <w:r>
              <w:rPr>
                <w:rFonts w:hint="eastAsia"/>
                <w:highlight w:val="none"/>
              </w:rPr>
              <w:t>7、参数抽取：参数抽取由招标代理负责组织，招标人代表负责现场抽取，并进行视频直播。（各投标人的委托代理人或法定代表人须关注视频会议的直播情况，开评标期间保持电话及网络畅通）</w:t>
            </w:r>
          </w:p>
          <w:p>
            <w:pPr>
              <w:rPr>
                <w:rFonts w:hint="eastAsia"/>
                <w:highlight w:val="none"/>
              </w:rPr>
            </w:pPr>
            <w:r>
              <w:rPr>
                <w:rFonts w:hint="eastAsia"/>
                <w:highlight w:val="none"/>
                <w:lang w:val="en-US" w:eastAsia="zh-CN"/>
              </w:rPr>
              <w:t>8</w:t>
            </w:r>
            <w:r>
              <w:rPr>
                <w:rFonts w:hint="eastAsia"/>
                <w:highlight w:val="none"/>
              </w:rPr>
              <w:t>、由主持人公布无效投标的投标人名单、投标无效的原因及其他有效投标的评分汇总分；</w:t>
            </w:r>
          </w:p>
          <w:p>
            <w:pPr>
              <w:rPr>
                <w:rFonts w:hint="eastAsia"/>
                <w:highlight w:val="none"/>
              </w:rPr>
            </w:pPr>
            <w:r>
              <w:rPr>
                <w:rFonts w:hint="eastAsia"/>
                <w:highlight w:val="none"/>
                <w:lang w:val="en-US" w:eastAsia="zh-CN"/>
              </w:rPr>
              <w:t>9</w:t>
            </w:r>
            <w:r>
              <w:rPr>
                <w:rFonts w:hint="eastAsia"/>
                <w:highlight w:val="none"/>
              </w:rPr>
              <w:t>、宣布综合得分结果及中标候选人名单。</w:t>
            </w:r>
          </w:p>
          <w:p>
            <w:pPr>
              <w:rPr>
                <w:highlight w:val="none"/>
              </w:rPr>
            </w:pPr>
            <w:r>
              <w:rPr>
                <w:rFonts w:hint="eastAsia"/>
                <w:highlight w:val="none"/>
                <w:lang w:val="en-US" w:eastAsia="zh-CN"/>
              </w:rPr>
              <w:t>10</w:t>
            </w:r>
            <w:r>
              <w:rPr>
                <w:rFonts w:hint="eastAsia"/>
                <w:highlight w:val="none"/>
              </w:rPr>
              <w:t>、开标会议结束。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hint="default" w:ascii="宋体" w:hAnsi="宋体" w:eastAsia="宋体"/>
                <w:lang w:val="en-US" w:eastAsia="zh-CN"/>
              </w:rPr>
            </w:pPr>
            <w:r>
              <w:rPr>
                <w:rFonts w:hint="eastAsia" w:ascii="宋体" w:hAnsi="宋体"/>
                <w:lang w:val="en-US" w:eastAsia="zh-CN"/>
              </w:rPr>
              <w:t>23</w:t>
            </w:r>
          </w:p>
        </w:tc>
        <w:tc>
          <w:tcPr>
            <w:tcW w:w="1978" w:type="dxa"/>
            <w:vAlign w:val="center"/>
          </w:tcPr>
          <w:p>
            <w:pPr>
              <w:jc w:val="center"/>
              <w:rPr>
                <w:rFonts w:ascii="宋体" w:hAnsi="宋体"/>
              </w:rPr>
            </w:pPr>
            <w:r>
              <w:rPr>
                <w:rFonts w:hint="eastAsia" w:ascii="宋体" w:hAnsi="宋体"/>
              </w:rPr>
              <w:t>评标办法</w:t>
            </w:r>
          </w:p>
        </w:tc>
        <w:tc>
          <w:tcPr>
            <w:tcW w:w="6265" w:type="dxa"/>
            <w:vAlign w:val="center"/>
          </w:tcPr>
          <w:p>
            <w:pPr>
              <w:rPr>
                <w:rFonts w:ascii="宋体" w:hAnsi="宋体"/>
              </w:rPr>
            </w:pPr>
            <w:r>
              <w:rPr>
                <w:rFonts w:hint="eastAsia" w:ascii="宋体" w:hAnsi="宋体"/>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Align w:val="center"/>
          </w:tcPr>
          <w:p>
            <w:pPr>
              <w:jc w:val="center"/>
              <w:rPr>
                <w:rFonts w:hint="default" w:ascii="宋体" w:hAnsi="宋体" w:eastAsia="宋体"/>
                <w:lang w:val="en-US" w:eastAsia="zh-CN"/>
              </w:rPr>
            </w:pPr>
            <w:r>
              <w:rPr>
                <w:rFonts w:hint="eastAsia" w:ascii="宋体" w:hAnsi="宋体"/>
                <w:lang w:val="en-US" w:eastAsia="zh-CN"/>
              </w:rPr>
              <w:t>24</w:t>
            </w:r>
          </w:p>
        </w:tc>
        <w:tc>
          <w:tcPr>
            <w:tcW w:w="1978" w:type="dxa"/>
            <w:vAlign w:val="center"/>
          </w:tcPr>
          <w:p>
            <w:pPr>
              <w:jc w:val="center"/>
              <w:rPr>
                <w:rFonts w:ascii="宋体" w:hAnsi="宋体"/>
              </w:rPr>
            </w:pPr>
            <w:r>
              <w:rPr>
                <w:rFonts w:hint="eastAsia" w:ascii="宋体" w:hAnsi="宋体"/>
              </w:rPr>
              <w:t>工程担保</w:t>
            </w:r>
          </w:p>
        </w:tc>
        <w:tc>
          <w:tcPr>
            <w:tcW w:w="6265" w:type="dxa"/>
            <w:vAlign w:val="center"/>
          </w:tcPr>
          <w:p>
            <w:pPr>
              <w:pStyle w:val="12"/>
              <w:adjustRightInd w:val="0"/>
              <w:snapToGrid w:val="0"/>
              <w:spacing w:line="288" w:lineRule="auto"/>
              <w:ind w:left="0" w:leftChars="0" w:firstLine="0" w:firstLineChars="0"/>
            </w:pPr>
            <w:r>
              <w:rPr>
                <w:rFonts w:hint="eastAsia"/>
              </w:rPr>
              <w:t>担保形式为：工程见索即付保函。</w:t>
            </w:r>
          </w:p>
          <w:p>
            <w:pPr>
              <w:pStyle w:val="12"/>
              <w:adjustRightInd w:val="0"/>
              <w:snapToGrid w:val="0"/>
              <w:spacing w:line="288" w:lineRule="auto"/>
              <w:ind w:left="0" w:leftChars="0" w:firstLine="0" w:firstLineChars="0"/>
            </w:pPr>
            <w:r>
              <w:rPr>
                <w:rFonts w:hint="eastAsia"/>
              </w:rPr>
              <w:t>履约担保金额为中标价的2% ，须在合同签订前向招标人提交。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Merge w:val="restart"/>
            <w:vAlign w:val="center"/>
          </w:tcPr>
          <w:p>
            <w:pPr>
              <w:spacing w:line="360" w:lineRule="exact"/>
              <w:jc w:val="center"/>
              <w:rPr>
                <w:rFonts w:hint="eastAsia" w:ascii="宋体" w:hAnsi="宋体" w:eastAsia="宋体"/>
                <w:lang w:eastAsia="zh-CN"/>
              </w:rPr>
            </w:pPr>
            <w:r>
              <w:rPr>
                <w:rFonts w:hint="eastAsia" w:ascii="宋体" w:hAnsi="宋体" w:cs="宋体"/>
                <w:szCs w:val="21"/>
              </w:rPr>
              <w:t>2</w:t>
            </w:r>
            <w:r>
              <w:rPr>
                <w:rFonts w:hint="eastAsia" w:ascii="宋体" w:hAnsi="宋体" w:cs="宋体"/>
                <w:szCs w:val="21"/>
                <w:lang w:val="en-US" w:eastAsia="zh-CN"/>
              </w:rPr>
              <w:t>5</w:t>
            </w:r>
          </w:p>
        </w:tc>
        <w:tc>
          <w:tcPr>
            <w:tcW w:w="1978" w:type="dxa"/>
            <w:vAlign w:val="center"/>
          </w:tcPr>
          <w:p>
            <w:pPr>
              <w:adjustRightInd w:val="0"/>
              <w:spacing w:line="360" w:lineRule="exact"/>
              <w:jc w:val="center"/>
              <w:textAlignment w:val="baseline"/>
              <w:rPr>
                <w:rFonts w:ascii="宋体" w:hAnsi="宋体"/>
              </w:rPr>
            </w:pPr>
            <w:r>
              <w:rPr>
                <w:rFonts w:hint="eastAsia" w:ascii="宋体" w:hAnsi="宋体" w:cs="宋体"/>
                <w:szCs w:val="21"/>
              </w:rPr>
              <w:t>总承包服务费</w:t>
            </w:r>
          </w:p>
        </w:tc>
        <w:tc>
          <w:tcPr>
            <w:tcW w:w="6265" w:type="dxa"/>
            <w:vAlign w:val="center"/>
          </w:tcPr>
          <w:p>
            <w:pPr>
              <w:spacing w:line="360" w:lineRule="exact"/>
            </w:pPr>
            <w:r>
              <w:rPr>
                <w:rFonts w:hint="eastAsia" w:ascii="宋体" w:hAnsi="宋体" w:cs="宋体"/>
                <w:szCs w:val="21"/>
              </w:rPr>
              <w:t>本项目总承包服务费由招标人支付，不再另行计取。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8" w:type="dxa"/>
            <w:vMerge w:val="continue"/>
            <w:vAlign w:val="center"/>
          </w:tcPr>
          <w:p>
            <w:pPr>
              <w:spacing w:line="360" w:lineRule="exact"/>
              <w:jc w:val="center"/>
              <w:rPr>
                <w:rFonts w:ascii="宋体" w:hAnsi="宋体"/>
              </w:rPr>
            </w:pPr>
          </w:p>
        </w:tc>
        <w:tc>
          <w:tcPr>
            <w:tcW w:w="1978" w:type="dxa"/>
            <w:vAlign w:val="center"/>
          </w:tcPr>
          <w:p>
            <w:pPr>
              <w:adjustRightInd w:val="0"/>
              <w:spacing w:line="360" w:lineRule="exact"/>
              <w:jc w:val="center"/>
              <w:textAlignment w:val="baseline"/>
              <w:rPr>
                <w:rFonts w:ascii="宋体" w:hAnsi="宋体"/>
              </w:rPr>
            </w:pPr>
            <w:r>
              <w:rPr>
                <w:rFonts w:hint="eastAsia" w:ascii="宋体" w:hAnsi="宋体" w:cs="宋体"/>
                <w:szCs w:val="21"/>
              </w:rPr>
              <w:t>工程目标</w:t>
            </w:r>
          </w:p>
        </w:tc>
        <w:tc>
          <w:tcPr>
            <w:tcW w:w="6265" w:type="dxa"/>
            <w:vAlign w:val="center"/>
          </w:tcPr>
          <w:p>
            <w:pPr>
              <w:spacing w:line="360" w:lineRule="exact"/>
            </w:pPr>
            <w:r>
              <w:rPr>
                <w:rFonts w:hint="eastAsia" w:ascii="宋体" w:hAnsi="宋体" w:cs="宋体"/>
                <w:szCs w:val="21"/>
              </w:rPr>
              <w:t>中标单位须配合总包单位创建浙江省建筑安全文明施工标准化工地。</w:t>
            </w:r>
          </w:p>
        </w:tc>
      </w:tr>
    </w:tbl>
    <w:p>
      <w:pPr>
        <w:jc w:val="center"/>
        <w:rPr>
          <w:rFonts w:ascii="宋体" w:hAnsi="宋体"/>
        </w:rPr>
        <w:sectPr>
          <w:headerReference r:id="rId8" w:type="first"/>
          <w:footerReference r:id="rId10" w:type="first"/>
          <w:footerReference r:id="rId9" w:type="default"/>
          <w:footnotePr>
            <w:numRestart w:val="eachPage"/>
          </w:footnotePr>
          <w:endnotePr>
            <w:numRestart w:val="eachSect"/>
          </w:endnotePr>
          <w:pgSz w:w="11907" w:h="16840"/>
          <w:pgMar w:top="1247" w:right="1361" w:bottom="1247" w:left="1361" w:header="851" w:footer="824" w:gutter="0"/>
          <w:pgNumType w:start="1"/>
          <w:cols w:space="720" w:num="1"/>
          <w:titlePg/>
          <w:docGrid w:linePitch="435" w:charSpace="-6554"/>
        </w:sectPr>
      </w:pPr>
      <w:r>
        <w:rPr>
          <w:rFonts w:hint="eastAsia" w:ascii="宋体" w:hAnsi="宋体" w:cs="宋体"/>
          <w:b/>
          <w:bCs/>
          <w:sz w:val="24"/>
        </w:rPr>
        <w:t>注：投标人须知前附表内容与本招标文件后述内容不一致的，以</w:t>
      </w:r>
      <w:r>
        <w:rPr>
          <w:rFonts w:hint="eastAsia" w:ascii="宋体" w:hAnsi="宋体" w:cs="宋体"/>
          <w:b/>
          <w:bCs/>
          <w:sz w:val="24"/>
          <w:lang w:eastAsia="zh-CN"/>
        </w:rPr>
        <w:t>投标人须知</w:t>
      </w:r>
      <w:r>
        <w:rPr>
          <w:rFonts w:hint="eastAsia" w:ascii="宋体" w:hAnsi="宋体" w:cs="宋体"/>
          <w:b/>
          <w:bCs/>
          <w:sz w:val="24"/>
        </w:rPr>
        <w:t>前附表为准</w:t>
      </w:r>
      <w:r>
        <w:rPr>
          <w:rFonts w:ascii="宋体" w:hAnsi="宋体" w:cs="宋体"/>
          <w:b/>
          <w:bCs/>
          <w:sz w:val="24"/>
        </w:rPr>
        <w:t>。</w:t>
      </w:r>
    </w:p>
    <w:p>
      <w:pPr>
        <w:widowControl/>
        <w:jc w:val="center"/>
        <w:outlineLvl w:val="0"/>
        <w:rPr>
          <w:rFonts w:hint="eastAsia" w:eastAsia="黑体"/>
          <w:b/>
          <w:bCs/>
          <w:sz w:val="32"/>
          <w:lang w:eastAsia="zh-CN"/>
        </w:rPr>
      </w:pPr>
      <w:bookmarkStart w:id="16" w:name="_Toc4749"/>
      <w:bookmarkStart w:id="17" w:name="_Toc353454312"/>
      <w:bookmarkStart w:id="18" w:name="_Toc500208463"/>
      <w:bookmarkStart w:id="19" w:name="_Toc500209412"/>
      <w:bookmarkStart w:id="20" w:name="_Toc8528"/>
      <w:bookmarkStart w:id="21" w:name="_Toc1958"/>
      <w:r>
        <w:rPr>
          <w:rFonts w:hint="eastAsia" w:eastAsia="黑体"/>
          <w:b/>
          <w:bCs/>
          <w:sz w:val="32"/>
        </w:rPr>
        <w:t xml:space="preserve">第一章  </w:t>
      </w:r>
      <w:bookmarkEnd w:id="16"/>
      <w:bookmarkEnd w:id="17"/>
      <w:bookmarkEnd w:id="18"/>
      <w:bookmarkEnd w:id="19"/>
      <w:bookmarkEnd w:id="20"/>
      <w:r>
        <w:rPr>
          <w:rFonts w:hint="eastAsia" w:eastAsia="黑体"/>
          <w:b/>
          <w:bCs/>
          <w:sz w:val="32"/>
          <w:lang w:eastAsia="zh-CN"/>
        </w:rPr>
        <w:t>投标人须知</w:t>
      </w:r>
      <w:bookmarkEnd w:id="21"/>
    </w:p>
    <w:p>
      <w:pPr>
        <w:pStyle w:val="3"/>
        <w:spacing w:after="120"/>
        <w:jc w:val="center"/>
      </w:pPr>
      <w:bookmarkStart w:id="22" w:name="_Toc3282"/>
      <w:bookmarkStart w:id="23" w:name="_Toc21382"/>
      <w:bookmarkStart w:id="24" w:name="_Toc500209413"/>
      <w:bookmarkStart w:id="25" w:name="_Toc28968"/>
      <w:bookmarkStart w:id="26" w:name="_Toc9343"/>
      <w:bookmarkStart w:id="27" w:name="_Toc500208464"/>
      <w:bookmarkStart w:id="28" w:name="_Toc353454313"/>
      <w:r>
        <w:rPr>
          <w:rFonts w:hint="eastAsia"/>
        </w:rPr>
        <w:t>第一节  总  则</w:t>
      </w:r>
      <w:bookmarkEnd w:id="22"/>
      <w:bookmarkEnd w:id="23"/>
      <w:bookmarkEnd w:id="24"/>
      <w:bookmarkEnd w:id="25"/>
      <w:bookmarkEnd w:id="26"/>
      <w:bookmarkEnd w:id="27"/>
      <w:bookmarkEnd w:id="28"/>
    </w:p>
    <w:p>
      <w:pPr>
        <w:tabs>
          <w:tab w:val="left" w:pos="287"/>
        </w:tabs>
        <w:spacing w:before="360" w:line="288" w:lineRule="auto"/>
        <w:jc w:val="left"/>
        <w:rPr>
          <w:rFonts w:ascii="黑体" w:hAnsi="宋体" w:eastAsia="黑体"/>
          <w:color w:val="000000"/>
          <w:szCs w:val="20"/>
        </w:rPr>
      </w:pPr>
      <w:bookmarkStart w:id="29" w:name="_Toc155342528"/>
      <w:bookmarkStart w:id="30" w:name="_Toc169487776"/>
      <w:bookmarkStart w:id="31" w:name="_Toc2929"/>
      <w:bookmarkStart w:id="32" w:name="_Toc500208465"/>
      <w:r>
        <w:rPr>
          <w:rFonts w:hint="eastAsia" w:ascii="黑体" w:hAnsi="宋体" w:eastAsia="黑体"/>
          <w:color w:val="000000"/>
          <w:szCs w:val="20"/>
        </w:rPr>
        <w:t>1.工程说明</w:t>
      </w:r>
      <w:bookmarkEnd w:id="29"/>
      <w:bookmarkEnd w:id="30"/>
      <w:bookmarkEnd w:id="31"/>
    </w:p>
    <w:p>
      <w:pPr>
        <w:pStyle w:val="12"/>
        <w:rPr>
          <w:rFonts w:ascii="宋体" w:hAnsi="宋体"/>
        </w:rPr>
      </w:pPr>
      <w:bookmarkStart w:id="33" w:name="_Toc23174"/>
      <w:bookmarkStart w:id="34" w:name="_Toc27030"/>
      <w:r>
        <w:rPr>
          <w:rFonts w:hint="eastAsia" w:ascii="宋体" w:hAnsi="宋体"/>
        </w:rPr>
        <w:t>1.1本招标工程项目说明详见本须知前附表第1项～第7项。</w:t>
      </w:r>
      <w:bookmarkEnd w:id="33"/>
      <w:bookmarkEnd w:id="34"/>
    </w:p>
    <w:p>
      <w:pPr>
        <w:tabs>
          <w:tab w:val="left" w:pos="287"/>
        </w:tabs>
        <w:spacing w:before="360" w:line="288" w:lineRule="auto"/>
        <w:jc w:val="left"/>
        <w:rPr>
          <w:rFonts w:ascii="黑体" w:hAnsi="宋体" w:eastAsia="黑体"/>
          <w:color w:val="000000"/>
          <w:szCs w:val="20"/>
        </w:rPr>
      </w:pPr>
      <w:bookmarkStart w:id="35" w:name="_Toc155342529"/>
      <w:bookmarkStart w:id="36" w:name="_Toc23348"/>
      <w:bookmarkStart w:id="37" w:name="_Toc169487777"/>
      <w:r>
        <w:rPr>
          <w:rFonts w:hint="eastAsia" w:ascii="黑体" w:hAnsi="宋体" w:eastAsia="黑体"/>
          <w:color w:val="000000"/>
          <w:szCs w:val="20"/>
        </w:rPr>
        <w:t>2.招标范围</w:t>
      </w:r>
      <w:bookmarkEnd w:id="32"/>
      <w:bookmarkEnd w:id="35"/>
      <w:bookmarkEnd w:id="36"/>
      <w:bookmarkEnd w:id="37"/>
    </w:p>
    <w:p>
      <w:pPr>
        <w:pStyle w:val="16"/>
        <w:tabs>
          <w:tab w:val="left" w:pos="574"/>
        </w:tabs>
        <w:ind w:firstLine="420" w:firstLineChars="200"/>
      </w:pPr>
      <w:bookmarkStart w:id="38" w:name="_Toc500208466"/>
      <w:r>
        <w:rPr>
          <w:rFonts w:hint="eastAsia"/>
        </w:rPr>
        <w:t>2.1本招标工程项目的招标方式详见本须知前附表第8项。</w:t>
      </w:r>
    </w:p>
    <w:p>
      <w:pPr>
        <w:pStyle w:val="16"/>
        <w:tabs>
          <w:tab w:val="left" w:pos="574"/>
        </w:tabs>
        <w:ind w:firstLine="420" w:firstLineChars="200"/>
      </w:pPr>
      <w:r>
        <w:rPr>
          <w:rFonts w:hint="eastAsia"/>
        </w:rPr>
        <w:t>2.2本招标工程项目的招标范围详见本须知前附表第9项。</w:t>
      </w:r>
    </w:p>
    <w:p>
      <w:pPr>
        <w:tabs>
          <w:tab w:val="left" w:pos="287"/>
        </w:tabs>
        <w:spacing w:before="360" w:line="288" w:lineRule="auto"/>
        <w:jc w:val="left"/>
        <w:rPr>
          <w:rFonts w:ascii="黑体" w:hAnsi="宋体" w:eastAsia="黑体"/>
          <w:color w:val="000000"/>
          <w:szCs w:val="20"/>
        </w:rPr>
      </w:pPr>
      <w:bookmarkStart w:id="39" w:name="_Toc169487778"/>
      <w:bookmarkStart w:id="40" w:name="_Toc3396"/>
      <w:bookmarkStart w:id="41" w:name="_Toc155342530"/>
      <w:r>
        <w:rPr>
          <w:rFonts w:hint="eastAsia" w:ascii="黑体" w:hAnsi="宋体" w:eastAsia="黑体"/>
          <w:color w:val="000000"/>
          <w:szCs w:val="20"/>
        </w:rPr>
        <w:t>3.资金来源</w:t>
      </w:r>
      <w:bookmarkEnd w:id="38"/>
      <w:bookmarkEnd w:id="39"/>
      <w:bookmarkEnd w:id="40"/>
      <w:bookmarkEnd w:id="41"/>
    </w:p>
    <w:p>
      <w:pPr>
        <w:pStyle w:val="16"/>
        <w:tabs>
          <w:tab w:val="left" w:pos="574"/>
        </w:tabs>
        <w:ind w:firstLine="420" w:firstLineChars="200"/>
      </w:pPr>
      <w:r>
        <w:rPr>
          <w:rFonts w:hint="eastAsia"/>
        </w:rPr>
        <w:t>3.1本招标工程项目资金来源详见本须知前附表第10项，其中部分资金用于本工程项目合同项下的合格支付。</w:t>
      </w:r>
    </w:p>
    <w:p>
      <w:pPr>
        <w:tabs>
          <w:tab w:val="left" w:pos="287"/>
        </w:tabs>
        <w:spacing w:before="360" w:line="288" w:lineRule="auto"/>
        <w:jc w:val="left"/>
        <w:rPr>
          <w:rFonts w:ascii="黑体" w:hAnsi="宋体" w:eastAsia="黑体"/>
          <w:color w:val="000000"/>
          <w:szCs w:val="20"/>
        </w:rPr>
      </w:pPr>
      <w:bookmarkStart w:id="42" w:name="_Toc169487779"/>
      <w:bookmarkStart w:id="43" w:name="_Toc155342531"/>
      <w:bookmarkStart w:id="44" w:name="_Toc23421"/>
      <w:r>
        <w:rPr>
          <w:rFonts w:hint="eastAsia" w:ascii="黑体" w:hAnsi="宋体" w:eastAsia="黑体"/>
          <w:color w:val="000000"/>
          <w:szCs w:val="20"/>
        </w:rPr>
        <w:t>4.投标资格</w:t>
      </w:r>
      <w:bookmarkEnd w:id="42"/>
      <w:bookmarkEnd w:id="43"/>
      <w:bookmarkEnd w:id="44"/>
    </w:p>
    <w:p>
      <w:pPr>
        <w:pStyle w:val="16"/>
        <w:tabs>
          <w:tab w:val="left" w:pos="574"/>
        </w:tabs>
        <w:ind w:firstLine="420" w:firstLineChars="200"/>
      </w:pPr>
      <w:bookmarkStart w:id="45" w:name="_Toc169487780"/>
      <w:bookmarkStart w:id="46" w:name="_Toc155342532"/>
      <w:r>
        <w:rPr>
          <w:rFonts w:hint="eastAsia"/>
        </w:rPr>
        <w:t>4.1投标人与项目负责人资格要求详见本须知前附表第11项和第12项。</w:t>
      </w:r>
    </w:p>
    <w:p>
      <w:pPr>
        <w:pStyle w:val="16"/>
        <w:tabs>
          <w:tab w:val="left" w:pos="574"/>
        </w:tabs>
        <w:ind w:firstLine="420" w:firstLineChars="200"/>
      </w:pPr>
      <w:r>
        <w:rPr>
          <w:rFonts w:hint="eastAsia"/>
        </w:rPr>
        <w:t>4.2投标人确定方式详见本须知前附表第13项。</w:t>
      </w:r>
    </w:p>
    <w:p>
      <w:pPr>
        <w:pStyle w:val="16"/>
        <w:tabs>
          <w:tab w:val="left" w:pos="574"/>
        </w:tabs>
        <w:ind w:firstLine="420" w:firstLineChars="200"/>
        <w:rPr>
          <w:color w:val="000000"/>
        </w:rPr>
      </w:pPr>
      <w:r>
        <w:rPr>
          <w:rFonts w:hint="eastAsia"/>
          <w:color w:val="000000"/>
        </w:rPr>
        <w:t>4.3其他要求：</w:t>
      </w:r>
    </w:p>
    <w:p>
      <w:pPr>
        <w:pStyle w:val="16"/>
        <w:tabs>
          <w:tab w:val="left" w:pos="574"/>
        </w:tabs>
        <w:ind w:left="568"/>
        <w:rPr>
          <w:color w:val="000000"/>
        </w:rPr>
      </w:pPr>
      <w:r>
        <w:rPr>
          <w:rFonts w:hint="eastAsia"/>
          <w:color w:val="000000"/>
        </w:rPr>
        <w:t>1）项目负责人在建项目要求：项目负责人承接项目按照《注册建造师执业管理办法（试行）》（建市[2008]48号）第九条执行，同时在本工程投标文件提交截止日前，原以建造师身份承接（包括已办理项目负责人变更手续）的工程项目未通过竣工（交工）验收的（以竣工或交工验收记录为准），项目负责人不得参加投标。发生下列情形之一的除外：</w:t>
      </w:r>
    </w:p>
    <w:p>
      <w:pPr>
        <w:pStyle w:val="16"/>
        <w:tabs>
          <w:tab w:val="left" w:pos="574"/>
        </w:tabs>
        <w:ind w:firstLine="420" w:firstLineChars="200"/>
        <w:rPr>
          <w:color w:val="000000"/>
        </w:rPr>
      </w:pPr>
      <w:r>
        <w:rPr>
          <w:rFonts w:hint="eastAsia"/>
          <w:color w:val="000000"/>
        </w:rPr>
        <w:t>a.原承接的项目与本工程属于同一工程相邻分段发包或分期施工的；</w:t>
      </w:r>
    </w:p>
    <w:p>
      <w:pPr>
        <w:pStyle w:val="16"/>
        <w:tabs>
          <w:tab w:val="left" w:pos="574"/>
        </w:tabs>
        <w:ind w:firstLine="420" w:firstLineChars="200"/>
        <w:rPr>
          <w:color w:val="000000"/>
        </w:rPr>
      </w:pPr>
      <w:r>
        <w:rPr>
          <w:rFonts w:hint="eastAsia"/>
          <w:color w:val="000000"/>
        </w:rPr>
        <w:t>b.因非承包方原因致使工程项目停工超过120天（含），经建设单位同意的（并须提供经工程所在地建设（建筑业）行政主管部门同意停工的书面证明）。</w:t>
      </w:r>
    </w:p>
    <w:p>
      <w:pPr>
        <w:pStyle w:val="16"/>
        <w:tabs>
          <w:tab w:val="left" w:pos="574"/>
        </w:tabs>
        <w:ind w:firstLine="420" w:firstLineChars="200"/>
        <w:rPr>
          <w:color w:val="000000"/>
        </w:rPr>
      </w:pPr>
      <w:r>
        <w:rPr>
          <w:rFonts w:hint="eastAsia"/>
          <w:color w:val="000000"/>
        </w:rPr>
        <w:t>c.合同约定的工程已完工，承包方向建设单位提交竣工（交工）报告时间已超过120天（含），且经建设单位同意可承接其他项目的（并须提供经工程所在地建设（建筑业）行政主管部门书面证明和竣工（交工）报告）。</w:t>
      </w:r>
    </w:p>
    <w:p>
      <w:pPr>
        <w:pStyle w:val="16"/>
        <w:ind w:firstLine="422" w:firstLineChars="200"/>
        <w:rPr>
          <w:b/>
          <w:color w:val="000000"/>
        </w:rPr>
      </w:pPr>
      <w:r>
        <w:rPr>
          <w:rFonts w:hint="eastAsia"/>
          <w:b/>
          <w:color w:val="000000"/>
        </w:rPr>
        <w:t>如发生以上情形，投标人应在递交投标文件的同时将有关书面证明材料(如有</w:t>
      </w:r>
      <w:r>
        <w:rPr>
          <w:b/>
          <w:color w:val="000000"/>
        </w:rPr>
        <w:t>书面</w:t>
      </w:r>
      <w:r>
        <w:rPr>
          <w:rFonts w:hint="eastAsia"/>
          <w:b/>
          <w:color w:val="000000"/>
        </w:rPr>
        <w:t>证明</w:t>
      </w:r>
      <w:r>
        <w:rPr>
          <w:b/>
          <w:color w:val="000000"/>
        </w:rPr>
        <w:t>材料需</w:t>
      </w:r>
      <w:r>
        <w:rPr>
          <w:rFonts w:hint="eastAsia"/>
          <w:b/>
          <w:color w:val="000000"/>
        </w:rPr>
        <w:t>)提交给招标人，投标截止日后提供的证明材料视为瞒报、漏报，将不予认可。</w:t>
      </w:r>
    </w:p>
    <w:p>
      <w:pPr>
        <w:pStyle w:val="16"/>
        <w:tabs>
          <w:tab w:val="left" w:pos="574"/>
        </w:tabs>
        <w:ind w:firstLine="422" w:firstLineChars="200"/>
        <w:rPr>
          <w:b/>
          <w:color w:val="000000"/>
        </w:rPr>
      </w:pPr>
      <w:r>
        <w:rPr>
          <w:rFonts w:hint="eastAsia"/>
          <w:b/>
          <w:color w:val="000000"/>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w:t>
      </w:r>
    </w:p>
    <w:p>
      <w:pPr>
        <w:pStyle w:val="16"/>
        <w:tabs>
          <w:tab w:val="left" w:pos="574"/>
        </w:tabs>
        <w:ind w:firstLine="422" w:firstLineChars="200"/>
        <w:rPr>
          <w:b/>
          <w:color w:val="000000"/>
        </w:rPr>
      </w:pPr>
      <w:r>
        <w:rPr>
          <w:rFonts w:hint="eastAsia"/>
          <w:b/>
          <w:color w:val="000000"/>
        </w:rPr>
        <w:t>如承接项目已取得竣工验收记录或交工验收记录的，该项目不作为在建。原承接项目已解除合同的，该项目不作为在建。</w:t>
      </w:r>
    </w:p>
    <w:p>
      <w:pPr>
        <w:pStyle w:val="16"/>
        <w:numPr>
          <w:ilvl w:val="0"/>
          <w:numId w:val="1"/>
        </w:numPr>
        <w:tabs>
          <w:tab w:val="left" w:pos="574"/>
        </w:tabs>
        <w:ind w:firstLine="422" w:firstLineChars="200"/>
        <w:rPr>
          <w:b/>
          <w:color w:val="000000"/>
        </w:rPr>
      </w:pPr>
      <w:r>
        <w:rPr>
          <w:rFonts w:hint="eastAsia"/>
          <w:b/>
          <w:color w:val="000000"/>
        </w:rPr>
        <w:t xml:space="preserve">项目负责人不得同时在两个或者两个以上单位受聘或者执业（仅指项目负责人不得同时是其他单位的公务员或者事业单位在编人员，涉及到其他情形的，投标资格不受影响）。     </w:t>
      </w:r>
    </w:p>
    <w:p>
      <w:pPr>
        <w:pStyle w:val="16"/>
        <w:tabs>
          <w:tab w:val="left" w:pos="574"/>
        </w:tabs>
        <w:ind w:left="630"/>
      </w:pPr>
      <w:r>
        <w:rPr>
          <w:rFonts w:hint="eastAsia"/>
        </w:rPr>
        <w:t>4.4投标人不得存在下列情形之一：</w:t>
      </w:r>
    </w:p>
    <w:p>
      <w:pPr>
        <w:numPr>
          <w:ilvl w:val="0"/>
          <w:numId w:val="2"/>
        </w:numPr>
        <w:kinsoku w:val="0"/>
        <w:autoSpaceDE w:val="0"/>
        <w:autoSpaceDN w:val="0"/>
        <w:spacing w:line="348" w:lineRule="auto"/>
        <w:ind w:left="0" w:firstLine="420" w:firstLineChars="200"/>
        <w:rPr>
          <w:rFonts w:hint="eastAsia" w:ascii="宋体" w:hAnsi="宋体" w:cs="宋体"/>
          <w:szCs w:val="21"/>
          <w:highlight w:val="none"/>
        </w:rPr>
      </w:pPr>
      <w:r>
        <w:rPr>
          <w:rFonts w:hint="eastAsia" w:ascii="宋体" w:hAnsi="宋体" w:cs="宋体"/>
          <w:szCs w:val="21"/>
          <w:highlight w:val="none"/>
        </w:rPr>
        <w:t>为招标人不具有独立法人资格的附属机构（单位）；</w:t>
      </w:r>
    </w:p>
    <w:p>
      <w:pPr>
        <w:numPr>
          <w:ilvl w:val="0"/>
          <w:numId w:val="2"/>
        </w:numPr>
        <w:kinsoku w:val="0"/>
        <w:autoSpaceDE w:val="0"/>
        <w:autoSpaceDN w:val="0"/>
        <w:spacing w:line="348" w:lineRule="auto"/>
        <w:ind w:left="0" w:firstLine="420" w:firstLineChars="200"/>
        <w:rPr>
          <w:rFonts w:hint="eastAsia" w:ascii="宋体" w:hAnsi="宋体" w:cs="宋体"/>
          <w:szCs w:val="21"/>
          <w:highlight w:val="none"/>
        </w:rPr>
      </w:pPr>
      <w:r>
        <w:rPr>
          <w:rFonts w:hint="eastAsia" w:ascii="宋体" w:hAnsi="宋体" w:cs="宋体"/>
          <w:szCs w:val="21"/>
          <w:highlight w:val="none"/>
        </w:rPr>
        <w:t>为与招标人存在利害关系可能影响招标公正性的法人、其他组织或者个人；</w:t>
      </w:r>
    </w:p>
    <w:p>
      <w:pPr>
        <w:numPr>
          <w:ilvl w:val="0"/>
          <w:numId w:val="2"/>
        </w:numPr>
        <w:kinsoku w:val="0"/>
        <w:autoSpaceDE w:val="0"/>
        <w:autoSpaceDN w:val="0"/>
        <w:spacing w:line="348" w:lineRule="auto"/>
        <w:ind w:left="0" w:firstLine="420" w:firstLineChars="200"/>
        <w:rPr>
          <w:rFonts w:hint="eastAsia" w:ascii="宋体" w:hAnsi="宋体" w:cs="宋体"/>
          <w:szCs w:val="21"/>
          <w:highlight w:val="none"/>
        </w:rPr>
      </w:pPr>
      <w:r>
        <w:rPr>
          <w:rFonts w:hint="eastAsia" w:ascii="宋体" w:hAnsi="宋体" w:cs="宋体"/>
          <w:szCs w:val="21"/>
          <w:highlight w:val="none"/>
        </w:rPr>
        <w:t>不同投标人的单位负责人为同一人或者互相存在控股、管理关系的；</w:t>
      </w:r>
    </w:p>
    <w:p>
      <w:pPr>
        <w:numPr>
          <w:ilvl w:val="0"/>
          <w:numId w:val="2"/>
        </w:numPr>
        <w:kinsoku w:val="0"/>
        <w:autoSpaceDE w:val="0"/>
        <w:autoSpaceDN w:val="0"/>
        <w:spacing w:line="348" w:lineRule="auto"/>
        <w:ind w:left="0" w:firstLine="420" w:firstLineChars="200"/>
        <w:rPr>
          <w:rFonts w:hint="eastAsia" w:ascii="宋体" w:hAnsi="宋体" w:cs="宋体"/>
          <w:szCs w:val="21"/>
          <w:highlight w:val="none"/>
        </w:rPr>
      </w:pPr>
      <w:r>
        <w:rPr>
          <w:rFonts w:hint="eastAsia" w:ascii="宋体" w:hAnsi="宋体" w:cs="宋体"/>
          <w:szCs w:val="21"/>
          <w:highlight w:val="none"/>
        </w:rPr>
        <w:t>为本标段前期准备提供设计或咨询服务的；</w:t>
      </w:r>
    </w:p>
    <w:p>
      <w:pPr>
        <w:kinsoku w:val="0"/>
        <w:autoSpaceDE w:val="0"/>
        <w:autoSpaceDN w:val="0"/>
        <w:spacing w:line="348" w:lineRule="auto"/>
        <w:ind w:firstLine="420" w:firstLineChars="200"/>
        <w:rPr>
          <w:rFonts w:hint="eastAsia" w:ascii="宋体" w:hAnsi="宋体" w:cs="宋体"/>
          <w:szCs w:val="21"/>
          <w:highlight w:val="none"/>
        </w:rPr>
      </w:pPr>
      <w:r>
        <w:rPr>
          <w:rFonts w:hint="eastAsia" w:ascii="宋体" w:hAnsi="宋体" w:cs="宋体"/>
          <w:szCs w:val="21"/>
          <w:highlight w:val="none"/>
        </w:rPr>
        <w:t>（5）为本标段的监理人；</w:t>
      </w:r>
    </w:p>
    <w:p>
      <w:pPr>
        <w:kinsoku w:val="0"/>
        <w:autoSpaceDE w:val="0"/>
        <w:autoSpaceDN w:val="0"/>
        <w:spacing w:line="348" w:lineRule="auto"/>
        <w:ind w:firstLine="420" w:firstLineChars="200"/>
        <w:rPr>
          <w:rFonts w:hint="eastAsia" w:ascii="宋体" w:hAnsi="宋体" w:cs="宋体"/>
          <w:szCs w:val="21"/>
          <w:highlight w:val="none"/>
        </w:rPr>
      </w:pPr>
      <w:r>
        <w:rPr>
          <w:rFonts w:hint="eastAsia" w:ascii="宋体" w:hAnsi="宋体" w:cs="宋体"/>
          <w:szCs w:val="21"/>
          <w:highlight w:val="none"/>
        </w:rPr>
        <w:t>（6）为本标段的代建人；</w:t>
      </w:r>
    </w:p>
    <w:p>
      <w:pPr>
        <w:kinsoku w:val="0"/>
        <w:autoSpaceDE w:val="0"/>
        <w:autoSpaceDN w:val="0"/>
        <w:spacing w:line="348" w:lineRule="auto"/>
        <w:ind w:firstLine="420" w:firstLineChars="200"/>
        <w:rPr>
          <w:rFonts w:hint="eastAsia" w:ascii="宋体" w:hAnsi="宋体" w:cs="宋体"/>
          <w:szCs w:val="21"/>
          <w:highlight w:val="none"/>
        </w:rPr>
      </w:pPr>
      <w:r>
        <w:rPr>
          <w:rFonts w:hint="eastAsia" w:ascii="宋体" w:hAnsi="宋体" w:cs="宋体"/>
          <w:szCs w:val="21"/>
          <w:highlight w:val="none"/>
        </w:rPr>
        <w:t>（7）为本标段提供招标代理服务的；</w:t>
      </w:r>
    </w:p>
    <w:p>
      <w:pPr>
        <w:kinsoku w:val="0"/>
        <w:autoSpaceDE w:val="0"/>
        <w:autoSpaceDN w:val="0"/>
        <w:spacing w:line="348" w:lineRule="auto"/>
        <w:ind w:firstLine="420" w:firstLineChars="200"/>
        <w:rPr>
          <w:rFonts w:hint="eastAsia" w:ascii="宋体" w:hAnsi="宋体" w:cs="宋体"/>
          <w:szCs w:val="21"/>
          <w:highlight w:val="none"/>
        </w:rPr>
      </w:pPr>
      <w:r>
        <w:rPr>
          <w:rFonts w:hint="eastAsia" w:ascii="宋体" w:hAnsi="宋体" w:cs="宋体"/>
          <w:szCs w:val="21"/>
          <w:highlight w:val="none"/>
        </w:rPr>
        <w:t>（8）与本标段的监理人或代建人或招标代理机构同为一个法定代表人的；</w:t>
      </w:r>
    </w:p>
    <w:p>
      <w:pPr>
        <w:kinsoku w:val="0"/>
        <w:autoSpaceDE w:val="0"/>
        <w:autoSpaceDN w:val="0"/>
        <w:spacing w:line="348" w:lineRule="auto"/>
        <w:ind w:firstLine="420" w:firstLineChars="200"/>
        <w:rPr>
          <w:rFonts w:hint="eastAsia" w:ascii="宋体" w:hAnsi="宋体" w:cs="宋体"/>
          <w:szCs w:val="21"/>
          <w:highlight w:val="none"/>
        </w:rPr>
      </w:pPr>
      <w:r>
        <w:rPr>
          <w:rFonts w:hint="eastAsia" w:ascii="宋体" w:hAnsi="宋体" w:cs="宋体"/>
          <w:szCs w:val="21"/>
          <w:highlight w:val="none"/>
        </w:rPr>
        <w:t>（9）与本标段的监理人或代建人或招标代理机构相互控股或参股的；</w:t>
      </w:r>
    </w:p>
    <w:p>
      <w:pPr>
        <w:kinsoku w:val="0"/>
        <w:autoSpaceDE w:val="0"/>
        <w:autoSpaceDN w:val="0"/>
        <w:spacing w:line="348" w:lineRule="auto"/>
        <w:ind w:firstLine="420" w:firstLineChars="200"/>
        <w:rPr>
          <w:rFonts w:hint="eastAsia" w:ascii="宋体" w:hAnsi="宋体" w:cs="宋体"/>
          <w:szCs w:val="21"/>
          <w:highlight w:val="none"/>
        </w:rPr>
      </w:pPr>
      <w:r>
        <w:rPr>
          <w:rFonts w:hint="eastAsia" w:ascii="宋体" w:hAnsi="宋体" w:cs="宋体"/>
          <w:szCs w:val="21"/>
          <w:highlight w:val="none"/>
        </w:rPr>
        <w:t>（10）与本标段的监理人或代建人或招标代理机构相互任职或工作的；</w:t>
      </w:r>
    </w:p>
    <w:p>
      <w:pPr>
        <w:kinsoku w:val="0"/>
        <w:autoSpaceDE w:val="0"/>
        <w:autoSpaceDN w:val="0"/>
        <w:spacing w:line="348" w:lineRule="auto"/>
        <w:ind w:firstLine="420" w:firstLineChars="200"/>
        <w:rPr>
          <w:rFonts w:hint="eastAsia" w:ascii="宋体" w:hAnsi="宋体" w:eastAsia="宋体" w:cs="宋体"/>
          <w:szCs w:val="21"/>
          <w:highlight w:val="none"/>
        </w:rPr>
      </w:pPr>
      <w:r>
        <w:rPr>
          <w:rFonts w:hint="eastAsia" w:ascii="宋体" w:hAnsi="宋体" w:cs="宋体"/>
          <w:szCs w:val="21"/>
          <w:highlight w:val="none"/>
        </w:rPr>
        <w:t>（11）被责令停产停业、暂扣或者吊销许可</w:t>
      </w:r>
      <w:r>
        <w:rPr>
          <w:rFonts w:hint="eastAsia" w:ascii="宋体" w:hAnsi="宋体" w:eastAsia="宋体" w:cs="宋体"/>
          <w:szCs w:val="21"/>
          <w:highlight w:val="none"/>
        </w:rPr>
        <w:t>证、暂扣或者吊销执照；</w:t>
      </w:r>
    </w:p>
    <w:p>
      <w:pPr>
        <w:kinsoku w:val="0"/>
        <w:autoSpaceDE w:val="0"/>
        <w:autoSpaceDN w:val="0"/>
        <w:spacing w:line="348"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（12）进入清算程序，或被宣告破产；</w:t>
      </w:r>
    </w:p>
    <w:p>
      <w:pPr>
        <w:kinsoku w:val="0"/>
        <w:autoSpaceDE w:val="0"/>
        <w:autoSpaceDN w:val="0"/>
        <w:spacing w:line="348"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（13）被依法暂停或取消投标资格的（包括项目负责人）；</w:t>
      </w:r>
    </w:p>
    <w:p>
      <w:pPr>
        <w:kinsoku w:val="0"/>
        <w:autoSpaceDE w:val="0"/>
        <w:autoSpaceDN w:val="0"/>
        <w:spacing w:line="348" w:lineRule="auto"/>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（14）法律法规或投标人须知前附表规定的其他情形</w:t>
      </w:r>
      <w:r>
        <w:rPr>
          <w:rFonts w:hint="eastAsia" w:ascii="宋体" w:hAnsi="宋体" w:eastAsia="宋体" w:cs="宋体"/>
          <w:szCs w:val="21"/>
          <w:highlight w:val="none"/>
          <w:lang w:eastAsia="zh-CN"/>
        </w:rPr>
        <w:t>；</w:t>
      </w:r>
    </w:p>
    <w:p>
      <w:pPr>
        <w:kinsoku w:val="0"/>
        <w:autoSpaceDE w:val="0"/>
        <w:autoSpaceDN w:val="0"/>
        <w:spacing w:line="348"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（15）安全生产许可证超出有效期或处于暂扣时限内的；</w:t>
      </w:r>
    </w:p>
    <w:p>
      <w:pPr>
        <w:kinsoku w:val="0"/>
        <w:autoSpaceDE w:val="0"/>
        <w:autoSpaceDN w:val="0"/>
        <w:spacing w:line="348"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（16）投标人及相关管理人员（包括项目负责人）安全生产任职资格不符合相关规定；</w:t>
      </w:r>
    </w:p>
    <w:p>
      <w:pPr>
        <w:kinsoku w:val="0"/>
        <w:autoSpaceDE w:val="0"/>
        <w:autoSpaceDN w:val="0"/>
        <w:spacing w:line="348"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17）根据转发最高人民检察院国家发展改革委《关于在招标投标活动中全面开展行贿犯罪档案查询的通知》的通知（浙检发预字[2015]5号）规定，投标人（包括法定代表人、项目负责人）其一有行贿犯罪记录的【由投标文件提交截止之日上溯3年，行贿犯罪记录日期以中国裁判文书网（http://wenshu.court.gov.cn/）查询结果为准】；</w:t>
      </w:r>
    </w:p>
    <w:p>
      <w:pPr>
        <w:kinsoku w:val="0"/>
        <w:autoSpaceDE w:val="0"/>
        <w:autoSpaceDN w:val="0"/>
        <w:spacing w:line="348"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）浙江省外企业《省外企业进浙承接业务备案证明》超出有效期或未能在“浙江省建筑市场监管公共服务系统”对外发布形成的备案信息中显示的或已注销的。</w:t>
      </w:r>
    </w:p>
    <w:p>
      <w:pPr>
        <w:tabs>
          <w:tab w:val="left" w:pos="287"/>
        </w:tabs>
        <w:spacing w:before="360" w:line="288" w:lineRule="auto"/>
        <w:jc w:val="left"/>
        <w:rPr>
          <w:rFonts w:ascii="黑体" w:hAnsi="宋体" w:eastAsia="黑体"/>
          <w:color w:val="000000"/>
          <w:szCs w:val="20"/>
        </w:rPr>
      </w:pPr>
      <w:bookmarkStart w:id="47" w:name="_Toc10821"/>
      <w:r>
        <w:rPr>
          <w:rFonts w:hint="eastAsia" w:ascii="黑体" w:hAnsi="宋体" w:eastAsia="黑体"/>
          <w:color w:val="000000"/>
          <w:szCs w:val="20"/>
        </w:rPr>
        <w:t>5.投标费用</w:t>
      </w:r>
      <w:bookmarkEnd w:id="45"/>
      <w:bookmarkEnd w:id="46"/>
      <w:bookmarkEnd w:id="47"/>
    </w:p>
    <w:p>
      <w:pPr>
        <w:pStyle w:val="16"/>
        <w:tabs>
          <w:tab w:val="left" w:pos="574"/>
        </w:tabs>
        <w:ind w:left="630"/>
      </w:pPr>
      <w:r>
        <w:rPr>
          <w:rFonts w:hint="eastAsia"/>
        </w:rPr>
        <w:t>5.1投标人应自行承担其参加投标活动自身发生的费用。</w:t>
      </w:r>
    </w:p>
    <w:p>
      <w:pPr>
        <w:tabs>
          <w:tab w:val="left" w:pos="287"/>
        </w:tabs>
        <w:spacing w:before="360" w:line="288" w:lineRule="auto"/>
        <w:jc w:val="left"/>
        <w:rPr>
          <w:rFonts w:ascii="黑体" w:hAnsi="宋体" w:eastAsia="黑体"/>
          <w:color w:val="000000"/>
          <w:szCs w:val="20"/>
        </w:rPr>
      </w:pPr>
      <w:bookmarkStart w:id="48" w:name="_Toc169487781"/>
      <w:bookmarkStart w:id="49" w:name="_Toc7559"/>
      <w:bookmarkStart w:id="50" w:name="_Toc155342533"/>
      <w:r>
        <w:rPr>
          <w:rFonts w:hint="eastAsia" w:ascii="黑体" w:hAnsi="宋体" w:eastAsia="黑体"/>
          <w:color w:val="000000"/>
          <w:szCs w:val="20"/>
        </w:rPr>
        <w:t>6.现场条件</w:t>
      </w:r>
      <w:bookmarkEnd w:id="48"/>
      <w:bookmarkEnd w:id="49"/>
      <w:bookmarkEnd w:id="50"/>
    </w:p>
    <w:p>
      <w:pPr>
        <w:pStyle w:val="16"/>
        <w:tabs>
          <w:tab w:val="left" w:pos="574"/>
        </w:tabs>
        <w:ind w:left="630"/>
      </w:pPr>
      <w:bookmarkStart w:id="51" w:name="_Toc31119"/>
      <w:bookmarkStart w:id="52" w:name="_Toc6593"/>
      <w:r>
        <w:rPr>
          <w:rFonts w:hint="eastAsia"/>
        </w:rPr>
        <w:t>6.1施工现场已具备施工条件。</w:t>
      </w:r>
      <w:bookmarkEnd w:id="51"/>
      <w:bookmarkEnd w:id="52"/>
    </w:p>
    <w:p>
      <w:pPr>
        <w:tabs>
          <w:tab w:val="left" w:pos="287"/>
        </w:tabs>
        <w:spacing w:before="360" w:line="288" w:lineRule="auto"/>
        <w:jc w:val="left"/>
        <w:rPr>
          <w:rFonts w:ascii="黑体" w:hAnsi="宋体" w:eastAsia="黑体"/>
          <w:color w:val="000000"/>
          <w:szCs w:val="20"/>
        </w:rPr>
      </w:pPr>
      <w:bookmarkStart w:id="53" w:name="_Toc16676"/>
      <w:bookmarkStart w:id="54" w:name="_Toc169487782"/>
      <w:bookmarkStart w:id="55" w:name="_Toc155342534"/>
      <w:r>
        <w:rPr>
          <w:rFonts w:hint="eastAsia" w:ascii="黑体" w:hAnsi="宋体" w:eastAsia="黑体"/>
          <w:color w:val="000000"/>
          <w:szCs w:val="20"/>
        </w:rPr>
        <w:t>7.踏勘现场</w:t>
      </w:r>
      <w:bookmarkEnd w:id="53"/>
      <w:bookmarkEnd w:id="54"/>
      <w:bookmarkEnd w:id="55"/>
    </w:p>
    <w:p>
      <w:pPr>
        <w:pStyle w:val="16"/>
        <w:keepNext w:val="0"/>
        <w:keepLines w:val="0"/>
        <w:pageBreakBefore w:val="0"/>
        <w:widowControl w:val="0"/>
        <w:tabs>
          <w:tab w:val="left" w:pos="574"/>
        </w:tabs>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rPr>
        <w:t>7.1投标人可对工程施工现场和周围环境进行踏勘，以获取编制投标文件和签署合同所需的资料。踏勘现场所发生的费用由投标人自己承担。</w:t>
      </w:r>
    </w:p>
    <w:p>
      <w:pPr>
        <w:pStyle w:val="16"/>
        <w:tabs>
          <w:tab w:val="left" w:pos="574"/>
        </w:tabs>
        <w:ind w:firstLine="420" w:firstLineChars="200"/>
      </w:pPr>
      <w:r>
        <w:rPr>
          <w:rFonts w:hint="eastAsia"/>
        </w:rPr>
        <w:t>7.2招标人向投标人提供的有关施工现场的资料和数据，是招标人现有的能使投标人利用的资料。招标人对投标人由此而作出的推论、理解、结论概不负责。</w:t>
      </w:r>
    </w:p>
    <w:p>
      <w:pPr>
        <w:pStyle w:val="16"/>
        <w:tabs>
          <w:tab w:val="left" w:pos="574"/>
        </w:tabs>
        <w:ind w:firstLine="420" w:firstLineChars="200"/>
      </w:pPr>
      <w:r>
        <w:rPr>
          <w:rFonts w:hint="eastAsia"/>
        </w:rPr>
        <w:t>7.3除招标人向投标人提供本工程有关的情况外，投标人应通过自行调查取得与本工程施工承包可能发生的费用等有关的全部情况，包括交通、环保、治安等规定和要求。</w:t>
      </w:r>
    </w:p>
    <w:p>
      <w:pPr>
        <w:pStyle w:val="3"/>
        <w:spacing w:after="120"/>
        <w:jc w:val="center"/>
      </w:pPr>
      <w:bookmarkStart w:id="56" w:name="_Toc22625"/>
      <w:bookmarkStart w:id="57" w:name="_Toc500209414"/>
      <w:bookmarkStart w:id="58" w:name="_Toc31222"/>
      <w:bookmarkStart w:id="59" w:name="_Toc500208467"/>
      <w:bookmarkStart w:id="60" w:name="_Toc24832"/>
      <w:bookmarkStart w:id="61" w:name="_Toc353454314"/>
      <w:bookmarkStart w:id="62" w:name="_Toc18833"/>
      <w:r>
        <w:rPr>
          <w:rFonts w:hint="eastAsia"/>
        </w:rPr>
        <w:t>第二节  招标文件</w:t>
      </w:r>
      <w:bookmarkEnd w:id="56"/>
      <w:bookmarkEnd w:id="57"/>
      <w:bookmarkEnd w:id="58"/>
      <w:bookmarkEnd w:id="59"/>
      <w:bookmarkEnd w:id="60"/>
      <w:bookmarkEnd w:id="61"/>
      <w:bookmarkEnd w:id="62"/>
    </w:p>
    <w:p>
      <w:pPr>
        <w:tabs>
          <w:tab w:val="left" w:pos="287"/>
        </w:tabs>
        <w:spacing w:before="360" w:line="288" w:lineRule="auto"/>
        <w:jc w:val="left"/>
        <w:rPr>
          <w:rFonts w:ascii="黑体" w:hAnsi="宋体" w:eastAsia="黑体"/>
          <w:color w:val="000000"/>
          <w:szCs w:val="20"/>
        </w:rPr>
      </w:pPr>
      <w:bookmarkStart w:id="63" w:name="_Toc500208468"/>
      <w:bookmarkStart w:id="64" w:name="_Toc169487784"/>
      <w:bookmarkStart w:id="65" w:name="_Toc21550"/>
      <w:bookmarkStart w:id="66" w:name="_Toc155342536"/>
      <w:r>
        <w:rPr>
          <w:rFonts w:hint="eastAsia" w:ascii="黑体" w:hAnsi="宋体" w:eastAsia="黑体"/>
          <w:color w:val="000000"/>
          <w:szCs w:val="20"/>
        </w:rPr>
        <w:t>8.招标文件的组成</w:t>
      </w:r>
      <w:bookmarkEnd w:id="63"/>
      <w:bookmarkEnd w:id="64"/>
      <w:bookmarkEnd w:id="65"/>
      <w:bookmarkEnd w:id="66"/>
    </w:p>
    <w:p>
      <w:pPr>
        <w:pStyle w:val="16"/>
        <w:tabs>
          <w:tab w:val="left" w:pos="574"/>
        </w:tabs>
        <w:ind w:firstLine="420" w:firstLineChars="200"/>
        <w:rPr>
          <w:color w:val="000000"/>
        </w:rPr>
      </w:pPr>
      <w:bookmarkStart w:id="67" w:name="_Toc13270"/>
      <w:bookmarkStart w:id="68" w:name="_Toc15980"/>
      <w:r>
        <w:rPr>
          <w:rFonts w:hint="eastAsia"/>
          <w:color w:val="000000"/>
        </w:rPr>
        <w:t>8.1招标文件包括下列内容：</w:t>
      </w:r>
      <w:bookmarkEnd w:id="67"/>
      <w:bookmarkEnd w:id="68"/>
    </w:p>
    <w:p>
      <w:pPr>
        <w:pStyle w:val="16"/>
        <w:tabs>
          <w:tab w:val="left" w:pos="574"/>
        </w:tabs>
        <w:ind w:firstLine="420" w:firstLineChars="200"/>
        <w:rPr>
          <w:color w:val="000000"/>
        </w:rPr>
      </w:pPr>
      <w:r>
        <w:rPr>
          <w:rFonts w:hint="eastAsia"/>
          <w:color w:val="000000"/>
        </w:rPr>
        <w:t>招标公告</w:t>
      </w:r>
    </w:p>
    <w:p>
      <w:pPr>
        <w:pStyle w:val="16"/>
        <w:tabs>
          <w:tab w:val="left" w:pos="574"/>
        </w:tabs>
        <w:ind w:firstLine="420" w:firstLineChars="200"/>
        <w:rPr>
          <w:color w:val="000000"/>
        </w:rPr>
      </w:pPr>
      <w:r>
        <w:rPr>
          <w:rFonts w:hint="eastAsia"/>
          <w:color w:val="000000"/>
          <w:lang w:eastAsia="zh-CN"/>
        </w:rPr>
        <w:t>投标人须知</w:t>
      </w:r>
      <w:r>
        <w:rPr>
          <w:rFonts w:hint="eastAsia"/>
          <w:color w:val="000000"/>
        </w:rPr>
        <w:t>前附表</w:t>
      </w:r>
    </w:p>
    <w:p>
      <w:pPr>
        <w:pStyle w:val="16"/>
        <w:tabs>
          <w:tab w:val="left" w:pos="574"/>
        </w:tabs>
        <w:ind w:firstLine="420" w:firstLineChars="200"/>
        <w:rPr>
          <w:color w:val="000000"/>
        </w:rPr>
      </w:pPr>
      <w:r>
        <w:rPr>
          <w:rFonts w:hint="eastAsia"/>
          <w:color w:val="000000"/>
        </w:rPr>
        <w:t xml:space="preserve">第一章  </w:t>
      </w:r>
      <w:r>
        <w:rPr>
          <w:rFonts w:hint="eastAsia"/>
          <w:color w:val="000000"/>
          <w:lang w:eastAsia="zh-CN"/>
        </w:rPr>
        <w:t>投标人须知</w:t>
      </w:r>
      <w:r>
        <w:rPr>
          <w:rFonts w:hint="eastAsia"/>
          <w:color w:val="000000"/>
        </w:rPr>
        <w:t>；</w:t>
      </w:r>
    </w:p>
    <w:p>
      <w:pPr>
        <w:pStyle w:val="16"/>
        <w:tabs>
          <w:tab w:val="left" w:pos="574"/>
        </w:tabs>
        <w:ind w:firstLine="420" w:firstLineChars="200"/>
        <w:rPr>
          <w:color w:val="000000"/>
        </w:rPr>
      </w:pPr>
      <w:r>
        <w:rPr>
          <w:rFonts w:hint="eastAsia"/>
          <w:color w:val="000000"/>
        </w:rPr>
        <w:t>第二章  评标办法；</w:t>
      </w:r>
    </w:p>
    <w:p>
      <w:pPr>
        <w:pStyle w:val="16"/>
        <w:tabs>
          <w:tab w:val="left" w:pos="574"/>
        </w:tabs>
        <w:ind w:firstLine="420" w:firstLineChars="200"/>
        <w:rPr>
          <w:color w:val="000000"/>
        </w:rPr>
      </w:pPr>
      <w:r>
        <w:rPr>
          <w:rFonts w:hint="eastAsia"/>
          <w:color w:val="000000"/>
        </w:rPr>
        <w:t>第三章  合同条款及格式；</w:t>
      </w:r>
    </w:p>
    <w:p>
      <w:pPr>
        <w:pStyle w:val="16"/>
        <w:tabs>
          <w:tab w:val="left" w:pos="574"/>
        </w:tabs>
        <w:ind w:firstLine="420" w:firstLineChars="200"/>
        <w:rPr>
          <w:color w:val="000000"/>
        </w:rPr>
      </w:pPr>
      <w:r>
        <w:rPr>
          <w:rFonts w:hint="eastAsia"/>
          <w:color w:val="000000"/>
        </w:rPr>
        <w:t>第四章  图  纸；</w:t>
      </w:r>
    </w:p>
    <w:p>
      <w:pPr>
        <w:pStyle w:val="16"/>
        <w:tabs>
          <w:tab w:val="left" w:pos="574"/>
        </w:tabs>
        <w:ind w:firstLine="420" w:firstLineChars="200"/>
        <w:rPr>
          <w:color w:val="000000"/>
        </w:rPr>
      </w:pPr>
      <w:r>
        <w:rPr>
          <w:rFonts w:hint="eastAsia"/>
          <w:color w:val="000000"/>
        </w:rPr>
        <w:t>第五章  技术标准和要求；</w:t>
      </w:r>
    </w:p>
    <w:p>
      <w:pPr>
        <w:pStyle w:val="16"/>
        <w:tabs>
          <w:tab w:val="left" w:pos="574"/>
        </w:tabs>
        <w:ind w:firstLine="420" w:firstLineChars="200"/>
        <w:rPr>
          <w:color w:val="000000"/>
        </w:rPr>
      </w:pPr>
      <w:r>
        <w:rPr>
          <w:rFonts w:hint="eastAsia"/>
          <w:color w:val="000000"/>
        </w:rPr>
        <w:t>第六章  投标文件格式；</w:t>
      </w:r>
    </w:p>
    <w:p>
      <w:pPr>
        <w:pStyle w:val="16"/>
        <w:tabs>
          <w:tab w:val="left" w:pos="574"/>
        </w:tabs>
        <w:ind w:firstLine="420" w:firstLineChars="200"/>
        <w:rPr>
          <w:color w:val="000000"/>
        </w:rPr>
      </w:pPr>
      <w:r>
        <w:rPr>
          <w:rFonts w:hint="eastAsia"/>
          <w:color w:val="000000"/>
        </w:rPr>
        <w:t>附件：</w:t>
      </w:r>
    </w:p>
    <w:p>
      <w:pPr>
        <w:spacing w:line="360" w:lineRule="auto"/>
        <w:ind w:firstLine="420" w:firstLineChars="200"/>
        <w:rPr>
          <w:rFonts w:ascii="宋体" w:hAnsi="宋体" w:cs="宋体"/>
          <w:szCs w:val="21"/>
        </w:rPr>
      </w:pPr>
      <w:r>
        <w:rPr>
          <w:rFonts w:hint="eastAsia" w:ascii="宋体" w:hAnsi="宋体" w:cs="宋体"/>
          <w:szCs w:val="21"/>
        </w:rPr>
        <w:t>1、图纸；</w:t>
      </w:r>
    </w:p>
    <w:p>
      <w:pPr>
        <w:spacing w:line="360" w:lineRule="auto"/>
        <w:ind w:firstLine="420" w:firstLineChars="200"/>
        <w:rPr>
          <w:rFonts w:ascii="宋体" w:hAnsi="宋体" w:cs="宋体"/>
          <w:szCs w:val="21"/>
        </w:rPr>
      </w:pPr>
      <w:r>
        <w:rPr>
          <w:rFonts w:hint="eastAsia" w:ascii="宋体" w:hAnsi="宋体" w:cs="宋体"/>
          <w:szCs w:val="21"/>
        </w:rPr>
        <w:t>2、预算书。</w:t>
      </w:r>
    </w:p>
    <w:p>
      <w:pPr>
        <w:pStyle w:val="16"/>
        <w:tabs>
          <w:tab w:val="left" w:pos="574"/>
        </w:tabs>
        <w:ind w:firstLine="420" w:firstLineChars="200"/>
        <w:rPr>
          <w:rFonts w:ascii="黑体" w:eastAsia="黑体"/>
          <w:b/>
        </w:rPr>
      </w:pPr>
      <w:r>
        <w:rPr>
          <w:rFonts w:hint="eastAsia"/>
          <w:color w:val="000000"/>
        </w:rPr>
        <w:t>8.2</w:t>
      </w:r>
      <w:r>
        <w:rPr>
          <w:color w:val="000000"/>
        </w:rPr>
        <w:t>除</w:t>
      </w:r>
      <w:r>
        <w:rPr>
          <w:rFonts w:hint="eastAsia"/>
          <w:color w:val="000000"/>
        </w:rPr>
        <w:t>上款</w:t>
      </w:r>
      <w:r>
        <w:rPr>
          <w:color w:val="000000"/>
        </w:rPr>
        <w:t>内容外，招标人在提交投标文件截止时间</w:t>
      </w:r>
      <w:r>
        <w:rPr>
          <w:rFonts w:hint="eastAsia"/>
          <w:color w:val="000000"/>
        </w:rPr>
        <w:t>前，以书面形式发出的对招标文件的澄清或修改内容，均为招标文件的组成部分，对招标人和投标人起约束作用。</w:t>
      </w:r>
    </w:p>
    <w:p>
      <w:pPr>
        <w:pStyle w:val="16"/>
        <w:tabs>
          <w:tab w:val="left" w:pos="574"/>
        </w:tabs>
        <w:ind w:firstLine="420" w:firstLineChars="200"/>
        <w:rPr>
          <w:highlight w:val="none"/>
        </w:rPr>
      </w:pPr>
      <w:r>
        <w:rPr>
          <w:rFonts w:hint="eastAsia"/>
          <w:color w:val="000000"/>
        </w:rPr>
        <w:t>8.3</w:t>
      </w:r>
      <w:r>
        <w:rPr>
          <w:color w:val="000000"/>
        </w:rPr>
        <w:t>投标人获取招标文件后，应仔细检查招标文件的所有内容，如有残缺等问题应在获得招标文件</w:t>
      </w:r>
      <w:r>
        <w:rPr>
          <w:rFonts w:hint="eastAsia"/>
          <w:color w:val="000000"/>
        </w:rPr>
        <w:t>三</w:t>
      </w:r>
      <w:r>
        <w:rPr>
          <w:color w:val="000000"/>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tabs>
          <w:tab w:val="left" w:pos="287"/>
        </w:tabs>
        <w:spacing w:before="360" w:line="288" w:lineRule="auto"/>
        <w:jc w:val="left"/>
        <w:rPr>
          <w:rFonts w:ascii="黑体" w:hAnsi="宋体" w:eastAsia="黑体"/>
          <w:color w:val="000000"/>
          <w:szCs w:val="20"/>
          <w:highlight w:val="none"/>
        </w:rPr>
      </w:pPr>
      <w:bookmarkStart w:id="69" w:name="_Toc500208469"/>
      <w:bookmarkStart w:id="70" w:name="_Toc169487785"/>
      <w:bookmarkStart w:id="71" w:name="_Toc155342537"/>
      <w:bookmarkStart w:id="72" w:name="_Toc3992"/>
      <w:r>
        <w:rPr>
          <w:rFonts w:hint="eastAsia" w:ascii="黑体" w:hAnsi="宋体" w:eastAsia="黑体"/>
          <w:color w:val="000000"/>
          <w:szCs w:val="20"/>
          <w:highlight w:val="none"/>
        </w:rPr>
        <w:t>9.招标文件的</w:t>
      </w:r>
      <w:bookmarkEnd w:id="69"/>
      <w:r>
        <w:rPr>
          <w:rFonts w:hint="eastAsia" w:ascii="黑体" w:hAnsi="宋体" w:eastAsia="黑体"/>
          <w:color w:val="000000"/>
          <w:szCs w:val="20"/>
          <w:highlight w:val="none"/>
        </w:rPr>
        <w:t>澄清</w:t>
      </w:r>
      <w:bookmarkEnd w:id="70"/>
      <w:bookmarkEnd w:id="71"/>
      <w:bookmarkEnd w:id="72"/>
    </w:p>
    <w:p>
      <w:pPr>
        <w:pStyle w:val="16"/>
        <w:tabs>
          <w:tab w:val="left" w:pos="574"/>
        </w:tabs>
        <w:ind w:firstLine="420" w:firstLineChars="200"/>
        <w:rPr>
          <w:rFonts w:hint="eastAsia"/>
          <w:color w:val="000000"/>
          <w:highlight w:val="none"/>
        </w:rPr>
      </w:pPr>
      <w:r>
        <w:rPr>
          <w:rFonts w:hint="eastAsia"/>
          <w:color w:val="000000"/>
          <w:highlight w:val="none"/>
        </w:rPr>
        <w:t>9.1投标人在收到招标文件后，若有问题需要澄清，应在投标截止时间10日前，在乐采云平台（https://www.lecaiyun.com/）在线递交。招标人对投标人疑问作出统一的解答，并以招标补充文件的形式发出</w:t>
      </w:r>
      <w:r>
        <w:rPr>
          <w:rFonts w:hint="eastAsia"/>
          <w:color w:val="000000"/>
          <w:highlight w:val="none"/>
          <w:lang w:eastAsia="zh-CN"/>
        </w:rPr>
        <w:t>，</w:t>
      </w:r>
      <w:r>
        <w:rPr>
          <w:rFonts w:hint="eastAsia"/>
          <w:color w:val="000000"/>
          <w:highlight w:val="none"/>
          <w:lang w:val="en-US" w:eastAsia="zh-CN"/>
        </w:rPr>
        <w:t>在招标公告发布的网站</w:t>
      </w:r>
      <w:r>
        <w:rPr>
          <w:rFonts w:hint="eastAsia"/>
          <w:color w:val="000000"/>
          <w:highlight w:val="none"/>
        </w:rPr>
        <w:t>公开发布。在开标前，投标人须随时关注网站的最新答疑信息，自行下载。</w:t>
      </w:r>
    </w:p>
    <w:p>
      <w:pPr>
        <w:pStyle w:val="16"/>
        <w:tabs>
          <w:tab w:val="left" w:pos="574"/>
        </w:tabs>
        <w:ind w:firstLine="420" w:firstLineChars="200"/>
        <w:rPr>
          <w:highlight w:val="none"/>
        </w:rPr>
      </w:pPr>
      <w:r>
        <w:rPr>
          <w:rFonts w:hint="eastAsia"/>
          <w:color w:val="000000"/>
          <w:highlight w:val="none"/>
          <w:lang w:val="en-US" w:eastAsia="zh-CN"/>
        </w:rPr>
        <w:t>9.2</w:t>
      </w:r>
      <w:r>
        <w:rPr>
          <w:rFonts w:hint="eastAsia"/>
          <w:color w:val="000000"/>
          <w:highlight w:val="none"/>
        </w:rPr>
        <w:t>潜在投标人应自行关注交易平台发布的补充文件信息，招标人不再逐一通知。投标人因自身贻误行为导致投标失败的，责任自负。招标人及招标代理机构的任何工作人员对投标人所作的任何口头解释、介绍、答复，只能供投标人参考，对招标人无任何约束力。</w:t>
      </w:r>
    </w:p>
    <w:p>
      <w:pPr>
        <w:tabs>
          <w:tab w:val="left" w:pos="287"/>
        </w:tabs>
        <w:spacing w:before="360" w:line="288" w:lineRule="auto"/>
        <w:jc w:val="left"/>
        <w:rPr>
          <w:rFonts w:ascii="黑体" w:hAnsi="宋体" w:eastAsia="黑体"/>
          <w:color w:val="000000"/>
          <w:szCs w:val="20"/>
        </w:rPr>
      </w:pPr>
      <w:bookmarkStart w:id="73" w:name="_Toc169487786"/>
      <w:bookmarkStart w:id="74" w:name="_Toc155342538"/>
      <w:bookmarkStart w:id="75" w:name="_Toc14022"/>
      <w:bookmarkStart w:id="76" w:name="_Toc500208470"/>
      <w:r>
        <w:rPr>
          <w:rFonts w:hint="eastAsia" w:ascii="黑体" w:hAnsi="宋体" w:eastAsia="黑体"/>
          <w:color w:val="000000"/>
          <w:szCs w:val="20"/>
        </w:rPr>
        <w:t>10.招标文件的修改</w:t>
      </w:r>
      <w:bookmarkEnd w:id="73"/>
      <w:bookmarkEnd w:id="74"/>
      <w:bookmarkEnd w:id="75"/>
      <w:bookmarkEnd w:id="76"/>
    </w:p>
    <w:p>
      <w:pPr>
        <w:pStyle w:val="16"/>
        <w:tabs>
          <w:tab w:val="left" w:pos="574"/>
        </w:tabs>
        <w:ind w:firstLine="420" w:firstLineChars="200"/>
        <w:rPr>
          <w:rFonts w:hint="eastAsia"/>
        </w:rPr>
      </w:pPr>
      <w:r>
        <w:rPr>
          <w:rFonts w:hint="eastAsia"/>
        </w:rPr>
        <w:t>10.1招标人可以对已发出的招标文件进行必要的澄清或者修改。澄清或者修改的内容可能影响投标文件编制的，招标人应当在投标截止时间至少15日前，在招标公告的媒体上发布澄清或者修改文件；不足15日的，招标人应当顺延提交投标文件的截止时间。当招标文件、招标文件的澄清、修改、补充等在同一内容的表述上不一致时，以最后发出的文件为准。</w:t>
      </w:r>
    </w:p>
    <w:p>
      <w:pPr>
        <w:pStyle w:val="3"/>
        <w:spacing w:after="120"/>
        <w:jc w:val="center"/>
      </w:pPr>
      <w:bookmarkStart w:id="77" w:name="_Toc17786"/>
      <w:bookmarkStart w:id="78" w:name="_Toc14412"/>
      <w:bookmarkStart w:id="79" w:name="_Toc500208475"/>
      <w:bookmarkStart w:id="80" w:name="_Toc5449"/>
      <w:bookmarkStart w:id="81" w:name="_Toc353454315"/>
      <w:bookmarkStart w:id="82" w:name="_Toc500209416"/>
      <w:bookmarkStart w:id="83" w:name="_Toc13158"/>
      <w:r>
        <w:rPr>
          <w:rFonts w:hint="eastAsia"/>
        </w:rPr>
        <w:t>第三节  投标文件的编制</w:t>
      </w:r>
      <w:bookmarkEnd w:id="77"/>
      <w:bookmarkEnd w:id="78"/>
      <w:bookmarkEnd w:id="79"/>
      <w:bookmarkEnd w:id="80"/>
      <w:bookmarkEnd w:id="81"/>
      <w:bookmarkEnd w:id="82"/>
      <w:bookmarkEnd w:id="83"/>
    </w:p>
    <w:p>
      <w:pPr>
        <w:tabs>
          <w:tab w:val="left" w:pos="287"/>
        </w:tabs>
        <w:spacing w:before="360" w:line="288" w:lineRule="auto"/>
        <w:jc w:val="left"/>
        <w:rPr>
          <w:rFonts w:ascii="黑体" w:hAnsi="宋体" w:eastAsia="黑体"/>
          <w:color w:val="000000"/>
          <w:szCs w:val="20"/>
        </w:rPr>
      </w:pPr>
      <w:bookmarkStart w:id="84" w:name="_Toc11194"/>
      <w:bookmarkStart w:id="85" w:name="_Toc500208476"/>
      <w:bookmarkStart w:id="86" w:name="_Toc69095786"/>
      <w:bookmarkStart w:id="87" w:name="_Toc169487790"/>
      <w:bookmarkStart w:id="88" w:name="_Toc155342542"/>
      <w:bookmarkStart w:id="89" w:name="_Toc500208477"/>
      <w:r>
        <w:rPr>
          <w:rFonts w:hint="eastAsia" w:ascii="黑体" w:hAnsi="宋体" w:eastAsia="黑体"/>
          <w:color w:val="000000"/>
          <w:szCs w:val="20"/>
        </w:rPr>
        <w:t>11.投标文件的组成</w:t>
      </w:r>
      <w:bookmarkEnd w:id="84"/>
      <w:bookmarkEnd w:id="85"/>
      <w:bookmarkEnd w:id="86"/>
      <w:bookmarkEnd w:id="87"/>
      <w:bookmarkEnd w:id="88"/>
    </w:p>
    <w:p>
      <w:pPr>
        <w:pStyle w:val="16"/>
        <w:tabs>
          <w:tab w:val="left" w:pos="574"/>
        </w:tabs>
        <w:ind w:firstLine="420" w:firstLineChars="200"/>
      </w:pPr>
      <w:r>
        <w:rPr>
          <w:rFonts w:hint="eastAsia"/>
        </w:rPr>
        <w:t>11.1本招标工程项目的投标文件组成详见本须知前附表第14项。</w:t>
      </w:r>
    </w:p>
    <w:p>
      <w:pPr>
        <w:tabs>
          <w:tab w:val="left" w:pos="287"/>
        </w:tabs>
        <w:spacing w:before="360" w:line="288" w:lineRule="auto"/>
        <w:jc w:val="left"/>
        <w:rPr>
          <w:rFonts w:ascii="黑体" w:hAnsi="宋体" w:eastAsia="黑体"/>
          <w:color w:val="000000"/>
          <w:szCs w:val="20"/>
        </w:rPr>
      </w:pPr>
      <w:bookmarkStart w:id="90" w:name="_Toc169487791"/>
      <w:bookmarkStart w:id="91" w:name="_Toc155342544"/>
      <w:bookmarkStart w:id="92" w:name="_Toc27156"/>
      <w:r>
        <w:rPr>
          <w:rFonts w:hint="eastAsia" w:ascii="黑体" w:hAnsi="宋体" w:eastAsia="黑体"/>
          <w:color w:val="000000"/>
          <w:szCs w:val="20"/>
        </w:rPr>
        <w:t>12.投标文件的格式</w:t>
      </w:r>
      <w:bookmarkEnd w:id="90"/>
      <w:bookmarkEnd w:id="91"/>
      <w:bookmarkEnd w:id="92"/>
    </w:p>
    <w:p>
      <w:pPr>
        <w:pStyle w:val="16"/>
        <w:tabs>
          <w:tab w:val="left" w:pos="574"/>
        </w:tabs>
        <w:ind w:firstLine="420" w:firstLineChars="200"/>
      </w:pPr>
      <w:r>
        <w:rPr>
          <w:rFonts w:hint="eastAsia"/>
        </w:rPr>
        <w:t>12.1本招标工程项目的投标文件格式要求详见本须知前附表第15项。</w:t>
      </w:r>
    </w:p>
    <w:p>
      <w:pPr>
        <w:tabs>
          <w:tab w:val="left" w:pos="287"/>
        </w:tabs>
        <w:spacing w:before="360" w:line="288" w:lineRule="auto"/>
        <w:jc w:val="left"/>
        <w:rPr>
          <w:rFonts w:ascii="黑体" w:hAnsi="宋体" w:eastAsia="黑体"/>
          <w:color w:val="000000"/>
          <w:szCs w:val="20"/>
        </w:rPr>
      </w:pPr>
      <w:bookmarkStart w:id="93" w:name="_Toc9014"/>
      <w:bookmarkStart w:id="94" w:name="_Toc155342545"/>
      <w:bookmarkStart w:id="95" w:name="_Toc169487792"/>
      <w:r>
        <w:rPr>
          <w:rFonts w:hint="eastAsia" w:ascii="黑体" w:hAnsi="宋体" w:eastAsia="黑体"/>
          <w:color w:val="000000"/>
          <w:szCs w:val="20"/>
        </w:rPr>
        <w:t>13.投标报价组成</w:t>
      </w:r>
      <w:bookmarkEnd w:id="93"/>
      <w:bookmarkEnd w:id="94"/>
      <w:bookmarkEnd w:id="95"/>
    </w:p>
    <w:p>
      <w:pPr>
        <w:pStyle w:val="16"/>
        <w:tabs>
          <w:tab w:val="left" w:pos="574"/>
        </w:tabs>
        <w:ind w:firstLine="420" w:firstLineChars="200"/>
        <w:rPr>
          <w:color w:val="FF0000"/>
        </w:rPr>
      </w:pPr>
      <w:r>
        <w:rPr>
          <w:rFonts w:hint="eastAsia"/>
        </w:rPr>
        <w:t>13.1报价方式：本工程项目报价方式详见本须知前附表第16项。</w:t>
      </w:r>
    </w:p>
    <w:p>
      <w:pPr>
        <w:pStyle w:val="16"/>
        <w:tabs>
          <w:tab w:val="left" w:pos="574"/>
        </w:tabs>
        <w:ind w:firstLine="422" w:firstLineChars="200"/>
        <w:rPr>
          <w:b/>
          <w:bCs/>
          <w:color w:val="0C0C0C"/>
          <w:highlight w:val="yellow"/>
        </w:rPr>
      </w:pPr>
      <w:r>
        <w:rPr>
          <w:rFonts w:hint="eastAsia"/>
          <w:b/>
          <w:bCs/>
        </w:rPr>
        <w:t>13.2投标总报价应是招标文件所确定的招标范围内全部工作内容的价格表现。其应包括施工人工、材料、设备、机械进退场费、劳务、管理、材料、安装、安全文明、维护、技术措施费、施工组织措施费、风</w:t>
      </w:r>
      <w:r>
        <w:rPr>
          <w:rFonts w:hint="eastAsia"/>
          <w:b/>
          <w:bCs/>
          <w:color w:val="0C0C0C"/>
        </w:rPr>
        <w:t>险费、保险、利润、规费、税金、政策性文件规定及合同包含的所有风险、责任等所有费用。各投标人应根据招标人提供的技术资料、招标人预算书</w:t>
      </w:r>
      <w:r>
        <w:rPr>
          <w:b/>
          <w:bCs/>
          <w:color w:val="0C0C0C"/>
        </w:rPr>
        <w:t>，</w:t>
      </w:r>
      <w:r>
        <w:rPr>
          <w:rFonts w:hint="eastAsia"/>
          <w:b/>
          <w:bCs/>
          <w:color w:val="0C0C0C"/>
        </w:rPr>
        <w:t>以及本工程实际情况和自身的综合实力，竞报投标总报价。总报价以人民币元计。</w:t>
      </w:r>
    </w:p>
    <w:p>
      <w:pPr>
        <w:autoSpaceDE w:val="0"/>
        <w:autoSpaceDN w:val="0"/>
        <w:adjustRightInd w:val="0"/>
        <w:ind w:firstLine="420" w:firstLineChars="200"/>
      </w:pPr>
      <w:r>
        <w:rPr>
          <w:rFonts w:hint="eastAsia"/>
        </w:rPr>
        <w:t>13.3本工程量是根据有关资料、</w:t>
      </w:r>
      <w:r>
        <w:rPr>
          <w:rFonts w:hint="eastAsia"/>
          <w:lang w:eastAsia="zh-CN"/>
        </w:rPr>
        <w:t>《建设工程工程量清单计价规范》(GB50500-2013)、《通用安装工程工程量计算规范》(GB50856-2013)、建设工程工程量计算规范(2013)浙江省补充规定及补充规定(二)、《浙江省建设工程计价规则》(2018版)、《浙江省通用安装工程预算定额》(2018版)</w:t>
      </w:r>
      <w:r>
        <w:rPr>
          <w:rFonts w:hint="eastAsia"/>
        </w:rPr>
        <w:t>、省市有关文件及台州市造价问题及解决参考意见等工程所在地现行的有关规定计算。</w:t>
      </w:r>
    </w:p>
    <w:p>
      <w:pPr>
        <w:pStyle w:val="16"/>
        <w:tabs>
          <w:tab w:val="left" w:pos="574"/>
        </w:tabs>
        <w:ind w:firstLine="420" w:firstLineChars="200"/>
      </w:pPr>
      <w:r>
        <w:rPr>
          <w:rFonts w:hint="eastAsia"/>
        </w:rPr>
        <w:t>13.4总承包服务费：本项目总包单位为本工程施工总承包单位，该工程的总承包服务费已由发包人支付予总包单位，中标人应接受总包单位的总分包管理，具体内容见合同专用条款。</w:t>
      </w:r>
    </w:p>
    <w:p>
      <w:pPr>
        <w:pStyle w:val="16"/>
        <w:tabs>
          <w:tab w:val="left" w:pos="574"/>
        </w:tabs>
        <w:ind w:firstLine="420" w:firstLineChars="200"/>
      </w:pPr>
      <w:r>
        <w:rPr>
          <w:rFonts w:hint="eastAsia"/>
        </w:rPr>
        <w:t>13.5如发生本招标文件条款未涉及的总分包之间的费用，由分包人与总包方自行协商解决。作为一个有经验的投标人在本次投标时应充分考虑需要发生或可能发生与土建总承包单位配合过程的其他一切相关费用，并将此类费用综合考虑至投标报价中，工程实施、合同签订后，发包人不再支付给中标人此类费用，若今后分包人与总承包单位发生此项纠纷，发包人均已视为包含在投标报价中，中标人不得以此为理由拖延施工从而影响工程进度。</w:t>
      </w:r>
      <w:bookmarkStart w:id="96" w:name="_Toc155342546"/>
      <w:bookmarkStart w:id="97" w:name="_Toc169487793"/>
      <w:bookmarkStart w:id="98" w:name="_Toc7341"/>
      <w:bookmarkStart w:id="99" w:name="_Toc500208474"/>
    </w:p>
    <w:p>
      <w:pPr>
        <w:pStyle w:val="16"/>
        <w:tabs>
          <w:tab w:val="left" w:pos="574"/>
        </w:tabs>
        <w:ind w:firstLine="420" w:firstLineChars="200"/>
        <w:rPr>
          <w:rFonts w:ascii="黑体" w:hAnsi="宋体" w:eastAsia="黑体"/>
          <w:color w:val="000000"/>
          <w:szCs w:val="20"/>
        </w:rPr>
      </w:pPr>
      <w:r>
        <w:rPr>
          <w:rFonts w:hint="eastAsia" w:ascii="黑体" w:hAnsi="宋体" w:eastAsia="黑体"/>
          <w:color w:val="000000"/>
          <w:szCs w:val="20"/>
        </w:rPr>
        <w:t>14.投标报价要求</w:t>
      </w:r>
      <w:bookmarkEnd w:id="96"/>
      <w:bookmarkEnd w:id="97"/>
      <w:bookmarkEnd w:id="98"/>
    </w:p>
    <w:p>
      <w:pPr>
        <w:pStyle w:val="16"/>
        <w:tabs>
          <w:tab w:val="left" w:pos="574"/>
        </w:tabs>
        <w:ind w:firstLine="420" w:firstLineChars="200"/>
      </w:pPr>
      <w:r>
        <w:rPr>
          <w:rFonts w:hint="eastAsia"/>
        </w:rPr>
        <w:t>14.1投标人应根据本招标文件报价要求，结合工程施工的实际情况、市场行情、技术方案和企业的管理水平，综合分析后自主确定总报价。</w:t>
      </w:r>
    </w:p>
    <w:p>
      <w:pPr>
        <w:pStyle w:val="16"/>
        <w:tabs>
          <w:tab w:val="left" w:pos="574"/>
        </w:tabs>
        <w:ind w:firstLine="420" w:firstLineChars="200"/>
      </w:pPr>
      <w:r>
        <w:rPr>
          <w:rFonts w:hint="eastAsia"/>
        </w:rPr>
        <w:t>14.2附件中除空白部分由投标人自报外，其余内容作为投标报价的共同基础</w:t>
      </w:r>
      <w:r>
        <w:rPr>
          <w:rFonts w:hint="eastAsia" w:ascii="黑体" w:eastAsia="黑体"/>
          <w:b/>
          <w:bCs/>
        </w:rPr>
        <w:t>。</w:t>
      </w:r>
    </w:p>
    <w:p>
      <w:pPr>
        <w:pStyle w:val="16"/>
        <w:tabs>
          <w:tab w:val="left" w:pos="574"/>
        </w:tabs>
        <w:ind w:firstLine="422" w:firstLineChars="200"/>
        <w:rPr>
          <w:rFonts w:ascii="黑体" w:eastAsia="黑体"/>
          <w:b/>
        </w:rPr>
      </w:pPr>
      <w:r>
        <w:rPr>
          <w:rFonts w:hint="eastAsia" w:ascii="黑体" w:eastAsia="黑体"/>
          <w:b/>
          <w:bCs/>
        </w:rPr>
        <w:t>14.3投标人的报价要求详见</w:t>
      </w:r>
      <w:r>
        <w:rPr>
          <w:rFonts w:hint="eastAsia" w:ascii="黑体" w:eastAsia="黑体"/>
          <w:b/>
        </w:rPr>
        <w:t>本须知前附表第4项，未</w:t>
      </w:r>
      <w:r>
        <w:rPr>
          <w:rFonts w:hint="eastAsia" w:ascii="黑体" w:eastAsia="黑体"/>
          <w:b/>
          <w:bCs/>
        </w:rPr>
        <w:t>按要求报价的，作无效标处理</w:t>
      </w:r>
      <w:r>
        <w:rPr>
          <w:rFonts w:hint="eastAsia" w:ascii="黑体" w:eastAsia="黑体"/>
          <w:b/>
        </w:rPr>
        <w:t>。</w:t>
      </w:r>
    </w:p>
    <w:bookmarkEnd w:id="99"/>
    <w:p>
      <w:pPr>
        <w:tabs>
          <w:tab w:val="left" w:pos="287"/>
        </w:tabs>
        <w:spacing w:before="360" w:line="288" w:lineRule="auto"/>
        <w:jc w:val="left"/>
        <w:rPr>
          <w:rFonts w:ascii="黑体" w:hAnsi="宋体" w:eastAsia="黑体"/>
          <w:color w:val="000000"/>
          <w:szCs w:val="20"/>
        </w:rPr>
      </w:pPr>
      <w:bookmarkStart w:id="100" w:name="_Toc155342547"/>
      <w:bookmarkStart w:id="101" w:name="_Toc169487794"/>
      <w:bookmarkStart w:id="102" w:name="_Toc32101"/>
      <w:r>
        <w:rPr>
          <w:rFonts w:hint="eastAsia" w:ascii="黑体" w:hAnsi="宋体" w:eastAsia="黑体"/>
          <w:color w:val="000000"/>
          <w:szCs w:val="20"/>
        </w:rPr>
        <w:t>15.</w:t>
      </w:r>
      <w:bookmarkEnd w:id="89"/>
      <w:bookmarkEnd w:id="100"/>
      <w:bookmarkEnd w:id="101"/>
      <w:bookmarkEnd w:id="102"/>
      <w:r>
        <w:rPr>
          <w:rFonts w:hint="eastAsia" w:ascii="黑体" w:hAnsi="宋体" w:eastAsia="黑体"/>
          <w:color w:val="000000"/>
          <w:szCs w:val="20"/>
        </w:rPr>
        <w:t>投标保证金</w:t>
      </w:r>
    </w:p>
    <w:p>
      <w:pPr>
        <w:pStyle w:val="16"/>
        <w:tabs>
          <w:tab w:val="left" w:pos="574"/>
        </w:tabs>
        <w:ind w:firstLine="420" w:firstLineChars="200"/>
      </w:pPr>
      <w:bookmarkStart w:id="103" w:name="_Toc688"/>
      <w:bookmarkStart w:id="104" w:name="_Toc13381"/>
      <w:r>
        <w:rPr>
          <w:rFonts w:hint="eastAsia"/>
        </w:rPr>
        <w:t>15.1投标人按本须知前附表第17项规定提交投标保证金。</w:t>
      </w:r>
      <w:bookmarkEnd w:id="103"/>
      <w:bookmarkEnd w:id="104"/>
    </w:p>
    <w:p>
      <w:pPr>
        <w:pStyle w:val="16"/>
        <w:tabs>
          <w:tab w:val="left" w:pos="574"/>
        </w:tabs>
        <w:ind w:firstLine="420" w:firstLineChars="200"/>
      </w:pPr>
      <w:r>
        <w:rPr>
          <w:rFonts w:hint="eastAsia"/>
        </w:rPr>
        <w:t>15.2对于未能按要求提交投标保证金的，招标人将视为不响应投标而予以拒绝。</w:t>
      </w:r>
    </w:p>
    <w:p>
      <w:pPr>
        <w:pStyle w:val="16"/>
        <w:tabs>
          <w:tab w:val="left" w:pos="574"/>
        </w:tabs>
        <w:ind w:firstLine="420" w:firstLineChars="200"/>
      </w:pPr>
      <w:bookmarkStart w:id="105" w:name="_Toc14719"/>
      <w:bookmarkStart w:id="106" w:name="_Toc9439"/>
      <w:r>
        <w:rPr>
          <w:rFonts w:hint="eastAsia"/>
        </w:rPr>
        <w:t>15.3投标保证金按以下方式退还：</w:t>
      </w:r>
      <w:bookmarkEnd w:id="105"/>
      <w:bookmarkEnd w:id="106"/>
    </w:p>
    <w:p>
      <w:pPr>
        <w:pStyle w:val="16"/>
        <w:tabs>
          <w:tab w:val="left" w:pos="574"/>
        </w:tabs>
        <w:ind w:firstLine="420" w:firstLineChars="200"/>
      </w:pPr>
      <w:r>
        <w:rPr>
          <w:rFonts w:hint="eastAsia"/>
        </w:rPr>
        <w:t>（1）</w:t>
      </w:r>
      <w:r>
        <w:t>中标人</w:t>
      </w:r>
      <w:r>
        <w:rPr>
          <w:rFonts w:hint="eastAsia"/>
        </w:rPr>
        <w:t>的投标担保在合同签订后</w:t>
      </w:r>
      <w:r>
        <w:t>退还</w:t>
      </w:r>
      <w:r>
        <w:rPr>
          <w:rFonts w:hint="eastAsia"/>
        </w:rPr>
        <w:t>；</w:t>
      </w:r>
    </w:p>
    <w:p>
      <w:pPr>
        <w:pStyle w:val="16"/>
        <w:tabs>
          <w:tab w:val="left" w:pos="574"/>
        </w:tabs>
        <w:ind w:left="-4" w:leftChars="-2" w:firstLine="420" w:firstLineChars="200"/>
      </w:pPr>
      <w:r>
        <w:rPr>
          <w:rFonts w:hint="eastAsia"/>
        </w:rPr>
        <w:t>（2）其余投标人（含无效标的）在中标候选人公示结束后退还。</w:t>
      </w:r>
    </w:p>
    <w:p>
      <w:pPr>
        <w:pStyle w:val="16"/>
        <w:tabs>
          <w:tab w:val="left" w:pos="574"/>
        </w:tabs>
        <w:ind w:firstLine="420" w:firstLineChars="200"/>
      </w:pPr>
      <w:bookmarkStart w:id="107" w:name="_Toc32270"/>
      <w:bookmarkStart w:id="108" w:name="_Toc21410"/>
      <w:r>
        <w:rPr>
          <w:rFonts w:hint="eastAsia"/>
        </w:rPr>
        <w:t>15.4如投标人有下列情况，投标保证金将被没收：</w:t>
      </w:r>
      <w:bookmarkEnd w:id="107"/>
      <w:bookmarkEnd w:id="108"/>
    </w:p>
    <w:p>
      <w:pPr>
        <w:pStyle w:val="12"/>
        <w:numPr>
          <w:ilvl w:val="0"/>
          <w:numId w:val="0"/>
        </w:numPr>
        <w:spacing w:line="288" w:lineRule="auto"/>
        <w:ind w:left="-5" w:firstLine="420"/>
        <w:rPr>
          <w:rFonts w:ascii="宋体" w:hAnsi="宋体"/>
        </w:rPr>
      </w:pPr>
      <w:r>
        <w:rPr>
          <w:rFonts w:hint="eastAsia" w:ascii="宋体" w:hAnsi="宋体" w:eastAsia="宋体" w:cs="Times New Roman"/>
          <w:kern w:val="2"/>
          <w:sz w:val="21"/>
          <w:szCs w:val="24"/>
          <w:lang w:val="en-US" w:eastAsia="zh-CN" w:bidi="ar-SA"/>
        </w:rPr>
        <w:t>（1）</w:t>
      </w:r>
      <w:r>
        <w:rPr>
          <w:rFonts w:hint="eastAsia" w:ascii="宋体" w:hAnsi="宋体"/>
        </w:rPr>
        <w:t>投标人在投标有效期内撤回其投标文件；</w:t>
      </w:r>
    </w:p>
    <w:p>
      <w:pPr>
        <w:pStyle w:val="12"/>
        <w:numPr>
          <w:ilvl w:val="0"/>
          <w:numId w:val="0"/>
        </w:numPr>
        <w:spacing w:line="288" w:lineRule="auto"/>
        <w:ind w:left="-5" w:firstLine="420"/>
        <w:rPr>
          <w:rFonts w:ascii="宋体" w:hAnsi="宋体"/>
        </w:rPr>
      </w:pPr>
      <w:r>
        <w:rPr>
          <w:rFonts w:hint="eastAsia" w:ascii="宋体" w:hAnsi="宋体" w:eastAsia="宋体" w:cs="Times New Roman"/>
          <w:kern w:val="2"/>
          <w:sz w:val="21"/>
          <w:szCs w:val="24"/>
          <w:lang w:val="en-US" w:eastAsia="zh-CN" w:bidi="ar-SA"/>
        </w:rPr>
        <w:t>（2）</w:t>
      </w:r>
      <w:r>
        <w:rPr>
          <w:rFonts w:hint="eastAsia" w:ascii="宋体" w:hAnsi="宋体"/>
        </w:rPr>
        <w:t>中标人未能在规定期限内提交履约担保或签署合同协议；</w:t>
      </w:r>
    </w:p>
    <w:p>
      <w:pPr>
        <w:pStyle w:val="12"/>
        <w:numPr>
          <w:ilvl w:val="0"/>
          <w:numId w:val="0"/>
        </w:numPr>
        <w:spacing w:line="288" w:lineRule="auto"/>
        <w:ind w:left="-5" w:firstLine="420"/>
        <w:rPr>
          <w:rFonts w:ascii="宋体" w:hAnsi="宋体"/>
        </w:rPr>
      </w:pPr>
      <w:r>
        <w:rPr>
          <w:rFonts w:hint="eastAsia" w:ascii="宋体" w:hAnsi="宋体" w:eastAsia="宋体" w:cs="Times New Roman"/>
          <w:kern w:val="2"/>
          <w:sz w:val="21"/>
          <w:szCs w:val="24"/>
          <w:lang w:val="en-US" w:eastAsia="zh-CN" w:bidi="ar-SA"/>
        </w:rPr>
        <w:t>（3）</w:t>
      </w:r>
      <w:r>
        <w:rPr>
          <w:rFonts w:hint="eastAsia" w:ascii="宋体" w:hAnsi="宋体"/>
        </w:rPr>
        <w:t>投标人违反《台州市重点建设项目诚信投标承诺书》承诺内容的；</w:t>
      </w:r>
    </w:p>
    <w:p>
      <w:pPr>
        <w:pStyle w:val="12"/>
        <w:numPr>
          <w:ilvl w:val="0"/>
          <w:numId w:val="0"/>
        </w:numPr>
        <w:spacing w:line="288" w:lineRule="auto"/>
        <w:ind w:left="-5" w:firstLine="420"/>
        <w:rPr>
          <w:rFonts w:hint="eastAsia" w:ascii="宋体" w:hAnsi="宋体"/>
        </w:rPr>
      </w:pPr>
      <w:r>
        <w:rPr>
          <w:rFonts w:hint="eastAsia" w:ascii="宋体" w:hAnsi="宋体" w:eastAsia="宋体" w:cs="Times New Roman"/>
          <w:kern w:val="2"/>
          <w:sz w:val="21"/>
          <w:szCs w:val="24"/>
          <w:lang w:val="en-US" w:eastAsia="zh-CN" w:bidi="ar-SA"/>
        </w:rPr>
        <w:t>（4）</w:t>
      </w:r>
      <w:r>
        <w:rPr>
          <w:rFonts w:hint="eastAsia" w:ascii="宋体" w:hAnsi="宋体"/>
        </w:rPr>
        <w:t>有《关于印发&lt;台州市工程建设投标保函管理规定&gt;的通知》（台公管办〔2022〕2号）第十一条规定情形的，即:</w:t>
      </w:r>
    </w:p>
    <w:p>
      <w:pPr>
        <w:pStyle w:val="12"/>
        <w:numPr>
          <w:ilvl w:val="4"/>
          <w:numId w:val="0"/>
        </w:numPr>
        <w:spacing w:line="288" w:lineRule="auto"/>
        <w:ind w:left="420" w:leftChars="200" w:firstLine="420"/>
        <w:rPr>
          <w:rFonts w:hint="eastAsia" w:ascii="宋体" w:hAnsi="宋体"/>
        </w:rPr>
      </w:pPr>
      <w:r>
        <w:rPr>
          <w:rFonts w:hint="eastAsia" w:ascii="宋体" w:hAnsi="宋体"/>
          <w:lang w:val="en-US" w:eastAsia="zh-CN"/>
        </w:rPr>
        <w:t>①</w:t>
      </w:r>
      <w:r>
        <w:rPr>
          <w:rFonts w:hint="eastAsia" w:ascii="宋体" w:hAnsi="宋体"/>
        </w:rPr>
        <w:t xml:space="preserve">投标截止时间后，投标人撤销投标文件的; </w:t>
      </w:r>
    </w:p>
    <w:p>
      <w:pPr>
        <w:pStyle w:val="12"/>
        <w:numPr>
          <w:ilvl w:val="4"/>
          <w:numId w:val="0"/>
        </w:numPr>
        <w:spacing w:line="288" w:lineRule="auto"/>
        <w:ind w:left="420" w:leftChars="200" w:firstLine="420"/>
        <w:rPr>
          <w:rFonts w:hint="eastAsia" w:ascii="宋体" w:hAnsi="宋体"/>
        </w:rPr>
      </w:pPr>
      <w:r>
        <w:rPr>
          <w:rFonts w:hint="eastAsia" w:ascii="宋体" w:hAnsi="宋体"/>
          <w:lang w:val="en-US" w:eastAsia="zh-CN"/>
        </w:rPr>
        <w:t>②</w:t>
      </w:r>
      <w:r>
        <w:rPr>
          <w:rFonts w:hint="eastAsia" w:ascii="宋体" w:hAnsi="宋体"/>
        </w:rPr>
        <w:t>投标人放弃中标候选人或中标资格的(包括中标人无正当理由不与招标人订立合同;在签订合同时向招标人提出附加条件;不按照招标文件要求提交履约担保)，没收的投标保证金不能弥补由于其放弃中标权而给招标人造成报价的差额损失的，由放弃中标权的中标候选人承担；</w:t>
      </w:r>
    </w:p>
    <w:p>
      <w:pPr>
        <w:pStyle w:val="12"/>
        <w:numPr>
          <w:ilvl w:val="4"/>
          <w:numId w:val="0"/>
        </w:numPr>
        <w:spacing w:line="288" w:lineRule="auto"/>
        <w:ind w:left="420" w:leftChars="200" w:firstLine="420"/>
        <w:rPr>
          <w:rFonts w:hint="eastAsia" w:ascii="宋体" w:hAnsi="宋体"/>
        </w:rPr>
      </w:pPr>
      <w:r>
        <w:rPr>
          <w:rFonts w:hint="eastAsia" w:ascii="宋体" w:hAnsi="宋体"/>
          <w:lang w:val="en-US" w:eastAsia="zh-CN"/>
        </w:rPr>
        <w:t>③</w:t>
      </w:r>
      <w:r>
        <w:rPr>
          <w:rFonts w:hint="eastAsia" w:ascii="宋体" w:hAnsi="宋体"/>
        </w:rPr>
        <w:t>投标人存在串通投标或弄虚作假违法行为的(包括但不限于同一项目不同投标人的电子投标文件的文件制作机器码或文件创建标识码相同的;不同投标人从同一投标单位或同一自然人的 IP 地址下载招标文件、上传投标文件、购买保函或参加投标活动的人员为同一标段其他投标人的在职人员的;不同投标人通过同一单位或者个人账户购买保函的);</w:t>
      </w:r>
    </w:p>
    <w:p>
      <w:pPr>
        <w:pStyle w:val="12"/>
        <w:numPr>
          <w:ilvl w:val="4"/>
          <w:numId w:val="0"/>
        </w:numPr>
        <w:spacing w:line="288" w:lineRule="auto"/>
        <w:ind w:left="420" w:leftChars="200" w:firstLine="420"/>
        <w:rPr>
          <w:rFonts w:ascii="宋体" w:hAnsi="宋体"/>
        </w:rPr>
      </w:pPr>
      <w:r>
        <w:rPr>
          <w:rFonts w:hint="eastAsia" w:ascii="宋体" w:hAnsi="宋体"/>
          <w:lang w:val="en-US" w:eastAsia="zh-CN"/>
        </w:rPr>
        <w:t>④</w:t>
      </w:r>
      <w:r>
        <w:rPr>
          <w:rFonts w:hint="eastAsia" w:ascii="宋体" w:hAnsi="宋体"/>
        </w:rPr>
        <w:t>有关法律法规规定的其他情形。</w:t>
      </w:r>
    </w:p>
    <w:p>
      <w:pPr>
        <w:tabs>
          <w:tab w:val="left" w:pos="287"/>
        </w:tabs>
        <w:spacing w:before="360" w:line="288" w:lineRule="auto"/>
        <w:jc w:val="left"/>
        <w:rPr>
          <w:rFonts w:ascii="黑体" w:hAnsi="宋体" w:eastAsia="黑体"/>
          <w:color w:val="000000"/>
          <w:szCs w:val="20"/>
        </w:rPr>
      </w:pPr>
      <w:bookmarkStart w:id="109" w:name="_Toc169487795"/>
      <w:bookmarkStart w:id="110" w:name="_Toc155342548"/>
      <w:bookmarkStart w:id="111" w:name="_Toc209"/>
      <w:bookmarkStart w:id="112" w:name="_Toc500208478"/>
      <w:r>
        <w:rPr>
          <w:rFonts w:hint="eastAsia" w:ascii="黑体" w:hAnsi="宋体" w:eastAsia="黑体"/>
          <w:color w:val="000000"/>
          <w:szCs w:val="20"/>
        </w:rPr>
        <w:t>16.投标有效期</w:t>
      </w:r>
      <w:bookmarkEnd w:id="109"/>
      <w:bookmarkEnd w:id="110"/>
      <w:bookmarkEnd w:id="111"/>
    </w:p>
    <w:p>
      <w:pPr>
        <w:pStyle w:val="16"/>
        <w:tabs>
          <w:tab w:val="left" w:pos="574"/>
        </w:tabs>
        <w:ind w:firstLine="420" w:firstLineChars="200"/>
      </w:pPr>
      <w:r>
        <w:rPr>
          <w:rFonts w:hint="eastAsia"/>
        </w:rPr>
        <w:t>16.1</w:t>
      </w:r>
      <w:r>
        <w:t>投标有效期</w:t>
      </w:r>
      <w:r>
        <w:rPr>
          <w:rFonts w:hint="eastAsia"/>
        </w:rPr>
        <w:t>详</w:t>
      </w:r>
      <w:r>
        <w:t>见本须知前附表</w:t>
      </w:r>
      <w:r>
        <w:rPr>
          <w:rFonts w:hint="eastAsia"/>
        </w:rPr>
        <w:t>第18项</w:t>
      </w:r>
      <w:r>
        <w:t>，在此期限内，凡符合本招标文件要求的投标文件均保持有效。</w:t>
      </w:r>
    </w:p>
    <w:p>
      <w:pPr>
        <w:pStyle w:val="16"/>
        <w:tabs>
          <w:tab w:val="left" w:pos="574"/>
        </w:tabs>
        <w:ind w:firstLine="420" w:firstLineChars="200"/>
      </w:pPr>
      <w:r>
        <w:rPr>
          <w:rFonts w:hint="eastAsia"/>
        </w:rPr>
        <w:t>16.2在特殊的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本须知第15条关于投标保证金的退还与没收的规定仍然适用。</w:t>
      </w:r>
    </w:p>
    <w:bookmarkEnd w:id="112"/>
    <w:p>
      <w:pPr>
        <w:tabs>
          <w:tab w:val="left" w:pos="287"/>
        </w:tabs>
        <w:spacing w:before="360" w:line="288" w:lineRule="auto"/>
        <w:jc w:val="left"/>
        <w:rPr>
          <w:rFonts w:ascii="黑体" w:hAnsi="宋体" w:eastAsia="黑体"/>
          <w:color w:val="000000"/>
          <w:szCs w:val="20"/>
        </w:rPr>
      </w:pPr>
      <w:bookmarkStart w:id="113" w:name="_Toc169487796"/>
      <w:bookmarkStart w:id="114" w:name="_Toc7937"/>
      <w:bookmarkStart w:id="115" w:name="_Toc500208479"/>
      <w:bookmarkStart w:id="116" w:name="_Toc155342549"/>
      <w:r>
        <w:rPr>
          <w:rFonts w:hint="eastAsia" w:ascii="黑体" w:hAnsi="宋体" w:eastAsia="黑体"/>
          <w:color w:val="000000"/>
          <w:szCs w:val="20"/>
        </w:rPr>
        <w:t>17.投标文件的签署</w:t>
      </w:r>
      <w:bookmarkEnd w:id="113"/>
      <w:bookmarkEnd w:id="114"/>
      <w:bookmarkEnd w:id="115"/>
      <w:bookmarkEnd w:id="116"/>
    </w:p>
    <w:p>
      <w:pPr>
        <w:pStyle w:val="16"/>
        <w:tabs>
          <w:tab w:val="left" w:pos="574"/>
        </w:tabs>
        <w:ind w:firstLine="420" w:firstLineChars="200"/>
        <w:rPr>
          <w:bCs/>
        </w:rPr>
      </w:pPr>
      <w:r>
        <w:rPr>
          <w:rFonts w:hint="eastAsia"/>
          <w:bCs/>
        </w:rPr>
        <w:t>17.</w:t>
      </w:r>
      <w:r>
        <w:rPr>
          <w:rFonts w:hint="eastAsia"/>
          <w:bCs/>
          <w:lang w:val="en-US" w:eastAsia="zh-CN"/>
        </w:rPr>
        <w:t>1</w:t>
      </w:r>
      <w:r>
        <w:rPr>
          <w:rFonts w:hint="eastAsia"/>
          <w:bCs/>
        </w:rPr>
        <w:t>招标文件附件中注明由投标人法定代表人亲自签署或印鉴、并加盖法人单位公章的，投标人均应按要求签章。</w:t>
      </w:r>
    </w:p>
    <w:p>
      <w:pPr>
        <w:pStyle w:val="3"/>
        <w:spacing w:after="120"/>
        <w:jc w:val="center"/>
      </w:pPr>
      <w:bookmarkStart w:id="117" w:name="_Toc500208480"/>
      <w:bookmarkStart w:id="118" w:name="_Toc353454316"/>
      <w:bookmarkStart w:id="119" w:name="_Toc19011"/>
      <w:bookmarkStart w:id="120" w:name="_Toc4667"/>
      <w:bookmarkStart w:id="121" w:name="_Toc19878"/>
      <w:bookmarkStart w:id="122" w:name="_Toc16265"/>
      <w:bookmarkStart w:id="123" w:name="_Toc500209417"/>
      <w:r>
        <w:rPr>
          <w:rFonts w:hint="eastAsia"/>
        </w:rPr>
        <w:t>第四节  投标文件的递交</w:t>
      </w:r>
      <w:bookmarkEnd w:id="117"/>
      <w:bookmarkEnd w:id="118"/>
      <w:bookmarkEnd w:id="119"/>
      <w:bookmarkEnd w:id="120"/>
      <w:bookmarkEnd w:id="121"/>
      <w:bookmarkEnd w:id="122"/>
      <w:bookmarkEnd w:id="123"/>
    </w:p>
    <w:p>
      <w:pPr>
        <w:tabs>
          <w:tab w:val="left" w:pos="287"/>
        </w:tabs>
        <w:spacing w:before="360" w:line="288" w:lineRule="auto"/>
        <w:jc w:val="left"/>
        <w:rPr>
          <w:rFonts w:ascii="黑体" w:hAnsi="宋体" w:eastAsia="黑体"/>
          <w:color w:val="000000"/>
          <w:szCs w:val="20"/>
          <w:highlight w:val="none"/>
        </w:rPr>
      </w:pPr>
      <w:bookmarkStart w:id="124" w:name="_Toc25521"/>
      <w:bookmarkStart w:id="125" w:name="_Toc169487799"/>
      <w:bookmarkStart w:id="126" w:name="_Toc155342552"/>
      <w:bookmarkStart w:id="127" w:name="_Toc500208482"/>
      <w:r>
        <w:rPr>
          <w:rFonts w:hint="eastAsia" w:ascii="黑体" w:hAnsi="宋体" w:eastAsia="黑体"/>
          <w:color w:val="000000"/>
          <w:szCs w:val="20"/>
          <w:highlight w:val="none"/>
        </w:rPr>
        <w:t>1</w:t>
      </w:r>
      <w:r>
        <w:rPr>
          <w:rFonts w:hint="eastAsia" w:ascii="黑体" w:hAnsi="宋体" w:eastAsia="黑体"/>
          <w:color w:val="000000"/>
          <w:szCs w:val="20"/>
          <w:highlight w:val="none"/>
          <w:lang w:val="en-US" w:eastAsia="zh-CN"/>
        </w:rPr>
        <w:t>8</w:t>
      </w:r>
      <w:r>
        <w:rPr>
          <w:rFonts w:hint="eastAsia" w:ascii="黑体" w:hAnsi="宋体" w:eastAsia="黑体"/>
          <w:color w:val="000000"/>
          <w:szCs w:val="20"/>
          <w:highlight w:val="none"/>
        </w:rPr>
        <w:t>.投标文件的递交</w:t>
      </w:r>
      <w:bookmarkEnd w:id="124"/>
      <w:bookmarkEnd w:id="125"/>
      <w:bookmarkEnd w:id="126"/>
    </w:p>
    <w:p>
      <w:pPr>
        <w:pStyle w:val="16"/>
        <w:tabs>
          <w:tab w:val="left" w:pos="574"/>
        </w:tabs>
        <w:ind w:firstLine="420" w:firstLineChars="200"/>
      </w:pPr>
      <w:r>
        <w:rPr>
          <w:rFonts w:hint="eastAsia"/>
          <w:highlight w:val="none"/>
        </w:rPr>
        <w:t>1</w:t>
      </w:r>
      <w:r>
        <w:rPr>
          <w:rFonts w:hint="eastAsia"/>
          <w:highlight w:val="none"/>
          <w:lang w:val="en-US" w:eastAsia="zh-CN"/>
        </w:rPr>
        <w:t>8</w:t>
      </w:r>
      <w:r>
        <w:rPr>
          <w:rFonts w:hint="eastAsia"/>
          <w:highlight w:val="none"/>
        </w:rPr>
        <w:t>.1投标人应按本须</w:t>
      </w:r>
      <w:r>
        <w:rPr>
          <w:rFonts w:hint="eastAsia"/>
        </w:rPr>
        <w:t>知前附表第</w:t>
      </w:r>
      <w:r>
        <w:rPr>
          <w:rFonts w:hint="eastAsia"/>
          <w:lang w:val="en-US" w:eastAsia="zh-CN"/>
        </w:rPr>
        <w:t>19</w:t>
      </w:r>
      <w:r>
        <w:rPr>
          <w:rFonts w:hint="eastAsia"/>
        </w:rPr>
        <w:t>项规定的地点，在本须知前附表第</w:t>
      </w:r>
      <w:r>
        <w:rPr>
          <w:rFonts w:hint="eastAsia"/>
          <w:lang w:val="en-US" w:eastAsia="zh-CN"/>
        </w:rPr>
        <w:t>20</w:t>
      </w:r>
      <w:r>
        <w:rPr>
          <w:rFonts w:hint="eastAsia"/>
        </w:rPr>
        <w:t>项规定的截止时间前提交投标文件。</w:t>
      </w:r>
    </w:p>
    <w:p>
      <w:pPr>
        <w:tabs>
          <w:tab w:val="left" w:pos="287"/>
        </w:tabs>
        <w:spacing w:before="360" w:line="288" w:lineRule="auto"/>
        <w:jc w:val="left"/>
        <w:rPr>
          <w:rFonts w:ascii="黑体" w:hAnsi="宋体" w:eastAsia="黑体"/>
          <w:color w:val="000000"/>
          <w:szCs w:val="20"/>
        </w:rPr>
      </w:pPr>
      <w:bookmarkStart w:id="128" w:name="_Toc169487800"/>
      <w:bookmarkStart w:id="129" w:name="_Toc21391"/>
      <w:bookmarkStart w:id="130" w:name="_Toc155342553"/>
      <w:r>
        <w:rPr>
          <w:rFonts w:hint="eastAsia" w:ascii="黑体" w:hAnsi="宋体" w:eastAsia="黑体"/>
          <w:color w:val="000000"/>
          <w:szCs w:val="20"/>
          <w:lang w:val="en-US" w:eastAsia="zh-CN"/>
        </w:rPr>
        <w:t>19</w:t>
      </w:r>
      <w:r>
        <w:rPr>
          <w:rFonts w:hint="eastAsia" w:ascii="黑体" w:hAnsi="宋体" w:eastAsia="黑体"/>
          <w:color w:val="000000"/>
          <w:szCs w:val="20"/>
        </w:rPr>
        <w:t>.投标截止期</w:t>
      </w:r>
      <w:bookmarkEnd w:id="127"/>
      <w:bookmarkEnd w:id="128"/>
      <w:bookmarkEnd w:id="129"/>
      <w:bookmarkEnd w:id="130"/>
    </w:p>
    <w:p>
      <w:pPr>
        <w:pStyle w:val="16"/>
        <w:tabs>
          <w:tab w:val="left" w:pos="574"/>
        </w:tabs>
        <w:ind w:firstLine="420" w:firstLineChars="200"/>
      </w:pPr>
      <w:bookmarkStart w:id="131" w:name="_Toc28257"/>
      <w:bookmarkStart w:id="132" w:name="_Toc32259"/>
      <w:r>
        <w:rPr>
          <w:rFonts w:hint="eastAsia"/>
          <w:lang w:val="en-US" w:eastAsia="zh-CN"/>
        </w:rPr>
        <w:t>19</w:t>
      </w:r>
      <w:r>
        <w:rPr>
          <w:rFonts w:hint="eastAsia"/>
        </w:rPr>
        <w:t>.1</w:t>
      </w:r>
      <w:r>
        <w:t>投标文件的截止时间</w:t>
      </w:r>
      <w:r>
        <w:rPr>
          <w:rFonts w:hint="eastAsia"/>
        </w:rPr>
        <w:t>详见</w:t>
      </w:r>
      <w:r>
        <w:t>本须知前附表</w:t>
      </w:r>
      <w:r>
        <w:rPr>
          <w:rFonts w:hint="eastAsia"/>
        </w:rPr>
        <w:t>第2</w:t>
      </w:r>
      <w:r>
        <w:rPr>
          <w:rFonts w:hint="eastAsia"/>
          <w:lang w:val="en-US" w:eastAsia="zh-CN"/>
        </w:rPr>
        <w:t>0</w:t>
      </w:r>
      <w:r>
        <w:rPr>
          <w:rFonts w:hint="eastAsia"/>
        </w:rPr>
        <w:t>项</w:t>
      </w:r>
      <w:r>
        <w:t>。</w:t>
      </w:r>
      <w:bookmarkEnd w:id="131"/>
      <w:bookmarkEnd w:id="132"/>
    </w:p>
    <w:p>
      <w:pPr>
        <w:pStyle w:val="16"/>
        <w:tabs>
          <w:tab w:val="left" w:pos="574"/>
        </w:tabs>
        <w:ind w:firstLine="420" w:firstLineChars="200"/>
      </w:pPr>
      <w:r>
        <w:rPr>
          <w:rFonts w:hint="eastAsia"/>
          <w:lang w:val="en-US" w:eastAsia="zh-CN"/>
        </w:rPr>
        <w:t>19</w:t>
      </w:r>
      <w:r>
        <w:rPr>
          <w:rFonts w:hint="eastAsia"/>
        </w:rPr>
        <w:t>.2</w:t>
      </w:r>
      <w:r>
        <w:t>招标人可以补充通知的方式，酌情延长提交投标文件的截止时间。在此情况下，投标人的所有权利和义务以及投标人受制约的截止时间，均以延长后新的投标截止时间为准。</w:t>
      </w:r>
    </w:p>
    <w:p>
      <w:pPr>
        <w:pStyle w:val="16"/>
        <w:tabs>
          <w:tab w:val="left" w:pos="574"/>
        </w:tabs>
        <w:ind w:firstLine="420" w:firstLineChars="200"/>
      </w:pPr>
      <w:r>
        <w:rPr>
          <w:rFonts w:hint="eastAsia"/>
          <w:lang w:val="en-US" w:eastAsia="zh-CN"/>
        </w:rPr>
        <w:t>19</w:t>
      </w:r>
      <w:r>
        <w:rPr>
          <w:rFonts w:hint="eastAsia"/>
        </w:rPr>
        <w:t>.3到投标截止时间止，招标人收到的</w:t>
      </w:r>
      <w:r>
        <w:rPr>
          <w:rFonts w:hint="eastAsia"/>
          <w:lang w:val="en-US" w:eastAsia="zh-CN"/>
        </w:rPr>
        <w:t>有效</w:t>
      </w:r>
      <w:r>
        <w:rPr>
          <w:rFonts w:hint="eastAsia"/>
        </w:rPr>
        <w:t>投标文件少于3个的，则本次招标失败。</w:t>
      </w:r>
    </w:p>
    <w:p>
      <w:pPr>
        <w:tabs>
          <w:tab w:val="left" w:pos="287"/>
        </w:tabs>
        <w:spacing w:before="360" w:line="288" w:lineRule="auto"/>
        <w:jc w:val="left"/>
        <w:rPr>
          <w:rFonts w:ascii="黑体" w:hAnsi="宋体" w:eastAsia="黑体"/>
          <w:color w:val="000000"/>
          <w:szCs w:val="20"/>
        </w:rPr>
      </w:pPr>
      <w:bookmarkStart w:id="133" w:name="_Toc169487801"/>
      <w:bookmarkStart w:id="134" w:name="_Toc21654"/>
      <w:bookmarkStart w:id="135" w:name="_Toc155342554"/>
      <w:bookmarkStart w:id="136" w:name="_Toc500208483"/>
      <w:r>
        <w:rPr>
          <w:rFonts w:hint="eastAsia" w:ascii="黑体" w:hAnsi="宋体" w:eastAsia="黑体"/>
          <w:color w:val="000000"/>
          <w:szCs w:val="20"/>
          <w:lang w:eastAsia="zh-CN"/>
        </w:rPr>
        <w:t>20</w:t>
      </w:r>
      <w:r>
        <w:rPr>
          <w:rFonts w:hint="eastAsia" w:ascii="黑体" w:hAnsi="宋体" w:eastAsia="黑体"/>
          <w:color w:val="000000"/>
          <w:szCs w:val="20"/>
        </w:rPr>
        <w:t>.投标文件的补充、修改与撤回</w:t>
      </w:r>
      <w:bookmarkEnd w:id="133"/>
      <w:bookmarkEnd w:id="134"/>
      <w:bookmarkEnd w:id="135"/>
      <w:bookmarkEnd w:id="136"/>
    </w:p>
    <w:p>
      <w:pPr>
        <w:pStyle w:val="16"/>
        <w:tabs>
          <w:tab w:val="left" w:pos="574"/>
        </w:tabs>
        <w:ind w:firstLine="420" w:firstLineChars="200"/>
        <w:rPr>
          <w:rFonts w:hint="eastAsia"/>
        </w:rPr>
      </w:pPr>
      <w:r>
        <w:rPr>
          <w:rFonts w:hint="eastAsia"/>
          <w:lang w:val="en-US" w:eastAsia="zh-CN"/>
        </w:rPr>
        <w:t>20.1</w:t>
      </w:r>
      <w:r>
        <w:rPr>
          <w:rFonts w:hint="eastAsia"/>
        </w:rPr>
        <w:t>在投标截止时间前，投标人可以修改或撤回已递交的电子投标文件。</w:t>
      </w:r>
    </w:p>
    <w:p>
      <w:pPr>
        <w:pStyle w:val="16"/>
        <w:tabs>
          <w:tab w:val="left" w:pos="574"/>
        </w:tabs>
        <w:ind w:firstLine="420" w:firstLineChars="200"/>
        <w:rPr>
          <w:rFonts w:hint="eastAsia"/>
        </w:rPr>
      </w:pPr>
      <w:r>
        <w:rPr>
          <w:rFonts w:hint="eastAsia"/>
          <w:lang w:val="en-US" w:eastAsia="zh-CN"/>
        </w:rPr>
        <w:t>20.2</w:t>
      </w:r>
      <w:r>
        <w:rPr>
          <w:rFonts w:hint="eastAsia"/>
        </w:rPr>
        <w:t>在投标截止时间至投标有效期满之前，投标人不得撤回其投标文件，否则其投标担保将被没收。投标人已签到但未解密的，等同于撤回。</w:t>
      </w:r>
    </w:p>
    <w:p>
      <w:pPr>
        <w:pStyle w:val="16"/>
        <w:tabs>
          <w:tab w:val="left" w:pos="574"/>
        </w:tabs>
        <w:ind w:firstLine="420" w:firstLineChars="200"/>
      </w:pPr>
      <w:r>
        <w:rPr>
          <w:rFonts w:hint="eastAsia"/>
          <w:lang w:val="en-US" w:eastAsia="zh-CN"/>
        </w:rPr>
        <w:t>20.3</w:t>
      </w:r>
      <w:r>
        <w:rPr>
          <w:rFonts w:hint="eastAsia"/>
        </w:rPr>
        <w:t>投标单位撤回投标文件后需重新登录投标文件编制工具进行投标文件编制，投标文件重新编制好后重新生成、重新上传加密的电子投标文件。</w:t>
      </w:r>
    </w:p>
    <w:p>
      <w:pPr>
        <w:pStyle w:val="3"/>
        <w:spacing w:after="120"/>
        <w:jc w:val="center"/>
      </w:pPr>
      <w:bookmarkStart w:id="137" w:name="_Toc500208484"/>
      <w:bookmarkStart w:id="138" w:name="_Toc353454317"/>
      <w:bookmarkStart w:id="139" w:name="_Toc23081"/>
      <w:bookmarkStart w:id="140" w:name="_Toc500209418"/>
      <w:bookmarkStart w:id="141" w:name="_Toc6473"/>
      <w:bookmarkStart w:id="142" w:name="_Toc2164"/>
      <w:bookmarkStart w:id="143" w:name="_Toc18345"/>
      <w:r>
        <w:rPr>
          <w:rFonts w:hint="eastAsia"/>
        </w:rPr>
        <w:t>第五节  开   标</w:t>
      </w:r>
      <w:bookmarkEnd w:id="137"/>
      <w:bookmarkEnd w:id="138"/>
      <w:bookmarkEnd w:id="139"/>
      <w:bookmarkEnd w:id="140"/>
      <w:bookmarkEnd w:id="141"/>
      <w:bookmarkEnd w:id="142"/>
      <w:bookmarkEnd w:id="143"/>
    </w:p>
    <w:p>
      <w:pPr>
        <w:tabs>
          <w:tab w:val="left" w:pos="287"/>
        </w:tabs>
        <w:spacing w:before="360" w:line="288" w:lineRule="auto"/>
        <w:jc w:val="left"/>
        <w:rPr>
          <w:rFonts w:ascii="黑体" w:hAnsi="宋体" w:eastAsia="黑体"/>
          <w:color w:val="000000"/>
          <w:szCs w:val="20"/>
        </w:rPr>
      </w:pPr>
      <w:bookmarkStart w:id="144" w:name="_Toc155342556"/>
      <w:bookmarkStart w:id="145" w:name="_Toc1736"/>
      <w:bookmarkStart w:id="146" w:name="_Toc500208485"/>
      <w:bookmarkStart w:id="147" w:name="_Toc169487803"/>
      <w:r>
        <w:rPr>
          <w:rFonts w:hint="eastAsia" w:ascii="黑体" w:hAnsi="宋体" w:eastAsia="黑体"/>
          <w:color w:val="000000"/>
          <w:szCs w:val="20"/>
          <w:lang w:eastAsia="zh-CN"/>
        </w:rPr>
        <w:t>21</w:t>
      </w:r>
      <w:r>
        <w:rPr>
          <w:rFonts w:hint="eastAsia" w:ascii="黑体" w:hAnsi="宋体" w:eastAsia="黑体"/>
          <w:color w:val="000000"/>
          <w:szCs w:val="20"/>
        </w:rPr>
        <w:t>.开标</w:t>
      </w:r>
      <w:bookmarkEnd w:id="144"/>
      <w:bookmarkEnd w:id="145"/>
      <w:bookmarkEnd w:id="146"/>
      <w:bookmarkEnd w:id="147"/>
    </w:p>
    <w:p>
      <w:pPr>
        <w:pStyle w:val="16"/>
        <w:tabs>
          <w:tab w:val="left" w:pos="574"/>
        </w:tabs>
        <w:ind w:firstLine="420" w:firstLineChars="200"/>
      </w:pPr>
      <w:r>
        <w:rPr>
          <w:rFonts w:hint="eastAsia"/>
          <w:lang w:eastAsia="zh-CN"/>
        </w:rPr>
        <w:t>21</w:t>
      </w:r>
      <w:r>
        <w:rPr>
          <w:rFonts w:hint="eastAsia"/>
        </w:rPr>
        <w:t>.1招标人将于投标截止期的同一时间按本须知前附表第</w:t>
      </w:r>
      <w:r>
        <w:rPr>
          <w:rFonts w:hint="eastAsia"/>
          <w:lang w:val="en-US" w:eastAsia="zh-CN"/>
        </w:rPr>
        <w:t>19</w:t>
      </w:r>
      <w:r>
        <w:rPr>
          <w:rFonts w:hint="eastAsia"/>
        </w:rPr>
        <w:t>项所规定的地点举行开标会议。</w:t>
      </w:r>
    </w:p>
    <w:p>
      <w:pPr>
        <w:pStyle w:val="16"/>
        <w:tabs>
          <w:tab w:val="left" w:pos="574"/>
        </w:tabs>
        <w:ind w:firstLine="420" w:firstLineChars="200"/>
      </w:pPr>
      <w:r>
        <w:rPr>
          <w:rFonts w:hint="eastAsia"/>
          <w:lang w:eastAsia="zh-CN"/>
        </w:rPr>
        <w:t>21</w:t>
      </w:r>
      <w:r>
        <w:rPr>
          <w:rFonts w:hint="eastAsia"/>
        </w:rPr>
        <w:t>.2开标会议由招标人组织并主持。</w:t>
      </w:r>
    </w:p>
    <w:p>
      <w:pPr>
        <w:pStyle w:val="16"/>
        <w:tabs>
          <w:tab w:val="left" w:pos="574"/>
        </w:tabs>
        <w:ind w:firstLine="420" w:firstLineChars="200"/>
      </w:pPr>
      <w:r>
        <w:rPr>
          <w:rFonts w:hint="eastAsia"/>
          <w:lang w:eastAsia="zh-CN"/>
        </w:rPr>
        <w:t>21</w:t>
      </w:r>
      <w:r>
        <w:rPr>
          <w:rFonts w:hint="eastAsia"/>
        </w:rPr>
        <w:t>.3开标顺序</w:t>
      </w:r>
      <w:r>
        <w:rPr>
          <w:rFonts w:hint="eastAsia"/>
          <w:bCs/>
        </w:rPr>
        <w:t>详见本须知前附表第2</w:t>
      </w:r>
      <w:r>
        <w:rPr>
          <w:rFonts w:hint="eastAsia"/>
          <w:bCs/>
          <w:lang w:val="en-US" w:eastAsia="zh-CN"/>
        </w:rPr>
        <w:t>2</w:t>
      </w:r>
      <w:r>
        <w:rPr>
          <w:rFonts w:hint="eastAsia"/>
          <w:bCs/>
        </w:rPr>
        <w:t>项。</w:t>
      </w:r>
      <w:r>
        <w:rPr>
          <w:rFonts w:hint="eastAsia"/>
        </w:rPr>
        <w:t xml:space="preserve"> </w:t>
      </w:r>
    </w:p>
    <w:p>
      <w:pPr>
        <w:pStyle w:val="3"/>
        <w:spacing w:after="120"/>
        <w:jc w:val="center"/>
      </w:pPr>
      <w:bookmarkStart w:id="148" w:name="_Toc28499"/>
      <w:bookmarkStart w:id="149" w:name="_Toc353454318"/>
      <w:bookmarkStart w:id="150" w:name="_Toc500209419"/>
      <w:bookmarkStart w:id="151" w:name="_Toc20463"/>
      <w:bookmarkStart w:id="152" w:name="_Toc7210"/>
      <w:bookmarkStart w:id="153" w:name="_Toc500208488"/>
      <w:bookmarkStart w:id="154" w:name="_Toc7241"/>
      <w:bookmarkStart w:id="155" w:name="_Toc500209420"/>
      <w:bookmarkStart w:id="156" w:name="_Toc500208495"/>
      <w:r>
        <w:rPr>
          <w:rFonts w:hint="eastAsia"/>
        </w:rPr>
        <w:t>第六节  评   标</w:t>
      </w:r>
      <w:bookmarkEnd w:id="148"/>
      <w:bookmarkEnd w:id="149"/>
      <w:bookmarkEnd w:id="150"/>
      <w:bookmarkEnd w:id="151"/>
      <w:bookmarkEnd w:id="152"/>
      <w:bookmarkEnd w:id="153"/>
      <w:bookmarkEnd w:id="154"/>
    </w:p>
    <w:p>
      <w:pPr>
        <w:tabs>
          <w:tab w:val="left" w:pos="287"/>
        </w:tabs>
        <w:spacing w:before="360" w:line="288" w:lineRule="auto"/>
        <w:jc w:val="left"/>
        <w:rPr>
          <w:rFonts w:ascii="黑体" w:hAnsi="宋体" w:eastAsia="黑体"/>
          <w:color w:val="000000"/>
          <w:szCs w:val="20"/>
          <w:highlight w:val="none"/>
        </w:rPr>
      </w:pPr>
      <w:bookmarkStart w:id="157" w:name="_Toc500208489"/>
      <w:bookmarkStart w:id="158" w:name="_Toc14541"/>
      <w:bookmarkStart w:id="159" w:name="_Toc169487806"/>
      <w:bookmarkStart w:id="160" w:name="_Toc155342559"/>
      <w:r>
        <w:rPr>
          <w:rFonts w:hint="eastAsia" w:ascii="黑体" w:hAnsi="宋体" w:eastAsia="黑体"/>
          <w:color w:val="000000"/>
          <w:szCs w:val="20"/>
          <w:highlight w:val="none"/>
        </w:rPr>
        <w:t>2</w:t>
      </w:r>
      <w:r>
        <w:rPr>
          <w:rFonts w:hint="eastAsia" w:ascii="黑体" w:hAnsi="宋体" w:eastAsia="黑体"/>
          <w:color w:val="000000"/>
          <w:szCs w:val="20"/>
          <w:highlight w:val="none"/>
          <w:lang w:val="en-US" w:eastAsia="zh-CN"/>
        </w:rPr>
        <w:t>2</w:t>
      </w:r>
      <w:r>
        <w:rPr>
          <w:rFonts w:hint="eastAsia" w:ascii="黑体" w:hAnsi="宋体" w:eastAsia="黑体"/>
          <w:color w:val="000000"/>
          <w:szCs w:val="20"/>
          <w:highlight w:val="none"/>
        </w:rPr>
        <w:t>.评标会议</w:t>
      </w:r>
      <w:bookmarkEnd w:id="157"/>
      <w:bookmarkEnd w:id="158"/>
      <w:bookmarkEnd w:id="159"/>
      <w:bookmarkEnd w:id="160"/>
    </w:p>
    <w:p>
      <w:pPr>
        <w:pStyle w:val="16"/>
        <w:tabs>
          <w:tab w:val="left" w:pos="574"/>
        </w:tabs>
        <w:ind w:firstLine="420" w:firstLineChars="200"/>
      </w:pPr>
      <w:r>
        <w:rPr>
          <w:rFonts w:hint="eastAsia"/>
        </w:rPr>
        <w:t>2</w:t>
      </w:r>
      <w:r>
        <w:rPr>
          <w:rFonts w:hint="eastAsia"/>
          <w:lang w:val="en-US" w:eastAsia="zh-CN"/>
        </w:rPr>
        <w:t>2</w:t>
      </w:r>
      <w:r>
        <w:rPr>
          <w:rFonts w:hint="eastAsia"/>
        </w:rPr>
        <w:t>.1</w:t>
      </w:r>
      <w:r>
        <w:t>评标委员会由招标人依法组建，负责评标活动。</w:t>
      </w:r>
    </w:p>
    <w:p>
      <w:pPr>
        <w:pStyle w:val="16"/>
        <w:tabs>
          <w:tab w:val="left" w:pos="574"/>
        </w:tabs>
        <w:ind w:firstLine="420" w:firstLineChars="200"/>
      </w:pPr>
      <w:r>
        <w:rPr>
          <w:rFonts w:hint="eastAsia"/>
        </w:rPr>
        <w:t>2</w:t>
      </w:r>
      <w:r>
        <w:rPr>
          <w:rFonts w:hint="eastAsia"/>
          <w:lang w:val="en-US" w:eastAsia="zh-CN"/>
        </w:rPr>
        <w:t>2</w:t>
      </w:r>
      <w:r>
        <w:rPr>
          <w:rFonts w:hint="eastAsia"/>
        </w:rPr>
        <w:t>.2</w:t>
      </w:r>
      <w:r>
        <w:t>开标结束后，开始评标，评标采用保密方式进行。</w:t>
      </w:r>
    </w:p>
    <w:p>
      <w:pPr>
        <w:tabs>
          <w:tab w:val="left" w:pos="287"/>
        </w:tabs>
        <w:spacing w:before="360" w:line="288" w:lineRule="auto"/>
        <w:jc w:val="left"/>
        <w:rPr>
          <w:rFonts w:ascii="黑体" w:hAnsi="宋体" w:eastAsia="黑体"/>
          <w:color w:val="000000"/>
          <w:szCs w:val="20"/>
        </w:rPr>
      </w:pPr>
      <w:bookmarkStart w:id="161" w:name="_Toc155342560"/>
      <w:bookmarkStart w:id="162" w:name="_Toc13761"/>
      <w:bookmarkStart w:id="163" w:name="_Toc169487807"/>
      <w:r>
        <w:rPr>
          <w:rFonts w:hint="eastAsia" w:ascii="黑体" w:hAnsi="宋体" w:eastAsia="黑体"/>
          <w:color w:val="000000"/>
          <w:szCs w:val="20"/>
        </w:rPr>
        <w:t>2</w:t>
      </w:r>
      <w:r>
        <w:rPr>
          <w:rFonts w:hint="eastAsia" w:ascii="黑体" w:hAnsi="宋体" w:eastAsia="黑体"/>
          <w:color w:val="000000"/>
          <w:szCs w:val="20"/>
          <w:lang w:val="en-US" w:eastAsia="zh-CN"/>
        </w:rPr>
        <w:t>3</w:t>
      </w:r>
      <w:r>
        <w:rPr>
          <w:rFonts w:hint="eastAsia" w:ascii="黑体" w:hAnsi="宋体" w:eastAsia="黑体"/>
          <w:color w:val="000000"/>
          <w:szCs w:val="20"/>
        </w:rPr>
        <w:t>.评标过程的保密</w:t>
      </w:r>
      <w:bookmarkEnd w:id="161"/>
      <w:bookmarkEnd w:id="162"/>
      <w:bookmarkEnd w:id="163"/>
    </w:p>
    <w:p>
      <w:pPr>
        <w:pStyle w:val="16"/>
        <w:tabs>
          <w:tab w:val="left" w:pos="574"/>
        </w:tabs>
        <w:ind w:firstLine="420" w:firstLineChars="200"/>
      </w:pPr>
      <w:r>
        <w:rPr>
          <w:rFonts w:hint="eastAsia"/>
        </w:rPr>
        <w:t>2</w:t>
      </w:r>
      <w:r>
        <w:rPr>
          <w:rFonts w:hint="eastAsia"/>
          <w:lang w:val="en-US" w:eastAsia="zh-CN"/>
        </w:rPr>
        <w:t>3</w:t>
      </w:r>
      <w:r>
        <w:rPr>
          <w:rFonts w:hint="eastAsia"/>
        </w:rPr>
        <w:t>.1</w:t>
      </w:r>
      <w:r>
        <w:t>开标后，直至授予中标人合同为止，凡属于对投标文件的审查、澄清、评价和比较的有关资料以及中标候选人的推荐情况，与评标有关的其他任何情况均严格保密。</w:t>
      </w:r>
    </w:p>
    <w:p>
      <w:pPr>
        <w:pStyle w:val="16"/>
        <w:tabs>
          <w:tab w:val="left" w:pos="574"/>
        </w:tabs>
        <w:ind w:firstLine="420" w:firstLineChars="200"/>
      </w:pPr>
      <w:r>
        <w:rPr>
          <w:rFonts w:hint="eastAsia"/>
        </w:rPr>
        <w:t>2</w:t>
      </w:r>
      <w:r>
        <w:rPr>
          <w:rFonts w:hint="eastAsia"/>
          <w:lang w:val="en-US" w:eastAsia="zh-CN"/>
        </w:rPr>
        <w:t>3</w:t>
      </w:r>
      <w:r>
        <w:rPr>
          <w:rFonts w:hint="eastAsia"/>
        </w:rPr>
        <w:t>.2</w:t>
      </w:r>
      <w:r>
        <w:t>在投标文件的评审和比较、中标候选人推荐以及授予合同的过程中，投标人向招标人和评标委员会施加影响的任何行为，都将会导致其投标被拒绝。</w:t>
      </w:r>
    </w:p>
    <w:p>
      <w:pPr>
        <w:pStyle w:val="16"/>
        <w:tabs>
          <w:tab w:val="left" w:pos="574"/>
        </w:tabs>
        <w:ind w:firstLine="420" w:firstLineChars="200"/>
      </w:pPr>
      <w:r>
        <w:rPr>
          <w:rFonts w:hint="eastAsia"/>
        </w:rPr>
        <w:t>2</w:t>
      </w:r>
      <w:r>
        <w:rPr>
          <w:rFonts w:hint="eastAsia"/>
          <w:lang w:val="en-US" w:eastAsia="zh-CN"/>
        </w:rPr>
        <w:t>3</w:t>
      </w:r>
      <w:r>
        <w:rPr>
          <w:rFonts w:hint="eastAsia"/>
        </w:rPr>
        <w:t>.3</w:t>
      </w:r>
      <w:r>
        <w:t>中标人确定后，招标人不对未中标人就评标过程以及未能中标原因作出任何解释。未中标人不得向评标委员会组成人员或其他有关人员索问评标过程的情况和材料。</w:t>
      </w:r>
    </w:p>
    <w:p>
      <w:pPr>
        <w:tabs>
          <w:tab w:val="left" w:pos="287"/>
        </w:tabs>
        <w:spacing w:before="360" w:line="288" w:lineRule="auto"/>
        <w:jc w:val="left"/>
        <w:rPr>
          <w:rFonts w:ascii="黑体" w:hAnsi="宋体" w:eastAsia="黑体"/>
          <w:color w:val="000000"/>
          <w:szCs w:val="20"/>
        </w:rPr>
      </w:pPr>
      <w:bookmarkStart w:id="164" w:name="_Toc3201"/>
      <w:bookmarkStart w:id="165" w:name="_Toc155342561"/>
      <w:bookmarkStart w:id="166" w:name="_Toc169487808"/>
      <w:r>
        <w:rPr>
          <w:rFonts w:hint="eastAsia" w:ascii="黑体" w:hAnsi="宋体" w:eastAsia="黑体"/>
          <w:color w:val="000000"/>
          <w:szCs w:val="20"/>
        </w:rPr>
        <w:t>2</w:t>
      </w:r>
      <w:r>
        <w:rPr>
          <w:rFonts w:hint="eastAsia" w:ascii="黑体" w:hAnsi="宋体" w:eastAsia="黑体"/>
          <w:color w:val="000000"/>
          <w:szCs w:val="20"/>
          <w:lang w:val="en-US" w:eastAsia="zh-CN"/>
        </w:rPr>
        <w:t>4</w:t>
      </w:r>
      <w:r>
        <w:rPr>
          <w:rFonts w:hint="eastAsia" w:ascii="黑体" w:hAnsi="宋体" w:eastAsia="黑体"/>
          <w:color w:val="000000"/>
          <w:szCs w:val="20"/>
        </w:rPr>
        <w:t>.投标文件符合性鉴定</w:t>
      </w:r>
      <w:bookmarkEnd w:id="164"/>
      <w:bookmarkEnd w:id="165"/>
      <w:bookmarkEnd w:id="166"/>
    </w:p>
    <w:p>
      <w:pPr>
        <w:pStyle w:val="16"/>
        <w:tabs>
          <w:tab w:val="left" w:pos="574"/>
        </w:tabs>
        <w:ind w:firstLine="420" w:firstLineChars="200"/>
      </w:pPr>
      <w:r>
        <w:rPr>
          <w:rFonts w:hint="eastAsia"/>
        </w:rPr>
        <w:t>2</w:t>
      </w:r>
      <w:r>
        <w:rPr>
          <w:rFonts w:hint="eastAsia"/>
          <w:lang w:val="en-US" w:eastAsia="zh-CN"/>
        </w:rPr>
        <w:t>4</w:t>
      </w:r>
      <w:r>
        <w:rPr>
          <w:rFonts w:hint="eastAsia"/>
        </w:rPr>
        <w:t>.1评标委员会将首先评定每份投标文件是否在实质上响应了招标文件的要求。所谓实质上响应，是指投标文件应与招标文件的所有实质性条款、条件和要求相符，无显著差异或保留。实质性内容包括投标函是否按招标文件要求编制，总报价、质量、工期、投标资格等实质内容的承诺是否响应招标文件要求等。投标文件是否响应招标文件实质性内容由评标委员会界定。</w:t>
      </w:r>
    </w:p>
    <w:p>
      <w:pPr>
        <w:pStyle w:val="16"/>
        <w:tabs>
          <w:tab w:val="left" w:pos="574"/>
        </w:tabs>
        <w:ind w:firstLine="420" w:firstLineChars="200"/>
      </w:pPr>
      <w:r>
        <w:rPr>
          <w:rFonts w:hint="eastAsia"/>
        </w:rPr>
        <w:t>2</w:t>
      </w:r>
      <w:r>
        <w:rPr>
          <w:rFonts w:hint="eastAsia"/>
          <w:lang w:val="en-US" w:eastAsia="zh-CN"/>
        </w:rPr>
        <w:t>4</w:t>
      </w:r>
      <w:r>
        <w:rPr>
          <w:rFonts w:hint="eastAsia"/>
        </w:rPr>
        <w:t>.2如果投标文件实质上不响应招标文件各项要求，评标委员会将予以拒绝，并且不允许投标人通过修改或</w:t>
      </w:r>
      <w:r>
        <w:rPr>
          <w:rFonts w:hint="eastAsia"/>
          <w:lang w:val="en-US" w:eastAsia="zh-CN"/>
        </w:rPr>
        <w:t>撤销</w:t>
      </w:r>
      <w:r>
        <w:rPr>
          <w:rFonts w:hint="eastAsia"/>
        </w:rPr>
        <w:t>其不符合要求的差异或保留，使之成为具有响应性的投标</w:t>
      </w:r>
      <w:r>
        <w:t>。</w:t>
      </w:r>
    </w:p>
    <w:p>
      <w:pPr>
        <w:tabs>
          <w:tab w:val="left" w:pos="287"/>
        </w:tabs>
        <w:spacing w:before="360" w:line="288" w:lineRule="auto"/>
        <w:jc w:val="left"/>
        <w:rPr>
          <w:rFonts w:ascii="黑体" w:hAnsi="宋体" w:eastAsia="黑体"/>
          <w:color w:val="000000"/>
          <w:szCs w:val="20"/>
        </w:rPr>
      </w:pPr>
      <w:bookmarkStart w:id="167" w:name="_Toc155342562"/>
      <w:bookmarkStart w:id="168" w:name="_Toc3291"/>
      <w:bookmarkStart w:id="169" w:name="_Toc169487809"/>
      <w:r>
        <w:rPr>
          <w:rFonts w:hint="eastAsia" w:ascii="黑体" w:hAnsi="宋体" w:eastAsia="黑体"/>
          <w:color w:val="000000"/>
          <w:szCs w:val="20"/>
          <w:lang w:val="en-US" w:eastAsia="zh-CN"/>
        </w:rPr>
        <w:t>25</w:t>
      </w:r>
      <w:r>
        <w:rPr>
          <w:rFonts w:hint="eastAsia" w:ascii="黑体" w:hAnsi="宋体" w:eastAsia="黑体"/>
          <w:color w:val="000000"/>
          <w:szCs w:val="20"/>
        </w:rPr>
        <w:t>.投标文件的澄清</w:t>
      </w:r>
      <w:bookmarkEnd w:id="167"/>
      <w:bookmarkEnd w:id="168"/>
      <w:bookmarkEnd w:id="169"/>
    </w:p>
    <w:p>
      <w:pPr>
        <w:pStyle w:val="16"/>
        <w:tabs>
          <w:tab w:val="left" w:pos="574"/>
        </w:tabs>
        <w:ind w:firstLine="420" w:firstLineChars="200"/>
      </w:pPr>
      <w:r>
        <w:rPr>
          <w:rFonts w:hint="eastAsia"/>
        </w:rPr>
        <w:t>2</w:t>
      </w:r>
      <w:r>
        <w:rPr>
          <w:rFonts w:hint="eastAsia"/>
          <w:lang w:val="en-US" w:eastAsia="zh-CN"/>
        </w:rPr>
        <w:t>5</w:t>
      </w:r>
      <w:r>
        <w:rPr>
          <w:rFonts w:hint="eastAsia"/>
        </w:rPr>
        <w:t>.1评标委员会可以书面方式要求投标人对其投标文件中细微偏差作必要的澄清、说明或者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澄清、说明或者补正应以书面方式进行并不得超出投标文件的范围或者改变投标文件的实质性内容。但根据本节错误的修正的规定，凡属于评标委员会在评标中发现的算术错误进行核实的修改不在此列。</w:t>
      </w:r>
    </w:p>
    <w:p>
      <w:pPr>
        <w:pStyle w:val="16"/>
        <w:tabs>
          <w:tab w:val="left" w:pos="574"/>
        </w:tabs>
        <w:ind w:firstLine="420" w:firstLineChars="200"/>
      </w:pPr>
      <w:r>
        <w:rPr>
          <w:rFonts w:hint="eastAsia"/>
        </w:rPr>
        <w:t>2</w:t>
      </w:r>
      <w:r>
        <w:rPr>
          <w:rFonts w:hint="eastAsia"/>
          <w:lang w:val="en-US" w:eastAsia="zh-CN"/>
        </w:rPr>
        <w:t>5</w:t>
      </w:r>
      <w:r>
        <w:rPr>
          <w:rFonts w:hint="eastAsia"/>
        </w:rPr>
        <w:t>.2评审过程中，评标委员会可能以书面形式通知投标人要求投标人就投标文件中的内容进行</w:t>
      </w:r>
      <w:r>
        <w:rPr>
          <w:rFonts w:hint="eastAsia"/>
          <w:szCs w:val="21"/>
        </w:rPr>
        <w:t>澄清或说明</w:t>
      </w:r>
      <w:r>
        <w:rPr>
          <w:rFonts w:hint="eastAsia"/>
        </w:rPr>
        <w:t>。投标人应在接到询标通知后30分钟内作出答复，若在规定时间内未作出答复的，可视作拒绝或放弃澄清或说明。</w:t>
      </w:r>
    </w:p>
    <w:p>
      <w:pPr>
        <w:tabs>
          <w:tab w:val="left" w:pos="287"/>
        </w:tabs>
        <w:spacing w:before="360" w:line="288" w:lineRule="auto"/>
        <w:jc w:val="left"/>
        <w:rPr>
          <w:rFonts w:ascii="黑体" w:hAnsi="宋体" w:eastAsia="黑体"/>
          <w:color w:val="000000"/>
          <w:szCs w:val="20"/>
        </w:rPr>
      </w:pPr>
      <w:bookmarkStart w:id="170" w:name="_Toc30127"/>
      <w:bookmarkStart w:id="171" w:name="_Toc169487810"/>
      <w:bookmarkStart w:id="172" w:name="_Toc155342563"/>
      <w:r>
        <w:rPr>
          <w:rFonts w:hint="eastAsia" w:ascii="黑体" w:hAnsi="宋体" w:eastAsia="黑体"/>
          <w:color w:val="000000"/>
          <w:szCs w:val="20"/>
        </w:rPr>
        <w:t>2</w:t>
      </w:r>
      <w:r>
        <w:rPr>
          <w:rFonts w:hint="eastAsia" w:ascii="黑体" w:hAnsi="宋体" w:eastAsia="黑体"/>
          <w:color w:val="000000"/>
          <w:szCs w:val="20"/>
          <w:lang w:val="en-US" w:eastAsia="zh-CN"/>
        </w:rPr>
        <w:t>6</w:t>
      </w:r>
      <w:r>
        <w:rPr>
          <w:rFonts w:hint="eastAsia" w:ascii="黑体" w:hAnsi="宋体" w:eastAsia="黑体"/>
          <w:color w:val="000000"/>
          <w:szCs w:val="20"/>
        </w:rPr>
        <w:t>.投标文件的评审</w:t>
      </w:r>
      <w:bookmarkEnd w:id="170"/>
      <w:bookmarkEnd w:id="171"/>
      <w:bookmarkEnd w:id="172"/>
    </w:p>
    <w:p>
      <w:pPr>
        <w:pStyle w:val="16"/>
        <w:tabs>
          <w:tab w:val="left" w:pos="574"/>
        </w:tabs>
        <w:adjustRightInd w:val="0"/>
        <w:snapToGrid w:val="0"/>
        <w:ind w:firstLine="422" w:firstLineChars="200"/>
        <w:rPr>
          <w:rFonts w:ascii="黑体" w:eastAsia="黑体"/>
          <w:b/>
        </w:rPr>
      </w:pPr>
      <w:r>
        <w:rPr>
          <w:rFonts w:hint="eastAsia" w:ascii="黑体" w:eastAsia="黑体"/>
          <w:b/>
          <w:bCs/>
        </w:rPr>
        <w:t>2</w:t>
      </w:r>
      <w:r>
        <w:rPr>
          <w:rFonts w:hint="eastAsia" w:ascii="黑体" w:eastAsia="黑体"/>
          <w:b/>
          <w:bCs/>
          <w:lang w:val="en-US" w:eastAsia="zh-CN"/>
        </w:rPr>
        <w:t>6</w:t>
      </w:r>
      <w:r>
        <w:rPr>
          <w:rFonts w:hint="eastAsia" w:ascii="黑体" w:eastAsia="黑体"/>
          <w:b/>
          <w:bCs/>
        </w:rPr>
        <w:t>.1</w:t>
      </w:r>
      <w:r>
        <w:rPr>
          <w:rFonts w:hint="eastAsia" w:ascii="黑体" w:eastAsia="黑体"/>
          <w:b/>
        </w:rPr>
        <w:t>评标委员会在评标过程中发现投标人的投标文件存在以下情形之一的，应当向投标人质询，如投标人拒绝说明或不能合理说明理由的，则评标委员会应认定该投标人有串通投标的嫌疑，其投标文件按无效标处理：</w:t>
      </w:r>
    </w:p>
    <w:p>
      <w:pPr>
        <w:pStyle w:val="12"/>
        <w:adjustRightInd w:val="0"/>
        <w:snapToGrid w:val="0"/>
        <w:spacing w:line="288" w:lineRule="auto"/>
        <w:ind w:firstLine="315" w:firstLineChars="150"/>
        <w:rPr>
          <w:rFonts w:ascii="宋体" w:hAnsi="宋体"/>
        </w:rPr>
      </w:pPr>
      <w:r>
        <w:rPr>
          <w:rFonts w:hint="eastAsia" w:ascii="宋体" w:hAnsi="宋体"/>
        </w:rPr>
        <w:t>（1）投标文件内容存在错漏之处一致或异常雷同现象；</w:t>
      </w:r>
    </w:p>
    <w:p>
      <w:pPr>
        <w:pStyle w:val="12"/>
        <w:adjustRightInd w:val="0"/>
        <w:snapToGrid w:val="0"/>
        <w:spacing w:line="288" w:lineRule="auto"/>
        <w:ind w:firstLine="315" w:firstLineChars="150"/>
        <w:rPr>
          <w:rFonts w:hint="eastAsia" w:ascii="宋体" w:hAnsi="宋体" w:eastAsia="宋体" w:cs="Times New Roman"/>
        </w:rPr>
      </w:pPr>
      <w:r>
        <w:rPr>
          <w:rFonts w:hint="eastAsia" w:ascii="宋体" w:hAnsi="宋体" w:eastAsia="宋体" w:cs="Times New Roman"/>
        </w:rPr>
        <w:t>（2）投标文件中载明的项目管理班子系有同一人担任；</w:t>
      </w:r>
    </w:p>
    <w:p>
      <w:pPr>
        <w:pStyle w:val="12"/>
        <w:adjustRightInd w:val="0"/>
        <w:snapToGrid w:val="0"/>
        <w:spacing w:line="288" w:lineRule="auto"/>
        <w:ind w:firstLine="315" w:firstLineChars="150"/>
        <w:rPr>
          <w:rFonts w:hint="eastAsia" w:ascii="宋体" w:hAnsi="宋体" w:eastAsia="宋体" w:cs="Times New Roman"/>
        </w:rPr>
      </w:pPr>
      <w:r>
        <w:rPr>
          <w:rFonts w:hint="eastAsia" w:ascii="宋体" w:hAnsi="宋体" w:eastAsia="宋体" w:cs="Times New Roman"/>
        </w:rPr>
        <w:t>（3）投标文件由同一台电脑编制或同一附属设备打印；</w:t>
      </w:r>
    </w:p>
    <w:p>
      <w:pPr>
        <w:pStyle w:val="12"/>
        <w:adjustRightInd w:val="0"/>
        <w:snapToGrid w:val="0"/>
        <w:spacing w:line="288" w:lineRule="auto"/>
        <w:ind w:firstLine="315" w:firstLineChars="150"/>
        <w:rPr>
          <w:rFonts w:hint="eastAsia" w:ascii="宋体" w:hAnsi="宋体" w:eastAsia="宋体" w:cs="Times New Roman"/>
        </w:rPr>
      </w:pPr>
      <w:r>
        <w:rPr>
          <w:rFonts w:hint="eastAsia" w:ascii="宋体" w:hAnsi="宋体" w:eastAsia="宋体" w:cs="Times New Roman"/>
        </w:rPr>
        <w:t>（4）涉嫌故意拉高或压低投标报价；</w:t>
      </w:r>
    </w:p>
    <w:p>
      <w:pPr>
        <w:pStyle w:val="12"/>
        <w:adjustRightInd w:val="0"/>
        <w:snapToGrid w:val="0"/>
        <w:spacing w:line="288" w:lineRule="auto"/>
        <w:ind w:firstLine="315" w:firstLineChars="150"/>
        <w:rPr>
          <w:rFonts w:hint="eastAsia" w:ascii="宋体" w:hAnsi="宋体" w:eastAsia="宋体" w:cs="Times New Roman"/>
        </w:rPr>
      </w:pPr>
      <w:r>
        <w:rPr>
          <w:rFonts w:hint="eastAsia" w:ascii="宋体" w:hAnsi="宋体" w:eastAsia="宋体" w:cs="Times New Roman"/>
        </w:rPr>
        <w:t>（5）招标人（或招标代理机构）泄露投标人名称、数量或联系方式等应当保密的事项；</w:t>
      </w:r>
    </w:p>
    <w:p>
      <w:pPr>
        <w:pStyle w:val="12"/>
        <w:adjustRightInd w:val="0"/>
        <w:snapToGrid w:val="0"/>
        <w:spacing w:line="288" w:lineRule="auto"/>
        <w:ind w:firstLine="315" w:firstLineChars="150"/>
        <w:rPr>
          <w:rFonts w:hint="eastAsia" w:ascii="宋体" w:hAnsi="宋体" w:eastAsia="宋体" w:cs="Times New Roman"/>
        </w:rPr>
      </w:pPr>
      <w:r>
        <w:rPr>
          <w:rFonts w:hint="eastAsia" w:ascii="宋体" w:hAnsi="宋体" w:eastAsia="宋体" w:cs="Times New Roman"/>
        </w:rPr>
        <w:t>（6）不同投标人的投标文件由同一单位（或个人）编制或提供投标咨询服务；</w:t>
      </w:r>
    </w:p>
    <w:p>
      <w:pPr>
        <w:pStyle w:val="12"/>
        <w:adjustRightInd w:val="0"/>
        <w:snapToGrid w:val="0"/>
        <w:spacing w:line="288" w:lineRule="auto"/>
        <w:ind w:firstLine="315" w:firstLineChars="150"/>
        <w:rPr>
          <w:rFonts w:hint="eastAsia" w:ascii="宋体" w:hAnsi="宋体" w:eastAsia="宋体" w:cs="Times New Roman"/>
        </w:rPr>
      </w:pPr>
      <w:r>
        <w:rPr>
          <w:rFonts w:hint="eastAsia" w:ascii="宋体" w:hAnsi="宋体" w:eastAsia="宋体" w:cs="Times New Roman"/>
        </w:rPr>
        <w:t>（7）投标人的投标报价与招标人预算书出现非正常一致，或者报价细目呈明显规律性变化。</w:t>
      </w:r>
    </w:p>
    <w:p>
      <w:pPr>
        <w:pStyle w:val="12"/>
        <w:spacing w:line="288" w:lineRule="auto"/>
        <w:ind w:firstLine="422"/>
        <w:rPr>
          <w:rFonts w:ascii="黑体" w:eastAsia="黑体"/>
          <w:b/>
        </w:rPr>
      </w:pPr>
      <w:r>
        <w:rPr>
          <w:rFonts w:hint="eastAsia" w:ascii="黑体" w:hAnsi="宋体" w:eastAsia="黑体"/>
          <w:b/>
        </w:rPr>
        <w:t>2</w:t>
      </w:r>
      <w:r>
        <w:rPr>
          <w:rFonts w:hint="eastAsia" w:ascii="黑体" w:hAnsi="宋体" w:eastAsia="黑体"/>
          <w:b/>
          <w:lang w:val="en-US" w:eastAsia="zh-CN"/>
        </w:rPr>
        <w:t>6</w:t>
      </w:r>
      <w:r>
        <w:rPr>
          <w:rFonts w:hint="eastAsia" w:ascii="黑体" w:hAnsi="宋体" w:eastAsia="黑体"/>
          <w:b/>
        </w:rPr>
        <w:t>.2投标文件有下列情形之一的，由评标委员会初审后按无效标处理：</w:t>
      </w:r>
    </w:p>
    <w:p>
      <w:pPr>
        <w:pStyle w:val="12"/>
        <w:adjustRightInd w:val="0"/>
        <w:snapToGrid w:val="0"/>
        <w:spacing w:line="288" w:lineRule="auto"/>
        <w:ind w:firstLine="315" w:firstLineChars="150"/>
        <w:rPr>
          <w:rFonts w:hint="eastAsia" w:ascii="宋体" w:hAnsi="宋体" w:eastAsia="宋体"/>
          <w:lang w:val="en-US" w:eastAsia="zh-CN"/>
        </w:rPr>
      </w:pPr>
      <w:r>
        <w:rPr>
          <w:rFonts w:hint="eastAsia" w:ascii="宋体" w:hAnsi="宋体"/>
          <w:lang w:val="en-US" w:eastAsia="zh-CN"/>
        </w:rPr>
        <w:t>（1）未按招标公告要求报名或</w:t>
      </w:r>
      <w:r>
        <w:rPr>
          <w:rFonts w:hint="eastAsia" w:ascii="宋体" w:hAnsi="宋体"/>
        </w:rPr>
        <w:t>获取招标文件</w:t>
      </w:r>
      <w:r>
        <w:rPr>
          <w:rFonts w:hint="eastAsia" w:ascii="宋体" w:hAnsi="宋体"/>
          <w:lang w:val="en-US" w:eastAsia="zh-CN"/>
        </w:rPr>
        <w:t>的；</w:t>
      </w:r>
    </w:p>
    <w:p>
      <w:pPr>
        <w:pStyle w:val="12"/>
        <w:adjustRightInd w:val="0"/>
        <w:snapToGrid w:val="0"/>
        <w:spacing w:line="288" w:lineRule="auto"/>
        <w:ind w:firstLine="315" w:firstLineChars="15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）投标人递交两份或多份内容不同的投标文件，或在一份投标文件中对同一招标项目报有两个或多个报价，且未声明哪一个有效，按招标文件规定提交备选投标方案的除外；</w:t>
      </w:r>
    </w:p>
    <w:p>
      <w:pPr>
        <w:pStyle w:val="12"/>
        <w:adjustRightInd w:val="0"/>
        <w:snapToGrid w:val="0"/>
        <w:spacing w:line="288" w:lineRule="auto"/>
        <w:ind w:firstLine="315" w:firstLineChars="15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）投标文件未按招标文件签署条款要求签章的；</w:t>
      </w:r>
    </w:p>
    <w:p>
      <w:pPr>
        <w:pStyle w:val="12"/>
        <w:adjustRightInd w:val="0"/>
        <w:snapToGrid w:val="0"/>
        <w:spacing w:line="288" w:lineRule="auto"/>
        <w:ind w:firstLine="315" w:firstLineChars="150"/>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）投标文件组成不符合招标文件要求的；</w:t>
      </w:r>
    </w:p>
    <w:p>
      <w:pPr>
        <w:pStyle w:val="12"/>
        <w:adjustRightInd w:val="0"/>
        <w:snapToGrid w:val="0"/>
        <w:spacing w:line="288" w:lineRule="auto"/>
        <w:ind w:firstLine="315" w:firstLineChars="150"/>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）投标资格不符合招标文件要求的；</w:t>
      </w:r>
    </w:p>
    <w:p>
      <w:pPr>
        <w:pStyle w:val="12"/>
        <w:adjustRightInd w:val="0"/>
        <w:snapToGrid w:val="0"/>
        <w:spacing w:line="288" w:lineRule="auto"/>
        <w:ind w:firstLine="315" w:firstLineChars="150"/>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）法律法规规定无效标的。</w:t>
      </w:r>
    </w:p>
    <w:p>
      <w:pPr>
        <w:pStyle w:val="12"/>
        <w:spacing w:line="288" w:lineRule="auto"/>
        <w:ind w:left="-4" w:leftChars="-2" w:firstLine="422"/>
        <w:rPr>
          <w:rFonts w:ascii="黑体" w:hAnsi="宋体" w:eastAsia="黑体"/>
          <w:b/>
        </w:rPr>
      </w:pPr>
      <w:r>
        <w:rPr>
          <w:rFonts w:hint="eastAsia" w:ascii="黑体" w:hAnsi="宋体" w:eastAsia="黑体"/>
          <w:b/>
          <w:bCs/>
        </w:rPr>
        <w:t>2</w:t>
      </w:r>
      <w:r>
        <w:rPr>
          <w:rFonts w:hint="eastAsia" w:ascii="黑体" w:hAnsi="宋体" w:eastAsia="黑体"/>
          <w:b/>
          <w:bCs/>
          <w:lang w:val="en-US" w:eastAsia="zh-CN"/>
        </w:rPr>
        <w:t>6</w:t>
      </w:r>
      <w:r>
        <w:rPr>
          <w:rFonts w:hint="eastAsia" w:ascii="黑体" w:hAnsi="宋体" w:eastAsia="黑体"/>
          <w:b/>
          <w:bCs/>
        </w:rPr>
        <w:t>.3</w:t>
      </w:r>
      <w:r>
        <w:rPr>
          <w:rFonts w:hint="eastAsia" w:ascii="黑体" w:hAnsi="宋体" w:eastAsia="黑体"/>
          <w:b/>
        </w:rPr>
        <w:t>投标文件有下列情形之一的，由评标委员会进行实质性评审后按无效标处理：</w:t>
      </w:r>
    </w:p>
    <w:p>
      <w:pPr>
        <w:pStyle w:val="12"/>
        <w:adjustRightInd w:val="0"/>
        <w:snapToGrid w:val="0"/>
        <w:spacing w:line="288" w:lineRule="auto"/>
        <w:ind w:firstLine="315" w:firstLineChars="150"/>
        <w:rPr>
          <w:rFonts w:ascii="宋体" w:hAnsi="宋体"/>
        </w:rPr>
      </w:pPr>
      <w:r>
        <w:rPr>
          <w:rFonts w:hint="eastAsia" w:ascii="宋体" w:hAnsi="宋体"/>
        </w:rPr>
        <w:t>（1）投标承诺的总报价、工期、质量不符合招标文件前附表要求的；</w:t>
      </w:r>
    </w:p>
    <w:p>
      <w:pPr>
        <w:pStyle w:val="12"/>
        <w:adjustRightInd w:val="0"/>
        <w:snapToGrid w:val="0"/>
        <w:spacing w:line="288" w:lineRule="auto"/>
        <w:ind w:firstLine="315" w:firstLineChars="150"/>
        <w:rPr>
          <w:rFonts w:ascii="宋体" w:hAnsi="宋体"/>
        </w:rPr>
      </w:pPr>
      <w:r>
        <w:rPr>
          <w:rFonts w:hint="eastAsia" w:ascii="宋体" w:hAnsi="宋体"/>
        </w:rPr>
        <w:t>（2）招标文件报价要求中规定作无效标的；</w:t>
      </w:r>
    </w:p>
    <w:p>
      <w:pPr>
        <w:pStyle w:val="12"/>
        <w:adjustRightInd w:val="0"/>
        <w:snapToGrid w:val="0"/>
        <w:spacing w:line="288" w:lineRule="auto"/>
        <w:ind w:firstLine="315" w:firstLineChars="150"/>
        <w:rPr>
          <w:rFonts w:ascii="宋体" w:hAnsi="宋体"/>
        </w:rPr>
      </w:pPr>
      <w:r>
        <w:rPr>
          <w:rFonts w:hint="eastAsia" w:ascii="宋体" w:hAnsi="宋体"/>
        </w:rPr>
        <w:t>（3）违反招标文件其他实质性条款规定的。</w:t>
      </w:r>
    </w:p>
    <w:p>
      <w:pPr>
        <w:pStyle w:val="12"/>
        <w:spacing w:line="288" w:lineRule="auto"/>
        <w:ind w:left="-4" w:leftChars="-2" w:firstLine="422"/>
        <w:rPr>
          <w:rFonts w:ascii="黑体" w:hAnsi="宋体" w:eastAsia="黑体"/>
          <w:b/>
          <w:szCs w:val="21"/>
        </w:rPr>
      </w:pPr>
      <w:r>
        <w:rPr>
          <w:rFonts w:hint="eastAsia" w:ascii="黑体" w:hAnsi="宋体" w:eastAsia="黑体"/>
          <w:b/>
          <w:bCs/>
        </w:rPr>
        <w:t>2</w:t>
      </w:r>
      <w:r>
        <w:rPr>
          <w:rFonts w:hint="eastAsia" w:ascii="黑体" w:hAnsi="宋体" w:eastAsia="黑体"/>
          <w:b/>
          <w:bCs/>
          <w:lang w:val="en-US" w:eastAsia="zh-CN"/>
        </w:rPr>
        <w:t>6</w:t>
      </w:r>
      <w:r>
        <w:rPr>
          <w:rFonts w:hint="eastAsia" w:ascii="黑体" w:hAnsi="宋体" w:eastAsia="黑体"/>
          <w:b/>
          <w:bCs/>
        </w:rPr>
        <w:t>.4</w:t>
      </w:r>
      <w:r>
        <w:rPr>
          <w:rFonts w:hint="eastAsia" w:ascii="黑体" w:hAnsi="宋体" w:eastAsia="黑体"/>
          <w:b/>
        </w:rPr>
        <w:t>投标文件有下列情形之一的，</w:t>
      </w:r>
      <w:r>
        <w:rPr>
          <w:rFonts w:hint="eastAsia" w:ascii="黑体" w:hAnsi="宋体" w:eastAsia="黑体"/>
          <w:b/>
          <w:szCs w:val="21"/>
        </w:rPr>
        <w:t>经评标委员会详细评审后认定该投标文件对招标文件要求存在重大偏离的，则该投标文件按无效标处理：</w:t>
      </w:r>
    </w:p>
    <w:p>
      <w:pPr>
        <w:pStyle w:val="12"/>
        <w:adjustRightInd w:val="0"/>
        <w:snapToGrid w:val="0"/>
        <w:spacing w:line="288" w:lineRule="auto"/>
        <w:ind w:firstLine="315" w:firstLineChars="150"/>
        <w:rPr>
          <w:rFonts w:ascii="宋体" w:hAnsi="宋体"/>
        </w:rPr>
      </w:pPr>
      <w:r>
        <w:rPr>
          <w:rFonts w:hint="eastAsia" w:ascii="宋体" w:hAnsi="宋体"/>
        </w:rPr>
        <w:t>（1）</w:t>
      </w:r>
      <w:r>
        <w:rPr>
          <w:rFonts w:hint="eastAsia" w:ascii="宋体" w:hAnsi="宋体"/>
          <w:lang w:val="en-US" w:eastAsia="zh-CN"/>
        </w:rPr>
        <w:t>报价文件</w:t>
      </w:r>
      <w:r>
        <w:rPr>
          <w:rFonts w:hint="eastAsia" w:ascii="宋体" w:hAnsi="宋体"/>
        </w:rPr>
        <w:t>评审中规定作无效标的；</w:t>
      </w:r>
    </w:p>
    <w:p>
      <w:pPr>
        <w:pStyle w:val="12"/>
        <w:adjustRightInd w:val="0"/>
        <w:snapToGrid w:val="0"/>
        <w:spacing w:line="288" w:lineRule="auto"/>
        <w:ind w:firstLine="315" w:firstLineChars="150"/>
        <w:rPr>
          <w:rFonts w:ascii="宋体" w:hAnsi="宋体"/>
        </w:rPr>
      </w:pPr>
      <w:r>
        <w:rPr>
          <w:rFonts w:hint="eastAsia" w:ascii="宋体" w:hAnsi="宋体"/>
        </w:rPr>
        <w:t>（2）招标文件中其他内容明确规定作无效标的。</w:t>
      </w:r>
    </w:p>
    <w:p>
      <w:pPr>
        <w:pStyle w:val="16"/>
        <w:tabs>
          <w:tab w:val="left" w:pos="574"/>
        </w:tabs>
        <w:ind w:firstLine="420" w:firstLineChars="200"/>
      </w:pPr>
      <w:r>
        <w:rPr>
          <w:rFonts w:hint="eastAsia" w:ascii="黑体" w:eastAsia="黑体"/>
          <w:bCs/>
        </w:rPr>
        <w:t>2</w:t>
      </w:r>
      <w:r>
        <w:rPr>
          <w:rFonts w:hint="eastAsia" w:ascii="黑体" w:eastAsia="黑体"/>
          <w:bCs/>
          <w:lang w:val="en-US" w:eastAsia="zh-CN"/>
        </w:rPr>
        <w:t>6</w:t>
      </w:r>
      <w:r>
        <w:rPr>
          <w:rFonts w:hint="eastAsia" w:ascii="黑体" w:eastAsia="黑体"/>
          <w:bCs/>
        </w:rPr>
        <w:t>.5</w:t>
      </w:r>
      <w:r>
        <w:rPr>
          <w:rFonts w:hint="eastAsia"/>
        </w:rPr>
        <w:t>如有效标不足三家使得投标明显缺乏竞争的，评标委员会可以否决全部投标。所有投标被否决的，则本次招标失败。</w:t>
      </w:r>
    </w:p>
    <w:p>
      <w:pPr>
        <w:tabs>
          <w:tab w:val="left" w:pos="287"/>
        </w:tabs>
        <w:spacing w:before="360" w:line="288" w:lineRule="auto"/>
        <w:jc w:val="left"/>
        <w:rPr>
          <w:rFonts w:ascii="黑体" w:hAnsi="宋体" w:eastAsia="黑体"/>
          <w:color w:val="000000"/>
          <w:szCs w:val="20"/>
        </w:rPr>
      </w:pPr>
      <w:bookmarkStart w:id="173" w:name="_Toc22141"/>
      <w:bookmarkStart w:id="174" w:name="_Toc155342564"/>
      <w:bookmarkStart w:id="175" w:name="_Toc169487811"/>
      <w:r>
        <w:rPr>
          <w:rFonts w:hint="eastAsia" w:ascii="黑体" w:hAnsi="宋体" w:eastAsia="黑体"/>
          <w:color w:val="000000"/>
          <w:szCs w:val="20"/>
        </w:rPr>
        <w:t>2</w:t>
      </w:r>
      <w:r>
        <w:rPr>
          <w:rFonts w:hint="eastAsia" w:ascii="黑体" w:hAnsi="宋体" w:eastAsia="黑体"/>
          <w:color w:val="000000"/>
          <w:szCs w:val="20"/>
          <w:lang w:val="en-US" w:eastAsia="zh-CN"/>
        </w:rPr>
        <w:t>7</w:t>
      </w:r>
      <w:r>
        <w:rPr>
          <w:rFonts w:hint="eastAsia" w:ascii="黑体" w:hAnsi="宋体" w:eastAsia="黑体"/>
          <w:color w:val="000000"/>
          <w:szCs w:val="20"/>
        </w:rPr>
        <w:t>.商务标的修正</w:t>
      </w:r>
      <w:bookmarkEnd w:id="173"/>
      <w:bookmarkEnd w:id="174"/>
      <w:bookmarkEnd w:id="175"/>
    </w:p>
    <w:p>
      <w:pPr>
        <w:pStyle w:val="16"/>
        <w:tabs>
          <w:tab w:val="left" w:pos="574"/>
        </w:tabs>
        <w:ind w:left="69" w:leftChars="33" w:firstLine="420" w:firstLineChars="200"/>
      </w:pPr>
      <w:r>
        <w:rPr>
          <w:rFonts w:hint="eastAsia"/>
        </w:rPr>
        <w:t>2</w:t>
      </w:r>
      <w:r>
        <w:rPr>
          <w:rFonts w:hint="eastAsia"/>
          <w:lang w:val="en-US" w:eastAsia="zh-CN"/>
        </w:rPr>
        <w:t>7</w:t>
      </w:r>
      <w:r>
        <w:rPr>
          <w:rFonts w:hint="eastAsia"/>
        </w:rPr>
        <w:t>.1评标委员会对确定为实质上响应招标文件要求的投标文件进行复核：投标函中投标总报价大写与小写不一致的，以大写为准。</w:t>
      </w:r>
    </w:p>
    <w:p>
      <w:pPr>
        <w:tabs>
          <w:tab w:val="left" w:pos="287"/>
        </w:tabs>
        <w:spacing w:before="360" w:line="288" w:lineRule="auto"/>
        <w:jc w:val="left"/>
        <w:rPr>
          <w:rFonts w:ascii="黑体" w:hAnsi="宋体" w:eastAsia="黑体"/>
          <w:color w:val="000000"/>
          <w:szCs w:val="20"/>
        </w:rPr>
      </w:pPr>
      <w:bookmarkStart w:id="176" w:name="_Toc155342565"/>
      <w:bookmarkStart w:id="177" w:name="_Toc169487812"/>
      <w:bookmarkStart w:id="178" w:name="_Toc5984"/>
      <w:r>
        <w:rPr>
          <w:rFonts w:hint="eastAsia" w:ascii="黑体" w:hAnsi="宋体" w:eastAsia="黑体"/>
          <w:color w:val="000000"/>
          <w:szCs w:val="20"/>
          <w:lang w:val="en-US" w:eastAsia="zh-CN"/>
        </w:rPr>
        <w:t>28</w:t>
      </w:r>
      <w:r>
        <w:rPr>
          <w:rFonts w:hint="eastAsia" w:ascii="黑体" w:hAnsi="宋体" w:eastAsia="黑体"/>
          <w:color w:val="000000"/>
          <w:szCs w:val="20"/>
        </w:rPr>
        <w:t>.评标办法</w:t>
      </w:r>
      <w:bookmarkEnd w:id="176"/>
      <w:bookmarkEnd w:id="177"/>
      <w:bookmarkEnd w:id="178"/>
    </w:p>
    <w:p>
      <w:pPr>
        <w:pStyle w:val="16"/>
        <w:tabs>
          <w:tab w:val="left" w:pos="574"/>
        </w:tabs>
        <w:ind w:firstLine="420" w:firstLineChars="200"/>
      </w:pPr>
      <w:r>
        <w:rPr>
          <w:rFonts w:hint="eastAsia"/>
          <w:lang w:val="en-US" w:eastAsia="zh-CN"/>
        </w:rPr>
        <w:t>28</w:t>
      </w:r>
      <w:r>
        <w:rPr>
          <w:rFonts w:hint="eastAsia"/>
        </w:rPr>
        <w:t>.1本工程项目采用的评标办法见本须知前附表第</w:t>
      </w:r>
      <w:r>
        <w:rPr>
          <w:rFonts w:hint="eastAsia"/>
          <w:lang w:val="en-US" w:eastAsia="zh-CN"/>
        </w:rPr>
        <w:t>23</w:t>
      </w:r>
      <w:r>
        <w:rPr>
          <w:rFonts w:hint="eastAsia"/>
        </w:rPr>
        <w:t>项，具体内容详见本招标文件第三章。</w:t>
      </w:r>
    </w:p>
    <w:p>
      <w:pPr>
        <w:pStyle w:val="3"/>
        <w:spacing w:after="120"/>
        <w:jc w:val="center"/>
      </w:pPr>
      <w:bookmarkStart w:id="179" w:name="_Toc29930"/>
      <w:bookmarkStart w:id="180" w:name="_Toc353454319"/>
      <w:bookmarkStart w:id="181" w:name="_Toc17379"/>
      <w:bookmarkStart w:id="182" w:name="_Toc27652"/>
      <w:bookmarkStart w:id="183" w:name="_Toc19265"/>
      <w:r>
        <w:rPr>
          <w:rFonts w:hint="eastAsia"/>
        </w:rPr>
        <w:t>第七节  授予合同</w:t>
      </w:r>
      <w:bookmarkEnd w:id="155"/>
      <w:bookmarkEnd w:id="156"/>
      <w:bookmarkEnd w:id="179"/>
      <w:bookmarkEnd w:id="180"/>
      <w:bookmarkEnd w:id="181"/>
      <w:bookmarkEnd w:id="182"/>
      <w:bookmarkEnd w:id="183"/>
    </w:p>
    <w:p>
      <w:pPr>
        <w:tabs>
          <w:tab w:val="left" w:pos="287"/>
        </w:tabs>
        <w:spacing w:before="360" w:line="288" w:lineRule="auto"/>
        <w:jc w:val="left"/>
        <w:rPr>
          <w:rFonts w:ascii="黑体" w:hAnsi="宋体" w:eastAsia="黑体"/>
          <w:color w:val="000000"/>
          <w:szCs w:val="20"/>
        </w:rPr>
      </w:pPr>
      <w:bookmarkStart w:id="184" w:name="_Toc10934"/>
      <w:bookmarkStart w:id="185" w:name="_Toc500208496"/>
      <w:r>
        <w:rPr>
          <w:rFonts w:hint="eastAsia" w:ascii="黑体" w:hAnsi="宋体" w:eastAsia="黑体"/>
          <w:color w:val="000000"/>
          <w:szCs w:val="20"/>
          <w:lang w:val="en-US" w:eastAsia="zh-CN"/>
        </w:rPr>
        <w:t>29</w:t>
      </w:r>
      <w:r>
        <w:rPr>
          <w:rFonts w:hint="eastAsia" w:ascii="黑体" w:hAnsi="宋体" w:eastAsia="黑体"/>
          <w:color w:val="000000"/>
          <w:szCs w:val="20"/>
        </w:rPr>
        <w:t>.中标候选人公示</w:t>
      </w:r>
      <w:bookmarkEnd w:id="184"/>
    </w:p>
    <w:p>
      <w:pPr>
        <w:pStyle w:val="16"/>
        <w:tabs>
          <w:tab w:val="left" w:pos="574"/>
        </w:tabs>
        <w:ind w:firstLine="420" w:firstLineChars="200"/>
      </w:pPr>
      <w:bookmarkStart w:id="186" w:name="_Toc155342568"/>
      <w:bookmarkStart w:id="187" w:name="_Toc169487815"/>
      <w:r>
        <w:rPr>
          <w:rFonts w:hint="eastAsia"/>
          <w:lang w:val="en-US" w:eastAsia="zh-CN"/>
        </w:rPr>
        <w:t>29</w:t>
      </w:r>
      <w:r>
        <w:rPr>
          <w:rFonts w:hint="eastAsia"/>
        </w:rPr>
        <w:t>.1招标人应当将评标委员会推荐的中标候选人进行公示，公示期不得少于3日。</w:t>
      </w:r>
    </w:p>
    <w:p>
      <w:pPr>
        <w:pStyle w:val="16"/>
        <w:tabs>
          <w:tab w:val="left" w:pos="574"/>
        </w:tabs>
        <w:ind w:firstLine="420" w:firstLineChars="200"/>
      </w:pPr>
      <w:r>
        <w:rPr>
          <w:rFonts w:hint="eastAsia"/>
          <w:lang w:val="en-US" w:eastAsia="zh-CN"/>
        </w:rPr>
        <w:t>29</w:t>
      </w:r>
      <w:r>
        <w:rPr>
          <w:rFonts w:hint="eastAsia"/>
        </w:rPr>
        <w:t>.2涉及中标候选人投标资格等情形的，招标人（招标代理机构）可以书面形式要求其进行澄清或说明。中标候选人应自收到书面通知之日起3日内进行澄清或说明。</w:t>
      </w:r>
    </w:p>
    <w:p>
      <w:pPr>
        <w:pStyle w:val="16"/>
        <w:tabs>
          <w:tab w:val="left" w:pos="574"/>
        </w:tabs>
        <w:ind w:firstLine="420" w:firstLineChars="200"/>
      </w:pPr>
      <w:bookmarkStart w:id="188" w:name="_Toc31794"/>
      <w:bookmarkStart w:id="189" w:name="_Toc29246"/>
      <w:r>
        <w:rPr>
          <w:rFonts w:hint="eastAsia"/>
          <w:lang w:val="en-US" w:eastAsia="zh-CN"/>
        </w:rPr>
        <w:t>29</w:t>
      </w:r>
      <w:r>
        <w:rPr>
          <w:rFonts w:hint="eastAsia"/>
        </w:rPr>
        <w:t>.3中标候选人有以下情形之一的，其资格无效：</w:t>
      </w:r>
      <w:bookmarkEnd w:id="188"/>
      <w:bookmarkEnd w:id="189"/>
    </w:p>
    <w:p>
      <w:pPr>
        <w:spacing w:line="288" w:lineRule="auto"/>
        <w:ind w:firstLine="420" w:firstLineChars="200"/>
        <w:rPr>
          <w:rFonts w:ascii="宋体" w:hAnsi="宋体"/>
        </w:rPr>
      </w:pPr>
      <w:r>
        <w:rPr>
          <w:rFonts w:hint="eastAsia" w:ascii="宋体" w:hAnsi="宋体"/>
        </w:rPr>
        <w:t>（1）投标资格不符合本章第4条规定的；</w:t>
      </w:r>
    </w:p>
    <w:p>
      <w:pPr>
        <w:spacing w:line="288" w:lineRule="auto"/>
        <w:ind w:firstLine="420" w:firstLineChars="200"/>
        <w:rPr>
          <w:rFonts w:ascii="宋体" w:hAnsi="宋体"/>
          <w:highlight w:val="none"/>
        </w:rPr>
      </w:pPr>
      <w:r>
        <w:rPr>
          <w:rFonts w:hint="eastAsia" w:ascii="宋体" w:hAnsi="宋体"/>
        </w:rPr>
        <w:t>（2）投标人提供虚假材料骗取投标资格的；</w:t>
      </w:r>
    </w:p>
    <w:p>
      <w:pPr>
        <w:spacing w:line="288" w:lineRule="auto"/>
        <w:ind w:firstLine="420" w:firstLineChars="200"/>
        <w:rPr>
          <w:rFonts w:ascii="宋体" w:hAnsi="宋体"/>
          <w:highlight w:val="none"/>
        </w:rPr>
      </w:pPr>
      <w:r>
        <w:rPr>
          <w:rFonts w:hint="eastAsia" w:ascii="宋体" w:hAnsi="宋体"/>
          <w:highlight w:val="none"/>
        </w:rPr>
        <w:t>（3）按本章第2</w:t>
      </w:r>
      <w:r>
        <w:rPr>
          <w:rFonts w:hint="eastAsia" w:ascii="宋体" w:hAnsi="宋体"/>
          <w:highlight w:val="none"/>
          <w:lang w:val="en-US" w:eastAsia="zh-CN"/>
        </w:rPr>
        <w:t>6</w:t>
      </w:r>
      <w:r>
        <w:rPr>
          <w:rFonts w:hint="eastAsia" w:ascii="宋体" w:hAnsi="宋体"/>
          <w:highlight w:val="none"/>
        </w:rPr>
        <w:t>项规定应作无效标处理的；</w:t>
      </w:r>
    </w:p>
    <w:p>
      <w:pPr>
        <w:spacing w:line="288" w:lineRule="auto"/>
        <w:ind w:firstLine="420" w:firstLineChars="200"/>
        <w:rPr>
          <w:rFonts w:ascii="宋体" w:hAnsi="宋体"/>
          <w:highlight w:val="none"/>
        </w:rPr>
      </w:pPr>
      <w:r>
        <w:rPr>
          <w:rFonts w:hint="eastAsia" w:ascii="宋体" w:hAnsi="宋体"/>
          <w:highlight w:val="none"/>
        </w:rPr>
        <w:t>（4）拒绝按本章第</w:t>
      </w:r>
      <w:r>
        <w:rPr>
          <w:rFonts w:hint="eastAsia" w:ascii="宋体" w:hAnsi="宋体"/>
          <w:highlight w:val="none"/>
          <w:lang w:val="en-US" w:eastAsia="zh-CN"/>
        </w:rPr>
        <w:t>29</w:t>
      </w:r>
      <w:r>
        <w:rPr>
          <w:rFonts w:hint="eastAsia" w:ascii="宋体" w:hAnsi="宋体"/>
          <w:highlight w:val="none"/>
        </w:rPr>
        <w:t>.2款规定进行说明或不能合理说明理由的；</w:t>
      </w:r>
    </w:p>
    <w:p>
      <w:pPr>
        <w:pStyle w:val="12"/>
        <w:spacing w:line="288" w:lineRule="auto"/>
        <w:rPr>
          <w:rFonts w:ascii="宋体" w:hAnsi="宋体"/>
          <w:highlight w:val="none"/>
        </w:rPr>
      </w:pPr>
      <w:r>
        <w:rPr>
          <w:rFonts w:hint="eastAsia" w:ascii="宋体" w:hAnsi="宋体"/>
          <w:highlight w:val="none"/>
        </w:rPr>
        <w:t>（5）法律法规规定作无效标处理的其它情形。</w:t>
      </w:r>
    </w:p>
    <w:bookmarkEnd w:id="185"/>
    <w:bookmarkEnd w:id="186"/>
    <w:bookmarkEnd w:id="187"/>
    <w:p>
      <w:pPr>
        <w:tabs>
          <w:tab w:val="left" w:pos="287"/>
        </w:tabs>
        <w:spacing w:before="360" w:line="288" w:lineRule="auto"/>
        <w:jc w:val="left"/>
        <w:rPr>
          <w:rFonts w:ascii="黑体" w:hAnsi="宋体" w:eastAsia="黑体"/>
          <w:color w:val="000000"/>
          <w:szCs w:val="20"/>
        </w:rPr>
      </w:pPr>
      <w:bookmarkStart w:id="190" w:name="_Toc16126"/>
      <w:bookmarkStart w:id="191" w:name="_Toc1441"/>
      <w:bookmarkStart w:id="192" w:name="_Toc169487816"/>
      <w:bookmarkStart w:id="193" w:name="_Toc500208498"/>
      <w:r>
        <w:rPr>
          <w:rFonts w:hint="eastAsia" w:ascii="黑体" w:hAnsi="宋体" w:eastAsia="黑体"/>
          <w:color w:val="000000"/>
          <w:szCs w:val="20"/>
        </w:rPr>
        <w:t>3</w:t>
      </w:r>
      <w:r>
        <w:rPr>
          <w:rFonts w:hint="eastAsia" w:ascii="黑体" w:hAnsi="宋体" w:eastAsia="黑体"/>
          <w:color w:val="000000"/>
          <w:szCs w:val="20"/>
          <w:lang w:val="en-US" w:eastAsia="zh-CN"/>
        </w:rPr>
        <w:t>0</w:t>
      </w:r>
      <w:r>
        <w:rPr>
          <w:rFonts w:hint="eastAsia" w:ascii="黑体" w:hAnsi="宋体" w:eastAsia="黑体"/>
          <w:color w:val="000000"/>
          <w:szCs w:val="20"/>
        </w:rPr>
        <w:t>.中标通知书</w:t>
      </w:r>
      <w:bookmarkEnd w:id="190"/>
      <w:bookmarkEnd w:id="191"/>
      <w:bookmarkEnd w:id="192"/>
    </w:p>
    <w:p>
      <w:pPr>
        <w:pStyle w:val="16"/>
        <w:tabs>
          <w:tab w:val="left" w:pos="574"/>
        </w:tabs>
        <w:ind w:firstLine="420" w:firstLineChars="200"/>
        <w:rPr>
          <w:rFonts w:hint="eastAsia" w:ascii="宋体" w:hAnsi="宋体" w:cs="宋体"/>
          <w:szCs w:val="21"/>
        </w:rPr>
      </w:pPr>
      <w:bookmarkStart w:id="194" w:name="_Toc155342569"/>
      <w:bookmarkStart w:id="195" w:name="_Toc169487817"/>
      <w:r>
        <w:rPr>
          <w:rFonts w:hint="eastAsia"/>
        </w:rPr>
        <w:t>3</w:t>
      </w:r>
      <w:r>
        <w:rPr>
          <w:rFonts w:hint="eastAsia"/>
          <w:lang w:val="en-US" w:eastAsia="zh-CN"/>
        </w:rPr>
        <w:t>0</w:t>
      </w:r>
      <w:r>
        <w:rPr>
          <w:rFonts w:hint="eastAsia"/>
        </w:rPr>
        <w:t>.1</w:t>
      </w:r>
      <w:r>
        <w:rPr>
          <w:rFonts w:hint="eastAsia" w:ascii="宋体" w:hAnsi="宋体" w:cs="宋体"/>
          <w:szCs w:val="21"/>
        </w:rPr>
        <w:t>招标人应当确定中标候选人为中标人。如涉及其他投标人资格无效的，评标结果不作调整。中标候选人放弃中标、或因不可抗力不能履行合同，或被查实存在影响中标结果的违法行为等情形，不符合中标条件的，本次招标失败，重新组织招标。除中标候选人外的其他投标人资格无效的，评标结果不作调整。</w:t>
      </w:r>
    </w:p>
    <w:p>
      <w:pPr>
        <w:pStyle w:val="16"/>
        <w:tabs>
          <w:tab w:val="left" w:pos="574"/>
        </w:tabs>
        <w:ind w:firstLine="420" w:firstLineChars="200"/>
        <w:rPr>
          <w:rFonts w:hint="eastAsia" w:ascii="宋体" w:hAnsi="宋体" w:eastAsia="宋体" w:cs="宋体"/>
          <w:szCs w:val="21"/>
        </w:rPr>
      </w:pPr>
      <w:r>
        <w:rPr>
          <w:rFonts w:hint="eastAsia" w:ascii="宋体" w:hAnsi="宋体" w:eastAsia="宋体" w:cs="宋体"/>
          <w:szCs w:val="21"/>
        </w:rPr>
        <w:t>中标候选人在招标公告发出之日至中标通知书发出之日，参与投标对应资质条件在“浙江省建筑市场监管公共服务系统”上动态核查结果若为“不合格”状态（或者资质“合格”状态的等级低于投标要求的资质等级）、放弃中标、因不可抗力不能履行合同、不按照招标文件要求提交履约保证金，或者被查实存在影响中标结果的违法行为等情形，不符合中标条件的，招标人重新招标。</w:t>
      </w:r>
    </w:p>
    <w:p>
      <w:pPr>
        <w:pStyle w:val="16"/>
        <w:tabs>
          <w:tab w:val="left" w:pos="574"/>
        </w:tabs>
        <w:ind w:firstLine="420" w:firstLineChars="200"/>
      </w:pPr>
      <w:r>
        <w:rPr>
          <w:rFonts w:hint="eastAsia"/>
          <w:szCs w:val="32"/>
        </w:rPr>
        <w:t>3</w:t>
      </w:r>
      <w:r>
        <w:rPr>
          <w:rFonts w:hint="eastAsia"/>
          <w:szCs w:val="32"/>
          <w:lang w:val="en-US" w:eastAsia="zh-CN"/>
        </w:rPr>
        <w:t>0</w:t>
      </w:r>
      <w:r>
        <w:rPr>
          <w:rFonts w:hint="eastAsia"/>
          <w:szCs w:val="32"/>
        </w:rPr>
        <w:t>.2中标人确定后，招标人应当向中标人发出《建设工程中标通知书》。</w:t>
      </w:r>
    </w:p>
    <w:p>
      <w:pPr>
        <w:pStyle w:val="16"/>
        <w:tabs>
          <w:tab w:val="left" w:pos="574"/>
        </w:tabs>
        <w:ind w:firstLine="420" w:firstLineChars="200"/>
        <w:rPr>
          <w:szCs w:val="32"/>
        </w:rPr>
      </w:pPr>
      <w:r>
        <w:rPr>
          <w:rFonts w:hint="eastAsia"/>
          <w:szCs w:val="32"/>
        </w:rPr>
        <w:t>3</w:t>
      </w:r>
      <w:r>
        <w:rPr>
          <w:rFonts w:hint="eastAsia"/>
          <w:szCs w:val="32"/>
          <w:lang w:val="en-US" w:eastAsia="zh-CN"/>
        </w:rPr>
        <w:t>0</w:t>
      </w:r>
      <w:r>
        <w:rPr>
          <w:rFonts w:hint="eastAsia"/>
          <w:szCs w:val="32"/>
        </w:rPr>
        <w:t>.3《建设工程中标通知书》对招标人和中标人具有法律约束力。《建设工程中标通知书》发出后，如中标人违反法律法规规定而中标无效的，应承担相应的法律责任，本次招标失败。</w:t>
      </w:r>
    </w:p>
    <w:p>
      <w:pPr>
        <w:pStyle w:val="16"/>
        <w:tabs>
          <w:tab w:val="left" w:pos="574"/>
        </w:tabs>
        <w:ind w:firstLine="420" w:firstLineChars="200"/>
      </w:pPr>
      <w:r>
        <w:rPr>
          <w:rFonts w:hint="eastAsia"/>
          <w:color w:val="000000"/>
        </w:rPr>
        <w:t>3</w:t>
      </w:r>
      <w:r>
        <w:rPr>
          <w:rFonts w:hint="eastAsia"/>
          <w:color w:val="000000"/>
          <w:lang w:val="en-US" w:eastAsia="zh-CN"/>
        </w:rPr>
        <w:t>0</w:t>
      </w:r>
      <w:r>
        <w:rPr>
          <w:rFonts w:hint="eastAsia"/>
          <w:color w:val="000000"/>
        </w:rPr>
        <w:t>.4中标人应自收到《中标通知书》7日内,按本招标文件规定向招标人提交履约担保。如中标人不及时提交履约担保或不按时与招标人签订合同，招标人将有充分理由废除授标，并没收其投标保证金</w:t>
      </w:r>
      <w:r>
        <w:rPr>
          <w:rFonts w:hint="eastAsia"/>
        </w:rPr>
        <w:t>。</w:t>
      </w:r>
    </w:p>
    <w:p>
      <w:pPr>
        <w:tabs>
          <w:tab w:val="left" w:pos="287"/>
        </w:tabs>
        <w:spacing w:before="360" w:line="288" w:lineRule="auto"/>
        <w:jc w:val="left"/>
        <w:rPr>
          <w:rFonts w:ascii="黑体" w:hAnsi="宋体" w:eastAsia="黑体"/>
          <w:color w:val="000000"/>
          <w:szCs w:val="20"/>
        </w:rPr>
      </w:pPr>
      <w:bookmarkStart w:id="196" w:name="_Toc15968"/>
      <w:r>
        <w:rPr>
          <w:rFonts w:hint="eastAsia" w:ascii="黑体" w:hAnsi="宋体" w:eastAsia="黑体"/>
          <w:color w:val="000000"/>
          <w:szCs w:val="20"/>
        </w:rPr>
        <w:t>3</w:t>
      </w:r>
      <w:r>
        <w:rPr>
          <w:rFonts w:hint="eastAsia" w:ascii="黑体" w:hAnsi="宋体" w:eastAsia="黑体"/>
          <w:color w:val="000000"/>
          <w:szCs w:val="20"/>
          <w:lang w:val="en-US" w:eastAsia="zh-CN"/>
        </w:rPr>
        <w:t>1</w:t>
      </w:r>
      <w:r>
        <w:rPr>
          <w:rFonts w:hint="eastAsia" w:ascii="黑体" w:hAnsi="宋体" w:eastAsia="黑体"/>
          <w:color w:val="000000"/>
          <w:szCs w:val="20"/>
        </w:rPr>
        <w:t>.合同签订</w:t>
      </w:r>
      <w:bookmarkEnd w:id="194"/>
      <w:bookmarkEnd w:id="195"/>
      <w:bookmarkEnd w:id="196"/>
    </w:p>
    <w:p>
      <w:pPr>
        <w:pStyle w:val="16"/>
        <w:tabs>
          <w:tab w:val="left" w:pos="574"/>
        </w:tabs>
        <w:ind w:firstLine="420" w:firstLineChars="200"/>
      </w:pPr>
      <w:r>
        <w:rPr>
          <w:rFonts w:hint="eastAsia"/>
          <w:szCs w:val="32"/>
        </w:rPr>
        <w:t>3</w:t>
      </w:r>
      <w:r>
        <w:rPr>
          <w:rFonts w:hint="eastAsia"/>
          <w:szCs w:val="32"/>
          <w:lang w:val="en-US" w:eastAsia="zh-CN"/>
        </w:rPr>
        <w:t>1</w:t>
      </w:r>
      <w:r>
        <w:rPr>
          <w:rFonts w:hint="eastAsia"/>
          <w:szCs w:val="32"/>
        </w:rPr>
        <w:t>.1自《建设工程中标通知书》发出之日起30日内，招标人应当与中标人按照本招标文件和中标人的投标文件订立书面合同。招标人与中标人不得再行订立背离合同实质性内容的其他协议。</w:t>
      </w:r>
    </w:p>
    <w:p>
      <w:pPr>
        <w:pStyle w:val="16"/>
        <w:tabs>
          <w:tab w:val="left" w:pos="574"/>
        </w:tabs>
        <w:ind w:firstLine="420" w:firstLineChars="200"/>
        <w:rPr>
          <w:rFonts w:ascii="宋体" w:hAnsi="宋体"/>
          <w:szCs w:val="32"/>
        </w:rPr>
      </w:pPr>
      <w:r>
        <w:rPr>
          <w:rFonts w:hint="eastAsia"/>
          <w:szCs w:val="32"/>
        </w:rPr>
        <w:t>3</w:t>
      </w:r>
      <w:r>
        <w:rPr>
          <w:rFonts w:hint="eastAsia"/>
          <w:szCs w:val="32"/>
          <w:lang w:val="en-US" w:eastAsia="zh-CN"/>
        </w:rPr>
        <w:t>1</w:t>
      </w:r>
      <w:r>
        <w:rPr>
          <w:rFonts w:hint="eastAsia"/>
          <w:szCs w:val="32"/>
        </w:rPr>
        <w:t>.2招标人与中标人须根据国家、省、市建设工程施工合同管理的规定及招标文件、投标文件，草签施工合同，待合同管理部门审查后正式签订。</w:t>
      </w:r>
      <w:r>
        <w:rPr>
          <w:rFonts w:hint="eastAsia" w:ascii="宋体" w:hAnsi="宋体"/>
          <w:szCs w:val="32"/>
        </w:rPr>
        <w:t>招标人与中标人应当按照《关于在我市工程建设领域推行廉政合同的通知》（台纪[2001]19号）的要求签订《廉政合同》。</w:t>
      </w:r>
      <w:bookmarkEnd w:id="193"/>
    </w:p>
    <w:bookmarkEnd w:id="7"/>
    <w:bookmarkEnd w:id="8"/>
    <w:bookmarkEnd w:id="9"/>
    <w:bookmarkEnd w:id="10"/>
    <w:bookmarkEnd w:id="11"/>
    <w:bookmarkEnd w:id="12"/>
    <w:p>
      <w:pPr>
        <w:widowControl/>
        <w:jc w:val="center"/>
        <w:outlineLvl w:val="0"/>
        <w:rPr>
          <w:rFonts w:eastAsia="黑体"/>
          <w:b/>
          <w:bCs/>
          <w:sz w:val="32"/>
        </w:rPr>
      </w:pPr>
      <w:bookmarkStart w:id="197" w:name="_Toc152045587"/>
      <w:bookmarkStart w:id="198" w:name="_Toc152042364"/>
      <w:bookmarkStart w:id="199" w:name="_Toc144974554"/>
      <w:r>
        <w:br w:type="page"/>
      </w:r>
      <w:bookmarkStart w:id="200" w:name="_Toc531162018"/>
      <w:bookmarkStart w:id="201" w:name="_Toc20221"/>
      <w:bookmarkStart w:id="202" w:name="_Toc50019886"/>
      <w:bookmarkStart w:id="203" w:name="_Toc30770"/>
      <w:r>
        <w:rPr>
          <w:rFonts w:hint="eastAsia" w:eastAsia="黑体"/>
          <w:b/>
          <w:bCs/>
          <w:sz w:val="32"/>
        </w:rPr>
        <w:t>第二章</w:t>
      </w:r>
      <w:r>
        <w:rPr>
          <w:rFonts w:hint="eastAsia"/>
        </w:rPr>
        <w:t xml:space="preserve">  </w:t>
      </w:r>
      <w:r>
        <w:rPr>
          <w:rFonts w:hint="eastAsia" w:eastAsia="黑体"/>
          <w:b/>
          <w:bCs/>
          <w:sz w:val="32"/>
        </w:rPr>
        <w:t>评标办法</w:t>
      </w:r>
      <w:bookmarkEnd w:id="197"/>
      <w:bookmarkEnd w:id="198"/>
      <w:bookmarkEnd w:id="199"/>
      <w:bookmarkEnd w:id="200"/>
      <w:bookmarkEnd w:id="201"/>
      <w:bookmarkEnd w:id="202"/>
      <w:bookmarkEnd w:id="203"/>
    </w:p>
    <w:p>
      <w:pPr>
        <w:keepNext/>
        <w:keepLines/>
        <w:widowControl w:val="0"/>
        <w:spacing w:before="100" w:after="0" w:line="400" w:lineRule="exact"/>
        <w:jc w:val="both"/>
        <w:outlineLvl w:val="9"/>
        <w:rPr>
          <w:rFonts w:ascii="Times New Roman" w:hAnsi="Times New Roman" w:eastAsia="黑体" w:cs="Times New Roman"/>
          <w:b w:val="0"/>
          <w:bCs w:val="0"/>
          <w:i w:val="0"/>
          <w:iCs w:val="0"/>
          <w:color w:val="auto"/>
          <w:kern w:val="2"/>
          <w:sz w:val="28"/>
          <w:szCs w:val="20"/>
          <w:highlight w:val="none"/>
          <w:lang w:val="en-US" w:eastAsia="zh-CN" w:bidi="ar-SA"/>
        </w:rPr>
      </w:pPr>
      <w:bookmarkStart w:id="204" w:name="_Toc152045588"/>
      <w:bookmarkStart w:id="205" w:name="_Toc531162019"/>
      <w:bookmarkStart w:id="206" w:name="_Toc144974555"/>
      <w:bookmarkStart w:id="207" w:name="_Toc152042365"/>
      <w:bookmarkStart w:id="208" w:name="_Toc394573933"/>
      <w:bookmarkStart w:id="209" w:name="_Toc6086"/>
      <w:r>
        <w:rPr>
          <w:rFonts w:hint="eastAsia" w:ascii="Times New Roman" w:hAnsi="Times New Roman" w:eastAsia="黑体" w:cs="Times New Roman"/>
          <w:b w:val="0"/>
          <w:bCs w:val="0"/>
          <w:i w:val="0"/>
          <w:iCs w:val="0"/>
          <w:color w:val="auto"/>
          <w:kern w:val="2"/>
          <w:sz w:val="28"/>
          <w:szCs w:val="20"/>
          <w:highlight w:val="none"/>
          <w:lang w:val="en-US" w:eastAsia="zh-CN" w:bidi="ar-SA"/>
        </w:rPr>
        <w:t>评标办法前附表</w:t>
      </w:r>
      <w:bookmarkEnd w:id="204"/>
      <w:bookmarkEnd w:id="205"/>
      <w:bookmarkEnd w:id="206"/>
      <w:bookmarkEnd w:id="207"/>
      <w:bookmarkEnd w:id="208"/>
      <w:bookmarkEnd w:id="209"/>
    </w:p>
    <w:p>
      <w:pPr>
        <w:spacing w:line="400" w:lineRule="exact"/>
        <w:rPr>
          <w:rFonts w:ascii="Times New Roman" w:hAnsi="Times New Roman" w:eastAsia="宋体" w:cs="Times New Roman"/>
          <w:i w:val="0"/>
          <w:iCs w:val="0"/>
          <w:color w:val="auto"/>
          <w:highlight w:val="none"/>
        </w:rPr>
      </w:pPr>
    </w:p>
    <w:p>
      <w:pPr>
        <w:spacing w:line="400" w:lineRule="exact"/>
        <w:rPr>
          <w:rFonts w:ascii="Times New Roman" w:hAnsi="Times New Roman" w:eastAsia="宋体" w:cs="Times New Roman"/>
          <w:i w:val="0"/>
          <w:iCs w:val="0"/>
          <w:color w:val="auto"/>
          <w:highlight w:val="none"/>
        </w:rPr>
      </w:pPr>
    </w:p>
    <w:tbl>
      <w:tblPr>
        <w:tblStyle w:val="44"/>
        <w:tblW w:w="845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8"/>
        <w:gridCol w:w="1123"/>
        <w:gridCol w:w="2479"/>
        <w:gridCol w:w="3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021"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i w:val="0"/>
                <w:iCs w:val="0"/>
                <w:color w:val="auto"/>
                <w:szCs w:val="21"/>
                <w:highlight w:val="none"/>
              </w:rPr>
            </w:pPr>
            <w:r>
              <w:rPr>
                <w:rFonts w:hint="eastAsia" w:ascii="Times New Roman" w:hAnsi="Times New Roman" w:eastAsia="宋体" w:cs="Times New Roman"/>
                <w:b/>
                <w:i w:val="0"/>
                <w:iCs w:val="0"/>
                <w:color w:val="auto"/>
                <w:szCs w:val="21"/>
                <w:highlight w:val="none"/>
              </w:rPr>
              <w:t>条款号</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i w:val="0"/>
                <w:iCs w:val="0"/>
                <w:color w:val="auto"/>
                <w:szCs w:val="21"/>
                <w:highlight w:val="none"/>
              </w:rPr>
            </w:pPr>
            <w:r>
              <w:rPr>
                <w:rFonts w:hint="eastAsia" w:ascii="Times New Roman" w:hAnsi="Times New Roman" w:eastAsia="宋体" w:cs="Times New Roman"/>
                <w:b/>
                <w:i w:val="0"/>
                <w:iCs w:val="0"/>
                <w:color w:val="auto"/>
                <w:szCs w:val="21"/>
                <w:highlight w:val="none"/>
              </w:rPr>
              <w:t>评审因素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b/>
                <w:i w:val="0"/>
                <w:iCs w:val="0"/>
                <w:color w:val="auto"/>
                <w:szCs w:val="21"/>
                <w:highlight w:val="none"/>
              </w:rPr>
            </w:pPr>
            <w:r>
              <w:rPr>
                <w:rFonts w:hint="eastAsia" w:ascii="Times New Roman" w:hAnsi="Times New Roman" w:eastAsia="宋体" w:cs="Times New Roman"/>
                <w:b/>
                <w:i w:val="0"/>
                <w:iCs w:val="0"/>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ascii="Times New Roman" w:hAnsi="Times New Roman" w:eastAsia="宋体" w:cs="Times New Roman"/>
                <w:i w:val="0"/>
                <w:iCs w:val="0"/>
                <w:color w:val="auto"/>
                <w:szCs w:val="21"/>
                <w:highlight w:val="none"/>
              </w:rPr>
              <w:t>2.1.1</w:t>
            </w:r>
          </w:p>
        </w:tc>
        <w:tc>
          <w:tcPr>
            <w:tcW w:w="1123" w:type="dxa"/>
            <w:vMerge w:val="restart"/>
            <w:tcBorders>
              <w:top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形式评审标准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投标文件组成</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符合第二章</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投标人须知</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第</w:t>
            </w:r>
            <w:r>
              <w:rPr>
                <w:rFonts w:ascii="Times New Roman" w:hAnsi="Times New Roman" w:eastAsia="宋体" w:cs="Times New Roman"/>
                <w:i w:val="0"/>
                <w:iCs w:val="0"/>
                <w:color w:val="auto"/>
                <w:szCs w:val="21"/>
                <w:highlight w:val="none"/>
              </w:rPr>
              <w:t>3.1</w:t>
            </w:r>
            <w:r>
              <w:rPr>
                <w:rFonts w:hint="eastAsia" w:ascii="Times New Roman" w:hAnsi="Times New Roman" w:eastAsia="宋体" w:cs="Times New Roman"/>
                <w:i w:val="0"/>
                <w:iCs w:val="0"/>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top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p>
        </w:tc>
        <w:tc>
          <w:tcPr>
            <w:tcW w:w="1123" w:type="dxa"/>
            <w:vMerge w:val="continue"/>
            <w:tcBorders>
              <w:top w:val="single" w:color="auto" w:sz="4" w:space="0"/>
              <w:right w:val="single" w:color="auto" w:sz="4" w:space="0"/>
            </w:tcBorders>
            <w:noWrap w:val="0"/>
            <w:vAlign w:val="center"/>
          </w:tcPr>
          <w:p>
            <w:pPr>
              <w:jc w:val="center"/>
              <w:rPr>
                <w:rFonts w:hint="eastAsia" w:ascii="Times New Roman" w:hAnsi="Times New Roman" w:eastAsia="宋体" w:cs="Times New Roman"/>
                <w:i w:val="0"/>
                <w:iCs w:val="0"/>
                <w:color w:val="auto"/>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投标文件格式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符合第二章</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投标人须知</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第</w:t>
            </w:r>
            <w:r>
              <w:rPr>
                <w:rFonts w:ascii="Times New Roman" w:hAnsi="Times New Roman" w:eastAsia="宋体" w:cs="Times New Roman"/>
                <w:i w:val="0"/>
                <w:iCs w:val="0"/>
                <w:color w:val="auto"/>
                <w:szCs w:val="21"/>
                <w:highlight w:val="none"/>
              </w:rPr>
              <w:t>3.1.3</w:t>
            </w:r>
            <w:r>
              <w:rPr>
                <w:rFonts w:hint="eastAsia" w:ascii="Times New Roman" w:hAnsi="Times New Roman" w:eastAsia="宋体" w:cs="Times New Roman"/>
                <w:i w:val="0"/>
                <w:iCs w:val="0"/>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keepNext/>
              <w:keepLines/>
              <w:spacing w:before="340" w:after="120" w:line="480" w:lineRule="auto"/>
              <w:jc w:val="center"/>
              <w:outlineLvl w:val="0"/>
              <w:rPr>
                <w:rFonts w:ascii="Times New Roman" w:hAnsi="Times New Roman" w:eastAsia="宋体" w:cs="Times New Roman"/>
                <w:i w:val="0"/>
                <w:iCs w:val="0"/>
                <w:color w:val="auto"/>
                <w:szCs w:val="21"/>
                <w:highlight w:val="none"/>
              </w:rPr>
            </w:pPr>
          </w:p>
        </w:tc>
        <w:tc>
          <w:tcPr>
            <w:tcW w:w="1123" w:type="dxa"/>
            <w:vMerge w:val="continue"/>
            <w:tcBorders>
              <w:right w:val="single" w:color="auto" w:sz="4" w:space="0"/>
            </w:tcBorders>
            <w:noWrap w:val="0"/>
            <w:vAlign w:val="center"/>
          </w:tcPr>
          <w:p>
            <w:pPr>
              <w:keepNext/>
              <w:keepLines/>
              <w:spacing w:before="340" w:after="120" w:line="480" w:lineRule="auto"/>
              <w:jc w:val="center"/>
              <w:outlineLvl w:val="0"/>
              <w:rPr>
                <w:rFonts w:ascii="Times New Roman" w:hAnsi="Times New Roman" w:eastAsia="宋体" w:cs="Times New Roman"/>
                <w:i w:val="0"/>
                <w:iCs w:val="0"/>
                <w:color w:val="auto"/>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投标文件签字盖章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符合第二章</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投标人须知</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第</w:t>
            </w:r>
            <w:r>
              <w:rPr>
                <w:rFonts w:ascii="Times New Roman" w:hAnsi="Times New Roman" w:eastAsia="宋体" w:cs="Times New Roman"/>
                <w:i w:val="0"/>
                <w:iCs w:val="0"/>
                <w:color w:val="auto"/>
                <w:szCs w:val="21"/>
                <w:highlight w:val="none"/>
              </w:rPr>
              <w:t>3.6.2</w:t>
            </w:r>
            <w:r>
              <w:rPr>
                <w:rFonts w:hint="eastAsia" w:ascii="Times New Roman" w:hAnsi="Times New Roman" w:eastAsia="宋体" w:cs="Times New Roman"/>
                <w:i w:val="0"/>
                <w:iCs w:val="0"/>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keepNext/>
              <w:keepLines/>
              <w:spacing w:before="340" w:after="120" w:line="480" w:lineRule="auto"/>
              <w:jc w:val="center"/>
              <w:outlineLvl w:val="0"/>
              <w:rPr>
                <w:rFonts w:ascii="Times New Roman" w:hAnsi="Times New Roman" w:eastAsia="宋体" w:cs="Times New Roman"/>
                <w:i w:val="0"/>
                <w:iCs w:val="0"/>
                <w:color w:val="auto"/>
                <w:szCs w:val="21"/>
                <w:highlight w:val="none"/>
              </w:rPr>
            </w:pPr>
          </w:p>
        </w:tc>
        <w:tc>
          <w:tcPr>
            <w:tcW w:w="1123" w:type="dxa"/>
            <w:vMerge w:val="continue"/>
            <w:tcBorders>
              <w:right w:val="single" w:color="auto" w:sz="4" w:space="0"/>
            </w:tcBorders>
            <w:noWrap w:val="0"/>
            <w:vAlign w:val="center"/>
          </w:tcPr>
          <w:p>
            <w:pPr>
              <w:keepNext/>
              <w:keepLines/>
              <w:spacing w:before="340" w:after="120" w:line="480" w:lineRule="auto"/>
              <w:jc w:val="center"/>
              <w:outlineLvl w:val="0"/>
              <w:rPr>
                <w:rFonts w:ascii="Times New Roman" w:hAnsi="Times New Roman" w:eastAsia="宋体" w:cs="Times New Roman"/>
                <w:i w:val="0"/>
                <w:iCs w:val="0"/>
                <w:color w:val="auto"/>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投标保证金</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符合第二章</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投标人须知</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第</w:t>
            </w:r>
            <w:r>
              <w:rPr>
                <w:rFonts w:ascii="Times New Roman" w:hAnsi="Times New Roman" w:eastAsia="宋体" w:cs="Times New Roman"/>
                <w:i w:val="0"/>
                <w:iCs w:val="0"/>
                <w:color w:val="auto"/>
                <w:szCs w:val="21"/>
                <w:highlight w:val="none"/>
              </w:rPr>
              <w:t>3.4.1</w:t>
            </w:r>
            <w:r>
              <w:rPr>
                <w:rFonts w:hint="eastAsia" w:ascii="Times New Roman" w:hAnsi="Times New Roman" w:eastAsia="宋体" w:cs="Times New Roman"/>
                <w:i w:val="0"/>
                <w:iCs w:val="0"/>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keepNext/>
              <w:keepLines/>
              <w:spacing w:before="340" w:after="120" w:line="480" w:lineRule="auto"/>
              <w:jc w:val="center"/>
              <w:outlineLvl w:val="0"/>
              <w:rPr>
                <w:rFonts w:ascii="Times New Roman" w:hAnsi="Times New Roman" w:eastAsia="宋体" w:cs="Times New Roman"/>
                <w:i w:val="0"/>
                <w:iCs w:val="0"/>
                <w:color w:val="auto"/>
                <w:szCs w:val="21"/>
                <w:highlight w:val="none"/>
              </w:rPr>
            </w:pPr>
          </w:p>
        </w:tc>
        <w:tc>
          <w:tcPr>
            <w:tcW w:w="1123" w:type="dxa"/>
            <w:vMerge w:val="continue"/>
            <w:tcBorders>
              <w:right w:val="single" w:color="auto" w:sz="4" w:space="0"/>
            </w:tcBorders>
            <w:noWrap w:val="0"/>
            <w:vAlign w:val="center"/>
          </w:tcPr>
          <w:p>
            <w:pPr>
              <w:keepNext/>
              <w:keepLines/>
              <w:spacing w:before="340" w:after="120" w:line="480" w:lineRule="auto"/>
              <w:jc w:val="center"/>
              <w:outlineLvl w:val="0"/>
              <w:rPr>
                <w:rFonts w:ascii="Times New Roman" w:hAnsi="Times New Roman" w:eastAsia="宋体" w:cs="Times New Roman"/>
                <w:i w:val="0"/>
                <w:iCs w:val="0"/>
                <w:color w:val="auto"/>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报价唯一</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ascii="Times New Roman" w:hAnsi="Times New Roman" w:eastAsia="宋体" w:cs="Times New Roman"/>
                <w:i w:val="0"/>
                <w:iCs w:val="0"/>
                <w:color w:val="auto"/>
                <w:szCs w:val="21"/>
                <w:highlight w:val="none"/>
              </w:rPr>
              <w:t>2.1.2</w:t>
            </w:r>
          </w:p>
        </w:tc>
        <w:tc>
          <w:tcPr>
            <w:tcW w:w="1123"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资格评审标准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投标人资格</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符合第二章</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投标人须知</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第</w:t>
            </w:r>
            <w:r>
              <w:rPr>
                <w:rFonts w:ascii="Times New Roman" w:hAnsi="Times New Roman" w:eastAsia="宋体" w:cs="Times New Roman"/>
                <w:i w:val="0"/>
                <w:iCs w:val="0"/>
                <w:color w:val="auto"/>
                <w:szCs w:val="21"/>
                <w:highlight w:val="none"/>
              </w:rPr>
              <w:t>1.4</w:t>
            </w:r>
            <w:r>
              <w:rPr>
                <w:rFonts w:hint="eastAsia" w:ascii="Times New Roman" w:hAnsi="Times New Roman" w:eastAsia="宋体" w:cs="Times New Roman"/>
                <w:i w:val="0"/>
                <w:iCs w:val="0"/>
                <w:color w:val="auto"/>
                <w:szCs w:val="21"/>
                <w:highlight w:val="none"/>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r>
              <w:rPr>
                <w:rFonts w:ascii="Times New Roman" w:hAnsi="Times New Roman" w:eastAsia="宋体" w:cs="Times New Roman"/>
                <w:i w:val="0"/>
                <w:iCs w:val="0"/>
                <w:color w:val="auto"/>
                <w:szCs w:val="21"/>
                <w:highlight w:val="none"/>
              </w:rPr>
              <w:t>2.1.3</w:t>
            </w:r>
          </w:p>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p>
        </w:tc>
        <w:tc>
          <w:tcPr>
            <w:tcW w:w="1123" w:type="dxa"/>
            <w:vMerge w:val="restart"/>
            <w:tcBorders>
              <w:top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响应性评审标准</w:t>
            </w:r>
          </w:p>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p>
          <w:p>
            <w:pPr>
              <w:jc w:val="center"/>
              <w:rPr>
                <w:rFonts w:ascii="Times New Roman" w:hAnsi="Times New Roman" w:eastAsia="宋体" w:cs="Times New Roman"/>
                <w:i w:val="0"/>
                <w:iCs w:val="0"/>
                <w:color w:val="auto"/>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工期</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符合第二章</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投标人须知</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第</w:t>
            </w:r>
            <w:r>
              <w:rPr>
                <w:rFonts w:ascii="Times New Roman" w:hAnsi="Times New Roman" w:eastAsia="宋体" w:cs="Times New Roman"/>
                <w:i w:val="0"/>
                <w:iCs w:val="0"/>
                <w:color w:val="auto"/>
                <w:szCs w:val="21"/>
                <w:highlight w:val="none"/>
              </w:rPr>
              <w:t>1.3.2</w:t>
            </w:r>
            <w:r>
              <w:rPr>
                <w:rFonts w:hint="eastAsia" w:ascii="Times New Roman" w:hAnsi="Times New Roman" w:eastAsia="宋体" w:cs="Times New Roman"/>
                <w:i w:val="0"/>
                <w:iCs w:val="0"/>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p>
        </w:tc>
        <w:tc>
          <w:tcPr>
            <w:tcW w:w="1123" w:type="dxa"/>
            <w:vMerge w:val="continue"/>
            <w:tcBorders>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工程质量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符合第二章</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投标人须知</w:t>
            </w:r>
            <w:r>
              <w:rPr>
                <w:rFonts w:ascii="Times New Roman" w:hAnsi="Times New Roman" w:eastAsia="宋体" w:cs="Times New Roman"/>
                <w:i w:val="0"/>
                <w:iCs w:val="0"/>
                <w:color w:val="auto"/>
                <w:szCs w:val="21"/>
                <w:highlight w:val="none"/>
              </w:rPr>
              <w:t>”</w:t>
            </w:r>
            <w:r>
              <w:rPr>
                <w:rFonts w:hint="eastAsia" w:ascii="Times New Roman" w:hAnsi="Times New Roman" w:eastAsia="宋体" w:cs="Times New Roman"/>
                <w:i w:val="0"/>
                <w:iCs w:val="0"/>
                <w:color w:val="auto"/>
                <w:szCs w:val="21"/>
                <w:highlight w:val="none"/>
              </w:rPr>
              <w:t>第</w:t>
            </w:r>
            <w:r>
              <w:rPr>
                <w:rFonts w:ascii="Times New Roman" w:hAnsi="Times New Roman" w:eastAsia="宋体" w:cs="Times New Roman"/>
                <w:i w:val="0"/>
                <w:iCs w:val="0"/>
                <w:color w:val="auto"/>
                <w:szCs w:val="21"/>
                <w:highlight w:val="none"/>
              </w:rPr>
              <w:t>1.3.3</w:t>
            </w:r>
            <w:r>
              <w:rPr>
                <w:rFonts w:hint="eastAsia" w:ascii="Times New Roman" w:hAnsi="Times New Roman" w:eastAsia="宋体" w:cs="Times New Roman"/>
                <w:i w:val="0"/>
                <w:iCs w:val="0"/>
                <w:color w:val="auto"/>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p>
        </w:tc>
        <w:tc>
          <w:tcPr>
            <w:tcW w:w="1123" w:type="dxa"/>
            <w:vMerge w:val="continue"/>
            <w:tcBorders>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投标报价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不高于本项目上限价、不高于相应</w:t>
            </w:r>
            <w:r>
              <w:rPr>
                <w:rFonts w:hint="eastAsia" w:ascii="宋体" w:hAnsi="宋体" w:eastAsia="宋体" w:cs="宋体"/>
                <w:i w:val="0"/>
                <w:iCs w:val="0"/>
                <w:color w:val="auto"/>
                <w:kern w:val="0"/>
                <w:sz w:val="22"/>
                <w:szCs w:val="22"/>
                <w:highlight w:val="none"/>
                <w:lang w:bidi="ar"/>
              </w:rPr>
              <w:t>综合单价上限价</w:t>
            </w:r>
            <w:r>
              <w:rPr>
                <w:rFonts w:hint="eastAsia" w:ascii="Times New Roman" w:hAnsi="Times New Roman" w:eastAsia="宋体" w:cs="Times New Roman"/>
                <w:i w:val="0"/>
                <w:iCs w:val="0"/>
                <w:color w:val="auto"/>
                <w:szCs w:val="21"/>
                <w:highlight w:val="none"/>
              </w:rPr>
              <w:t>，且符合附件报价表（如有）中的具体要求。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ascii="Times New Roman" w:hAnsi="Times New Roman" w:eastAsia="宋体" w:cs="Times New Roman"/>
                <w:i w:val="0"/>
                <w:iCs w:val="0"/>
                <w:color w:val="auto"/>
                <w:szCs w:val="21"/>
                <w:highlight w:val="none"/>
              </w:rPr>
              <w:t>2.1.4</w:t>
            </w:r>
          </w:p>
        </w:tc>
        <w:tc>
          <w:tcPr>
            <w:tcW w:w="1123" w:type="dxa"/>
            <w:tcBorders>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串通投标评审标准</w:t>
            </w:r>
          </w:p>
        </w:tc>
        <w:tc>
          <w:tcPr>
            <w:tcW w:w="64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存在本章</w:t>
            </w:r>
            <w:r>
              <w:rPr>
                <w:rFonts w:ascii="Times New Roman" w:hAnsi="Times New Roman" w:eastAsia="宋体" w:cs="Times New Roman"/>
                <w:i w:val="0"/>
                <w:iCs w:val="0"/>
                <w:color w:val="auto"/>
                <w:szCs w:val="21"/>
                <w:highlight w:val="none"/>
              </w:rPr>
              <w:t>3.1.2</w:t>
            </w:r>
            <w:r>
              <w:rPr>
                <w:rFonts w:hint="eastAsia" w:ascii="Times New Roman" w:hAnsi="Times New Roman" w:eastAsia="宋体" w:cs="Times New Roman"/>
                <w:i w:val="0"/>
                <w:iCs w:val="0"/>
                <w:color w:val="auto"/>
                <w:szCs w:val="21"/>
                <w:highlight w:val="none"/>
              </w:rPr>
              <w:t>、</w:t>
            </w:r>
            <w:r>
              <w:rPr>
                <w:rFonts w:ascii="Times New Roman" w:hAnsi="Times New Roman" w:eastAsia="宋体" w:cs="Times New Roman"/>
                <w:i w:val="0"/>
                <w:iCs w:val="0"/>
                <w:color w:val="auto"/>
                <w:highlight w:val="none"/>
              </w:rPr>
              <w:t>3.1.3</w:t>
            </w:r>
            <w:r>
              <w:rPr>
                <w:rFonts w:hint="eastAsia" w:ascii="Times New Roman" w:hAnsi="Times New Roman" w:eastAsia="宋体" w:cs="Times New Roman"/>
                <w:i w:val="0"/>
                <w:iCs w:val="0"/>
                <w:color w:val="auto"/>
                <w:szCs w:val="21"/>
                <w:highlight w:val="none"/>
              </w:rPr>
              <w:t>项规定情形之一的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ascii="Times New Roman" w:hAnsi="Times New Roman" w:eastAsia="宋体" w:cs="Times New Roman"/>
                <w:i w:val="0"/>
                <w:iCs w:val="0"/>
                <w:color w:val="auto"/>
                <w:szCs w:val="21"/>
                <w:highlight w:val="none"/>
              </w:rPr>
              <w:t>3.2</w:t>
            </w:r>
          </w:p>
        </w:tc>
        <w:tc>
          <w:tcPr>
            <w:tcW w:w="1123"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详细评审标准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评审和评分</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i w:val="0"/>
                <w:iCs w:val="0"/>
                <w:color w:val="auto"/>
                <w:szCs w:val="21"/>
                <w:highlight w:val="none"/>
              </w:rPr>
            </w:pPr>
            <w:r>
              <w:rPr>
                <w:rFonts w:hint="eastAsia" w:ascii="Times New Roman" w:hAnsi="Times New Roman" w:eastAsia="宋体" w:cs="Times New Roman"/>
                <w:i w:val="0"/>
                <w:iCs w:val="0"/>
                <w:color w:val="auto"/>
                <w:szCs w:val="21"/>
                <w:highlight w:val="none"/>
              </w:rPr>
              <w:t>详见</w:t>
            </w:r>
            <w:r>
              <w:rPr>
                <w:rFonts w:ascii="Times New Roman" w:hAnsi="Times New Roman" w:eastAsia="宋体" w:cs="Times New Roman"/>
                <w:i w:val="0"/>
                <w:iCs w:val="0"/>
                <w:color w:val="auto"/>
                <w:highlight w:val="none"/>
              </w:rPr>
              <w:t>“</w:t>
            </w:r>
            <w:r>
              <w:rPr>
                <w:rFonts w:hint="eastAsia" w:ascii="Times New Roman" w:hAnsi="Times New Roman" w:eastAsia="宋体" w:cs="Times New Roman"/>
                <w:i w:val="0"/>
                <w:iCs w:val="0"/>
                <w:color w:val="auto"/>
                <w:highlight w:val="none"/>
              </w:rPr>
              <w:t>评标办法附件</w:t>
            </w:r>
            <w:r>
              <w:rPr>
                <w:rFonts w:ascii="Times New Roman" w:hAnsi="Times New Roman" w:eastAsia="宋体" w:cs="Times New Roman"/>
                <w:i w:val="0"/>
                <w:iCs w:val="0"/>
                <w:color w:val="auto"/>
                <w:highlight w:val="none"/>
              </w:rPr>
              <w:t>”</w:t>
            </w:r>
          </w:p>
        </w:tc>
      </w:tr>
    </w:tbl>
    <w:p>
      <w:pPr>
        <w:spacing w:line="400" w:lineRule="exact"/>
        <w:rPr>
          <w:rFonts w:ascii="Times New Roman" w:hAnsi="Times New Roman" w:eastAsia="宋体" w:cs="Times New Roman"/>
          <w:i w:val="0"/>
          <w:iCs w:val="0"/>
          <w:color w:val="auto"/>
          <w:highlight w:val="none"/>
        </w:rPr>
      </w:pPr>
    </w:p>
    <w:p>
      <w:pPr>
        <w:spacing w:line="400" w:lineRule="exact"/>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br w:type="page"/>
      </w:r>
      <w:bookmarkStart w:id="210" w:name="_Toc228163240"/>
      <w:bookmarkStart w:id="211" w:name="_Toc531162020"/>
      <w:bookmarkStart w:id="212" w:name="_Toc394573934"/>
      <w:r>
        <w:rPr>
          <w:rFonts w:ascii="Times New Roman" w:hAnsi="Times New Roman" w:eastAsia="黑体" w:cs="Times New Roman"/>
          <w:b w:val="0"/>
          <w:bCs w:val="0"/>
          <w:i w:val="0"/>
          <w:iCs w:val="0"/>
          <w:color w:val="auto"/>
          <w:kern w:val="2"/>
          <w:sz w:val="28"/>
          <w:szCs w:val="20"/>
          <w:highlight w:val="none"/>
          <w:lang w:val="en-US" w:eastAsia="zh-CN" w:bidi="ar-SA"/>
        </w:rPr>
        <w:t xml:space="preserve">1. </w:t>
      </w:r>
      <w:r>
        <w:rPr>
          <w:rFonts w:hint="eastAsia" w:ascii="Times New Roman" w:hAnsi="Times New Roman" w:eastAsia="黑体" w:cs="Times New Roman"/>
          <w:b w:val="0"/>
          <w:bCs w:val="0"/>
          <w:i w:val="0"/>
          <w:iCs w:val="0"/>
          <w:color w:val="auto"/>
          <w:kern w:val="2"/>
          <w:sz w:val="28"/>
          <w:szCs w:val="20"/>
          <w:highlight w:val="none"/>
          <w:lang w:val="en-US" w:eastAsia="zh-CN" w:bidi="ar-SA"/>
        </w:rPr>
        <w:t>评标方法</w:t>
      </w:r>
      <w:bookmarkEnd w:id="210"/>
      <w:bookmarkEnd w:id="211"/>
      <w:bookmarkEnd w:id="212"/>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本次评标办法见评标办法附件。评标委员会对满足招标文件实质性要求的投标文件，按照本章第</w:t>
      </w:r>
      <w:r>
        <w:rPr>
          <w:rFonts w:ascii="Times New Roman" w:hAnsi="Times New Roman" w:eastAsia="宋体" w:cs="Times New Roman"/>
          <w:i w:val="0"/>
          <w:iCs w:val="0"/>
          <w:color w:val="auto"/>
          <w:highlight w:val="none"/>
        </w:rPr>
        <w:t>2.2</w:t>
      </w:r>
      <w:r>
        <w:rPr>
          <w:rFonts w:hint="eastAsia" w:ascii="Times New Roman" w:hAnsi="Times New Roman" w:eastAsia="宋体" w:cs="Times New Roman"/>
          <w:i w:val="0"/>
          <w:iCs w:val="0"/>
          <w:color w:val="auto"/>
          <w:highlight w:val="none"/>
        </w:rPr>
        <w:t>款规定的评分标准进行评审和评分，并推荐中标候选人。</w:t>
      </w:r>
    </w:p>
    <w:p>
      <w:pPr>
        <w:keepNext/>
        <w:keepLines/>
        <w:widowControl w:val="0"/>
        <w:spacing w:before="100" w:after="0" w:line="400" w:lineRule="exact"/>
        <w:jc w:val="both"/>
        <w:outlineLvl w:val="9"/>
        <w:rPr>
          <w:rFonts w:ascii="Times New Roman" w:hAnsi="Times New Roman" w:eastAsia="黑体" w:cs="Times New Roman"/>
          <w:b w:val="0"/>
          <w:bCs w:val="0"/>
          <w:i w:val="0"/>
          <w:iCs w:val="0"/>
          <w:color w:val="auto"/>
          <w:kern w:val="2"/>
          <w:sz w:val="28"/>
          <w:szCs w:val="20"/>
          <w:highlight w:val="none"/>
          <w:lang w:val="en-US" w:eastAsia="zh-CN" w:bidi="ar-SA"/>
        </w:rPr>
      </w:pPr>
      <w:bookmarkStart w:id="213" w:name="_Toc228163241"/>
      <w:bookmarkStart w:id="214" w:name="_Toc24083"/>
      <w:bookmarkStart w:id="215" w:name="_Toc394573935"/>
      <w:bookmarkStart w:id="216" w:name="_Toc531162021"/>
      <w:r>
        <w:rPr>
          <w:rFonts w:ascii="Times New Roman" w:hAnsi="Times New Roman" w:eastAsia="黑体" w:cs="Times New Roman"/>
          <w:b w:val="0"/>
          <w:bCs w:val="0"/>
          <w:i w:val="0"/>
          <w:iCs w:val="0"/>
          <w:color w:val="auto"/>
          <w:kern w:val="2"/>
          <w:sz w:val="28"/>
          <w:szCs w:val="20"/>
          <w:highlight w:val="none"/>
          <w:lang w:val="en-US" w:eastAsia="zh-CN" w:bidi="ar-SA"/>
        </w:rPr>
        <w:t xml:space="preserve">2. </w:t>
      </w:r>
      <w:r>
        <w:rPr>
          <w:rFonts w:hint="eastAsia" w:ascii="Times New Roman" w:hAnsi="Times New Roman" w:eastAsia="黑体" w:cs="Times New Roman"/>
          <w:b w:val="0"/>
          <w:bCs w:val="0"/>
          <w:i w:val="0"/>
          <w:iCs w:val="0"/>
          <w:color w:val="auto"/>
          <w:kern w:val="2"/>
          <w:sz w:val="28"/>
          <w:szCs w:val="20"/>
          <w:highlight w:val="none"/>
          <w:lang w:val="en-US" w:eastAsia="zh-CN" w:bidi="ar-SA"/>
        </w:rPr>
        <w:t>评审标准</w:t>
      </w:r>
      <w:bookmarkEnd w:id="213"/>
      <w:bookmarkEnd w:id="214"/>
      <w:bookmarkEnd w:id="215"/>
      <w:bookmarkEnd w:id="216"/>
    </w:p>
    <w:p>
      <w:pPr>
        <w:keepNext/>
        <w:keepLines/>
        <w:widowControl w:val="0"/>
        <w:spacing w:before="0" w:after="0" w:line="400" w:lineRule="exact"/>
        <w:jc w:val="both"/>
        <w:outlineLvl w:val="9"/>
        <w:rPr>
          <w:rFonts w:ascii="Times New Roman" w:hAnsi="Times New Roman" w:eastAsia="黑体" w:cs="Times New Roman"/>
          <w:b w:val="0"/>
          <w:bCs w:val="0"/>
          <w:i w:val="0"/>
          <w:iCs w:val="0"/>
          <w:color w:val="auto"/>
          <w:kern w:val="2"/>
          <w:sz w:val="24"/>
          <w:szCs w:val="20"/>
          <w:highlight w:val="none"/>
          <w:lang w:val="en-US" w:eastAsia="zh-CN" w:bidi="ar-SA"/>
        </w:rPr>
      </w:pPr>
      <w:bookmarkStart w:id="217" w:name="_Toc283976539"/>
      <w:bookmarkStart w:id="218" w:name="_Toc394573936"/>
      <w:bookmarkStart w:id="219" w:name="_Toc282596303"/>
      <w:bookmarkStart w:id="220" w:name="_Toc283886248"/>
      <w:bookmarkStart w:id="221" w:name="_Toc237769297"/>
      <w:bookmarkStart w:id="222" w:name="_Toc531162022"/>
      <w:bookmarkStart w:id="223" w:name="_Toc321925425"/>
      <w:bookmarkStart w:id="224" w:name="_Toc288556290"/>
      <w:bookmarkStart w:id="225" w:name="_Toc8284"/>
      <w:bookmarkStart w:id="226" w:name="_Toc237768833"/>
      <w:bookmarkStart w:id="227" w:name="_Toc372899742"/>
      <w:bookmarkStart w:id="228" w:name="_Toc372899865"/>
      <w:r>
        <w:rPr>
          <w:rFonts w:ascii="Times New Roman" w:hAnsi="Times New Roman" w:eastAsia="黑体" w:cs="Times New Roman"/>
          <w:b w:val="0"/>
          <w:bCs w:val="0"/>
          <w:i w:val="0"/>
          <w:iCs w:val="0"/>
          <w:color w:val="auto"/>
          <w:kern w:val="2"/>
          <w:sz w:val="24"/>
          <w:szCs w:val="20"/>
          <w:highlight w:val="none"/>
          <w:lang w:val="en-US" w:eastAsia="zh-CN" w:bidi="ar-SA"/>
        </w:rPr>
        <w:t xml:space="preserve">2.1 </w:t>
      </w:r>
      <w:r>
        <w:rPr>
          <w:rFonts w:hint="eastAsia" w:ascii="Times New Roman" w:hAnsi="Times New Roman" w:eastAsia="黑体" w:cs="Times New Roman"/>
          <w:b w:val="0"/>
          <w:bCs w:val="0"/>
          <w:i w:val="0"/>
          <w:iCs w:val="0"/>
          <w:color w:val="auto"/>
          <w:kern w:val="2"/>
          <w:sz w:val="24"/>
          <w:szCs w:val="20"/>
          <w:highlight w:val="none"/>
          <w:lang w:val="en-US" w:eastAsia="zh-CN" w:bidi="ar-SA"/>
        </w:rPr>
        <w:t>初步评审标准</w:t>
      </w:r>
      <w:bookmarkEnd w:id="217"/>
      <w:bookmarkEnd w:id="218"/>
      <w:bookmarkEnd w:id="219"/>
      <w:bookmarkEnd w:id="220"/>
      <w:bookmarkEnd w:id="221"/>
      <w:bookmarkEnd w:id="222"/>
      <w:bookmarkEnd w:id="223"/>
      <w:bookmarkEnd w:id="224"/>
      <w:bookmarkEnd w:id="225"/>
      <w:bookmarkEnd w:id="226"/>
      <w:bookmarkEnd w:id="227"/>
      <w:bookmarkEnd w:id="228"/>
    </w:p>
    <w:p>
      <w:pPr>
        <w:spacing w:line="400" w:lineRule="exact"/>
        <w:ind w:firstLine="420" w:firstLineChars="200"/>
        <w:outlineLvl w:val="9"/>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 xml:space="preserve">2.1.1 </w:t>
      </w:r>
      <w:r>
        <w:rPr>
          <w:rFonts w:hint="eastAsia" w:ascii="Times New Roman" w:hAnsi="Times New Roman" w:eastAsia="宋体" w:cs="Times New Roman"/>
          <w:i w:val="0"/>
          <w:iCs w:val="0"/>
          <w:color w:val="auto"/>
          <w:highlight w:val="none"/>
        </w:rPr>
        <w:t>形式评审标准：见评标办法前附表。</w:t>
      </w:r>
    </w:p>
    <w:p>
      <w:pPr>
        <w:spacing w:line="400" w:lineRule="exact"/>
        <w:ind w:firstLine="420" w:firstLineChars="200"/>
        <w:outlineLvl w:val="9"/>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 xml:space="preserve">2.1.2 </w:t>
      </w:r>
      <w:r>
        <w:rPr>
          <w:rFonts w:hint="eastAsia" w:ascii="Times New Roman" w:hAnsi="Times New Roman" w:eastAsia="宋体" w:cs="Times New Roman"/>
          <w:i w:val="0"/>
          <w:iCs w:val="0"/>
          <w:color w:val="auto"/>
          <w:highlight w:val="none"/>
        </w:rPr>
        <w:t>资格评审标准：见评标办法前附表。</w:t>
      </w:r>
    </w:p>
    <w:p>
      <w:pPr>
        <w:spacing w:line="400" w:lineRule="exact"/>
        <w:ind w:firstLine="420" w:firstLineChars="200"/>
        <w:outlineLvl w:val="9"/>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 xml:space="preserve">2.1.3 </w:t>
      </w:r>
      <w:r>
        <w:rPr>
          <w:rFonts w:hint="eastAsia" w:ascii="Times New Roman" w:hAnsi="Times New Roman" w:eastAsia="宋体" w:cs="Times New Roman"/>
          <w:i w:val="0"/>
          <w:iCs w:val="0"/>
          <w:color w:val="auto"/>
          <w:highlight w:val="none"/>
        </w:rPr>
        <w:t>响应性评审标准：见评标办法前附表。</w:t>
      </w:r>
    </w:p>
    <w:p>
      <w:pPr>
        <w:spacing w:line="400" w:lineRule="exact"/>
        <w:ind w:firstLine="420" w:firstLineChars="200"/>
        <w:outlineLvl w:val="9"/>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2.1.4</w:t>
      </w:r>
      <w:r>
        <w:rPr>
          <w:rFonts w:hint="eastAsia" w:ascii="Times New Roman" w:hAnsi="Times New Roman" w:eastAsia="宋体" w:cs="Times New Roman"/>
          <w:i w:val="0"/>
          <w:iCs w:val="0"/>
          <w:color w:val="auto"/>
          <w:highlight w:val="none"/>
        </w:rPr>
        <w:t>串通投标评审标准：见评标办法前附表。</w:t>
      </w:r>
    </w:p>
    <w:p>
      <w:pPr>
        <w:keepNext/>
        <w:keepLines/>
        <w:widowControl w:val="0"/>
        <w:spacing w:before="0" w:after="0" w:line="400" w:lineRule="exact"/>
        <w:jc w:val="both"/>
        <w:outlineLvl w:val="9"/>
        <w:rPr>
          <w:rFonts w:ascii="Times New Roman" w:hAnsi="Times New Roman" w:eastAsia="黑体" w:cs="Times New Roman"/>
          <w:b w:val="0"/>
          <w:bCs w:val="0"/>
          <w:i w:val="0"/>
          <w:iCs w:val="0"/>
          <w:color w:val="auto"/>
          <w:kern w:val="2"/>
          <w:sz w:val="24"/>
          <w:szCs w:val="20"/>
          <w:highlight w:val="none"/>
          <w:lang w:val="en-US" w:eastAsia="zh-CN" w:bidi="ar-SA"/>
        </w:rPr>
      </w:pPr>
      <w:bookmarkStart w:id="229" w:name="_Toc8633"/>
      <w:bookmarkStart w:id="230" w:name="_Toc372899866"/>
      <w:bookmarkStart w:id="231" w:name="_Toc282596304"/>
      <w:bookmarkStart w:id="232" w:name="_Toc283976540"/>
      <w:bookmarkStart w:id="233" w:name="_Toc372899743"/>
      <w:bookmarkStart w:id="234" w:name="_Toc531162023"/>
      <w:bookmarkStart w:id="235" w:name="_Toc237768834"/>
      <w:bookmarkStart w:id="236" w:name="_Toc288556291"/>
      <w:bookmarkStart w:id="237" w:name="_Toc321925426"/>
      <w:bookmarkStart w:id="238" w:name="_Toc283886249"/>
      <w:bookmarkStart w:id="239" w:name="_Toc394573937"/>
      <w:bookmarkStart w:id="240" w:name="_Toc237769298"/>
      <w:r>
        <w:rPr>
          <w:rFonts w:ascii="Times New Roman" w:hAnsi="Times New Roman" w:eastAsia="黑体" w:cs="Times New Roman"/>
          <w:b w:val="0"/>
          <w:bCs w:val="0"/>
          <w:i w:val="0"/>
          <w:iCs w:val="0"/>
          <w:color w:val="auto"/>
          <w:kern w:val="2"/>
          <w:sz w:val="24"/>
          <w:szCs w:val="20"/>
          <w:highlight w:val="none"/>
          <w:lang w:val="en-US" w:eastAsia="zh-CN" w:bidi="ar-SA"/>
        </w:rPr>
        <w:t xml:space="preserve">2.2 </w:t>
      </w:r>
      <w:r>
        <w:rPr>
          <w:rFonts w:hint="eastAsia" w:ascii="Times New Roman" w:hAnsi="Times New Roman" w:eastAsia="黑体" w:cs="Times New Roman"/>
          <w:b w:val="0"/>
          <w:bCs w:val="0"/>
          <w:i w:val="0"/>
          <w:iCs w:val="0"/>
          <w:color w:val="auto"/>
          <w:kern w:val="2"/>
          <w:sz w:val="24"/>
          <w:szCs w:val="20"/>
          <w:highlight w:val="none"/>
          <w:lang w:val="en-US" w:eastAsia="zh-CN" w:bidi="ar-SA"/>
        </w:rPr>
        <w:t>分值构成与评分标准</w:t>
      </w:r>
      <w:bookmarkEnd w:id="229"/>
      <w:bookmarkEnd w:id="230"/>
      <w:bookmarkEnd w:id="231"/>
      <w:bookmarkEnd w:id="232"/>
      <w:bookmarkEnd w:id="233"/>
      <w:bookmarkEnd w:id="234"/>
      <w:bookmarkEnd w:id="235"/>
      <w:bookmarkEnd w:id="236"/>
      <w:bookmarkEnd w:id="237"/>
      <w:bookmarkEnd w:id="238"/>
      <w:bookmarkEnd w:id="239"/>
      <w:bookmarkEnd w:id="240"/>
    </w:p>
    <w:p>
      <w:pPr>
        <w:spacing w:line="400" w:lineRule="exact"/>
        <w:ind w:firstLine="718" w:firstLineChars="342"/>
        <w:outlineLvl w:val="9"/>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分值构成与评分标准：见评标办法附件。</w:t>
      </w:r>
    </w:p>
    <w:p>
      <w:pPr>
        <w:keepNext/>
        <w:keepLines/>
        <w:widowControl w:val="0"/>
        <w:spacing w:before="100" w:after="0" w:line="400" w:lineRule="exact"/>
        <w:jc w:val="both"/>
        <w:outlineLvl w:val="9"/>
        <w:rPr>
          <w:rFonts w:ascii="Times New Roman" w:hAnsi="Times New Roman" w:eastAsia="黑体" w:cs="Times New Roman"/>
          <w:b w:val="0"/>
          <w:bCs w:val="0"/>
          <w:i w:val="0"/>
          <w:iCs w:val="0"/>
          <w:color w:val="auto"/>
          <w:kern w:val="2"/>
          <w:sz w:val="28"/>
          <w:szCs w:val="20"/>
          <w:highlight w:val="none"/>
          <w:lang w:val="en-US" w:eastAsia="zh-CN" w:bidi="ar-SA"/>
        </w:rPr>
      </w:pPr>
      <w:bookmarkStart w:id="241" w:name="_Toc531162024"/>
      <w:bookmarkStart w:id="242" w:name="_Toc24869"/>
      <w:bookmarkStart w:id="243" w:name="_Toc394573938"/>
      <w:bookmarkStart w:id="244" w:name="_Toc228163242"/>
      <w:r>
        <w:rPr>
          <w:rFonts w:ascii="Times New Roman" w:hAnsi="Times New Roman" w:eastAsia="黑体" w:cs="Times New Roman"/>
          <w:b w:val="0"/>
          <w:bCs w:val="0"/>
          <w:i w:val="0"/>
          <w:iCs w:val="0"/>
          <w:color w:val="auto"/>
          <w:kern w:val="2"/>
          <w:sz w:val="28"/>
          <w:szCs w:val="20"/>
          <w:highlight w:val="none"/>
          <w:lang w:val="en-US" w:eastAsia="zh-CN" w:bidi="ar-SA"/>
        </w:rPr>
        <w:t xml:space="preserve">3. </w:t>
      </w:r>
      <w:r>
        <w:rPr>
          <w:rFonts w:hint="eastAsia" w:ascii="Times New Roman" w:hAnsi="Times New Roman" w:eastAsia="黑体" w:cs="Times New Roman"/>
          <w:b w:val="0"/>
          <w:bCs w:val="0"/>
          <w:i w:val="0"/>
          <w:iCs w:val="0"/>
          <w:color w:val="auto"/>
          <w:kern w:val="2"/>
          <w:sz w:val="28"/>
          <w:szCs w:val="20"/>
          <w:highlight w:val="none"/>
          <w:lang w:val="en-US" w:eastAsia="zh-CN" w:bidi="ar-SA"/>
        </w:rPr>
        <w:t>评标程序</w:t>
      </w:r>
      <w:bookmarkEnd w:id="241"/>
      <w:bookmarkEnd w:id="242"/>
      <w:bookmarkEnd w:id="243"/>
      <w:bookmarkEnd w:id="244"/>
    </w:p>
    <w:p>
      <w:pPr>
        <w:keepNext/>
        <w:keepLines/>
        <w:widowControl w:val="0"/>
        <w:spacing w:before="0" w:after="0" w:line="400" w:lineRule="exact"/>
        <w:jc w:val="both"/>
        <w:outlineLvl w:val="2"/>
        <w:rPr>
          <w:rFonts w:ascii="Times New Roman" w:hAnsi="Times New Roman" w:eastAsia="黑体" w:cs="Times New Roman"/>
          <w:b w:val="0"/>
          <w:bCs w:val="0"/>
          <w:i w:val="0"/>
          <w:iCs w:val="0"/>
          <w:color w:val="auto"/>
          <w:kern w:val="2"/>
          <w:sz w:val="24"/>
          <w:szCs w:val="20"/>
          <w:highlight w:val="none"/>
          <w:lang w:val="en-US" w:eastAsia="zh-CN" w:bidi="ar-SA"/>
        </w:rPr>
      </w:pPr>
      <w:bookmarkStart w:id="245" w:name="_Toc237768836"/>
      <w:bookmarkStart w:id="246" w:name="_Toc372899868"/>
      <w:bookmarkStart w:id="247" w:name="_Toc237769300"/>
      <w:bookmarkStart w:id="248" w:name="_Toc394573939"/>
      <w:bookmarkStart w:id="249" w:name="_Toc531162025"/>
      <w:bookmarkStart w:id="250" w:name="_Toc372899745"/>
      <w:bookmarkStart w:id="251" w:name="_Toc288556293"/>
      <w:bookmarkStart w:id="252" w:name="_Toc283976542"/>
      <w:bookmarkStart w:id="253" w:name="_Toc17350"/>
      <w:bookmarkStart w:id="254" w:name="_Toc321925428"/>
      <w:bookmarkStart w:id="255" w:name="_Toc282596306"/>
      <w:bookmarkStart w:id="256" w:name="_Toc283886251"/>
      <w:r>
        <w:rPr>
          <w:rFonts w:ascii="Times New Roman" w:hAnsi="Times New Roman" w:eastAsia="黑体" w:cs="Times New Roman"/>
          <w:b w:val="0"/>
          <w:bCs w:val="0"/>
          <w:i w:val="0"/>
          <w:iCs w:val="0"/>
          <w:color w:val="auto"/>
          <w:kern w:val="2"/>
          <w:sz w:val="24"/>
          <w:szCs w:val="20"/>
          <w:highlight w:val="none"/>
          <w:lang w:val="en-US" w:eastAsia="zh-CN" w:bidi="ar-SA"/>
        </w:rPr>
        <w:t xml:space="preserve">3.1 </w:t>
      </w:r>
      <w:r>
        <w:rPr>
          <w:rFonts w:hint="eastAsia" w:ascii="Times New Roman" w:hAnsi="Times New Roman" w:eastAsia="黑体" w:cs="Times New Roman"/>
          <w:b w:val="0"/>
          <w:bCs w:val="0"/>
          <w:i w:val="0"/>
          <w:iCs w:val="0"/>
          <w:color w:val="auto"/>
          <w:kern w:val="2"/>
          <w:sz w:val="24"/>
          <w:szCs w:val="20"/>
          <w:highlight w:val="none"/>
          <w:lang w:val="en-US" w:eastAsia="zh-CN" w:bidi="ar-SA"/>
        </w:rPr>
        <w:t>初步评审</w:t>
      </w:r>
      <w:bookmarkEnd w:id="245"/>
      <w:bookmarkEnd w:id="246"/>
      <w:bookmarkEnd w:id="247"/>
      <w:bookmarkEnd w:id="248"/>
      <w:bookmarkEnd w:id="249"/>
      <w:bookmarkEnd w:id="250"/>
      <w:bookmarkEnd w:id="251"/>
      <w:bookmarkEnd w:id="252"/>
      <w:bookmarkEnd w:id="253"/>
      <w:bookmarkEnd w:id="254"/>
      <w:bookmarkEnd w:id="255"/>
      <w:bookmarkEnd w:id="256"/>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 xml:space="preserve">3.1.1 </w:t>
      </w:r>
      <w:r>
        <w:rPr>
          <w:rFonts w:hint="eastAsia" w:ascii="Times New Roman" w:hAnsi="Times New Roman" w:eastAsia="宋体" w:cs="Times New Roman"/>
          <w:i w:val="0"/>
          <w:iCs w:val="0"/>
          <w:color w:val="auto"/>
          <w:highlight w:val="none"/>
        </w:rPr>
        <w:t>评标委员会依据本章第</w:t>
      </w:r>
      <w:r>
        <w:rPr>
          <w:rFonts w:ascii="Times New Roman" w:hAnsi="Times New Roman" w:eastAsia="宋体" w:cs="Times New Roman"/>
          <w:i w:val="0"/>
          <w:iCs w:val="0"/>
          <w:color w:val="auto"/>
          <w:highlight w:val="none"/>
        </w:rPr>
        <w:t>2.1.1</w:t>
      </w:r>
      <w:r>
        <w:rPr>
          <w:rFonts w:hint="eastAsia" w:ascii="Times New Roman" w:hAnsi="Times New Roman" w:eastAsia="宋体" w:cs="Times New Roman"/>
          <w:i w:val="0"/>
          <w:iCs w:val="0"/>
          <w:color w:val="auto"/>
          <w:highlight w:val="none"/>
        </w:rPr>
        <w:t>项、第</w:t>
      </w:r>
      <w:r>
        <w:rPr>
          <w:rFonts w:ascii="Times New Roman" w:hAnsi="Times New Roman" w:eastAsia="宋体" w:cs="Times New Roman"/>
          <w:i w:val="0"/>
          <w:iCs w:val="0"/>
          <w:color w:val="auto"/>
          <w:highlight w:val="none"/>
        </w:rPr>
        <w:t>2.1.2</w:t>
      </w:r>
      <w:r>
        <w:rPr>
          <w:rFonts w:hint="eastAsia" w:ascii="Times New Roman" w:hAnsi="Times New Roman" w:eastAsia="宋体" w:cs="Times New Roman"/>
          <w:i w:val="0"/>
          <w:iCs w:val="0"/>
          <w:color w:val="auto"/>
          <w:highlight w:val="none"/>
        </w:rPr>
        <w:t>项、第</w:t>
      </w:r>
      <w:r>
        <w:rPr>
          <w:rFonts w:ascii="Times New Roman" w:hAnsi="Times New Roman" w:eastAsia="宋体" w:cs="Times New Roman"/>
          <w:i w:val="0"/>
          <w:iCs w:val="0"/>
          <w:color w:val="auto"/>
          <w:highlight w:val="none"/>
        </w:rPr>
        <w:t>2.1.3</w:t>
      </w:r>
      <w:r>
        <w:rPr>
          <w:rFonts w:hint="eastAsia" w:ascii="Times New Roman" w:hAnsi="Times New Roman" w:eastAsia="宋体" w:cs="Times New Roman"/>
          <w:i w:val="0"/>
          <w:iCs w:val="0"/>
          <w:color w:val="auto"/>
          <w:highlight w:val="none"/>
        </w:rPr>
        <w:t>项规定的评审标准对投标文件进行初步评审。有一项不符合评审标准的，作无效标处理。</w:t>
      </w:r>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3.1.2</w:t>
      </w:r>
      <w:r>
        <w:rPr>
          <w:rFonts w:hint="eastAsia" w:ascii="Times New Roman" w:hAnsi="Times New Roman" w:eastAsia="宋体" w:cs="Times New Roman"/>
          <w:i w:val="0"/>
          <w:iCs w:val="0"/>
          <w:color w:val="auto"/>
          <w:highlight w:val="none"/>
        </w:rPr>
        <w:t>评标委员会在评审过程中发现投标人的投标文件存在以下情形之一的，应认定为串通投标行为，其投标作无效标处理：</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1</w:t>
      </w:r>
      <w:r>
        <w:rPr>
          <w:rFonts w:hint="eastAsia" w:ascii="Times New Roman" w:hAnsi="Times New Roman" w:eastAsia="宋体" w:cs="Times New Roman"/>
          <w:i w:val="0"/>
          <w:iCs w:val="0"/>
          <w:color w:val="auto"/>
          <w:highlight w:val="none"/>
        </w:rPr>
        <w:t>）不同投标人的投标文件由同一单位或者个人编制（包括使用同一台电脑、同一套投标工具、同一套计价软件）；</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2</w:t>
      </w:r>
      <w:r>
        <w:rPr>
          <w:rFonts w:hint="eastAsia" w:ascii="Times New Roman" w:hAnsi="Times New Roman" w:eastAsia="宋体" w:cs="Times New Roman"/>
          <w:i w:val="0"/>
          <w:iCs w:val="0"/>
          <w:color w:val="auto"/>
          <w:highlight w:val="none"/>
        </w:rPr>
        <w:t>）不同投标人委托同一单位或者个人办理投标事宜；</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3</w:t>
      </w:r>
      <w:r>
        <w:rPr>
          <w:rFonts w:hint="eastAsia" w:ascii="Times New Roman" w:hAnsi="Times New Roman" w:eastAsia="宋体" w:cs="Times New Roman"/>
          <w:i w:val="0"/>
          <w:iCs w:val="0"/>
          <w:color w:val="auto"/>
          <w:highlight w:val="none"/>
        </w:rPr>
        <w:t>）不同投标人的投标文件载明的项目管理成员为同一人；</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4</w:t>
      </w:r>
      <w:r>
        <w:rPr>
          <w:rFonts w:hint="eastAsia" w:ascii="Times New Roman" w:hAnsi="Times New Roman" w:eastAsia="宋体" w:cs="Times New Roman"/>
          <w:i w:val="0"/>
          <w:iCs w:val="0"/>
          <w:color w:val="auto"/>
          <w:highlight w:val="none"/>
        </w:rPr>
        <w:t>）不同投标人的投标文件异常一致或者投标报价呈规律性差异；</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5</w:t>
      </w:r>
      <w:r>
        <w:rPr>
          <w:rFonts w:hint="eastAsia" w:ascii="Times New Roman" w:hAnsi="Times New Roman" w:eastAsia="宋体" w:cs="Times New Roman"/>
          <w:i w:val="0"/>
          <w:iCs w:val="0"/>
          <w:color w:val="auto"/>
          <w:highlight w:val="none"/>
        </w:rPr>
        <w:t>）不同投标人的投标文件相互混装；</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6</w:t>
      </w:r>
      <w:r>
        <w:rPr>
          <w:rFonts w:hint="eastAsia" w:ascii="Times New Roman" w:hAnsi="Times New Roman" w:eastAsia="宋体" w:cs="Times New Roman"/>
          <w:i w:val="0"/>
          <w:iCs w:val="0"/>
          <w:color w:val="auto"/>
          <w:highlight w:val="none"/>
        </w:rPr>
        <w:t>）不同投标人的投标保证金从同一单位或者个人的账户转出，或不同投标人的投标保证金汇入同一个虚拟子账户。</w:t>
      </w:r>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3.1.3</w:t>
      </w:r>
      <w:r>
        <w:rPr>
          <w:rFonts w:hint="eastAsia" w:ascii="Times New Roman" w:hAnsi="Times New Roman" w:eastAsia="宋体" w:cs="Times New Roman"/>
          <w:i w:val="0"/>
          <w:iCs w:val="0"/>
          <w:color w:val="auto"/>
          <w:highlight w:val="none"/>
        </w:rPr>
        <w:t>评标委员会在评审过程中发现投标人的投标文件存在以下情形之一的，应当向投标人质询，如投标人拒绝说明或不能合理说明理由的，应认定为串通投标行为，其投标作无效标处理：</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1</w:t>
      </w:r>
      <w:r>
        <w:rPr>
          <w:rFonts w:hint="eastAsia" w:ascii="Times New Roman" w:hAnsi="Times New Roman" w:eastAsia="宋体" w:cs="Times New Roman"/>
          <w:i w:val="0"/>
          <w:iCs w:val="0"/>
          <w:color w:val="auto"/>
          <w:highlight w:val="none"/>
        </w:rPr>
        <w:t>）投标人之间协商投标报价等投标文件的实质性内容；</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2</w:t>
      </w:r>
      <w:r>
        <w:rPr>
          <w:rFonts w:hint="eastAsia" w:ascii="Times New Roman" w:hAnsi="Times New Roman" w:eastAsia="宋体" w:cs="Times New Roman"/>
          <w:i w:val="0"/>
          <w:iCs w:val="0"/>
          <w:color w:val="auto"/>
          <w:highlight w:val="none"/>
        </w:rPr>
        <w:t>）投标人之间约定中标人；</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3</w:t>
      </w:r>
      <w:r>
        <w:rPr>
          <w:rFonts w:hint="eastAsia" w:ascii="Times New Roman" w:hAnsi="Times New Roman" w:eastAsia="宋体" w:cs="Times New Roman"/>
          <w:i w:val="0"/>
          <w:iCs w:val="0"/>
          <w:color w:val="auto"/>
          <w:highlight w:val="none"/>
        </w:rPr>
        <w:t>）投标人之间约定部分投标人放弃投标或者中标；</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4</w:t>
      </w:r>
      <w:r>
        <w:rPr>
          <w:rFonts w:hint="eastAsia" w:ascii="Times New Roman" w:hAnsi="Times New Roman" w:eastAsia="宋体" w:cs="Times New Roman"/>
          <w:i w:val="0"/>
          <w:iCs w:val="0"/>
          <w:color w:val="auto"/>
          <w:highlight w:val="none"/>
        </w:rPr>
        <w:t>）属于同一集团、协会、商会等组织成员的投标人按照该组织要求协同投标；</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5</w:t>
      </w:r>
      <w:r>
        <w:rPr>
          <w:rFonts w:hint="eastAsia" w:ascii="Times New Roman" w:hAnsi="Times New Roman" w:eastAsia="宋体" w:cs="Times New Roman"/>
          <w:i w:val="0"/>
          <w:iCs w:val="0"/>
          <w:color w:val="auto"/>
          <w:highlight w:val="none"/>
        </w:rPr>
        <w:t>）投标人之间为谋取中标或者排斥特定投标人而采取的其他联合行动；</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6</w:t>
      </w:r>
      <w:r>
        <w:rPr>
          <w:rFonts w:hint="eastAsia" w:ascii="Times New Roman" w:hAnsi="Times New Roman" w:eastAsia="宋体" w:cs="Times New Roman"/>
          <w:i w:val="0"/>
          <w:iCs w:val="0"/>
          <w:color w:val="auto"/>
          <w:highlight w:val="none"/>
        </w:rPr>
        <w:t>）评标专家组认为投标人的报价明显低于成本价。</w:t>
      </w:r>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3.1.4</w:t>
      </w:r>
      <w:r>
        <w:rPr>
          <w:rFonts w:hint="eastAsia" w:ascii="Times New Roman" w:hAnsi="Times New Roman" w:eastAsia="宋体" w:cs="Times New Roman"/>
          <w:i w:val="0"/>
          <w:iCs w:val="0"/>
          <w:color w:val="auto"/>
          <w:highlight w:val="none"/>
          <w:lang w:val="en-US" w:eastAsia="zh-CN"/>
        </w:rPr>
        <w:t>报价文件</w:t>
      </w:r>
      <w:r>
        <w:rPr>
          <w:rFonts w:hint="eastAsia" w:ascii="Times New Roman" w:hAnsi="Times New Roman" w:eastAsia="宋体" w:cs="Times New Roman"/>
          <w:i w:val="0"/>
          <w:iCs w:val="0"/>
          <w:color w:val="auto"/>
          <w:highlight w:val="none"/>
        </w:rPr>
        <w:t>修正。</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评标委员会对确定为实质上响应招标文件要求的投标文件进行复核</w:t>
      </w:r>
      <w:r>
        <w:rPr>
          <w:rFonts w:ascii="Times New Roman" w:hAnsi="Times New Roman" w:eastAsia="宋体" w:cs="Times New Roman"/>
          <w:i w:val="0"/>
          <w:iCs w:val="0"/>
          <w:color w:val="auto"/>
          <w:highlight w:val="none"/>
        </w:rPr>
        <w:t xml:space="preserve">, </w:t>
      </w:r>
      <w:r>
        <w:rPr>
          <w:rFonts w:hint="eastAsia" w:ascii="Times New Roman" w:hAnsi="Times New Roman" w:eastAsia="宋体" w:cs="Times New Roman"/>
          <w:i w:val="0"/>
          <w:iCs w:val="0"/>
          <w:color w:val="auto"/>
          <w:highlight w:val="none"/>
        </w:rPr>
        <w:t>看其是否有计算上、累计上或表达上的错误。修正错误的顺序和原则如下：</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1</w:t>
      </w:r>
      <w:r>
        <w:rPr>
          <w:rFonts w:hint="eastAsia" w:ascii="Times New Roman" w:hAnsi="Times New Roman" w:eastAsia="宋体" w:cs="Times New Roman"/>
          <w:i w:val="0"/>
          <w:iCs w:val="0"/>
          <w:color w:val="auto"/>
          <w:highlight w:val="none"/>
        </w:rPr>
        <w:t>）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2</w:t>
      </w:r>
      <w:r>
        <w:rPr>
          <w:rFonts w:hint="eastAsia" w:ascii="Times New Roman" w:hAnsi="Times New Roman" w:eastAsia="宋体" w:cs="Times New Roman"/>
          <w:i w:val="0"/>
          <w:iCs w:val="0"/>
          <w:color w:val="auto"/>
          <w:highlight w:val="none"/>
        </w:rPr>
        <w:t>）在总报价不变的前提下，评标委员会以合理原则，通过调整组价的相应内容使其一致。</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w:t>
      </w:r>
      <w:r>
        <w:rPr>
          <w:rFonts w:hint="eastAsia" w:ascii="Times New Roman" w:hAnsi="Times New Roman" w:eastAsia="宋体" w:cs="Times New Roman"/>
          <w:i w:val="0"/>
          <w:iCs w:val="0"/>
          <w:color w:val="auto"/>
          <w:highlight w:val="none"/>
          <w:lang w:val="en-US" w:eastAsia="zh-CN"/>
        </w:rPr>
        <w:t>报价文件</w:t>
      </w:r>
      <w:r>
        <w:rPr>
          <w:rFonts w:hint="eastAsia" w:ascii="Times New Roman" w:hAnsi="Times New Roman" w:eastAsia="宋体" w:cs="Times New Roman"/>
          <w:i w:val="0"/>
          <w:iCs w:val="0"/>
          <w:color w:val="auto"/>
          <w:highlight w:val="none"/>
        </w:rPr>
        <w:t>详细评审，但不接受修正的投标人最终将丧失其中标资格。</w:t>
      </w:r>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w:t>
      </w:r>
      <w:r>
        <w:rPr>
          <w:rFonts w:ascii="Times New Roman" w:hAnsi="Times New Roman" w:eastAsia="宋体" w:cs="Times New Roman"/>
          <w:i w:val="0"/>
          <w:iCs w:val="0"/>
          <w:color w:val="auto"/>
          <w:highlight w:val="none"/>
        </w:rPr>
        <w:t>3</w:t>
      </w:r>
      <w:r>
        <w:rPr>
          <w:rFonts w:hint="eastAsia" w:ascii="Times New Roman" w:hAnsi="Times New Roman" w:eastAsia="宋体" w:cs="Times New Roman"/>
          <w:i w:val="0"/>
          <w:iCs w:val="0"/>
          <w:color w:val="auto"/>
          <w:highlight w:val="none"/>
        </w:rPr>
        <w:t>）投标函中数值大写与小写不一致时，以大写为准。</w:t>
      </w:r>
    </w:p>
    <w:p>
      <w:pPr>
        <w:keepNext/>
        <w:keepLines/>
        <w:widowControl w:val="0"/>
        <w:spacing w:before="0" w:after="0" w:line="400" w:lineRule="exact"/>
        <w:jc w:val="both"/>
        <w:outlineLvl w:val="2"/>
        <w:rPr>
          <w:rFonts w:ascii="Times New Roman" w:hAnsi="Times New Roman" w:eastAsia="黑体" w:cs="Times New Roman"/>
          <w:b w:val="0"/>
          <w:bCs w:val="0"/>
          <w:i w:val="0"/>
          <w:iCs w:val="0"/>
          <w:color w:val="auto"/>
          <w:kern w:val="2"/>
          <w:sz w:val="24"/>
          <w:szCs w:val="20"/>
          <w:highlight w:val="none"/>
          <w:lang w:val="en-US" w:eastAsia="zh-CN" w:bidi="ar-SA"/>
        </w:rPr>
      </w:pPr>
      <w:bookmarkStart w:id="257" w:name="_Toc372899746"/>
      <w:bookmarkStart w:id="258" w:name="_Toc283976543"/>
      <w:bookmarkStart w:id="259" w:name="_Toc237769301"/>
      <w:bookmarkStart w:id="260" w:name="_Toc321925429"/>
      <w:bookmarkStart w:id="261" w:name="_Toc237768837"/>
      <w:bookmarkStart w:id="262" w:name="_Toc282596307"/>
      <w:bookmarkStart w:id="263" w:name="_Toc288556294"/>
      <w:bookmarkStart w:id="264" w:name="_Toc283886252"/>
      <w:bookmarkStart w:id="265" w:name="_Toc394573940"/>
      <w:bookmarkStart w:id="266" w:name="_Toc372899869"/>
      <w:bookmarkStart w:id="267" w:name="_Toc14057"/>
      <w:bookmarkStart w:id="268" w:name="_Toc531162026"/>
      <w:r>
        <w:rPr>
          <w:rFonts w:ascii="Times New Roman" w:hAnsi="Times New Roman" w:eastAsia="黑体" w:cs="Times New Roman"/>
          <w:b w:val="0"/>
          <w:bCs w:val="0"/>
          <w:i w:val="0"/>
          <w:iCs w:val="0"/>
          <w:color w:val="auto"/>
          <w:kern w:val="2"/>
          <w:sz w:val="24"/>
          <w:szCs w:val="20"/>
          <w:highlight w:val="none"/>
          <w:lang w:val="en-US" w:eastAsia="zh-CN" w:bidi="ar-SA"/>
        </w:rPr>
        <w:t xml:space="preserve">3.2 </w:t>
      </w:r>
      <w:r>
        <w:rPr>
          <w:rFonts w:hint="eastAsia" w:ascii="Times New Roman" w:hAnsi="Times New Roman" w:eastAsia="黑体" w:cs="Times New Roman"/>
          <w:b w:val="0"/>
          <w:bCs w:val="0"/>
          <w:i w:val="0"/>
          <w:iCs w:val="0"/>
          <w:color w:val="auto"/>
          <w:kern w:val="2"/>
          <w:sz w:val="24"/>
          <w:szCs w:val="20"/>
          <w:highlight w:val="none"/>
          <w:lang w:val="en-US" w:eastAsia="zh-CN" w:bidi="ar-SA"/>
        </w:rPr>
        <w:t>详细评审</w:t>
      </w:r>
      <w:bookmarkEnd w:id="257"/>
      <w:bookmarkEnd w:id="258"/>
      <w:bookmarkEnd w:id="259"/>
      <w:bookmarkEnd w:id="260"/>
      <w:bookmarkEnd w:id="261"/>
      <w:bookmarkEnd w:id="262"/>
      <w:bookmarkEnd w:id="263"/>
      <w:bookmarkEnd w:id="264"/>
      <w:bookmarkEnd w:id="265"/>
      <w:bookmarkEnd w:id="266"/>
      <w:bookmarkEnd w:id="267"/>
      <w:bookmarkEnd w:id="268"/>
    </w:p>
    <w:p>
      <w:pPr>
        <w:spacing w:line="400" w:lineRule="exact"/>
        <w:ind w:firstLine="420" w:firstLineChars="200"/>
        <w:rPr>
          <w:rFonts w:ascii="Times New Roman" w:hAnsi="Times New Roman" w:eastAsia="宋体" w:cs="Times New Roman"/>
          <w:i w:val="0"/>
          <w:iCs w:val="0"/>
          <w:color w:val="auto"/>
          <w:highlight w:val="none"/>
        </w:rPr>
      </w:pPr>
      <w:r>
        <w:rPr>
          <w:rFonts w:hint="eastAsia" w:ascii="Times New Roman" w:hAnsi="Times New Roman" w:eastAsia="宋体" w:cs="Times New Roman"/>
          <w:i w:val="0"/>
          <w:iCs w:val="0"/>
          <w:color w:val="auto"/>
          <w:highlight w:val="none"/>
        </w:rPr>
        <w:t>评标委员会按本章第</w:t>
      </w:r>
      <w:r>
        <w:rPr>
          <w:rFonts w:ascii="Times New Roman" w:hAnsi="Times New Roman" w:eastAsia="宋体" w:cs="Times New Roman"/>
          <w:i w:val="0"/>
          <w:iCs w:val="0"/>
          <w:color w:val="auto"/>
          <w:highlight w:val="none"/>
        </w:rPr>
        <w:t>2.2</w:t>
      </w:r>
      <w:r>
        <w:rPr>
          <w:rFonts w:hint="eastAsia" w:ascii="Times New Roman" w:hAnsi="Times New Roman" w:eastAsia="宋体" w:cs="Times New Roman"/>
          <w:i w:val="0"/>
          <w:iCs w:val="0"/>
          <w:color w:val="auto"/>
          <w:highlight w:val="none"/>
        </w:rPr>
        <w:t>款规定进行评审和评分。</w:t>
      </w:r>
    </w:p>
    <w:p>
      <w:pPr>
        <w:keepNext/>
        <w:keepLines/>
        <w:widowControl w:val="0"/>
        <w:spacing w:before="0" w:after="0" w:line="400" w:lineRule="exact"/>
        <w:jc w:val="both"/>
        <w:outlineLvl w:val="2"/>
        <w:rPr>
          <w:rFonts w:ascii="Times New Roman" w:hAnsi="Times New Roman" w:eastAsia="黑体" w:cs="Times New Roman"/>
          <w:b w:val="0"/>
          <w:bCs w:val="0"/>
          <w:i w:val="0"/>
          <w:iCs w:val="0"/>
          <w:color w:val="auto"/>
          <w:kern w:val="2"/>
          <w:sz w:val="24"/>
          <w:szCs w:val="20"/>
          <w:highlight w:val="none"/>
          <w:lang w:val="en-US" w:eastAsia="zh-CN" w:bidi="ar-SA"/>
        </w:rPr>
      </w:pPr>
      <w:bookmarkStart w:id="269" w:name="_Toc283886253"/>
      <w:bookmarkStart w:id="270" w:name="_Toc21345"/>
      <w:bookmarkStart w:id="271" w:name="_Toc372899870"/>
      <w:bookmarkStart w:id="272" w:name="_Toc282596308"/>
      <w:bookmarkStart w:id="273" w:name="_Toc283976544"/>
      <w:bookmarkStart w:id="274" w:name="_Toc372899747"/>
      <w:bookmarkStart w:id="275" w:name="_Toc288556295"/>
      <w:bookmarkStart w:id="276" w:name="_Toc321925430"/>
      <w:bookmarkStart w:id="277" w:name="_Toc394573941"/>
      <w:bookmarkStart w:id="278" w:name="_Toc237768838"/>
      <w:bookmarkStart w:id="279" w:name="_Toc531162027"/>
      <w:bookmarkStart w:id="280" w:name="_Toc237769302"/>
      <w:r>
        <w:rPr>
          <w:rFonts w:ascii="Times New Roman" w:hAnsi="Times New Roman" w:eastAsia="黑体" w:cs="Times New Roman"/>
          <w:b w:val="0"/>
          <w:bCs w:val="0"/>
          <w:i w:val="0"/>
          <w:iCs w:val="0"/>
          <w:color w:val="auto"/>
          <w:kern w:val="2"/>
          <w:sz w:val="24"/>
          <w:szCs w:val="20"/>
          <w:highlight w:val="none"/>
          <w:lang w:val="en-US" w:eastAsia="zh-CN" w:bidi="ar-SA"/>
        </w:rPr>
        <w:t xml:space="preserve">3.3 </w:t>
      </w:r>
      <w:r>
        <w:rPr>
          <w:rFonts w:hint="eastAsia" w:ascii="Times New Roman" w:hAnsi="Times New Roman" w:eastAsia="黑体" w:cs="Times New Roman"/>
          <w:b w:val="0"/>
          <w:bCs w:val="0"/>
          <w:i w:val="0"/>
          <w:iCs w:val="0"/>
          <w:color w:val="auto"/>
          <w:kern w:val="2"/>
          <w:sz w:val="24"/>
          <w:szCs w:val="20"/>
          <w:highlight w:val="none"/>
          <w:lang w:val="en-US" w:eastAsia="zh-CN" w:bidi="ar-SA"/>
        </w:rPr>
        <w:t>投标文件的澄清和补正</w:t>
      </w:r>
      <w:bookmarkEnd w:id="269"/>
      <w:bookmarkEnd w:id="270"/>
      <w:bookmarkEnd w:id="271"/>
      <w:bookmarkEnd w:id="272"/>
      <w:bookmarkEnd w:id="273"/>
      <w:bookmarkEnd w:id="274"/>
      <w:bookmarkEnd w:id="275"/>
      <w:bookmarkEnd w:id="276"/>
      <w:bookmarkEnd w:id="277"/>
      <w:bookmarkEnd w:id="278"/>
      <w:bookmarkEnd w:id="279"/>
      <w:bookmarkEnd w:id="280"/>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3.3.1</w:t>
      </w:r>
      <w:r>
        <w:rPr>
          <w:rFonts w:hint="eastAsia" w:ascii="Times New Roman" w:hAnsi="Times New Roman" w:eastAsia="宋体" w:cs="Times New Roman"/>
          <w:i w:val="0"/>
          <w:iCs w:val="0"/>
          <w:color w:val="auto"/>
          <w:highlight w:val="none"/>
        </w:rPr>
        <w:t>在评标过程中，评标委员会可以要求投标人对所提交投标文件中不明确的内容进行澄清或说明，或者对细微偏差进行补正，投标人</w:t>
      </w:r>
      <w:r>
        <w:rPr>
          <w:rFonts w:hint="eastAsia" w:ascii="Times New Roman" w:hAnsi="Times New Roman" w:eastAsia="宋体" w:cs="Times New Roman"/>
          <w:i w:val="0"/>
          <w:iCs w:val="0"/>
          <w:color w:val="auto"/>
          <w:highlight w:val="none"/>
          <w:lang w:val="en-US" w:eastAsia="zh-CN"/>
        </w:rPr>
        <w:t>应按要求</w:t>
      </w:r>
      <w:r>
        <w:rPr>
          <w:rFonts w:hint="eastAsia" w:ascii="Times New Roman" w:hAnsi="Times New Roman" w:eastAsia="宋体" w:cs="Times New Roman"/>
          <w:i w:val="0"/>
          <w:iCs w:val="0"/>
          <w:color w:val="auto"/>
          <w:highlight w:val="none"/>
        </w:rPr>
        <w:t>进行回复。评标委员会不接受投标人主动提出的澄清、说明或补正。</w:t>
      </w:r>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 xml:space="preserve">3.3.2 </w:t>
      </w:r>
      <w:r>
        <w:rPr>
          <w:rFonts w:hint="eastAsia" w:ascii="Times New Roman" w:hAnsi="Times New Roman" w:eastAsia="宋体" w:cs="Times New Roman"/>
          <w:i w:val="0"/>
          <w:iCs w:val="0"/>
          <w:color w:val="auto"/>
          <w:highlight w:val="none"/>
        </w:rPr>
        <w:t>澄清、说明和补正不得改变投标文件的实质性内容（算术性错误修正的除外）。投标人的澄清、说明和补正属于投标文件的组成部分。投标文件的实质性内容包括投标函是否按招标文件要求编制，总报价、质量、工期、投标资格的承诺是否响应招标文件的要求。</w:t>
      </w:r>
    </w:p>
    <w:p>
      <w:pPr>
        <w:spacing w:line="400" w:lineRule="exact"/>
        <w:ind w:firstLine="420" w:firstLineChars="200"/>
        <w:rPr>
          <w:rFonts w:ascii="Times New Roman" w:hAnsi="Times New Roman" w:eastAsia="宋体" w:cs="Times New Roman"/>
          <w:i w:val="0"/>
          <w:iCs w:val="0"/>
          <w:color w:val="auto"/>
          <w:szCs w:val="21"/>
          <w:highlight w:val="none"/>
        </w:rPr>
      </w:pPr>
      <w:r>
        <w:rPr>
          <w:rFonts w:ascii="Times New Roman" w:hAnsi="Times New Roman" w:eastAsia="宋体" w:cs="Times New Roman"/>
          <w:i w:val="0"/>
          <w:iCs w:val="0"/>
          <w:color w:val="auto"/>
          <w:highlight w:val="none"/>
        </w:rPr>
        <w:t xml:space="preserve">3.3.3 </w:t>
      </w:r>
      <w:r>
        <w:rPr>
          <w:rFonts w:hint="eastAsia" w:ascii="Times New Roman" w:hAnsi="Times New Roman" w:eastAsia="宋体" w:cs="Times New Roman"/>
          <w:i w:val="0"/>
          <w:iCs w:val="0"/>
          <w:color w:val="auto"/>
          <w:highlight w:val="none"/>
        </w:rPr>
        <w:t>评标委员会对投标人提交的澄清、说明或补正有疑问的，可以要求投标人进一步澄清、说明或补正，直至满足评标委员会的要求。</w:t>
      </w:r>
      <w:r>
        <w:rPr>
          <w:rFonts w:hint="eastAsia" w:ascii="Times New Roman" w:hAnsi="Times New Roman" w:eastAsia="宋体" w:cs="Times New Roman"/>
          <w:i w:val="0"/>
          <w:iCs w:val="0"/>
          <w:color w:val="auto"/>
          <w:szCs w:val="21"/>
          <w:highlight w:val="none"/>
        </w:rPr>
        <w:t>如果投标人不按评标委员会要求进行澄清、说明或补正的，投标人的投标报价进入详细评审，但投标人最终将丧失其中标资格。</w:t>
      </w:r>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szCs w:val="21"/>
          <w:highlight w:val="none"/>
        </w:rPr>
        <w:t>3.3.4</w:t>
      </w:r>
      <w:r>
        <w:rPr>
          <w:rFonts w:hint="eastAsia" w:ascii="Times New Roman" w:hAnsi="Times New Roman" w:eastAsia="宋体" w:cs="Times New Roman"/>
          <w:i w:val="0"/>
          <w:iCs w:val="0"/>
          <w:color w:val="auto"/>
          <w:szCs w:val="21"/>
          <w:highlight w:val="none"/>
        </w:rPr>
        <w:t>评标委员会要求投标人进行澄清或说明的，其投标文件的编制人无法联系或在</w:t>
      </w:r>
      <w:r>
        <w:rPr>
          <w:rFonts w:ascii="Times New Roman" w:hAnsi="Times New Roman" w:eastAsia="宋体" w:cs="Times New Roman"/>
          <w:i w:val="0"/>
          <w:iCs w:val="0"/>
          <w:color w:val="auto"/>
          <w:szCs w:val="21"/>
          <w:highlight w:val="none"/>
        </w:rPr>
        <w:t>30</w:t>
      </w:r>
      <w:r>
        <w:rPr>
          <w:rFonts w:hint="eastAsia" w:ascii="Times New Roman" w:hAnsi="Times New Roman" w:eastAsia="宋体" w:cs="Times New Roman"/>
          <w:i w:val="0"/>
          <w:iCs w:val="0"/>
          <w:color w:val="auto"/>
          <w:szCs w:val="21"/>
          <w:highlight w:val="none"/>
        </w:rPr>
        <w:t>分钟内未能回复的，可视作拒绝或放弃澄清或说明。</w:t>
      </w:r>
    </w:p>
    <w:p>
      <w:pPr>
        <w:keepNext/>
        <w:keepLines/>
        <w:widowControl w:val="0"/>
        <w:spacing w:before="0" w:after="0" w:line="400" w:lineRule="exact"/>
        <w:jc w:val="both"/>
        <w:outlineLvl w:val="2"/>
        <w:rPr>
          <w:rFonts w:ascii="Times New Roman" w:hAnsi="Times New Roman" w:eastAsia="黑体" w:cs="Times New Roman"/>
          <w:b w:val="0"/>
          <w:bCs w:val="0"/>
          <w:i w:val="0"/>
          <w:iCs w:val="0"/>
          <w:color w:val="auto"/>
          <w:kern w:val="2"/>
          <w:sz w:val="24"/>
          <w:szCs w:val="20"/>
          <w:highlight w:val="none"/>
          <w:lang w:val="en-US" w:eastAsia="zh-CN" w:bidi="ar-SA"/>
        </w:rPr>
      </w:pPr>
      <w:bookmarkStart w:id="281" w:name="_Toc531162028"/>
      <w:bookmarkStart w:id="282" w:name="_Toc237768839"/>
      <w:bookmarkStart w:id="283" w:name="_Toc1926"/>
      <w:bookmarkStart w:id="284" w:name="_Toc321925431"/>
      <w:bookmarkStart w:id="285" w:name="_Toc283886254"/>
      <w:bookmarkStart w:id="286" w:name="_Toc282596309"/>
      <w:bookmarkStart w:id="287" w:name="_Toc237769303"/>
      <w:bookmarkStart w:id="288" w:name="_Toc394573942"/>
      <w:bookmarkStart w:id="289" w:name="_Toc288556296"/>
      <w:bookmarkStart w:id="290" w:name="_Toc372899748"/>
      <w:bookmarkStart w:id="291" w:name="_Toc283976545"/>
      <w:bookmarkStart w:id="292" w:name="_Toc372899871"/>
      <w:r>
        <w:rPr>
          <w:rFonts w:ascii="Times New Roman" w:hAnsi="Times New Roman" w:eastAsia="黑体" w:cs="Times New Roman"/>
          <w:b w:val="0"/>
          <w:bCs w:val="0"/>
          <w:i w:val="0"/>
          <w:iCs w:val="0"/>
          <w:color w:val="auto"/>
          <w:kern w:val="2"/>
          <w:sz w:val="24"/>
          <w:szCs w:val="20"/>
          <w:highlight w:val="none"/>
          <w:lang w:val="en-US" w:eastAsia="zh-CN" w:bidi="ar-SA"/>
        </w:rPr>
        <w:t xml:space="preserve">3.4 </w:t>
      </w:r>
      <w:r>
        <w:rPr>
          <w:rFonts w:hint="eastAsia" w:ascii="Times New Roman" w:hAnsi="Times New Roman" w:eastAsia="黑体" w:cs="Times New Roman"/>
          <w:b w:val="0"/>
          <w:bCs w:val="0"/>
          <w:i w:val="0"/>
          <w:iCs w:val="0"/>
          <w:color w:val="auto"/>
          <w:kern w:val="2"/>
          <w:sz w:val="24"/>
          <w:szCs w:val="20"/>
          <w:highlight w:val="none"/>
          <w:lang w:val="en-US" w:eastAsia="zh-CN" w:bidi="ar-SA"/>
        </w:rPr>
        <w:t>评标结果</w:t>
      </w:r>
      <w:bookmarkEnd w:id="281"/>
      <w:bookmarkEnd w:id="282"/>
      <w:bookmarkEnd w:id="283"/>
      <w:bookmarkEnd w:id="284"/>
      <w:bookmarkEnd w:id="285"/>
      <w:bookmarkEnd w:id="286"/>
      <w:bookmarkEnd w:id="287"/>
      <w:bookmarkEnd w:id="288"/>
      <w:bookmarkEnd w:id="289"/>
      <w:bookmarkEnd w:id="290"/>
      <w:bookmarkEnd w:id="291"/>
      <w:bookmarkEnd w:id="292"/>
    </w:p>
    <w:p>
      <w:pPr>
        <w:spacing w:line="400" w:lineRule="exact"/>
        <w:ind w:firstLine="420" w:firstLineChars="200"/>
        <w:rPr>
          <w:rFonts w:ascii="Times New Roman" w:hAnsi="Times New Roman" w:eastAsia="宋体" w:cs="Times New Roman"/>
          <w:i w:val="0"/>
          <w:iCs w:val="0"/>
          <w:color w:val="auto"/>
          <w:highlight w:val="none"/>
        </w:rPr>
      </w:pPr>
      <w:r>
        <w:rPr>
          <w:rFonts w:ascii="Times New Roman" w:hAnsi="Times New Roman" w:eastAsia="宋体" w:cs="Times New Roman"/>
          <w:i w:val="0"/>
          <w:iCs w:val="0"/>
          <w:color w:val="auto"/>
          <w:highlight w:val="none"/>
        </w:rPr>
        <w:t>3.4.1</w:t>
      </w:r>
      <w:r>
        <w:rPr>
          <w:rFonts w:hint="eastAsia" w:ascii="Times New Roman" w:hAnsi="Times New Roman" w:eastAsia="宋体" w:cs="Times New Roman"/>
          <w:i w:val="0"/>
          <w:iCs w:val="0"/>
          <w:color w:val="auto"/>
          <w:highlight w:val="none"/>
        </w:rPr>
        <w:t>评标委员会按照</w:t>
      </w:r>
      <w:r>
        <w:rPr>
          <w:rFonts w:ascii="Times New Roman" w:hAnsi="Times New Roman" w:eastAsia="宋体" w:cs="Times New Roman"/>
          <w:i w:val="0"/>
          <w:iCs w:val="0"/>
          <w:color w:val="auto"/>
          <w:highlight w:val="none"/>
        </w:rPr>
        <w:t>“</w:t>
      </w:r>
      <w:r>
        <w:rPr>
          <w:rFonts w:hint="eastAsia" w:ascii="Times New Roman" w:hAnsi="Times New Roman" w:eastAsia="宋体" w:cs="Times New Roman"/>
          <w:i w:val="0"/>
          <w:iCs w:val="0"/>
          <w:color w:val="auto"/>
          <w:highlight w:val="none"/>
        </w:rPr>
        <w:t>评标办法附件</w:t>
      </w:r>
      <w:r>
        <w:rPr>
          <w:rFonts w:ascii="Times New Roman" w:hAnsi="Times New Roman" w:eastAsia="宋体" w:cs="Times New Roman"/>
          <w:i w:val="0"/>
          <w:iCs w:val="0"/>
          <w:color w:val="auto"/>
          <w:highlight w:val="none"/>
        </w:rPr>
        <w:t>”</w:t>
      </w:r>
      <w:r>
        <w:rPr>
          <w:rFonts w:hint="eastAsia" w:ascii="Times New Roman" w:hAnsi="Times New Roman" w:eastAsia="宋体" w:cs="Times New Roman"/>
          <w:i w:val="0"/>
          <w:iCs w:val="0"/>
          <w:color w:val="auto"/>
          <w:highlight w:val="none"/>
        </w:rPr>
        <w:t>规定推荐中标候选人。</w:t>
      </w:r>
    </w:p>
    <w:p>
      <w:pPr>
        <w:spacing w:line="400" w:lineRule="exact"/>
        <w:ind w:firstLine="420" w:firstLineChars="200"/>
        <w:rPr>
          <w:i w:val="0"/>
          <w:iCs w:val="0"/>
          <w:color w:val="auto"/>
          <w:highlight w:val="none"/>
        </w:rPr>
        <w:sectPr>
          <w:pgSz w:w="11907" w:h="16840"/>
          <w:pgMar w:top="1417" w:right="1418" w:bottom="1417" w:left="1531" w:header="851" w:footer="992" w:gutter="0"/>
          <w:pgNumType w:fmt="decimal"/>
          <w:cols w:space="720" w:num="1"/>
          <w:docGrid w:type="lines" w:linePitch="312" w:charSpace="0"/>
        </w:sectPr>
      </w:pPr>
      <w:r>
        <w:rPr>
          <w:rFonts w:ascii="Times New Roman" w:hAnsi="Times New Roman" w:eastAsia="宋体" w:cs="Times New Roman"/>
          <w:i w:val="0"/>
          <w:iCs w:val="0"/>
          <w:color w:val="auto"/>
          <w:highlight w:val="none"/>
        </w:rPr>
        <w:t xml:space="preserve">3.4.2 </w:t>
      </w:r>
      <w:r>
        <w:rPr>
          <w:rFonts w:hint="eastAsia" w:ascii="Times New Roman" w:hAnsi="Times New Roman" w:eastAsia="宋体" w:cs="Times New Roman"/>
          <w:i w:val="0"/>
          <w:iCs w:val="0"/>
          <w:color w:val="auto"/>
          <w:highlight w:val="none"/>
        </w:rPr>
        <w:t>评标委员会完成评标后，应当向招标人提交书面评标报告。</w:t>
      </w:r>
    </w:p>
    <w:p>
      <w:pPr>
        <w:adjustRightInd w:val="0"/>
        <w:snapToGrid w:val="0"/>
        <w:spacing w:line="400" w:lineRule="exact"/>
        <w:ind w:firstLine="723" w:firstLineChars="200"/>
        <w:jc w:val="center"/>
        <w:rPr>
          <w:rFonts w:hint="eastAsia" w:ascii="宋体" w:hAnsi="宋体" w:eastAsia="宋体" w:cs="宋体"/>
          <w:b/>
          <w:bCs/>
          <w:i w:val="0"/>
          <w:iCs w:val="0"/>
          <w:sz w:val="36"/>
          <w:szCs w:val="36"/>
          <w:highlight w:val="none"/>
        </w:rPr>
      </w:pPr>
      <w:r>
        <w:rPr>
          <w:rFonts w:hint="eastAsia" w:ascii="宋体" w:hAnsi="宋体" w:eastAsia="宋体" w:cs="宋体"/>
          <w:b/>
          <w:bCs/>
          <w:i w:val="0"/>
          <w:iCs w:val="0"/>
          <w:sz w:val="36"/>
          <w:szCs w:val="36"/>
          <w:highlight w:val="none"/>
        </w:rPr>
        <w:t>综合评估法</w:t>
      </w:r>
    </w:p>
    <w:p>
      <w:pPr>
        <w:adjustRightInd w:val="0"/>
        <w:snapToGrid w:val="0"/>
        <w:spacing w:line="400" w:lineRule="exact"/>
        <w:ind w:firstLine="420" w:firstLineChars="200"/>
        <w:outlineLvl w:val="9"/>
        <w:rPr>
          <w:rFonts w:hint="eastAsia" w:ascii="宋体" w:hAnsi="宋体" w:eastAsia="宋体" w:cs="宋体"/>
          <w:i w:val="0"/>
          <w:iCs w:val="0"/>
          <w:szCs w:val="21"/>
          <w:highlight w:val="none"/>
        </w:rPr>
      </w:pPr>
      <w:bookmarkStart w:id="293" w:name="_Toc21801"/>
      <w:bookmarkStart w:id="294" w:name="_Toc31790"/>
      <w:bookmarkStart w:id="295" w:name="_Toc7206"/>
      <w:bookmarkStart w:id="296" w:name="_Toc4037"/>
      <w:r>
        <w:rPr>
          <w:rFonts w:hint="eastAsia" w:ascii="宋体" w:hAnsi="宋体" w:eastAsia="宋体" w:cs="宋体"/>
          <w:i w:val="0"/>
          <w:iCs w:val="0"/>
          <w:szCs w:val="21"/>
          <w:highlight w:val="none"/>
        </w:rPr>
        <w:t>一、</w:t>
      </w:r>
      <w:r>
        <w:rPr>
          <w:rFonts w:hint="eastAsia" w:ascii="Times New Roman" w:hAnsi="Times New Roman" w:eastAsia="宋体" w:cs="Times New Roman"/>
          <w:i w:val="0"/>
          <w:iCs w:val="0"/>
          <w:color w:val="auto"/>
          <w:highlight w:val="none"/>
        </w:rPr>
        <w:t>资</w:t>
      </w:r>
      <w:r>
        <w:rPr>
          <w:rFonts w:hint="eastAsia" w:ascii="Times New Roman" w:hAnsi="Times New Roman" w:eastAsia="宋体" w:cs="Times New Roman"/>
          <w:i w:val="0"/>
          <w:iCs w:val="0"/>
          <w:color w:val="auto"/>
          <w:highlight w:val="none"/>
          <w:lang w:val="en-US" w:eastAsia="zh-CN"/>
        </w:rPr>
        <w:t>格证明文件</w:t>
      </w:r>
      <w:r>
        <w:rPr>
          <w:rFonts w:hint="eastAsia" w:ascii="宋体" w:hAnsi="宋体" w:eastAsia="宋体" w:cs="宋体"/>
          <w:i w:val="0"/>
          <w:iCs w:val="0"/>
          <w:szCs w:val="21"/>
          <w:highlight w:val="none"/>
        </w:rPr>
        <w:t>审查</w:t>
      </w:r>
      <w:bookmarkEnd w:id="293"/>
      <w:bookmarkEnd w:id="294"/>
      <w:bookmarkEnd w:id="295"/>
      <w:bookmarkEnd w:id="296"/>
    </w:p>
    <w:p>
      <w:pPr>
        <w:adjustRightInd w:val="0"/>
        <w:snapToGrid w:val="0"/>
        <w:spacing w:line="400" w:lineRule="exact"/>
        <w:ind w:firstLine="420" w:firstLineChars="200"/>
        <w:outlineLvl w:val="9"/>
        <w:rPr>
          <w:rFonts w:hint="eastAsia" w:ascii="宋体" w:hAnsi="宋体" w:eastAsia="宋体" w:cs="宋体"/>
          <w:i w:val="0"/>
          <w:iCs w:val="0"/>
          <w:highlight w:val="none"/>
        </w:rPr>
      </w:pPr>
      <w:r>
        <w:rPr>
          <w:rFonts w:hint="eastAsia" w:ascii="宋体" w:hAnsi="宋体" w:eastAsia="宋体" w:cs="宋体"/>
          <w:i w:val="0"/>
          <w:iCs w:val="0"/>
          <w:szCs w:val="21"/>
          <w:highlight w:val="none"/>
        </w:rPr>
        <w:t>评标委员会按照招标文件载明的资格后审条款，对投标人的企业资质、人员资格等进行审查，凡不符合资格后审要求的，以否决投标处理，不再进入下一阶段评审。</w:t>
      </w:r>
    </w:p>
    <w:p>
      <w:pPr>
        <w:numPr>
          <w:ilvl w:val="0"/>
          <w:numId w:val="0"/>
        </w:numPr>
        <w:spacing w:line="400" w:lineRule="exact"/>
        <w:ind w:firstLine="420" w:firstLineChars="200"/>
        <w:outlineLvl w:val="9"/>
        <w:rPr>
          <w:rFonts w:hint="eastAsia" w:ascii="宋体" w:hAnsi="宋体" w:eastAsia="宋体" w:cs="宋体"/>
          <w:i w:val="0"/>
          <w:iCs w:val="0"/>
          <w:highlight w:val="none"/>
          <w:lang w:val="en-US" w:eastAsia="zh-CN"/>
        </w:rPr>
      </w:pPr>
      <w:bookmarkStart w:id="297" w:name="_Toc16968"/>
      <w:bookmarkStart w:id="298" w:name="_Toc10391"/>
      <w:bookmarkStart w:id="299" w:name="_Toc10218"/>
      <w:bookmarkStart w:id="300" w:name="_Toc4388"/>
      <w:r>
        <w:rPr>
          <w:rFonts w:hint="eastAsia" w:ascii="宋体" w:hAnsi="宋体" w:eastAsia="宋体" w:cs="宋体"/>
          <w:i w:val="0"/>
          <w:iCs w:val="0"/>
          <w:highlight w:val="none"/>
          <w:lang w:val="en-US" w:eastAsia="zh-CN"/>
        </w:rPr>
        <w:t>二、商务技术文件评审（20分）</w:t>
      </w:r>
      <w:bookmarkEnd w:id="297"/>
    </w:p>
    <w:p>
      <w:pPr>
        <w:keepNext w:val="0"/>
        <w:keepLines w:val="0"/>
        <w:widowControl w:val="0"/>
        <w:suppressLineNumbers w:val="0"/>
        <w:spacing w:before="0" w:beforeAutospacing="0" w:after="0" w:afterAutospacing="0" w:line="400" w:lineRule="exact"/>
        <w:ind w:left="0" w:right="0" w:firstLine="420" w:firstLineChars="200"/>
        <w:jc w:val="both"/>
        <w:outlineLvl w:val="9"/>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（一）评审步骤</w:t>
      </w:r>
    </w:p>
    <w:p>
      <w:pPr>
        <w:keepNext w:val="0"/>
        <w:keepLines w:val="0"/>
        <w:widowControl w:val="0"/>
        <w:suppressLineNumbers w:val="0"/>
        <w:spacing w:before="0" w:beforeAutospacing="0" w:after="0" w:afterAutospacing="0" w:line="400" w:lineRule="exact"/>
        <w:ind w:left="0" w:right="0" w:firstLine="420" w:firstLineChars="200"/>
        <w:jc w:val="both"/>
        <w:outlineLvl w:val="9"/>
        <w:rPr>
          <w:rFonts w:hint="eastAsia" w:ascii="宋体" w:hAnsi="宋体" w:eastAsia="宋体" w:cs="宋体"/>
          <w:kern w:val="2"/>
          <w:sz w:val="21"/>
          <w:szCs w:val="21"/>
          <w:highlight w:val="none"/>
          <w:lang w:val="en-US" w:eastAsia="zh-CN" w:bidi="ar"/>
        </w:rPr>
      </w:pPr>
      <w:r>
        <w:rPr>
          <w:rFonts w:hint="eastAsia" w:ascii="宋体" w:hAnsi="宋体" w:eastAsia="宋体" w:cs="宋体"/>
          <w:i w:val="0"/>
          <w:iCs w:val="0"/>
          <w:highlight w:val="none"/>
          <w:lang w:val="en-US" w:eastAsia="zh-CN"/>
        </w:rPr>
        <w:t>商务技术文件（商务</w:t>
      </w:r>
      <w:r>
        <w:rPr>
          <w:rFonts w:hint="eastAsia" w:ascii="宋体" w:hAnsi="宋体" w:eastAsia="宋体" w:cs="宋体"/>
          <w:i w:val="0"/>
          <w:iCs w:val="0"/>
          <w:color w:val="auto"/>
          <w:szCs w:val="21"/>
          <w:highlight w:val="none"/>
          <w:lang w:val="en-US" w:eastAsia="zh-CN"/>
        </w:rPr>
        <w:t>部分</w:t>
      </w:r>
      <w:r>
        <w:rPr>
          <w:rFonts w:hint="eastAsia" w:ascii="宋体" w:hAnsi="宋体" w:eastAsia="宋体" w:cs="宋体"/>
          <w:kern w:val="2"/>
          <w:sz w:val="21"/>
          <w:szCs w:val="21"/>
          <w:highlight w:val="none"/>
          <w:lang w:val="en-US" w:eastAsia="zh-CN" w:bidi="ar"/>
        </w:rPr>
        <w:t>）由评标委员会全体成员根据投标人提供的相关证明材料进行集体认定。</w:t>
      </w:r>
    </w:p>
    <w:p>
      <w:pPr>
        <w:keepNext w:val="0"/>
        <w:keepLines w:val="0"/>
        <w:widowControl w:val="0"/>
        <w:suppressLineNumbers w:val="0"/>
        <w:spacing w:before="0" w:beforeAutospacing="0" w:after="0" w:afterAutospacing="0" w:line="400" w:lineRule="exact"/>
        <w:ind w:left="0" w:right="0" w:firstLine="420" w:firstLineChars="200"/>
        <w:jc w:val="both"/>
        <w:outlineLvl w:val="9"/>
        <w:rPr>
          <w:rFonts w:hint="eastAsia" w:ascii="宋体" w:hAnsi="宋体" w:eastAsia="宋体" w:cs="Times New Roman"/>
          <w:kern w:val="2"/>
          <w:sz w:val="21"/>
          <w:szCs w:val="21"/>
          <w:highlight w:val="none"/>
        </w:rPr>
      </w:pPr>
      <w:r>
        <w:rPr>
          <w:rFonts w:hint="eastAsia" w:ascii="宋体" w:hAnsi="宋体" w:eastAsia="宋体" w:cs="宋体"/>
          <w:i w:val="0"/>
          <w:iCs w:val="0"/>
          <w:highlight w:val="none"/>
          <w:lang w:val="en-US" w:eastAsia="zh-CN"/>
        </w:rPr>
        <w:t>商务技术文件（</w:t>
      </w:r>
      <w:r>
        <w:rPr>
          <w:rFonts w:hint="eastAsia" w:ascii="宋体" w:hAnsi="宋体" w:eastAsia="宋体" w:cs="宋体"/>
          <w:kern w:val="2"/>
          <w:sz w:val="21"/>
          <w:szCs w:val="21"/>
          <w:highlight w:val="none"/>
          <w:lang w:val="en-US" w:eastAsia="zh-CN" w:bidi="ar"/>
        </w:rPr>
        <w:t>技术部分）由评标委员会成员进行独立评审。具体评分步骤如下：</w:t>
      </w:r>
    </w:p>
    <w:p>
      <w:pPr>
        <w:keepNext w:val="0"/>
        <w:keepLines w:val="0"/>
        <w:widowControl w:val="0"/>
        <w:suppressLineNumbers w:val="0"/>
        <w:adjustRightInd w:val="0"/>
        <w:snapToGrid w:val="0"/>
        <w:spacing w:before="0" w:beforeAutospacing="0" w:after="0" w:afterAutospacing="0" w:line="400" w:lineRule="exact"/>
        <w:ind w:left="0" w:right="0" w:firstLine="420" w:firstLineChars="200"/>
        <w:jc w:val="both"/>
        <w:outlineLvl w:val="9"/>
        <w:rPr>
          <w:rFonts w:hint="eastAsia" w:ascii="宋体" w:hAnsi="宋体" w:eastAsia="宋体" w:cs="Times New Roman"/>
          <w:kern w:val="2"/>
          <w:sz w:val="21"/>
          <w:szCs w:val="21"/>
          <w:highlight w:val="none"/>
        </w:rPr>
      </w:pPr>
      <w:r>
        <w:rPr>
          <w:rFonts w:hint="eastAsia" w:ascii="宋体" w:hAnsi="宋体" w:eastAsia="宋体" w:cs="Times New Roman"/>
          <w:kern w:val="2"/>
          <w:sz w:val="21"/>
          <w:szCs w:val="21"/>
          <w:highlight w:val="none"/>
          <w:lang w:val="en-US" w:eastAsia="zh-CN" w:bidi="ar"/>
        </w:rPr>
        <w:t>1、评标委员会成员视其</w:t>
      </w:r>
      <w:r>
        <w:rPr>
          <w:rFonts w:hint="eastAsia" w:ascii="宋体" w:hAnsi="宋体" w:eastAsia="宋体" w:cs="宋体"/>
          <w:kern w:val="2"/>
          <w:sz w:val="21"/>
          <w:szCs w:val="21"/>
          <w:highlight w:val="none"/>
          <w:lang w:val="en-US" w:eastAsia="zh-CN" w:bidi="ar"/>
        </w:rPr>
        <w:t>科学性、针对性、可行性、先进性、完善程度对投标人的</w:t>
      </w:r>
      <w:r>
        <w:rPr>
          <w:rFonts w:hint="eastAsia" w:ascii="宋体" w:hAnsi="宋体" w:eastAsia="宋体" w:cs="宋体"/>
          <w:i w:val="0"/>
          <w:iCs w:val="0"/>
          <w:highlight w:val="none"/>
          <w:lang w:val="en-US" w:eastAsia="zh-CN"/>
        </w:rPr>
        <w:t>商务技术文件（</w:t>
      </w:r>
      <w:r>
        <w:rPr>
          <w:rFonts w:hint="eastAsia" w:ascii="宋体" w:hAnsi="宋体" w:eastAsia="宋体" w:cs="宋体"/>
          <w:kern w:val="2"/>
          <w:sz w:val="21"/>
          <w:szCs w:val="21"/>
          <w:highlight w:val="none"/>
          <w:lang w:val="en-US" w:eastAsia="zh-CN" w:bidi="ar"/>
        </w:rPr>
        <w:t>技术部分）给出评审意见。</w:t>
      </w:r>
    </w:p>
    <w:p>
      <w:pPr>
        <w:keepNext w:val="0"/>
        <w:keepLines w:val="0"/>
        <w:widowControl w:val="0"/>
        <w:suppressLineNumbers w:val="0"/>
        <w:adjustRightInd w:val="0"/>
        <w:snapToGrid w:val="0"/>
        <w:spacing w:before="0" w:beforeAutospacing="0" w:after="0" w:afterAutospacing="0" w:line="400" w:lineRule="exact"/>
        <w:ind w:left="0" w:right="0" w:firstLine="420" w:firstLineChars="200"/>
        <w:jc w:val="both"/>
        <w:outlineLvl w:val="9"/>
        <w:rPr>
          <w:rFonts w:hint="eastAsia" w:cs="Times New Roman"/>
          <w:kern w:val="2"/>
          <w:sz w:val="21"/>
          <w:szCs w:val="21"/>
          <w:highlight w:val="none"/>
          <w:lang w:val="en-US" w:eastAsia="zh-CN" w:bidi="ar"/>
        </w:rPr>
      </w:pPr>
      <w:r>
        <w:rPr>
          <w:rFonts w:hint="eastAsia" w:ascii="宋体" w:hAnsi="宋体" w:eastAsia="宋体" w:cs="Times New Roman"/>
          <w:kern w:val="2"/>
          <w:sz w:val="21"/>
          <w:szCs w:val="21"/>
          <w:highlight w:val="none"/>
          <w:lang w:val="en-US" w:eastAsia="zh-CN" w:bidi="ar"/>
        </w:rPr>
        <w:t>2、</w:t>
      </w:r>
      <w:r>
        <w:rPr>
          <w:rFonts w:hint="eastAsia" w:ascii="宋体" w:hAnsi="宋体" w:eastAsia="宋体" w:cs="宋体"/>
          <w:kern w:val="2"/>
          <w:sz w:val="21"/>
          <w:szCs w:val="21"/>
          <w:highlight w:val="none"/>
          <w:lang w:val="en-US" w:eastAsia="zh-CN" w:bidi="ar"/>
        </w:rPr>
        <w:t>投标人</w:t>
      </w:r>
      <w:r>
        <w:rPr>
          <w:rFonts w:hint="eastAsia" w:ascii="宋体" w:hAnsi="宋体" w:eastAsia="宋体" w:cs="宋体"/>
          <w:i w:val="0"/>
          <w:iCs w:val="0"/>
          <w:highlight w:val="none"/>
          <w:lang w:val="en-US" w:eastAsia="zh-CN"/>
        </w:rPr>
        <w:t>商务技术文件（</w:t>
      </w:r>
      <w:r>
        <w:rPr>
          <w:rFonts w:hint="eastAsia" w:ascii="宋体" w:hAnsi="宋体" w:eastAsia="宋体" w:cs="宋体"/>
          <w:kern w:val="2"/>
          <w:sz w:val="21"/>
          <w:szCs w:val="21"/>
          <w:highlight w:val="none"/>
          <w:lang w:val="en-US" w:eastAsia="zh-CN" w:bidi="ar"/>
        </w:rPr>
        <w:t>技术部分）的各项评审项目的最终类别按中位数法确定</w:t>
      </w:r>
      <w:r>
        <w:rPr>
          <w:rFonts w:hint="eastAsia" w:cs="Times New Roman"/>
          <w:kern w:val="2"/>
          <w:sz w:val="21"/>
          <w:szCs w:val="21"/>
          <w:highlight w:val="none"/>
          <w:lang w:val="en-US" w:eastAsia="zh-CN" w:bidi="ar"/>
        </w:rPr>
        <w:t>：</w:t>
      </w:r>
    </w:p>
    <w:p>
      <w:pPr>
        <w:keepNext w:val="0"/>
        <w:keepLines w:val="0"/>
        <w:widowControl w:val="0"/>
        <w:suppressLineNumbers w:val="0"/>
        <w:adjustRightInd w:val="0"/>
        <w:snapToGrid w:val="0"/>
        <w:spacing w:before="0" w:beforeAutospacing="0" w:after="0" w:afterAutospacing="0" w:line="400" w:lineRule="exact"/>
        <w:ind w:left="0" w:right="0" w:firstLine="420" w:firstLineChars="200"/>
        <w:jc w:val="both"/>
        <w:outlineLvl w:val="9"/>
        <w:rPr>
          <w:rFonts w:hint="default" w:ascii="Times New Roman" w:hAnsi="Times New Roman"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例：</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446"/>
        <w:gridCol w:w="1446"/>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评委</w:t>
            </w:r>
            <w:r>
              <w:rPr>
                <w:rFonts w:hint="eastAsia" w:ascii="宋体" w:hAnsi="宋体" w:eastAsia="宋体" w:cs="Times New Roman"/>
                <w:kern w:val="0"/>
                <w:sz w:val="21"/>
                <w:szCs w:val="21"/>
                <w:highlight w:val="none"/>
                <w:lang w:val="en-US" w:eastAsia="zh-CN" w:bidi="ar"/>
              </w:rPr>
              <w:t>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评委</w:t>
            </w:r>
            <w:r>
              <w:rPr>
                <w:rFonts w:hint="eastAsia" w:ascii="宋体" w:hAnsi="宋体" w:eastAsia="宋体" w:cs="Times New Roman"/>
                <w:kern w:val="0"/>
                <w:sz w:val="21"/>
                <w:szCs w:val="21"/>
                <w:highlight w:val="none"/>
                <w:lang w:val="en-US" w:eastAsia="zh-CN" w:bidi="ar"/>
              </w:rPr>
              <w:t>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评委</w:t>
            </w:r>
            <w:r>
              <w:rPr>
                <w:rFonts w:hint="eastAsia" w:ascii="宋体" w:hAnsi="宋体" w:eastAsia="宋体" w:cs="Times New Roman"/>
                <w:kern w:val="0"/>
                <w:sz w:val="21"/>
                <w:szCs w:val="21"/>
                <w:highlight w:val="none"/>
                <w:lang w:val="en-US" w:eastAsia="zh-CN" w:bidi="ar"/>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评委</w:t>
            </w:r>
            <w:r>
              <w:rPr>
                <w:rFonts w:hint="eastAsia" w:ascii="宋体" w:hAnsi="宋体" w:eastAsia="宋体" w:cs="Times New Roman"/>
                <w:kern w:val="0"/>
                <w:sz w:val="21"/>
                <w:szCs w:val="21"/>
                <w:highlight w:val="none"/>
                <w:lang w:val="en-US" w:eastAsia="zh-CN" w:bidi="ar"/>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评委</w:t>
            </w:r>
            <w:r>
              <w:rPr>
                <w:rFonts w:hint="eastAsia" w:ascii="宋体" w:hAnsi="宋体" w:eastAsia="宋体" w:cs="Times New Roman"/>
                <w:kern w:val="0"/>
                <w:sz w:val="21"/>
                <w:szCs w:val="21"/>
                <w:highlight w:val="none"/>
                <w:lang w:val="en-US" w:eastAsia="zh-CN" w:bidi="ar"/>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最终类别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一类</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三类</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三类</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一类</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二类</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outlineLvl w:val="9"/>
              <w:rPr>
                <w:rFonts w:hint="eastAsia" w:ascii="宋体" w:hAnsi="宋体" w:eastAsia="宋体" w:cs="Times New Roman"/>
                <w:kern w:val="0"/>
                <w:sz w:val="21"/>
                <w:szCs w:val="21"/>
                <w:highlight w:val="none"/>
              </w:rPr>
            </w:pPr>
            <w:r>
              <w:rPr>
                <w:rFonts w:hint="eastAsia" w:ascii="宋体" w:hAnsi="宋体" w:eastAsia="宋体" w:cs="宋体"/>
                <w:kern w:val="0"/>
                <w:sz w:val="21"/>
                <w:szCs w:val="21"/>
                <w:highlight w:val="none"/>
                <w:lang w:val="en-US" w:eastAsia="zh-CN" w:bidi="ar"/>
              </w:rPr>
              <w:t>二类</w:t>
            </w:r>
          </w:p>
        </w:tc>
      </w:tr>
    </w:tbl>
    <w:p>
      <w:pPr>
        <w:keepNext w:val="0"/>
        <w:keepLines w:val="0"/>
        <w:widowControl w:val="0"/>
        <w:suppressLineNumbers w:val="0"/>
        <w:adjustRightInd w:val="0"/>
        <w:snapToGrid w:val="0"/>
        <w:spacing w:before="0" w:beforeAutospacing="0" w:after="0" w:afterAutospacing="0" w:line="400" w:lineRule="exact"/>
        <w:ind w:left="0" w:right="0" w:firstLine="420" w:firstLineChars="200"/>
        <w:jc w:val="both"/>
        <w:outlineLvl w:val="9"/>
        <w:rPr>
          <w:rFonts w:hint="eastAsia" w:ascii="宋体" w:hAnsi="宋体" w:eastAsia="宋体" w:cs="Times New Roman"/>
          <w:kern w:val="2"/>
          <w:sz w:val="21"/>
          <w:szCs w:val="21"/>
          <w:highlight w:val="none"/>
        </w:rPr>
      </w:pPr>
      <w:r>
        <w:rPr>
          <w:rFonts w:hint="default" w:ascii="Times New Roman" w:hAnsi="Times New Roman" w:eastAsia="宋体" w:cs="Times New Roman"/>
          <w:kern w:val="2"/>
          <w:sz w:val="21"/>
          <w:szCs w:val="21"/>
          <w:highlight w:val="none"/>
          <w:lang w:val="en-US" w:eastAsia="zh-CN" w:bidi="ar"/>
        </w:rPr>
        <w:t>3</w:t>
      </w:r>
      <w:r>
        <w:rPr>
          <w:rFonts w:hint="eastAsia" w:ascii="宋体" w:hAnsi="宋体" w:eastAsia="宋体" w:cs="宋体"/>
          <w:kern w:val="2"/>
          <w:sz w:val="21"/>
          <w:szCs w:val="21"/>
          <w:highlight w:val="none"/>
          <w:lang w:val="en-US" w:eastAsia="zh-CN" w:bidi="ar"/>
        </w:rPr>
        <w:t>、评标委员会成员按</w:t>
      </w:r>
      <w:r>
        <w:rPr>
          <w:rFonts w:hint="eastAsia" w:ascii="宋体" w:hAnsi="宋体" w:eastAsia="宋体" w:cs="宋体"/>
          <w:i w:val="0"/>
          <w:iCs w:val="0"/>
          <w:highlight w:val="none"/>
          <w:lang w:val="en-US" w:eastAsia="zh-CN"/>
        </w:rPr>
        <w:t>商务技术文件（</w:t>
      </w:r>
      <w:r>
        <w:rPr>
          <w:rFonts w:hint="eastAsia" w:ascii="宋体" w:hAnsi="宋体" w:eastAsia="宋体" w:cs="宋体"/>
          <w:kern w:val="2"/>
          <w:sz w:val="21"/>
          <w:szCs w:val="21"/>
          <w:highlight w:val="none"/>
          <w:lang w:val="en-US" w:eastAsia="zh-CN" w:bidi="ar"/>
        </w:rPr>
        <w:t>技术部分）评分标准，在确定的最终类别的分值范围内各自打分（小数点后保留</w:t>
      </w:r>
      <w:r>
        <w:rPr>
          <w:rFonts w:hint="eastAsia" w:ascii="宋体" w:hAnsi="宋体" w:eastAsia="宋体" w:cs="Times New Roman"/>
          <w:kern w:val="2"/>
          <w:sz w:val="21"/>
          <w:szCs w:val="21"/>
          <w:highlight w:val="none"/>
          <w:lang w:val="en-US" w:eastAsia="zh-CN" w:bidi="ar"/>
        </w:rPr>
        <w:t>1位），</w:t>
      </w:r>
      <w:r>
        <w:rPr>
          <w:rFonts w:hint="eastAsia" w:ascii="宋体" w:hAnsi="宋体" w:eastAsia="宋体" w:cs="宋体"/>
          <w:kern w:val="2"/>
          <w:sz w:val="21"/>
          <w:szCs w:val="21"/>
          <w:highlight w:val="none"/>
          <w:lang w:val="en-US" w:eastAsia="zh-CN" w:bidi="ar"/>
        </w:rPr>
        <w:t>评标委员会成员对应的合计得分的平均值作为投标人商务技术文件的得分（小数点后保留</w:t>
      </w:r>
      <w:r>
        <w:rPr>
          <w:rFonts w:hint="eastAsia" w:ascii="宋体" w:hAnsi="宋体" w:eastAsia="宋体" w:cs="Times New Roman"/>
          <w:kern w:val="2"/>
          <w:sz w:val="21"/>
          <w:szCs w:val="21"/>
          <w:highlight w:val="none"/>
          <w:lang w:val="en-US" w:eastAsia="zh-CN" w:bidi="ar"/>
        </w:rPr>
        <w:t>2位，第3位四舍五入）。</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rPr>
      </w:pPr>
      <w:r>
        <w:rPr>
          <w:rFonts w:hint="eastAsia" w:ascii="宋体" w:hAnsi="宋体" w:eastAsia="宋体" w:cs="宋体"/>
          <w:kern w:val="2"/>
          <w:sz w:val="21"/>
          <w:szCs w:val="21"/>
          <w:highlight w:val="none"/>
          <w:lang w:val="en-US" w:eastAsia="zh-CN" w:bidi="ar"/>
        </w:rPr>
        <w:t>（二）商务技术文件评分标准</w:t>
      </w:r>
    </w:p>
    <w:tbl>
      <w:tblPr>
        <w:tblStyle w:val="44"/>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14"/>
        <w:gridCol w:w="1428"/>
        <w:gridCol w:w="5718"/>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1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Times New Roman"/>
                <w:i w:val="0"/>
                <w:iCs w:val="0"/>
                <w:kern w:val="2"/>
                <w:sz w:val="21"/>
                <w:szCs w:val="21"/>
                <w:highlight w:val="none"/>
                <w:lang w:val="en-US" w:eastAsia="zh-CN" w:bidi="ar-SA"/>
              </w:rPr>
            </w:pPr>
            <w:r>
              <w:rPr>
                <w:rFonts w:hint="eastAsia" w:ascii="宋体" w:hAnsi="宋体" w:eastAsia="宋体" w:cs="Times New Roman"/>
                <w:i w:val="0"/>
                <w:iCs w:val="0"/>
                <w:szCs w:val="21"/>
                <w:highlight w:val="none"/>
                <w:lang w:val="en-US" w:eastAsia="zh-CN"/>
              </w:rPr>
              <w:t>评分项目</w:t>
            </w:r>
          </w:p>
        </w:tc>
        <w:tc>
          <w:tcPr>
            <w:tcW w:w="2142"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Times New Roman"/>
                <w:i w:val="0"/>
                <w:iCs w:val="0"/>
                <w:szCs w:val="21"/>
                <w:highlight w:val="none"/>
              </w:rPr>
              <w:t>评审内容</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黑体" w:hAnsi="黑体" w:eastAsia="黑体" w:cs="宋体"/>
                <w:b/>
                <w:i w:val="0"/>
                <w:iCs w:val="0"/>
                <w:color w:val="auto"/>
                <w:szCs w:val="21"/>
                <w:highlight w:val="none"/>
              </w:rPr>
            </w:pPr>
            <w:r>
              <w:rPr>
                <w:rFonts w:hint="eastAsia" w:ascii="宋体" w:hAnsi="宋体" w:eastAsia="宋体" w:cs="Times New Roman"/>
                <w:i w:val="0"/>
                <w:iCs w:val="0"/>
                <w:szCs w:val="21"/>
                <w:highlight w:val="none"/>
              </w:rPr>
              <w:t>评分标准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Times New Roman"/>
                <w:i w:val="0"/>
                <w:iCs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71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highlight w:val="none"/>
                <w:lang w:val="en-US" w:eastAsia="zh-CN"/>
              </w:rPr>
              <w:t>商务技术文件（</w:t>
            </w:r>
            <w:r>
              <w:rPr>
                <w:rFonts w:hint="eastAsia" w:ascii="宋体" w:hAnsi="宋体" w:eastAsia="宋体" w:cs="Arial"/>
                <w:bCs/>
                <w:color w:val="auto"/>
                <w:sz w:val="21"/>
                <w:szCs w:val="21"/>
                <w:highlight w:val="none"/>
                <w:lang w:val="en-US" w:eastAsia="zh-CN"/>
              </w:rPr>
              <w:t>20</w:t>
            </w:r>
            <w:r>
              <w:rPr>
                <w:rFonts w:hint="eastAsia" w:ascii="宋体" w:hAnsi="宋体" w:eastAsia="宋体" w:cs="Arial"/>
                <w:bCs/>
                <w:color w:val="auto"/>
                <w:sz w:val="21"/>
                <w:szCs w:val="21"/>
                <w:highlight w:val="none"/>
              </w:rPr>
              <w:t>分</w:t>
            </w:r>
            <w:r>
              <w:rPr>
                <w:rFonts w:hint="eastAsia" w:ascii="宋体" w:hAnsi="宋体" w:eastAsia="宋体" w:cs="Arial"/>
                <w:bCs/>
                <w:color w:val="auto"/>
                <w:sz w:val="21"/>
                <w:szCs w:val="21"/>
                <w:highlight w:val="none"/>
                <w:lang w:eastAsia="zh-CN"/>
              </w:rPr>
              <w:t>）</w:t>
            </w:r>
          </w:p>
        </w:tc>
        <w:tc>
          <w:tcPr>
            <w:tcW w:w="71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highlight w:val="none"/>
                <w:lang w:val="en-US" w:eastAsia="zh-CN"/>
              </w:rPr>
              <w:t>商务</w:t>
            </w:r>
            <w:r>
              <w:rPr>
                <w:rFonts w:hint="eastAsia" w:ascii="宋体" w:hAnsi="宋体" w:eastAsia="宋体" w:cs="宋体"/>
                <w:i w:val="0"/>
                <w:iCs w:val="0"/>
                <w:color w:val="auto"/>
                <w:szCs w:val="21"/>
                <w:highlight w:val="none"/>
                <w:lang w:val="en-US" w:eastAsia="zh-CN"/>
              </w:rPr>
              <w:t>部分</w:t>
            </w:r>
          </w:p>
        </w:tc>
        <w:tc>
          <w:tcPr>
            <w:tcW w:w="14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szCs w:val="21"/>
                <w:highlight w:val="none"/>
                <w:lang w:val="en-US" w:eastAsia="zh-CN"/>
              </w:rPr>
              <w:t>投标人类似业绩</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textAlignment w:val="auto"/>
              <w:rPr>
                <w:rFonts w:ascii="黑体" w:hAnsi="黑体" w:eastAsia="黑体" w:cs="宋体"/>
                <w:b/>
                <w:i w:val="0"/>
                <w:iCs w:val="0"/>
                <w:color w:val="auto"/>
                <w:szCs w:val="21"/>
                <w:highlight w:val="none"/>
              </w:rPr>
            </w:pPr>
            <w:r>
              <w:rPr>
                <w:rFonts w:hint="eastAsia" w:ascii="宋体" w:hAnsi="宋体" w:eastAsia="宋体" w:cs="宋体"/>
                <w:i w:val="0"/>
                <w:iCs w:val="0"/>
                <w:color w:val="auto"/>
                <w:szCs w:val="21"/>
                <w:highlight w:val="none"/>
              </w:rPr>
              <w:t>20</w:t>
            </w:r>
            <w:r>
              <w:rPr>
                <w:rFonts w:hint="eastAsia" w:ascii="宋体" w:hAnsi="宋体" w:eastAsia="宋体" w:cs="宋体"/>
                <w:i w:val="0"/>
                <w:iCs w:val="0"/>
                <w:color w:val="auto"/>
                <w:szCs w:val="21"/>
                <w:highlight w:val="none"/>
                <w:lang w:val="en-US" w:eastAsia="zh-CN"/>
              </w:rPr>
              <w:t>19</w:t>
            </w:r>
            <w:r>
              <w:rPr>
                <w:rFonts w:hint="eastAsia" w:ascii="宋体" w:hAnsi="宋体" w:eastAsia="宋体" w:cs="宋体"/>
                <w:i w:val="0"/>
                <w:iCs w:val="0"/>
                <w:color w:val="auto"/>
                <w:szCs w:val="21"/>
                <w:highlight w:val="none"/>
              </w:rPr>
              <w:t>年1月1日以来（以合同签订时间为准）投标人</w:t>
            </w:r>
            <w:r>
              <w:rPr>
                <w:rFonts w:hint="eastAsia" w:ascii="宋体" w:hAnsi="宋体" w:eastAsia="宋体" w:cs="宋体"/>
                <w:i w:val="0"/>
                <w:iCs w:val="0"/>
                <w:color w:val="auto"/>
                <w:szCs w:val="21"/>
                <w:highlight w:val="none"/>
                <w:lang w:val="en-US" w:eastAsia="zh-CN"/>
              </w:rPr>
              <w:t>承接过签约合</w:t>
            </w:r>
            <w:r>
              <w:rPr>
                <w:rFonts w:hint="eastAsia" w:ascii="宋体" w:hAnsi="宋体" w:eastAsia="宋体" w:cs="宋体"/>
                <w:i w:val="0"/>
                <w:iCs w:val="0"/>
                <w:color w:val="auto"/>
                <w:szCs w:val="21"/>
                <w:highlight w:val="none"/>
              </w:rPr>
              <w:t>同价在</w:t>
            </w:r>
            <w:r>
              <w:rPr>
                <w:rFonts w:hint="eastAsia" w:ascii="宋体" w:hAnsi="宋体" w:eastAsia="宋体" w:cs="宋体"/>
                <w:i w:val="0"/>
                <w:iCs w:val="0"/>
                <w:color w:val="auto"/>
                <w:szCs w:val="21"/>
                <w:highlight w:val="none"/>
                <w:lang w:val="en-US" w:eastAsia="zh-CN"/>
              </w:rPr>
              <w:t>170</w:t>
            </w:r>
            <w:r>
              <w:rPr>
                <w:rFonts w:hint="eastAsia" w:ascii="宋体" w:hAnsi="宋体" w:eastAsia="宋体" w:cs="宋体"/>
                <w:i w:val="0"/>
                <w:iCs w:val="0"/>
                <w:color w:val="auto"/>
                <w:szCs w:val="21"/>
                <w:highlight w:val="none"/>
              </w:rPr>
              <w:t>万元及以上类似项目业绩的，每个得</w:t>
            </w:r>
            <w:r>
              <w:rPr>
                <w:rFonts w:hint="eastAsia" w:ascii="宋体" w:hAnsi="宋体" w:eastAsia="宋体" w:cs="宋体"/>
                <w:i w:val="0"/>
                <w:iCs w:val="0"/>
                <w:color w:val="auto"/>
                <w:szCs w:val="21"/>
                <w:highlight w:val="none"/>
                <w:lang w:val="en-US" w:eastAsia="zh-CN"/>
              </w:rPr>
              <w:t>1</w:t>
            </w:r>
            <w:r>
              <w:rPr>
                <w:rFonts w:hint="eastAsia" w:ascii="宋体" w:hAnsi="宋体" w:eastAsia="宋体" w:cs="宋体"/>
                <w:i w:val="0"/>
                <w:iCs w:val="0"/>
                <w:color w:val="auto"/>
                <w:szCs w:val="21"/>
                <w:highlight w:val="none"/>
              </w:rPr>
              <w:t>分，最高得</w:t>
            </w:r>
            <w:r>
              <w:rPr>
                <w:rFonts w:hint="eastAsia" w:ascii="宋体" w:hAnsi="宋体" w:eastAsia="宋体" w:cs="宋体"/>
                <w:i w:val="0"/>
                <w:iCs w:val="0"/>
                <w:color w:val="auto"/>
                <w:szCs w:val="21"/>
                <w:highlight w:val="none"/>
                <w:lang w:val="en-US" w:eastAsia="zh-CN"/>
              </w:rPr>
              <w:t>3</w:t>
            </w:r>
            <w:r>
              <w:rPr>
                <w:rFonts w:hint="eastAsia" w:ascii="宋体" w:hAnsi="宋体" w:eastAsia="宋体" w:cs="宋体"/>
                <w:i w:val="0"/>
                <w:iCs w:val="0"/>
                <w:color w:val="auto"/>
                <w:szCs w:val="21"/>
                <w:highlight w:val="none"/>
              </w:rPr>
              <w:t>分。</w:t>
            </w:r>
          </w:p>
          <w:p>
            <w:pPr>
              <w:keepNext w:val="0"/>
              <w:keepLines w:val="0"/>
              <w:pageBreakBefore w:val="0"/>
              <w:kinsoku/>
              <w:wordWrap/>
              <w:overflowPunct/>
              <w:topLinePunct w:val="0"/>
              <w:autoSpaceDE/>
              <w:autoSpaceDN/>
              <w:bidi w:val="0"/>
              <w:snapToGrid/>
              <w:spacing w:line="240" w:lineRule="auto"/>
              <w:textAlignment w:val="auto"/>
              <w:rPr>
                <w:rFonts w:hint="eastAsia" w:ascii="黑体" w:hAnsi="黑体" w:eastAsia="黑体" w:cs="宋体"/>
                <w:b/>
                <w:i w:val="0"/>
                <w:iCs w:val="0"/>
                <w:color w:val="auto"/>
                <w:kern w:val="2"/>
                <w:sz w:val="21"/>
                <w:szCs w:val="21"/>
                <w:highlight w:val="none"/>
                <w:lang w:val="en-US" w:eastAsia="zh-CN" w:bidi="ar-SA"/>
              </w:rPr>
            </w:pPr>
            <w:r>
              <w:rPr>
                <w:rFonts w:hint="eastAsia" w:ascii="黑体" w:hAnsi="黑体" w:eastAsia="黑体" w:cs="宋体"/>
                <w:b/>
                <w:i w:val="0"/>
                <w:iCs w:val="0"/>
                <w:color w:val="auto"/>
                <w:szCs w:val="21"/>
                <w:highlight w:val="none"/>
              </w:rPr>
              <w:t>注：需提供合同</w:t>
            </w:r>
            <w:r>
              <w:rPr>
                <w:rFonts w:hint="eastAsia" w:ascii="黑体" w:hAnsi="黑体" w:eastAsia="黑体" w:cs="宋体"/>
                <w:b/>
                <w:i w:val="0"/>
                <w:iCs w:val="0"/>
                <w:color w:val="auto"/>
                <w:szCs w:val="21"/>
                <w:highlight w:val="none"/>
                <w:lang w:val="en-US" w:eastAsia="zh-CN"/>
              </w:rPr>
              <w:t>原件扫描件</w:t>
            </w:r>
            <w:r>
              <w:rPr>
                <w:rFonts w:hint="eastAsia" w:ascii="黑体" w:hAnsi="黑体" w:eastAsia="黑体" w:cs="宋体"/>
                <w:b/>
                <w:i w:val="0"/>
                <w:iCs w:val="0"/>
                <w:color w:val="auto"/>
                <w:szCs w:val="21"/>
                <w:highlight w:val="none"/>
              </w:rPr>
              <w:t>，未提供或提供的上述资料不符合招标文件要求的均不得分。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szCs w:val="21"/>
                <w:highlight w:val="none"/>
                <w:lang w:val="en-US" w:eastAsia="zh-CN"/>
              </w:rPr>
              <w:t>3</w:t>
            </w:r>
            <w:r>
              <w:rPr>
                <w:rFonts w:hint="eastAsia" w:ascii="宋体" w:hAnsi="宋体" w:eastAsia="宋体" w:cs="宋体"/>
                <w:i w:val="0"/>
                <w:i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p>
        </w:tc>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szCs w:val="21"/>
                <w:highlight w:val="none"/>
                <w:lang w:val="en-US" w:eastAsia="zh-CN"/>
              </w:rPr>
            </w:pPr>
          </w:p>
        </w:tc>
        <w:tc>
          <w:tcPr>
            <w:tcW w:w="14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kern w:val="2"/>
                <w:sz w:val="21"/>
                <w:szCs w:val="21"/>
                <w:highlight w:val="none"/>
                <w:lang w:val="en-US" w:eastAsia="zh-CN" w:bidi="ar-SA"/>
              </w:rPr>
            </w:pPr>
            <w:r>
              <w:rPr>
                <w:rFonts w:hint="default" w:ascii="宋体" w:hAnsi="宋体" w:eastAsia="宋体" w:cs="宋体"/>
                <w:i w:val="0"/>
                <w:iCs w:val="0"/>
                <w:color w:val="auto"/>
                <w:szCs w:val="21"/>
                <w:highlight w:val="none"/>
                <w:lang w:val="en-US" w:eastAsia="zh-CN"/>
              </w:rPr>
              <w:t>质量保修期</w:t>
            </w:r>
            <w:r>
              <w:rPr>
                <w:rFonts w:hint="eastAsia" w:ascii="宋体" w:hAnsi="宋体" w:eastAsia="宋体" w:cs="Times New Roman"/>
                <w:i w:val="0"/>
                <w:iCs w:val="0"/>
                <w:szCs w:val="21"/>
                <w:highlight w:val="none"/>
              </w:rPr>
              <w:t>时间比较</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Times New Roman"/>
                <w:i w:val="0"/>
                <w:iCs w:val="0"/>
                <w:szCs w:val="21"/>
                <w:highlight w:val="none"/>
              </w:rPr>
            </w:pPr>
            <w:r>
              <w:rPr>
                <w:rFonts w:hint="eastAsia" w:ascii="宋体" w:hAnsi="宋体" w:eastAsia="宋体" w:cs="Times New Roman"/>
                <w:i w:val="0"/>
                <w:iCs w:val="0"/>
                <w:szCs w:val="21"/>
                <w:highlight w:val="none"/>
              </w:rPr>
              <w:t>质量</w:t>
            </w:r>
            <w:r>
              <w:rPr>
                <w:rFonts w:hint="default" w:ascii="宋体" w:hAnsi="宋体" w:eastAsia="宋体" w:cs="宋体"/>
                <w:i w:val="0"/>
                <w:iCs w:val="0"/>
                <w:color w:val="auto"/>
                <w:szCs w:val="21"/>
                <w:highlight w:val="none"/>
                <w:lang w:val="en-US" w:eastAsia="zh-CN"/>
              </w:rPr>
              <w:t>保修期</w:t>
            </w:r>
            <w:r>
              <w:rPr>
                <w:rFonts w:hint="eastAsia" w:ascii="宋体" w:hAnsi="宋体" w:eastAsia="宋体" w:cs="Times New Roman"/>
                <w:i w:val="0"/>
                <w:iCs w:val="0"/>
                <w:szCs w:val="21"/>
                <w:highlight w:val="none"/>
                <w:lang w:val="en-US" w:eastAsia="zh-CN"/>
              </w:rPr>
              <w:t>基本要求为</w:t>
            </w:r>
            <w:r>
              <w:rPr>
                <w:rFonts w:hint="eastAsia" w:ascii="宋体" w:hAnsi="宋体" w:eastAsia="宋体" w:cs="Times New Roman"/>
                <w:i w:val="0"/>
                <w:iCs w:val="0"/>
                <w:szCs w:val="21"/>
                <w:highlight w:val="none"/>
              </w:rPr>
              <w:t>2</w:t>
            </w:r>
            <w:r>
              <w:rPr>
                <w:rFonts w:hint="eastAsia" w:ascii="宋体" w:hAnsi="宋体" w:eastAsia="宋体" w:cs="Times New Roman"/>
                <w:i w:val="0"/>
                <w:iCs w:val="0"/>
                <w:szCs w:val="21"/>
                <w:highlight w:val="none"/>
                <w:lang w:val="en-US" w:eastAsia="zh-CN"/>
              </w:rPr>
              <w:t>年</w:t>
            </w:r>
            <w:r>
              <w:rPr>
                <w:rFonts w:hint="eastAsia" w:ascii="宋体" w:hAnsi="宋体" w:eastAsia="宋体" w:cs="Times New Roman"/>
                <w:i w:val="0"/>
                <w:iCs w:val="0"/>
                <w:szCs w:val="21"/>
                <w:highlight w:val="none"/>
              </w:rPr>
              <w:t>，</w:t>
            </w:r>
            <w:r>
              <w:rPr>
                <w:rFonts w:hint="eastAsia" w:ascii="宋体" w:hAnsi="宋体" w:eastAsia="宋体" w:cs="Times New Roman"/>
                <w:i w:val="0"/>
                <w:iCs w:val="0"/>
                <w:szCs w:val="21"/>
                <w:highlight w:val="none"/>
                <w:lang w:val="en-US" w:eastAsia="zh-CN"/>
              </w:rPr>
              <w:t>2年的不得分，</w:t>
            </w:r>
            <w:r>
              <w:rPr>
                <w:rFonts w:hint="eastAsia" w:ascii="宋体" w:hAnsi="宋体" w:eastAsia="宋体" w:cs="Times New Roman"/>
                <w:i w:val="0"/>
                <w:iCs w:val="0"/>
                <w:szCs w:val="21"/>
                <w:highlight w:val="none"/>
              </w:rPr>
              <w:t>每增加</w:t>
            </w:r>
            <w:r>
              <w:rPr>
                <w:rFonts w:hint="eastAsia" w:ascii="宋体" w:hAnsi="宋体" w:eastAsia="宋体" w:cs="Times New Roman"/>
                <w:i w:val="0"/>
                <w:iCs w:val="0"/>
                <w:szCs w:val="21"/>
                <w:highlight w:val="none"/>
                <w:lang w:val="en-US" w:eastAsia="zh-CN"/>
              </w:rPr>
              <w:t>1年</w:t>
            </w:r>
            <w:r>
              <w:rPr>
                <w:rFonts w:hint="eastAsia" w:ascii="宋体" w:hAnsi="宋体" w:eastAsia="宋体" w:cs="Times New Roman"/>
                <w:i w:val="0"/>
                <w:iCs w:val="0"/>
                <w:szCs w:val="21"/>
                <w:highlight w:val="none"/>
              </w:rPr>
              <w:t>加</w:t>
            </w:r>
            <w:r>
              <w:rPr>
                <w:rFonts w:hint="eastAsia" w:ascii="宋体" w:hAnsi="宋体" w:eastAsia="宋体" w:cs="Times New Roman"/>
                <w:i w:val="0"/>
                <w:iCs w:val="0"/>
                <w:szCs w:val="21"/>
                <w:highlight w:val="none"/>
                <w:lang w:val="en-US" w:eastAsia="zh-CN"/>
              </w:rPr>
              <w:t>1</w:t>
            </w:r>
            <w:r>
              <w:rPr>
                <w:rFonts w:hint="eastAsia" w:ascii="宋体" w:hAnsi="宋体" w:eastAsia="宋体" w:cs="Times New Roman"/>
                <w:i w:val="0"/>
                <w:iCs w:val="0"/>
                <w:szCs w:val="21"/>
                <w:highlight w:val="none"/>
              </w:rPr>
              <w:t>分，</w:t>
            </w:r>
            <w:r>
              <w:rPr>
                <w:rFonts w:hint="eastAsia" w:ascii="宋体" w:hAnsi="宋体" w:eastAsia="宋体" w:cs="Times New Roman"/>
                <w:i w:val="0"/>
                <w:iCs w:val="0"/>
                <w:szCs w:val="21"/>
                <w:highlight w:val="none"/>
                <w:lang w:val="en-US" w:eastAsia="zh-CN"/>
              </w:rPr>
              <w:t>最高得1</w:t>
            </w:r>
            <w:r>
              <w:rPr>
                <w:rFonts w:hint="eastAsia" w:ascii="宋体" w:hAnsi="宋体" w:eastAsia="宋体" w:cs="Times New Roman"/>
                <w:i w:val="0"/>
                <w:iCs w:val="0"/>
                <w:szCs w:val="21"/>
                <w:highlight w:val="none"/>
              </w:rPr>
              <w:t>分。</w:t>
            </w:r>
          </w:p>
          <w:p>
            <w:pPr>
              <w:keepNext w:val="0"/>
              <w:keepLines w:val="0"/>
              <w:pageBreakBefore w:val="0"/>
              <w:kinsoku/>
              <w:wordWrap/>
              <w:overflowPunct/>
              <w:topLinePunct w:val="0"/>
              <w:autoSpaceDE/>
              <w:autoSpaceDN/>
              <w:bidi w:val="0"/>
              <w:snapToGrid/>
              <w:spacing w:line="240" w:lineRule="auto"/>
              <w:textAlignment w:val="auto"/>
              <w:rPr>
                <w:rFonts w:hint="default" w:ascii="黑体" w:hAnsi="黑体" w:eastAsia="宋体" w:cs="宋体"/>
                <w:b/>
                <w:i w:val="0"/>
                <w:iCs w:val="0"/>
                <w:color w:val="auto"/>
                <w:kern w:val="2"/>
                <w:sz w:val="21"/>
                <w:szCs w:val="21"/>
                <w:highlight w:val="none"/>
                <w:lang w:val="en-US" w:eastAsia="zh-CN" w:bidi="ar-SA"/>
              </w:rPr>
            </w:pPr>
            <w:r>
              <w:rPr>
                <w:rFonts w:hint="eastAsia" w:ascii="黑体" w:hAnsi="黑体" w:eastAsia="黑体" w:cs="宋体"/>
                <w:b/>
                <w:i w:val="0"/>
                <w:iCs w:val="0"/>
                <w:color w:val="auto"/>
                <w:kern w:val="2"/>
                <w:sz w:val="21"/>
                <w:szCs w:val="21"/>
                <w:highlight w:val="none"/>
                <w:lang w:val="en-US" w:eastAsia="zh-CN" w:bidi="ar-SA"/>
              </w:rPr>
              <w:t>注：</w:t>
            </w:r>
            <w:r>
              <w:rPr>
                <w:rFonts w:hint="eastAsia" w:ascii="黑体" w:hAnsi="黑体" w:eastAsia="黑体" w:cs="宋体"/>
                <w:b/>
                <w:i w:val="0"/>
                <w:iCs w:val="0"/>
                <w:color w:val="auto"/>
                <w:szCs w:val="21"/>
                <w:highlight w:val="none"/>
              </w:rPr>
              <w:t>需提供承诺函</w:t>
            </w:r>
            <w:r>
              <w:rPr>
                <w:rFonts w:hint="eastAsia" w:ascii="黑体" w:hAnsi="黑体" w:eastAsia="黑体" w:cs="宋体"/>
                <w:b/>
                <w:i w:val="0"/>
                <w:iCs w:val="0"/>
                <w:color w:val="auto"/>
                <w:szCs w:val="21"/>
                <w:highlight w:val="none"/>
                <w:lang w:eastAsia="zh-CN"/>
              </w:rPr>
              <w:t>，</w:t>
            </w:r>
            <w:r>
              <w:rPr>
                <w:rFonts w:hint="eastAsia" w:ascii="黑体" w:hAnsi="黑体" w:eastAsia="黑体" w:cs="宋体"/>
                <w:b/>
                <w:i w:val="0"/>
                <w:iCs w:val="0"/>
                <w:color w:val="auto"/>
                <w:szCs w:val="21"/>
                <w:highlight w:val="none"/>
                <w:lang w:val="en-US" w:eastAsia="zh-CN"/>
              </w:rPr>
              <w:t>格式自拟，未提供的不得分。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p>
        </w:tc>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p>
        </w:tc>
        <w:tc>
          <w:tcPr>
            <w:tcW w:w="142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i w:val="0"/>
                <w:iCs w:val="0"/>
                <w:highlight w:val="none"/>
              </w:rPr>
            </w:pPr>
            <w:r>
              <w:rPr>
                <w:rFonts w:hint="eastAsia" w:ascii="宋体" w:hAnsi="宋体" w:eastAsia="宋体" w:cs="宋体"/>
                <w:sz w:val="21"/>
                <w:szCs w:val="21"/>
                <w:highlight w:val="none"/>
                <w:lang w:val="en-US" w:eastAsia="zh-CN"/>
              </w:rPr>
              <w:t>产品质量</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after="0" w:line="240" w:lineRule="auto"/>
              <w:ind w:left="0" w:leftChars="0" w:right="181" w:rightChars="0" w:firstLine="0" w:firstLineChars="0"/>
              <w:jc w:val="both"/>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投标人根据技术参数提供以下检测报告：</w:t>
            </w:r>
          </w:p>
          <w:p>
            <w:pPr>
              <w:keepNext w:val="0"/>
              <w:keepLines w:val="0"/>
              <w:pageBreakBefore w:val="0"/>
              <w:widowControl w:val="0"/>
              <w:kinsoku/>
              <w:wordWrap/>
              <w:overflowPunct/>
              <w:topLinePunct w:val="0"/>
              <w:autoSpaceDE/>
              <w:autoSpaceDN/>
              <w:bidi w:val="0"/>
              <w:snapToGrid/>
              <w:spacing w:after="0" w:line="240" w:lineRule="auto"/>
              <w:ind w:left="0" w:leftChars="0" w:right="181" w:rightChars="0" w:firstLine="0" w:firstLineChars="0"/>
              <w:jc w:val="both"/>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1、提供洗墙灯（36W 24V）国家半导体光源产品质量检验检测中心出具的检验报告（2分，不提供不得分。）</w:t>
            </w:r>
          </w:p>
          <w:p>
            <w:pPr>
              <w:keepNext w:val="0"/>
              <w:keepLines w:val="0"/>
              <w:pageBreakBefore w:val="0"/>
              <w:widowControl w:val="0"/>
              <w:kinsoku/>
              <w:wordWrap/>
              <w:overflowPunct/>
              <w:topLinePunct w:val="0"/>
              <w:autoSpaceDE/>
              <w:autoSpaceDN/>
              <w:bidi w:val="0"/>
              <w:snapToGrid/>
              <w:spacing w:after="0" w:line="240" w:lineRule="auto"/>
              <w:ind w:left="0" w:leftChars="0" w:right="181" w:rightChars="0" w:firstLine="0" w:firstLineChars="0"/>
              <w:jc w:val="both"/>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2、提供洗墙灯（36W 24V）国家半导体光源产品质量检验检测中心出具的≥500h光通维持率报告（≥100%得2分，≥99.5%得1分，不提供不得分。）</w:t>
            </w:r>
          </w:p>
          <w:p>
            <w:pPr>
              <w:keepNext w:val="0"/>
              <w:keepLines w:val="0"/>
              <w:pageBreakBefore w:val="0"/>
              <w:widowControl w:val="0"/>
              <w:kinsoku/>
              <w:wordWrap/>
              <w:overflowPunct/>
              <w:topLinePunct w:val="0"/>
              <w:autoSpaceDE/>
              <w:autoSpaceDN/>
              <w:bidi w:val="0"/>
              <w:snapToGrid/>
              <w:spacing w:after="0" w:line="240" w:lineRule="auto"/>
              <w:ind w:left="0" w:leftChars="0" w:right="181" w:rightChars="0" w:firstLine="0" w:firstLineChars="0"/>
              <w:jc w:val="both"/>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3、提供线条灯（12W 24V)国家半导体光源产品质量检验检测中心出具的检验报告（2分，不提供不得分。）</w:t>
            </w:r>
          </w:p>
          <w:p>
            <w:pPr>
              <w:keepNext w:val="0"/>
              <w:keepLines w:val="0"/>
              <w:pageBreakBefore w:val="0"/>
              <w:widowControl w:val="0"/>
              <w:kinsoku/>
              <w:wordWrap/>
              <w:overflowPunct/>
              <w:topLinePunct w:val="0"/>
              <w:autoSpaceDE/>
              <w:autoSpaceDN/>
              <w:bidi w:val="0"/>
              <w:snapToGrid/>
              <w:spacing w:after="0" w:line="240" w:lineRule="auto"/>
              <w:ind w:left="0" w:leftChars="0" w:right="181" w:rightChars="0" w:firstLine="0" w:firstLineChars="0"/>
              <w:jc w:val="both"/>
              <w:textAlignment w:val="auto"/>
              <w:rPr>
                <w:rFonts w:hint="eastAsia" w:ascii="宋体" w:hAnsi="宋体" w:eastAsia="宋体" w:cs="Times New Roman"/>
                <w:i w:val="0"/>
                <w:iCs w:val="0"/>
                <w:kern w:val="2"/>
                <w:sz w:val="24"/>
                <w:szCs w:val="21"/>
                <w:highlight w:val="none"/>
                <w:lang w:val="en-US" w:eastAsia="zh-CN" w:bidi="ar-SA"/>
              </w:rPr>
            </w:pPr>
            <w:r>
              <w:rPr>
                <w:rFonts w:hint="eastAsia" w:ascii="黑体" w:hAnsi="黑体" w:eastAsia="黑体" w:cs="宋体"/>
                <w:b/>
                <w:i w:val="0"/>
                <w:iCs w:val="0"/>
                <w:color w:val="auto"/>
                <w:kern w:val="2"/>
                <w:sz w:val="21"/>
                <w:szCs w:val="21"/>
                <w:highlight w:val="none"/>
                <w:lang w:val="en-US" w:eastAsia="zh-CN" w:bidi="ar-SA"/>
              </w:rPr>
              <w:t>注：须提供有效的检验报告复印件加盖生产厂家公章编入投标文件中，未提供的不得分。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color w:val="auto"/>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p>
        </w:tc>
        <w:tc>
          <w:tcPr>
            <w:tcW w:w="71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color w:val="auto"/>
                <w:szCs w:val="21"/>
                <w:highlight w:val="none"/>
                <w:lang w:val="en-US" w:eastAsia="zh-CN"/>
              </w:rPr>
              <w:t>技术部分</w:t>
            </w:r>
          </w:p>
        </w:tc>
        <w:tc>
          <w:tcPr>
            <w:tcW w:w="14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highlight w:val="none"/>
              </w:rPr>
              <w:t>主要施工方案与技术措施</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i w:val="0"/>
                <w:iCs w:val="0"/>
                <w:szCs w:val="21"/>
                <w:highlight w:val="none"/>
                <w:lang w:val="en-US" w:eastAsia="zh-CN"/>
              </w:rPr>
            </w:pPr>
            <w:r>
              <w:rPr>
                <w:rFonts w:hint="eastAsia" w:ascii="宋体" w:hAnsi="宋体" w:eastAsia="宋体" w:cs="Times New Roman"/>
                <w:i w:val="0"/>
                <w:iCs w:val="0"/>
                <w:szCs w:val="21"/>
                <w:highlight w:val="none"/>
                <w:lang w:val="en-US" w:eastAsia="zh-CN"/>
              </w:rPr>
              <w:t>评标委员会根据投标人的技术内容进行综合比较：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Times New Roman"/>
                <w:i w:val="0"/>
                <w:iCs w:val="0"/>
                <w:szCs w:val="21"/>
                <w:highlight w:val="none"/>
                <w:lang w:val="en-US" w:eastAsia="zh-CN"/>
              </w:rPr>
            </w:pPr>
            <w:r>
              <w:rPr>
                <w:rFonts w:hint="eastAsia" w:ascii="宋体" w:hAnsi="宋体" w:eastAsia="宋体" w:cs="Times New Roman"/>
                <w:i w:val="0"/>
                <w:iCs w:val="0"/>
                <w:szCs w:val="21"/>
                <w:highlight w:val="none"/>
                <w:lang w:val="en-US" w:eastAsia="zh-CN"/>
              </w:rPr>
              <w:t>一类得</w:t>
            </w:r>
            <w:r>
              <w:rPr>
                <w:rFonts w:hint="eastAsia" w:ascii="宋体" w:hAnsi="宋体" w:eastAsia="宋体" w:cs="宋体"/>
                <w:i w:val="0"/>
                <w:iCs w:val="0"/>
                <w:highlight w:val="none"/>
                <w:lang w:val="en-US" w:eastAsia="zh-CN" w:bidi="ar"/>
              </w:rPr>
              <w:t>5.0</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3</w:t>
            </w:r>
            <w:r>
              <w:rPr>
                <w:rFonts w:hint="eastAsia" w:ascii="宋体" w:hAnsi="宋体" w:eastAsia="宋体" w:cs="宋体"/>
                <w:i w:val="0"/>
                <w:iCs w:val="0"/>
                <w:highlight w:val="none"/>
                <w:lang w:bidi="ar"/>
              </w:rPr>
              <w:t>.1分</w:t>
            </w:r>
            <w:r>
              <w:rPr>
                <w:rFonts w:hint="eastAsia" w:ascii="宋体" w:hAnsi="宋体" w:eastAsia="宋体" w:cs="宋体"/>
                <w:i w:val="0"/>
                <w:iCs w:val="0"/>
                <w:highlight w:val="none"/>
                <w:lang w:val="en-US" w:eastAsia="zh-CN" w:bidi="ar"/>
              </w:rPr>
              <w:t>；二类得3.0</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1</w:t>
            </w:r>
            <w:r>
              <w:rPr>
                <w:rFonts w:hint="eastAsia" w:ascii="宋体" w:hAnsi="宋体" w:eastAsia="宋体" w:cs="宋体"/>
                <w:i w:val="0"/>
                <w:iCs w:val="0"/>
                <w:highlight w:val="none"/>
                <w:lang w:bidi="ar"/>
              </w:rPr>
              <w:t>.1分</w:t>
            </w:r>
            <w:r>
              <w:rPr>
                <w:rFonts w:hint="eastAsia" w:ascii="宋体" w:hAnsi="宋体" w:eastAsia="宋体" w:cs="宋体"/>
                <w:i w:val="0"/>
                <w:iCs w:val="0"/>
                <w:highlight w:val="none"/>
                <w:lang w:val="en-US" w:eastAsia="zh-CN" w:bidi="ar"/>
              </w:rPr>
              <w:t>；三类得1.0</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0</w:t>
            </w:r>
            <w:r>
              <w:rPr>
                <w:rFonts w:hint="eastAsia" w:ascii="宋体" w:hAnsi="宋体" w:eastAsia="宋体" w:cs="宋体"/>
                <w:i w:val="0"/>
                <w:iCs w:val="0"/>
                <w:highlight w:val="none"/>
                <w:lang w:bidi="ar"/>
              </w:rPr>
              <w:t>.1分</w:t>
            </w:r>
            <w:r>
              <w:rPr>
                <w:rFonts w:hint="eastAsia" w:ascii="宋体" w:hAnsi="宋体" w:eastAsia="宋体" w:cs="宋体"/>
                <w:i w:val="0"/>
                <w:iCs w:val="0"/>
                <w:highlight w:val="none"/>
                <w:lang w:eastAsia="zh-CN" w:bidi="ar"/>
              </w:rPr>
              <w:t>；</w:t>
            </w:r>
            <w:r>
              <w:rPr>
                <w:rFonts w:hint="eastAsia" w:ascii="宋体" w:hAnsi="宋体" w:eastAsia="宋体" w:cs="宋体"/>
                <w:i w:val="0"/>
                <w:iCs w:val="0"/>
                <w:highlight w:val="none"/>
                <w:lang w:val="en-US" w:eastAsia="zh-CN" w:bidi="ar"/>
              </w:rPr>
              <w:t>未提供不得分。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color w:val="auto"/>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p>
        </w:tc>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szCs w:val="21"/>
                <w:highlight w:val="none"/>
                <w:lang w:val="en-US" w:eastAsia="zh-CN"/>
              </w:rPr>
            </w:pPr>
          </w:p>
        </w:tc>
        <w:tc>
          <w:tcPr>
            <w:tcW w:w="14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highlight w:val="none"/>
              </w:rPr>
              <w:t>工期保证措施</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i w:val="0"/>
                <w:iCs w:val="0"/>
                <w:szCs w:val="21"/>
                <w:highlight w:val="none"/>
                <w:lang w:val="en-US" w:eastAsia="zh-CN"/>
              </w:rPr>
            </w:pPr>
            <w:r>
              <w:rPr>
                <w:rFonts w:hint="eastAsia" w:ascii="宋体" w:hAnsi="宋体" w:eastAsia="宋体" w:cs="Times New Roman"/>
                <w:i w:val="0"/>
                <w:iCs w:val="0"/>
                <w:szCs w:val="21"/>
                <w:highlight w:val="none"/>
                <w:lang w:val="en-US" w:eastAsia="zh-CN"/>
              </w:rPr>
              <w:t>评标委员会根据投标人的技术内容进行综合比较：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i w:val="0"/>
                <w:iCs w:val="0"/>
                <w:szCs w:val="21"/>
                <w:highlight w:val="none"/>
              </w:rPr>
            </w:pPr>
            <w:r>
              <w:rPr>
                <w:rFonts w:hint="eastAsia" w:ascii="宋体" w:hAnsi="宋体" w:eastAsia="宋体" w:cs="Times New Roman"/>
                <w:i w:val="0"/>
                <w:iCs w:val="0"/>
                <w:szCs w:val="21"/>
                <w:highlight w:val="none"/>
                <w:lang w:val="en-US" w:eastAsia="zh-CN"/>
              </w:rPr>
              <w:t>一类得1.0</w:t>
            </w:r>
            <w:r>
              <w:rPr>
                <w:rFonts w:hint="eastAsia" w:ascii="等线" w:hAnsi="等线" w:eastAsia="等线" w:cs="等线"/>
                <w:i w:val="0"/>
                <w:iCs w:val="0"/>
                <w:szCs w:val="21"/>
                <w:highlight w:val="none"/>
                <w:lang w:val="en-US" w:eastAsia="zh-CN"/>
              </w:rPr>
              <w:t>~</w:t>
            </w:r>
            <w:r>
              <w:rPr>
                <w:rFonts w:hint="eastAsia" w:ascii="宋体" w:hAnsi="宋体" w:eastAsia="宋体" w:cs="Times New Roman"/>
                <w:i w:val="0"/>
                <w:iCs w:val="0"/>
                <w:szCs w:val="21"/>
                <w:highlight w:val="none"/>
                <w:lang w:val="en-US" w:eastAsia="zh-CN"/>
              </w:rPr>
              <w:t>0.8</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val="en-US" w:eastAsia="zh-CN" w:bidi="ar"/>
              </w:rPr>
              <w:t>；二类得0.7</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0.5</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val="en-US" w:eastAsia="zh-CN" w:bidi="ar"/>
              </w:rPr>
              <w:t>；三类得0.4</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0.1</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eastAsia="zh-CN" w:bidi="ar"/>
              </w:rPr>
              <w:t>；</w:t>
            </w:r>
            <w:r>
              <w:rPr>
                <w:rFonts w:hint="eastAsia" w:ascii="宋体" w:hAnsi="宋体" w:eastAsia="宋体" w:cs="宋体"/>
                <w:i w:val="0"/>
                <w:iCs w:val="0"/>
                <w:highlight w:val="none"/>
                <w:lang w:val="en-US" w:eastAsia="zh-CN" w:bidi="ar"/>
              </w:rPr>
              <w:t>未提供不得分。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color w:val="auto"/>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p>
        </w:tc>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szCs w:val="21"/>
                <w:highlight w:val="none"/>
                <w:lang w:val="en-US" w:eastAsia="zh-CN"/>
              </w:rPr>
            </w:pPr>
          </w:p>
        </w:tc>
        <w:tc>
          <w:tcPr>
            <w:tcW w:w="14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szCs w:val="21"/>
                <w:highlight w:val="none"/>
              </w:rPr>
              <w:t>安全</w:t>
            </w:r>
            <w:r>
              <w:rPr>
                <w:rFonts w:hint="eastAsia" w:ascii="宋体" w:hAnsi="宋体" w:eastAsia="宋体" w:cs="宋体"/>
                <w:i w:val="0"/>
                <w:iCs w:val="0"/>
                <w:szCs w:val="21"/>
                <w:highlight w:val="none"/>
                <w:lang w:eastAsia="zh-CN"/>
              </w:rPr>
              <w:t>、</w:t>
            </w:r>
            <w:r>
              <w:rPr>
                <w:rFonts w:hint="eastAsia" w:ascii="宋体" w:hAnsi="宋体" w:eastAsia="宋体" w:cs="宋体"/>
                <w:i w:val="0"/>
                <w:iCs w:val="0"/>
                <w:szCs w:val="21"/>
                <w:highlight w:val="none"/>
                <w:lang w:val="en-US" w:eastAsia="zh-CN"/>
              </w:rPr>
              <w:t>质量</w:t>
            </w:r>
            <w:r>
              <w:rPr>
                <w:rFonts w:hint="eastAsia" w:ascii="宋体" w:hAnsi="宋体" w:eastAsia="宋体" w:cs="宋体"/>
                <w:i w:val="0"/>
                <w:iCs w:val="0"/>
                <w:szCs w:val="21"/>
                <w:highlight w:val="none"/>
              </w:rPr>
              <w:t>管理体系与措施</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i w:val="0"/>
                <w:iCs w:val="0"/>
                <w:szCs w:val="21"/>
                <w:highlight w:val="none"/>
                <w:lang w:val="en-US" w:eastAsia="zh-CN"/>
              </w:rPr>
            </w:pPr>
            <w:r>
              <w:rPr>
                <w:rFonts w:hint="eastAsia" w:ascii="宋体" w:hAnsi="宋体" w:eastAsia="宋体" w:cs="Times New Roman"/>
                <w:i w:val="0"/>
                <w:iCs w:val="0"/>
                <w:szCs w:val="21"/>
                <w:highlight w:val="none"/>
                <w:lang w:val="en-US" w:eastAsia="zh-CN"/>
              </w:rPr>
              <w:t>评标委员会根据投标人的技术内容进行综合比较：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i w:val="0"/>
                <w:iCs w:val="0"/>
                <w:szCs w:val="21"/>
                <w:highlight w:val="none"/>
              </w:rPr>
            </w:pPr>
            <w:r>
              <w:rPr>
                <w:rFonts w:hint="eastAsia" w:ascii="宋体" w:hAnsi="宋体" w:eastAsia="宋体" w:cs="Times New Roman"/>
                <w:i w:val="0"/>
                <w:iCs w:val="0"/>
                <w:szCs w:val="21"/>
                <w:highlight w:val="none"/>
                <w:lang w:val="en-US" w:eastAsia="zh-CN"/>
              </w:rPr>
              <w:t>一类得</w:t>
            </w:r>
            <w:r>
              <w:rPr>
                <w:rFonts w:hint="eastAsia" w:ascii="宋体" w:hAnsi="宋体" w:eastAsia="宋体" w:cs="宋体"/>
                <w:i w:val="0"/>
                <w:iCs w:val="0"/>
                <w:highlight w:val="none"/>
                <w:lang w:val="en-US" w:eastAsia="zh-CN" w:bidi="ar"/>
              </w:rPr>
              <w:t>3.0</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2.0</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val="en-US" w:eastAsia="zh-CN" w:bidi="ar"/>
              </w:rPr>
              <w:t>；二类得1.9</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1.0</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val="en-US" w:eastAsia="zh-CN" w:bidi="ar"/>
              </w:rPr>
              <w:t>；三类得0.9</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0.1</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eastAsia="zh-CN" w:bidi="ar"/>
              </w:rPr>
              <w:t>；</w:t>
            </w:r>
            <w:r>
              <w:rPr>
                <w:rFonts w:hint="eastAsia" w:ascii="宋体" w:hAnsi="宋体" w:eastAsia="宋体" w:cs="宋体"/>
                <w:i w:val="0"/>
                <w:iCs w:val="0"/>
                <w:highlight w:val="none"/>
                <w:lang w:val="en-US" w:eastAsia="zh-CN" w:bidi="ar"/>
              </w:rPr>
              <w:t>未提供不得分。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color w:val="auto"/>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kern w:val="2"/>
                <w:sz w:val="21"/>
                <w:szCs w:val="21"/>
                <w:highlight w:val="none"/>
                <w:lang w:val="en-US" w:eastAsia="zh-CN" w:bidi="ar-SA"/>
              </w:rPr>
            </w:pPr>
          </w:p>
        </w:tc>
        <w:tc>
          <w:tcPr>
            <w:tcW w:w="7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eastAsia" w:ascii="宋体" w:hAnsi="宋体" w:eastAsia="宋体" w:cs="宋体"/>
                <w:i w:val="0"/>
                <w:iCs w:val="0"/>
                <w:color w:val="auto"/>
                <w:szCs w:val="21"/>
                <w:highlight w:val="none"/>
                <w:lang w:val="en-US" w:eastAsia="zh-CN"/>
              </w:rPr>
            </w:pPr>
          </w:p>
        </w:tc>
        <w:tc>
          <w:tcPr>
            <w:tcW w:w="142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szCs w:val="21"/>
                <w:highlight w:val="none"/>
              </w:rPr>
              <w:t>文明施工管理体系</w:t>
            </w:r>
          </w:p>
        </w:tc>
        <w:tc>
          <w:tcPr>
            <w:tcW w:w="5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i w:val="0"/>
                <w:iCs w:val="0"/>
                <w:szCs w:val="21"/>
                <w:highlight w:val="none"/>
                <w:lang w:val="en-US" w:eastAsia="zh-CN"/>
              </w:rPr>
            </w:pPr>
            <w:r>
              <w:rPr>
                <w:rFonts w:hint="eastAsia" w:ascii="宋体" w:hAnsi="宋体" w:eastAsia="宋体" w:cs="Times New Roman"/>
                <w:i w:val="0"/>
                <w:iCs w:val="0"/>
                <w:szCs w:val="21"/>
                <w:highlight w:val="none"/>
                <w:lang w:val="en-US" w:eastAsia="zh-CN"/>
              </w:rPr>
              <w:t>评标委员会根据投标人的技术内容进行综合比较：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Times New Roman"/>
                <w:i w:val="0"/>
                <w:iCs w:val="0"/>
                <w:szCs w:val="21"/>
                <w:highlight w:val="none"/>
                <w:lang w:val="en-US" w:eastAsia="zh-CN"/>
              </w:rPr>
            </w:pPr>
            <w:r>
              <w:rPr>
                <w:rFonts w:hint="eastAsia" w:ascii="宋体" w:hAnsi="宋体" w:eastAsia="宋体" w:cs="Times New Roman"/>
                <w:i w:val="0"/>
                <w:iCs w:val="0"/>
                <w:szCs w:val="21"/>
                <w:highlight w:val="none"/>
                <w:lang w:val="en-US" w:eastAsia="zh-CN"/>
              </w:rPr>
              <w:t>一类得1.0</w:t>
            </w:r>
            <w:r>
              <w:rPr>
                <w:rFonts w:hint="eastAsia" w:ascii="等线" w:hAnsi="等线" w:eastAsia="等线" w:cs="等线"/>
                <w:i w:val="0"/>
                <w:iCs w:val="0"/>
                <w:szCs w:val="21"/>
                <w:highlight w:val="none"/>
                <w:lang w:val="en-US" w:eastAsia="zh-CN"/>
              </w:rPr>
              <w:t>~</w:t>
            </w:r>
            <w:r>
              <w:rPr>
                <w:rFonts w:hint="eastAsia" w:ascii="宋体" w:hAnsi="宋体" w:eastAsia="宋体" w:cs="Times New Roman"/>
                <w:i w:val="0"/>
                <w:iCs w:val="0"/>
                <w:szCs w:val="21"/>
                <w:highlight w:val="none"/>
                <w:lang w:val="en-US" w:eastAsia="zh-CN"/>
              </w:rPr>
              <w:t>0.8</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val="en-US" w:eastAsia="zh-CN" w:bidi="ar"/>
              </w:rPr>
              <w:t>；二类得0.7</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0.5</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val="en-US" w:eastAsia="zh-CN" w:bidi="ar"/>
              </w:rPr>
              <w:t>；三类得0.4</w:t>
            </w:r>
            <w:r>
              <w:rPr>
                <w:rFonts w:hint="eastAsia" w:ascii="微软雅黑" w:hAnsi="微软雅黑" w:eastAsia="微软雅黑" w:cs="微软雅黑"/>
                <w:i w:val="0"/>
                <w:iCs w:val="0"/>
                <w:highlight w:val="none"/>
                <w:lang w:bidi="ar"/>
              </w:rPr>
              <w:t>~</w:t>
            </w:r>
            <w:r>
              <w:rPr>
                <w:rFonts w:hint="eastAsia" w:ascii="宋体" w:hAnsi="宋体" w:eastAsia="宋体" w:cs="宋体"/>
                <w:i w:val="0"/>
                <w:iCs w:val="0"/>
                <w:highlight w:val="none"/>
                <w:lang w:val="en-US" w:eastAsia="zh-CN" w:bidi="ar"/>
              </w:rPr>
              <w:t>0.1</w:t>
            </w:r>
            <w:r>
              <w:rPr>
                <w:rFonts w:hint="eastAsia" w:ascii="宋体" w:hAnsi="宋体" w:eastAsia="宋体" w:cs="宋体"/>
                <w:i w:val="0"/>
                <w:iCs w:val="0"/>
                <w:highlight w:val="none"/>
                <w:lang w:bidi="ar"/>
              </w:rPr>
              <w:t>分</w:t>
            </w:r>
            <w:r>
              <w:rPr>
                <w:rFonts w:hint="eastAsia" w:ascii="宋体" w:hAnsi="宋体" w:eastAsia="宋体" w:cs="宋体"/>
                <w:i w:val="0"/>
                <w:iCs w:val="0"/>
                <w:highlight w:val="none"/>
                <w:lang w:eastAsia="zh-CN" w:bidi="ar"/>
              </w:rPr>
              <w:t>；</w:t>
            </w:r>
            <w:r>
              <w:rPr>
                <w:rFonts w:hint="eastAsia" w:ascii="宋体" w:hAnsi="宋体" w:eastAsia="宋体" w:cs="宋体"/>
                <w:i w:val="0"/>
                <w:iCs w:val="0"/>
                <w:highlight w:val="none"/>
                <w:lang w:val="en-US" w:eastAsia="zh-CN" w:bidi="ar"/>
              </w:rPr>
              <w:t>未提供不得分。</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宋体" w:hAnsi="宋体" w:eastAsia="宋体" w:cs="宋体"/>
                <w:i w:val="0"/>
                <w:iCs w:val="0"/>
                <w:color w:val="auto"/>
                <w:szCs w:val="21"/>
                <w:highlight w:val="none"/>
                <w:lang w:val="en-US" w:eastAsia="zh-CN"/>
              </w:rPr>
            </w:pPr>
            <w:r>
              <w:rPr>
                <w:rFonts w:hint="eastAsia" w:ascii="宋体" w:hAnsi="宋体" w:eastAsia="宋体" w:cs="宋体"/>
                <w:i w:val="0"/>
                <w:iCs w:val="0"/>
                <w:color w:val="auto"/>
                <w:szCs w:val="21"/>
                <w:highlight w:val="none"/>
                <w:lang w:val="en-US" w:eastAsia="zh-CN"/>
              </w:rPr>
              <w:t>1分</w:t>
            </w:r>
          </w:p>
        </w:tc>
      </w:tr>
      <w:bookmarkEnd w:id="298"/>
      <w:bookmarkEnd w:id="299"/>
      <w:bookmarkEnd w:id="300"/>
    </w:tbl>
    <w:p>
      <w:pPr>
        <w:spacing w:line="400" w:lineRule="exact"/>
        <w:ind w:firstLine="420" w:firstLineChars="200"/>
        <w:rPr>
          <w:rFonts w:hint="eastAsia" w:ascii="宋体" w:hAnsi="宋体" w:eastAsia="宋体" w:cs="宋体"/>
          <w:i w:val="0"/>
          <w:iCs w:val="0"/>
          <w:highlight w:val="none"/>
        </w:rPr>
      </w:pPr>
      <w:r>
        <w:rPr>
          <w:rFonts w:hint="eastAsia" w:ascii="宋体" w:hAnsi="宋体" w:eastAsia="宋体" w:cs="宋体"/>
          <w:i w:val="0"/>
          <w:iCs w:val="0"/>
          <w:highlight w:val="none"/>
          <w:lang w:val="en-US" w:eastAsia="zh-CN"/>
        </w:rPr>
        <w:t>三</w:t>
      </w:r>
      <w:r>
        <w:rPr>
          <w:rFonts w:hint="eastAsia" w:ascii="宋体" w:hAnsi="宋体" w:eastAsia="宋体" w:cs="宋体"/>
          <w:i w:val="0"/>
          <w:iCs w:val="0"/>
          <w:highlight w:val="none"/>
        </w:rPr>
        <w:t>、</w:t>
      </w:r>
      <w:r>
        <w:rPr>
          <w:rFonts w:hint="eastAsia" w:ascii="宋体" w:hAnsi="宋体" w:eastAsia="宋体" w:cs="宋体"/>
          <w:i w:val="0"/>
          <w:iCs w:val="0"/>
          <w:highlight w:val="none"/>
          <w:lang w:val="en-US" w:eastAsia="zh-CN"/>
        </w:rPr>
        <w:t>报价文件</w:t>
      </w:r>
      <w:r>
        <w:rPr>
          <w:rFonts w:hint="eastAsia" w:ascii="宋体" w:hAnsi="宋体" w:eastAsia="宋体" w:cs="宋体"/>
          <w:i w:val="0"/>
          <w:iCs w:val="0"/>
          <w:highlight w:val="none"/>
        </w:rPr>
        <w:t>评审（</w:t>
      </w:r>
      <w:r>
        <w:rPr>
          <w:rFonts w:hint="eastAsia" w:ascii="宋体" w:hAnsi="宋体" w:eastAsia="宋体" w:cs="宋体"/>
          <w:i w:val="0"/>
          <w:iCs w:val="0"/>
          <w:highlight w:val="none"/>
          <w:lang w:val="en-US" w:eastAsia="zh-CN"/>
        </w:rPr>
        <w:t>80</w:t>
      </w:r>
      <w:r>
        <w:rPr>
          <w:rFonts w:hint="eastAsia" w:ascii="宋体" w:hAnsi="宋体" w:eastAsia="宋体" w:cs="宋体"/>
          <w:i w:val="0"/>
          <w:iCs w:val="0"/>
          <w:highlight w:val="none"/>
        </w:rPr>
        <w:t>分）（以下除注明外，计算结果小数点后保留2位，第3位四舍五入）。</w:t>
      </w:r>
    </w:p>
    <w:p>
      <w:pPr>
        <w:spacing w:line="400" w:lineRule="exact"/>
        <w:ind w:firstLine="420" w:firstLineChars="200"/>
        <w:rPr>
          <w:rFonts w:hint="eastAsia" w:ascii="宋体" w:hAnsi="宋体" w:eastAsia="宋体" w:cs="宋体"/>
          <w:i w:val="0"/>
          <w:iCs w:val="0"/>
          <w:szCs w:val="21"/>
          <w:highlight w:val="none"/>
        </w:rPr>
      </w:pPr>
      <w:r>
        <w:rPr>
          <w:rFonts w:hint="eastAsia" w:ascii="宋体" w:hAnsi="宋体" w:eastAsia="宋体" w:cs="宋体"/>
          <w:i w:val="0"/>
          <w:iCs w:val="0"/>
          <w:szCs w:val="21"/>
          <w:highlight w:val="none"/>
        </w:rPr>
        <w:t>在进入本阶段评审的投标文件中，按以下规则确定评标标底价和</w:t>
      </w:r>
      <w:r>
        <w:rPr>
          <w:rFonts w:hint="eastAsia" w:ascii="宋体" w:hAnsi="宋体" w:eastAsia="宋体" w:cs="宋体"/>
          <w:i w:val="0"/>
          <w:iCs w:val="0"/>
          <w:szCs w:val="21"/>
          <w:highlight w:val="none"/>
          <w:lang w:val="en-US" w:eastAsia="zh-CN"/>
        </w:rPr>
        <w:t>报价</w:t>
      </w:r>
      <w:r>
        <w:rPr>
          <w:rFonts w:hint="eastAsia" w:ascii="宋体" w:hAnsi="宋体" w:eastAsia="宋体" w:cs="宋体"/>
          <w:i w:val="0"/>
          <w:iCs w:val="0"/>
          <w:szCs w:val="21"/>
          <w:highlight w:val="none"/>
        </w:rPr>
        <w:t>得分：</w:t>
      </w:r>
    </w:p>
    <w:p>
      <w:pPr>
        <w:spacing w:line="400" w:lineRule="exact"/>
        <w:ind w:firstLine="420" w:firstLineChars="200"/>
        <w:rPr>
          <w:rFonts w:hint="eastAsia" w:ascii="宋体" w:hAnsi="宋体" w:eastAsia="宋体" w:cs="宋体"/>
          <w:i w:val="0"/>
          <w:iCs w:val="0"/>
          <w:szCs w:val="21"/>
          <w:highlight w:val="none"/>
        </w:rPr>
      </w:pPr>
      <w:r>
        <w:rPr>
          <w:rFonts w:hint="eastAsia" w:ascii="宋体" w:hAnsi="宋体" w:eastAsia="宋体" w:cs="宋体"/>
          <w:i w:val="0"/>
          <w:iCs w:val="0"/>
          <w:szCs w:val="21"/>
          <w:highlight w:val="none"/>
        </w:rPr>
        <w:t>（一）评标标底价评审（以元为单位，小数点后一位四舍五入）</w:t>
      </w:r>
    </w:p>
    <w:p>
      <w:pPr>
        <w:spacing w:line="400" w:lineRule="exact"/>
        <w:ind w:firstLine="420" w:firstLineChars="200"/>
        <w:rPr>
          <w:rFonts w:hint="eastAsia" w:ascii="宋体" w:hAnsi="宋体" w:eastAsia="宋体" w:cs="宋体"/>
          <w:i w:val="0"/>
          <w:iCs w:val="0"/>
          <w:szCs w:val="21"/>
          <w:highlight w:val="none"/>
        </w:rPr>
      </w:pPr>
      <w:r>
        <w:rPr>
          <w:rFonts w:hint="eastAsia" w:ascii="宋体" w:hAnsi="宋体" w:eastAsia="宋体" w:cs="宋体"/>
          <w:i w:val="0"/>
          <w:iCs w:val="0"/>
          <w:szCs w:val="21"/>
          <w:highlight w:val="none"/>
        </w:rPr>
        <w:t>最高投标限价乘以调整系数作为评标标底价，即评标标底价＝最高投标限价×调整系数。</w:t>
      </w:r>
    </w:p>
    <w:p>
      <w:pPr>
        <w:spacing w:line="400" w:lineRule="exact"/>
        <w:ind w:firstLine="420" w:firstLineChars="200"/>
        <w:rPr>
          <w:rFonts w:hint="eastAsia" w:ascii="宋体" w:hAnsi="宋体" w:eastAsia="宋体" w:cs="宋体"/>
          <w:i w:val="0"/>
          <w:iCs w:val="0"/>
          <w:szCs w:val="21"/>
          <w:highlight w:val="none"/>
        </w:rPr>
      </w:pPr>
      <w:r>
        <w:rPr>
          <w:rFonts w:hint="eastAsia" w:ascii="宋体" w:hAnsi="宋体" w:eastAsia="宋体" w:cs="宋体"/>
          <w:i w:val="0"/>
          <w:iCs w:val="0"/>
          <w:szCs w:val="21"/>
          <w:highlight w:val="none"/>
        </w:rPr>
        <w:t>调整系数＝（100－D）%，D值在0.00～0.99范围内随机抽取产生。先从0～9中抽取十分位数字X，再从0～9中抽取百分位数字Y，则抽取的D值即为0.XY。</w:t>
      </w:r>
    </w:p>
    <w:p>
      <w:pPr>
        <w:spacing w:line="400" w:lineRule="exact"/>
        <w:ind w:firstLine="420" w:firstLineChars="200"/>
        <w:rPr>
          <w:rFonts w:hint="eastAsia" w:ascii="宋体" w:hAnsi="宋体" w:eastAsia="宋体" w:cs="宋体"/>
          <w:i w:val="0"/>
          <w:iCs w:val="0"/>
          <w:szCs w:val="21"/>
          <w:highlight w:val="none"/>
        </w:rPr>
      </w:pPr>
      <w:r>
        <w:rPr>
          <w:rFonts w:hint="eastAsia" w:ascii="宋体" w:hAnsi="宋体" w:eastAsia="宋体" w:cs="宋体"/>
          <w:i w:val="0"/>
          <w:iCs w:val="0"/>
          <w:szCs w:val="21"/>
          <w:highlight w:val="none"/>
        </w:rPr>
        <w:t>（二）投标报价得分</w:t>
      </w:r>
    </w:p>
    <w:p>
      <w:pPr>
        <w:spacing w:line="400" w:lineRule="exact"/>
        <w:ind w:firstLine="420" w:firstLineChars="200"/>
        <w:rPr>
          <w:rFonts w:hint="eastAsia" w:ascii="宋体" w:hAnsi="宋体" w:eastAsia="宋体" w:cs="宋体"/>
          <w:i w:val="0"/>
          <w:iCs w:val="0"/>
          <w:highlight w:val="none"/>
        </w:rPr>
      </w:pPr>
      <w:r>
        <w:rPr>
          <w:rFonts w:hint="eastAsia" w:ascii="宋体" w:hAnsi="宋体" w:eastAsia="宋体" w:cs="宋体"/>
          <w:i w:val="0"/>
          <w:iCs w:val="0"/>
          <w:szCs w:val="21"/>
          <w:highlight w:val="none"/>
        </w:rPr>
        <w:t>投标人的投标报价等于评标标底价的得</w:t>
      </w:r>
      <w:r>
        <w:rPr>
          <w:rFonts w:hint="eastAsia" w:ascii="宋体" w:hAnsi="宋体" w:eastAsia="宋体" w:cs="宋体"/>
          <w:i w:val="0"/>
          <w:iCs w:val="0"/>
          <w:szCs w:val="21"/>
          <w:highlight w:val="none"/>
          <w:lang w:val="en-US" w:eastAsia="zh-CN"/>
        </w:rPr>
        <w:t>80</w:t>
      </w:r>
      <w:r>
        <w:rPr>
          <w:rFonts w:hint="eastAsia" w:ascii="宋体" w:hAnsi="宋体" w:eastAsia="宋体" w:cs="宋体"/>
          <w:i w:val="0"/>
          <w:iCs w:val="0"/>
          <w:szCs w:val="21"/>
          <w:highlight w:val="none"/>
        </w:rPr>
        <w:t>分。偏离评标标底价的按线性插入法，每高于或每低于评标标底价1个百分点的均扣1分，即报价得分=</w:t>
      </w:r>
      <w:r>
        <w:rPr>
          <w:rFonts w:hint="eastAsia" w:ascii="宋体" w:hAnsi="宋体" w:eastAsia="宋体" w:cs="宋体"/>
          <w:i w:val="0"/>
          <w:iCs w:val="0"/>
          <w:szCs w:val="21"/>
          <w:highlight w:val="none"/>
          <w:lang w:val="en-US" w:eastAsia="zh-CN"/>
        </w:rPr>
        <w:t>80</w:t>
      </w:r>
      <w:r>
        <w:rPr>
          <w:rFonts w:hint="eastAsia" w:ascii="宋体" w:hAnsi="宋体" w:eastAsia="宋体" w:cs="宋体"/>
          <w:i w:val="0"/>
          <w:iCs w:val="0"/>
          <w:szCs w:val="21"/>
          <w:highlight w:val="none"/>
        </w:rPr>
        <w:t>-│（投标报价-评标标底价）│/评标标底价×100×1（报价得分计算结果小数点后保留2位，小数点后第3位四舍五入）。</w:t>
      </w:r>
    </w:p>
    <w:p>
      <w:pPr>
        <w:spacing w:line="400" w:lineRule="exact"/>
        <w:ind w:firstLine="420" w:firstLineChars="200"/>
        <w:outlineLvl w:val="9"/>
        <w:rPr>
          <w:rFonts w:hint="eastAsia" w:ascii="宋体" w:hAnsi="宋体" w:eastAsia="宋体" w:cs="宋体"/>
          <w:i w:val="0"/>
          <w:iCs w:val="0"/>
          <w:highlight w:val="none"/>
        </w:rPr>
      </w:pPr>
      <w:bookmarkStart w:id="301" w:name="_Toc27636"/>
      <w:bookmarkStart w:id="302" w:name="_Toc15276"/>
      <w:bookmarkStart w:id="303" w:name="_Toc30705"/>
      <w:bookmarkStart w:id="304" w:name="_Toc16625"/>
      <w:r>
        <w:rPr>
          <w:rFonts w:hint="eastAsia" w:ascii="宋体" w:hAnsi="宋体" w:eastAsia="宋体" w:cs="宋体"/>
          <w:i w:val="0"/>
          <w:iCs w:val="0"/>
          <w:highlight w:val="none"/>
          <w:lang w:val="en-US" w:eastAsia="zh-CN"/>
        </w:rPr>
        <w:t>四</w:t>
      </w:r>
      <w:r>
        <w:rPr>
          <w:rFonts w:hint="eastAsia" w:ascii="宋体" w:hAnsi="宋体" w:eastAsia="宋体" w:cs="宋体"/>
          <w:i w:val="0"/>
          <w:iCs w:val="0"/>
          <w:highlight w:val="none"/>
        </w:rPr>
        <w:t>、评标总得分的确定</w:t>
      </w:r>
      <w:bookmarkEnd w:id="301"/>
      <w:bookmarkEnd w:id="302"/>
      <w:bookmarkEnd w:id="303"/>
      <w:bookmarkEnd w:id="304"/>
    </w:p>
    <w:p>
      <w:pPr>
        <w:spacing w:line="400" w:lineRule="exact"/>
        <w:ind w:firstLine="420" w:firstLineChars="200"/>
        <w:outlineLvl w:val="9"/>
        <w:rPr>
          <w:rFonts w:hint="eastAsia" w:ascii="宋体" w:hAnsi="宋体" w:eastAsia="宋体" w:cs="宋体"/>
          <w:i w:val="0"/>
          <w:iCs w:val="0"/>
          <w:highlight w:val="none"/>
        </w:rPr>
      </w:pPr>
      <w:r>
        <w:rPr>
          <w:rFonts w:hint="eastAsia" w:ascii="宋体" w:hAnsi="宋体" w:eastAsia="宋体" w:cs="宋体"/>
          <w:i w:val="0"/>
          <w:iCs w:val="0"/>
          <w:highlight w:val="none"/>
        </w:rPr>
        <w:t>投标人的评标总得分＝</w:t>
      </w:r>
      <w:r>
        <w:rPr>
          <w:rFonts w:hint="eastAsia" w:ascii="宋体" w:hAnsi="宋体" w:eastAsia="宋体" w:cs="宋体"/>
          <w:i w:val="0"/>
          <w:iCs w:val="0"/>
          <w:highlight w:val="none"/>
          <w:lang w:val="en-US" w:eastAsia="zh-CN"/>
        </w:rPr>
        <w:t>商务技术文件</w:t>
      </w:r>
      <w:r>
        <w:rPr>
          <w:rFonts w:hint="eastAsia" w:ascii="宋体" w:hAnsi="宋体" w:eastAsia="宋体" w:cs="宋体"/>
          <w:i w:val="0"/>
          <w:iCs w:val="0"/>
          <w:highlight w:val="none"/>
        </w:rPr>
        <w:t>得分+</w:t>
      </w:r>
      <w:r>
        <w:rPr>
          <w:rFonts w:hint="eastAsia" w:ascii="宋体" w:hAnsi="宋体" w:eastAsia="宋体" w:cs="宋体"/>
          <w:i w:val="0"/>
          <w:iCs w:val="0"/>
          <w:szCs w:val="21"/>
          <w:highlight w:val="none"/>
          <w:lang w:val="en-US" w:eastAsia="zh-CN"/>
        </w:rPr>
        <w:t>报价</w:t>
      </w:r>
      <w:r>
        <w:rPr>
          <w:rFonts w:hint="eastAsia" w:ascii="宋体" w:hAnsi="宋体" w:eastAsia="宋体" w:cs="宋体"/>
          <w:i w:val="0"/>
          <w:iCs w:val="0"/>
          <w:highlight w:val="none"/>
        </w:rPr>
        <w:t>得分。</w:t>
      </w:r>
    </w:p>
    <w:p>
      <w:pPr>
        <w:spacing w:line="400" w:lineRule="exact"/>
        <w:ind w:firstLine="420" w:firstLineChars="200"/>
        <w:outlineLvl w:val="9"/>
        <w:rPr>
          <w:rFonts w:hint="eastAsia" w:ascii="宋体" w:hAnsi="宋体" w:eastAsia="宋体" w:cs="宋体"/>
          <w:i w:val="0"/>
          <w:iCs w:val="0"/>
          <w:highlight w:val="none"/>
        </w:rPr>
      </w:pPr>
      <w:bookmarkStart w:id="305" w:name="_Toc9410"/>
      <w:bookmarkStart w:id="306" w:name="_Toc20721"/>
      <w:bookmarkStart w:id="307" w:name="_Toc10513"/>
      <w:bookmarkStart w:id="308" w:name="_Toc32433"/>
      <w:r>
        <w:rPr>
          <w:rFonts w:hint="eastAsia" w:ascii="宋体" w:hAnsi="宋体" w:eastAsia="宋体" w:cs="宋体"/>
          <w:i w:val="0"/>
          <w:iCs w:val="0"/>
          <w:highlight w:val="none"/>
          <w:lang w:val="en-US" w:eastAsia="zh-CN"/>
        </w:rPr>
        <w:t>五</w:t>
      </w:r>
      <w:r>
        <w:rPr>
          <w:rFonts w:hint="eastAsia" w:ascii="宋体" w:hAnsi="宋体" w:eastAsia="宋体" w:cs="宋体"/>
          <w:i w:val="0"/>
          <w:iCs w:val="0"/>
          <w:highlight w:val="none"/>
        </w:rPr>
        <w:t>、中标候选人的确定</w:t>
      </w:r>
      <w:bookmarkEnd w:id="305"/>
      <w:bookmarkEnd w:id="306"/>
      <w:bookmarkEnd w:id="307"/>
      <w:bookmarkEnd w:id="308"/>
    </w:p>
    <w:p>
      <w:pPr>
        <w:spacing w:line="400" w:lineRule="exact"/>
        <w:ind w:firstLine="420" w:firstLineChars="200"/>
        <w:rPr>
          <w:rFonts w:hint="eastAsia" w:ascii="宋体" w:hAnsi="宋体" w:eastAsia="宋体" w:cs="宋体"/>
          <w:i w:val="0"/>
          <w:iCs w:val="0"/>
          <w:highlight w:val="none"/>
        </w:rPr>
      </w:pPr>
      <w:r>
        <w:rPr>
          <w:rFonts w:hint="eastAsia" w:ascii="宋体" w:hAnsi="宋体" w:eastAsia="宋体" w:cs="宋体"/>
          <w:i w:val="0"/>
          <w:iCs w:val="0"/>
          <w:highlight w:val="none"/>
        </w:rPr>
        <w:t>评标委员会按评标总得分推荐1名中标候选人，即总得分最高者为中标候选人，如出现总得分相同的，按以下优先顺序确定中标候选人推荐次序：</w:t>
      </w:r>
    </w:p>
    <w:p>
      <w:pPr>
        <w:spacing w:line="400" w:lineRule="exact"/>
        <w:ind w:firstLine="420" w:firstLineChars="200"/>
        <w:rPr>
          <w:rFonts w:hint="default" w:ascii="宋体" w:hAnsi="宋体" w:eastAsia="宋体" w:cs="宋体"/>
          <w:i w:val="0"/>
          <w:iCs w:val="0"/>
          <w:highlight w:val="none"/>
          <w:lang w:val="en-US" w:eastAsia="zh-CN"/>
        </w:rPr>
      </w:pPr>
      <w:r>
        <w:rPr>
          <w:rFonts w:hint="eastAsia" w:ascii="宋体" w:hAnsi="宋体" w:eastAsia="宋体" w:cs="宋体"/>
          <w:i w:val="0"/>
          <w:iCs w:val="0"/>
          <w:highlight w:val="none"/>
        </w:rPr>
        <w:t>（一）</w:t>
      </w:r>
      <w:r>
        <w:rPr>
          <w:rFonts w:hint="eastAsia" w:ascii="宋体" w:hAnsi="宋体" w:eastAsia="宋体" w:cs="宋体"/>
          <w:i w:val="0"/>
          <w:iCs w:val="0"/>
          <w:highlight w:val="none"/>
          <w:lang w:val="en-US" w:eastAsia="zh-CN"/>
        </w:rPr>
        <w:t>商务技术文件得分高者；</w:t>
      </w:r>
    </w:p>
    <w:p>
      <w:pPr>
        <w:spacing w:line="400" w:lineRule="exact"/>
        <w:ind w:firstLine="420" w:firstLineChars="200"/>
        <w:rPr>
          <w:rFonts w:hint="eastAsia" w:ascii="宋体" w:hAnsi="宋体" w:eastAsia="宋体" w:cs="宋体"/>
          <w:i w:val="0"/>
          <w:iCs w:val="0"/>
          <w:highlight w:val="none"/>
        </w:rPr>
      </w:pPr>
      <w:r>
        <w:rPr>
          <w:rFonts w:hint="eastAsia" w:ascii="宋体" w:hAnsi="宋体" w:eastAsia="宋体" w:cs="宋体"/>
          <w:i w:val="0"/>
          <w:iCs w:val="0"/>
          <w:highlight w:val="none"/>
        </w:rPr>
        <w:t>（</w:t>
      </w:r>
      <w:r>
        <w:rPr>
          <w:rFonts w:hint="eastAsia" w:ascii="宋体" w:hAnsi="宋体" w:eastAsia="宋体" w:cs="宋体"/>
          <w:i w:val="0"/>
          <w:iCs w:val="0"/>
          <w:highlight w:val="none"/>
          <w:lang w:val="en-US" w:eastAsia="zh-CN"/>
        </w:rPr>
        <w:t>二</w:t>
      </w:r>
      <w:r>
        <w:rPr>
          <w:rFonts w:hint="eastAsia" w:ascii="宋体" w:hAnsi="宋体" w:eastAsia="宋体" w:cs="宋体"/>
          <w:i w:val="0"/>
          <w:iCs w:val="0"/>
          <w:highlight w:val="none"/>
        </w:rPr>
        <w:t>）投标报价低者；</w:t>
      </w:r>
    </w:p>
    <w:p>
      <w:pPr>
        <w:spacing w:line="400" w:lineRule="exact"/>
        <w:ind w:firstLine="420" w:firstLineChars="200"/>
        <w:rPr>
          <w:rFonts w:hint="eastAsia" w:ascii="宋体" w:hAnsi="宋体" w:eastAsia="宋体" w:cs="宋体"/>
          <w:i w:val="0"/>
          <w:iCs w:val="0"/>
          <w:highlight w:val="none"/>
        </w:rPr>
      </w:pPr>
      <w:r>
        <w:rPr>
          <w:rFonts w:hint="eastAsia" w:ascii="宋体" w:hAnsi="宋体" w:eastAsia="宋体" w:cs="宋体"/>
          <w:i w:val="0"/>
          <w:iCs w:val="0"/>
          <w:highlight w:val="none"/>
        </w:rPr>
        <w:t>（</w:t>
      </w:r>
      <w:r>
        <w:rPr>
          <w:rFonts w:hint="eastAsia" w:ascii="宋体" w:hAnsi="宋体" w:eastAsia="宋体" w:cs="宋体"/>
          <w:i w:val="0"/>
          <w:iCs w:val="0"/>
          <w:highlight w:val="none"/>
          <w:lang w:val="en-US" w:eastAsia="zh-CN"/>
        </w:rPr>
        <w:t>三</w:t>
      </w:r>
      <w:r>
        <w:rPr>
          <w:rFonts w:hint="eastAsia" w:ascii="宋体" w:hAnsi="宋体" w:eastAsia="宋体" w:cs="宋体"/>
          <w:i w:val="0"/>
          <w:iCs w:val="0"/>
          <w:highlight w:val="none"/>
        </w:rPr>
        <w:t>）抽签确定。</w:t>
      </w:r>
    </w:p>
    <w:p>
      <w:pPr>
        <w:spacing w:line="400" w:lineRule="exact"/>
        <w:ind w:firstLine="420" w:firstLineChars="200"/>
      </w:pPr>
    </w:p>
    <w:p>
      <w:pPr>
        <w:adjustRightInd w:val="0"/>
        <w:snapToGrid w:val="0"/>
        <w:spacing w:line="400" w:lineRule="exact"/>
        <w:ind w:firstLine="420" w:firstLineChars="200"/>
        <w:rPr>
          <w:szCs w:val="21"/>
        </w:rPr>
      </w:pPr>
    </w:p>
    <w:p>
      <w:pPr>
        <w:ind w:firstLine="420"/>
      </w:pPr>
    </w:p>
    <w:p>
      <w:pPr>
        <w:ind w:firstLine="420"/>
      </w:pPr>
    </w:p>
    <w:p>
      <w:pPr>
        <w:spacing w:line="400" w:lineRule="exact"/>
      </w:pPr>
    </w:p>
    <w:p>
      <w:pPr>
        <w:spacing w:line="400" w:lineRule="exact"/>
        <w:ind w:firstLine="420" w:firstLineChars="200"/>
      </w:pPr>
      <w:r>
        <w:br w:type="page"/>
      </w:r>
    </w:p>
    <w:p>
      <w:pPr>
        <w:widowControl/>
        <w:jc w:val="left"/>
      </w:pPr>
    </w:p>
    <w:p>
      <w:pPr>
        <w:widowControl/>
        <w:jc w:val="center"/>
        <w:outlineLvl w:val="0"/>
        <w:rPr>
          <w:rFonts w:eastAsia="黑体"/>
          <w:b/>
          <w:bCs/>
          <w:sz w:val="32"/>
        </w:rPr>
      </w:pPr>
      <w:bookmarkStart w:id="309" w:name="_Toc51229305"/>
      <w:bookmarkStart w:id="310" w:name="_Toc26256"/>
      <w:bookmarkStart w:id="311" w:name="_Toc19031"/>
      <w:bookmarkStart w:id="312" w:name="_Toc5812"/>
      <w:bookmarkStart w:id="313" w:name="_Toc5960065"/>
      <w:bookmarkStart w:id="314" w:name="_Toc7832"/>
      <w:bookmarkStart w:id="315" w:name="_Toc144974837"/>
      <w:bookmarkStart w:id="316" w:name="_Toc394573945"/>
      <w:bookmarkStart w:id="317" w:name="_Toc152045775"/>
      <w:bookmarkStart w:id="318" w:name="_Toc152042557"/>
      <w:r>
        <w:rPr>
          <w:rFonts w:hint="eastAsia" w:eastAsia="黑体"/>
          <w:b/>
          <w:bCs/>
          <w:sz w:val="32"/>
        </w:rPr>
        <w:t>第三章</w:t>
      </w:r>
      <w:r>
        <w:rPr>
          <w:rFonts w:hint="eastAsia"/>
        </w:rPr>
        <w:t xml:space="preserve">  </w:t>
      </w:r>
      <w:r>
        <w:rPr>
          <w:rFonts w:hint="eastAsia" w:eastAsia="黑体"/>
          <w:b/>
          <w:bCs/>
          <w:sz w:val="32"/>
        </w:rPr>
        <w:t>合同条款及格式</w:t>
      </w:r>
      <w:bookmarkEnd w:id="309"/>
      <w:bookmarkEnd w:id="310"/>
      <w:bookmarkEnd w:id="311"/>
      <w:bookmarkEnd w:id="312"/>
      <w:bookmarkEnd w:id="313"/>
      <w:bookmarkEnd w:id="314"/>
    </w:p>
    <w:p>
      <w:pPr>
        <w:spacing w:line="360" w:lineRule="exact"/>
        <w:ind w:firstLine="420" w:firstLineChars="200"/>
      </w:pPr>
      <w:r>
        <w:rPr>
          <w:rFonts w:hint="eastAsia"/>
        </w:rPr>
        <w:t>合同文本采用《建设工程施工合同（示范文本）》（GF-2017-0201）。</w:t>
      </w:r>
    </w:p>
    <w:p>
      <w:pPr>
        <w:spacing w:line="360" w:lineRule="exact"/>
        <w:ind w:firstLine="420" w:firstLineChars="200"/>
      </w:pPr>
      <w:r>
        <w:rPr>
          <w:rFonts w:hint="eastAsia"/>
        </w:rPr>
        <w:t>合同通用条款采用《建设工程施工合同（示范文本）》的通用条款（GF-2017-0201）。</w:t>
      </w:r>
    </w:p>
    <w:p>
      <w:pPr>
        <w:spacing w:line="360" w:lineRule="exact"/>
        <w:ind w:firstLine="420" w:firstLineChars="200"/>
      </w:pPr>
      <w:r>
        <w:rPr>
          <w:rFonts w:hint="eastAsia"/>
        </w:rPr>
        <w:t>合同专用条款中的主要条款将由招标人(发包人)与中标人(分包人)根据投标文件签订。</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keepNext/>
        <w:keepLines/>
        <w:spacing w:before="100" w:line="400" w:lineRule="exact"/>
        <w:jc w:val="center"/>
        <w:outlineLvl w:val="1"/>
        <w:rPr>
          <w:rFonts w:ascii="宋体" w:hAnsi="宋体" w:cs="宋体"/>
          <w:b/>
          <w:bCs/>
          <w:sz w:val="32"/>
          <w:szCs w:val="32"/>
        </w:rPr>
      </w:pPr>
      <w:bookmarkStart w:id="319" w:name="_Toc51229306"/>
      <w:bookmarkStart w:id="320" w:name="_Toc14221"/>
      <w:bookmarkStart w:id="321" w:name="_Toc8836"/>
      <w:bookmarkStart w:id="322" w:name="_Toc23996"/>
      <w:bookmarkStart w:id="323" w:name="_Toc531162031"/>
      <w:r>
        <w:rPr>
          <w:rFonts w:hint="eastAsia" w:ascii="宋体" w:hAnsi="宋体" w:cs="宋体"/>
          <w:b/>
          <w:bCs/>
          <w:sz w:val="32"/>
          <w:szCs w:val="32"/>
        </w:rPr>
        <w:t>第一部分　合同协议书</w:t>
      </w:r>
      <w:bookmarkEnd w:id="319"/>
      <w:bookmarkEnd w:id="320"/>
      <w:bookmarkEnd w:id="321"/>
      <w:bookmarkEnd w:id="322"/>
      <w:bookmarkEnd w:id="323"/>
    </w:p>
    <w:p>
      <w:pPr>
        <w:spacing w:line="360" w:lineRule="auto"/>
        <w:rPr>
          <w:rFonts w:eastAsia="仿宋_GB2312"/>
          <w:sz w:val="24"/>
          <w:u w:val="single"/>
        </w:rPr>
      </w:pPr>
    </w:p>
    <w:p>
      <w:pPr>
        <w:spacing w:line="360" w:lineRule="exact"/>
        <w:rPr>
          <w:b/>
          <w:szCs w:val="21"/>
          <w:u w:val="single"/>
        </w:rPr>
      </w:pPr>
      <w:r>
        <w:rPr>
          <w:szCs w:val="21"/>
        </w:rPr>
        <w:t>发包人（全称）：</w:t>
      </w:r>
      <w:r>
        <w:rPr>
          <w:rFonts w:hint="eastAsia"/>
          <w:szCs w:val="21"/>
          <w:u w:val="single"/>
        </w:rPr>
        <w:t>台州市椒江城市发展投资集团有限公司</w:t>
      </w:r>
    </w:p>
    <w:p>
      <w:pPr>
        <w:spacing w:line="360" w:lineRule="exact"/>
        <w:rPr>
          <w:rFonts w:ascii="宋体" w:hAnsi="宋体" w:cs="宋体"/>
          <w:szCs w:val="21"/>
          <w:u w:val="single"/>
        </w:rPr>
      </w:pPr>
      <w:r>
        <w:rPr>
          <w:rFonts w:hint="eastAsia" w:ascii="宋体" w:hAnsi="宋体" w:cs="宋体"/>
          <w:szCs w:val="21"/>
        </w:rPr>
        <w:t>总承包人（全称）：</w:t>
      </w:r>
      <w:r>
        <w:rPr>
          <w:rFonts w:hint="eastAsia" w:ascii="宋体" w:hAnsi="宋体" w:cs="宋体"/>
          <w:szCs w:val="21"/>
          <w:u w:val="single"/>
        </w:rPr>
        <w:t xml:space="preserve">                             </w:t>
      </w:r>
    </w:p>
    <w:p>
      <w:pPr>
        <w:spacing w:line="360" w:lineRule="exact"/>
        <w:rPr>
          <w:b/>
          <w:szCs w:val="21"/>
        </w:rPr>
      </w:pPr>
      <w:r>
        <w:rPr>
          <w:rFonts w:hint="eastAsia" w:ascii="宋体" w:hAnsi="宋体" w:cs="宋体"/>
          <w:szCs w:val="21"/>
        </w:rPr>
        <w:t>分包人（全称）：</w:t>
      </w:r>
      <w:r>
        <w:rPr>
          <w:rFonts w:hint="eastAsia" w:ascii="宋体" w:hAnsi="宋体" w:cs="宋体"/>
          <w:szCs w:val="21"/>
          <w:u w:val="single"/>
        </w:rPr>
        <w:t xml:space="preserve">                              </w:t>
      </w:r>
      <w:r>
        <w:rPr>
          <w:rFonts w:hint="eastAsia"/>
          <w:b/>
          <w:szCs w:val="21"/>
        </w:rPr>
        <w:t xml:space="preserve">               </w:t>
      </w:r>
    </w:p>
    <w:p>
      <w:pPr>
        <w:spacing w:line="360" w:lineRule="exact"/>
        <w:ind w:firstLine="420" w:firstLineChars="200"/>
        <w:rPr>
          <w:szCs w:val="21"/>
        </w:rPr>
      </w:pPr>
      <w:r>
        <w:rPr>
          <w:szCs w:val="21"/>
        </w:rPr>
        <w:t>根据《中华人民共和国</w:t>
      </w:r>
      <w:r>
        <w:rPr>
          <w:rFonts w:hint="eastAsia"/>
          <w:szCs w:val="21"/>
        </w:rPr>
        <w:t>民法典</w:t>
      </w:r>
      <w:r>
        <w:rPr>
          <w:szCs w:val="21"/>
        </w:rPr>
        <w:t>》、《中华人民共和国建筑法》及有关法律规定，遵循平等、自愿、公平和诚实信用的原则，双方就</w:t>
      </w:r>
      <w:r>
        <w:rPr>
          <w:rFonts w:hint="eastAsia"/>
          <w:szCs w:val="21"/>
          <w:u w:val="single"/>
        </w:rPr>
        <w:t>绿色药都产业园配套设施提升工程（北区）（</w:t>
      </w:r>
      <w:r>
        <w:rPr>
          <w:rFonts w:hint="eastAsia"/>
          <w:szCs w:val="21"/>
          <w:u w:val="single"/>
          <w:lang w:eastAsia="zh-CN"/>
        </w:rPr>
        <w:t>亮化工程</w:t>
      </w:r>
      <w:r>
        <w:rPr>
          <w:rFonts w:hint="eastAsia"/>
          <w:szCs w:val="21"/>
          <w:u w:val="single"/>
        </w:rPr>
        <w:t>）</w:t>
      </w:r>
      <w:r>
        <w:rPr>
          <w:szCs w:val="21"/>
        </w:rPr>
        <w:t>施工及有关事项协商一致</w:t>
      </w:r>
      <w:r>
        <w:rPr>
          <w:rFonts w:hint="eastAsia"/>
          <w:szCs w:val="21"/>
        </w:rPr>
        <w:t>，</w:t>
      </w:r>
      <w:r>
        <w:rPr>
          <w:szCs w:val="21"/>
        </w:rPr>
        <w:t>共同达成如下协议：</w:t>
      </w:r>
    </w:p>
    <w:p>
      <w:pPr>
        <w:pStyle w:val="5"/>
        <w:tabs>
          <w:tab w:val="left" w:pos="426"/>
        </w:tabs>
        <w:spacing w:before="0" w:after="0" w:line="360" w:lineRule="exact"/>
        <w:rPr>
          <w:rFonts w:ascii="Times New Roman" w:hAnsi="Times New Roman"/>
          <w:bCs w:val="0"/>
          <w:sz w:val="21"/>
          <w:szCs w:val="21"/>
        </w:rPr>
      </w:pPr>
      <w:bookmarkStart w:id="324" w:name="_Toc351203481"/>
      <w:r>
        <w:rPr>
          <w:rFonts w:ascii="Times New Roman" w:hAnsi="Times New Roman"/>
          <w:b w:val="0"/>
          <w:sz w:val="21"/>
          <w:szCs w:val="21"/>
        </w:rPr>
        <w:t>一、工程概况</w:t>
      </w:r>
      <w:bookmarkEnd w:id="324"/>
    </w:p>
    <w:p>
      <w:pPr>
        <w:spacing w:line="360" w:lineRule="exact"/>
        <w:ind w:firstLine="411" w:firstLineChars="196"/>
        <w:rPr>
          <w:szCs w:val="21"/>
          <w:u w:val="single"/>
        </w:rPr>
      </w:pPr>
      <w:r>
        <w:rPr>
          <w:bCs/>
          <w:szCs w:val="21"/>
        </w:rPr>
        <w:t>1</w:t>
      </w:r>
      <w:r>
        <w:rPr>
          <w:rFonts w:hint="eastAsia"/>
          <w:bCs/>
          <w:szCs w:val="21"/>
        </w:rPr>
        <w:t>．</w:t>
      </w:r>
      <w:r>
        <w:rPr>
          <w:bCs/>
          <w:szCs w:val="21"/>
        </w:rPr>
        <w:t>工程名称</w:t>
      </w:r>
      <w:r>
        <w:rPr>
          <w:szCs w:val="21"/>
        </w:rPr>
        <w:t>：</w:t>
      </w:r>
      <w:r>
        <w:rPr>
          <w:rFonts w:hint="eastAsia"/>
          <w:szCs w:val="21"/>
          <w:u w:val="single"/>
        </w:rPr>
        <w:t>绿色药都产业园配套设施提升工程（北区）（</w:t>
      </w:r>
      <w:r>
        <w:rPr>
          <w:rFonts w:hint="eastAsia"/>
          <w:szCs w:val="21"/>
          <w:u w:val="single"/>
          <w:lang w:eastAsia="zh-CN"/>
        </w:rPr>
        <w:t>亮化工程</w:t>
      </w:r>
      <w:r>
        <w:rPr>
          <w:rFonts w:hint="eastAsia"/>
          <w:szCs w:val="21"/>
          <w:u w:val="single"/>
        </w:rPr>
        <w:t>）</w:t>
      </w:r>
      <w:r>
        <w:rPr>
          <w:szCs w:val="21"/>
        </w:rPr>
        <w:t>。</w:t>
      </w:r>
    </w:p>
    <w:p>
      <w:pPr>
        <w:spacing w:line="360" w:lineRule="exact"/>
        <w:ind w:firstLine="411" w:firstLineChars="196"/>
        <w:rPr>
          <w:bCs/>
          <w:szCs w:val="21"/>
        </w:rPr>
      </w:pPr>
      <w:r>
        <w:rPr>
          <w:bCs/>
          <w:szCs w:val="21"/>
        </w:rPr>
        <w:t>2</w:t>
      </w:r>
      <w:r>
        <w:rPr>
          <w:rFonts w:hint="eastAsia"/>
          <w:bCs/>
          <w:szCs w:val="21"/>
        </w:rPr>
        <w:t>．</w:t>
      </w:r>
      <w:r>
        <w:rPr>
          <w:bCs/>
          <w:szCs w:val="21"/>
        </w:rPr>
        <w:t>工程地点：</w:t>
      </w:r>
      <w:r>
        <w:rPr>
          <w:rFonts w:hint="eastAsia"/>
          <w:bCs/>
          <w:szCs w:val="21"/>
          <w:u w:val="single"/>
        </w:rPr>
        <w:t>台州市椒江区海门街道，枫南东路以南，四塘路以东，规划路以北，五塘北路以西。</w:t>
      </w:r>
    </w:p>
    <w:p>
      <w:pPr>
        <w:spacing w:line="360" w:lineRule="exact"/>
        <w:ind w:firstLine="411" w:firstLineChars="196"/>
        <w:rPr>
          <w:bCs/>
          <w:szCs w:val="21"/>
        </w:rPr>
      </w:pPr>
      <w:r>
        <w:rPr>
          <w:bCs/>
          <w:szCs w:val="21"/>
        </w:rPr>
        <w:t>3</w:t>
      </w:r>
      <w:r>
        <w:rPr>
          <w:rFonts w:hint="eastAsia"/>
          <w:bCs/>
          <w:szCs w:val="21"/>
        </w:rPr>
        <w:t>．</w:t>
      </w:r>
      <w:r>
        <w:rPr>
          <w:bCs/>
          <w:szCs w:val="21"/>
        </w:rPr>
        <w:t>工程立项批准文号：</w:t>
      </w:r>
      <w:r>
        <w:rPr>
          <w:rFonts w:hint="eastAsia" w:ascii="宋体" w:hAnsi="宋体" w:cs="宋体"/>
          <w:bCs/>
          <w:szCs w:val="21"/>
          <w:u w:val="single"/>
        </w:rPr>
        <w:t>椒发改投[2021]75号</w:t>
      </w:r>
      <w:r>
        <w:rPr>
          <w:bCs/>
          <w:szCs w:val="21"/>
        </w:rPr>
        <w:t>。</w:t>
      </w:r>
    </w:p>
    <w:p>
      <w:pPr>
        <w:spacing w:line="360" w:lineRule="exact"/>
        <w:ind w:firstLine="411" w:firstLineChars="196"/>
        <w:rPr>
          <w:bCs/>
          <w:szCs w:val="21"/>
        </w:rPr>
      </w:pPr>
      <w:r>
        <w:rPr>
          <w:bCs/>
          <w:szCs w:val="21"/>
        </w:rPr>
        <w:t>4</w:t>
      </w:r>
      <w:r>
        <w:rPr>
          <w:rFonts w:hint="eastAsia"/>
          <w:bCs/>
          <w:szCs w:val="21"/>
        </w:rPr>
        <w:t>．</w:t>
      </w:r>
      <w:r>
        <w:rPr>
          <w:bCs/>
          <w:szCs w:val="21"/>
        </w:rPr>
        <w:t>资金来源：</w:t>
      </w:r>
      <w:r>
        <w:rPr>
          <w:rFonts w:hint="eastAsia"/>
          <w:bCs/>
          <w:szCs w:val="21"/>
          <w:u w:val="single"/>
        </w:rPr>
        <w:t>国有资金100%</w:t>
      </w:r>
      <w:r>
        <w:rPr>
          <w:bCs/>
          <w:szCs w:val="21"/>
        </w:rPr>
        <w:t>。</w:t>
      </w:r>
    </w:p>
    <w:p>
      <w:pPr>
        <w:spacing w:line="360" w:lineRule="exact"/>
        <w:ind w:firstLine="411" w:firstLineChars="196"/>
        <w:rPr>
          <w:bCs/>
          <w:szCs w:val="21"/>
        </w:rPr>
      </w:pPr>
      <w:r>
        <w:rPr>
          <w:rFonts w:hint="eastAsia"/>
          <w:bCs/>
          <w:szCs w:val="21"/>
        </w:rPr>
        <w:t>5．工程内容：</w:t>
      </w:r>
      <w:r>
        <w:rPr>
          <w:rFonts w:hint="eastAsia"/>
          <w:bCs/>
          <w:szCs w:val="21"/>
          <w:u w:val="single"/>
        </w:rPr>
        <w:t>本工程为绿色药都产业园配套设施提升工程（北区）（</w:t>
      </w:r>
      <w:r>
        <w:rPr>
          <w:rFonts w:hint="eastAsia"/>
          <w:bCs/>
          <w:szCs w:val="21"/>
          <w:u w:val="single"/>
          <w:lang w:eastAsia="zh-CN"/>
        </w:rPr>
        <w:t>亮化工程</w:t>
      </w:r>
      <w:r>
        <w:rPr>
          <w:rFonts w:hint="eastAsia"/>
          <w:bCs/>
          <w:szCs w:val="21"/>
          <w:u w:val="single"/>
        </w:rPr>
        <w:t>），项目内容主要为室外灯具及预埋管线、桥架、开关电源、灯具控制器、配电箱等亮化工程。</w:t>
      </w:r>
    </w:p>
    <w:p>
      <w:pPr>
        <w:spacing w:line="360" w:lineRule="exact"/>
        <w:ind w:firstLine="411" w:firstLineChars="196"/>
        <w:rPr>
          <w:bCs/>
          <w:szCs w:val="21"/>
        </w:rPr>
      </w:pPr>
      <w:r>
        <w:rPr>
          <w:rFonts w:hint="eastAsia"/>
          <w:szCs w:val="21"/>
        </w:rPr>
        <w:t>群体工程应附《分包人</w:t>
      </w:r>
      <w:r>
        <w:rPr>
          <w:szCs w:val="21"/>
        </w:rPr>
        <w:t>承揽工程项目一览表</w:t>
      </w:r>
      <w:r>
        <w:rPr>
          <w:rFonts w:hint="eastAsia"/>
          <w:szCs w:val="21"/>
        </w:rPr>
        <w:t>》（附件1）。</w:t>
      </w:r>
    </w:p>
    <w:p>
      <w:pPr>
        <w:spacing w:line="360" w:lineRule="exact"/>
        <w:ind w:firstLine="420" w:firstLineChars="200"/>
        <w:rPr>
          <w:szCs w:val="21"/>
        </w:rPr>
      </w:pPr>
      <w:r>
        <w:rPr>
          <w:rFonts w:hint="eastAsia"/>
          <w:bCs/>
          <w:szCs w:val="21"/>
        </w:rPr>
        <w:t>6．</w:t>
      </w:r>
      <w:r>
        <w:rPr>
          <w:bCs/>
          <w:szCs w:val="21"/>
        </w:rPr>
        <w:t>工程承包范围：</w:t>
      </w:r>
      <w:r>
        <w:rPr>
          <w:rFonts w:hint="eastAsia"/>
          <w:bCs/>
          <w:szCs w:val="21"/>
          <w:u w:val="single"/>
          <w:lang w:eastAsia="zh-CN"/>
        </w:rPr>
        <w:t>招标人所提供的施工图纸所包含的亮化工程</w:t>
      </w:r>
      <w:r>
        <w:rPr>
          <w:rFonts w:hint="eastAsia"/>
          <w:bCs/>
          <w:szCs w:val="21"/>
          <w:u w:val="single"/>
        </w:rPr>
        <w:t>。具体内容详见招标人提供的工程量清单及编制说明。</w:t>
      </w:r>
    </w:p>
    <w:p>
      <w:pPr>
        <w:pStyle w:val="5"/>
        <w:spacing w:before="0" w:after="0" w:line="360" w:lineRule="exact"/>
        <w:rPr>
          <w:rFonts w:ascii="Times New Roman" w:hAnsi="Times New Roman"/>
          <w:b w:val="0"/>
          <w:sz w:val="21"/>
          <w:szCs w:val="21"/>
        </w:rPr>
      </w:pPr>
      <w:bookmarkStart w:id="325" w:name="_Toc351203482"/>
      <w:r>
        <w:rPr>
          <w:rFonts w:ascii="Times New Roman" w:hAnsi="Times New Roman"/>
          <w:b w:val="0"/>
          <w:sz w:val="21"/>
          <w:szCs w:val="21"/>
        </w:rPr>
        <w:t>二、合同工期</w:t>
      </w:r>
      <w:bookmarkEnd w:id="325"/>
    </w:p>
    <w:p>
      <w:pPr>
        <w:spacing w:line="360" w:lineRule="exact"/>
        <w:ind w:firstLine="420" w:firstLineChars="200"/>
        <w:rPr>
          <w:szCs w:val="21"/>
        </w:rPr>
      </w:pPr>
      <w:r>
        <w:rPr>
          <w:szCs w:val="21"/>
        </w:rPr>
        <w:t>计划开工日期：</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spacing w:line="360" w:lineRule="exact"/>
        <w:ind w:firstLine="420" w:firstLineChars="200"/>
        <w:rPr>
          <w:szCs w:val="21"/>
        </w:rPr>
      </w:pPr>
      <w:r>
        <w:rPr>
          <w:szCs w:val="21"/>
        </w:rPr>
        <w:t>计划竣工日期：</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spacing w:line="360" w:lineRule="exact"/>
        <w:ind w:firstLine="420" w:firstLineChars="200"/>
        <w:rPr>
          <w:szCs w:val="21"/>
        </w:rPr>
      </w:pPr>
      <w:r>
        <w:rPr>
          <w:szCs w:val="21"/>
        </w:rPr>
        <w:t>工期总日历天数：</w:t>
      </w:r>
      <w:r>
        <w:rPr>
          <w:rFonts w:hint="eastAsia"/>
          <w:szCs w:val="21"/>
          <w:u w:val="single"/>
        </w:rPr>
        <w:t xml:space="preserve">    </w:t>
      </w:r>
      <w:r>
        <w:rPr>
          <w:szCs w:val="21"/>
        </w:rPr>
        <w:t>天。工期总日历天数与根据前述计划开</w:t>
      </w:r>
      <w:r>
        <w:rPr>
          <w:rFonts w:hint="eastAsia"/>
          <w:szCs w:val="21"/>
        </w:rPr>
        <w:t>、</w:t>
      </w:r>
      <w:r>
        <w:rPr>
          <w:szCs w:val="21"/>
        </w:rPr>
        <w:t>竣工日期计算的工期天数不一致的，以工期总日历天数为准</w:t>
      </w:r>
      <w:r>
        <w:rPr>
          <w:rFonts w:hint="eastAsia"/>
        </w:rPr>
        <w:t>。</w:t>
      </w:r>
      <w:r>
        <w:rPr>
          <w:rFonts w:hint="eastAsia"/>
          <w:szCs w:val="21"/>
        </w:rPr>
        <w:t>配合总承包人进度按期竣工并移交整个</w:t>
      </w:r>
      <w:r>
        <w:rPr>
          <w:rFonts w:hint="eastAsia"/>
          <w:szCs w:val="21"/>
          <w:lang w:eastAsia="zh-CN"/>
        </w:rPr>
        <w:t>亮化工程</w:t>
      </w:r>
      <w:r>
        <w:rPr>
          <w:rFonts w:hint="eastAsia"/>
          <w:szCs w:val="21"/>
        </w:rPr>
        <w:t>。</w:t>
      </w:r>
    </w:p>
    <w:p>
      <w:pPr>
        <w:pStyle w:val="5"/>
        <w:spacing w:before="0" w:after="0" w:line="360" w:lineRule="exact"/>
        <w:rPr>
          <w:rFonts w:ascii="Times New Roman" w:hAnsi="Times New Roman"/>
          <w:bCs w:val="0"/>
          <w:sz w:val="21"/>
          <w:szCs w:val="21"/>
        </w:rPr>
      </w:pPr>
      <w:bookmarkStart w:id="326" w:name="_Toc351203483"/>
      <w:r>
        <w:rPr>
          <w:rFonts w:ascii="Times New Roman" w:hAnsi="Times New Roman"/>
          <w:b w:val="0"/>
          <w:sz w:val="21"/>
          <w:szCs w:val="21"/>
        </w:rPr>
        <w:t>三、质量标准</w:t>
      </w:r>
      <w:bookmarkEnd w:id="326"/>
    </w:p>
    <w:p>
      <w:pPr>
        <w:spacing w:line="360" w:lineRule="exact"/>
        <w:ind w:firstLine="459"/>
        <w:rPr>
          <w:szCs w:val="21"/>
        </w:rPr>
      </w:pPr>
      <w:r>
        <w:rPr>
          <w:szCs w:val="21"/>
        </w:rPr>
        <w:t>工程质量符合</w:t>
      </w:r>
      <w:r>
        <w:rPr>
          <w:rFonts w:hint="eastAsia"/>
          <w:szCs w:val="21"/>
          <w:u w:val="single"/>
        </w:rPr>
        <w:t>合格</w:t>
      </w:r>
      <w:r>
        <w:rPr>
          <w:szCs w:val="21"/>
        </w:rPr>
        <w:t>标准。</w:t>
      </w:r>
    </w:p>
    <w:p>
      <w:pPr>
        <w:pStyle w:val="5"/>
        <w:spacing w:before="0" w:after="0" w:line="360" w:lineRule="exact"/>
        <w:rPr>
          <w:rFonts w:ascii="Times New Roman" w:hAnsi="Times New Roman"/>
          <w:bCs w:val="0"/>
          <w:sz w:val="21"/>
          <w:szCs w:val="21"/>
        </w:rPr>
      </w:pPr>
      <w:bookmarkStart w:id="327" w:name="_Toc351203484"/>
      <w:r>
        <w:rPr>
          <w:rFonts w:ascii="Times New Roman" w:hAnsi="Times New Roman"/>
          <w:b w:val="0"/>
          <w:sz w:val="21"/>
          <w:szCs w:val="21"/>
        </w:rPr>
        <w:t>四、签约合同价与合同价格形式</w:t>
      </w:r>
      <w:bookmarkEnd w:id="327"/>
      <w:r>
        <w:rPr>
          <w:rFonts w:ascii="Times New Roman" w:hAnsi="Times New Roman"/>
          <w:b w:val="0"/>
          <w:sz w:val="21"/>
          <w:szCs w:val="21"/>
        </w:rPr>
        <w:tab/>
      </w:r>
    </w:p>
    <w:p>
      <w:pPr>
        <w:spacing w:line="360" w:lineRule="exact"/>
        <w:ind w:firstLine="420" w:firstLineChars="200"/>
        <w:rPr>
          <w:rFonts w:ascii="宋体" w:hAnsi="宋体" w:cs="宋体"/>
          <w:szCs w:val="21"/>
        </w:rPr>
      </w:pPr>
      <w:r>
        <w:rPr>
          <w:rFonts w:hint="eastAsia" w:ascii="宋体" w:hAnsi="宋体" w:cs="宋体"/>
          <w:szCs w:val="21"/>
        </w:rPr>
        <w:t>1．签约合同价为：</w:t>
      </w:r>
    </w:p>
    <w:p>
      <w:pPr>
        <w:spacing w:line="360" w:lineRule="exact"/>
        <w:ind w:firstLine="420" w:firstLineChars="20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20" w:firstLineChars="200"/>
        <w:rPr>
          <w:rFonts w:ascii="宋体" w:hAnsi="宋体" w:cs="宋体"/>
          <w:szCs w:val="21"/>
        </w:rPr>
      </w:pPr>
      <w:r>
        <w:rPr>
          <w:rFonts w:hint="eastAsia" w:ascii="宋体" w:hAnsi="宋体" w:cs="宋体"/>
          <w:szCs w:val="21"/>
        </w:rPr>
        <w:t>其中增值税税率：</w:t>
      </w:r>
      <w:r>
        <w:rPr>
          <w:rFonts w:hint="eastAsia" w:ascii="宋体" w:hAnsi="宋体" w:cs="宋体"/>
          <w:szCs w:val="21"/>
          <w:u w:val="single"/>
        </w:rPr>
        <w:t xml:space="preserve">        </w:t>
      </w:r>
      <w:r>
        <w:rPr>
          <w:rFonts w:hint="eastAsia" w:ascii="宋体" w:hAnsi="宋体" w:cs="宋体"/>
          <w:szCs w:val="21"/>
        </w:rPr>
        <w:t>；税金：人民币（大写）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元），不含税金额（大写）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元）。税金根据政策性文件规定调整。</w:t>
      </w:r>
    </w:p>
    <w:p>
      <w:pPr>
        <w:spacing w:line="360" w:lineRule="exact"/>
        <w:ind w:firstLine="420" w:firstLineChars="200"/>
        <w:rPr>
          <w:rFonts w:ascii="宋体" w:hAnsi="宋体" w:cs="宋体"/>
          <w:szCs w:val="21"/>
        </w:rPr>
      </w:pPr>
      <w:r>
        <w:rPr>
          <w:rFonts w:hint="eastAsia" w:ascii="宋体" w:hAnsi="宋体" w:cs="宋体"/>
          <w:szCs w:val="21"/>
        </w:rPr>
        <w:t>其中：</w:t>
      </w:r>
    </w:p>
    <w:p>
      <w:pPr>
        <w:spacing w:line="360" w:lineRule="exact"/>
        <w:ind w:firstLine="420" w:firstLineChars="200"/>
        <w:rPr>
          <w:rFonts w:ascii="宋体" w:hAnsi="宋体" w:cs="宋体"/>
          <w:szCs w:val="21"/>
        </w:rPr>
      </w:pPr>
      <w:r>
        <w:rPr>
          <w:rFonts w:hint="eastAsia" w:ascii="宋体" w:hAnsi="宋体" w:cs="宋体"/>
          <w:szCs w:val="21"/>
        </w:rPr>
        <w:t>（1）安全文明施工费：</w:t>
      </w:r>
    </w:p>
    <w:p>
      <w:pPr>
        <w:spacing w:line="360" w:lineRule="exact"/>
        <w:ind w:firstLine="945" w:firstLineChars="4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20" w:firstLineChars="200"/>
        <w:rPr>
          <w:rFonts w:ascii="宋体" w:hAnsi="宋体" w:cs="宋体"/>
          <w:szCs w:val="21"/>
        </w:rPr>
      </w:pPr>
      <w:r>
        <w:rPr>
          <w:rFonts w:hint="eastAsia" w:ascii="宋体" w:hAnsi="宋体" w:cs="宋体"/>
          <w:szCs w:val="21"/>
        </w:rPr>
        <w:t>（2）材料和工程设备暂估价金额：</w:t>
      </w:r>
    </w:p>
    <w:p>
      <w:pPr>
        <w:spacing w:line="360" w:lineRule="exact"/>
        <w:ind w:firstLine="945" w:firstLineChars="4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20" w:firstLineChars="200"/>
        <w:rPr>
          <w:rFonts w:ascii="宋体" w:hAnsi="宋体" w:cs="宋体"/>
          <w:szCs w:val="21"/>
        </w:rPr>
      </w:pPr>
      <w:r>
        <w:rPr>
          <w:rFonts w:hint="eastAsia" w:ascii="宋体" w:hAnsi="宋体" w:cs="宋体"/>
          <w:szCs w:val="21"/>
        </w:rPr>
        <w:t>（3）专业工程暂估价金额：</w:t>
      </w:r>
    </w:p>
    <w:p>
      <w:pPr>
        <w:spacing w:line="360" w:lineRule="exact"/>
        <w:ind w:firstLine="945" w:firstLineChars="4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20" w:firstLineChars="200"/>
        <w:rPr>
          <w:rFonts w:ascii="宋体" w:hAnsi="宋体" w:cs="宋体"/>
          <w:szCs w:val="21"/>
        </w:rPr>
      </w:pPr>
      <w:r>
        <w:rPr>
          <w:rFonts w:hint="eastAsia" w:ascii="宋体" w:hAnsi="宋体" w:cs="宋体"/>
          <w:szCs w:val="21"/>
        </w:rPr>
        <w:t>（4）暂列金额：</w:t>
      </w:r>
    </w:p>
    <w:p>
      <w:pPr>
        <w:spacing w:line="360" w:lineRule="exact"/>
        <w:ind w:firstLine="945" w:firstLineChars="4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20" w:firstLineChars="200"/>
        <w:rPr>
          <w:rFonts w:ascii="宋体" w:hAnsi="宋体" w:cs="宋体"/>
          <w:szCs w:val="21"/>
        </w:rPr>
      </w:pPr>
      <w:r>
        <w:rPr>
          <w:rFonts w:hint="eastAsia" w:ascii="宋体" w:hAnsi="宋体" w:cs="宋体"/>
          <w:szCs w:val="21"/>
        </w:rPr>
        <w:t>2．合同价格形式：</w:t>
      </w:r>
      <w:r>
        <w:rPr>
          <w:rFonts w:hint="eastAsia" w:ascii="宋体" w:hAnsi="宋体" w:cs="宋体"/>
          <w:szCs w:val="21"/>
          <w:u w:val="single"/>
        </w:rPr>
        <w:t>单价合同</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3．发包人向分包人支付工程价款及其他应当支付的款项均须汇入分包人合同协议书中的银行账户。</w:t>
      </w:r>
    </w:p>
    <w:p>
      <w:pPr>
        <w:spacing w:line="360" w:lineRule="exact"/>
        <w:ind w:firstLine="352" w:firstLineChars="168"/>
        <w:rPr>
          <w:rFonts w:ascii="宋体" w:hAnsi="宋体" w:cs="宋体"/>
          <w:szCs w:val="21"/>
        </w:rPr>
      </w:pPr>
      <w:r>
        <w:rPr>
          <w:rFonts w:hint="eastAsia" w:ascii="宋体" w:hAnsi="宋体" w:cs="宋体"/>
          <w:szCs w:val="21"/>
          <w:shd w:val="clear" w:color="auto" w:fill="FFFFFF"/>
        </w:rPr>
        <w:t>分包人完成本合同项下应税行为的计税方式按</w:t>
      </w:r>
      <w:r>
        <w:rPr>
          <w:rFonts w:hint="eastAsia" w:ascii="宋体" w:hAnsi="宋体" w:cs="宋体"/>
          <w:szCs w:val="21"/>
        </w:rPr>
        <w:t>以下第</w:t>
      </w:r>
      <w:r>
        <w:rPr>
          <w:rFonts w:hint="eastAsia" w:ascii="宋体" w:hAnsi="宋体" w:cs="宋体"/>
          <w:szCs w:val="21"/>
          <w:u w:val="single"/>
          <w:shd w:val="clear" w:color="auto" w:fill="FFFFFF"/>
        </w:rPr>
        <w:t xml:space="preserve"> （1） </w:t>
      </w:r>
      <w:r>
        <w:rPr>
          <w:rFonts w:hint="eastAsia" w:ascii="宋体" w:hAnsi="宋体" w:cs="宋体"/>
          <w:szCs w:val="21"/>
          <w:shd w:val="clear" w:color="auto" w:fill="FFFFFF"/>
        </w:rPr>
        <w:t>种方法，并与</w:t>
      </w:r>
      <w:r>
        <w:rPr>
          <w:rFonts w:hint="eastAsia" w:ascii="宋体" w:hAnsi="宋体" w:cs="宋体"/>
          <w:szCs w:val="21"/>
        </w:rPr>
        <w:t>工程计价时采用的计税方法一致。</w:t>
      </w:r>
    </w:p>
    <w:p>
      <w:pPr>
        <w:spacing w:line="360" w:lineRule="exact"/>
        <w:ind w:firstLine="352" w:firstLineChars="168"/>
        <w:rPr>
          <w:rFonts w:ascii="宋体" w:hAnsi="宋体" w:cs="宋体"/>
          <w:szCs w:val="21"/>
        </w:rPr>
      </w:pPr>
      <w:r>
        <w:rPr>
          <w:rFonts w:hint="eastAsia" w:ascii="宋体" w:hAnsi="宋体" w:cs="宋体"/>
          <w:szCs w:val="21"/>
          <w:shd w:val="clear" w:color="auto" w:fill="FFFFFF"/>
        </w:rPr>
        <w:t>（1）一般计税方法。</w:t>
      </w:r>
    </w:p>
    <w:p>
      <w:pPr>
        <w:spacing w:line="360" w:lineRule="exact"/>
        <w:ind w:firstLine="352" w:firstLineChars="168"/>
        <w:rPr>
          <w:szCs w:val="21"/>
        </w:rPr>
      </w:pPr>
      <w:r>
        <w:rPr>
          <w:rFonts w:hint="eastAsia" w:ascii="宋体" w:hAnsi="宋体" w:cs="宋体"/>
          <w:szCs w:val="21"/>
        </w:rPr>
        <w:t>（2）</w:t>
      </w:r>
      <w:r>
        <w:rPr>
          <w:rFonts w:hint="eastAsia" w:ascii="宋体" w:hAnsi="宋体" w:cs="宋体"/>
          <w:szCs w:val="21"/>
          <w:shd w:val="clear" w:color="auto" w:fill="FFFFFF"/>
        </w:rPr>
        <w:t>简易计税方法。</w:t>
      </w:r>
    </w:p>
    <w:p>
      <w:pPr>
        <w:pStyle w:val="5"/>
        <w:spacing w:before="0" w:after="0" w:line="360" w:lineRule="exact"/>
        <w:rPr>
          <w:rFonts w:ascii="Times New Roman" w:hAnsi="Times New Roman"/>
          <w:b w:val="0"/>
          <w:sz w:val="21"/>
          <w:szCs w:val="21"/>
        </w:rPr>
      </w:pPr>
      <w:bookmarkStart w:id="328" w:name="_Toc351203485"/>
      <w:r>
        <w:rPr>
          <w:rFonts w:ascii="Times New Roman" w:hAnsi="Times New Roman"/>
          <w:b w:val="0"/>
          <w:sz w:val="21"/>
          <w:szCs w:val="21"/>
        </w:rPr>
        <w:t>五、</w:t>
      </w:r>
      <w:bookmarkEnd w:id="328"/>
      <w:r>
        <w:rPr>
          <w:rFonts w:ascii="Times New Roman" w:hAnsi="Times New Roman"/>
          <w:b w:val="0"/>
          <w:sz w:val="21"/>
          <w:szCs w:val="21"/>
        </w:rPr>
        <w:t>项目经理</w:t>
      </w:r>
    </w:p>
    <w:p>
      <w:pPr>
        <w:spacing w:line="360" w:lineRule="exact"/>
        <w:ind w:firstLine="420" w:firstLineChars="200"/>
        <w:rPr>
          <w:szCs w:val="21"/>
        </w:rPr>
      </w:pPr>
      <w:r>
        <w:rPr>
          <w:rFonts w:hint="eastAsia"/>
          <w:szCs w:val="21"/>
        </w:rPr>
        <w:t>分包人</w:t>
      </w:r>
      <w:r>
        <w:rPr>
          <w:szCs w:val="21"/>
        </w:rPr>
        <w:t>项目经理：</w:t>
      </w:r>
      <w:r>
        <w:rPr>
          <w:szCs w:val="21"/>
          <w:u w:val="single"/>
        </w:rPr>
        <w:t>    </w:t>
      </w:r>
      <w:r>
        <w:rPr>
          <w:szCs w:val="21"/>
        </w:rPr>
        <w:t>。</w:t>
      </w:r>
    </w:p>
    <w:p>
      <w:pPr>
        <w:pStyle w:val="5"/>
        <w:spacing w:before="0" w:after="0" w:line="360" w:lineRule="exact"/>
        <w:rPr>
          <w:rFonts w:ascii="Times New Roman" w:hAnsi="Times New Roman"/>
          <w:bCs w:val="0"/>
          <w:sz w:val="21"/>
          <w:szCs w:val="21"/>
        </w:rPr>
      </w:pPr>
      <w:bookmarkStart w:id="329" w:name="_Toc351203486"/>
      <w:r>
        <w:rPr>
          <w:rFonts w:ascii="Times New Roman" w:hAnsi="Times New Roman"/>
          <w:b w:val="0"/>
          <w:sz w:val="21"/>
          <w:szCs w:val="21"/>
        </w:rPr>
        <w:t>六、合同文件构成</w:t>
      </w:r>
      <w:bookmarkEnd w:id="329"/>
    </w:p>
    <w:p>
      <w:pPr>
        <w:spacing w:line="360" w:lineRule="exact"/>
        <w:ind w:firstLine="420" w:firstLineChars="200"/>
        <w:rPr>
          <w:bCs/>
          <w:szCs w:val="21"/>
        </w:rPr>
      </w:pPr>
      <w:r>
        <w:rPr>
          <w:bCs/>
          <w:szCs w:val="21"/>
        </w:rPr>
        <w:t>本协议书与下列文件一起构成合同文件：</w:t>
      </w:r>
    </w:p>
    <w:p>
      <w:pPr>
        <w:autoSpaceDE w:val="0"/>
        <w:autoSpaceDN w:val="0"/>
        <w:adjustRightInd w:val="0"/>
        <w:spacing w:line="360" w:lineRule="exact"/>
        <w:ind w:firstLine="420" w:firstLineChars="200"/>
        <w:rPr>
          <w:szCs w:val="21"/>
        </w:rPr>
      </w:pPr>
      <w:r>
        <w:rPr>
          <w:szCs w:val="21"/>
        </w:rPr>
        <w:t>（1）中标通知书</w:t>
      </w:r>
      <w:r>
        <w:rPr>
          <w:rFonts w:hint="eastAsia"/>
          <w:szCs w:val="21"/>
        </w:rPr>
        <w:t>（如果有）</w:t>
      </w:r>
      <w:r>
        <w:rPr>
          <w:szCs w:val="21"/>
        </w:rPr>
        <w:t>；</w:t>
      </w:r>
    </w:p>
    <w:p>
      <w:pPr>
        <w:autoSpaceDE w:val="0"/>
        <w:autoSpaceDN w:val="0"/>
        <w:adjustRightInd w:val="0"/>
        <w:spacing w:line="360" w:lineRule="exact"/>
        <w:ind w:firstLine="420" w:firstLineChars="200"/>
        <w:rPr>
          <w:szCs w:val="21"/>
        </w:rPr>
      </w:pPr>
      <w:r>
        <w:rPr>
          <w:szCs w:val="21"/>
        </w:rPr>
        <w:t>（2）投标函及其附录（如果有）；</w:t>
      </w:r>
    </w:p>
    <w:p>
      <w:pPr>
        <w:autoSpaceDE w:val="0"/>
        <w:autoSpaceDN w:val="0"/>
        <w:adjustRightInd w:val="0"/>
        <w:spacing w:line="360" w:lineRule="exact"/>
        <w:ind w:firstLine="420" w:firstLineChars="200"/>
        <w:rPr>
          <w:szCs w:val="21"/>
        </w:rPr>
      </w:pPr>
      <w:r>
        <w:rPr>
          <w:szCs w:val="21"/>
        </w:rPr>
        <w:t>（3）专用合同条款及其附件；</w:t>
      </w:r>
    </w:p>
    <w:p>
      <w:pPr>
        <w:autoSpaceDE w:val="0"/>
        <w:autoSpaceDN w:val="0"/>
        <w:adjustRightInd w:val="0"/>
        <w:spacing w:line="360" w:lineRule="exact"/>
        <w:ind w:firstLine="420" w:firstLineChars="200"/>
        <w:rPr>
          <w:szCs w:val="21"/>
        </w:rPr>
      </w:pPr>
      <w:r>
        <w:rPr>
          <w:szCs w:val="21"/>
        </w:rPr>
        <w:t>（4）通用合同条款；</w:t>
      </w:r>
    </w:p>
    <w:p>
      <w:pPr>
        <w:autoSpaceDE w:val="0"/>
        <w:autoSpaceDN w:val="0"/>
        <w:adjustRightInd w:val="0"/>
        <w:spacing w:line="360" w:lineRule="exact"/>
        <w:ind w:firstLine="420" w:firstLineChars="200"/>
        <w:rPr>
          <w:szCs w:val="21"/>
        </w:rPr>
      </w:pPr>
      <w:r>
        <w:rPr>
          <w:szCs w:val="21"/>
        </w:rPr>
        <w:t>（5）技术标准和要求；</w:t>
      </w:r>
    </w:p>
    <w:p>
      <w:pPr>
        <w:autoSpaceDE w:val="0"/>
        <w:autoSpaceDN w:val="0"/>
        <w:adjustRightInd w:val="0"/>
        <w:spacing w:line="360" w:lineRule="exact"/>
        <w:ind w:firstLine="420" w:firstLineChars="200"/>
        <w:rPr>
          <w:szCs w:val="21"/>
        </w:rPr>
      </w:pPr>
      <w:r>
        <w:rPr>
          <w:szCs w:val="21"/>
        </w:rPr>
        <w:t>（6）图纸；</w:t>
      </w:r>
    </w:p>
    <w:p>
      <w:pPr>
        <w:autoSpaceDE w:val="0"/>
        <w:autoSpaceDN w:val="0"/>
        <w:adjustRightInd w:val="0"/>
        <w:spacing w:line="360" w:lineRule="exact"/>
        <w:ind w:firstLine="420" w:firstLineChars="200"/>
        <w:rPr>
          <w:szCs w:val="21"/>
        </w:rPr>
      </w:pPr>
      <w:r>
        <w:rPr>
          <w:szCs w:val="21"/>
        </w:rPr>
        <w:t>（7）已标价工程量清单或预算书；</w:t>
      </w:r>
    </w:p>
    <w:p>
      <w:pPr>
        <w:autoSpaceDE w:val="0"/>
        <w:autoSpaceDN w:val="0"/>
        <w:adjustRightInd w:val="0"/>
        <w:spacing w:line="360" w:lineRule="exact"/>
        <w:ind w:firstLine="420" w:firstLineChars="200"/>
        <w:rPr>
          <w:szCs w:val="21"/>
        </w:rPr>
      </w:pPr>
      <w:r>
        <w:rPr>
          <w:szCs w:val="21"/>
        </w:rPr>
        <w:t>（8）其他合同文件。</w:t>
      </w:r>
    </w:p>
    <w:p>
      <w:pPr>
        <w:autoSpaceDE w:val="0"/>
        <w:autoSpaceDN w:val="0"/>
        <w:adjustRightInd w:val="0"/>
        <w:spacing w:line="360" w:lineRule="exact"/>
        <w:ind w:firstLine="420" w:firstLineChars="200"/>
        <w:rPr>
          <w:szCs w:val="21"/>
        </w:rPr>
      </w:pPr>
      <w:r>
        <w:rPr>
          <w:szCs w:val="21"/>
        </w:rPr>
        <w:t>在合同订立及履行过程中形成的与合同有关的文件均构成合同文件组成部分。</w:t>
      </w:r>
    </w:p>
    <w:p>
      <w:pPr>
        <w:autoSpaceDE w:val="0"/>
        <w:autoSpaceDN w:val="0"/>
        <w:adjustRightInd w:val="0"/>
        <w:spacing w:line="360" w:lineRule="exact"/>
        <w:ind w:firstLine="420" w:firstLineChars="200"/>
        <w:rPr>
          <w:szCs w:val="21"/>
        </w:rPr>
      </w:pPr>
      <w:r>
        <w:rPr>
          <w:szCs w:val="21"/>
        </w:rPr>
        <w:t>上述各项合同文件包括合同当事人就该项合同文件所作出的补充和修改，属于同一类内容的文件，应以最新签署的为准。</w:t>
      </w:r>
      <w:r>
        <w:rPr>
          <w:rFonts w:hint="eastAsia"/>
          <w:szCs w:val="21"/>
        </w:rPr>
        <w:t>专用合同条款及其附件须经合同当事人签字或盖章。</w:t>
      </w:r>
    </w:p>
    <w:p>
      <w:pPr>
        <w:pStyle w:val="5"/>
        <w:spacing w:before="0" w:after="0" w:line="360" w:lineRule="exact"/>
        <w:ind w:firstLine="420" w:firstLineChars="200"/>
        <w:rPr>
          <w:rFonts w:ascii="Times New Roman" w:hAnsi="Times New Roman"/>
          <w:b w:val="0"/>
          <w:sz w:val="21"/>
          <w:szCs w:val="21"/>
        </w:rPr>
      </w:pPr>
      <w:r>
        <w:rPr>
          <w:rFonts w:hint="eastAsia" w:ascii="Times New Roman" w:hAnsi="Times New Roman"/>
          <w:b w:val="0"/>
          <w:sz w:val="21"/>
          <w:szCs w:val="21"/>
        </w:rPr>
        <w:t>七、创优目标</w:t>
      </w:r>
    </w:p>
    <w:p>
      <w:pPr>
        <w:autoSpaceDE w:val="0"/>
        <w:autoSpaceDN w:val="0"/>
        <w:adjustRightInd w:val="0"/>
        <w:spacing w:line="360" w:lineRule="exact"/>
        <w:ind w:firstLine="420" w:firstLineChars="200"/>
        <w:rPr>
          <w:szCs w:val="21"/>
          <w:u w:val="single"/>
        </w:rPr>
      </w:pPr>
      <w:r>
        <w:rPr>
          <w:rFonts w:hint="eastAsia"/>
          <w:szCs w:val="21"/>
        </w:rPr>
        <w:t>工程质量创</w:t>
      </w:r>
      <w:r>
        <w:rPr>
          <w:rFonts w:hint="eastAsia"/>
          <w:szCs w:val="21"/>
          <w:u w:val="single"/>
        </w:rPr>
        <w:t xml:space="preserve">      /     </w:t>
      </w:r>
      <w:r>
        <w:rPr>
          <w:rFonts w:hint="eastAsia"/>
          <w:szCs w:val="21"/>
        </w:rPr>
        <w:t>。</w:t>
      </w:r>
    </w:p>
    <w:p>
      <w:pPr>
        <w:autoSpaceDE w:val="0"/>
        <w:autoSpaceDN w:val="0"/>
        <w:adjustRightInd w:val="0"/>
        <w:spacing w:line="360" w:lineRule="exact"/>
        <w:ind w:firstLine="420" w:firstLineChars="200"/>
        <w:rPr>
          <w:szCs w:val="21"/>
          <w:u w:val="single"/>
        </w:rPr>
      </w:pPr>
      <w:r>
        <w:rPr>
          <w:rFonts w:hint="eastAsia"/>
          <w:szCs w:val="21"/>
        </w:rPr>
        <w:t>配合总承包人创建浙江省建筑安全文明施工标准化工地。</w:t>
      </w:r>
    </w:p>
    <w:p>
      <w:pPr>
        <w:pStyle w:val="5"/>
        <w:spacing w:before="0" w:after="0" w:line="360" w:lineRule="exact"/>
        <w:rPr>
          <w:rFonts w:ascii="Times New Roman" w:hAnsi="Times New Roman"/>
          <w:b w:val="0"/>
          <w:sz w:val="21"/>
          <w:szCs w:val="21"/>
        </w:rPr>
      </w:pPr>
      <w:bookmarkStart w:id="330" w:name="_Toc351203487"/>
      <w:r>
        <w:rPr>
          <w:rFonts w:hint="eastAsia" w:ascii="Times New Roman" w:hAnsi="Times New Roman"/>
          <w:b w:val="0"/>
          <w:sz w:val="21"/>
          <w:szCs w:val="21"/>
        </w:rPr>
        <w:t>八</w:t>
      </w:r>
      <w:r>
        <w:rPr>
          <w:rFonts w:ascii="Times New Roman" w:hAnsi="Times New Roman"/>
          <w:b w:val="0"/>
          <w:sz w:val="21"/>
          <w:szCs w:val="21"/>
        </w:rPr>
        <w:t>、承诺</w:t>
      </w:r>
      <w:bookmarkEnd w:id="330"/>
    </w:p>
    <w:p>
      <w:pPr>
        <w:spacing w:line="360" w:lineRule="exact"/>
        <w:ind w:firstLine="420" w:firstLineChars="200"/>
        <w:rPr>
          <w:bCs/>
          <w:szCs w:val="21"/>
        </w:rPr>
      </w:pPr>
      <w:bookmarkStart w:id="331" w:name="_Toc351203488"/>
      <w:r>
        <w:rPr>
          <w:bCs/>
          <w:szCs w:val="21"/>
        </w:rPr>
        <w:t>1</w:t>
      </w:r>
      <w:r>
        <w:rPr>
          <w:rFonts w:hint="eastAsia"/>
          <w:bCs/>
          <w:szCs w:val="21"/>
        </w:rPr>
        <w:t>．</w:t>
      </w:r>
      <w:r>
        <w:rPr>
          <w:bCs/>
          <w:szCs w:val="21"/>
        </w:rPr>
        <w:t>发包人承诺按照法律规定履行项目审批手续、筹集工程建设资金并按照合同约定的期限和方式支付合同价款。</w:t>
      </w:r>
    </w:p>
    <w:p>
      <w:pPr>
        <w:spacing w:line="360" w:lineRule="exact"/>
        <w:ind w:firstLine="420" w:firstLineChars="200"/>
        <w:rPr>
          <w:bCs/>
          <w:szCs w:val="21"/>
        </w:rPr>
      </w:pPr>
      <w:r>
        <w:rPr>
          <w:bCs/>
          <w:szCs w:val="21"/>
        </w:rPr>
        <w:t>2</w:t>
      </w:r>
      <w:r>
        <w:rPr>
          <w:rFonts w:hint="eastAsia"/>
          <w:bCs/>
          <w:szCs w:val="21"/>
        </w:rPr>
        <w:t>．分</w:t>
      </w:r>
      <w:r>
        <w:rPr>
          <w:bCs/>
          <w:szCs w:val="21"/>
        </w:rPr>
        <w:t>包人承诺按照法律规定及合同约定组织完成工程施工，确保工程质量和安全，不进行转包及违法分包，并在缺陷责任期及保修期内承担相应的工程维修责任。</w:t>
      </w:r>
    </w:p>
    <w:p>
      <w:pPr>
        <w:tabs>
          <w:tab w:val="left" w:pos="0"/>
        </w:tabs>
        <w:spacing w:line="360" w:lineRule="exact"/>
        <w:ind w:firstLine="420" w:firstLineChars="200"/>
        <w:rPr>
          <w:kern w:val="0"/>
          <w:szCs w:val="21"/>
        </w:rPr>
      </w:pPr>
      <w:r>
        <w:rPr>
          <w:bCs/>
          <w:szCs w:val="21"/>
        </w:rPr>
        <w:t>3</w:t>
      </w:r>
      <w:r>
        <w:rPr>
          <w:rFonts w:hint="eastAsia"/>
          <w:bCs/>
          <w:szCs w:val="21"/>
        </w:rPr>
        <w:t xml:space="preserve">. </w:t>
      </w:r>
      <w:r>
        <w:rPr>
          <w:rFonts w:hint="eastAsia"/>
          <w:kern w:val="0"/>
          <w:szCs w:val="21"/>
        </w:rPr>
        <w:t>分包人</w:t>
      </w:r>
      <w:r>
        <w:rPr>
          <w:bCs/>
          <w:szCs w:val="21"/>
        </w:rPr>
        <w:t>承诺</w:t>
      </w:r>
      <w:r>
        <w:rPr>
          <w:rFonts w:hint="eastAsia"/>
          <w:kern w:val="0"/>
          <w:szCs w:val="21"/>
        </w:rPr>
        <w:t>不拖欠工人工资，因拖欠工资造成的一切后果，均由分包人承担，发包人有权将应拔付的工程款，先代付工资。</w:t>
      </w:r>
    </w:p>
    <w:p>
      <w:pPr>
        <w:spacing w:line="360" w:lineRule="exact"/>
        <w:ind w:firstLine="420" w:firstLineChars="200"/>
        <w:rPr>
          <w:bCs/>
          <w:szCs w:val="21"/>
        </w:rPr>
      </w:pPr>
      <w:r>
        <w:rPr>
          <w:rFonts w:hint="eastAsia"/>
          <w:bCs/>
          <w:szCs w:val="21"/>
        </w:rPr>
        <w:t>4．</w:t>
      </w:r>
      <w:r>
        <w:rPr>
          <w:bCs/>
          <w:szCs w:val="21"/>
        </w:rPr>
        <w:t>发包人和</w:t>
      </w:r>
      <w:r>
        <w:rPr>
          <w:rFonts w:hint="eastAsia" w:ascii="宋体" w:hAnsi="宋体" w:cs="宋体"/>
          <w:bCs/>
          <w:szCs w:val="21"/>
        </w:rPr>
        <w:t>分包人</w:t>
      </w:r>
      <w:r>
        <w:rPr>
          <w:bCs/>
          <w:szCs w:val="21"/>
        </w:rPr>
        <w:t>通过招投标形式签订合同的，双方理解并</w:t>
      </w:r>
      <w:r>
        <w:rPr>
          <w:rFonts w:hint="eastAsia"/>
          <w:bCs/>
          <w:szCs w:val="21"/>
        </w:rPr>
        <w:t>承诺</w:t>
      </w:r>
      <w:r>
        <w:rPr>
          <w:bCs/>
          <w:szCs w:val="21"/>
        </w:rPr>
        <w:t>不再就同一工程另行签订与合同实质性内容相背离的协议。另行签订</w:t>
      </w:r>
      <w:r>
        <w:rPr>
          <w:rFonts w:hint="eastAsia"/>
          <w:bCs/>
          <w:szCs w:val="21"/>
        </w:rPr>
        <w:t>的</w:t>
      </w:r>
      <w:r>
        <w:rPr>
          <w:bCs/>
          <w:szCs w:val="21"/>
        </w:rPr>
        <w:t>协议不能作为结算依据。</w:t>
      </w:r>
    </w:p>
    <w:p>
      <w:pPr>
        <w:spacing w:line="360" w:lineRule="exact"/>
        <w:rPr>
          <w:rFonts w:eastAsia="黑体"/>
          <w:bCs/>
          <w:szCs w:val="21"/>
        </w:rPr>
      </w:pPr>
      <w:r>
        <w:rPr>
          <w:rFonts w:hint="eastAsia" w:eastAsia="黑体"/>
          <w:szCs w:val="21"/>
        </w:rPr>
        <w:t>九</w:t>
      </w:r>
      <w:r>
        <w:rPr>
          <w:rFonts w:eastAsia="黑体"/>
          <w:szCs w:val="21"/>
        </w:rPr>
        <w:t>、词语含义</w:t>
      </w:r>
      <w:bookmarkEnd w:id="331"/>
    </w:p>
    <w:p>
      <w:pPr>
        <w:spacing w:line="360" w:lineRule="exact"/>
        <w:ind w:firstLine="420" w:firstLineChars="200"/>
        <w:rPr>
          <w:bCs/>
          <w:szCs w:val="21"/>
        </w:rPr>
      </w:pPr>
      <w:r>
        <w:rPr>
          <w:bCs/>
          <w:szCs w:val="21"/>
        </w:rPr>
        <w:t>本协议书中词语含义与第二部分通用合同条款中赋予的含义相同。</w:t>
      </w:r>
    </w:p>
    <w:p>
      <w:pPr>
        <w:pStyle w:val="5"/>
        <w:spacing w:before="0" w:after="0" w:line="360" w:lineRule="exact"/>
        <w:rPr>
          <w:rFonts w:ascii="Times New Roman" w:hAnsi="Times New Roman"/>
          <w:bCs w:val="0"/>
          <w:sz w:val="21"/>
          <w:szCs w:val="21"/>
        </w:rPr>
      </w:pPr>
      <w:bookmarkStart w:id="332" w:name="_Toc351203489"/>
      <w:r>
        <w:rPr>
          <w:rFonts w:hint="eastAsia" w:ascii="Times New Roman" w:hAnsi="Times New Roman"/>
          <w:b w:val="0"/>
          <w:sz w:val="21"/>
          <w:szCs w:val="21"/>
        </w:rPr>
        <w:t>十</w:t>
      </w:r>
      <w:r>
        <w:rPr>
          <w:rFonts w:ascii="Times New Roman" w:hAnsi="Times New Roman"/>
          <w:b w:val="0"/>
          <w:sz w:val="21"/>
          <w:szCs w:val="21"/>
        </w:rPr>
        <w:t>、签订时间</w:t>
      </w:r>
      <w:bookmarkEnd w:id="332"/>
    </w:p>
    <w:p>
      <w:pPr>
        <w:spacing w:line="360" w:lineRule="exact"/>
        <w:ind w:firstLine="420" w:firstLineChars="200"/>
        <w:rPr>
          <w:bCs/>
          <w:szCs w:val="21"/>
        </w:rPr>
      </w:pPr>
      <w:r>
        <w:rPr>
          <w:bCs/>
          <w:szCs w:val="21"/>
        </w:rPr>
        <w:t>本合同于</w:t>
      </w:r>
      <w:r>
        <w:rPr>
          <w:rFonts w:hint="eastAsia"/>
          <w:bCs/>
          <w:szCs w:val="21"/>
          <w:u w:val="single"/>
        </w:rPr>
        <w:t xml:space="preserve"> </w:t>
      </w:r>
      <w:r>
        <w:rPr>
          <w:bCs/>
          <w:szCs w:val="21"/>
          <w:u w:val="single"/>
        </w:rPr>
        <w:t xml:space="preserve">   </w:t>
      </w:r>
      <w:r>
        <w:rPr>
          <w:bCs/>
          <w:szCs w:val="21"/>
        </w:rPr>
        <w:t>年</w:t>
      </w:r>
      <w:r>
        <w:rPr>
          <w:rFonts w:hint="eastAsia"/>
          <w:bCs/>
          <w:szCs w:val="21"/>
          <w:u w:val="single"/>
        </w:rPr>
        <w:t xml:space="preserve"> </w:t>
      </w:r>
      <w:r>
        <w:rPr>
          <w:bCs/>
          <w:szCs w:val="21"/>
          <w:u w:val="single"/>
        </w:rPr>
        <w:t xml:space="preserve">  </w:t>
      </w:r>
      <w:r>
        <w:rPr>
          <w:bCs/>
          <w:szCs w:val="21"/>
        </w:rPr>
        <w:t>月</w:t>
      </w:r>
      <w:r>
        <w:rPr>
          <w:rFonts w:hint="eastAsia"/>
          <w:bCs/>
          <w:szCs w:val="21"/>
          <w:u w:val="single"/>
        </w:rPr>
        <w:t xml:space="preserve"> </w:t>
      </w:r>
      <w:r>
        <w:rPr>
          <w:bCs/>
          <w:szCs w:val="21"/>
          <w:u w:val="single"/>
        </w:rPr>
        <w:t xml:space="preserve">   </w:t>
      </w:r>
      <w:r>
        <w:rPr>
          <w:bCs/>
          <w:szCs w:val="21"/>
        </w:rPr>
        <w:t>日签订。</w:t>
      </w:r>
    </w:p>
    <w:p>
      <w:pPr>
        <w:pStyle w:val="5"/>
        <w:spacing w:before="0" w:after="0" w:line="360" w:lineRule="exact"/>
        <w:rPr>
          <w:rFonts w:ascii="Times New Roman" w:hAnsi="Times New Roman"/>
          <w:bCs w:val="0"/>
          <w:sz w:val="21"/>
          <w:szCs w:val="21"/>
        </w:rPr>
      </w:pPr>
      <w:bookmarkStart w:id="333" w:name="_Toc351203490"/>
      <w:r>
        <w:rPr>
          <w:rFonts w:ascii="Times New Roman" w:hAnsi="Times New Roman"/>
          <w:b w:val="0"/>
          <w:sz w:val="21"/>
          <w:szCs w:val="21"/>
        </w:rPr>
        <w:t>十</w:t>
      </w:r>
      <w:r>
        <w:rPr>
          <w:rFonts w:hint="eastAsia" w:ascii="Times New Roman" w:hAnsi="Times New Roman"/>
          <w:b w:val="0"/>
          <w:sz w:val="21"/>
          <w:szCs w:val="21"/>
        </w:rPr>
        <w:t>一</w:t>
      </w:r>
      <w:r>
        <w:rPr>
          <w:rFonts w:ascii="Times New Roman" w:hAnsi="Times New Roman"/>
          <w:b w:val="0"/>
          <w:sz w:val="21"/>
          <w:szCs w:val="21"/>
        </w:rPr>
        <w:t>、签订地点</w:t>
      </w:r>
      <w:bookmarkEnd w:id="333"/>
    </w:p>
    <w:p>
      <w:pPr>
        <w:spacing w:line="360" w:lineRule="exact"/>
        <w:ind w:firstLine="420" w:firstLineChars="200"/>
        <w:rPr>
          <w:bCs/>
          <w:szCs w:val="21"/>
        </w:rPr>
      </w:pPr>
      <w:r>
        <w:rPr>
          <w:bCs/>
          <w:szCs w:val="21"/>
        </w:rPr>
        <w:t>本合同在</w:t>
      </w:r>
      <w:r>
        <w:rPr>
          <w:rFonts w:hint="eastAsia"/>
          <w:bCs/>
          <w:szCs w:val="21"/>
          <w:u w:val="single"/>
        </w:rPr>
        <w:t xml:space="preserve"> </w:t>
      </w:r>
      <w:r>
        <w:rPr>
          <w:bCs/>
          <w:szCs w:val="21"/>
          <w:u w:val="single"/>
        </w:rPr>
        <w:t xml:space="preserve">                </w:t>
      </w:r>
      <w:r>
        <w:rPr>
          <w:bCs/>
          <w:szCs w:val="21"/>
        </w:rPr>
        <w:t>签订。</w:t>
      </w:r>
    </w:p>
    <w:p>
      <w:pPr>
        <w:pStyle w:val="5"/>
        <w:spacing w:before="0" w:after="0" w:line="360" w:lineRule="exact"/>
        <w:rPr>
          <w:rFonts w:ascii="Times New Roman" w:hAnsi="Times New Roman"/>
          <w:bCs w:val="0"/>
          <w:sz w:val="21"/>
          <w:szCs w:val="21"/>
        </w:rPr>
      </w:pPr>
      <w:bookmarkStart w:id="334" w:name="_Toc351203491"/>
      <w:r>
        <w:rPr>
          <w:rFonts w:ascii="Times New Roman" w:hAnsi="Times New Roman"/>
          <w:b w:val="0"/>
          <w:sz w:val="21"/>
          <w:szCs w:val="21"/>
        </w:rPr>
        <w:t>十</w:t>
      </w:r>
      <w:r>
        <w:rPr>
          <w:rFonts w:hint="eastAsia" w:ascii="Times New Roman" w:hAnsi="Times New Roman"/>
          <w:b w:val="0"/>
          <w:sz w:val="21"/>
          <w:szCs w:val="21"/>
        </w:rPr>
        <w:t>二</w:t>
      </w:r>
      <w:r>
        <w:rPr>
          <w:rFonts w:ascii="Times New Roman" w:hAnsi="Times New Roman"/>
          <w:b w:val="0"/>
          <w:sz w:val="21"/>
          <w:szCs w:val="21"/>
        </w:rPr>
        <w:t>、补充协议</w:t>
      </w:r>
      <w:bookmarkEnd w:id="334"/>
    </w:p>
    <w:p>
      <w:pPr>
        <w:spacing w:line="360" w:lineRule="exact"/>
        <w:ind w:firstLine="420" w:firstLineChars="200"/>
        <w:rPr>
          <w:b/>
          <w:bCs/>
          <w:szCs w:val="21"/>
        </w:rPr>
      </w:pPr>
      <w:r>
        <w:rPr>
          <w:bCs/>
          <w:szCs w:val="21"/>
        </w:rPr>
        <w:t>合同未尽事宜，合同当事人另行签订补充协议</w:t>
      </w:r>
      <w:r>
        <w:rPr>
          <w:rFonts w:hint="eastAsia"/>
          <w:bCs/>
          <w:szCs w:val="21"/>
        </w:rPr>
        <w:t>，</w:t>
      </w:r>
      <w:r>
        <w:rPr>
          <w:bCs/>
          <w:szCs w:val="21"/>
        </w:rPr>
        <w:t>补充协议是合同的组成部分。</w:t>
      </w:r>
    </w:p>
    <w:p>
      <w:pPr>
        <w:pStyle w:val="5"/>
        <w:spacing w:before="0" w:after="0" w:line="360" w:lineRule="exact"/>
        <w:rPr>
          <w:rFonts w:ascii="Times New Roman" w:hAnsi="Times New Roman"/>
          <w:bCs w:val="0"/>
          <w:sz w:val="21"/>
          <w:szCs w:val="21"/>
        </w:rPr>
      </w:pPr>
      <w:bookmarkStart w:id="335" w:name="_Toc351203492"/>
      <w:r>
        <w:rPr>
          <w:rFonts w:ascii="Times New Roman" w:hAnsi="Times New Roman"/>
          <w:b w:val="0"/>
          <w:sz w:val="21"/>
          <w:szCs w:val="21"/>
        </w:rPr>
        <w:t>十</w:t>
      </w:r>
      <w:r>
        <w:rPr>
          <w:rFonts w:hint="eastAsia" w:ascii="Times New Roman" w:hAnsi="Times New Roman"/>
          <w:b w:val="0"/>
          <w:sz w:val="21"/>
          <w:szCs w:val="21"/>
        </w:rPr>
        <w:t>三</w:t>
      </w:r>
      <w:r>
        <w:rPr>
          <w:rFonts w:ascii="Times New Roman" w:hAnsi="Times New Roman"/>
          <w:b w:val="0"/>
          <w:sz w:val="21"/>
          <w:szCs w:val="21"/>
        </w:rPr>
        <w:t>、合同生效</w:t>
      </w:r>
      <w:bookmarkEnd w:id="335"/>
    </w:p>
    <w:p>
      <w:pPr>
        <w:spacing w:line="360" w:lineRule="exact"/>
        <w:ind w:firstLine="420" w:firstLineChars="200"/>
        <w:rPr>
          <w:bCs/>
          <w:szCs w:val="21"/>
        </w:rPr>
      </w:pPr>
      <w:r>
        <w:rPr>
          <w:bCs/>
          <w:szCs w:val="21"/>
        </w:rPr>
        <w:t>本合同自</w:t>
      </w:r>
      <w:r>
        <w:rPr>
          <w:rFonts w:hint="eastAsia"/>
          <w:bCs/>
          <w:szCs w:val="21"/>
          <w:u w:val="single"/>
        </w:rPr>
        <w:t>三方法定代表人或签约代理人签字并加盖公章后生</w:t>
      </w:r>
      <w:r>
        <w:rPr>
          <w:bCs/>
          <w:szCs w:val="21"/>
          <w:u w:val="single"/>
        </w:rPr>
        <w:t>效。</w:t>
      </w:r>
    </w:p>
    <w:p>
      <w:pPr>
        <w:pStyle w:val="5"/>
        <w:spacing w:before="0" w:after="0" w:line="360" w:lineRule="exact"/>
        <w:rPr>
          <w:rFonts w:ascii="Times New Roman" w:hAnsi="Times New Roman"/>
          <w:bCs w:val="0"/>
          <w:sz w:val="21"/>
          <w:szCs w:val="21"/>
        </w:rPr>
      </w:pPr>
      <w:bookmarkStart w:id="336" w:name="_Toc351203493"/>
      <w:r>
        <w:rPr>
          <w:rFonts w:ascii="Times New Roman" w:hAnsi="Times New Roman"/>
          <w:b w:val="0"/>
          <w:sz w:val="21"/>
          <w:szCs w:val="21"/>
        </w:rPr>
        <w:t>十</w:t>
      </w:r>
      <w:r>
        <w:rPr>
          <w:rFonts w:hint="eastAsia" w:ascii="Times New Roman" w:hAnsi="Times New Roman"/>
          <w:b w:val="0"/>
          <w:sz w:val="21"/>
          <w:szCs w:val="21"/>
        </w:rPr>
        <w:t>四</w:t>
      </w:r>
      <w:r>
        <w:rPr>
          <w:rFonts w:ascii="Times New Roman" w:hAnsi="Times New Roman"/>
          <w:b w:val="0"/>
          <w:sz w:val="21"/>
          <w:szCs w:val="21"/>
        </w:rPr>
        <w:t>、合同份数</w:t>
      </w:r>
      <w:bookmarkEnd w:id="336"/>
    </w:p>
    <w:p>
      <w:pPr>
        <w:spacing w:line="360" w:lineRule="exact"/>
        <w:ind w:firstLine="420" w:firstLineChars="200"/>
        <w:rPr>
          <w:bCs/>
          <w:szCs w:val="21"/>
        </w:rPr>
      </w:pPr>
      <w:r>
        <w:rPr>
          <w:bCs/>
          <w:szCs w:val="21"/>
        </w:rPr>
        <w:t>本合同一式</w:t>
      </w:r>
      <w:r>
        <w:rPr>
          <w:rFonts w:hint="eastAsia"/>
          <w:bCs/>
          <w:szCs w:val="21"/>
          <w:u w:val="single"/>
        </w:rPr>
        <w:t xml:space="preserve"> </w:t>
      </w:r>
      <w:r>
        <w:rPr>
          <w:bCs/>
          <w:szCs w:val="21"/>
          <w:u w:val="single"/>
        </w:rPr>
        <w:t xml:space="preserve">       </w:t>
      </w:r>
      <w:r>
        <w:rPr>
          <w:bCs/>
          <w:szCs w:val="21"/>
        </w:rPr>
        <w:t>份</w:t>
      </w:r>
      <w:r>
        <w:rPr>
          <w:rFonts w:hint="eastAsia"/>
          <w:bCs/>
          <w:szCs w:val="21"/>
        </w:rPr>
        <w:t>（其中正本</w:t>
      </w:r>
      <w:r>
        <w:rPr>
          <w:rFonts w:hint="eastAsia"/>
          <w:bCs/>
          <w:szCs w:val="21"/>
          <w:u w:val="single"/>
        </w:rPr>
        <w:t xml:space="preserve"> </w:t>
      </w:r>
      <w:r>
        <w:rPr>
          <w:bCs/>
          <w:szCs w:val="21"/>
          <w:u w:val="single"/>
        </w:rPr>
        <w:t xml:space="preserve">   </w:t>
      </w:r>
      <w:r>
        <w:rPr>
          <w:rFonts w:hint="eastAsia"/>
          <w:bCs/>
          <w:szCs w:val="21"/>
        </w:rPr>
        <w:t>份、副本</w:t>
      </w:r>
      <w:r>
        <w:rPr>
          <w:rFonts w:hint="eastAsia"/>
          <w:bCs/>
          <w:szCs w:val="21"/>
          <w:u w:val="single"/>
        </w:rPr>
        <w:t xml:space="preserve"> </w:t>
      </w:r>
      <w:r>
        <w:rPr>
          <w:bCs/>
          <w:szCs w:val="21"/>
          <w:u w:val="single"/>
        </w:rPr>
        <w:t xml:space="preserve">   </w:t>
      </w:r>
      <w:r>
        <w:rPr>
          <w:rFonts w:hint="eastAsia"/>
          <w:bCs/>
          <w:szCs w:val="21"/>
        </w:rPr>
        <w:t>份）</w:t>
      </w:r>
      <w:r>
        <w:rPr>
          <w:bCs/>
          <w:szCs w:val="21"/>
        </w:rPr>
        <w:t>，均具有同等法律效力，发包人执</w:t>
      </w:r>
      <w:r>
        <w:rPr>
          <w:rFonts w:hint="eastAsia"/>
          <w:bCs/>
          <w:szCs w:val="21"/>
          <w:u w:val="single"/>
        </w:rPr>
        <w:t xml:space="preserve"> </w:t>
      </w:r>
      <w:r>
        <w:rPr>
          <w:bCs/>
          <w:szCs w:val="21"/>
          <w:u w:val="single"/>
        </w:rPr>
        <w:t xml:space="preserve">  </w:t>
      </w:r>
      <w:r>
        <w:rPr>
          <w:bCs/>
          <w:szCs w:val="21"/>
        </w:rPr>
        <w:t>份，</w:t>
      </w:r>
      <w:r>
        <w:rPr>
          <w:rFonts w:hint="eastAsia"/>
        </w:rPr>
        <w:t>分包人执</w:t>
      </w:r>
      <w:r>
        <w:rPr>
          <w:rFonts w:hint="eastAsia"/>
          <w:u w:val="single"/>
        </w:rPr>
        <w:t xml:space="preserve"> </w:t>
      </w:r>
      <w:r>
        <w:rPr>
          <w:u w:val="single"/>
        </w:rPr>
        <w:t xml:space="preserve">  </w:t>
      </w:r>
      <w:r>
        <w:rPr>
          <w:rFonts w:hint="eastAsia"/>
        </w:rPr>
        <w:t>份，</w:t>
      </w:r>
      <w:r>
        <w:rPr>
          <w:rFonts w:hint="eastAsia" w:ascii="宋体" w:hAnsi="宋体" w:cs="宋体"/>
          <w:bCs/>
          <w:szCs w:val="21"/>
        </w:rPr>
        <w:t>招标监管留档</w:t>
      </w:r>
      <w:r>
        <w:rPr>
          <w:rFonts w:ascii="宋体" w:hAnsi="宋体" w:cs="宋体"/>
          <w:bCs/>
          <w:szCs w:val="21"/>
          <w:u w:val="single"/>
        </w:rPr>
        <w:t xml:space="preserve"> </w:t>
      </w:r>
      <w:r>
        <w:rPr>
          <w:rFonts w:hint="eastAsia" w:ascii="宋体" w:hAnsi="宋体" w:cs="宋体"/>
          <w:bCs/>
          <w:szCs w:val="21"/>
          <w:u w:val="single"/>
        </w:rPr>
        <w:t>1</w:t>
      </w:r>
      <w:r>
        <w:rPr>
          <w:rFonts w:ascii="宋体" w:hAnsi="宋体" w:cs="宋体"/>
          <w:bCs/>
          <w:szCs w:val="21"/>
          <w:u w:val="single"/>
        </w:rPr>
        <w:t xml:space="preserve"> </w:t>
      </w:r>
      <w:r>
        <w:rPr>
          <w:rFonts w:hint="eastAsia" w:ascii="宋体" w:hAnsi="宋体" w:cs="宋体"/>
          <w:bCs/>
          <w:szCs w:val="21"/>
        </w:rPr>
        <w:t>份。</w:t>
      </w:r>
    </w:p>
    <w:p>
      <w:pPr>
        <w:spacing w:line="400" w:lineRule="exact"/>
        <w:ind w:firstLine="420" w:firstLineChars="200"/>
        <w:rPr>
          <w:rFonts w:ascii="宋体" w:hAnsi="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r>
        <w:rPr>
          <w:rFonts w:hint="eastAsia" w:ascii="宋体" w:hAnsi="宋体" w:cs="宋体"/>
          <w:szCs w:val="21"/>
        </w:rPr>
        <w:t>发包人：  （公章）                 总承包人：  （公章）</w:t>
      </w:r>
    </w:p>
    <w:p>
      <w:pPr>
        <w:spacing w:line="360" w:lineRule="exact"/>
        <w:rPr>
          <w:rFonts w:ascii="宋体" w:hAnsi="宋体" w:cs="宋体"/>
          <w:szCs w:val="21"/>
          <w:u w:val="single"/>
        </w:rPr>
      </w:pPr>
    </w:p>
    <w:p>
      <w:pPr>
        <w:spacing w:line="360" w:lineRule="exact"/>
        <w:rPr>
          <w:rFonts w:ascii="宋体" w:hAnsi="宋体" w:cs="宋体"/>
          <w:szCs w:val="21"/>
          <w:u w:val="single"/>
        </w:rPr>
      </w:pPr>
    </w:p>
    <w:p>
      <w:pPr>
        <w:spacing w:line="360" w:lineRule="exact"/>
        <w:rPr>
          <w:rFonts w:ascii="宋体" w:hAnsi="宋体" w:cs="宋体"/>
          <w:szCs w:val="21"/>
        </w:rPr>
      </w:pPr>
      <w:r>
        <w:rPr>
          <w:rFonts w:hint="eastAsia" w:ascii="宋体" w:hAnsi="宋体" w:cs="宋体"/>
          <w:szCs w:val="21"/>
        </w:rPr>
        <w:t>法定代表人或其委托代理人：    法定代表人或其委托代理人：</w:t>
      </w:r>
    </w:p>
    <w:p>
      <w:pPr>
        <w:spacing w:line="360" w:lineRule="exact"/>
        <w:rPr>
          <w:rFonts w:ascii="宋体" w:hAnsi="宋体" w:cs="宋体"/>
          <w:szCs w:val="21"/>
        </w:rPr>
      </w:pPr>
      <w:r>
        <w:rPr>
          <w:rFonts w:hint="eastAsia" w:ascii="宋体" w:hAnsi="宋体" w:cs="宋体"/>
          <w:szCs w:val="21"/>
        </w:rPr>
        <w:t>（签字或盖章）                  （签字或盖章）</w:t>
      </w:r>
    </w:p>
    <w:p>
      <w:pPr>
        <w:tabs>
          <w:tab w:val="left" w:pos="4410"/>
        </w:tabs>
        <w:spacing w:line="360" w:lineRule="exact"/>
        <w:rPr>
          <w:rFonts w:ascii="宋体" w:hAnsi="宋体" w:cs="宋体"/>
          <w:szCs w:val="21"/>
        </w:rPr>
      </w:pPr>
      <w:r>
        <w:rPr>
          <w:rFonts w:hint="eastAsia" w:ascii="宋体" w:hAnsi="宋体" w:cs="宋体"/>
          <w:szCs w:val="21"/>
        </w:rPr>
        <w:t>统一社会信用代码：</w:t>
      </w:r>
      <w:r>
        <w:rPr>
          <w:rFonts w:hint="eastAsia" w:ascii="宋体" w:hAnsi="宋体" w:cs="宋体"/>
          <w:szCs w:val="21"/>
          <w:u w:val="single"/>
        </w:rPr>
        <w:t xml:space="preserve">          </w:t>
      </w:r>
      <w:r>
        <w:rPr>
          <w:rFonts w:hint="eastAsia" w:ascii="宋体" w:hAnsi="宋体" w:cs="宋体"/>
          <w:szCs w:val="21"/>
        </w:rPr>
        <w:t xml:space="preserve">   统一社会信用代码：</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r>
        <w:rPr>
          <w:rFonts w:hint="eastAsia" w:ascii="宋体" w:hAnsi="宋体" w:cs="宋体"/>
          <w:szCs w:val="21"/>
        </w:rPr>
        <w:t xml:space="preserve">   地  址：</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xml:space="preserve">   邮政编码：</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 xml:space="preserve">   法定代表人：</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 xml:space="preserve">   电子信箱：</w:t>
      </w:r>
      <w:r>
        <w:rPr>
          <w:rFonts w:hint="eastAsia" w:ascii="宋体" w:hAnsi="宋体" w:cs="宋体"/>
          <w:szCs w:val="21"/>
          <w:u w:val="single"/>
        </w:rPr>
        <w:t xml:space="preserve">                  </w:t>
      </w:r>
    </w:p>
    <w:p>
      <w:pPr>
        <w:spacing w:line="360" w:lineRule="exact"/>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360" w:lineRule="exact"/>
        <w:rPr>
          <w:rFonts w:ascii="宋体" w:hAnsi="宋体" w:cs="宋体"/>
          <w:b/>
          <w:szCs w:val="21"/>
        </w:rPr>
      </w:pPr>
      <w:r>
        <w:rPr>
          <w:rFonts w:hint="eastAsia" w:ascii="宋体" w:hAnsi="宋体" w:cs="宋体"/>
          <w:szCs w:val="21"/>
        </w:rPr>
        <w:t>账  号：</w:t>
      </w:r>
      <w:r>
        <w:rPr>
          <w:rFonts w:hint="eastAsia" w:ascii="宋体" w:hAnsi="宋体" w:cs="宋体"/>
          <w:szCs w:val="21"/>
          <w:u w:val="single"/>
        </w:rPr>
        <w:t xml:space="preserve">                    </w:t>
      </w:r>
      <w:r>
        <w:rPr>
          <w:rFonts w:hint="eastAsia" w:ascii="宋体" w:hAnsi="宋体" w:cs="宋体"/>
          <w:szCs w:val="21"/>
        </w:rPr>
        <w:t xml:space="preserve">   账  号：</w:t>
      </w:r>
      <w:r>
        <w:rPr>
          <w:rFonts w:hint="eastAsia" w:ascii="宋体" w:hAnsi="宋体" w:cs="宋体"/>
          <w:szCs w:val="21"/>
          <w:u w:val="single"/>
        </w:rPr>
        <w:t xml:space="preserve">                    </w:t>
      </w:r>
    </w:p>
    <w:p>
      <w:pPr>
        <w:spacing w:line="400" w:lineRule="exact"/>
        <w:ind w:firstLine="420" w:firstLineChars="200"/>
        <w:rPr>
          <w:rFonts w:ascii="宋体" w:hAnsi="宋体"/>
          <w:szCs w:val="21"/>
          <w:u w:val="single"/>
        </w:rPr>
      </w:pPr>
    </w:p>
    <w:p>
      <w:pPr>
        <w:pStyle w:val="34"/>
        <w:outlineLvl w:val="9"/>
      </w:pPr>
    </w:p>
    <w:p>
      <w:pPr>
        <w:spacing w:line="360" w:lineRule="exact"/>
        <w:rPr>
          <w:rFonts w:ascii="宋体" w:hAnsi="宋体" w:cs="宋体"/>
          <w:szCs w:val="21"/>
        </w:rPr>
      </w:pPr>
      <w:r>
        <w:rPr>
          <w:rFonts w:hint="eastAsia" w:ascii="宋体" w:hAnsi="宋体" w:cs="宋体"/>
          <w:szCs w:val="21"/>
        </w:rPr>
        <w:t xml:space="preserve">分包人：  （公章）                 </w:t>
      </w:r>
    </w:p>
    <w:p>
      <w:pPr>
        <w:spacing w:line="360" w:lineRule="exact"/>
        <w:rPr>
          <w:rFonts w:ascii="宋体" w:hAnsi="宋体" w:cs="宋体"/>
          <w:szCs w:val="21"/>
          <w:u w:val="single"/>
        </w:rPr>
      </w:pPr>
    </w:p>
    <w:p>
      <w:pPr>
        <w:spacing w:line="360" w:lineRule="exact"/>
        <w:rPr>
          <w:rFonts w:ascii="宋体" w:hAnsi="宋体" w:cs="宋体"/>
          <w:szCs w:val="21"/>
          <w:u w:val="single"/>
        </w:rPr>
      </w:pPr>
    </w:p>
    <w:p>
      <w:pPr>
        <w:spacing w:line="360" w:lineRule="exact"/>
        <w:rPr>
          <w:rFonts w:ascii="宋体" w:hAnsi="宋体" w:cs="宋体"/>
          <w:szCs w:val="21"/>
        </w:rPr>
      </w:pPr>
      <w:r>
        <w:rPr>
          <w:rFonts w:hint="eastAsia" w:ascii="宋体" w:hAnsi="宋体" w:cs="宋体"/>
          <w:szCs w:val="21"/>
        </w:rPr>
        <w:t xml:space="preserve">法定代表人或其委托代理人：    </w:t>
      </w:r>
    </w:p>
    <w:p>
      <w:pPr>
        <w:spacing w:line="360" w:lineRule="exact"/>
        <w:rPr>
          <w:rFonts w:ascii="宋体" w:hAnsi="宋体" w:cs="宋体"/>
          <w:szCs w:val="21"/>
        </w:rPr>
      </w:pPr>
      <w:r>
        <w:rPr>
          <w:rFonts w:hint="eastAsia" w:ascii="宋体" w:hAnsi="宋体" w:cs="宋体"/>
          <w:szCs w:val="21"/>
        </w:rPr>
        <w:t xml:space="preserve">（签字或盖章）                  </w:t>
      </w:r>
    </w:p>
    <w:p>
      <w:pPr>
        <w:tabs>
          <w:tab w:val="left" w:pos="4410"/>
        </w:tabs>
        <w:spacing w:line="360" w:lineRule="exact"/>
        <w:rPr>
          <w:rFonts w:ascii="宋体" w:hAnsi="宋体" w:cs="宋体"/>
          <w:szCs w:val="21"/>
        </w:rPr>
      </w:pPr>
      <w:r>
        <w:rPr>
          <w:rFonts w:hint="eastAsia" w:ascii="宋体" w:hAnsi="宋体" w:cs="宋体"/>
          <w:szCs w:val="21"/>
        </w:rPr>
        <w:t>统一社会信用代码：</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w:t>
      </w:r>
    </w:p>
    <w:p>
      <w:pPr>
        <w:spacing w:line="360" w:lineRule="exact"/>
        <w:rPr>
          <w:rFonts w:ascii="宋体" w:hAnsi="宋体" w:cs="宋体"/>
          <w:szCs w:val="21"/>
          <w:u w:val="single"/>
        </w:rPr>
      </w:pPr>
      <w:r>
        <w:rPr>
          <w:rFonts w:hint="eastAsia" w:ascii="宋体" w:hAnsi="宋体" w:cs="宋体"/>
          <w:szCs w:val="21"/>
        </w:rPr>
        <w:t>账  号：</w:t>
      </w:r>
      <w:r>
        <w:rPr>
          <w:rFonts w:hint="eastAsia" w:ascii="宋体" w:hAnsi="宋体" w:cs="宋体"/>
          <w:szCs w:val="21"/>
          <w:u w:val="single"/>
        </w:rPr>
        <w:t xml:space="preserve">                    </w:t>
      </w:r>
    </w:p>
    <w:p>
      <w:pPr>
        <w:spacing w:line="360" w:lineRule="exact"/>
        <w:rPr>
          <w:rFonts w:ascii="宋体" w:hAnsi="宋体" w:cs="宋体"/>
          <w:szCs w:val="21"/>
          <w:u w:val="single"/>
        </w:rPr>
      </w:pPr>
    </w:p>
    <w:p>
      <w:pPr>
        <w:spacing w:line="360" w:lineRule="exact"/>
        <w:rPr>
          <w:rFonts w:ascii="宋体" w:hAnsi="宋体" w:cs="宋体"/>
          <w:szCs w:val="21"/>
          <w:u w:val="single"/>
        </w:rPr>
      </w:pPr>
    </w:p>
    <w:p>
      <w:pPr>
        <w:spacing w:line="360" w:lineRule="exact"/>
        <w:rPr>
          <w:rFonts w:ascii="宋体" w:hAnsi="宋体" w:cs="宋体"/>
          <w:szCs w:val="21"/>
          <w:u w:val="single"/>
        </w:rPr>
      </w:pPr>
    </w:p>
    <w:p>
      <w:pPr>
        <w:spacing w:line="360" w:lineRule="exact"/>
        <w:rPr>
          <w:rFonts w:ascii="宋体" w:hAnsi="宋体" w:cs="宋体"/>
          <w:szCs w:val="21"/>
          <w:u w:val="single"/>
        </w:rPr>
      </w:pPr>
    </w:p>
    <w:p>
      <w:pPr>
        <w:spacing w:line="360" w:lineRule="exact"/>
        <w:rPr>
          <w:rFonts w:ascii="宋体" w:hAnsi="宋体" w:cs="宋体"/>
          <w:szCs w:val="21"/>
          <w:u w:val="single"/>
        </w:rPr>
      </w:pPr>
    </w:p>
    <w:p>
      <w:pPr>
        <w:spacing w:line="360" w:lineRule="exact"/>
        <w:rPr>
          <w:rFonts w:ascii="宋体" w:hAnsi="宋体" w:cs="宋体"/>
          <w:szCs w:val="21"/>
          <w:u w:val="single"/>
        </w:rPr>
      </w:pPr>
    </w:p>
    <w:p>
      <w:pPr>
        <w:spacing w:line="360" w:lineRule="exact"/>
        <w:rPr>
          <w:rFonts w:ascii="宋体" w:hAnsi="宋体" w:cs="宋体"/>
          <w:b/>
          <w:szCs w:val="21"/>
        </w:rPr>
      </w:pPr>
      <w:bookmarkStart w:id="337" w:name="_Toc8305381"/>
      <w:bookmarkStart w:id="338" w:name="_Toc16521977"/>
      <w:bookmarkStart w:id="339" w:name="_Toc23841"/>
      <w:r>
        <w:rPr>
          <w:rFonts w:hint="eastAsia" w:ascii="宋体" w:hAnsi="宋体" w:cs="宋体"/>
          <w:szCs w:val="21"/>
        </w:rPr>
        <w:t xml:space="preserve"> </w:t>
      </w:r>
    </w:p>
    <w:p>
      <w:bookmarkStart w:id="340" w:name="_Toc22777"/>
      <w:r>
        <w:rPr>
          <w:rFonts w:hint="eastAsia"/>
        </w:rPr>
        <w:br w:type="page"/>
      </w:r>
    </w:p>
    <w:p>
      <w:pPr>
        <w:keepNext/>
        <w:keepLines/>
        <w:spacing w:before="100" w:line="400" w:lineRule="exact"/>
        <w:jc w:val="center"/>
        <w:outlineLvl w:val="1"/>
        <w:rPr>
          <w:rFonts w:ascii="宋体" w:hAnsi="宋体" w:cs="宋体"/>
          <w:b/>
          <w:bCs/>
          <w:sz w:val="32"/>
          <w:szCs w:val="32"/>
        </w:rPr>
      </w:pPr>
      <w:bookmarkStart w:id="341" w:name="_Toc11756"/>
      <w:r>
        <w:rPr>
          <w:rFonts w:hint="eastAsia" w:ascii="宋体" w:hAnsi="宋体" w:cs="宋体"/>
          <w:b/>
          <w:bCs/>
          <w:sz w:val="32"/>
          <w:szCs w:val="32"/>
        </w:rPr>
        <w:t>第二部分  通用合同条款（略）</w:t>
      </w:r>
      <w:bookmarkEnd w:id="337"/>
      <w:bookmarkEnd w:id="338"/>
      <w:bookmarkEnd w:id="339"/>
      <w:bookmarkEnd w:id="340"/>
      <w:bookmarkEnd w:id="341"/>
    </w:p>
    <w:p>
      <w:pPr>
        <w:rPr>
          <w:rFonts w:ascii="Arial" w:hAnsi="Arial"/>
          <w:kern w:val="0"/>
          <w:szCs w:val="20"/>
        </w:rPr>
      </w:pPr>
      <w:bookmarkStart w:id="342" w:name="_Toc16521978"/>
      <w:bookmarkStart w:id="343" w:name="_Toc351203632"/>
      <w:bookmarkStart w:id="344" w:name="_Toc6413"/>
      <w:bookmarkStart w:id="345" w:name="_Toc532282497"/>
      <w:bookmarkStart w:id="346" w:name="_Toc8305382"/>
      <w:bookmarkStart w:id="347" w:name="_Toc12080"/>
      <w:r>
        <w:rPr>
          <w:rFonts w:hint="eastAsia" w:ascii="Arial" w:hAnsi="Arial"/>
          <w:kern w:val="0"/>
          <w:szCs w:val="20"/>
        </w:rPr>
        <w:br w:type="page"/>
      </w:r>
    </w:p>
    <w:bookmarkEnd w:id="342"/>
    <w:bookmarkEnd w:id="343"/>
    <w:bookmarkEnd w:id="344"/>
    <w:bookmarkEnd w:id="345"/>
    <w:bookmarkEnd w:id="346"/>
    <w:bookmarkEnd w:id="347"/>
    <w:p>
      <w:pPr>
        <w:keepNext/>
        <w:keepLines/>
        <w:spacing w:before="100" w:line="400" w:lineRule="exact"/>
        <w:jc w:val="center"/>
        <w:outlineLvl w:val="1"/>
        <w:rPr>
          <w:rFonts w:ascii="宋体" w:hAnsi="宋体" w:cs="宋体"/>
          <w:b/>
          <w:bCs/>
          <w:sz w:val="32"/>
          <w:szCs w:val="32"/>
        </w:rPr>
      </w:pPr>
      <w:bookmarkStart w:id="348" w:name="_Toc278377207"/>
      <w:bookmarkStart w:id="349" w:name="_Toc394573947"/>
      <w:bookmarkStart w:id="350" w:name="_Toc422838148"/>
      <w:bookmarkStart w:id="351" w:name="_Toc1256"/>
      <w:bookmarkStart w:id="352" w:name="_Toc13292"/>
      <w:bookmarkStart w:id="353" w:name="_Toc2503_WPSOffice_Level2"/>
      <w:bookmarkStart w:id="354" w:name="_Toc10896"/>
      <w:bookmarkStart w:id="355" w:name="_Toc267919286"/>
      <w:bookmarkStart w:id="356" w:name="_Toc13396"/>
      <w:bookmarkStart w:id="357" w:name="_Toc14433"/>
      <w:bookmarkStart w:id="358" w:name="_Toc24016"/>
      <w:bookmarkStart w:id="359" w:name="_Toc2861"/>
      <w:bookmarkStart w:id="360" w:name="_Toc26299"/>
      <w:bookmarkStart w:id="361" w:name="_Toc9662_WPSOffice_Level2"/>
      <w:bookmarkStart w:id="362" w:name="_Toc5632"/>
      <w:r>
        <w:rPr>
          <w:rFonts w:hint="eastAsia" w:ascii="宋体" w:hAnsi="宋体" w:cs="宋体"/>
          <w:b/>
          <w:bCs/>
          <w:sz w:val="32"/>
          <w:szCs w:val="32"/>
        </w:rPr>
        <w:t>第三部分　专用合同条款</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keepNext/>
        <w:keepLines/>
        <w:spacing w:line="360" w:lineRule="exact"/>
        <w:outlineLvl w:val="3"/>
        <w:rPr>
          <w:rFonts w:eastAsia="黑体"/>
          <w:bCs/>
          <w:szCs w:val="21"/>
        </w:rPr>
      </w:pPr>
      <w:bookmarkStart w:id="363" w:name="_Toc351203633"/>
      <w:bookmarkStart w:id="364" w:name="_Toc267251515"/>
      <w:bookmarkStart w:id="365" w:name="_Toc267251510"/>
      <w:bookmarkStart w:id="366" w:name="_Toc267251514"/>
      <w:bookmarkStart w:id="367" w:name="_Toc267251511"/>
      <w:bookmarkStart w:id="368" w:name="_Toc267251508"/>
      <w:bookmarkStart w:id="369" w:name="_Toc267251513"/>
      <w:bookmarkStart w:id="370" w:name="_Toc267251509"/>
      <w:bookmarkStart w:id="371" w:name="_Toc228163249"/>
      <w:r>
        <w:rPr>
          <w:rFonts w:eastAsia="黑体"/>
          <w:bCs/>
          <w:szCs w:val="21"/>
        </w:rPr>
        <w:t>1</w:t>
      </w:r>
      <w:bookmarkStart w:id="372" w:name="_Toc296346657"/>
      <w:bookmarkStart w:id="373" w:name="_Toc296891196"/>
      <w:bookmarkStart w:id="374" w:name="_Toc296347155"/>
      <w:bookmarkStart w:id="375" w:name="_Toc296944495"/>
      <w:bookmarkStart w:id="376" w:name="_Toc296890984"/>
      <w:bookmarkStart w:id="377" w:name="_Toc297048342"/>
      <w:bookmarkStart w:id="378" w:name="_Toc297120456"/>
      <w:bookmarkStart w:id="379" w:name="_Toc292559866"/>
      <w:bookmarkStart w:id="380" w:name="_Toc296503156"/>
      <w:bookmarkStart w:id="381" w:name="_Toc292559361"/>
      <w:r>
        <w:rPr>
          <w:rFonts w:eastAsia="黑体"/>
          <w:bCs/>
          <w:szCs w:val="21"/>
        </w:rPr>
        <w:t>. 一般约定</w:t>
      </w:r>
      <w:bookmarkEnd w:id="363"/>
    </w:p>
    <w:bookmarkEnd w:id="372"/>
    <w:bookmarkEnd w:id="373"/>
    <w:bookmarkEnd w:id="374"/>
    <w:bookmarkEnd w:id="375"/>
    <w:bookmarkEnd w:id="376"/>
    <w:bookmarkEnd w:id="377"/>
    <w:bookmarkEnd w:id="378"/>
    <w:bookmarkEnd w:id="379"/>
    <w:bookmarkEnd w:id="380"/>
    <w:bookmarkEnd w:id="381"/>
    <w:p>
      <w:pPr>
        <w:spacing w:line="360" w:lineRule="exact"/>
        <w:ind w:firstLine="420" w:firstLineChars="200"/>
        <w:rPr>
          <w:rFonts w:eastAsia="黑体"/>
          <w:szCs w:val="21"/>
        </w:rPr>
      </w:pPr>
      <w:r>
        <w:rPr>
          <w:rFonts w:eastAsia="黑体"/>
          <w:szCs w:val="21"/>
        </w:rPr>
        <w:t>1.1 词语定义</w:t>
      </w:r>
    </w:p>
    <w:p>
      <w:pPr>
        <w:spacing w:line="360" w:lineRule="exact"/>
        <w:ind w:firstLine="420" w:firstLineChars="200"/>
        <w:rPr>
          <w:kern w:val="0"/>
          <w:szCs w:val="21"/>
        </w:rPr>
      </w:pPr>
      <w:r>
        <w:rPr>
          <w:kern w:val="0"/>
          <w:szCs w:val="21"/>
        </w:rPr>
        <w:t>1.1.1合同</w:t>
      </w:r>
    </w:p>
    <w:p>
      <w:pPr>
        <w:spacing w:line="360" w:lineRule="exact"/>
        <w:ind w:firstLine="420" w:firstLineChars="200"/>
        <w:rPr>
          <w:rFonts w:ascii="宋体" w:hAnsi="宋体"/>
          <w:kern w:val="0"/>
          <w:szCs w:val="21"/>
          <w:u w:val="single"/>
        </w:rPr>
      </w:pPr>
      <w:r>
        <w:rPr>
          <w:kern w:val="0"/>
          <w:szCs w:val="21"/>
        </w:rPr>
        <w:t>1.1.1.10其他合同文件包括</w:t>
      </w:r>
      <w:r>
        <w:rPr>
          <w:rFonts w:hint="eastAsia"/>
          <w:kern w:val="0"/>
          <w:szCs w:val="21"/>
        </w:rPr>
        <w:t>：</w:t>
      </w:r>
      <w:r>
        <w:rPr>
          <w:rFonts w:hint="eastAsia"/>
          <w:szCs w:val="21"/>
          <w:u w:val="single"/>
        </w:rPr>
        <w:t>工程招标文件、《椒江区政府投资项目投资控制和资金管理暂行规定》（椒政办发〔2009〕151 号）、除投标函及其附录和已标价工程量清单或预算书外的其它投标文件。</w:t>
      </w:r>
    </w:p>
    <w:p>
      <w:pPr>
        <w:spacing w:line="360" w:lineRule="exact"/>
        <w:ind w:firstLine="420" w:firstLineChars="200"/>
        <w:rPr>
          <w:szCs w:val="21"/>
        </w:rPr>
      </w:pPr>
      <w:r>
        <w:rPr>
          <w:szCs w:val="21"/>
        </w:rPr>
        <w:t>1.1.2 合同当事人及其他相关方</w:t>
      </w:r>
    </w:p>
    <w:p>
      <w:pPr>
        <w:spacing w:line="360" w:lineRule="exact"/>
        <w:ind w:firstLine="420" w:firstLineChars="200"/>
        <w:rPr>
          <w:szCs w:val="21"/>
        </w:rPr>
      </w:pPr>
      <w:r>
        <w:rPr>
          <w:szCs w:val="21"/>
        </w:rPr>
        <w:t>1.1.2.4监理人：</w:t>
      </w:r>
    </w:p>
    <w:p>
      <w:pPr>
        <w:spacing w:line="360" w:lineRule="exact"/>
        <w:ind w:firstLine="420" w:firstLineChars="200"/>
        <w:rPr>
          <w:szCs w:val="21"/>
        </w:rPr>
      </w:pPr>
      <w:r>
        <w:rPr>
          <w:szCs w:val="21"/>
        </w:rPr>
        <w:t>名称：</w:t>
      </w:r>
      <w:r>
        <w:rPr>
          <w:rFonts w:hint="eastAsia"/>
          <w:szCs w:val="21"/>
          <w:u w:val="single"/>
        </w:rPr>
        <w:t xml:space="preserve">                      </w:t>
      </w:r>
      <w:r>
        <w:rPr>
          <w:szCs w:val="21"/>
        </w:rPr>
        <w:t>；</w:t>
      </w:r>
    </w:p>
    <w:p>
      <w:pPr>
        <w:spacing w:line="360" w:lineRule="exact"/>
        <w:ind w:firstLine="420" w:firstLineChars="200"/>
        <w:rPr>
          <w:szCs w:val="21"/>
        </w:rPr>
      </w:pPr>
      <w:r>
        <w:rPr>
          <w:szCs w:val="21"/>
        </w:rPr>
        <w:t>资质类别和等级：</w:t>
      </w:r>
      <w:r>
        <w:rPr>
          <w:rFonts w:hint="eastAsia"/>
          <w:szCs w:val="21"/>
          <w:u w:val="single"/>
        </w:rPr>
        <w:t xml:space="preserve">            </w:t>
      </w:r>
      <w:r>
        <w:rPr>
          <w:szCs w:val="21"/>
        </w:rPr>
        <w:t>；</w:t>
      </w:r>
    </w:p>
    <w:p>
      <w:pPr>
        <w:spacing w:line="360" w:lineRule="exact"/>
        <w:ind w:firstLine="420" w:firstLineChars="200"/>
        <w:rPr>
          <w:szCs w:val="21"/>
        </w:rPr>
      </w:pPr>
      <w:r>
        <w:rPr>
          <w:szCs w:val="21"/>
        </w:rPr>
        <w:t>联系电话：</w:t>
      </w:r>
      <w:r>
        <w:rPr>
          <w:rFonts w:hint="eastAsia"/>
          <w:szCs w:val="21"/>
          <w:u w:val="single"/>
        </w:rPr>
        <w:t xml:space="preserve">                  </w:t>
      </w:r>
      <w:r>
        <w:rPr>
          <w:szCs w:val="21"/>
        </w:rPr>
        <w:t>；</w:t>
      </w:r>
    </w:p>
    <w:p>
      <w:pPr>
        <w:spacing w:line="360" w:lineRule="exact"/>
        <w:ind w:firstLine="420" w:firstLineChars="200"/>
        <w:rPr>
          <w:szCs w:val="21"/>
        </w:rPr>
      </w:pPr>
      <w:r>
        <w:rPr>
          <w:szCs w:val="21"/>
        </w:rPr>
        <w:t>电子信箱：</w:t>
      </w:r>
      <w:r>
        <w:rPr>
          <w:rFonts w:hint="eastAsia"/>
          <w:szCs w:val="21"/>
          <w:u w:val="single"/>
        </w:rPr>
        <w:t xml:space="preserve">                  </w:t>
      </w:r>
      <w:r>
        <w:rPr>
          <w:szCs w:val="21"/>
        </w:rPr>
        <w:t>；</w:t>
      </w:r>
    </w:p>
    <w:p>
      <w:pPr>
        <w:spacing w:line="360" w:lineRule="exact"/>
        <w:ind w:firstLine="420" w:firstLineChars="200"/>
        <w:rPr>
          <w:szCs w:val="21"/>
        </w:rPr>
      </w:pPr>
      <w:r>
        <w:rPr>
          <w:szCs w:val="21"/>
        </w:rPr>
        <w:t>通信地址：</w:t>
      </w:r>
      <w:r>
        <w:rPr>
          <w:rFonts w:hint="eastAsia"/>
          <w:szCs w:val="21"/>
          <w:u w:val="single"/>
        </w:rPr>
        <w:t xml:space="preserve">                  </w:t>
      </w:r>
      <w:r>
        <w:rPr>
          <w:szCs w:val="21"/>
        </w:rPr>
        <w:t>。</w:t>
      </w:r>
    </w:p>
    <w:p>
      <w:pPr>
        <w:spacing w:line="360" w:lineRule="exact"/>
        <w:ind w:firstLine="420" w:firstLineChars="200"/>
        <w:rPr>
          <w:szCs w:val="21"/>
        </w:rPr>
      </w:pPr>
      <w:r>
        <w:rPr>
          <w:szCs w:val="21"/>
        </w:rPr>
        <w:t>1.1.2.5 设计人：</w:t>
      </w:r>
    </w:p>
    <w:p>
      <w:pPr>
        <w:spacing w:line="400" w:lineRule="exact"/>
        <w:ind w:firstLine="420" w:firstLineChars="200"/>
        <w:rPr>
          <w:rFonts w:ascii="宋体" w:hAnsi="宋体"/>
          <w:szCs w:val="21"/>
        </w:rPr>
      </w:pPr>
      <w:r>
        <w:rPr>
          <w:rFonts w:ascii="宋体" w:hAnsi="宋体"/>
          <w:szCs w:val="21"/>
        </w:rPr>
        <w:t>名    称：</w:t>
      </w:r>
      <w:r>
        <w:rPr>
          <w:rFonts w:hint="eastAsia" w:ascii="宋体" w:hAnsi="宋体"/>
          <w:szCs w:val="21"/>
          <w:u w:val="single"/>
        </w:rPr>
        <w:t xml:space="preserve">                  </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资质类别和等级：</w:t>
      </w:r>
      <w:r>
        <w:rPr>
          <w:rFonts w:hint="eastAsia" w:ascii="宋体" w:hAnsi="宋体"/>
          <w:szCs w:val="21"/>
          <w:u w:val="single"/>
        </w:rPr>
        <w:t xml:space="preserve">            </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联系电话</w:t>
      </w:r>
      <w:r>
        <w:rPr>
          <w:rFonts w:hint="eastAsia" w:ascii="宋体" w:hAnsi="宋体"/>
          <w:szCs w:val="21"/>
        </w:rPr>
        <w:t>：</w:t>
      </w:r>
      <w:r>
        <w:rPr>
          <w:rFonts w:hint="eastAsia" w:ascii="宋体" w:hAnsi="宋体"/>
          <w:szCs w:val="21"/>
          <w:u w:val="single"/>
        </w:rPr>
        <w:t xml:space="preserve">                  </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电子信箱：</w:t>
      </w:r>
      <w:r>
        <w:rPr>
          <w:rFonts w:hint="eastAsia" w:ascii="宋体" w:hAnsi="宋体"/>
          <w:szCs w:val="21"/>
          <w:u w:val="single"/>
        </w:rPr>
        <w:t xml:space="preserve">                  </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通信地址：</w:t>
      </w:r>
      <w:r>
        <w:rPr>
          <w:rFonts w:hint="eastAsia" w:ascii="宋体" w:hAnsi="宋体"/>
          <w:szCs w:val="21"/>
          <w:u w:val="single"/>
        </w:rPr>
        <w:t xml:space="preserve">                  </w:t>
      </w:r>
      <w:r>
        <w:rPr>
          <w:rFonts w:ascii="宋体" w:hAnsi="宋体"/>
          <w:szCs w:val="21"/>
        </w:rPr>
        <w:t>。</w:t>
      </w:r>
    </w:p>
    <w:p>
      <w:pPr>
        <w:spacing w:line="360" w:lineRule="exact"/>
        <w:ind w:firstLine="420" w:firstLineChars="200"/>
        <w:rPr>
          <w:szCs w:val="21"/>
        </w:rPr>
      </w:pPr>
      <w:r>
        <w:rPr>
          <w:szCs w:val="21"/>
        </w:rPr>
        <w:t>1.1.3 工程和设备</w:t>
      </w:r>
    </w:p>
    <w:p>
      <w:pPr>
        <w:spacing w:line="360" w:lineRule="exact"/>
        <w:ind w:firstLine="420" w:firstLineChars="200"/>
        <w:rPr>
          <w:szCs w:val="21"/>
          <w:u w:val="single"/>
        </w:rPr>
      </w:pPr>
      <w:r>
        <w:rPr>
          <w:szCs w:val="21"/>
        </w:rPr>
        <w:t>1.1.3.7 作为施工现场组成部分的其他场所包括：</w:t>
      </w:r>
    </w:p>
    <w:p>
      <w:pPr>
        <w:spacing w:line="360" w:lineRule="exact"/>
        <w:ind w:firstLine="420" w:firstLineChars="200"/>
        <w:rPr>
          <w:szCs w:val="21"/>
        </w:rPr>
      </w:pPr>
      <w:r>
        <w:rPr>
          <w:szCs w:val="21"/>
        </w:rPr>
        <w:t>1.1.3.9 永久占地包括：</w:t>
      </w:r>
      <w:r>
        <w:rPr>
          <w:szCs w:val="21"/>
          <w:u w:val="single"/>
        </w:rPr>
        <w:t xml:space="preserve">                </w:t>
      </w:r>
    </w:p>
    <w:p>
      <w:pPr>
        <w:spacing w:line="360" w:lineRule="exact"/>
        <w:ind w:firstLine="420" w:firstLineChars="200"/>
        <w:rPr>
          <w:szCs w:val="21"/>
          <w:u w:val="single"/>
        </w:rPr>
      </w:pPr>
      <w:r>
        <w:rPr>
          <w:szCs w:val="21"/>
        </w:rPr>
        <w:t>1.1.3.10 临时占地包括：</w:t>
      </w:r>
      <w:r>
        <w:rPr>
          <w:szCs w:val="21"/>
          <w:u w:val="single"/>
        </w:rPr>
        <w:t xml:space="preserve">               </w:t>
      </w:r>
    </w:p>
    <w:p>
      <w:pPr>
        <w:spacing w:line="360" w:lineRule="exact"/>
        <w:ind w:firstLine="420" w:firstLineChars="200"/>
        <w:rPr>
          <w:szCs w:val="21"/>
        </w:rPr>
      </w:pPr>
      <w:r>
        <w:rPr>
          <w:szCs w:val="21"/>
        </w:rPr>
        <w:t>1.3法律</w:t>
      </w:r>
    </w:p>
    <w:p>
      <w:pPr>
        <w:tabs>
          <w:tab w:val="left" w:pos="709"/>
          <w:tab w:val="left" w:pos="9180"/>
          <w:tab w:val="left" w:pos="9360"/>
        </w:tabs>
        <w:spacing w:line="420" w:lineRule="exact"/>
        <w:ind w:right="359" w:rightChars="171" w:firstLine="420" w:firstLineChars="200"/>
        <w:rPr>
          <w:rFonts w:ascii="Calibri" w:hAnsi="Calibri"/>
          <w:szCs w:val="21"/>
          <w:u w:val="single"/>
        </w:rPr>
      </w:pPr>
      <w:r>
        <w:rPr>
          <w:rFonts w:hint="eastAsia" w:ascii="Calibri" w:hAnsi="Calibri"/>
          <w:szCs w:val="21"/>
        </w:rPr>
        <w:t>1.</w:t>
      </w:r>
      <w:r>
        <w:rPr>
          <w:rFonts w:ascii="Calibri" w:hAnsi="Calibri"/>
          <w:szCs w:val="21"/>
        </w:rPr>
        <w:t>适用于合同的其他规范性文件：</w:t>
      </w:r>
      <w:r>
        <w:rPr>
          <w:rFonts w:hint="eastAsia" w:ascii="宋体" w:hAnsi="宋体"/>
          <w:szCs w:val="21"/>
          <w:u w:val="single"/>
          <w:lang w:eastAsia="zh-CN"/>
        </w:rPr>
        <w:t>《建设工程工程量清单计价规范》(GB50500-2013)、《通用安装工程工程量计算规范》(GB50856-2013)、建设工程工程量计算规范(2013)浙江省补充规定及补充规定(二)、《浙江省建设工程计价规则》(2018版)、《浙江省通用安装工程预算定额》(2018版)</w:t>
      </w:r>
      <w:r>
        <w:rPr>
          <w:rFonts w:hint="eastAsia" w:ascii="宋体" w:hAnsi="宋体"/>
          <w:szCs w:val="21"/>
          <w:u w:val="single"/>
        </w:rPr>
        <w:t>及工程所在地现行的有关工程造价方面规定。</w:t>
      </w:r>
    </w:p>
    <w:p>
      <w:pPr>
        <w:spacing w:line="360" w:lineRule="exact"/>
        <w:ind w:firstLine="420" w:firstLineChars="200"/>
        <w:rPr>
          <w:rFonts w:eastAsia="黑体"/>
          <w:szCs w:val="21"/>
        </w:rPr>
      </w:pPr>
      <w:r>
        <w:rPr>
          <w:rFonts w:eastAsia="黑体"/>
          <w:szCs w:val="21"/>
        </w:rPr>
        <w:t>1.4 标准和规范</w:t>
      </w:r>
    </w:p>
    <w:p>
      <w:pPr>
        <w:spacing w:line="360" w:lineRule="exact"/>
        <w:ind w:firstLine="420" w:firstLineChars="200"/>
        <w:rPr>
          <w:szCs w:val="21"/>
        </w:rPr>
      </w:pPr>
      <w:r>
        <w:rPr>
          <w:szCs w:val="21"/>
        </w:rPr>
        <w:t>1.4.1适用于工程的标准规范包括：</w:t>
      </w:r>
      <w:r>
        <w:rPr>
          <w:rFonts w:hint="eastAsia"/>
          <w:szCs w:val="21"/>
          <w:u w:val="single"/>
        </w:rPr>
        <w:t>按现行的国家、省、市施工验收规范、质量评定标准及有关规定。合同工期内的标准、规范，招标文件中的技术要求等</w:t>
      </w:r>
      <w:r>
        <w:rPr>
          <w:szCs w:val="21"/>
        </w:rPr>
        <w:t>。</w:t>
      </w:r>
    </w:p>
    <w:p>
      <w:pPr>
        <w:spacing w:line="360" w:lineRule="exact"/>
        <w:ind w:firstLine="420" w:firstLineChars="200"/>
        <w:rPr>
          <w:kern w:val="0"/>
          <w:szCs w:val="21"/>
          <w:u w:val="single"/>
        </w:rPr>
      </w:pPr>
      <w:r>
        <w:rPr>
          <w:kern w:val="0"/>
          <w:szCs w:val="21"/>
        </w:rPr>
        <w:t>1.4.2 发包人提供国外标准、规范的名称：</w:t>
      </w:r>
      <w:r>
        <w:rPr>
          <w:rFonts w:hint="eastAsia"/>
          <w:kern w:val="0"/>
          <w:szCs w:val="21"/>
          <w:u w:val="single"/>
        </w:rPr>
        <w:t xml:space="preserve">      /       </w:t>
      </w:r>
      <w:r>
        <w:rPr>
          <w:rFonts w:hint="eastAsia"/>
          <w:kern w:val="0"/>
          <w:szCs w:val="21"/>
        </w:rPr>
        <w:t>；</w:t>
      </w:r>
    </w:p>
    <w:p>
      <w:pPr>
        <w:spacing w:line="360" w:lineRule="exact"/>
        <w:ind w:firstLine="420" w:firstLineChars="200"/>
        <w:rPr>
          <w:kern w:val="0"/>
          <w:szCs w:val="21"/>
        </w:rPr>
      </w:pPr>
      <w:r>
        <w:rPr>
          <w:kern w:val="0"/>
          <w:szCs w:val="21"/>
        </w:rPr>
        <w:t>发包人提供国外标准、规范的份数：</w:t>
      </w:r>
      <w:r>
        <w:rPr>
          <w:rFonts w:hint="eastAsia"/>
          <w:kern w:val="0"/>
          <w:szCs w:val="21"/>
          <w:u w:val="single"/>
        </w:rPr>
        <w:t xml:space="preserve">/ </w:t>
      </w:r>
      <w:r>
        <w:rPr>
          <w:kern w:val="0"/>
          <w:szCs w:val="21"/>
        </w:rPr>
        <w:t>；</w:t>
      </w:r>
    </w:p>
    <w:p>
      <w:pPr>
        <w:spacing w:line="360" w:lineRule="exact"/>
        <w:ind w:firstLine="420" w:firstLineChars="200"/>
        <w:rPr>
          <w:szCs w:val="21"/>
        </w:rPr>
      </w:pPr>
      <w:r>
        <w:rPr>
          <w:kern w:val="0"/>
          <w:szCs w:val="21"/>
        </w:rPr>
        <w:t>发包人提供国外标准、规范的名称：</w:t>
      </w:r>
      <w:r>
        <w:rPr>
          <w:rFonts w:hint="eastAsia"/>
          <w:kern w:val="0"/>
          <w:szCs w:val="21"/>
          <w:u w:val="single"/>
        </w:rPr>
        <w:t>/</w:t>
      </w:r>
      <w:r>
        <w:rPr>
          <w:kern w:val="0"/>
          <w:szCs w:val="21"/>
        </w:rPr>
        <w:t>。</w:t>
      </w:r>
    </w:p>
    <w:p>
      <w:pPr>
        <w:spacing w:line="360" w:lineRule="exact"/>
        <w:ind w:firstLine="420" w:firstLineChars="200"/>
        <w:rPr>
          <w:szCs w:val="21"/>
        </w:rPr>
      </w:pPr>
      <w:r>
        <w:rPr>
          <w:szCs w:val="21"/>
        </w:rPr>
        <w:t>1.4.3发包人对工程的技术标准和功能要求的特殊要求：</w:t>
      </w:r>
      <w:r>
        <w:rPr>
          <w:rFonts w:hint="eastAsia"/>
          <w:szCs w:val="21"/>
          <w:u w:val="single"/>
        </w:rPr>
        <w:t>国家没有相应标准、规范且不使用国外标准、规范时，按发包人和分包人商定的方案施工</w:t>
      </w:r>
      <w:r>
        <w:rPr>
          <w:rFonts w:hint="eastAsia"/>
          <w:szCs w:val="21"/>
        </w:rPr>
        <w:t>。</w:t>
      </w:r>
    </w:p>
    <w:p>
      <w:pPr>
        <w:spacing w:line="360" w:lineRule="exact"/>
        <w:ind w:firstLine="420" w:firstLineChars="200"/>
        <w:rPr>
          <w:rFonts w:eastAsia="黑体"/>
          <w:szCs w:val="21"/>
        </w:rPr>
      </w:pPr>
      <w:r>
        <w:rPr>
          <w:rFonts w:eastAsia="黑体"/>
          <w:szCs w:val="21"/>
        </w:rPr>
        <w:t>1.5 合同文件的优先顺序</w:t>
      </w:r>
    </w:p>
    <w:p>
      <w:pPr>
        <w:spacing w:line="360" w:lineRule="exact"/>
        <w:ind w:firstLine="420" w:firstLineChars="200"/>
        <w:rPr>
          <w:szCs w:val="21"/>
          <w:u w:val="single"/>
        </w:rPr>
      </w:pPr>
      <w:r>
        <w:rPr>
          <w:szCs w:val="21"/>
        </w:rPr>
        <w:t>合同文件组成及优先顺序为：</w:t>
      </w:r>
      <w:r>
        <w:rPr>
          <w:rFonts w:hint="eastAsia" w:ascii="新宋体" w:hAnsi="新宋体" w:eastAsia="新宋体" w:cs="新宋体"/>
          <w:szCs w:val="21"/>
          <w:u w:val="single"/>
        </w:rPr>
        <w:t>按合同通用条款</w:t>
      </w:r>
      <w:r>
        <w:rPr>
          <w:rFonts w:hint="eastAsia"/>
          <w:szCs w:val="21"/>
          <w:u w:val="single"/>
        </w:rPr>
        <w:t>。</w:t>
      </w:r>
    </w:p>
    <w:p>
      <w:pPr>
        <w:spacing w:line="360" w:lineRule="exact"/>
        <w:ind w:firstLine="420" w:firstLineChars="200"/>
        <w:rPr>
          <w:rFonts w:eastAsia="黑体"/>
          <w:szCs w:val="21"/>
        </w:rPr>
      </w:pPr>
      <w:r>
        <w:rPr>
          <w:rFonts w:eastAsia="黑体"/>
          <w:szCs w:val="21"/>
        </w:rPr>
        <w:t>1.6 图纸和</w:t>
      </w:r>
      <w:r>
        <w:rPr>
          <w:rFonts w:hint="eastAsia" w:eastAsia="黑体"/>
          <w:szCs w:val="21"/>
        </w:rPr>
        <w:t>分包人</w:t>
      </w:r>
      <w:r>
        <w:rPr>
          <w:rFonts w:eastAsia="黑体"/>
          <w:szCs w:val="21"/>
        </w:rPr>
        <w:t>文件</w:t>
      </w:r>
      <w:r>
        <w:rPr>
          <w:rFonts w:eastAsia="黑体"/>
          <w:szCs w:val="21"/>
        </w:rPr>
        <w:tab/>
      </w:r>
    </w:p>
    <w:p>
      <w:pPr>
        <w:spacing w:line="360" w:lineRule="exact"/>
        <w:ind w:firstLine="420" w:firstLineChars="200"/>
        <w:rPr>
          <w:szCs w:val="21"/>
        </w:rPr>
      </w:pPr>
      <w:r>
        <w:rPr>
          <w:szCs w:val="21"/>
        </w:rPr>
        <w:t>1.6.1 图纸的提供</w:t>
      </w:r>
    </w:p>
    <w:p>
      <w:pPr>
        <w:spacing w:line="360" w:lineRule="exact"/>
        <w:ind w:firstLine="420" w:firstLineChars="200"/>
        <w:rPr>
          <w:szCs w:val="21"/>
        </w:rPr>
      </w:pPr>
      <w:r>
        <w:rPr>
          <w:szCs w:val="21"/>
        </w:rPr>
        <w:t>发包人向</w:t>
      </w:r>
      <w:r>
        <w:rPr>
          <w:rFonts w:hint="eastAsia"/>
          <w:szCs w:val="21"/>
        </w:rPr>
        <w:t>分包人</w:t>
      </w:r>
      <w:r>
        <w:rPr>
          <w:szCs w:val="21"/>
        </w:rPr>
        <w:t>提供图纸的期限：</w:t>
      </w:r>
      <w:r>
        <w:rPr>
          <w:rFonts w:hint="eastAsia"/>
          <w:szCs w:val="21"/>
          <w:u w:val="single"/>
        </w:rPr>
        <w:t>开工日期14天前</w:t>
      </w:r>
      <w:r>
        <w:rPr>
          <w:szCs w:val="21"/>
        </w:rPr>
        <w:t>；</w:t>
      </w:r>
    </w:p>
    <w:p>
      <w:pPr>
        <w:spacing w:line="360" w:lineRule="exact"/>
        <w:ind w:firstLine="420" w:firstLineChars="200"/>
        <w:rPr>
          <w:szCs w:val="21"/>
        </w:rPr>
      </w:pPr>
      <w:r>
        <w:rPr>
          <w:szCs w:val="21"/>
        </w:rPr>
        <w:t>发包人向</w:t>
      </w:r>
      <w:r>
        <w:rPr>
          <w:rFonts w:hint="eastAsia"/>
          <w:szCs w:val="21"/>
        </w:rPr>
        <w:t>分包人</w:t>
      </w:r>
      <w:r>
        <w:rPr>
          <w:szCs w:val="21"/>
        </w:rPr>
        <w:t>提供图纸的数量：</w:t>
      </w:r>
      <w:r>
        <w:rPr>
          <w:rFonts w:hint="eastAsia" w:ascii="新宋体" w:hAnsi="新宋体" w:eastAsia="新宋体" w:cs="新宋体"/>
          <w:szCs w:val="21"/>
          <w:u w:val="single"/>
        </w:rPr>
        <w:t>纸质施工图五套及与其一致的电子版施工图一套，其中四套用于制作竣工图纸（完工后提供）。</w:t>
      </w:r>
      <w:r>
        <w:rPr>
          <w:rFonts w:hint="eastAsia"/>
          <w:szCs w:val="21"/>
          <w:u w:val="single"/>
        </w:rPr>
        <w:t>新增图纸费由分包人承担、图纸上索引相关图集由分包人承担。</w:t>
      </w:r>
    </w:p>
    <w:p>
      <w:pPr>
        <w:ind w:firstLine="420" w:firstLineChars="200"/>
        <w:rPr>
          <w:u w:val="single"/>
        </w:rPr>
      </w:pPr>
      <w:r>
        <w:rPr>
          <w:szCs w:val="21"/>
        </w:rPr>
        <w:t>发包人向</w:t>
      </w:r>
      <w:r>
        <w:rPr>
          <w:rFonts w:hint="eastAsia"/>
          <w:szCs w:val="21"/>
        </w:rPr>
        <w:t>分包人</w:t>
      </w:r>
      <w:r>
        <w:rPr>
          <w:szCs w:val="21"/>
        </w:rPr>
        <w:t>提供图纸的内容：</w:t>
      </w:r>
      <w:r>
        <w:rPr>
          <w:rFonts w:hint="eastAsia"/>
          <w:szCs w:val="21"/>
          <w:u w:val="single"/>
        </w:rPr>
        <w:t>为完成本工程所需的设计文件（详见签收表）（注：须载明施工图纸名称、工程号、版本、出图日期、目录、已有的变更联系单编号等）</w:t>
      </w:r>
      <w:r>
        <w:rPr>
          <w:rFonts w:hint="eastAsia" w:ascii="宋体" w:hAnsi="宋体"/>
          <w:u w:val="single"/>
        </w:rPr>
        <w:t>。</w:t>
      </w:r>
    </w:p>
    <w:p>
      <w:pPr>
        <w:spacing w:line="360" w:lineRule="exact"/>
        <w:ind w:firstLine="420" w:firstLineChars="200"/>
        <w:rPr>
          <w:szCs w:val="21"/>
        </w:rPr>
      </w:pPr>
      <w:r>
        <w:rPr>
          <w:szCs w:val="21"/>
        </w:rPr>
        <w:t xml:space="preserve">1.6.4 </w:t>
      </w:r>
      <w:r>
        <w:rPr>
          <w:rFonts w:hint="eastAsia"/>
          <w:szCs w:val="21"/>
        </w:rPr>
        <w:t>分包人</w:t>
      </w:r>
      <w:r>
        <w:rPr>
          <w:szCs w:val="21"/>
        </w:rPr>
        <w:t>文件</w:t>
      </w:r>
    </w:p>
    <w:p>
      <w:pPr>
        <w:spacing w:line="360" w:lineRule="exact"/>
        <w:ind w:firstLine="420" w:firstLineChars="200"/>
        <w:rPr>
          <w:rFonts w:ascii="仿宋_GB2312"/>
          <w:szCs w:val="21"/>
          <w:u w:val="single"/>
        </w:rPr>
      </w:pPr>
      <w:r>
        <w:rPr>
          <w:szCs w:val="21"/>
        </w:rPr>
        <w:t>需要由</w:t>
      </w:r>
      <w:r>
        <w:rPr>
          <w:rFonts w:hint="eastAsia"/>
          <w:szCs w:val="21"/>
        </w:rPr>
        <w:t>分包人</w:t>
      </w:r>
      <w:r>
        <w:rPr>
          <w:szCs w:val="21"/>
        </w:rPr>
        <w:t>提供的文件，包括：</w:t>
      </w:r>
      <w:r>
        <w:rPr>
          <w:rFonts w:hint="eastAsia" w:ascii="宋体" w:hAnsi="宋体" w:cs="宋体"/>
          <w:szCs w:val="21"/>
          <w:u w:val="single"/>
        </w:rPr>
        <w:t>资金月使用计划，施工组织设计、专项施工方案、工程总进度计划、工程月进度计划表等</w:t>
      </w:r>
      <w:r>
        <w:rPr>
          <w:rFonts w:hint="eastAsia" w:ascii="宋体" w:hAnsi="宋体" w:cs="宋体"/>
          <w:szCs w:val="21"/>
        </w:rPr>
        <w:t>；</w:t>
      </w:r>
      <w:r>
        <w:rPr>
          <w:rFonts w:hint="eastAsia" w:ascii="宋体" w:hAnsi="宋体" w:cs="宋体"/>
          <w:szCs w:val="21"/>
          <w:u w:val="single"/>
        </w:rPr>
        <w:t>分包人提交修正后的施工组织设计、专项施工方案等的技术标准不低于投标承诺或原承诺标准，且修改或优化后的施工组织设计、专项施工方案须报监理人、发包人批准。</w:t>
      </w:r>
      <w:r>
        <w:rPr>
          <w:rFonts w:hint="eastAsia" w:ascii="宋体" w:hAnsi="宋体"/>
          <w:szCs w:val="21"/>
          <w:u w:val="single"/>
        </w:rPr>
        <w:t>此外，分包人应当把一整套的合同文件包括图纸、工程量清单、规范、工程开工后签发的所有施工联系单及附加图纸等存放在工地，以便发包人、监理工程师及其授权代表可随时查阅参考。</w:t>
      </w:r>
    </w:p>
    <w:p>
      <w:pPr>
        <w:spacing w:line="360" w:lineRule="exact"/>
        <w:ind w:firstLine="420" w:firstLineChars="200"/>
        <w:rPr>
          <w:szCs w:val="21"/>
        </w:rPr>
      </w:pPr>
      <w:r>
        <w:rPr>
          <w:rFonts w:hint="eastAsia" w:ascii="仿宋_GB2312"/>
          <w:szCs w:val="21"/>
        </w:rPr>
        <w:t>分包人提供的文件的期限为：</w:t>
      </w:r>
      <w:r>
        <w:rPr>
          <w:rFonts w:hint="eastAsia" w:ascii="宋体" w:hAnsi="宋体" w:cs="宋体"/>
          <w:szCs w:val="21"/>
          <w:u w:val="single"/>
        </w:rPr>
        <w:t>施工组织设计、进度计划在接到开工通知（或确定开工日期）后7天内，专项施工方案在相应部位施工前7天；发包人对分包人的施工组织设计（或方案）和进度计划提出质疑和合理修正时，分包人应7天内提供修正完成并重新提交；每月20日前向发包人提交下月进度计划、月资金使用计划和施工方案</w:t>
      </w:r>
      <w:r>
        <w:rPr>
          <w:szCs w:val="21"/>
        </w:rPr>
        <w:t>；</w:t>
      </w:r>
    </w:p>
    <w:p>
      <w:pPr>
        <w:spacing w:line="360" w:lineRule="exact"/>
        <w:ind w:firstLine="420" w:firstLineChars="200"/>
        <w:rPr>
          <w:szCs w:val="21"/>
        </w:rPr>
      </w:pPr>
      <w:r>
        <w:rPr>
          <w:rFonts w:hint="eastAsia"/>
          <w:szCs w:val="21"/>
        </w:rPr>
        <w:t>分包人</w:t>
      </w:r>
      <w:r>
        <w:rPr>
          <w:szCs w:val="21"/>
        </w:rPr>
        <w:t>提供的文件的数量为</w:t>
      </w:r>
      <w:r>
        <w:rPr>
          <w:rFonts w:hint="eastAsia"/>
          <w:szCs w:val="21"/>
        </w:rPr>
        <w:t>：</w:t>
      </w:r>
      <w:r>
        <w:rPr>
          <w:rFonts w:hint="eastAsia" w:ascii="宋体" w:hAnsi="宋体"/>
          <w:szCs w:val="21"/>
          <w:u w:val="single"/>
        </w:rPr>
        <w:t>按发包人要求</w:t>
      </w:r>
      <w:r>
        <w:rPr>
          <w:szCs w:val="21"/>
        </w:rPr>
        <w:t>；</w:t>
      </w:r>
    </w:p>
    <w:p>
      <w:pPr>
        <w:spacing w:line="360" w:lineRule="exact"/>
        <w:ind w:firstLine="420" w:firstLineChars="200"/>
        <w:rPr>
          <w:szCs w:val="21"/>
        </w:rPr>
      </w:pPr>
      <w:r>
        <w:rPr>
          <w:rFonts w:hint="eastAsia"/>
          <w:szCs w:val="21"/>
        </w:rPr>
        <w:t>分包人</w:t>
      </w:r>
      <w:r>
        <w:rPr>
          <w:szCs w:val="21"/>
        </w:rPr>
        <w:t>提供的文件的形式为</w:t>
      </w:r>
      <w:r>
        <w:rPr>
          <w:rFonts w:hint="eastAsia"/>
          <w:szCs w:val="21"/>
        </w:rPr>
        <w:t>：</w:t>
      </w:r>
      <w:r>
        <w:rPr>
          <w:rFonts w:hint="eastAsia"/>
          <w:szCs w:val="21"/>
          <w:u w:val="single"/>
        </w:rPr>
        <w:t>纸质及电子版本</w:t>
      </w:r>
      <w:r>
        <w:rPr>
          <w:szCs w:val="21"/>
        </w:rPr>
        <w:t>；</w:t>
      </w:r>
    </w:p>
    <w:p>
      <w:pPr>
        <w:spacing w:line="360" w:lineRule="exact"/>
        <w:ind w:firstLine="420" w:firstLineChars="200"/>
        <w:rPr>
          <w:szCs w:val="21"/>
        </w:rPr>
      </w:pPr>
      <w:r>
        <w:rPr>
          <w:szCs w:val="21"/>
        </w:rPr>
        <w:t>发包人</w:t>
      </w:r>
      <w:r>
        <w:rPr>
          <w:rFonts w:hint="eastAsia"/>
          <w:szCs w:val="21"/>
        </w:rPr>
        <w:t>审批分包人</w:t>
      </w:r>
      <w:r>
        <w:rPr>
          <w:szCs w:val="21"/>
        </w:rPr>
        <w:t>文件的期限</w:t>
      </w:r>
      <w:r>
        <w:rPr>
          <w:rFonts w:hint="eastAsia"/>
          <w:szCs w:val="21"/>
        </w:rPr>
        <w:t>：</w:t>
      </w:r>
      <w:r>
        <w:rPr>
          <w:rFonts w:hint="eastAsia"/>
          <w:szCs w:val="21"/>
          <w:u w:val="single"/>
        </w:rPr>
        <w:t>收到相应文件后7天内</w:t>
      </w:r>
      <w:r>
        <w:rPr>
          <w:szCs w:val="21"/>
        </w:rPr>
        <w:t>。</w:t>
      </w:r>
    </w:p>
    <w:p>
      <w:pPr>
        <w:spacing w:line="360" w:lineRule="exact"/>
        <w:ind w:firstLine="420" w:firstLineChars="200"/>
        <w:rPr>
          <w:szCs w:val="21"/>
        </w:rPr>
      </w:pPr>
      <w:r>
        <w:rPr>
          <w:szCs w:val="21"/>
        </w:rPr>
        <w:t>1.6.5 现场图纸准备</w:t>
      </w:r>
    </w:p>
    <w:p>
      <w:pPr>
        <w:spacing w:line="360" w:lineRule="exact"/>
        <w:ind w:firstLine="420" w:firstLineChars="200"/>
        <w:rPr>
          <w:szCs w:val="21"/>
        </w:rPr>
      </w:pPr>
      <w:r>
        <w:rPr>
          <w:szCs w:val="21"/>
        </w:rPr>
        <w:t>关于现场图纸准备的约定：</w:t>
      </w:r>
      <w:r>
        <w:rPr>
          <w:rFonts w:hint="eastAsia" w:ascii="新宋体" w:hAnsi="新宋体" w:eastAsia="新宋体" w:cs="新宋体"/>
          <w:szCs w:val="21"/>
          <w:u w:val="single"/>
        </w:rPr>
        <w:t>由分包人在现场保管一套完整施工图（包含在1.6.1所指的五套图纸中），供发包人、监理人及有关人员进行工程检查等活动时使用</w:t>
      </w:r>
      <w:r>
        <w:rPr>
          <w:szCs w:val="21"/>
        </w:rPr>
        <w:t>。</w:t>
      </w:r>
    </w:p>
    <w:p>
      <w:pPr>
        <w:spacing w:line="360" w:lineRule="exact"/>
        <w:ind w:firstLine="420" w:firstLineChars="200"/>
        <w:rPr>
          <w:rFonts w:eastAsia="黑体"/>
          <w:szCs w:val="21"/>
        </w:rPr>
      </w:pPr>
      <w:r>
        <w:rPr>
          <w:rFonts w:eastAsia="黑体"/>
          <w:szCs w:val="21"/>
        </w:rPr>
        <w:t>1.7 联络</w:t>
      </w:r>
    </w:p>
    <w:p>
      <w:pPr>
        <w:spacing w:line="360" w:lineRule="exact"/>
        <w:ind w:firstLine="420" w:firstLineChars="200"/>
        <w:rPr>
          <w:kern w:val="0"/>
          <w:szCs w:val="21"/>
        </w:rPr>
      </w:pPr>
      <w:r>
        <w:rPr>
          <w:kern w:val="0"/>
          <w:szCs w:val="21"/>
        </w:rPr>
        <w:t>1.7.1发包人和</w:t>
      </w:r>
      <w:r>
        <w:rPr>
          <w:rFonts w:hint="eastAsia"/>
          <w:kern w:val="0"/>
          <w:szCs w:val="21"/>
        </w:rPr>
        <w:t>分包人</w:t>
      </w:r>
      <w:r>
        <w:rPr>
          <w:kern w:val="0"/>
          <w:szCs w:val="21"/>
        </w:rPr>
        <w:t>应当在</w:t>
      </w:r>
      <w:r>
        <w:rPr>
          <w:szCs w:val="21"/>
          <w:u w:val="single"/>
        </w:rPr>
        <w:t></w:t>
      </w:r>
      <w:r>
        <w:rPr>
          <w:rFonts w:hint="eastAsia"/>
          <w:szCs w:val="21"/>
          <w:u w:val="single"/>
        </w:rPr>
        <w:t>7</w:t>
      </w:r>
      <w:r>
        <w:rPr>
          <w:kern w:val="0"/>
          <w:szCs w:val="21"/>
        </w:rPr>
        <w:t>天内将与合同有关的通知、批准、证明、证书、指示、指令、要求、请求、同意、意见、确定和决定等书面函件送达对方当事人</w:t>
      </w:r>
      <w:r>
        <w:rPr>
          <w:rFonts w:hint="eastAsia"/>
          <w:kern w:val="0"/>
          <w:szCs w:val="21"/>
        </w:rPr>
        <w:t>。</w:t>
      </w:r>
    </w:p>
    <w:p>
      <w:pPr>
        <w:spacing w:line="360" w:lineRule="exact"/>
        <w:ind w:left="370" w:leftChars="176"/>
        <w:rPr>
          <w:rFonts w:ascii="宋体" w:hAnsi="宋体" w:cs="宋体"/>
          <w:kern w:val="0"/>
          <w:szCs w:val="21"/>
        </w:rPr>
      </w:pPr>
      <w:r>
        <w:rPr>
          <w:rFonts w:hint="eastAsia" w:ascii="宋体" w:hAnsi="宋体" w:cs="宋体"/>
          <w:kern w:val="0"/>
          <w:szCs w:val="21"/>
        </w:rPr>
        <w:t>1.7.2发包人接收文件的地点：</w:t>
      </w:r>
      <w:r>
        <w:rPr>
          <w:rFonts w:hint="eastAsia" w:ascii="宋体" w:hAnsi="宋体" w:cs="宋体"/>
          <w:kern w:val="0"/>
          <w:szCs w:val="21"/>
          <w:u w:val="single"/>
        </w:rPr>
        <w:t xml:space="preserve">                              </w:t>
      </w:r>
      <w:r>
        <w:rPr>
          <w:rFonts w:hint="eastAsia" w:ascii="宋体" w:hAnsi="宋体" w:cs="宋体"/>
          <w:kern w:val="0"/>
          <w:szCs w:val="21"/>
        </w:rPr>
        <w:t>；</w:t>
      </w:r>
    </w:p>
    <w:p>
      <w:pPr>
        <w:spacing w:line="360" w:lineRule="exact"/>
        <w:ind w:left="370" w:leftChars="176"/>
        <w:rPr>
          <w:rFonts w:ascii="宋体" w:hAnsi="宋体" w:cs="宋体"/>
          <w:kern w:val="0"/>
          <w:szCs w:val="21"/>
          <w:u w:val="single"/>
        </w:rPr>
      </w:pPr>
      <w:r>
        <w:rPr>
          <w:rFonts w:hint="eastAsia" w:ascii="宋体" w:hAnsi="宋体" w:cs="宋体"/>
          <w:kern w:val="0"/>
          <w:szCs w:val="21"/>
        </w:rPr>
        <w:t>发包人接收文件的电子</w:t>
      </w:r>
      <w:r>
        <w:rPr>
          <w:rFonts w:hint="eastAsia" w:ascii="宋体" w:hAnsi="宋体" w:cs="宋体"/>
          <w:szCs w:val="21"/>
        </w:rPr>
        <w:t>信箱</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发包人指定的接收人为：</w:t>
      </w:r>
      <w:r>
        <w:rPr>
          <w:rFonts w:hint="eastAsia" w:ascii="宋体" w:hAnsi="宋体" w:cs="宋体"/>
          <w:szCs w:val="21"/>
          <w:u w:val="single"/>
        </w:rPr>
        <w:t xml:space="preserve">    （</w:t>
      </w:r>
      <w:r>
        <w:rPr>
          <w:rFonts w:hint="eastAsia" w:ascii="宋体" w:hAnsi="宋体" w:cs="宋体"/>
          <w:kern w:val="0"/>
          <w:szCs w:val="21"/>
          <w:u w:val="single"/>
        </w:rPr>
        <w:t>注：</w:t>
      </w:r>
      <w:r>
        <w:rPr>
          <w:rFonts w:hint="eastAsia" w:ascii="宋体" w:hAnsi="宋体" w:cs="宋体"/>
          <w:szCs w:val="21"/>
          <w:u w:val="single"/>
        </w:rPr>
        <w:t xml:space="preserve">2人以上及联系电话）      </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分包人接收文件的地点：</w:t>
      </w:r>
      <w:r>
        <w:rPr>
          <w:rFonts w:hint="eastAsia" w:ascii="宋体" w:hAnsi="宋体" w:cs="宋体"/>
          <w:szCs w:val="21"/>
          <w:u w:val="single"/>
        </w:rPr>
        <w:t xml:space="preserve">                                    </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分包人接收文件的电子</w:t>
      </w:r>
      <w:r>
        <w:rPr>
          <w:rFonts w:hint="eastAsia" w:ascii="宋体" w:hAnsi="宋体" w:cs="宋体"/>
          <w:szCs w:val="21"/>
        </w:rPr>
        <w:t>信箱</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分包人指定的接收人为：</w:t>
      </w:r>
      <w:r>
        <w:rPr>
          <w:rFonts w:hint="eastAsia" w:ascii="宋体" w:hAnsi="宋体" w:cs="宋体"/>
          <w:szCs w:val="21"/>
          <w:u w:val="single"/>
        </w:rPr>
        <w:t xml:space="preserve">    （</w:t>
      </w:r>
      <w:r>
        <w:rPr>
          <w:rFonts w:hint="eastAsia" w:ascii="宋体" w:hAnsi="宋体" w:cs="宋体"/>
          <w:kern w:val="0"/>
          <w:szCs w:val="21"/>
          <w:u w:val="single"/>
        </w:rPr>
        <w:t>注：</w:t>
      </w:r>
      <w:r>
        <w:rPr>
          <w:rFonts w:hint="eastAsia" w:ascii="宋体" w:hAnsi="宋体" w:cs="宋体"/>
          <w:szCs w:val="21"/>
          <w:u w:val="single"/>
        </w:rPr>
        <w:t xml:space="preserve">2人以上及联系电话）      </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监理人接收文件的地点：</w:t>
      </w:r>
      <w:r>
        <w:rPr>
          <w:rFonts w:hint="eastAsia" w:ascii="宋体" w:hAnsi="宋体" w:cs="宋体"/>
          <w:szCs w:val="21"/>
          <w:u w:val="single"/>
        </w:rPr>
        <w:t xml:space="preserve">                                    </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监理人接收文件的电子</w:t>
      </w:r>
      <w:r>
        <w:rPr>
          <w:rFonts w:hint="eastAsia" w:ascii="宋体" w:hAnsi="宋体" w:cs="宋体"/>
          <w:szCs w:val="21"/>
        </w:rPr>
        <w:t>信箱</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监理人指定的接收人为：</w:t>
      </w:r>
      <w:r>
        <w:rPr>
          <w:rFonts w:hint="eastAsia" w:ascii="宋体" w:hAnsi="宋体" w:cs="宋体"/>
          <w:szCs w:val="21"/>
          <w:u w:val="single"/>
        </w:rPr>
        <w:t xml:space="preserve">    （</w:t>
      </w:r>
      <w:r>
        <w:rPr>
          <w:rFonts w:hint="eastAsia" w:ascii="宋体" w:hAnsi="宋体" w:cs="宋体"/>
          <w:kern w:val="0"/>
          <w:szCs w:val="21"/>
          <w:u w:val="single"/>
        </w:rPr>
        <w:t>注：</w:t>
      </w:r>
      <w:r>
        <w:rPr>
          <w:rFonts w:hint="eastAsia" w:ascii="宋体" w:hAnsi="宋体" w:cs="宋体"/>
          <w:szCs w:val="21"/>
          <w:u w:val="single"/>
        </w:rPr>
        <w:t xml:space="preserve">2人以上及联系电话）      </w:t>
      </w:r>
      <w:r>
        <w:rPr>
          <w:rFonts w:hint="eastAsia" w:ascii="宋体" w:hAnsi="宋体" w:cs="宋体"/>
          <w:kern w:val="0"/>
          <w:szCs w:val="21"/>
        </w:rPr>
        <w:t>。</w:t>
      </w:r>
    </w:p>
    <w:p>
      <w:pPr>
        <w:spacing w:line="360" w:lineRule="exact"/>
        <w:ind w:firstLine="420" w:firstLineChars="200"/>
        <w:rPr>
          <w:rFonts w:ascii="宋体" w:hAnsi="宋体" w:cs="宋体"/>
          <w:kern w:val="0"/>
          <w:szCs w:val="21"/>
          <w:u w:val="single"/>
        </w:rPr>
      </w:pPr>
      <w:r>
        <w:rPr>
          <w:rFonts w:hint="eastAsia" w:ascii="宋体" w:hAnsi="宋体" w:cs="宋体"/>
          <w:kern w:val="0"/>
          <w:szCs w:val="21"/>
          <w:u w:val="single"/>
        </w:rPr>
        <w:t>发包人、分包人、监理人的文件接收地址、接收人（含联系电话）发生变动的，应提前3天通知各方。</w:t>
      </w:r>
    </w:p>
    <w:p>
      <w:pPr>
        <w:spacing w:line="360" w:lineRule="exact"/>
        <w:ind w:firstLine="420" w:firstLineChars="200"/>
        <w:rPr>
          <w:rFonts w:eastAsia="黑体"/>
          <w:szCs w:val="21"/>
        </w:rPr>
      </w:pPr>
      <w:r>
        <w:rPr>
          <w:rFonts w:eastAsia="黑体"/>
          <w:szCs w:val="21"/>
        </w:rPr>
        <w:t>1.10 交通运输</w:t>
      </w:r>
    </w:p>
    <w:p>
      <w:pPr>
        <w:spacing w:line="360" w:lineRule="exact"/>
        <w:ind w:firstLine="420" w:firstLineChars="200"/>
        <w:rPr>
          <w:szCs w:val="21"/>
        </w:rPr>
      </w:pPr>
      <w:r>
        <w:rPr>
          <w:szCs w:val="21"/>
        </w:rPr>
        <w:t>1</w:t>
      </w:r>
      <w:bookmarkStart w:id="382" w:name="_Toc304295521"/>
      <w:bookmarkStart w:id="383" w:name="_Toc300934943"/>
      <w:bookmarkStart w:id="384" w:name="_Toc303539100"/>
      <w:bookmarkStart w:id="385" w:name="_Toc312677986"/>
      <w:bookmarkStart w:id="386" w:name="_Toc318581155"/>
      <w:r>
        <w:rPr>
          <w:szCs w:val="21"/>
        </w:rPr>
        <w:t>.10.1 出入现场的权利</w:t>
      </w:r>
    </w:p>
    <w:p>
      <w:pPr>
        <w:spacing w:line="360" w:lineRule="exact"/>
        <w:ind w:firstLine="420" w:firstLineChars="200"/>
        <w:rPr>
          <w:szCs w:val="21"/>
          <w:u w:val="single"/>
        </w:rPr>
      </w:pPr>
      <w:r>
        <w:rPr>
          <w:szCs w:val="21"/>
        </w:rPr>
        <w:t>关于出入现场的权利的约定：</w:t>
      </w:r>
      <w:r>
        <w:rPr>
          <w:rFonts w:hint="eastAsia"/>
          <w:szCs w:val="21"/>
          <w:u w:val="single"/>
        </w:rPr>
        <w:t>按合同通用条款</w:t>
      </w:r>
      <w:r>
        <w:rPr>
          <w:szCs w:val="21"/>
        </w:rPr>
        <w:t>。</w:t>
      </w:r>
    </w:p>
    <w:bookmarkEnd w:id="382"/>
    <w:bookmarkEnd w:id="383"/>
    <w:bookmarkEnd w:id="384"/>
    <w:bookmarkEnd w:id="385"/>
    <w:bookmarkEnd w:id="386"/>
    <w:p>
      <w:pPr>
        <w:spacing w:line="360" w:lineRule="exact"/>
        <w:ind w:firstLine="420" w:firstLineChars="200"/>
        <w:rPr>
          <w:szCs w:val="21"/>
        </w:rPr>
      </w:pPr>
      <w:r>
        <w:rPr>
          <w:szCs w:val="21"/>
        </w:rPr>
        <w:t>1</w:t>
      </w:r>
      <w:bookmarkStart w:id="387" w:name="_Toc304295522"/>
      <w:bookmarkStart w:id="388" w:name="_Toc318581156"/>
      <w:bookmarkStart w:id="389" w:name="_Toc300934944"/>
      <w:bookmarkStart w:id="390" w:name="_Toc303539101"/>
      <w:bookmarkStart w:id="391" w:name="_Toc312677987"/>
      <w:r>
        <w:rPr>
          <w:szCs w:val="21"/>
        </w:rPr>
        <w:t>.10.3 场内交通</w:t>
      </w:r>
    </w:p>
    <w:p>
      <w:pPr>
        <w:spacing w:line="360" w:lineRule="exact"/>
        <w:ind w:firstLine="420" w:firstLineChars="200"/>
        <w:rPr>
          <w:szCs w:val="21"/>
        </w:rPr>
      </w:pPr>
      <w:r>
        <w:rPr>
          <w:kern w:val="0"/>
          <w:szCs w:val="21"/>
        </w:rPr>
        <w:t>关于场外交通和场内交通的边界的约定：</w:t>
      </w:r>
      <w:r>
        <w:rPr>
          <w:rFonts w:hint="eastAsia" w:ascii="宋体" w:hAnsi="宋体" w:cs="宋体"/>
          <w:kern w:val="0"/>
          <w:szCs w:val="21"/>
          <w:u w:val="single"/>
        </w:rPr>
        <w:t>以规划</w:t>
      </w:r>
      <w:r>
        <w:rPr>
          <w:rFonts w:hint="eastAsia" w:ascii="宋体" w:hAnsi="宋体" w:cs="宋体"/>
          <w:szCs w:val="21"/>
          <w:u w:val="single"/>
        </w:rPr>
        <w:t>用地红线为界</w:t>
      </w:r>
      <w:r>
        <w:rPr>
          <w:szCs w:val="21"/>
        </w:rPr>
        <w:t>。</w:t>
      </w:r>
    </w:p>
    <w:p>
      <w:pPr>
        <w:spacing w:line="360" w:lineRule="exact"/>
        <w:ind w:firstLine="420" w:firstLineChars="200"/>
        <w:rPr>
          <w:szCs w:val="21"/>
        </w:rPr>
      </w:pPr>
      <w:r>
        <w:rPr>
          <w:rFonts w:hint="eastAsia"/>
          <w:szCs w:val="21"/>
        </w:rPr>
        <w:t>关</w:t>
      </w:r>
      <w:r>
        <w:rPr>
          <w:szCs w:val="21"/>
        </w:rPr>
        <w:t>于发包人向</w:t>
      </w:r>
      <w:r>
        <w:rPr>
          <w:rFonts w:hint="eastAsia"/>
          <w:szCs w:val="21"/>
        </w:rPr>
        <w:t>分包人</w:t>
      </w:r>
      <w:r>
        <w:rPr>
          <w:szCs w:val="21"/>
        </w:rPr>
        <w:t>免费提供满足工程施工需要的场内道路和交通设施的约定：</w:t>
      </w:r>
      <w:r>
        <w:rPr>
          <w:szCs w:val="21"/>
          <w:u w:val="single"/>
        </w:rPr>
        <w:t></w:t>
      </w:r>
      <w:r>
        <w:rPr>
          <w:rFonts w:hint="eastAsia"/>
          <w:kern w:val="0"/>
          <w:szCs w:val="21"/>
          <w:u w:val="single"/>
        </w:rPr>
        <w:t>发包人提供的场内交通条件为现状，分包人已</w:t>
      </w:r>
      <w:r>
        <w:rPr>
          <w:rFonts w:hint="eastAsia" w:ascii="宋体" w:hAnsi="宋体" w:cs="宋体"/>
          <w:szCs w:val="21"/>
          <w:u w:val="single"/>
        </w:rPr>
        <w:t>在投标前</w:t>
      </w:r>
      <w:r>
        <w:rPr>
          <w:rFonts w:hint="eastAsia"/>
          <w:kern w:val="0"/>
          <w:szCs w:val="21"/>
          <w:u w:val="single"/>
        </w:rPr>
        <w:t>自行组织现场踏勘</w:t>
      </w:r>
      <w:r>
        <w:rPr>
          <w:rFonts w:hint="eastAsia"/>
          <w:szCs w:val="21"/>
        </w:rPr>
        <w:t>。</w:t>
      </w:r>
      <w:bookmarkEnd w:id="387"/>
      <w:bookmarkEnd w:id="388"/>
      <w:bookmarkEnd w:id="389"/>
      <w:bookmarkEnd w:id="390"/>
      <w:bookmarkEnd w:id="391"/>
      <w:bookmarkStart w:id="392" w:name="_Toc318581157"/>
    </w:p>
    <w:p>
      <w:pPr>
        <w:spacing w:line="360" w:lineRule="exact"/>
        <w:ind w:firstLine="420" w:firstLineChars="200"/>
        <w:rPr>
          <w:szCs w:val="21"/>
        </w:rPr>
      </w:pPr>
      <w:r>
        <w:rPr>
          <w:szCs w:val="21"/>
        </w:rPr>
        <w:t>1.10.4超大件和超重件的运输</w:t>
      </w:r>
    </w:p>
    <w:p>
      <w:pPr>
        <w:spacing w:line="360" w:lineRule="exact"/>
        <w:ind w:firstLine="420" w:firstLineChars="200"/>
        <w:rPr>
          <w:szCs w:val="21"/>
          <w:u w:val="single"/>
        </w:rPr>
      </w:pPr>
      <w:r>
        <w:rPr>
          <w:szCs w:val="21"/>
        </w:rPr>
        <w:t>运输超大件或超重件所需的道路和桥梁临时加固改造费用和其他有关费用</w:t>
      </w:r>
      <w:r>
        <w:rPr>
          <w:rFonts w:hint="eastAsia" w:ascii="宋体" w:hAnsi="宋体" w:cs="宋体"/>
          <w:szCs w:val="21"/>
          <w:u w:val="single"/>
        </w:rPr>
        <w:t>已包含在合同总价中（涉及相关审批程序由分包人自行办理）</w:t>
      </w:r>
      <w:r>
        <w:rPr>
          <w:rFonts w:hint="eastAsia"/>
          <w:szCs w:val="21"/>
          <w:u w:val="single"/>
        </w:rPr>
        <w:t>。</w:t>
      </w:r>
    </w:p>
    <w:bookmarkEnd w:id="392"/>
    <w:p>
      <w:pPr>
        <w:spacing w:line="360" w:lineRule="exact"/>
        <w:ind w:firstLine="420" w:firstLineChars="200"/>
        <w:rPr>
          <w:rFonts w:eastAsia="黑体"/>
          <w:szCs w:val="21"/>
        </w:rPr>
      </w:pPr>
      <w:r>
        <w:rPr>
          <w:rFonts w:eastAsia="黑体"/>
          <w:szCs w:val="21"/>
        </w:rPr>
        <w:t>1.11 知识产权</w:t>
      </w:r>
    </w:p>
    <w:p>
      <w:pPr>
        <w:spacing w:line="360" w:lineRule="exact"/>
        <w:ind w:firstLine="420" w:firstLineChars="200"/>
        <w:rPr>
          <w:szCs w:val="21"/>
        </w:rPr>
      </w:pPr>
      <w:r>
        <w:rPr>
          <w:szCs w:val="21"/>
        </w:rPr>
        <w:t>1.11.1关于发包人提供给</w:t>
      </w:r>
      <w:r>
        <w:rPr>
          <w:rFonts w:hint="eastAsia"/>
          <w:szCs w:val="21"/>
        </w:rPr>
        <w:t>分包人</w:t>
      </w:r>
      <w:r>
        <w:rPr>
          <w:szCs w:val="21"/>
        </w:rPr>
        <w:t>的图纸、发包人为实施工程自行编制或委托编制的技术规范以及反映发包人关于合同要求或其他类似性质的文件的著作权的归属：</w:t>
      </w:r>
      <w:r>
        <w:rPr>
          <w:rFonts w:hint="eastAsia"/>
          <w:szCs w:val="21"/>
          <w:u w:val="single"/>
        </w:rPr>
        <w:t>按合同通用条款</w:t>
      </w:r>
      <w:r>
        <w:rPr>
          <w:szCs w:val="21"/>
        </w:rPr>
        <w:t>。</w:t>
      </w:r>
    </w:p>
    <w:p>
      <w:pPr>
        <w:spacing w:line="360" w:lineRule="exact"/>
        <w:ind w:firstLine="420" w:firstLineChars="200"/>
        <w:rPr>
          <w:szCs w:val="21"/>
        </w:rPr>
      </w:pPr>
      <w:r>
        <w:rPr>
          <w:szCs w:val="21"/>
        </w:rPr>
        <w:t>关于发包人提供的上述文件的使用限制的要求：</w:t>
      </w:r>
      <w:r>
        <w:rPr>
          <w:rFonts w:hint="eastAsia"/>
          <w:szCs w:val="21"/>
          <w:u w:val="single"/>
        </w:rPr>
        <w:t>按合同通用条款</w:t>
      </w:r>
      <w:r>
        <w:rPr>
          <w:szCs w:val="21"/>
        </w:rPr>
        <w:t>。</w:t>
      </w:r>
    </w:p>
    <w:p>
      <w:pPr>
        <w:spacing w:line="360" w:lineRule="exact"/>
        <w:ind w:firstLine="420" w:firstLineChars="200"/>
        <w:rPr>
          <w:szCs w:val="21"/>
        </w:rPr>
      </w:pPr>
      <w:r>
        <w:rPr>
          <w:szCs w:val="21"/>
        </w:rPr>
        <w:t>1.11.2 关于</w:t>
      </w:r>
      <w:r>
        <w:rPr>
          <w:rFonts w:hint="eastAsia"/>
          <w:szCs w:val="21"/>
        </w:rPr>
        <w:t>分包人</w:t>
      </w:r>
      <w:r>
        <w:rPr>
          <w:szCs w:val="21"/>
        </w:rPr>
        <w:t>为实施工程所编制文件的著作权的归属：</w:t>
      </w:r>
      <w:r>
        <w:rPr>
          <w:rFonts w:hint="eastAsia"/>
          <w:szCs w:val="21"/>
          <w:u w:val="single"/>
        </w:rPr>
        <w:t>发包人</w:t>
      </w:r>
      <w:r>
        <w:rPr>
          <w:szCs w:val="21"/>
        </w:rPr>
        <w:t>。</w:t>
      </w:r>
    </w:p>
    <w:p>
      <w:pPr>
        <w:spacing w:line="360" w:lineRule="exact"/>
        <w:ind w:firstLine="420" w:firstLineChars="200"/>
        <w:rPr>
          <w:szCs w:val="21"/>
        </w:rPr>
      </w:pPr>
      <w:r>
        <w:rPr>
          <w:szCs w:val="21"/>
        </w:rPr>
        <w:t>关于</w:t>
      </w:r>
      <w:r>
        <w:rPr>
          <w:rFonts w:hint="eastAsia"/>
          <w:szCs w:val="21"/>
        </w:rPr>
        <w:t>分包人</w:t>
      </w:r>
      <w:r>
        <w:rPr>
          <w:szCs w:val="21"/>
        </w:rPr>
        <w:t>提供的上述文件的使用限制的要求：</w:t>
      </w:r>
      <w:r>
        <w:rPr>
          <w:rFonts w:hint="eastAsia"/>
          <w:szCs w:val="21"/>
          <w:u w:val="single"/>
        </w:rPr>
        <w:t>按合同通用条款</w:t>
      </w:r>
      <w:r>
        <w:rPr>
          <w:szCs w:val="21"/>
        </w:rPr>
        <w:t>。</w:t>
      </w:r>
    </w:p>
    <w:p>
      <w:pPr>
        <w:spacing w:line="360" w:lineRule="exact"/>
        <w:ind w:firstLine="420" w:firstLineChars="200"/>
        <w:rPr>
          <w:kern w:val="0"/>
          <w:szCs w:val="21"/>
        </w:rPr>
      </w:pPr>
      <w:r>
        <w:rPr>
          <w:szCs w:val="21"/>
        </w:rPr>
        <w:t xml:space="preserve">1.11.4 </w:t>
      </w:r>
      <w:r>
        <w:rPr>
          <w:rFonts w:hint="eastAsia"/>
          <w:szCs w:val="21"/>
        </w:rPr>
        <w:t>分包人</w:t>
      </w:r>
      <w:r>
        <w:rPr>
          <w:szCs w:val="21"/>
        </w:rPr>
        <w:t>在施工过程中所采用的专利、专有技术、技术秘密的使用费的承担方式：</w:t>
      </w:r>
      <w:r>
        <w:rPr>
          <w:rFonts w:hint="eastAsia"/>
          <w:szCs w:val="21"/>
          <w:u w:val="single"/>
        </w:rPr>
        <w:t>包含在签约合同价内</w:t>
      </w:r>
      <w:r>
        <w:rPr>
          <w:kern w:val="0"/>
          <w:szCs w:val="21"/>
        </w:rPr>
        <w:t>。</w:t>
      </w:r>
    </w:p>
    <w:p>
      <w:pPr>
        <w:spacing w:line="360" w:lineRule="exact"/>
        <w:ind w:firstLine="420" w:firstLineChars="200"/>
        <w:rPr>
          <w:rFonts w:eastAsia="黑体"/>
          <w:szCs w:val="21"/>
        </w:rPr>
      </w:pPr>
      <w:r>
        <w:rPr>
          <w:rFonts w:hint="eastAsia" w:eastAsia="黑体"/>
          <w:szCs w:val="21"/>
        </w:rPr>
        <w:t>1.13工程量清单错误的修正</w:t>
      </w:r>
    </w:p>
    <w:p>
      <w:pPr>
        <w:spacing w:line="360" w:lineRule="exact"/>
        <w:ind w:firstLine="420" w:firstLineChars="200"/>
        <w:rPr>
          <w:rFonts w:ascii="宋体" w:hAnsi="宋体" w:cs="宋体"/>
          <w:szCs w:val="21"/>
        </w:rPr>
      </w:pPr>
      <w:r>
        <w:rPr>
          <w:rFonts w:hint="eastAsia" w:ascii="宋体" w:hAnsi="宋体" w:cs="宋体"/>
          <w:szCs w:val="21"/>
        </w:rPr>
        <w:t>出现工程量清单错误时，是否调整合同价格：</w:t>
      </w:r>
      <w:r>
        <w:rPr>
          <w:rFonts w:hint="eastAsia" w:ascii="宋体" w:hAnsi="宋体" w:cs="宋体"/>
          <w:szCs w:val="21"/>
          <w:u w:val="single"/>
        </w:rPr>
        <w:t xml:space="preserve">工程量清单特征描述不符引起造价变化的子目及工程量清单漏项子目按专用条款10.4.1（2）（3）（4）条约定调整合同价格 </w:t>
      </w:r>
      <w:r>
        <w:rPr>
          <w:rFonts w:hint="eastAsia" w:ascii="宋体" w:hAnsi="宋体" w:cs="宋体"/>
          <w:kern w:val="0"/>
          <w:szCs w:val="21"/>
        </w:rPr>
        <w:t>。</w:t>
      </w:r>
    </w:p>
    <w:p>
      <w:pPr>
        <w:spacing w:line="360" w:lineRule="exact"/>
        <w:ind w:firstLine="420" w:firstLineChars="200"/>
        <w:rPr>
          <w:szCs w:val="21"/>
          <w:u w:val="single"/>
        </w:rPr>
      </w:pPr>
      <w:r>
        <w:rPr>
          <w:rFonts w:hint="eastAsia" w:ascii="宋体" w:hAnsi="宋体" w:cs="宋体"/>
          <w:szCs w:val="21"/>
        </w:rPr>
        <w:t>允许调整合同价格的工程量偏差范围：</w:t>
      </w:r>
      <w:r>
        <w:rPr>
          <w:rFonts w:hint="eastAsia" w:ascii="宋体" w:hAnsi="宋体" w:cs="宋体"/>
          <w:szCs w:val="21"/>
          <w:u w:val="single"/>
        </w:rPr>
        <w:t>因招标工程量清单中的工程量</w:t>
      </w:r>
      <w:r>
        <w:rPr>
          <w:rFonts w:hint="eastAsia" w:ascii="宋体" w:hAnsi="宋体" w:cs="宋体"/>
          <w:szCs w:val="21"/>
          <w:u w:val="single"/>
          <w:lang w:val="zh-CN"/>
        </w:rPr>
        <w:t>计算偏差或工程变更等引起的</w:t>
      </w:r>
      <w:r>
        <w:rPr>
          <w:rFonts w:hint="eastAsia" w:ascii="宋体" w:hAnsi="宋体" w:cs="宋体"/>
          <w:szCs w:val="21"/>
          <w:u w:val="single"/>
        </w:rPr>
        <w:t>工程量变化不调整综合单价；但如综合单价异常（综合单价异常是指：投标综合单价与按专用合同条款21.3条中计价依据计算的综合单价偏差±30%以上），工程量增加，调整综合单价的工程量偏差范围及综合单价确定方法按专用条款10.4.1（1）（2）（3）（4）条约定，工程量减少按投标综合单价计算，不调整综合单价。</w:t>
      </w:r>
    </w:p>
    <w:p>
      <w:pPr>
        <w:keepNext/>
        <w:keepLines/>
        <w:spacing w:line="360" w:lineRule="exact"/>
        <w:outlineLvl w:val="3"/>
        <w:rPr>
          <w:rFonts w:eastAsia="黑体"/>
          <w:bCs/>
          <w:szCs w:val="21"/>
        </w:rPr>
      </w:pPr>
      <w:bookmarkStart w:id="393" w:name="_Toc351203634"/>
      <w:r>
        <w:rPr>
          <w:rFonts w:eastAsia="黑体"/>
          <w:bCs/>
          <w:szCs w:val="21"/>
        </w:rPr>
        <w:t>2</w:t>
      </w:r>
      <w:bookmarkStart w:id="394" w:name="_Toc296944496"/>
      <w:bookmarkStart w:id="395" w:name="_Toc296890985"/>
      <w:bookmarkStart w:id="396" w:name="_Toc296346658"/>
      <w:bookmarkStart w:id="397" w:name="_Toc292559867"/>
      <w:bookmarkStart w:id="398" w:name="_Toc296891197"/>
      <w:bookmarkStart w:id="399" w:name="_Toc296347156"/>
      <w:bookmarkStart w:id="400" w:name="_Toc292559362"/>
      <w:bookmarkStart w:id="401" w:name="_Toc297048343"/>
      <w:bookmarkStart w:id="402" w:name="_Toc297120457"/>
      <w:bookmarkStart w:id="403" w:name="_Toc296503157"/>
      <w:r>
        <w:rPr>
          <w:rFonts w:eastAsia="黑体"/>
          <w:bCs/>
          <w:szCs w:val="21"/>
        </w:rPr>
        <w:t>. 发包人</w:t>
      </w:r>
      <w:bookmarkEnd w:id="393"/>
    </w:p>
    <w:bookmarkEnd w:id="394"/>
    <w:bookmarkEnd w:id="395"/>
    <w:bookmarkEnd w:id="396"/>
    <w:bookmarkEnd w:id="397"/>
    <w:bookmarkEnd w:id="398"/>
    <w:bookmarkEnd w:id="399"/>
    <w:bookmarkEnd w:id="400"/>
    <w:bookmarkEnd w:id="401"/>
    <w:bookmarkEnd w:id="402"/>
    <w:bookmarkEnd w:id="403"/>
    <w:p>
      <w:pPr>
        <w:spacing w:line="360" w:lineRule="exact"/>
        <w:ind w:firstLine="420" w:firstLineChars="200"/>
        <w:rPr>
          <w:rFonts w:eastAsia="黑体"/>
          <w:szCs w:val="21"/>
        </w:rPr>
      </w:pPr>
      <w:r>
        <w:rPr>
          <w:rFonts w:eastAsia="黑体"/>
          <w:szCs w:val="21"/>
        </w:rPr>
        <w:t>2.2 发包人代表</w:t>
      </w:r>
    </w:p>
    <w:p>
      <w:pPr>
        <w:spacing w:line="360" w:lineRule="exact"/>
        <w:ind w:firstLine="420" w:firstLineChars="200"/>
        <w:rPr>
          <w:szCs w:val="21"/>
        </w:rPr>
      </w:pPr>
      <w:r>
        <w:rPr>
          <w:szCs w:val="21"/>
        </w:rPr>
        <w:t>发包人代表：</w:t>
      </w:r>
    </w:p>
    <w:p>
      <w:pPr>
        <w:spacing w:line="360" w:lineRule="exact"/>
        <w:ind w:firstLine="420" w:firstLineChars="200"/>
        <w:rPr>
          <w:szCs w:val="21"/>
        </w:rPr>
      </w:pPr>
      <w:r>
        <w:rPr>
          <w:szCs w:val="21"/>
        </w:rPr>
        <w:t>姓名：</w:t>
      </w:r>
      <w:r>
        <w:rPr>
          <w:szCs w:val="21"/>
          <w:u w:val="single"/>
        </w:rPr>
        <w:t>   </w:t>
      </w:r>
      <w:r>
        <w:rPr>
          <w:szCs w:val="21"/>
        </w:rPr>
        <w:t>；</w:t>
      </w:r>
    </w:p>
    <w:p>
      <w:pPr>
        <w:spacing w:line="360" w:lineRule="exact"/>
        <w:ind w:firstLine="420" w:firstLineChars="200"/>
        <w:rPr>
          <w:szCs w:val="21"/>
        </w:rPr>
      </w:pPr>
      <w:r>
        <w:rPr>
          <w:szCs w:val="21"/>
        </w:rPr>
        <w:t>身份证号：</w:t>
      </w:r>
      <w:r>
        <w:rPr>
          <w:szCs w:val="21"/>
          <w:u w:val="single"/>
        </w:rPr>
        <w:t>   </w:t>
      </w:r>
      <w:r>
        <w:rPr>
          <w:szCs w:val="21"/>
        </w:rPr>
        <w:t>；</w:t>
      </w:r>
    </w:p>
    <w:p>
      <w:pPr>
        <w:spacing w:line="360" w:lineRule="exact"/>
        <w:ind w:firstLine="420" w:firstLineChars="200"/>
        <w:rPr>
          <w:szCs w:val="21"/>
        </w:rPr>
      </w:pPr>
      <w:r>
        <w:rPr>
          <w:szCs w:val="21"/>
        </w:rPr>
        <w:t>职务：</w:t>
      </w:r>
      <w:r>
        <w:rPr>
          <w:szCs w:val="21"/>
          <w:u w:val="single"/>
        </w:rPr>
        <w:t>   </w:t>
      </w:r>
      <w:r>
        <w:rPr>
          <w:rFonts w:hint="eastAsia"/>
          <w:szCs w:val="21"/>
          <w:u w:val="single"/>
        </w:rPr>
        <w:t xml:space="preserve">  </w:t>
      </w:r>
      <w:r>
        <w:rPr>
          <w:szCs w:val="21"/>
          <w:u w:val="single"/>
        </w:rPr>
        <w:t> </w:t>
      </w:r>
      <w:r>
        <w:rPr>
          <w:szCs w:val="21"/>
        </w:rPr>
        <w:t>；</w:t>
      </w:r>
    </w:p>
    <w:p>
      <w:pPr>
        <w:spacing w:line="360" w:lineRule="exact"/>
        <w:ind w:firstLine="420" w:firstLineChars="200"/>
        <w:rPr>
          <w:szCs w:val="21"/>
        </w:rPr>
      </w:pPr>
      <w:r>
        <w:rPr>
          <w:szCs w:val="21"/>
        </w:rPr>
        <w:t>联系电话：</w:t>
      </w:r>
      <w:r>
        <w:rPr>
          <w:szCs w:val="21"/>
          <w:u w:val="single"/>
        </w:rPr>
        <w:t>  </w:t>
      </w:r>
      <w:r>
        <w:rPr>
          <w:rFonts w:hint="eastAsia"/>
          <w:szCs w:val="21"/>
          <w:u w:val="single"/>
        </w:rPr>
        <w:t xml:space="preserve">   </w:t>
      </w:r>
      <w:r>
        <w:rPr>
          <w:szCs w:val="21"/>
          <w:u w:val="single"/>
        </w:rPr>
        <w:t> </w:t>
      </w:r>
      <w:r>
        <w:rPr>
          <w:szCs w:val="21"/>
        </w:rPr>
        <w:t>；</w:t>
      </w:r>
    </w:p>
    <w:p>
      <w:pPr>
        <w:spacing w:line="360" w:lineRule="exact"/>
        <w:ind w:firstLine="420" w:firstLineChars="200"/>
        <w:rPr>
          <w:szCs w:val="21"/>
        </w:rPr>
      </w:pPr>
      <w:r>
        <w:rPr>
          <w:szCs w:val="21"/>
        </w:rPr>
        <w:t>电子信箱：</w:t>
      </w:r>
      <w:r>
        <w:rPr>
          <w:szCs w:val="21"/>
          <w:u w:val="single"/>
        </w:rPr>
        <w:t>  </w:t>
      </w:r>
      <w:r>
        <w:rPr>
          <w:rFonts w:hint="eastAsia"/>
          <w:szCs w:val="21"/>
          <w:u w:val="single"/>
        </w:rPr>
        <w:t xml:space="preserve"> </w:t>
      </w:r>
      <w:r>
        <w:rPr>
          <w:szCs w:val="21"/>
          <w:u w:val="single"/>
        </w:rPr>
        <w:t xml:space="preserve">  </w:t>
      </w:r>
      <w:r>
        <w:rPr>
          <w:szCs w:val="21"/>
        </w:rPr>
        <w:t>；</w:t>
      </w:r>
    </w:p>
    <w:p>
      <w:pPr>
        <w:spacing w:line="360" w:lineRule="exact"/>
        <w:ind w:firstLine="420" w:firstLineChars="200"/>
        <w:rPr>
          <w:szCs w:val="21"/>
        </w:rPr>
      </w:pPr>
      <w:r>
        <w:rPr>
          <w:szCs w:val="21"/>
        </w:rPr>
        <w:t>通信地址：</w:t>
      </w:r>
      <w:r>
        <w:rPr>
          <w:szCs w:val="21"/>
          <w:u w:val="single"/>
        </w:rPr>
        <w:t></w:t>
      </w:r>
      <w:r>
        <w:rPr>
          <w:rFonts w:hint="eastAsia"/>
          <w:szCs w:val="21"/>
          <w:u w:val="single"/>
        </w:rPr>
        <w:t xml:space="preserve"> </w:t>
      </w:r>
      <w:r>
        <w:rPr>
          <w:szCs w:val="21"/>
          <w:u w:val="single"/>
        </w:rPr>
        <w:t xml:space="preserve">  </w:t>
      </w:r>
      <w:r>
        <w:rPr>
          <w:szCs w:val="21"/>
        </w:rPr>
        <w:t>。</w:t>
      </w:r>
    </w:p>
    <w:p>
      <w:pPr>
        <w:spacing w:line="360" w:lineRule="exact"/>
        <w:ind w:firstLine="420" w:firstLineChars="200"/>
        <w:rPr>
          <w:rFonts w:ascii="宋体" w:hAnsi="宋体" w:cs="宋体"/>
          <w:szCs w:val="21"/>
        </w:rPr>
      </w:pPr>
      <w:r>
        <w:rPr>
          <w:szCs w:val="21"/>
        </w:rPr>
        <w:t>发包人对发包人代表的授权范围如下：</w:t>
      </w:r>
      <w:r>
        <w:rPr>
          <w:rFonts w:hint="eastAsia" w:ascii="宋体" w:hAnsi="宋体" w:cs="宋体"/>
          <w:szCs w:val="21"/>
          <w:u w:val="single"/>
        </w:rPr>
        <w:t xml:space="preserve">对本项目的工程造价、质量、进度、安全、合同等进行全面的管理，并进行隐蔽工程的检查、验收 </w:t>
      </w:r>
      <w:r>
        <w:rPr>
          <w:rFonts w:hint="eastAsia" w:ascii="宋体" w:hAnsi="宋体" w:cs="宋体"/>
          <w:szCs w:val="21"/>
        </w:rPr>
        <w:t>。</w:t>
      </w:r>
    </w:p>
    <w:p>
      <w:pPr>
        <w:spacing w:line="360" w:lineRule="exact"/>
        <w:ind w:firstLine="420" w:firstLineChars="200"/>
        <w:rPr>
          <w:b/>
          <w:szCs w:val="21"/>
        </w:rPr>
      </w:pPr>
      <w:r>
        <w:rPr>
          <w:rFonts w:hint="eastAsia" w:ascii="宋体" w:hAnsi="宋体" w:cs="宋体"/>
          <w:szCs w:val="21"/>
          <w:u w:val="single"/>
        </w:rPr>
        <w:t>发包人对项目管理人的授权范围如下：在发包人授权范围内对本项目的工程造价、质量、进度、安全、合同等进行全面的管理，并进行隐蔽工程的检查、验收，如需发包人审核的，须经发包人审核确认</w:t>
      </w:r>
      <w:r>
        <w:rPr>
          <w:rFonts w:hint="eastAsia"/>
          <w:szCs w:val="21"/>
          <w:u w:val="single"/>
        </w:rPr>
        <w:t>。</w:t>
      </w:r>
    </w:p>
    <w:p>
      <w:pPr>
        <w:spacing w:line="360" w:lineRule="exact"/>
        <w:ind w:firstLine="420" w:firstLineChars="200"/>
        <w:rPr>
          <w:rFonts w:eastAsia="黑体"/>
          <w:szCs w:val="21"/>
        </w:rPr>
      </w:pPr>
      <w:r>
        <w:rPr>
          <w:rFonts w:eastAsia="黑体"/>
          <w:szCs w:val="21"/>
        </w:rPr>
        <w:t>2.4 施工现场、施工条件和基础资料的提供</w:t>
      </w:r>
    </w:p>
    <w:p>
      <w:pPr>
        <w:spacing w:line="360" w:lineRule="exact"/>
        <w:ind w:firstLine="420" w:firstLineChars="200"/>
        <w:rPr>
          <w:szCs w:val="21"/>
        </w:rPr>
      </w:pPr>
      <w:r>
        <w:rPr>
          <w:szCs w:val="21"/>
        </w:rPr>
        <w:t>2.4.1 提供施工现场</w:t>
      </w:r>
    </w:p>
    <w:p>
      <w:pPr>
        <w:spacing w:line="360" w:lineRule="exact"/>
        <w:ind w:firstLine="420" w:firstLineChars="200"/>
        <w:rPr>
          <w:szCs w:val="21"/>
        </w:rPr>
      </w:pPr>
      <w:r>
        <w:rPr>
          <w:szCs w:val="21"/>
        </w:rPr>
        <w:t>关于发包人移交施工现场的期限要求：</w:t>
      </w:r>
      <w:r>
        <w:rPr>
          <w:rFonts w:hint="eastAsia"/>
          <w:szCs w:val="21"/>
          <w:u w:val="single"/>
        </w:rPr>
        <w:t>开工日期14天前</w:t>
      </w:r>
      <w:r>
        <w:rPr>
          <w:szCs w:val="21"/>
        </w:rPr>
        <w:t>。</w:t>
      </w:r>
    </w:p>
    <w:p>
      <w:pPr>
        <w:spacing w:line="360" w:lineRule="exact"/>
        <w:ind w:firstLine="420" w:firstLineChars="200"/>
        <w:rPr>
          <w:szCs w:val="21"/>
        </w:rPr>
      </w:pPr>
      <w:r>
        <w:rPr>
          <w:szCs w:val="21"/>
        </w:rPr>
        <w:t>2.4.2 提供施工条件</w:t>
      </w:r>
    </w:p>
    <w:p>
      <w:pPr>
        <w:spacing w:line="360" w:lineRule="exact"/>
        <w:ind w:firstLine="420" w:firstLineChars="200"/>
        <w:rPr>
          <w:szCs w:val="21"/>
          <w:u w:val="single"/>
        </w:rPr>
      </w:pPr>
      <w:r>
        <w:rPr>
          <w:szCs w:val="21"/>
        </w:rPr>
        <w:t>关于发包人应负责提供施工</w:t>
      </w:r>
      <w:r>
        <w:rPr>
          <w:rFonts w:hint="eastAsia"/>
          <w:szCs w:val="21"/>
        </w:rPr>
        <w:t>所需要的条件，</w:t>
      </w:r>
      <w:r>
        <w:rPr>
          <w:szCs w:val="21"/>
        </w:rPr>
        <w:t>包括：</w:t>
      </w:r>
      <w:r>
        <w:rPr>
          <w:rFonts w:hint="eastAsia" w:ascii="新宋体" w:hAnsi="新宋体" w:eastAsia="新宋体" w:cs="新宋体"/>
          <w:szCs w:val="21"/>
          <w:u w:val="single"/>
        </w:rPr>
        <w:t>施工现场用水、用电已由发包人统一接至项目现场配置点，场地内接线及施工期间的维护工作由分包人负责，且相关人员应持证上岗</w:t>
      </w:r>
      <w:r>
        <w:rPr>
          <w:rFonts w:ascii="宋体" w:hAnsi="宋体"/>
          <w:szCs w:val="21"/>
        </w:rPr>
        <w:t>。</w:t>
      </w:r>
    </w:p>
    <w:p>
      <w:pPr>
        <w:spacing w:line="360" w:lineRule="exact"/>
        <w:ind w:firstLine="420" w:firstLineChars="200"/>
        <w:rPr>
          <w:rFonts w:eastAsia="黑体"/>
          <w:szCs w:val="21"/>
        </w:rPr>
      </w:pPr>
      <w:r>
        <w:rPr>
          <w:rFonts w:eastAsia="黑体"/>
          <w:szCs w:val="21"/>
        </w:rPr>
        <w:t>2.5 资金来源证明及支付担保</w:t>
      </w:r>
    </w:p>
    <w:p>
      <w:pPr>
        <w:spacing w:line="360" w:lineRule="exact"/>
        <w:ind w:firstLine="420" w:firstLineChars="200"/>
        <w:rPr>
          <w:szCs w:val="21"/>
        </w:rPr>
      </w:pPr>
      <w:r>
        <w:rPr>
          <w:szCs w:val="21"/>
        </w:rPr>
        <w:t>发包人提供资金来源证明的期限要求：</w:t>
      </w:r>
      <w:r>
        <w:rPr>
          <w:szCs w:val="21"/>
          <w:u w:val="single"/>
        </w:rPr>
        <w:t></w:t>
      </w:r>
      <w:r>
        <w:rPr>
          <w:rFonts w:hint="eastAsia" w:ascii="宋体" w:hAnsi="宋体"/>
          <w:szCs w:val="21"/>
          <w:u w:val="single"/>
        </w:rPr>
        <w:t>/</w:t>
      </w:r>
      <w:r>
        <w:rPr>
          <w:szCs w:val="21"/>
        </w:rPr>
        <w:t>。</w:t>
      </w:r>
    </w:p>
    <w:p>
      <w:pPr>
        <w:spacing w:line="360" w:lineRule="exact"/>
        <w:ind w:firstLine="420" w:firstLineChars="200"/>
        <w:rPr>
          <w:szCs w:val="21"/>
        </w:rPr>
      </w:pPr>
      <w:r>
        <w:rPr>
          <w:szCs w:val="21"/>
        </w:rPr>
        <w:t>发包人是否提供支付担保：</w:t>
      </w:r>
      <w:r>
        <w:rPr>
          <w:rFonts w:hint="eastAsia" w:ascii="宋体" w:hAnsi="宋体"/>
          <w:szCs w:val="21"/>
          <w:u w:val="single"/>
        </w:rPr>
        <w:t>/</w:t>
      </w:r>
      <w:r>
        <w:rPr>
          <w:szCs w:val="21"/>
        </w:rPr>
        <w:t>。</w:t>
      </w:r>
    </w:p>
    <w:p>
      <w:pPr>
        <w:spacing w:line="360" w:lineRule="exact"/>
        <w:ind w:firstLine="420" w:firstLineChars="200"/>
        <w:rPr>
          <w:szCs w:val="21"/>
        </w:rPr>
      </w:pPr>
      <w:r>
        <w:rPr>
          <w:szCs w:val="21"/>
        </w:rPr>
        <w:t>发包人提供支付担保的形式：</w:t>
      </w:r>
      <w:r>
        <w:rPr>
          <w:szCs w:val="21"/>
          <w:u w:val="single"/>
        </w:rPr>
        <w:t></w:t>
      </w:r>
      <w:r>
        <w:rPr>
          <w:rFonts w:hint="eastAsia" w:ascii="宋体" w:hAnsi="宋体"/>
          <w:szCs w:val="21"/>
          <w:u w:val="single"/>
        </w:rPr>
        <w:t>/</w:t>
      </w:r>
      <w:r>
        <w:rPr>
          <w:rFonts w:hint="eastAsia"/>
          <w:szCs w:val="21"/>
        </w:rPr>
        <w:t>。</w:t>
      </w:r>
    </w:p>
    <w:p>
      <w:pPr>
        <w:spacing w:line="360" w:lineRule="exact"/>
        <w:ind w:firstLine="420" w:firstLineChars="200"/>
        <w:rPr>
          <w:rFonts w:eastAsia="黑体"/>
          <w:szCs w:val="21"/>
        </w:rPr>
      </w:pPr>
      <w:r>
        <w:rPr>
          <w:rFonts w:hint="eastAsia" w:eastAsia="黑体"/>
          <w:szCs w:val="21"/>
        </w:rPr>
        <w:t>2.6 支付合同价款</w:t>
      </w:r>
    </w:p>
    <w:p>
      <w:pPr>
        <w:spacing w:line="360" w:lineRule="exact"/>
        <w:ind w:firstLine="420" w:firstLineChars="200"/>
        <w:rPr>
          <w:rFonts w:ascii="宋体" w:hAnsi="宋体" w:cs="宋体"/>
          <w:szCs w:val="21"/>
        </w:rPr>
      </w:pPr>
      <w:r>
        <w:rPr>
          <w:rFonts w:hint="eastAsia" w:ascii="宋体" w:hAnsi="宋体" w:cs="宋体"/>
          <w:szCs w:val="21"/>
        </w:rPr>
        <w:t>发包人应按合同约定向分包人及时支付合同价款。</w:t>
      </w:r>
    </w:p>
    <w:p>
      <w:pPr>
        <w:spacing w:line="360" w:lineRule="exact"/>
        <w:ind w:firstLine="420" w:firstLineChars="200"/>
        <w:rPr>
          <w:rFonts w:eastAsia="黑体"/>
          <w:szCs w:val="21"/>
        </w:rPr>
      </w:pPr>
      <w:r>
        <w:rPr>
          <w:rFonts w:hint="eastAsia" w:eastAsia="黑体"/>
          <w:szCs w:val="21"/>
        </w:rPr>
        <w:t>2.7 组织竣工验收</w:t>
      </w:r>
    </w:p>
    <w:p>
      <w:pPr>
        <w:spacing w:line="360" w:lineRule="exact"/>
        <w:ind w:firstLine="420" w:firstLineChars="200"/>
        <w:rPr>
          <w:rFonts w:ascii="宋体" w:hAnsi="宋体" w:cs="宋体"/>
          <w:szCs w:val="21"/>
        </w:rPr>
      </w:pPr>
      <w:r>
        <w:rPr>
          <w:rFonts w:hint="eastAsia" w:ascii="宋体" w:hAnsi="宋体" w:cs="宋体"/>
          <w:szCs w:val="21"/>
        </w:rPr>
        <w:t>发包人应按合同约定及时组织竣工验收。</w:t>
      </w:r>
    </w:p>
    <w:p>
      <w:pPr>
        <w:spacing w:line="360" w:lineRule="exact"/>
        <w:ind w:firstLine="420" w:firstLineChars="200"/>
        <w:rPr>
          <w:rFonts w:ascii="宋体" w:hAnsi="宋体" w:cs="宋体"/>
          <w:szCs w:val="21"/>
          <w:u w:val="single"/>
        </w:rPr>
      </w:pPr>
      <w:r>
        <w:rPr>
          <w:rFonts w:hint="eastAsia" w:ascii="宋体" w:hAnsi="宋体" w:cs="宋体"/>
          <w:szCs w:val="21"/>
          <w:u w:val="single"/>
        </w:rPr>
        <w:t>分包人完成合同范围内工程内容，发包人应根据施工图纸、现行施工验收规范和质量验收标准及时组织工程质量验收。</w:t>
      </w:r>
    </w:p>
    <w:p>
      <w:pPr>
        <w:keepNext/>
        <w:keepLines/>
        <w:spacing w:line="360" w:lineRule="exact"/>
        <w:outlineLvl w:val="3"/>
        <w:rPr>
          <w:rFonts w:eastAsia="黑体"/>
          <w:bCs/>
          <w:szCs w:val="21"/>
        </w:rPr>
      </w:pPr>
      <w:bookmarkStart w:id="404" w:name="_Toc351203635"/>
      <w:r>
        <w:rPr>
          <w:rFonts w:eastAsia="黑体"/>
          <w:bCs/>
          <w:szCs w:val="21"/>
        </w:rPr>
        <w:t>3</w:t>
      </w:r>
      <w:bookmarkStart w:id="405" w:name="_Toc296347157"/>
      <w:bookmarkStart w:id="406" w:name="_Toc292559868"/>
      <w:bookmarkStart w:id="407" w:name="_Toc297120458"/>
      <w:bookmarkStart w:id="408" w:name="_Toc292559363"/>
      <w:bookmarkStart w:id="409" w:name="_Toc297048344"/>
      <w:bookmarkStart w:id="410" w:name="_Toc296503158"/>
      <w:bookmarkStart w:id="411" w:name="_Toc296890986"/>
      <w:bookmarkStart w:id="412" w:name="_Toc296891198"/>
      <w:bookmarkStart w:id="413" w:name="_Toc296346659"/>
      <w:bookmarkStart w:id="414" w:name="_Toc296944497"/>
      <w:r>
        <w:rPr>
          <w:rFonts w:eastAsia="黑体"/>
          <w:bCs/>
          <w:szCs w:val="21"/>
        </w:rPr>
        <w:t xml:space="preserve">. </w:t>
      </w:r>
      <w:bookmarkEnd w:id="404"/>
      <w:r>
        <w:rPr>
          <w:rFonts w:hint="eastAsia" w:eastAsia="黑体"/>
          <w:bCs/>
          <w:szCs w:val="21"/>
        </w:rPr>
        <w:t>分包人</w:t>
      </w:r>
    </w:p>
    <w:bookmarkEnd w:id="405"/>
    <w:bookmarkEnd w:id="406"/>
    <w:bookmarkEnd w:id="407"/>
    <w:bookmarkEnd w:id="408"/>
    <w:bookmarkEnd w:id="409"/>
    <w:bookmarkEnd w:id="410"/>
    <w:bookmarkEnd w:id="411"/>
    <w:bookmarkEnd w:id="412"/>
    <w:bookmarkEnd w:id="413"/>
    <w:bookmarkEnd w:id="414"/>
    <w:p>
      <w:pPr>
        <w:spacing w:line="360" w:lineRule="exact"/>
        <w:ind w:firstLine="420" w:firstLineChars="200"/>
        <w:rPr>
          <w:rFonts w:eastAsia="黑体"/>
          <w:szCs w:val="21"/>
        </w:rPr>
      </w:pPr>
      <w:r>
        <w:rPr>
          <w:rFonts w:eastAsia="黑体"/>
          <w:szCs w:val="21"/>
        </w:rPr>
        <w:t xml:space="preserve">3.1 </w:t>
      </w:r>
      <w:r>
        <w:rPr>
          <w:rFonts w:hint="eastAsia" w:eastAsia="黑体"/>
          <w:szCs w:val="21"/>
        </w:rPr>
        <w:t>分包人</w:t>
      </w:r>
      <w:r>
        <w:rPr>
          <w:rFonts w:eastAsia="黑体"/>
          <w:szCs w:val="21"/>
        </w:rPr>
        <w:t>的一般义务</w:t>
      </w:r>
    </w:p>
    <w:p>
      <w:pPr>
        <w:spacing w:line="360" w:lineRule="exact"/>
        <w:ind w:firstLine="420" w:firstLineChars="200"/>
        <w:rPr>
          <w:rFonts w:ascii="宋体" w:hAnsi="宋体" w:cs="宋体"/>
          <w:szCs w:val="21"/>
        </w:rPr>
      </w:pPr>
      <w:r>
        <w:rPr>
          <w:rFonts w:hint="eastAsia" w:ascii="宋体" w:hAnsi="宋体" w:cs="宋体"/>
          <w:kern w:val="0"/>
          <w:szCs w:val="21"/>
        </w:rPr>
        <w:t>（9）</w:t>
      </w:r>
      <w:r>
        <w:rPr>
          <w:rFonts w:hint="eastAsia" w:ascii="宋体" w:hAnsi="宋体" w:cs="宋体"/>
          <w:szCs w:val="21"/>
        </w:rPr>
        <w:t>分包人提交的竣工资料的内容：</w:t>
      </w:r>
      <w:r>
        <w:rPr>
          <w:rFonts w:hint="eastAsia" w:ascii="宋体" w:hAnsi="宋体" w:cs="宋体"/>
          <w:szCs w:val="21"/>
          <w:u w:val="single"/>
        </w:rPr>
        <w:t>向发包人提交按规范规定应由分包人编制部分的竣工资料，包括含施工过程中验收、检查时拍摄或录制的相片、影像资料等，并符合建设工程资料存档要求。如因资料不符合城建档案馆及其他有关部门的要求，分包人须整改至符合存档要求。</w:t>
      </w:r>
    </w:p>
    <w:p>
      <w:pPr>
        <w:spacing w:line="360" w:lineRule="exact"/>
        <w:ind w:firstLine="420" w:firstLineChars="200"/>
        <w:rPr>
          <w:rFonts w:ascii="宋体" w:hAnsi="宋体" w:cs="宋体"/>
          <w:szCs w:val="21"/>
        </w:rPr>
      </w:pPr>
      <w:r>
        <w:rPr>
          <w:rFonts w:hint="eastAsia" w:ascii="宋体" w:hAnsi="宋体" w:cs="宋体"/>
          <w:szCs w:val="21"/>
        </w:rPr>
        <w:t>分包人需要提交的竣工资料套数：</w:t>
      </w:r>
      <w:r>
        <w:rPr>
          <w:rFonts w:hint="eastAsia"/>
          <w:u w:val="single"/>
        </w:rPr>
        <w:t>竣工资料和竣工图纸（含影像资料、图片等）各 4 套（含3 张电子光盘）</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分包人提交的竣工资料的费用承担：</w:t>
      </w:r>
      <w:r>
        <w:rPr>
          <w:rFonts w:hint="eastAsia" w:ascii="宋体" w:hAnsi="宋体" w:cs="宋体"/>
          <w:szCs w:val="21"/>
          <w:u w:val="single"/>
        </w:rPr>
        <w:t>由分包人承担，</w:t>
      </w:r>
      <w:r>
        <w:rPr>
          <w:rFonts w:hint="eastAsia"/>
          <w:u w:val="single"/>
        </w:rPr>
        <w:t>不再另行支付</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分包人提交的竣工资料移交时间：</w:t>
      </w:r>
      <w:r>
        <w:rPr>
          <w:rFonts w:hint="eastAsia" w:ascii="宋体" w:hAnsi="宋体" w:cs="宋体"/>
          <w:szCs w:val="21"/>
          <w:u w:val="single"/>
        </w:rPr>
        <w:t>工程竣工验收合格后</w:t>
      </w:r>
      <w:r>
        <w:rPr>
          <w:rFonts w:ascii="宋体" w:hAnsi="宋体" w:cs="宋体"/>
          <w:szCs w:val="21"/>
          <w:u w:val="single"/>
        </w:rPr>
        <w:t>10</w:t>
      </w:r>
      <w:r>
        <w:rPr>
          <w:rFonts w:hint="eastAsia" w:ascii="宋体" w:hAnsi="宋体" w:cs="宋体"/>
          <w:szCs w:val="21"/>
          <w:u w:val="single"/>
        </w:rPr>
        <w:t>天内</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分包人提交的竣工资料形式要求：</w:t>
      </w:r>
      <w:r>
        <w:rPr>
          <w:rFonts w:hint="eastAsia"/>
          <w:u w:val="single"/>
        </w:rPr>
        <w:t>符合当地有关施工资料的接收要求</w:t>
      </w:r>
      <w:r>
        <w:rPr>
          <w:rFonts w:hint="eastAsia" w:ascii="宋体" w:hAnsi="宋体" w:cs="宋体"/>
          <w:szCs w:val="21"/>
        </w:rPr>
        <w:t>。</w:t>
      </w:r>
    </w:p>
    <w:p>
      <w:pPr>
        <w:spacing w:line="360" w:lineRule="exact"/>
        <w:ind w:firstLine="420" w:firstLineChars="200"/>
        <w:rPr>
          <w:rFonts w:ascii="宋体" w:hAnsi="宋体" w:cs="宋体"/>
          <w:szCs w:val="21"/>
          <w:u w:val="single"/>
        </w:rPr>
      </w:pPr>
      <w:r>
        <w:rPr>
          <w:rFonts w:hint="eastAsia" w:ascii="宋体" w:hAnsi="宋体" w:cs="宋体"/>
          <w:kern w:val="0"/>
          <w:szCs w:val="21"/>
        </w:rPr>
        <w:t>（10）分包人应履行的其他义务：</w:t>
      </w:r>
    </w:p>
    <w:p>
      <w:pPr>
        <w:spacing w:line="360" w:lineRule="exact"/>
        <w:ind w:firstLine="525" w:firstLineChars="250"/>
        <w:rPr>
          <w:rFonts w:ascii="宋体" w:hAnsi="宋体" w:cs="宋体"/>
          <w:szCs w:val="21"/>
          <w:u w:val="single"/>
        </w:rPr>
      </w:pPr>
      <w:r>
        <w:rPr>
          <w:rFonts w:hint="eastAsia" w:ascii="宋体" w:hAnsi="宋体" w:cs="宋体"/>
          <w:szCs w:val="21"/>
          <w:u w:val="single"/>
        </w:rPr>
        <w:t>a.在施工中必须严格按照规范操作，对不按规范要求施工或未采取防护措施，造成的损失由分包人承担。</w:t>
      </w:r>
    </w:p>
    <w:p>
      <w:pPr>
        <w:spacing w:line="360" w:lineRule="exact"/>
        <w:ind w:firstLine="525" w:firstLineChars="250"/>
        <w:rPr>
          <w:rFonts w:ascii="宋体" w:hAnsi="宋体" w:cs="宋体"/>
          <w:szCs w:val="21"/>
          <w:u w:val="single"/>
        </w:rPr>
      </w:pPr>
      <w:r>
        <w:rPr>
          <w:rFonts w:hint="eastAsia" w:ascii="宋体" w:hAnsi="宋体" w:cs="宋体"/>
          <w:szCs w:val="21"/>
          <w:u w:val="single"/>
        </w:rPr>
        <w:t>b.本项目施工安全由分包人负责。</w:t>
      </w:r>
    </w:p>
    <w:p>
      <w:pPr>
        <w:spacing w:line="360" w:lineRule="exact"/>
        <w:ind w:firstLine="525" w:firstLineChars="250"/>
        <w:rPr>
          <w:rFonts w:ascii="宋体" w:hAnsi="宋体" w:cs="宋体"/>
          <w:szCs w:val="21"/>
          <w:u w:val="single"/>
        </w:rPr>
      </w:pPr>
      <w:r>
        <w:rPr>
          <w:rFonts w:hint="eastAsia" w:ascii="宋体" w:hAnsi="宋体" w:cs="宋体"/>
          <w:szCs w:val="21"/>
          <w:u w:val="single"/>
        </w:rPr>
        <w:t>c.按当地有关部门要求，由分包人办理有关施工场地交通、环卫和施工噪音排放等手续。</w:t>
      </w:r>
    </w:p>
    <w:p>
      <w:pPr>
        <w:spacing w:line="360" w:lineRule="exact"/>
        <w:ind w:firstLine="525" w:firstLineChars="250"/>
        <w:rPr>
          <w:rFonts w:ascii="宋体" w:hAnsi="宋体" w:cs="宋体"/>
          <w:szCs w:val="21"/>
          <w:u w:val="single"/>
        </w:rPr>
      </w:pPr>
      <w:r>
        <w:rPr>
          <w:rFonts w:hint="eastAsia" w:ascii="宋体" w:hAnsi="宋体" w:cs="宋体"/>
          <w:szCs w:val="21"/>
          <w:u w:val="single"/>
        </w:rPr>
        <w:t>d、分包单位应制定具体的施工扬尘污染防治实施方案，在施工工地公示扬尘污染防治措施、负责人、扬尘监督管理主管部门等信息。分包单位应当采取有效防尘降尘措施，减少施工作业过程扬尘污染，并做好扬尘污染防治工作。</w:t>
      </w:r>
    </w:p>
    <w:p>
      <w:pPr>
        <w:spacing w:line="360" w:lineRule="exact"/>
        <w:ind w:firstLine="525" w:firstLineChars="250"/>
        <w:rPr>
          <w:rFonts w:ascii="宋体" w:hAnsi="宋体" w:cs="宋体"/>
          <w:szCs w:val="21"/>
          <w:u w:val="single"/>
        </w:rPr>
      </w:pPr>
      <w:r>
        <w:rPr>
          <w:rFonts w:hint="eastAsia" w:ascii="宋体" w:hAnsi="宋体" w:cs="宋体"/>
          <w:szCs w:val="21"/>
          <w:u w:val="single"/>
        </w:rPr>
        <w:t>e. 其他：</w:t>
      </w:r>
    </w:p>
    <w:p>
      <w:pPr>
        <w:spacing w:line="360" w:lineRule="exact"/>
        <w:ind w:firstLine="525" w:firstLineChars="250"/>
        <w:rPr>
          <w:rFonts w:ascii="宋体" w:hAnsi="宋体" w:cs="宋体"/>
          <w:szCs w:val="21"/>
          <w:u w:val="single"/>
        </w:rPr>
      </w:pPr>
      <w:r>
        <w:rPr>
          <w:rFonts w:hint="eastAsia" w:ascii="宋体" w:hAnsi="宋体" w:cs="宋体"/>
          <w:szCs w:val="21"/>
          <w:u w:val="single"/>
        </w:rPr>
        <w:t>1、施工临时用水、电接口由总承包人提供，后续接驳工作由分包人自行完成，试运行调试阶段的临时用水、电费用由分包人承担；水电费装表计量，分包人必须每月按水、电部门的计价标准，向总承包人按实结算。</w:t>
      </w:r>
    </w:p>
    <w:p>
      <w:pPr>
        <w:spacing w:line="360" w:lineRule="exact"/>
        <w:ind w:firstLine="525" w:firstLineChars="250"/>
        <w:rPr>
          <w:rFonts w:ascii="宋体" w:hAnsi="宋体" w:cs="宋体"/>
          <w:szCs w:val="21"/>
          <w:u w:val="single"/>
        </w:rPr>
      </w:pPr>
      <w:r>
        <w:rPr>
          <w:rFonts w:hint="eastAsia" w:ascii="宋体" w:hAnsi="宋体" w:cs="宋体"/>
          <w:szCs w:val="21"/>
          <w:u w:val="single"/>
        </w:rPr>
        <w:t>2、不管投标时有无承诺，施工现场分包人必须配备能满足停电时施工所需要的发电机组和满足停水时必要的取水设施。该笔费用已包含在合同价内，不再另行计取。若因此产生停工，工期也不予顺延。电信、网络通讯线路由分包人自行解决，需要时发包人可协助分包人与电信等部门联系，费用全部由分包人承担。</w:t>
      </w:r>
    </w:p>
    <w:p>
      <w:pPr>
        <w:spacing w:line="360" w:lineRule="exact"/>
        <w:ind w:firstLine="525" w:firstLineChars="250"/>
        <w:rPr>
          <w:rFonts w:ascii="宋体" w:hAnsi="宋体" w:cs="宋体"/>
          <w:szCs w:val="21"/>
          <w:u w:val="single"/>
        </w:rPr>
      </w:pPr>
      <w:r>
        <w:rPr>
          <w:rFonts w:hint="eastAsia" w:ascii="宋体" w:hAnsi="宋体" w:cs="宋体"/>
          <w:szCs w:val="21"/>
          <w:u w:val="single"/>
        </w:rPr>
        <w:t>3、分包人应承担法律法规以及按规范、标准要求必须进行的各类复试检测，所发生的一切费用由分包人承担。如发包人对分包人提供的检测报告或检测结论有异议，认为需要重新检测时，分包人应无条件重新检测，重新检测的材料费由分包人承担，当检测合格时，检测费用由发包人承担；当检测不合格时，检测费用由分包人承担，并无条件更换已进场或已使用的材料同时承担由此产生的一切损失及费用（包括再次重新检测时发生的材料费、检测费等一切费用，直到检测合格为止）。</w:t>
      </w:r>
    </w:p>
    <w:p>
      <w:pPr>
        <w:spacing w:line="360" w:lineRule="exact"/>
        <w:ind w:firstLine="525" w:firstLineChars="250"/>
        <w:rPr>
          <w:rFonts w:ascii="宋体" w:hAnsi="宋体" w:cs="宋体"/>
          <w:szCs w:val="21"/>
          <w:u w:val="single"/>
        </w:rPr>
      </w:pPr>
      <w:r>
        <w:rPr>
          <w:rFonts w:hint="eastAsia" w:ascii="宋体" w:hAnsi="宋体" w:cs="宋体"/>
          <w:szCs w:val="21"/>
          <w:u w:val="single"/>
        </w:rPr>
        <w:t>4、分包人必须完成本合同规定的全部工作内容，如某项工作内容达不到相关要求，在监理方下达整改通知后仍不执行，则发包人有权委托第三方完成该项工作，并将相应费用从分包人的工程款中扣除，由此造成的损失和后果由分包人自行承担。</w:t>
      </w:r>
    </w:p>
    <w:p>
      <w:pPr>
        <w:spacing w:line="360" w:lineRule="exact"/>
        <w:ind w:firstLine="525" w:firstLineChars="250"/>
        <w:rPr>
          <w:rFonts w:ascii="宋体" w:hAnsi="宋体" w:cs="宋体"/>
          <w:szCs w:val="21"/>
          <w:u w:val="single"/>
        </w:rPr>
      </w:pPr>
      <w:r>
        <w:rPr>
          <w:rFonts w:hint="eastAsia" w:ascii="宋体" w:hAnsi="宋体" w:cs="宋体"/>
          <w:szCs w:val="21"/>
          <w:u w:val="single"/>
        </w:rPr>
        <w:t>5、本项目纳入总承包管理，分包人必须服从发包人、总承包人、监理公司的管理，总承包服务费由发包人支付给总承包人。</w:t>
      </w:r>
    </w:p>
    <w:p>
      <w:pPr>
        <w:spacing w:line="360" w:lineRule="exact"/>
        <w:ind w:firstLine="525" w:firstLineChars="250"/>
        <w:rPr>
          <w:rFonts w:ascii="宋体" w:hAnsi="宋体" w:cs="宋体"/>
          <w:szCs w:val="21"/>
          <w:u w:val="single"/>
        </w:rPr>
      </w:pPr>
      <w:r>
        <w:rPr>
          <w:rFonts w:hint="eastAsia" w:ascii="宋体" w:hAnsi="宋体" w:cs="宋体"/>
          <w:szCs w:val="21"/>
          <w:u w:val="single"/>
        </w:rPr>
        <w:t>6、分包人须配合总承包人创建浙江省建筑安全文明施工标准化工地。</w:t>
      </w:r>
    </w:p>
    <w:p>
      <w:pPr>
        <w:spacing w:line="360" w:lineRule="exact"/>
        <w:ind w:firstLine="525" w:firstLineChars="250"/>
        <w:rPr>
          <w:rFonts w:ascii="宋体" w:hAnsi="宋体" w:cs="宋体"/>
          <w:szCs w:val="21"/>
          <w:u w:val="single"/>
        </w:rPr>
      </w:pPr>
      <w:r>
        <w:rPr>
          <w:rFonts w:hint="eastAsia" w:ascii="宋体" w:hAnsi="宋体" w:cs="宋体"/>
          <w:szCs w:val="21"/>
          <w:u w:val="single"/>
        </w:rPr>
        <w:t>7、分包人在施工过程中造成发包人或第三方人身、财产损失的，由分包人承担赔偿责任。</w:t>
      </w:r>
    </w:p>
    <w:p>
      <w:pPr>
        <w:spacing w:line="360" w:lineRule="exact"/>
        <w:ind w:firstLine="525" w:firstLineChars="250"/>
        <w:rPr>
          <w:rFonts w:ascii="宋体" w:hAnsi="宋体" w:cs="宋体"/>
          <w:szCs w:val="21"/>
          <w:u w:val="single"/>
        </w:rPr>
      </w:pPr>
      <w:r>
        <w:rPr>
          <w:rFonts w:hint="eastAsia" w:ascii="宋体" w:hAnsi="宋体" w:cs="宋体"/>
          <w:szCs w:val="21"/>
          <w:u w:val="single"/>
        </w:rPr>
        <w:t>8、分包人必须按期负责其劳务及职员的雇佣、工资的支付。发包人有权监督分包人对工人工资的发放，因分包人在雇佣、工资的支付等方面造成较坏社会影响（如上访、劳动仲裁、斗殴、媒体报道等），发包人有权没收全部履约保证金。必要时可直接向工人支付劳工工资，并有权直接从进度款或结算款中予以扣除。</w:t>
      </w:r>
    </w:p>
    <w:p>
      <w:pPr>
        <w:spacing w:line="360" w:lineRule="exact"/>
        <w:ind w:firstLine="420" w:firstLineChars="200"/>
        <w:rPr>
          <w:szCs w:val="21"/>
        </w:rPr>
      </w:pPr>
      <w:r>
        <w:rPr>
          <w:rFonts w:hint="eastAsia"/>
          <w:szCs w:val="21"/>
        </w:rPr>
        <w:t>（11）分包人诚实信用的承诺：</w:t>
      </w:r>
      <w:r>
        <w:rPr>
          <w:rFonts w:hint="eastAsia"/>
          <w:szCs w:val="21"/>
          <w:u w:val="single"/>
        </w:rPr>
        <w:t xml:space="preserve">                         </w:t>
      </w:r>
      <w:r>
        <w:rPr>
          <w:rFonts w:hint="eastAsia"/>
          <w:szCs w:val="21"/>
        </w:rPr>
        <w:t>。</w:t>
      </w:r>
    </w:p>
    <w:p>
      <w:pPr>
        <w:spacing w:line="360" w:lineRule="exact"/>
        <w:ind w:firstLine="420" w:firstLineChars="200"/>
        <w:rPr>
          <w:rFonts w:eastAsia="黑体"/>
          <w:szCs w:val="21"/>
        </w:rPr>
      </w:pPr>
      <w:r>
        <w:rPr>
          <w:rFonts w:hint="eastAsia"/>
          <w:szCs w:val="21"/>
        </w:rPr>
        <w:t>（12）分包人使用新技术、工法、工艺的承诺：</w:t>
      </w:r>
      <w:r>
        <w:rPr>
          <w:rFonts w:hint="eastAsia"/>
          <w:szCs w:val="21"/>
          <w:u w:val="single"/>
        </w:rPr>
        <w:t xml:space="preserve">           </w:t>
      </w:r>
      <w:r>
        <w:rPr>
          <w:rFonts w:hint="eastAsia"/>
          <w:szCs w:val="21"/>
        </w:rPr>
        <w:t>。</w:t>
      </w:r>
    </w:p>
    <w:p>
      <w:pPr>
        <w:spacing w:line="360" w:lineRule="exact"/>
        <w:ind w:firstLine="420" w:firstLineChars="200"/>
        <w:rPr>
          <w:rFonts w:eastAsia="黑体"/>
          <w:szCs w:val="21"/>
        </w:rPr>
      </w:pPr>
      <w:r>
        <w:rPr>
          <w:rFonts w:eastAsia="黑体"/>
          <w:szCs w:val="21"/>
        </w:rPr>
        <w:t>3.2 项目经理</w:t>
      </w:r>
    </w:p>
    <w:p>
      <w:pPr>
        <w:spacing w:line="360" w:lineRule="exact"/>
        <w:ind w:firstLine="420" w:firstLineChars="200"/>
        <w:rPr>
          <w:szCs w:val="21"/>
        </w:rPr>
      </w:pPr>
      <w:r>
        <w:rPr>
          <w:kern w:val="0"/>
          <w:szCs w:val="21"/>
        </w:rPr>
        <w:t xml:space="preserve">3.2.1 </w:t>
      </w:r>
      <w:r>
        <w:rPr>
          <w:szCs w:val="21"/>
        </w:rPr>
        <w:t>项目经理：</w:t>
      </w:r>
    </w:p>
    <w:p>
      <w:pPr>
        <w:spacing w:line="360" w:lineRule="exact"/>
        <w:ind w:firstLine="420" w:firstLineChars="200"/>
        <w:rPr>
          <w:szCs w:val="21"/>
        </w:rPr>
      </w:pPr>
      <w:r>
        <w:rPr>
          <w:szCs w:val="21"/>
        </w:rPr>
        <w:t>姓名：</w:t>
      </w:r>
      <w:r>
        <w:rPr>
          <w:szCs w:val="21"/>
          <w:u w:val="single"/>
        </w:rPr>
        <w:t>  </w:t>
      </w:r>
      <w:r>
        <w:rPr>
          <w:rFonts w:hint="eastAsia"/>
          <w:szCs w:val="21"/>
          <w:u w:val="single"/>
        </w:rPr>
        <w:t xml:space="preserve">    </w:t>
      </w:r>
      <w:r>
        <w:rPr>
          <w:szCs w:val="21"/>
          <w:u w:val="single"/>
        </w:rPr>
        <w:t> </w:t>
      </w:r>
      <w:r>
        <w:rPr>
          <w:szCs w:val="21"/>
        </w:rPr>
        <w:t>；</w:t>
      </w:r>
    </w:p>
    <w:p>
      <w:pPr>
        <w:spacing w:line="360" w:lineRule="exact"/>
        <w:ind w:firstLine="420" w:firstLineChars="200"/>
        <w:rPr>
          <w:szCs w:val="21"/>
        </w:rPr>
      </w:pPr>
      <w:r>
        <w:rPr>
          <w:szCs w:val="21"/>
        </w:rPr>
        <w:t>身份证号：</w:t>
      </w:r>
      <w:r>
        <w:rPr>
          <w:szCs w:val="21"/>
          <w:u w:val="single"/>
        </w:rPr>
        <w:t>   </w:t>
      </w:r>
      <w:r>
        <w:rPr>
          <w:szCs w:val="21"/>
        </w:rPr>
        <w:t>；</w:t>
      </w:r>
    </w:p>
    <w:p>
      <w:pPr>
        <w:spacing w:line="360" w:lineRule="exact"/>
        <w:ind w:firstLine="420" w:firstLineChars="200"/>
        <w:rPr>
          <w:szCs w:val="21"/>
        </w:rPr>
      </w:pPr>
      <w:r>
        <w:rPr>
          <w:szCs w:val="21"/>
        </w:rPr>
        <w:t>建造师执业资格等级：</w:t>
      </w:r>
      <w:r>
        <w:rPr>
          <w:szCs w:val="21"/>
          <w:u w:val="single"/>
        </w:rPr>
        <w:t>  </w:t>
      </w:r>
      <w:r>
        <w:rPr>
          <w:szCs w:val="21"/>
        </w:rPr>
        <w:t>；</w:t>
      </w:r>
    </w:p>
    <w:p>
      <w:pPr>
        <w:spacing w:line="360" w:lineRule="exact"/>
        <w:ind w:firstLine="420" w:firstLineChars="200"/>
        <w:rPr>
          <w:szCs w:val="21"/>
        </w:rPr>
      </w:pPr>
      <w:r>
        <w:rPr>
          <w:szCs w:val="21"/>
        </w:rPr>
        <w:t>建造师注册证书号：</w:t>
      </w:r>
      <w:r>
        <w:rPr>
          <w:szCs w:val="21"/>
          <w:u w:val="single"/>
        </w:rPr>
        <w:t></w:t>
      </w:r>
      <w:r>
        <w:rPr>
          <w:szCs w:val="21"/>
        </w:rPr>
        <w:t>；</w:t>
      </w:r>
    </w:p>
    <w:p>
      <w:pPr>
        <w:spacing w:line="360" w:lineRule="exact"/>
        <w:ind w:firstLine="420" w:firstLineChars="200"/>
        <w:rPr>
          <w:szCs w:val="21"/>
        </w:rPr>
      </w:pPr>
      <w:r>
        <w:rPr>
          <w:szCs w:val="21"/>
        </w:rPr>
        <w:t>建造师执业印章号：</w:t>
      </w:r>
      <w:r>
        <w:rPr>
          <w:szCs w:val="21"/>
          <w:u w:val="single"/>
        </w:rPr>
        <w:t></w:t>
      </w:r>
      <w:r>
        <w:rPr>
          <w:szCs w:val="21"/>
        </w:rPr>
        <w:t>；</w:t>
      </w:r>
    </w:p>
    <w:p>
      <w:pPr>
        <w:spacing w:line="360" w:lineRule="exact"/>
        <w:ind w:firstLine="420" w:firstLineChars="200"/>
        <w:rPr>
          <w:szCs w:val="21"/>
        </w:rPr>
      </w:pPr>
      <w:r>
        <w:rPr>
          <w:szCs w:val="21"/>
        </w:rPr>
        <w:t>安全生产考核合格证书号：</w:t>
      </w:r>
      <w:r>
        <w:rPr>
          <w:szCs w:val="21"/>
          <w:u w:val="single"/>
        </w:rPr>
        <w:t></w:t>
      </w:r>
      <w:r>
        <w:rPr>
          <w:szCs w:val="21"/>
        </w:rPr>
        <w:t>；</w:t>
      </w:r>
    </w:p>
    <w:p>
      <w:pPr>
        <w:spacing w:line="360" w:lineRule="exact"/>
        <w:ind w:firstLine="420" w:firstLineChars="200"/>
        <w:rPr>
          <w:szCs w:val="21"/>
        </w:rPr>
      </w:pPr>
      <w:r>
        <w:rPr>
          <w:szCs w:val="21"/>
        </w:rPr>
        <w:t>联系电话：</w:t>
      </w:r>
      <w:r>
        <w:rPr>
          <w:szCs w:val="21"/>
          <w:u w:val="single"/>
        </w:rPr>
        <w:t>  </w:t>
      </w:r>
      <w:r>
        <w:rPr>
          <w:szCs w:val="21"/>
        </w:rPr>
        <w:t>；</w:t>
      </w:r>
    </w:p>
    <w:p>
      <w:pPr>
        <w:spacing w:line="360" w:lineRule="exact"/>
        <w:ind w:firstLine="420" w:firstLineChars="200"/>
        <w:rPr>
          <w:szCs w:val="21"/>
        </w:rPr>
      </w:pPr>
      <w:r>
        <w:rPr>
          <w:szCs w:val="21"/>
        </w:rPr>
        <w:t>电子信箱：</w:t>
      </w:r>
      <w:r>
        <w:rPr>
          <w:szCs w:val="21"/>
          <w:u w:val="single"/>
        </w:rPr>
        <w:t>  </w:t>
      </w:r>
      <w:r>
        <w:rPr>
          <w:szCs w:val="21"/>
        </w:rPr>
        <w:t>；</w:t>
      </w:r>
    </w:p>
    <w:p>
      <w:pPr>
        <w:spacing w:line="360" w:lineRule="exact"/>
        <w:ind w:firstLine="420" w:firstLineChars="200"/>
        <w:rPr>
          <w:szCs w:val="21"/>
        </w:rPr>
      </w:pPr>
      <w:r>
        <w:rPr>
          <w:szCs w:val="21"/>
        </w:rPr>
        <w:t>通信地址：</w:t>
      </w:r>
      <w:r>
        <w:rPr>
          <w:szCs w:val="21"/>
          <w:u w:val="single"/>
        </w:rPr>
        <w:t>  </w:t>
      </w:r>
      <w:r>
        <w:rPr>
          <w:rFonts w:hint="eastAsia"/>
          <w:szCs w:val="21"/>
          <w:u w:val="single"/>
        </w:rPr>
        <w:t xml:space="preserve"> </w:t>
      </w:r>
      <w:r>
        <w:rPr>
          <w:szCs w:val="21"/>
          <w:u w:val="single"/>
        </w:rPr>
        <w:t xml:space="preserve"> </w:t>
      </w:r>
      <w:r>
        <w:rPr>
          <w:szCs w:val="21"/>
        </w:rPr>
        <w:t>；</w:t>
      </w:r>
    </w:p>
    <w:p>
      <w:pPr>
        <w:spacing w:line="360" w:lineRule="exact"/>
        <w:ind w:firstLine="420" w:firstLineChars="200"/>
        <w:rPr>
          <w:szCs w:val="21"/>
        </w:rPr>
      </w:pPr>
      <w:r>
        <w:rPr>
          <w:rFonts w:hint="eastAsia"/>
          <w:szCs w:val="21"/>
        </w:rPr>
        <w:t>分包人</w:t>
      </w:r>
      <w:r>
        <w:rPr>
          <w:szCs w:val="21"/>
        </w:rPr>
        <w:t>对项目经理的授权范围如下：</w:t>
      </w:r>
      <w:r>
        <w:rPr>
          <w:rFonts w:hint="eastAsia" w:ascii="宋体" w:hAnsi="宋体" w:cs="宋体"/>
          <w:szCs w:val="21"/>
          <w:u w:val="single"/>
        </w:rPr>
        <w:t>全面负责本工程的质量、安全、文明施工、工期及成本控制</w:t>
      </w:r>
      <w:r>
        <w:rPr>
          <w:szCs w:val="21"/>
        </w:rPr>
        <w:t>。</w:t>
      </w:r>
    </w:p>
    <w:p>
      <w:pPr>
        <w:spacing w:line="360" w:lineRule="exact"/>
        <w:ind w:firstLine="420" w:firstLineChars="200"/>
        <w:rPr>
          <w:rFonts w:ascii="宋体" w:hAnsi="宋体" w:cs="宋体"/>
          <w:szCs w:val="21"/>
        </w:rPr>
      </w:pPr>
      <w:r>
        <w:rPr>
          <w:kern w:val="0"/>
          <w:szCs w:val="21"/>
        </w:rPr>
        <w:t>关于项目经理每月在施工现场的时间要求：</w:t>
      </w:r>
      <w:r>
        <w:rPr>
          <w:rFonts w:hint="eastAsia" w:ascii="宋体" w:hAnsi="宋体" w:cs="宋体"/>
          <w:szCs w:val="21"/>
          <w:u w:val="single"/>
        </w:rPr>
        <w:t>月到岗须不少于24天（以考勤记录为准）</w:t>
      </w:r>
      <w:r>
        <w:rPr>
          <w:rFonts w:hint="eastAsia" w:ascii="宋体" w:hAnsi="宋体" w:cs="宋体"/>
          <w:kern w:val="0"/>
          <w:szCs w:val="21"/>
          <w:u w:val="single"/>
        </w:rPr>
        <w:t>，项目经理必须准时到位，不得无故缺席。项目经理无故缺席会议的，每次处以违约金2000元</w:t>
      </w:r>
      <w:r>
        <w:rPr>
          <w:rFonts w:hint="eastAsia" w:ascii="宋体" w:hAnsi="宋体" w:cs="宋体"/>
          <w:szCs w:val="21"/>
        </w:rPr>
        <w:t>；</w:t>
      </w:r>
    </w:p>
    <w:p>
      <w:pPr>
        <w:spacing w:line="360" w:lineRule="exact"/>
        <w:ind w:firstLine="420" w:firstLineChars="200"/>
        <w:rPr>
          <w:kern w:val="0"/>
          <w:szCs w:val="21"/>
        </w:rPr>
      </w:pPr>
      <w:r>
        <w:rPr>
          <w:rFonts w:hint="eastAsia" w:ascii="宋体" w:hAnsi="宋体" w:cs="宋体"/>
          <w:szCs w:val="21"/>
          <w:u w:val="single"/>
        </w:rPr>
        <w:t>月到岗达不到约定天数，按相关行业主管部发布的规定处理；遇有工程检查、验收或参观等活动时，无特殊原因不得</w:t>
      </w:r>
      <w:r>
        <w:rPr>
          <w:rFonts w:hint="eastAsia" w:ascii="宋体" w:hAnsi="宋体" w:cs="宋体"/>
          <w:kern w:val="0"/>
          <w:szCs w:val="21"/>
          <w:u w:val="single"/>
        </w:rPr>
        <w:t>离开施工现场</w:t>
      </w:r>
      <w:r>
        <w:rPr>
          <w:szCs w:val="21"/>
        </w:rPr>
        <w:t>。</w:t>
      </w:r>
    </w:p>
    <w:p>
      <w:pPr>
        <w:spacing w:line="360" w:lineRule="exact"/>
        <w:ind w:firstLine="420" w:firstLineChars="200"/>
        <w:rPr>
          <w:kern w:val="0"/>
          <w:szCs w:val="21"/>
        </w:rPr>
      </w:pPr>
      <w:r>
        <w:rPr>
          <w:rFonts w:hint="eastAsia"/>
          <w:kern w:val="0"/>
          <w:szCs w:val="21"/>
        </w:rPr>
        <w:t>分包人</w:t>
      </w:r>
      <w:r>
        <w:rPr>
          <w:kern w:val="0"/>
          <w:szCs w:val="21"/>
        </w:rPr>
        <w:t>未提交劳动合同，以及没有为项目经理缴纳社会保险证明的违约责任：</w:t>
      </w:r>
      <w:r>
        <w:rPr>
          <w:rFonts w:hint="eastAsia" w:ascii="宋体" w:hAnsi="宋体" w:cs="宋体"/>
          <w:szCs w:val="21"/>
          <w:u w:val="single"/>
        </w:rPr>
        <w:t>按通用合同条款</w:t>
      </w:r>
      <w:r>
        <w:rPr>
          <w:szCs w:val="21"/>
        </w:rPr>
        <w:t>。</w:t>
      </w:r>
    </w:p>
    <w:p>
      <w:pPr>
        <w:spacing w:line="360" w:lineRule="exact"/>
        <w:ind w:firstLine="420" w:firstLineChars="200"/>
        <w:rPr>
          <w:szCs w:val="21"/>
          <w:u w:val="single"/>
        </w:rPr>
      </w:pPr>
      <w:r>
        <w:rPr>
          <w:kern w:val="0"/>
          <w:szCs w:val="21"/>
        </w:rPr>
        <w:t>项目经理未经批准，擅自离开施工现场的违约责任：</w:t>
      </w:r>
      <w:r>
        <w:rPr>
          <w:rFonts w:hint="eastAsia" w:ascii="宋体" w:hAnsi="宋体" w:cs="宋体"/>
          <w:kern w:val="0"/>
          <w:szCs w:val="21"/>
          <w:u w:val="single"/>
        </w:rPr>
        <w:t>按月以日历天为基数计算考核（每月按24天的标准），未达到的按每天处以违约金2000元，从履约保证金中扣除，直至扣除全部履约保证金为止。</w:t>
      </w:r>
    </w:p>
    <w:p>
      <w:pPr>
        <w:autoSpaceDE w:val="0"/>
        <w:autoSpaceDN w:val="0"/>
        <w:spacing w:line="360" w:lineRule="exact"/>
        <w:ind w:firstLine="420" w:firstLineChars="200"/>
        <w:rPr>
          <w:rFonts w:ascii="宋体" w:hAnsi="宋体"/>
          <w:szCs w:val="21"/>
          <w:u w:val="single"/>
        </w:rPr>
      </w:pPr>
      <w:r>
        <w:rPr>
          <w:szCs w:val="21"/>
        </w:rPr>
        <w:t xml:space="preserve">3.2.3 </w:t>
      </w:r>
      <w:r>
        <w:rPr>
          <w:rFonts w:hint="eastAsia"/>
          <w:szCs w:val="21"/>
        </w:rPr>
        <w:t>分包人</w:t>
      </w:r>
      <w:r>
        <w:rPr>
          <w:szCs w:val="21"/>
        </w:rPr>
        <w:t>擅自更换项目经理的违约责任：</w:t>
      </w:r>
      <w:r>
        <w:rPr>
          <w:rFonts w:hint="eastAsia" w:ascii="宋体" w:hAnsi="宋体" w:cs="宋体"/>
          <w:szCs w:val="21"/>
          <w:u w:val="single"/>
        </w:rPr>
        <w:t>分包人在施工期间不准擅自更换项目经理，特殊情况要求更换项目经理的，须征得发包人同意。分包人擅自更换项目经理的将被视为分包人违约，处以违约金10000元/次/人</w:t>
      </w:r>
      <w:r>
        <w:rPr>
          <w:rFonts w:hint="eastAsia" w:ascii="宋体" w:hAnsi="宋体"/>
          <w:szCs w:val="21"/>
        </w:rPr>
        <w:t>。</w:t>
      </w:r>
    </w:p>
    <w:p>
      <w:pPr>
        <w:spacing w:line="360" w:lineRule="exact"/>
        <w:ind w:firstLine="420" w:firstLineChars="200"/>
        <w:rPr>
          <w:szCs w:val="21"/>
        </w:rPr>
      </w:pPr>
      <w:r>
        <w:rPr>
          <w:szCs w:val="21"/>
        </w:rPr>
        <w:t xml:space="preserve">3.2.4 </w:t>
      </w:r>
      <w:r>
        <w:rPr>
          <w:rFonts w:hint="eastAsia"/>
          <w:szCs w:val="21"/>
        </w:rPr>
        <w:t>分包人无正当理由拒绝更换项目经理的违约责任：</w:t>
      </w:r>
      <w:r>
        <w:rPr>
          <w:rFonts w:hint="eastAsia"/>
          <w:szCs w:val="21"/>
          <w:u w:val="single"/>
        </w:rPr>
        <w:t>发包人可通知分包人全部解除合同，所有履约担保金归发包人，同时由分包人赔偿发包人损失</w:t>
      </w:r>
      <w:r>
        <w:rPr>
          <w:rFonts w:hint="eastAsia"/>
          <w:szCs w:val="21"/>
        </w:rPr>
        <w:t>。</w:t>
      </w:r>
    </w:p>
    <w:p>
      <w:pPr>
        <w:spacing w:line="360" w:lineRule="exact"/>
        <w:ind w:firstLine="420" w:firstLineChars="200"/>
        <w:rPr>
          <w:szCs w:val="21"/>
        </w:rPr>
      </w:pPr>
      <w:r>
        <w:rPr>
          <w:szCs w:val="21"/>
        </w:rPr>
        <w:t xml:space="preserve">3.3 </w:t>
      </w:r>
      <w:r>
        <w:rPr>
          <w:rFonts w:hint="eastAsia"/>
          <w:szCs w:val="21"/>
        </w:rPr>
        <w:t>分包人人员</w:t>
      </w:r>
    </w:p>
    <w:p>
      <w:pPr>
        <w:spacing w:line="360" w:lineRule="exact"/>
        <w:ind w:firstLine="420" w:firstLineChars="200"/>
        <w:rPr>
          <w:szCs w:val="21"/>
        </w:rPr>
      </w:pPr>
      <w:r>
        <w:rPr>
          <w:szCs w:val="21"/>
        </w:rPr>
        <w:t xml:space="preserve">3.3.1 </w:t>
      </w:r>
      <w:r>
        <w:rPr>
          <w:rFonts w:hint="eastAsia"/>
          <w:szCs w:val="21"/>
        </w:rPr>
        <w:t>分包人提交项目管理机构及施工现场管理人员安排报告的期限：</w:t>
      </w:r>
      <w:r>
        <w:rPr>
          <w:rFonts w:hint="eastAsia"/>
          <w:szCs w:val="21"/>
          <w:u w:val="single"/>
        </w:rPr>
        <w:t>接到开工通知（或确定开工日期）后</w:t>
      </w:r>
      <w:r>
        <w:rPr>
          <w:szCs w:val="21"/>
          <w:u w:val="single"/>
        </w:rPr>
        <w:t>7</w:t>
      </w:r>
      <w:r>
        <w:rPr>
          <w:rFonts w:hint="eastAsia"/>
          <w:szCs w:val="21"/>
          <w:u w:val="single"/>
        </w:rPr>
        <w:t>天内</w:t>
      </w:r>
      <w:r>
        <w:rPr>
          <w:rFonts w:hint="eastAsia"/>
          <w:szCs w:val="21"/>
        </w:rPr>
        <w:t>。</w:t>
      </w:r>
    </w:p>
    <w:p>
      <w:pPr>
        <w:spacing w:line="360" w:lineRule="exact"/>
        <w:ind w:firstLine="420" w:firstLineChars="200"/>
        <w:rPr>
          <w:szCs w:val="21"/>
          <w:u w:val="single"/>
        </w:rPr>
      </w:pPr>
      <w:r>
        <w:rPr>
          <w:szCs w:val="21"/>
        </w:rPr>
        <w:t xml:space="preserve">3.3.3 </w:t>
      </w:r>
      <w:r>
        <w:rPr>
          <w:rFonts w:hint="eastAsia"/>
          <w:szCs w:val="21"/>
        </w:rPr>
        <w:t>分包人无正当理由拒绝撤换主要施工管理人员的违约责任：</w:t>
      </w:r>
      <w:r>
        <w:rPr>
          <w:rFonts w:hint="eastAsia"/>
          <w:szCs w:val="21"/>
          <w:u w:val="single"/>
        </w:rPr>
        <w:t>发包人可通知分包人全部解除合同，所有履约担保金归发包人，同时</w:t>
      </w:r>
      <w:r>
        <w:rPr>
          <w:rFonts w:hint="eastAsia"/>
          <w:szCs w:val="21"/>
          <w:u w:val="single"/>
          <w:lang w:val="en-US" w:eastAsia="zh-CN"/>
        </w:rPr>
        <w:t>由分包人</w:t>
      </w:r>
      <w:r>
        <w:rPr>
          <w:rFonts w:hint="eastAsia"/>
          <w:szCs w:val="21"/>
          <w:u w:val="single"/>
        </w:rPr>
        <w:t>赔偿发包人损失。</w:t>
      </w:r>
    </w:p>
    <w:p>
      <w:pPr>
        <w:spacing w:line="360" w:lineRule="exact"/>
        <w:ind w:firstLine="420" w:firstLineChars="200"/>
        <w:rPr>
          <w:szCs w:val="21"/>
          <w:u w:val="single"/>
        </w:rPr>
      </w:pPr>
      <w:r>
        <w:rPr>
          <w:szCs w:val="21"/>
        </w:rPr>
        <w:t xml:space="preserve">3.3.4 </w:t>
      </w:r>
      <w:r>
        <w:rPr>
          <w:rFonts w:hint="eastAsia"/>
          <w:szCs w:val="21"/>
        </w:rPr>
        <w:t>分包人主要施工管理人员离开施工现场的批准要求：</w:t>
      </w:r>
      <w:r>
        <w:rPr>
          <w:rFonts w:hint="eastAsia" w:ascii="宋体" w:hAnsi="宋体" w:cs="宋体"/>
          <w:szCs w:val="21"/>
          <w:u w:val="single"/>
        </w:rPr>
        <w:t>按通用合同条款；未经批准擅自离开施工现场按相关行业主管部发布的规定处理；另遇有工程检查、验收或参观等活动时，无特殊原因不得请假</w:t>
      </w:r>
      <w:r>
        <w:rPr>
          <w:rFonts w:hint="eastAsia"/>
          <w:szCs w:val="21"/>
        </w:rPr>
        <w:t>。</w:t>
      </w:r>
    </w:p>
    <w:p>
      <w:pPr>
        <w:spacing w:line="360" w:lineRule="exact"/>
        <w:ind w:firstLine="420" w:firstLineChars="200"/>
        <w:rPr>
          <w:szCs w:val="21"/>
        </w:rPr>
      </w:pPr>
      <w:r>
        <w:rPr>
          <w:szCs w:val="21"/>
        </w:rPr>
        <w:t>3.3.5</w:t>
      </w:r>
      <w:r>
        <w:rPr>
          <w:rFonts w:hint="eastAsia"/>
          <w:szCs w:val="21"/>
        </w:rPr>
        <w:t>分包人擅自更换主要施工管理人员的违约责任：</w:t>
      </w:r>
      <w:bookmarkStart w:id="415" w:name="_Hlk68256072"/>
      <w:r>
        <w:rPr>
          <w:rFonts w:hint="eastAsia" w:ascii="宋体" w:hAnsi="宋体" w:cs="宋体"/>
          <w:szCs w:val="21"/>
          <w:u w:val="single"/>
        </w:rPr>
        <w:t>因发生重大安全事故不适合再任、因生病住院、终止劳动合同关系（提供相关部门或单位证明材料）、被责令停止执业、羁押或判刑情形，无法继续担任相应岗位工作，分包人向发包人提出申请，发包人应同意更换，并报工程所在地建设行政主管部门批准、备案，对更换到位的技术负责人资质、信用等级应不低于原技术负责人。除上述情形外不允许更换，如分包人擅自更换，技术负责人处以违约金1000</w:t>
      </w:r>
      <w:r>
        <w:rPr>
          <w:rFonts w:ascii="宋体" w:hAnsi="宋体" w:cs="宋体"/>
          <w:szCs w:val="21"/>
          <w:u w:val="single"/>
        </w:rPr>
        <w:t>0</w:t>
      </w:r>
      <w:r>
        <w:rPr>
          <w:rFonts w:hint="eastAsia" w:ascii="宋体" w:hAnsi="宋体" w:cs="宋体"/>
          <w:szCs w:val="21"/>
          <w:u w:val="single"/>
        </w:rPr>
        <w:t>元/次/人，其他关键岗位人员处以违约金5000元/次/人</w:t>
      </w:r>
      <w:bookmarkEnd w:id="415"/>
      <w:r>
        <w:rPr>
          <w:rFonts w:hint="eastAsia" w:ascii="宋体" w:hAnsi="宋体"/>
          <w:bCs/>
          <w:szCs w:val="21"/>
          <w:u w:val="single"/>
        </w:rPr>
        <w:t>。</w:t>
      </w:r>
    </w:p>
    <w:p>
      <w:pPr>
        <w:spacing w:line="360" w:lineRule="exact"/>
        <w:ind w:firstLine="420" w:firstLineChars="200"/>
        <w:rPr>
          <w:szCs w:val="21"/>
          <w:u w:val="single"/>
        </w:rPr>
      </w:pPr>
      <w:r>
        <w:rPr>
          <w:rFonts w:hint="eastAsia"/>
          <w:szCs w:val="21"/>
        </w:rPr>
        <w:t>分包人主要施工管理人员擅自离开施工现场的违约责任：</w:t>
      </w:r>
      <w:r>
        <w:rPr>
          <w:rFonts w:hint="eastAsia" w:ascii="宋体" w:hAnsi="宋体" w:cs="宋体"/>
          <w:szCs w:val="21"/>
          <w:u w:val="single"/>
        </w:rPr>
        <w:t>如果未经发包人</w:t>
      </w:r>
      <w:r>
        <w:rPr>
          <w:rFonts w:hint="eastAsia" w:ascii="宋体" w:hAnsi="宋体" w:cs="宋体"/>
          <w:kern w:val="0"/>
          <w:szCs w:val="21"/>
          <w:u w:val="single"/>
        </w:rPr>
        <w:t>(项目管理人)</w:t>
      </w:r>
      <w:r>
        <w:rPr>
          <w:rFonts w:hint="eastAsia" w:ascii="宋体" w:hAnsi="宋体" w:cs="宋体"/>
          <w:szCs w:val="21"/>
          <w:u w:val="single"/>
        </w:rPr>
        <w:t>及监理人许可，擅自离岗的，视为分包人违约。发现一次，处以违约金500元/次/人。</w:t>
      </w:r>
      <w:r>
        <w:rPr>
          <w:rFonts w:hint="eastAsia" w:ascii="宋体" w:hAnsi="宋体" w:cs="宋体"/>
          <w:kern w:val="0"/>
          <w:szCs w:val="21"/>
          <w:u w:val="single"/>
        </w:rPr>
        <w:t>且在工地监理例会等会议，主要施工管理人员必须准时到位，不得无故缺席。生产经理或技术负责人无故缺席处以违约金500元/次/人，施工员、质检员、安全员无故缺席处以违约金500元/次/人</w:t>
      </w:r>
      <w:r>
        <w:rPr>
          <w:rFonts w:hint="eastAsia"/>
          <w:szCs w:val="21"/>
          <w:u w:val="single"/>
        </w:rPr>
        <w:t>。</w:t>
      </w:r>
    </w:p>
    <w:p>
      <w:pPr>
        <w:spacing w:line="360" w:lineRule="exact"/>
        <w:ind w:firstLine="420" w:firstLineChars="200"/>
        <w:rPr>
          <w:rFonts w:eastAsia="黑体"/>
          <w:szCs w:val="21"/>
        </w:rPr>
      </w:pPr>
      <w:r>
        <w:rPr>
          <w:rFonts w:eastAsia="黑体"/>
          <w:szCs w:val="21"/>
        </w:rPr>
        <w:t>3</w:t>
      </w:r>
      <w:bookmarkStart w:id="416" w:name="_Toc296944498"/>
      <w:bookmarkStart w:id="417" w:name="_Toc296347158"/>
      <w:bookmarkStart w:id="418" w:name="_Toc297048345"/>
      <w:bookmarkStart w:id="419" w:name="_Toc304295523"/>
      <w:bookmarkStart w:id="420" w:name="_Toc296346660"/>
      <w:bookmarkStart w:id="421" w:name="_Toc297120459"/>
      <w:bookmarkStart w:id="422" w:name="_Toc296890987"/>
      <w:bookmarkStart w:id="423" w:name="_Toc303539102"/>
      <w:bookmarkStart w:id="424" w:name="_Toc292559869"/>
      <w:bookmarkStart w:id="425" w:name="_Toc297216151"/>
      <w:bookmarkStart w:id="426" w:name="_Toc297123492"/>
      <w:bookmarkStart w:id="427" w:name="_Toc296503159"/>
      <w:bookmarkStart w:id="428" w:name="_Toc296891199"/>
      <w:bookmarkStart w:id="429" w:name="_Toc312677988"/>
      <w:bookmarkStart w:id="430" w:name="_Toc300934945"/>
      <w:bookmarkStart w:id="431" w:name="_Toc292559364"/>
      <w:r>
        <w:rPr>
          <w:rFonts w:eastAsia="黑体"/>
          <w:szCs w:val="21"/>
        </w:rPr>
        <w:t>.5 分包</w:t>
      </w:r>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Pr>
        <w:spacing w:line="360" w:lineRule="exact"/>
        <w:ind w:firstLine="420" w:firstLineChars="200"/>
        <w:rPr>
          <w:szCs w:val="21"/>
        </w:rPr>
      </w:pPr>
      <w:r>
        <w:rPr>
          <w:szCs w:val="21"/>
        </w:rPr>
        <w:t>3</w:t>
      </w:r>
      <w:bookmarkStart w:id="432" w:name="_Toc303539103"/>
      <w:bookmarkStart w:id="433" w:name="_Toc297123493"/>
      <w:bookmarkStart w:id="434" w:name="_Toc292559365"/>
      <w:bookmarkStart w:id="435" w:name="_Toc296347159"/>
      <w:bookmarkStart w:id="436" w:name="_Toc297048346"/>
      <w:bookmarkStart w:id="437" w:name="_Toc296944499"/>
      <w:bookmarkStart w:id="438" w:name="_Toc297216152"/>
      <w:bookmarkStart w:id="439" w:name="_Toc296891200"/>
      <w:bookmarkStart w:id="440" w:name="_Toc300934946"/>
      <w:bookmarkStart w:id="441" w:name="_Toc296346661"/>
      <w:bookmarkStart w:id="442" w:name="_Toc297120460"/>
      <w:bookmarkStart w:id="443" w:name="_Toc304295524"/>
      <w:bookmarkStart w:id="444" w:name="_Toc296890988"/>
      <w:bookmarkStart w:id="445" w:name="_Toc296503160"/>
      <w:bookmarkStart w:id="446" w:name="_Toc292559870"/>
      <w:bookmarkStart w:id="447" w:name="_Toc312677989"/>
      <w:bookmarkStart w:id="448" w:name="_Toc318581158"/>
      <w:r>
        <w:rPr>
          <w:szCs w:val="21"/>
        </w:rPr>
        <w:t>.5.1 分包的一般约定</w:t>
      </w:r>
    </w:p>
    <w:p>
      <w:pPr>
        <w:spacing w:line="360" w:lineRule="exact"/>
        <w:ind w:firstLine="420" w:firstLineChars="200"/>
        <w:rPr>
          <w:szCs w:val="21"/>
        </w:rPr>
      </w:pPr>
      <w:r>
        <w:rPr>
          <w:szCs w:val="21"/>
        </w:rPr>
        <w:t>禁止分包的工程包括</w:t>
      </w:r>
      <w:r>
        <w:rPr>
          <w:rFonts w:hint="eastAsia"/>
          <w:szCs w:val="21"/>
        </w:rPr>
        <w:t>：</w:t>
      </w:r>
      <w:r>
        <w:rPr>
          <w:rFonts w:hint="eastAsia"/>
          <w:szCs w:val="21"/>
          <w:u w:val="single"/>
        </w:rPr>
        <w:t>本合同承包范围内的所有工作</w:t>
      </w:r>
      <w:r>
        <w:rPr>
          <w:szCs w:val="21"/>
        </w:rPr>
        <w:t>。</w:t>
      </w:r>
    </w:p>
    <w:p>
      <w:pPr>
        <w:spacing w:line="360" w:lineRule="exact"/>
        <w:ind w:firstLine="420" w:firstLineChars="200"/>
        <w:rPr>
          <w:szCs w:val="21"/>
          <w:u w:val="single"/>
        </w:rPr>
      </w:pPr>
      <w:r>
        <w:rPr>
          <w:szCs w:val="21"/>
        </w:rPr>
        <w:t>主体结构、关键性工作的范围：</w:t>
      </w:r>
      <w:r>
        <w:rPr>
          <w:szCs w:val="21"/>
          <w:u w:val="single"/>
        </w:rPr>
        <w:t xml:space="preserve">       </w:t>
      </w:r>
      <w:r>
        <w:rPr>
          <w:szCs w:val="21"/>
        </w:rPr>
        <w: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Start w:id="449" w:name="_Toc297048347"/>
      <w:bookmarkStart w:id="450" w:name="_Toc303539104"/>
      <w:bookmarkStart w:id="451" w:name="_Toc296346662"/>
      <w:bookmarkStart w:id="452" w:name="_Toc296944500"/>
      <w:bookmarkStart w:id="453" w:name="_Toc296347160"/>
      <w:bookmarkStart w:id="454" w:name="_Toc296891201"/>
      <w:bookmarkStart w:id="455" w:name="_Toc296503161"/>
      <w:bookmarkStart w:id="456" w:name="_Toc297216153"/>
      <w:bookmarkStart w:id="457" w:name="_Toc297120461"/>
      <w:bookmarkStart w:id="458" w:name="_Toc297123494"/>
      <w:bookmarkStart w:id="459" w:name="_Toc304295525"/>
      <w:bookmarkStart w:id="460" w:name="_Toc300934947"/>
      <w:bookmarkStart w:id="461" w:name="_Toc296890989"/>
    </w:p>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Pr>
        <w:spacing w:line="360" w:lineRule="exact"/>
        <w:rPr>
          <w:szCs w:val="21"/>
        </w:rPr>
      </w:pPr>
      <w:r>
        <w:rPr>
          <w:szCs w:val="21"/>
        </w:rPr>
        <w:t>3</w:t>
      </w:r>
      <w:bookmarkStart w:id="462" w:name="_Toc312677990"/>
      <w:bookmarkStart w:id="463" w:name="_Toc318581159"/>
      <w:r>
        <w:rPr>
          <w:szCs w:val="21"/>
        </w:rPr>
        <w:t>.5.2分包的确定</w:t>
      </w:r>
    </w:p>
    <w:p>
      <w:pPr>
        <w:spacing w:line="360" w:lineRule="exact"/>
        <w:ind w:firstLine="420" w:firstLineChars="200"/>
        <w:rPr>
          <w:szCs w:val="21"/>
          <w:u w:val="single"/>
        </w:rPr>
      </w:pPr>
      <w:r>
        <w:rPr>
          <w:szCs w:val="21"/>
        </w:rPr>
        <w:t>允许分包的专业工程包括：</w:t>
      </w:r>
      <w:r>
        <w:rPr>
          <w:rFonts w:hint="eastAsia"/>
          <w:szCs w:val="21"/>
          <w:u w:val="single"/>
        </w:rPr>
        <w:t>不允许分包</w:t>
      </w:r>
      <w:r>
        <w:rPr>
          <w:szCs w:val="21"/>
        </w:rPr>
        <w:t>。</w:t>
      </w:r>
    </w:p>
    <w:p>
      <w:pPr>
        <w:spacing w:line="360" w:lineRule="exact"/>
        <w:ind w:firstLine="420" w:firstLineChars="200"/>
        <w:rPr>
          <w:szCs w:val="21"/>
        </w:rPr>
      </w:pPr>
      <w:r>
        <w:rPr>
          <w:szCs w:val="21"/>
        </w:rPr>
        <w:t>其他关于分包的约定：</w:t>
      </w:r>
      <w:r>
        <w:rPr>
          <w:rFonts w:hint="eastAsia"/>
          <w:szCs w:val="21"/>
          <w:u w:val="single"/>
        </w:rPr>
        <w:t xml:space="preserve">   /   </w:t>
      </w:r>
      <w:r>
        <w:rPr>
          <w:szCs w:val="21"/>
        </w:rPr>
        <w:t>。</w:t>
      </w:r>
    </w:p>
    <w:p>
      <w:pPr>
        <w:spacing w:line="360" w:lineRule="exact"/>
        <w:ind w:firstLine="420" w:firstLineChars="200"/>
        <w:rPr>
          <w:szCs w:val="21"/>
        </w:rPr>
      </w:pPr>
      <w:r>
        <w:rPr>
          <w:szCs w:val="21"/>
        </w:rPr>
        <w:t>3.5.4 分包合同价款</w:t>
      </w:r>
    </w:p>
    <w:p>
      <w:pPr>
        <w:spacing w:line="360" w:lineRule="exact"/>
        <w:ind w:firstLine="420" w:firstLineChars="200"/>
        <w:rPr>
          <w:szCs w:val="21"/>
        </w:rPr>
      </w:pPr>
      <w:r>
        <w:rPr>
          <w:szCs w:val="21"/>
        </w:rPr>
        <w:t>关于分包合同价款支付的约定：</w:t>
      </w:r>
      <w:r>
        <w:rPr>
          <w:szCs w:val="21"/>
          <w:u w:val="single"/>
        </w:rPr>
        <w:t xml:space="preserve"> </w:t>
      </w:r>
      <w:r>
        <w:rPr>
          <w:rFonts w:hint="eastAsia"/>
          <w:szCs w:val="21"/>
          <w:u w:val="single"/>
        </w:rPr>
        <w:t>/</w:t>
      </w:r>
      <w:r>
        <w:rPr>
          <w:szCs w:val="21"/>
          <w:u w:val="single"/>
        </w:rPr>
        <w:t xml:space="preserve">     </w:t>
      </w:r>
      <w:r>
        <w:rPr>
          <w:szCs w:val="21"/>
        </w:rPr>
        <w:t>。</w:t>
      </w:r>
    </w:p>
    <w:bookmarkEnd w:id="462"/>
    <w:bookmarkEnd w:id="463"/>
    <w:p>
      <w:pPr>
        <w:spacing w:line="360" w:lineRule="exact"/>
        <w:ind w:firstLine="420" w:firstLineChars="200"/>
        <w:rPr>
          <w:rFonts w:eastAsia="黑体"/>
          <w:szCs w:val="21"/>
        </w:rPr>
      </w:pPr>
      <w:r>
        <w:rPr>
          <w:rFonts w:eastAsia="黑体"/>
          <w:szCs w:val="21"/>
        </w:rPr>
        <w:t>3.6 工程照管与成品、半成品保护</w:t>
      </w:r>
    </w:p>
    <w:p>
      <w:pPr>
        <w:spacing w:line="360" w:lineRule="exact"/>
        <w:ind w:firstLine="420" w:firstLineChars="200"/>
        <w:rPr>
          <w:kern w:val="0"/>
          <w:szCs w:val="21"/>
          <w:u w:val="single"/>
        </w:rPr>
      </w:pPr>
      <w:r>
        <w:rPr>
          <w:rFonts w:hint="eastAsia"/>
          <w:kern w:val="0"/>
          <w:szCs w:val="21"/>
        </w:rPr>
        <w:t>分包人</w:t>
      </w:r>
      <w:r>
        <w:rPr>
          <w:kern w:val="0"/>
          <w:szCs w:val="21"/>
        </w:rPr>
        <w:t>负责照管工程及工程相关的材料、工程设备的起始时间：</w:t>
      </w:r>
      <w:r>
        <w:rPr>
          <w:rFonts w:hint="eastAsia"/>
          <w:kern w:val="0"/>
          <w:szCs w:val="21"/>
          <w:u w:val="single"/>
        </w:rPr>
        <w:t>按合同通用条款执行</w:t>
      </w:r>
      <w:r>
        <w:rPr>
          <w:kern w:val="0"/>
          <w:szCs w:val="21"/>
        </w:rPr>
        <w:t>。</w:t>
      </w:r>
    </w:p>
    <w:p>
      <w:pPr>
        <w:spacing w:line="360" w:lineRule="exact"/>
        <w:ind w:firstLine="420" w:firstLineChars="200"/>
        <w:rPr>
          <w:rFonts w:eastAsia="黑体"/>
          <w:szCs w:val="21"/>
        </w:rPr>
      </w:pPr>
      <w:r>
        <w:rPr>
          <w:rFonts w:eastAsia="黑体"/>
          <w:szCs w:val="21"/>
        </w:rPr>
        <w:t>3.7 履约担保</w:t>
      </w:r>
    </w:p>
    <w:p>
      <w:pPr>
        <w:spacing w:line="360" w:lineRule="exact"/>
        <w:ind w:firstLine="420" w:firstLineChars="200"/>
        <w:rPr>
          <w:szCs w:val="21"/>
        </w:rPr>
      </w:pPr>
      <w:r>
        <w:rPr>
          <w:rFonts w:hint="eastAsia"/>
          <w:szCs w:val="21"/>
        </w:rPr>
        <w:t>分包人是否提供履约担保：</w:t>
      </w:r>
      <w:r>
        <w:rPr>
          <w:rFonts w:hint="eastAsia"/>
          <w:szCs w:val="21"/>
          <w:u w:val="single"/>
        </w:rPr>
        <w:t>是</w:t>
      </w:r>
      <w:r>
        <w:rPr>
          <w:szCs w:val="21"/>
        </w:rPr>
        <w:t>。</w:t>
      </w:r>
    </w:p>
    <w:p>
      <w:pPr>
        <w:spacing w:line="360" w:lineRule="exact"/>
        <w:ind w:firstLine="420" w:firstLineChars="200"/>
        <w:rPr>
          <w:rFonts w:ascii="宋体" w:hAnsi="宋体" w:cs="宋体"/>
          <w:szCs w:val="21"/>
        </w:rPr>
      </w:pPr>
      <w:r>
        <w:rPr>
          <w:rFonts w:hint="eastAsia" w:ascii="宋体" w:hAnsi="宋体" w:cs="宋体"/>
          <w:szCs w:val="21"/>
        </w:rPr>
        <w:t>分包人提供履约担保的形式、金额及期限：</w:t>
      </w:r>
      <w:r>
        <w:rPr>
          <w:rFonts w:hint="eastAsia" w:ascii="宋体" w:hAnsi="宋体" w:cs="宋体"/>
          <w:szCs w:val="21"/>
          <w:u w:val="single"/>
        </w:rPr>
        <w:t>签订工程合同时提供履约保函，保函形式为工程见索即付保函，金额为签约合同价的2%</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分包人应保证履约担保在工程竣工验收前持续有效。若分包人提供的履约担保在工程竣工验收前失效且未进行续保的，发包人有权在失效当月扣除工程款抵作履约担保，待分包人续保成功或工程竣工验收后的次月将扣除的工程款支付给分包人。</w:t>
      </w:r>
    </w:p>
    <w:p>
      <w:pPr>
        <w:spacing w:line="360" w:lineRule="exact"/>
        <w:ind w:firstLine="420" w:firstLineChars="200"/>
        <w:rPr>
          <w:szCs w:val="21"/>
          <w:u w:val="single"/>
        </w:rPr>
      </w:pPr>
      <w:r>
        <w:rPr>
          <w:rFonts w:hint="eastAsia" w:ascii="宋体" w:hAnsi="宋体" w:cs="宋体"/>
          <w:szCs w:val="21"/>
        </w:rPr>
        <w:t>非分包人原因导致的工期延长，分包人继续提供履约担保所增加的费用由发包人承担。</w:t>
      </w:r>
    </w:p>
    <w:p>
      <w:pPr>
        <w:keepNext/>
        <w:keepLines/>
        <w:spacing w:line="360" w:lineRule="exact"/>
        <w:outlineLvl w:val="3"/>
        <w:rPr>
          <w:rFonts w:eastAsia="黑体"/>
          <w:bCs/>
          <w:szCs w:val="21"/>
        </w:rPr>
      </w:pPr>
      <w:bookmarkStart w:id="464" w:name="_Toc351203636"/>
      <w:r>
        <w:rPr>
          <w:rFonts w:eastAsia="黑体"/>
          <w:bCs/>
          <w:szCs w:val="21"/>
        </w:rPr>
        <w:t>4</w:t>
      </w:r>
      <w:bookmarkStart w:id="465" w:name="_Toc296891202"/>
      <w:bookmarkStart w:id="466" w:name="_Toc297120462"/>
      <w:bookmarkStart w:id="467" w:name="_Toc296503162"/>
      <w:bookmarkStart w:id="468" w:name="_Toc296346663"/>
      <w:bookmarkStart w:id="469" w:name="_Toc296890990"/>
      <w:bookmarkStart w:id="470" w:name="_Toc296347161"/>
      <w:bookmarkStart w:id="471" w:name="_Toc267251413"/>
      <w:bookmarkStart w:id="472" w:name="_Toc297048348"/>
      <w:bookmarkStart w:id="473" w:name="_Toc292559871"/>
      <w:bookmarkStart w:id="474" w:name="_Toc292559366"/>
      <w:bookmarkStart w:id="475" w:name="_Toc296944501"/>
      <w:r>
        <w:rPr>
          <w:rFonts w:eastAsia="黑体"/>
          <w:bCs/>
          <w:szCs w:val="21"/>
        </w:rPr>
        <w:t>. 监</w:t>
      </w:r>
      <w:bookmarkEnd w:id="465"/>
      <w:bookmarkEnd w:id="466"/>
      <w:bookmarkEnd w:id="467"/>
      <w:bookmarkEnd w:id="468"/>
      <w:bookmarkEnd w:id="469"/>
      <w:bookmarkEnd w:id="470"/>
      <w:bookmarkEnd w:id="471"/>
      <w:bookmarkEnd w:id="472"/>
      <w:bookmarkEnd w:id="473"/>
      <w:bookmarkEnd w:id="474"/>
      <w:bookmarkEnd w:id="475"/>
      <w:r>
        <w:rPr>
          <w:rFonts w:eastAsia="黑体"/>
          <w:bCs/>
          <w:szCs w:val="21"/>
        </w:rPr>
        <w:t>理人</w:t>
      </w:r>
      <w:bookmarkEnd w:id="464"/>
    </w:p>
    <w:p>
      <w:pPr>
        <w:spacing w:line="360" w:lineRule="exact"/>
        <w:ind w:firstLine="420" w:firstLineChars="200"/>
        <w:rPr>
          <w:rFonts w:eastAsia="黑体"/>
          <w:szCs w:val="21"/>
        </w:rPr>
      </w:pPr>
      <w:r>
        <w:rPr>
          <w:rFonts w:eastAsia="黑体"/>
          <w:szCs w:val="21"/>
        </w:rPr>
        <w:t>4.1监理人的一般规定</w:t>
      </w:r>
    </w:p>
    <w:p>
      <w:pPr>
        <w:spacing w:line="360" w:lineRule="exact"/>
        <w:ind w:firstLine="420" w:firstLineChars="200"/>
        <w:rPr>
          <w:szCs w:val="21"/>
        </w:rPr>
      </w:pPr>
      <w:r>
        <w:rPr>
          <w:szCs w:val="21"/>
        </w:rPr>
        <w:t>关于监理人的监理内容：</w:t>
      </w:r>
      <w:r>
        <w:rPr>
          <w:rFonts w:hint="eastAsia"/>
          <w:szCs w:val="21"/>
          <w:u w:val="single"/>
        </w:rPr>
        <w:t>按本工程监理合同约定内容</w:t>
      </w:r>
      <w:r>
        <w:rPr>
          <w:szCs w:val="21"/>
        </w:rPr>
        <w:t>。</w:t>
      </w:r>
    </w:p>
    <w:p>
      <w:pPr>
        <w:spacing w:line="360" w:lineRule="exact"/>
        <w:ind w:firstLine="420" w:firstLineChars="200"/>
        <w:rPr>
          <w:szCs w:val="21"/>
          <w:u w:val="single"/>
        </w:rPr>
      </w:pPr>
      <w:r>
        <w:rPr>
          <w:szCs w:val="21"/>
        </w:rPr>
        <w:t>关于监理人的监理权限：</w:t>
      </w:r>
      <w:r>
        <w:rPr>
          <w:rFonts w:hint="eastAsia"/>
          <w:szCs w:val="21"/>
          <w:u w:val="single"/>
        </w:rPr>
        <w:t>发包人另行书面通知</w:t>
      </w:r>
      <w:r>
        <w:rPr>
          <w:szCs w:val="21"/>
        </w:rPr>
        <w:t>。</w:t>
      </w:r>
    </w:p>
    <w:p>
      <w:pPr>
        <w:spacing w:line="360" w:lineRule="exact"/>
        <w:ind w:firstLine="420" w:firstLineChars="200"/>
        <w:rPr>
          <w:szCs w:val="21"/>
        </w:rPr>
      </w:pPr>
      <w:r>
        <w:rPr>
          <w:szCs w:val="21"/>
        </w:rPr>
        <w:t>关于监理人在施工现场的办公场所、生活场所的提供和费用承担的约定：</w:t>
      </w:r>
      <w:r>
        <w:rPr>
          <w:rFonts w:hint="eastAsia"/>
          <w:szCs w:val="21"/>
          <w:u w:val="single"/>
        </w:rPr>
        <w:t>由分包人免费提供办公室1间使用。</w:t>
      </w:r>
    </w:p>
    <w:p>
      <w:pPr>
        <w:spacing w:line="360" w:lineRule="exact"/>
        <w:ind w:firstLine="420" w:firstLineChars="200"/>
        <w:rPr>
          <w:rFonts w:eastAsia="黑体"/>
          <w:szCs w:val="21"/>
        </w:rPr>
      </w:pPr>
      <w:r>
        <w:rPr>
          <w:rFonts w:eastAsia="黑体"/>
          <w:szCs w:val="21"/>
        </w:rPr>
        <w:t>4.2 监理人员</w:t>
      </w:r>
    </w:p>
    <w:p>
      <w:pPr>
        <w:spacing w:line="360" w:lineRule="exact"/>
        <w:ind w:firstLine="420" w:firstLineChars="200"/>
        <w:rPr>
          <w:szCs w:val="21"/>
        </w:rPr>
      </w:pPr>
      <w:r>
        <w:rPr>
          <w:szCs w:val="21"/>
        </w:rPr>
        <w:t>总监理工程师：</w:t>
      </w:r>
    </w:p>
    <w:p>
      <w:pPr>
        <w:spacing w:line="360" w:lineRule="exact"/>
        <w:ind w:firstLine="420" w:firstLineChars="200"/>
        <w:rPr>
          <w:szCs w:val="21"/>
        </w:rPr>
      </w:pPr>
      <w:r>
        <w:rPr>
          <w:szCs w:val="21"/>
        </w:rPr>
        <w:t>姓名：</w:t>
      </w:r>
      <w:r>
        <w:rPr>
          <w:szCs w:val="21"/>
          <w:u w:val="single"/>
        </w:rPr>
        <w:t>  </w:t>
      </w:r>
      <w:r>
        <w:rPr>
          <w:rFonts w:hint="eastAsia"/>
          <w:szCs w:val="21"/>
          <w:u w:val="single"/>
        </w:rPr>
        <w:t xml:space="preserve">     </w:t>
      </w:r>
      <w:r>
        <w:rPr>
          <w:szCs w:val="21"/>
          <w:u w:val="single"/>
        </w:rPr>
        <w:t xml:space="preserve"> </w:t>
      </w:r>
      <w:r>
        <w:rPr>
          <w:szCs w:val="21"/>
        </w:rPr>
        <w:t>；</w:t>
      </w:r>
    </w:p>
    <w:p>
      <w:pPr>
        <w:spacing w:line="360" w:lineRule="exact"/>
        <w:ind w:firstLine="420" w:firstLineChars="200"/>
        <w:rPr>
          <w:szCs w:val="21"/>
        </w:rPr>
      </w:pPr>
      <w:r>
        <w:rPr>
          <w:szCs w:val="21"/>
        </w:rPr>
        <w:t>职务：</w:t>
      </w:r>
      <w:r>
        <w:rPr>
          <w:szCs w:val="21"/>
          <w:u w:val="single"/>
        </w:rPr>
        <w:t>  </w:t>
      </w:r>
      <w:r>
        <w:rPr>
          <w:rFonts w:hint="eastAsia"/>
          <w:szCs w:val="21"/>
          <w:u w:val="single"/>
        </w:rPr>
        <w:t xml:space="preserve">    </w:t>
      </w:r>
      <w:r>
        <w:rPr>
          <w:szCs w:val="21"/>
          <w:u w:val="single"/>
        </w:rPr>
        <w:t> </w:t>
      </w:r>
      <w:r>
        <w:rPr>
          <w:szCs w:val="21"/>
        </w:rPr>
        <w:t>；</w:t>
      </w:r>
    </w:p>
    <w:p>
      <w:pPr>
        <w:spacing w:line="360" w:lineRule="exact"/>
        <w:ind w:firstLine="420" w:firstLineChars="200"/>
        <w:rPr>
          <w:szCs w:val="21"/>
        </w:rPr>
      </w:pPr>
      <w:r>
        <w:rPr>
          <w:szCs w:val="21"/>
        </w:rPr>
        <w:t>监理工程师执业资格证书号：</w:t>
      </w:r>
      <w:r>
        <w:rPr>
          <w:szCs w:val="21"/>
          <w:u w:val="single"/>
        </w:rPr>
        <w:t> </w:t>
      </w:r>
      <w:r>
        <w:rPr>
          <w:szCs w:val="21"/>
        </w:rPr>
        <w:t>；</w:t>
      </w:r>
    </w:p>
    <w:p>
      <w:pPr>
        <w:spacing w:line="360" w:lineRule="exact"/>
        <w:ind w:firstLine="420" w:firstLineChars="200"/>
        <w:rPr>
          <w:szCs w:val="21"/>
        </w:rPr>
      </w:pPr>
      <w:r>
        <w:rPr>
          <w:szCs w:val="21"/>
        </w:rPr>
        <w:t>联系电话：</w:t>
      </w:r>
      <w:r>
        <w:rPr>
          <w:szCs w:val="21"/>
          <w:u w:val="single"/>
        </w:rPr>
        <w:t>   </w:t>
      </w:r>
      <w:r>
        <w:rPr>
          <w:szCs w:val="21"/>
        </w:rPr>
        <w:t>；</w:t>
      </w:r>
    </w:p>
    <w:p>
      <w:pPr>
        <w:spacing w:line="360" w:lineRule="exact"/>
        <w:ind w:firstLine="420" w:firstLineChars="200"/>
        <w:rPr>
          <w:szCs w:val="21"/>
        </w:rPr>
      </w:pPr>
      <w:r>
        <w:rPr>
          <w:szCs w:val="21"/>
        </w:rPr>
        <w:t>电子信箱：</w:t>
      </w:r>
      <w:r>
        <w:rPr>
          <w:szCs w:val="21"/>
          <w:u w:val="single"/>
        </w:rPr>
        <w:t>   </w:t>
      </w:r>
      <w:r>
        <w:rPr>
          <w:szCs w:val="21"/>
        </w:rPr>
        <w:t>；</w:t>
      </w:r>
    </w:p>
    <w:p>
      <w:pPr>
        <w:spacing w:line="360" w:lineRule="exact"/>
        <w:ind w:firstLine="420" w:firstLineChars="200"/>
        <w:rPr>
          <w:szCs w:val="21"/>
        </w:rPr>
      </w:pPr>
      <w:r>
        <w:rPr>
          <w:szCs w:val="21"/>
        </w:rPr>
        <w:t>通信地址：</w:t>
      </w:r>
      <w:r>
        <w:rPr>
          <w:szCs w:val="21"/>
          <w:u w:val="single"/>
        </w:rPr>
        <w:t>   </w:t>
      </w:r>
      <w:r>
        <w:rPr>
          <w:szCs w:val="21"/>
        </w:rPr>
        <w:t>；</w:t>
      </w:r>
    </w:p>
    <w:p>
      <w:pPr>
        <w:spacing w:line="360" w:lineRule="exact"/>
        <w:ind w:firstLine="420" w:firstLineChars="200"/>
        <w:rPr>
          <w:szCs w:val="21"/>
          <w:u w:val="single"/>
        </w:rPr>
      </w:pPr>
      <w:r>
        <w:rPr>
          <w:szCs w:val="21"/>
        </w:rPr>
        <w:t>关于监理人的其他约定：</w:t>
      </w:r>
      <w:r>
        <w:rPr>
          <w:szCs w:val="21"/>
          <w:u w:val="single"/>
        </w:rPr>
        <w:t></w:t>
      </w:r>
      <w:r>
        <w:rPr>
          <w:rFonts w:hint="eastAsia"/>
          <w:szCs w:val="21"/>
          <w:u w:val="single"/>
        </w:rPr>
        <w:t>。</w:t>
      </w:r>
    </w:p>
    <w:p>
      <w:pPr>
        <w:spacing w:line="360" w:lineRule="exact"/>
        <w:ind w:firstLine="420" w:firstLineChars="200"/>
        <w:rPr>
          <w:szCs w:val="21"/>
          <w:u w:val="single"/>
        </w:rPr>
      </w:pPr>
      <w:r>
        <w:rPr>
          <w:rFonts w:hint="eastAsia"/>
          <w:szCs w:val="21"/>
          <w:u w:val="single"/>
        </w:rPr>
        <w:t>（1）监理人授权超出合同约定，分包人有权提出异议，如监理人对于分包人合理的异议不予接受，则分包人可要求发包人就该事项作出处理决定；</w:t>
      </w:r>
    </w:p>
    <w:p>
      <w:pPr>
        <w:spacing w:line="360" w:lineRule="exact"/>
        <w:ind w:firstLine="420" w:firstLineChars="200"/>
        <w:rPr>
          <w:szCs w:val="21"/>
          <w:u w:val="single"/>
        </w:rPr>
      </w:pPr>
      <w:r>
        <w:rPr>
          <w:rFonts w:hint="eastAsia"/>
          <w:szCs w:val="21"/>
          <w:u w:val="single"/>
        </w:rPr>
        <w:t>（2）对于监理人更换其委派的监理人员的，监理人在征得发包人同意后应当提前48小时书面通知分包人；</w:t>
      </w:r>
    </w:p>
    <w:p>
      <w:pPr>
        <w:spacing w:line="360" w:lineRule="exact"/>
        <w:ind w:firstLine="420" w:firstLineChars="200"/>
        <w:rPr>
          <w:szCs w:val="21"/>
        </w:rPr>
      </w:pPr>
      <w:r>
        <w:rPr>
          <w:rFonts w:hint="eastAsia"/>
          <w:szCs w:val="21"/>
          <w:u w:val="single"/>
        </w:rPr>
        <w:t>（3）监理人对其监理人员的任何授权，分包人均应当要求监理人提供书面的授权，否则，分包人有权拒绝接受监理人员的指示。</w:t>
      </w:r>
    </w:p>
    <w:p>
      <w:pPr>
        <w:spacing w:line="360" w:lineRule="exact"/>
        <w:ind w:firstLine="420" w:firstLineChars="200"/>
        <w:rPr>
          <w:rFonts w:eastAsia="黑体"/>
          <w:szCs w:val="21"/>
        </w:rPr>
      </w:pPr>
      <w:r>
        <w:rPr>
          <w:rFonts w:eastAsia="黑体"/>
          <w:szCs w:val="21"/>
        </w:rPr>
        <w:t>4.4 商定或确定</w:t>
      </w:r>
    </w:p>
    <w:p>
      <w:pPr>
        <w:spacing w:line="360" w:lineRule="exact"/>
        <w:ind w:firstLine="420" w:firstLineChars="200"/>
        <w:rPr>
          <w:szCs w:val="21"/>
        </w:rPr>
      </w:pPr>
      <w:bookmarkStart w:id="476" w:name="_Toc267251418"/>
      <w:r>
        <w:rPr>
          <w:szCs w:val="21"/>
        </w:rPr>
        <w:t>在发包人和</w:t>
      </w:r>
      <w:r>
        <w:rPr>
          <w:rFonts w:hint="eastAsia"/>
          <w:szCs w:val="21"/>
        </w:rPr>
        <w:t>分包人</w:t>
      </w:r>
      <w:r>
        <w:rPr>
          <w:szCs w:val="21"/>
        </w:rPr>
        <w:t>不能通过协商达成一致意见时，发包人授权监理人对以下事项进行确定：</w:t>
      </w:r>
    </w:p>
    <w:p>
      <w:pPr>
        <w:autoSpaceDE w:val="0"/>
        <w:autoSpaceDN w:val="0"/>
        <w:adjustRightInd w:val="0"/>
        <w:spacing w:line="360" w:lineRule="exact"/>
        <w:ind w:firstLine="420" w:firstLineChars="200"/>
        <w:rPr>
          <w:kern w:val="0"/>
          <w:szCs w:val="21"/>
        </w:rPr>
      </w:pPr>
      <w:r>
        <w:rPr>
          <w:kern w:val="0"/>
          <w:szCs w:val="21"/>
        </w:rPr>
        <w:t>（1）</w:t>
      </w:r>
      <w:r>
        <w:rPr>
          <w:rFonts w:hint="eastAsia" w:ascii="新宋体" w:hAnsi="新宋体" w:eastAsia="新宋体" w:cs="新宋体"/>
          <w:szCs w:val="21"/>
          <w:u w:val="single"/>
        </w:rPr>
        <w:t>无价材料、设备的价格确定</w:t>
      </w:r>
      <w:r>
        <w:rPr>
          <w:szCs w:val="21"/>
        </w:rPr>
        <w:t>；</w:t>
      </w:r>
    </w:p>
    <w:p>
      <w:pPr>
        <w:autoSpaceDE w:val="0"/>
        <w:autoSpaceDN w:val="0"/>
        <w:adjustRightInd w:val="0"/>
        <w:spacing w:line="360" w:lineRule="exact"/>
        <w:ind w:firstLine="420" w:firstLineChars="200"/>
        <w:rPr>
          <w:kern w:val="0"/>
          <w:szCs w:val="21"/>
        </w:rPr>
      </w:pPr>
      <w:r>
        <w:rPr>
          <w:kern w:val="0"/>
          <w:szCs w:val="21"/>
        </w:rPr>
        <w:t>（2）</w:t>
      </w:r>
      <w:r>
        <w:rPr>
          <w:rFonts w:hint="eastAsia" w:ascii="新宋体" w:hAnsi="新宋体" w:eastAsia="新宋体" w:cs="新宋体"/>
          <w:szCs w:val="21"/>
          <w:u w:val="single"/>
        </w:rPr>
        <w:t xml:space="preserve">清单特征描述不清        </w:t>
      </w:r>
      <w:r>
        <w:rPr>
          <w:szCs w:val="21"/>
        </w:rPr>
        <w:t>；</w:t>
      </w:r>
    </w:p>
    <w:p>
      <w:pPr>
        <w:autoSpaceDE w:val="0"/>
        <w:autoSpaceDN w:val="0"/>
        <w:adjustRightInd w:val="0"/>
        <w:spacing w:line="360" w:lineRule="exact"/>
        <w:ind w:firstLine="420" w:firstLineChars="200"/>
        <w:rPr>
          <w:kern w:val="0"/>
          <w:szCs w:val="21"/>
        </w:rPr>
      </w:pPr>
      <w:r>
        <w:rPr>
          <w:kern w:val="0"/>
          <w:szCs w:val="21"/>
        </w:rPr>
        <w:t>（3）</w:t>
      </w:r>
      <w:r>
        <w:rPr>
          <w:rFonts w:hint="eastAsia"/>
          <w:szCs w:val="21"/>
          <w:u w:val="single"/>
        </w:rPr>
        <w:t>/</w:t>
      </w:r>
      <w:r>
        <w:rPr>
          <w:szCs w:val="21"/>
        </w:rPr>
        <w:t>。</w:t>
      </w:r>
    </w:p>
    <w:p>
      <w:pPr>
        <w:keepNext/>
        <w:keepLines/>
        <w:spacing w:line="360" w:lineRule="exact"/>
        <w:outlineLvl w:val="3"/>
        <w:rPr>
          <w:rFonts w:eastAsia="黑体"/>
          <w:bCs/>
          <w:szCs w:val="21"/>
        </w:rPr>
      </w:pPr>
      <w:bookmarkStart w:id="477" w:name="_Toc351203637"/>
      <w:r>
        <w:rPr>
          <w:rFonts w:eastAsia="黑体"/>
          <w:bCs/>
          <w:szCs w:val="21"/>
        </w:rPr>
        <w:t>5</w:t>
      </w:r>
      <w:bookmarkEnd w:id="476"/>
      <w:bookmarkStart w:id="478" w:name="_Toc297048349"/>
      <w:bookmarkStart w:id="479" w:name="_Toc292559872"/>
      <w:bookmarkStart w:id="480" w:name="_Toc296503163"/>
      <w:bookmarkStart w:id="481" w:name="_Toc296890991"/>
      <w:bookmarkStart w:id="482" w:name="_Toc297120463"/>
      <w:bookmarkStart w:id="483" w:name="_Toc296347162"/>
      <w:bookmarkStart w:id="484" w:name="_Toc296346664"/>
      <w:bookmarkStart w:id="485" w:name="_Toc296891203"/>
      <w:bookmarkStart w:id="486" w:name="_Toc296944502"/>
      <w:bookmarkStart w:id="487" w:name="_Toc292559367"/>
      <w:r>
        <w:rPr>
          <w:rFonts w:eastAsia="黑体"/>
          <w:bCs/>
          <w:szCs w:val="21"/>
        </w:rPr>
        <w:t>. 工程质量</w:t>
      </w:r>
      <w:bookmarkEnd w:id="477"/>
    </w:p>
    <w:p>
      <w:pPr>
        <w:spacing w:line="360" w:lineRule="exact"/>
        <w:ind w:firstLine="420" w:firstLineChars="200"/>
        <w:rPr>
          <w:rFonts w:eastAsia="黑体"/>
          <w:szCs w:val="21"/>
        </w:rPr>
      </w:pPr>
      <w:r>
        <w:rPr>
          <w:rFonts w:eastAsia="黑体"/>
          <w:szCs w:val="21"/>
        </w:rPr>
        <w:t>5.1 质量要求</w:t>
      </w:r>
    </w:p>
    <w:p>
      <w:pPr>
        <w:spacing w:line="360" w:lineRule="exact"/>
        <w:ind w:firstLine="420" w:firstLineChars="200"/>
        <w:rPr>
          <w:szCs w:val="21"/>
        </w:rPr>
      </w:pPr>
      <w:r>
        <w:rPr>
          <w:szCs w:val="21"/>
        </w:rPr>
        <w:t>5</w:t>
      </w:r>
      <w:bookmarkStart w:id="488" w:name="_Toc297123496"/>
      <w:bookmarkStart w:id="489" w:name="_Toc300934949"/>
      <w:bookmarkStart w:id="490" w:name="_Toc297216155"/>
      <w:bookmarkStart w:id="491" w:name="_Toc312677997"/>
      <w:bookmarkStart w:id="492" w:name="_Toc303539106"/>
      <w:bookmarkStart w:id="493" w:name="_Toc304295527"/>
      <w:bookmarkStart w:id="494" w:name="_Toc318581164"/>
      <w:r>
        <w:rPr>
          <w:szCs w:val="21"/>
        </w:rPr>
        <w:t>.1.1 特殊质量标准和要求：</w:t>
      </w:r>
      <w:r>
        <w:rPr>
          <w:rFonts w:hint="eastAsia"/>
          <w:szCs w:val="21"/>
          <w:u w:val="single"/>
        </w:rPr>
        <w:t xml:space="preserve">/ </w:t>
      </w:r>
      <w:r>
        <w:rPr>
          <w:szCs w:val="21"/>
        </w:rPr>
        <w:t>。</w:t>
      </w:r>
    </w:p>
    <w:p>
      <w:pPr>
        <w:spacing w:line="360" w:lineRule="exact"/>
        <w:ind w:firstLine="420" w:firstLineChars="200"/>
        <w:rPr>
          <w:rFonts w:eastAsia="黑体"/>
          <w:szCs w:val="21"/>
        </w:rPr>
      </w:pPr>
      <w:r>
        <w:rPr>
          <w:szCs w:val="21"/>
        </w:rPr>
        <w:t>关于工程奖项的约定：</w:t>
      </w:r>
      <w:r>
        <w:rPr>
          <w:rFonts w:hint="eastAsia"/>
          <w:szCs w:val="21"/>
          <w:u w:val="single"/>
        </w:rPr>
        <w:t xml:space="preserve">/    </w:t>
      </w:r>
      <w:r>
        <w:rPr>
          <w:szCs w:val="21"/>
        </w:rPr>
        <w:t>。</w:t>
      </w:r>
    </w:p>
    <w:p>
      <w:pPr>
        <w:spacing w:line="360" w:lineRule="exact"/>
        <w:ind w:firstLine="420" w:firstLineChars="200"/>
        <w:rPr>
          <w:rFonts w:eastAsia="黑体"/>
          <w:szCs w:val="21"/>
        </w:rPr>
      </w:pPr>
      <w:r>
        <w:rPr>
          <w:rFonts w:eastAsia="黑体"/>
          <w:szCs w:val="21"/>
        </w:rPr>
        <w:t>5.3 隐蔽工程检查</w:t>
      </w:r>
    </w:p>
    <w:p>
      <w:pPr>
        <w:spacing w:line="360" w:lineRule="exact"/>
        <w:ind w:firstLine="420" w:firstLineChars="200"/>
        <w:rPr>
          <w:szCs w:val="21"/>
        </w:rPr>
      </w:pPr>
      <w:r>
        <w:rPr>
          <w:szCs w:val="21"/>
        </w:rPr>
        <w:t>5.3.2</w:t>
      </w:r>
      <w:r>
        <w:rPr>
          <w:rFonts w:hint="eastAsia"/>
          <w:szCs w:val="21"/>
        </w:rPr>
        <w:t>分包人</w:t>
      </w:r>
      <w:r>
        <w:rPr>
          <w:szCs w:val="21"/>
        </w:rPr>
        <w:t>提前通知监理人隐蔽工程检查的期限的约定：</w:t>
      </w:r>
      <w:r>
        <w:rPr>
          <w:rFonts w:hint="eastAsia"/>
          <w:szCs w:val="21"/>
          <w:u w:val="single"/>
        </w:rPr>
        <w:t>按合同通用条款执行</w:t>
      </w:r>
      <w:r>
        <w:rPr>
          <w:rFonts w:hint="eastAsia"/>
          <w:szCs w:val="21"/>
        </w:rPr>
        <w:t>。</w:t>
      </w:r>
    </w:p>
    <w:p>
      <w:pPr>
        <w:spacing w:line="360" w:lineRule="exact"/>
        <w:ind w:firstLine="420" w:firstLineChars="200"/>
        <w:rPr>
          <w:szCs w:val="21"/>
        </w:rPr>
      </w:pPr>
      <w:r>
        <w:rPr>
          <w:szCs w:val="21"/>
        </w:rPr>
        <w:t>监理人不能按时进行检查时，应提前</w:t>
      </w:r>
      <w:r>
        <w:rPr>
          <w:rFonts w:hint="eastAsia"/>
          <w:szCs w:val="21"/>
          <w:u w:val="single"/>
        </w:rPr>
        <w:t>24</w:t>
      </w:r>
      <w:r>
        <w:rPr>
          <w:szCs w:val="21"/>
        </w:rPr>
        <w:t>小时提交书面延期要求。</w:t>
      </w:r>
    </w:p>
    <w:p>
      <w:pPr>
        <w:spacing w:line="360" w:lineRule="exact"/>
        <w:ind w:firstLine="420" w:firstLineChars="200"/>
        <w:rPr>
          <w:rFonts w:ascii="仿宋_GB2312"/>
          <w:szCs w:val="21"/>
        </w:rPr>
      </w:pPr>
      <w:r>
        <w:rPr>
          <w:szCs w:val="21"/>
        </w:rPr>
        <w:t>关于延期最长不得超过</w:t>
      </w:r>
      <w:r>
        <w:rPr>
          <w:rFonts w:hint="eastAsia" w:ascii="仿宋_GB2312"/>
          <w:szCs w:val="21"/>
        </w:rPr>
        <w:t>：</w:t>
      </w:r>
      <w:r>
        <w:rPr>
          <w:szCs w:val="21"/>
          <w:u w:val="single"/>
        </w:rPr>
        <w:t>24</w:t>
      </w:r>
      <w:r>
        <w:rPr>
          <w:rFonts w:hint="eastAsia" w:ascii="仿宋_GB2312"/>
          <w:szCs w:val="21"/>
        </w:rPr>
        <w:t>小时，由此导致工期延误的，工期予以顺延。</w:t>
      </w:r>
    </w:p>
    <w:p>
      <w:pPr>
        <w:spacing w:line="360" w:lineRule="exact"/>
        <w:ind w:firstLine="420" w:firstLineChars="200"/>
        <w:rPr>
          <w:rFonts w:ascii="仿宋_GB2312"/>
          <w:szCs w:val="21"/>
          <w:u w:val="single"/>
        </w:rPr>
      </w:pPr>
      <w:r>
        <w:rPr>
          <w:rFonts w:hint="eastAsia" w:ascii="宋体" w:hAnsi="宋体" w:cs="宋体"/>
          <w:szCs w:val="21"/>
          <w:u w:val="single"/>
        </w:rPr>
        <w:t>重要节点的隐蔽工程验收过程、验收部位除办理纸质验收记录，分包人还应保留验收部位、验收过程、验收人员相片、影像等资料。</w:t>
      </w:r>
    </w:p>
    <w:p>
      <w:pPr>
        <w:keepNext/>
        <w:keepLines/>
        <w:spacing w:line="360" w:lineRule="exact"/>
        <w:outlineLvl w:val="3"/>
        <w:rPr>
          <w:rFonts w:eastAsia="黑体"/>
          <w:bCs/>
          <w:szCs w:val="21"/>
        </w:rPr>
      </w:pPr>
      <w:bookmarkStart w:id="495" w:name="_Toc351203638"/>
      <w:r>
        <w:rPr>
          <w:rFonts w:eastAsia="黑体"/>
          <w:bCs/>
          <w:szCs w:val="21"/>
        </w:rPr>
        <w:t>6. 安全文明施工与环境保护</w:t>
      </w:r>
      <w:bookmarkEnd w:id="495"/>
    </w:p>
    <w:p>
      <w:pPr>
        <w:spacing w:line="360" w:lineRule="exact"/>
        <w:ind w:firstLine="420" w:firstLineChars="200"/>
        <w:rPr>
          <w:rFonts w:eastAsia="黑体"/>
          <w:szCs w:val="21"/>
        </w:rPr>
      </w:pPr>
      <w:r>
        <w:rPr>
          <w:rFonts w:eastAsia="黑体"/>
          <w:szCs w:val="21"/>
        </w:rPr>
        <w:t>6.1安全文明施工</w:t>
      </w:r>
    </w:p>
    <w:p>
      <w:pPr>
        <w:spacing w:line="360" w:lineRule="exact"/>
        <w:ind w:firstLine="420" w:firstLineChars="200"/>
        <w:rPr>
          <w:szCs w:val="21"/>
        </w:rPr>
      </w:pPr>
      <w:r>
        <w:rPr>
          <w:szCs w:val="21"/>
        </w:rPr>
        <w:t>6.1.1 项目安全生产的达标目标及相应事项的约定：</w:t>
      </w:r>
      <w:r>
        <w:rPr>
          <w:rFonts w:hint="eastAsia" w:ascii="宋体" w:hAnsi="宋体" w:cs="宋体"/>
          <w:szCs w:val="21"/>
          <w:u w:val="single"/>
        </w:rPr>
        <w:t>按《浙江省建筑施工安全标准化管理规定》（浙建建〔2012〕54号），及工程所在地相关主管部门发布的有关施工现场安全文明施工（含扬尘防护、监测），门禁考勤管理，噪音、污水排放，视频监控等管理规定执行</w:t>
      </w:r>
      <w:r>
        <w:rPr>
          <w:rFonts w:hint="eastAsia" w:ascii="宋体" w:hAnsi="宋体" w:cs="宋体"/>
          <w:szCs w:val="21"/>
          <w:u w:val="single"/>
          <w:lang w:eastAsia="zh-CN"/>
        </w:rPr>
        <w:t>，配合总承包人创建浙江省建筑安全文明施工标准化工地</w:t>
      </w:r>
      <w:r>
        <w:rPr>
          <w:szCs w:val="21"/>
        </w:rPr>
        <w:t>。</w:t>
      </w:r>
    </w:p>
    <w:p>
      <w:pPr>
        <w:spacing w:line="360" w:lineRule="exact"/>
        <w:ind w:firstLine="420" w:firstLineChars="200"/>
        <w:rPr>
          <w:szCs w:val="21"/>
          <w:u w:val="single"/>
        </w:rPr>
      </w:pPr>
      <w:r>
        <w:rPr>
          <w:rFonts w:hint="eastAsia"/>
          <w:szCs w:val="21"/>
          <w:u w:val="single"/>
        </w:rPr>
        <w:t>（1）分包人在施工期间，应严格执行本市有关建设工程安全、文明施工的规定，由于管理不善引起政府有关部门罚款或责令停工整改等，其发生的费用或导致的损失应由分包人自行承担，在</w:t>
      </w:r>
      <w:r>
        <w:rPr>
          <w:rFonts w:hint="eastAsia"/>
          <w:szCs w:val="21"/>
          <w:u w:val="single"/>
          <w:lang w:val="en-US" w:eastAsia="zh-CN"/>
        </w:rPr>
        <w:t>分包人</w:t>
      </w:r>
      <w:r>
        <w:rPr>
          <w:rFonts w:hint="eastAsia"/>
          <w:szCs w:val="21"/>
          <w:u w:val="single"/>
        </w:rPr>
        <w:t>整改前发包人保留因此而缓付工程进度款的权利。</w:t>
      </w:r>
    </w:p>
    <w:p>
      <w:pPr>
        <w:spacing w:line="360" w:lineRule="exact"/>
        <w:ind w:firstLine="420" w:firstLineChars="200"/>
        <w:rPr>
          <w:szCs w:val="21"/>
        </w:rPr>
      </w:pPr>
      <w:r>
        <w:rPr>
          <w:rFonts w:hint="eastAsia"/>
          <w:szCs w:val="21"/>
          <w:u w:val="single"/>
        </w:rPr>
        <w:t>（2）分包人在施工过程中造成发包人或第三方人身、财产等损失的，由分包人承担赔偿责任。</w:t>
      </w:r>
    </w:p>
    <w:p>
      <w:pPr>
        <w:spacing w:line="360" w:lineRule="exact"/>
        <w:ind w:firstLine="420" w:firstLineChars="200"/>
        <w:rPr>
          <w:rFonts w:ascii="仿宋_GB2312"/>
          <w:szCs w:val="21"/>
        </w:rPr>
      </w:pPr>
      <w:r>
        <w:rPr>
          <w:szCs w:val="21"/>
        </w:rPr>
        <w:t>6.1.4</w:t>
      </w:r>
      <w:r>
        <w:rPr>
          <w:rFonts w:hint="eastAsia" w:ascii="仿宋_GB2312"/>
          <w:szCs w:val="21"/>
        </w:rPr>
        <w:t>关于治安保卫的特别约定：</w:t>
      </w:r>
      <w:r>
        <w:rPr>
          <w:rFonts w:hint="eastAsia" w:ascii="仿宋_GB2312"/>
          <w:szCs w:val="21"/>
          <w:u w:val="single"/>
        </w:rPr>
        <w:t>按合同通用条款</w:t>
      </w:r>
      <w:r>
        <w:rPr>
          <w:rFonts w:hint="eastAsia" w:ascii="仿宋_GB2312"/>
          <w:szCs w:val="21"/>
        </w:rPr>
        <w:t>。</w:t>
      </w:r>
    </w:p>
    <w:p>
      <w:pPr>
        <w:spacing w:line="360" w:lineRule="exact"/>
        <w:ind w:firstLine="420" w:firstLineChars="200"/>
        <w:rPr>
          <w:rFonts w:ascii="仿宋_GB2312"/>
          <w:szCs w:val="21"/>
        </w:rPr>
      </w:pPr>
      <w:r>
        <w:rPr>
          <w:rFonts w:hint="eastAsia" w:ascii="仿宋_GB2312"/>
          <w:szCs w:val="21"/>
        </w:rPr>
        <w:t>关于编制施工场地治安管理计划的约定：</w:t>
      </w:r>
      <w:r>
        <w:rPr>
          <w:rFonts w:hint="eastAsia" w:ascii="仿宋_GB2312"/>
          <w:szCs w:val="21"/>
          <w:u w:val="single"/>
        </w:rPr>
        <w:t>按合同通用条款</w:t>
      </w:r>
      <w:r>
        <w:rPr>
          <w:rFonts w:hint="eastAsia" w:ascii="仿宋_GB2312"/>
          <w:szCs w:val="21"/>
        </w:rPr>
        <w:t>。</w:t>
      </w:r>
    </w:p>
    <w:p>
      <w:pPr>
        <w:spacing w:line="360" w:lineRule="exact"/>
        <w:ind w:firstLine="420" w:firstLineChars="200"/>
        <w:rPr>
          <w:rFonts w:ascii="仿宋_GB2312"/>
          <w:szCs w:val="21"/>
        </w:rPr>
      </w:pPr>
      <w:r>
        <w:rPr>
          <w:szCs w:val="21"/>
        </w:rPr>
        <w:t xml:space="preserve">6.1.5 </w:t>
      </w:r>
      <w:r>
        <w:rPr>
          <w:rFonts w:hint="eastAsia" w:ascii="仿宋_GB2312"/>
          <w:szCs w:val="21"/>
        </w:rPr>
        <w:t>文明施工</w:t>
      </w:r>
    </w:p>
    <w:p>
      <w:pPr>
        <w:spacing w:line="360" w:lineRule="exact"/>
        <w:ind w:firstLine="420" w:firstLineChars="200"/>
        <w:rPr>
          <w:rFonts w:ascii="仿宋_GB2312"/>
          <w:szCs w:val="21"/>
        </w:rPr>
      </w:pPr>
      <w:r>
        <w:rPr>
          <w:rFonts w:hint="eastAsia" w:ascii="仿宋_GB2312"/>
          <w:szCs w:val="21"/>
        </w:rPr>
        <w:t>合同当事人对文明施工的要求：</w:t>
      </w:r>
      <w:r>
        <w:rPr>
          <w:rFonts w:hint="eastAsia" w:ascii="新宋体" w:hAnsi="新宋体" w:eastAsia="新宋体" w:cs="新宋体"/>
          <w:szCs w:val="21"/>
          <w:u w:val="single"/>
        </w:rPr>
        <w:t>按省、市发有关文明施工管理规定执行</w:t>
      </w:r>
      <w:r>
        <w:rPr>
          <w:rFonts w:hint="eastAsia" w:ascii="新宋体" w:hAnsi="新宋体" w:eastAsia="新宋体" w:cs="新宋体"/>
          <w:szCs w:val="21"/>
          <w:u w:val="single"/>
          <w:lang w:eastAsia="zh-CN"/>
        </w:rPr>
        <w:t>，配合总承包人创建浙江省建筑安全文明施工标准化工地</w:t>
      </w:r>
      <w:r>
        <w:rPr>
          <w:rFonts w:hint="eastAsia" w:ascii="新宋体" w:hAnsi="新宋体" w:eastAsia="新宋体" w:cs="新宋体"/>
          <w:szCs w:val="21"/>
          <w:u w:val="single"/>
        </w:rPr>
        <w:t>。</w:t>
      </w:r>
      <w:r>
        <w:rPr>
          <w:rFonts w:hint="eastAsia" w:ascii="仿宋_GB2312"/>
          <w:szCs w:val="21"/>
          <w:u w:val="single"/>
        </w:rPr>
        <w:t>施工过程中，在市、县政府或有关部门组织的检查中因安全生产文明施工被通报批评的，每次违约金按安全文明施工费下限的10%处罚</w:t>
      </w:r>
      <w:r>
        <w:rPr>
          <w:rFonts w:hint="eastAsia" w:ascii="仿宋_GB2312"/>
          <w:szCs w:val="21"/>
        </w:rPr>
        <w:t>。</w:t>
      </w:r>
      <w:r>
        <w:rPr>
          <w:rFonts w:hint="eastAsia" w:ascii="仿宋_GB2312"/>
          <w:szCs w:val="21"/>
          <w:u w:val="single"/>
        </w:rPr>
        <w:t>由此引起的相关费用已由分包人在投标报价时综合考虑，并已包含在合同价内，不再另行计取。</w:t>
      </w:r>
    </w:p>
    <w:p>
      <w:pPr>
        <w:spacing w:line="360" w:lineRule="exact"/>
        <w:ind w:firstLine="420" w:firstLineChars="200"/>
        <w:rPr>
          <w:rFonts w:ascii="宋体" w:hAnsi="宋体" w:cs="宋体"/>
          <w:szCs w:val="21"/>
          <w:u w:val="single"/>
        </w:rPr>
      </w:pPr>
      <w:r>
        <w:rPr>
          <w:szCs w:val="21"/>
        </w:rPr>
        <w:t xml:space="preserve">6.1.6 </w:t>
      </w:r>
      <w:r>
        <w:rPr>
          <w:rFonts w:hint="eastAsia" w:ascii="仿宋_GB2312"/>
          <w:szCs w:val="21"/>
        </w:rPr>
        <w:t>关于安全文明施工费支付比例和支付期限的约定：</w:t>
      </w:r>
      <w:r>
        <w:rPr>
          <w:rFonts w:hint="eastAsia" w:ascii="宋体" w:hAnsi="宋体" w:cs="宋体"/>
          <w:szCs w:val="21"/>
          <w:u w:val="single"/>
        </w:rPr>
        <w:t>安全文明施工费预付费用不包含在工程预付款内，与工程预付款一并支付，预付比例为安全文明施工费（不含创标化工地增加费）总额的30%，金额为（    ）元。安全文明施工费在第一期工程进度款支付时一次性扣回，后续与进度款同期支付。安全文明施工费分包人应专款专用，在财务账目中应单独列项</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u w:val="single"/>
        </w:rPr>
        <w:t>安全文明施工费包含在合同价内。分包人经发包人同意采取合同约定以外的安全措施所产生的费用，由发、分包人协商处理；未经发包人同意，发包人可不承担由此增加费用。</w:t>
      </w:r>
    </w:p>
    <w:bookmarkEnd w:id="488"/>
    <w:bookmarkEnd w:id="489"/>
    <w:bookmarkEnd w:id="490"/>
    <w:bookmarkEnd w:id="491"/>
    <w:bookmarkEnd w:id="492"/>
    <w:bookmarkEnd w:id="493"/>
    <w:bookmarkEnd w:id="494"/>
    <w:p>
      <w:pPr>
        <w:keepNext/>
        <w:keepLines/>
        <w:spacing w:line="360" w:lineRule="exact"/>
        <w:outlineLvl w:val="3"/>
        <w:rPr>
          <w:rFonts w:eastAsia="黑体"/>
          <w:bCs/>
          <w:szCs w:val="21"/>
        </w:rPr>
      </w:pPr>
      <w:bookmarkStart w:id="496" w:name="_Toc351203639"/>
      <w:r>
        <w:rPr>
          <w:rFonts w:eastAsia="黑体"/>
          <w:bCs/>
          <w:szCs w:val="21"/>
        </w:rPr>
        <w:t>7. 工期和进度</w:t>
      </w:r>
      <w:bookmarkEnd w:id="496"/>
    </w:p>
    <w:p>
      <w:pPr>
        <w:spacing w:line="360" w:lineRule="exact"/>
        <w:ind w:firstLine="420" w:firstLineChars="200"/>
        <w:rPr>
          <w:rFonts w:eastAsia="黑体"/>
          <w:szCs w:val="21"/>
        </w:rPr>
      </w:pPr>
      <w:r>
        <w:rPr>
          <w:rFonts w:eastAsia="黑体"/>
          <w:szCs w:val="21"/>
        </w:rPr>
        <w:t>7.1 施工组织设计</w:t>
      </w:r>
    </w:p>
    <w:p>
      <w:pPr>
        <w:autoSpaceDE w:val="0"/>
        <w:autoSpaceDN w:val="0"/>
        <w:adjustRightInd w:val="0"/>
        <w:spacing w:line="360" w:lineRule="exact"/>
        <w:ind w:firstLine="420" w:firstLineChars="200"/>
        <w:rPr>
          <w:szCs w:val="21"/>
          <w:u w:val="single"/>
        </w:rPr>
      </w:pPr>
      <w:r>
        <w:rPr>
          <w:szCs w:val="21"/>
        </w:rPr>
        <w:t>7.1.</w:t>
      </w:r>
      <w:r>
        <w:rPr>
          <w:rFonts w:hint="eastAsia"/>
          <w:szCs w:val="21"/>
        </w:rPr>
        <w:t>1 合</w:t>
      </w:r>
      <w:r>
        <w:rPr>
          <w:rFonts w:hint="eastAsia"/>
          <w:kern w:val="0"/>
          <w:szCs w:val="21"/>
        </w:rPr>
        <w:t>同当事人约定的</w:t>
      </w:r>
      <w:r>
        <w:rPr>
          <w:kern w:val="0"/>
          <w:szCs w:val="21"/>
        </w:rPr>
        <w:t>施工组织设计</w:t>
      </w:r>
      <w:r>
        <w:rPr>
          <w:rFonts w:hint="eastAsia"/>
          <w:kern w:val="0"/>
          <w:szCs w:val="21"/>
        </w:rPr>
        <w:t>应包括的其他内容</w:t>
      </w:r>
      <w:r>
        <w:rPr>
          <w:kern w:val="0"/>
          <w:szCs w:val="21"/>
        </w:rPr>
        <w:t>：</w:t>
      </w:r>
      <w:r>
        <w:rPr>
          <w:rFonts w:hint="eastAsia"/>
          <w:szCs w:val="21"/>
          <w:u w:val="single"/>
        </w:rPr>
        <w:t>对特殊工艺施工、危险性较大分部分项工程施工（如基坑支护方案、高大支模架方案、外墙悬挑架等专项施工方案）应按规定办理审批手续和按当地建设行政主管部门要求组织专家论证</w:t>
      </w:r>
      <w:r>
        <w:rPr>
          <w:rFonts w:hint="eastAsia" w:ascii="宋体" w:hAnsi="宋体" w:cs="宋体"/>
          <w:szCs w:val="21"/>
          <w:u w:val="single"/>
        </w:rPr>
        <w:t>及办理审批手续</w:t>
      </w:r>
      <w:r>
        <w:rPr>
          <w:rFonts w:hint="eastAsia"/>
          <w:szCs w:val="21"/>
          <w:u w:val="single"/>
        </w:rPr>
        <w:t>。</w:t>
      </w:r>
    </w:p>
    <w:p>
      <w:pPr>
        <w:autoSpaceDE w:val="0"/>
        <w:autoSpaceDN w:val="0"/>
        <w:adjustRightInd w:val="0"/>
        <w:spacing w:line="360" w:lineRule="exact"/>
        <w:ind w:firstLine="420" w:firstLineChars="200"/>
        <w:rPr>
          <w:szCs w:val="21"/>
          <w:u w:val="single"/>
        </w:rPr>
      </w:pPr>
      <w:r>
        <w:rPr>
          <w:rFonts w:hint="eastAsia"/>
          <w:szCs w:val="21"/>
          <w:u w:val="single"/>
        </w:rPr>
        <w:t>监理人、发包人对施工组织设计、专项施工方案的批准，仅表示对施工技术方案的认可；如构成工程变更或者涉及工程价款调整的，分包人应在提交的审批表中载明，并同时提交工程造价文件，经监理人、发包人审批后作为结算依据（注：政府性投资项目，应按当地政府规定的项目变更办理程序办理）。</w:t>
      </w:r>
    </w:p>
    <w:p>
      <w:pPr>
        <w:autoSpaceDE w:val="0"/>
        <w:autoSpaceDN w:val="0"/>
        <w:adjustRightInd w:val="0"/>
        <w:spacing w:line="360" w:lineRule="exact"/>
        <w:ind w:firstLine="420" w:firstLineChars="200"/>
        <w:rPr>
          <w:kern w:val="0"/>
          <w:szCs w:val="21"/>
        </w:rPr>
      </w:pPr>
      <w:r>
        <w:rPr>
          <w:szCs w:val="21"/>
        </w:rPr>
        <w:t xml:space="preserve">7.1.2 </w:t>
      </w:r>
      <w:r>
        <w:rPr>
          <w:kern w:val="0"/>
          <w:szCs w:val="21"/>
        </w:rPr>
        <w:t>施工组织设计的提交和修改</w:t>
      </w:r>
    </w:p>
    <w:p>
      <w:pPr>
        <w:autoSpaceDE w:val="0"/>
        <w:autoSpaceDN w:val="0"/>
        <w:adjustRightInd w:val="0"/>
        <w:spacing w:line="360" w:lineRule="exact"/>
        <w:ind w:firstLine="420" w:firstLineChars="200"/>
        <w:rPr>
          <w:szCs w:val="21"/>
        </w:rPr>
      </w:pPr>
      <w:r>
        <w:rPr>
          <w:rFonts w:hint="eastAsia"/>
          <w:kern w:val="0"/>
          <w:szCs w:val="21"/>
        </w:rPr>
        <w:t>分包人</w:t>
      </w:r>
      <w:r>
        <w:rPr>
          <w:kern w:val="0"/>
          <w:szCs w:val="21"/>
        </w:rPr>
        <w:t>提交详细施工组织设计的期限的约定：</w:t>
      </w:r>
      <w:r>
        <w:rPr>
          <w:rFonts w:hint="eastAsia"/>
          <w:szCs w:val="21"/>
          <w:u w:val="single"/>
        </w:rPr>
        <w:t>接到开工通知（或确定开工日期）后7天内，专项施工方案在相应部位施工前7天。</w:t>
      </w:r>
      <w:r>
        <w:rPr>
          <w:rFonts w:hint="eastAsia" w:ascii="仿宋_GB2312"/>
          <w:szCs w:val="21"/>
          <w:u w:val="single"/>
        </w:rPr>
        <w:t>发</w:t>
      </w:r>
      <w:r>
        <w:rPr>
          <w:rFonts w:hint="eastAsia" w:ascii="仿宋_GB2312" w:hAnsi="宋体"/>
          <w:szCs w:val="21"/>
          <w:u w:val="single"/>
        </w:rPr>
        <w:t>包人对分包人的施工组织设计（或方案）提出质疑和合理修正时，分包人应7天内提供修正完成并重新提交；每月</w:t>
      </w:r>
      <w:r>
        <w:rPr>
          <w:szCs w:val="21"/>
          <w:u w:val="single"/>
        </w:rPr>
        <w:t>20</w:t>
      </w:r>
      <w:r>
        <w:rPr>
          <w:rFonts w:hint="eastAsia" w:ascii="仿宋_GB2312" w:hAnsi="宋体"/>
          <w:szCs w:val="21"/>
          <w:u w:val="single"/>
        </w:rPr>
        <w:t>日前向发包方提交下一月进度计划和施工方案</w:t>
      </w:r>
      <w:r>
        <w:rPr>
          <w:szCs w:val="21"/>
        </w:rPr>
        <w:t>；</w:t>
      </w:r>
    </w:p>
    <w:p>
      <w:pPr>
        <w:spacing w:line="360" w:lineRule="exact"/>
        <w:ind w:firstLine="420" w:firstLineChars="200"/>
        <w:rPr>
          <w:szCs w:val="21"/>
        </w:rPr>
      </w:pPr>
      <w:r>
        <w:rPr>
          <w:szCs w:val="21"/>
        </w:rPr>
        <w:t>发包人和监理人在收到</w:t>
      </w:r>
      <w:r>
        <w:rPr>
          <w:rFonts w:hint="eastAsia"/>
          <w:szCs w:val="21"/>
        </w:rPr>
        <w:t>详细的施工组织设计</w:t>
      </w:r>
      <w:r>
        <w:rPr>
          <w:szCs w:val="21"/>
        </w:rPr>
        <w:t>后确认或提出修改意见的期限：</w:t>
      </w:r>
      <w:r>
        <w:rPr>
          <w:rFonts w:hint="eastAsia"/>
          <w:szCs w:val="21"/>
          <w:u w:val="single"/>
        </w:rPr>
        <w:t>收到相应文件后7天内</w:t>
      </w:r>
      <w:r>
        <w:rPr>
          <w:szCs w:val="21"/>
        </w:rPr>
        <w:t>。</w:t>
      </w:r>
    </w:p>
    <w:p>
      <w:pPr>
        <w:spacing w:line="360" w:lineRule="exact"/>
        <w:ind w:firstLine="420" w:firstLineChars="200"/>
        <w:rPr>
          <w:rFonts w:eastAsia="黑体"/>
          <w:szCs w:val="21"/>
        </w:rPr>
      </w:pPr>
      <w:r>
        <w:rPr>
          <w:rFonts w:eastAsia="黑体"/>
          <w:szCs w:val="21"/>
        </w:rPr>
        <w:t>7</w:t>
      </w:r>
      <w:bookmarkStart w:id="497" w:name="_Toc303539123"/>
      <w:bookmarkStart w:id="498" w:name="_Toc297123514"/>
      <w:bookmarkStart w:id="499" w:name="_Toc297216173"/>
      <w:bookmarkStart w:id="500" w:name="_Toc312678005"/>
      <w:bookmarkStart w:id="501" w:name="_Toc300934966"/>
      <w:bookmarkStart w:id="502" w:name="_Toc304295541"/>
      <w:bookmarkStart w:id="503" w:name="_Toc312677479"/>
      <w:r>
        <w:rPr>
          <w:rFonts w:eastAsia="黑体"/>
          <w:szCs w:val="21"/>
        </w:rPr>
        <w:t>.2 施工进度计划</w:t>
      </w:r>
    </w:p>
    <w:p>
      <w:pPr>
        <w:spacing w:line="360" w:lineRule="exact"/>
        <w:ind w:firstLine="420" w:firstLineChars="200"/>
        <w:rPr>
          <w:szCs w:val="21"/>
        </w:rPr>
      </w:pPr>
      <w:r>
        <w:rPr>
          <w:szCs w:val="21"/>
        </w:rPr>
        <w:t>7.2.2 施工进度计划的修订</w:t>
      </w:r>
    </w:p>
    <w:p>
      <w:pPr>
        <w:spacing w:line="360" w:lineRule="exact"/>
        <w:ind w:firstLine="420" w:firstLineChars="200"/>
        <w:rPr>
          <w:rFonts w:ascii="仿宋_GB2312"/>
          <w:szCs w:val="21"/>
        </w:rPr>
      </w:pPr>
      <w:r>
        <w:rPr>
          <w:szCs w:val="21"/>
        </w:rPr>
        <w:t>发包人和监理人在收到修订的施工进度计划后确认或提出修改意见的期限：</w:t>
      </w:r>
      <w:r>
        <w:rPr>
          <w:rFonts w:hint="eastAsia" w:ascii="仿宋_GB2312"/>
          <w:szCs w:val="21"/>
          <w:u w:val="single"/>
        </w:rPr>
        <w:t>收到相应文件后</w:t>
      </w:r>
      <w:r>
        <w:rPr>
          <w:szCs w:val="21"/>
          <w:u w:val="single"/>
        </w:rPr>
        <w:t>7</w:t>
      </w:r>
      <w:r>
        <w:rPr>
          <w:rFonts w:hint="eastAsia" w:ascii="仿宋_GB2312"/>
          <w:szCs w:val="21"/>
          <w:u w:val="single"/>
        </w:rPr>
        <w:t>天内</w:t>
      </w:r>
      <w:r>
        <w:rPr>
          <w:rFonts w:hint="eastAsia" w:ascii="仿宋_GB2312"/>
          <w:szCs w:val="21"/>
        </w:rPr>
        <w:t>。</w:t>
      </w:r>
    </w:p>
    <w:p>
      <w:pPr>
        <w:spacing w:line="360" w:lineRule="exact"/>
        <w:ind w:firstLine="420" w:firstLineChars="200"/>
        <w:rPr>
          <w:rFonts w:eastAsia="黑体"/>
          <w:szCs w:val="21"/>
        </w:rPr>
      </w:pPr>
      <w:r>
        <w:rPr>
          <w:rFonts w:eastAsia="黑体"/>
          <w:szCs w:val="21"/>
        </w:rPr>
        <w:t>7.3 开工</w:t>
      </w:r>
    </w:p>
    <w:p>
      <w:pPr>
        <w:spacing w:line="360" w:lineRule="exact"/>
        <w:ind w:firstLine="420" w:firstLineChars="200"/>
        <w:rPr>
          <w:szCs w:val="21"/>
        </w:rPr>
      </w:pPr>
      <w:r>
        <w:rPr>
          <w:szCs w:val="21"/>
        </w:rPr>
        <w:t>7.3.1 开工准备</w:t>
      </w:r>
    </w:p>
    <w:p>
      <w:pPr>
        <w:spacing w:line="360" w:lineRule="exact"/>
        <w:ind w:firstLine="420" w:firstLineChars="200"/>
        <w:rPr>
          <w:szCs w:val="21"/>
          <w:u w:val="single"/>
        </w:rPr>
      </w:pPr>
      <w:r>
        <w:rPr>
          <w:szCs w:val="21"/>
        </w:rPr>
        <w:t>关于</w:t>
      </w:r>
      <w:r>
        <w:rPr>
          <w:rFonts w:hint="eastAsia"/>
          <w:szCs w:val="21"/>
        </w:rPr>
        <w:t>分包人</w:t>
      </w:r>
      <w:r>
        <w:rPr>
          <w:szCs w:val="21"/>
        </w:rPr>
        <w:t>提交</w:t>
      </w:r>
      <w:r>
        <w:rPr>
          <w:kern w:val="0"/>
          <w:szCs w:val="21"/>
        </w:rPr>
        <w:t>工程开工报审表的期限：</w:t>
      </w:r>
      <w:r>
        <w:rPr>
          <w:rFonts w:hint="eastAsia"/>
          <w:szCs w:val="21"/>
          <w:u w:val="single"/>
        </w:rPr>
        <w:t>接到开工通知（或确定开工日期）后7天内</w:t>
      </w:r>
      <w:r>
        <w:rPr>
          <w:szCs w:val="21"/>
        </w:rPr>
        <w:t>。</w:t>
      </w:r>
    </w:p>
    <w:p>
      <w:pPr>
        <w:spacing w:line="360" w:lineRule="exact"/>
        <w:ind w:firstLine="420" w:firstLineChars="200"/>
        <w:rPr>
          <w:szCs w:val="21"/>
        </w:rPr>
      </w:pPr>
      <w:r>
        <w:rPr>
          <w:szCs w:val="21"/>
        </w:rPr>
        <w:t>关于发包人应完成的其他开工准备工作及期限：</w:t>
      </w:r>
      <w:r>
        <w:rPr>
          <w:rFonts w:hint="eastAsia"/>
          <w:szCs w:val="21"/>
          <w:u w:val="single"/>
        </w:rPr>
        <w:t>开工前7天</w:t>
      </w:r>
      <w:r>
        <w:rPr>
          <w:szCs w:val="21"/>
        </w:rPr>
        <w:t>。</w:t>
      </w:r>
    </w:p>
    <w:p>
      <w:pPr>
        <w:spacing w:line="360" w:lineRule="exact"/>
        <w:ind w:firstLine="420" w:firstLineChars="200"/>
        <w:rPr>
          <w:szCs w:val="21"/>
        </w:rPr>
      </w:pPr>
      <w:r>
        <w:rPr>
          <w:szCs w:val="21"/>
        </w:rPr>
        <w:t>关于</w:t>
      </w:r>
      <w:r>
        <w:rPr>
          <w:rFonts w:hint="eastAsia"/>
          <w:szCs w:val="21"/>
        </w:rPr>
        <w:t>分包人</w:t>
      </w:r>
      <w:r>
        <w:rPr>
          <w:szCs w:val="21"/>
        </w:rPr>
        <w:t>应完成的其他开工准备工作及期限：</w:t>
      </w:r>
      <w:r>
        <w:rPr>
          <w:rFonts w:hint="eastAsia"/>
          <w:szCs w:val="21"/>
          <w:u w:val="single"/>
        </w:rPr>
        <w:t>开工前。</w:t>
      </w:r>
    </w:p>
    <w:p>
      <w:pPr>
        <w:spacing w:line="360" w:lineRule="exact"/>
        <w:ind w:firstLine="420" w:firstLineChars="200"/>
        <w:rPr>
          <w:szCs w:val="21"/>
        </w:rPr>
      </w:pPr>
      <w:r>
        <w:rPr>
          <w:szCs w:val="21"/>
        </w:rPr>
        <w:t>7.3.2开工通知</w:t>
      </w:r>
    </w:p>
    <w:p>
      <w:pPr>
        <w:spacing w:line="360" w:lineRule="exact"/>
        <w:ind w:firstLine="420" w:firstLineChars="200"/>
        <w:rPr>
          <w:szCs w:val="21"/>
        </w:rPr>
      </w:pPr>
      <w:r>
        <w:rPr>
          <w:rFonts w:hint="eastAsia"/>
          <w:szCs w:val="21"/>
        </w:rPr>
        <w:t>发包人（或监理人）在计划开工日期前7天向分包人发出开工通知，工期自开工通知中载明的开工日期起算。</w:t>
      </w:r>
    </w:p>
    <w:p>
      <w:pPr>
        <w:spacing w:line="360" w:lineRule="exact"/>
        <w:ind w:firstLine="420" w:firstLineChars="200"/>
        <w:rPr>
          <w:rFonts w:ascii="仿宋_GB2312"/>
          <w:szCs w:val="21"/>
        </w:rPr>
      </w:pPr>
      <w:r>
        <w:rPr>
          <w:rFonts w:hint="eastAsia" w:ascii="仿宋_GB2312"/>
          <w:szCs w:val="21"/>
        </w:rPr>
        <w:t>因发包人原因造成监理人未能在计划开工日期之日起</w:t>
      </w:r>
      <w:r>
        <w:rPr>
          <w:rFonts w:hint="eastAsia" w:ascii="仿宋_GB2312"/>
          <w:szCs w:val="21"/>
          <w:u w:val="single"/>
        </w:rPr>
        <w:t>90</w:t>
      </w:r>
      <w:r>
        <w:rPr>
          <w:rFonts w:hint="eastAsia" w:ascii="仿宋_GB2312"/>
          <w:szCs w:val="21"/>
        </w:rPr>
        <w:t>天内发出开工通知的，分包人有权提出价格调整要求，或者解除合同。发包人应当承担由此增加的费用或赔偿分包人的损失。</w:t>
      </w:r>
    </w:p>
    <w:bookmarkEnd w:id="497"/>
    <w:bookmarkEnd w:id="498"/>
    <w:bookmarkEnd w:id="499"/>
    <w:bookmarkEnd w:id="500"/>
    <w:bookmarkEnd w:id="501"/>
    <w:bookmarkEnd w:id="502"/>
    <w:bookmarkEnd w:id="503"/>
    <w:p>
      <w:pPr>
        <w:spacing w:line="360" w:lineRule="exact"/>
        <w:ind w:firstLine="420" w:firstLineChars="200"/>
        <w:rPr>
          <w:rFonts w:eastAsia="黑体"/>
          <w:szCs w:val="21"/>
        </w:rPr>
      </w:pPr>
      <w:r>
        <w:rPr>
          <w:rFonts w:eastAsia="黑体"/>
          <w:szCs w:val="21"/>
        </w:rPr>
        <w:t>7.4 测量放线</w:t>
      </w:r>
    </w:p>
    <w:p>
      <w:pPr>
        <w:spacing w:line="360" w:lineRule="exact"/>
        <w:ind w:firstLine="420" w:firstLineChars="200"/>
        <w:rPr>
          <w:szCs w:val="21"/>
          <w:u w:val="single"/>
        </w:rPr>
      </w:pPr>
      <w:r>
        <w:rPr>
          <w:szCs w:val="21"/>
        </w:rPr>
        <w:t>7.4.1发包人通过监理人向</w:t>
      </w:r>
      <w:r>
        <w:rPr>
          <w:rFonts w:hint="eastAsia"/>
          <w:szCs w:val="21"/>
        </w:rPr>
        <w:t>分包人</w:t>
      </w:r>
      <w:r>
        <w:rPr>
          <w:szCs w:val="21"/>
        </w:rPr>
        <w:t>提供测量基准点、基准线和水准点及其书面资料的期限：</w:t>
      </w:r>
      <w:r>
        <w:rPr>
          <w:rFonts w:hint="eastAsia"/>
          <w:szCs w:val="21"/>
          <w:u w:val="single"/>
        </w:rPr>
        <w:t>按合同通用条款执行</w:t>
      </w:r>
      <w:r>
        <w:rPr>
          <w:szCs w:val="21"/>
        </w:rPr>
        <w:t>。</w:t>
      </w:r>
    </w:p>
    <w:p>
      <w:pPr>
        <w:spacing w:line="360" w:lineRule="exact"/>
        <w:ind w:firstLine="420" w:firstLineChars="200"/>
        <w:rPr>
          <w:rFonts w:eastAsia="黑体"/>
          <w:szCs w:val="21"/>
        </w:rPr>
      </w:pPr>
      <w:r>
        <w:rPr>
          <w:rFonts w:eastAsia="黑体"/>
          <w:szCs w:val="21"/>
        </w:rPr>
        <w:t>7</w:t>
      </w:r>
      <w:bookmarkStart w:id="504" w:name="_Toc303539125"/>
      <w:bookmarkStart w:id="505" w:name="_Toc312678010"/>
      <w:bookmarkStart w:id="506" w:name="_Toc297123516"/>
      <w:bookmarkStart w:id="507" w:name="_Toc297216175"/>
      <w:bookmarkStart w:id="508" w:name="_Toc304295546"/>
      <w:bookmarkStart w:id="509" w:name="_Toc312677484"/>
      <w:bookmarkStart w:id="510" w:name="_Toc300934968"/>
      <w:r>
        <w:rPr>
          <w:rFonts w:eastAsia="黑体"/>
          <w:szCs w:val="21"/>
        </w:rPr>
        <w:t>.5 工期延误</w:t>
      </w:r>
    </w:p>
    <w:bookmarkEnd w:id="504"/>
    <w:bookmarkEnd w:id="505"/>
    <w:bookmarkEnd w:id="506"/>
    <w:bookmarkEnd w:id="507"/>
    <w:bookmarkEnd w:id="508"/>
    <w:bookmarkEnd w:id="509"/>
    <w:bookmarkEnd w:id="510"/>
    <w:p>
      <w:pPr>
        <w:spacing w:line="360" w:lineRule="exact"/>
        <w:ind w:firstLine="420" w:firstLineChars="200"/>
        <w:rPr>
          <w:szCs w:val="21"/>
        </w:rPr>
      </w:pPr>
      <w:bookmarkStart w:id="511" w:name="_Toc312678014"/>
      <w:bookmarkStart w:id="512" w:name="_Toc318581171"/>
      <w:r>
        <w:rPr>
          <w:szCs w:val="21"/>
        </w:rPr>
        <w:t>7.5.1 因发包人原因导致工期延误</w:t>
      </w:r>
    </w:p>
    <w:p>
      <w:pPr>
        <w:spacing w:line="360" w:lineRule="exact"/>
        <w:ind w:firstLine="945" w:firstLineChars="450"/>
        <w:rPr>
          <w:szCs w:val="21"/>
          <w:u w:val="single"/>
        </w:rPr>
      </w:pPr>
      <w:r>
        <w:rPr>
          <w:szCs w:val="21"/>
        </w:rPr>
        <w:t>因发包人原因导致工期延误的其他情形：</w:t>
      </w:r>
      <w:r>
        <w:rPr>
          <w:rFonts w:hint="eastAsia" w:ascii="新宋体" w:hAnsi="新宋体" w:eastAsia="新宋体" w:cs="新宋体"/>
          <w:szCs w:val="21"/>
          <w:u w:val="single"/>
        </w:rPr>
        <w:t>按通用条款执行</w:t>
      </w:r>
      <w:r>
        <w:rPr>
          <w:rFonts w:hint="eastAsia" w:ascii="宋体" w:hAnsi="宋体"/>
          <w:szCs w:val="21"/>
        </w:rPr>
        <w:t>。</w:t>
      </w:r>
    </w:p>
    <w:p>
      <w:pPr>
        <w:spacing w:line="360" w:lineRule="exact"/>
        <w:ind w:firstLine="420" w:firstLineChars="200"/>
        <w:rPr>
          <w:szCs w:val="21"/>
        </w:rPr>
      </w:pPr>
      <w:r>
        <w:rPr>
          <w:szCs w:val="21"/>
        </w:rPr>
        <w:t>7.5.2 因</w:t>
      </w:r>
      <w:r>
        <w:rPr>
          <w:rFonts w:hint="eastAsia"/>
          <w:szCs w:val="21"/>
        </w:rPr>
        <w:t>分包人</w:t>
      </w:r>
      <w:r>
        <w:rPr>
          <w:szCs w:val="21"/>
        </w:rPr>
        <w:t>原因导致工期延误</w:t>
      </w:r>
    </w:p>
    <w:p>
      <w:pPr>
        <w:spacing w:line="360" w:lineRule="exact"/>
        <w:ind w:firstLine="420" w:firstLineChars="200"/>
        <w:rPr>
          <w:szCs w:val="21"/>
          <w:u w:val="single"/>
        </w:rPr>
      </w:pPr>
      <w:r>
        <w:rPr>
          <w:szCs w:val="21"/>
        </w:rPr>
        <w:t>因</w:t>
      </w:r>
      <w:r>
        <w:rPr>
          <w:rFonts w:hint="eastAsia"/>
          <w:szCs w:val="21"/>
        </w:rPr>
        <w:t>分包人</w:t>
      </w:r>
      <w:r>
        <w:rPr>
          <w:szCs w:val="21"/>
        </w:rPr>
        <w:t>原因造成工期延误，逾期竣工违约金的计算方法为</w:t>
      </w:r>
      <w:r>
        <w:rPr>
          <w:rFonts w:hint="eastAsia"/>
          <w:szCs w:val="21"/>
        </w:rPr>
        <w:t>：</w:t>
      </w:r>
      <w:r>
        <w:rPr>
          <w:rFonts w:hint="eastAsia"/>
          <w:szCs w:val="21"/>
          <w:u w:val="single"/>
        </w:rPr>
        <w:t>每天〔5000〕元；</w:t>
      </w:r>
    </w:p>
    <w:p>
      <w:pPr>
        <w:spacing w:line="360" w:lineRule="exact"/>
        <w:ind w:firstLine="420" w:firstLineChars="200"/>
        <w:rPr>
          <w:szCs w:val="21"/>
        </w:rPr>
      </w:pPr>
      <w:r>
        <w:rPr>
          <w:rFonts w:hint="eastAsia"/>
          <w:szCs w:val="21"/>
        </w:rPr>
        <w:t>因分包人原因造成工期延误，逾期竣工违约金的上限：</w:t>
      </w:r>
      <w:r>
        <w:rPr>
          <w:rFonts w:hint="eastAsia" w:ascii="宋体" w:hAnsi="宋体" w:cs="宋体"/>
          <w:szCs w:val="21"/>
          <w:u w:val="single"/>
        </w:rPr>
        <w:t>履约保证金额度</w:t>
      </w:r>
      <w:r>
        <w:rPr>
          <w:rFonts w:hint="eastAsia" w:ascii="宋体" w:hAnsi="宋体" w:cs="宋体"/>
          <w:szCs w:val="21"/>
          <w:u w:val="single"/>
          <w:lang w:eastAsia="zh-CN"/>
        </w:rPr>
        <w:t>。</w:t>
      </w:r>
      <w:r>
        <w:rPr>
          <w:rFonts w:hint="eastAsia" w:ascii="宋体" w:hAnsi="宋体" w:cs="宋体"/>
          <w:szCs w:val="21"/>
          <w:u w:val="single"/>
          <w:lang w:val="en-US" w:eastAsia="zh-CN"/>
        </w:rPr>
        <w:t>若</w:t>
      </w:r>
      <w:r>
        <w:rPr>
          <w:rFonts w:hint="eastAsia" w:ascii="宋体" w:hAnsi="宋体" w:cs="宋体"/>
          <w:szCs w:val="21"/>
          <w:u w:val="single"/>
        </w:rPr>
        <w:t>对发包人造成损失超过违约金的，</w:t>
      </w:r>
      <w:r>
        <w:rPr>
          <w:rFonts w:hint="eastAsia" w:ascii="宋体" w:hAnsi="宋体" w:cs="宋体"/>
          <w:szCs w:val="21"/>
          <w:u w:val="single"/>
          <w:lang w:val="en-US" w:eastAsia="zh-CN"/>
        </w:rPr>
        <w:t>分包人还应继续赔偿，直至补足</w:t>
      </w:r>
      <w:r>
        <w:rPr>
          <w:rFonts w:hint="eastAsia" w:ascii="宋体" w:hAnsi="宋体" w:cs="宋体"/>
          <w:szCs w:val="21"/>
          <w:u w:val="single"/>
        </w:rPr>
        <w:t>发包人损失（包括但不限于律师费、鉴定评估费、保全保险费等费用）</w:t>
      </w:r>
      <w:r>
        <w:rPr>
          <w:szCs w:val="21"/>
        </w:rPr>
        <w:t>。</w:t>
      </w:r>
    </w:p>
    <w:bookmarkEnd w:id="511"/>
    <w:bookmarkEnd w:id="512"/>
    <w:p>
      <w:pPr>
        <w:spacing w:line="360" w:lineRule="exact"/>
        <w:ind w:firstLine="420" w:firstLineChars="200"/>
        <w:rPr>
          <w:rFonts w:eastAsia="黑体"/>
          <w:szCs w:val="21"/>
        </w:rPr>
      </w:pPr>
      <w:r>
        <w:rPr>
          <w:rFonts w:eastAsia="黑体"/>
          <w:szCs w:val="21"/>
        </w:rPr>
        <w:t>7</w:t>
      </w:r>
      <w:bookmarkStart w:id="513" w:name="_Toc312678015"/>
      <w:bookmarkStart w:id="514" w:name="_Toc297216178"/>
      <w:bookmarkStart w:id="515" w:name="_Toc300934971"/>
      <w:bookmarkStart w:id="516" w:name="_Toc303539128"/>
      <w:bookmarkStart w:id="517" w:name="_Toc297123519"/>
      <w:bookmarkStart w:id="518" w:name="_Toc304295549"/>
      <w:r>
        <w:rPr>
          <w:rFonts w:eastAsia="黑体"/>
          <w:szCs w:val="21"/>
        </w:rPr>
        <w:t>.6 不</w:t>
      </w:r>
      <w:bookmarkEnd w:id="513"/>
      <w:bookmarkEnd w:id="514"/>
      <w:bookmarkEnd w:id="515"/>
      <w:bookmarkEnd w:id="516"/>
      <w:bookmarkEnd w:id="517"/>
      <w:bookmarkEnd w:id="518"/>
      <w:r>
        <w:rPr>
          <w:rFonts w:eastAsia="黑体"/>
          <w:szCs w:val="21"/>
        </w:rPr>
        <w:t>利物质条件</w:t>
      </w:r>
    </w:p>
    <w:p>
      <w:pPr>
        <w:spacing w:line="360" w:lineRule="exact"/>
        <w:ind w:firstLine="420" w:firstLineChars="200"/>
        <w:rPr>
          <w:szCs w:val="21"/>
        </w:rPr>
      </w:pPr>
      <w:bookmarkStart w:id="519" w:name="_Toc318581172"/>
      <w:bookmarkStart w:id="520" w:name="_Toc303539129"/>
      <w:bookmarkStart w:id="521" w:name="_Toc297123520"/>
      <w:bookmarkStart w:id="522" w:name="_Toc300934972"/>
      <w:bookmarkStart w:id="523" w:name="_Toc312678016"/>
      <w:bookmarkStart w:id="524" w:name="_Toc304295550"/>
      <w:bookmarkStart w:id="525" w:name="_Toc297216179"/>
      <w:r>
        <w:rPr>
          <w:szCs w:val="21"/>
        </w:rPr>
        <w:t>不利物质条件的其他情形和有关约定：</w:t>
      </w:r>
    </w:p>
    <w:p>
      <w:pPr>
        <w:spacing w:line="36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每天连续停水、停电超过8小时以上。</w:t>
      </w:r>
    </w:p>
    <w:p>
      <w:pPr>
        <w:spacing w:line="360" w:lineRule="exact"/>
        <w:ind w:firstLine="420" w:firstLineChars="200"/>
        <w:rPr>
          <w:rFonts w:ascii="宋体" w:hAnsi="宋体" w:cs="宋体"/>
          <w:szCs w:val="21"/>
          <w:u w:val="single"/>
        </w:rPr>
      </w:pPr>
      <w:r>
        <w:rPr>
          <w:rFonts w:hint="eastAsia" w:ascii="宋体" w:hAnsi="宋体" w:cs="宋体"/>
          <w:szCs w:val="21"/>
        </w:rPr>
        <w:t>（2）</w:t>
      </w:r>
      <w:r>
        <w:rPr>
          <w:rFonts w:hint="eastAsia" w:ascii="宋体" w:hAnsi="宋体" w:cs="宋体"/>
          <w:szCs w:val="21"/>
          <w:u w:val="single"/>
        </w:rPr>
        <w:t>因政府行政命令（因分包人原因的除外）。</w:t>
      </w:r>
    </w:p>
    <w:p>
      <w:pPr>
        <w:spacing w:line="360" w:lineRule="exact"/>
        <w:ind w:firstLine="420" w:firstLineChars="200"/>
        <w:rPr>
          <w:rFonts w:ascii="宋体" w:hAnsi="宋体" w:cs="宋体"/>
          <w:szCs w:val="21"/>
          <w:u w:val="single"/>
        </w:rPr>
      </w:pPr>
      <w:r>
        <w:rPr>
          <w:rFonts w:hint="eastAsia" w:ascii="宋体" w:hAnsi="宋体" w:cs="宋体"/>
          <w:szCs w:val="21"/>
        </w:rPr>
        <w:t>（3）</w:t>
      </w:r>
      <w:r>
        <w:rPr>
          <w:rFonts w:hint="eastAsia" w:ascii="宋体" w:hAnsi="宋体" w:cs="宋体"/>
          <w:szCs w:val="21"/>
          <w:u w:val="single"/>
        </w:rPr>
        <w:t>非因双方原因而无法控制的爆炸、火灾等事件。</w:t>
      </w:r>
    </w:p>
    <w:p>
      <w:pPr>
        <w:spacing w:line="360" w:lineRule="exact"/>
        <w:ind w:firstLine="420" w:firstLineChars="200"/>
        <w:rPr>
          <w:rFonts w:ascii="宋体" w:hAnsi="宋体" w:cs="宋体"/>
          <w:szCs w:val="21"/>
          <w:u w:val="single"/>
        </w:rPr>
      </w:pPr>
      <w:r>
        <w:rPr>
          <w:rFonts w:hint="eastAsia" w:ascii="宋体" w:hAnsi="宋体" w:cs="宋体"/>
          <w:szCs w:val="21"/>
        </w:rPr>
        <w:t>（4）</w:t>
      </w:r>
      <w:r>
        <w:rPr>
          <w:rFonts w:hint="eastAsia" w:ascii="宋体" w:hAnsi="宋体" w:cs="宋体"/>
          <w:szCs w:val="21"/>
          <w:u w:val="single"/>
        </w:rPr>
        <w:t>施工场地周围地下管线保护，地下障碍物和污染物排除，邻近建筑物、构筑物的保护要求。</w:t>
      </w:r>
    </w:p>
    <w:p>
      <w:pPr>
        <w:spacing w:line="360" w:lineRule="exact"/>
        <w:ind w:firstLine="420" w:firstLineChars="200"/>
        <w:rPr>
          <w:rFonts w:ascii="宋体" w:hAnsi="宋体" w:cs="宋体"/>
          <w:szCs w:val="21"/>
          <w:u w:val="single"/>
        </w:rPr>
      </w:pPr>
      <w:r>
        <w:rPr>
          <w:rFonts w:hint="eastAsia" w:ascii="宋体" w:hAnsi="宋体" w:cs="宋体"/>
          <w:szCs w:val="21"/>
        </w:rPr>
        <w:t>（5）</w:t>
      </w:r>
      <w:r>
        <w:rPr>
          <w:rFonts w:hint="eastAsia" w:ascii="宋体" w:hAnsi="宋体" w:cs="宋体"/>
          <w:szCs w:val="21"/>
          <w:u w:val="single"/>
        </w:rPr>
        <w:t>地质勘探资料未涉及的地下管道、暗沟、岩层等。</w:t>
      </w:r>
    </w:p>
    <w:p>
      <w:pPr>
        <w:spacing w:line="360" w:lineRule="exact"/>
        <w:ind w:firstLine="420" w:firstLineChars="200"/>
        <w:rPr>
          <w:rFonts w:ascii="仿宋_GB2312"/>
          <w:szCs w:val="21"/>
        </w:rPr>
      </w:pPr>
      <w:r>
        <w:rPr>
          <w:rFonts w:hint="eastAsia" w:ascii="宋体" w:hAnsi="宋体" w:cs="宋体"/>
          <w:szCs w:val="21"/>
          <w:u w:val="single"/>
        </w:rPr>
        <w:t>分包人为克服不利物质条件，所采取合理措施而增加的费用和延误的工期由发包人承担；分包人虽然采取了合理的措施，但不利物质条件发生后，仍导致了工程现场损失，则参照通用合同条款17.3条处理。</w:t>
      </w:r>
    </w:p>
    <w:bookmarkEnd w:id="519"/>
    <w:bookmarkEnd w:id="520"/>
    <w:bookmarkEnd w:id="521"/>
    <w:bookmarkEnd w:id="522"/>
    <w:bookmarkEnd w:id="523"/>
    <w:bookmarkEnd w:id="524"/>
    <w:bookmarkEnd w:id="525"/>
    <w:p>
      <w:pPr>
        <w:spacing w:line="360" w:lineRule="exact"/>
        <w:ind w:firstLine="420" w:firstLineChars="200"/>
        <w:rPr>
          <w:rFonts w:eastAsia="黑体"/>
          <w:szCs w:val="21"/>
        </w:rPr>
      </w:pPr>
      <w:r>
        <w:rPr>
          <w:rFonts w:eastAsia="黑体"/>
          <w:szCs w:val="21"/>
        </w:rPr>
        <w:t>7</w:t>
      </w:r>
      <w:bookmarkStart w:id="526" w:name="_Toc304295551"/>
      <w:bookmarkStart w:id="527" w:name="_Toc300934973"/>
      <w:bookmarkStart w:id="528" w:name="_Toc297123521"/>
      <w:bookmarkStart w:id="529" w:name="_Toc303539130"/>
      <w:bookmarkStart w:id="530" w:name="_Toc297216180"/>
      <w:bookmarkStart w:id="531" w:name="_Toc312678017"/>
      <w:r>
        <w:rPr>
          <w:rFonts w:eastAsia="黑体"/>
          <w:szCs w:val="21"/>
        </w:rPr>
        <w:t>.7异常恶劣的气候条件</w:t>
      </w:r>
    </w:p>
    <w:bookmarkEnd w:id="526"/>
    <w:bookmarkEnd w:id="527"/>
    <w:bookmarkEnd w:id="528"/>
    <w:bookmarkEnd w:id="529"/>
    <w:bookmarkEnd w:id="530"/>
    <w:bookmarkEnd w:id="531"/>
    <w:p>
      <w:pPr>
        <w:spacing w:line="360" w:lineRule="exact"/>
        <w:ind w:firstLine="420" w:firstLineChars="200"/>
        <w:rPr>
          <w:rFonts w:ascii="宋体" w:hAnsi="宋体" w:cs="宋体"/>
          <w:szCs w:val="21"/>
        </w:rPr>
      </w:pPr>
      <w:r>
        <w:rPr>
          <w:rFonts w:hint="eastAsia" w:ascii="宋体" w:hAnsi="宋体" w:cs="宋体"/>
          <w:szCs w:val="21"/>
        </w:rPr>
        <w:t>发包人和分包人同意以下情形视为异常恶劣的气候条件：</w:t>
      </w:r>
    </w:p>
    <w:p>
      <w:pPr>
        <w:spacing w:line="360" w:lineRule="exact"/>
        <w:ind w:firstLine="420" w:firstLineChars="200"/>
        <w:rPr>
          <w:rFonts w:ascii="宋体" w:hAnsi="宋体" w:cs="宋体"/>
          <w:szCs w:val="21"/>
          <w:u w:val="single"/>
        </w:rPr>
      </w:pPr>
      <w:r>
        <w:rPr>
          <w:rFonts w:hint="eastAsia" w:ascii="宋体" w:hAnsi="宋体" w:cs="宋体"/>
          <w:szCs w:val="21"/>
        </w:rPr>
        <w:t>（1）</w:t>
      </w:r>
      <w:r>
        <w:rPr>
          <w:rFonts w:hint="eastAsia" w:ascii="宋体" w:hAnsi="宋体" w:cs="宋体"/>
          <w:szCs w:val="21"/>
          <w:u w:val="single"/>
        </w:rPr>
        <w:t>8-10级（含10级）持续24小时的大风（台风）</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u w:val="single"/>
        </w:rPr>
        <w:t>24小时内持续降雨且降水量为200mm以上</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（3）</w:t>
      </w:r>
      <w:r>
        <w:rPr>
          <w:rFonts w:hint="eastAsia" w:ascii="宋体" w:hAnsi="宋体" w:cs="宋体"/>
          <w:szCs w:val="21"/>
          <w:u w:val="single"/>
        </w:rPr>
        <w:t>40摄氏度及以上且持续2天以上的高温天气</w:t>
      </w:r>
      <w:r>
        <w:rPr>
          <w:rFonts w:hint="eastAsia" w:ascii="宋体" w:hAnsi="宋体" w:cs="宋体"/>
          <w:szCs w:val="21"/>
        </w:rPr>
        <w:t>。</w:t>
      </w:r>
    </w:p>
    <w:p>
      <w:pPr>
        <w:spacing w:line="360" w:lineRule="exact"/>
        <w:ind w:firstLine="420" w:firstLineChars="200"/>
        <w:rPr>
          <w:szCs w:val="21"/>
        </w:rPr>
      </w:pPr>
      <w:r>
        <w:rPr>
          <w:rFonts w:hint="eastAsia" w:ascii="宋体" w:hAnsi="宋体" w:cs="宋体"/>
          <w:szCs w:val="21"/>
          <w:u w:val="single"/>
        </w:rPr>
        <w:t>分包人为克服异常恶劣的气候条件，所采取合理措施而增加的费用和延误的工期由发包人承担；分包人虽然采取了合理的措施，但异常恶劣的气候条件发生后，仍导致了工程现场损失，则参照通用合同条款17.3处理。</w:t>
      </w:r>
    </w:p>
    <w:p>
      <w:pPr>
        <w:spacing w:line="360" w:lineRule="exact"/>
        <w:ind w:firstLine="420" w:firstLineChars="200"/>
        <w:rPr>
          <w:rFonts w:eastAsia="黑体"/>
          <w:szCs w:val="21"/>
        </w:rPr>
      </w:pPr>
      <w:r>
        <w:rPr>
          <w:rFonts w:eastAsia="黑体"/>
          <w:szCs w:val="21"/>
        </w:rPr>
        <w:t>7.9 提前竣工的奖励</w:t>
      </w:r>
    </w:p>
    <w:p>
      <w:pPr>
        <w:spacing w:line="360" w:lineRule="exact"/>
        <w:ind w:firstLine="420" w:firstLineChars="200"/>
        <w:rPr>
          <w:szCs w:val="21"/>
        </w:rPr>
      </w:pPr>
      <w:r>
        <w:rPr>
          <w:szCs w:val="21"/>
        </w:rPr>
        <w:t>7.9.2提前竣工的奖励：</w:t>
      </w:r>
      <w:r>
        <w:rPr>
          <w:rFonts w:hint="eastAsia"/>
          <w:szCs w:val="21"/>
          <w:u w:val="single"/>
        </w:rPr>
        <w:t xml:space="preserve">   无   </w:t>
      </w:r>
      <w:r>
        <w:rPr>
          <w:szCs w:val="21"/>
        </w:rPr>
        <w:t>。</w:t>
      </w:r>
    </w:p>
    <w:p>
      <w:pPr>
        <w:keepNext/>
        <w:keepLines/>
        <w:spacing w:line="360" w:lineRule="exact"/>
        <w:outlineLvl w:val="3"/>
        <w:rPr>
          <w:rFonts w:eastAsia="黑体"/>
          <w:bCs/>
          <w:szCs w:val="21"/>
        </w:rPr>
      </w:pPr>
      <w:bookmarkStart w:id="532" w:name="_Toc351203640"/>
      <w:r>
        <w:rPr>
          <w:rFonts w:eastAsia="黑体"/>
          <w:bCs/>
          <w:szCs w:val="21"/>
        </w:rPr>
        <w:t>8. 材料与设备</w:t>
      </w:r>
      <w:bookmarkEnd w:id="532"/>
    </w:p>
    <w:p>
      <w:pPr>
        <w:spacing w:line="360" w:lineRule="exact"/>
        <w:ind w:firstLine="420" w:firstLineChars="200"/>
        <w:rPr>
          <w:szCs w:val="21"/>
        </w:rPr>
      </w:pPr>
      <w:r>
        <w:rPr>
          <w:rFonts w:hint="eastAsia" w:ascii="黑体" w:eastAsia="黑体"/>
          <w:szCs w:val="21"/>
        </w:rPr>
        <w:t>8</w:t>
      </w:r>
      <w:r>
        <w:rPr>
          <w:rFonts w:hint="eastAsia" w:ascii="仿宋_GB2312"/>
          <w:szCs w:val="21"/>
        </w:rPr>
        <w:t>.</w:t>
      </w:r>
      <w:r>
        <w:rPr>
          <w:rFonts w:hint="eastAsia"/>
          <w:szCs w:val="21"/>
        </w:rPr>
        <w:t>1 发包人供应材料与工程设备：</w:t>
      </w:r>
      <w:r>
        <w:rPr>
          <w:rFonts w:hint="eastAsia"/>
          <w:szCs w:val="21"/>
          <w:u w:val="single"/>
        </w:rPr>
        <w:t xml:space="preserve">   /   </w:t>
      </w:r>
      <w:r>
        <w:rPr>
          <w:rFonts w:hint="eastAsia"/>
          <w:szCs w:val="21"/>
        </w:rPr>
        <w:t>。</w:t>
      </w:r>
    </w:p>
    <w:p>
      <w:pPr>
        <w:spacing w:line="360" w:lineRule="exact"/>
        <w:ind w:firstLine="420" w:firstLineChars="200"/>
        <w:rPr>
          <w:rFonts w:ascii="仿宋_GB2312"/>
          <w:szCs w:val="21"/>
        </w:rPr>
      </w:pPr>
      <w:r>
        <w:rPr>
          <w:rFonts w:hint="eastAsia" w:ascii="黑体" w:eastAsia="黑体"/>
          <w:szCs w:val="21"/>
        </w:rPr>
        <w:t>8</w:t>
      </w:r>
      <w:r>
        <w:rPr>
          <w:rFonts w:hint="eastAsia" w:ascii="仿宋_GB2312"/>
          <w:szCs w:val="21"/>
        </w:rPr>
        <w:t>.</w:t>
      </w:r>
      <w:r>
        <w:rPr>
          <w:szCs w:val="21"/>
        </w:rPr>
        <w:t>2</w:t>
      </w:r>
      <w:r>
        <w:rPr>
          <w:rFonts w:hint="eastAsia" w:ascii="仿宋_GB2312"/>
          <w:szCs w:val="21"/>
        </w:rPr>
        <w:t>分包人采购材料与工程设备</w:t>
      </w:r>
    </w:p>
    <w:bookmarkEnd w:id="478"/>
    <w:bookmarkEnd w:id="479"/>
    <w:bookmarkEnd w:id="480"/>
    <w:bookmarkEnd w:id="481"/>
    <w:bookmarkEnd w:id="482"/>
    <w:bookmarkEnd w:id="483"/>
    <w:bookmarkEnd w:id="484"/>
    <w:bookmarkEnd w:id="485"/>
    <w:bookmarkEnd w:id="486"/>
    <w:bookmarkEnd w:id="487"/>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（1）材料品牌、规格和使用要求：必须按招标文件（相应）技术标准和要求执行，</w:t>
      </w:r>
      <w:r>
        <w:rPr>
          <w:rFonts w:hint="eastAsia" w:ascii="宋体" w:hAnsi="宋体" w:eastAsia="宋体" w:cs="宋体"/>
          <w:color w:val="auto"/>
          <w:szCs w:val="21"/>
          <w:highlight w:val="none"/>
          <w:u w:val="single"/>
        </w:rPr>
        <w:t>凡是招标文件已注明的规格、型号或品牌、产地的材料，分包人必须按照招标文件要求进行采购和施工；原则上不允许更换品牌，如该项材料已注明的品牌无相应产品或型号规格，方可提出调整，且所调整的规格、型号或品牌、产地的须经得发包人认可。</w:t>
      </w:r>
      <w:r>
        <w:rPr>
          <w:rFonts w:hint="eastAsia" w:ascii="仿宋_GB2312" w:hAnsi="宋体" w:eastAsia="宋体" w:cs="Times New Roman"/>
          <w:color w:val="auto"/>
          <w:szCs w:val="21"/>
          <w:highlight w:val="none"/>
          <w:u w:val="single"/>
        </w:rPr>
        <w:t>如分包人未经发包人同意自行更换，该部分材料款不予结算，并处该材料总价的2%违约金。</w:t>
      </w:r>
    </w:p>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（2）本工程已确定承包价的建筑材料均由分包人自行询价、采购、运输和保管，相关费用已在投标报价中综合考虑，不再另行计取。</w:t>
      </w:r>
    </w:p>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（3）本工程要求使用材料要求：/ 。</w:t>
      </w:r>
    </w:p>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（4）本工程所有材料规格、参数等不能低于本工程设计图纸及预算清单中的要求。</w:t>
      </w:r>
    </w:p>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（5）所有材料必须有质保书或合格证，符合施工图纸和规范要求，且品牌、产地需报发包人备案，否则，因此产生的后果均由分包人负责。</w:t>
      </w:r>
    </w:p>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6）凡是招标文件注明规格、型号或相当于品牌的材料，分包人必须按照招标文件要求采购和施工，若遇市场上已无备选品牌产品销售或分包人拟采用“或相当于”品牌材料时，必须经得发包人认可，否则由此引起的后果由分包人承担。</w:t>
      </w:r>
    </w:p>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（7）所有设备、材料和预制构件等均需有产品合格证和质保书、试验（试车）报告等必要资料，符合国家规定的技术标准和设计图纸要求的标准，并且须经发包人及监理单位验收合格后方可使用。</w:t>
      </w:r>
    </w:p>
    <w:p>
      <w:pPr>
        <w:spacing w:line="360" w:lineRule="exact"/>
        <w:ind w:firstLine="420" w:firstLineChars="200"/>
        <w:rPr>
          <w:rFonts w:ascii="仿宋_GB2312" w:hAnsi="宋体" w:eastAsia="宋体" w:cs="Times New Roman"/>
          <w:color w:val="auto"/>
          <w:szCs w:val="21"/>
          <w:highlight w:val="none"/>
          <w:u w:val="single"/>
        </w:rPr>
      </w:pPr>
      <w:r>
        <w:rPr>
          <w:rFonts w:hint="eastAsia" w:ascii="仿宋_GB2312" w:hAnsi="宋体" w:eastAsia="宋体" w:cs="Times New Roman"/>
          <w:color w:val="auto"/>
          <w:szCs w:val="21"/>
          <w:highlight w:val="none"/>
          <w:u w:val="single"/>
        </w:rPr>
        <w:t>（8）根据工程需要，发包人有权对分包人投标时确认的品牌进行更换，更换后的材料价格由发包人按照10.4.1变更估价原则办理签证进行结算。</w:t>
      </w:r>
    </w:p>
    <w:p>
      <w:pPr>
        <w:spacing w:line="360" w:lineRule="exact"/>
        <w:ind w:firstLine="420" w:firstLineChars="200"/>
        <w:rPr>
          <w:rFonts w:ascii="仿宋_GB2312" w:hAnsi="宋体"/>
          <w:szCs w:val="21"/>
          <w:u w:val="single"/>
        </w:rPr>
      </w:pPr>
      <w:r>
        <w:rPr>
          <w:rFonts w:hint="eastAsia" w:ascii="仿宋_GB2312" w:hAnsi="宋体" w:eastAsia="宋体" w:cs="Times New Roman"/>
          <w:color w:val="auto"/>
          <w:szCs w:val="21"/>
          <w:highlight w:val="none"/>
          <w:u w:val="single"/>
        </w:rPr>
        <w:t>（9）合同中原暂定价材料或由工程变更产生的无价材料（按有关规定可不组织招标采购的）由分包人采购时，应由发包人按照10.4.1变更估价原则办理签证确定价格后采购，发包人收到分包人价格确定申请后，7日内审批完毕。</w:t>
      </w:r>
    </w:p>
    <w:p>
      <w:pPr>
        <w:spacing w:line="360" w:lineRule="exact"/>
        <w:ind w:firstLine="420" w:firstLineChars="200"/>
        <w:rPr>
          <w:rFonts w:eastAsia="黑体"/>
          <w:szCs w:val="21"/>
        </w:rPr>
      </w:pPr>
      <w:r>
        <w:rPr>
          <w:rFonts w:eastAsia="黑体"/>
          <w:szCs w:val="21"/>
        </w:rPr>
        <w:t>8</w:t>
      </w:r>
      <w:bookmarkStart w:id="533" w:name="_Toc297216186"/>
      <w:bookmarkStart w:id="534" w:name="_Toc292559372"/>
      <w:bookmarkStart w:id="535" w:name="_Toc312678019"/>
      <w:bookmarkStart w:id="536" w:name="_Toc296891207"/>
      <w:bookmarkStart w:id="537" w:name="_Toc296890995"/>
      <w:bookmarkStart w:id="538" w:name="_Toc303539136"/>
      <w:bookmarkStart w:id="539" w:name="_Toc296347166"/>
      <w:bookmarkStart w:id="540" w:name="_Toc297048353"/>
      <w:bookmarkStart w:id="541" w:name="_Toc304295556"/>
      <w:bookmarkStart w:id="542" w:name="_Toc296503167"/>
      <w:bookmarkStart w:id="543" w:name="_Toc300934979"/>
      <w:bookmarkStart w:id="544" w:name="_Toc312677493"/>
      <w:bookmarkStart w:id="545" w:name="_Toc292559877"/>
      <w:bookmarkStart w:id="546" w:name="_Toc297123527"/>
      <w:bookmarkStart w:id="547" w:name="_Toc297120467"/>
      <w:bookmarkStart w:id="548" w:name="_Toc296346668"/>
      <w:bookmarkStart w:id="549" w:name="_Toc280868654"/>
      <w:bookmarkStart w:id="550" w:name="_Toc296944506"/>
      <w:bookmarkStart w:id="551" w:name="_Toc267251424"/>
      <w:bookmarkStart w:id="552" w:name="_Toc280868655"/>
      <w:bookmarkStart w:id="553" w:name="_Toc280868656"/>
      <w:r>
        <w:rPr>
          <w:rFonts w:eastAsia="黑体"/>
          <w:szCs w:val="21"/>
        </w:rPr>
        <w:t>.4材料与工程设备的保管与使用</w:t>
      </w:r>
    </w:p>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Pr>
        <w:spacing w:line="360" w:lineRule="exact"/>
        <w:ind w:firstLine="420" w:firstLineChars="200"/>
        <w:rPr>
          <w:rFonts w:ascii="宋体" w:hAnsi="宋体"/>
          <w:szCs w:val="21"/>
        </w:rPr>
      </w:pPr>
      <w:r>
        <w:rPr>
          <w:szCs w:val="21"/>
        </w:rPr>
        <w:t>8</w:t>
      </w:r>
      <w:bookmarkStart w:id="554" w:name="_Toc292559878"/>
      <w:bookmarkStart w:id="555" w:name="_Toc292559373"/>
      <w:bookmarkStart w:id="556" w:name="_Toc296891208"/>
      <w:bookmarkStart w:id="557" w:name="_Toc296890996"/>
      <w:bookmarkStart w:id="558" w:name="_Toc297216187"/>
      <w:bookmarkStart w:id="559" w:name="_Toc312677494"/>
      <w:bookmarkStart w:id="560" w:name="_Toc297120468"/>
      <w:bookmarkStart w:id="561" w:name="_Toc296347167"/>
      <w:bookmarkStart w:id="562" w:name="_Toc296346669"/>
      <w:bookmarkStart w:id="563" w:name="_Toc312678020"/>
      <w:bookmarkStart w:id="564" w:name="_Toc300934980"/>
      <w:bookmarkStart w:id="565" w:name="_Toc297123528"/>
      <w:bookmarkStart w:id="566" w:name="_Toc297048354"/>
      <w:bookmarkStart w:id="567" w:name="_Toc303539137"/>
      <w:bookmarkStart w:id="568" w:name="_Toc318581173"/>
      <w:bookmarkStart w:id="569" w:name="_Toc304295557"/>
      <w:bookmarkStart w:id="570" w:name="_Toc296944507"/>
      <w:bookmarkStart w:id="571" w:name="_Toc296503168"/>
      <w:r>
        <w:rPr>
          <w:szCs w:val="21"/>
        </w:rPr>
        <w:t>.4.1发包人供应的材料设备的保管费用的承担：</w:t>
      </w:r>
      <w:bookmarkEnd w:id="554"/>
      <w:bookmarkEnd w:id="555"/>
      <w:r>
        <w:rPr>
          <w:rFonts w:hint="eastAsia" w:ascii="宋体" w:hAnsi="宋体"/>
          <w:szCs w:val="21"/>
          <w:u w:val="single"/>
        </w:rPr>
        <w:t xml:space="preserve">由分包人在投标报价时综合考虑，并已包含在合同价内，不再另行计取 </w:t>
      </w:r>
      <w:r>
        <w:rPr>
          <w:rFonts w:ascii="宋体" w:hAnsi="宋体"/>
          <w:szCs w:val="21"/>
        </w:rPr>
        <w:t>。</w:t>
      </w:r>
    </w:p>
    <w:p>
      <w:pPr>
        <w:spacing w:line="360" w:lineRule="exact"/>
        <w:ind w:firstLine="420" w:firstLineChars="200"/>
        <w:rPr>
          <w:rFonts w:eastAsia="黑体"/>
          <w:szCs w:val="21"/>
        </w:rPr>
      </w:pPr>
      <w:r>
        <w:rPr>
          <w:rFonts w:eastAsia="黑体"/>
          <w:szCs w:val="21"/>
        </w:rPr>
        <w:t>8.6 样品</w:t>
      </w:r>
    </w:p>
    <w:p>
      <w:pPr>
        <w:autoSpaceDE w:val="0"/>
        <w:autoSpaceDN w:val="0"/>
        <w:adjustRightInd w:val="0"/>
        <w:spacing w:line="360" w:lineRule="exact"/>
        <w:ind w:firstLine="420" w:firstLineChars="200"/>
        <w:rPr>
          <w:kern w:val="0"/>
          <w:szCs w:val="21"/>
        </w:rPr>
      </w:pPr>
      <w:r>
        <w:rPr>
          <w:kern w:val="0"/>
          <w:szCs w:val="21"/>
        </w:rPr>
        <w:t>8.6.1样品的报送</w:t>
      </w:r>
      <w:r>
        <w:rPr>
          <w:rFonts w:hint="eastAsia"/>
          <w:kern w:val="0"/>
          <w:szCs w:val="21"/>
        </w:rPr>
        <w:t>与封存</w:t>
      </w:r>
    </w:p>
    <w:p>
      <w:pPr>
        <w:autoSpaceDE w:val="0"/>
        <w:autoSpaceDN w:val="0"/>
        <w:adjustRightInd w:val="0"/>
        <w:spacing w:line="360" w:lineRule="exact"/>
        <w:ind w:firstLine="420" w:firstLineChars="200"/>
        <w:rPr>
          <w:szCs w:val="21"/>
        </w:rPr>
      </w:pPr>
      <w:r>
        <w:rPr>
          <w:kern w:val="0"/>
          <w:szCs w:val="21"/>
        </w:rPr>
        <w:t>需要</w:t>
      </w:r>
      <w:r>
        <w:rPr>
          <w:rFonts w:hint="eastAsia"/>
          <w:kern w:val="0"/>
          <w:szCs w:val="21"/>
        </w:rPr>
        <w:t>分包人</w:t>
      </w:r>
      <w:r>
        <w:rPr>
          <w:kern w:val="0"/>
          <w:szCs w:val="21"/>
        </w:rPr>
        <w:t>报送样品的材料或工程设备，样品的种类、名称、规格、数量要求：</w:t>
      </w:r>
      <w:r>
        <w:rPr>
          <w:rFonts w:hint="eastAsia"/>
          <w:u w:val="single"/>
        </w:rPr>
        <w:t>按有关规定和发包人、监理人要求执行。</w:t>
      </w:r>
    </w:p>
    <w:p>
      <w:pPr>
        <w:spacing w:line="360" w:lineRule="exact"/>
        <w:ind w:firstLine="420" w:firstLineChars="200"/>
        <w:rPr>
          <w:rFonts w:eastAsia="黑体"/>
          <w:szCs w:val="21"/>
        </w:rPr>
      </w:pPr>
      <w:r>
        <w:rPr>
          <w:rFonts w:eastAsia="黑体"/>
          <w:szCs w:val="21"/>
        </w:rPr>
        <w:t>8.8 施工设备和临时设施</w:t>
      </w:r>
    </w:p>
    <w:p>
      <w:pPr>
        <w:autoSpaceDE w:val="0"/>
        <w:autoSpaceDN w:val="0"/>
        <w:adjustRightInd w:val="0"/>
        <w:spacing w:line="360" w:lineRule="exact"/>
        <w:ind w:firstLine="420" w:firstLineChars="200"/>
        <w:rPr>
          <w:szCs w:val="21"/>
        </w:rPr>
      </w:pPr>
      <w:r>
        <w:rPr>
          <w:szCs w:val="21"/>
        </w:rPr>
        <w:t xml:space="preserve">8.8.1 </w:t>
      </w:r>
      <w:r>
        <w:rPr>
          <w:rFonts w:hint="eastAsia"/>
          <w:szCs w:val="21"/>
        </w:rPr>
        <w:t>分包人</w:t>
      </w:r>
      <w:r>
        <w:rPr>
          <w:szCs w:val="21"/>
        </w:rPr>
        <w:t>提供的施工设备和临时设施</w:t>
      </w:r>
    </w:p>
    <w:p>
      <w:pPr>
        <w:autoSpaceDE w:val="0"/>
        <w:autoSpaceDN w:val="0"/>
        <w:adjustRightInd w:val="0"/>
        <w:spacing w:line="360" w:lineRule="exact"/>
        <w:ind w:firstLine="420" w:firstLineChars="200"/>
        <w:rPr>
          <w:szCs w:val="21"/>
        </w:rPr>
      </w:pPr>
      <w:r>
        <w:rPr>
          <w:szCs w:val="21"/>
        </w:rPr>
        <w:t>关于修建临时设施费用承担的约定：</w:t>
      </w:r>
      <w:r>
        <w:rPr>
          <w:rFonts w:hint="eastAsia" w:ascii="宋体" w:hAnsi="宋体" w:cs="宋体"/>
          <w:szCs w:val="21"/>
          <w:u w:val="single"/>
        </w:rPr>
        <w:t>由分包人承担（包含但不限于租地、租房、二次搬迁等）</w:t>
      </w:r>
      <w:r>
        <w:rPr>
          <w:szCs w:val="21"/>
        </w:rPr>
        <w:t>。</w:t>
      </w:r>
    </w:p>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Pr>
        <w:keepNext/>
        <w:keepLines/>
        <w:spacing w:line="360" w:lineRule="exact"/>
        <w:outlineLvl w:val="3"/>
        <w:rPr>
          <w:rFonts w:eastAsia="黑体"/>
          <w:bCs/>
          <w:szCs w:val="21"/>
        </w:rPr>
      </w:pPr>
      <w:bookmarkStart w:id="572" w:name="_Toc351203641"/>
      <w:r>
        <w:rPr>
          <w:rFonts w:eastAsia="黑体"/>
          <w:bCs/>
          <w:szCs w:val="21"/>
        </w:rPr>
        <w:t>9</w:t>
      </w:r>
      <w:bookmarkEnd w:id="551"/>
      <w:bookmarkEnd w:id="552"/>
      <w:bookmarkEnd w:id="553"/>
      <w:bookmarkStart w:id="573" w:name="_Toc312678021"/>
      <w:bookmarkStart w:id="574" w:name="_Toc303539139"/>
      <w:bookmarkStart w:id="575" w:name="_Toc304295559"/>
      <w:bookmarkStart w:id="576" w:name="_Toc297123533"/>
      <w:bookmarkStart w:id="577" w:name="_Toc312677495"/>
      <w:bookmarkStart w:id="578" w:name="_Toc300934982"/>
      <w:bookmarkStart w:id="579" w:name="_Toc297216192"/>
      <w:bookmarkStart w:id="580" w:name="_Toc296503173"/>
      <w:bookmarkStart w:id="581" w:name="_Toc296891001"/>
      <w:bookmarkStart w:id="582" w:name="_Toc267251428"/>
      <w:bookmarkStart w:id="583" w:name="_Toc297120473"/>
      <w:bookmarkStart w:id="584" w:name="_Toc292559883"/>
      <w:bookmarkStart w:id="585" w:name="_Toc296347172"/>
      <w:bookmarkStart w:id="586" w:name="_Toc296346674"/>
      <w:bookmarkStart w:id="587" w:name="_Toc267251427"/>
      <w:bookmarkStart w:id="588" w:name="_Toc292559378"/>
      <w:bookmarkStart w:id="589" w:name="_Toc296891213"/>
      <w:bookmarkStart w:id="590" w:name="_Toc297048359"/>
      <w:bookmarkStart w:id="591" w:name="_Toc296944512"/>
      <w:r>
        <w:rPr>
          <w:rFonts w:eastAsia="黑体"/>
          <w:bCs/>
          <w:szCs w:val="21"/>
        </w:rPr>
        <w:t>. 试验与检验</w:t>
      </w:r>
      <w:bookmarkEnd w:id="572"/>
    </w:p>
    <w:bookmarkEnd w:id="573"/>
    <w:bookmarkEnd w:id="574"/>
    <w:bookmarkEnd w:id="575"/>
    <w:bookmarkEnd w:id="576"/>
    <w:bookmarkEnd w:id="577"/>
    <w:bookmarkEnd w:id="578"/>
    <w:bookmarkEnd w:id="579"/>
    <w:p>
      <w:pPr>
        <w:spacing w:line="360" w:lineRule="exact"/>
        <w:ind w:firstLine="420" w:firstLineChars="200"/>
        <w:rPr>
          <w:rFonts w:eastAsia="黑体"/>
          <w:szCs w:val="21"/>
        </w:rPr>
      </w:pPr>
      <w:r>
        <w:rPr>
          <w:rFonts w:eastAsia="黑体"/>
          <w:szCs w:val="21"/>
        </w:rPr>
        <w:t>9</w:t>
      </w:r>
      <w:bookmarkStart w:id="592" w:name="_Toc312678022"/>
      <w:bookmarkStart w:id="593" w:name="_Toc297216193"/>
      <w:bookmarkStart w:id="594" w:name="_Toc312677496"/>
      <w:bookmarkStart w:id="595" w:name="_Toc300934983"/>
      <w:bookmarkStart w:id="596" w:name="_Toc297123534"/>
      <w:bookmarkStart w:id="597" w:name="_Toc303539140"/>
      <w:bookmarkStart w:id="598" w:name="_Toc304295560"/>
      <w:r>
        <w:rPr>
          <w:rFonts w:eastAsia="黑体"/>
          <w:szCs w:val="21"/>
        </w:rPr>
        <w:t>.1试验设备与试验人员</w:t>
      </w:r>
    </w:p>
    <w:bookmarkEnd w:id="592"/>
    <w:bookmarkEnd w:id="593"/>
    <w:bookmarkEnd w:id="594"/>
    <w:bookmarkEnd w:id="595"/>
    <w:bookmarkEnd w:id="596"/>
    <w:bookmarkEnd w:id="597"/>
    <w:bookmarkEnd w:id="598"/>
    <w:p>
      <w:pPr>
        <w:spacing w:line="360" w:lineRule="exact"/>
        <w:ind w:firstLine="420" w:firstLineChars="200"/>
        <w:rPr>
          <w:szCs w:val="21"/>
        </w:rPr>
      </w:pPr>
      <w:r>
        <w:rPr>
          <w:szCs w:val="21"/>
        </w:rPr>
        <w:t>9</w:t>
      </w:r>
      <w:bookmarkStart w:id="599" w:name="_Toc303539141"/>
      <w:bookmarkStart w:id="600" w:name="_Toc304295561"/>
      <w:bookmarkStart w:id="601" w:name="_Toc312678023"/>
      <w:bookmarkStart w:id="602" w:name="_Toc300934984"/>
      <w:bookmarkStart w:id="603" w:name="_Toc297123535"/>
      <w:bookmarkStart w:id="604" w:name="_Toc297216194"/>
      <w:bookmarkStart w:id="605" w:name="_Toc312677497"/>
      <w:bookmarkStart w:id="606" w:name="_Toc318581174"/>
      <w:r>
        <w:rPr>
          <w:szCs w:val="21"/>
        </w:rPr>
        <w:t>.1.2 试验设备</w:t>
      </w:r>
    </w:p>
    <w:bookmarkEnd w:id="599"/>
    <w:bookmarkEnd w:id="600"/>
    <w:bookmarkEnd w:id="601"/>
    <w:bookmarkEnd w:id="602"/>
    <w:bookmarkEnd w:id="603"/>
    <w:bookmarkEnd w:id="604"/>
    <w:bookmarkEnd w:id="605"/>
    <w:p>
      <w:pPr>
        <w:spacing w:line="360" w:lineRule="exact"/>
        <w:ind w:firstLine="420" w:firstLineChars="200"/>
        <w:rPr>
          <w:szCs w:val="21"/>
        </w:rPr>
      </w:pPr>
      <w:bookmarkStart w:id="607" w:name="_Toc312677498"/>
      <w:bookmarkStart w:id="608" w:name="_Toc304295562"/>
      <w:bookmarkStart w:id="609" w:name="_Toc312678024"/>
      <w:bookmarkStart w:id="610" w:name="_Toc300934985"/>
      <w:bookmarkStart w:id="611" w:name="_Toc297216195"/>
      <w:bookmarkStart w:id="612" w:name="_Toc297123536"/>
      <w:bookmarkStart w:id="613" w:name="_Toc303539142"/>
      <w:r>
        <w:rPr>
          <w:szCs w:val="21"/>
        </w:rPr>
        <w:t>施工现场需要配置的试验场所：</w:t>
      </w:r>
      <w:r>
        <w:rPr>
          <w:rFonts w:hint="eastAsia"/>
          <w:szCs w:val="21"/>
          <w:u w:val="single"/>
        </w:rPr>
        <w:t>按规范及（当地）建设行政主管部门要求配置</w:t>
      </w:r>
      <w:r>
        <w:rPr>
          <w:szCs w:val="21"/>
        </w:rPr>
        <w:t>。</w:t>
      </w:r>
    </w:p>
    <w:p>
      <w:pPr>
        <w:spacing w:line="360" w:lineRule="exact"/>
        <w:ind w:firstLine="420" w:firstLineChars="200"/>
        <w:rPr>
          <w:szCs w:val="21"/>
        </w:rPr>
      </w:pPr>
      <w:r>
        <w:rPr>
          <w:szCs w:val="21"/>
        </w:rPr>
        <w:t>施工现场需要配备的试验设备：</w:t>
      </w:r>
      <w:r>
        <w:rPr>
          <w:rFonts w:hint="eastAsia"/>
          <w:szCs w:val="21"/>
          <w:u w:val="single"/>
        </w:rPr>
        <w:t>按规范及（当地）建设行政主管部门要求配置</w:t>
      </w:r>
      <w:r>
        <w:rPr>
          <w:szCs w:val="21"/>
        </w:rPr>
        <w:t>。</w:t>
      </w:r>
    </w:p>
    <w:p>
      <w:pPr>
        <w:spacing w:line="360" w:lineRule="exact"/>
        <w:ind w:firstLine="420" w:firstLineChars="200"/>
        <w:rPr>
          <w:szCs w:val="21"/>
        </w:rPr>
      </w:pPr>
      <w:r>
        <w:rPr>
          <w:szCs w:val="21"/>
        </w:rPr>
        <w:t>施工现场需要具备的其他试验条件：</w:t>
      </w:r>
      <w:r>
        <w:rPr>
          <w:rFonts w:hint="eastAsia"/>
          <w:szCs w:val="21"/>
          <w:u w:val="single"/>
        </w:rPr>
        <w:t>按规范及（当地）建设行政主管部门要求配置</w:t>
      </w:r>
      <w:r>
        <w:rPr>
          <w:szCs w:val="21"/>
        </w:rPr>
        <w:t>。</w:t>
      </w:r>
    </w:p>
    <w:p>
      <w:pPr>
        <w:spacing w:line="360" w:lineRule="exact"/>
        <w:ind w:firstLine="420" w:firstLineChars="200"/>
        <w:rPr>
          <w:rFonts w:ascii="黑体" w:eastAsia="黑体"/>
          <w:szCs w:val="21"/>
        </w:rPr>
      </w:pPr>
      <w:r>
        <w:rPr>
          <w:rFonts w:hint="eastAsia" w:ascii="黑体" w:eastAsia="黑体"/>
          <w:szCs w:val="21"/>
        </w:rPr>
        <w:t>9.3 材料、工程设备和工程的试验和检验</w:t>
      </w:r>
    </w:p>
    <w:p>
      <w:pPr>
        <w:spacing w:line="360" w:lineRule="exact"/>
        <w:ind w:firstLine="420" w:firstLineChars="200"/>
        <w:rPr>
          <w:szCs w:val="21"/>
        </w:rPr>
      </w:pPr>
      <w:r>
        <w:rPr>
          <w:rFonts w:hint="eastAsia"/>
          <w:szCs w:val="21"/>
        </w:rPr>
        <w:t>9.3.4材料、设备和工程的试验和检验的费用：</w:t>
      </w:r>
    </w:p>
    <w:p>
      <w:pPr>
        <w:spacing w:line="360" w:lineRule="exact"/>
        <w:ind w:firstLine="420" w:firstLineChars="200"/>
        <w:rPr>
          <w:rFonts w:ascii="宋体" w:hAnsi="宋体" w:cs="宋体"/>
          <w:szCs w:val="21"/>
          <w:u w:val="single"/>
        </w:rPr>
      </w:pPr>
      <w:r>
        <w:rPr>
          <w:rFonts w:hint="eastAsia" w:ascii="宋体" w:hAnsi="宋体" w:cs="宋体"/>
          <w:szCs w:val="21"/>
          <w:u w:val="single"/>
        </w:rPr>
        <w:t>（1）材料、设备和工程的试验按《建设工程质量管理条例》、《房屋建筑工程和市政基础设施工程实行见证取样和送检的规定》、《浙江省房屋建筑和市政基础设施工程质量检测管理实施办法》等及工程所在地有关工程质量检测的规定实施。</w:t>
      </w:r>
    </w:p>
    <w:p>
      <w:pPr>
        <w:spacing w:line="360" w:lineRule="exact"/>
        <w:ind w:firstLine="420" w:firstLineChars="200"/>
        <w:rPr>
          <w:rFonts w:ascii="宋体" w:hAnsi="宋体" w:cs="宋体"/>
          <w:szCs w:val="21"/>
          <w:u w:val="single"/>
        </w:rPr>
      </w:pPr>
      <w:r>
        <w:rPr>
          <w:rFonts w:hint="eastAsia" w:ascii="宋体" w:hAnsi="宋体" w:cs="宋体"/>
          <w:szCs w:val="21"/>
          <w:u w:val="single"/>
        </w:rPr>
        <w:t>（2）对建筑材料、构件和建筑安装物进行一般鉴定、检查所发生的费用，包括建设工程质量见证取样检测费、专项检测试验费、建筑施工企业配合检测及自设试验室进行试验所耗用的材料和化学药品等费用由分包人承担；新结构、新材料、构件破坏性试验及其他特殊要求检测试验等检测试验费由发包人承担。</w:t>
      </w:r>
    </w:p>
    <w:p>
      <w:pPr>
        <w:spacing w:line="360" w:lineRule="exact"/>
        <w:ind w:firstLine="420" w:firstLineChars="200"/>
        <w:rPr>
          <w:rFonts w:ascii="宋体" w:hAnsi="宋体" w:cs="宋体"/>
          <w:szCs w:val="21"/>
          <w:u w:val="single"/>
        </w:rPr>
      </w:pPr>
      <w:r>
        <w:rPr>
          <w:rFonts w:hint="eastAsia" w:ascii="宋体" w:hAnsi="宋体" w:cs="宋体"/>
          <w:szCs w:val="21"/>
          <w:u w:val="single"/>
        </w:rPr>
        <w:t>（3）当发包人或监理人指示分包人为核实本工程某一部分或某种材料设备是否有缺陷时，分包人应按要求进行检（试）验。如果该检（试）验表明确有缺陷存在，则检（试）验和试样的费用，发包人供应材料设备的，由发包人承担；分包人采购材料设备的，由分包人承担。如果该检（试）验表明没有缺陷，则由发包人承担检（试）验和试样的费用。</w:t>
      </w:r>
    </w:p>
    <w:p>
      <w:pPr>
        <w:spacing w:line="360" w:lineRule="exact"/>
        <w:ind w:firstLine="315" w:firstLineChars="150"/>
        <w:rPr>
          <w:szCs w:val="21"/>
          <w:u w:val="single"/>
        </w:rPr>
      </w:pPr>
      <w:r>
        <w:rPr>
          <w:rFonts w:hint="eastAsia" w:ascii="宋体" w:hAnsi="宋体" w:cs="宋体"/>
          <w:szCs w:val="21"/>
          <w:u w:val="single"/>
        </w:rPr>
        <w:t>（4）当质量安全管理机构根据规范，要求发包人与分包人开展本工程某一部分质量实体或某项材料设备质量抽检，如建筑节能检验、空气检测、智能化检测等专项检测需要时，发包人与分包人应配合，由发包人委托相应的专项检测机构，按要求进行检（试）验，检测、恢复费用由分包人承担。如检测不合格，重新检测、恢复费用由分包人承担。</w:t>
      </w:r>
    </w:p>
    <w:p>
      <w:pPr>
        <w:spacing w:line="360" w:lineRule="exact"/>
        <w:ind w:firstLine="420" w:firstLineChars="200"/>
        <w:rPr>
          <w:rFonts w:eastAsia="黑体"/>
          <w:szCs w:val="21"/>
        </w:rPr>
      </w:pPr>
      <w:r>
        <w:rPr>
          <w:rFonts w:eastAsia="黑体"/>
          <w:szCs w:val="21"/>
        </w:rPr>
        <w:t>9.4 现场工艺试验</w:t>
      </w:r>
    </w:p>
    <w:p>
      <w:pPr>
        <w:spacing w:line="360" w:lineRule="exact"/>
        <w:ind w:firstLine="420" w:firstLineChars="200"/>
        <w:rPr>
          <w:szCs w:val="21"/>
        </w:rPr>
      </w:pPr>
      <w:r>
        <w:rPr>
          <w:szCs w:val="21"/>
        </w:rPr>
        <w:t>现场工艺试验的有关约定：</w:t>
      </w:r>
      <w:r>
        <w:rPr>
          <w:rFonts w:hint="eastAsia" w:ascii="新宋体" w:hAnsi="新宋体" w:eastAsia="新宋体" w:cs="新宋体"/>
          <w:szCs w:val="21"/>
          <w:u w:val="single"/>
        </w:rPr>
        <w:t>试验检验应符合施工图纸、验收规范要求，并符合工程所在地质量监督部门的要求</w:t>
      </w:r>
      <w:r>
        <w:rPr>
          <w:szCs w:val="21"/>
        </w:rPr>
        <w:t>。</w:t>
      </w:r>
    </w:p>
    <w:bookmarkEnd w:id="606"/>
    <w:bookmarkEnd w:id="607"/>
    <w:bookmarkEnd w:id="608"/>
    <w:bookmarkEnd w:id="609"/>
    <w:bookmarkEnd w:id="610"/>
    <w:bookmarkEnd w:id="611"/>
    <w:bookmarkEnd w:id="612"/>
    <w:bookmarkEnd w:id="613"/>
    <w:p>
      <w:pPr>
        <w:keepNext/>
        <w:keepLines/>
        <w:spacing w:line="360" w:lineRule="exact"/>
        <w:outlineLvl w:val="3"/>
        <w:rPr>
          <w:rFonts w:eastAsia="黑体"/>
          <w:bCs/>
          <w:szCs w:val="21"/>
        </w:rPr>
      </w:pPr>
      <w:bookmarkStart w:id="614" w:name="_Toc351203642"/>
      <w:r>
        <w:rPr>
          <w:rFonts w:eastAsia="黑体"/>
          <w:bCs/>
          <w:szCs w:val="21"/>
        </w:rPr>
        <w:t>1</w:t>
      </w:r>
      <w:bookmarkEnd w:id="580"/>
      <w:bookmarkEnd w:id="581"/>
      <w:bookmarkEnd w:id="582"/>
      <w:bookmarkEnd w:id="583"/>
      <w:bookmarkEnd w:id="584"/>
      <w:bookmarkEnd w:id="585"/>
      <w:bookmarkEnd w:id="586"/>
      <w:bookmarkEnd w:id="587"/>
      <w:bookmarkEnd w:id="588"/>
      <w:bookmarkEnd w:id="589"/>
      <w:bookmarkEnd w:id="590"/>
      <w:bookmarkEnd w:id="591"/>
      <w:bookmarkStart w:id="615" w:name="_Toc296891233"/>
      <w:bookmarkStart w:id="616" w:name="_Toc297123540"/>
      <w:bookmarkStart w:id="617" w:name="_Toc304295566"/>
      <w:bookmarkStart w:id="618" w:name="_Toc297216199"/>
      <w:bookmarkStart w:id="619" w:name="_Toc303539146"/>
      <w:bookmarkStart w:id="620" w:name="_Toc292559398"/>
      <w:bookmarkStart w:id="621" w:name="_Toc297120493"/>
      <w:bookmarkStart w:id="622" w:name="_Toc296944532"/>
      <w:bookmarkStart w:id="623" w:name="_Toc297048379"/>
      <w:bookmarkStart w:id="624" w:name="_Toc296346694"/>
      <w:bookmarkStart w:id="625" w:name="_Toc296503193"/>
      <w:bookmarkStart w:id="626" w:name="_Toc296347192"/>
      <w:bookmarkStart w:id="627" w:name="_Toc292559903"/>
      <w:bookmarkStart w:id="628" w:name="_Toc296891021"/>
      <w:bookmarkStart w:id="629" w:name="_Toc300934989"/>
      <w:bookmarkStart w:id="630" w:name="_Toc312678025"/>
      <w:bookmarkStart w:id="631" w:name="_Toc312677499"/>
      <w:bookmarkStart w:id="632" w:name="_Toc267251435"/>
      <w:bookmarkStart w:id="633" w:name="_Toc267251433"/>
      <w:bookmarkStart w:id="634" w:name="_Toc267251439"/>
      <w:bookmarkStart w:id="635" w:name="_Toc267251440"/>
      <w:bookmarkStart w:id="636" w:name="_Toc267251441"/>
      <w:bookmarkStart w:id="637" w:name="_Toc267251437"/>
      <w:bookmarkStart w:id="638" w:name="_Toc267251442"/>
      <w:r>
        <w:rPr>
          <w:rFonts w:eastAsia="黑体"/>
          <w:bCs/>
          <w:szCs w:val="21"/>
        </w:rPr>
        <w:t>0. 变更</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bookmarkEnd w:id="630"/>
    <w:bookmarkEnd w:id="631"/>
    <w:p>
      <w:pPr>
        <w:spacing w:line="360" w:lineRule="exact"/>
        <w:ind w:firstLine="420" w:firstLineChars="200"/>
        <w:rPr>
          <w:rFonts w:eastAsia="黑体"/>
          <w:szCs w:val="21"/>
        </w:rPr>
      </w:pPr>
      <w:r>
        <w:rPr>
          <w:rFonts w:eastAsia="黑体"/>
          <w:szCs w:val="21"/>
        </w:rPr>
        <w:t>1</w:t>
      </w:r>
      <w:bookmarkStart w:id="639" w:name="_Toc303539147"/>
      <w:bookmarkStart w:id="640" w:name="_Toc292559904"/>
      <w:bookmarkStart w:id="641" w:name="_Toc297123541"/>
      <w:bookmarkStart w:id="642" w:name="_Toc297216200"/>
      <w:bookmarkStart w:id="643" w:name="_Toc292559399"/>
      <w:bookmarkStart w:id="644" w:name="_Toc296891022"/>
      <w:bookmarkStart w:id="645" w:name="_Toc297048380"/>
      <w:bookmarkStart w:id="646" w:name="_Toc296346695"/>
      <w:bookmarkStart w:id="647" w:name="_Toc296347193"/>
      <w:bookmarkStart w:id="648" w:name="_Toc296891234"/>
      <w:bookmarkStart w:id="649" w:name="_Toc312678026"/>
      <w:bookmarkStart w:id="650" w:name="_Toc296503194"/>
      <w:bookmarkStart w:id="651" w:name="_Toc304295567"/>
      <w:bookmarkStart w:id="652" w:name="_Toc296944533"/>
      <w:bookmarkStart w:id="653" w:name="_Toc312677500"/>
      <w:bookmarkStart w:id="654" w:name="_Toc300934990"/>
      <w:bookmarkStart w:id="655" w:name="_Toc297120494"/>
      <w:r>
        <w:rPr>
          <w:rFonts w:eastAsia="黑体"/>
          <w:szCs w:val="21"/>
        </w:rPr>
        <w:t>0.1变更的范围</w:t>
      </w:r>
    </w:p>
    <w:p>
      <w:pPr>
        <w:spacing w:line="360" w:lineRule="exact"/>
        <w:ind w:firstLine="315" w:firstLineChars="150"/>
        <w:rPr>
          <w:szCs w:val="21"/>
        </w:rPr>
      </w:pPr>
      <w:r>
        <w:rPr>
          <w:szCs w:val="21"/>
        </w:rPr>
        <w:t>关于变更的范围的约定：</w:t>
      </w:r>
      <w:r>
        <w:rPr>
          <w:rFonts w:hint="eastAsia" w:ascii="宋体" w:hAnsi="宋体" w:cs="宋体"/>
          <w:szCs w:val="21"/>
          <w:u w:val="single"/>
        </w:rPr>
        <w:t>按通用合同条款约定，但须经发包人书面签证批准。发包人有可能根据工程需要修改施工图或发出指令增加或减少工程量，工程量不论增减多少，分包人均应服从,否则发包人有权要求分包人退场；因分包人擅自变更导致的拆除、返工、工程量增加等相关费用不予计取，工期不予调整，并追究分包人相应责任。设计变更必须经设计人、监理人、发包人确认；因工程变更而产生的新增减工程量，需发包人、监理人在工程联系单盖章签复意见后，方可作为结算依据</w:t>
      </w:r>
      <w:r>
        <w:rPr>
          <w:rFonts w:hint="eastAsia"/>
          <w:szCs w:val="21"/>
        </w:rPr>
        <w:t>。</w:t>
      </w:r>
    </w:p>
    <w:p>
      <w:pPr>
        <w:spacing w:line="360" w:lineRule="exact"/>
        <w:ind w:firstLine="420" w:firstLineChars="200"/>
        <w:rPr>
          <w:rFonts w:eastAsia="黑体"/>
          <w:szCs w:val="21"/>
        </w:rPr>
      </w:pPr>
      <w:r>
        <w:rPr>
          <w:rFonts w:eastAsia="黑体"/>
          <w:szCs w:val="21"/>
        </w:rPr>
        <w:t>10.4 变更估价</w:t>
      </w:r>
    </w:p>
    <w:p>
      <w:pPr>
        <w:spacing w:line="360" w:lineRule="exact"/>
        <w:ind w:firstLine="420" w:firstLineChars="200"/>
        <w:rPr>
          <w:szCs w:val="21"/>
        </w:rPr>
      </w:pPr>
      <w:r>
        <w:rPr>
          <w:szCs w:val="21"/>
        </w:rPr>
        <w:t xml:space="preserve">10.4.1 </w:t>
      </w:r>
      <w:r>
        <w:rPr>
          <w:rFonts w:hint="eastAsia"/>
          <w:szCs w:val="21"/>
        </w:rPr>
        <w:t>变更估价原则</w:t>
      </w:r>
    </w:p>
    <w:p>
      <w:pPr>
        <w:spacing w:line="360" w:lineRule="exact"/>
        <w:ind w:firstLine="315" w:firstLineChars="150"/>
        <w:rPr>
          <w:szCs w:val="21"/>
        </w:rPr>
      </w:pPr>
      <w:r>
        <w:rPr>
          <w:rFonts w:hint="eastAsia"/>
          <w:szCs w:val="21"/>
        </w:rPr>
        <w:t>关于变更估价的约定</w:t>
      </w:r>
      <w:r>
        <w:rPr>
          <w:szCs w:val="21"/>
        </w:rPr>
        <w:t xml:space="preserve">: </w:t>
      </w:r>
    </w:p>
    <w:p>
      <w:pPr>
        <w:spacing w:line="360" w:lineRule="exact"/>
        <w:ind w:firstLine="420" w:firstLineChars="200"/>
        <w:rPr>
          <w:rFonts w:ascii="宋体" w:hAnsi="宋体" w:cs="宋体"/>
          <w:szCs w:val="21"/>
          <w:u w:val="single"/>
        </w:rPr>
      </w:pPr>
      <w:r>
        <w:rPr>
          <w:rFonts w:hint="eastAsia" w:ascii="宋体" w:hAnsi="宋体" w:cs="宋体"/>
          <w:szCs w:val="21"/>
          <w:u w:val="single"/>
        </w:rPr>
        <w:t>（1）变更后项目与投标人已标价工程量清单有相同项目的，按照相同项目综合单价确定。如该综合单价异常，则投标清单中合价金额占合同总价2%及以上的分部分项清单项目，其工程量增加超过本项目工程数量15%以上；或投标清单中合价金额占合同总价不到2%的分部分项清单项目，工程量增加超过本项目工程数量25%以上，该分部分项清单超过约定幅度外部分工程量的综合单价按专用条款10.4.1（2）（3）（4）条约定调整，工程量减少按投标综合单价计算，不调整综合单价。</w:t>
      </w:r>
    </w:p>
    <w:p>
      <w:pPr>
        <w:spacing w:line="360" w:lineRule="exact"/>
        <w:ind w:firstLine="420" w:firstLineChars="200"/>
        <w:rPr>
          <w:rFonts w:ascii="宋体" w:hAnsi="宋体" w:cs="宋体"/>
          <w:szCs w:val="21"/>
          <w:u w:val="single"/>
        </w:rPr>
      </w:pPr>
      <w:r>
        <w:rPr>
          <w:rFonts w:hint="eastAsia" w:ascii="宋体" w:hAnsi="宋体" w:cs="宋体"/>
          <w:szCs w:val="21"/>
          <w:u w:val="single"/>
        </w:rPr>
        <w:t>综合单价异常是指：投标综合单价与按专用合同条款21.3条中计价依据计算的综合单价偏差±30%以上。</w:t>
      </w:r>
    </w:p>
    <w:p>
      <w:pPr>
        <w:spacing w:line="360" w:lineRule="exact"/>
        <w:ind w:firstLine="420" w:firstLineChars="200"/>
        <w:rPr>
          <w:rFonts w:ascii="宋体" w:hAnsi="宋体" w:cs="宋体"/>
          <w:szCs w:val="21"/>
          <w:u w:val="single"/>
        </w:rPr>
      </w:pPr>
      <w:r>
        <w:rPr>
          <w:rFonts w:hint="eastAsia" w:ascii="宋体" w:hAnsi="宋体" w:cs="宋体"/>
          <w:szCs w:val="21"/>
          <w:u w:val="single"/>
        </w:rPr>
        <w:t>（2）变更后项目与投标人已标价工程量清单中没有适用的综合单价，但有类似的工程项目综合单价，分包人可参照类似工程项目综合单价计算，并报发包人确定。</w:t>
      </w:r>
    </w:p>
    <w:p>
      <w:pPr>
        <w:spacing w:line="360" w:lineRule="exact"/>
        <w:ind w:firstLine="420" w:firstLineChars="200"/>
        <w:rPr>
          <w:rFonts w:ascii="宋体" w:hAnsi="宋体" w:cs="宋体"/>
          <w:szCs w:val="21"/>
          <w:u w:val="single"/>
        </w:rPr>
      </w:pPr>
      <w:r>
        <w:rPr>
          <w:rFonts w:hint="eastAsia" w:ascii="宋体" w:hAnsi="宋体" w:cs="宋体"/>
          <w:szCs w:val="21"/>
        </w:rPr>
        <w:t>a、</w:t>
      </w:r>
      <w:r>
        <w:rPr>
          <w:rFonts w:hint="eastAsia" w:ascii="宋体" w:hAnsi="宋体" w:cs="宋体"/>
          <w:szCs w:val="21"/>
          <w:u w:val="single"/>
        </w:rPr>
        <w:t>某种材料（或半成品及成品）等级、标准变化的，清单组合子目不变，仅调整不同的材料市场价格之差；</w:t>
      </w:r>
    </w:p>
    <w:p>
      <w:pPr>
        <w:spacing w:line="360" w:lineRule="exact"/>
        <w:ind w:firstLine="420" w:firstLineChars="200"/>
        <w:rPr>
          <w:rFonts w:ascii="宋体" w:hAnsi="宋体" w:cs="宋体"/>
          <w:szCs w:val="21"/>
          <w:u w:val="single"/>
        </w:rPr>
      </w:pPr>
      <w:r>
        <w:rPr>
          <w:rFonts w:hint="eastAsia" w:ascii="宋体" w:hAnsi="宋体" w:cs="宋体"/>
          <w:szCs w:val="21"/>
        </w:rPr>
        <w:t>b、</w:t>
      </w:r>
      <w:r>
        <w:rPr>
          <w:rFonts w:hint="eastAsia" w:ascii="宋体" w:hAnsi="宋体" w:cs="宋体"/>
          <w:szCs w:val="21"/>
          <w:u w:val="single"/>
        </w:rPr>
        <w:t>清单项目组合内容中某一个（或多个）定额子目发生变化，不影响其他特征及工程内容价格的，仅调整发生变化的定额子目价格。</w:t>
      </w:r>
    </w:p>
    <w:p>
      <w:pPr>
        <w:spacing w:line="360" w:lineRule="exact"/>
        <w:ind w:firstLine="420" w:firstLineChars="200"/>
        <w:rPr>
          <w:rFonts w:ascii="宋体" w:hAnsi="宋体" w:cs="宋体"/>
          <w:szCs w:val="21"/>
          <w:u w:val="single"/>
        </w:rPr>
      </w:pPr>
      <w:r>
        <w:rPr>
          <w:rFonts w:hint="eastAsia" w:ascii="宋体" w:hAnsi="宋体" w:cs="宋体"/>
          <w:szCs w:val="21"/>
        </w:rPr>
        <w:t>c、</w:t>
      </w:r>
      <w:r>
        <w:rPr>
          <w:rFonts w:hint="eastAsia" w:ascii="宋体" w:hAnsi="宋体" w:cs="宋体"/>
          <w:szCs w:val="21"/>
          <w:u w:val="single"/>
        </w:rPr>
        <w:t>如该类似工程项目的综合单价异常，则不宜参照，按专用条款10.4.1（3）（4）款重新计算综合单价。</w:t>
      </w:r>
    </w:p>
    <w:p>
      <w:pPr>
        <w:spacing w:line="360" w:lineRule="exact"/>
        <w:ind w:firstLine="420" w:firstLineChars="200"/>
        <w:rPr>
          <w:rFonts w:ascii="宋体" w:hAnsi="宋体" w:cs="宋体"/>
          <w:szCs w:val="21"/>
          <w:u w:val="single"/>
        </w:rPr>
      </w:pPr>
      <w:r>
        <w:rPr>
          <w:rFonts w:hint="eastAsia" w:ascii="宋体" w:hAnsi="宋体" w:cs="宋体"/>
          <w:szCs w:val="21"/>
          <w:u w:val="single"/>
        </w:rPr>
        <w:t>（3）变更后项目与已标价工程量清单没有适用的综合单价，由分包人按招标控制价编制依据计算综合单价，乘以投标总报价与招标控制价下降幅度（即结算综合单价=按招标控制价编制依据计算的综合单价×投标总报价/招标控制价）编制变更项目的综合单价，报发包人审核后确定。但确定综合单价时，合同中约定的人工、材料、机械可调整的内容，仍按合同约定调整;合同中未约定的，按施工期信息价（或签证价）确定。</w:t>
      </w:r>
    </w:p>
    <w:p>
      <w:pPr>
        <w:spacing w:line="360" w:lineRule="exact"/>
        <w:ind w:firstLine="420" w:firstLineChars="200"/>
        <w:rPr>
          <w:rFonts w:ascii="宋体" w:hAnsi="宋体" w:cs="宋体"/>
          <w:szCs w:val="21"/>
          <w:u w:val="single"/>
        </w:rPr>
      </w:pPr>
      <w:r>
        <w:rPr>
          <w:rFonts w:hint="eastAsia" w:ascii="宋体" w:hAnsi="宋体" w:cs="宋体"/>
          <w:szCs w:val="21"/>
          <w:u w:val="single"/>
        </w:rPr>
        <w:t>（4）如按以上编制依据缺项的内容，分包人应通过市场调查等手段提出单价，并报发包人确定后执行。</w:t>
      </w:r>
    </w:p>
    <w:p>
      <w:pPr>
        <w:spacing w:line="360" w:lineRule="exact"/>
        <w:ind w:firstLine="420" w:firstLineChars="200"/>
        <w:rPr>
          <w:szCs w:val="21"/>
          <w:u w:val="single"/>
        </w:rPr>
      </w:pPr>
      <w:r>
        <w:rPr>
          <w:rFonts w:hint="eastAsia" w:ascii="宋体" w:hAnsi="宋体" w:cs="宋体"/>
          <w:bCs/>
          <w:szCs w:val="21"/>
          <w:u w:val="single"/>
        </w:rPr>
        <w:t>（5）清单项目组合内容项目特征描述中，局部工程内容对应的工程数量变化，可仅调整计算变化部分的差价。</w:t>
      </w:r>
    </w:p>
    <w:p>
      <w:pPr>
        <w:spacing w:line="360" w:lineRule="exact"/>
        <w:ind w:firstLine="420" w:firstLineChars="200"/>
        <w:rPr>
          <w:szCs w:val="21"/>
        </w:rPr>
      </w:pPr>
      <w:r>
        <w:rPr>
          <w:rFonts w:hint="eastAsia"/>
          <w:szCs w:val="21"/>
        </w:rPr>
        <w:t>10.4.2 变更估价程序</w:t>
      </w:r>
    </w:p>
    <w:p>
      <w:pPr>
        <w:spacing w:line="360" w:lineRule="exact"/>
        <w:ind w:firstLine="420" w:firstLineChars="200"/>
        <w:rPr>
          <w:rFonts w:ascii="新宋体" w:hAnsi="新宋体" w:eastAsia="新宋体" w:cs="新宋体"/>
          <w:szCs w:val="21"/>
          <w:u w:val="single"/>
        </w:rPr>
      </w:pPr>
      <w:r>
        <w:rPr>
          <w:rFonts w:hint="eastAsia" w:ascii="新宋体" w:hAnsi="新宋体" w:eastAsia="新宋体" w:cs="新宋体"/>
          <w:szCs w:val="21"/>
          <w:u w:val="single"/>
        </w:rPr>
        <w:t>分包人收到发包人、监理人、设计单位的变更指示后14天内向发包人提交变更估价申请。</w:t>
      </w:r>
    </w:p>
    <w:p>
      <w:pPr>
        <w:spacing w:line="360" w:lineRule="exact"/>
        <w:ind w:firstLine="420" w:firstLineChars="200"/>
        <w:rPr>
          <w:rFonts w:ascii="新宋体" w:hAnsi="新宋体" w:eastAsia="新宋体" w:cs="新宋体"/>
          <w:szCs w:val="21"/>
          <w:u w:val="single"/>
        </w:rPr>
      </w:pPr>
      <w:r>
        <w:rPr>
          <w:rFonts w:hint="eastAsia" w:ascii="新宋体" w:hAnsi="新宋体" w:eastAsia="新宋体" w:cs="新宋体"/>
          <w:szCs w:val="21"/>
          <w:u w:val="single"/>
        </w:rPr>
        <w:t>分包人提出工程变更、专项施工方案等变更应同时提交变更估价申请。</w:t>
      </w:r>
    </w:p>
    <w:p>
      <w:pPr>
        <w:spacing w:line="360" w:lineRule="exact"/>
        <w:ind w:firstLine="420" w:firstLineChars="200"/>
        <w:rPr>
          <w:rFonts w:ascii="新宋体" w:hAnsi="新宋体" w:eastAsia="新宋体" w:cs="新宋体"/>
          <w:szCs w:val="21"/>
          <w:u w:val="single"/>
        </w:rPr>
      </w:pPr>
      <w:r>
        <w:rPr>
          <w:rFonts w:hint="eastAsia" w:ascii="新宋体" w:hAnsi="新宋体" w:eastAsia="新宋体" w:cs="新宋体"/>
          <w:szCs w:val="21"/>
          <w:u w:val="single"/>
        </w:rPr>
        <w:t>分包人提交的变更估价申请，发包人和监理人应予以签收，并在14天内审批完毕。</w:t>
      </w:r>
    </w:p>
    <w:p>
      <w:pPr>
        <w:spacing w:line="360" w:lineRule="exact"/>
        <w:ind w:firstLine="420" w:firstLineChars="200"/>
        <w:rPr>
          <w:rFonts w:eastAsia="黑体"/>
          <w:szCs w:val="21"/>
        </w:rPr>
      </w:pPr>
      <w:r>
        <w:rPr>
          <w:rFonts w:eastAsia="黑体"/>
          <w:szCs w:val="21"/>
        </w:rPr>
        <w:t>1</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Start w:id="656" w:name="_Toc296891025"/>
      <w:bookmarkStart w:id="657" w:name="_Toc296347196"/>
      <w:bookmarkStart w:id="658" w:name="_Toc300934993"/>
      <w:bookmarkStart w:id="659" w:name="_Toc296503197"/>
      <w:bookmarkStart w:id="660" w:name="_Toc292559907"/>
      <w:bookmarkStart w:id="661" w:name="_Toc297120497"/>
      <w:bookmarkStart w:id="662" w:name="_Toc292559402"/>
      <w:bookmarkStart w:id="663" w:name="_Toc297048383"/>
      <w:bookmarkStart w:id="664" w:name="_Toc296891237"/>
      <w:bookmarkStart w:id="665" w:name="_Toc297216203"/>
      <w:bookmarkStart w:id="666" w:name="_Toc296944536"/>
      <w:bookmarkStart w:id="667" w:name="_Toc297123544"/>
      <w:bookmarkStart w:id="668" w:name="_Toc303539150"/>
      <w:bookmarkStart w:id="669" w:name="_Toc296346698"/>
      <w:bookmarkStart w:id="670" w:name="_Toc312677503"/>
      <w:bookmarkStart w:id="671" w:name="_Toc304295570"/>
      <w:bookmarkStart w:id="672" w:name="_Toc312678029"/>
      <w:r>
        <w:rPr>
          <w:rFonts w:eastAsia="黑体"/>
          <w:szCs w:val="21"/>
        </w:rPr>
        <w:t>0.5</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Start w:id="673" w:name="_Toc297123545"/>
      <w:bookmarkStart w:id="674" w:name="_Toc292559913"/>
      <w:bookmarkStart w:id="675" w:name="_Toc303539151"/>
      <w:bookmarkStart w:id="676" w:name="_Toc300934994"/>
      <w:bookmarkStart w:id="677" w:name="_Toc297048389"/>
      <w:bookmarkStart w:id="678" w:name="_Toc297120503"/>
      <w:bookmarkStart w:id="679" w:name="_Toc297216204"/>
      <w:bookmarkStart w:id="680" w:name="_Toc292559408"/>
      <w:bookmarkStart w:id="681" w:name="_Toc296944542"/>
      <w:bookmarkStart w:id="682" w:name="_Toc296346704"/>
      <w:bookmarkStart w:id="683" w:name="_Toc296347202"/>
      <w:bookmarkStart w:id="684" w:name="_Toc296503203"/>
      <w:bookmarkStart w:id="685" w:name="_Toc296891243"/>
      <w:bookmarkStart w:id="686" w:name="_Toc296891031"/>
      <w:r>
        <w:rPr>
          <w:rFonts w:hint="eastAsia" w:eastAsia="黑体"/>
          <w:szCs w:val="21"/>
        </w:rPr>
        <w:t>分包人</w:t>
      </w:r>
      <w:r>
        <w:rPr>
          <w:rFonts w:eastAsia="黑体"/>
          <w:szCs w:val="21"/>
        </w:rPr>
        <w:t>的合理化建议</w:t>
      </w:r>
    </w:p>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Pr>
        <w:spacing w:line="360" w:lineRule="exact"/>
        <w:ind w:firstLine="420" w:firstLineChars="200"/>
        <w:rPr>
          <w:szCs w:val="21"/>
        </w:rPr>
      </w:pPr>
      <w:r>
        <w:rPr>
          <w:szCs w:val="21"/>
        </w:rPr>
        <w:t>监理人审查</w:t>
      </w:r>
      <w:r>
        <w:rPr>
          <w:rFonts w:hint="eastAsia"/>
          <w:szCs w:val="21"/>
        </w:rPr>
        <w:t>分包人</w:t>
      </w:r>
      <w:r>
        <w:rPr>
          <w:szCs w:val="21"/>
        </w:rPr>
        <w:t>合理化建议的期限：</w:t>
      </w:r>
      <w:r>
        <w:rPr>
          <w:rFonts w:hint="eastAsia" w:ascii="新宋体" w:hAnsi="新宋体" w:eastAsia="新宋体" w:cs="新宋体"/>
          <w:szCs w:val="21"/>
          <w:u w:val="single"/>
        </w:rPr>
        <w:t>按通用条款执行</w:t>
      </w:r>
      <w:r>
        <w:rPr>
          <w:szCs w:val="21"/>
        </w:rPr>
        <w:t>。</w:t>
      </w:r>
    </w:p>
    <w:p>
      <w:pPr>
        <w:spacing w:line="360" w:lineRule="exact"/>
        <w:ind w:firstLine="420" w:firstLineChars="200"/>
        <w:rPr>
          <w:szCs w:val="21"/>
        </w:rPr>
      </w:pPr>
      <w:r>
        <w:rPr>
          <w:szCs w:val="21"/>
        </w:rPr>
        <w:t>发包人审批</w:t>
      </w:r>
      <w:r>
        <w:rPr>
          <w:rFonts w:hint="eastAsia"/>
          <w:szCs w:val="21"/>
        </w:rPr>
        <w:t>分包人</w:t>
      </w:r>
      <w:r>
        <w:rPr>
          <w:szCs w:val="21"/>
        </w:rPr>
        <w:t>合理化建议的期限：</w:t>
      </w:r>
      <w:r>
        <w:rPr>
          <w:rFonts w:hint="eastAsia" w:ascii="新宋体" w:hAnsi="新宋体" w:eastAsia="新宋体" w:cs="新宋体"/>
          <w:szCs w:val="21"/>
          <w:u w:val="single"/>
        </w:rPr>
        <w:t xml:space="preserve">按通用条款执行 </w:t>
      </w:r>
      <w:r>
        <w:rPr>
          <w:szCs w:val="21"/>
        </w:rPr>
        <w:t>。</w:t>
      </w:r>
    </w:p>
    <w:p>
      <w:pPr>
        <w:spacing w:line="360" w:lineRule="exact"/>
        <w:ind w:firstLine="420" w:firstLineChars="200"/>
        <w:rPr>
          <w:szCs w:val="21"/>
          <w:u w:val="single"/>
        </w:rPr>
      </w:pPr>
      <w:bookmarkStart w:id="687" w:name="_Toc296503204"/>
      <w:bookmarkStart w:id="688" w:name="_Toc297123546"/>
      <w:bookmarkStart w:id="689" w:name="_Toc292559409"/>
      <w:bookmarkStart w:id="690" w:name="_Toc304295571"/>
      <w:bookmarkStart w:id="691" w:name="_Toc296891244"/>
      <w:bookmarkStart w:id="692" w:name="_Toc296891032"/>
      <w:bookmarkStart w:id="693" w:name="_Toc297120504"/>
      <w:bookmarkStart w:id="694" w:name="_Toc300934995"/>
      <w:bookmarkStart w:id="695" w:name="_Toc312677504"/>
      <w:bookmarkStart w:id="696" w:name="_Toc296944543"/>
      <w:bookmarkStart w:id="697" w:name="_Toc296346705"/>
      <w:bookmarkStart w:id="698" w:name="_Toc312678030"/>
      <w:bookmarkStart w:id="699" w:name="_Toc296347203"/>
      <w:bookmarkStart w:id="700" w:name="_Toc297216205"/>
      <w:bookmarkStart w:id="701" w:name="_Toc303539152"/>
      <w:bookmarkStart w:id="702" w:name="_Toc292559914"/>
      <w:bookmarkStart w:id="703" w:name="_Toc297048390"/>
      <w:bookmarkStart w:id="704" w:name="_Toc318581175"/>
      <w:r>
        <w:rPr>
          <w:rFonts w:hint="eastAsia"/>
          <w:szCs w:val="21"/>
        </w:rPr>
        <w:t>分包人</w:t>
      </w:r>
      <w:r>
        <w:rPr>
          <w:szCs w:val="21"/>
        </w:rPr>
        <w:t>提出的合理化建议降低了合同价格或者提高了工程经济效益的奖励的方法和金额为：</w:t>
      </w:r>
      <w:r>
        <w:rPr>
          <w:rFonts w:hint="eastAsia"/>
          <w:szCs w:val="21"/>
          <w:u w:val="single"/>
        </w:rPr>
        <w:t>/</w:t>
      </w:r>
      <w:r>
        <w:rPr>
          <w:szCs w:val="21"/>
        </w:rPr>
        <w:t>。</w:t>
      </w:r>
    </w:p>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Pr>
        <w:spacing w:line="360" w:lineRule="exact"/>
        <w:ind w:firstLine="420" w:firstLineChars="200"/>
        <w:rPr>
          <w:rFonts w:eastAsia="黑体"/>
          <w:szCs w:val="21"/>
          <w:u w:val="single"/>
        </w:rPr>
      </w:pPr>
      <w:r>
        <w:rPr>
          <w:rFonts w:eastAsia="黑体"/>
          <w:szCs w:val="21"/>
        </w:rPr>
        <w:t>1</w:t>
      </w:r>
      <w:bookmarkStart w:id="705" w:name="_Toc297048385"/>
      <w:bookmarkStart w:id="706" w:name="_Toc296346700"/>
      <w:bookmarkStart w:id="707" w:name="_Toc296944538"/>
      <w:bookmarkStart w:id="708" w:name="_Toc297123548"/>
      <w:bookmarkStart w:id="709" w:name="_Toc304295574"/>
      <w:bookmarkStart w:id="710" w:name="_Toc296503199"/>
      <w:bookmarkStart w:id="711" w:name="_Toc296891239"/>
      <w:bookmarkStart w:id="712" w:name="_Toc312678033"/>
      <w:bookmarkStart w:id="713" w:name="_Toc300934997"/>
      <w:bookmarkStart w:id="714" w:name="_Toc297216207"/>
      <w:bookmarkStart w:id="715" w:name="_Toc303539154"/>
      <w:bookmarkStart w:id="716" w:name="_Toc292559909"/>
      <w:bookmarkStart w:id="717" w:name="_Toc312677507"/>
      <w:bookmarkStart w:id="718" w:name="_Toc296891027"/>
      <w:bookmarkStart w:id="719" w:name="_Toc292559404"/>
      <w:bookmarkStart w:id="720" w:name="_Toc296347198"/>
      <w:bookmarkStart w:id="721" w:name="_Toc297120499"/>
      <w:r>
        <w:rPr>
          <w:rFonts w:eastAsia="黑体"/>
          <w:szCs w:val="21"/>
        </w:rPr>
        <w:t>0.7 暂估价</w:t>
      </w:r>
      <w:r>
        <w:rPr>
          <w:rFonts w:hint="eastAsia" w:eastAsia="黑体"/>
          <w:szCs w:val="21"/>
        </w:rPr>
        <w:t>：</w:t>
      </w:r>
    </w:p>
    <w:p>
      <w:pPr>
        <w:spacing w:line="360" w:lineRule="exact"/>
        <w:ind w:firstLine="420" w:firstLineChars="200"/>
        <w:rPr>
          <w:szCs w:val="21"/>
        </w:rPr>
      </w:pPr>
      <w:r>
        <w:rPr>
          <w:rFonts w:hint="eastAsia"/>
          <w:szCs w:val="21"/>
        </w:rPr>
        <w:t>暂估价材料和工程设备的明细详见附件11：《暂估价一览表》。</w:t>
      </w:r>
    </w:p>
    <w:p>
      <w:pPr>
        <w:spacing w:line="360" w:lineRule="exact"/>
        <w:ind w:firstLine="420" w:firstLineChars="200"/>
        <w:rPr>
          <w:szCs w:val="21"/>
        </w:rPr>
      </w:pPr>
      <w:r>
        <w:rPr>
          <w:rFonts w:hint="eastAsia"/>
          <w:szCs w:val="21"/>
        </w:rPr>
        <w:t>10.7.1 依法必须招标的暂估价项目</w:t>
      </w:r>
      <w:r>
        <w:rPr>
          <w:rFonts w:hint="eastAsia"/>
          <w:szCs w:val="21"/>
          <w:u w:val="single"/>
        </w:rPr>
        <w:t xml:space="preserve"> </w:t>
      </w:r>
      <w:r>
        <w:rPr>
          <w:rFonts w:hint="eastAsia" w:ascii="宋体" w:hAnsi="宋体" w:cs="宋体"/>
          <w:szCs w:val="21"/>
          <w:u w:val="single"/>
        </w:rPr>
        <w:t>/</w:t>
      </w:r>
      <w:r>
        <w:rPr>
          <w:rFonts w:hint="eastAsia"/>
          <w:szCs w:val="21"/>
          <w:u w:val="single"/>
        </w:rPr>
        <w:t xml:space="preserve"> </w:t>
      </w:r>
      <w:r>
        <w:rPr>
          <w:rFonts w:hint="eastAsia"/>
          <w:szCs w:val="21"/>
        </w:rPr>
        <w:t>。</w:t>
      </w:r>
    </w:p>
    <w:p>
      <w:pPr>
        <w:spacing w:line="360" w:lineRule="exact"/>
        <w:ind w:firstLine="420" w:firstLineChars="200"/>
        <w:rPr>
          <w:szCs w:val="21"/>
        </w:rPr>
      </w:pPr>
      <w:r>
        <w:rPr>
          <w:rFonts w:hint="eastAsia"/>
          <w:szCs w:val="21"/>
        </w:rPr>
        <w:t>10.7.2 不属于依法必须招标的暂估价项目：</w:t>
      </w:r>
      <w:r>
        <w:rPr>
          <w:rFonts w:hint="eastAsia"/>
          <w:szCs w:val="21"/>
          <w:u w:val="single"/>
        </w:rPr>
        <w:t>按合同通用条款</w:t>
      </w:r>
      <w:r>
        <w:rPr>
          <w:rFonts w:hint="eastAsia"/>
          <w:szCs w:val="21"/>
        </w:rPr>
        <w:t>。</w:t>
      </w:r>
    </w:p>
    <w:p>
      <w:pPr>
        <w:spacing w:line="360" w:lineRule="exact"/>
        <w:ind w:firstLine="420" w:firstLineChars="200"/>
        <w:rPr>
          <w:szCs w:val="21"/>
        </w:rPr>
      </w:pPr>
      <w:r>
        <w:rPr>
          <w:rFonts w:hint="eastAsia"/>
          <w:szCs w:val="21"/>
        </w:rPr>
        <w:t>第3种方式：分包人直接实施的暂估价项目</w:t>
      </w:r>
    </w:p>
    <w:p>
      <w:pPr>
        <w:spacing w:line="360" w:lineRule="exact"/>
        <w:ind w:firstLine="420" w:firstLineChars="200"/>
        <w:rPr>
          <w:rFonts w:eastAsia="黑体"/>
          <w:szCs w:val="21"/>
        </w:rPr>
      </w:pPr>
      <w:r>
        <w:rPr>
          <w:rFonts w:hint="eastAsia"/>
          <w:szCs w:val="21"/>
        </w:rPr>
        <w:t>分包人直接实施的暂估价项目的约定：</w:t>
      </w:r>
      <w:r>
        <w:rPr>
          <w:rFonts w:hint="eastAsia"/>
          <w:szCs w:val="21"/>
          <w:u w:val="single"/>
        </w:rPr>
        <w:t xml:space="preserve">    </w:t>
      </w:r>
      <w:r>
        <w:rPr>
          <w:rFonts w:hint="eastAsia" w:eastAsia="黑体"/>
          <w:szCs w:val="21"/>
        </w:rPr>
        <w:t>。</w:t>
      </w:r>
    </w:p>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Pr>
        <w:spacing w:line="360" w:lineRule="exact"/>
        <w:ind w:firstLine="420" w:firstLineChars="200"/>
        <w:rPr>
          <w:rFonts w:eastAsia="黑体"/>
          <w:szCs w:val="21"/>
        </w:rPr>
      </w:pPr>
      <w:r>
        <w:rPr>
          <w:rFonts w:eastAsia="黑体"/>
          <w:szCs w:val="21"/>
        </w:rPr>
        <w:t>10.8 暂列金额</w:t>
      </w:r>
    </w:p>
    <w:p>
      <w:pPr>
        <w:autoSpaceDE w:val="0"/>
        <w:autoSpaceDN w:val="0"/>
        <w:adjustRightInd w:val="0"/>
        <w:spacing w:line="360" w:lineRule="exact"/>
        <w:ind w:firstLine="420" w:firstLineChars="200"/>
        <w:rPr>
          <w:kern w:val="0"/>
          <w:szCs w:val="21"/>
        </w:rPr>
      </w:pPr>
      <w:r>
        <w:rPr>
          <w:rFonts w:hint="eastAsia" w:cs="宋体"/>
          <w:kern w:val="0"/>
          <w:szCs w:val="21"/>
        </w:rPr>
        <w:t>合同当事人关于暂列金额使用的约定：</w:t>
      </w:r>
      <w:r>
        <w:rPr>
          <w:rFonts w:hint="eastAsia" w:cs="宋体"/>
          <w:kern w:val="0"/>
          <w:szCs w:val="21"/>
          <w:u w:val="single"/>
        </w:rPr>
        <w:t xml:space="preserve"> </w:t>
      </w:r>
      <w:r>
        <w:rPr>
          <w:rFonts w:hint="eastAsia"/>
          <w:szCs w:val="21"/>
          <w:u w:val="single"/>
        </w:rPr>
        <w:t xml:space="preserve">  /  </w:t>
      </w:r>
      <w:r>
        <w:rPr>
          <w:rFonts w:hint="eastAsia" w:cs="宋体"/>
          <w:kern w:val="0"/>
          <w:szCs w:val="21"/>
          <w:u w:val="single"/>
        </w:rPr>
        <w:t xml:space="preserve"> </w:t>
      </w:r>
      <w:r>
        <w:rPr>
          <w:rFonts w:hint="eastAsia" w:cs="宋体"/>
          <w:kern w:val="0"/>
          <w:szCs w:val="21"/>
        </w:rPr>
        <w:t>。</w:t>
      </w:r>
    </w:p>
    <w:p>
      <w:pPr>
        <w:autoSpaceDE w:val="0"/>
        <w:autoSpaceDN w:val="0"/>
        <w:adjustRightInd w:val="0"/>
        <w:spacing w:line="360" w:lineRule="exact"/>
        <w:ind w:firstLine="420" w:firstLineChars="200"/>
        <w:rPr>
          <w:kern w:val="0"/>
          <w:szCs w:val="21"/>
          <w:u w:val="single"/>
        </w:rPr>
      </w:pPr>
      <w:r>
        <w:rPr>
          <w:rFonts w:hint="eastAsia" w:cs="宋体"/>
          <w:kern w:val="0"/>
          <w:szCs w:val="21"/>
        </w:rPr>
        <w:t>创标化工地增加费：</w:t>
      </w:r>
      <w:r>
        <w:rPr>
          <w:rFonts w:hint="eastAsia"/>
          <w:u w:val="single"/>
        </w:rPr>
        <w:t xml:space="preserve">    /   </w:t>
      </w:r>
      <w:r>
        <w:rPr>
          <w:rFonts w:hint="eastAsia" w:cs="宋体"/>
          <w:kern w:val="0"/>
          <w:szCs w:val="21"/>
        </w:rPr>
        <w:t>。</w:t>
      </w:r>
    </w:p>
    <w:p>
      <w:pPr>
        <w:autoSpaceDE w:val="0"/>
        <w:autoSpaceDN w:val="0"/>
        <w:adjustRightInd w:val="0"/>
        <w:spacing w:line="360" w:lineRule="exact"/>
        <w:ind w:firstLine="420" w:firstLineChars="200"/>
        <w:rPr>
          <w:kern w:val="0"/>
          <w:szCs w:val="21"/>
        </w:rPr>
      </w:pPr>
      <w:r>
        <w:rPr>
          <w:rFonts w:hint="eastAsia" w:cs="宋体"/>
          <w:kern w:val="0"/>
          <w:szCs w:val="21"/>
        </w:rPr>
        <w:t>创优质工程增加费：</w:t>
      </w:r>
      <w:r>
        <w:rPr>
          <w:rFonts w:hint="eastAsia" w:cs="宋体"/>
          <w:kern w:val="0"/>
          <w:szCs w:val="21"/>
          <w:u w:val="single"/>
        </w:rPr>
        <w:t xml:space="preserve">    /   </w:t>
      </w:r>
      <w:r>
        <w:rPr>
          <w:rFonts w:hint="eastAsia" w:cs="宋体"/>
          <w:kern w:val="0"/>
          <w:szCs w:val="21"/>
        </w:rPr>
        <w:t>。</w:t>
      </w:r>
    </w:p>
    <w:p>
      <w:pPr>
        <w:keepNext/>
        <w:keepLines/>
        <w:spacing w:line="360" w:lineRule="exact"/>
        <w:outlineLvl w:val="3"/>
        <w:rPr>
          <w:rFonts w:eastAsia="黑体"/>
          <w:bCs/>
          <w:szCs w:val="21"/>
        </w:rPr>
      </w:pPr>
      <w:bookmarkStart w:id="722" w:name="_Toc351203643"/>
      <w:r>
        <w:rPr>
          <w:rFonts w:eastAsia="黑体"/>
          <w:bCs/>
          <w:szCs w:val="21"/>
        </w:rPr>
        <w:t>11. 价格调整</w:t>
      </w:r>
      <w:bookmarkEnd w:id="722"/>
    </w:p>
    <w:p>
      <w:pPr>
        <w:spacing w:line="360" w:lineRule="exact"/>
        <w:ind w:firstLine="420" w:firstLineChars="200"/>
        <w:rPr>
          <w:rFonts w:ascii="宋体" w:hAnsi="宋体" w:cs="宋体"/>
          <w:szCs w:val="21"/>
        </w:rPr>
      </w:pPr>
      <w:bookmarkStart w:id="723" w:name="_Toc312678039"/>
      <w:bookmarkStart w:id="724" w:name="_Toc296891241"/>
      <w:bookmarkStart w:id="725" w:name="_Toc297048387"/>
      <w:bookmarkStart w:id="726" w:name="_Toc292559911"/>
      <w:bookmarkStart w:id="727" w:name="_Toc304295577"/>
      <w:bookmarkStart w:id="728" w:name="_Toc292559406"/>
      <w:bookmarkStart w:id="729" w:name="_Toc296891029"/>
      <w:bookmarkStart w:id="730" w:name="_Toc297120501"/>
      <w:bookmarkStart w:id="731" w:name="_Toc296347200"/>
      <w:bookmarkStart w:id="732" w:name="_Toc297123550"/>
      <w:bookmarkStart w:id="733" w:name="_Toc296944540"/>
      <w:bookmarkStart w:id="734" w:name="_Toc300935000"/>
      <w:bookmarkStart w:id="735" w:name="_Toc297216209"/>
      <w:bookmarkStart w:id="736" w:name="_Toc303539157"/>
      <w:bookmarkStart w:id="737" w:name="_Toc296346702"/>
      <w:bookmarkStart w:id="738" w:name="_Toc296503201"/>
      <w:r>
        <w:rPr>
          <w:rFonts w:hint="eastAsia" w:ascii="宋体" w:hAnsi="宋体" w:cs="宋体"/>
          <w:szCs w:val="21"/>
        </w:rPr>
        <w:t>11.1</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Fonts w:hint="eastAsia" w:ascii="宋体" w:hAnsi="宋体" w:cs="宋体"/>
          <w:szCs w:val="21"/>
        </w:rPr>
        <w:t>市场价格波动引起的调整</w:t>
      </w:r>
      <w:r>
        <w:rPr>
          <w:rFonts w:hint="eastAsia" w:ascii="宋体" w:hAnsi="宋体" w:cs="宋体"/>
          <w:kern w:val="0"/>
          <w:szCs w:val="21"/>
        </w:rPr>
        <w:t>：</w:t>
      </w:r>
      <w:r>
        <w:rPr>
          <w:rFonts w:hint="eastAsia" w:ascii="宋体" w:hAnsi="宋体" w:cs="宋体"/>
          <w:kern w:val="0"/>
          <w:szCs w:val="21"/>
          <w:u w:val="single"/>
        </w:rPr>
        <w:t>不予调整。</w:t>
      </w:r>
    </w:p>
    <w:p>
      <w:pPr>
        <w:spacing w:line="360" w:lineRule="exact"/>
        <w:ind w:firstLine="420" w:firstLineChars="200"/>
        <w:rPr>
          <w:rFonts w:ascii="仿宋_GB2312" w:hAnsi="宋体"/>
          <w:szCs w:val="21"/>
          <w:highlight w:val="none"/>
          <w:u w:val="single"/>
        </w:rPr>
      </w:pPr>
      <w:r>
        <w:rPr>
          <w:rFonts w:hint="eastAsia" w:ascii="宋体" w:hAnsi="宋体" w:cs="宋体"/>
          <w:szCs w:val="21"/>
        </w:rPr>
        <w:t>11.2 法律变化引起的调整 ：</w:t>
      </w:r>
      <w:r>
        <w:rPr>
          <w:rFonts w:hint="eastAsia" w:ascii="宋体" w:hAnsi="宋体" w:cs="宋体"/>
          <w:szCs w:val="21"/>
          <w:u w:val="single"/>
        </w:rPr>
        <w:t xml:space="preserve">  基准日期以后变化由发包人承担，但由分包人原因导致工期延误时的法律变</w:t>
      </w:r>
      <w:r>
        <w:rPr>
          <w:rFonts w:hint="eastAsia" w:ascii="宋体" w:hAnsi="宋体" w:cs="宋体"/>
          <w:szCs w:val="21"/>
          <w:highlight w:val="none"/>
          <w:u w:val="single"/>
        </w:rPr>
        <w:t>化引起合同价增加的由分包人承担，合同价下降的由发包人受益。</w:t>
      </w:r>
    </w:p>
    <w:bookmarkEnd w:id="632"/>
    <w:bookmarkEnd w:id="633"/>
    <w:bookmarkEnd w:id="634"/>
    <w:bookmarkEnd w:id="635"/>
    <w:bookmarkEnd w:id="636"/>
    <w:bookmarkEnd w:id="637"/>
    <w:p>
      <w:pPr>
        <w:pStyle w:val="5"/>
        <w:spacing w:before="0" w:after="0" w:line="360" w:lineRule="exact"/>
        <w:rPr>
          <w:rFonts w:ascii="Times New Roman" w:hAnsi="Times New Roman"/>
          <w:b w:val="0"/>
          <w:sz w:val="21"/>
          <w:szCs w:val="21"/>
          <w:highlight w:val="none"/>
        </w:rPr>
      </w:pPr>
      <w:bookmarkStart w:id="739" w:name="_Toc296503205"/>
      <w:bookmarkStart w:id="740" w:name="_Toc297120505"/>
      <w:bookmarkStart w:id="741" w:name="_Toc297048391"/>
      <w:bookmarkStart w:id="742" w:name="_Toc296944544"/>
      <w:bookmarkStart w:id="743" w:name="_Toc292559410"/>
      <w:bookmarkStart w:id="744" w:name="_Toc296891245"/>
      <w:bookmarkStart w:id="745" w:name="_Toc296891033"/>
      <w:bookmarkStart w:id="746" w:name="_Toc292559915"/>
      <w:bookmarkStart w:id="747" w:name="_Toc296346706"/>
      <w:bookmarkStart w:id="748" w:name="_Toc296347204"/>
      <w:bookmarkStart w:id="749" w:name="_Toc351203644"/>
      <w:bookmarkStart w:id="750" w:name="_Toc312678040"/>
      <w:bookmarkStart w:id="751" w:name="_Toc300935002"/>
      <w:bookmarkStart w:id="752" w:name="_Toc297216211"/>
      <w:bookmarkStart w:id="753" w:name="_Toc304295579"/>
      <w:bookmarkStart w:id="754" w:name="_Toc303539159"/>
      <w:bookmarkStart w:id="755" w:name="_Toc297123552"/>
      <w:r>
        <w:rPr>
          <w:rFonts w:ascii="Times New Roman" w:hAnsi="Times New Roman"/>
          <w:b w:val="0"/>
          <w:sz w:val="21"/>
          <w:szCs w:val="21"/>
          <w:highlight w:val="none"/>
        </w:rPr>
        <w:t xml:space="preserve">12. </w:t>
      </w:r>
      <w:bookmarkEnd w:id="739"/>
      <w:bookmarkEnd w:id="740"/>
      <w:bookmarkEnd w:id="741"/>
      <w:bookmarkEnd w:id="742"/>
      <w:bookmarkEnd w:id="743"/>
      <w:bookmarkEnd w:id="744"/>
      <w:bookmarkEnd w:id="745"/>
      <w:bookmarkEnd w:id="746"/>
      <w:bookmarkEnd w:id="747"/>
      <w:bookmarkEnd w:id="748"/>
      <w:r>
        <w:rPr>
          <w:rFonts w:ascii="Times New Roman" w:hAnsi="Times New Roman"/>
          <w:b w:val="0"/>
          <w:sz w:val="21"/>
          <w:szCs w:val="21"/>
          <w:highlight w:val="none"/>
        </w:rPr>
        <w:t>合同价格、计量与支付</w:t>
      </w:r>
      <w:bookmarkEnd w:id="749"/>
    </w:p>
    <w:bookmarkEnd w:id="750"/>
    <w:bookmarkEnd w:id="751"/>
    <w:bookmarkEnd w:id="752"/>
    <w:bookmarkEnd w:id="753"/>
    <w:bookmarkEnd w:id="754"/>
    <w:bookmarkEnd w:id="755"/>
    <w:p>
      <w:pPr>
        <w:spacing w:line="360" w:lineRule="exact"/>
        <w:ind w:firstLine="420" w:firstLineChars="200"/>
        <w:rPr>
          <w:rFonts w:eastAsia="黑体"/>
          <w:szCs w:val="21"/>
          <w:highlight w:val="none"/>
        </w:rPr>
      </w:pPr>
      <w:bookmarkStart w:id="756" w:name="_Toc292559411"/>
      <w:bookmarkStart w:id="757" w:name="_Toc267251461"/>
      <w:bookmarkStart w:id="758" w:name="_Toc292559916"/>
      <w:bookmarkStart w:id="759" w:name="_Toc296503206"/>
      <w:bookmarkStart w:id="760" w:name="_Toc296944545"/>
      <w:bookmarkStart w:id="761" w:name="_Toc296891034"/>
      <w:bookmarkStart w:id="762" w:name="_Toc296347205"/>
      <w:bookmarkStart w:id="763" w:name="_Toc297048392"/>
      <w:bookmarkStart w:id="764" w:name="_Toc296891246"/>
      <w:bookmarkStart w:id="765" w:name="_Toc296346707"/>
      <w:bookmarkStart w:id="766" w:name="_Toc297120506"/>
      <w:bookmarkStart w:id="767" w:name="_Toc297123553"/>
      <w:bookmarkStart w:id="768" w:name="_Toc303539160"/>
      <w:bookmarkStart w:id="769" w:name="_Toc297216212"/>
      <w:bookmarkStart w:id="770" w:name="_Toc312678041"/>
      <w:bookmarkStart w:id="771" w:name="_Toc304295580"/>
      <w:bookmarkStart w:id="772" w:name="_Toc300935003"/>
      <w:r>
        <w:rPr>
          <w:rFonts w:eastAsia="黑体"/>
          <w:szCs w:val="21"/>
          <w:highlight w:val="none"/>
        </w:rPr>
        <w:t>12.1 合</w:t>
      </w:r>
      <w:bookmarkEnd w:id="756"/>
      <w:bookmarkEnd w:id="757"/>
      <w:bookmarkEnd w:id="758"/>
      <w:r>
        <w:rPr>
          <w:rFonts w:eastAsia="黑体"/>
          <w:szCs w:val="21"/>
          <w:highlight w:val="none"/>
        </w:rPr>
        <w:t>同价</w:t>
      </w:r>
      <w:bookmarkEnd w:id="759"/>
      <w:bookmarkEnd w:id="760"/>
      <w:bookmarkEnd w:id="761"/>
      <w:bookmarkEnd w:id="762"/>
      <w:bookmarkEnd w:id="763"/>
      <w:bookmarkEnd w:id="764"/>
      <w:bookmarkEnd w:id="765"/>
      <w:bookmarkEnd w:id="766"/>
      <w:r>
        <w:rPr>
          <w:rFonts w:eastAsia="黑体"/>
          <w:szCs w:val="21"/>
          <w:highlight w:val="none"/>
        </w:rPr>
        <w:t>格形式</w:t>
      </w:r>
    </w:p>
    <w:p>
      <w:pPr>
        <w:pStyle w:val="24"/>
        <w:widowControl/>
        <w:adjustRightInd w:val="0"/>
        <w:spacing w:line="360" w:lineRule="exact"/>
        <w:ind w:firstLine="420" w:firstLineChars="200"/>
        <w:rPr>
          <w:rFonts w:hAnsi="宋体" w:cs="宋体"/>
          <w:kern w:val="0"/>
          <w:szCs w:val="21"/>
          <w:highlight w:val="none"/>
        </w:rPr>
      </w:pPr>
      <w:r>
        <w:rPr>
          <w:rFonts w:hint="eastAsia" w:hAnsi="宋体" w:cs="宋体"/>
          <w:kern w:val="0"/>
          <w:szCs w:val="21"/>
          <w:highlight w:val="none"/>
        </w:rPr>
        <w:t>本合同价款采用第</w:t>
      </w:r>
      <w:r>
        <w:rPr>
          <w:rFonts w:hint="eastAsia" w:hAnsi="宋体" w:cs="宋体"/>
          <w:kern w:val="0"/>
          <w:szCs w:val="21"/>
          <w:highlight w:val="none"/>
          <w:u w:val="single"/>
        </w:rPr>
        <w:t xml:space="preserve">  1  </w:t>
      </w:r>
      <w:r>
        <w:rPr>
          <w:rFonts w:hint="eastAsia" w:hAnsi="宋体" w:cs="宋体"/>
          <w:kern w:val="0"/>
          <w:szCs w:val="21"/>
          <w:highlight w:val="none"/>
        </w:rPr>
        <w:t>种方式</w:t>
      </w:r>
      <w:r>
        <w:rPr>
          <w:rFonts w:hint="eastAsia" w:hAnsi="宋体" w:cs="宋体"/>
          <w:szCs w:val="21"/>
          <w:highlight w:val="none"/>
          <w:u w:val="single"/>
        </w:rPr>
        <w:t>单价合同</w:t>
      </w:r>
      <w:r>
        <w:rPr>
          <w:rFonts w:hint="eastAsia" w:hAnsi="宋体" w:cs="宋体"/>
          <w:kern w:val="0"/>
          <w:szCs w:val="21"/>
          <w:highlight w:val="none"/>
        </w:rPr>
        <w:t>确定。</w:t>
      </w:r>
    </w:p>
    <w:bookmarkEnd w:id="767"/>
    <w:bookmarkEnd w:id="768"/>
    <w:bookmarkEnd w:id="769"/>
    <w:bookmarkEnd w:id="770"/>
    <w:bookmarkEnd w:id="771"/>
    <w:bookmarkEnd w:id="772"/>
    <w:p>
      <w:pPr>
        <w:spacing w:line="360" w:lineRule="exact"/>
        <w:ind w:firstLine="420" w:firstLineChars="200"/>
        <w:rPr>
          <w:szCs w:val="21"/>
          <w:highlight w:val="none"/>
        </w:rPr>
      </w:pPr>
      <w:r>
        <w:rPr>
          <w:szCs w:val="21"/>
          <w:highlight w:val="none"/>
        </w:rPr>
        <w:t>1</w:t>
      </w:r>
      <w:r>
        <w:rPr>
          <w:rFonts w:hint="eastAsia"/>
          <w:szCs w:val="21"/>
          <w:highlight w:val="none"/>
        </w:rPr>
        <w:t>．</w:t>
      </w:r>
      <w:r>
        <w:rPr>
          <w:szCs w:val="21"/>
          <w:highlight w:val="none"/>
        </w:rPr>
        <w:t>单价合同。</w:t>
      </w:r>
    </w:p>
    <w:p>
      <w:pPr>
        <w:spacing w:line="360" w:lineRule="exact"/>
        <w:ind w:firstLine="315" w:firstLineChars="150"/>
        <w:rPr>
          <w:szCs w:val="21"/>
          <w:highlight w:val="none"/>
        </w:rPr>
      </w:pPr>
      <w:r>
        <w:rPr>
          <w:rFonts w:hint="eastAsia"/>
          <w:szCs w:val="21"/>
          <w:highlight w:val="none"/>
        </w:rPr>
        <w:t>综合单价</w:t>
      </w:r>
      <w:r>
        <w:rPr>
          <w:szCs w:val="21"/>
          <w:highlight w:val="none"/>
        </w:rPr>
        <w:t>包含的风险范围：</w:t>
      </w:r>
    </w:p>
    <w:p>
      <w:pPr>
        <w:autoSpaceDE w:val="0"/>
        <w:autoSpaceDN w:val="0"/>
        <w:spacing w:line="360" w:lineRule="exact"/>
        <w:ind w:firstLine="420" w:firstLineChars="200"/>
        <w:rPr>
          <w:rFonts w:ascii="宋体" w:hAnsi="宋体" w:cs="宋体"/>
          <w:szCs w:val="21"/>
          <w:highlight w:val="none"/>
          <w:u w:val="single"/>
        </w:rPr>
      </w:pPr>
      <w:r>
        <w:rPr>
          <w:rFonts w:hint="eastAsia" w:ascii="宋体" w:hAnsi="宋体" w:cs="宋体"/>
          <w:szCs w:val="21"/>
          <w:highlight w:val="none"/>
          <w:u w:val="single"/>
        </w:rPr>
        <w:t>本工程结算价的计算方式同投标价。除风险范围以外约定的调整外，以下内容按承包人的投标承诺不作调整：</w:t>
      </w:r>
    </w:p>
    <w:p>
      <w:pPr>
        <w:pStyle w:val="24"/>
        <w:widowControl/>
        <w:adjustRightInd w:val="0"/>
        <w:spacing w:line="360" w:lineRule="exact"/>
        <w:ind w:firstLine="420" w:firstLineChars="200"/>
        <w:rPr>
          <w:rFonts w:hAnsi="宋体" w:cs="宋体"/>
          <w:kern w:val="0"/>
          <w:szCs w:val="21"/>
          <w:highlight w:val="none"/>
          <w:u w:val="single"/>
        </w:rPr>
      </w:pPr>
      <w:r>
        <w:rPr>
          <w:rFonts w:hint="eastAsia" w:hAnsi="宋体" w:cs="宋体"/>
          <w:color w:val="0C0C0C"/>
          <w:kern w:val="0"/>
          <w:szCs w:val="21"/>
          <w:highlight w:val="none"/>
          <w:u w:val="single"/>
        </w:rPr>
        <w:t>（</w:t>
      </w:r>
      <w:r>
        <w:rPr>
          <w:rFonts w:hAnsi="宋体" w:cs="宋体"/>
          <w:kern w:val="0"/>
          <w:szCs w:val="21"/>
          <w:highlight w:val="none"/>
          <w:u w:val="single"/>
        </w:rPr>
        <w:t>1</w:t>
      </w:r>
      <w:r>
        <w:rPr>
          <w:rFonts w:hint="eastAsia" w:hAnsi="宋体" w:cs="宋体"/>
          <w:kern w:val="0"/>
          <w:szCs w:val="21"/>
          <w:highlight w:val="none"/>
          <w:u w:val="single"/>
        </w:rPr>
        <w:t>）本工程的结算率一次性包死，结算率</w:t>
      </w:r>
      <w:r>
        <w:rPr>
          <w:rFonts w:hAnsi="宋体" w:cs="宋体"/>
          <w:kern w:val="0"/>
          <w:szCs w:val="21"/>
          <w:highlight w:val="none"/>
          <w:u w:val="single"/>
        </w:rPr>
        <w:t>=</w:t>
      </w:r>
      <w:r>
        <w:rPr>
          <w:rFonts w:hint="eastAsia" w:hAnsi="宋体" w:cs="宋体"/>
          <w:szCs w:val="21"/>
          <w:highlight w:val="none"/>
          <w:u w:val="single"/>
        </w:rPr>
        <w:t>（投标总报价/招标控制价）×100%。</w:t>
      </w:r>
    </w:p>
    <w:p>
      <w:pPr>
        <w:pStyle w:val="24"/>
        <w:widowControl/>
        <w:adjustRightInd w:val="0"/>
        <w:spacing w:line="360" w:lineRule="exact"/>
        <w:ind w:firstLine="420" w:firstLineChars="200"/>
        <w:rPr>
          <w:rFonts w:hAnsi="宋体" w:cs="宋体"/>
          <w:kern w:val="0"/>
          <w:szCs w:val="21"/>
          <w:highlight w:val="none"/>
          <w:u w:val="single"/>
        </w:rPr>
      </w:pPr>
      <w:r>
        <w:rPr>
          <w:rFonts w:hint="eastAsia" w:hAnsi="宋体" w:cs="宋体"/>
          <w:color w:val="0C0C0C"/>
          <w:kern w:val="0"/>
          <w:szCs w:val="21"/>
          <w:highlight w:val="none"/>
          <w:u w:val="single"/>
        </w:rPr>
        <w:t>（</w:t>
      </w:r>
      <w:r>
        <w:rPr>
          <w:rFonts w:hAnsi="宋体" w:cs="宋体"/>
          <w:kern w:val="0"/>
          <w:szCs w:val="21"/>
          <w:highlight w:val="none"/>
          <w:u w:val="single"/>
        </w:rPr>
        <w:t>2</w:t>
      </w:r>
      <w:r>
        <w:rPr>
          <w:rFonts w:hint="eastAsia" w:hAnsi="宋体" w:cs="宋体"/>
          <w:kern w:val="0"/>
          <w:szCs w:val="21"/>
          <w:highlight w:val="none"/>
          <w:u w:val="single"/>
        </w:rPr>
        <w:t>）本工程按发包人提供的招标控制价结合固定结算率方式结算，结算时应按照招标控制价的计量依据、组价方式、取费标准、工程量清单综合单价确定办法等进行结算，不得调整；</w:t>
      </w:r>
    </w:p>
    <w:p>
      <w:pPr>
        <w:pStyle w:val="24"/>
        <w:widowControl/>
        <w:adjustRightInd w:val="0"/>
        <w:spacing w:line="360" w:lineRule="exact"/>
        <w:ind w:firstLine="420" w:firstLineChars="200"/>
        <w:rPr>
          <w:rFonts w:hAnsi="宋体" w:cs="宋体"/>
          <w:color w:val="0C0C0C"/>
          <w:kern w:val="0"/>
          <w:szCs w:val="21"/>
          <w:highlight w:val="none"/>
          <w:u w:val="single"/>
        </w:rPr>
      </w:pPr>
      <w:r>
        <w:rPr>
          <w:rFonts w:hint="eastAsia" w:hAnsi="宋体" w:cs="宋体"/>
          <w:color w:val="0C0C0C"/>
          <w:kern w:val="0"/>
          <w:szCs w:val="21"/>
          <w:highlight w:val="none"/>
          <w:u w:val="single"/>
        </w:rPr>
        <w:t>（3）计日工综合单价</w:t>
      </w:r>
      <w:r>
        <w:rPr>
          <w:rFonts w:hAnsi="宋体" w:cs="宋体"/>
          <w:color w:val="0C0C0C"/>
          <w:kern w:val="0"/>
          <w:szCs w:val="21"/>
          <w:highlight w:val="none"/>
          <w:u w:val="single"/>
        </w:rPr>
        <w:t>[</w:t>
      </w:r>
      <w:r>
        <w:rPr>
          <w:rFonts w:hint="eastAsia" w:hAnsi="宋体" w:cs="宋体"/>
          <w:color w:val="0C0C0C"/>
          <w:kern w:val="0"/>
          <w:szCs w:val="21"/>
          <w:highlight w:val="none"/>
          <w:u w:val="single"/>
        </w:rPr>
        <w:t>工数经发包人签证，综合结算单价（含税金、规费等其他费用）</w:t>
      </w:r>
      <w:r>
        <w:rPr>
          <w:rFonts w:hAnsi="宋体" w:cs="宋体"/>
          <w:color w:val="0C0C0C"/>
          <w:kern w:val="0"/>
          <w:szCs w:val="21"/>
          <w:highlight w:val="none"/>
          <w:u w:val="single"/>
        </w:rPr>
        <w:t xml:space="preserve">] </w:t>
      </w:r>
      <w:r>
        <w:rPr>
          <w:rFonts w:hint="eastAsia" w:hAnsi="宋体" w:cs="宋体"/>
          <w:color w:val="0C0C0C"/>
          <w:kern w:val="0"/>
          <w:szCs w:val="21"/>
          <w:highlight w:val="none"/>
          <w:u w:val="single"/>
        </w:rPr>
        <w:t>技术工按260元</w:t>
      </w:r>
      <w:r>
        <w:rPr>
          <w:rFonts w:hAnsi="宋体" w:cs="宋体"/>
          <w:color w:val="0C0C0C"/>
          <w:kern w:val="0"/>
          <w:szCs w:val="21"/>
          <w:highlight w:val="none"/>
          <w:u w:val="single"/>
        </w:rPr>
        <w:t>/</w:t>
      </w:r>
      <w:r>
        <w:rPr>
          <w:rFonts w:hint="eastAsia" w:hAnsi="宋体" w:cs="宋体"/>
          <w:color w:val="0C0C0C"/>
          <w:kern w:val="0"/>
          <w:szCs w:val="21"/>
          <w:highlight w:val="none"/>
          <w:u w:val="single"/>
        </w:rPr>
        <w:t>工日，普工按180元</w:t>
      </w:r>
      <w:r>
        <w:rPr>
          <w:rFonts w:hAnsi="宋体" w:cs="宋体"/>
          <w:color w:val="0C0C0C"/>
          <w:kern w:val="0"/>
          <w:szCs w:val="21"/>
          <w:highlight w:val="none"/>
          <w:u w:val="single"/>
        </w:rPr>
        <w:t>/</w:t>
      </w:r>
      <w:r>
        <w:rPr>
          <w:rFonts w:hint="eastAsia" w:hAnsi="宋体" w:cs="宋体"/>
          <w:color w:val="0C0C0C"/>
          <w:kern w:val="0"/>
          <w:szCs w:val="21"/>
          <w:highlight w:val="none"/>
          <w:u w:val="single"/>
        </w:rPr>
        <w:t>工日计取；</w:t>
      </w:r>
    </w:p>
    <w:p>
      <w:pPr>
        <w:pStyle w:val="24"/>
        <w:widowControl/>
        <w:adjustRightInd w:val="0"/>
        <w:spacing w:line="360" w:lineRule="exact"/>
        <w:ind w:firstLine="420" w:firstLineChars="200"/>
        <w:rPr>
          <w:rFonts w:hAnsi="宋体" w:cs="宋体"/>
          <w:kern w:val="0"/>
          <w:szCs w:val="21"/>
          <w:highlight w:val="none"/>
          <w:u w:val="single"/>
        </w:rPr>
      </w:pPr>
      <w:r>
        <w:rPr>
          <w:rFonts w:hint="eastAsia" w:hAnsi="宋体" w:cs="宋体"/>
          <w:color w:val="0C0C0C"/>
          <w:kern w:val="0"/>
          <w:szCs w:val="21"/>
          <w:highlight w:val="none"/>
          <w:u w:val="single"/>
        </w:rPr>
        <w:t>（4</w:t>
      </w:r>
      <w:r>
        <w:rPr>
          <w:rFonts w:hint="eastAsia" w:hAnsi="宋体" w:cs="宋体"/>
          <w:kern w:val="0"/>
          <w:szCs w:val="21"/>
          <w:highlight w:val="none"/>
          <w:u w:val="single"/>
        </w:rPr>
        <w:t>）如实际施工机械种类、台数与招标控制价不同，不予调整（具体以招标控制价为准）；</w:t>
      </w:r>
    </w:p>
    <w:p>
      <w:pPr>
        <w:spacing w:line="360" w:lineRule="exact"/>
        <w:ind w:firstLine="420" w:firstLineChars="200"/>
        <w:rPr>
          <w:rFonts w:hint="eastAsia"/>
          <w:szCs w:val="21"/>
          <w:u w:val="single"/>
        </w:rPr>
      </w:pPr>
      <w:r>
        <w:rPr>
          <w:rFonts w:hint="eastAsia" w:ascii="宋体" w:hAnsi="宋体" w:cs="宋体"/>
          <w:szCs w:val="21"/>
          <w:highlight w:val="none"/>
          <w:u w:val="single"/>
        </w:rPr>
        <w:t>（5）其他可能发生的费用：</w:t>
      </w:r>
    </w:p>
    <w:p>
      <w:pPr>
        <w:spacing w:line="360" w:lineRule="exact"/>
        <w:ind w:firstLine="420" w:firstLineChars="200"/>
        <w:rPr>
          <w:rFonts w:hint="eastAsia"/>
          <w:szCs w:val="21"/>
          <w:u w:val="single"/>
        </w:rPr>
      </w:pPr>
      <w:r>
        <w:rPr>
          <w:rFonts w:hint="eastAsia"/>
          <w:szCs w:val="21"/>
          <w:u w:val="single"/>
        </w:rPr>
        <w:t>a.因施工噪音、物体坠落、材料抛散而扰民及影响环境卫生、交通城管、现场文明和施工安全等问题等产生的费用，由分包人和有关管理部门、人员联系，自行解决。因此造成工期延长由分包人负责。如给发包人另行造成额外的经济损失，发包人可从分包人的工程款中扣回。</w:t>
      </w:r>
    </w:p>
    <w:p>
      <w:pPr>
        <w:spacing w:line="360" w:lineRule="exact"/>
        <w:ind w:firstLine="420" w:firstLineChars="200"/>
        <w:rPr>
          <w:rFonts w:hint="eastAsia"/>
          <w:szCs w:val="21"/>
          <w:u w:val="single"/>
        </w:rPr>
      </w:pPr>
      <w:r>
        <w:rPr>
          <w:rFonts w:hint="eastAsia"/>
          <w:szCs w:val="21"/>
          <w:u w:val="single"/>
        </w:rPr>
        <w:t>b.凡招标文件中没明确允许补差或建设主管部门文件没有明确规定由发包人承担的，但实际施工中可能发生的其它管理费（如街道管理费、干扰费、环保费、占道押金等）均由分包人承担。</w:t>
      </w:r>
    </w:p>
    <w:p>
      <w:pPr>
        <w:spacing w:line="360" w:lineRule="exact"/>
        <w:ind w:firstLine="420" w:firstLineChars="200"/>
        <w:rPr>
          <w:rFonts w:hint="eastAsia"/>
          <w:szCs w:val="21"/>
          <w:u w:val="single"/>
        </w:rPr>
      </w:pPr>
      <w:r>
        <w:rPr>
          <w:rFonts w:hint="eastAsia"/>
          <w:szCs w:val="21"/>
          <w:u w:val="single"/>
        </w:rPr>
        <w:t>c.除合同另有规定外，总承包人应在工程完工后竣工验收前，无条件清除施工区和生活区及其附近的施工废弃物，并按监理人批准的环境保护措施计划完成环境恢复，相关费用均由分包人承担。</w:t>
      </w:r>
    </w:p>
    <w:p>
      <w:pPr>
        <w:spacing w:line="360" w:lineRule="exact"/>
        <w:ind w:firstLine="420" w:firstLineChars="200"/>
        <w:rPr>
          <w:rFonts w:hint="eastAsia"/>
          <w:szCs w:val="21"/>
          <w:u w:val="single"/>
        </w:rPr>
      </w:pPr>
      <w:r>
        <w:rPr>
          <w:rFonts w:hint="eastAsia"/>
          <w:szCs w:val="21"/>
          <w:u w:val="single"/>
        </w:rPr>
        <w:t>d、建筑垃圾外运应按当地有关要求办理，如垃圾运至指定地点集中处理等。建筑垃圾外运及场地清理发生的费用分包人已在投标报价时综合考虑，不再另行计取。</w:t>
      </w:r>
    </w:p>
    <w:p>
      <w:pPr>
        <w:spacing w:line="360" w:lineRule="exact"/>
        <w:ind w:firstLine="420" w:firstLineChars="200"/>
        <w:rPr>
          <w:rFonts w:hint="eastAsia"/>
          <w:szCs w:val="21"/>
          <w:u w:val="single"/>
        </w:rPr>
      </w:pPr>
      <w:r>
        <w:rPr>
          <w:rFonts w:hint="eastAsia"/>
          <w:szCs w:val="21"/>
          <w:u w:val="single"/>
        </w:rPr>
        <w:t xml:space="preserve">e、本项目纳入施工总承包管理，由施工总承包人提供总承包管理及相应的服务，具体以施工总承包合同约定为准，分包人自行与总承包人做好衔接工作。除总承包人提供的相应服务外，如需另增加的措施费用等已包含在合同价中，结算时不再调整。 </w:t>
      </w:r>
    </w:p>
    <w:p>
      <w:pPr>
        <w:spacing w:line="360" w:lineRule="exact"/>
        <w:ind w:firstLine="420" w:firstLineChars="200"/>
        <w:rPr>
          <w:rFonts w:hint="eastAsia"/>
          <w:szCs w:val="21"/>
          <w:u w:val="single"/>
        </w:rPr>
      </w:pPr>
      <w:r>
        <w:rPr>
          <w:rFonts w:hint="eastAsia"/>
          <w:szCs w:val="21"/>
          <w:u w:val="single"/>
        </w:rPr>
        <w:t>f.本工程施工过程可能与本区块内其他分包人或总承包人发生相互干扰及交叉施工，由此发生的相关费用，分包人在报价时已综合考虑，结算时不再另行计取。</w:t>
      </w:r>
    </w:p>
    <w:p>
      <w:pPr>
        <w:spacing w:line="360" w:lineRule="exact"/>
        <w:ind w:firstLine="420" w:firstLineChars="200"/>
        <w:rPr>
          <w:rFonts w:hint="eastAsia"/>
          <w:szCs w:val="21"/>
          <w:u w:val="single"/>
        </w:rPr>
      </w:pPr>
      <w:r>
        <w:rPr>
          <w:rFonts w:hint="eastAsia"/>
          <w:szCs w:val="21"/>
          <w:u w:val="single"/>
        </w:rPr>
        <w:t>g.分包人应完成本工程范围内的所有洞口的修补（包括预留、修补等）工作，由此发生的相关费用，分包人在报价时已综合考虑，结算时不再另行计取。</w:t>
      </w:r>
    </w:p>
    <w:p>
      <w:pPr>
        <w:spacing w:line="360" w:lineRule="exact"/>
        <w:ind w:firstLine="420" w:firstLineChars="200"/>
        <w:rPr>
          <w:rFonts w:hint="eastAsia"/>
          <w:szCs w:val="21"/>
          <w:u w:val="single"/>
        </w:rPr>
      </w:pPr>
      <w:r>
        <w:rPr>
          <w:rFonts w:hint="eastAsia"/>
          <w:szCs w:val="21"/>
          <w:u w:val="single"/>
        </w:rPr>
        <w:t>h.分包人根据图纸、施工现场、设备尺寸，充分考虑设备安装时需要进行的墙面等开槽以及与相关专业工种的配合工作，由此产生的费用分包人已在投标报价时综合考虑，结算时不再另行计取。</w:t>
      </w:r>
    </w:p>
    <w:p>
      <w:pPr>
        <w:spacing w:line="360" w:lineRule="exact"/>
        <w:ind w:firstLine="420" w:firstLineChars="200"/>
        <w:rPr>
          <w:rFonts w:hint="eastAsia"/>
          <w:szCs w:val="21"/>
          <w:u w:val="single"/>
        </w:rPr>
      </w:pPr>
      <w:r>
        <w:rPr>
          <w:rFonts w:hint="eastAsia"/>
          <w:szCs w:val="21"/>
          <w:u w:val="single"/>
        </w:rPr>
        <w:t>i.分包人须配合亮化办做好工作，将本工程的亮化远程控制（如配电箱等）与亮化办兼容，并确保验收合格。</w:t>
      </w:r>
    </w:p>
    <w:p>
      <w:pPr>
        <w:spacing w:line="360" w:lineRule="exact"/>
        <w:ind w:firstLine="420" w:firstLineChars="200"/>
        <w:rPr>
          <w:rFonts w:hint="eastAsia"/>
          <w:szCs w:val="21"/>
          <w:u w:val="single"/>
        </w:rPr>
      </w:pPr>
      <w:r>
        <w:rPr>
          <w:rFonts w:hint="eastAsia"/>
          <w:szCs w:val="21"/>
          <w:u w:val="single"/>
        </w:rPr>
        <w:t>j.所有涉及到的检验检测费用分包人在投标报价时已综合考虑，结算时不再另行计取。</w:t>
      </w:r>
    </w:p>
    <w:p>
      <w:pPr>
        <w:spacing w:line="360" w:lineRule="exact"/>
        <w:ind w:firstLine="420" w:firstLineChars="200"/>
        <w:rPr>
          <w:rFonts w:hint="eastAsia"/>
          <w:szCs w:val="21"/>
          <w:u w:val="single"/>
        </w:rPr>
      </w:pPr>
      <w:r>
        <w:rPr>
          <w:rFonts w:hint="eastAsia"/>
          <w:szCs w:val="21"/>
          <w:u w:val="single"/>
        </w:rPr>
        <w:t>k.发包人只提供施工现场现有的施工作业面，如实际施工过程中，涉及垂直运输、水电费、办公场地、材料堆放场地等为本工程开展所需的全部费用均由分包人在投标报价中自行考虑，并已包含在签约合同价内，结算时不再另行计取。</w:t>
      </w:r>
    </w:p>
    <w:p>
      <w:pPr>
        <w:spacing w:line="360" w:lineRule="exact"/>
        <w:ind w:firstLine="420" w:firstLineChars="200"/>
        <w:rPr>
          <w:rFonts w:hint="eastAsia"/>
          <w:szCs w:val="21"/>
          <w:u w:val="single"/>
        </w:rPr>
      </w:pPr>
      <w:r>
        <w:rPr>
          <w:rFonts w:hint="eastAsia"/>
          <w:szCs w:val="21"/>
          <w:u w:val="single"/>
        </w:rPr>
        <w:t>l.外墙脚手架费用（工地内现场若有）、建筑物超高加压水泵费用已包含在总承包服务费中，若需要另行搭脚手架设（包括室内、室外）、吊篮等其他措施费用，增加相关费用分包人在投标报价中已综合考虑，结算不作调整。</w:t>
      </w:r>
    </w:p>
    <w:p>
      <w:pPr>
        <w:spacing w:line="360" w:lineRule="exact"/>
        <w:ind w:firstLine="420" w:firstLineChars="200"/>
        <w:rPr>
          <w:rFonts w:hint="eastAsia"/>
          <w:szCs w:val="21"/>
          <w:u w:val="single"/>
        </w:rPr>
      </w:pPr>
      <w:r>
        <w:rPr>
          <w:rFonts w:hint="eastAsia"/>
          <w:szCs w:val="21"/>
          <w:u w:val="single"/>
        </w:rPr>
        <w:t>m.亮化相关技术措施费按项包干，结算时不再另行计取。</w:t>
      </w:r>
    </w:p>
    <w:p>
      <w:pPr>
        <w:spacing w:line="360" w:lineRule="exact"/>
        <w:ind w:firstLine="420" w:firstLineChars="200"/>
        <w:rPr>
          <w:rFonts w:hint="eastAsia"/>
          <w:szCs w:val="21"/>
          <w:u w:val="single"/>
        </w:rPr>
      </w:pPr>
      <w:r>
        <w:rPr>
          <w:rFonts w:hint="eastAsia"/>
          <w:szCs w:val="21"/>
          <w:u w:val="single"/>
        </w:rPr>
        <w:t>n.本工程的安全责任险、第三方责任险、人身意外伤害险费均包含在合同总价内，结算时不再另行计取。</w:t>
      </w:r>
    </w:p>
    <w:p>
      <w:pPr>
        <w:spacing w:line="360" w:lineRule="exact"/>
        <w:ind w:firstLine="420" w:firstLineChars="200"/>
        <w:rPr>
          <w:rFonts w:hint="eastAsia"/>
          <w:szCs w:val="21"/>
          <w:highlight w:val="none"/>
          <w:u w:val="single"/>
        </w:rPr>
      </w:pPr>
      <w:r>
        <w:rPr>
          <w:rFonts w:hint="eastAsia"/>
          <w:szCs w:val="21"/>
          <w:u w:val="single"/>
        </w:rPr>
        <w:t>o.疫情常态化防控和智慧工地的费用已包含</w:t>
      </w:r>
      <w:r>
        <w:rPr>
          <w:rFonts w:hint="eastAsia"/>
          <w:szCs w:val="21"/>
          <w:highlight w:val="none"/>
          <w:u w:val="single"/>
        </w:rPr>
        <w:t>在合同总价内，结算时不再另行计取。</w:t>
      </w:r>
    </w:p>
    <w:p>
      <w:pPr>
        <w:spacing w:line="360" w:lineRule="exact"/>
        <w:ind w:firstLine="420" w:firstLineChars="200"/>
        <w:rPr>
          <w:rFonts w:hint="eastAsia"/>
          <w:szCs w:val="21"/>
          <w:highlight w:val="none"/>
          <w:u w:val="single"/>
        </w:rPr>
      </w:pPr>
      <w:r>
        <w:rPr>
          <w:rFonts w:hint="eastAsia"/>
          <w:szCs w:val="21"/>
          <w:highlight w:val="none"/>
          <w:u w:val="single"/>
        </w:rPr>
        <w:t>p.分包人配合总承包人创建浙江省建筑安全文明施工标准化工地的相关费用已包含在合同总价内，结算时不再另行计取。</w:t>
      </w:r>
    </w:p>
    <w:p>
      <w:pPr>
        <w:spacing w:line="360" w:lineRule="exact"/>
        <w:ind w:firstLine="420" w:firstLineChars="200"/>
        <w:rPr>
          <w:rFonts w:hint="eastAsia"/>
          <w:szCs w:val="21"/>
          <w:highlight w:val="none"/>
          <w:u w:val="single"/>
        </w:rPr>
      </w:pPr>
      <w:r>
        <w:rPr>
          <w:rFonts w:hint="eastAsia"/>
          <w:szCs w:val="21"/>
          <w:highlight w:val="none"/>
          <w:u w:val="single"/>
        </w:rPr>
        <w:t>q、亮化相关技术措施费按项包干。</w:t>
      </w:r>
    </w:p>
    <w:p>
      <w:pPr>
        <w:spacing w:line="360" w:lineRule="exact"/>
        <w:ind w:firstLine="420" w:firstLineChars="200"/>
        <w:rPr>
          <w:szCs w:val="21"/>
        </w:rPr>
      </w:pPr>
      <w:r>
        <w:rPr>
          <w:szCs w:val="21"/>
        </w:rPr>
        <w:t>风险费用的计算方法：</w:t>
      </w:r>
      <w:r>
        <w:rPr>
          <w:rFonts w:hint="eastAsia"/>
          <w:szCs w:val="21"/>
          <w:u w:val="single"/>
        </w:rPr>
        <w:t>已包含在合同价内</w:t>
      </w:r>
      <w:r>
        <w:rPr>
          <w:szCs w:val="21"/>
        </w:rPr>
        <w:t>。</w:t>
      </w:r>
    </w:p>
    <w:p>
      <w:pPr>
        <w:spacing w:line="360" w:lineRule="exact"/>
        <w:ind w:firstLine="420" w:firstLineChars="200"/>
        <w:rPr>
          <w:szCs w:val="21"/>
        </w:rPr>
      </w:pPr>
      <w:r>
        <w:rPr>
          <w:szCs w:val="21"/>
        </w:rPr>
        <w:t>风险范围以外合同价格的调整方法：</w:t>
      </w:r>
    </w:p>
    <w:p>
      <w:pPr>
        <w:spacing w:line="360" w:lineRule="exact"/>
        <w:ind w:firstLine="420" w:firstLineChars="200"/>
        <w:rPr>
          <w:szCs w:val="21"/>
          <w:u w:val="single"/>
        </w:rPr>
      </w:pPr>
      <w:r>
        <w:rPr>
          <w:rFonts w:hint="eastAsia"/>
          <w:szCs w:val="21"/>
          <w:u w:val="single"/>
        </w:rPr>
        <w:t>（1）工程量按照专用条款12.3.1条规定，由分包人计量，发包人及有关部门审核。</w:t>
      </w:r>
    </w:p>
    <w:p>
      <w:pPr>
        <w:spacing w:line="360" w:lineRule="exact"/>
        <w:ind w:firstLine="420" w:firstLineChars="200"/>
        <w:rPr>
          <w:szCs w:val="21"/>
          <w:u w:val="single"/>
        </w:rPr>
      </w:pPr>
      <w:r>
        <w:rPr>
          <w:rFonts w:hint="eastAsia"/>
          <w:szCs w:val="21"/>
          <w:u w:val="single"/>
        </w:rPr>
        <w:t>（2）因市场价格波动引起的调整按本合同专用条款第11.1款的约定调整。</w:t>
      </w:r>
    </w:p>
    <w:p>
      <w:pPr>
        <w:spacing w:line="360" w:lineRule="exact"/>
        <w:ind w:firstLine="420" w:firstLineChars="200"/>
        <w:rPr>
          <w:szCs w:val="21"/>
          <w:u w:val="single"/>
        </w:rPr>
      </w:pPr>
      <w:r>
        <w:rPr>
          <w:rFonts w:hint="eastAsia"/>
          <w:szCs w:val="21"/>
          <w:u w:val="single"/>
        </w:rPr>
        <w:t>（3）因发包人提供的工程量清单项目工程数量计算偏差或工程变更引起的工程量增加或减少，按专用条款10.4.1条、1.13执行。</w:t>
      </w:r>
    </w:p>
    <w:p>
      <w:pPr>
        <w:spacing w:line="360" w:lineRule="exact"/>
        <w:ind w:firstLine="420" w:firstLineChars="200"/>
        <w:rPr>
          <w:szCs w:val="21"/>
          <w:u w:val="single"/>
        </w:rPr>
      </w:pPr>
      <w:r>
        <w:rPr>
          <w:rFonts w:hint="eastAsia"/>
          <w:szCs w:val="21"/>
          <w:u w:val="single"/>
        </w:rPr>
        <w:t>（4）发包人提供的工程量清单项目漏项、错项、工程变更引起的新增项目、工程量清单局部变更，与已标价工程量清单项目不同或相类似项目，其综合单价的确定方法按本合同专用条款10.4.1条约定调整。</w:t>
      </w:r>
    </w:p>
    <w:p>
      <w:pPr>
        <w:spacing w:line="360" w:lineRule="exact"/>
        <w:ind w:firstLine="420" w:firstLineChars="200"/>
        <w:rPr>
          <w:szCs w:val="21"/>
          <w:u w:val="single"/>
        </w:rPr>
      </w:pPr>
      <w:r>
        <w:rPr>
          <w:rFonts w:hint="eastAsia"/>
          <w:szCs w:val="21"/>
          <w:u w:val="single"/>
        </w:rPr>
        <w:t>（5）因非分包人原因的分部分项工程量清单漏项、错项、工程变更及清单工程量增减等，引起措施项目内容、工程数量发生变化，则调整措施项目费用：</w:t>
      </w:r>
    </w:p>
    <w:p>
      <w:pPr>
        <w:spacing w:line="360" w:lineRule="exact"/>
        <w:ind w:firstLine="420" w:firstLineChars="200"/>
      </w:pPr>
      <w:r>
        <w:rPr>
          <w:rFonts w:hint="eastAsia"/>
          <w:szCs w:val="21"/>
          <w:u w:val="single"/>
        </w:rPr>
        <w:t>a、采用综合单价计价的按专用条款第10.4.1条计算综合单价。</w:t>
      </w:r>
    </w:p>
    <w:p>
      <w:pPr>
        <w:spacing w:line="360" w:lineRule="exact"/>
        <w:ind w:firstLine="420" w:firstLineChars="200"/>
        <w:rPr>
          <w:szCs w:val="21"/>
          <w:u w:val="single"/>
        </w:rPr>
      </w:pPr>
      <w:r>
        <w:rPr>
          <w:rFonts w:hint="eastAsia"/>
          <w:szCs w:val="21"/>
          <w:u w:val="single"/>
        </w:rPr>
        <w:t>b、施工组织措施项目，按合同约定的费率内容调整措施费用计算基数。</w:t>
      </w:r>
    </w:p>
    <w:p>
      <w:pPr>
        <w:spacing w:line="360" w:lineRule="exact"/>
        <w:ind w:firstLine="420" w:firstLineChars="200"/>
        <w:rPr>
          <w:szCs w:val="21"/>
        </w:rPr>
      </w:pPr>
      <w:r>
        <w:rPr>
          <w:rFonts w:hint="eastAsia"/>
          <w:szCs w:val="21"/>
          <w:u w:val="single"/>
        </w:rPr>
        <w:t>（6）未在投标价中包含的专项施工方案的施工及论证费用不再另行计取，由分包单位承担。</w:t>
      </w:r>
    </w:p>
    <w:p>
      <w:pPr>
        <w:spacing w:line="360" w:lineRule="exact"/>
        <w:ind w:firstLine="420" w:firstLineChars="200"/>
        <w:rPr>
          <w:szCs w:val="21"/>
        </w:rPr>
      </w:pPr>
      <w:r>
        <w:rPr>
          <w:szCs w:val="21"/>
        </w:rPr>
        <w:t>2</w:t>
      </w:r>
      <w:r>
        <w:rPr>
          <w:rFonts w:hint="eastAsia"/>
          <w:szCs w:val="21"/>
        </w:rPr>
        <w:t>．</w:t>
      </w:r>
      <w:r>
        <w:rPr>
          <w:szCs w:val="21"/>
        </w:rPr>
        <w:t>总价合同。</w:t>
      </w:r>
    </w:p>
    <w:p>
      <w:pPr>
        <w:spacing w:line="360" w:lineRule="exact"/>
        <w:ind w:firstLine="420" w:firstLineChars="200"/>
        <w:rPr>
          <w:szCs w:val="21"/>
        </w:rPr>
      </w:pPr>
      <w:r>
        <w:rPr>
          <w:szCs w:val="21"/>
        </w:rPr>
        <w:t>总价包含的风险范围：</w:t>
      </w:r>
      <w:r>
        <w:rPr>
          <w:rFonts w:hint="eastAsia"/>
          <w:szCs w:val="21"/>
          <w:u w:val="single"/>
        </w:rPr>
        <w:t>/</w:t>
      </w:r>
      <w:r>
        <w:rPr>
          <w:szCs w:val="21"/>
        </w:rPr>
        <w:t>。</w:t>
      </w:r>
    </w:p>
    <w:p>
      <w:pPr>
        <w:spacing w:line="360" w:lineRule="exact"/>
        <w:ind w:firstLine="420" w:firstLineChars="200"/>
        <w:rPr>
          <w:szCs w:val="21"/>
        </w:rPr>
      </w:pPr>
      <w:r>
        <w:rPr>
          <w:szCs w:val="21"/>
        </w:rPr>
        <w:t>风险费用的计算方法：</w:t>
      </w:r>
      <w:r>
        <w:rPr>
          <w:rFonts w:hint="eastAsia"/>
          <w:szCs w:val="21"/>
          <w:u w:val="single"/>
        </w:rPr>
        <w:t xml:space="preserve">/              </w:t>
      </w:r>
      <w:r>
        <w:rPr>
          <w:szCs w:val="21"/>
        </w:rPr>
        <w:t>。</w:t>
      </w:r>
    </w:p>
    <w:p>
      <w:pPr>
        <w:spacing w:line="360" w:lineRule="exact"/>
        <w:ind w:firstLine="420" w:firstLineChars="200"/>
        <w:rPr>
          <w:szCs w:val="21"/>
        </w:rPr>
      </w:pPr>
      <w:r>
        <w:rPr>
          <w:szCs w:val="21"/>
        </w:rPr>
        <w:t>风险范围以外合同价格的调整方法：</w:t>
      </w:r>
      <w:r>
        <w:rPr>
          <w:rFonts w:hint="eastAsia"/>
          <w:szCs w:val="21"/>
          <w:u w:val="single"/>
        </w:rPr>
        <w:t xml:space="preserve">/        </w:t>
      </w:r>
      <w:r>
        <w:rPr>
          <w:szCs w:val="21"/>
        </w:rPr>
        <w:t>。</w:t>
      </w:r>
    </w:p>
    <w:p>
      <w:pPr>
        <w:spacing w:line="360" w:lineRule="exact"/>
        <w:ind w:firstLine="420" w:firstLineChars="200"/>
        <w:rPr>
          <w:szCs w:val="21"/>
        </w:rPr>
      </w:pPr>
      <w:r>
        <w:rPr>
          <w:szCs w:val="21"/>
        </w:rPr>
        <w:t>3</w:t>
      </w:r>
      <w:r>
        <w:rPr>
          <w:rFonts w:hint="eastAsia"/>
          <w:szCs w:val="21"/>
        </w:rPr>
        <w:t>．</w:t>
      </w:r>
      <w:r>
        <w:rPr>
          <w:szCs w:val="21"/>
        </w:rPr>
        <w:t>其他价格方式：</w:t>
      </w:r>
      <w:r>
        <w:rPr>
          <w:rFonts w:hint="eastAsia"/>
          <w:szCs w:val="21"/>
          <w:u w:val="single"/>
        </w:rPr>
        <w:t xml:space="preserve">/            </w:t>
      </w:r>
      <w:r>
        <w:rPr>
          <w:szCs w:val="21"/>
        </w:rPr>
        <w:t>。</w:t>
      </w:r>
    </w:p>
    <w:p>
      <w:pPr>
        <w:spacing w:line="360" w:lineRule="exact"/>
        <w:ind w:firstLine="420" w:firstLineChars="200"/>
        <w:rPr>
          <w:rFonts w:eastAsia="黑体"/>
          <w:szCs w:val="21"/>
        </w:rPr>
      </w:pPr>
      <w:bookmarkStart w:id="773" w:name="_Toc304295581"/>
      <w:bookmarkStart w:id="774" w:name="_Toc297123554"/>
      <w:bookmarkStart w:id="775" w:name="_Toc303539161"/>
      <w:bookmarkStart w:id="776" w:name="_Toc312678042"/>
      <w:bookmarkStart w:id="777" w:name="_Toc300935004"/>
      <w:bookmarkStart w:id="778" w:name="_Toc297216213"/>
      <w:bookmarkStart w:id="779" w:name="_Toc296944546"/>
      <w:bookmarkStart w:id="780" w:name="_Toc297048393"/>
      <w:bookmarkStart w:id="781" w:name="_Toc296347206"/>
      <w:bookmarkStart w:id="782" w:name="_Toc296503207"/>
      <w:bookmarkStart w:id="783" w:name="_Toc296346708"/>
      <w:bookmarkStart w:id="784" w:name="_Toc292559917"/>
      <w:bookmarkStart w:id="785" w:name="_Toc297120507"/>
      <w:bookmarkStart w:id="786" w:name="_Toc292559412"/>
      <w:bookmarkStart w:id="787" w:name="_Toc296891035"/>
      <w:bookmarkStart w:id="788" w:name="_Toc296891247"/>
      <w:r>
        <w:rPr>
          <w:rFonts w:eastAsia="黑体"/>
          <w:szCs w:val="21"/>
        </w:rPr>
        <w:t>12.2 预付款</w:t>
      </w:r>
    </w:p>
    <w:bookmarkEnd w:id="773"/>
    <w:bookmarkEnd w:id="774"/>
    <w:bookmarkEnd w:id="775"/>
    <w:bookmarkEnd w:id="776"/>
    <w:bookmarkEnd w:id="777"/>
    <w:bookmarkEnd w:id="778"/>
    <w:p>
      <w:pPr>
        <w:spacing w:line="360" w:lineRule="exact"/>
        <w:ind w:firstLine="420" w:firstLineChars="200"/>
        <w:rPr>
          <w:szCs w:val="21"/>
        </w:rPr>
      </w:pPr>
      <w:r>
        <w:rPr>
          <w:szCs w:val="21"/>
        </w:rPr>
        <w:t>12.2.1 预付款的支付</w:t>
      </w:r>
    </w:p>
    <w:p>
      <w:pPr>
        <w:spacing w:line="360" w:lineRule="exact"/>
        <w:ind w:firstLine="420" w:firstLineChars="200"/>
        <w:rPr>
          <w:rFonts w:ascii="仿宋_GB2312"/>
          <w:color w:val="FF0000"/>
          <w:szCs w:val="21"/>
        </w:rPr>
      </w:pPr>
      <w:r>
        <w:rPr>
          <w:szCs w:val="21"/>
        </w:rPr>
        <w:t>预付款支付比例或金额：</w:t>
      </w:r>
      <w:r>
        <w:rPr>
          <w:rFonts w:hint="eastAsia"/>
          <w:szCs w:val="21"/>
          <w:u w:val="single"/>
        </w:rPr>
        <w:t>签约合同价的</w:t>
      </w:r>
      <w:r>
        <w:rPr>
          <w:rFonts w:hint="eastAsia"/>
          <w:szCs w:val="21"/>
          <w:u w:val="single"/>
          <w:lang w:val="en-US" w:eastAsia="zh-CN"/>
        </w:rPr>
        <w:t>5</w:t>
      </w:r>
      <w:r>
        <w:rPr>
          <w:rFonts w:hint="eastAsia"/>
          <w:szCs w:val="21"/>
          <w:u w:val="single"/>
        </w:rPr>
        <w:t>%，金额（    ）元，工程预付款不包括需单独支付的安全文明施工费</w:t>
      </w:r>
      <w:r>
        <w:rPr>
          <w:rFonts w:hint="eastAsia" w:ascii="仿宋_GB2312"/>
          <w:szCs w:val="21"/>
          <w:u w:val="single"/>
        </w:rPr>
        <w:t>。</w:t>
      </w:r>
    </w:p>
    <w:p>
      <w:pPr>
        <w:spacing w:line="360" w:lineRule="exact"/>
        <w:ind w:firstLine="420" w:firstLineChars="200"/>
        <w:rPr>
          <w:szCs w:val="21"/>
        </w:rPr>
      </w:pPr>
      <w:r>
        <w:rPr>
          <w:szCs w:val="21"/>
        </w:rPr>
        <w:t>预付款支付期限：</w:t>
      </w:r>
      <w:r>
        <w:rPr>
          <w:rFonts w:hint="eastAsia"/>
          <w:szCs w:val="21"/>
          <w:u w:val="single"/>
        </w:rPr>
        <w:t>按投标承诺的人员、机械设备进场后7天内</w:t>
      </w:r>
      <w:r>
        <w:rPr>
          <w:szCs w:val="21"/>
        </w:rPr>
        <w:t>。</w:t>
      </w:r>
    </w:p>
    <w:p>
      <w:pPr>
        <w:spacing w:line="360" w:lineRule="exact"/>
        <w:ind w:firstLine="420" w:firstLineChars="200"/>
        <w:rPr>
          <w:szCs w:val="21"/>
        </w:rPr>
      </w:pPr>
      <w:r>
        <w:rPr>
          <w:szCs w:val="21"/>
        </w:rPr>
        <w:t>预付款扣回的方式：</w:t>
      </w:r>
      <w:r>
        <w:rPr>
          <w:rFonts w:hint="eastAsia"/>
          <w:szCs w:val="21"/>
          <w:u w:val="single"/>
        </w:rPr>
        <w:t>不扣回，作为工程款</w:t>
      </w:r>
      <w:r>
        <w:rPr>
          <w:szCs w:val="21"/>
        </w:rPr>
        <w:t>。</w:t>
      </w:r>
    </w:p>
    <w:p>
      <w:pPr>
        <w:spacing w:line="360" w:lineRule="exact"/>
        <w:ind w:firstLine="420" w:firstLineChars="200"/>
        <w:rPr>
          <w:szCs w:val="21"/>
        </w:rPr>
      </w:pPr>
      <w:r>
        <w:rPr>
          <w:szCs w:val="21"/>
        </w:rPr>
        <w:t>12.2.2 预付款担保</w:t>
      </w:r>
    </w:p>
    <w:p>
      <w:pPr>
        <w:spacing w:line="360" w:lineRule="exact"/>
        <w:ind w:firstLine="420" w:firstLineChars="200"/>
        <w:rPr>
          <w:szCs w:val="21"/>
        </w:rPr>
      </w:pPr>
      <w:r>
        <w:rPr>
          <w:rFonts w:hint="eastAsia"/>
          <w:szCs w:val="21"/>
        </w:rPr>
        <w:t>分包人</w:t>
      </w:r>
      <w:r>
        <w:rPr>
          <w:szCs w:val="21"/>
        </w:rPr>
        <w:t>提交预付款担保的期限：</w:t>
      </w:r>
      <w:r>
        <w:rPr>
          <w:rFonts w:hint="eastAsia"/>
          <w:szCs w:val="21"/>
          <w:u w:val="single"/>
        </w:rPr>
        <w:t xml:space="preserve">      /        </w:t>
      </w:r>
      <w:r>
        <w:rPr>
          <w:szCs w:val="21"/>
        </w:rPr>
        <w:t>。</w:t>
      </w:r>
    </w:p>
    <w:p>
      <w:pPr>
        <w:spacing w:line="360" w:lineRule="exact"/>
        <w:ind w:firstLine="420" w:firstLineChars="200"/>
        <w:rPr>
          <w:szCs w:val="21"/>
        </w:rPr>
      </w:pPr>
      <w:r>
        <w:rPr>
          <w:szCs w:val="21"/>
        </w:rPr>
        <w:t>预付款担保的形式为：</w:t>
      </w:r>
      <w:r>
        <w:rPr>
          <w:rFonts w:hint="eastAsia"/>
          <w:szCs w:val="21"/>
          <w:u w:val="single"/>
        </w:rPr>
        <w:t xml:space="preserve">  /     </w:t>
      </w:r>
      <w:r>
        <w:rPr>
          <w:szCs w:val="21"/>
        </w:rPr>
        <w:t>。</w:t>
      </w:r>
    </w:p>
    <w:bookmarkEnd w:id="779"/>
    <w:bookmarkEnd w:id="780"/>
    <w:bookmarkEnd w:id="781"/>
    <w:bookmarkEnd w:id="782"/>
    <w:bookmarkEnd w:id="783"/>
    <w:bookmarkEnd w:id="784"/>
    <w:bookmarkEnd w:id="785"/>
    <w:bookmarkEnd w:id="786"/>
    <w:bookmarkEnd w:id="787"/>
    <w:bookmarkEnd w:id="788"/>
    <w:p>
      <w:pPr>
        <w:spacing w:line="360" w:lineRule="exact"/>
        <w:ind w:firstLine="420" w:firstLineChars="200"/>
        <w:rPr>
          <w:rFonts w:eastAsia="黑体"/>
          <w:szCs w:val="21"/>
        </w:rPr>
      </w:pPr>
      <w:r>
        <w:rPr>
          <w:rFonts w:eastAsia="黑体"/>
          <w:szCs w:val="21"/>
        </w:rPr>
        <w:t>12.3 计量</w:t>
      </w:r>
    </w:p>
    <w:p>
      <w:pPr>
        <w:spacing w:line="360" w:lineRule="exact"/>
        <w:ind w:firstLine="420" w:firstLineChars="200"/>
        <w:rPr>
          <w:szCs w:val="21"/>
        </w:rPr>
      </w:pPr>
      <w:r>
        <w:rPr>
          <w:szCs w:val="21"/>
        </w:rPr>
        <w:t>12.3.1 计量原则</w:t>
      </w:r>
    </w:p>
    <w:p>
      <w:pPr>
        <w:spacing w:line="360" w:lineRule="exact"/>
        <w:ind w:firstLine="420" w:firstLineChars="200"/>
        <w:rPr>
          <w:szCs w:val="21"/>
          <w:u w:val="single"/>
        </w:rPr>
      </w:pPr>
      <w:r>
        <w:rPr>
          <w:rFonts w:hint="eastAsia"/>
          <w:szCs w:val="21"/>
          <w:u w:val="single"/>
        </w:rPr>
        <w:t>工程量计算按照实际完成施工图纸范围内和经发包人同意增加的施工内容按实计算，工程量计算规则按照</w:t>
      </w:r>
      <w:r>
        <w:rPr>
          <w:rFonts w:hint="eastAsia"/>
          <w:szCs w:val="21"/>
          <w:u w:val="single"/>
          <w:lang w:eastAsia="zh-CN"/>
        </w:rPr>
        <w:t>《建设工程工程量清单计价规范》(GB50500-2013)、《通用安装工程工程量计算规范》(GB50856-2013)、建设工程工程量计算规范(2013)浙江省补充规定及补充规定(二)、《浙江省建设工程计价规则》(2018版)、《浙江省通用安装工程预算定额》(2018版)</w:t>
      </w:r>
      <w:r>
        <w:rPr>
          <w:rFonts w:hint="eastAsia"/>
          <w:szCs w:val="21"/>
          <w:u w:val="single"/>
        </w:rPr>
        <w:t>及发包人提供的工程量清单中说明的工程量计算规则计量。</w:t>
      </w:r>
    </w:p>
    <w:p>
      <w:pPr>
        <w:spacing w:line="360" w:lineRule="exact"/>
        <w:ind w:firstLine="420" w:firstLineChars="200"/>
        <w:rPr>
          <w:szCs w:val="21"/>
        </w:rPr>
      </w:pPr>
      <w:r>
        <w:rPr>
          <w:szCs w:val="21"/>
        </w:rPr>
        <w:t>12.3.2 计量周期</w:t>
      </w:r>
      <w:r>
        <w:rPr>
          <w:rFonts w:hint="eastAsia"/>
          <w:szCs w:val="21"/>
        </w:rPr>
        <w:t>：</w:t>
      </w:r>
    </w:p>
    <w:p>
      <w:pPr>
        <w:spacing w:line="360" w:lineRule="exact"/>
        <w:ind w:firstLine="420" w:firstLineChars="200"/>
        <w:rPr>
          <w:szCs w:val="21"/>
        </w:rPr>
      </w:pPr>
      <w:r>
        <w:rPr>
          <w:szCs w:val="21"/>
        </w:rPr>
        <w:t>关于计量周期的约定：</w:t>
      </w:r>
      <w:r>
        <w:rPr>
          <w:rFonts w:hint="eastAsia" w:ascii="新宋体" w:hAnsi="新宋体" w:eastAsia="新宋体" w:cs="新宋体"/>
          <w:szCs w:val="21"/>
          <w:u w:val="single"/>
        </w:rPr>
        <w:t>按月计量</w:t>
      </w:r>
      <w:r>
        <w:rPr>
          <w:szCs w:val="21"/>
        </w:rPr>
        <w:t>。</w:t>
      </w:r>
    </w:p>
    <w:p>
      <w:pPr>
        <w:spacing w:line="360" w:lineRule="exact"/>
        <w:ind w:firstLine="420" w:firstLineChars="200"/>
        <w:rPr>
          <w:szCs w:val="21"/>
        </w:rPr>
      </w:pPr>
      <w:r>
        <w:rPr>
          <w:szCs w:val="21"/>
        </w:rPr>
        <w:t>12.3.3 单价合同的计量</w:t>
      </w:r>
    </w:p>
    <w:p>
      <w:pPr>
        <w:spacing w:line="360" w:lineRule="exact"/>
        <w:ind w:firstLine="420" w:firstLineChars="200"/>
        <w:rPr>
          <w:rFonts w:ascii="新宋体" w:hAnsi="新宋体" w:eastAsia="新宋体" w:cs="新宋体"/>
          <w:szCs w:val="21"/>
          <w:u w:val="single"/>
        </w:rPr>
      </w:pPr>
      <w:r>
        <w:rPr>
          <w:szCs w:val="21"/>
        </w:rPr>
        <w:t>关于单价合同计量的约定：</w:t>
      </w:r>
      <w:r>
        <w:rPr>
          <w:rFonts w:hint="eastAsia" w:ascii="新宋体" w:hAnsi="新宋体" w:eastAsia="新宋体" w:cs="新宋体"/>
          <w:szCs w:val="21"/>
          <w:u w:val="single"/>
        </w:rPr>
        <w:t>按合同通用条款执行。</w:t>
      </w:r>
    </w:p>
    <w:p>
      <w:pPr>
        <w:spacing w:line="360" w:lineRule="exact"/>
        <w:ind w:firstLine="420" w:firstLineChars="200"/>
        <w:rPr>
          <w:kern w:val="0"/>
          <w:szCs w:val="21"/>
          <w:u w:val="single"/>
        </w:rPr>
      </w:pPr>
      <w:r>
        <w:rPr>
          <w:rFonts w:hint="eastAsia" w:ascii="仿宋_GB2312" w:hAnsi="宋体"/>
          <w:szCs w:val="21"/>
          <w:u w:val="single"/>
        </w:rPr>
        <w:t>（</w:t>
      </w:r>
      <w:r>
        <w:rPr>
          <w:rFonts w:hint="eastAsia"/>
          <w:kern w:val="0"/>
          <w:szCs w:val="21"/>
          <w:u w:val="single"/>
        </w:rPr>
        <w:t>4）确认的工程量和单价仅作为本期工程款支付的依据。</w:t>
      </w:r>
    </w:p>
    <w:p>
      <w:pPr>
        <w:spacing w:line="360" w:lineRule="exact"/>
        <w:ind w:firstLine="420" w:firstLineChars="200"/>
        <w:rPr>
          <w:szCs w:val="21"/>
        </w:rPr>
      </w:pPr>
      <w:r>
        <w:rPr>
          <w:szCs w:val="21"/>
        </w:rPr>
        <w:t>12.3.4 总价合同的计量</w:t>
      </w:r>
    </w:p>
    <w:p>
      <w:pPr>
        <w:spacing w:line="360" w:lineRule="exact"/>
        <w:ind w:firstLine="420" w:firstLineChars="200"/>
        <w:rPr>
          <w:szCs w:val="21"/>
        </w:rPr>
      </w:pPr>
      <w:r>
        <w:rPr>
          <w:szCs w:val="21"/>
        </w:rPr>
        <w:t>关于总价合同计量的约定：</w:t>
      </w:r>
      <w:r>
        <w:rPr>
          <w:rFonts w:hint="eastAsia"/>
          <w:szCs w:val="21"/>
          <w:u w:val="single"/>
        </w:rPr>
        <w:t xml:space="preserve">/      </w:t>
      </w:r>
      <w:r>
        <w:rPr>
          <w:szCs w:val="21"/>
        </w:rPr>
        <w:t>。</w:t>
      </w:r>
    </w:p>
    <w:p>
      <w:pPr>
        <w:spacing w:line="360" w:lineRule="exact"/>
        <w:ind w:firstLine="420" w:firstLineChars="200"/>
        <w:rPr>
          <w:szCs w:val="21"/>
        </w:rPr>
      </w:pPr>
      <w:r>
        <w:rPr>
          <w:szCs w:val="21"/>
        </w:rPr>
        <w:t>12.3.5总价合同采用支付分解表计量支付的，是否适用第</w:t>
      </w:r>
      <w:r>
        <w:rPr>
          <w:kern w:val="0"/>
          <w:szCs w:val="21"/>
        </w:rPr>
        <w:t xml:space="preserve">12.3.4 </w:t>
      </w:r>
      <w:r>
        <w:rPr>
          <w:szCs w:val="21"/>
        </w:rPr>
        <w:t>项</w:t>
      </w:r>
      <w:r>
        <w:rPr>
          <w:rFonts w:hint="eastAsia"/>
          <w:kern w:val="0"/>
          <w:szCs w:val="21"/>
        </w:rPr>
        <w:t>〔</w:t>
      </w:r>
      <w:r>
        <w:rPr>
          <w:kern w:val="0"/>
          <w:szCs w:val="21"/>
        </w:rPr>
        <w:t>总价合同的计量</w:t>
      </w:r>
      <w:r>
        <w:rPr>
          <w:rFonts w:hint="eastAsia"/>
          <w:kern w:val="0"/>
          <w:szCs w:val="21"/>
        </w:rPr>
        <w:t>〕</w:t>
      </w:r>
      <w:r>
        <w:rPr>
          <w:szCs w:val="21"/>
        </w:rPr>
        <w:t>约定</w:t>
      </w:r>
      <w:r>
        <w:rPr>
          <w:rFonts w:hint="eastAsia"/>
          <w:szCs w:val="21"/>
        </w:rPr>
        <w:t>进行计量：</w:t>
      </w:r>
      <w:r>
        <w:rPr>
          <w:rFonts w:hint="eastAsia"/>
          <w:szCs w:val="21"/>
          <w:u w:val="single"/>
        </w:rPr>
        <w:t xml:space="preserve">/           </w:t>
      </w:r>
      <w:r>
        <w:rPr>
          <w:szCs w:val="21"/>
        </w:rPr>
        <w:t>。</w:t>
      </w:r>
    </w:p>
    <w:p>
      <w:pPr>
        <w:spacing w:line="360" w:lineRule="exact"/>
        <w:ind w:firstLine="420" w:firstLineChars="200"/>
        <w:rPr>
          <w:szCs w:val="21"/>
        </w:rPr>
      </w:pPr>
      <w:r>
        <w:rPr>
          <w:szCs w:val="21"/>
        </w:rPr>
        <w:t>12.3.6 其他价格形式合同的计量</w:t>
      </w:r>
    </w:p>
    <w:p>
      <w:pPr>
        <w:spacing w:line="360" w:lineRule="exact"/>
        <w:ind w:firstLine="420" w:firstLineChars="200"/>
        <w:rPr>
          <w:szCs w:val="21"/>
          <w:u w:val="single"/>
        </w:rPr>
      </w:pPr>
      <w:r>
        <w:rPr>
          <w:szCs w:val="21"/>
        </w:rPr>
        <w:t>其他价格形式的计量方式和程序：</w:t>
      </w:r>
      <w:r>
        <w:rPr>
          <w:rFonts w:hint="eastAsia" w:ascii="新宋体" w:hAnsi="新宋体" w:eastAsia="新宋体" w:cs="新宋体"/>
          <w:szCs w:val="21"/>
          <w:u w:val="single"/>
        </w:rPr>
        <w:t>工程变更按规定办理完毕的，变更工程价款及</w:t>
      </w:r>
      <w:r>
        <w:rPr>
          <w:rFonts w:hint="eastAsia" w:ascii="仿宋_GB2312"/>
          <w:szCs w:val="21"/>
          <w:u w:val="single"/>
        </w:rPr>
        <w:t>人工、材料价格调整，</w:t>
      </w:r>
      <w:r>
        <w:rPr>
          <w:rFonts w:hint="eastAsia" w:ascii="新宋体" w:hAnsi="新宋体" w:eastAsia="新宋体" w:cs="新宋体"/>
          <w:szCs w:val="21"/>
          <w:u w:val="single"/>
        </w:rPr>
        <w:t>在竣工结算时统一计算及支付</w:t>
      </w:r>
      <w:r>
        <w:rPr>
          <w:rFonts w:hint="eastAsia"/>
          <w:szCs w:val="21"/>
        </w:rPr>
        <w:t>。</w:t>
      </w:r>
    </w:p>
    <w:p>
      <w:pPr>
        <w:spacing w:line="360" w:lineRule="exact"/>
        <w:ind w:firstLine="420" w:firstLineChars="200"/>
        <w:rPr>
          <w:rFonts w:eastAsia="黑体"/>
          <w:szCs w:val="21"/>
        </w:rPr>
      </w:pPr>
      <w:r>
        <w:rPr>
          <w:rFonts w:eastAsia="黑体"/>
          <w:szCs w:val="21"/>
        </w:rPr>
        <w:t>12.4 工程进度款支付</w:t>
      </w:r>
    </w:p>
    <w:p>
      <w:pPr>
        <w:spacing w:line="360" w:lineRule="exact"/>
        <w:ind w:firstLine="420" w:firstLineChars="200"/>
        <w:rPr>
          <w:szCs w:val="21"/>
        </w:rPr>
      </w:pPr>
      <w:bookmarkStart w:id="789" w:name="_Toc297123556"/>
      <w:bookmarkStart w:id="790" w:name="_Toc296891251"/>
      <w:bookmarkStart w:id="791" w:name="_Toc292559921"/>
      <w:bookmarkStart w:id="792" w:name="_Toc296346712"/>
      <w:bookmarkStart w:id="793" w:name="_Toc297216215"/>
      <w:bookmarkStart w:id="794" w:name="_Toc292559416"/>
      <w:bookmarkStart w:id="795" w:name="_Toc296891039"/>
      <w:bookmarkStart w:id="796" w:name="_Toc296347210"/>
      <w:bookmarkStart w:id="797" w:name="_Toc300935006"/>
      <w:bookmarkStart w:id="798" w:name="_Toc303539163"/>
      <w:bookmarkStart w:id="799" w:name="_Toc297120511"/>
      <w:bookmarkStart w:id="800" w:name="_Toc296944550"/>
      <w:bookmarkStart w:id="801" w:name="_Toc296503211"/>
      <w:bookmarkStart w:id="802" w:name="_Toc297048397"/>
      <w:r>
        <w:rPr>
          <w:szCs w:val="21"/>
        </w:rPr>
        <w:t>12.4.1 付款周期</w:t>
      </w:r>
    </w:p>
    <w:p>
      <w:pPr>
        <w:spacing w:line="360" w:lineRule="exact"/>
        <w:ind w:firstLine="420" w:firstLineChars="200"/>
        <w:rPr>
          <w:rFonts w:ascii="仿宋_GB2312"/>
          <w:szCs w:val="21"/>
        </w:rPr>
      </w:pPr>
      <w:r>
        <w:rPr>
          <w:szCs w:val="21"/>
        </w:rPr>
        <w:t>关于付款周期的约定：</w:t>
      </w:r>
      <w:r>
        <w:rPr>
          <w:rFonts w:hint="eastAsia" w:ascii="仿宋_GB2312"/>
          <w:szCs w:val="21"/>
          <w:u w:val="single"/>
        </w:rPr>
        <w:t>按月支付</w:t>
      </w:r>
      <w:r>
        <w:rPr>
          <w:rFonts w:hint="eastAsia" w:ascii="仿宋_GB2312"/>
          <w:szCs w:val="21"/>
        </w:rPr>
        <w:t>。</w:t>
      </w:r>
    </w:p>
    <w:p>
      <w:pPr>
        <w:spacing w:line="360" w:lineRule="exact"/>
        <w:ind w:firstLine="420" w:firstLineChars="200"/>
        <w:rPr>
          <w:szCs w:val="21"/>
        </w:rPr>
      </w:pPr>
      <w:r>
        <w:rPr>
          <w:szCs w:val="21"/>
        </w:rPr>
        <w:t>12.4.2 进度付款申请单的编制</w:t>
      </w:r>
    </w:p>
    <w:p>
      <w:pPr>
        <w:spacing w:line="360" w:lineRule="exact"/>
        <w:ind w:firstLine="420" w:firstLineChars="200"/>
        <w:rPr>
          <w:rFonts w:ascii="仿宋_GB2312"/>
          <w:szCs w:val="21"/>
          <w:u w:val="single"/>
        </w:rPr>
      </w:pPr>
      <w:r>
        <w:rPr>
          <w:szCs w:val="21"/>
        </w:rPr>
        <w:t>关于进度付款申请单编制的约定：</w:t>
      </w:r>
      <w:r>
        <w:rPr>
          <w:rFonts w:hint="eastAsia" w:ascii="仿宋_GB2312"/>
          <w:szCs w:val="21"/>
          <w:u w:val="single"/>
        </w:rPr>
        <w:t>发包人向分包人支付当期按</w:t>
      </w:r>
      <w:r>
        <w:rPr>
          <w:szCs w:val="21"/>
          <w:u w:val="single"/>
        </w:rPr>
        <w:t>12.1、12.3款计量工程量价款的</w:t>
      </w:r>
      <w:r>
        <w:rPr>
          <w:rFonts w:hint="eastAsia"/>
          <w:szCs w:val="21"/>
          <w:u w:val="single"/>
        </w:rPr>
        <w:t>75</w:t>
      </w:r>
      <w:r>
        <w:rPr>
          <w:szCs w:val="21"/>
          <w:u w:val="single"/>
        </w:rPr>
        <w:t>%工程价款。</w:t>
      </w:r>
      <w:r>
        <w:rPr>
          <w:rFonts w:hint="eastAsia" w:ascii="仿宋_GB2312"/>
          <w:szCs w:val="21"/>
          <w:u w:val="single"/>
        </w:rPr>
        <w:t>工程变更引起合同价款调整不计入工程进度款，统一在审计结算时核算。</w:t>
      </w:r>
    </w:p>
    <w:p>
      <w:pPr>
        <w:adjustRightInd w:val="0"/>
        <w:snapToGrid w:val="0"/>
        <w:spacing w:line="440" w:lineRule="exact"/>
        <w:ind w:firstLine="482"/>
        <w:rPr>
          <w:rFonts w:ascii="宋体" w:hAnsi="宋体" w:cs="Arial"/>
          <w:b/>
          <w:bCs/>
          <w:szCs w:val="20"/>
          <w:u w:val="thick"/>
        </w:rPr>
      </w:pPr>
      <w:r>
        <w:rPr>
          <w:rFonts w:hint="eastAsia" w:ascii="宋体" w:hAnsi="宋体" w:cs="Arial"/>
          <w:b/>
          <w:bCs/>
          <w:szCs w:val="20"/>
          <w:u w:val="thick"/>
        </w:rPr>
        <w:t>分包人属于：一般纳税人 。分包人应向发包人提供合规的增值税专用发票（包含税务机关代开），增值税专用发票的税率为   （%）。分包人应按实际情况，准确填写发票项目。发票付款方名称按</w:t>
      </w:r>
      <w:r>
        <w:rPr>
          <w:rFonts w:hint="eastAsia" w:ascii="宋体" w:hAnsi="宋体" w:cs="Arial"/>
          <w:b/>
          <w:bCs/>
          <w:szCs w:val="20"/>
          <w:u w:val="thick"/>
          <w:lang w:val="en-US" w:eastAsia="zh-CN"/>
        </w:rPr>
        <w:t>发包人</w:t>
      </w:r>
      <w:r>
        <w:rPr>
          <w:rFonts w:hint="eastAsia" w:ascii="宋体" w:hAnsi="宋体" w:cs="Arial"/>
          <w:b/>
          <w:bCs/>
          <w:szCs w:val="20"/>
          <w:u w:val="thick"/>
        </w:rPr>
        <w:t>要求确定。如</w:t>
      </w:r>
      <w:r>
        <w:rPr>
          <w:rFonts w:hint="eastAsia" w:ascii="宋体" w:hAnsi="宋体" w:cs="Arial"/>
          <w:b/>
          <w:bCs/>
          <w:szCs w:val="20"/>
          <w:u w:val="thick"/>
          <w:lang w:val="en-US" w:eastAsia="zh-CN"/>
        </w:rPr>
        <w:t>分包人</w:t>
      </w:r>
      <w:r>
        <w:rPr>
          <w:rFonts w:hint="eastAsia" w:ascii="宋体" w:hAnsi="宋体" w:cs="Arial"/>
          <w:b/>
          <w:bCs/>
          <w:szCs w:val="20"/>
          <w:u w:val="thick"/>
        </w:rPr>
        <w:t>未能按要求提供增值税专用发票的，应向</w:t>
      </w:r>
      <w:r>
        <w:rPr>
          <w:rFonts w:hint="eastAsia" w:ascii="宋体" w:hAnsi="宋体" w:cs="Arial"/>
          <w:b/>
          <w:bCs/>
          <w:szCs w:val="20"/>
          <w:u w:val="thick"/>
          <w:lang w:val="en-US" w:eastAsia="zh-CN"/>
        </w:rPr>
        <w:t>发包人</w:t>
      </w:r>
      <w:r>
        <w:rPr>
          <w:rFonts w:hint="eastAsia" w:ascii="宋体" w:hAnsi="宋体" w:cs="Arial"/>
          <w:b/>
          <w:bCs/>
          <w:szCs w:val="20"/>
          <w:u w:val="thick"/>
        </w:rPr>
        <w:t>赔偿由此造成的进项税额不能抵扣的损失，损失金额以正常提供增值税专用发票的进项税额为准。</w:t>
      </w:r>
    </w:p>
    <w:p>
      <w:pPr>
        <w:spacing w:line="360" w:lineRule="exact"/>
        <w:ind w:firstLine="420" w:firstLineChars="200"/>
        <w:rPr>
          <w:szCs w:val="21"/>
        </w:rPr>
      </w:pPr>
      <w:r>
        <w:rPr>
          <w:szCs w:val="21"/>
          <w:u w:val="single"/>
        </w:rPr>
        <w:t>其余按合同通用条款</w:t>
      </w:r>
      <w:r>
        <w:rPr>
          <w:szCs w:val="21"/>
        </w:rPr>
        <w:t>。</w:t>
      </w:r>
    </w:p>
    <w:p>
      <w:pPr>
        <w:autoSpaceDE w:val="0"/>
        <w:autoSpaceDN w:val="0"/>
        <w:spacing w:line="360" w:lineRule="exact"/>
        <w:ind w:firstLine="422" w:firstLineChars="200"/>
        <w:rPr>
          <w:b/>
          <w:bCs/>
          <w:color w:val="FF0000"/>
          <w:szCs w:val="21"/>
          <w:u w:val="single"/>
        </w:rPr>
      </w:pPr>
      <w:r>
        <w:rPr>
          <w:rFonts w:hint="eastAsia"/>
          <w:b/>
          <w:bCs/>
          <w:szCs w:val="21"/>
          <w:u w:val="single"/>
        </w:rPr>
        <w:t>分包人必须及时将工程进度款足额用于本工程，不得挪作它用。</w:t>
      </w:r>
    </w:p>
    <w:p>
      <w:pPr>
        <w:spacing w:line="360" w:lineRule="exact"/>
        <w:ind w:firstLine="420" w:firstLineChars="200"/>
        <w:rPr>
          <w:szCs w:val="21"/>
        </w:rPr>
      </w:pPr>
      <w:r>
        <w:rPr>
          <w:szCs w:val="21"/>
        </w:rPr>
        <w:t>1</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szCs w:val="21"/>
        </w:rPr>
        <w:t>2.4.3 进度付款申请单的提交</w:t>
      </w:r>
    </w:p>
    <w:p>
      <w:pPr>
        <w:spacing w:line="360" w:lineRule="exact"/>
        <w:ind w:firstLine="420" w:firstLineChars="200"/>
        <w:rPr>
          <w:rFonts w:ascii="仿宋_GB2312"/>
          <w:szCs w:val="21"/>
        </w:rPr>
      </w:pPr>
      <w:r>
        <w:rPr>
          <w:szCs w:val="21"/>
        </w:rPr>
        <w:t>（1）单价合同进度付款申</w:t>
      </w:r>
      <w:r>
        <w:rPr>
          <w:rFonts w:hint="eastAsia" w:ascii="仿宋_GB2312"/>
          <w:szCs w:val="21"/>
        </w:rPr>
        <w:t>请单提交的约定：</w:t>
      </w:r>
      <w:r>
        <w:rPr>
          <w:rFonts w:hint="eastAsia" w:ascii="仿宋_GB2312"/>
          <w:szCs w:val="21"/>
          <w:u w:val="single"/>
        </w:rPr>
        <w:t>按合同通用条款</w:t>
      </w:r>
      <w:r>
        <w:rPr>
          <w:rFonts w:hint="eastAsia" w:ascii="仿宋_GB2312"/>
          <w:szCs w:val="21"/>
        </w:rPr>
        <w:t>。</w:t>
      </w:r>
    </w:p>
    <w:p>
      <w:pPr>
        <w:spacing w:line="360" w:lineRule="exact"/>
        <w:ind w:firstLine="420" w:firstLineChars="200"/>
        <w:rPr>
          <w:rFonts w:ascii="仿宋_GB2312"/>
          <w:szCs w:val="21"/>
        </w:rPr>
      </w:pPr>
      <w:r>
        <w:rPr>
          <w:rFonts w:hint="eastAsia" w:ascii="仿宋_GB2312"/>
          <w:szCs w:val="21"/>
        </w:rPr>
        <w:t>（</w:t>
      </w:r>
      <w:r>
        <w:rPr>
          <w:szCs w:val="21"/>
        </w:rPr>
        <w:t>2</w:t>
      </w:r>
      <w:r>
        <w:rPr>
          <w:rFonts w:hint="eastAsia" w:ascii="仿宋_GB2312"/>
          <w:szCs w:val="21"/>
        </w:rPr>
        <w:t>）总价合同进度付款申请单提交的约定：</w:t>
      </w:r>
      <w:r>
        <w:rPr>
          <w:rFonts w:hint="eastAsia" w:ascii="仿宋_GB2312"/>
          <w:szCs w:val="21"/>
          <w:u w:val="single"/>
        </w:rPr>
        <w:t xml:space="preserve">      /        </w:t>
      </w:r>
      <w:r>
        <w:rPr>
          <w:rFonts w:hint="eastAsia" w:ascii="仿宋_GB2312"/>
          <w:szCs w:val="21"/>
        </w:rPr>
        <w:t>。</w:t>
      </w:r>
    </w:p>
    <w:p>
      <w:pPr>
        <w:spacing w:line="360" w:lineRule="exact"/>
        <w:ind w:firstLine="420" w:firstLineChars="200"/>
        <w:rPr>
          <w:rFonts w:ascii="仿宋_GB2312"/>
          <w:szCs w:val="21"/>
        </w:rPr>
      </w:pPr>
      <w:r>
        <w:rPr>
          <w:rFonts w:hint="eastAsia" w:ascii="仿宋_GB2312"/>
          <w:szCs w:val="21"/>
        </w:rPr>
        <w:t>（</w:t>
      </w:r>
      <w:r>
        <w:rPr>
          <w:szCs w:val="21"/>
        </w:rPr>
        <w:t>3</w:t>
      </w:r>
      <w:r>
        <w:rPr>
          <w:rFonts w:hint="eastAsia" w:ascii="仿宋_GB2312"/>
          <w:szCs w:val="21"/>
        </w:rPr>
        <w:t>）其他价格形式合同进度付款申请单提交的约定：</w:t>
      </w:r>
      <w:r>
        <w:rPr>
          <w:rFonts w:hint="eastAsia" w:ascii="仿宋_GB2312"/>
          <w:szCs w:val="21"/>
          <w:u w:val="single"/>
        </w:rPr>
        <w:t xml:space="preserve">  / </w:t>
      </w:r>
      <w:r>
        <w:rPr>
          <w:rFonts w:hint="eastAsia" w:ascii="仿宋_GB2312"/>
          <w:szCs w:val="21"/>
        </w:rPr>
        <w:t>。</w:t>
      </w:r>
    </w:p>
    <w:p>
      <w:pPr>
        <w:spacing w:line="360" w:lineRule="exact"/>
        <w:ind w:firstLine="420" w:firstLineChars="200"/>
        <w:rPr>
          <w:rFonts w:ascii="仿宋_GB2312"/>
          <w:szCs w:val="21"/>
        </w:rPr>
      </w:pPr>
      <w:r>
        <w:rPr>
          <w:szCs w:val="21"/>
        </w:rPr>
        <w:t>12.4.4</w:t>
      </w:r>
      <w:r>
        <w:rPr>
          <w:rFonts w:hint="eastAsia" w:ascii="仿宋_GB2312"/>
          <w:szCs w:val="21"/>
        </w:rPr>
        <w:t>进度款审核和支付</w:t>
      </w:r>
    </w:p>
    <w:p>
      <w:pPr>
        <w:spacing w:line="360" w:lineRule="exact"/>
        <w:ind w:firstLine="420" w:firstLineChars="200"/>
        <w:rPr>
          <w:szCs w:val="21"/>
          <w:u w:val="single"/>
        </w:rPr>
      </w:pPr>
      <w:r>
        <w:rPr>
          <w:szCs w:val="21"/>
        </w:rPr>
        <w:t>（1）监理人审查并报送发包人的期限：</w:t>
      </w:r>
      <w:r>
        <w:rPr>
          <w:szCs w:val="21"/>
          <w:u w:val="single"/>
        </w:rPr>
        <w:t>按合同通用条款</w:t>
      </w:r>
      <w:r>
        <w:rPr>
          <w:szCs w:val="21"/>
        </w:rPr>
        <w:t>。</w:t>
      </w:r>
    </w:p>
    <w:p>
      <w:pPr>
        <w:spacing w:line="360" w:lineRule="exact"/>
        <w:ind w:firstLine="420" w:firstLineChars="200"/>
        <w:rPr>
          <w:szCs w:val="21"/>
        </w:rPr>
      </w:pPr>
      <w:r>
        <w:rPr>
          <w:szCs w:val="21"/>
        </w:rPr>
        <w:t>发包人完成审批并签发进度款支付证书的期限：</w:t>
      </w:r>
      <w:r>
        <w:rPr>
          <w:szCs w:val="21"/>
          <w:u w:val="single"/>
        </w:rPr>
        <w:t>按合同通用条款</w:t>
      </w:r>
      <w:r>
        <w:rPr>
          <w:szCs w:val="21"/>
        </w:rPr>
        <w:t>。</w:t>
      </w:r>
    </w:p>
    <w:p>
      <w:pPr>
        <w:spacing w:line="360" w:lineRule="exact"/>
        <w:ind w:firstLine="420" w:firstLineChars="200"/>
        <w:rPr>
          <w:rFonts w:ascii="仿宋_GB2312"/>
          <w:szCs w:val="21"/>
          <w:u w:val="single"/>
        </w:rPr>
      </w:pPr>
      <w:r>
        <w:rPr>
          <w:rFonts w:hint="eastAsia"/>
          <w:szCs w:val="21"/>
        </w:rPr>
        <w:t>（2）</w:t>
      </w:r>
      <w:r>
        <w:rPr>
          <w:szCs w:val="21"/>
        </w:rPr>
        <w:t>发包</w:t>
      </w:r>
      <w:r>
        <w:rPr>
          <w:rFonts w:hint="eastAsia" w:ascii="仿宋_GB2312"/>
          <w:szCs w:val="21"/>
        </w:rPr>
        <w:t>人支付进度款的期限：</w:t>
      </w:r>
      <w:r>
        <w:rPr>
          <w:rFonts w:hint="eastAsia" w:ascii="仿宋_GB2312"/>
          <w:szCs w:val="21"/>
          <w:u w:val="single"/>
        </w:rPr>
        <w:t>在发包人确认计量结果后</w:t>
      </w:r>
      <w:r>
        <w:rPr>
          <w:szCs w:val="21"/>
          <w:u w:val="single"/>
        </w:rPr>
        <w:t>14</w:t>
      </w:r>
      <w:r>
        <w:rPr>
          <w:rFonts w:hint="eastAsia" w:ascii="仿宋_GB2312"/>
          <w:szCs w:val="21"/>
          <w:u w:val="single"/>
        </w:rPr>
        <w:t>天内完成支付。</w:t>
      </w:r>
    </w:p>
    <w:p>
      <w:pPr>
        <w:spacing w:line="360" w:lineRule="exact"/>
        <w:ind w:firstLine="420" w:firstLineChars="200"/>
        <w:rPr>
          <w:rFonts w:ascii="仿宋_GB2312"/>
          <w:szCs w:val="21"/>
        </w:rPr>
      </w:pPr>
      <w:r>
        <w:rPr>
          <w:rFonts w:hint="eastAsia" w:ascii="仿宋_GB2312"/>
          <w:szCs w:val="21"/>
        </w:rPr>
        <w:t>发包人逾期支付进度款的违约金的计算方式：</w:t>
      </w:r>
      <w:r>
        <w:rPr>
          <w:rFonts w:hint="eastAsia" w:ascii="仿宋_GB2312"/>
          <w:szCs w:val="21"/>
          <w:u w:val="single"/>
        </w:rPr>
        <w:t>支付应付工程进度（备料）款的利息，利率按全国银行间同业拆借中心公布的一年期贷款市场报价利率，利息计算时间从逾期之日起至实际支付之日止</w:t>
      </w:r>
      <w:r>
        <w:rPr>
          <w:rFonts w:hint="eastAsia" w:ascii="仿宋_GB2312"/>
          <w:szCs w:val="21"/>
        </w:rPr>
        <w:t>。</w:t>
      </w:r>
    </w:p>
    <w:p>
      <w:pPr>
        <w:spacing w:line="360" w:lineRule="exact"/>
        <w:ind w:firstLine="420" w:firstLineChars="200"/>
        <w:rPr>
          <w:rFonts w:ascii="仿宋_GB2312"/>
          <w:szCs w:val="21"/>
          <w:u w:val="single"/>
        </w:rPr>
      </w:pPr>
      <w:r>
        <w:rPr>
          <w:rFonts w:hint="eastAsia" w:ascii="新宋体" w:hAnsi="新宋体" w:eastAsia="新宋体" w:cs="新宋体"/>
          <w:szCs w:val="21"/>
          <w:u w:val="single"/>
        </w:rPr>
        <w:t>（3）发包人每月签发的工程量审核报告、进度款支付证书或临时进度款支付证书，不表明发包人已同意、批准或接受了分包人完成的相应部分工作或已确认计量结果，仅为本期工程款支付依据</w:t>
      </w:r>
      <w:r>
        <w:rPr>
          <w:rFonts w:hint="eastAsia" w:ascii="仿宋_GB2312"/>
          <w:szCs w:val="21"/>
          <w:u w:val="single"/>
        </w:rPr>
        <w:t>。</w:t>
      </w:r>
    </w:p>
    <w:p>
      <w:pPr>
        <w:spacing w:line="360" w:lineRule="exact"/>
        <w:ind w:firstLine="420" w:firstLineChars="200"/>
        <w:rPr>
          <w:rFonts w:eastAsia="黑体"/>
          <w:szCs w:val="21"/>
        </w:rPr>
      </w:pPr>
      <w:r>
        <w:rPr>
          <w:rFonts w:hint="eastAsia" w:eastAsia="黑体"/>
          <w:szCs w:val="21"/>
        </w:rPr>
        <w:t>12.4.6 支付分解表的编制</w:t>
      </w:r>
    </w:p>
    <w:p>
      <w:pPr>
        <w:spacing w:line="360" w:lineRule="exact"/>
        <w:ind w:firstLine="420" w:firstLineChars="200"/>
        <w:rPr>
          <w:szCs w:val="21"/>
        </w:rPr>
      </w:pPr>
      <w:r>
        <w:rPr>
          <w:szCs w:val="21"/>
        </w:rPr>
        <w:t>2、总价合同支付分解表的编制与审批：</w:t>
      </w:r>
      <w:r>
        <w:rPr>
          <w:rFonts w:hint="eastAsia"/>
          <w:szCs w:val="21"/>
          <w:u w:val="single"/>
        </w:rPr>
        <w:t xml:space="preserve">    /      </w:t>
      </w:r>
      <w:r>
        <w:rPr>
          <w:szCs w:val="21"/>
        </w:rPr>
        <w:t>。</w:t>
      </w:r>
    </w:p>
    <w:p>
      <w:pPr>
        <w:spacing w:line="360" w:lineRule="exact"/>
        <w:ind w:firstLine="420" w:firstLineChars="200"/>
        <w:rPr>
          <w:szCs w:val="21"/>
        </w:rPr>
      </w:pPr>
      <w:r>
        <w:rPr>
          <w:szCs w:val="21"/>
        </w:rPr>
        <w:t>3、单价合同的总价项目支付分解表的编制与审批：</w:t>
      </w:r>
      <w:r>
        <w:rPr>
          <w:rFonts w:hint="eastAsia"/>
          <w:szCs w:val="21"/>
          <w:u w:val="single"/>
        </w:rPr>
        <w:t xml:space="preserve">  /</w:t>
      </w:r>
      <w:r>
        <w:rPr>
          <w:szCs w:val="21"/>
        </w:rPr>
        <w:t>。</w:t>
      </w:r>
    </w:p>
    <w:bookmarkEnd w:id="638"/>
    <w:p>
      <w:pPr>
        <w:spacing w:line="360" w:lineRule="exact"/>
        <w:ind w:firstLine="420" w:firstLineChars="200"/>
        <w:rPr>
          <w:rFonts w:eastAsia="黑体"/>
          <w:szCs w:val="21"/>
        </w:rPr>
      </w:pPr>
      <w:bookmarkStart w:id="803" w:name="_Toc351203645"/>
      <w:bookmarkStart w:id="804" w:name="_Toc296891259"/>
      <w:bookmarkStart w:id="805" w:name="_Toc297216223"/>
      <w:bookmarkStart w:id="806" w:name="_Toc292559929"/>
      <w:bookmarkStart w:id="807" w:name="_Toc296891047"/>
      <w:bookmarkStart w:id="808" w:name="_Toc292559424"/>
      <w:bookmarkStart w:id="809" w:name="_Toc312678053"/>
      <w:bookmarkStart w:id="810" w:name="_Toc297048405"/>
      <w:bookmarkStart w:id="811" w:name="_Toc296503219"/>
      <w:bookmarkStart w:id="812" w:name="_Toc297123564"/>
      <w:bookmarkStart w:id="813" w:name="_Toc296346720"/>
      <w:bookmarkStart w:id="814" w:name="_Toc296347218"/>
      <w:bookmarkStart w:id="815" w:name="_Toc304295593"/>
      <w:bookmarkStart w:id="816" w:name="_Toc303539172"/>
      <w:bookmarkStart w:id="817" w:name="_Toc300935015"/>
      <w:bookmarkStart w:id="818" w:name="_Toc297120519"/>
      <w:bookmarkStart w:id="819" w:name="_Toc296944558"/>
      <w:r>
        <w:rPr>
          <w:rFonts w:hint="eastAsia" w:eastAsia="黑体"/>
          <w:szCs w:val="21"/>
        </w:rPr>
        <w:t>12.5 支付帐户</w:t>
      </w:r>
    </w:p>
    <w:p>
      <w:pPr>
        <w:wordWrap w:val="0"/>
        <w:spacing w:line="400" w:lineRule="exact"/>
        <w:ind w:firstLine="420" w:firstLineChars="200"/>
        <w:rPr>
          <w:rFonts w:ascii="宋体" w:hAnsi="宋体" w:cs="宋体"/>
          <w:szCs w:val="21"/>
        </w:rPr>
      </w:pPr>
      <w:r>
        <w:rPr>
          <w:rFonts w:hint="eastAsia" w:ascii="宋体" w:hAnsi="宋体" w:cs="宋体"/>
          <w:szCs w:val="21"/>
          <w:u w:val="single"/>
        </w:rPr>
        <w:t>发包人将当期应付工程进度款的(26.7)%及农民工工资预付款（签约合同价的0.5%）拨付到分包人的农民工工资专用账</w:t>
      </w:r>
      <w:r>
        <w:rPr>
          <w:rFonts w:hint="eastAsia" w:ascii="宋体" w:hAnsi="宋体" w:cs="宋体"/>
          <w:szCs w:val="21"/>
        </w:rPr>
        <w:t>户：</w:t>
      </w:r>
      <w:r>
        <w:rPr>
          <w:rFonts w:hint="eastAsia" w:ascii="宋体" w:hAnsi="宋体" w:cs="宋体"/>
          <w:szCs w:val="21"/>
          <w:u w:val="single"/>
        </w:rPr>
        <w:t xml:space="preserve">                                        ；</w:t>
      </w:r>
      <w:r>
        <w:rPr>
          <w:rFonts w:hint="eastAsia" w:ascii="宋体" w:hAnsi="宋体" w:cs="宋体"/>
          <w:szCs w:val="21"/>
        </w:rPr>
        <w:t>其余合同价款支付至合同协议书中约定的分包人帐户。</w:t>
      </w:r>
    </w:p>
    <w:p>
      <w:pPr>
        <w:spacing w:line="360" w:lineRule="exact"/>
        <w:ind w:firstLine="420" w:firstLineChars="200"/>
        <w:rPr>
          <w:rFonts w:ascii="新宋体" w:hAnsi="新宋体" w:eastAsia="新宋体" w:cs="新宋体"/>
          <w:szCs w:val="21"/>
          <w:u w:val="single"/>
        </w:rPr>
      </w:pPr>
      <w:r>
        <w:rPr>
          <w:rFonts w:hint="eastAsia" w:ascii="新宋体" w:hAnsi="新宋体" w:eastAsia="新宋体" w:cs="新宋体"/>
          <w:szCs w:val="21"/>
          <w:u w:val="single"/>
        </w:rPr>
        <w:t>如分包人因经营需要将工程款支付至其他指定帐户时，应向发包人书面申请，并由分包人法定代表人或授权代表签字、盖章。</w:t>
      </w:r>
    </w:p>
    <w:p>
      <w:pPr>
        <w:keepNext/>
        <w:keepLines/>
        <w:spacing w:line="360" w:lineRule="exact"/>
        <w:outlineLvl w:val="3"/>
        <w:rPr>
          <w:rFonts w:eastAsia="黑体"/>
          <w:bCs/>
          <w:szCs w:val="21"/>
        </w:rPr>
      </w:pPr>
      <w:r>
        <w:rPr>
          <w:rFonts w:eastAsia="黑体"/>
          <w:bCs/>
          <w:szCs w:val="21"/>
        </w:rPr>
        <w:t>13.验收和工程试车</w:t>
      </w:r>
      <w:bookmarkEnd w:id="803"/>
    </w:p>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Pr>
        <w:spacing w:line="360" w:lineRule="exact"/>
        <w:ind w:firstLine="420" w:firstLineChars="200"/>
        <w:rPr>
          <w:rFonts w:eastAsia="黑体"/>
          <w:szCs w:val="21"/>
        </w:rPr>
      </w:pPr>
      <w:r>
        <w:rPr>
          <w:rFonts w:eastAsia="黑体"/>
          <w:szCs w:val="21"/>
        </w:rPr>
        <w:t>13.1 分部分项工程验收</w:t>
      </w:r>
    </w:p>
    <w:p>
      <w:pPr>
        <w:spacing w:line="360" w:lineRule="exact"/>
        <w:ind w:firstLine="420" w:firstLineChars="200"/>
        <w:rPr>
          <w:szCs w:val="21"/>
        </w:rPr>
      </w:pPr>
      <w:r>
        <w:rPr>
          <w:szCs w:val="21"/>
        </w:rPr>
        <w:t>13.1.2监理人不能按时进行验收时，应提前</w:t>
      </w:r>
      <w:r>
        <w:rPr>
          <w:rFonts w:hint="eastAsia"/>
          <w:szCs w:val="21"/>
          <w:u w:val="single"/>
        </w:rPr>
        <w:t>24</w:t>
      </w:r>
      <w:r>
        <w:rPr>
          <w:szCs w:val="21"/>
        </w:rPr>
        <w:t>小时提交书面延期要求。</w:t>
      </w:r>
    </w:p>
    <w:p>
      <w:pPr>
        <w:spacing w:line="360" w:lineRule="exact"/>
        <w:ind w:firstLine="420" w:firstLineChars="200"/>
        <w:rPr>
          <w:szCs w:val="21"/>
        </w:rPr>
      </w:pPr>
      <w:r>
        <w:rPr>
          <w:szCs w:val="21"/>
        </w:rPr>
        <w:t>关于延期最长不得超过：</w:t>
      </w:r>
      <w:r>
        <w:rPr>
          <w:rFonts w:hint="eastAsia"/>
          <w:szCs w:val="21"/>
          <w:u w:val="single"/>
        </w:rPr>
        <w:t>24</w:t>
      </w:r>
      <w:r>
        <w:rPr>
          <w:szCs w:val="21"/>
        </w:rPr>
        <w:t>小时。</w:t>
      </w:r>
    </w:p>
    <w:p>
      <w:pPr>
        <w:spacing w:line="360" w:lineRule="exact"/>
        <w:ind w:firstLine="420" w:firstLineChars="200"/>
        <w:rPr>
          <w:b/>
          <w:szCs w:val="21"/>
          <w:u w:val="single"/>
        </w:rPr>
      </w:pPr>
      <w:r>
        <w:rPr>
          <w:rFonts w:hint="eastAsia"/>
          <w:szCs w:val="21"/>
          <w:u w:val="single"/>
        </w:rPr>
        <w:t>工程验收过程、验收部位除办理纸质验收记录，还应留置验收部位、验收过程、主要验收人员相片、影像等资料。</w:t>
      </w:r>
    </w:p>
    <w:p>
      <w:pPr>
        <w:spacing w:line="360" w:lineRule="exact"/>
        <w:ind w:firstLine="420" w:firstLineChars="200"/>
        <w:rPr>
          <w:rFonts w:eastAsia="黑体"/>
          <w:szCs w:val="21"/>
        </w:rPr>
      </w:pPr>
      <w:bookmarkStart w:id="820" w:name="_Toc296347222"/>
      <w:bookmarkStart w:id="821" w:name="_Toc300935016"/>
      <w:bookmarkStart w:id="822" w:name="_Toc297123565"/>
      <w:bookmarkStart w:id="823" w:name="_Toc297216224"/>
      <w:bookmarkStart w:id="824" w:name="_Toc292559933"/>
      <w:bookmarkStart w:id="825" w:name="_Toc312678056"/>
      <w:bookmarkStart w:id="826" w:name="_Toc297048409"/>
      <w:bookmarkStart w:id="827" w:name="_Toc296346724"/>
      <w:bookmarkStart w:id="828" w:name="_Toc297120523"/>
      <w:bookmarkStart w:id="829" w:name="_Toc292559428"/>
      <w:bookmarkStart w:id="830" w:name="_Toc303539173"/>
      <w:bookmarkStart w:id="831" w:name="_Toc296891263"/>
      <w:bookmarkStart w:id="832" w:name="_Toc304295596"/>
      <w:bookmarkStart w:id="833" w:name="_Toc296891051"/>
      <w:bookmarkStart w:id="834" w:name="_Toc296944562"/>
      <w:bookmarkStart w:id="835" w:name="_Toc296503223"/>
      <w:bookmarkStart w:id="836" w:name="_Toc267251470"/>
      <w:bookmarkStart w:id="837" w:name="_Toc267251474"/>
      <w:bookmarkStart w:id="838" w:name="_Toc267251473"/>
      <w:bookmarkStart w:id="839" w:name="_Toc267251471"/>
      <w:bookmarkStart w:id="840" w:name="_Toc267251476"/>
      <w:bookmarkStart w:id="841" w:name="_Toc267251472"/>
      <w:bookmarkStart w:id="842" w:name="_Toc267251475"/>
      <w:r>
        <w:rPr>
          <w:rFonts w:eastAsia="黑体"/>
          <w:szCs w:val="21"/>
        </w:rPr>
        <w:t>13.2 竣工验收</w:t>
      </w:r>
    </w:p>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Pr>
        <w:spacing w:line="360" w:lineRule="exact"/>
        <w:ind w:firstLine="420" w:firstLineChars="200"/>
        <w:rPr>
          <w:szCs w:val="21"/>
        </w:rPr>
      </w:pPr>
      <w:bookmarkStart w:id="843" w:name="_Toc280868704"/>
      <w:bookmarkStart w:id="844" w:name="_Toc280868705"/>
      <w:bookmarkStart w:id="845" w:name="_Toc280868706"/>
      <w:bookmarkStart w:id="846" w:name="_Toc280868707"/>
      <w:bookmarkStart w:id="847" w:name="_Toc280868708"/>
      <w:bookmarkStart w:id="848" w:name="_Toc280868709"/>
      <w:r>
        <w:rPr>
          <w:szCs w:val="21"/>
        </w:rPr>
        <w:t>13.2.2竣工验收程序</w:t>
      </w:r>
    </w:p>
    <w:bookmarkEnd w:id="843"/>
    <w:p>
      <w:pPr>
        <w:spacing w:line="360" w:lineRule="exact"/>
        <w:ind w:left="3746" w:leftChars="188" w:hanging="3351" w:hangingChars="1596"/>
        <w:rPr>
          <w:szCs w:val="21"/>
        </w:rPr>
      </w:pPr>
      <w:r>
        <w:rPr>
          <w:kern w:val="0"/>
          <w:szCs w:val="21"/>
        </w:rPr>
        <w:t>关于竣工验收程序的约定：</w:t>
      </w:r>
      <w:r>
        <w:rPr>
          <w:rFonts w:hint="eastAsia"/>
          <w:szCs w:val="21"/>
          <w:u w:val="single"/>
        </w:rPr>
        <w:t>按通用条款</w:t>
      </w:r>
      <w:r>
        <w:rPr>
          <w:szCs w:val="21"/>
        </w:rPr>
        <w:t>。</w:t>
      </w:r>
    </w:p>
    <w:p>
      <w:pPr>
        <w:spacing w:line="360" w:lineRule="exact"/>
        <w:ind w:firstLine="420" w:firstLineChars="200"/>
        <w:rPr>
          <w:szCs w:val="21"/>
          <w:u w:val="single"/>
        </w:rPr>
      </w:pPr>
      <w:r>
        <w:rPr>
          <w:rFonts w:hint="eastAsia"/>
          <w:szCs w:val="21"/>
          <w:u w:val="single"/>
        </w:rPr>
        <w:t>分包人完成合同范围内的工程内容，向发包人或监理人提出验收申请，发包人应在监理人收到分包人提交的验收申请报告42天内组织监理人、分包人、设计勘察人等相关单位完成验收，并签署工程质量合格文件。分包人须配合发包人进行工程竣工验收。</w:t>
      </w:r>
    </w:p>
    <w:p>
      <w:pPr>
        <w:spacing w:line="360" w:lineRule="exact"/>
        <w:ind w:firstLine="420" w:firstLineChars="200"/>
        <w:rPr>
          <w:szCs w:val="21"/>
          <w:u w:val="single"/>
        </w:rPr>
      </w:pPr>
      <w:r>
        <w:rPr>
          <w:kern w:val="0"/>
          <w:szCs w:val="21"/>
        </w:rPr>
        <w:t>发包人不按照本项约定组织竣工验收、颁发工程接收证书的违约金的计算方法：</w:t>
      </w:r>
      <w:r>
        <w:rPr>
          <w:rFonts w:hint="eastAsia"/>
          <w:szCs w:val="21"/>
          <w:u w:val="single"/>
        </w:rPr>
        <w:t>不计违约金。</w:t>
      </w:r>
    </w:p>
    <w:p>
      <w:pPr>
        <w:spacing w:line="360" w:lineRule="exact"/>
        <w:ind w:firstLine="420" w:firstLineChars="200"/>
        <w:rPr>
          <w:szCs w:val="21"/>
        </w:rPr>
      </w:pPr>
      <w:r>
        <w:rPr>
          <w:rFonts w:hint="eastAsia"/>
          <w:szCs w:val="21"/>
          <w:u w:val="single"/>
        </w:rPr>
        <w:t>因发包人原因，未在监理人接收到分包人提交的竣工验收申请报告后同意之日起42天内完成验收，或完成验收不予签发工程接收证书的，以提交竣工验收申请报告的日期为实际竣工日期</w:t>
      </w:r>
      <w:r>
        <w:rPr>
          <w:szCs w:val="21"/>
        </w:rPr>
        <w:t>。</w:t>
      </w:r>
    </w:p>
    <w:bookmarkEnd w:id="844"/>
    <w:p>
      <w:pPr>
        <w:spacing w:line="360" w:lineRule="exact"/>
        <w:ind w:firstLine="420" w:firstLineChars="200"/>
        <w:rPr>
          <w:szCs w:val="21"/>
        </w:rPr>
      </w:pPr>
      <w:r>
        <w:rPr>
          <w:szCs w:val="21"/>
        </w:rPr>
        <w:t>13.2.5移交、接收全部与部分工程</w:t>
      </w:r>
    </w:p>
    <w:bookmarkEnd w:id="845"/>
    <w:p>
      <w:pPr>
        <w:spacing w:line="360" w:lineRule="exact"/>
        <w:ind w:firstLine="420" w:firstLineChars="200"/>
        <w:rPr>
          <w:kern w:val="0"/>
          <w:szCs w:val="21"/>
        </w:rPr>
      </w:pPr>
      <w:r>
        <w:rPr>
          <w:rFonts w:hint="eastAsia"/>
          <w:kern w:val="0"/>
          <w:szCs w:val="21"/>
        </w:rPr>
        <w:t>分包人向发包人移交工程的期限：</w:t>
      </w:r>
      <w:r>
        <w:rPr>
          <w:rFonts w:hint="eastAsia"/>
          <w:szCs w:val="21"/>
          <w:u w:val="single"/>
        </w:rPr>
        <w:t>按通用条款执行</w:t>
      </w:r>
      <w:r>
        <w:rPr>
          <w:rFonts w:hint="eastAsia"/>
          <w:szCs w:val="21"/>
        </w:rPr>
        <w:t>。</w:t>
      </w:r>
    </w:p>
    <w:p>
      <w:pPr>
        <w:spacing w:line="360" w:lineRule="exact"/>
        <w:ind w:firstLine="420" w:firstLineChars="200"/>
        <w:rPr>
          <w:szCs w:val="21"/>
          <w:u w:val="single"/>
        </w:rPr>
      </w:pPr>
      <w:r>
        <w:rPr>
          <w:kern w:val="0"/>
          <w:szCs w:val="21"/>
        </w:rPr>
        <w:t>发包人未按本合同约定接收全部或部分工程的，违约金的计算方法为：</w:t>
      </w:r>
      <w:r>
        <w:rPr>
          <w:rFonts w:hint="eastAsia"/>
          <w:szCs w:val="21"/>
          <w:u w:val="single"/>
        </w:rPr>
        <w:t xml:space="preserve">   / </w:t>
      </w:r>
      <w:r>
        <w:rPr>
          <w:szCs w:val="21"/>
        </w:rPr>
        <w:t>。</w:t>
      </w:r>
    </w:p>
    <w:bookmarkEnd w:id="846"/>
    <w:p>
      <w:pPr>
        <w:spacing w:line="360" w:lineRule="exact"/>
        <w:ind w:firstLine="420" w:firstLineChars="200"/>
        <w:rPr>
          <w:szCs w:val="21"/>
        </w:rPr>
      </w:pPr>
      <w:r>
        <w:rPr>
          <w:rFonts w:hint="eastAsia"/>
          <w:szCs w:val="21"/>
        </w:rPr>
        <w:t>分包人</w:t>
      </w:r>
      <w:r>
        <w:rPr>
          <w:szCs w:val="21"/>
        </w:rPr>
        <w:t>未按时移交工程的，违约金的计算方</w:t>
      </w:r>
      <w:r>
        <w:rPr>
          <w:rFonts w:hint="eastAsia"/>
          <w:szCs w:val="21"/>
        </w:rPr>
        <w:t>法</w:t>
      </w:r>
      <w:r>
        <w:rPr>
          <w:szCs w:val="21"/>
        </w:rPr>
        <w:t>为：</w:t>
      </w:r>
      <w:r>
        <w:rPr>
          <w:rFonts w:hint="eastAsia"/>
          <w:szCs w:val="21"/>
          <w:u w:val="single"/>
        </w:rPr>
        <w:t>每天〔5000〕元</w:t>
      </w:r>
      <w:r>
        <w:rPr>
          <w:rFonts w:hint="eastAsia" w:ascii="宋体" w:hAnsi="宋体" w:cs="宋体"/>
          <w:szCs w:val="21"/>
        </w:rPr>
        <w:t>。</w:t>
      </w:r>
    </w:p>
    <w:p>
      <w:pPr>
        <w:spacing w:line="360" w:lineRule="exact"/>
        <w:ind w:firstLine="420" w:firstLineChars="200"/>
        <w:rPr>
          <w:rFonts w:eastAsia="黑体"/>
          <w:szCs w:val="21"/>
        </w:rPr>
      </w:pPr>
      <w:r>
        <w:rPr>
          <w:rFonts w:eastAsia="黑体"/>
          <w:szCs w:val="21"/>
        </w:rPr>
        <w:t>13.3 工程试车</w:t>
      </w:r>
    </w:p>
    <w:bookmarkEnd w:id="847"/>
    <w:p>
      <w:pPr>
        <w:spacing w:line="360" w:lineRule="exact"/>
        <w:ind w:firstLine="420" w:firstLineChars="200"/>
        <w:rPr>
          <w:kern w:val="0"/>
          <w:szCs w:val="21"/>
        </w:rPr>
      </w:pPr>
      <w:r>
        <w:rPr>
          <w:kern w:val="0"/>
          <w:szCs w:val="21"/>
        </w:rPr>
        <w:t>13.3.1 试车程序</w:t>
      </w:r>
    </w:p>
    <w:p>
      <w:pPr>
        <w:spacing w:line="360" w:lineRule="exact"/>
        <w:ind w:firstLine="420" w:firstLineChars="200"/>
        <w:rPr>
          <w:kern w:val="0"/>
          <w:szCs w:val="21"/>
        </w:rPr>
      </w:pPr>
      <w:r>
        <w:rPr>
          <w:kern w:val="0"/>
          <w:szCs w:val="21"/>
        </w:rPr>
        <w:t>工程试车内容：</w:t>
      </w:r>
      <w:r>
        <w:rPr>
          <w:rFonts w:hint="eastAsia"/>
          <w:szCs w:val="21"/>
          <w:u w:val="single"/>
        </w:rPr>
        <w:t xml:space="preserve">      /       </w:t>
      </w:r>
      <w:r>
        <w:rPr>
          <w:szCs w:val="21"/>
        </w:rPr>
        <w:t>。</w:t>
      </w:r>
    </w:p>
    <w:p>
      <w:pPr>
        <w:spacing w:line="360" w:lineRule="exact"/>
        <w:ind w:firstLine="420" w:firstLineChars="200"/>
        <w:rPr>
          <w:kern w:val="0"/>
          <w:szCs w:val="21"/>
        </w:rPr>
      </w:pPr>
      <w:r>
        <w:rPr>
          <w:kern w:val="0"/>
          <w:szCs w:val="21"/>
        </w:rPr>
        <w:t>（1）单机无负荷试车费用由</w:t>
      </w:r>
      <w:r>
        <w:rPr>
          <w:rFonts w:hint="eastAsia"/>
          <w:szCs w:val="21"/>
          <w:u w:val="single"/>
        </w:rPr>
        <w:t>/</w:t>
      </w:r>
      <w:r>
        <w:rPr>
          <w:kern w:val="0"/>
          <w:szCs w:val="21"/>
        </w:rPr>
        <w:t>承担；</w:t>
      </w:r>
    </w:p>
    <w:p>
      <w:pPr>
        <w:spacing w:line="360" w:lineRule="exact"/>
        <w:ind w:firstLine="420" w:firstLineChars="200"/>
        <w:rPr>
          <w:kern w:val="0"/>
          <w:szCs w:val="21"/>
        </w:rPr>
      </w:pPr>
      <w:r>
        <w:rPr>
          <w:kern w:val="0"/>
          <w:szCs w:val="21"/>
        </w:rPr>
        <w:t>（2）无负荷联动试车费用由</w:t>
      </w:r>
      <w:r>
        <w:rPr>
          <w:rFonts w:hint="eastAsia"/>
          <w:szCs w:val="21"/>
          <w:u w:val="single"/>
        </w:rPr>
        <w:t>/</w:t>
      </w:r>
      <w:r>
        <w:rPr>
          <w:kern w:val="0"/>
          <w:szCs w:val="21"/>
        </w:rPr>
        <w:t>承担。</w:t>
      </w:r>
    </w:p>
    <w:p>
      <w:pPr>
        <w:spacing w:line="360" w:lineRule="exact"/>
        <w:ind w:firstLine="420" w:firstLineChars="200"/>
        <w:rPr>
          <w:kern w:val="0"/>
          <w:szCs w:val="21"/>
        </w:rPr>
      </w:pPr>
      <w:r>
        <w:rPr>
          <w:kern w:val="0"/>
          <w:szCs w:val="21"/>
        </w:rPr>
        <w:t>13.3.3 投料试车</w:t>
      </w:r>
    </w:p>
    <w:p>
      <w:pPr>
        <w:spacing w:line="360" w:lineRule="exact"/>
        <w:ind w:firstLine="420" w:firstLineChars="200"/>
        <w:rPr>
          <w:kern w:val="0"/>
          <w:szCs w:val="21"/>
        </w:rPr>
      </w:pPr>
      <w:r>
        <w:rPr>
          <w:rFonts w:hint="eastAsia"/>
          <w:kern w:val="0"/>
          <w:szCs w:val="21"/>
        </w:rPr>
        <w:t>关于投料试车相关事项的约定：</w:t>
      </w:r>
      <w:r>
        <w:rPr>
          <w:rFonts w:hint="eastAsia"/>
          <w:szCs w:val="21"/>
          <w:u w:val="single"/>
        </w:rPr>
        <w:t xml:space="preserve">      /            </w:t>
      </w:r>
      <w:r>
        <w:rPr>
          <w:szCs w:val="21"/>
        </w:rPr>
        <w:t>。</w:t>
      </w:r>
    </w:p>
    <w:p>
      <w:pPr>
        <w:spacing w:line="360" w:lineRule="exact"/>
        <w:ind w:firstLine="420" w:firstLineChars="200"/>
        <w:rPr>
          <w:rFonts w:eastAsia="黑体"/>
          <w:szCs w:val="21"/>
        </w:rPr>
      </w:pPr>
      <w:r>
        <w:rPr>
          <w:rFonts w:eastAsia="黑体"/>
          <w:szCs w:val="21"/>
        </w:rPr>
        <w:t>13.6 竣工退场</w:t>
      </w:r>
    </w:p>
    <w:p>
      <w:pPr>
        <w:spacing w:line="360" w:lineRule="exact"/>
        <w:ind w:firstLine="420" w:firstLineChars="200"/>
        <w:rPr>
          <w:kern w:val="0"/>
          <w:szCs w:val="21"/>
        </w:rPr>
      </w:pPr>
      <w:r>
        <w:rPr>
          <w:kern w:val="0"/>
          <w:szCs w:val="21"/>
        </w:rPr>
        <w:t>13.6.1 竣工退场</w:t>
      </w:r>
    </w:p>
    <w:p>
      <w:pPr>
        <w:spacing w:line="360" w:lineRule="exact"/>
        <w:ind w:firstLine="420" w:firstLineChars="200"/>
        <w:rPr>
          <w:kern w:val="0"/>
          <w:szCs w:val="21"/>
        </w:rPr>
      </w:pPr>
      <w:r>
        <w:rPr>
          <w:rFonts w:hint="eastAsia"/>
          <w:kern w:val="0"/>
          <w:szCs w:val="21"/>
        </w:rPr>
        <w:t>分包人</w:t>
      </w:r>
      <w:r>
        <w:rPr>
          <w:kern w:val="0"/>
          <w:szCs w:val="21"/>
        </w:rPr>
        <w:t>完成竣工退场的期限：</w:t>
      </w:r>
      <w:r>
        <w:rPr>
          <w:rFonts w:hint="eastAsia"/>
          <w:szCs w:val="21"/>
          <w:u w:val="single"/>
        </w:rPr>
        <w:t>颁发工程接收证书后7天内</w:t>
      </w:r>
      <w:r>
        <w:rPr>
          <w:kern w:val="0"/>
          <w:szCs w:val="21"/>
        </w:rPr>
        <w:t>。</w:t>
      </w:r>
    </w:p>
    <w:p>
      <w:pPr>
        <w:keepNext/>
        <w:keepLines/>
        <w:spacing w:line="360" w:lineRule="exact"/>
        <w:outlineLvl w:val="3"/>
        <w:rPr>
          <w:rFonts w:eastAsia="黑体"/>
          <w:bCs/>
          <w:szCs w:val="21"/>
        </w:rPr>
      </w:pPr>
      <w:bookmarkStart w:id="849" w:name="_Toc351203646"/>
      <w:r>
        <w:rPr>
          <w:rFonts w:eastAsia="黑体"/>
          <w:bCs/>
          <w:szCs w:val="21"/>
        </w:rPr>
        <w:t>14. 竣工结算</w:t>
      </w:r>
      <w:bookmarkEnd w:id="849"/>
    </w:p>
    <w:p>
      <w:pPr>
        <w:spacing w:line="360" w:lineRule="exact"/>
        <w:ind w:firstLine="420" w:firstLineChars="200"/>
        <w:rPr>
          <w:rFonts w:eastAsia="黑体"/>
          <w:szCs w:val="21"/>
        </w:rPr>
      </w:pPr>
      <w:r>
        <w:rPr>
          <w:rFonts w:eastAsia="黑体"/>
          <w:szCs w:val="21"/>
        </w:rPr>
        <w:t>14.1 竣工</w:t>
      </w:r>
      <w:r>
        <w:rPr>
          <w:rFonts w:hint="eastAsia" w:eastAsia="黑体"/>
          <w:szCs w:val="21"/>
        </w:rPr>
        <w:t>结算</w:t>
      </w:r>
      <w:r>
        <w:rPr>
          <w:rFonts w:eastAsia="黑体"/>
          <w:szCs w:val="21"/>
        </w:rPr>
        <w:t>申请</w:t>
      </w:r>
    </w:p>
    <w:p>
      <w:pPr>
        <w:spacing w:line="360" w:lineRule="exact"/>
        <w:ind w:firstLine="420" w:firstLineChars="200"/>
        <w:rPr>
          <w:szCs w:val="21"/>
          <w:u w:val="single"/>
        </w:rPr>
      </w:pPr>
      <w:r>
        <w:rPr>
          <w:rFonts w:hint="eastAsia"/>
          <w:szCs w:val="21"/>
          <w:u w:val="single"/>
        </w:rPr>
        <w:t>分包人应在完成合同范围内施工内容，经竣工验收合格，并取得工程质量监督报告后</w:t>
      </w:r>
      <w:r>
        <w:rPr>
          <w:szCs w:val="21"/>
          <w:u w:val="single"/>
        </w:rPr>
        <w:t>90</w:t>
      </w:r>
      <w:r>
        <w:rPr>
          <w:rFonts w:hint="eastAsia"/>
          <w:szCs w:val="21"/>
          <w:u w:val="single"/>
        </w:rPr>
        <w:t>天内向发包人和监理人提交竣工结算申请单，并提交完整的工程结算资料三套（包括但不限于</w:t>
      </w:r>
      <w:r>
        <w:rPr>
          <w:rFonts w:hint="eastAsia" w:ascii="宋体" w:hAnsi="宋体" w:cs="宋体"/>
          <w:szCs w:val="21"/>
          <w:u w:val="single"/>
        </w:rPr>
        <w:t>隐蔽工程相关资料、</w:t>
      </w:r>
      <w:r>
        <w:rPr>
          <w:rFonts w:hint="eastAsia" w:ascii="仿宋_GB2312" w:hAnsi="宋体"/>
          <w:szCs w:val="21"/>
          <w:u w:val="single"/>
        </w:rPr>
        <w:t>所有设备、材料和预制构件等产品合格证和质保书、试验（试车）报告等必要资料</w:t>
      </w:r>
      <w:r>
        <w:rPr>
          <w:rFonts w:hint="eastAsia"/>
          <w:szCs w:val="21"/>
          <w:u w:val="single"/>
        </w:rPr>
        <w:t>）。超过</w:t>
      </w:r>
      <w:r>
        <w:rPr>
          <w:szCs w:val="21"/>
          <w:u w:val="single"/>
        </w:rPr>
        <w:t>90</w:t>
      </w:r>
      <w:r>
        <w:rPr>
          <w:rFonts w:hint="eastAsia"/>
          <w:szCs w:val="21"/>
          <w:u w:val="single"/>
        </w:rPr>
        <w:t>天未提交竣工结算资料，经发包人催告后</w:t>
      </w:r>
      <w:r>
        <w:rPr>
          <w:szCs w:val="21"/>
          <w:u w:val="single"/>
        </w:rPr>
        <w:t>28</w:t>
      </w:r>
      <w:r>
        <w:rPr>
          <w:rFonts w:hint="eastAsia"/>
          <w:szCs w:val="21"/>
          <w:u w:val="single"/>
        </w:rPr>
        <w:t>天</w:t>
      </w:r>
      <w:r>
        <w:rPr>
          <w:rFonts w:hint="eastAsia"/>
          <w:szCs w:val="21"/>
          <w:u w:val="single"/>
          <w:lang w:val="en-US" w:eastAsia="zh-CN"/>
        </w:rPr>
        <w:t>内</w:t>
      </w:r>
      <w:r>
        <w:rPr>
          <w:rFonts w:hint="eastAsia"/>
          <w:szCs w:val="21"/>
          <w:u w:val="single"/>
        </w:rPr>
        <w:t>，分包人还不提交竣工结算资料的，发包人可根据自己资料办理竣工结算，且视为分包人认可竣工结算结果。</w:t>
      </w:r>
    </w:p>
    <w:p>
      <w:pPr>
        <w:spacing w:line="360" w:lineRule="exact"/>
        <w:ind w:firstLine="420" w:firstLineChars="200"/>
        <w:rPr>
          <w:rFonts w:eastAsia="黑体"/>
          <w:szCs w:val="21"/>
        </w:rPr>
      </w:pPr>
      <w:r>
        <w:rPr>
          <w:rFonts w:eastAsia="黑体"/>
          <w:szCs w:val="21"/>
        </w:rPr>
        <w:t>14.2 竣工结算审核</w:t>
      </w:r>
    </w:p>
    <w:p>
      <w:pPr>
        <w:spacing w:line="360" w:lineRule="exact"/>
        <w:ind w:firstLine="420" w:firstLineChars="200"/>
        <w:rPr>
          <w:rFonts w:ascii="仿宋_GB2312"/>
          <w:szCs w:val="21"/>
          <w:u w:val="single"/>
        </w:rPr>
      </w:pPr>
      <w:r>
        <w:rPr>
          <w:rFonts w:hint="eastAsia" w:ascii="仿宋_GB2312"/>
          <w:szCs w:val="21"/>
        </w:rPr>
        <w:t>（</w:t>
      </w:r>
      <w:r>
        <w:rPr>
          <w:szCs w:val="21"/>
        </w:rPr>
        <w:t>1</w:t>
      </w:r>
      <w:r>
        <w:rPr>
          <w:rFonts w:hint="eastAsia" w:ascii="仿宋_GB2312"/>
          <w:szCs w:val="21"/>
        </w:rPr>
        <w:t>）发包人结算审核时间：</w:t>
      </w:r>
      <w:r>
        <w:rPr>
          <w:rFonts w:hint="eastAsia" w:ascii="仿宋_GB2312"/>
          <w:szCs w:val="21"/>
          <w:u w:val="single"/>
        </w:rPr>
        <w:t>发包人收到分包人递交的竣工结算报告及结算资料后，</w:t>
      </w:r>
      <w:r>
        <w:rPr>
          <w:rFonts w:hint="eastAsia" w:ascii="宋体" w:hAnsi="宋体" w:cs="宋体"/>
          <w:szCs w:val="21"/>
          <w:u w:val="single"/>
        </w:rPr>
        <w:t>在（180）天内审核完毕</w:t>
      </w:r>
      <w:r>
        <w:rPr>
          <w:rFonts w:hint="eastAsia" w:ascii="仿宋_GB2312"/>
          <w:szCs w:val="21"/>
          <w:u w:val="single"/>
        </w:rPr>
        <w:t>，并签发竣工结算证书。</w:t>
      </w:r>
    </w:p>
    <w:p>
      <w:pPr>
        <w:spacing w:line="360" w:lineRule="exact"/>
        <w:ind w:firstLine="420" w:firstLineChars="200"/>
        <w:rPr>
          <w:rFonts w:ascii="仿宋_GB2312"/>
          <w:szCs w:val="21"/>
          <w:u w:val="single"/>
        </w:rPr>
      </w:pPr>
      <w:r>
        <w:rPr>
          <w:rFonts w:hint="eastAsia" w:ascii="仿宋_GB2312"/>
          <w:szCs w:val="21"/>
          <w:u w:val="single"/>
        </w:rPr>
        <w:t>（</w:t>
      </w:r>
      <w:r>
        <w:rPr>
          <w:szCs w:val="21"/>
          <w:u w:val="single"/>
        </w:rPr>
        <w:t>2</w:t>
      </w:r>
      <w:r>
        <w:rPr>
          <w:rFonts w:hint="eastAsia" w:ascii="仿宋_GB2312"/>
          <w:szCs w:val="21"/>
          <w:u w:val="single"/>
        </w:rPr>
        <w:t>）</w:t>
      </w:r>
      <w:r>
        <w:rPr>
          <w:rFonts w:hint="eastAsia" w:ascii="宋体" w:hAnsi="宋体" w:cs="宋体"/>
          <w:szCs w:val="21"/>
          <w:u w:val="single"/>
        </w:rPr>
        <w:t>发包人在签署最终工程结算证书后14天内，按专用条款15.3条办理工程质量保证金留置手续后完成对发包人的付款。逾期支付按同期全国银行间同业拆借中心公布的一年期贷款市场报价利率支付违约金；逾期超过56天，超过部分按同期全国银行间同业拆借中心公布的一年期贷款市场报价利率的2倍支付违约金</w:t>
      </w:r>
      <w:r>
        <w:rPr>
          <w:rFonts w:hint="eastAsia" w:ascii="仿宋_GB2312"/>
          <w:szCs w:val="21"/>
          <w:u w:val="single"/>
        </w:rPr>
        <w:t>。</w:t>
      </w:r>
    </w:p>
    <w:p>
      <w:pPr>
        <w:spacing w:line="360" w:lineRule="exact"/>
        <w:ind w:firstLine="420" w:firstLineChars="200"/>
        <w:rPr>
          <w:rFonts w:ascii="仿宋_GB2312"/>
          <w:szCs w:val="21"/>
          <w:u w:val="single"/>
        </w:rPr>
      </w:pPr>
      <w:r>
        <w:rPr>
          <w:rFonts w:hint="eastAsia" w:ascii="仿宋_GB2312"/>
          <w:szCs w:val="21"/>
          <w:u w:val="single"/>
        </w:rPr>
        <w:t>（</w:t>
      </w:r>
      <w:r>
        <w:rPr>
          <w:szCs w:val="21"/>
          <w:u w:val="single"/>
        </w:rPr>
        <w:t>3</w:t>
      </w:r>
      <w:r>
        <w:rPr>
          <w:rFonts w:hint="eastAsia" w:ascii="仿宋_GB2312"/>
          <w:szCs w:val="21"/>
          <w:u w:val="single"/>
        </w:rPr>
        <w:t>）</w:t>
      </w:r>
      <w:r>
        <w:rPr>
          <w:rFonts w:hint="eastAsia" w:ascii="宋体" w:hAnsi="宋体" w:cs="宋体"/>
          <w:szCs w:val="21"/>
          <w:u w:val="single"/>
        </w:rPr>
        <w:t>分包人对发包人签认的最终工程结算证书有异议的，可对无异议部分签署确认意见，同时对有异议部分签署争议解决途径意见。发包人先支付分包人无异议部分工程结算价款，异议部分重新进行复核或按照第20条处理</w:t>
      </w:r>
      <w:r>
        <w:rPr>
          <w:rFonts w:hint="eastAsia" w:ascii="仿宋_GB2312"/>
          <w:szCs w:val="21"/>
          <w:u w:val="single"/>
        </w:rPr>
        <w:t>。</w:t>
      </w:r>
    </w:p>
    <w:p>
      <w:pPr>
        <w:spacing w:line="360" w:lineRule="exact"/>
        <w:ind w:firstLine="420" w:firstLineChars="200"/>
        <w:rPr>
          <w:rFonts w:ascii="仿宋_GB2312"/>
          <w:szCs w:val="21"/>
          <w:u w:val="single"/>
        </w:rPr>
      </w:pPr>
      <w:r>
        <w:rPr>
          <w:rFonts w:hint="eastAsia"/>
          <w:szCs w:val="21"/>
        </w:rPr>
        <w:t>（</w:t>
      </w:r>
      <w:r>
        <w:rPr>
          <w:szCs w:val="21"/>
        </w:rPr>
        <w:t>4</w:t>
      </w:r>
      <w:r>
        <w:rPr>
          <w:rFonts w:hint="eastAsia"/>
          <w:szCs w:val="21"/>
        </w:rPr>
        <w:t>）结算特殊要求：</w:t>
      </w:r>
      <w:r>
        <w:rPr>
          <w:rFonts w:hint="eastAsia" w:ascii="新宋体" w:hAnsi="新宋体" w:eastAsia="新宋体" w:cs="新宋体"/>
          <w:szCs w:val="21"/>
          <w:u w:val="single"/>
        </w:rPr>
        <w:t>/</w:t>
      </w:r>
      <w:r>
        <w:rPr>
          <w:rFonts w:hint="eastAsia" w:ascii="宋体" w:hAnsi="宋体"/>
          <w:u w:val="single"/>
        </w:rPr>
        <w:t>。</w:t>
      </w:r>
    </w:p>
    <w:p>
      <w:pPr>
        <w:spacing w:line="360" w:lineRule="exact"/>
        <w:ind w:firstLine="420" w:firstLineChars="200"/>
        <w:rPr>
          <w:rFonts w:eastAsia="黑体"/>
          <w:szCs w:val="21"/>
        </w:rPr>
      </w:pPr>
      <w:r>
        <w:rPr>
          <w:rFonts w:eastAsia="黑体"/>
          <w:szCs w:val="21"/>
        </w:rPr>
        <w:t>14.4 最终结清</w:t>
      </w:r>
    </w:p>
    <w:p>
      <w:pPr>
        <w:spacing w:line="360" w:lineRule="exact"/>
        <w:ind w:firstLine="420" w:firstLineChars="200"/>
        <w:rPr>
          <w:kern w:val="0"/>
          <w:szCs w:val="21"/>
        </w:rPr>
      </w:pPr>
      <w:r>
        <w:rPr>
          <w:kern w:val="0"/>
          <w:szCs w:val="21"/>
        </w:rPr>
        <w:t>14.4.1 最终结清申请单</w:t>
      </w:r>
    </w:p>
    <w:p>
      <w:pPr>
        <w:spacing w:line="360" w:lineRule="exact"/>
        <w:ind w:firstLine="420" w:firstLineChars="200"/>
        <w:rPr>
          <w:kern w:val="0"/>
          <w:szCs w:val="21"/>
        </w:rPr>
      </w:pPr>
      <w:r>
        <w:rPr>
          <w:rFonts w:hint="eastAsia"/>
          <w:kern w:val="0"/>
          <w:szCs w:val="21"/>
        </w:rPr>
        <w:t>分包人</w:t>
      </w:r>
      <w:r>
        <w:rPr>
          <w:kern w:val="0"/>
          <w:szCs w:val="21"/>
        </w:rPr>
        <w:t>提交最终结清申请单的份数：</w:t>
      </w:r>
      <w:r>
        <w:rPr>
          <w:rFonts w:hint="eastAsia"/>
          <w:szCs w:val="21"/>
          <w:u w:val="single"/>
        </w:rPr>
        <w:t>按发包人实际需求</w:t>
      </w:r>
      <w:r>
        <w:rPr>
          <w:szCs w:val="21"/>
        </w:rPr>
        <w:t>。</w:t>
      </w:r>
    </w:p>
    <w:p>
      <w:pPr>
        <w:spacing w:line="360" w:lineRule="exact"/>
        <w:ind w:firstLine="420" w:firstLineChars="200"/>
        <w:rPr>
          <w:szCs w:val="21"/>
        </w:rPr>
      </w:pPr>
      <w:r>
        <w:rPr>
          <w:rFonts w:hint="eastAsia"/>
          <w:kern w:val="0"/>
          <w:szCs w:val="21"/>
        </w:rPr>
        <w:t>分包人</w:t>
      </w:r>
      <w:r>
        <w:rPr>
          <w:kern w:val="0"/>
          <w:szCs w:val="21"/>
        </w:rPr>
        <w:t>提交最终结算申请单的期限：</w:t>
      </w:r>
      <w:r>
        <w:rPr>
          <w:rFonts w:hint="eastAsia" w:ascii="宋体" w:hAnsi="宋体" w:cs="宋体"/>
          <w:szCs w:val="21"/>
          <w:u w:val="single"/>
        </w:rPr>
        <w:t>缺陷责任期终止后7天内</w:t>
      </w:r>
      <w:r>
        <w:rPr>
          <w:szCs w:val="21"/>
        </w:rPr>
        <w:t>。</w:t>
      </w:r>
    </w:p>
    <w:p>
      <w:pPr>
        <w:spacing w:line="360" w:lineRule="exact"/>
        <w:ind w:firstLine="420" w:firstLineChars="200"/>
        <w:rPr>
          <w:szCs w:val="21"/>
        </w:rPr>
      </w:pPr>
      <w:r>
        <w:rPr>
          <w:szCs w:val="21"/>
        </w:rPr>
        <w:t>14.4.2 最终结清证书和支付</w:t>
      </w:r>
    </w:p>
    <w:p>
      <w:pPr>
        <w:spacing w:line="360" w:lineRule="exact"/>
        <w:ind w:firstLine="420" w:firstLineChars="200"/>
        <w:rPr>
          <w:szCs w:val="21"/>
        </w:rPr>
      </w:pPr>
      <w:r>
        <w:rPr>
          <w:szCs w:val="21"/>
        </w:rPr>
        <w:t>（1）发包人完成最终结清申请单的</w:t>
      </w:r>
      <w:r>
        <w:rPr>
          <w:rFonts w:hint="eastAsia"/>
          <w:szCs w:val="21"/>
        </w:rPr>
        <w:t>审批</w:t>
      </w:r>
      <w:r>
        <w:rPr>
          <w:szCs w:val="21"/>
        </w:rPr>
        <w:t>并颁发最终结清证书的期限：</w:t>
      </w:r>
      <w:r>
        <w:rPr>
          <w:rFonts w:hint="eastAsia"/>
          <w:szCs w:val="21"/>
          <w:u w:val="single"/>
        </w:rPr>
        <w:t>按通用条款</w:t>
      </w:r>
      <w:r>
        <w:rPr>
          <w:szCs w:val="21"/>
        </w:rPr>
        <w:t>。</w:t>
      </w:r>
    </w:p>
    <w:p>
      <w:pPr>
        <w:spacing w:line="360" w:lineRule="exact"/>
        <w:ind w:firstLine="420" w:firstLineChars="200"/>
        <w:rPr>
          <w:szCs w:val="21"/>
        </w:rPr>
      </w:pPr>
      <w:r>
        <w:rPr>
          <w:szCs w:val="21"/>
        </w:rPr>
        <w:t>（2）发包人完成支付的期限：</w:t>
      </w:r>
      <w:r>
        <w:rPr>
          <w:rFonts w:hint="eastAsia"/>
          <w:szCs w:val="21"/>
          <w:u w:val="single"/>
        </w:rPr>
        <w:t>按通用条款</w:t>
      </w:r>
      <w:r>
        <w:rPr>
          <w:szCs w:val="21"/>
        </w:rPr>
        <w:t>。</w:t>
      </w:r>
    </w:p>
    <w:bookmarkEnd w:id="836"/>
    <w:bookmarkEnd w:id="837"/>
    <w:bookmarkEnd w:id="838"/>
    <w:bookmarkEnd w:id="839"/>
    <w:bookmarkEnd w:id="840"/>
    <w:bookmarkEnd w:id="841"/>
    <w:bookmarkEnd w:id="842"/>
    <w:bookmarkEnd w:id="848"/>
    <w:p>
      <w:pPr>
        <w:keepNext/>
        <w:keepLines/>
        <w:spacing w:line="360" w:lineRule="exact"/>
        <w:outlineLvl w:val="3"/>
        <w:rPr>
          <w:rFonts w:eastAsia="黑体"/>
          <w:bCs/>
          <w:szCs w:val="21"/>
        </w:rPr>
      </w:pPr>
      <w:bookmarkStart w:id="850" w:name="_Toc351203647"/>
      <w:bookmarkStart w:id="851" w:name="_Toc267251483"/>
      <w:bookmarkStart w:id="852" w:name="_Toc267251482"/>
      <w:bookmarkStart w:id="853" w:name="_Toc267251484"/>
      <w:bookmarkStart w:id="854" w:name="_Toc267251485"/>
      <w:bookmarkStart w:id="855" w:name="_Toc267251486"/>
      <w:bookmarkStart w:id="856" w:name="_Toc267251490"/>
      <w:bookmarkStart w:id="857" w:name="_Toc267251489"/>
      <w:bookmarkStart w:id="858" w:name="_Toc267251488"/>
      <w:bookmarkStart w:id="859" w:name="_Toc267251494"/>
      <w:bookmarkStart w:id="860" w:name="_Toc267251495"/>
      <w:bookmarkStart w:id="861" w:name="_Toc267251501"/>
      <w:bookmarkStart w:id="862" w:name="_Toc267251491"/>
      <w:bookmarkStart w:id="863" w:name="_Toc267251502"/>
      <w:bookmarkStart w:id="864" w:name="_Toc267251493"/>
      <w:bookmarkStart w:id="865" w:name="_Toc267251503"/>
      <w:bookmarkStart w:id="866" w:name="_Toc267251499"/>
      <w:bookmarkStart w:id="867" w:name="_Toc267251496"/>
      <w:bookmarkStart w:id="868" w:name="_Toc267251492"/>
      <w:bookmarkStart w:id="869" w:name="_Toc267251497"/>
      <w:bookmarkStart w:id="870" w:name="_Toc267251498"/>
      <w:bookmarkStart w:id="871" w:name="_Toc267251506"/>
      <w:bookmarkStart w:id="872" w:name="_Toc267251504"/>
      <w:bookmarkStart w:id="873" w:name="_Toc267251507"/>
      <w:r>
        <w:rPr>
          <w:rFonts w:eastAsia="黑体"/>
          <w:bCs/>
          <w:szCs w:val="21"/>
        </w:rPr>
        <w:t>15. 缺陷责任期与保修</w:t>
      </w:r>
      <w:bookmarkEnd w:id="850"/>
    </w:p>
    <w:p>
      <w:pPr>
        <w:spacing w:line="360" w:lineRule="exact"/>
        <w:ind w:firstLine="420" w:firstLineChars="200"/>
        <w:rPr>
          <w:rFonts w:eastAsia="黑体"/>
          <w:szCs w:val="21"/>
        </w:rPr>
      </w:pPr>
      <w:r>
        <w:rPr>
          <w:rFonts w:eastAsia="黑体"/>
          <w:szCs w:val="21"/>
        </w:rPr>
        <w:t>15.2缺陷责任期</w:t>
      </w:r>
      <w:bookmarkEnd w:id="851"/>
    </w:p>
    <w:p>
      <w:pPr>
        <w:spacing w:line="360" w:lineRule="exact"/>
        <w:ind w:firstLine="420" w:firstLineChars="200"/>
        <w:rPr>
          <w:szCs w:val="21"/>
        </w:rPr>
      </w:pPr>
      <w:r>
        <w:rPr>
          <w:szCs w:val="21"/>
        </w:rPr>
        <w:t>缺陷责任期的具体期限：</w:t>
      </w:r>
      <w:r>
        <w:rPr>
          <w:rFonts w:hint="eastAsia"/>
          <w:szCs w:val="21"/>
          <w:u w:val="single"/>
        </w:rPr>
        <w:t>缺陷责任期24个月，其余按通用条款执行</w:t>
      </w:r>
      <w:r>
        <w:rPr>
          <w:szCs w:val="21"/>
        </w:rPr>
        <w:t>。</w:t>
      </w:r>
    </w:p>
    <w:p>
      <w:pPr>
        <w:spacing w:line="360" w:lineRule="exact"/>
        <w:ind w:firstLine="420" w:firstLineChars="200"/>
        <w:rPr>
          <w:rFonts w:eastAsia="黑体"/>
          <w:szCs w:val="21"/>
        </w:rPr>
      </w:pPr>
      <w:r>
        <w:rPr>
          <w:rFonts w:eastAsia="黑体"/>
          <w:szCs w:val="21"/>
        </w:rPr>
        <w:t>15.3 质量保证金</w:t>
      </w:r>
    </w:p>
    <w:p>
      <w:pPr>
        <w:spacing w:line="360" w:lineRule="exact"/>
        <w:ind w:firstLine="420" w:firstLineChars="200"/>
        <w:rPr>
          <w:szCs w:val="21"/>
        </w:rPr>
      </w:pPr>
      <w:r>
        <w:rPr>
          <w:rFonts w:hint="eastAsia"/>
          <w:szCs w:val="21"/>
        </w:rPr>
        <w:t>关于是否扣留质量保证金的约定：</w:t>
      </w:r>
      <w:r>
        <w:rPr>
          <w:rFonts w:hint="eastAsia" w:ascii="宋体" w:hAnsi="宋体" w:cs="宋体"/>
          <w:szCs w:val="21"/>
          <w:u w:val="single"/>
        </w:rPr>
        <w:t>留置</w:t>
      </w:r>
      <w:r>
        <w:rPr>
          <w:rFonts w:hint="eastAsia"/>
          <w:szCs w:val="21"/>
          <w:u w:val="single"/>
        </w:rPr>
        <w:t>质量保证金</w:t>
      </w:r>
      <w:r>
        <w:rPr>
          <w:szCs w:val="21"/>
        </w:rPr>
        <w:t>。</w:t>
      </w:r>
    </w:p>
    <w:p>
      <w:pPr>
        <w:spacing w:line="360" w:lineRule="exact"/>
        <w:ind w:firstLine="420" w:firstLineChars="200"/>
        <w:rPr>
          <w:szCs w:val="21"/>
        </w:rPr>
      </w:pPr>
      <w:r>
        <w:rPr>
          <w:szCs w:val="21"/>
        </w:rPr>
        <w:t xml:space="preserve">15.3.1 </w:t>
      </w:r>
      <w:r>
        <w:rPr>
          <w:rFonts w:hint="eastAsia"/>
          <w:szCs w:val="21"/>
        </w:rPr>
        <w:t>分包人提供</w:t>
      </w:r>
      <w:r>
        <w:rPr>
          <w:szCs w:val="21"/>
        </w:rPr>
        <w:t>质量保证金的</w:t>
      </w:r>
      <w:r>
        <w:rPr>
          <w:rFonts w:hint="eastAsia"/>
          <w:szCs w:val="21"/>
        </w:rPr>
        <w:t>方</w:t>
      </w:r>
      <w:r>
        <w:rPr>
          <w:szCs w:val="21"/>
        </w:rPr>
        <w:t>式</w:t>
      </w:r>
    </w:p>
    <w:p>
      <w:pPr>
        <w:spacing w:line="360" w:lineRule="exact"/>
        <w:ind w:firstLine="420" w:firstLineChars="200"/>
        <w:rPr>
          <w:szCs w:val="21"/>
        </w:rPr>
      </w:pPr>
      <w:r>
        <w:rPr>
          <w:szCs w:val="21"/>
        </w:rPr>
        <w:t>质量保证金采用以下第</w:t>
      </w:r>
      <w:r>
        <w:rPr>
          <w:rFonts w:hint="eastAsia"/>
          <w:szCs w:val="21"/>
          <w:u w:val="single"/>
        </w:rPr>
        <w:t xml:space="preserve"> 1 </w:t>
      </w:r>
      <w:r>
        <w:rPr>
          <w:szCs w:val="21"/>
        </w:rPr>
        <w:t>种方式：</w:t>
      </w:r>
    </w:p>
    <w:p>
      <w:pPr>
        <w:autoSpaceDE w:val="0"/>
        <w:autoSpaceDN w:val="0"/>
        <w:adjustRightInd w:val="0"/>
        <w:spacing w:line="360" w:lineRule="exact"/>
        <w:ind w:firstLine="420" w:firstLineChars="200"/>
        <w:rPr>
          <w:kern w:val="0"/>
          <w:szCs w:val="21"/>
        </w:rPr>
      </w:pPr>
      <w:r>
        <w:rPr>
          <w:kern w:val="0"/>
          <w:szCs w:val="21"/>
        </w:rPr>
        <w:t>（1）</w:t>
      </w:r>
      <w:r>
        <w:rPr>
          <w:rFonts w:hint="eastAsia" w:ascii="宋体" w:hAnsi="宋体" w:cs="宋体"/>
          <w:kern w:val="0"/>
          <w:szCs w:val="21"/>
        </w:rPr>
        <w:t>质量保证金保函，</w:t>
      </w:r>
      <w:r>
        <w:rPr>
          <w:rFonts w:hint="eastAsia" w:ascii="宋体" w:hAnsi="宋体" w:cs="宋体"/>
          <w:szCs w:val="21"/>
        </w:rPr>
        <w:t>保函形式为工程见索即付保函，</w:t>
      </w:r>
      <w:r>
        <w:rPr>
          <w:rFonts w:hint="eastAsia" w:ascii="宋体" w:hAnsi="宋体" w:cs="宋体"/>
          <w:kern w:val="0"/>
          <w:szCs w:val="21"/>
        </w:rPr>
        <w:t>金额为1.5 %的工程结算价款</w:t>
      </w:r>
      <w:r>
        <w:rPr>
          <w:kern w:val="0"/>
          <w:szCs w:val="21"/>
        </w:rPr>
        <w:t>；</w:t>
      </w:r>
    </w:p>
    <w:p>
      <w:pPr>
        <w:autoSpaceDE w:val="0"/>
        <w:autoSpaceDN w:val="0"/>
        <w:adjustRightInd w:val="0"/>
        <w:spacing w:line="360" w:lineRule="exact"/>
        <w:ind w:firstLine="420" w:firstLineChars="200"/>
        <w:rPr>
          <w:kern w:val="0"/>
          <w:szCs w:val="21"/>
        </w:rPr>
      </w:pPr>
      <w:r>
        <w:rPr>
          <w:kern w:val="0"/>
          <w:szCs w:val="21"/>
        </w:rPr>
        <w:t>（2）</w:t>
      </w:r>
      <w:r>
        <w:rPr>
          <w:rFonts w:hint="eastAsia"/>
          <w:kern w:val="0"/>
          <w:szCs w:val="21"/>
          <w:u w:val="single"/>
        </w:rPr>
        <w:t>1</w:t>
      </w:r>
      <w:r>
        <w:rPr>
          <w:kern w:val="0"/>
          <w:szCs w:val="21"/>
          <w:u w:val="single"/>
        </w:rPr>
        <w:t>.5 %</w:t>
      </w:r>
      <w:r>
        <w:rPr>
          <w:kern w:val="0"/>
          <w:szCs w:val="21"/>
        </w:rPr>
        <w:t>的工程</w:t>
      </w:r>
      <w:r>
        <w:rPr>
          <w:rFonts w:hint="eastAsia"/>
          <w:kern w:val="0"/>
          <w:szCs w:val="21"/>
        </w:rPr>
        <w:t>结算价</w:t>
      </w:r>
      <w:r>
        <w:rPr>
          <w:kern w:val="0"/>
          <w:szCs w:val="21"/>
        </w:rPr>
        <w:t>款；</w:t>
      </w:r>
    </w:p>
    <w:p>
      <w:pPr>
        <w:autoSpaceDE w:val="0"/>
        <w:autoSpaceDN w:val="0"/>
        <w:adjustRightInd w:val="0"/>
        <w:spacing w:line="360" w:lineRule="exact"/>
        <w:ind w:firstLine="420" w:firstLineChars="200"/>
        <w:rPr>
          <w:kern w:val="0"/>
          <w:szCs w:val="21"/>
        </w:rPr>
      </w:pPr>
      <w:r>
        <w:rPr>
          <w:kern w:val="0"/>
          <w:szCs w:val="21"/>
        </w:rPr>
        <w:t>（3）其他</w:t>
      </w:r>
      <w:r>
        <w:rPr>
          <w:rFonts w:hint="eastAsia"/>
          <w:kern w:val="0"/>
          <w:szCs w:val="21"/>
        </w:rPr>
        <w:t>方</w:t>
      </w:r>
      <w:r>
        <w:rPr>
          <w:kern w:val="0"/>
          <w:szCs w:val="21"/>
        </w:rPr>
        <w:t>式</w:t>
      </w:r>
      <w:r>
        <w:rPr>
          <w:szCs w:val="21"/>
        </w:rPr>
        <w:t>：</w:t>
      </w:r>
      <w:r>
        <w:rPr>
          <w:rFonts w:hint="eastAsia"/>
          <w:kern w:val="0"/>
          <w:szCs w:val="21"/>
          <w:u w:val="single"/>
        </w:rPr>
        <w:t xml:space="preserve">/      </w:t>
      </w:r>
      <w:r>
        <w:rPr>
          <w:kern w:val="0"/>
          <w:szCs w:val="21"/>
        </w:rPr>
        <w:t>。</w:t>
      </w:r>
    </w:p>
    <w:p>
      <w:pPr>
        <w:spacing w:line="360" w:lineRule="exact"/>
        <w:ind w:firstLine="420" w:firstLineChars="200"/>
        <w:rPr>
          <w:szCs w:val="21"/>
        </w:rPr>
      </w:pPr>
      <w:r>
        <w:rPr>
          <w:szCs w:val="21"/>
        </w:rPr>
        <w:t>15.3.2 质量保证金的扣留</w:t>
      </w:r>
    </w:p>
    <w:p>
      <w:pPr>
        <w:spacing w:line="360" w:lineRule="exact"/>
        <w:ind w:firstLine="420" w:firstLineChars="200"/>
        <w:rPr>
          <w:szCs w:val="21"/>
        </w:rPr>
      </w:pPr>
      <w:r>
        <w:rPr>
          <w:szCs w:val="21"/>
        </w:rPr>
        <w:t>质量保证金的扣留采取以下第</w:t>
      </w:r>
      <w:r>
        <w:rPr>
          <w:rFonts w:hint="eastAsia"/>
          <w:szCs w:val="21"/>
          <w:u w:val="single"/>
        </w:rPr>
        <w:t>3</w:t>
      </w:r>
      <w:r>
        <w:rPr>
          <w:szCs w:val="21"/>
        </w:rPr>
        <w:t>种方式：</w:t>
      </w:r>
    </w:p>
    <w:p>
      <w:pPr>
        <w:autoSpaceDE w:val="0"/>
        <w:autoSpaceDN w:val="0"/>
        <w:adjustRightInd w:val="0"/>
        <w:spacing w:line="360" w:lineRule="exact"/>
        <w:ind w:firstLine="420" w:firstLineChars="200"/>
        <w:rPr>
          <w:kern w:val="0"/>
          <w:szCs w:val="21"/>
        </w:rPr>
      </w:pPr>
      <w:r>
        <w:rPr>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exact"/>
        <w:ind w:firstLine="420" w:firstLineChars="200"/>
        <w:rPr>
          <w:kern w:val="0"/>
          <w:szCs w:val="21"/>
        </w:rPr>
      </w:pPr>
      <w:r>
        <w:rPr>
          <w:kern w:val="0"/>
          <w:szCs w:val="21"/>
        </w:rPr>
        <w:t>（2）工程竣工结算时一次性扣留质量保证金；</w:t>
      </w:r>
    </w:p>
    <w:p>
      <w:pPr>
        <w:autoSpaceDE w:val="0"/>
        <w:autoSpaceDN w:val="0"/>
        <w:adjustRightInd w:val="0"/>
        <w:spacing w:line="360" w:lineRule="exact"/>
        <w:ind w:firstLine="420" w:firstLineChars="200"/>
        <w:rPr>
          <w:kern w:val="0"/>
          <w:szCs w:val="21"/>
        </w:rPr>
      </w:pPr>
      <w:r>
        <w:rPr>
          <w:kern w:val="0"/>
          <w:szCs w:val="21"/>
        </w:rPr>
        <w:t>（3）其他扣留方式</w:t>
      </w:r>
      <w:r>
        <w:rPr>
          <w:szCs w:val="21"/>
        </w:rPr>
        <w:t>：</w:t>
      </w:r>
      <w:r>
        <w:rPr>
          <w:rFonts w:hint="eastAsia"/>
          <w:szCs w:val="21"/>
          <w:u w:val="single"/>
        </w:rPr>
        <w:t xml:space="preserve"> </w:t>
      </w:r>
      <w:r>
        <w:rPr>
          <w:rFonts w:hint="eastAsia" w:ascii="宋体" w:hAnsi="宋体"/>
          <w:b/>
          <w:bCs/>
          <w:kern w:val="0"/>
          <w:szCs w:val="21"/>
          <w:u w:val="single"/>
        </w:rPr>
        <w:t>分包人提供质量保证金保函后,发包人付清工程结算价款。</w:t>
      </w:r>
      <w:r>
        <w:rPr>
          <w:rFonts w:hint="eastAsia" w:ascii="宋体" w:hAnsi="宋体" w:cs="宋体"/>
          <w:b/>
          <w:bCs/>
          <w:szCs w:val="21"/>
          <w:u w:val="single"/>
        </w:rPr>
        <w:t>工程实际竣工验收合格后，工程质量保修期满后，质量保证金保函自动失效（质量保证金保函期限与工程质量保修书保修期限一致）</w:t>
      </w:r>
      <w:r>
        <w:rPr>
          <w:kern w:val="0"/>
          <w:szCs w:val="21"/>
        </w:rPr>
        <w:t>。</w:t>
      </w:r>
    </w:p>
    <w:p>
      <w:pPr>
        <w:spacing w:line="360" w:lineRule="exact"/>
        <w:ind w:firstLine="420" w:firstLineChars="200"/>
        <w:rPr>
          <w:kern w:val="0"/>
          <w:szCs w:val="21"/>
        </w:rPr>
      </w:pPr>
      <w:r>
        <w:rPr>
          <w:szCs w:val="21"/>
        </w:rPr>
        <w:t>关于质量保证金的补充约定：</w:t>
      </w:r>
      <w:r>
        <w:rPr>
          <w:rFonts w:hint="eastAsia"/>
          <w:kern w:val="0"/>
          <w:szCs w:val="21"/>
          <w:u w:val="single"/>
        </w:rPr>
        <w:t xml:space="preserve">   /       </w:t>
      </w:r>
      <w:r>
        <w:rPr>
          <w:rFonts w:hint="eastAsia"/>
          <w:kern w:val="0"/>
          <w:szCs w:val="21"/>
        </w:rPr>
        <w:t>。</w:t>
      </w:r>
    </w:p>
    <w:p>
      <w:pPr>
        <w:spacing w:line="360" w:lineRule="exact"/>
        <w:ind w:firstLine="420" w:firstLineChars="200"/>
        <w:rPr>
          <w:rFonts w:ascii="仿宋_GB2312"/>
          <w:szCs w:val="21"/>
        </w:rPr>
      </w:pPr>
      <w:r>
        <w:rPr>
          <w:szCs w:val="21"/>
        </w:rPr>
        <w:t>15.3.3</w:t>
      </w:r>
      <w:r>
        <w:rPr>
          <w:rFonts w:hint="eastAsia" w:ascii="仿宋_GB2312"/>
          <w:szCs w:val="21"/>
        </w:rPr>
        <w:t>质量保证金的退还</w:t>
      </w:r>
    </w:p>
    <w:p>
      <w:pPr>
        <w:spacing w:line="360" w:lineRule="exact"/>
        <w:ind w:firstLine="420" w:firstLineChars="200"/>
        <w:rPr>
          <w:rFonts w:ascii="仿宋_GB2312"/>
          <w:szCs w:val="21"/>
        </w:rPr>
      </w:pPr>
      <w:r>
        <w:rPr>
          <w:rFonts w:hint="eastAsia" w:ascii="仿宋_GB2312"/>
          <w:szCs w:val="21"/>
        </w:rPr>
        <w:t>质量保证金按以下第</w:t>
      </w:r>
      <w:r>
        <w:rPr>
          <w:rFonts w:hint="eastAsia" w:ascii="仿宋_GB2312"/>
          <w:szCs w:val="21"/>
          <w:u w:val="single"/>
        </w:rPr>
        <w:t xml:space="preserve">  4  </w:t>
      </w:r>
      <w:r>
        <w:rPr>
          <w:rFonts w:hint="eastAsia" w:ascii="仿宋_GB2312"/>
          <w:szCs w:val="21"/>
        </w:rPr>
        <w:t>方式退回：</w:t>
      </w:r>
    </w:p>
    <w:p>
      <w:pPr>
        <w:spacing w:line="360" w:lineRule="exact"/>
        <w:ind w:firstLine="420" w:firstLineChars="200"/>
        <w:rPr>
          <w:rFonts w:ascii="仿宋_GB2312"/>
          <w:szCs w:val="21"/>
        </w:rPr>
      </w:pPr>
      <w:r>
        <w:rPr>
          <w:szCs w:val="21"/>
        </w:rPr>
        <w:t>（1</w:t>
      </w:r>
      <w:r>
        <w:rPr>
          <w:rFonts w:hint="eastAsia" w:ascii="仿宋_GB2312"/>
          <w:szCs w:val="21"/>
        </w:rPr>
        <w:t>）缺陷责任期终止后，发包人退还剩余的质量保证金（是否计息）。</w:t>
      </w:r>
    </w:p>
    <w:p>
      <w:pPr>
        <w:adjustRightInd w:val="0"/>
        <w:spacing w:line="360" w:lineRule="exact"/>
        <w:ind w:firstLine="420" w:firstLineChars="200"/>
        <w:rPr>
          <w:rFonts w:ascii="仿宋_GB2312" w:hAnsi="宋体"/>
          <w:szCs w:val="21"/>
        </w:rPr>
      </w:pPr>
      <w:r>
        <w:rPr>
          <w:rFonts w:hint="eastAsia" w:ascii="仿宋_GB2312"/>
          <w:szCs w:val="21"/>
        </w:rPr>
        <w:t>（</w:t>
      </w:r>
      <w:r>
        <w:rPr>
          <w:szCs w:val="21"/>
        </w:rPr>
        <w:t>2</w:t>
      </w:r>
      <w:r>
        <w:rPr>
          <w:rFonts w:hint="eastAsia" w:ascii="仿宋_GB2312"/>
          <w:szCs w:val="21"/>
        </w:rPr>
        <w:t>）</w:t>
      </w:r>
      <w:r>
        <w:rPr>
          <w:rFonts w:hint="eastAsia" w:ascii="仿宋_GB2312" w:hAnsi="宋体"/>
          <w:szCs w:val="21"/>
        </w:rPr>
        <w:t>建筑工程：工程实际竣工验收合格后满一年返还</w:t>
      </w:r>
      <w:r>
        <w:rPr>
          <w:rFonts w:hint="eastAsia" w:ascii="仿宋_GB2312"/>
          <w:szCs w:val="21"/>
        </w:rPr>
        <w:t>质量保证金</w:t>
      </w:r>
      <w:r>
        <w:rPr>
          <w:rFonts w:hint="eastAsia" w:ascii="仿宋_GB2312" w:hAnsi="宋体"/>
          <w:szCs w:val="21"/>
        </w:rPr>
        <w:t>的30%，质量缺陷保修期后返还全部预留的质量保证金。</w:t>
      </w:r>
    </w:p>
    <w:p>
      <w:pPr>
        <w:adjustRightInd w:val="0"/>
        <w:spacing w:line="360" w:lineRule="exact"/>
        <w:ind w:firstLine="420" w:firstLineChars="200"/>
        <w:rPr>
          <w:rFonts w:ascii="仿宋_GB2312" w:hAnsi="宋体"/>
          <w:szCs w:val="21"/>
        </w:rPr>
      </w:pPr>
      <w:r>
        <w:rPr>
          <w:rFonts w:hint="eastAsia" w:ascii="仿宋_GB2312" w:hAnsi="宋体"/>
          <w:szCs w:val="21"/>
        </w:rPr>
        <w:t>（</w:t>
      </w:r>
      <w:r>
        <w:rPr>
          <w:szCs w:val="21"/>
        </w:rPr>
        <w:t>3</w:t>
      </w:r>
      <w:r>
        <w:rPr>
          <w:rFonts w:ascii="仿宋_GB2312" w:hAnsi="宋体"/>
          <w:szCs w:val="21"/>
        </w:rPr>
        <w:t>）</w:t>
      </w:r>
      <w:r>
        <w:rPr>
          <w:rFonts w:hint="eastAsia" w:ascii="仿宋_GB2312" w:hAnsi="宋体"/>
          <w:szCs w:val="21"/>
        </w:rPr>
        <w:t>市政工程：工程实际竣工验收合格后满二年可返还全部</w:t>
      </w:r>
      <w:r>
        <w:rPr>
          <w:rFonts w:hint="eastAsia" w:ascii="仿宋_GB2312"/>
          <w:szCs w:val="21"/>
        </w:rPr>
        <w:t>质量保证金</w:t>
      </w:r>
      <w:r>
        <w:rPr>
          <w:rFonts w:hint="eastAsia" w:ascii="仿宋_GB2312" w:hAnsi="宋体"/>
          <w:szCs w:val="21"/>
        </w:rPr>
        <w:t>。</w:t>
      </w:r>
    </w:p>
    <w:p>
      <w:pPr>
        <w:spacing w:line="360" w:lineRule="exact"/>
        <w:ind w:firstLine="420" w:firstLineChars="200"/>
        <w:rPr>
          <w:rFonts w:ascii="仿宋_GB2312"/>
          <w:szCs w:val="21"/>
        </w:rPr>
      </w:pPr>
      <w:r>
        <w:rPr>
          <w:rFonts w:hint="eastAsia" w:ascii="仿宋_GB2312" w:hAnsi="宋体"/>
          <w:szCs w:val="21"/>
        </w:rPr>
        <w:t>（</w:t>
      </w:r>
      <w:r>
        <w:rPr>
          <w:szCs w:val="21"/>
        </w:rPr>
        <w:t>4</w:t>
      </w:r>
      <w:r>
        <w:rPr>
          <w:rFonts w:hint="eastAsia" w:ascii="仿宋_GB2312" w:hAnsi="宋体"/>
          <w:szCs w:val="21"/>
        </w:rPr>
        <w:t>）其它：</w:t>
      </w:r>
      <w:r>
        <w:rPr>
          <w:rFonts w:hint="eastAsia" w:ascii="宋体" w:hAnsi="宋体" w:cs="宋体"/>
          <w:szCs w:val="21"/>
          <w:u w:val="single"/>
        </w:rPr>
        <w:t>工程质量保修期满后</w:t>
      </w:r>
      <w:r>
        <w:rPr>
          <w:rFonts w:hint="eastAsia" w:ascii="宋体" w:hAnsi="宋体"/>
          <w:szCs w:val="21"/>
          <w:u w:val="single"/>
        </w:rPr>
        <w:t>退还</w:t>
      </w:r>
      <w:r>
        <w:rPr>
          <w:rFonts w:hint="eastAsia" w:ascii="宋体" w:hAnsi="宋体" w:cs="宋体"/>
          <w:szCs w:val="21"/>
          <w:u w:val="single"/>
        </w:rPr>
        <w:t>（</w:t>
      </w:r>
      <w:r>
        <w:rPr>
          <w:rFonts w:hint="eastAsia" w:ascii="宋体" w:hAnsi="宋体"/>
          <w:szCs w:val="21"/>
          <w:u w:val="single"/>
        </w:rPr>
        <w:t>保函形式提交的不予退还，到期保函自动失效</w:t>
      </w:r>
      <w:r>
        <w:rPr>
          <w:rFonts w:hint="eastAsia" w:ascii="宋体" w:hAnsi="宋体" w:cs="宋体"/>
          <w:bCs/>
          <w:szCs w:val="21"/>
          <w:u w:val="single"/>
        </w:rPr>
        <w:t>）</w:t>
      </w:r>
      <w:r>
        <w:rPr>
          <w:rFonts w:hint="eastAsia" w:ascii="仿宋_GB2312" w:hAnsi="宋体"/>
          <w:bCs/>
          <w:szCs w:val="21"/>
        </w:rPr>
        <w:t>。</w:t>
      </w:r>
    </w:p>
    <w:bookmarkEnd w:id="852"/>
    <w:bookmarkEnd w:id="853"/>
    <w:p>
      <w:pPr>
        <w:spacing w:line="360" w:lineRule="exact"/>
        <w:ind w:firstLine="420" w:firstLineChars="200"/>
        <w:rPr>
          <w:rFonts w:eastAsia="黑体"/>
          <w:szCs w:val="21"/>
        </w:rPr>
      </w:pPr>
      <w:r>
        <w:rPr>
          <w:rFonts w:eastAsia="黑体"/>
          <w:szCs w:val="21"/>
        </w:rPr>
        <w:t>15.4保修</w:t>
      </w:r>
    </w:p>
    <w:bookmarkEnd w:id="854"/>
    <w:p>
      <w:pPr>
        <w:spacing w:line="360" w:lineRule="exact"/>
        <w:ind w:firstLine="420" w:firstLineChars="200"/>
        <w:rPr>
          <w:szCs w:val="21"/>
        </w:rPr>
      </w:pPr>
      <w:r>
        <w:rPr>
          <w:szCs w:val="21"/>
        </w:rPr>
        <w:t>15.4.1 保修责任</w:t>
      </w:r>
    </w:p>
    <w:p>
      <w:pPr>
        <w:spacing w:line="360" w:lineRule="exact"/>
        <w:ind w:firstLine="420" w:firstLineChars="200"/>
        <w:rPr>
          <w:kern w:val="0"/>
          <w:szCs w:val="21"/>
        </w:rPr>
      </w:pPr>
      <w:r>
        <w:rPr>
          <w:szCs w:val="21"/>
        </w:rPr>
        <w:t>工程保修期为：</w:t>
      </w:r>
      <w:r>
        <w:rPr>
          <w:rFonts w:hint="eastAsia"/>
          <w:kern w:val="0"/>
          <w:szCs w:val="21"/>
          <w:u w:val="single"/>
        </w:rPr>
        <w:t>按本合同附件3《工程质量保修书》</w:t>
      </w:r>
      <w:r>
        <w:rPr>
          <w:kern w:val="0"/>
          <w:szCs w:val="21"/>
        </w:rPr>
        <w:t>。</w:t>
      </w:r>
    </w:p>
    <w:p>
      <w:pPr>
        <w:spacing w:line="360" w:lineRule="exact"/>
        <w:ind w:firstLine="420" w:firstLineChars="200"/>
        <w:rPr>
          <w:szCs w:val="21"/>
        </w:rPr>
      </w:pPr>
      <w:r>
        <w:rPr>
          <w:szCs w:val="21"/>
        </w:rPr>
        <w:t>15.4.3 修复通知</w:t>
      </w:r>
    </w:p>
    <w:p>
      <w:pPr>
        <w:spacing w:line="360" w:lineRule="exact"/>
        <w:ind w:firstLine="420" w:firstLineChars="200"/>
        <w:rPr>
          <w:kern w:val="0"/>
          <w:szCs w:val="21"/>
        </w:rPr>
      </w:pPr>
      <w:r>
        <w:rPr>
          <w:rFonts w:hint="eastAsia"/>
          <w:kern w:val="0"/>
          <w:szCs w:val="21"/>
        </w:rPr>
        <w:t>分包人</w:t>
      </w:r>
      <w:r>
        <w:rPr>
          <w:kern w:val="0"/>
          <w:szCs w:val="21"/>
        </w:rPr>
        <w:t>收到保修通知并到达工程现场的合理时间：</w:t>
      </w:r>
      <w:r>
        <w:rPr>
          <w:rFonts w:hint="eastAsia"/>
          <w:kern w:val="0"/>
          <w:szCs w:val="21"/>
          <w:u w:val="single"/>
        </w:rPr>
        <w:t>分</w:t>
      </w:r>
      <w:r>
        <w:rPr>
          <w:rFonts w:hint="eastAsia" w:ascii="新宋体" w:hAnsi="新宋体" w:eastAsia="新宋体" w:cs="新宋体"/>
          <w:szCs w:val="21"/>
          <w:u w:val="single"/>
        </w:rPr>
        <w:t>包人应在接到修理通知之日后7天内派人修理。分包人不在约定期限内派人修理，发包人可委托其他人员修理，</w:t>
      </w:r>
      <w:r>
        <w:rPr>
          <w:rFonts w:hint="eastAsia" w:ascii="新宋体" w:hAnsi="新宋体" w:eastAsia="新宋体" w:cs="新宋体"/>
          <w:szCs w:val="21"/>
          <w:u w:val="single"/>
          <w:lang w:val="en-US" w:eastAsia="zh-CN"/>
        </w:rPr>
        <w:t>因此产生的相关</w:t>
      </w:r>
      <w:r>
        <w:rPr>
          <w:rFonts w:hint="eastAsia" w:ascii="新宋体" w:hAnsi="新宋体" w:eastAsia="新宋体" w:cs="新宋体"/>
          <w:szCs w:val="21"/>
          <w:u w:val="single"/>
        </w:rPr>
        <w:t>费用从质量保修金内扣除</w:t>
      </w:r>
      <w:r>
        <w:rPr>
          <w:kern w:val="0"/>
          <w:szCs w:val="21"/>
        </w:rPr>
        <w:t>。</w:t>
      </w:r>
    </w:p>
    <w:bookmarkEnd w:id="855"/>
    <w:bookmarkEnd w:id="856"/>
    <w:bookmarkEnd w:id="857"/>
    <w:bookmarkEnd w:id="858"/>
    <w:p>
      <w:pPr>
        <w:keepNext/>
        <w:keepLines/>
        <w:spacing w:line="360" w:lineRule="exact"/>
        <w:outlineLvl w:val="3"/>
        <w:rPr>
          <w:rFonts w:eastAsia="黑体"/>
          <w:bCs/>
          <w:szCs w:val="21"/>
        </w:rPr>
      </w:pPr>
      <w:bookmarkStart w:id="874" w:name="_Toc351203648"/>
      <w:bookmarkStart w:id="875" w:name="_Toc280868717"/>
      <w:bookmarkStart w:id="876" w:name="_Toc280868718"/>
      <w:r>
        <w:rPr>
          <w:rFonts w:eastAsia="黑体"/>
          <w:bCs/>
          <w:szCs w:val="21"/>
        </w:rPr>
        <w:t>16. 违约</w:t>
      </w:r>
      <w:bookmarkEnd w:id="874"/>
    </w:p>
    <w:p>
      <w:pPr>
        <w:spacing w:line="360" w:lineRule="exact"/>
        <w:ind w:firstLine="420" w:firstLineChars="200"/>
        <w:rPr>
          <w:rFonts w:eastAsia="黑体"/>
          <w:szCs w:val="21"/>
        </w:rPr>
      </w:pPr>
      <w:r>
        <w:rPr>
          <w:rFonts w:eastAsia="黑体"/>
          <w:szCs w:val="21"/>
        </w:rPr>
        <w:t>16.1 发包人违约</w:t>
      </w:r>
    </w:p>
    <w:p>
      <w:pPr>
        <w:spacing w:line="360" w:lineRule="exact"/>
        <w:ind w:firstLine="420" w:firstLineChars="200"/>
        <w:rPr>
          <w:szCs w:val="21"/>
        </w:rPr>
      </w:pPr>
      <w:r>
        <w:rPr>
          <w:szCs w:val="21"/>
        </w:rPr>
        <w:t>16.1.1发包人违约的情形</w:t>
      </w:r>
    </w:p>
    <w:p>
      <w:pPr>
        <w:spacing w:line="360" w:lineRule="exact"/>
        <w:ind w:left="815" w:leftChars="188" w:hanging="420" w:hangingChars="200"/>
        <w:rPr>
          <w:kern w:val="0"/>
          <w:szCs w:val="21"/>
        </w:rPr>
      </w:pPr>
      <w:r>
        <w:rPr>
          <w:kern w:val="0"/>
          <w:szCs w:val="21"/>
        </w:rPr>
        <w:t>发包人违约的其他情形：</w:t>
      </w:r>
      <w:r>
        <w:rPr>
          <w:rFonts w:hint="eastAsia"/>
          <w:kern w:val="0"/>
          <w:szCs w:val="21"/>
          <w:u w:val="single"/>
        </w:rPr>
        <w:t xml:space="preserve">/      </w:t>
      </w:r>
      <w:r>
        <w:rPr>
          <w:kern w:val="0"/>
          <w:szCs w:val="21"/>
        </w:rPr>
        <w:t>。</w:t>
      </w:r>
    </w:p>
    <w:p>
      <w:pPr>
        <w:spacing w:line="360" w:lineRule="exact"/>
        <w:ind w:left="1016" w:leftChars="188" w:hanging="621" w:hangingChars="296"/>
        <w:rPr>
          <w:kern w:val="0"/>
          <w:szCs w:val="21"/>
        </w:rPr>
      </w:pPr>
      <w:r>
        <w:rPr>
          <w:kern w:val="0"/>
          <w:szCs w:val="21"/>
        </w:rPr>
        <w:t>16.1.2 发包人违约的责任</w:t>
      </w:r>
    </w:p>
    <w:p>
      <w:pPr>
        <w:spacing w:line="360" w:lineRule="exact"/>
        <w:ind w:firstLine="420" w:firstLineChars="200"/>
        <w:rPr>
          <w:kern w:val="0"/>
          <w:szCs w:val="21"/>
        </w:rPr>
      </w:pPr>
      <w:r>
        <w:rPr>
          <w:kern w:val="0"/>
          <w:szCs w:val="21"/>
        </w:rPr>
        <w:t>发包人违约责任的承担方式和计算方法：</w:t>
      </w:r>
    </w:p>
    <w:p>
      <w:pPr>
        <w:spacing w:line="360" w:lineRule="exact"/>
        <w:ind w:firstLine="420" w:firstLineChars="200"/>
        <w:rPr>
          <w:kern w:val="0"/>
          <w:szCs w:val="21"/>
          <w:u w:val="single"/>
        </w:rPr>
      </w:pPr>
      <w:r>
        <w:rPr>
          <w:kern w:val="0"/>
          <w:szCs w:val="21"/>
        </w:rPr>
        <w:t>（1）因发包人原因未能在计划开工日期前7天内下达开工通知的违约责任：</w:t>
      </w:r>
      <w:r>
        <w:rPr>
          <w:kern w:val="0"/>
          <w:szCs w:val="21"/>
          <w:u w:val="single"/>
        </w:rPr>
        <w:t>开始计算第7天后</w:t>
      </w:r>
      <w:r>
        <w:rPr>
          <w:rFonts w:hint="eastAsia"/>
          <w:kern w:val="0"/>
          <w:szCs w:val="21"/>
          <w:u w:val="single"/>
        </w:rPr>
        <w:t>分包人</w:t>
      </w:r>
      <w:r>
        <w:rPr>
          <w:kern w:val="0"/>
          <w:szCs w:val="21"/>
          <w:u w:val="single"/>
        </w:rPr>
        <w:t>已进场施工设备租赁费及施工人员窝工费。</w:t>
      </w:r>
    </w:p>
    <w:p>
      <w:pPr>
        <w:spacing w:line="360" w:lineRule="exact"/>
        <w:ind w:firstLine="420" w:firstLineChars="200"/>
        <w:rPr>
          <w:kern w:val="0"/>
          <w:szCs w:val="21"/>
        </w:rPr>
      </w:pPr>
      <w:r>
        <w:rPr>
          <w:kern w:val="0"/>
          <w:szCs w:val="21"/>
        </w:rPr>
        <w:t>（2）因发包人原因未能按合同约定支付合同价款的违约责任：</w:t>
      </w:r>
      <w:r>
        <w:rPr>
          <w:szCs w:val="21"/>
          <w:u w:val="single"/>
        </w:rPr>
        <w:t>支付违约金，违约金为应付工程款的利息，利率按</w:t>
      </w:r>
      <w:r>
        <w:rPr>
          <w:rFonts w:hint="eastAsia" w:ascii="仿宋_GB2312"/>
          <w:szCs w:val="21"/>
          <w:u w:val="single"/>
        </w:rPr>
        <w:t>全国银行间同业拆借中心公布的一年期贷款市场报价利率</w:t>
      </w:r>
      <w:r>
        <w:rPr>
          <w:szCs w:val="21"/>
          <w:u w:val="single"/>
        </w:rPr>
        <w:t>，利息计算时间为</w:t>
      </w:r>
      <w:r>
        <w:rPr>
          <w:rFonts w:hint="eastAsia"/>
          <w:szCs w:val="21"/>
          <w:u w:val="single"/>
        </w:rPr>
        <w:t>逾期支付</w:t>
      </w:r>
      <w:r>
        <w:rPr>
          <w:szCs w:val="21"/>
          <w:u w:val="single"/>
        </w:rPr>
        <w:t>工程款日至</w:t>
      </w:r>
      <w:r>
        <w:rPr>
          <w:rFonts w:hint="eastAsia"/>
          <w:szCs w:val="21"/>
          <w:u w:val="single"/>
        </w:rPr>
        <w:t>实际</w:t>
      </w:r>
      <w:r>
        <w:rPr>
          <w:szCs w:val="21"/>
          <w:u w:val="single"/>
        </w:rPr>
        <w:t>支付工程款日止。</w:t>
      </w:r>
    </w:p>
    <w:p>
      <w:pPr>
        <w:spacing w:line="360" w:lineRule="exact"/>
        <w:ind w:firstLine="420" w:firstLineChars="200"/>
        <w:rPr>
          <w:kern w:val="0"/>
          <w:szCs w:val="21"/>
        </w:rPr>
      </w:pPr>
      <w:r>
        <w:rPr>
          <w:kern w:val="0"/>
          <w:szCs w:val="21"/>
        </w:rPr>
        <w:t>（3）发包人违反第10.1款</w:t>
      </w:r>
      <w:r>
        <w:rPr>
          <w:rFonts w:hint="eastAsia"/>
          <w:kern w:val="0"/>
          <w:szCs w:val="21"/>
        </w:rPr>
        <w:t>〔</w:t>
      </w:r>
      <w:r>
        <w:rPr>
          <w:kern w:val="0"/>
          <w:szCs w:val="21"/>
        </w:rPr>
        <w:t>变更的范围</w:t>
      </w:r>
      <w:r>
        <w:rPr>
          <w:rFonts w:hint="eastAsia"/>
          <w:kern w:val="0"/>
          <w:szCs w:val="21"/>
        </w:rPr>
        <w:t>〕</w:t>
      </w:r>
      <w:r>
        <w:rPr>
          <w:kern w:val="0"/>
          <w:szCs w:val="21"/>
        </w:rPr>
        <w:t>第（2）项约定，自行实施被取消的工作或转由他人实施的违约责任：</w:t>
      </w:r>
      <w:r>
        <w:rPr>
          <w:rFonts w:hint="eastAsia"/>
          <w:kern w:val="0"/>
          <w:szCs w:val="21"/>
          <w:u w:val="single"/>
        </w:rPr>
        <w:t xml:space="preserve">   /    </w:t>
      </w:r>
      <w:r>
        <w:rPr>
          <w:kern w:val="0"/>
          <w:szCs w:val="21"/>
        </w:rPr>
        <w:t>。</w:t>
      </w:r>
    </w:p>
    <w:p>
      <w:pPr>
        <w:spacing w:line="360" w:lineRule="exact"/>
        <w:ind w:firstLine="420" w:firstLineChars="200"/>
        <w:rPr>
          <w:kern w:val="0"/>
          <w:szCs w:val="21"/>
        </w:rPr>
      </w:pPr>
      <w:r>
        <w:rPr>
          <w:kern w:val="0"/>
          <w:szCs w:val="21"/>
        </w:rPr>
        <w:t>（4）发包人提供的材料、工程设备的规格、数量或质量不符合合同约定，或因发包人原因导致交货日期延误或交货地点变更等情况的违约责任：</w:t>
      </w:r>
      <w:r>
        <w:rPr>
          <w:rFonts w:hint="eastAsia"/>
          <w:kern w:val="0"/>
          <w:szCs w:val="21"/>
          <w:u w:val="single"/>
        </w:rPr>
        <w:t xml:space="preserve">/   </w:t>
      </w:r>
      <w:r>
        <w:rPr>
          <w:kern w:val="0"/>
          <w:szCs w:val="21"/>
        </w:rPr>
        <w:t>。</w:t>
      </w:r>
    </w:p>
    <w:p>
      <w:pPr>
        <w:spacing w:line="360" w:lineRule="exact"/>
        <w:ind w:firstLine="420" w:firstLineChars="200"/>
        <w:rPr>
          <w:kern w:val="0"/>
          <w:szCs w:val="21"/>
        </w:rPr>
      </w:pPr>
      <w:r>
        <w:rPr>
          <w:kern w:val="0"/>
          <w:szCs w:val="21"/>
        </w:rPr>
        <w:t>（5）因发包人违反合同约定造成暂停施工的违约责任</w:t>
      </w:r>
      <w:r>
        <w:rPr>
          <w:rFonts w:hint="eastAsia"/>
          <w:kern w:val="0"/>
          <w:szCs w:val="21"/>
        </w:rPr>
        <w:t>：</w:t>
      </w:r>
      <w:r>
        <w:rPr>
          <w:rFonts w:hint="eastAsia" w:ascii="新宋体" w:hAnsi="新宋体" w:eastAsia="新宋体" w:cs="新宋体"/>
          <w:szCs w:val="21"/>
          <w:u w:val="single"/>
        </w:rPr>
        <w:t>按通用条款执行</w:t>
      </w:r>
      <w:r>
        <w:rPr>
          <w:kern w:val="0"/>
          <w:szCs w:val="21"/>
        </w:rPr>
        <w:t>。</w:t>
      </w:r>
    </w:p>
    <w:p>
      <w:pPr>
        <w:spacing w:line="360" w:lineRule="exact"/>
        <w:ind w:firstLine="420" w:firstLineChars="200"/>
        <w:rPr>
          <w:kern w:val="0"/>
          <w:szCs w:val="21"/>
        </w:rPr>
      </w:pPr>
      <w:r>
        <w:rPr>
          <w:kern w:val="0"/>
          <w:szCs w:val="21"/>
        </w:rPr>
        <w:t>（6）发包人无正当理由没有在约定期限内发出复工指示，导致</w:t>
      </w:r>
      <w:r>
        <w:rPr>
          <w:rFonts w:hint="eastAsia"/>
          <w:kern w:val="0"/>
          <w:szCs w:val="21"/>
        </w:rPr>
        <w:t>分包人</w:t>
      </w:r>
      <w:r>
        <w:rPr>
          <w:kern w:val="0"/>
          <w:szCs w:val="21"/>
        </w:rPr>
        <w:t>无法复工的违约责任：</w:t>
      </w:r>
      <w:r>
        <w:rPr>
          <w:rFonts w:hint="eastAsia" w:ascii="新宋体" w:hAnsi="新宋体" w:eastAsia="新宋体" w:cs="新宋体"/>
          <w:szCs w:val="21"/>
          <w:u w:val="single"/>
        </w:rPr>
        <w:t>按通用条款执行</w:t>
      </w:r>
      <w:r>
        <w:rPr>
          <w:kern w:val="0"/>
          <w:szCs w:val="21"/>
        </w:rPr>
        <w:t>。</w:t>
      </w:r>
    </w:p>
    <w:p>
      <w:pPr>
        <w:spacing w:line="360" w:lineRule="exact"/>
        <w:ind w:firstLine="420" w:firstLineChars="200"/>
        <w:rPr>
          <w:kern w:val="0"/>
          <w:szCs w:val="21"/>
        </w:rPr>
      </w:pPr>
      <w:r>
        <w:rPr>
          <w:kern w:val="0"/>
          <w:szCs w:val="21"/>
        </w:rPr>
        <w:t>（7）</w:t>
      </w:r>
      <w:r>
        <w:rPr>
          <w:rFonts w:hint="eastAsia"/>
          <w:kern w:val="0"/>
          <w:szCs w:val="21"/>
        </w:rPr>
        <w:t>其他：</w:t>
      </w:r>
      <w:r>
        <w:rPr>
          <w:rFonts w:hint="eastAsia"/>
          <w:kern w:val="0"/>
          <w:szCs w:val="21"/>
          <w:u w:val="single"/>
        </w:rPr>
        <w:t>/</w:t>
      </w:r>
      <w:r>
        <w:rPr>
          <w:kern w:val="0"/>
          <w:szCs w:val="21"/>
        </w:rPr>
        <w:t>。</w:t>
      </w:r>
    </w:p>
    <w:p>
      <w:pPr>
        <w:spacing w:line="360" w:lineRule="exact"/>
        <w:ind w:firstLine="420" w:firstLineChars="200"/>
        <w:rPr>
          <w:szCs w:val="21"/>
        </w:rPr>
      </w:pPr>
      <w:r>
        <w:rPr>
          <w:szCs w:val="21"/>
        </w:rPr>
        <w:t>16.1.3 因发包人违约解除合同</w:t>
      </w:r>
    </w:p>
    <w:p>
      <w:pPr>
        <w:autoSpaceDE w:val="0"/>
        <w:autoSpaceDN w:val="0"/>
        <w:adjustRightInd w:val="0"/>
        <w:spacing w:line="360" w:lineRule="exact"/>
        <w:ind w:firstLine="420" w:firstLineChars="200"/>
        <w:rPr>
          <w:kern w:val="0"/>
          <w:szCs w:val="21"/>
        </w:rPr>
      </w:pPr>
      <w:r>
        <w:rPr>
          <w:rFonts w:hint="eastAsia"/>
          <w:kern w:val="0"/>
          <w:szCs w:val="21"/>
        </w:rPr>
        <w:t>分包人</w:t>
      </w:r>
      <w:r>
        <w:rPr>
          <w:kern w:val="0"/>
          <w:szCs w:val="21"/>
        </w:rPr>
        <w:t>按16.1.1项</w:t>
      </w:r>
      <w:r>
        <w:rPr>
          <w:rFonts w:hint="eastAsia"/>
          <w:kern w:val="0"/>
          <w:szCs w:val="21"/>
        </w:rPr>
        <w:t>〔</w:t>
      </w:r>
      <w:r>
        <w:rPr>
          <w:kern w:val="0"/>
          <w:szCs w:val="21"/>
        </w:rPr>
        <w:t>发包人违约的情形</w:t>
      </w:r>
      <w:r>
        <w:rPr>
          <w:rFonts w:hint="eastAsia"/>
          <w:kern w:val="0"/>
          <w:szCs w:val="21"/>
        </w:rPr>
        <w:t>〕</w:t>
      </w:r>
      <w:r>
        <w:rPr>
          <w:kern w:val="0"/>
          <w:szCs w:val="21"/>
        </w:rPr>
        <w:t>约定暂停施工满</w:t>
      </w:r>
      <w:r>
        <w:rPr>
          <w:rFonts w:hint="eastAsia"/>
          <w:kern w:val="0"/>
          <w:szCs w:val="21"/>
          <w:u w:val="single"/>
        </w:rPr>
        <w:t xml:space="preserve"> </w:t>
      </w:r>
      <w:r>
        <w:rPr>
          <w:kern w:val="0"/>
          <w:szCs w:val="21"/>
          <w:u w:val="single"/>
        </w:rPr>
        <w:t xml:space="preserve"> </w:t>
      </w:r>
      <w:r>
        <w:rPr>
          <w:rFonts w:hint="eastAsia"/>
          <w:kern w:val="0"/>
          <w:szCs w:val="21"/>
          <w:u w:val="single"/>
        </w:rPr>
        <w:t xml:space="preserve">60 </w:t>
      </w:r>
      <w:r>
        <w:rPr>
          <w:kern w:val="0"/>
          <w:szCs w:val="21"/>
          <w:u w:val="single"/>
        </w:rPr>
        <w:t xml:space="preserve"> </w:t>
      </w:r>
      <w:r>
        <w:rPr>
          <w:kern w:val="0"/>
          <w:szCs w:val="21"/>
        </w:rPr>
        <w:t>天后发包人仍不纠正其违约行为并致使合同目的不能实现的，</w:t>
      </w:r>
      <w:r>
        <w:rPr>
          <w:rFonts w:hint="eastAsia"/>
          <w:kern w:val="0"/>
          <w:szCs w:val="21"/>
        </w:rPr>
        <w:t>分包人</w:t>
      </w:r>
      <w:r>
        <w:rPr>
          <w:kern w:val="0"/>
          <w:szCs w:val="21"/>
        </w:rPr>
        <w:t>有权解除合同。</w:t>
      </w:r>
    </w:p>
    <w:p>
      <w:pPr>
        <w:spacing w:line="360" w:lineRule="exact"/>
        <w:ind w:firstLine="420" w:firstLineChars="200"/>
        <w:rPr>
          <w:rFonts w:eastAsia="黑体"/>
          <w:szCs w:val="21"/>
        </w:rPr>
      </w:pPr>
      <w:r>
        <w:rPr>
          <w:rFonts w:eastAsia="黑体"/>
          <w:szCs w:val="21"/>
        </w:rPr>
        <w:t xml:space="preserve">16.2 </w:t>
      </w:r>
      <w:r>
        <w:rPr>
          <w:rFonts w:hint="eastAsia" w:eastAsia="黑体"/>
          <w:szCs w:val="21"/>
        </w:rPr>
        <w:t>分包人</w:t>
      </w:r>
      <w:r>
        <w:rPr>
          <w:rFonts w:eastAsia="黑体"/>
          <w:szCs w:val="21"/>
        </w:rPr>
        <w:t>违约</w:t>
      </w:r>
    </w:p>
    <w:p>
      <w:pPr>
        <w:spacing w:line="360" w:lineRule="exact"/>
        <w:ind w:firstLine="420" w:firstLineChars="200"/>
        <w:rPr>
          <w:kern w:val="0"/>
          <w:szCs w:val="21"/>
        </w:rPr>
      </w:pPr>
      <w:r>
        <w:rPr>
          <w:kern w:val="0"/>
          <w:szCs w:val="21"/>
        </w:rPr>
        <w:t xml:space="preserve">16.2.1 </w:t>
      </w:r>
      <w:r>
        <w:rPr>
          <w:rFonts w:hint="eastAsia"/>
          <w:kern w:val="0"/>
          <w:szCs w:val="21"/>
        </w:rPr>
        <w:t>分包人</w:t>
      </w:r>
      <w:r>
        <w:rPr>
          <w:kern w:val="0"/>
          <w:szCs w:val="21"/>
        </w:rPr>
        <w:t>违约的情形</w:t>
      </w:r>
    </w:p>
    <w:p>
      <w:pPr>
        <w:spacing w:line="360" w:lineRule="exact"/>
        <w:ind w:firstLine="420" w:firstLineChars="200"/>
        <w:rPr>
          <w:kern w:val="0"/>
          <w:szCs w:val="21"/>
          <w:u w:val="single"/>
        </w:rPr>
      </w:pPr>
      <w:r>
        <w:rPr>
          <w:rFonts w:hint="eastAsia"/>
          <w:kern w:val="0"/>
          <w:szCs w:val="21"/>
        </w:rPr>
        <w:t>分包人</w:t>
      </w:r>
      <w:r>
        <w:rPr>
          <w:kern w:val="0"/>
          <w:szCs w:val="21"/>
        </w:rPr>
        <w:t>违约的其他情形：</w:t>
      </w:r>
    </w:p>
    <w:p>
      <w:pPr>
        <w:numPr>
          <w:ilvl w:val="0"/>
          <w:numId w:val="3"/>
        </w:numPr>
        <w:spacing w:line="360" w:lineRule="exact"/>
        <w:ind w:firstLine="420" w:firstLineChars="200"/>
        <w:rPr>
          <w:rFonts w:ascii="仿宋_GB2312" w:hAnsi="宋体"/>
          <w:szCs w:val="21"/>
          <w:u w:val="single"/>
        </w:rPr>
      </w:pPr>
      <w:r>
        <w:rPr>
          <w:rFonts w:hint="eastAsia" w:ascii="仿宋_GB2312" w:hAnsi="宋体"/>
          <w:szCs w:val="21"/>
          <w:u w:val="single"/>
        </w:rPr>
        <w:t>机械设备、施工项目班子未按投标承诺及时到位；</w:t>
      </w:r>
    </w:p>
    <w:p>
      <w:pPr>
        <w:numPr>
          <w:ilvl w:val="0"/>
          <w:numId w:val="3"/>
        </w:numPr>
        <w:spacing w:line="360" w:lineRule="exact"/>
        <w:ind w:firstLine="420" w:firstLineChars="200"/>
        <w:rPr>
          <w:kern w:val="0"/>
          <w:szCs w:val="21"/>
          <w:u w:val="single"/>
        </w:rPr>
      </w:pPr>
      <w:r>
        <w:rPr>
          <w:rFonts w:hint="eastAsia" w:ascii="仿宋_GB2312" w:hAnsi="宋体"/>
          <w:szCs w:val="21"/>
          <w:u w:val="single"/>
        </w:rPr>
        <w:t>本工程在实施过程中，如分包人的施工队伍素质、力量、现场管理班子、现场安全文明施工不符合投标书的承诺，造成现场管理混乱、工程质量和进度达不到投标所承诺的要求；</w:t>
      </w:r>
    </w:p>
    <w:p>
      <w:pPr>
        <w:numPr>
          <w:ilvl w:val="0"/>
          <w:numId w:val="3"/>
        </w:numPr>
        <w:spacing w:line="360" w:lineRule="exact"/>
        <w:ind w:firstLine="420" w:firstLineChars="200"/>
        <w:rPr>
          <w:kern w:val="0"/>
          <w:szCs w:val="21"/>
          <w:u w:val="single"/>
        </w:rPr>
      </w:pPr>
      <w:r>
        <w:rPr>
          <w:rFonts w:hint="eastAsia" w:ascii="仿宋_GB2312" w:hAnsi="宋体"/>
          <w:szCs w:val="21"/>
          <w:u w:val="single"/>
        </w:rPr>
        <w:t>分包人允许其他人挂靠经营、私自转包、分包</w:t>
      </w:r>
      <w:r>
        <w:rPr>
          <w:rFonts w:hint="eastAsia"/>
          <w:kern w:val="0"/>
          <w:szCs w:val="21"/>
          <w:u w:val="single"/>
        </w:rPr>
        <w:t>；</w:t>
      </w:r>
    </w:p>
    <w:p>
      <w:pPr>
        <w:numPr>
          <w:ilvl w:val="0"/>
          <w:numId w:val="3"/>
        </w:numPr>
        <w:spacing w:line="360" w:lineRule="exact"/>
        <w:ind w:firstLine="420" w:firstLineChars="200"/>
        <w:rPr>
          <w:kern w:val="0"/>
          <w:szCs w:val="21"/>
          <w:u w:val="single"/>
        </w:rPr>
      </w:pPr>
      <w:r>
        <w:rPr>
          <w:rFonts w:hint="eastAsia"/>
          <w:kern w:val="0"/>
          <w:szCs w:val="21"/>
          <w:u w:val="single"/>
        </w:rPr>
        <w:t>分包人未达到投标时所承诺的诚信、技术标准。</w:t>
      </w:r>
    </w:p>
    <w:p>
      <w:pPr>
        <w:spacing w:line="360" w:lineRule="exact"/>
        <w:ind w:firstLine="420" w:firstLineChars="200"/>
        <w:rPr>
          <w:kern w:val="0"/>
          <w:szCs w:val="21"/>
        </w:rPr>
      </w:pPr>
      <w:r>
        <w:rPr>
          <w:kern w:val="0"/>
          <w:szCs w:val="21"/>
        </w:rPr>
        <w:t>16.2.2</w:t>
      </w:r>
      <w:r>
        <w:rPr>
          <w:rFonts w:hint="eastAsia"/>
          <w:kern w:val="0"/>
          <w:szCs w:val="21"/>
        </w:rPr>
        <w:t>分包人</w:t>
      </w:r>
      <w:r>
        <w:rPr>
          <w:kern w:val="0"/>
          <w:szCs w:val="21"/>
        </w:rPr>
        <w:t>违约的责任</w:t>
      </w:r>
    </w:p>
    <w:p>
      <w:pPr>
        <w:spacing w:line="360" w:lineRule="exact"/>
        <w:ind w:firstLine="420" w:firstLineChars="200"/>
        <w:rPr>
          <w:kern w:val="0"/>
          <w:szCs w:val="21"/>
        </w:rPr>
      </w:pPr>
      <w:r>
        <w:rPr>
          <w:rFonts w:hint="eastAsia"/>
          <w:kern w:val="0"/>
          <w:szCs w:val="21"/>
        </w:rPr>
        <w:t>分包人</w:t>
      </w:r>
      <w:r>
        <w:rPr>
          <w:kern w:val="0"/>
          <w:szCs w:val="21"/>
        </w:rPr>
        <w:t>违约责任的承担方式和计算方法：</w:t>
      </w:r>
    </w:p>
    <w:p>
      <w:pPr>
        <w:numPr>
          <w:ilvl w:val="0"/>
          <w:numId w:val="4"/>
        </w:numPr>
        <w:spacing w:line="360" w:lineRule="exact"/>
        <w:ind w:firstLine="420" w:firstLineChars="200"/>
        <w:rPr>
          <w:rFonts w:ascii="仿宋_GB2312" w:hAnsi="宋体"/>
          <w:szCs w:val="21"/>
          <w:u w:val="single"/>
        </w:rPr>
      </w:pPr>
      <w:r>
        <w:rPr>
          <w:rFonts w:hint="eastAsia" w:ascii="仿宋_GB2312" w:hAnsi="宋体"/>
          <w:szCs w:val="21"/>
          <w:u w:val="single"/>
        </w:rPr>
        <w:t>机械设备未按投标承诺到位，每项扣除履约担保金总额2%；</w:t>
      </w:r>
    </w:p>
    <w:p>
      <w:pPr>
        <w:numPr>
          <w:ilvl w:val="0"/>
          <w:numId w:val="4"/>
        </w:numPr>
        <w:spacing w:line="360" w:lineRule="exact"/>
        <w:ind w:firstLine="420" w:firstLineChars="200"/>
        <w:rPr>
          <w:rFonts w:ascii="仿宋_GB2312" w:hAnsi="宋体"/>
          <w:szCs w:val="21"/>
          <w:u w:val="single"/>
        </w:rPr>
      </w:pPr>
      <w:r>
        <w:rPr>
          <w:rFonts w:hint="eastAsia" w:ascii="仿宋_GB2312" w:hAnsi="宋体"/>
          <w:szCs w:val="21"/>
          <w:u w:val="single"/>
        </w:rPr>
        <w:t>现场安全文明施工不符合投标书承诺，扣减相应安全文明施工费用；分包人原因造成现场管理混乱、工程质量和进度达不到投标承诺的要求，发包人有权要求分包人调整充实施工力量、更换项目班子，及至解除施工合同，所有履约担保金归发包人，并</w:t>
      </w:r>
      <w:r>
        <w:rPr>
          <w:rFonts w:hint="eastAsia" w:ascii="仿宋_GB2312" w:hAnsi="宋体"/>
          <w:szCs w:val="21"/>
          <w:u w:val="single"/>
          <w:lang w:val="en-US" w:eastAsia="zh-CN"/>
        </w:rPr>
        <w:t>由分包人</w:t>
      </w:r>
      <w:r>
        <w:rPr>
          <w:rFonts w:hint="eastAsia" w:ascii="仿宋_GB2312" w:hAnsi="宋体"/>
          <w:szCs w:val="21"/>
          <w:u w:val="single"/>
        </w:rPr>
        <w:t>赔偿发包人损失。</w:t>
      </w:r>
    </w:p>
    <w:p>
      <w:pPr>
        <w:numPr>
          <w:ilvl w:val="0"/>
          <w:numId w:val="4"/>
        </w:numPr>
        <w:spacing w:line="360" w:lineRule="exact"/>
        <w:ind w:firstLine="420" w:firstLineChars="200"/>
        <w:rPr>
          <w:rFonts w:ascii="仿宋_GB2312" w:hAnsi="宋体"/>
          <w:szCs w:val="21"/>
          <w:u w:val="single"/>
        </w:rPr>
      </w:pPr>
      <w:r>
        <w:rPr>
          <w:rFonts w:hint="eastAsia" w:ascii="仿宋_GB2312" w:hAnsi="宋体"/>
          <w:szCs w:val="21"/>
          <w:u w:val="single"/>
        </w:rPr>
        <w:t>发现分包人允许其他人挂靠经营、私自转包，发包人有权解除合同，所有履约担保归发包人，同时由分包人赔偿发包人损失，发包人有权责令分包人退出工地。</w:t>
      </w:r>
    </w:p>
    <w:p>
      <w:pPr>
        <w:numPr>
          <w:ilvl w:val="0"/>
          <w:numId w:val="4"/>
        </w:numPr>
        <w:spacing w:line="360" w:lineRule="exact"/>
        <w:ind w:firstLine="420" w:firstLineChars="200"/>
        <w:rPr>
          <w:rFonts w:ascii="仿宋_GB2312" w:hAnsi="宋体"/>
          <w:szCs w:val="21"/>
          <w:u w:val="single"/>
        </w:rPr>
      </w:pPr>
      <w:r>
        <w:rPr>
          <w:rFonts w:hint="eastAsia" w:ascii="仿宋_GB2312" w:hAnsi="宋体"/>
          <w:szCs w:val="21"/>
          <w:u w:val="single"/>
        </w:rPr>
        <w:t>如分包人原因未达到投标所承诺的诚信、技术标准及创标化工程目标，按每一项扣减履约担保金的〔10〕%。</w:t>
      </w:r>
    </w:p>
    <w:p>
      <w:pPr>
        <w:numPr>
          <w:ilvl w:val="0"/>
          <w:numId w:val="4"/>
        </w:numPr>
        <w:spacing w:line="360" w:lineRule="exact"/>
        <w:ind w:firstLine="420" w:firstLineChars="200"/>
        <w:rPr>
          <w:rFonts w:ascii="仿宋_GB2312" w:hAnsi="宋体"/>
          <w:szCs w:val="21"/>
          <w:u w:val="single"/>
        </w:rPr>
      </w:pPr>
      <w:r>
        <w:rPr>
          <w:rFonts w:hint="eastAsia" w:ascii="宋体" w:hAnsi="宋体" w:cs="宋体"/>
          <w:szCs w:val="21"/>
          <w:u w:val="single"/>
        </w:rPr>
        <w:t>分包人原因导致的工程延误，工期不予顺延，由工期延误引起人工、材料价格上涨由分包人承担，按原合同约定价格结算；价格下降归发包人受益，按下降后价格结算。工期顺延对发包人造成损失的，赔偿发包人相应损失；当施工工期超过合同工期〔50%〕以上时，可解除施工合同。</w:t>
      </w:r>
    </w:p>
    <w:p>
      <w:pPr>
        <w:numPr>
          <w:ilvl w:val="0"/>
          <w:numId w:val="4"/>
        </w:numPr>
        <w:spacing w:line="360" w:lineRule="exact"/>
        <w:ind w:firstLine="420" w:firstLineChars="200"/>
        <w:rPr>
          <w:rFonts w:ascii="仿宋_GB2312" w:hAnsi="宋体"/>
          <w:szCs w:val="21"/>
          <w:u w:val="single"/>
        </w:rPr>
      </w:pPr>
      <w:r>
        <w:rPr>
          <w:rFonts w:hint="eastAsia" w:ascii="仿宋_GB2312" w:hAnsi="宋体"/>
          <w:szCs w:val="21"/>
          <w:u w:val="single"/>
        </w:rPr>
        <w:t>分包人无法继续履行、明确表示不履行或实质上已停止履行合同，发包人可通知分包人全部解除合同，所有履约担保归发包人，同时</w:t>
      </w:r>
      <w:r>
        <w:rPr>
          <w:rFonts w:hint="eastAsia" w:ascii="仿宋_GB2312" w:hAnsi="宋体"/>
          <w:szCs w:val="21"/>
          <w:u w:val="single"/>
          <w:lang w:val="en-US" w:eastAsia="zh-CN"/>
        </w:rPr>
        <w:t>由分包人</w:t>
      </w:r>
      <w:r>
        <w:rPr>
          <w:rFonts w:hint="eastAsia" w:ascii="仿宋_GB2312" w:hAnsi="宋体"/>
          <w:szCs w:val="21"/>
          <w:u w:val="single"/>
        </w:rPr>
        <w:t>赔偿发包人损失。</w:t>
      </w:r>
    </w:p>
    <w:p>
      <w:pPr>
        <w:spacing w:line="360" w:lineRule="exact"/>
        <w:ind w:firstLine="420" w:firstLineChars="200"/>
        <w:rPr>
          <w:szCs w:val="21"/>
        </w:rPr>
      </w:pPr>
      <w:r>
        <w:rPr>
          <w:szCs w:val="21"/>
        </w:rPr>
        <w:t>16.2.3 因</w:t>
      </w:r>
      <w:r>
        <w:rPr>
          <w:rFonts w:hint="eastAsia"/>
          <w:szCs w:val="21"/>
        </w:rPr>
        <w:t>分包人</w:t>
      </w:r>
      <w:r>
        <w:rPr>
          <w:szCs w:val="21"/>
        </w:rPr>
        <w:t>违约解除合同</w:t>
      </w:r>
    </w:p>
    <w:p>
      <w:pPr>
        <w:autoSpaceDE w:val="0"/>
        <w:autoSpaceDN w:val="0"/>
        <w:spacing w:line="360" w:lineRule="exact"/>
        <w:ind w:firstLine="420" w:firstLineChars="200"/>
        <w:rPr>
          <w:kern w:val="0"/>
          <w:szCs w:val="21"/>
          <w:u w:val="single"/>
        </w:rPr>
      </w:pPr>
      <w:r>
        <w:rPr>
          <w:kern w:val="0"/>
          <w:szCs w:val="21"/>
        </w:rPr>
        <w:t>关于</w:t>
      </w:r>
      <w:r>
        <w:rPr>
          <w:rFonts w:hint="eastAsia"/>
          <w:kern w:val="0"/>
          <w:szCs w:val="21"/>
        </w:rPr>
        <w:t>分包人</w:t>
      </w:r>
      <w:r>
        <w:rPr>
          <w:kern w:val="0"/>
          <w:szCs w:val="21"/>
        </w:rPr>
        <w:t>违约解除合同的特别约定：</w:t>
      </w:r>
      <w:r>
        <w:rPr>
          <w:rFonts w:hint="eastAsia" w:ascii="新宋体" w:hAnsi="新宋体" w:eastAsia="新宋体" w:cs="新宋体"/>
          <w:szCs w:val="21"/>
          <w:u w:val="single"/>
        </w:rPr>
        <w:t>双方签署解除协议，现场已完成工程量和已支付工程款（含预付款）按实计算，分包人必须在30日历天内清场并将施工场地交还发包人待发包人审定后30日历天内支付</w:t>
      </w:r>
      <w:r>
        <w:rPr>
          <w:rFonts w:hint="eastAsia"/>
          <w:kern w:val="0"/>
          <w:szCs w:val="21"/>
          <w:u w:val="single"/>
        </w:rPr>
        <w:t>。</w:t>
      </w:r>
    </w:p>
    <w:p>
      <w:pPr>
        <w:spacing w:line="360" w:lineRule="exact"/>
        <w:ind w:firstLine="420" w:firstLineChars="200"/>
        <w:rPr>
          <w:kern w:val="0"/>
          <w:szCs w:val="21"/>
        </w:rPr>
      </w:pPr>
      <w:r>
        <w:rPr>
          <w:kern w:val="0"/>
          <w:szCs w:val="21"/>
        </w:rPr>
        <w:t>发包人</w:t>
      </w:r>
      <w:r>
        <w:rPr>
          <w:rFonts w:hint="eastAsia"/>
          <w:kern w:val="0"/>
          <w:szCs w:val="21"/>
        </w:rPr>
        <w:t>继续</w:t>
      </w:r>
      <w:r>
        <w:rPr>
          <w:kern w:val="0"/>
          <w:szCs w:val="21"/>
        </w:rPr>
        <w:t>使用</w:t>
      </w:r>
      <w:r>
        <w:rPr>
          <w:rFonts w:hint="eastAsia"/>
          <w:kern w:val="0"/>
          <w:szCs w:val="21"/>
        </w:rPr>
        <w:t>分包人</w:t>
      </w:r>
      <w:r>
        <w:rPr>
          <w:kern w:val="0"/>
          <w:szCs w:val="21"/>
        </w:rPr>
        <w:t>在施工现场的材料、设备、临时工程、</w:t>
      </w:r>
      <w:r>
        <w:rPr>
          <w:rFonts w:hint="eastAsia"/>
          <w:kern w:val="0"/>
          <w:szCs w:val="21"/>
        </w:rPr>
        <w:t>分包人</w:t>
      </w:r>
      <w:r>
        <w:rPr>
          <w:kern w:val="0"/>
          <w:szCs w:val="21"/>
        </w:rPr>
        <w:t>文件和由</w:t>
      </w:r>
      <w:r>
        <w:rPr>
          <w:rFonts w:hint="eastAsia"/>
          <w:kern w:val="0"/>
          <w:szCs w:val="21"/>
        </w:rPr>
        <w:t>分包人</w:t>
      </w:r>
      <w:r>
        <w:rPr>
          <w:kern w:val="0"/>
          <w:szCs w:val="21"/>
        </w:rPr>
        <w:t>或以其名义编制的其他文件</w:t>
      </w:r>
      <w:r>
        <w:rPr>
          <w:rFonts w:hint="eastAsia"/>
          <w:kern w:val="0"/>
          <w:szCs w:val="21"/>
        </w:rPr>
        <w:t>的费用承担方式</w:t>
      </w:r>
      <w:r>
        <w:rPr>
          <w:kern w:val="0"/>
          <w:szCs w:val="21"/>
        </w:rPr>
        <w:t>：</w:t>
      </w:r>
      <w:r>
        <w:rPr>
          <w:rFonts w:hint="eastAsia"/>
          <w:kern w:val="0"/>
          <w:szCs w:val="21"/>
          <w:u w:val="single"/>
        </w:rPr>
        <w:t>使用施工现场的材料、设备按实结算，使用施工机械、器具按租赁费结算，临时工程折算成费用按完成造价比例计算，无偿使用分包人为本工程施工所编制的相应文件等</w:t>
      </w:r>
      <w:r>
        <w:rPr>
          <w:rFonts w:hint="eastAsia"/>
          <w:kern w:val="0"/>
          <w:szCs w:val="21"/>
        </w:rPr>
        <w:t>。</w:t>
      </w:r>
    </w:p>
    <w:p>
      <w:pPr>
        <w:spacing w:line="360" w:lineRule="exact"/>
        <w:ind w:firstLine="420" w:firstLineChars="200"/>
        <w:rPr>
          <w:rStyle w:val="51"/>
          <w:rFonts w:ascii="宋体" w:hAnsi="宋体"/>
        </w:rPr>
      </w:pPr>
      <w:r>
        <w:rPr>
          <w:rFonts w:hint="eastAsia"/>
          <w:kern w:val="0"/>
          <w:szCs w:val="21"/>
        </w:rPr>
        <w:t>16.2.4 因分包人违约解除合同后的处理</w:t>
      </w:r>
    </w:p>
    <w:p>
      <w:pPr>
        <w:spacing w:line="360" w:lineRule="exact"/>
        <w:ind w:firstLine="420" w:firstLineChars="200"/>
        <w:rPr>
          <w:rFonts w:ascii="宋体" w:hAnsi="宋体"/>
          <w:kern w:val="0"/>
          <w:szCs w:val="21"/>
          <w:u w:val="single"/>
        </w:rPr>
      </w:pPr>
      <w:r>
        <w:rPr>
          <w:rFonts w:hint="eastAsia" w:ascii="宋体" w:hAnsi="宋体"/>
          <w:kern w:val="0"/>
          <w:szCs w:val="21"/>
          <w:u w:val="single"/>
        </w:rPr>
        <w:t>发包人有权解除或终止本合同，没收分包人的履约保证金，由此造成的各项损失均由分包人承担。</w:t>
      </w:r>
    </w:p>
    <w:p>
      <w:pPr>
        <w:keepNext/>
        <w:keepLines/>
        <w:spacing w:line="360" w:lineRule="exact"/>
        <w:outlineLvl w:val="3"/>
        <w:rPr>
          <w:rFonts w:eastAsia="黑体"/>
          <w:bCs/>
          <w:szCs w:val="21"/>
        </w:rPr>
      </w:pPr>
      <w:bookmarkStart w:id="877" w:name="_Toc351203649"/>
      <w:r>
        <w:rPr>
          <w:rFonts w:eastAsia="黑体"/>
          <w:bCs/>
          <w:szCs w:val="21"/>
        </w:rPr>
        <w:t>17. 不可抗力</w:t>
      </w:r>
      <w:bookmarkEnd w:id="875"/>
      <w:bookmarkEnd w:id="877"/>
    </w:p>
    <w:p>
      <w:pPr>
        <w:spacing w:line="360" w:lineRule="exact"/>
        <w:ind w:firstLine="420" w:firstLineChars="200"/>
        <w:rPr>
          <w:rFonts w:eastAsia="黑体"/>
          <w:szCs w:val="21"/>
        </w:rPr>
      </w:pPr>
      <w:r>
        <w:rPr>
          <w:rFonts w:eastAsia="黑体"/>
          <w:szCs w:val="21"/>
        </w:rPr>
        <w:t>17.1 不可抗力的确认</w:t>
      </w:r>
    </w:p>
    <w:p>
      <w:pPr>
        <w:spacing w:line="360" w:lineRule="exact"/>
        <w:ind w:firstLine="420" w:firstLineChars="200"/>
        <w:rPr>
          <w:kern w:val="0"/>
          <w:szCs w:val="21"/>
          <w:u w:val="single"/>
        </w:rPr>
      </w:pPr>
      <w:r>
        <w:rPr>
          <w:szCs w:val="21"/>
        </w:rPr>
        <w:t>除通用合同条款约定的不可抗力事件之外，视为不可抗力的其他情形：</w:t>
      </w:r>
      <w:r>
        <w:rPr>
          <w:rFonts w:hint="eastAsia" w:ascii="宋体" w:hAnsi="宋体"/>
          <w:kern w:val="0"/>
          <w:szCs w:val="21"/>
          <w:u w:val="single"/>
        </w:rPr>
        <w:t>10年一遇洪水、暴风雪、干旱，罢工、政府禁令，台州气象台发布的正面袭击台州的</w:t>
      </w:r>
      <w:r>
        <w:rPr>
          <w:rFonts w:hint="eastAsia"/>
          <w:kern w:val="0"/>
          <w:szCs w:val="21"/>
          <w:u w:val="single"/>
        </w:rPr>
        <w:t>11</w:t>
      </w:r>
      <w:r>
        <w:rPr>
          <w:rFonts w:hint="eastAsia" w:ascii="宋体" w:hAnsi="宋体"/>
          <w:kern w:val="0"/>
          <w:szCs w:val="21"/>
          <w:u w:val="single"/>
        </w:rPr>
        <w:t>级及以上台风、震中在中程所在地方圆20公里内的里氏</w:t>
      </w:r>
      <w:r>
        <w:rPr>
          <w:rFonts w:hint="eastAsia"/>
          <w:kern w:val="0"/>
          <w:szCs w:val="21"/>
          <w:u w:val="single"/>
        </w:rPr>
        <w:t>6</w:t>
      </w:r>
      <w:r>
        <w:rPr>
          <w:rFonts w:hint="eastAsia" w:ascii="宋体" w:hAnsi="宋体"/>
          <w:kern w:val="0"/>
          <w:szCs w:val="21"/>
          <w:u w:val="single"/>
        </w:rPr>
        <w:t>级及以上地震、经发包人及监理人认定的在工程施工过程中不可避免发生并不能克服的自然灾害和社会性突发事件</w:t>
      </w:r>
      <w:r>
        <w:rPr>
          <w:kern w:val="0"/>
          <w:szCs w:val="21"/>
        </w:rPr>
        <w:t>。</w:t>
      </w:r>
    </w:p>
    <w:p>
      <w:pPr>
        <w:spacing w:line="360" w:lineRule="exact"/>
        <w:ind w:firstLine="420" w:firstLineChars="200"/>
        <w:rPr>
          <w:rFonts w:eastAsia="黑体"/>
          <w:szCs w:val="21"/>
        </w:rPr>
      </w:pPr>
      <w:r>
        <w:rPr>
          <w:rFonts w:eastAsia="黑体"/>
          <w:szCs w:val="21"/>
        </w:rPr>
        <w:t>17.4 因不可抗力解除合同</w:t>
      </w:r>
    </w:p>
    <w:p>
      <w:pPr>
        <w:spacing w:line="360" w:lineRule="exact"/>
        <w:ind w:firstLine="420" w:firstLineChars="200"/>
        <w:rPr>
          <w:szCs w:val="21"/>
        </w:rPr>
      </w:pPr>
      <w:r>
        <w:rPr>
          <w:szCs w:val="21"/>
        </w:rPr>
        <w:t>合同解除后，发包人应在商定或确定发包人应支付款项后</w:t>
      </w:r>
      <w:r>
        <w:rPr>
          <w:rFonts w:hint="eastAsia"/>
          <w:szCs w:val="21"/>
          <w:u w:val="single"/>
        </w:rPr>
        <w:t xml:space="preserve"> 60 </w:t>
      </w:r>
      <w:r>
        <w:rPr>
          <w:szCs w:val="21"/>
        </w:rPr>
        <w:t>天内完成款项的支付。</w:t>
      </w:r>
    </w:p>
    <w:p>
      <w:pPr>
        <w:keepNext/>
        <w:keepLines/>
        <w:spacing w:line="360" w:lineRule="exact"/>
        <w:outlineLvl w:val="3"/>
        <w:rPr>
          <w:rFonts w:eastAsia="黑体"/>
          <w:bCs/>
          <w:szCs w:val="21"/>
        </w:rPr>
      </w:pPr>
      <w:bookmarkStart w:id="878" w:name="_Toc351203650"/>
      <w:r>
        <w:rPr>
          <w:rFonts w:eastAsia="黑体"/>
          <w:bCs/>
          <w:szCs w:val="21"/>
        </w:rPr>
        <w:t>18. 保险</w:t>
      </w:r>
      <w:bookmarkEnd w:id="878"/>
    </w:p>
    <w:bookmarkEnd w:id="876"/>
    <w:p>
      <w:pPr>
        <w:spacing w:line="360" w:lineRule="exact"/>
        <w:ind w:firstLine="420" w:firstLineChars="200"/>
        <w:rPr>
          <w:rFonts w:eastAsia="黑体"/>
          <w:szCs w:val="21"/>
        </w:rPr>
      </w:pPr>
      <w:r>
        <w:rPr>
          <w:rFonts w:eastAsia="黑体"/>
          <w:szCs w:val="21"/>
        </w:rPr>
        <w:t>18.1 工程保险</w:t>
      </w:r>
    </w:p>
    <w:p>
      <w:pPr>
        <w:spacing w:line="360" w:lineRule="exact"/>
        <w:ind w:firstLine="420" w:firstLineChars="200"/>
        <w:rPr>
          <w:szCs w:val="21"/>
        </w:rPr>
      </w:pPr>
      <w:r>
        <w:rPr>
          <w:szCs w:val="21"/>
        </w:rPr>
        <w:t>关于工程保险的特别约定：</w:t>
      </w:r>
      <w:r>
        <w:rPr>
          <w:rFonts w:hint="eastAsia" w:ascii="新宋体" w:hAnsi="新宋体" w:eastAsia="新宋体" w:cs="新宋体"/>
          <w:szCs w:val="21"/>
          <w:u w:val="single"/>
        </w:rPr>
        <w:t>按通用条款执行</w:t>
      </w:r>
      <w:r>
        <w:rPr>
          <w:kern w:val="0"/>
          <w:szCs w:val="21"/>
        </w:rPr>
        <w:t>。</w:t>
      </w:r>
    </w:p>
    <w:p>
      <w:pPr>
        <w:spacing w:line="360" w:lineRule="exact"/>
        <w:ind w:firstLine="420" w:firstLineChars="200"/>
        <w:rPr>
          <w:rFonts w:eastAsia="黑体"/>
          <w:szCs w:val="21"/>
        </w:rPr>
      </w:pPr>
      <w:r>
        <w:rPr>
          <w:rFonts w:eastAsia="黑体"/>
          <w:szCs w:val="21"/>
        </w:rPr>
        <w:t>18.3 其他保险</w:t>
      </w:r>
    </w:p>
    <w:p>
      <w:pPr>
        <w:spacing w:line="360" w:lineRule="exact"/>
        <w:ind w:firstLine="420" w:firstLineChars="200"/>
        <w:rPr>
          <w:kern w:val="0"/>
          <w:szCs w:val="21"/>
        </w:rPr>
      </w:pPr>
      <w:r>
        <w:rPr>
          <w:szCs w:val="21"/>
        </w:rPr>
        <w:t>关于其他保险的约定：</w:t>
      </w:r>
      <w:r>
        <w:rPr>
          <w:rFonts w:hint="eastAsia" w:ascii="宋体" w:hAnsi="宋体" w:cs="宋体"/>
          <w:kern w:val="0"/>
          <w:szCs w:val="21"/>
          <w:u w:val="single"/>
        </w:rPr>
        <w:t>其他保险的保险费均由分包人承担并支付（包括安全生产责任险），该费用</w:t>
      </w:r>
      <w:r>
        <w:rPr>
          <w:rFonts w:hint="eastAsia" w:ascii="宋体" w:hAnsi="宋体" w:cs="宋体"/>
          <w:szCs w:val="21"/>
          <w:u w:val="single"/>
        </w:rPr>
        <w:t>已包含在合同价中，在结算时不予调整</w:t>
      </w:r>
      <w:r>
        <w:rPr>
          <w:rFonts w:hint="eastAsia" w:ascii="宋体" w:hAnsi="宋体" w:cs="宋体"/>
          <w:kern w:val="0"/>
          <w:szCs w:val="21"/>
          <w:u w:val="single"/>
        </w:rPr>
        <w:t>。发包人投保的工程一切险期限不足以到缺陷责任期结束的，剩余部分由分包人另行投保，并承担保险费用</w:t>
      </w:r>
      <w:r>
        <w:rPr>
          <w:rFonts w:hint="eastAsia"/>
          <w:kern w:val="0"/>
          <w:szCs w:val="21"/>
          <w:u w:val="single"/>
        </w:rPr>
        <w:t xml:space="preserve"> </w:t>
      </w:r>
      <w:r>
        <w:rPr>
          <w:kern w:val="0"/>
          <w:szCs w:val="21"/>
        </w:rPr>
        <w:t>。</w:t>
      </w:r>
    </w:p>
    <w:p>
      <w:pPr>
        <w:spacing w:line="360" w:lineRule="exact"/>
        <w:ind w:firstLine="420" w:firstLineChars="200"/>
        <w:rPr>
          <w:szCs w:val="21"/>
          <w:u w:val="single"/>
        </w:rPr>
      </w:pPr>
      <w:r>
        <w:rPr>
          <w:rFonts w:hint="eastAsia"/>
          <w:szCs w:val="21"/>
        </w:rPr>
        <w:t>分包人</w:t>
      </w:r>
      <w:r>
        <w:rPr>
          <w:szCs w:val="21"/>
        </w:rPr>
        <w:t>是否应为其施工设备等办理财产保险：</w:t>
      </w:r>
      <w:r>
        <w:rPr>
          <w:rFonts w:hint="eastAsia" w:ascii="宋体" w:hAnsi="宋体" w:cs="宋体"/>
          <w:szCs w:val="21"/>
          <w:u w:val="single"/>
        </w:rPr>
        <w:t>所产生的保险费用已包含在合同价中，不再另行支付</w:t>
      </w:r>
      <w:r>
        <w:rPr>
          <w:szCs w:val="21"/>
        </w:rPr>
        <w:t>。</w:t>
      </w:r>
    </w:p>
    <w:p>
      <w:pPr>
        <w:spacing w:line="360" w:lineRule="exact"/>
        <w:ind w:firstLine="420" w:firstLineChars="200"/>
        <w:rPr>
          <w:rFonts w:eastAsia="黑体"/>
          <w:szCs w:val="21"/>
        </w:rPr>
      </w:pPr>
      <w:r>
        <w:rPr>
          <w:rFonts w:eastAsia="黑体"/>
          <w:szCs w:val="21"/>
        </w:rPr>
        <w:t>18.7 通知义务</w:t>
      </w:r>
    </w:p>
    <w:p>
      <w:pPr>
        <w:spacing w:line="360" w:lineRule="exact"/>
        <w:ind w:firstLine="420" w:firstLineChars="200"/>
        <w:rPr>
          <w:szCs w:val="21"/>
        </w:rPr>
      </w:pPr>
      <w:r>
        <w:rPr>
          <w:kern w:val="0"/>
          <w:szCs w:val="21"/>
        </w:rPr>
        <w:t>关于变更保险合同时的通知义务的约定：</w:t>
      </w:r>
      <w:r>
        <w:rPr>
          <w:rFonts w:hint="eastAsia"/>
          <w:kern w:val="0"/>
          <w:szCs w:val="21"/>
          <w:u w:val="single"/>
        </w:rPr>
        <w:t xml:space="preserve"> </w:t>
      </w:r>
      <w:r>
        <w:rPr>
          <w:rFonts w:hint="eastAsia" w:ascii="宋体" w:hAnsi="宋体" w:cs="宋体"/>
          <w:kern w:val="0"/>
          <w:szCs w:val="21"/>
          <w:u w:val="single"/>
        </w:rPr>
        <w:t>由分包人及时通知发包人及监理人</w:t>
      </w:r>
      <w:r>
        <w:rPr>
          <w:szCs w:val="21"/>
        </w:rPr>
        <w:t>。</w:t>
      </w:r>
    </w:p>
    <w:bookmarkEnd w:id="859"/>
    <w:bookmarkEnd w:id="860"/>
    <w:bookmarkEnd w:id="861"/>
    <w:bookmarkEnd w:id="862"/>
    <w:bookmarkEnd w:id="863"/>
    <w:bookmarkEnd w:id="864"/>
    <w:bookmarkEnd w:id="865"/>
    <w:bookmarkEnd w:id="866"/>
    <w:bookmarkEnd w:id="867"/>
    <w:bookmarkEnd w:id="868"/>
    <w:bookmarkEnd w:id="869"/>
    <w:bookmarkEnd w:id="870"/>
    <w:p>
      <w:pPr>
        <w:keepNext/>
        <w:keepLines/>
        <w:spacing w:line="360" w:lineRule="exact"/>
        <w:outlineLvl w:val="3"/>
        <w:rPr>
          <w:rFonts w:eastAsia="黑体"/>
          <w:bCs/>
          <w:szCs w:val="21"/>
        </w:rPr>
      </w:pPr>
      <w:bookmarkStart w:id="879" w:name="_Toc351203651"/>
      <w:r>
        <w:rPr>
          <w:rFonts w:eastAsia="黑体"/>
          <w:bCs/>
          <w:szCs w:val="21"/>
        </w:rPr>
        <w:t>20. 争议解决</w:t>
      </w:r>
      <w:bookmarkEnd w:id="879"/>
    </w:p>
    <w:bookmarkEnd w:id="871"/>
    <w:bookmarkEnd w:id="872"/>
    <w:p>
      <w:pPr>
        <w:spacing w:line="360" w:lineRule="exact"/>
        <w:ind w:firstLine="420" w:firstLineChars="200"/>
        <w:rPr>
          <w:rFonts w:eastAsia="黑体"/>
          <w:szCs w:val="21"/>
        </w:rPr>
      </w:pPr>
      <w:r>
        <w:rPr>
          <w:rFonts w:eastAsia="黑体"/>
          <w:szCs w:val="21"/>
        </w:rPr>
        <w:t>20.3 争</w:t>
      </w:r>
      <w:bookmarkEnd w:id="873"/>
      <w:r>
        <w:rPr>
          <w:rFonts w:eastAsia="黑体"/>
          <w:szCs w:val="21"/>
        </w:rPr>
        <w:t>议评审</w:t>
      </w:r>
    </w:p>
    <w:p>
      <w:pPr>
        <w:spacing w:line="360" w:lineRule="exact"/>
        <w:ind w:firstLine="420" w:firstLineChars="200"/>
        <w:rPr>
          <w:szCs w:val="21"/>
        </w:rPr>
      </w:pPr>
      <w:r>
        <w:rPr>
          <w:szCs w:val="21"/>
        </w:rPr>
        <w:t>合同当事人是否同意将工程争议提交争议评审小组决</w:t>
      </w:r>
      <w:r>
        <w:rPr>
          <w:rFonts w:hint="eastAsia"/>
          <w:szCs w:val="21"/>
        </w:rPr>
        <w:t>定：</w:t>
      </w:r>
      <w:r>
        <w:rPr>
          <w:rFonts w:hint="eastAsia"/>
          <w:szCs w:val="21"/>
          <w:u w:val="single"/>
        </w:rPr>
        <w:t>否</w:t>
      </w:r>
      <w:r>
        <w:rPr>
          <w:rFonts w:hint="eastAsia"/>
          <w:szCs w:val="21"/>
        </w:rPr>
        <w:t>。</w:t>
      </w:r>
    </w:p>
    <w:p>
      <w:pPr>
        <w:spacing w:line="360" w:lineRule="exact"/>
        <w:ind w:firstLine="420" w:firstLineChars="200"/>
        <w:rPr>
          <w:szCs w:val="21"/>
        </w:rPr>
      </w:pPr>
      <w:r>
        <w:rPr>
          <w:szCs w:val="21"/>
        </w:rPr>
        <w:t>20.3.1 争议评审小组的确定</w:t>
      </w:r>
    </w:p>
    <w:p>
      <w:pPr>
        <w:spacing w:line="360" w:lineRule="exact"/>
        <w:ind w:firstLine="420" w:firstLineChars="200"/>
        <w:rPr>
          <w:szCs w:val="21"/>
          <w:u w:val="single"/>
        </w:rPr>
      </w:pPr>
      <w:r>
        <w:rPr>
          <w:szCs w:val="21"/>
        </w:rPr>
        <w:t>争议评审小组成员的确定：</w:t>
      </w:r>
      <w:r>
        <w:rPr>
          <w:rFonts w:hint="eastAsia"/>
          <w:szCs w:val="21"/>
          <w:u w:val="single"/>
        </w:rPr>
        <w:t>/</w:t>
      </w:r>
      <w:r>
        <w:rPr>
          <w:szCs w:val="21"/>
        </w:rPr>
        <w:t>。</w:t>
      </w:r>
    </w:p>
    <w:p>
      <w:pPr>
        <w:spacing w:line="360" w:lineRule="exact"/>
        <w:ind w:firstLine="420" w:firstLineChars="200"/>
        <w:rPr>
          <w:szCs w:val="21"/>
        </w:rPr>
      </w:pPr>
      <w:r>
        <w:rPr>
          <w:szCs w:val="21"/>
        </w:rPr>
        <w:t>选定争议评审员的期限：</w:t>
      </w:r>
      <w:r>
        <w:rPr>
          <w:rFonts w:hint="eastAsia"/>
          <w:szCs w:val="21"/>
          <w:u w:val="single"/>
        </w:rPr>
        <w:t>/</w:t>
      </w:r>
      <w:r>
        <w:rPr>
          <w:szCs w:val="21"/>
        </w:rPr>
        <w:t>。</w:t>
      </w:r>
    </w:p>
    <w:p>
      <w:pPr>
        <w:spacing w:line="360" w:lineRule="exact"/>
        <w:ind w:firstLine="420" w:firstLineChars="200"/>
        <w:rPr>
          <w:szCs w:val="21"/>
        </w:rPr>
      </w:pPr>
      <w:r>
        <w:rPr>
          <w:szCs w:val="21"/>
        </w:rPr>
        <w:t>争议评审小组成员的报酬承担方式：</w:t>
      </w:r>
      <w:r>
        <w:rPr>
          <w:rFonts w:hint="eastAsia"/>
          <w:szCs w:val="21"/>
          <w:u w:val="single"/>
        </w:rPr>
        <w:t>/</w:t>
      </w:r>
      <w:r>
        <w:rPr>
          <w:szCs w:val="21"/>
        </w:rPr>
        <w:t>。</w:t>
      </w:r>
    </w:p>
    <w:p>
      <w:pPr>
        <w:spacing w:line="360" w:lineRule="exact"/>
        <w:ind w:firstLine="420" w:firstLineChars="200"/>
        <w:rPr>
          <w:szCs w:val="21"/>
        </w:rPr>
      </w:pPr>
      <w:r>
        <w:rPr>
          <w:szCs w:val="21"/>
        </w:rPr>
        <w:t>其他事项的约定：</w:t>
      </w:r>
      <w:r>
        <w:rPr>
          <w:rFonts w:hint="eastAsia"/>
          <w:szCs w:val="21"/>
          <w:u w:val="single"/>
        </w:rPr>
        <w:t>/</w:t>
      </w:r>
      <w:r>
        <w:rPr>
          <w:szCs w:val="21"/>
        </w:rPr>
        <w:t>。</w:t>
      </w:r>
    </w:p>
    <w:p>
      <w:pPr>
        <w:autoSpaceDE w:val="0"/>
        <w:autoSpaceDN w:val="0"/>
        <w:adjustRightInd w:val="0"/>
        <w:spacing w:line="360" w:lineRule="exact"/>
        <w:ind w:firstLine="420" w:firstLineChars="200"/>
        <w:rPr>
          <w:kern w:val="0"/>
          <w:szCs w:val="21"/>
        </w:rPr>
      </w:pPr>
      <w:r>
        <w:rPr>
          <w:kern w:val="0"/>
          <w:szCs w:val="21"/>
        </w:rPr>
        <w:t>20.3.2 争议评审小组的决定</w:t>
      </w:r>
    </w:p>
    <w:p>
      <w:pPr>
        <w:spacing w:line="360" w:lineRule="exact"/>
        <w:ind w:firstLine="420" w:firstLineChars="200"/>
        <w:rPr>
          <w:szCs w:val="21"/>
          <w:u w:val="single"/>
        </w:rPr>
      </w:pPr>
      <w:r>
        <w:rPr>
          <w:szCs w:val="21"/>
        </w:rPr>
        <w:t>合同当事人关于本项的约定：</w:t>
      </w:r>
      <w:r>
        <w:rPr>
          <w:rFonts w:hint="eastAsia"/>
          <w:szCs w:val="21"/>
          <w:u w:val="single"/>
        </w:rPr>
        <w:t>按通用条款。</w:t>
      </w:r>
    </w:p>
    <w:p>
      <w:pPr>
        <w:spacing w:line="360" w:lineRule="exact"/>
        <w:ind w:firstLine="420" w:firstLineChars="200"/>
        <w:rPr>
          <w:szCs w:val="21"/>
          <w:u w:val="single"/>
        </w:rPr>
      </w:pPr>
      <w:r>
        <w:rPr>
          <w:rFonts w:hint="eastAsia"/>
          <w:szCs w:val="21"/>
        </w:rPr>
        <w:t>20.3.3 争议评审小组决定的效力：</w:t>
      </w:r>
      <w:r>
        <w:rPr>
          <w:rFonts w:hint="eastAsia"/>
          <w:szCs w:val="21"/>
          <w:u w:val="single"/>
        </w:rPr>
        <w:t>按通用条款执行。</w:t>
      </w:r>
    </w:p>
    <w:p>
      <w:pPr>
        <w:spacing w:line="360" w:lineRule="exact"/>
        <w:ind w:firstLine="420" w:firstLineChars="200"/>
        <w:rPr>
          <w:rFonts w:eastAsia="黑体"/>
          <w:szCs w:val="21"/>
        </w:rPr>
      </w:pPr>
      <w:r>
        <w:rPr>
          <w:rFonts w:eastAsia="黑体"/>
          <w:szCs w:val="21"/>
        </w:rPr>
        <w:t>20.4仲裁或诉讼</w:t>
      </w:r>
    </w:p>
    <w:p>
      <w:pPr>
        <w:spacing w:line="360" w:lineRule="exact"/>
        <w:ind w:firstLine="420" w:firstLineChars="200"/>
        <w:rPr>
          <w:rFonts w:eastAsia="黑体"/>
          <w:szCs w:val="21"/>
        </w:rPr>
      </w:pPr>
      <w:r>
        <w:rPr>
          <w:szCs w:val="21"/>
        </w:rPr>
        <w:t>因合同及合同有关事项发生的争议，按下列第</w:t>
      </w:r>
      <w:r>
        <w:rPr>
          <w:rFonts w:hint="eastAsia"/>
          <w:szCs w:val="21"/>
          <w:u w:val="single"/>
        </w:rPr>
        <w:t xml:space="preserve">2 </w:t>
      </w:r>
      <w:r>
        <w:rPr>
          <w:szCs w:val="21"/>
        </w:rPr>
        <w:t>种方式</w:t>
      </w:r>
      <w:r>
        <w:rPr>
          <w:rFonts w:hint="eastAsia"/>
          <w:szCs w:val="21"/>
        </w:rPr>
        <w:t>解</w:t>
      </w:r>
      <w:r>
        <w:rPr>
          <w:szCs w:val="21"/>
        </w:rPr>
        <w:t>决：</w:t>
      </w:r>
    </w:p>
    <w:p>
      <w:pPr>
        <w:spacing w:line="400" w:lineRule="exact"/>
        <w:ind w:firstLine="420" w:firstLineChars="200"/>
        <w:rPr>
          <w:rFonts w:ascii="宋体" w:hAnsi="宋体"/>
          <w:szCs w:val="21"/>
        </w:rPr>
      </w:pPr>
      <w:r>
        <w:rPr>
          <w:rFonts w:ascii="宋体" w:hAnsi="宋体"/>
          <w:szCs w:val="21"/>
        </w:rPr>
        <w:t>（1）向</w:t>
      </w:r>
      <w:r>
        <w:rPr>
          <w:rFonts w:hint="eastAsia" w:ascii="宋体" w:hAnsi="宋体"/>
          <w:szCs w:val="21"/>
          <w:u w:val="single"/>
        </w:rPr>
        <w:t>台州</w:t>
      </w:r>
      <w:r>
        <w:rPr>
          <w:rFonts w:ascii="宋体" w:hAnsi="宋体"/>
          <w:szCs w:val="21"/>
        </w:rPr>
        <w:t>仲裁委员会申请仲裁；</w:t>
      </w:r>
    </w:p>
    <w:p>
      <w:pPr>
        <w:spacing w:line="360" w:lineRule="exact"/>
        <w:ind w:firstLine="420" w:firstLineChars="200"/>
        <w:rPr>
          <w:rFonts w:ascii="宋体" w:hAnsi="宋体"/>
          <w:szCs w:val="21"/>
        </w:rPr>
      </w:pPr>
      <w:r>
        <w:rPr>
          <w:rFonts w:ascii="宋体" w:hAnsi="宋体"/>
          <w:szCs w:val="21"/>
        </w:rPr>
        <w:t>（2）向</w:t>
      </w:r>
      <w:r>
        <w:rPr>
          <w:rFonts w:hint="eastAsia" w:ascii="宋体" w:hAnsi="宋体"/>
          <w:szCs w:val="21"/>
          <w:u w:val="single"/>
        </w:rPr>
        <w:t xml:space="preserve">工程所在地 </w:t>
      </w:r>
      <w:r>
        <w:rPr>
          <w:rFonts w:ascii="宋体" w:hAnsi="宋体"/>
          <w:szCs w:val="21"/>
        </w:rPr>
        <w:t>人民法院起诉。</w:t>
      </w:r>
    </w:p>
    <w:p>
      <w:pPr>
        <w:spacing w:line="360" w:lineRule="exact"/>
        <w:ind w:firstLine="420" w:firstLineChars="200"/>
        <w:rPr>
          <w:szCs w:val="21"/>
        </w:rPr>
      </w:pPr>
      <w:r>
        <w:rPr>
          <w:rFonts w:hint="eastAsia" w:eastAsia="黑体"/>
          <w:bCs/>
          <w:szCs w:val="21"/>
        </w:rPr>
        <w:t>21.补充条款</w:t>
      </w:r>
      <w:r>
        <w:rPr>
          <w:rFonts w:hint="eastAsia"/>
          <w:szCs w:val="21"/>
        </w:rPr>
        <w:t>：</w:t>
      </w:r>
    </w:p>
    <w:bookmarkEnd w:id="364"/>
    <w:bookmarkEnd w:id="365"/>
    <w:bookmarkEnd w:id="366"/>
    <w:bookmarkEnd w:id="367"/>
    <w:bookmarkEnd w:id="368"/>
    <w:bookmarkEnd w:id="369"/>
    <w:bookmarkEnd w:id="370"/>
    <w:p>
      <w:pPr>
        <w:spacing w:line="360" w:lineRule="exact"/>
        <w:ind w:firstLine="420" w:firstLineChars="200"/>
        <w:rPr>
          <w:szCs w:val="21"/>
        </w:rPr>
      </w:pPr>
      <w:r>
        <w:rPr>
          <w:rFonts w:eastAsia="黑体"/>
          <w:bCs/>
          <w:szCs w:val="21"/>
        </w:rPr>
        <w:t>21.1</w:t>
      </w:r>
      <w:r>
        <w:rPr>
          <w:rFonts w:hint="eastAsia" w:cs="宋体"/>
          <w:szCs w:val="21"/>
        </w:rPr>
        <w:t>如发生本招标文件条款未涉及的总分包之间的费用，由分包人与总承包人自行协商解决。</w:t>
      </w:r>
    </w:p>
    <w:p>
      <w:pPr>
        <w:spacing w:line="360" w:lineRule="exact"/>
        <w:ind w:firstLine="420" w:firstLineChars="200"/>
        <w:rPr>
          <w:rFonts w:hint="eastAsia"/>
          <w:szCs w:val="21"/>
        </w:rPr>
      </w:pPr>
      <w:r>
        <w:rPr>
          <w:rFonts w:hint="eastAsia"/>
          <w:szCs w:val="21"/>
        </w:rPr>
        <w:t>21.2因本分包项目分包合同的实施产生的一切责任权利义务由分包人负责，导致总承包人遭受任何损失的，由分包人负责赔偿，并按损失支付总承包人补偿费。</w:t>
      </w:r>
    </w:p>
    <w:p>
      <w:pPr>
        <w:spacing w:line="360" w:lineRule="exact"/>
        <w:ind w:firstLine="420" w:firstLineChars="200"/>
        <w:rPr>
          <w:szCs w:val="21"/>
        </w:rPr>
      </w:pPr>
      <w:r>
        <w:rPr>
          <w:rFonts w:hint="eastAsia"/>
          <w:szCs w:val="21"/>
        </w:rPr>
        <w:t>21.3 因发包人原因导致分包人暂停或解除本分包合同的，总承包人不承担任何责任。</w:t>
      </w:r>
    </w:p>
    <w:p>
      <w:pPr>
        <w:spacing w:line="360" w:lineRule="exact"/>
        <w:ind w:firstLine="420" w:firstLineChars="200"/>
        <w:rPr>
          <w:szCs w:val="21"/>
        </w:rPr>
      </w:pPr>
      <w:r>
        <w:rPr>
          <w:szCs w:val="21"/>
        </w:rPr>
        <w:t>21.</w:t>
      </w:r>
      <w:r>
        <w:rPr>
          <w:rFonts w:hint="eastAsia"/>
          <w:szCs w:val="21"/>
          <w:lang w:val="en-US" w:eastAsia="zh-CN"/>
        </w:rPr>
        <w:t>4</w:t>
      </w:r>
      <w:r>
        <w:rPr>
          <w:rFonts w:hint="eastAsia" w:cs="宋体"/>
          <w:szCs w:val="21"/>
        </w:rPr>
        <w:t>监理人在处理以下事项时必须经发包人审查同意、书面签认后，方可将确认结果回复予分包人，未经发包人书面签认的答复无效：</w:t>
      </w:r>
    </w:p>
    <w:p>
      <w:pPr>
        <w:spacing w:line="360" w:lineRule="exact"/>
        <w:ind w:firstLine="420" w:firstLineChars="200"/>
        <w:rPr>
          <w:szCs w:val="21"/>
        </w:rPr>
      </w:pPr>
      <w:r>
        <w:rPr>
          <w:rFonts w:hint="eastAsia" w:cs="宋体"/>
          <w:szCs w:val="21"/>
        </w:rPr>
        <w:t>（</w:t>
      </w:r>
      <w:r>
        <w:rPr>
          <w:szCs w:val="21"/>
        </w:rPr>
        <w:t>1</w:t>
      </w:r>
      <w:r>
        <w:rPr>
          <w:rFonts w:hint="eastAsia" w:cs="宋体"/>
          <w:szCs w:val="21"/>
        </w:rPr>
        <w:t>）工程计量；</w:t>
      </w:r>
    </w:p>
    <w:p>
      <w:pPr>
        <w:spacing w:line="360" w:lineRule="exact"/>
        <w:ind w:firstLine="420" w:firstLineChars="200"/>
        <w:rPr>
          <w:szCs w:val="21"/>
        </w:rPr>
      </w:pPr>
      <w:r>
        <w:rPr>
          <w:rFonts w:hint="eastAsia" w:cs="宋体"/>
          <w:szCs w:val="21"/>
        </w:rPr>
        <w:t>（</w:t>
      </w:r>
      <w:r>
        <w:rPr>
          <w:szCs w:val="21"/>
        </w:rPr>
        <w:t>2</w:t>
      </w:r>
      <w:r>
        <w:rPr>
          <w:rFonts w:hint="eastAsia" w:cs="宋体"/>
          <w:szCs w:val="21"/>
        </w:rPr>
        <w:t>）工程价款（包括工程预付款、进度款、结算款）的确认和支付；</w:t>
      </w:r>
    </w:p>
    <w:p>
      <w:pPr>
        <w:spacing w:line="360" w:lineRule="exact"/>
        <w:ind w:firstLine="420" w:firstLineChars="200"/>
        <w:rPr>
          <w:szCs w:val="21"/>
        </w:rPr>
      </w:pPr>
      <w:r>
        <w:rPr>
          <w:rFonts w:hint="eastAsia" w:cs="宋体"/>
          <w:szCs w:val="21"/>
        </w:rPr>
        <w:t>（</w:t>
      </w:r>
      <w:r>
        <w:rPr>
          <w:szCs w:val="21"/>
        </w:rPr>
        <w:t>3</w:t>
      </w:r>
      <w:r>
        <w:rPr>
          <w:rFonts w:hint="eastAsia" w:cs="宋体"/>
          <w:szCs w:val="21"/>
        </w:rPr>
        <w:t>）工程变更和价格调整；</w:t>
      </w:r>
    </w:p>
    <w:p>
      <w:pPr>
        <w:spacing w:line="360" w:lineRule="exact"/>
        <w:ind w:firstLine="420" w:firstLineChars="200"/>
        <w:rPr>
          <w:szCs w:val="21"/>
        </w:rPr>
      </w:pPr>
      <w:r>
        <w:rPr>
          <w:rFonts w:hint="eastAsia" w:cs="宋体"/>
          <w:szCs w:val="21"/>
        </w:rPr>
        <w:t>（</w:t>
      </w:r>
      <w:r>
        <w:rPr>
          <w:szCs w:val="21"/>
        </w:rPr>
        <w:t>4</w:t>
      </w:r>
      <w:r>
        <w:rPr>
          <w:rFonts w:hint="eastAsia" w:cs="宋体"/>
          <w:szCs w:val="21"/>
        </w:rPr>
        <w:t>）竣工结算；</w:t>
      </w:r>
    </w:p>
    <w:p>
      <w:pPr>
        <w:spacing w:line="360" w:lineRule="exact"/>
        <w:ind w:firstLine="420" w:firstLineChars="200"/>
        <w:rPr>
          <w:szCs w:val="21"/>
        </w:rPr>
      </w:pPr>
      <w:r>
        <w:rPr>
          <w:rFonts w:hint="eastAsia" w:cs="宋体"/>
          <w:szCs w:val="21"/>
        </w:rPr>
        <w:t>（</w:t>
      </w:r>
      <w:r>
        <w:rPr>
          <w:szCs w:val="21"/>
        </w:rPr>
        <w:t>5</w:t>
      </w:r>
      <w:r>
        <w:rPr>
          <w:rFonts w:hint="eastAsia" w:cs="宋体"/>
          <w:szCs w:val="21"/>
        </w:rPr>
        <w:t>）工期确认（包括开工日期、竣工日期、工期延误的确认）；</w:t>
      </w:r>
    </w:p>
    <w:p>
      <w:pPr>
        <w:spacing w:line="360" w:lineRule="exact"/>
        <w:ind w:firstLine="420" w:firstLineChars="200"/>
        <w:rPr>
          <w:szCs w:val="21"/>
        </w:rPr>
      </w:pPr>
      <w:r>
        <w:rPr>
          <w:rFonts w:hint="eastAsia" w:cs="宋体"/>
          <w:szCs w:val="21"/>
        </w:rPr>
        <w:t>（</w:t>
      </w:r>
      <w:r>
        <w:rPr>
          <w:szCs w:val="21"/>
        </w:rPr>
        <w:t>6</w:t>
      </w:r>
      <w:r>
        <w:rPr>
          <w:rFonts w:hint="eastAsia" w:cs="宋体"/>
          <w:szCs w:val="21"/>
        </w:rPr>
        <w:t>）索赔处理。</w:t>
      </w:r>
    </w:p>
    <w:p>
      <w:pPr>
        <w:spacing w:line="360" w:lineRule="exact"/>
        <w:ind w:firstLine="420" w:firstLineChars="200"/>
        <w:rPr>
          <w:rFonts w:ascii="宋体" w:hAnsi="宋体" w:cs="宋体"/>
          <w:szCs w:val="21"/>
          <w:u w:val="single"/>
        </w:rPr>
      </w:pPr>
      <w:r>
        <w:rPr>
          <w:rFonts w:hint="eastAsia"/>
          <w:szCs w:val="21"/>
        </w:rPr>
        <w:t>21.</w:t>
      </w:r>
      <w:r>
        <w:rPr>
          <w:rFonts w:hint="eastAsia"/>
          <w:szCs w:val="21"/>
          <w:lang w:val="en-US" w:eastAsia="zh-CN"/>
        </w:rPr>
        <w:t>5</w:t>
      </w:r>
      <w:r>
        <w:rPr>
          <w:rFonts w:hint="eastAsia" w:ascii="宋体" w:hAnsi="宋体" w:cs="宋体"/>
          <w:szCs w:val="21"/>
        </w:rPr>
        <w:t>本工程招标控制价计价依据：</w:t>
      </w:r>
      <w:r>
        <w:rPr>
          <w:rFonts w:hint="eastAsia" w:ascii="宋体" w:hAnsi="宋体"/>
          <w:szCs w:val="21"/>
          <w:u w:val="single"/>
          <w:lang w:eastAsia="zh-CN"/>
        </w:rPr>
        <w:t>《建设工程工程量清单计价规范》(GB50500-2013)、《通用安装工程工程量计算规范》(GB50856-2013)、建设工程工程量计算规范(2013)浙江省补充规定及补充规定(二)、《浙江省建设工程计价规则》(2018版)、《浙江省通用安装工程预算定额》(2018版)</w:t>
      </w:r>
      <w:r>
        <w:rPr>
          <w:rFonts w:hint="eastAsia" w:ascii="宋体" w:hAnsi="宋体"/>
          <w:szCs w:val="21"/>
          <w:u w:val="single"/>
        </w:rPr>
        <w:t>、《台州造价》(正刊2024年1月)、《浙江造价信息》(正刊2024年1月)等</w:t>
      </w:r>
      <w:r>
        <w:rPr>
          <w:rFonts w:hint="eastAsia" w:ascii="宋体" w:hAnsi="宋体" w:cs="宋体"/>
          <w:szCs w:val="21"/>
          <w:u w:val="single"/>
        </w:rPr>
        <w:t>，其余详本工程招标控制价编制说明。</w:t>
      </w:r>
    </w:p>
    <w:p>
      <w:pPr>
        <w:spacing w:line="360" w:lineRule="exact"/>
        <w:ind w:firstLine="420" w:firstLineChars="200"/>
        <w:rPr>
          <w:rFonts w:cs="宋体"/>
          <w:szCs w:val="21"/>
        </w:rPr>
      </w:pPr>
      <w:r>
        <w:rPr>
          <w:rFonts w:hint="eastAsia" w:cs="宋体"/>
          <w:szCs w:val="21"/>
        </w:rPr>
        <w:t>21.</w:t>
      </w:r>
      <w:r>
        <w:rPr>
          <w:rFonts w:hint="eastAsia" w:cs="宋体"/>
          <w:szCs w:val="21"/>
          <w:lang w:val="en-US" w:eastAsia="zh-CN"/>
        </w:rPr>
        <w:t>6</w:t>
      </w:r>
      <w:r>
        <w:rPr>
          <w:rFonts w:hint="eastAsia" w:cs="宋体"/>
          <w:szCs w:val="21"/>
        </w:rPr>
        <w:t>本合同通用合同条款中的“承包人”为本合同工程的“分包人”。</w:t>
      </w:r>
    </w:p>
    <w:p>
      <w:pPr>
        <w:spacing w:line="360" w:lineRule="exact"/>
        <w:rPr>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ascii="宋体" w:hAnsi="宋体"/>
          <w:szCs w:val="21"/>
        </w:rPr>
        <w:t>发包人(公章)：</w:t>
      </w:r>
      <w:r>
        <w:rPr>
          <w:rFonts w:hint="eastAsia" w:ascii="宋体" w:hAnsi="宋体"/>
          <w:szCs w:val="21"/>
        </w:rPr>
        <w:t xml:space="preserve">                                   总承包人</w:t>
      </w:r>
      <w:r>
        <w:rPr>
          <w:rFonts w:ascii="宋体" w:hAnsi="宋体"/>
          <w:szCs w:val="21"/>
        </w:rPr>
        <w:t>(公章)：</w:t>
      </w:r>
    </w:p>
    <w:p>
      <w:pPr>
        <w:spacing w:line="400" w:lineRule="exact"/>
        <w:ind w:firstLine="420" w:firstLineChars="200"/>
        <w:rPr>
          <w:rFonts w:ascii="宋体" w:hAnsi="宋体"/>
          <w:szCs w:val="21"/>
        </w:rPr>
      </w:pPr>
      <w:r>
        <w:rPr>
          <w:rFonts w:ascii="宋体" w:hAnsi="宋体"/>
          <w:szCs w:val="21"/>
        </w:rPr>
        <w:t>地  址：</w:t>
      </w:r>
      <w:r>
        <w:rPr>
          <w:rFonts w:hint="eastAsia" w:ascii="宋体" w:hAnsi="宋体"/>
          <w:szCs w:val="21"/>
        </w:rPr>
        <w:t xml:space="preserve">                                         </w:t>
      </w:r>
      <w:r>
        <w:rPr>
          <w:rFonts w:ascii="宋体" w:hAnsi="宋体"/>
          <w:szCs w:val="21"/>
        </w:rPr>
        <w:t>地  址：</w:t>
      </w:r>
    </w:p>
    <w:p>
      <w:pPr>
        <w:spacing w:line="400" w:lineRule="exact"/>
        <w:ind w:firstLine="420" w:firstLineChars="200"/>
        <w:rPr>
          <w:rFonts w:ascii="宋体" w:hAnsi="宋体"/>
          <w:szCs w:val="21"/>
        </w:rPr>
      </w:pPr>
      <w:r>
        <w:rPr>
          <w:rFonts w:ascii="宋体" w:hAnsi="宋体"/>
          <w:szCs w:val="21"/>
        </w:rPr>
        <w:t>法定代表人(签字)：</w:t>
      </w:r>
      <w:r>
        <w:rPr>
          <w:rFonts w:hint="eastAsia" w:ascii="宋体" w:hAnsi="宋体"/>
          <w:szCs w:val="21"/>
        </w:rPr>
        <w:t xml:space="preserve">                               </w:t>
      </w:r>
      <w:r>
        <w:rPr>
          <w:rFonts w:ascii="宋体" w:hAnsi="宋体"/>
          <w:szCs w:val="21"/>
        </w:rPr>
        <w:t>法定代表人(签字)：</w:t>
      </w:r>
    </w:p>
    <w:p>
      <w:pPr>
        <w:spacing w:line="400" w:lineRule="exact"/>
        <w:ind w:firstLine="420" w:firstLineChars="200"/>
        <w:rPr>
          <w:rFonts w:ascii="宋体" w:hAnsi="宋体"/>
          <w:szCs w:val="21"/>
        </w:rPr>
      </w:pPr>
      <w:r>
        <w:rPr>
          <w:rFonts w:hint="eastAsia" w:ascii="宋体" w:hAnsi="宋体"/>
          <w:szCs w:val="21"/>
        </w:rPr>
        <w:t>或签约</w:t>
      </w:r>
      <w:r>
        <w:rPr>
          <w:rFonts w:ascii="宋体" w:hAnsi="宋体"/>
          <w:szCs w:val="21"/>
        </w:rPr>
        <w:t>代理人(签字)：</w:t>
      </w:r>
      <w:r>
        <w:rPr>
          <w:rFonts w:hint="eastAsia" w:ascii="宋体" w:hAnsi="宋体"/>
          <w:szCs w:val="21"/>
        </w:rPr>
        <w:t xml:space="preserve">                             或签约</w:t>
      </w:r>
      <w:r>
        <w:rPr>
          <w:rFonts w:ascii="宋体" w:hAnsi="宋体"/>
          <w:szCs w:val="21"/>
        </w:rPr>
        <w:t>代理人(签字)：</w:t>
      </w:r>
    </w:p>
    <w:p>
      <w:pPr>
        <w:spacing w:line="400" w:lineRule="exact"/>
        <w:ind w:firstLine="420" w:firstLineChars="200"/>
        <w:rPr>
          <w:rFonts w:ascii="宋体" w:hAnsi="宋体"/>
          <w:szCs w:val="21"/>
        </w:rPr>
      </w:pPr>
      <w:r>
        <w:rPr>
          <w:rFonts w:ascii="宋体" w:hAnsi="宋体"/>
          <w:szCs w:val="21"/>
        </w:rPr>
        <w:t>电  话：</w:t>
      </w:r>
      <w:r>
        <w:rPr>
          <w:rFonts w:hint="eastAsia" w:ascii="宋体" w:hAnsi="宋体"/>
          <w:szCs w:val="21"/>
        </w:rPr>
        <w:t xml:space="preserve">                                         </w:t>
      </w:r>
      <w:r>
        <w:rPr>
          <w:rFonts w:ascii="宋体" w:hAnsi="宋体"/>
          <w:szCs w:val="21"/>
        </w:rPr>
        <w:t>电  话：</w:t>
      </w:r>
    </w:p>
    <w:p>
      <w:pPr>
        <w:spacing w:line="400" w:lineRule="exact"/>
        <w:ind w:firstLine="420" w:firstLineChars="200"/>
        <w:rPr>
          <w:rFonts w:ascii="宋体" w:hAnsi="宋体"/>
          <w:szCs w:val="21"/>
        </w:rPr>
      </w:pPr>
      <w:r>
        <w:rPr>
          <w:rFonts w:ascii="宋体" w:hAnsi="宋体"/>
          <w:szCs w:val="21"/>
        </w:rPr>
        <w:t>传  真：</w:t>
      </w:r>
      <w:r>
        <w:rPr>
          <w:rFonts w:hint="eastAsia" w:ascii="宋体" w:hAnsi="宋体"/>
          <w:szCs w:val="21"/>
        </w:rPr>
        <w:t xml:space="preserve">                                         </w:t>
      </w:r>
      <w:r>
        <w:rPr>
          <w:rFonts w:ascii="宋体" w:hAnsi="宋体"/>
          <w:szCs w:val="21"/>
        </w:rPr>
        <w:t>传  真：</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分</w:t>
      </w:r>
      <w:r>
        <w:rPr>
          <w:rFonts w:ascii="宋体" w:hAnsi="宋体"/>
          <w:szCs w:val="21"/>
        </w:rPr>
        <w:t>包人(公章)：</w:t>
      </w:r>
      <w:r>
        <w:rPr>
          <w:rFonts w:hint="eastAsia" w:ascii="宋体" w:hAnsi="宋体"/>
          <w:szCs w:val="21"/>
        </w:rPr>
        <w:t xml:space="preserve">                                 </w:t>
      </w:r>
    </w:p>
    <w:p>
      <w:pPr>
        <w:spacing w:line="400" w:lineRule="exact"/>
        <w:ind w:firstLine="420" w:firstLineChars="200"/>
        <w:rPr>
          <w:rFonts w:ascii="宋体" w:hAnsi="宋体"/>
          <w:szCs w:val="21"/>
        </w:rPr>
      </w:pPr>
      <w:r>
        <w:rPr>
          <w:rFonts w:ascii="宋体" w:hAnsi="宋体"/>
          <w:szCs w:val="21"/>
        </w:rPr>
        <w:t>地  址：</w:t>
      </w:r>
      <w:r>
        <w:rPr>
          <w:rFonts w:hint="eastAsia" w:ascii="宋体" w:hAnsi="宋体"/>
          <w:szCs w:val="21"/>
        </w:rPr>
        <w:t xml:space="preserve">                                        </w:t>
      </w:r>
    </w:p>
    <w:p>
      <w:pPr>
        <w:spacing w:line="400" w:lineRule="exact"/>
        <w:ind w:firstLine="420" w:firstLineChars="200"/>
        <w:rPr>
          <w:rFonts w:ascii="宋体" w:hAnsi="宋体"/>
          <w:szCs w:val="21"/>
        </w:rPr>
      </w:pPr>
      <w:r>
        <w:rPr>
          <w:rFonts w:ascii="宋体" w:hAnsi="宋体"/>
          <w:szCs w:val="21"/>
        </w:rPr>
        <w:t>法定代表人(签字)：</w:t>
      </w:r>
      <w:r>
        <w:rPr>
          <w:rFonts w:hint="eastAsia" w:ascii="宋体" w:hAnsi="宋体"/>
          <w:szCs w:val="21"/>
        </w:rPr>
        <w:t xml:space="preserve">                             </w:t>
      </w:r>
    </w:p>
    <w:p>
      <w:pPr>
        <w:spacing w:line="400" w:lineRule="exact"/>
        <w:ind w:firstLine="420" w:firstLineChars="200"/>
        <w:rPr>
          <w:rFonts w:ascii="宋体" w:hAnsi="宋体"/>
          <w:szCs w:val="21"/>
        </w:rPr>
      </w:pPr>
      <w:r>
        <w:rPr>
          <w:rFonts w:hint="eastAsia" w:ascii="宋体" w:hAnsi="宋体"/>
          <w:szCs w:val="21"/>
        </w:rPr>
        <w:t>或签约</w:t>
      </w:r>
      <w:r>
        <w:rPr>
          <w:rFonts w:ascii="宋体" w:hAnsi="宋体"/>
          <w:szCs w:val="21"/>
        </w:rPr>
        <w:t>代理人(签字)：</w:t>
      </w:r>
      <w:r>
        <w:rPr>
          <w:rFonts w:hint="eastAsia" w:ascii="宋体" w:hAnsi="宋体"/>
          <w:szCs w:val="21"/>
        </w:rPr>
        <w:t xml:space="preserve">                            </w:t>
      </w:r>
    </w:p>
    <w:p>
      <w:pPr>
        <w:spacing w:line="400" w:lineRule="exact"/>
        <w:ind w:firstLine="420" w:firstLineChars="200"/>
        <w:rPr>
          <w:rFonts w:ascii="宋体" w:hAnsi="宋体"/>
          <w:szCs w:val="21"/>
        </w:rPr>
      </w:pPr>
      <w:r>
        <w:rPr>
          <w:rFonts w:ascii="宋体" w:hAnsi="宋体"/>
          <w:szCs w:val="21"/>
        </w:rPr>
        <w:t>电  话：</w:t>
      </w:r>
      <w:r>
        <w:rPr>
          <w:rFonts w:hint="eastAsia" w:ascii="宋体" w:hAnsi="宋体"/>
          <w:szCs w:val="21"/>
        </w:rPr>
        <w:t xml:space="preserve">                                         </w:t>
      </w:r>
    </w:p>
    <w:p>
      <w:pPr>
        <w:spacing w:line="400" w:lineRule="exact"/>
        <w:ind w:firstLine="420" w:firstLineChars="200"/>
        <w:rPr>
          <w:rFonts w:ascii="宋体" w:hAnsi="宋体"/>
          <w:szCs w:val="21"/>
        </w:rPr>
      </w:pPr>
      <w:r>
        <w:rPr>
          <w:rFonts w:ascii="宋体" w:hAnsi="宋体"/>
          <w:szCs w:val="21"/>
        </w:rPr>
        <w:t>传  真：</w:t>
      </w:r>
    </w:p>
    <w:p>
      <w:pPr>
        <w:spacing w:line="400" w:lineRule="exact"/>
        <w:ind w:firstLine="420" w:firstLineChars="200"/>
        <w:rPr>
          <w:rFonts w:ascii="宋体" w:hAnsi="宋体"/>
          <w:szCs w:val="21"/>
        </w:rPr>
        <w:sectPr>
          <w:pgSz w:w="11906" w:h="16838"/>
          <w:pgMar w:top="1247" w:right="1361" w:bottom="1247" w:left="1361" w:header="851" w:footer="992" w:gutter="0"/>
          <w:cols w:space="720" w:num="1"/>
          <w:docGrid w:type="lines" w:linePitch="312" w:charSpace="0"/>
        </w:sectPr>
      </w:pPr>
      <w:r>
        <w:rPr>
          <w:rFonts w:hint="eastAsia" w:ascii="宋体" w:hAnsi="宋体"/>
          <w:szCs w:val="21"/>
        </w:rPr>
        <w:t xml:space="preserve">                                 </w:t>
      </w:r>
    </w:p>
    <w:p>
      <w:pPr>
        <w:keepNext/>
        <w:keepLines/>
        <w:spacing w:line="400" w:lineRule="exact"/>
        <w:ind w:firstLine="422" w:firstLineChars="200"/>
        <w:outlineLvl w:val="3"/>
        <w:rPr>
          <w:rFonts w:ascii="宋体" w:hAnsi="宋体"/>
          <w:bCs/>
          <w:szCs w:val="21"/>
        </w:rPr>
      </w:pPr>
      <w:bookmarkStart w:id="880" w:name="_Toc351203652"/>
      <w:r>
        <w:rPr>
          <w:rFonts w:ascii="宋体" w:hAnsi="宋体"/>
          <w:b/>
          <w:bCs/>
          <w:szCs w:val="21"/>
        </w:rPr>
        <w:t>附件</w:t>
      </w:r>
      <w:bookmarkEnd w:id="880"/>
    </w:p>
    <w:p>
      <w:pPr>
        <w:spacing w:line="400" w:lineRule="exact"/>
        <w:ind w:firstLine="420" w:firstLineChars="200"/>
        <w:rPr>
          <w:rFonts w:ascii="宋体" w:hAnsi="宋体"/>
          <w:szCs w:val="21"/>
        </w:rPr>
      </w:pPr>
      <w:r>
        <w:rPr>
          <w:rFonts w:hint="eastAsia" w:ascii="宋体" w:hAnsi="宋体"/>
          <w:szCs w:val="21"/>
        </w:rPr>
        <w:t>协议书附件：</w:t>
      </w:r>
    </w:p>
    <w:p>
      <w:pPr>
        <w:spacing w:line="400" w:lineRule="exact"/>
        <w:ind w:firstLine="420" w:firstLineChars="200"/>
        <w:rPr>
          <w:rFonts w:ascii="宋体" w:hAnsi="宋体"/>
          <w:szCs w:val="21"/>
        </w:rPr>
      </w:pPr>
      <w:r>
        <w:rPr>
          <w:rFonts w:ascii="宋体" w:hAnsi="宋体"/>
          <w:szCs w:val="21"/>
        </w:rPr>
        <w:t>附件1：</w:t>
      </w:r>
      <w:r>
        <w:rPr>
          <w:rFonts w:hint="eastAsia" w:ascii="宋体" w:hAnsi="宋体"/>
          <w:szCs w:val="21"/>
        </w:rPr>
        <w:t>分包人</w:t>
      </w:r>
      <w:r>
        <w:rPr>
          <w:rFonts w:ascii="宋体" w:hAnsi="宋体"/>
          <w:szCs w:val="21"/>
        </w:rPr>
        <w:t>承揽工程项目一览表</w:t>
      </w:r>
      <w:r>
        <w:rPr>
          <w:rFonts w:hint="eastAsia" w:ascii="宋体" w:hAnsi="宋体"/>
          <w:szCs w:val="21"/>
        </w:rPr>
        <w:t>（略）</w:t>
      </w:r>
    </w:p>
    <w:p>
      <w:pPr>
        <w:spacing w:line="400" w:lineRule="exact"/>
        <w:ind w:firstLine="420" w:firstLineChars="200"/>
        <w:rPr>
          <w:rFonts w:ascii="宋体" w:hAnsi="宋体"/>
          <w:szCs w:val="21"/>
        </w:rPr>
      </w:pPr>
      <w:r>
        <w:rPr>
          <w:rFonts w:hint="eastAsia" w:ascii="宋体" w:hAnsi="宋体"/>
          <w:szCs w:val="21"/>
        </w:rPr>
        <w:t>专用合同条款附件：</w:t>
      </w:r>
    </w:p>
    <w:p>
      <w:pPr>
        <w:spacing w:line="400" w:lineRule="exact"/>
        <w:ind w:firstLine="420" w:firstLineChars="200"/>
        <w:rPr>
          <w:rFonts w:ascii="宋体" w:hAnsi="宋体"/>
          <w:szCs w:val="21"/>
        </w:rPr>
      </w:pPr>
      <w:r>
        <w:rPr>
          <w:rFonts w:ascii="宋体" w:hAnsi="宋体"/>
          <w:szCs w:val="21"/>
        </w:rPr>
        <w:t>附件2：发包人供应材料设备一览表</w:t>
      </w:r>
      <w:r>
        <w:rPr>
          <w:rFonts w:hint="eastAsia" w:ascii="宋体" w:hAnsi="宋体"/>
          <w:szCs w:val="21"/>
        </w:rPr>
        <w:t>（略）</w:t>
      </w:r>
    </w:p>
    <w:p>
      <w:pPr>
        <w:spacing w:line="400" w:lineRule="exact"/>
        <w:ind w:firstLine="420" w:firstLineChars="200"/>
        <w:rPr>
          <w:rFonts w:ascii="宋体" w:hAnsi="宋体"/>
          <w:szCs w:val="21"/>
        </w:rPr>
      </w:pPr>
      <w:r>
        <w:rPr>
          <w:rFonts w:ascii="宋体" w:hAnsi="宋体"/>
          <w:szCs w:val="21"/>
        </w:rPr>
        <w:t>附件3：工程质量保修书</w:t>
      </w:r>
    </w:p>
    <w:p>
      <w:pPr>
        <w:spacing w:line="400" w:lineRule="exact"/>
        <w:ind w:firstLine="420" w:firstLineChars="200"/>
        <w:rPr>
          <w:rFonts w:ascii="宋体" w:hAnsi="宋体"/>
          <w:szCs w:val="21"/>
        </w:rPr>
      </w:pPr>
      <w:r>
        <w:rPr>
          <w:rFonts w:ascii="宋体" w:hAnsi="宋体"/>
          <w:szCs w:val="21"/>
        </w:rPr>
        <w:t>附件4：主要建设工程文件目录</w:t>
      </w:r>
      <w:r>
        <w:rPr>
          <w:rFonts w:hint="eastAsia" w:ascii="宋体" w:hAnsi="宋体"/>
          <w:szCs w:val="21"/>
        </w:rPr>
        <w:t>（略）</w:t>
      </w:r>
    </w:p>
    <w:p>
      <w:pPr>
        <w:spacing w:line="400" w:lineRule="exact"/>
        <w:ind w:firstLine="420" w:firstLineChars="200"/>
        <w:rPr>
          <w:rFonts w:ascii="宋体" w:hAnsi="宋体"/>
          <w:szCs w:val="21"/>
        </w:rPr>
      </w:pPr>
      <w:r>
        <w:rPr>
          <w:rFonts w:ascii="宋体" w:hAnsi="宋体"/>
          <w:szCs w:val="21"/>
        </w:rPr>
        <w:t>附件5：</w:t>
      </w:r>
      <w:r>
        <w:rPr>
          <w:rFonts w:hint="eastAsia" w:ascii="宋体" w:hAnsi="宋体"/>
          <w:szCs w:val="21"/>
        </w:rPr>
        <w:t>分包人</w:t>
      </w:r>
      <w:r>
        <w:rPr>
          <w:rFonts w:ascii="宋体" w:hAnsi="宋体"/>
          <w:szCs w:val="21"/>
        </w:rPr>
        <w:t>用于本工程施工的机械设备表</w:t>
      </w:r>
      <w:r>
        <w:rPr>
          <w:rFonts w:hint="eastAsia" w:ascii="宋体" w:hAnsi="宋体"/>
          <w:szCs w:val="21"/>
        </w:rPr>
        <w:t>（略）</w:t>
      </w:r>
    </w:p>
    <w:p>
      <w:pPr>
        <w:spacing w:line="400" w:lineRule="exact"/>
        <w:ind w:firstLine="420" w:firstLineChars="200"/>
        <w:rPr>
          <w:rFonts w:ascii="宋体" w:hAnsi="宋体"/>
          <w:szCs w:val="21"/>
        </w:rPr>
      </w:pPr>
      <w:r>
        <w:rPr>
          <w:rFonts w:ascii="宋体" w:hAnsi="宋体"/>
          <w:szCs w:val="21"/>
        </w:rPr>
        <w:t>附件6：</w:t>
      </w:r>
      <w:r>
        <w:rPr>
          <w:rFonts w:hint="eastAsia" w:ascii="宋体" w:hAnsi="宋体"/>
          <w:szCs w:val="21"/>
        </w:rPr>
        <w:t>总承包人</w:t>
      </w:r>
      <w:r>
        <w:rPr>
          <w:rFonts w:ascii="宋体" w:hAnsi="宋体"/>
          <w:szCs w:val="21"/>
        </w:rPr>
        <w:t>主要施工管理人员表</w:t>
      </w:r>
      <w:r>
        <w:rPr>
          <w:rFonts w:hint="eastAsia" w:ascii="宋体" w:hAnsi="宋体"/>
          <w:szCs w:val="21"/>
        </w:rPr>
        <w:t>（略）</w:t>
      </w:r>
    </w:p>
    <w:p>
      <w:pPr>
        <w:spacing w:line="400" w:lineRule="exact"/>
        <w:ind w:firstLine="420" w:firstLineChars="200"/>
        <w:rPr>
          <w:rFonts w:ascii="宋体" w:hAnsi="宋体"/>
          <w:szCs w:val="21"/>
        </w:rPr>
      </w:pPr>
      <w:r>
        <w:rPr>
          <w:rFonts w:ascii="宋体" w:hAnsi="宋体"/>
          <w:szCs w:val="21"/>
        </w:rPr>
        <w:t>附件7：</w:t>
      </w:r>
      <w:r>
        <w:rPr>
          <w:rFonts w:hint="eastAsia" w:ascii="宋体" w:hAnsi="宋体"/>
          <w:szCs w:val="21"/>
        </w:rPr>
        <w:t>分包人</w:t>
      </w:r>
      <w:r>
        <w:rPr>
          <w:rFonts w:ascii="宋体" w:hAnsi="宋体"/>
          <w:szCs w:val="21"/>
        </w:rPr>
        <w:t>主要施工管理人员表</w:t>
      </w:r>
      <w:r>
        <w:rPr>
          <w:rFonts w:hint="eastAsia" w:ascii="宋体" w:hAnsi="宋体"/>
          <w:szCs w:val="21"/>
        </w:rPr>
        <w:t>（略）</w:t>
      </w:r>
    </w:p>
    <w:p>
      <w:pPr>
        <w:spacing w:line="400" w:lineRule="exact"/>
        <w:ind w:firstLine="420" w:firstLineChars="200"/>
        <w:rPr>
          <w:rFonts w:ascii="宋体" w:hAnsi="宋体"/>
          <w:szCs w:val="21"/>
        </w:rPr>
      </w:pPr>
      <w:r>
        <w:rPr>
          <w:rFonts w:ascii="宋体" w:hAnsi="宋体"/>
          <w:szCs w:val="21"/>
        </w:rPr>
        <w:t>附件8：履约担保格式</w:t>
      </w:r>
      <w:r>
        <w:rPr>
          <w:rFonts w:hint="eastAsia" w:ascii="宋体" w:hAnsi="宋体"/>
          <w:szCs w:val="21"/>
        </w:rPr>
        <w:t>（略）</w:t>
      </w:r>
    </w:p>
    <w:p>
      <w:pPr>
        <w:spacing w:line="400" w:lineRule="exact"/>
        <w:ind w:firstLine="420" w:firstLineChars="200"/>
        <w:rPr>
          <w:rFonts w:ascii="宋体" w:hAnsi="宋体"/>
          <w:szCs w:val="21"/>
        </w:rPr>
      </w:pPr>
      <w:r>
        <w:rPr>
          <w:rFonts w:ascii="宋体" w:hAnsi="宋体"/>
          <w:szCs w:val="21"/>
        </w:rPr>
        <w:t>附件9：预付款担保格式</w:t>
      </w:r>
      <w:r>
        <w:rPr>
          <w:rFonts w:hint="eastAsia" w:ascii="宋体" w:hAnsi="宋体"/>
          <w:szCs w:val="21"/>
        </w:rPr>
        <w:t>（略）</w:t>
      </w:r>
    </w:p>
    <w:p>
      <w:pPr>
        <w:spacing w:line="400" w:lineRule="exact"/>
        <w:ind w:firstLine="420" w:firstLineChars="200"/>
        <w:rPr>
          <w:rFonts w:ascii="宋体" w:hAnsi="宋体"/>
          <w:szCs w:val="21"/>
        </w:rPr>
      </w:pPr>
      <w:r>
        <w:rPr>
          <w:rFonts w:ascii="宋体" w:hAnsi="宋体"/>
          <w:szCs w:val="21"/>
        </w:rPr>
        <w:t>附件10：支付担保格式</w:t>
      </w:r>
      <w:r>
        <w:rPr>
          <w:rFonts w:hint="eastAsia" w:ascii="宋体" w:hAnsi="宋体"/>
          <w:szCs w:val="21"/>
        </w:rPr>
        <w:t>（略）</w:t>
      </w:r>
    </w:p>
    <w:p>
      <w:pPr>
        <w:spacing w:line="400" w:lineRule="exact"/>
        <w:ind w:firstLine="420" w:firstLineChars="200"/>
        <w:rPr>
          <w:rFonts w:ascii="宋体" w:hAnsi="宋体"/>
          <w:szCs w:val="21"/>
        </w:rPr>
        <w:sectPr>
          <w:pgSz w:w="11906" w:h="16838"/>
          <w:pgMar w:top="1247" w:right="1361" w:bottom="1247" w:left="1361" w:header="851" w:footer="992" w:gutter="0"/>
          <w:cols w:space="720" w:num="1"/>
          <w:docGrid w:type="lines" w:linePitch="312" w:charSpace="0"/>
        </w:sectPr>
      </w:pPr>
      <w:r>
        <w:rPr>
          <w:rFonts w:ascii="宋体" w:hAnsi="宋体"/>
          <w:szCs w:val="21"/>
        </w:rPr>
        <w:t>附件11：暂估价一览表</w:t>
      </w:r>
      <w:r>
        <w:rPr>
          <w:rFonts w:hint="eastAsia" w:ascii="宋体" w:hAnsi="宋体"/>
          <w:szCs w:val="21"/>
        </w:rPr>
        <w:t>（略）</w:t>
      </w:r>
    </w:p>
    <w:p>
      <w:pPr>
        <w:keepNext/>
        <w:keepLines/>
        <w:spacing w:line="400" w:lineRule="exact"/>
        <w:outlineLvl w:val="3"/>
        <w:rPr>
          <w:rFonts w:ascii="宋体" w:hAnsi="宋体"/>
          <w:b/>
          <w:bCs/>
          <w:sz w:val="24"/>
        </w:rPr>
      </w:pPr>
      <w:r>
        <w:rPr>
          <w:rFonts w:ascii="宋体" w:hAnsi="宋体"/>
          <w:b/>
          <w:bCs/>
          <w:sz w:val="24"/>
        </w:rPr>
        <w:t>附</w:t>
      </w:r>
      <w:bookmarkStart w:id="881" w:name="_Toc267261693"/>
      <w:bookmarkStart w:id="882" w:name="_Toc296944565"/>
      <w:bookmarkStart w:id="883" w:name="_Toc296891266"/>
      <w:bookmarkStart w:id="884" w:name="_Toc296891054"/>
      <w:bookmarkStart w:id="885" w:name="_Toc296346727"/>
      <w:bookmarkStart w:id="886" w:name="_Toc296503226"/>
      <w:bookmarkStart w:id="887" w:name="_Toc296347225"/>
      <w:r>
        <w:rPr>
          <w:rFonts w:ascii="宋体" w:hAnsi="宋体"/>
          <w:b/>
          <w:bCs/>
          <w:sz w:val="24"/>
        </w:rPr>
        <w:t>件3：</w:t>
      </w:r>
      <w:bookmarkEnd w:id="881"/>
      <w:bookmarkEnd w:id="882"/>
      <w:bookmarkEnd w:id="883"/>
      <w:bookmarkEnd w:id="884"/>
      <w:bookmarkEnd w:id="885"/>
      <w:bookmarkEnd w:id="886"/>
      <w:bookmarkEnd w:id="887"/>
    </w:p>
    <w:p>
      <w:pPr>
        <w:keepNext/>
        <w:keepLines/>
        <w:spacing w:line="400" w:lineRule="atLeast"/>
        <w:ind w:firstLine="643" w:firstLineChars="200"/>
        <w:jc w:val="center"/>
        <w:outlineLvl w:val="3"/>
        <w:rPr>
          <w:rFonts w:ascii="宋体" w:hAnsi="宋体"/>
          <w:b/>
          <w:sz w:val="32"/>
          <w:szCs w:val="32"/>
        </w:rPr>
      </w:pPr>
      <w:r>
        <w:rPr>
          <w:rFonts w:ascii="宋体" w:hAnsi="宋体"/>
          <w:b/>
          <w:sz w:val="32"/>
          <w:szCs w:val="32"/>
        </w:rPr>
        <w:t>工程质量保修书</w:t>
      </w:r>
    </w:p>
    <w:p>
      <w:pPr>
        <w:spacing w:line="400" w:lineRule="atLeast"/>
        <w:ind w:firstLine="422" w:firstLineChars="200"/>
        <w:rPr>
          <w:rFonts w:ascii="宋体" w:hAnsi="宋体" w:eastAsia="宋体" w:cs="Times New Roman"/>
          <w:b/>
          <w:color w:val="auto"/>
          <w:szCs w:val="21"/>
          <w:highlight w:val="none"/>
        </w:rPr>
      </w:pPr>
      <w:r>
        <w:rPr>
          <w:rFonts w:ascii="宋体" w:hAnsi="宋体" w:eastAsia="宋体" w:cs="Times New Roman"/>
          <w:b/>
          <w:color w:val="auto"/>
          <w:szCs w:val="21"/>
          <w:highlight w:val="none"/>
        </w:rPr>
        <w:t>发包人（全称）：</w:t>
      </w:r>
      <w:r>
        <w:rPr>
          <w:rFonts w:hint="eastAsia" w:ascii="宋体" w:hAnsi="宋体" w:eastAsia="宋体" w:cs="Times New Roman"/>
          <w:b/>
          <w:color w:val="auto"/>
          <w:szCs w:val="21"/>
          <w:highlight w:val="none"/>
          <w:u w:val="single"/>
        </w:rPr>
        <w:t>台州市椒江城市发展投资集团有限公司</w:t>
      </w:r>
    </w:p>
    <w:p>
      <w:pPr>
        <w:spacing w:line="400" w:lineRule="atLeast"/>
        <w:ind w:firstLine="422" w:firstLineChars="200"/>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分包人</w:t>
      </w:r>
      <w:r>
        <w:rPr>
          <w:rFonts w:ascii="宋体" w:hAnsi="宋体" w:eastAsia="宋体" w:cs="Times New Roman"/>
          <w:b/>
          <w:color w:val="auto"/>
          <w:szCs w:val="21"/>
          <w:highlight w:val="none"/>
        </w:rPr>
        <w:t>（全称）：</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发包人和分包人根据《中华人民共和国建筑法》和《建设工程质量管理条例》，经协商一致就</w:t>
      </w:r>
      <w:r>
        <w:rPr>
          <w:rFonts w:hint="eastAsia" w:ascii="新宋体" w:hAnsi="新宋体" w:eastAsia="新宋体" w:cs="新宋体"/>
          <w:color w:val="auto"/>
          <w:szCs w:val="21"/>
          <w:highlight w:val="none"/>
          <w:u w:val="single"/>
        </w:rPr>
        <w:t xml:space="preserve"> 绿色药都产业园配套设施提升工程（北区）（</w:t>
      </w:r>
      <w:r>
        <w:rPr>
          <w:rFonts w:hint="eastAsia" w:ascii="新宋体" w:hAnsi="新宋体" w:eastAsia="新宋体" w:cs="新宋体"/>
          <w:color w:val="auto"/>
          <w:szCs w:val="21"/>
          <w:highlight w:val="none"/>
          <w:u w:val="single"/>
          <w:lang w:eastAsia="zh-CN"/>
        </w:rPr>
        <w:t>亮化工程</w:t>
      </w:r>
      <w:r>
        <w:rPr>
          <w:rFonts w:hint="eastAsia" w:ascii="新宋体" w:hAnsi="新宋体" w:eastAsia="新宋体" w:cs="新宋体"/>
          <w:color w:val="auto"/>
          <w:szCs w:val="21"/>
          <w:highlight w:val="none"/>
          <w:u w:val="single"/>
        </w:rPr>
        <w:t xml:space="preserve">） </w:t>
      </w:r>
      <w:r>
        <w:rPr>
          <w:rFonts w:hint="eastAsia" w:ascii="新宋体" w:hAnsi="新宋体" w:eastAsia="新宋体" w:cs="新宋体"/>
          <w:color w:val="auto"/>
          <w:szCs w:val="21"/>
          <w:highlight w:val="none"/>
        </w:rPr>
        <w:t>（工程全称）签订工程质量保修书。</w:t>
      </w:r>
    </w:p>
    <w:p>
      <w:pPr>
        <w:spacing w:line="400" w:lineRule="atLeast"/>
        <w:ind w:firstLine="422" w:firstLineChars="200"/>
        <w:rPr>
          <w:rFonts w:ascii="新宋体" w:hAnsi="新宋体" w:eastAsia="新宋体" w:cs="新宋体"/>
          <w:color w:val="auto"/>
          <w:szCs w:val="21"/>
          <w:highlight w:val="none"/>
        </w:rPr>
      </w:pPr>
      <w:r>
        <w:rPr>
          <w:rFonts w:hint="eastAsia" w:ascii="新宋体" w:hAnsi="新宋体" w:eastAsia="新宋体" w:cs="新宋体"/>
          <w:b/>
          <w:color w:val="auto"/>
          <w:szCs w:val="21"/>
          <w:highlight w:val="none"/>
        </w:rPr>
        <w:t>一、工程质量保修范围和内容</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分包人在质量保修期内，按照有关法律规定和合同约定，承担工程质量保修责任。</w:t>
      </w:r>
    </w:p>
    <w:p>
      <w:pPr>
        <w:spacing w:line="400" w:lineRule="atLeast"/>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质量保修范围包括地基基础工程、主体结构工程，屋面防水工程、有防水要求的卫生间、房间和外墙面</w:t>
      </w:r>
      <w:r>
        <w:rPr>
          <w:rFonts w:hint="eastAsia" w:ascii="Times New Roman" w:hAnsi="Times New Roman" w:eastAsia="宋体" w:cs="Times New Roman"/>
          <w:color w:val="auto"/>
          <w:szCs w:val="21"/>
          <w:highlight w:val="none"/>
        </w:rPr>
        <w:t>、</w:t>
      </w:r>
      <w:r>
        <w:rPr>
          <w:rFonts w:ascii="Times New Roman" w:hAnsi="宋体" w:eastAsia="宋体" w:cs="Times New Roman"/>
          <w:color w:val="auto"/>
          <w:szCs w:val="21"/>
          <w:highlight w:val="none"/>
        </w:rPr>
        <w:t>地下室、门窗框</w:t>
      </w:r>
      <w:r>
        <w:rPr>
          <w:rFonts w:ascii="Times New Roman" w:hAnsi="Times New Roman" w:eastAsia="宋体" w:cs="Times New Roman"/>
          <w:color w:val="auto"/>
          <w:szCs w:val="21"/>
          <w:highlight w:val="none"/>
        </w:rPr>
        <w:t>的防渗漏，供热与供冷系统，电气管线、给排水管道、设备安装和装修工程，以及双方约定的其他项目。具体保修的内容，双方约定如下：</w:t>
      </w:r>
      <w:r>
        <w:rPr>
          <w:rFonts w:hint="eastAsia" w:ascii="宋体" w:hAnsi="宋体" w:eastAsia="宋体" w:cs="Times New Roman"/>
          <w:bCs/>
          <w:color w:val="auto"/>
          <w:highlight w:val="none"/>
          <w:u w:val="single"/>
        </w:rPr>
        <w:t>本工程合同范围内的所有工程</w:t>
      </w:r>
      <w:r>
        <w:rPr>
          <w:rFonts w:ascii="Times New Roman" w:hAnsi="Times New Roman" w:eastAsia="宋体" w:cs="Times New Roman"/>
          <w:color w:val="auto"/>
          <w:szCs w:val="21"/>
          <w:highlight w:val="none"/>
        </w:rPr>
        <w:t>。</w:t>
      </w:r>
    </w:p>
    <w:p>
      <w:pPr>
        <w:spacing w:line="400" w:lineRule="atLeast"/>
        <w:ind w:firstLine="422" w:firstLineChars="200"/>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二、质量保修期</w:t>
      </w:r>
    </w:p>
    <w:p>
      <w:pPr>
        <w:spacing w:line="400" w:lineRule="atLeast"/>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根据《建设工程质量管理条例》及有关规定，工程的质量保修期如下：</w:t>
      </w:r>
    </w:p>
    <w:p>
      <w:pPr>
        <w:spacing w:line="400" w:lineRule="atLeast"/>
        <w:ind w:firstLine="420" w:firstLineChars="200"/>
        <w:rPr>
          <w:rFonts w:ascii="Times New Roman" w:hAnsi="Times New Roman" w:eastAsia="宋体" w:cs="Times New Roman"/>
          <w:color w:val="auto"/>
          <w:szCs w:val="21"/>
          <w:highlight w:val="none"/>
        </w:rPr>
      </w:pPr>
      <w:r>
        <w:rPr>
          <w:rFonts w:hint="eastAsia" w:ascii="仿宋_GB2312" w:hAnsi="Times New Roman" w:eastAsia="宋体" w:cs="Times New Roman"/>
          <w:color w:val="auto"/>
          <w:szCs w:val="21"/>
          <w:highlight w:val="none"/>
        </w:rPr>
        <w:t>本合同范围内的全部工程为</w:t>
      </w:r>
      <w:r>
        <w:rPr>
          <w:rFonts w:hint="eastAsia" w:ascii="仿宋_GB2312" w:hAnsi="Times New Roman" w:eastAsia="宋体" w:cs="Times New Roman"/>
          <w:color w:val="auto"/>
          <w:szCs w:val="21"/>
          <w:highlight w:val="none"/>
          <w:u w:val="single"/>
        </w:rPr>
        <w:t xml:space="preserve"> </w:t>
      </w:r>
      <w:r>
        <w:rPr>
          <w:rFonts w:ascii="仿宋_GB2312" w:hAnsi="Times New Roman" w:eastAsia="宋体" w:cs="Times New Roman"/>
          <w:color w:val="auto"/>
          <w:szCs w:val="21"/>
          <w:highlight w:val="none"/>
          <w:u w:val="single"/>
        </w:rPr>
        <w:t>2</w:t>
      </w:r>
      <w:r>
        <w:rPr>
          <w:rFonts w:hint="eastAsia" w:ascii="仿宋_GB2312" w:hAnsi="Times New Roman" w:eastAsia="宋体" w:cs="Times New Roman"/>
          <w:color w:val="auto"/>
          <w:szCs w:val="21"/>
          <w:highlight w:val="none"/>
        </w:rPr>
        <w:t>年</w:t>
      </w:r>
      <w:r>
        <w:rPr>
          <w:rFonts w:hint="eastAsia" w:ascii="仿宋_GB2312" w:cs="Times New Roman"/>
          <w:color w:val="auto"/>
          <w:szCs w:val="21"/>
          <w:highlight w:val="none"/>
          <w:lang w:eastAsia="zh-CN"/>
        </w:rPr>
        <w:t>（</w:t>
      </w:r>
      <w:r>
        <w:rPr>
          <w:rFonts w:hint="eastAsia" w:ascii="仿宋_GB2312" w:cs="Times New Roman"/>
          <w:color w:val="auto"/>
          <w:szCs w:val="21"/>
          <w:highlight w:val="none"/>
          <w:lang w:val="en-US" w:eastAsia="zh-CN"/>
        </w:rPr>
        <w:t>以投标文件承诺为准</w:t>
      </w:r>
      <w:r>
        <w:rPr>
          <w:rFonts w:hint="eastAsia" w:ascii="仿宋_GB2312" w:cs="Times New Roman"/>
          <w:color w:val="auto"/>
          <w:szCs w:val="21"/>
          <w:highlight w:val="none"/>
          <w:lang w:eastAsia="zh-CN"/>
        </w:rPr>
        <w:t>）</w:t>
      </w:r>
      <w:r>
        <w:rPr>
          <w:rFonts w:hint="eastAsia" w:ascii="仿宋_GB2312" w:hAnsi="Times New Roman" w:eastAsia="宋体" w:cs="Times New Roman"/>
          <w:color w:val="auto"/>
          <w:szCs w:val="21"/>
          <w:highlight w:val="none"/>
        </w:rPr>
        <w:t>；</w:t>
      </w:r>
    </w:p>
    <w:p>
      <w:pPr>
        <w:spacing w:line="400" w:lineRule="atLeast"/>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质量保修期自工程竣工验收合格之日起计算。</w:t>
      </w:r>
    </w:p>
    <w:p>
      <w:pPr>
        <w:spacing w:line="400" w:lineRule="atLeast"/>
        <w:ind w:firstLine="422" w:firstLineChars="200"/>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三、缺陷责任期</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工程缺陷责任期为</w:t>
      </w:r>
      <w:r>
        <w:rPr>
          <w:rFonts w:hint="eastAsia" w:ascii="新宋体" w:hAnsi="新宋体" w:eastAsia="新宋体" w:cs="新宋体"/>
          <w:color w:val="auto"/>
          <w:szCs w:val="21"/>
          <w:highlight w:val="none"/>
          <w:u w:val="single"/>
        </w:rPr>
        <w:t xml:space="preserve">  24 </w:t>
      </w:r>
      <w:r>
        <w:rPr>
          <w:rFonts w:hint="eastAsia" w:ascii="新宋体" w:hAnsi="新宋体" w:eastAsia="新宋体" w:cs="新宋体"/>
          <w:color w:val="auto"/>
          <w:szCs w:val="21"/>
          <w:highlight w:val="none"/>
        </w:rPr>
        <w:t>个月，缺陷责任期自工程竣工验收合格之日起计算。单位工程先于全部工程进行验收，单位工程缺陷责任期自单位工程验收合格之日起算。</w:t>
      </w:r>
    </w:p>
    <w:p>
      <w:pPr>
        <w:spacing w:line="400" w:lineRule="atLeast"/>
        <w:ind w:firstLine="422" w:firstLineChars="200"/>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四、质量保修责任</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1．属于保修范围、内容的项目，分包人应当在接到保修通知之日起7天内派人保修。分包人不在约定期限内派人保修的，发包人可以委托他人修理。</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2．发生紧急事故需抢修的，分包人在接到事故通知后，应当立即到达事故现场抢修。</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分包人实施保修。</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4．质量保修完成后，由发包人组织验收。</w:t>
      </w:r>
    </w:p>
    <w:p>
      <w:pPr>
        <w:spacing w:line="400" w:lineRule="atLeast"/>
        <w:ind w:firstLine="422" w:firstLineChars="200"/>
        <w:rPr>
          <w:rFonts w:ascii="新宋体" w:hAnsi="新宋体" w:eastAsia="新宋体" w:cs="新宋体"/>
          <w:color w:val="auto"/>
          <w:szCs w:val="21"/>
          <w:highlight w:val="none"/>
        </w:rPr>
      </w:pPr>
      <w:r>
        <w:rPr>
          <w:rFonts w:hint="eastAsia" w:ascii="新宋体" w:hAnsi="新宋体" w:eastAsia="新宋体" w:cs="新宋体"/>
          <w:b/>
          <w:color w:val="auto"/>
          <w:szCs w:val="21"/>
          <w:highlight w:val="none"/>
        </w:rPr>
        <w:t>五、保修费用</w:t>
      </w:r>
    </w:p>
    <w:p>
      <w:pPr>
        <w:spacing w:line="400" w:lineRule="atLeas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保修费用由造成质量缺陷的责任方承担。</w:t>
      </w:r>
    </w:p>
    <w:p>
      <w:pPr>
        <w:spacing w:line="400" w:lineRule="atLeast"/>
        <w:ind w:firstLine="422" w:firstLineChars="200"/>
        <w:rPr>
          <w:rFonts w:ascii="Times New Roman" w:hAnsi="Times New Roman" w:eastAsia="宋体" w:cs="Times New Roman"/>
          <w:color w:val="auto"/>
          <w:szCs w:val="21"/>
          <w:highlight w:val="none"/>
        </w:rPr>
      </w:pPr>
      <w:r>
        <w:rPr>
          <w:rFonts w:hint="eastAsia" w:ascii="新宋体" w:hAnsi="新宋体" w:eastAsia="新宋体" w:cs="新宋体"/>
          <w:b/>
          <w:color w:val="auto"/>
          <w:szCs w:val="21"/>
          <w:highlight w:val="none"/>
        </w:rPr>
        <w:t>六、双方约定的其他工程质量保修事项：</w:t>
      </w:r>
      <w:r>
        <w:rPr>
          <w:rFonts w:hint="eastAsia" w:ascii="新宋体" w:hAnsi="新宋体" w:eastAsia="新宋体" w:cs="新宋体"/>
          <w:b/>
          <w:color w:val="auto"/>
          <w:szCs w:val="21"/>
          <w:highlight w:val="none"/>
          <w:u w:val="single"/>
          <w:lang w:val="en-US" w:eastAsia="zh-CN"/>
        </w:rPr>
        <w:t xml:space="preserve"> / </w:t>
      </w:r>
      <w:r>
        <w:rPr>
          <w:rFonts w:hint="eastAsia" w:ascii="新宋体" w:hAnsi="新宋体" w:eastAsia="新宋体" w:cs="新宋体"/>
          <w:color w:val="auto"/>
          <w:szCs w:val="21"/>
          <w:highlight w:val="none"/>
        </w:rPr>
        <w:t>。</w:t>
      </w:r>
    </w:p>
    <w:p>
      <w:pPr>
        <w:spacing w:line="400" w:lineRule="atLeast"/>
        <w:ind w:firstLine="399" w:firstLineChars="19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工程质量保修书由发包人、</w:t>
      </w:r>
      <w:r>
        <w:rPr>
          <w:rFonts w:hint="eastAsia" w:ascii="Times New Roman" w:hAnsi="Times New Roman" w:eastAsia="宋体" w:cs="Times New Roman"/>
          <w:color w:val="auto"/>
          <w:szCs w:val="21"/>
          <w:highlight w:val="none"/>
        </w:rPr>
        <w:t>分包人</w:t>
      </w:r>
      <w:r>
        <w:rPr>
          <w:rFonts w:ascii="Times New Roman" w:hAnsi="Times New Roman" w:eastAsia="宋体" w:cs="Times New Roman"/>
          <w:color w:val="auto"/>
          <w:szCs w:val="21"/>
          <w:highlight w:val="none"/>
        </w:rPr>
        <w:t>在工程竣工验收前共同签署，作为施工合同附件，其有效期限至保修期满。</w:t>
      </w:r>
    </w:p>
    <w:p>
      <w:pPr>
        <w:spacing w:line="400" w:lineRule="atLeast"/>
        <w:ind w:firstLine="420" w:firstLineChars="200"/>
        <w:rPr>
          <w:rFonts w:ascii="宋体" w:hAnsi="宋体" w:eastAsia="宋体" w:cs="Times New Roman"/>
          <w:color w:val="auto"/>
          <w:szCs w:val="21"/>
          <w:highlight w:val="none"/>
        </w:rPr>
      </w:pPr>
    </w:p>
    <w:p>
      <w:pPr>
        <w:spacing w:line="400" w:lineRule="atLeast"/>
        <w:ind w:firstLine="420" w:firstLineChars="200"/>
        <w:rPr>
          <w:rFonts w:ascii="宋体" w:hAnsi="宋体" w:eastAsia="宋体" w:cs="Times New Roman"/>
          <w:color w:val="auto"/>
          <w:szCs w:val="21"/>
          <w:highlight w:val="none"/>
          <w:u w:val="single"/>
        </w:rPr>
      </w:pPr>
      <w:r>
        <w:rPr>
          <w:rFonts w:ascii="宋体" w:hAnsi="宋体" w:eastAsia="宋体" w:cs="Times New Roman"/>
          <w:color w:val="auto"/>
          <w:szCs w:val="21"/>
          <w:highlight w:val="none"/>
        </w:rPr>
        <w:t>发包人(公章)：</w:t>
      </w:r>
      <w:r>
        <w:rPr>
          <w:rFonts w:hint="eastAsia" w:ascii="宋体" w:hAnsi="宋体" w:eastAsia="宋体" w:cs="Times New Roman"/>
          <w:color w:val="auto"/>
          <w:szCs w:val="21"/>
          <w:highlight w:val="none"/>
        </w:rPr>
        <w:t xml:space="preserve">                                分包人</w:t>
      </w:r>
      <w:r>
        <w:rPr>
          <w:rFonts w:ascii="宋体" w:hAnsi="宋体" w:eastAsia="宋体" w:cs="Times New Roman"/>
          <w:color w:val="auto"/>
          <w:szCs w:val="21"/>
          <w:highlight w:val="none"/>
        </w:rPr>
        <w:t>(公章)：</w:t>
      </w:r>
    </w:p>
    <w:p>
      <w:pPr>
        <w:spacing w:line="400" w:lineRule="atLeas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地  址：</w:t>
      </w:r>
      <w:r>
        <w:rPr>
          <w:rFonts w:hint="eastAsia" w:ascii="宋体" w:hAnsi="宋体" w:eastAsia="宋体" w:cs="Times New Roman"/>
          <w:color w:val="auto"/>
          <w:szCs w:val="21"/>
          <w:highlight w:val="none"/>
        </w:rPr>
        <w:t xml:space="preserve">                                      </w:t>
      </w:r>
      <w:r>
        <w:rPr>
          <w:rFonts w:ascii="宋体" w:hAnsi="宋体" w:eastAsia="宋体" w:cs="Times New Roman"/>
          <w:color w:val="auto"/>
          <w:szCs w:val="21"/>
          <w:highlight w:val="none"/>
        </w:rPr>
        <w:t>地  址：</w:t>
      </w:r>
    </w:p>
    <w:p>
      <w:pPr>
        <w:spacing w:line="400" w:lineRule="atLeas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法定代表人(签字)：</w:t>
      </w:r>
      <w:r>
        <w:rPr>
          <w:rFonts w:hint="eastAsia" w:ascii="宋体" w:hAnsi="宋体" w:eastAsia="宋体" w:cs="Times New Roman"/>
          <w:color w:val="auto"/>
          <w:szCs w:val="21"/>
          <w:highlight w:val="none"/>
        </w:rPr>
        <w:t xml:space="preserve">                            </w:t>
      </w:r>
      <w:r>
        <w:rPr>
          <w:rFonts w:ascii="宋体" w:hAnsi="宋体" w:eastAsia="宋体" w:cs="Times New Roman"/>
          <w:color w:val="auto"/>
          <w:szCs w:val="21"/>
          <w:highlight w:val="none"/>
        </w:rPr>
        <w:t>法定代表人(签字)：</w:t>
      </w:r>
    </w:p>
    <w:p>
      <w:pPr>
        <w:spacing w:line="400" w:lineRule="atLeas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或签约</w:t>
      </w:r>
      <w:r>
        <w:rPr>
          <w:rFonts w:ascii="宋体" w:hAnsi="宋体" w:eastAsia="宋体" w:cs="Times New Roman"/>
          <w:color w:val="auto"/>
          <w:szCs w:val="21"/>
          <w:highlight w:val="none"/>
        </w:rPr>
        <w:t>代理人(签字)：</w:t>
      </w:r>
      <w:r>
        <w:rPr>
          <w:rFonts w:hint="eastAsia" w:ascii="宋体" w:hAnsi="宋体" w:eastAsia="宋体" w:cs="Times New Roman"/>
          <w:color w:val="auto"/>
          <w:szCs w:val="21"/>
          <w:highlight w:val="none"/>
        </w:rPr>
        <w:t xml:space="preserve">                          或签约</w:t>
      </w:r>
      <w:r>
        <w:rPr>
          <w:rFonts w:ascii="宋体" w:hAnsi="宋体" w:eastAsia="宋体" w:cs="Times New Roman"/>
          <w:color w:val="auto"/>
          <w:szCs w:val="21"/>
          <w:highlight w:val="none"/>
        </w:rPr>
        <w:t>代理人(签字)：</w:t>
      </w:r>
    </w:p>
    <w:p>
      <w:pPr>
        <w:spacing w:line="400" w:lineRule="atLeas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电  话：</w:t>
      </w:r>
      <w:r>
        <w:rPr>
          <w:rFonts w:hint="eastAsia" w:ascii="宋体" w:hAnsi="宋体" w:eastAsia="宋体" w:cs="Times New Roman"/>
          <w:color w:val="auto"/>
          <w:szCs w:val="21"/>
          <w:highlight w:val="none"/>
        </w:rPr>
        <w:t xml:space="preserve">                                      </w:t>
      </w:r>
      <w:r>
        <w:rPr>
          <w:rFonts w:ascii="宋体" w:hAnsi="宋体" w:eastAsia="宋体" w:cs="Times New Roman"/>
          <w:color w:val="auto"/>
          <w:szCs w:val="21"/>
          <w:highlight w:val="none"/>
        </w:rPr>
        <w:t>电  话：</w:t>
      </w:r>
    </w:p>
    <w:p>
      <w:pPr>
        <w:spacing w:line="400" w:lineRule="atLeas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传  真：</w:t>
      </w:r>
      <w:r>
        <w:rPr>
          <w:rFonts w:hint="eastAsia" w:ascii="宋体" w:hAnsi="宋体" w:eastAsia="宋体" w:cs="Times New Roman"/>
          <w:color w:val="auto"/>
          <w:szCs w:val="21"/>
          <w:highlight w:val="none"/>
        </w:rPr>
        <w:t xml:space="preserve">                                      </w:t>
      </w:r>
      <w:r>
        <w:rPr>
          <w:rFonts w:ascii="宋体" w:hAnsi="宋体" w:eastAsia="宋体" w:cs="Times New Roman"/>
          <w:color w:val="auto"/>
          <w:szCs w:val="21"/>
          <w:highlight w:val="none"/>
        </w:rPr>
        <w:t>传  真：</w:t>
      </w:r>
    </w:p>
    <w:p>
      <w:pPr>
        <w:spacing w:line="400" w:lineRule="atLeas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开户银行：</w:t>
      </w:r>
      <w:r>
        <w:rPr>
          <w:rFonts w:hint="eastAsia" w:ascii="宋体" w:hAnsi="宋体" w:eastAsia="宋体" w:cs="Times New Roman"/>
          <w:color w:val="auto"/>
          <w:szCs w:val="21"/>
          <w:highlight w:val="none"/>
        </w:rPr>
        <w:t xml:space="preserve">                                    </w:t>
      </w:r>
      <w:r>
        <w:rPr>
          <w:rFonts w:ascii="宋体" w:hAnsi="宋体" w:eastAsia="宋体" w:cs="Times New Roman"/>
          <w:color w:val="auto"/>
          <w:szCs w:val="21"/>
          <w:highlight w:val="none"/>
        </w:rPr>
        <w:t>开户银行：</w:t>
      </w:r>
    </w:p>
    <w:p>
      <w:pPr>
        <w:spacing w:line="400" w:lineRule="atLeast"/>
        <w:ind w:firstLine="420" w:firstLineChars="200"/>
        <w:rPr>
          <w:rFonts w:ascii="宋体" w:hAnsi="宋体" w:eastAsia="宋体" w:cs="Times New Roman"/>
          <w:color w:val="auto"/>
          <w:szCs w:val="21"/>
          <w:highlight w:val="none"/>
          <w:u w:val="single"/>
        </w:rPr>
      </w:pPr>
      <w:r>
        <w:rPr>
          <w:rFonts w:ascii="宋体" w:hAnsi="宋体" w:eastAsia="宋体" w:cs="Times New Roman"/>
          <w:color w:val="auto"/>
          <w:szCs w:val="21"/>
          <w:highlight w:val="none"/>
        </w:rPr>
        <w:t>账  号：</w:t>
      </w:r>
      <w:r>
        <w:rPr>
          <w:rFonts w:hint="eastAsia" w:ascii="宋体" w:hAnsi="宋体" w:eastAsia="宋体" w:cs="Times New Roman"/>
          <w:color w:val="auto"/>
          <w:szCs w:val="21"/>
          <w:highlight w:val="none"/>
        </w:rPr>
        <w:t xml:space="preserve">                                      </w:t>
      </w:r>
      <w:r>
        <w:rPr>
          <w:rFonts w:ascii="宋体" w:hAnsi="宋体" w:eastAsia="宋体" w:cs="Times New Roman"/>
          <w:color w:val="auto"/>
          <w:szCs w:val="21"/>
          <w:highlight w:val="none"/>
        </w:rPr>
        <w:t>账 号：</w:t>
      </w:r>
    </w:p>
    <w:p>
      <w:pPr>
        <w:spacing w:line="400" w:lineRule="atLeast"/>
        <w:ind w:firstLine="420" w:firstLineChars="200"/>
        <w:rPr>
          <w:rFonts w:ascii="宋体" w:hAnsi="宋体"/>
          <w:szCs w:val="21"/>
        </w:rPr>
      </w:pPr>
      <w:r>
        <w:rPr>
          <w:rFonts w:ascii="宋体" w:hAnsi="宋体" w:eastAsia="宋体" w:cs="Times New Roman"/>
          <w:color w:val="auto"/>
          <w:szCs w:val="21"/>
          <w:highlight w:val="none"/>
        </w:rPr>
        <w:t>邮政编码：</w:t>
      </w:r>
      <w:r>
        <w:rPr>
          <w:rFonts w:hint="eastAsia" w:ascii="宋体" w:hAnsi="宋体" w:eastAsia="宋体" w:cs="Times New Roman"/>
          <w:color w:val="auto"/>
          <w:szCs w:val="21"/>
          <w:highlight w:val="none"/>
        </w:rPr>
        <w:t xml:space="preserve">                                    </w:t>
      </w:r>
      <w:r>
        <w:rPr>
          <w:rFonts w:ascii="宋体" w:hAnsi="宋体" w:eastAsia="宋体" w:cs="Times New Roman"/>
          <w:color w:val="auto"/>
          <w:szCs w:val="21"/>
          <w:highlight w:val="none"/>
        </w:rPr>
        <w:t>邮政编码：</w:t>
      </w:r>
    </w:p>
    <w:p>
      <w:pPr>
        <w:adjustRightInd w:val="0"/>
        <w:spacing w:line="400" w:lineRule="exact"/>
        <w:jc w:val="center"/>
        <w:outlineLvl w:val="1"/>
        <w:rPr>
          <w:rFonts w:ascii="宋体" w:hAnsi="宋体"/>
          <w:sz w:val="24"/>
        </w:rPr>
      </w:pPr>
      <w:r>
        <w:rPr>
          <w:rFonts w:ascii="宋体" w:hAnsi="宋体"/>
          <w:b/>
          <w:szCs w:val="21"/>
        </w:rPr>
        <w:br w:type="page"/>
      </w:r>
      <w:bookmarkEnd w:id="371"/>
      <w:bookmarkStart w:id="888" w:name="_Toc283976552"/>
      <w:bookmarkStart w:id="889" w:name="_Toc12970"/>
      <w:bookmarkStart w:id="890" w:name="_Toc15955"/>
      <w:bookmarkStart w:id="891" w:name="_Toc26049"/>
      <w:bookmarkStart w:id="892" w:name="_Toc6322_WPSOffice_Level2"/>
      <w:bookmarkStart w:id="893" w:name="_Toc13646"/>
      <w:bookmarkStart w:id="894" w:name="_Toc10491_WPSOffice_Level2"/>
      <w:bookmarkStart w:id="895" w:name="_Toc3156"/>
      <w:bookmarkStart w:id="896" w:name="_Toc283886261"/>
      <w:bookmarkStart w:id="897" w:name="_Toc4473"/>
      <w:bookmarkStart w:id="898" w:name="_Toc394573948"/>
      <w:bookmarkStart w:id="899" w:name="_Toc11423"/>
      <w:bookmarkStart w:id="900" w:name="_Toc5978"/>
      <w:bookmarkStart w:id="901" w:name="_Toc282596316"/>
      <w:bookmarkStart w:id="902" w:name="_Toc422838149"/>
      <w:r>
        <w:rPr>
          <w:rFonts w:hint="eastAsia" w:ascii="宋体" w:hAnsi="宋体" w:cs="宋体"/>
          <w:b/>
          <w:bCs/>
          <w:sz w:val="32"/>
          <w:szCs w:val="32"/>
        </w:rPr>
        <w:t>第四部分  重点建设项目廉政责任书</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autoSpaceDE w:val="0"/>
        <w:autoSpaceDN w:val="0"/>
        <w:spacing w:line="400" w:lineRule="exact"/>
        <w:ind w:firstLine="482"/>
        <w:rPr>
          <w:rFonts w:ascii="宋体" w:hAnsi="宋体"/>
          <w:szCs w:val="21"/>
        </w:rPr>
      </w:pPr>
      <w:r>
        <w:rPr>
          <w:rFonts w:hint="eastAsia" w:ascii="宋体" w:hAnsi="宋体"/>
          <w:szCs w:val="21"/>
        </w:rPr>
        <w:t>工程项目名称：</w:t>
      </w:r>
      <w:r>
        <w:rPr>
          <w:rFonts w:hint="eastAsia" w:ascii="宋体" w:hAnsi="宋体"/>
          <w:szCs w:val="21"/>
          <w:u w:val="single"/>
        </w:rPr>
        <w:t>绿色药都产业园配套设施提升工程（北区）（</w:t>
      </w:r>
      <w:r>
        <w:rPr>
          <w:rFonts w:hint="eastAsia" w:ascii="宋体" w:hAnsi="宋体"/>
          <w:szCs w:val="21"/>
          <w:u w:val="single"/>
          <w:lang w:eastAsia="zh-CN"/>
        </w:rPr>
        <w:t>亮化工程</w:t>
      </w:r>
      <w:r>
        <w:rPr>
          <w:rFonts w:hint="eastAsia" w:ascii="宋体" w:hAnsi="宋体"/>
          <w:szCs w:val="21"/>
          <w:u w:val="single"/>
        </w:rPr>
        <w:t xml:space="preserve">） </w:t>
      </w:r>
    </w:p>
    <w:p>
      <w:pPr>
        <w:autoSpaceDE w:val="0"/>
        <w:autoSpaceDN w:val="0"/>
        <w:spacing w:line="400" w:lineRule="exact"/>
        <w:ind w:firstLine="482"/>
        <w:rPr>
          <w:rFonts w:ascii="宋体" w:hAnsi="宋体"/>
          <w:szCs w:val="21"/>
          <w:u w:val="single"/>
        </w:rPr>
      </w:pPr>
      <w:r>
        <w:rPr>
          <w:rFonts w:hint="eastAsia" w:ascii="宋体" w:hAnsi="宋体"/>
          <w:szCs w:val="21"/>
        </w:rPr>
        <w:t>工程项目地址：</w:t>
      </w:r>
      <w:r>
        <w:rPr>
          <w:rFonts w:hint="eastAsia" w:ascii="宋体" w:hAnsi="宋体"/>
          <w:szCs w:val="21"/>
          <w:u w:val="single"/>
        </w:rPr>
        <w:t>台州市椒江区海门街道，枫南东路以南，四塘路以东，规划路以北，五塘北路以西。</w:t>
      </w:r>
    </w:p>
    <w:p>
      <w:pPr>
        <w:autoSpaceDE w:val="0"/>
        <w:autoSpaceDN w:val="0"/>
        <w:spacing w:line="400" w:lineRule="exact"/>
        <w:ind w:firstLine="482"/>
        <w:rPr>
          <w:rFonts w:ascii="宋体" w:hAnsi="宋体"/>
          <w:szCs w:val="21"/>
        </w:rPr>
      </w:pPr>
      <w:r>
        <w:rPr>
          <w:rFonts w:hint="eastAsia" w:ascii="宋体" w:hAnsi="宋体"/>
          <w:szCs w:val="21"/>
        </w:rPr>
        <w:t>建设单位（甲方）：</w:t>
      </w:r>
      <w:r>
        <w:rPr>
          <w:rFonts w:hint="eastAsia" w:ascii="宋体" w:hAnsi="宋体"/>
          <w:szCs w:val="21"/>
          <w:u w:val="single"/>
        </w:rPr>
        <w:t xml:space="preserve">台州市椒江城市发展投资集团有限公司  </w:t>
      </w:r>
    </w:p>
    <w:p>
      <w:pPr>
        <w:autoSpaceDE w:val="0"/>
        <w:autoSpaceDN w:val="0"/>
        <w:spacing w:line="400" w:lineRule="exact"/>
        <w:ind w:firstLine="482"/>
        <w:rPr>
          <w:rFonts w:ascii="宋体" w:hAnsi="宋体"/>
          <w:szCs w:val="21"/>
        </w:rPr>
      </w:pPr>
      <w:r>
        <w:rPr>
          <w:rFonts w:hint="eastAsia" w:ascii="宋体" w:hAnsi="宋体"/>
          <w:szCs w:val="21"/>
        </w:rPr>
        <w:t>施工单位（乙方）：</w:t>
      </w:r>
    </w:p>
    <w:p>
      <w:pPr>
        <w:autoSpaceDE w:val="0"/>
        <w:autoSpaceDN w:val="0"/>
        <w:spacing w:line="400" w:lineRule="exact"/>
        <w:ind w:firstLine="482"/>
        <w:rPr>
          <w:rFonts w:ascii="宋体" w:hAnsi="宋体"/>
          <w:szCs w:val="21"/>
        </w:rPr>
      </w:pPr>
      <w:r>
        <w:rPr>
          <w:rFonts w:hint="eastAsia" w:ascii="宋体" w:hAnsi="宋体"/>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400" w:lineRule="exact"/>
        <w:rPr>
          <w:rFonts w:ascii="宋体" w:hAnsi="宋体"/>
          <w:szCs w:val="21"/>
        </w:rPr>
      </w:pPr>
      <w:r>
        <w:rPr>
          <w:rFonts w:hint="eastAsia" w:ascii="宋体" w:hAnsi="宋体"/>
          <w:szCs w:val="21"/>
        </w:rPr>
        <w:t>　　第一条 甲乙双方的责任</w:t>
      </w:r>
    </w:p>
    <w:p>
      <w:pPr>
        <w:spacing w:line="400" w:lineRule="exact"/>
        <w:jc w:val="left"/>
        <w:rPr>
          <w:rFonts w:ascii="宋体" w:hAnsi="宋体"/>
          <w:szCs w:val="21"/>
        </w:rPr>
      </w:pPr>
      <w:r>
        <w:rPr>
          <w:rFonts w:hint="eastAsia" w:ascii="宋体" w:hAnsi="宋体"/>
          <w:szCs w:val="21"/>
        </w:rPr>
        <w:t>　　（一）应严格遵守国家关于市场准入、项目招标投标、工程建设、施工安装和市场活动等有关法律、法规，相关政策，以及廉政建设的各项规定。</w:t>
      </w:r>
    </w:p>
    <w:p>
      <w:pPr>
        <w:autoSpaceDE w:val="0"/>
        <w:autoSpaceDN w:val="0"/>
        <w:spacing w:line="400" w:lineRule="exact"/>
        <w:rPr>
          <w:rFonts w:ascii="宋体" w:hAnsi="宋体"/>
          <w:szCs w:val="21"/>
        </w:rPr>
      </w:pPr>
      <w:r>
        <w:rPr>
          <w:rFonts w:hint="eastAsia" w:ascii="宋体" w:hAnsi="宋体"/>
          <w:szCs w:val="21"/>
        </w:rPr>
        <w:t>　　（二）严格执行重点建设项目承发包合同文件，自觉按合同办事。</w:t>
      </w:r>
    </w:p>
    <w:p>
      <w:pPr>
        <w:spacing w:line="400" w:lineRule="exact"/>
        <w:rPr>
          <w:rFonts w:ascii="宋体" w:hAnsi="宋体"/>
          <w:szCs w:val="21"/>
        </w:rPr>
      </w:pPr>
      <w:r>
        <w:rPr>
          <w:rFonts w:hint="eastAsia" w:ascii="宋体" w:hAnsi="宋体"/>
          <w:szCs w:val="21"/>
        </w:rPr>
        <w:t>　　（三）业务活动必须坚持公开、公平、公正、诚信、透明的原则（除法律法规另有规定者外），不得为获取不正当的利益，损害国家、集体和对方利益，不得违反工程建设管理、施工安装的规章制度。</w:t>
      </w:r>
    </w:p>
    <w:p>
      <w:pPr>
        <w:spacing w:line="400" w:lineRule="exact"/>
        <w:jc w:val="left"/>
        <w:rPr>
          <w:rFonts w:ascii="宋体" w:hAnsi="宋体"/>
          <w:szCs w:val="21"/>
        </w:rPr>
      </w:pPr>
      <w:r>
        <w:rPr>
          <w:rFonts w:hint="eastAsia" w:ascii="宋体" w:hAnsi="宋体"/>
          <w:szCs w:val="21"/>
        </w:rPr>
        <w:t>　　（四）发现对方在业务活动中有违规、违纪、违法行为的，应及时提醒对方，情节严重的，应向其上级主管部门或纪检监察、司法等有关机关举报。</w:t>
      </w:r>
    </w:p>
    <w:p>
      <w:pPr>
        <w:autoSpaceDE w:val="0"/>
        <w:autoSpaceDN w:val="0"/>
        <w:spacing w:line="400" w:lineRule="exact"/>
        <w:rPr>
          <w:rFonts w:ascii="宋体" w:hAnsi="宋体"/>
          <w:szCs w:val="21"/>
        </w:rPr>
      </w:pPr>
      <w:r>
        <w:rPr>
          <w:rFonts w:hint="eastAsia" w:ascii="宋体" w:hAnsi="宋体"/>
          <w:szCs w:val="21"/>
        </w:rPr>
        <w:t>　　第二条 甲方的责任</w:t>
      </w:r>
    </w:p>
    <w:p>
      <w:pPr>
        <w:autoSpaceDE w:val="0"/>
        <w:autoSpaceDN w:val="0"/>
        <w:spacing w:line="400" w:lineRule="exact"/>
        <w:rPr>
          <w:rFonts w:ascii="宋体" w:hAnsi="宋体"/>
          <w:szCs w:val="21"/>
        </w:rPr>
      </w:pPr>
      <w:r>
        <w:rPr>
          <w:rFonts w:hint="eastAsia" w:ascii="宋体" w:hAnsi="宋体"/>
          <w:szCs w:val="21"/>
        </w:rPr>
        <w:t>　　甲方的领导和从事该建设工程项目的工作人员，在工程建设的事前、事中、事后应遵守以下规定：</w:t>
      </w:r>
    </w:p>
    <w:p>
      <w:pPr>
        <w:autoSpaceDE w:val="0"/>
        <w:autoSpaceDN w:val="0"/>
        <w:spacing w:line="400" w:lineRule="exact"/>
        <w:rPr>
          <w:rFonts w:ascii="宋体" w:hAnsi="宋体"/>
          <w:szCs w:val="21"/>
        </w:rPr>
      </w:pPr>
      <w:r>
        <w:rPr>
          <w:rFonts w:hint="eastAsia" w:ascii="宋体" w:hAnsi="宋体"/>
          <w:szCs w:val="21"/>
        </w:rPr>
        <w:t>　　（一）不准向乙方和相关单位索要或接受回扣、礼金、有价证券、贵重物品和好处费、感谢费等。</w:t>
      </w:r>
    </w:p>
    <w:p>
      <w:pPr>
        <w:autoSpaceDE w:val="0"/>
        <w:autoSpaceDN w:val="0"/>
        <w:spacing w:line="400" w:lineRule="exact"/>
        <w:rPr>
          <w:rFonts w:ascii="宋体" w:hAnsi="宋体"/>
          <w:szCs w:val="21"/>
        </w:rPr>
      </w:pPr>
      <w:r>
        <w:rPr>
          <w:rFonts w:hint="eastAsia" w:ascii="宋体" w:hAnsi="宋体"/>
          <w:szCs w:val="21"/>
        </w:rPr>
        <w:t>　　（二）不准在乙方和相关单位报销任何应由甲方或个人支付的费用。</w:t>
      </w:r>
    </w:p>
    <w:p>
      <w:pPr>
        <w:spacing w:line="400" w:lineRule="exact"/>
        <w:jc w:val="left"/>
        <w:rPr>
          <w:rFonts w:ascii="宋体" w:hAnsi="宋体"/>
          <w:szCs w:val="21"/>
        </w:rPr>
      </w:pPr>
      <w:r>
        <w:rPr>
          <w:rFonts w:hint="eastAsia" w:ascii="宋体" w:hAnsi="宋体"/>
          <w:szCs w:val="21"/>
        </w:rPr>
        <w:t>　　（三）不准要求、暗示和接受乙方和相关单位为个人装修住房、婚丧嫁娶、配偶子女的工作安排以及出国（境）、旅游等提供方便。</w:t>
      </w:r>
    </w:p>
    <w:p>
      <w:pPr>
        <w:autoSpaceDE w:val="0"/>
        <w:autoSpaceDN w:val="0"/>
        <w:spacing w:line="400" w:lineRule="exact"/>
        <w:rPr>
          <w:rFonts w:ascii="宋体" w:hAnsi="宋体"/>
          <w:szCs w:val="21"/>
        </w:rPr>
      </w:pPr>
      <w:r>
        <w:rPr>
          <w:rFonts w:hint="eastAsia" w:ascii="宋体" w:hAnsi="宋体"/>
          <w:szCs w:val="21"/>
        </w:rPr>
        <w:t>　　（四）不准参加有可能影响公正执行公务的乙方和相关单位的宴请和健身、娱乐等活动。</w:t>
      </w:r>
    </w:p>
    <w:p>
      <w:pPr>
        <w:spacing w:line="400" w:lineRule="exact"/>
        <w:jc w:val="left"/>
        <w:rPr>
          <w:rFonts w:ascii="宋体" w:hAnsi="宋体"/>
          <w:szCs w:val="21"/>
        </w:rPr>
      </w:pPr>
      <w:r>
        <w:rPr>
          <w:rFonts w:hint="eastAsia" w:ascii="宋体" w:hAnsi="宋体"/>
          <w:szCs w:val="21"/>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400" w:lineRule="exact"/>
        <w:rPr>
          <w:rFonts w:ascii="宋体" w:hAnsi="宋体"/>
          <w:szCs w:val="21"/>
        </w:rPr>
      </w:pPr>
      <w:r>
        <w:rPr>
          <w:rFonts w:hint="eastAsia" w:ascii="宋体" w:hAnsi="宋体"/>
          <w:szCs w:val="21"/>
        </w:rPr>
        <w:t>　　第三条 乙方的责任</w:t>
      </w:r>
    </w:p>
    <w:p>
      <w:pPr>
        <w:spacing w:line="400" w:lineRule="exact"/>
        <w:jc w:val="left"/>
        <w:rPr>
          <w:rFonts w:ascii="宋体" w:hAnsi="宋体"/>
          <w:szCs w:val="21"/>
        </w:rPr>
      </w:pPr>
      <w:r>
        <w:rPr>
          <w:rFonts w:hint="eastAsia" w:ascii="宋体" w:hAnsi="宋体"/>
          <w:szCs w:val="21"/>
        </w:rPr>
        <w:t>　　应与甲方保持正常的业务交往，按照有关法律法规和程序开展业务工作，严格执行工程建设的有关方针、政策，尤其是有关建筑施工安装的强制性标准和规范，并遵守以下规定：</w:t>
      </w:r>
    </w:p>
    <w:p>
      <w:pPr>
        <w:spacing w:line="400" w:lineRule="exact"/>
        <w:jc w:val="left"/>
        <w:rPr>
          <w:rFonts w:ascii="宋体" w:hAnsi="宋体"/>
          <w:szCs w:val="21"/>
        </w:rPr>
      </w:pPr>
      <w:r>
        <w:rPr>
          <w:rFonts w:hint="eastAsia" w:ascii="宋体" w:hAnsi="宋体"/>
          <w:szCs w:val="21"/>
        </w:rPr>
        <w:t>　　（一）不准以任何理由向甲方、相关单位及其工作人员索要、接受或赠送礼金、有价证券、贵重物品和回扣、好处费、感谢费等。</w:t>
      </w:r>
    </w:p>
    <w:p>
      <w:pPr>
        <w:autoSpaceDE w:val="0"/>
        <w:autoSpaceDN w:val="0"/>
        <w:spacing w:line="400" w:lineRule="exact"/>
        <w:rPr>
          <w:rFonts w:ascii="宋体" w:hAnsi="宋体"/>
          <w:szCs w:val="21"/>
        </w:rPr>
      </w:pPr>
      <w:r>
        <w:rPr>
          <w:rFonts w:hint="eastAsia" w:ascii="宋体" w:hAnsi="宋体"/>
          <w:szCs w:val="21"/>
        </w:rPr>
        <w:t>　　（二）不准以任何理由为甲方和相关单位报销应由对方或个人支付的费用。</w:t>
      </w:r>
    </w:p>
    <w:p>
      <w:pPr>
        <w:spacing w:line="400" w:lineRule="exact"/>
        <w:jc w:val="left"/>
        <w:rPr>
          <w:rFonts w:ascii="宋体" w:hAnsi="宋体"/>
          <w:szCs w:val="21"/>
        </w:rPr>
      </w:pPr>
      <w:r>
        <w:rPr>
          <w:rFonts w:hint="eastAsia" w:ascii="宋体" w:hAnsi="宋体"/>
          <w:szCs w:val="21"/>
        </w:rPr>
        <w:t>　　（三）不准接受或暗示为甲方、相关单位或个人装修住房、婚丧嫁娶、配偶子女的工作安排以及出国（境）、旅游等提供方便。</w:t>
      </w:r>
    </w:p>
    <w:p>
      <w:pPr>
        <w:spacing w:line="400" w:lineRule="exact"/>
        <w:jc w:val="left"/>
        <w:rPr>
          <w:rFonts w:ascii="宋体" w:hAnsi="宋体"/>
          <w:szCs w:val="21"/>
        </w:rPr>
      </w:pPr>
      <w:r>
        <w:rPr>
          <w:rFonts w:hint="eastAsia" w:ascii="宋体" w:hAnsi="宋体"/>
          <w:szCs w:val="21"/>
        </w:rPr>
        <w:t>　　（四）不准以任何理由为甲方、相关单位或个人组织有可能影响公正执行公务的宴请、健身、娱乐等活动。</w:t>
      </w:r>
    </w:p>
    <w:p>
      <w:pPr>
        <w:autoSpaceDE w:val="0"/>
        <w:autoSpaceDN w:val="0"/>
        <w:spacing w:line="400" w:lineRule="exact"/>
        <w:rPr>
          <w:rFonts w:ascii="宋体" w:hAnsi="宋体"/>
          <w:szCs w:val="21"/>
        </w:rPr>
      </w:pPr>
      <w:r>
        <w:rPr>
          <w:rFonts w:hint="eastAsia" w:ascii="宋体" w:hAnsi="宋体"/>
          <w:szCs w:val="21"/>
        </w:rPr>
        <w:t>　　第四条 违约责任</w:t>
      </w:r>
    </w:p>
    <w:p>
      <w:pPr>
        <w:spacing w:line="400" w:lineRule="exact"/>
        <w:jc w:val="left"/>
        <w:rPr>
          <w:rFonts w:ascii="宋体" w:hAnsi="宋体"/>
          <w:szCs w:val="21"/>
        </w:rPr>
      </w:pPr>
      <w:r>
        <w:rPr>
          <w:rFonts w:hint="eastAsia" w:ascii="宋体" w:hAnsi="宋体"/>
          <w:szCs w:val="21"/>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400" w:lineRule="exact"/>
        <w:jc w:val="left"/>
        <w:rPr>
          <w:rFonts w:ascii="宋体" w:hAnsi="宋体"/>
          <w:szCs w:val="21"/>
        </w:rPr>
      </w:pPr>
      <w:r>
        <w:rPr>
          <w:rFonts w:hint="eastAsia" w:ascii="宋体" w:hAnsi="宋体"/>
          <w:szCs w:val="21"/>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400" w:lineRule="exact"/>
        <w:rPr>
          <w:rFonts w:ascii="宋体" w:hAnsi="宋体"/>
          <w:szCs w:val="21"/>
        </w:rPr>
      </w:pPr>
      <w:r>
        <w:rPr>
          <w:rFonts w:hint="eastAsia" w:ascii="宋体" w:hAnsi="宋体"/>
          <w:szCs w:val="21"/>
        </w:rPr>
        <w:t>　　第五条 本责任书作为工程施工合同的附件，与工程施工合同具有同等法律效力。经双方签署后立即生效。</w:t>
      </w:r>
    </w:p>
    <w:p>
      <w:pPr>
        <w:autoSpaceDE w:val="0"/>
        <w:autoSpaceDN w:val="0"/>
        <w:spacing w:line="400" w:lineRule="exact"/>
        <w:rPr>
          <w:rFonts w:ascii="宋体" w:hAnsi="宋体"/>
          <w:szCs w:val="21"/>
        </w:rPr>
      </w:pPr>
      <w:r>
        <w:rPr>
          <w:rFonts w:hint="eastAsia" w:ascii="宋体" w:hAnsi="宋体"/>
          <w:szCs w:val="21"/>
        </w:rPr>
        <w:t>　　第六条 本责任书的有效期为双方签署之日起至该工程项目竣工验收合格时止。</w:t>
      </w:r>
    </w:p>
    <w:p>
      <w:pPr>
        <w:autoSpaceDE w:val="0"/>
        <w:autoSpaceDN w:val="0"/>
        <w:spacing w:line="400" w:lineRule="exact"/>
        <w:rPr>
          <w:rFonts w:ascii="宋体" w:hAnsi="宋体"/>
          <w:szCs w:val="21"/>
        </w:rPr>
      </w:pPr>
      <w:r>
        <w:rPr>
          <w:rFonts w:hint="eastAsia" w:ascii="宋体" w:hAnsi="宋体"/>
          <w:szCs w:val="21"/>
        </w:rPr>
        <w:t>　　第七条 本责任书一式四份，由甲乙双方各执一份，送交甲乙双方的监督单位各一份。</w:t>
      </w:r>
    </w:p>
    <w:p>
      <w:pPr>
        <w:autoSpaceDE w:val="0"/>
        <w:autoSpaceDN w:val="0"/>
        <w:spacing w:line="400" w:lineRule="exact"/>
        <w:ind w:firstLine="482"/>
        <w:rPr>
          <w:rFonts w:ascii="宋体" w:hAnsi="宋体"/>
          <w:szCs w:val="21"/>
        </w:rPr>
      </w:pPr>
    </w:p>
    <w:p>
      <w:pPr>
        <w:autoSpaceDE w:val="0"/>
        <w:autoSpaceDN w:val="0"/>
        <w:spacing w:line="400" w:lineRule="exact"/>
        <w:ind w:firstLine="482"/>
        <w:rPr>
          <w:rFonts w:ascii="宋体" w:hAnsi="宋体"/>
          <w:szCs w:val="21"/>
        </w:rPr>
      </w:pPr>
    </w:p>
    <w:p>
      <w:pPr>
        <w:autoSpaceDE w:val="0"/>
        <w:autoSpaceDN w:val="0"/>
        <w:spacing w:line="400" w:lineRule="exact"/>
        <w:ind w:firstLine="482"/>
        <w:rPr>
          <w:rFonts w:ascii="宋体" w:hAnsi="宋体"/>
          <w:szCs w:val="21"/>
        </w:rPr>
      </w:pPr>
      <w:r>
        <w:rPr>
          <w:rFonts w:hint="eastAsia" w:ascii="宋体" w:hAnsi="宋体"/>
          <w:szCs w:val="21"/>
        </w:rPr>
        <w:t>甲方单位：（盖章）　　　　　　　　            乙方单位：（盖章）</w:t>
      </w:r>
    </w:p>
    <w:p>
      <w:pPr>
        <w:autoSpaceDE w:val="0"/>
        <w:autoSpaceDN w:val="0"/>
        <w:spacing w:line="400" w:lineRule="exact"/>
        <w:ind w:firstLine="482"/>
        <w:rPr>
          <w:rFonts w:ascii="宋体" w:hAnsi="宋体"/>
          <w:szCs w:val="21"/>
        </w:rPr>
      </w:pPr>
      <w:r>
        <w:rPr>
          <w:rFonts w:hint="eastAsia" w:ascii="宋体" w:hAnsi="宋体"/>
          <w:szCs w:val="21"/>
        </w:rPr>
        <w:t>法定代表人：　　　　　　　　　                法定代表人：</w:t>
      </w:r>
    </w:p>
    <w:p>
      <w:pPr>
        <w:autoSpaceDE w:val="0"/>
        <w:autoSpaceDN w:val="0"/>
        <w:spacing w:line="400" w:lineRule="exact"/>
        <w:ind w:firstLine="482"/>
        <w:rPr>
          <w:rFonts w:hint="eastAsia" w:ascii="宋体" w:hAnsi="宋体"/>
          <w:szCs w:val="21"/>
        </w:rPr>
      </w:pPr>
      <w:r>
        <w:rPr>
          <w:rFonts w:hint="eastAsia" w:ascii="宋体" w:hAnsi="宋体"/>
          <w:szCs w:val="21"/>
        </w:rPr>
        <w:t>或其委托代理人：                              或其委托代理人：</w:t>
      </w:r>
    </w:p>
    <w:p>
      <w:pPr>
        <w:autoSpaceDE w:val="0"/>
        <w:autoSpaceDN w:val="0"/>
        <w:spacing w:line="400" w:lineRule="exact"/>
        <w:ind w:firstLine="482"/>
        <w:rPr>
          <w:rFonts w:ascii="宋体" w:hAnsi="宋体"/>
          <w:szCs w:val="21"/>
        </w:rPr>
      </w:pPr>
      <w:r>
        <w:rPr>
          <w:rFonts w:hint="eastAsia" w:ascii="宋体" w:hAnsi="宋体"/>
          <w:szCs w:val="21"/>
        </w:rPr>
        <w:t>地址：　　　　　　　　　　　　　              地址：</w:t>
      </w:r>
    </w:p>
    <w:p>
      <w:pPr>
        <w:autoSpaceDE w:val="0"/>
        <w:autoSpaceDN w:val="0"/>
        <w:spacing w:line="400" w:lineRule="exact"/>
        <w:ind w:firstLine="482"/>
        <w:rPr>
          <w:rFonts w:ascii="宋体" w:hAnsi="宋体"/>
          <w:szCs w:val="21"/>
        </w:rPr>
      </w:pPr>
      <w:r>
        <w:rPr>
          <w:rFonts w:hint="eastAsia" w:ascii="宋体" w:hAnsi="宋体"/>
          <w:szCs w:val="21"/>
        </w:rPr>
        <w:t>电话：　　　　　　　　　　　　　　　          电话：</w:t>
      </w:r>
    </w:p>
    <w:p>
      <w:pPr>
        <w:autoSpaceDE w:val="0"/>
        <w:autoSpaceDN w:val="0"/>
        <w:spacing w:line="400" w:lineRule="exact"/>
        <w:ind w:firstLine="482"/>
        <w:rPr>
          <w:rFonts w:ascii="宋体" w:hAnsi="宋体"/>
          <w:szCs w:val="21"/>
        </w:rPr>
      </w:pPr>
      <w:r>
        <w:rPr>
          <w:rFonts w:hint="eastAsia" w:ascii="宋体" w:hAnsi="宋体"/>
          <w:szCs w:val="21"/>
        </w:rPr>
        <w:t>年　月　日　　　　　　　　　　　　　          年　月　日</w:t>
      </w:r>
    </w:p>
    <w:p>
      <w:pPr>
        <w:adjustRightInd w:val="0"/>
        <w:spacing w:line="400" w:lineRule="exact"/>
        <w:jc w:val="center"/>
        <w:outlineLvl w:val="1"/>
        <w:rPr>
          <w:rFonts w:ascii="宋体" w:hAnsi="宋体" w:cs="宋体"/>
          <w:b/>
          <w:bCs/>
          <w:sz w:val="32"/>
          <w:szCs w:val="32"/>
        </w:rPr>
      </w:pPr>
      <w:r>
        <w:rPr>
          <w:rFonts w:hint="eastAsia" w:ascii="宋体" w:hAnsi="宋体"/>
          <w:szCs w:val="21"/>
        </w:rPr>
        <w:br w:type="page"/>
      </w:r>
      <w:bookmarkStart w:id="903" w:name="_Toc29420"/>
      <w:bookmarkStart w:id="904" w:name="_Toc10974"/>
      <w:bookmarkStart w:id="905" w:name="_Toc27589"/>
      <w:r>
        <w:rPr>
          <w:rFonts w:hint="eastAsia" w:ascii="宋体" w:hAnsi="宋体" w:cs="宋体"/>
          <w:b/>
          <w:bCs/>
          <w:sz w:val="32"/>
          <w:szCs w:val="32"/>
        </w:rPr>
        <w:t>第五部分  安全生产协议书</w:t>
      </w:r>
      <w:bookmarkEnd w:id="903"/>
      <w:bookmarkEnd w:id="904"/>
      <w:bookmarkEnd w:id="905"/>
    </w:p>
    <w:p>
      <w:pPr>
        <w:snapToGrid w:val="0"/>
        <w:spacing w:line="360" w:lineRule="auto"/>
        <w:ind w:firstLine="420" w:firstLineChars="200"/>
        <w:rPr>
          <w:snapToGrid w:val="0"/>
          <w:szCs w:val="21"/>
        </w:rPr>
      </w:pPr>
    </w:p>
    <w:p>
      <w:pPr>
        <w:snapToGrid w:val="0"/>
        <w:spacing w:line="360" w:lineRule="auto"/>
        <w:ind w:firstLine="420" w:firstLineChars="200"/>
        <w:rPr>
          <w:snapToGrid w:val="0"/>
          <w:szCs w:val="21"/>
        </w:rPr>
      </w:pPr>
      <w:r>
        <w:rPr>
          <w:rFonts w:hint="eastAsia"/>
          <w:snapToGrid w:val="0"/>
          <w:szCs w:val="21"/>
        </w:rPr>
        <w:t>为在</w:t>
      </w:r>
      <w:r>
        <w:rPr>
          <w:rFonts w:hint="eastAsia"/>
          <w:snapToGrid w:val="0"/>
          <w:szCs w:val="21"/>
          <w:u w:val="single"/>
        </w:rPr>
        <w:t xml:space="preserve"> </w:t>
      </w:r>
      <w:r>
        <w:rPr>
          <w:rFonts w:hint="eastAsia"/>
          <w:szCs w:val="21"/>
          <w:u w:val="single"/>
        </w:rPr>
        <w:t>绿色药都产业园配套设施提升工程（北区）（</w:t>
      </w:r>
      <w:r>
        <w:rPr>
          <w:rFonts w:hint="eastAsia"/>
          <w:szCs w:val="21"/>
          <w:u w:val="single"/>
          <w:lang w:eastAsia="zh-CN"/>
        </w:rPr>
        <w:t>亮化工程</w:t>
      </w:r>
      <w:r>
        <w:rPr>
          <w:rFonts w:hint="eastAsia"/>
          <w:szCs w:val="21"/>
          <w:u w:val="single"/>
        </w:rPr>
        <w:t>）</w:t>
      </w:r>
      <w:r>
        <w:rPr>
          <w:rFonts w:hint="eastAsia"/>
          <w:b/>
          <w:bCs/>
          <w:szCs w:val="21"/>
          <w:u w:val="single"/>
        </w:rPr>
        <w:t xml:space="preserve"> </w:t>
      </w:r>
      <w:r>
        <w:rPr>
          <w:rFonts w:hint="eastAsia"/>
          <w:snapToGrid w:val="0"/>
          <w:szCs w:val="21"/>
        </w:rPr>
        <w:t>施工合同的实施过程中创造安全、高效的施工环境，切实搞好本项目的安全管理工作，本项目的业主</w:t>
      </w:r>
      <w:r>
        <w:rPr>
          <w:rFonts w:hint="eastAsia"/>
          <w:snapToGrid w:val="0"/>
          <w:szCs w:val="21"/>
          <w:u w:val="single"/>
        </w:rPr>
        <w:t xml:space="preserve"> </w:t>
      </w:r>
      <w:r>
        <w:rPr>
          <w:rFonts w:hint="eastAsia" w:ascii="宋体" w:hAnsi="宋体"/>
          <w:szCs w:val="21"/>
          <w:u w:val="single"/>
        </w:rPr>
        <w:t>台州市椒江城市发展投资集团有限公司</w:t>
      </w:r>
      <w:r>
        <w:rPr>
          <w:rFonts w:hint="eastAsia"/>
          <w:b/>
          <w:bCs/>
          <w:szCs w:val="21"/>
          <w:u w:val="single"/>
        </w:rPr>
        <w:t xml:space="preserve"> </w:t>
      </w:r>
      <w:r>
        <w:rPr>
          <w:rFonts w:hint="eastAsia"/>
          <w:snapToGrid w:val="0"/>
          <w:szCs w:val="21"/>
        </w:rPr>
        <w:t>（以下简称“甲方”）与分包人</w:t>
      </w:r>
      <w:r>
        <w:rPr>
          <w:rFonts w:hint="eastAsia"/>
          <w:snapToGrid w:val="0"/>
          <w:szCs w:val="21"/>
          <w:u w:val="single"/>
        </w:rPr>
        <w:t xml:space="preserve"> </w:t>
      </w:r>
      <w:r>
        <w:rPr>
          <w:rFonts w:hint="eastAsia"/>
          <w:b/>
          <w:bCs/>
          <w:szCs w:val="21"/>
          <w:u w:val="single"/>
        </w:rPr>
        <w:t xml:space="preserve">                   </w:t>
      </w:r>
      <w:r>
        <w:rPr>
          <w:rFonts w:hint="eastAsia"/>
          <w:snapToGrid w:val="0"/>
          <w:szCs w:val="21"/>
        </w:rPr>
        <w:t>（以下简称“乙方”），特此签订安全生产协议书。</w:t>
      </w:r>
    </w:p>
    <w:p>
      <w:pPr>
        <w:snapToGrid w:val="0"/>
        <w:spacing w:line="360" w:lineRule="auto"/>
        <w:ind w:firstLine="422" w:firstLineChars="200"/>
        <w:rPr>
          <w:snapToGrid w:val="0"/>
          <w:szCs w:val="21"/>
        </w:rPr>
      </w:pPr>
      <w:r>
        <w:rPr>
          <w:rFonts w:hint="eastAsia"/>
          <w:b/>
          <w:snapToGrid w:val="0"/>
          <w:szCs w:val="21"/>
        </w:rPr>
        <w:t>一、甲方职责</w:t>
      </w:r>
    </w:p>
    <w:p>
      <w:pPr>
        <w:snapToGrid w:val="0"/>
        <w:spacing w:line="360" w:lineRule="auto"/>
        <w:ind w:firstLine="420" w:firstLineChars="200"/>
        <w:rPr>
          <w:rFonts w:ascii="宋体" w:hAnsi="宋体"/>
          <w:szCs w:val="21"/>
        </w:rPr>
      </w:pPr>
      <w:r>
        <w:rPr>
          <w:rFonts w:hint="eastAsia" w:ascii="宋体" w:hAnsi="宋体"/>
          <w:szCs w:val="21"/>
        </w:rPr>
        <w:t>（一）严格遵守国家有关安全生产的法律法规，认真执行工程承包合同中的有关安全要求。</w:t>
      </w:r>
    </w:p>
    <w:p>
      <w:pPr>
        <w:snapToGrid w:val="0"/>
        <w:spacing w:line="360" w:lineRule="auto"/>
        <w:ind w:firstLine="420" w:firstLineChars="200"/>
        <w:rPr>
          <w:rFonts w:ascii="宋体" w:hAnsi="宋体"/>
          <w:szCs w:val="21"/>
        </w:rPr>
      </w:pPr>
      <w:r>
        <w:rPr>
          <w:rFonts w:hint="eastAsia" w:ascii="宋体" w:hAnsi="宋体"/>
          <w:szCs w:val="21"/>
        </w:rPr>
        <w:t>（二）按照“安全第一、预防为主、综合治理”和坚持“管生产必须管安全”的原则进行安全生产管理，做到生产与安全工作同时计划、布置、检查、总结和评比。</w:t>
      </w:r>
    </w:p>
    <w:p>
      <w:pPr>
        <w:snapToGrid w:val="0"/>
        <w:spacing w:line="360" w:lineRule="auto"/>
        <w:ind w:firstLine="420" w:firstLineChars="200"/>
        <w:rPr>
          <w:rFonts w:ascii="宋体" w:hAnsi="宋体"/>
          <w:szCs w:val="21"/>
        </w:rPr>
      </w:pPr>
      <w:r>
        <w:rPr>
          <w:rFonts w:hint="eastAsia" w:ascii="宋体" w:hAnsi="宋体"/>
          <w:szCs w:val="21"/>
        </w:rPr>
        <w:t>（三）重要的安全设施必须坚持与主体工程“三同时”的原则，即：同时设计、审批；同时施工，同时验收，投入使用。</w:t>
      </w:r>
    </w:p>
    <w:p>
      <w:pPr>
        <w:snapToGrid w:val="0"/>
        <w:spacing w:line="360" w:lineRule="auto"/>
        <w:ind w:firstLine="420" w:firstLineChars="200"/>
        <w:rPr>
          <w:rFonts w:ascii="宋体" w:hAnsi="宋体"/>
          <w:szCs w:val="21"/>
        </w:rPr>
      </w:pPr>
      <w:r>
        <w:rPr>
          <w:rFonts w:hint="eastAsia" w:ascii="宋体" w:hAnsi="宋体"/>
          <w:szCs w:val="21"/>
        </w:rPr>
        <w:t>（四）定期召开安全生产调度会，及时传达中央及地方有关安全生产的精神。</w:t>
      </w:r>
    </w:p>
    <w:p>
      <w:pPr>
        <w:snapToGrid w:val="0"/>
        <w:spacing w:line="360" w:lineRule="auto"/>
        <w:ind w:firstLine="420" w:firstLineChars="200"/>
        <w:rPr>
          <w:snapToGrid w:val="0"/>
          <w:spacing w:val="-8"/>
          <w:szCs w:val="21"/>
        </w:rPr>
      </w:pPr>
      <w:r>
        <w:rPr>
          <w:rFonts w:hint="eastAsia" w:ascii="宋体" w:hAnsi="宋体"/>
          <w:szCs w:val="21"/>
        </w:rPr>
        <w:t>（五）组织对乙方施工现场安全生产检查，监督乙方及时处理发现的各种安全隐患。</w:t>
      </w:r>
    </w:p>
    <w:p>
      <w:pPr>
        <w:snapToGrid w:val="0"/>
        <w:spacing w:line="360" w:lineRule="auto"/>
        <w:ind w:left="482"/>
        <w:rPr>
          <w:b/>
          <w:snapToGrid w:val="0"/>
          <w:szCs w:val="21"/>
        </w:rPr>
      </w:pPr>
      <w:r>
        <w:rPr>
          <w:rFonts w:hint="eastAsia"/>
          <w:b/>
          <w:snapToGrid w:val="0"/>
          <w:szCs w:val="21"/>
        </w:rPr>
        <w:t>二、乙方职责</w:t>
      </w:r>
    </w:p>
    <w:p>
      <w:pPr>
        <w:snapToGrid w:val="0"/>
        <w:spacing w:line="360" w:lineRule="auto"/>
        <w:ind w:firstLine="420" w:firstLineChars="200"/>
        <w:rPr>
          <w:rFonts w:ascii="宋体" w:hAnsi="宋体"/>
          <w:szCs w:val="21"/>
        </w:rPr>
      </w:pPr>
      <w:r>
        <w:rPr>
          <w:rFonts w:hint="eastAsia" w:ascii="宋体" w:hAnsi="宋体"/>
          <w:szCs w:val="21"/>
        </w:rPr>
        <w:t>（一）严格遵守国家有关安全生产的法律法规、有关安全生产的规定，认真执行工程承包合同中的有关安全要求。</w:t>
      </w:r>
    </w:p>
    <w:p>
      <w:pPr>
        <w:snapToGrid w:val="0"/>
        <w:spacing w:line="360" w:lineRule="auto"/>
        <w:ind w:firstLine="420" w:firstLineChars="200"/>
        <w:rPr>
          <w:rFonts w:ascii="宋体" w:hAnsi="宋体"/>
          <w:szCs w:val="21"/>
        </w:rPr>
      </w:pPr>
      <w:r>
        <w:rPr>
          <w:rFonts w:hint="eastAsia" w:ascii="宋体" w:hAnsi="宋体"/>
          <w:szCs w:val="21"/>
        </w:rPr>
        <w:t>（二）坚持“安全第一、预防为主、综合治理”和“管生产必须管安全”的原则，加强安全生产宣传教育，增强全员安全生产意识，建立健全各项安全生产的管理机械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napToGrid w:val="0"/>
        <w:spacing w:line="360" w:lineRule="auto"/>
        <w:ind w:firstLine="420" w:firstLineChars="200"/>
        <w:rPr>
          <w:rFonts w:ascii="宋体" w:hAnsi="宋体"/>
          <w:szCs w:val="21"/>
        </w:rPr>
      </w:pPr>
      <w:r>
        <w:rPr>
          <w:rFonts w:hint="eastAsia" w:ascii="宋体" w:hAnsi="宋体"/>
          <w:szCs w:val="21"/>
        </w:rPr>
        <w:t>（三）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最新颁布《安全生产法》的有关规定配备安全员，专职负责所有员工的安全和治安保卫工作及预防事故的发生。安全机构人员，有权按有关规定发布指令，并采取保护性措施防止事故发生。</w:t>
      </w:r>
    </w:p>
    <w:p>
      <w:pPr>
        <w:snapToGrid w:val="0"/>
        <w:spacing w:line="360" w:lineRule="auto"/>
        <w:ind w:firstLine="420" w:firstLineChars="200"/>
        <w:rPr>
          <w:rFonts w:ascii="宋体" w:hAnsi="宋体"/>
          <w:szCs w:val="21"/>
        </w:rPr>
      </w:pPr>
      <w:r>
        <w:rPr>
          <w:rFonts w:hint="eastAsia" w:ascii="宋体" w:hAnsi="宋体"/>
          <w:szCs w:val="21"/>
        </w:rPr>
        <w:t>（四）乙方在任何时侯都应采取各种合理的预防措施，防止其员工发生任何违法、违禁、暴力或妨碍治安的行为。</w:t>
      </w:r>
    </w:p>
    <w:p>
      <w:pPr>
        <w:snapToGrid w:val="0"/>
        <w:spacing w:line="360" w:lineRule="auto"/>
        <w:ind w:firstLine="420" w:firstLineChars="200"/>
        <w:rPr>
          <w:rFonts w:ascii="宋体" w:hAnsi="宋体"/>
          <w:szCs w:val="21"/>
        </w:rPr>
      </w:pPr>
      <w:r>
        <w:rPr>
          <w:rFonts w:hint="eastAsia" w:ascii="宋体" w:hAnsi="宋体"/>
          <w:szCs w:val="21"/>
        </w:rPr>
        <w:t>（五）乙方必须具有劳动安全管理部门颁发的安全生产证书，参加施工的人员，必须接受安全技术教育，熟知和遵守本工程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napToGrid w:val="0"/>
        <w:spacing w:line="360" w:lineRule="auto"/>
        <w:ind w:firstLine="420" w:firstLineChars="200"/>
        <w:rPr>
          <w:rFonts w:ascii="宋体" w:hAnsi="宋体"/>
          <w:szCs w:val="21"/>
        </w:rPr>
      </w:pPr>
      <w:r>
        <w:rPr>
          <w:rFonts w:hint="eastAsia" w:ascii="宋体" w:hAnsi="宋体"/>
          <w:szCs w:val="21"/>
        </w:rPr>
        <w:t>（六）对于易燃易爆的材料除应专门妥善保管之外，还应配备有足够的消防设施，所有施工人员都应熟悉消防设备的性能和使用方法；乙方不得将任何种类的爆炸物给予、易货或以其他方式转让给任何其他人，或允许、容忍上述行为。</w:t>
      </w:r>
    </w:p>
    <w:p>
      <w:pPr>
        <w:snapToGrid w:val="0"/>
        <w:spacing w:line="360" w:lineRule="auto"/>
        <w:ind w:firstLine="420" w:firstLineChars="200"/>
        <w:rPr>
          <w:rFonts w:ascii="宋体" w:hAnsi="宋体"/>
          <w:szCs w:val="21"/>
        </w:rPr>
      </w:pPr>
      <w:r>
        <w:rPr>
          <w:rFonts w:hint="eastAsia" w:ascii="宋体" w:hAnsi="宋体"/>
          <w:szCs w:val="21"/>
        </w:rPr>
        <w:t>（七）操作人员上岗，必须按规定穿戴防护用品。施工负责人和安全检查员应随时检查劳动防护用品的穿戴情况，不按规定穿戴防护用品的人员不得上岗。</w:t>
      </w:r>
    </w:p>
    <w:p>
      <w:pPr>
        <w:snapToGrid w:val="0"/>
        <w:spacing w:line="360" w:lineRule="auto"/>
        <w:ind w:firstLine="420" w:firstLineChars="200"/>
        <w:rPr>
          <w:rFonts w:ascii="宋体" w:hAnsi="宋体"/>
          <w:szCs w:val="21"/>
        </w:rPr>
      </w:pPr>
      <w:r>
        <w:rPr>
          <w:rFonts w:hint="eastAsia" w:ascii="宋体" w:hAnsi="宋体"/>
          <w:szCs w:val="21"/>
        </w:rPr>
        <w:t>（八）所有施工机具设备和高空作业的设备均应定期检查，并有安全员的签字记录，保证其处于完好状态；不合格的机具、设备和劳动保护用品严禁使用。</w:t>
      </w:r>
    </w:p>
    <w:p>
      <w:pPr>
        <w:snapToGrid w:val="0"/>
        <w:spacing w:line="360" w:lineRule="auto"/>
        <w:ind w:firstLine="420" w:firstLineChars="200"/>
        <w:rPr>
          <w:rFonts w:ascii="宋体" w:hAnsi="宋体"/>
          <w:szCs w:val="21"/>
        </w:rPr>
      </w:pPr>
      <w:r>
        <w:rPr>
          <w:rFonts w:hint="eastAsia" w:ascii="宋体" w:hAnsi="宋体"/>
          <w:szCs w:val="21"/>
        </w:rPr>
        <w:t>（九）所有施工中采用新技术、新工艺、新设备、新材料时，必须制定相应的安全技术措施，施工现场必须具有相关的安全标志牌。</w:t>
      </w:r>
    </w:p>
    <w:p>
      <w:pPr>
        <w:snapToGrid w:val="0"/>
        <w:spacing w:line="360" w:lineRule="auto"/>
        <w:ind w:firstLine="420" w:firstLineChars="200"/>
        <w:rPr>
          <w:rFonts w:ascii="宋体" w:hAnsi="宋体"/>
          <w:szCs w:val="21"/>
        </w:rPr>
      </w:pPr>
      <w:r>
        <w:rPr>
          <w:rFonts w:hint="eastAsia" w:ascii="宋体" w:hAnsi="宋体"/>
          <w:szCs w:val="21"/>
        </w:rPr>
        <w:t>（十）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napToGrid w:val="0"/>
        <w:spacing w:line="360" w:lineRule="auto"/>
        <w:ind w:firstLine="420" w:firstLineChars="200"/>
        <w:rPr>
          <w:rFonts w:ascii="宋体" w:hAnsi="宋体"/>
          <w:szCs w:val="21"/>
        </w:rPr>
      </w:pPr>
      <w:r>
        <w:rPr>
          <w:rFonts w:hint="eastAsia" w:ascii="宋体" w:hAnsi="宋体"/>
          <w:szCs w:val="21"/>
        </w:rPr>
        <w:t>（十一）为确保分包人安全投入，安全施工费实行总价包干，项目实施过程中，监理工程师及业主根据安全设施完成情况，经验收合格后，按专用合同条款约定支付。月计划中应说明下月安全生产措施费投入计划，经监理批复后实施。乙方必须服从甲方及监理对现场安全生产的管理。</w:t>
      </w:r>
    </w:p>
    <w:p>
      <w:pPr>
        <w:snapToGrid w:val="0"/>
        <w:spacing w:line="360" w:lineRule="auto"/>
        <w:ind w:firstLine="480"/>
        <w:rPr>
          <w:rFonts w:ascii="宋体" w:hAnsi="宋体"/>
          <w:b/>
          <w:szCs w:val="21"/>
        </w:rPr>
      </w:pPr>
      <w:r>
        <w:rPr>
          <w:rFonts w:hint="eastAsia" w:ascii="宋体" w:hAnsi="宋体"/>
          <w:b/>
          <w:szCs w:val="21"/>
        </w:rPr>
        <w:t>第三条 违约责任</w:t>
      </w:r>
    </w:p>
    <w:p>
      <w:pPr>
        <w:snapToGrid w:val="0"/>
        <w:spacing w:line="360" w:lineRule="auto"/>
        <w:ind w:firstLine="480"/>
        <w:rPr>
          <w:rFonts w:ascii="宋体" w:hAnsi="宋体"/>
          <w:szCs w:val="21"/>
        </w:rPr>
      </w:pPr>
      <w:r>
        <w:rPr>
          <w:rFonts w:hint="eastAsia" w:ascii="宋体" w:hAnsi="宋体"/>
          <w:szCs w:val="21"/>
        </w:rPr>
        <w:t>如因甲方或乙方违约造成安全事故，将依法追究责任。</w:t>
      </w:r>
    </w:p>
    <w:p>
      <w:pPr>
        <w:snapToGrid w:val="0"/>
        <w:spacing w:line="360" w:lineRule="auto"/>
        <w:ind w:firstLine="420" w:firstLineChars="200"/>
        <w:rPr>
          <w:snapToGrid w:val="0"/>
          <w:szCs w:val="21"/>
        </w:rPr>
      </w:pPr>
      <w:r>
        <w:rPr>
          <w:rFonts w:hint="eastAsia" w:ascii="宋体" w:hAnsi="宋体"/>
          <w:szCs w:val="21"/>
        </w:rPr>
        <w:t>本合同</w:t>
      </w:r>
      <w:r>
        <w:rPr>
          <w:rFonts w:hint="eastAsia"/>
          <w:snapToGrid w:val="0"/>
          <w:szCs w:val="21"/>
        </w:rPr>
        <w:t>壹式</w:t>
      </w:r>
      <w:r>
        <w:rPr>
          <w:rFonts w:hint="eastAsia"/>
          <w:b/>
          <w:snapToGrid w:val="0"/>
          <w:szCs w:val="21"/>
          <w:u w:val="single"/>
        </w:rPr>
        <w:t xml:space="preserve">   </w:t>
      </w:r>
      <w:r>
        <w:rPr>
          <w:rFonts w:hint="eastAsia"/>
          <w:snapToGrid w:val="0"/>
          <w:szCs w:val="21"/>
        </w:rPr>
        <w:t>份，</w:t>
      </w:r>
      <w:r>
        <w:rPr>
          <w:rFonts w:hint="eastAsia"/>
          <w:szCs w:val="21"/>
        </w:rPr>
        <w:t>其中正本</w:t>
      </w:r>
      <w:r>
        <w:rPr>
          <w:rFonts w:hint="eastAsia"/>
          <w:b/>
          <w:szCs w:val="21"/>
          <w:u w:val="single"/>
        </w:rPr>
        <w:t xml:space="preserve">  </w:t>
      </w:r>
      <w:r>
        <w:rPr>
          <w:rFonts w:hint="eastAsia"/>
          <w:szCs w:val="21"/>
        </w:rPr>
        <w:t>份，双方各执</w:t>
      </w:r>
      <w:r>
        <w:rPr>
          <w:rFonts w:hint="eastAsia"/>
          <w:b/>
          <w:szCs w:val="21"/>
          <w:u w:val="single"/>
        </w:rPr>
        <w:t xml:space="preserve">  </w:t>
      </w:r>
      <w:r>
        <w:rPr>
          <w:rFonts w:hint="eastAsia"/>
          <w:szCs w:val="21"/>
        </w:rPr>
        <w:t>份，副本</w:t>
      </w:r>
      <w:r>
        <w:rPr>
          <w:rFonts w:hint="eastAsia"/>
          <w:b/>
          <w:snapToGrid w:val="0"/>
          <w:szCs w:val="21"/>
          <w:u w:val="single"/>
        </w:rPr>
        <w:t xml:space="preserve">  </w:t>
      </w:r>
      <w:r>
        <w:rPr>
          <w:rFonts w:hint="eastAsia"/>
          <w:szCs w:val="21"/>
        </w:rPr>
        <w:t>份，双方各执</w:t>
      </w:r>
      <w:r>
        <w:rPr>
          <w:rFonts w:hint="eastAsia"/>
          <w:b/>
          <w:szCs w:val="21"/>
          <w:u w:val="single"/>
        </w:rPr>
        <w:t xml:space="preserve">  </w:t>
      </w:r>
      <w:r>
        <w:rPr>
          <w:rFonts w:hint="eastAsia"/>
          <w:szCs w:val="21"/>
        </w:rPr>
        <w:t>份</w:t>
      </w:r>
      <w:r>
        <w:rPr>
          <w:rFonts w:hint="eastAsia"/>
          <w:snapToGrid w:val="0"/>
          <w:szCs w:val="21"/>
        </w:rPr>
        <w:t>。</w:t>
      </w:r>
      <w:r>
        <w:rPr>
          <w:rFonts w:hint="eastAsia" w:ascii="宋体" w:hAnsi="宋体"/>
          <w:szCs w:val="21"/>
        </w:rPr>
        <w:t>由双方法定代表人或其授权的代理人签署与加盖单位公章后生效，全部工程竣工验收后失效。</w:t>
      </w:r>
    </w:p>
    <w:p>
      <w:pPr>
        <w:snapToGrid w:val="0"/>
        <w:spacing w:line="360" w:lineRule="auto"/>
        <w:rPr>
          <w:snapToGrid w:val="0"/>
          <w:szCs w:val="21"/>
        </w:rPr>
      </w:pPr>
      <w:r>
        <w:rPr>
          <w:snapToGrid w:val="0"/>
          <w:szCs w:val="21"/>
        </w:rPr>
        <w:t xml:space="preserve"> </w:t>
      </w:r>
    </w:p>
    <w:p>
      <w:pPr>
        <w:snapToGrid w:val="0"/>
        <w:spacing w:line="360" w:lineRule="auto"/>
        <w:rPr>
          <w:szCs w:val="21"/>
        </w:rPr>
      </w:pPr>
      <w:r>
        <w:rPr>
          <w:rFonts w:hint="eastAsia"/>
          <w:szCs w:val="21"/>
        </w:rPr>
        <w:t xml:space="preserve">甲方单位：                                    乙方单位： </w:t>
      </w:r>
    </w:p>
    <w:p>
      <w:pPr>
        <w:snapToGrid w:val="0"/>
        <w:spacing w:line="360" w:lineRule="auto"/>
        <w:rPr>
          <w:szCs w:val="21"/>
        </w:rPr>
      </w:pPr>
      <w:r>
        <w:rPr>
          <w:rFonts w:hint="eastAsia"/>
          <w:szCs w:val="21"/>
        </w:rPr>
        <w:t xml:space="preserve">（盖章）　　　　　          　　　        </w:t>
      </w:r>
      <w:r>
        <w:rPr>
          <w:szCs w:val="21"/>
        </w:rPr>
        <w:t xml:space="preserve">    </w:t>
      </w:r>
      <w:r>
        <w:rPr>
          <w:rFonts w:hint="eastAsia"/>
          <w:szCs w:val="21"/>
        </w:rPr>
        <w:t>（盖章）</w:t>
      </w:r>
    </w:p>
    <w:p>
      <w:pPr>
        <w:snapToGrid w:val="0"/>
        <w:spacing w:before="120" w:beforeLines="50" w:line="480" w:lineRule="auto"/>
        <w:rPr>
          <w:szCs w:val="21"/>
        </w:rPr>
      </w:pPr>
      <w:r>
        <w:rPr>
          <w:rFonts w:hint="eastAsia"/>
          <w:szCs w:val="21"/>
        </w:rPr>
        <w:t>法定代表人：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法定代表人：</w:t>
      </w:r>
    </w:p>
    <w:p>
      <w:pPr>
        <w:snapToGrid w:val="0"/>
        <w:spacing w:before="120" w:beforeLines="50" w:line="480" w:lineRule="auto"/>
        <w:rPr>
          <w:szCs w:val="21"/>
        </w:rPr>
      </w:pPr>
      <w:r>
        <w:rPr>
          <w:szCs w:val="21"/>
        </w:rPr>
        <w:t>或其</w:t>
      </w:r>
      <w:r>
        <w:rPr>
          <w:rFonts w:hint="eastAsia"/>
          <w:szCs w:val="21"/>
        </w:rPr>
        <w:t>委托代理人</w:t>
      </w:r>
      <w:r>
        <w:rPr>
          <w:szCs w:val="21"/>
        </w:rPr>
        <w:t>：</w:t>
      </w:r>
      <w:r>
        <w:rPr>
          <w:rFonts w:hint="eastAsia"/>
          <w:szCs w:val="21"/>
        </w:rPr>
        <w:t xml:space="preserve">                               </w:t>
      </w:r>
      <w:r>
        <w:rPr>
          <w:szCs w:val="21"/>
        </w:rPr>
        <w:t>或其</w:t>
      </w:r>
      <w:r>
        <w:rPr>
          <w:rFonts w:hint="eastAsia"/>
          <w:szCs w:val="21"/>
        </w:rPr>
        <w:t>委托代理人</w:t>
      </w:r>
      <w:r>
        <w:rPr>
          <w:szCs w:val="21"/>
        </w:rPr>
        <w:t>：</w:t>
      </w:r>
    </w:p>
    <w:p>
      <w:pPr>
        <w:snapToGrid w:val="0"/>
        <w:spacing w:line="480" w:lineRule="auto"/>
        <w:rPr>
          <w:szCs w:val="21"/>
        </w:rPr>
      </w:pPr>
      <w:r>
        <w:rPr>
          <w:rFonts w:hint="eastAsia"/>
          <w:szCs w:val="21"/>
        </w:rPr>
        <w:t xml:space="preserve">地址：            </w:t>
      </w:r>
      <w:r>
        <w:rPr>
          <w:szCs w:val="21"/>
        </w:rPr>
        <w:t xml:space="preserve"> </w:t>
      </w:r>
      <w:r>
        <w:rPr>
          <w:rFonts w:hint="eastAsia"/>
          <w:szCs w:val="21"/>
        </w:rPr>
        <w:t xml:space="preserve">                            地址：</w:t>
      </w:r>
      <w:r>
        <w:rPr>
          <w:szCs w:val="21"/>
        </w:rPr>
        <w:t xml:space="preserve"> </w:t>
      </w:r>
    </w:p>
    <w:p>
      <w:pPr>
        <w:snapToGrid w:val="0"/>
        <w:spacing w:line="480" w:lineRule="auto"/>
        <w:rPr>
          <w:szCs w:val="21"/>
        </w:rPr>
      </w:pPr>
      <w:r>
        <w:rPr>
          <w:rFonts w:hint="eastAsia"/>
          <w:szCs w:val="21"/>
        </w:rPr>
        <w:t>电话：                        　　　　　　     电话：</w:t>
      </w:r>
    </w:p>
    <w:p>
      <w:pPr>
        <w:autoSpaceDE w:val="0"/>
        <w:autoSpaceDN w:val="0"/>
        <w:spacing w:line="360" w:lineRule="exact"/>
        <w:ind w:firstLine="482"/>
        <w:rPr>
          <w:szCs w:val="21"/>
        </w:rPr>
      </w:pPr>
      <w:r>
        <w:rPr>
          <w:rFonts w:hint="eastAsia"/>
          <w:szCs w:val="21"/>
        </w:rPr>
        <w:t>年  月 　日　　　　　　　　　　　　             年  月　 日</w:t>
      </w:r>
    </w:p>
    <w:p>
      <w:pPr>
        <w:autoSpaceDE w:val="0"/>
        <w:autoSpaceDN w:val="0"/>
        <w:spacing w:line="360" w:lineRule="exact"/>
        <w:ind w:firstLine="482"/>
        <w:jc w:val="right"/>
      </w:pPr>
    </w:p>
    <w:p>
      <w:pPr>
        <w:spacing w:line="400" w:lineRule="exact"/>
        <w:jc w:val="center"/>
        <w:outlineLvl w:val="0"/>
      </w:pPr>
      <w:r>
        <w:br w:type="page"/>
      </w:r>
      <w:bookmarkEnd w:id="315"/>
      <w:bookmarkEnd w:id="316"/>
      <w:bookmarkEnd w:id="317"/>
      <w:bookmarkEnd w:id="318"/>
      <w:r>
        <w:rPr>
          <w:rFonts w:hint="eastAsia"/>
        </w:rPr>
        <w:t xml:space="preserve">  </w:t>
      </w:r>
      <w:bookmarkStart w:id="906" w:name="_Toc7612"/>
      <w:r>
        <w:rPr>
          <w:rFonts w:hint="eastAsia" w:eastAsia="黑体"/>
          <w:b/>
          <w:bCs/>
          <w:sz w:val="32"/>
        </w:rPr>
        <w:t>第四章</w:t>
      </w:r>
      <w:r>
        <w:rPr>
          <w:rFonts w:hint="eastAsia"/>
        </w:rPr>
        <w:t xml:space="preserve">  </w:t>
      </w:r>
      <w:r>
        <w:rPr>
          <w:rFonts w:hint="eastAsia" w:eastAsia="黑体"/>
          <w:b/>
          <w:bCs/>
          <w:sz w:val="32"/>
        </w:rPr>
        <w:t>图  纸</w:t>
      </w:r>
      <w:bookmarkEnd w:id="906"/>
    </w:p>
    <w:p>
      <w:pPr>
        <w:ind w:firstLine="1890" w:firstLineChars="900"/>
        <w:sectPr>
          <w:headerReference r:id="rId11" w:type="default"/>
          <w:footerReference r:id="rId12" w:type="default"/>
          <w:pgSz w:w="11906" w:h="16838"/>
          <w:pgMar w:top="1440" w:right="1797" w:bottom="1440" w:left="1797" w:header="851" w:footer="992" w:gutter="0"/>
          <w:cols w:space="720" w:num="1"/>
          <w:docGrid w:linePitch="312" w:charSpace="0"/>
        </w:sectPr>
      </w:pPr>
    </w:p>
    <w:p>
      <w:pPr>
        <w:spacing w:line="400" w:lineRule="exact"/>
        <w:jc w:val="center"/>
        <w:outlineLvl w:val="0"/>
      </w:pPr>
      <w:bookmarkStart w:id="907" w:name="_Toc394573956"/>
      <w:bookmarkStart w:id="908" w:name="_Toc8321"/>
      <w:r>
        <w:rPr>
          <w:rFonts w:hint="eastAsia" w:eastAsia="黑体"/>
          <w:b/>
          <w:bCs/>
          <w:sz w:val="32"/>
        </w:rPr>
        <w:t>第五章</w:t>
      </w:r>
      <w:r>
        <w:rPr>
          <w:rFonts w:hint="eastAsia"/>
        </w:rPr>
        <w:t xml:space="preserve">  </w:t>
      </w:r>
      <w:r>
        <w:rPr>
          <w:rFonts w:hint="eastAsia" w:eastAsia="黑体"/>
          <w:b/>
          <w:bCs/>
          <w:sz w:val="32"/>
        </w:rPr>
        <w:t>技术标准和要求</w:t>
      </w:r>
      <w:bookmarkEnd w:id="907"/>
      <w:bookmarkEnd w:id="908"/>
    </w:p>
    <w:p/>
    <w:p>
      <w:pPr>
        <w:pStyle w:val="124"/>
        <w:ind w:firstLine="562"/>
        <w:jc w:val="center"/>
      </w:pPr>
      <w:bookmarkStart w:id="909" w:name="_Toc20532"/>
      <w:bookmarkStart w:id="910" w:name="_Toc10780"/>
      <w:bookmarkStart w:id="911" w:name="_Toc51229309"/>
      <w:r>
        <w:rPr>
          <w:rFonts w:hint="eastAsia"/>
        </w:rPr>
        <w:t>1. 工程概况</w:t>
      </w:r>
      <w:bookmarkEnd w:id="909"/>
      <w:bookmarkEnd w:id="910"/>
      <w:bookmarkEnd w:id="911"/>
    </w:p>
    <w:p>
      <w:pPr>
        <w:pStyle w:val="113"/>
        <w:outlineLvl w:val="2"/>
        <w:rPr>
          <w:rFonts w:ascii="Times New Roman" w:hAnsi="Times New Roman"/>
        </w:rPr>
      </w:pPr>
      <w:bookmarkStart w:id="912" w:name="_Toc19378"/>
      <w:r>
        <w:rPr>
          <w:rFonts w:hint="eastAsia" w:ascii="Times New Roman" w:hAnsi="Times New Roman"/>
        </w:rPr>
        <w:t>1.1招标工程：</w:t>
      </w:r>
      <w:bookmarkEnd w:id="912"/>
      <w:bookmarkStart w:id="913" w:name="_Toc282596327"/>
      <w:bookmarkStart w:id="914" w:name="_Toc229990372"/>
      <w:bookmarkStart w:id="915" w:name="_Toc372899889"/>
      <w:bookmarkStart w:id="916" w:name="_Toc288556315"/>
      <w:bookmarkStart w:id="917" w:name="_Toc283886272"/>
      <w:bookmarkStart w:id="918" w:name="_Toc283976562"/>
      <w:bookmarkStart w:id="919" w:name="_Toc51229311"/>
      <w:bookmarkStart w:id="920" w:name="_Toc394573959"/>
      <w:bookmarkStart w:id="921" w:name="_Toc21235"/>
      <w:r>
        <w:rPr>
          <w:rFonts w:hint="eastAsia" w:ascii="Times New Roman" w:hAnsi="Times New Roman"/>
        </w:rPr>
        <w:t>绿色药都产业园配套设施提升工程（北区）（</w:t>
      </w:r>
      <w:r>
        <w:rPr>
          <w:rFonts w:hint="eastAsia" w:ascii="Times New Roman" w:hAnsi="Times New Roman"/>
          <w:lang w:eastAsia="zh-CN"/>
        </w:rPr>
        <w:t>亮化工程</w:t>
      </w:r>
      <w:r>
        <w:rPr>
          <w:rFonts w:hint="eastAsia" w:ascii="Times New Roman" w:hAnsi="Times New Roman"/>
        </w:rPr>
        <w:t>）</w:t>
      </w:r>
    </w:p>
    <w:p>
      <w:pPr>
        <w:pStyle w:val="113"/>
        <w:outlineLvl w:val="2"/>
        <w:rPr>
          <w:rFonts w:hint="eastAsia" w:ascii="Times New Roman" w:hAnsi="Times New Roman" w:eastAsia="宋体"/>
          <w:lang w:eastAsia="zh-CN"/>
        </w:rPr>
      </w:pPr>
      <w:bookmarkStart w:id="922" w:name="_Toc30088"/>
      <w:r>
        <w:rPr>
          <w:rFonts w:hint="eastAsia" w:ascii="Times New Roman" w:hAnsi="Times New Roman"/>
        </w:rPr>
        <w:t>1.2建设规模：</w:t>
      </w:r>
      <w:bookmarkEnd w:id="922"/>
      <w:r>
        <w:rPr>
          <w:rFonts w:hint="eastAsia" w:ascii="Times New Roman" w:hAnsi="Times New Roman"/>
        </w:rPr>
        <w:t>本工程为绿色药都产业园配套设施提升工程（北区）（</w:t>
      </w:r>
      <w:r>
        <w:rPr>
          <w:rFonts w:hint="eastAsia" w:ascii="Times New Roman" w:hAnsi="Times New Roman"/>
          <w:lang w:eastAsia="zh-CN"/>
        </w:rPr>
        <w:t>亮化工程</w:t>
      </w:r>
      <w:r>
        <w:rPr>
          <w:rFonts w:hint="eastAsia" w:ascii="Times New Roman" w:hAnsi="Times New Roman"/>
        </w:rPr>
        <w:t>）</w:t>
      </w:r>
      <w:bookmarkStart w:id="923" w:name="_Toc21322"/>
      <w:r>
        <w:rPr>
          <w:rFonts w:hint="eastAsia" w:ascii="Times New Roman" w:hAnsi="Times New Roman"/>
        </w:rPr>
        <w:t>，项目内容主要为室外灯具及预埋管线、桥架、开关电源、灯具控制器、配电箱等亮化工程</w:t>
      </w:r>
      <w:r>
        <w:rPr>
          <w:rFonts w:hint="eastAsia" w:ascii="Times New Roman" w:hAnsi="Times New Roman"/>
          <w:lang w:eastAsia="zh-CN"/>
        </w:rPr>
        <w:t>。</w:t>
      </w:r>
    </w:p>
    <w:p>
      <w:pPr>
        <w:pStyle w:val="113"/>
        <w:outlineLvl w:val="2"/>
        <w:rPr>
          <w:rFonts w:ascii="Times New Roman" w:hAnsi="Times New Roman"/>
        </w:rPr>
      </w:pPr>
      <w:r>
        <w:rPr>
          <w:rFonts w:hint="eastAsia" w:ascii="Times New Roman" w:hAnsi="Times New Roman"/>
        </w:rPr>
        <w:t>1.3招标控制价: 招标控制价电子数据</w:t>
      </w:r>
      <w:r>
        <w:rPr>
          <w:rFonts w:hint="eastAsia"/>
        </w:rPr>
        <w:t>详见附件</w:t>
      </w:r>
      <w:r>
        <w:rPr>
          <w:rFonts w:hint="eastAsia" w:ascii="Times New Roman" w:hAnsi="Times New Roman"/>
        </w:rPr>
        <w:t xml:space="preserve"> （仅供投标人参考）</w:t>
      </w:r>
      <w:bookmarkEnd w:id="923"/>
      <w:r>
        <w:rPr>
          <w:rFonts w:hint="eastAsia" w:ascii="Times New Roman" w:hAnsi="Times New Roman"/>
        </w:rPr>
        <w:t xml:space="preserve">               </w:t>
      </w:r>
    </w:p>
    <w:p>
      <w:pPr>
        <w:pStyle w:val="113"/>
        <w:outlineLvl w:val="2"/>
        <w:rPr>
          <w:rFonts w:ascii="Times New Roman" w:hAnsi="Times New Roman"/>
        </w:rPr>
      </w:pPr>
      <w:bookmarkStart w:id="924" w:name="_Toc22437"/>
      <w:r>
        <w:rPr>
          <w:rFonts w:hint="eastAsia" w:ascii="Times New Roman" w:hAnsi="Times New Roman"/>
        </w:rPr>
        <w:t>1.4建设地点：台州市椒江区海门街道，枫南东路以南，四塘路以东，规划路以北，五塘北路以西。</w:t>
      </w:r>
      <w:bookmarkEnd w:id="924"/>
      <w:r>
        <w:rPr>
          <w:rFonts w:hint="eastAsia" w:ascii="Times New Roman" w:hAnsi="Times New Roman"/>
        </w:rPr>
        <w:t xml:space="preserve">                   </w:t>
      </w:r>
    </w:p>
    <w:p>
      <w:pPr>
        <w:pStyle w:val="124"/>
        <w:ind w:firstLine="562"/>
        <w:jc w:val="center"/>
      </w:pPr>
      <w:bookmarkStart w:id="925" w:name="_Toc9057"/>
      <w:bookmarkStart w:id="926" w:name="_Toc8305387"/>
      <w:bookmarkStart w:id="927" w:name="_Toc4884_WPSOffice_Level2"/>
      <w:bookmarkStart w:id="928" w:name="_Toc8951_WPSOffice_Level2"/>
      <w:bookmarkStart w:id="929" w:name="_Toc4837_WPSOffice_Level2"/>
      <w:bookmarkStart w:id="930" w:name="_Toc28808"/>
      <w:bookmarkStart w:id="931" w:name="_Toc24971"/>
      <w:bookmarkStart w:id="932" w:name="_Toc25730_WPSOffice_Level2"/>
      <w:bookmarkStart w:id="933" w:name="_Toc9504"/>
      <w:bookmarkStart w:id="934" w:name="_Toc16521983"/>
      <w:bookmarkStart w:id="935" w:name="_Toc30954"/>
      <w:bookmarkStart w:id="936" w:name="_Toc21617_WPSOffice_Level2"/>
      <w:r>
        <w:rPr>
          <w:rFonts w:hint="eastAsia"/>
        </w:rPr>
        <w:t>2. 技术规范及标准</w:t>
      </w:r>
      <w:bookmarkEnd w:id="925"/>
      <w:bookmarkEnd w:id="926"/>
      <w:bookmarkEnd w:id="927"/>
      <w:bookmarkEnd w:id="928"/>
      <w:bookmarkEnd w:id="929"/>
      <w:bookmarkEnd w:id="930"/>
      <w:bookmarkEnd w:id="931"/>
      <w:bookmarkEnd w:id="932"/>
      <w:bookmarkEnd w:id="933"/>
      <w:bookmarkEnd w:id="934"/>
      <w:bookmarkEnd w:id="935"/>
      <w:bookmarkEnd w:id="936"/>
    </w:p>
    <w:p>
      <w:pPr>
        <w:spacing w:line="400" w:lineRule="exact"/>
        <w:ind w:firstLine="420" w:firstLineChars="200"/>
        <w:rPr>
          <w:rFonts w:hint="eastAsia"/>
          <w:color w:val="auto"/>
          <w:highlight w:val="none"/>
        </w:rPr>
      </w:pPr>
      <w:bookmarkStart w:id="937" w:name="_Toc29884"/>
      <w:bookmarkStart w:id="938" w:name="_Toc8305388"/>
      <w:bookmarkStart w:id="939" w:name="_Toc24756"/>
      <w:bookmarkStart w:id="940" w:name="_Toc25308"/>
      <w:bookmarkStart w:id="941" w:name="_Toc14005_WPSOffice_Level2"/>
      <w:bookmarkStart w:id="942" w:name="_Toc16521984"/>
      <w:bookmarkStart w:id="943" w:name="_Toc28311"/>
      <w:bookmarkStart w:id="944" w:name="_Toc27093_WPSOffice_Level2"/>
      <w:bookmarkStart w:id="945" w:name="_Toc2583_WPSOffice_Level2"/>
      <w:bookmarkStart w:id="946" w:name="_Toc20876"/>
      <w:bookmarkStart w:id="947" w:name="_Toc1378_WPSOffice_Level2"/>
      <w:bookmarkStart w:id="948" w:name="_Toc30284_WPSOffice_Level2"/>
      <w:r>
        <w:rPr>
          <w:rFonts w:hint="eastAsia"/>
          <w:color w:val="auto"/>
          <w:highlight w:val="none"/>
        </w:rPr>
        <w:t xml:space="preserve">2.1 </w:t>
      </w:r>
      <w:r>
        <w:rPr>
          <w:color w:val="auto"/>
          <w:highlight w:val="none"/>
        </w:rPr>
        <w:t>依据设计施工图纸和技术文件要求，本工程项目的材料、设备、施工必须达到以下现行中华人民共和国及省、市、行业的一切有关法规、规范的要求，如下述标准及规范要求有出入则以较严格者为准。</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（1）甲方提供的相关资料</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（2）&lt;&lt;民用建筑电气设计规范&gt;&gt;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JGJ/16-2015</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（3）&lt;&lt;城市夜景照明设计规范&gt;&gt;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JGJ/T163-2008</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（4）&lt;&lt;建筑照明设计标准&gt;&gt;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GB 50034-2013</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 xml:space="preserve">（5）&lt;&lt;低压配电设计规范&gt;&gt; </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GB 50054-2011</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（6）&lt;&lt;建筑电气工程施工质量验收规范&gt;&gt; GB 50303-2015</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（7）&lt;&lt;建筑电气安装工程施工图集&gt;&gt;</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（8）&lt;&lt;供配电系统设计规范&gt;&gt;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GB50052-2009</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（9）&lt;&lt;建筑设计防火规范&gt;&gt;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 xml:space="preserve"> GB 50016-2014</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 xml:space="preserve">（10）&lt;&lt;通用用电设备配电设计规范&gt;&gt; </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GB 50055-2011</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（11）&lt;&lt;建筑物防雷设计规范&gt;&gt;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GB 50057-2010</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（12）&lt;&lt;城市照明环境规范&gt;&gt;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CJJ/45-2015</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（13）&lt;&lt;灯具一般安全要求与试验&gt;&gt;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GB 7000.1-2016</w:t>
      </w:r>
    </w:p>
    <w:p>
      <w:pPr>
        <w:spacing w:line="400" w:lineRule="exact"/>
        <w:ind w:firstLine="420" w:firstLineChars="200"/>
        <w:rPr>
          <w:rFonts w:ascii="Times New Roman" w:hAnsi="Times New Roman" w:eastAsia="宋体" w:cs="Times New Roman"/>
          <w:color w:val="auto"/>
          <w:highlight w:val="none"/>
          <w:lang w:val="zh-CN"/>
        </w:rPr>
      </w:pPr>
      <w:r>
        <w:rPr>
          <w:rFonts w:ascii="Times New Roman" w:hAnsi="Times New Roman" w:eastAsia="宋体" w:cs="Times New Roman"/>
          <w:color w:val="auto"/>
          <w:highlight w:val="none"/>
          <w:lang w:val="zh-CN"/>
        </w:rPr>
        <w:t>（14）&lt;&lt;电气装置安装工程施工及验收规范&gt;&gt;</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lang w:val="zh-CN"/>
        </w:rPr>
        <w:t>GB 50254-2014</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（1</w:t>
      </w:r>
      <w:r>
        <w:rPr>
          <w:rFonts w:ascii="Times New Roman" w:hAnsi="Times New Roman" w:eastAsia="宋体" w:cs="Times New Roman"/>
          <w:color w:val="auto"/>
          <w:highlight w:val="none"/>
        </w:rPr>
        <w:t>5</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灯具一般安全要求与试验 GB7000.1-2002</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（1</w:t>
      </w:r>
      <w:r>
        <w:rPr>
          <w:rFonts w:ascii="Times New Roman" w:hAnsi="Times New Roman" w:eastAsia="宋体" w:cs="Times New Roman"/>
          <w:color w:val="auto"/>
          <w:highlight w:val="none"/>
        </w:rPr>
        <w:t>6</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低压电气及电子设备发出的谐波电流限制（设备每相输入电流小于 16A）：GB 17652.1-98</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（1</w:t>
      </w:r>
      <w:r>
        <w:rPr>
          <w:rFonts w:ascii="Times New Roman" w:hAnsi="Times New Roman" w:eastAsia="宋体" w:cs="Times New Roman"/>
          <w:color w:val="auto"/>
          <w:highlight w:val="none"/>
        </w:rPr>
        <w:t>7</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电气照明和类似设备的无线电骚扰特性的限制和测量方法：GB177430-99</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（1</w:t>
      </w:r>
      <w:r>
        <w:rPr>
          <w:rFonts w:ascii="Times New Roman" w:hAnsi="Times New Roman" w:eastAsia="宋体" w:cs="Times New Roman"/>
          <w:color w:val="auto"/>
          <w:highlight w:val="none"/>
        </w:rPr>
        <w:t>8</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照明光源颜色的测量方法标准号：GB/T 7922-2003</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（1</w:t>
      </w:r>
      <w:r>
        <w:rPr>
          <w:rFonts w:ascii="Times New Roman" w:hAnsi="Times New Roman" w:eastAsia="宋体" w:cs="Times New Roman"/>
          <w:color w:val="auto"/>
          <w:highlight w:val="none"/>
        </w:rPr>
        <w:t>9</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电光源的安全要求标准号：GB 7248-1987</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20</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限制表面温度灯具安全要求标准号：GB 7000.17-2003</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21</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固定式通用灯具安全要求标准号：GB 7000.10-1999</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22</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灯具第 1 部分：一般要求与试验标准号：GB 7000.1-2007</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23</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逐批检查计数抽样程序及抽样表标准号：GB2828-1987</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24</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铝及铝合金轧制板材标准号：GB/T 3880-2006</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25</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铝合金建筑型材第 4 部分：粉末喷涂型材标准号：GB/T 5237.4-2008</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26</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建筑材料燃烧性能分级方法标准号：GB 8624-2006</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27</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灯具外壳防护等级分类标准号：GB7001-1986</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28</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固定式通用灯具技术条件标准号：GB/T13037-1999</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29</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电光源产品质量分等分级指标标准号：GB/T11470-1989</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30</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LED 测试方法标准号：CIE127-1997</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31</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半导体发光二极管测试方法标准号：SJ/T2355-2005</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rPr>
        <w:t>（</w:t>
      </w:r>
      <w:r>
        <w:rPr>
          <w:rFonts w:ascii="Times New Roman" w:hAnsi="Times New Roman" w:eastAsia="宋体" w:cs="Times New Roman"/>
          <w:color w:val="auto"/>
          <w:highlight w:val="none"/>
        </w:rPr>
        <w:t>32</w:t>
      </w:r>
      <w:r>
        <w:rPr>
          <w:rFonts w:hint="default" w:ascii="Times New Roman" w:hAnsi="Times New Roman" w:eastAsia="宋体" w:cs="Times New Roman"/>
          <w:color w:val="auto"/>
          <w:highlight w:val="none"/>
        </w:rPr>
        <w:t>）</w:t>
      </w:r>
      <w:r>
        <w:rPr>
          <w:rFonts w:ascii="Times New Roman" w:hAnsi="Times New Roman" w:eastAsia="宋体" w:cs="Times New Roman"/>
          <w:color w:val="auto"/>
          <w:highlight w:val="none"/>
        </w:rPr>
        <w:t>照明产品用发光二极管(LED)光源标准号：UL Subject 8750-2007</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rPr>
        <w:t>（</w:t>
      </w:r>
      <w:r>
        <w:rPr>
          <w:rFonts w:ascii="Times New Roman" w:hAnsi="Times New Roman" w:eastAsia="宋体" w:cs="Times New Roman"/>
          <w:color w:val="auto"/>
          <w:highlight w:val="none"/>
        </w:rPr>
        <w:t>33</w:t>
      </w:r>
      <w:r>
        <w:rPr>
          <w:rFonts w:hint="default" w:ascii="Times New Roman" w:hAnsi="Times New Roman" w:eastAsia="宋体" w:cs="Times New Roman"/>
          <w:color w:val="auto"/>
          <w:highlight w:val="none"/>
        </w:rPr>
        <w:t>）</w:t>
      </w:r>
      <w:r>
        <w:rPr>
          <w:rFonts w:ascii="Times New Roman" w:hAnsi="Times New Roman" w:eastAsia="宋体" w:cs="Times New Roman"/>
          <w:color w:val="auto"/>
          <w:highlight w:val="none"/>
        </w:rPr>
        <w:t>LED 模块用交/直流电子控制装置的性能要求标准号：IEC 62384</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34</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杂类灯座第 2-2 部分：LED 模块用连接器特殊要求标准号：IEC 60838-2-2</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35</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灯的控制装置第 2-13 部分：LED 模块用交/直流电子控制装置特殊要求标准号：IEC61347-2-13</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36</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关于无线电骚扰特性、谐波特性和电磁兼容抗扰度方面的要求标准号：GB 17625.1-2003， GB/T18595-2001</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37</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电子设备制造防静电技术要求标准号：SJ/T10533-1994</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38</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电子元器件制造防静电技术要求标准号：SJ/T10630-1995</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39</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外壳防护等级（IP 代码）标准号：GB 4208-93</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40</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建筑材料及制品燃烧性能分级标准号：GB 8624-2006</w:t>
      </w:r>
    </w:p>
    <w:p>
      <w:pPr>
        <w:spacing w:line="400" w:lineRule="exact"/>
        <w:ind w:firstLine="420" w:firstLineChars="200"/>
        <w:rPr>
          <w:rFonts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41</w:t>
      </w:r>
      <w:r>
        <w:rPr>
          <w:rFonts w:hint="default" w:ascii="Times New Roman" w:hAnsi="Times New Roman" w:eastAsia="宋体" w:cs="Times New Roman"/>
          <w:color w:val="auto"/>
          <w:highlight w:val="none"/>
          <w:lang w:val="zh-CN"/>
        </w:rPr>
        <w:t>）</w:t>
      </w:r>
      <w:r>
        <w:rPr>
          <w:rFonts w:ascii="Times New Roman" w:hAnsi="Times New Roman" w:eastAsia="宋体" w:cs="Times New Roman"/>
          <w:color w:val="auto"/>
          <w:highlight w:val="none"/>
        </w:rPr>
        <w:t>若采用其它被承认的但没有列在上面的相关国内、国际标准，经建设单位批准后方可采用。</w:t>
      </w:r>
    </w:p>
    <w:p>
      <w:pPr>
        <w:spacing w:line="400" w:lineRule="exact"/>
        <w:ind w:firstLine="420" w:firstLineChars="200"/>
        <w:rPr>
          <w:rFonts w:hint="eastAsia" w:ascii="Times New Roman" w:hAnsi="Times New Roman" w:eastAsia="宋体" w:cs="Times New Roman"/>
          <w:color w:val="auto"/>
          <w:highlight w:val="none"/>
        </w:rPr>
      </w:pPr>
      <w:r>
        <w:rPr>
          <w:rFonts w:ascii="Times New Roman" w:hAnsi="Times New Roman" w:eastAsia="宋体" w:cs="Times New Roman"/>
          <w:color w:val="auto"/>
          <w:highlight w:val="none"/>
          <w:lang w:val="zh-CN"/>
        </w:rPr>
        <w:t>（</w:t>
      </w:r>
      <w:r>
        <w:rPr>
          <w:rFonts w:hint="eastAsia" w:ascii="Times New Roman" w:hAnsi="Times New Roman" w:eastAsia="宋体" w:cs="Times New Roman"/>
          <w:color w:val="auto"/>
          <w:highlight w:val="none"/>
        </w:rPr>
        <w:t>42</w:t>
      </w:r>
      <w:r>
        <w:rPr>
          <w:rFonts w:ascii="Times New Roman" w:hAnsi="Times New Roman" w:eastAsia="宋体" w:cs="Times New Roman"/>
          <w:color w:val="auto"/>
          <w:highlight w:val="none"/>
          <w:lang w:val="zh-CN"/>
        </w:rPr>
        <w:t>）</w:t>
      </w:r>
      <w:r>
        <w:rPr>
          <w:rFonts w:hint="eastAsia" w:ascii="Times New Roman" w:hAnsi="Times New Roman" w:eastAsia="宋体" w:cs="Times New Roman"/>
          <w:color w:val="auto"/>
          <w:highlight w:val="none"/>
        </w:rPr>
        <w:t>具体技术要求详见本工程施工图纸。</w:t>
      </w:r>
    </w:p>
    <w:p>
      <w:pPr>
        <w:spacing w:line="400" w:lineRule="exact"/>
        <w:ind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p>
    <w:p>
      <w:pPr>
        <w:pStyle w:val="113"/>
        <w:rPr>
          <w:rFonts w:ascii="宋体" w:hAnsi="宋体"/>
          <w:highlight w:val="yellow"/>
        </w:rPr>
      </w:pPr>
      <w:r>
        <w:rPr>
          <w:rFonts w:hint="eastAsia" w:ascii="Times New Roman" w:hAnsi="Times New Roman" w:cs="Times New Roman"/>
          <w:color w:val="auto"/>
          <w:szCs w:val="24"/>
          <w:highlight w:val="none"/>
        </w:rPr>
        <w:t>2.2</w:t>
      </w:r>
      <w:r>
        <w:rPr>
          <w:rFonts w:ascii="Times New Roman" w:hAnsi="Times New Roman" w:cs="Times New Roman"/>
          <w:color w:val="auto"/>
          <w:szCs w:val="24"/>
          <w:highlight w:val="none"/>
        </w:rPr>
        <w:t>以上技术规范由</w:t>
      </w:r>
      <w:r>
        <w:rPr>
          <w:rFonts w:hint="eastAsia" w:ascii="Times New Roman" w:hAnsi="Times New Roman" w:cs="Times New Roman"/>
          <w:color w:val="auto"/>
          <w:szCs w:val="24"/>
          <w:highlight w:val="none"/>
          <w:lang w:eastAsia="zh-CN"/>
        </w:rPr>
        <w:t>分包人</w:t>
      </w:r>
      <w:r>
        <w:rPr>
          <w:rFonts w:ascii="Times New Roman" w:hAnsi="Times New Roman" w:cs="Times New Roman"/>
          <w:color w:val="auto"/>
          <w:szCs w:val="24"/>
          <w:highlight w:val="none"/>
        </w:rPr>
        <w:t>自备，如有不足之处或未能达到国家最新标准时，</w:t>
      </w:r>
      <w:r>
        <w:rPr>
          <w:rFonts w:hint="eastAsia" w:ascii="Times New Roman" w:hAnsi="Times New Roman" w:cs="Times New Roman"/>
          <w:color w:val="auto"/>
          <w:szCs w:val="24"/>
          <w:highlight w:val="none"/>
          <w:lang w:eastAsia="zh-CN"/>
        </w:rPr>
        <w:t>分包人</w:t>
      </w:r>
      <w:r>
        <w:rPr>
          <w:rFonts w:ascii="Times New Roman" w:hAnsi="Times New Roman" w:cs="Times New Roman"/>
          <w:color w:val="auto"/>
          <w:szCs w:val="24"/>
          <w:highlight w:val="none"/>
        </w:rPr>
        <w:t>应使施工及选用的设备和材料符合最新版本的国家标准、规范。</w:t>
      </w:r>
    </w:p>
    <w:p>
      <w:pPr>
        <w:pStyle w:val="124"/>
        <w:ind w:firstLine="562"/>
        <w:jc w:val="center"/>
      </w:pPr>
      <w:r>
        <w:rPr>
          <w:rFonts w:hint="eastAsia"/>
        </w:rPr>
        <w:t>3</w:t>
      </w:r>
      <w:r>
        <w:t>．材料质量要求</w:t>
      </w:r>
      <w:bookmarkEnd w:id="937"/>
      <w:bookmarkEnd w:id="938"/>
      <w:bookmarkEnd w:id="939"/>
      <w:bookmarkEnd w:id="940"/>
      <w:bookmarkEnd w:id="941"/>
      <w:bookmarkEnd w:id="942"/>
      <w:bookmarkEnd w:id="943"/>
      <w:bookmarkEnd w:id="944"/>
      <w:bookmarkEnd w:id="945"/>
      <w:bookmarkEnd w:id="946"/>
      <w:bookmarkEnd w:id="947"/>
      <w:bookmarkEnd w:id="948"/>
    </w:p>
    <w:p>
      <w:pPr>
        <w:pStyle w:val="113"/>
        <w:rPr>
          <w:rFonts w:hint="eastAsia" w:ascii="Times New Roman" w:hAnsi="Times New Roman"/>
          <w:szCs w:val="28"/>
        </w:rPr>
      </w:pPr>
      <w:r>
        <w:rPr>
          <w:rFonts w:hint="eastAsia" w:ascii="Times New Roman" w:hAnsi="Times New Roman"/>
          <w:szCs w:val="28"/>
        </w:rPr>
        <w:t>3.1 材料选择</w:t>
      </w:r>
    </w:p>
    <w:p>
      <w:pPr>
        <w:pStyle w:val="113"/>
        <w:rPr>
          <w:rFonts w:hint="eastAsia" w:ascii="Times New Roman" w:hAnsi="Times New Roman"/>
          <w:szCs w:val="28"/>
        </w:rPr>
      </w:pPr>
      <w:r>
        <w:rPr>
          <w:rFonts w:hint="eastAsia" w:ascii="Times New Roman" w:hAnsi="Times New Roman"/>
          <w:szCs w:val="28"/>
        </w:rPr>
        <w:t>（1）本章节附件为“主要设备材料备选品牌一览表”，投标人应优先采用该一览表中的品牌，若采用其他品牌（或相当于该一览表中的品牌），替代产品品质不低于原有产品并经业主签证认可。</w:t>
      </w:r>
    </w:p>
    <w:p>
      <w:pPr>
        <w:pStyle w:val="113"/>
        <w:rPr>
          <w:rFonts w:hint="eastAsia" w:ascii="Times New Roman" w:hAnsi="Times New Roman"/>
          <w:szCs w:val="28"/>
        </w:rPr>
      </w:pPr>
      <w:r>
        <w:rPr>
          <w:rFonts w:hint="eastAsia" w:ascii="Times New Roman" w:hAnsi="Times New Roman"/>
          <w:szCs w:val="28"/>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113"/>
        <w:rPr>
          <w:rFonts w:hint="eastAsia" w:ascii="Times New Roman" w:hAnsi="Times New Roman"/>
          <w:szCs w:val="28"/>
        </w:rPr>
      </w:pPr>
      <w:r>
        <w:rPr>
          <w:rFonts w:hint="eastAsia" w:ascii="Times New Roman" w:hAnsi="Times New Roman"/>
          <w:szCs w:val="28"/>
        </w:rPr>
        <w:t>3.2 材料的质量保证</w:t>
      </w:r>
    </w:p>
    <w:p>
      <w:pPr>
        <w:pStyle w:val="113"/>
        <w:rPr>
          <w:rFonts w:hint="eastAsia" w:ascii="Times New Roman" w:hAnsi="Times New Roman"/>
          <w:szCs w:val="28"/>
        </w:rPr>
      </w:pPr>
      <w:r>
        <w:rPr>
          <w:rFonts w:hint="eastAsia" w:ascii="Times New Roman" w:hAnsi="Times New Roman"/>
          <w:szCs w:val="28"/>
        </w:rPr>
        <w:t>（1）在免费保修期内，分包人对有缺陷的部位必须无偿地给予修理与更换，并承担一切由此引起的对发包人或第三者的直接损失，除非该缺陷是由于人为破坏或合同规定的不可抗因素造成的损坏。</w:t>
      </w:r>
    </w:p>
    <w:p>
      <w:pPr>
        <w:pStyle w:val="113"/>
        <w:rPr>
          <w:rFonts w:hint="eastAsia" w:ascii="Times New Roman" w:hAnsi="Times New Roman"/>
          <w:szCs w:val="28"/>
        </w:rPr>
      </w:pPr>
      <w:r>
        <w:rPr>
          <w:rFonts w:hint="eastAsia" w:ascii="Times New Roman" w:hAnsi="Times New Roman"/>
          <w:szCs w:val="28"/>
        </w:rPr>
        <w:t>（2）分包人必须对所承包的工程的质量负全部责任，其责任不因其他材料生产商提供的保证书而减轻或更改。</w:t>
      </w:r>
    </w:p>
    <w:p>
      <w:pPr>
        <w:pStyle w:val="113"/>
        <w:rPr>
          <w:rFonts w:hint="eastAsia" w:ascii="Times New Roman" w:hAnsi="Times New Roman"/>
          <w:szCs w:val="28"/>
        </w:rPr>
      </w:pPr>
      <w:r>
        <w:rPr>
          <w:rFonts w:hint="eastAsia" w:ascii="Times New Roman" w:hAnsi="Times New Roman"/>
          <w:szCs w:val="28"/>
        </w:rPr>
        <w:t>（3）材料检验结果证明其有害物质含量指标超标的产品不得在工程上使用。</w:t>
      </w:r>
    </w:p>
    <w:p>
      <w:pPr>
        <w:pStyle w:val="113"/>
        <w:rPr>
          <w:rFonts w:hint="eastAsia" w:ascii="Times New Roman" w:hAnsi="Times New Roman"/>
          <w:szCs w:val="28"/>
        </w:rPr>
      </w:pPr>
      <w:r>
        <w:rPr>
          <w:rFonts w:hint="eastAsia" w:ascii="Times New Roman" w:hAnsi="Times New Roman"/>
          <w:szCs w:val="28"/>
        </w:rPr>
        <w:t>3.3 供应要求</w:t>
      </w:r>
    </w:p>
    <w:p>
      <w:pPr>
        <w:pStyle w:val="113"/>
        <w:rPr>
          <w:rFonts w:hint="eastAsia" w:ascii="Times New Roman" w:hAnsi="Times New Roman"/>
          <w:szCs w:val="28"/>
        </w:rPr>
      </w:pPr>
      <w:r>
        <w:rPr>
          <w:rFonts w:hint="eastAsia" w:ascii="Times New Roman" w:hAnsi="Times New Roman"/>
          <w:szCs w:val="28"/>
        </w:rPr>
        <w:t>（1）本次招标承包范围内的建筑施工材料均由分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pStyle w:val="113"/>
        <w:rPr>
          <w:rFonts w:ascii="Times New Roman" w:hAnsi="Times New Roman"/>
          <w:szCs w:val="28"/>
        </w:rPr>
      </w:pPr>
      <w:r>
        <w:rPr>
          <w:rFonts w:hint="eastAsia" w:ascii="Times New Roman" w:hAnsi="Times New Roman"/>
          <w:szCs w:val="28"/>
        </w:rPr>
        <w:t>（2）由分包人采购的主要建筑材料，当分包人选定的产品质量达不到设计要求和预期质量目标时，发包人保留更换的权利，且中标价不予调整。</w:t>
      </w:r>
    </w:p>
    <w:p>
      <w:pPr>
        <w:pStyle w:val="124"/>
        <w:ind w:firstLine="562"/>
        <w:jc w:val="center"/>
      </w:pPr>
      <w:bookmarkStart w:id="949" w:name="_Toc11121"/>
      <w:bookmarkStart w:id="950" w:name="_Toc10894_WPSOffice_Level2"/>
      <w:bookmarkStart w:id="951" w:name="_Toc8305389"/>
      <w:bookmarkStart w:id="952" w:name="_Toc16521985"/>
      <w:bookmarkStart w:id="953" w:name="_Toc26660"/>
      <w:bookmarkStart w:id="954" w:name="_Toc7891"/>
      <w:bookmarkStart w:id="955" w:name="_Toc10796_WPSOffice_Level2"/>
      <w:bookmarkStart w:id="956" w:name="_Toc4972"/>
      <w:bookmarkStart w:id="957" w:name="_Toc21651_WPSOffice_Level2"/>
      <w:bookmarkStart w:id="958" w:name="_Toc3776_WPSOffice_Level2"/>
      <w:bookmarkStart w:id="959" w:name="_Toc3666_WPSOffice_Level2"/>
      <w:bookmarkStart w:id="960" w:name="_Toc32107"/>
      <w:r>
        <w:rPr>
          <w:rFonts w:hint="eastAsia"/>
        </w:rPr>
        <w:t>4</w:t>
      </w:r>
      <w:r>
        <w:t>．工程管理的要求</w:t>
      </w:r>
      <w:bookmarkEnd w:id="949"/>
      <w:bookmarkEnd w:id="950"/>
      <w:bookmarkEnd w:id="951"/>
      <w:bookmarkEnd w:id="952"/>
      <w:bookmarkEnd w:id="953"/>
      <w:bookmarkEnd w:id="954"/>
      <w:bookmarkEnd w:id="955"/>
      <w:bookmarkEnd w:id="956"/>
      <w:bookmarkEnd w:id="957"/>
      <w:bookmarkEnd w:id="958"/>
      <w:bookmarkEnd w:id="959"/>
      <w:bookmarkEnd w:id="960"/>
    </w:p>
    <w:p>
      <w:pPr>
        <w:pStyle w:val="113"/>
        <w:spacing w:line="420" w:lineRule="exact"/>
        <w:rPr>
          <w:rFonts w:hint="eastAsia" w:ascii="Times New Roman" w:hAnsi="Times New Roman"/>
        </w:rPr>
      </w:pPr>
      <w:r>
        <w:rPr>
          <w:rFonts w:hint="eastAsia" w:ascii="Times New Roman" w:hAnsi="Times New Roman"/>
        </w:rPr>
        <w:t>4.1 本工程发包范围内的工程项目，未经发包人同意一律不得分包。一经发现立即取消承包资格，作违约处理，并承担由此引起的一切经济损失。</w:t>
      </w:r>
    </w:p>
    <w:p>
      <w:pPr>
        <w:pStyle w:val="113"/>
        <w:spacing w:line="420" w:lineRule="exact"/>
        <w:rPr>
          <w:rFonts w:ascii="Times New Roman" w:hAnsi="Times New Roman"/>
        </w:rPr>
      </w:pPr>
      <w:r>
        <w:rPr>
          <w:rFonts w:hint="eastAsia" w:ascii="Times New Roman" w:hAnsi="Times New Roman"/>
        </w:rPr>
        <w:t>4.2 分包人应严格按已确认设计图纸和施工技术方案组织施工，并无条件地接受发包人委托的监理单位对施工质量的监督和管理。</w:t>
      </w:r>
    </w:p>
    <w:p>
      <w:pPr>
        <w:pStyle w:val="124"/>
        <w:spacing w:line="420" w:lineRule="exact"/>
        <w:ind w:firstLine="562"/>
        <w:jc w:val="center"/>
      </w:pPr>
      <w:bookmarkStart w:id="961" w:name="_Toc11404"/>
      <w:bookmarkStart w:id="962" w:name="_Toc20371"/>
      <w:bookmarkStart w:id="963" w:name="_Toc17131"/>
      <w:bookmarkStart w:id="964" w:name="_Toc54881597"/>
      <w:r>
        <w:rPr>
          <w:rFonts w:hint="eastAsia"/>
        </w:rPr>
        <w:t>5</w:t>
      </w:r>
      <w:r>
        <w:t>．其他</w:t>
      </w:r>
      <w:bookmarkEnd w:id="961"/>
      <w:bookmarkEnd w:id="962"/>
      <w:bookmarkEnd w:id="963"/>
      <w:bookmarkEnd w:id="964"/>
    </w:p>
    <w:bookmarkEnd w:id="913"/>
    <w:bookmarkEnd w:id="914"/>
    <w:bookmarkEnd w:id="915"/>
    <w:bookmarkEnd w:id="916"/>
    <w:bookmarkEnd w:id="917"/>
    <w:bookmarkEnd w:id="918"/>
    <w:bookmarkEnd w:id="919"/>
    <w:bookmarkEnd w:id="920"/>
    <w:bookmarkEnd w:id="921"/>
    <w:p>
      <w:pPr>
        <w:spacing w:line="400" w:lineRule="exact"/>
      </w:pPr>
    </w:p>
    <w:p>
      <w:pPr>
        <w:keepNext/>
        <w:keepLines/>
        <w:spacing w:before="240" w:beforeLines="100" w:line="360" w:lineRule="auto"/>
        <w:outlineLvl w:val="0"/>
        <w:rPr>
          <w:b/>
          <w:bCs/>
          <w:sz w:val="24"/>
          <w:szCs w:val="21"/>
        </w:rPr>
      </w:pPr>
      <w:bookmarkStart w:id="965" w:name="_Toc288556318"/>
      <w:bookmarkStart w:id="966" w:name="_Toc282596330"/>
      <w:bookmarkStart w:id="967" w:name="_Toc4130"/>
      <w:bookmarkStart w:id="968" w:name="_Toc8305391"/>
      <w:bookmarkStart w:id="969" w:name="_Toc22388"/>
      <w:bookmarkStart w:id="970" w:name="_Toc372899892"/>
      <w:bookmarkStart w:id="971" w:name="_Toc283886275"/>
      <w:bookmarkStart w:id="972" w:name="_Toc283976565"/>
      <w:bookmarkStart w:id="973" w:name="_Toc229990375"/>
      <w:bookmarkStart w:id="974" w:name="_Toc16521987"/>
      <w:bookmarkStart w:id="975" w:name="_Toc394573962"/>
    </w:p>
    <w:p>
      <w:pPr>
        <w:pStyle w:val="42"/>
        <w:rPr>
          <w:b w:val="0"/>
          <w:bCs/>
          <w:sz w:val="24"/>
          <w:szCs w:val="21"/>
        </w:rPr>
      </w:pPr>
    </w:p>
    <w:p>
      <w:pPr>
        <w:rPr>
          <w:b/>
          <w:bCs/>
          <w:sz w:val="24"/>
          <w:szCs w:val="21"/>
        </w:rPr>
      </w:pPr>
    </w:p>
    <w:p>
      <w:pPr>
        <w:pStyle w:val="42"/>
      </w:pPr>
    </w:p>
    <w:p/>
    <w:p>
      <w:pPr>
        <w:pStyle w:val="42"/>
      </w:pPr>
    </w:p>
    <w:p/>
    <w:p>
      <w:pPr>
        <w:pStyle w:val="42"/>
      </w:pPr>
    </w:p>
    <w:p/>
    <w:p>
      <w:pPr>
        <w:rPr>
          <w:b/>
          <w:bCs/>
          <w:sz w:val="24"/>
          <w:szCs w:val="21"/>
          <w:highlight w:val="yellow"/>
        </w:rPr>
      </w:pPr>
      <w:r>
        <w:rPr>
          <w:b/>
          <w:bCs/>
          <w:sz w:val="24"/>
          <w:szCs w:val="21"/>
          <w:highlight w:val="yellow"/>
        </w:rPr>
        <w:br w:type="page"/>
      </w:r>
    </w:p>
    <w:p>
      <w:pPr>
        <w:keepNext/>
        <w:keepLines/>
        <w:spacing w:before="240" w:beforeLines="100" w:line="360" w:lineRule="auto"/>
        <w:rPr>
          <w:rFonts w:eastAsia="黑体"/>
          <w:b/>
          <w:bCs/>
          <w:sz w:val="24"/>
          <w:szCs w:val="21"/>
          <w:highlight w:val="none"/>
        </w:rPr>
      </w:pPr>
      <w:r>
        <w:rPr>
          <w:b/>
          <w:bCs/>
          <w:sz w:val="24"/>
          <w:szCs w:val="21"/>
          <w:highlight w:val="none"/>
        </w:rPr>
        <w:t>附件</w:t>
      </w:r>
      <w:r>
        <w:rPr>
          <w:rFonts w:eastAsia="黑体"/>
          <w:b/>
          <w:bCs/>
          <w:sz w:val="24"/>
          <w:szCs w:val="21"/>
          <w:highlight w:val="none"/>
        </w:rPr>
        <w:t>：</w:t>
      </w:r>
      <w:r>
        <w:rPr>
          <w:b/>
          <w:bCs/>
          <w:sz w:val="24"/>
          <w:szCs w:val="21"/>
          <w:highlight w:val="none"/>
        </w:rPr>
        <w:t>主要设备材料备选品牌一览表</w:t>
      </w:r>
      <w:bookmarkEnd w:id="965"/>
      <w:bookmarkEnd w:id="966"/>
      <w:bookmarkEnd w:id="967"/>
      <w:bookmarkEnd w:id="968"/>
      <w:bookmarkEnd w:id="969"/>
      <w:bookmarkEnd w:id="970"/>
      <w:bookmarkEnd w:id="971"/>
      <w:bookmarkEnd w:id="972"/>
      <w:bookmarkEnd w:id="973"/>
      <w:bookmarkEnd w:id="974"/>
      <w:bookmarkEnd w:id="975"/>
    </w:p>
    <w:tbl>
      <w:tblPr>
        <w:tblStyle w:val="44"/>
        <w:tblW w:w="9232"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72"/>
        <w:gridCol w:w="4245"/>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072" w:type="dxa"/>
            <w:tcBorders>
              <w:top w:val="single" w:color="auto" w:sz="4" w:space="0"/>
              <w:left w:val="nil"/>
              <w:bottom w:val="single" w:color="auto" w:sz="4" w:space="0"/>
              <w:right w:val="single" w:color="auto" w:sz="4" w:space="0"/>
            </w:tcBorders>
            <w:vAlign w:val="center"/>
          </w:tcPr>
          <w:p>
            <w:pPr>
              <w:jc w:val="center"/>
            </w:pPr>
            <w:r>
              <w:rPr>
                <w:rFonts w:hint="eastAsia"/>
              </w:rPr>
              <w:t>材料名称</w:t>
            </w:r>
          </w:p>
        </w:tc>
        <w:tc>
          <w:tcPr>
            <w:tcW w:w="4245" w:type="dxa"/>
            <w:tcBorders>
              <w:top w:val="single" w:color="auto" w:sz="4" w:space="0"/>
              <w:left w:val="nil"/>
              <w:bottom w:val="single" w:color="auto" w:sz="4" w:space="0"/>
              <w:right w:val="single" w:color="auto" w:sz="4" w:space="0"/>
            </w:tcBorders>
            <w:vAlign w:val="center"/>
          </w:tcPr>
          <w:p>
            <w:pPr>
              <w:jc w:val="center"/>
            </w:pPr>
            <w:r>
              <w:rPr>
                <w:rFonts w:hint="eastAsia"/>
              </w:rPr>
              <w:t>备选品牌或厂家</w:t>
            </w:r>
          </w:p>
        </w:tc>
        <w:tc>
          <w:tcPr>
            <w:tcW w:w="2110" w:type="dxa"/>
            <w:tcBorders>
              <w:top w:val="single" w:color="auto" w:sz="4" w:space="0"/>
              <w:left w:val="nil"/>
              <w:bottom w:val="single" w:color="auto" w:sz="4" w:space="0"/>
              <w:right w:val="single" w:color="auto" w:sz="4" w:space="0"/>
            </w:tcBorders>
            <w:vAlign w:val="center"/>
          </w:tcPr>
          <w:p>
            <w:pPr>
              <w:jc w:val="center"/>
              <w:rPr>
                <w:rFonts w:ascii="Calibri" w:hAnsi="Calibri" w:cs="宋体"/>
                <w:szCs w:val="21"/>
              </w:rPr>
            </w:pPr>
            <w:r>
              <w:rPr>
                <w:rFonts w:hint="eastAsia" w:ascii="Calibri" w:hAnsi="Calibri"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0"/>
                <w:szCs w:val="20"/>
                <w:highlight w:val="none"/>
                <w:lang w:val="en-US" w:eastAsia="zh-CN"/>
              </w:rPr>
            </w:pPr>
            <w:r>
              <w:rPr>
                <w:rFonts w:hint="eastAsia" w:ascii="宋体" w:hAnsi="宋体" w:cs="宋体"/>
                <w:sz w:val="20"/>
                <w:szCs w:val="20"/>
                <w:highlight w:val="none"/>
                <w:lang w:val="en-US" w:eastAsia="zh-CN"/>
              </w:rPr>
              <w:t>1</w:t>
            </w:r>
          </w:p>
        </w:tc>
        <w:tc>
          <w:tcPr>
            <w:tcW w:w="2072" w:type="dxa"/>
            <w:tcBorders>
              <w:top w:val="single" w:color="auto" w:sz="4" w:space="0"/>
              <w:left w:val="nil"/>
              <w:bottom w:val="single" w:color="auto" w:sz="4" w:space="0"/>
              <w:right w:val="single" w:color="auto" w:sz="4" w:space="0"/>
            </w:tcBorders>
            <w:vAlign w:val="center"/>
          </w:tcPr>
          <w:p>
            <w:pPr>
              <w:jc w:val="both"/>
              <w:rPr>
                <w:rFonts w:hint="eastAsia" w:eastAsia="宋体"/>
                <w:sz w:val="20"/>
                <w:szCs w:val="20"/>
                <w:highlight w:val="none"/>
                <w:lang w:eastAsia="zh-CN"/>
              </w:rPr>
            </w:pPr>
            <w:r>
              <w:rPr>
                <w:rFonts w:hint="eastAsia"/>
                <w:sz w:val="20"/>
                <w:szCs w:val="20"/>
                <w:highlight w:val="none"/>
                <w:lang w:eastAsia="zh-CN"/>
              </w:rPr>
              <w:t>焊接钢管、镀锌钢管</w:t>
            </w:r>
          </w:p>
        </w:tc>
        <w:tc>
          <w:tcPr>
            <w:tcW w:w="424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0"/>
                <w:szCs w:val="20"/>
                <w:highlight w:val="none"/>
                <w:lang w:eastAsia="zh-CN"/>
              </w:rPr>
            </w:pPr>
            <w:r>
              <w:rPr>
                <w:rFonts w:hint="eastAsia" w:ascii="宋体" w:hAnsi="宋体" w:cs="宋体"/>
                <w:sz w:val="20"/>
                <w:szCs w:val="20"/>
                <w:highlight w:val="none"/>
                <w:lang w:eastAsia="zh-CN"/>
              </w:rPr>
              <w:t>|浙江金洲、天津利达、增洲或相当于</w:t>
            </w:r>
          </w:p>
        </w:tc>
        <w:tc>
          <w:tcPr>
            <w:tcW w:w="2110"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0"/>
                <w:szCs w:val="20"/>
                <w:highlight w:val="none"/>
                <w:lang w:val="en-US" w:eastAsia="zh-CN"/>
              </w:rPr>
            </w:pPr>
            <w:r>
              <w:rPr>
                <w:rFonts w:hint="eastAsia" w:ascii="宋体" w:hAnsi="宋体" w:cs="宋体"/>
                <w:sz w:val="20"/>
                <w:szCs w:val="20"/>
                <w:highlight w:val="none"/>
                <w:lang w:val="en-US" w:eastAsia="zh-CN"/>
              </w:rPr>
              <w:t>2</w:t>
            </w:r>
          </w:p>
        </w:tc>
        <w:tc>
          <w:tcPr>
            <w:tcW w:w="2072" w:type="dxa"/>
            <w:tcBorders>
              <w:top w:val="single" w:color="auto" w:sz="4" w:space="0"/>
              <w:left w:val="nil"/>
              <w:bottom w:val="single" w:color="auto" w:sz="4" w:space="0"/>
              <w:right w:val="single" w:color="auto" w:sz="4" w:space="0"/>
            </w:tcBorders>
            <w:vAlign w:val="center"/>
          </w:tcPr>
          <w:p>
            <w:pPr>
              <w:tabs>
                <w:tab w:val="center" w:pos="1096"/>
              </w:tabs>
              <w:jc w:val="center"/>
              <w:rPr>
                <w:sz w:val="20"/>
                <w:szCs w:val="20"/>
                <w:highlight w:val="none"/>
              </w:rPr>
            </w:pPr>
            <w:r>
              <w:rPr>
                <w:rFonts w:hint="eastAsia"/>
                <w:sz w:val="20"/>
                <w:szCs w:val="20"/>
                <w:highlight w:val="none"/>
              </w:rPr>
              <w:t>电缆、电线</w:t>
            </w:r>
          </w:p>
        </w:tc>
        <w:tc>
          <w:tcPr>
            <w:tcW w:w="4245" w:type="dxa"/>
            <w:tcBorders>
              <w:top w:val="single" w:color="auto" w:sz="4" w:space="0"/>
              <w:left w:val="nil"/>
              <w:bottom w:val="single" w:color="auto" w:sz="4" w:space="0"/>
              <w:right w:val="single" w:color="auto" w:sz="4" w:space="0"/>
            </w:tcBorders>
            <w:vAlign w:val="center"/>
          </w:tcPr>
          <w:p>
            <w:pPr>
              <w:rPr>
                <w:sz w:val="20"/>
                <w:szCs w:val="20"/>
                <w:highlight w:val="none"/>
              </w:rPr>
            </w:pPr>
            <w:r>
              <w:rPr>
                <w:rFonts w:hint="eastAsia"/>
                <w:sz w:val="20"/>
                <w:szCs w:val="20"/>
                <w:highlight w:val="none"/>
              </w:rPr>
              <w:t>上海胜华电气、久盛、开开、燎缆或相当于</w:t>
            </w:r>
          </w:p>
        </w:tc>
        <w:tc>
          <w:tcPr>
            <w:tcW w:w="2110"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0"/>
                <w:szCs w:val="20"/>
                <w:highlight w:val="none"/>
                <w:lang w:val="en-US" w:eastAsia="zh-CN"/>
              </w:rPr>
            </w:pPr>
            <w:r>
              <w:rPr>
                <w:rFonts w:hint="eastAsia" w:ascii="宋体" w:hAnsi="宋体" w:cs="宋体"/>
                <w:sz w:val="20"/>
                <w:szCs w:val="20"/>
                <w:highlight w:val="none"/>
                <w:lang w:val="en-US" w:eastAsia="zh-CN"/>
              </w:rPr>
              <w:t>3</w:t>
            </w:r>
          </w:p>
        </w:tc>
        <w:tc>
          <w:tcPr>
            <w:tcW w:w="2072" w:type="dxa"/>
            <w:tcBorders>
              <w:top w:val="single" w:color="auto" w:sz="4" w:space="0"/>
              <w:left w:val="nil"/>
              <w:bottom w:val="single" w:color="auto" w:sz="4" w:space="0"/>
              <w:right w:val="single" w:color="auto" w:sz="4" w:space="0"/>
            </w:tcBorders>
            <w:vAlign w:val="center"/>
          </w:tcPr>
          <w:p>
            <w:pPr>
              <w:tabs>
                <w:tab w:val="center" w:pos="1096"/>
              </w:tabs>
              <w:jc w:val="center"/>
              <w:rPr>
                <w:sz w:val="20"/>
                <w:szCs w:val="20"/>
                <w:highlight w:val="none"/>
              </w:rPr>
            </w:pPr>
            <w:r>
              <w:rPr>
                <w:rFonts w:hint="eastAsia"/>
                <w:sz w:val="20"/>
                <w:szCs w:val="20"/>
                <w:highlight w:val="none"/>
              </w:rPr>
              <w:t>桥架</w:t>
            </w:r>
          </w:p>
        </w:tc>
        <w:tc>
          <w:tcPr>
            <w:tcW w:w="4245" w:type="dxa"/>
            <w:tcBorders>
              <w:top w:val="single" w:color="auto" w:sz="4" w:space="0"/>
              <w:left w:val="nil"/>
              <w:bottom w:val="single" w:color="auto" w:sz="4" w:space="0"/>
              <w:right w:val="single" w:color="auto" w:sz="4" w:space="0"/>
            </w:tcBorders>
            <w:vAlign w:val="center"/>
          </w:tcPr>
          <w:p>
            <w:pPr>
              <w:rPr>
                <w:sz w:val="20"/>
                <w:szCs w:val="20"/>
                <w:highlight w:val="none"/>
              </w:rPr>
            </w:pPr>
            <w:r>
              <w:rPr>
                <w:rFonts w:hint="eastAsia"/>
                <w:sz w:val="20"/>
                <w:szCs w:val="20"/>
                <w:highlight w:val="none"/>
              </w:rPr>
              <w:t>浙江远大、台州华安、浙江桥母或相当于</w:t>
            </w:r>
          </w:p>
        </w:tc>
        <w:tc>
          <w:tcPr>
            <w:tcW w:w="2110"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0"/>
                <w:szCs w:val="20"/>
                <w:highlight w:val="none"/>
                <w:lang w:val="en-US" w:eastAsia="zh-CN"/>
              </w:rPr>
            </w:pPr>
            <w:r>
              <w:rPr>
                <w:rFonts w:hint="eastAsia" w:ascii="宋体" w:hAnsi="宋体" w:cs="宋体"/>
                <w:sz w:val="20"/>
                <w:szCs w:val="20"/>
                <w:highlight w:val="none"/>
                <w:lang w:val="en-US" w:eastAsia="zh-CN"/>
              </w:rPr>
              <w:t>4</w:t>
            </w:r>
          </w:p>
        </w:tc>
        <w:tc>
          <w:tcPr>
            <w:tcW w:w="2072" w:type="dxa"/>
            <w:tcBorders>
              <w:top w:val="single" w:color="auto" w:sz="4" w:space="0"/>
              <w:left w:val="nil"/>
              <w:bottom w:val="single" w:color="auto" w:sz="4" w:space="0"/>
              <w:right w:val="single" w:color="auto" w:sz="4" w:space="0"/>
            </w:tcBorders>
            <w:vAlign w:val="center"/>
          </w:tcPr>
          <w:p>
            <w:pPr>
              <w:tabs>
                <w:tab w:val="center" w:pos="1096"/>
              </w:tabs>
              <w:jc w:val="center"/>
              <w:rPr>
                <w:sz w:val="20"/>
                <w:szCs w:val="20"/>
                <w:highlight w:val="none"/>
              </w:rPr>
            </w:pPr>
            <w:r>
              <w:rPr>
                <w:rFonts w:hint="eastAsia"/>
                <w:sz w:val="20"/>
                <w:szCs w:val="20"/>
                <w:highlight w:val="none"/>
              </w:rPr>
              <w:t>配电箱成套厂家</w:t>
            </w:r>
          </w:p>
        </w:tc>
        <w:tc>
          <w:tcPr>
            <w:tcW w:w="4245" w:type="dxa"/>
            <w:tcBorders>
              <w:top w:val="single" w:color="auto" w:sz="4" w:space="0"/>
              <w:left w:val="nil"/>
              <w:bottom w:val="single" w:color="auto" w:sz="4" w:space="0"/>
              <w:right w:val="single" w:color="auto" w:sz="4" w:space="0"/>
            </w:tcBorders>
            <w:vAlign w:val="center"/>
          </w:tcPr>
          <w:p>
            <w:pPr>
              <w:rPr>
                <w:sz w:val="20"/>
                <w:szCs w:val="20"/>
                <w:highlight w:val="none"/>
              </w:rPr>
            </w:pPr>
            <w:r>
              <w:rPr>
                <w:rFonts w:hint="eastAsia"/>
                <w:sz w:val="20"/>
                <w:szCs w:val="20"/>
                <w:highlight w:val="none"/>
              </w:rPr>
              <w:t>台州宏发、杭州施江银、鑫胜宇、台州泓晟或相当于</w:t>
            </w:r>
          </w:p>
        </w:tc>
        <w:tc>
          <w:tcPr>
            <w:tcW w:w="2110"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0"/>
                <w:szCs w:val="20"/>
                <w:highlight w:val="none"/>
                <w:lang w:val="en-US" w:eastAsia="zh-CN"/>
              </w:rPr>
            </w:pPr>
            <w:r>
              <w:rPr>
                <w:rFonts w:hint="eastAsia" w:ascii="宋体" w:hAnsi="宋体" w:cs="宋体"/>
                <w:sz w:val="20"/>
                <w:szCs w:val="20"/>
                <w:highlight w:val="none"/>
                <w:lang w:val="en-US" w:eastAsia="zh-CN"/>
              </w:rPr>
              <w:t>5</w:t>
            </w:r>
          </w:p>
        </w:tc>
        <w:tc>
          <w:tcPr>
            <w:tcW w:w="2072" w:type="dxa"/>
            <w:tcBorders>
              <w:top w:val="single" w:color="auto" w:sz="4" w:space="0"/>
              <w:left w:val="nil"/>
              <w:bottom w:val="single" w:color="auto" w:sz="4" w:space="0"/>
              <w:right w:val="single" w:color="auto" w:sz="4" w:space="0"/>
            </w:tcBorders>
            <w:vAlign w:val="center"/>
          </w:tcPr>
          <w:p>
            <w:pPr>
              <w:jc w:val="center"/>
              <w:rPr>
                <w:sz w:val="20"/>
                <w:szCs w:val="20"/>
                <w:highlight w:val="none"/>
              </w:rPr>
            </w:pPr>
            <w:r>
              <w:rPr>
                <w:rFonts w:hint="eastAsia"/>
                <w:sz w:val="20"/>
                <w:szCs w:val="20"/>
                <w:highlight w:val="none"/>
              </w:rPr>
              <w:t>低压主要电气元件</w:t>
            </w:r>
          </w:p>
        </w:tc>
        <w:tc>
          <w:tcPr>
            <w:tcW w:w="4245"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r>
              <w:rPr>
                <w:rFonts w:hint="eastAsia" w:ascii="宋体" w:hAnsi="宋体" w:cs="宋体"/>
                <w:sz w:val="20"/>
                <w:szCs w:val="20"/>
                <w:highlight w:val="none"/>
              </w:rPr>
              <w:t>罗格朗(无锡)、良信(上海)、海格或相当于</w:t>
            </w:r>
          </w:p>
        </w:tc>
        <w:tc>
          <w:tcPr>
            <w:tcW w:w="2110"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0"/>
                <w:szCs w:val="20"/>
                <w:highlight w:val="none"/>
                <w:lang w:val="en-US" w:eastAsia="zh-CN"/>
              </w:rPr>
            </w:pPr>
            <w:r>
              <w:rPr>
                <w:rFonts w:hint="eastAsia" w:ascii="宋体" w:hAnsi="宋体" w:cs="宋体"/>
                <w:sz w:val="20"/>
                <w:szCs w:val="20"/>
                <w:highlight w:val="none"/>
                <w:lang w:val="en-US" w:eastAsia="zh-CN"/>
              </w:rPr>
              <w:t>6</w:t>
            </w:r>
          </w:p>
        </w:tc>
        <w:tc>
          <w:tcPr>
            <w:tcW w:w="2072" w:type="dxa"/>
            <w:tcBorders>
              <w:top w:val="single" w:color="auto" w:sz="4" w:space="0"/>
              <w:left w:val="nil"/>
              <w:bottom w:val="single" w:color="auto" w:sz="4" w:space="0"/>
              <w:right w:val="single" w:color="auto" w:sz="4" w:space="0"/>
            </w:tcBorders>
            <w:vAlign w:val="center"/>
          </w:tcPr>
          <w:p>
            <w:pPr>
              <w:jc w:val="center"/>
              <w:rPr>
                <w:sz w:val="20"/>
                <w:szCs w:val="20"/>
                <w:highlight w:val="none"/>
              </w:rPr>
            </w:pPr>
            <w:r>
              <w:rPr>
                <w:rFonts w:hint="eastAsia"/>
                <w:sz w:val="20"/>
                <w:szCs w:val="20"/>
                <w:highlight w:val="none"/>
              </w:rPr>
              <w:t>室外景观灯具</w:t>
            </w:r>
          </w:p>
        </w:tc>
        <w:tc>
          <w:tcPr>
            <w:tcW w:w="4245"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r>
              <w:rPr>
                <w:rFonts w:hint="eastAsia" w:ascii="宋体" w:hAnsi="宋体" w:cs="宋体"/>
                <w:sz w:val="20"/>
                <w:szCs w:val="20"/>
                <w:highlight w:val="none"/>
              </w:rPr>
              <w:t>惠州西顿，POSO品上照明，中山创科光电、佛山银河兰晶或相当于</w:t>
            </w:r>
          </w:p>
        </w:tc>
        <w:tc>
          <w:tcPr>
            <w:tcW w:w="2110" w:type="dxa"/>
            <w:tcBorders>
              <w:top w:val="single" w:color="auto" w:sz="4" w:space="0"/>
              <w:left w:val="nil"/>
              <w:bottom w:val="single" w:color="auto" w:sz="4" w:space="0"/>
              <w:right w:val="single" w:color="auto" w:sz="4" w:space="0"/>
            </w:tcBorders>
            <w:vAlign w:val="center"/>
          </w:tcPr>
          <w:p>
            <w:pPr>
              <w:rPr>
                <w:rFonts w:ascii="宋体" w:hAnsi="宋体" w:cs="宋体"/>
                <w:sz w:val="20"/>
                <w:szCs w:val="20"/>
                <w:highlight w:val="none"/>
              </w:rPr>
            </w:pPr>
          </w:p>
        </w:tc>
      </w:tr>
    </w:tbl>
    <w:p>
      <w:pPr>
        <w:spacing w:line="400" w:lineRule="exact"/>
        <w:sectPr>
          <w:pgSz w:w="11906" w:h="16838"/>
          <w:pgMar w:top="1304" w:right="1418" w:bottom="1304" w:left="1418" w:header="851" w:footer="992" w:gutter="0"/>
          <w:cols w:space="720" w:num="1"/>
          <w:docGrid w:linePitch="312" w:charSpace="0"/>
        </w:sectPr>
      </w:pPr>
      <w:r>
        <w:rPr>
          <w:rFonts w:hint="eastAsia"/>
        </w:rPr>
        <w:t>注：分包人应优先采用该一览表中的品牌，若采用其他品牌（或相当于该一览表中的品牌），替代产品品质不低于原有产品并经业主签证认可。</w:t>
      </w:r>
    </w:p>
    <w:p>
      <w:pPr>
        <w:pStyle w:val="2"/>
        <w:spacing w:before="120" w:after="120" w:line="400" w:lineRule="exact"/>
        <w:jc w:val="center"/>
        <w:rPr>
          <w:rFonts w:eastAsia="黑体"/>
          <w:b w:val="0"/>
          <w:bCs w:val="0"/>
          <w:sz w:val="32"/>
        </w:rPr>
      </w:pPr>
      <w:bookmarkStart w:id="976" w:name="_Toc144974855"/>
      <w:bookmarkStart w:id="977" w:name="_Toc50019905"/>
      <w:bookmarkStart w:id="978" w:name="_Toc152042575"/>
      <w:bookmarkStart w:id="979" w:name="_Toc13431"/>
      <w:bookmarkStart w:id="980" w:name="_Toc152045786"/>
      <w:bookmarkStart w:id="981" w:name="_Toc22919"/>
      <w:r>
        <w:rPr>
          <w:rFonts w:hint="eastAsia" w:eastAsia="黑体"/>
          <w:b w:val="0"/>
          <w:bCs w:val="0"/>
          <w:sz w:val="32"/>
        </w:rPr>
        <w:t>第六章</w:t>
      </w:r>
      <w:r>
        <w:rPr>
          <w:rFonts w:hint="eastAsia"/>
        </w:rPr>
        <w:t xml:space="preserve">  </w:t>
      </w:r>
      <w:r>
        <w:rPr>
          <w:rFonts w:hint="eastAsia" w:eastAsia="黑体"/>
          <w:b w:val="0"/>
          <w:bCs w:val="0"/>
          <w:sz w:val="32"/>
        </w:rPr>
        <w:t>投标文件格式</w:t>
      </w:r>
      <w:bookmarkEnd w:id="976"/>
      <w:bookmarkEnd w:id="977"/>
      <w:bookmarkEnd w:id="978"/>
      <w:bookmarkEnd w:id="979"/>
      <w:bookmarkEnd w:id="980"/>
      <w:bookmarkEnd w:id="981"/>
    </w:p>
    <w:p>
      <w:pPr>
        <w:pStyle w:val="124"/>
        <w:ind w:firstLine="141" w:firstLineChars="50"/>
        <w:jc w:val="left"/>
      </w:pPr>
      <w:bookmarkStart w:id="982" w:name="_Toc12393"/>
      <w:bookmarkStart w:id="983" w:name="_Toc50019906"/>
      <w:r>
        <w:rPr>
          <w:rFonts w:hint="eastAsia"/>
        </w:rPr>
        <w:t>格式一</w:t>
      </w:r>
      <w:bookmarkEnd w:id="982"/>
      <w:bookmarkEnd w:id="983"/>
    </w:p>
    <w:p>
      <w:pPr>
        <w:jc w:val="center"/>
        <w:rPr>
          <w:rFonts w:ascii="宋体" w:hAnsi="宋体"/>
          <w:szCs w:val="32"/>
        </w:rPr>
      </w:pPr>
    </w:p>
    <w:p>
      <w:pPr>
        <w:spacing w:line="360" w:lineRule="auto"/>
        <w:jc w:val="center"/>
        <w:rPr>
          <w:rFonts w:ascii="宋体" w:hAnsi="宋体"/>
          <w:bCs/>
          <w:sz w:val="28"/>
          <w:szCs w:val="28"/>
        </w:rPr>
      </w:pPr>
    </w:p>
    <w:p>
      <w:pPr>
        <w:spacing w:line="360" w:lineRule="auto"/>
        <w:jc w:val="center"/>
        <w:rPr>
          <w:rFonts w:ascii="宋体" w:hAnsi="宋体"/>
          <w:bCs/>
          <w:sz w:val="28"/>
          <w:szCs w:val="28"/>
        </w:rPr>
      </w:pPr>
      <w:r>
        <w:rPr>
          <w:rFonts w:hint="eastAsia" w:ascii="宋体" w:hAnsi="宋体"/>
          <w:bCs/>
          <w:sz w:val="28"/>
          <w:szCs w:val="28"/>
        </w:rPr>
        <w:t>绿色药都产业园配套设施提升工程（北区）（</w:t>
      </w:r>
      <w:r>
        <w:rPr>
          <w:rFonts w:hint="eastAsia" w:ascii="宋体" w:hAnsi="宋体"/>
          <w:bCs/>
          <w:sz w:val="28"/>
          <w:szCs w:val="28"/>
          <w:lang w:eastAsia="zh-CN"/>
        </w:rPr>
        <w:t>亮化工程</w:t>
      </w:r>
      <w:r>
        <w:rPr>
          <w:rFonts w:hint="eastAsia" w:ascii="宋体" w:hAnsi="宋体"/>
          <w:bCs/>
          <w:sz w:val="28"/>
          <w:szCs w:val="28"/>
        </w:rPr>
        <w:t>）</w:t>
      </w:r>
    </w:p>
    <w:p>
      <w:pPr>
        <w:spacing w:line="360" w:lineRule="auto"/>
        <w:jc w:val="center"/>
        <w:rPr>
          <w:rFonts w:ascii="宋体" w:hAnsi="宋体"/>
          <w:bCs/>
          <w:sz w:val="30"/>
          <w:szCs w:val="30"/>
        </w:rPr>
      </w:pPr>
      <w:r>
        <w:rPr>
          <w:rFonts w:hint="eastAsia" w:ascii="宋体" w:hAnsi="宋体"/>
          <w:bCs/>
          <w:sz w:val="30"/>
          <w:szCs w:val="30"/>
        </w:rPr>
        <w:t>（</w:t>
      </w:r>
      <w:r>
        <w:rPr>
          <w:rFonts w:ascii="宋体" w:hAnsi="宋体"/>
          <w:bCs/>
          <w:sz w:val="30"/>
          <w:szCs w:val="30"/>
          <w:u w:val="single"/>
        </w:rPr>
        <w:t>资</w:t>
      </w:r>
      <w:r>
        <w:rPr>
          <w:rFonts w:hint="eastAsia" w:ascii="宋体" w:hAnsi="宋体"/>
          <w:bCs/>
          <w:sz w:val="30"/>
          <w:szCs w:val="30"/>
          <w:u w:val="single"/>
        </w:rPr>
        <w:t>格/技术/</w:t>
      </w:r>
      <w:r>
        <w:rPr>
          <w:rFonts w:ascii="宋体" w:hAnsi="宋体"/>
          <w:bCs/>
          <w:sz w:val="30"/>
          <w:szCs w:val="30"/>
          <w:u w:val="single"/>
        </w:rPr>
        <w:t>商务</w:t>
      </w:r>
      <w:r>
        <w:rPr>
          <w:rFonts w:hint="eastAsia" w:ascii="宋体" w:hAnsi="宋体"/>
          <w:bCs/>
          <w:sz w:val="30"/>
          <w:szCs w:val="30"/>
        </w:rPr>
        <w:t>标）</w:t>
      </w:r>
    </w:p>
    <w:p>
      <w:pPr>
        <w:spacing w:line="420" w:lineRule="exact"/>
        <w:jc w:val="center"/>
        <w:rPr>
          <w:rFonts w:ascii="宋体" w:hAnsi="宋体"/>
          <w:sz w:val="96"/>
          <w:szCs w:val="96"/>
        </w:rPr>
      </w:pPr>
    </w:p>
    <w:p>
      <w:pPr>
        <w:spacing w:line="420" w:lineRule="exact"/>
        <w:jc w:val="center"/>
        <w:rPr>
          <w:rFonts w:ascii="宋体" w:hAnsi="宋体"/>
          <w:sz w:val="96"/>
          <w:szCs w:val="96"/>
        </w:rPr>
      </w:pPr>
    </w:p>
    <w:p>
      <w:pPr>
        <w:spacing w:line="420" w:lineRule="exact"/>
        <w:jc w:val="center"/>
        <w:rPr>
          <w:rFonts w:ascii="宋体" w:hAnsi="宋体"/>
          <w:sz w:val="96"/>
          <w:szCs w:val="96"/>
        </w:rPr>
      </w:pPr>
    </w:p>
    <w:p>
      <w:pPr>
        <w:jc w:val="center"/>
        <w:rPr>
          <w:rFonts w:ascii="宋体" w:hAnsi="宋体"/>
          <w:sz w:val="96"/>
          <w:szCs w:val="96"/>
        </w:rPr>
      </w:pPr>
      <w:r>
        <w:rPr>
          <w:rFonts w:hint="eastAsia" w:ascii="宋体" w:hAnsi="宋体"/>
          <w:sz w:val="96"/>
          <w:szCs w:val="96"/>
        </w:rPr>
        <w:t>投</w:t>
      </w:r>
    </w:p>
    <w:p>
      <w:pPr>
        <w:jc w:val="center"/>
        <w:rPr>
          <w:rFonts w:ascii="宋体" w:hAnsi="宋体"/>
          <w:sz w:val="96"/>
          <w:szCs w:val="96"/>
        </w:rPr>
      </w:pPr>
      <w:r>
        <w:rPr>
          <w:rFonts w:hint="eastAsia" w:ascii="宋体" w:hAnsi="宋体"/>
          <w:sz w:val="96"/>
          <w:szCs w:val="96"/>
        </w:rPr>
        <w:t>标</w:t>
      </w:r>
    </w:p>
    <w:p>
      <w:pPr>
        <w:jc w:val="center"/>
        <w:rPr>
          <w:rFonts w:ascii="宋体" w:hAnsi="宋体"/>
          <w:sz w:val="96"/>
          <w:szCs w:val="96"/>
        </w:rPr>
      </w:pPr>
      <w:r>
        <w:rPr>
          <w:rFonts w:hint="eastAsia" w:ascii="宋体" w:hAnsi="宋体"/>
          <w:sz w:val="96"/>
          <w:szCs w:val="96"/>
        </w:rPr>
        <w:t>文</w:t>
      </w:r>
    </w:p>
    <w:p>
      <w:pPr>
        <w:jc w:val="center"/>
        <w:rPr>
          <w:rFonts w:ascii="宋体" w:hAnsi="宋体"/>
          <w:szCs w:val="32"/>
        </w:rPr>
      </w:pPr>
      <w:r>
        <w:rPr>
          <w:rFonts w:hint="eastAsia" w:ascii="宋体" w:hAnsi="宋体"/>
          <w:sz w:val="96"/>
          <w:szCs w:val="96"/>
        </w:rPr>
        <w:t>件</w:t>
      </w:r>
    </w:p>
    <w:p>
      <w:pPr>
        <w:jc w:val="center"/>
        <w:rPr>
          <w:rFonts w:ascii="宋体" w:hAnsi="宋体"/>
          <w:szCs w:val="32"/>
        </w:rPr>
      </w:pPr>
    </w:p>
    <w:p>
      <w:pPr>
        <w:jc w:val="center"/>
        <w:rPr>
          <w:rFonts w:ascii="宋体" w:hAnsi="宋体"/>
          <w:szCs w:val="32"/>
        </w:rPr>
      </w:pPr>
    </w:p>
    <w:p>
      <w:pPr>
        <w:adjustRightInd w:val="0"/>
        <w:snapToGrid w:val="0"/>
        <w:spacing w:before="156" w:beforeLines="50" w:line="360" w:lineRule="auto"/>
        <w:rPr>
          <w:sz w:val="28"/>
        </w:rPr>
      </w:pPr>
      <w:r>
        <w:rPr>
          <w:rFonts w:hint="eastAsia"/>
          <w:sz w:val="28"/>
        </w:rPr>
        <w:t>法定代表人（盖章或签字）：</w:t>
      </w:r>
    </w:p>
    <w:p>
      <w:pPr>
        <w:adjustRightInd w:val="0"/>
        <w:snapToGrid w:val="0"/>
        <w:spacing w:before="156" w:beforeLines="50" w:line="360" w:lineRule="auto"/>
        <w:rPr>
          <w:sz w:val="28"/>
        </w:rPr>
      </w:pPr>
      <w:r>
        <w:rPr>
          <w:rFonts w:hint="eastAsia"/>
          <w:sz w:val="28"/>
        </w:rPr>
        <w:t>投标人（盖章）：</w:t>
      </w:r>
    </w:p>
    <w:p>
      <w:pPr>
        <w:adjustRightInd w:val="0"/>
        <w:snapToGrid w:val="0"/>
        <w:spacing w:before="156" w:beforeLines="50" w:line="360" w:lineRule="auto"/>
        <w:rPr>
          <w:sz w:val="28"/>
        </w:rPr>
      </w:pPr>
    </w:p>
    <w:p>
      <w:pPr>
        <w:adjustRightInd w:val="0"/>
        <w:snapToGrid w:val="0"/>
        <w:spacing w:before="156" w:beforeLines="50" w:line="360" w:lineRule="auto"/>
        <w:rPr>
          <w:rFonts w:ascii="宋体" w:hAnsi="宋体"/>
          <w:sz w:val="18"/>
        </w:rPr>
      </w:pPr>
    </w:p>
    <w:p>
      <w:pPr>
        <w:jc w:val="center"/>
        <w:rPr>
          <w:rFonts w:ascii="宋体" w:hAnsi="宋体"/>
          <w:sz w:val="28"/>
          <w:szCs w:val="28"/>
        </w:rPr>
      </w:pP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年     月     日</w:t>
      </w:r>
    </w:p>
    <w:p>
      <w:pPr>
        <w:rPr>
          <w:rFonts w:cs="宋体"/>
        </w:rPr>
      </w:pPr>
      <w:bookmarkStart w:id="984" w:name="_Toc28886"/>
      <w:bookmarkStart w:id="985" w:name="_Toc50019907"/>
      <w:r>
        <w:rPr>
          <w:rFonts w:hint="eastAsia" w:cs="宋体"/>
        </w:rPr>
        <w:br w:type="page"/>
      </w:r>
    </w:p>
    <w:p>
      <w:pPr>
        <w:pStyle w:val="124"/>
        <w:ind w:firstLine="141" w:firstLineChars="50"/>
        <w:jc w:val="left"/>
      </w:pPr>
      <w:r>
        <w:rPr>
          <w:rFonts w:hint="eastAsia"/>
        </w:rPr>
        <w:t>格式二</w:t>
      </w:r>
      <w:bookmarkEnd w:id="984"/>
      <w:bookmarkEnd w:id="985"/>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绿色药都产业园配套设施提升工程（北区）（</w:t>
      </w:r>
      <w:r>
        <w:rPr>
          <w:rFonts w:hint="eastAsia" w:ascii="宋体" w:hAnsi="宋体"/>
          <w:b/>
          <w:bCs/>
          <w:sz w:val="28"/>
          <w:szCs w:val="28"/>
          <w:lang w:eastAsia="zh-CN"/>
        </w:rPr>
        <w:t>亮化工程</w:t>
      </w:r>
      <w:r>
        <w:rPr>
          <w:rFonts w:hint="eastAsia" w:ascii="宋体" w:hAnsi="宋体"/>
          <w:b/>
          <w:bCs/>
          <w:sz w:val="28"/>
          <w:szCs w:val="28"/>
        </w:rPr>
        <w:t>）</w:t>
      </w:r>
    </w:p>
    <w:p>
      <w:pPr>
        <w:jc w:val="center"/>
        <w:rPr>
          <w:rFonts w:ascii="宋体" w:hAnsi="宋体"/>
          <w:b/>
          <w:bCs/>
          <w:sz w:val="50"/>
          <w:szCs w:val="96"/>
        </w:rPr>
      </w:pPr>
      <w:r>
        <w:rPr>
          <w:rFonts w:hint="eastAsia" w:ascii="宋体" w:hAnsi="宋体"/>
          <w:b/>
          <w:bCs/>
          <w:sz w:val="44"/>
          <w:szCs w:val="44"/>
        </w:rPr>
        <w:t>投标函</w:t>
      </w:r>
    </w:p>
    <w:p>
      <w:pPr>
        <w:pStyle w:val="26"/>
        <w:spacing w:line="360" w:lineRule="auto"/>
        <w:ind w:firstLine="128" w:firstLineChars="50"/>
        <w:rPr>
          <w:rFonts w:ascii="宋体" w:hAnsi="宋体"/>
          <w:snapToGrid w:val="0"/>
          <w:w w:val="107"/>
          <w:kern w:val="0"/>
          <w:szCs w:val="28"/>
          <w:u w:val="single"/>
        </w:rPr>
      </w:pPr>
    </w:p>
    <w:p>
      <w:pPr>
        <w:pStyle w:val="26"/>
        <w:spacing w:line="360" w:lineRule="auto"/>
        <w:ind w:firstLine="128" w:firstLineChars="50"/>
        <w:rPr>
          <w:rFonts w:ascii="宋体" w:hAnsi="宋体"/>
          <w:snapToGrid w:val="0"/>
          <w:w w:val="107"/>
          <w:kern w:val="0"/>
          <w:szCs w:val="28"/>
          <w:u w:val="single"/>
        </w:rPr>
      </w:pPr>
      <w:r>
        <w:rPr>
          <w:rFonts w:ascii="宋体" w:hAnsi="宋体"/>
          <w:snapToGrid w:val="0"/>
          <w:w w:val="107"/>
          <w:kern w:val="0"/>
          <w:szCs w:val="28"/>
          <w:u w:val="single"/>
        </w:rPr>
        <w:t xml:space="preserve">                              </w:t>
      </w:r>
      <w:r>
        <w:rPr>
          <w:rFonts w:hint="eastAsia" w:ascii="宋体" w:hAnsi="宋体"/>
          <w:snapToGrid w:val="0"/>
          <w:kern w:val="0"/>
          <w:sz w:val="28"/>
          <w:szCs w:val="24"/>
          <w:u w:val="single"/>
        </w:rPr>
        <w:t>（招标人）</w:t>
      </w:r>
      <w:r>
        <w:rPr>
          <w:rFonts w:hint="eastAsia" w:ascii="宋体" w:hAnsi="宋体"/>
          <w:snapToGrid w:val="0"/>
          <w:w w:val="107"/>
          <w:kern w:val="0"/>
          <w:szCs w:val="28"/>
        </w:rPr>
        <w:t>：</w:t>
      </w:r>
    </w:p>
    <w:p>
      <w:pPr>
        <w:numPr>
          <w:ilvl w:val="0"/>
          <w:numId w:val="0"/>
        </w:numPr>
        <w:kinsoku w:val="0"/>
        <w:wordWrap w:val="0"/>
        <w:spacing w:line="360" w:lineRule="auto"/>
        <w:ind w:firstLine="560" w:firstLineChars="200"/>
        <w:jc w:val="left"/>
        <w:rPr>
          <w:rFonts w:hint="eastAsia" w:ascii="宋体" w:hAnsi="宋体"/>
          <w:snapToGrid w:val="0"/>
          <w:kern w:val="24"/>
          <w:sz w:val="28"/>
          <w:highlight w:val="yellow"/>
        </w:rPr>
      </w:pPr>
      <w:r>
        <w:rPr>
          <w:rFonts w:hint="eastAsia" w:ascii="宋体" w:hAnsi="宋体" w:eastAsia="宋体" w:cs="Times New Roman"/>
          <w:snapToGrid w:val="0"/>
          <w:kern w:val="24"/>
          <w:sz w:val="28"/>
          <w:szCs w:val="24"/>
          <w:lang w:val="en-US" w:eastAsia="zh-CN" w:bidi="ar-SA"/>
        </w:rPr>
        <w:t>一、</w:t>
      </w:r>
      <w:r>
        <w:rPr>
          <w:rFonts w:hint="eastAsia" w:ascii="宋体" w:hAnsi="宋体"/>
          <w:snapToGrid w:val="0"/>
          <w:kern w:val="0"/>
          <w:sz w:val="28"/>
        </w:rPr>
        <w:t>根据已收到的</w:t>
      </w:r>
      <w:r>
        <w:rPr>
          <w:rFonts w:hint="eastAsia" w:ascii="宋体" w:hAnsi="宋体"/>
          <w:sz w:val="28"/>
        </w:rPr>
        <w:t>招</w:t>
      </w:r>
      <w:r>
        <w:rPr>
          <w:rFonts w:hint="eastAsia" w:ascii="宋体" w:hAnsi="宋体"/>
          <w:snapToGrid w:val="0"/>
          <w:kern w:val="0"/>
          <w:sz w:val="28"/>
        </w:rPr>
        <w:t>标文件，我单位经考察现场和研究上述项目的招标文件后，我方愿以总报价</w:t>
      </w:r>
      <w:r>
        <w:rPr>
          <w:rFonts w:hint="eastAsia" w:ascii="宋体" w:hAnsi="宋体"/>
          <w:sz w:val="28"/>
          <w:u w:val="single"/>
        </w:rPr>
        <w:t xml:space="preserve">           </w:t>
      </w:r>
      <w:r>
        <w:rPr>
          <w:rFonts w:hint="eastAsia" w:ascii="宋体" w:hAnsi="宋体"/>
          <w:sz w:val="28"/>
        </w:rPr>
        <w:t>元</w:t>
      </w:r>
      <w:r>
        <w:rPr>
          <w:rFonts w:hint="eastAsia" w:ascii="宋体" w:hAnsi="宋体"/>
          <w:snapToGrid w:val="0"/>
          <w:kern w:val="0"/>
          <w:sz w:val="28"/>
        </w:rPr>
        <w:t>（保留整数）</w:t>
      </w:r>
      <w:r>
        <w:rPr>
          <w:rFonts w:hint="eastAsia" w:ascii="宋体" w:hAnsi="宋体"/>
          <w:sz w:val="28"/>
        </w:rPr>
        <w:t>，</w:t>
      </w:r>
      <w:r>
        <w:rPr>
          <w:rFonts w:hint="eastAsia" w:ascii="宋体" w:hAnsi="宋体"/>
          <w:snapToGrid w:val="0"/>
          <w:w w:val="107"/>
          <w:kern w:val="0"/>
          <w:sz w:val="28"/>
        </w:rPr>
        <w:t>大写金额人民币</w:t>
      </w:r>
      <w:r>
        <w:rPr>
          <w:rFonts w:hint="eastAsia" w:ascii="宋体" w:hAnsi="宋体"/>
          <w:snapToGrid w:val="0"/>
          <w:w w:val="107"/>
          <w:kern w:val="0"/>
          <w:sz w:val="28"/>
          <w:u w:val="single"/>
        </w:rPr>
        <w:t xml:space="preserve">   </w:t>
      </w:r>
      <w:r>
        <w:rPr>
          <w:rFonts w:hint="eastAsia" w:ascii="宋体" w:hAnsi="宋体"/>
          <w:snapToGrid w:val="0"/>
          <w:w w:val="107"/>
          <w:kern w:val="0"/>
          <w:sz w:val="28"/>
        </w:rPr>
        <w:t>佰</w:t>
      </w:r>
      <w:r>
        <w:rPr>
          <w:rFonts w:hint="eastAsia" w:ascii="宋体" w:hAnsi="宋体"/>
          <w:snapToGrid w:val="0"/>
          <w:w w:val="107"/>
          <w:kern w:val="0"/>
          <w:sz w:val="28"/>
          <w:u w:val="single"/>
        </w:rPr>
        <w:t xml:space="preserve">   </w:t>
      </w:r>
      <w:r>
        <w:rPr>
          <w:rFonts w:hint="eastAsia" w:ascii="宋体" w:hAnsi="宋体"/>
          <w:snapToGrid w:val="0"/>
          <w:w w:val="107"/>
          <w:kern w:val="0"/>
          <w:sz w:val="28"/>
        </w:rPr>
        <w:t>拾</w:t>
      </w:r>
      <w:r>
        <w:rPr>
          <w:rFonts w:hint="eastAsia" w:ascii="宋体" w:hAnsi="宋体"/>
          <w:snapToGrid w:val="0"/>
          <w:w w:val="107"/>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w:t>
      </w:r>
      <w:r>
        <w:rPr>
          <w:rFonts w:hint="eastAsia" w:ascii="宋体" w:hAnsi="宋体"/>
          <w:snapToGrid w:val="0"/>
          <w:kern w:val="24"/>
          <w:sz w:val="28"/>
          <w:highlight w:val="none"/>
        </w:rPr>
        <w:t>承接上述</w:t>
      </w:r>
      <w:r>
        <w:rPr>
          <w:rFonts w:hint="eastAsia" w:ascii="宋体" w:hAnsi="宋体"/>
          <w:snapToGrid w:val="0"/>
          <w:kern w:val="0"/>
          <w:sz w:val="28"/>
          <w:highlight w:val="none"/>
        </w:rPr>
        <w:t>项目</w:t>
      </w:r>
      <w:r>
        <w:rPr>
          <w:rFonts w:hint="eastAsia" w:ascii="宋体" w:hAnsi="宋体"/>
          <w:snapToGrid w:val="0"/>
          <w:kern w:val="24"/>
          <w:sz w:val="28"/>
          <w:highlight w:val="none"/>
        </w:rPr>
        <w:t>，按招标文件约定完成整个项目，并接受总包单位管理。</w:t>
      </w:r>
    </w:p>
    <w:p>
      <w:pPr>
        <w:numPr>
          <w:ilvl w:val="0"/>
          <w:numId w:val="0"/>
        </w:numPr>
        <w:kinsoku w:val="0"/>
        <w:wordWrap w:val="0"/>
        <w:spacing w:line="360" w:lineRule="auto"/>
        <w:ind w:firstLine="560" w:firstLineChars="200"/>
        <w:jc w:val="left"/>
        <w:rPr>
          <w:rFonts w:hint="eastAsia" w:ascii="宋体" w:hAnsi="宋体"/>
          <w:snapToGrid w:val="0"/>
          <w:kern w:val="24"/>
          <w:sz w:val="28"/>
          <w:highlight w:val="none"/>
        </w:rPr>
      </w:pPr>
      <w:r>
        <w:rPr>
          <w:rFonts w:hint="eastAsia" w:ascii="宋体" w:hAnsi="宋体" w:eastAsia="宋体" w:cs="Times New Roman"/>
          <w:snapToGrid w:val="0"/>
          <w:kern w:val="24"/>
          <w:sz w:val="28"/>
          <w:szCs w:val="24"/>
          <w:highlight w:val="none"/>
          <w:lang w:val="en-US" w:eastAsia="zh-CN" w:bidi="ar-SA"/>
        </w:rPr>
        <w:t>二、</w:t>
      </w:r>
      <w:r>
        <w:rPr>
          <w:rFonts w:hint="eastAsia" w:ascii="宋体" w:hAnsi="宋体"/>
          <w:snapToGrid w:val="0"/>
          <w:kern w:val="24"/>
          <w:sz w:val="28"/>
          <w:highlight w:val="none"/>
        </w:rPr>
        <w:t>工期：</w:t>
      </w:r>
      <w:r>
        <w:rPr>
          <w:rFonts w:hint="eastAsia" w:ascii="宋体" w:hAnsi="宋体"/>
          <w:snapToGrid w:val="0"/>
          <w:kern w:val="24"/>
          <w:sz w:val="28"/>
          <w:highlight w:val="none"/>
          <w:u w:val="single"/>
          <w:lang w:val="en-US" w:eastAsia="zh-CN"/>
        </w:rPr>
        <w:t xml:space="preserve">     </w:t>
      </w:r>
      <w:r>
        <w:rPr>
          <w:rFonts w:hint="eastAsia" w:ascii="宋体" w:hAnsi="宋体"/>
          <w:snapToGrid w:val="0"/>
          <w:kern w:val="24"/>
          <w:sz w:val="28"/>
          <w:highlight w:val="none"/>
        </w:rPr>
        <w:t>个日历天，配合总包进度按期竣工并移交整个工程。</w:t>
      </w:r>
    </w:p>
    <w:p>
      <w:pPr>
        <w:numPr>
          <w:ilvl w:val="0"/>
          <w:numId w:val="0"/>
        </w:numPr>
        <w:kinsoku w:val="0"/>
        <w:wordWrap w:val="0"/>
        <w:spacing w:line="360" w:lineRule="auto"/>
        <w:ind w:firstLine="560" w:firstLineChars="200"/>
        <w:jc w:val="left"/>
        <w:rPr>
          <w:rFonts w:hint="eastAsia" w:ascii="宋体" w:hAnsi="宋体"/>
          <w:snapToGrid w:val="0"/>
          <w:kern w:val="24"/>
          <w:sz w:val="28"/>
          <w:highlight w:val="none"/>
        </w:rPr>
      </w:pPr>
      <w:r>
        <w:rPr>
          <w:rFonts w:hint="eastAsia" w:ascii="宋体" w:hAnsi="宋体"/>
          <w:snapToGrid w:val="0"/>
          <w:kern w:val="24"/>
          <w:sz w:val="28"/>
          <w:highlight w:val="none"/>
          <w:lang w:val="en-US" w:eastAsia="zh-CN"/>
        </w:rPr>
        <w:t>三</w:t>
      </w:r>
      <w:r>
        <w:rPr>
          <w:rFonts w:hint="eastAsia" w:ascii="宋体" w:hAnsi="宋体"/>
          <w:snapToGrid w:val="0"/>
          <w:kern w:val="24"/>
          <w:sz w:val="28"/>
          <w:highlight w:val="none"/>
        </w:rPr>
        <w:t>、工程质量等级</w:t>
      </w:r>
      <w:r>
        <w:rPr>
          <w:rFonts w:hint="eastAsia" w:ascii="宋体" w:hAnsi="宋体"/>
          <w:snapToGrid w:val="0"/>
          <w:kern w:val="24"/>
          <w:sz w:val="28"/>
          <w:highlight w:val="none"/>
          <w:u w:val="single"/>
        </w:rPr>
        <w:t>合格</w:t>
      </w:r>
      <w:r>
        <w:rPr>
          <w:rFonts w:hint="eastAsia" w:ascii="宋体" w:hAnsi="宋体"/>
          <w:snapToGrid w:val="0"/>
          <w:kern w:val="24"/>
          <w:sz w:val="28"/>
          <w:highlight w:val="none"/>
        </w:rPr>
        <w:t>；</w:t>
      </w:r>
    </w:p>
    <w:p>
      <w:pPr>
        <w:spacing w:line="360" w:lineRule="auto"/>
        <w:ind w:firstLine="532"/>
        <w:rPr>
          <w:rFonts w:ascii="宋体" w:hAnsi="宋体"/>
          <w:snapToGrid w:val="0"/>
          <w:kern w:val="0"/>
          <w:sz w:val="28"/>
        </w:rPr>
      </w:pPr>
      <w:r>
        <w:rPr>
          <w:rFonts w:hint="eastAsia" w:ascii="宋体" w:hAnsi="宋体"/>
          <w:snapToGrid w:val="0"/>
          <w:kern w:val="0"/>
          <w:sz w:val="28"/>
          <w:lang w:val="en-US" w:eastAsia="zh-CN"/>
        </w:rPr>
        <w:t>四</w:t>
      </w:r>
      <w:r>
        <w:rPr>
          <w:rFonts w:hint="eastAsia" w:ascii="宋体" w:hAnsi="宋体"/>
          <w:snapToGrid w:val="0"/>
          <w:kern w:val="0"/>
          <w:sz w:val="28"/>
        </w:rPr>
        <w:t>、一旦我方中标，</w:t>
      </w:r>
      <w:r>
        <w:rPr>
          <w:rFonts w:hint="eastAsia" w:ascii="宋体" w:hAnsi="宋体"/>
          <w:sz w:val="28"/>
        </w:rPr>
        <w:t>我方</w:t>
      </w:r>
      <w:r>
        <w:rPr>
          <w:rFonts w:hint="eastAsia" w:ascii="宋体" w:hAnsi="宋体"/>
          <w:snapToGrid w:val="0"/>
          <w:kern w:val="0"/>
          <w:sz w:val="28"/>
        </w:rPr>
        <w:t>在全部同意招标文件内容前提下，并保证按</w:t>
      </w:r>
      <w:r>
        <w:rPr>
          <w:rFonts w:hint="eastAsia" w:ascii="宋体" w:hAnsi="宋体"/>
          <w:snapToGrid w:val="0"/>
          <w:kern w:val="0"/>
          <w:sz w:val="28"/>
          <w:lang w:val="en-GB"/>
        </w:rPr>
        <w:t>投标文件的部署</w:t>
      </w:r>
      <w:r>
        <w:rPr>
          <w:rFonts w:hint="eastAsia" w:ascii="宋体" w:hAnsi="宋体"/>
          <w:snapToGrid w:val="0"/>
          <w:kern w:val="0"/>
          <w:sz w:val="28"/>
        </w:rPr>
        <w:t>及时完成全部工程或服务内容，同时保证本投标文件的所有资料真实有效，如有虚假成份，愿承担一切后果。</w:t>
      </w:r>
    </w:p>
    <w:p>
      <w:pPr>
        <w:spacing w:line="360" w:lineRule="auto"/>
        <w:ind w:firstLine="480"/>
        <w:rPr>
          <w:rFonts w:ascii="宋体" w:hAnsi="宋体"/>
          <w:snapToGrid w:val="0"/>
          <w:kern w:val="0"/>
          <w:sz w:val="28"/>
        </w:rPr>
      </w:pPr>
      <w:r>
        <w:rPr>
          <w:rFonts w:hint="eastAsia" w:ascii="宋体" w:hAnsi="宋体"/>
          <w:snapToGrid w:val="0"/>
          <w:kern w:val="0"/>
          <w:sz w:val="28"/>
          <w:lang w:val="en-US" w:eastAsia="zh-CN"/>
        </w:rPr>
        <w:t>五</w:t>
      </w:r>
      <w:r>
        <w:rPr>
          <w:rFonts w:hint="eastAsia" w:ascii="宋体" w:hAnsi="宋体"/>
          <w:snapToGrid w:val="0"/>
          <w:kern w:val="0"/>
          <w:sz w:val="28"/>
        </w:rPr>
        <w:t>、除非另外达成协议并生效，你方的中标通知书和本投标文件将构成约束我们双方的合同。</w:t>
      </w:r>
    </w:p>
    <w:p>
      <w:pPr>
        <w:spacing w:line="360" w:lineRule="auto"/>
        <w:ind w:firstLine="480"/>
        <w:rPr>
          <w:rFonts w:ascii="宋体" w:hAnsi="宋体"/>
          <w:sz w:val="28"/>
        </w:rPr>
      </w:pPr>
      <w:bookmarkStart w:id="986" w:name="_Toc8773"/>
      <w:bookmarkStart w:id="987" w:name="_Toc19844"/>
      <w:r>
        <w:rPr>
          <w:rFonts w:hint="eastAsia" w:ascii="宋体" w:hAnsi="宋体"/>
          <w:snapToGrid w:val="0"/>
          <w:kern w:val="0"/>
          <w:sz w:val="28"/>
          <w:lang w:val="en-US" w:eastAsia="zh-CN"/>
        </w:rPr>
        <w:t>六</w:t>
      </w:r>
      <w:r>
        <w:rPr>
          <w:rFonts w:hint="eastAsia" w:ascii="宋体" w:hAnsi="宋体"/>
          <w:snapToGrid w:val="0"/>
          <w:kern w:val="0"/>
          <w:sz w:val="28"/>
        </w:rPr>
        <w:t>、</w:t>
      </w:r>
      <w:r>
        <w:rPr>
          <w:rFonts w:hint="eastAsia" w:ascii="宋体" w:hAnsi="宋体"/>
          <w:sz w:val="28"/>
        </w:rPr>
        <w:t>我方的投标保证金已按招标文件的要求递交</w:t>
      </w:r>
      <w:r>
        <w:rPr>
          <w:rFonts w:hint="eastAsia" w:ascii="宋体" w:hAnsi="宋体"/>
          <w:snapToGrid w:val="0"/>
          <w:kern w:val="0"/>
          <w:sz w:val="28"/>
        </w:rPr>
        <w:t>。</w:t>
      </w:r>
      <w:bookmarkEnd w:id="986"/>
      <w:bookmarkEnd w:id="987"/>
    </w:p>
    <w:p>
      <w:pPr>
        <w:ind w:firstLine="480"/>
        <w:jc w:val="right"/>
        <w:rPr>
          <w:rFonts w:ascii="宋体" w:hAnsi="宋体"/>
          <w:sz w:val="28"/>
        </w:rPr>
      </w:pPr>
    </w:p>
    <w:p>
      <w:pPr>
        <w:keepNext w:val="0"/>
        <w:keepLines w:val="0"/>
        <w:pageBreakBefore w:val="0"/>
        <w:widowControl w:val="0"/>
        <w:tabs>
          <w:tab w:val="left" w:leader="middleDot" w:pos="8400"/>
        </w:tabs>
        <w:kinsoku/>
        <w:wordWrap/>
        <w:overflowPunct/>
        <w:topLinePunct w:val="0"/>
        <w:autoSpaceDE/>
        <w:autoSpaceDN/>
        <w:bidi w:val="0"/>
        <w:adjustRightInd/>
        <w:snapToGrid/>
        <w:spacing w:line="360" w:lineRule="auto"/>
        <w:ind w:left="3990" w:leftChars="1900"/>
        <w:textAlignment w:val="auto"/>
        <w:rPr>
          <w:rFonts w:ascii="宋体" w:hAnsi="宋体"/>
          <w:sz w:val="28"/>
          <w:szCs w:val="36"/>
          <w:u w:val="single"/>
        </w:rPr>
      </w:pPr>
      <w:bookmarkStart w:id="988" w:name="_Toc50019909"/>
      <w:bookmarkStart w:id="989" w:name="_Toc2869"/>
      <w:r>
        <w:rPr>
          <w:rFonts w:hint="eastAsia" w:ascii="宋体" w:hAnsi="宋体"/>
          <w:sz w:val="28"/>
          <w:szCs w:val="36"/>
        </w:rPr>
        <w:t>投标人</w:t>
      </w:r>
      <w:r>
        <w:rPr>
          <w:rFonts w:hint="eastAsia"/>
          <w:sz w:val="28"/>
          <w:szCs w:val="36"/>
        </w:rPr>
        <w:t>（</w:t>
      </w:r>
      <w:r>
        <w:rPr>
          <w:rFonts w:hint="eastAsia" w:ascii="宋体" w:hAnsi="宋体"/>
          <w:snapToGrid w:val="0"/>
          <w:sz w:val="28"/>
          <w:szCs w:val="36"/>
        </w:rPr>
        <w:t>单位盖章</w:t>
      </w:r>
      <w:r>
        <w:rPr>
          <w:rFonts w:hint="eastAsia"/>
          <w:sz w:val="28"/>
          <w:szCs w:val="36"/>
        </w:rPr>
        <w:t>）</w:t>
      </w:r>
      <w:r>
        <w:rPr>
          <w:rFonts w:hint="eastAsia" w:ascii="宋体" w:hAnsi="宋体"/>
          <w:sz w:val="28"/>
          <w:szCs w:val="36"/>
        </w:rPr>
        <w:t>：</w:t>
      </w:r>
      <w:r>
        <w:rPr>
          <w:rFonts w:ascii="宋体" w:hAnsi="宋体"/>
          <w:sz w:val="28"/>
          <w:szCs w:val="36"/>
          <w:u w:val="single"/>
        </w:rPr>
        <w:t xml:space="preserve">                      </w:t>
      </w:r>
    </w:p>
    <w:p>
      <w:pPr>
        <w:keepNext w:val="0"/>
        <w:keepLines w:val="0"/>
        <w:pageBreakBefore w:val="0"/>
        <w:widowControl w:val="0"/>
        <w:tabs>
          <w:tab w:val="left" w:leader="middleDot" w:pos="8400"/>
        </w:tabs>
        <w:kinsoku/>
        <w:wordWrap/>
        <w:overflowPunct/>
        <w:topLinePunct w:val="0"/>
        <w:autoSpaceDE/>
        <w:autoSpaceDN/>
        <w:bidi w:val="0"/>
        <w:adjustRightInd/>
        <w:snapToGrid/>
        <w:spacing w:line="360" w:lineRule="auto"/>
        <w:ind w:left="3990" w:leftChars="1900"/>
        <w:textAlignment w:val="auto"/>
        <w:rPr>
          <w:rFonts w:ascii="宋体" w:hAnsi="宋体"/>
          <w:sz w:val="28"/>
          <w:szCs w:val="36"/>
        </w:rPr>
      </w:pPr>
      <w:r>
        <w:rPr>
          <w:rFonts w:hint="eastAsia" w:ascii="宋体" w:hAnsi="宋体"/>
          <w:sz w:val="28"/>
          <w:szCs w:val="36"/>
        </w:rPr>
        <w:t>法定代表人（</w:t>
      </w:r>
      <w:r>
        <w:rPr>
          <w:rFonts w:hint="eastAsia" w:ascii="宋体" w:hAnsi="宋体"/>
          <w:sz w:val="28"/>
          <w:szCs w:val="28"/>
        </w:rPr>
        <w:t>签字或盖章</w:t>
      </w:r>
      <w:r>
        <w:rPr>
          <w:rFonts w:hint="eastAsia" w:ascii="宋体" w:hAnsi="宋体"/>
          <w:sz w:val="28"/>
          <w:szCs w:val="36"/>
        </w:rPr>
        <w:t>）：</w:t>
      </w:r>
      <w:r>
        <w:rPr>
          <w:rFonts w:ascii="宋体" w:hAnsi="宋体"/>
          <w:sz w:val="28"/>
          <w:szCs w:val="36"/>
        </w:rPr>
        <w:t xml:space="preserve"> </w:t>
      </w:r>
      <w:r>
        <w:rPr>
          <w:rFonts w:ascii="宋体" w:hAnsi="宋体"/>
          <w:sz w:val="28"/>
          <w:szCs w:val="36"/>
          <w:u w:val="single"/>
        </w:rPr>
        <w:t xml:space="preserve">       </w:t>
      </w:r>
      <w:r>
        <w:rPr>
          <w:rFonts w:hint="eastAsia" w:ascii="宋体" w:hAnsi="宋体"/>
          <w:sz w:val="28"/>
          <w:szCs w:val="36"/>
          <w:u w:val="single"/>
        </w:rPr>
        <w:t xml:space="preserve"> </w:t>
      </w:r>
      <w:r>
        <w:rPr>
          <w:rFonts w:ascii="宋体" w:hAnsi="宋体"/>
          <w:sz w:val="28"/>
          <w:szCs w:val="36"/>
          <w:u w:val="single"/>
        </w:rPr>
        <w:t xml:space="preserve">       </w:t>
      </w:r>
    </w:p>
    <w:p>
      <w:pPr>
        <w:keepNext w:val="0"/>
        <w:keepLines w:val="0"/>
        <w:pageBreakBefore w:val="0"/>
        <w:widowControl w:val="0"/>
        <w:kinsoku/>
        <w:wordWrap/>
        <w:overflowPunct/>
        <w:topLinePunct w:val="0"/>
        <w:autoSpaceDE/>
        <w:autoSpaceDN/>
        <w:bidi w:val="0"/>
        <w:adjustRightInd/>
        <w:snapToGrid/>
        <w:jc w:val="right"/>
        <w:textAlignment w:val="auto"/>
        <w:rPr>
          <w:sz w:val="28"/>
          <w:szCs w:val="36"/>
        </w:rPr>
      </w:pPr>
      <w:r>
        <w:rPr>
          <w:rFonts w:hint="eastAsia" w:ascii="宋体" w:hAnsi="宋体"/>
          <w:sz w:val="28"/>
          <w:szCs w:val="28"/>
        </w:rPr>
        <w:t>日期：           年    月   日</w:t>
      </w:r>
    </w:p>
    <w:p>
      <w:pPr>
        <w:rPr>
          <w:rFonts w:cs="宋体"/>
        </w:rPr>
      </w:pPr>
      <w:r>
        <w:rPr>
          <w:rFonts w:hint="eastAsia" w:cs="宋体"/>
        </w:rPr>
        <w:br w:type="page"/>
      </w:r>
    </w:p>
    <w:p>
      <w:pPr>
        <w:pStyle w:val="124"/>
        <w:ind w:firstLine="141" w:firstLineChars="50"/>
        <w:jc w:val="left"/>
        <w:rPr>
          <w:rFonts w:hint="eastAsia" w:eastAsia="宋体"/>
          <w:lang w:eastAsia="zh-CN"/>
        </w:rPr>
      </w:pPr>
      <w:r>
        <w:rPr>
          <w:rFonts w:hint="eastAsia"/>
        </w:rPr>
        <w:t>格式</w:t>
      </w:r>
      <w:bookmarkEnd w:id="988"/>
      <w:bookmarkEnd w:id="989"/>
      <w:r>
        <w:rPr>
          <w:rFonts w:hint="eastAsia"/>
          <w:lang w:val="en-US" w:eastAsia="zh-CN"/>
        </w:rPr>
        <w:t>三</w:t>
      </w:r>
    </w:p>
    <w:p>
      <w:pPr>
        <w:spacing w:line="400" w:lineRule="exact"/>
        <w:jc w:val="center"/>
        <w:rPr>
          <w:rFonts w:ascii="宋体" w:hAnsi="宋体"/>
          <w:b/>
          <w:bCs/>
          <w:sz w:val="36"/>
          <w:szCs w:val="36"/>
        </w:rPr>
      </w:pPr>
      <w:bookmarkStart w:id="990" w:name="_Toc3446_WPSOffice_Level2"/>
      <w:r>
        <w:rPr>
          <w:rFonts w:hint="eastAsia" w:ascii="宋体" w:hAnsi="宋体"/>
          <w:b/>
          <w:bCs/>
          <w:sz w:val="36"/>
          <w:szCs w:val="36"/>
        </w:rPr>
        <w:t>台州市重点建设项目诚信投标承诺书</w:t>
      </w:r>
      <w:bookmarkEnd w:id="990"/>
    </w:p>
    <w:p>
      <w:pPr>
        <w:adjustRightInd w:val="0"/>
        <w:snapToGrid w:val="0"/>
        <w:spacing w:line="400" w:lineRule="exact"/>
        <w:rPr>
          <w:rFonts w:ascii="宋体" w:hAnsi="宋体"/>
          <w:sz w:val="24"/>
        </w:rPr>
      </w:pPr>
    </w:p>
    <w:p>
      <w:pPr>
        <w:adjustRightInd w:val="0"/>
        <w:snapToGrid w:val="0"/>
        <w:spacing w:line="400" w:lineRule="exact"/>
        <w:ind w:firstLine="430" w:firstLineChars="205"/>
        <w:rPr>
          <w:rFonts w:ascii="宋体" w:hAnsi="宋体"/>
          <w:szCs w:val="21"/>
        </w:rPr>
      </w:pPr>
      <w:r>
        <w:rPr>
          <w:rFonts w:hint="eastAsia" w:ascii="宋体" w:hAnsi="宋体"/>
          <w:szCs w:val="21"/>
        </w:rPr>
        <w:t>本人以企业法定代表人的身份郑重承诺：</w:t>
      </w:r>
    </w:p>
    <w:p>
      <w:pPr>
        <w:adjustRightInd w:val="0"/>
        <w:snapToGrid w:val="0"/>
        <w:spacing w:line="400" w:lineRule="exact"/>
        <w:ind w:firstLine="449" w:firstLineChars="214"/>
        <w:rPr>
          <w:rFonts w:ascii="宋体" w:hAnsi="宋体"/>
          <w:szCs w:val="21"/>
        </w:rPr>
      </w:pPr>
      <w:r>
        <w:rPr>
          <w:rFonts w:hint="eastAsia" w:ascii="宋体" w:hAnsi="宋体"/>
          <w:szCs w:val="21"/>
        </w:rPr>
        <w:t>一、将遵循公开、公平、公正和诚实信用的原则参加</w:t>
      </w:r>
      <w:r>
        <w:rPr>
          <w:rFonts w:hint="eastAsia" w:ascii="宋体" w:hAnsi="宋体"/>
          <w:szCs w:val="21"/>
          <w:u w:val="single"/>
        </w:rPr>
        <w:t>绿色药都产业园配套设施提升工程（北区）（</w:t>
      </w:r>
      <w:r>
        <w:rPr>
          <w:rFonts w:hint="eastAsia" w:ascii="宋体" w:hAnsi="宋体"/>
          <w:szCs w:val="21"/>
          <w:u w:val="single"/>
          <w:lang w:eastAsia="zh-CN"/>
        </w:rPr>
        <w:t>亮化工程</w:t>
      </w:r>
      <w:r>
        <w:rPr>
          <w:rFonts w:hint="eastAsia" w:ascii="宋体" w:hAnsi="宋体"/>
          <w:szCs w:val="21"/>
          <w:u w:val="single"/>
        </w:rPr>
        <w:t>）</w:t>
      </w:r>
      <w:r>
        <w:rPr>
          <w:rFonts w:hint="eastAsia" w:ascii="宋体" w:hAnsi="宋体"/>
          <w:szCs w:val="21"/>
        </w:rPr>
        <w:t>（工程项目名称）的投标；</w:t>
      </w:r>
    </w:p>
    <w:p>
      <w:pPr>
        <w:adjustRightInd w:val="0"/>
        <w:snapToGrid w:val="0"/>
        <w:spacing w:line="400" w:lineRule="exact"/>
        <w:ind w:firstLine="541" w:firstLineChars="258"/>
        <w:rPr>
          <w:rFonts w:ascii="宋体" w:hAnsi="宋体"/>
          <w:szCs w:val="21"/>
        </w:rPr>
      </w:pPr>
      <w:r>
        <w:rPr>
          <w:rFonts w:hint="eastAsia" w:ascii="宋体" w:hAnsi="宋体"/>
          <w:szCs w:val="21"/>
        </w:rPr>
        <w:t>二、所提供的一切材料都是真实、有效、合法的；</w:t>
      </w:r>
    </w:p>
    <w:p>
      <w:pPr>
        <w:adjustRightInd w:val="0"/>
        <w:snapToGrid w:val="0"/>
        <w:spacing w:line="400" w:lineRule="exact"/>
        <w:ind w:firstLine="541" w:firstLineChars="258"/>
        <w:rPr>
          <w:rFonts w:ascii="宋体" w:hAnsi="宋体"/>
          <w:szCs w:val="21"/>
        </w:rPr>
      </w:pPr>
      <w:r>
        <w:rPr>
          <w:rFonts w:hint="eastAsia" w:ascii="宋体" w:hAnsi="宋体"/>
          <w:szCs w:val="21"/>
        </w:rPr>
        <w:t>三、不与其他投标人相互串通投标报价，不排挤其他投标人的公平竞争，不损害招标人或其他投标人的合法权益；</w:t>
      </w:r>
    </w:p>
    <w:p>
      <w:pPr>
        <w:adjustRightInd w:val="0"/>
        <w:snapToGrid w:val="0"/>
        <w:spacing w:line="400" w:lineRule="exact"/>
        <w:ind w:firstLine="541" w:firstLineChars="258"/>
        <w:rPr>
          <w:rFonts w:ascii="宋体" w:hAnsi="宋体"/>
          <w:szCs w:val="21"/>
        </w:rPr>
      </w:pPr>
      <w:r>
        <w:rPr>
          <w:rFonts w:hint="eastAsia" w:ascii="宋体" w:hAnsi="宋体"/>
          <w:szCs w:val="21"/>
        </w:rPr>
        <w:t>四、不与招标人或招标代理机构串通投标，损害国家利益、社会公共利益或者他人的合法权益；</w:t>
      </w:r>
    </w:p>
    <w:p>
      <w:pPr>
        <w:adjustRightInd w:val="0"/>
        <w:snapToGrid w:val="0"/>
        <w:spacing w:line="400" w:lineRule="exact"/>
        <w:ind w:firstLine="541" w:firstLineChars="258"/>
        <w:rPr>
          <w:rFonts w:ascii="宋体" w:hAnsi="宋体"/>
          <w:szCs w:val="21"/>
        </w:rPr>
      </w:pPr>
      <w:r>
        <w:rPr>
          <w:rFonts w:hint="eastAsia" w:ascii="宋体" w:hAnsi="宋体"/>
          <w:szCs w:val="21"/>
        </w:rPr>
        <w:t>五、不向招标人或者评标委员会成员行贿以牟取中标；</w:t>
      </w:r>
    </w:p>
    <w:p>
      <w:pPr>
        <w:adjustRightInd w:val="0"/>
        <w:snapToGrid w:val="0"/>
        <w:spacing w:line="400" w:lineRule="exact"/>
        <w:ind w:firstLine="541" w:firstLineChars="258"/>
        <w:rPr>
          <w:rFonts w:ascii="宋体" w:hAnsi="宋体"/>
          <w:szCs w:val="21"/>
        </w:rPr>
      </w:pPr>
      <w:r>
        <w:rPr>
          <w:rFonts w:hint="eastAsia" w:ascii="宋体" w:hAnsi="宋体"/>
          <w:szCs w:val="21"/>
        </w:rPr>
        <w:t>六、不以他人名义投标或者以其他方式弄虚作假，骗取中标；</w:t>
      </w:r>
    </w:p>
    <w:p>
      <w:pPr>
        <w:adjustRightInd w:val="0"/>
        <w:snapToGrid w:val="0"/>
        <w:spacing w:line="400" w:lineRule="exact"/>
        <w:ind w:firstLine="541" w:firstLineChars="258"/>
        <w:rPr>
          <w:rFonts w:ascii="宋体" w:hAnsi="宋体"/>
          <w:szCs w:val="21"/>
        </w:rPr>
      </w:pPr>
      <w:r>
        <w:rPr>
          <w:rFonts w:hint="eastAsia" w:ascii="宋体" w:hAnsi="宋体"/>
          <w:szCs w:val="21"/>
        </w:rPr>
        <w:t>七、本公司安全生产条件及相关管理人员（包括 A 类人员、拟派的项目负责人和施工现场专职安全生产管理人员）安全生产任职资格符合相关规定；</w:t>
      </w:r>
    </w:p>
    <w:p>
      <w:pPr>
        <w:adjustRightInd w:val="0"/>
        <w:snapToGrid w:val="0"/>
        <w:spacing w:line="400" w:lineRule="exact"/>
        <w:ind w:firstLine="541" w:firstLineChars="258"/>
        <w:rPr>
          <w:rFonts w:ascii="宋体" w:hAnsi="宋体"/>
          <w:szCs w:val="21"/>
        </w:rPr>
      </w:pPr>
      <w:r>
        <w:rPr>
          <w:rFonts w:hint="eastAsia" w:ascii="宋体" w:hAnsi="宋体"/>
          <w:szCs w:val="21"/>
        </w:rPr>
        <w:t>八、我单位在投标前，及时维护更新“浙江省建筑市场监管公共服务系统”相关信息，并对企业资质、人员资格等信息的真实性、准确性、完整性负责；</w:t>
      </w:r>
    </w:p>
    <w:p>
      <w:pPr>
        <w:adjustRightInd w:val="0"/>
        <w:snapToGrid w:val="0"/>
        <w:spacing w:line="400" w:lineRule="exact"/>
        <w:ind w:firstLine="541" w:firstLineChars="258"/>
        <w:rPr>
          <w:rFonts w:ascii="宋体" w:hAnsi="宋体"/>
          <w:szCs w:val="21"/>
        </w:rPr>
      </w:pPr>
      <w:r>
        <w:rPr>
          <w:rFonts w:hint="eastAsia" w:ascii="宋体" w:hAnsi="宋体"/>
          <w:szCs w:val="21"/>
        </w:rPr>
        <w:t>九、我单位在投标截止时间至中标通知书发出之日，资质条件在“浙江省建筑市场监管公共服务系统”上动态核查结果处于“合格”状态，若为“不合格”状态同意作否决投标处理或取消中标资格；</w:t>
      </w:r>
    </w:p>
    <w:p>
      <w:pPr>
        <w:adjustRightInd w:val="0"/>
        <w:snapToGrid w:val="0"/>
        <w:spacing w:line="400" w:lineRule="exact"/>
        <w:ind w:firstLine="541" w:firstLineChars="258"/>
        <w:rPr>
          <w:rFonts w:ascii="宋体" w:hAnsi="宋体"/>
          <w:szCs w:val="21"/>
        </w:rPr>
      </w:pPr>
      <w:r>
        <w:rPr>
          <w:rFonts w:hint="eastAsia" w:ascii="宋体" w:hAnsi="宋体"/>
          <w:szCs w:val="21"/>
        </w:rPr>
        <w:t>十、拟派项目负责人和本单位没有被人民法院列入限制失信被执行人名单和自投标文件提交截止之日上溯 3 年内没有行贿犯罪记录；</w:t>
      </w:r>
    </w:p>
    <w:p>
      <w:pPr>
        <w:adjustRightInd w:val="0"/>
        <w:snapToGrid w:val="0"/>
        <w:spacing w:line="400" w:lineRule="exact"/>
        <w:ind w:firstLine="541" w:firstLineChars="258"/>
        <w:rPr>
          <w:rFonts w:ascii="宋体" w:hAnsi="宋体"/>
          <w:szCs w:val="21"/>
        </w:rPr>
      </w:pPr>
      <w:r>
        <w:rPr>
          <w:rFonts w:hint="eastAsia" w:ascii="宋体" w:hAnsi="宋体"/>
          <w:szCs w:val="21"/>
        </w:rPr>
        <w:t>十一、未被建设行政主管部门列入严重失信黑名单、经营异常名录、严重违法失信名单或限制参加投标；</w:t>
      </w:r>
    </w:p>
    <w:p>
      <w:pPr>
        <w:adjustRightInd w:val="0"/>
        <w:snapToGrid w:val="0"/>
        <w:spacing w:line="400" w:lineRule="exact"/>
        <w:ind w:firstLine="541" w:firstLineChars="258"/>
        <w:rPr>
          <w:rFonts w:ascii="宋体" w:hAnsi="宋体"/>
          <w:szCs w:val="21"/>
          <w:u w:val="single"/>
        </w:rPr>
      </w:pPr>
      <w:r>
        <w:rPr>
          <w:rFonts w:hint="eastAsia" w:ascii="宋体" w:hAnsi="宋体"/>
          <w:szCs w:val="21"/>
          <w:u w:val="single"/>
        </w:rPr>
        <w:t>十二、本公司的投标资格已按照招标文件约定的逐条自查，并如实填写。如招标人需要调查了解的，本公司负责本次投标的主管人员（分管经营的副总）将积极配合。主管人员：       ，手机号码：        。投标文件编制人员：        ，手机号码：         。</w:t>
      </w:r>
    </w:p>
    <w:p>
      <w:pPr>
        <w:adjustRightInd w:val="0"/>
        <w:snapToGrid w:val="0"/>
        <w:spacing w:line="400" w:lineRule="exact"/>
        <w:ind w:firstLine="541" w:firstLineChars="258"/>
        <w:rPr>
          <w:rFonts w:ascii="宋体" w:hAnsi="宋体"/>
          <w:szCs w:val="21"/>
        </w:rPr>
      </w:pPr>
      <w:r>
        <w:rPr>
          <w:rFonts w:hint="eastAsia" w:ascii="宋体" w:hAnsi="宋体"/>
          <w:szCs w:val="21"/>
        </w:rPr>
        <w:t>本公司若有违反本承诺内容的行为，愿意承担法律责任，并愿意接受投标保证金不予退还的处理及招投标行政监督部门的任何处理。如已中标的，自动放弃中标资格；给招标人造成损失的，依法承担赔偿责任。</w:t>
      </w:r>
    </w:p>
    <w:p>
      <w:pPr>
        <w:adjustRightInd w:val="0"/>
        <w:snapToGrid w:val="0"/>
        <w:spacing w:line="600" w:lineRule="exact"/>
        <w:ind w:firstLine="2940" w:firstLineChars="1400"/>
        <w:rPr>
          <w:rFonts w:ascii="宋体" w:hAnsi="宋体"/>
          <w:szCs w:val="21"/>
        </w:rPr>
      </w:pPr>
    </w:p>
    <w:p>
      <w:pPr>
        <w:tabs>
          <w:tab w:val="left" w:leader="middleDot" w:pos="8400"/>
        </w:tabs>
        <w:spacing w:line="360" w:lineRule="auto"/>
        <w:ind w:left="3990" w:leftChars="1900"/>
        <w:rPr>
          <w:rFonts w:ascii="宋体" w:hAnsi="宋体"/>
          <w:u w:val="single"/>
        </w:rPr>
      </w:pPr>
      <w:r>
        <w:rPr>
          <w:rFonts w:hint="eastAsia" w:ascii="宋体" w:hAnsi="宋体"/>
        </w:rPr>
        <w:t>投标人</w:t>
      </w:r>
      <w:r>
        <w:rPr>
          <w:rFonts w:hint="eastAsia"/>
        </w:rPr>
        <w:t>（</w:t>
      </w:r>
      <w:r>
        <w:rPr>
          <w:rFonts w:hint="eastAsia" w:ascii="宋体" w:hAnsi="宋体"/>
          <w:snapToGrid w:val="0"/>
        </w:rPr>
        <w:t>单位盖章</w:t>
      </w:r>
      <w:r>
        <w:rPr>
          <w:rFonts w:hint="eastAsia"/>
        </w:rPr>
        <w:t>）</w:t>
      </w:r>
      <w:r>
        <w:rPr>
          <w:rFonts w:hint="eastAsia" w:ascii="宋体" w:hAnsi="宋体"/>
        </w:rPr>
        <w:t>：</w:t>
      </w:r>
      <w:r>
        <w:rPr>
          <w:rFonts w:ascii="宋体" w:hAnsi="宋体"/>
          <w:u w:val="single"/>
        </w:rPr>
        <w:t xml:space="preserve">                      </w:t>
      </w:r>
    </w:p>
    <w:p>
      <w:pPr>
        <w:tabs>
          <w:tab w:val="left" w:leader="middleDot" w:pos="8400"/>
        </w:tabs>
        <w:spacing w:line="360" w:lineRule="auto"/>
        <w:ind w:left="3990" w:leftChars="1900"/>
        <w:rPr>
          <w:rFonts w:ascii="宋体" w:hAnsi="宋体"/>
        </w:rPr>
      </w:pPr>
      <w:r>
        <w:rPr>
          <w:rFonts w:hint="eastAsia" w:ascii="宋体" w:hAnsi="宋体"/>
        </w:rPr>
        <w:t>法定代表人（</w:t>
      </w:r>
      <w:r>
        <w:rPr>
          <w:rFonts w:hint="eastAsia" w:ascii="宋体" w:hAnsi="宋体"/>
          <w:szCs w:val="21"/>
        </w:rPr>
        <w:t>签字或盖章</w:t>
      </w:r>
      <w:r>
        <w:rPr>
          <w:rFonts w:hint="eastAsia" w:ascii="宋体" w:hAnsi="宋体"/>
        </w:rPr>
        <w:t>）：</w:t>
      </w:r>
      <w:r>
        <w:rPr>
          <w:rFonts w:ascii="宋体" w:hAnsi="宋体"/>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tabs>
          <w:tab w:val="left" w:leader="middleDot" w:pos="8400"/>
        </w:tabs>
        <w:spacing w:line="360" w:lineRule="auto"/>
        <w:ind w:left="3990" w:leftChars="1900"/>
      </w:pPr>
      <w:r>
        <w:rPr>
          <w:rFonts w:hint="eastAsia" w:ascii="宋体" w:hAnsi="宋体"/>
          <w:szCs w:val="21"/>
        </w:rPr>
        <w:t>日期：           年    月   日</w:t>
      </w:r>
    </w:p>
    <w:p>
      <w:pPr>
        <w:rPr>
          <w:rFonts w:cs="宋体"/>
        </w:rPr>
      </w:pPr>
      <w:bookmarkStart w:id="991" w:name="_Toc32726"/>
      <w:bookmarkStart w:id="992" w:name="_Toc50019910"/>
      <w:r>
        <w:rPr>
          <w:rFonts w:hint="eastAsia" w:cs="宋体"/>
        </w:rPr>
        <w:br w:type="page"/>
      </w:r>
    </w:p>
    <w:p>
      <w:pPr>
        <w:pStyle w:val="124"/>
        <w:ind w:firstLine="141" w:firstLineChars="50"/>
        <w:jc w:val="left"/>
      </w:pPr>
      <w:r>
        <w:rPr>
          <w:rFonts w:hint="eastAsia"/>
        </w:rPr>
        <w:t>格式四</w:t>
      </w:r>
    </w:p>
    <w:p>
      <w:pPr>
        <w:pStyle w:val="124"/>
        <w:ind w:firstLine="141" w:firstLineChars="50"/>
        <w:jc w:val="left"/>
      </w:pPr>
    </w:p>
    <w:p>
      <w:pPr>
        <w:spacing w:line="400" w:lineRule="exact"/>
        <w:jc w:val="center"/>
        <w:rPr>
          <w:rFonts w:ascii="宋体" w:hAnsi="宋体"/>
          <w:sz w:val="28"/>
          <w:szCs w:val="28"/>
        </w:rPr>
      </w:pPr>
      <w:r>
        <w:rPr>
          <w:rFonts w:hint="eastAsia" w:ascii="宋体" w:hAnsi="宋体"/>
          <w:sz w:val="28"/>
          <w:szCs w:val="28"/>
        </w:rPr>
        <w:t>绿色药都产业园配套设施提升工程（北区）（</w:t>
      </w:r>
      <w:r>
        <w:rPr>
          <w:rFonts w:hint="eastAsia" w:ascii="宋体" w:hAnsi="宋体"/>
          <w:sz w:val="28"/>
          <w:szCs w:val="28"/>
          <w:lang w:eastAsia="zh-CN"/>
        </w:rPr>
        <w:t>亮化工程</w:t>
      </w:r>
      <w:r>
        <w:rPr>
          <w:rFonts w:hint="eastAsia" w:ascii="宋体" w:hAnsi="宋体"/>
          <w:sz w:val="28"/>
          <w:szCs w:val="28"/>
        </w:rPr>
        <w:t>）</w:t>
      </w:r>
    </w:p>
    <w:p>
      <w:pPr>
        <w:spacing w:line="400" w:lineRule="exact"/>
        <w:jc w:val="center"/>
        <w:rPr>
          <w:rFonts w:ascii="宋体" w:hAnsi="宋体"/>
          <w:sz w:val="28"/>
          <w:szCs w:val="28"/>
        </w:rPr>
      </w:pPr>
      <w:bookmarkStart w:id="993" w:name="_Toc8588_WPSOffice_Level2"/>
      <w:r>
        <w:rPr>
          <w:rFonts w:hint="eastAsia" w:ascii="宋体" w:hAnsi="宋体"/>
          <w:sz w:val="28"/>
          <w:szCs w:val="28"/>
        </w:rPr>
        <w:t>项目负责人简历表</w:t>
      </w:r>
      <w:bookmarkEnd w:id="993"/>
    </w:p>
    <w:p>
      <w:pPr>
        <w:spacing w:line="400" w:lineRule="exact"/>
        <w:jc w:val="center"/>
        <w:rPr>
          <w:rFonts w:ascii="宋体" w:hAnsi="宋体"/>
          <w:sz w:val="28"/>
          <w:szCs w:val="28"/>
        </w:rPr>
      </w:pPr>
    </w:p>
    <w:tbl>
      <w:tblPr>
        <w:tblStyle w:val="44"/>
        <w:tblW w:w="0" w:type="auto"/>
        <w:tblInd w:w="0"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姓名</w:t>
            </w:r>
          </w:p>
        </w:tc>
        <w:tc>
          <w:tcPr>
            <w:tcW w:w="9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894"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性别</w:t>
            </w:r>
          </w:p>
        </w:tc>
        <w:tc>
          <w:tcPr>
            <w:tcW w:w="1089"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116"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年龄</w:t>
            </w:r>
          </w:p>
        </w:tc>
        <w:tc>
          <w:tcPr>
            <w:tcW w:w="933"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72"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专业</w:t>
            </w:r>
          </w:p>
        </w:tc>
        <w:tc>
          <w:tcPr>
            <w:tcW w:w="1352"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89"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72"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学历</w:t>
            </w:r>
          </w:p>
        </w:tc>
        <w:tc>
          <w:tcPr>
            <w:tcW w:w="1352"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ind w:left="-36" w:leftChars="-137" w:hanging="252" w:hangingChars="120"/>
              <w:jc w:val="left"/>
              <w:rPr>
                <w:rFonts w:ascii="宋体" w:hAnsi="宋体" w:cs="宋体"/>
                <w:kern w:val="0"/>
                <w:szCs w:val="21"/>
              </w:rPr>
            </w:pPr>
          </w:p>
        </w:tc>
        <w:tc>
          <w:tcPr>
            <w:tcW w:w="302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从事项目负责人年限</w:t>
            </w:r>
          </w:p>
        </w:tc>
        <w:tc>
          <w:tcPr>
            <w:tcW w:w="1352" w:type="dxa"/>
            <w:tcBorders>
              <w:top w:val="nil"/>
              <w:left w:val="nil"/>
              <w:bottom w:val="single" w:color="000000" w:sz="4" w:space="0"/>
              <w:right w:val="single" w:color="000000" w:sz="4" w:space="0"/>
            </w:tcBorders>
            <w:shd w:val="clear" w:color="auto" w:fill="FFFFFF"/>
            <w:vAlign w:val="center"/>
          </w:tcPr>
          <w:p>
            <w:pPr>
              <w:widowControl/>
              <w:spacing w:line="400" w:lineRule="exact"/>
              <w:jc w:val="left"/>
              <w:rPr>
                <w:rFonts w:ascii="宋体" w:hAnsi="宋体" w:cs="宋体"/>
                <w:kern w:val="0"/>
                <w:szCs w:val="21"/>
              </w:rPr>
            </w:pP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116"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简</w:t>
            </w: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r>
              <w:rPr>
                <w:rFonts w:hint="eastAsia" w:ascii="宋体" w:hAnsi="宋体" w:cs="宋体"/>
                <w:kern w:val="0"/>
                <w:szCs w:val="21"/>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spacing w:line="400" w:lineRule="exact"/>
              <w:jc w:val="left"/>
              <w:rPr>
                <w:rFonts w:ascii="宋体" w:hAnsi="宋体" w:cs="宋体"/>
                <w:kern w:val="0"/>
                <w:szCs w:val="21"/>
              </w:rPr>
            </w:pPr>
          </w:p>
        </w:tc>
      </w:tr>
      <w:tr>
        <w:tblPrEx>
          <w:tblCellMar>
            <w:top w:w="0" w:type="dxa"/>
            <w:left w:w="108" w:type="dxa"/>
            <w:bottom w:w="0" w:type="dxa"/>
            <w:right w:w="108" w:type="dxa"/>
          </w:tblCellMar>
        </w:tblPrEx>
        <w:trPr>
          <w:trHeight w:val="400" w:hRule="atLeast"/>
        </w:trPr>
        <w:tc>
          <w:tcPr>
            <w:tcW w:w="1089"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kern w:val="0"/>
                <w:szCs w:val="21"/>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kern w:val="0"/>
                <w:szCs w:val="21"/>
              </w:rPr>
            </w:pPr>
          </w:p>
        </w:tc>
      </w:tr>
    </w:tbl>
    <w:p>
      <w:pPr>
        <w:tabs>
          <w:tab w:val="left" w:leader="middleDot" w:pos="8400"/>
        </w:tabs>
        <w:spacing w:line="360" w:lineRule="auto"/>
        <w:ind w:firstLine="3360" w:firstLineChars="1600"/>
        <w:rPr>
          <w:rFonts w:ascii="宋体" w:hAnsi="宋体"/>
        </w:rPr>
      </w:pPr>
    </w:p>
    <w:p>
      <w:pPr>
        <w:tabs>
          <w:tab w:val="left" w:leader="middleDot" w:pos="8400"/>
        </w:tabs>
        <w:spacing w:line="360" w:lineRule="auto"/>
        <w:ind w:left="3990" w:leftChars="1900"/>
        <w:rPr>
          <w:rFonts w:ascii="宋体" w:hAnsi="宋体"/>
          <w:u w:val="single"/>
        </w:rPr>
      </w:pPr>
      <w:bookmarkStart w:id="994" w:name="_Toc27777"/>
      <w:bookmarkStart w:id="995" w:name="_Toc10326_WPSOffice_Level1"/>
      <w:bookmarkStart w:id="996" w:name="_Toc4563"/>
      <w:bookmarkStart w:id="997" w:name="_Toc8272"/>
      <w:bookmarkStart w:id="998" w:name="_Toc17382"/>
      <w:bookmarkStart w:id="999" w:name="_Toc30943"/>
      <w:bookmarkStart w:id="1000" w:name="_Toc27665"/>
      <w:bookmarkStart w:id="1001" w:name="_Toc6481"/>
      <w:bookmarkStart w:id="1002" w:name="_Toc465323967"/>
      <w:r>
        <w:rPr>
          <w:rFonts w:hint="eastAsia" w:ascii="宋体" w:hAnsi="宋体"/>
        </w:rPr>
        <w:t>投标人</w:t>
      </w:r>
      <w:r>
        <w:rPr>
          <w:rFonts w:hint="eastAsia"/>
        </w:rPr>
        <w:t>（</w:t>
      </w:r>
      <w:r>
        <w:rPr>
          <w:rFonts w:hint="eastAsia" w:ascii="宋体" w:hAnsi="宋体"/>
          <w:snapToGrid w:val="0"/>
        </w:rPr>
        <w:t>单位盖章</w:t>
      </w:r>
      <w:r>
        <w:rPr>
          <w:rFonts w:hint="eastAsia"/>
        </w:rPr>
        <w:t>）</w:t>
      </w:r>
      <w:r>
        <w:rPr>
          <w:rFonts w:hint="eastAsia" w:ascii="宋体" w:hAnsi="宋体"/>
        </w:rPr>
        <w:t>：</w:t>
      </w:r>
      <w:r>
        <w:rPr>
          <w:rFonts w:ascii="宋体" w:hAnsi="宋体"/>
          <w:u w:val="single"/>
        </w:rPr>
        <w:t xml:space="preserve">                      </w:t>
      </w:r>
    </w:p>
    <w:p>
      <w:pPr>
        <w:tabs>
          <w:tab w:val="left" w:leader="middleDot" w:pos="8400"/>
        </w:tabs>
        <w:spacing w:line="360" w:lineRule="auto"/>
        <w:ind w:left="3990" w:leftChars="1900"/>
        <w:rPr>
          <w:rFonts w:ascii="宋体" w:hAnsi="宋体"/>
        </w:rPr>
      </w:pPr>
      <w:r>
        <w:rPr>
          <w:rFonts w:hint="eastAsia" w:ascii="宋体" w:hAnsi="宋体"/>
        </w:rPr>
        <w:t>法定代表人（</w:t>
      </w:r>
      <w:r>
        <w:rPr>
          <w:rFonts w:hint="eastAsia" w:ascii="宋体" w:hAnsi="宋体"/>
          <w:szCs w:val="21"/>
        </w:rPr>
        <w:t>签字或盖章</w:t>
      </w:r>
      <w:r>
        <w:rPr>
          <w:rFonts w:hint="eastAsia" w:ascii="宋体" w:hAnsi="宋体"/>
        </w:rPr>
        <w:t>）：</w:t>
      </w:r>
      <w:r>
        <w:rPr>
          <w:rFonts w:ascii="宋体" w:hAnsi="宋体"/>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tabs>
          <w:tab w:val="left" w:leader="middleDot" w:pos="8400"/>
        </w:tabs>
        <w:spacing w:line="360" w:lineRule="auto"/>
        <w:ind w:left="3990" w:leftChars="1900"/>
      </w:pPr>
      <w:r>
        <w:rPr>
          <w:rFonts w:hint="eastAsia" w:ascii="宋体" w:hAnsi="宋体"/>
          <w:szCs w:val="21"/>
        </w:rPr>
        <w:t>日期：           年    月   日</w:t>
      </w:r>
    </w:p>
    <w:p>
      <w:pPr>
        <w:keepNext/>
        <w:keepLines/>
        <w:spacing w:before="100" w:line="400" w:lineRule="exact"/>
        <w:outlineLvl w:val="9"/>
        <w:rPr>
          <w:rFonts w:cs="宋体"/>
          <w:b/>
          <w:sz w:val="28"/>
          <w:szCs w:val="28"/>
        </w:rPr>
      </w:pPr>
      <w:r>
        <w:rPr>
          <w:rFonts w:hint="eastAsia" w:ascii="宋体" w:hAnsi="宋体" w:eastAsia="黑体" w:cs="宋体"/>
          <w:b/>
          <w:bCs/>
          <w:sz w:val="24"/>
        </w:rPr>
        <w:br w:type="page"/>
      </w:r>
      <w:bookmarkEnd w:id="994"/>
      <w:bookmarkEnd w:id="995"/>
      <w:bookmarkEnd w:id="996"/>
      <w:bookmarkEnd w:id="997"/>
      <w:bookmarkEnd w:id="998"/>
      <w:bookmarkEnd w:id="999"/>
      <w:bookmarkEnd w:id="1000"/>
      <w:bookmarkEnd w:id="1001"/>
      <w:bookmarkEnd w:id="1002"/>
      <w:r>
        <w:rPr>
          <w:rFonts w:hint="eastAsia" w:cs="宋体"/>
          <w:b/>
          <w:sz w:val="28"/>
          <w:szCs w:val="28"/>
        </w:rPr>
        <w:t>格式五</w:t>
      </w:r>
    </w:p>
    <w:p>
      <w:pPr>
        <w:spacing w:line="400" w:lineRule="exact"/>
        <w:jc w:val="center"/>
        <w:rPr>
          <w:rFonts w:ascii="宋体" w:hAnsi="宋体"/>
          <w:sz w:val="24"/>
        </w:rPr>
      </w:pPr>
    </w:p>
    <w:p>
      <w:pPr>
        <w:spacing w:line="400" w:lineRule="exact"/>
        <w:jc w:val="center"/>
        <w:rPr>
          <w:rFonts w:ascii="宋体" w:hAnsi="宋体"/>
          <w:sz w:val="28"/>
          <w:szCs w:val="28"/>
        </w:rPr>
      </w:pPr>
      <w:r>
        <w:rPr>
          <w:rFonts w:hint="eastAsia" w:ascii="宋体" w:hAnsi="宋体"/>
          <w:sz w:val="28"/>
          <w:szCs w:val="28"/>
        </w:rPr>
        <w:t>绿色药都产业园配套设施提升工程（北区）（</w:t>
      </w:r>
      <w:r>
        <w:rPr>
          <w:rFonts w:hint="eastAsia" w:ascii="宋体" w:hAnsi="宋体"/>
          <w:sz w:val="28"/>
          <w:szCs w:val="28"/>
          <w:lang w:eastAsia="zh-CN"/>
        </w:rPr>
        <w:t>亮化工程</w:t>
      </w:r>
      <w:r>
        <w:rPr>
          <w:rFonts w:hint="eastAsia" w:ascii="宋体" w:hAnsi="宋体"/>
          <w:sz w:val="28"/>
          <w:szCs w:val="28"/>
        </w:rPr>
        <w:t>）</w:t>
      </w:r>
    </w:p>
    <w:p>
      <w:pPr>
        <w:spacing w:line="400" w:lineRule="exact"/>
        <w:jc w:val="center"/>
        <w:rPr>
          <w:rFonts w:ascii="宋体" w:hAnsi="宋体"/>
          <w:sz w:val="28"/>
          <w:szCs w:val="28"/>
        </w:rPr>
      </w:pPr>
      <w:bookmarkStart w:id="1003" w:name="_Toc27635_WPSOffice_Level2"/>
      <w:r>
        <w:rPr>
          <w:rFonts w:hint="eastAsia" w:ascii="宋体" w:hAnsi="宋体"/>
          <w:sz w:val="28"/>
          <w:szCs w:val="28"/>
        </w:rPr>
        <w:t>技术负责人简历表</w:t>
      </w:r>
      <w:bookmarkEnd w:id="1003"/>
    </w:p>
    <w:p>
      <w:pPr>
        <w:spacing w:line="400" w:lineRule="exact"/>
        <w:jc w:val="center"/>
        <w:rPr>
          <w:rFonts w:ascii="宋体" w:hAnsi="宋体"/>
          <w:sz w:val="28"/>
          <w:szCs w:val="28"/>
        </w:rPr>
      </w:pPr>
    </w:p>
    <w:tbl>
      <w:tblPr>
        <w:tblStyle w:val="44"/>
        <w:tblW w:w="0" w:type="auto"/>
        <w:tblInd w:w="0"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姓名</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性别</w:t>
            </w:r>
          </w:p>
        </w:tc>
        <w:tc>
          <w:tcPr>
            <w:tcW w:w="70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8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年龄</w:t>
            </w:r>
          </w:p>
        </w:tc>
        <w:tc>
          <w:tcPr>
            <w:tcW w:w="98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8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专业</w:t>
            </w:r>
          </w:p>
        </w:tc>
        <w:tc>
          <w:tcPr>
            <w:tcW w:w="150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职称</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80"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学历</w:t>
            </w:r>
          </w:p>
        </w:tc>
        <w:tc>
          <w:tcPr>
            <w:tcW w:w="1500"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2880"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从事技术负责人年限</w:t>
            </w:r>
          </w:p>
        </w:tc>
        <w:tc>
          <w:tcPr>
            <w:tcW w:w="1500" w:type="dxa"/>
            <w:tcBorders>
              <w:top w:val="nil"/>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7935" w:hRule="atLeast"/>
        </w:trPr>
        <w:tc>
          <w:tcPr>
            <w:tcW w:w="1140" w:type="dxa"/>
            <w:tcBorders>
              <w:top w:val="nil"/>
              <w:left w:val="single" w:color="000000" w:sz="4" w:space="0"/>
              <w:bottom w:val="single" w:color="auto"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简</w:t>
            </w: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p>
          <w:p>
            <w:pPr>
              <w:widowControl/>
              <w:spacing w:line="400" w:lineRule="exact"/>
              <w:jc w:val="center"/>
              <w:rPr>
                <w:rFonts w:ascii="宋体" w:hAnsi="宋体" w:cs="宋体"/>
                <w:kern w:val="0"/>
                <w:szCs w:val="21"/>
              </w:rPr>
            </w:pPr>
            <w:r>
              <w:rPr>
                <w:rFonts w:hint="eastAsia" w:ascii="宋体" w:hAnsi="宋体" w:cs="宋体"/>
                <w:kern w:val="0"/>
                <w:szCs w:val="21"/>
              </w:rPr>
              <w:t>历</w:t>
            </w:r>
          </w:p>
        </w:tc>
        <w:tc>
          <w:tcPr>
            <w:tcW w:w="7380" w:type="dxa"/>
            <w:gridSpan w:val="7"/>
            <w:tcBorders>
              <w:top w:val="single" w:color="000000" w:sz="4" w:space="0"/>
              <w:left w:val="nil"/>
              <w:bottom w:val="single" w:color="auto" w:sz="4" w:space="0"/>
              <w:right w:val="single" w:color="000000" w:sz="4" w:space="0"/>
            </w:tcBorders>
            <w:shd w:val="clear" w:color="auto" w:fill="FFFFFF"/>
          </w:tcPr>
          <w:p>
            <w:pPr>
              <w:widowControl/>
              <w:spacing w:line="400" w:lineRule="exact"/>
              <w:jc w:val="left"/>
              <w:rPr>
                <w:rFonts w:ascii="宋体" w:hAnsi="宋体" w:cs="宋体"/>
                <w:kern w:val="0"/>
                <w:szCs w:val="21"/>
              </w:rPr>
            </w:pPr>
          </w:p>
        </w:tc>
      </w:tr>
    </w:tbl>
    <w:p>
      <w:pPr>
        <w:tabs>
          <w:tab w:val="left" w:leader="middleDot" w:pos="8400"/>
        </w:tabs>
        <w:spacing w:line="360" w:lineRule="auto"/>
        <w:ind w:firstLine="3360" w:firstLineChars="1600"/>
        <w:rPr>
          <w:rFonts w:ascii="宋体" w:hAnsi="宋体"/>
        </w:rPr>
      </w:pPr>
    </w:p>
    <w:p>
      <w:pPr>
        <w:tabs>
          <w:tab w:val="left" w:leader="middleDot" w:pos="8400"/>
        </w:tabs>
        <w:spacing w:line="360" w:lineRule="auto"/>
        <w:ind w:left="3990" w:leftChars="1900"/>
        <w:rPr>
          <w:rFonts w:ascii="宋体" w:hAnsi="宋体"/>
          <w:u w:val="single"/>
        </w:rPr>
      </w:pPr>
      <w:r>
        <w:rPr>
          <w:rFonts w:hint="eastAsia" w:ascii="宋体" w:hAnsi="宋体"/>
        </w:rPr>
        <w:t>投标人</w:t>
      </w:r>
      <w:r>
        <w:rPr>
          <w:rFonts w:hint="eastAsia"/>
        </w:rPr>
        <w:t>（</w:t>
      </w:r>
      <w:r>
        <w:rPr>
          <w:rFonts w:hint="eastAsia" w:ascii="宋体" w:hAnsi="宋体"/>
          <w:snapToGrid w:val="0"/>
        </w:rPr>
        <w:t>单位盖章</w:t>
      </w:r>
      <w:r>
        <w:rPr>
          <w:rFonts w:hint="eastAsia"/>
        </w:rPr>
        <w:t>）</w:t>
      </w:r>
      <w:r>
        <w:rPr>
          <w:rFonts w:hint="eastAsia" w:ascii="宋体" w:hAnsi="宋体"/>
        </w:rPr>
        <w:t>：</w:t>
      </w:r>
      <w:r>
        <w:rPr>
          <w:rFonts w:ascii="宋体" w:hAnsi="宋体"/>
          <w:u w:val="single"/>
        </w:rPr>
        <w:t xml:space="preserve">                      </w:t>
      </w:r>
    </w:p>
    <w:p>
      <w:pPr>
        <w:tabs>
          <w:tab w:val="left" w:leader="middleDot" w:pos="8400"/>
        </w:tabs>
        <w:spacing w:line="360" w:lineRule="auto"/>
        <w:ind w:left="3990" w:leftChars="1900"/>
        <w:rPr>
          <w:rFonts w:ascii="宋体" w:hAnsi="宋体"/>
        </w:rPr>
      </w:pPr>
      <w:r>
        <w:rPr>
          <w:rFonts w:hint="eastAsia" w:ascii="宋体" w:hAnsi="宋体"/>
        </w:rPr>
        <w:t>法定代表人（</w:t>
      </w:r>
      <w:r>
        <w:rPr>
          <w:rFonts w:hint="eastAsia" w:ascii="宋体" w:hAnsi="宋体"/>
          <w:szCs w:val="21"/>
        </w:rPr>
        <w:t>签字或盖章</w:t>
      </w:r>
      <w:r>
        <w:rPr>
          <w:rFonts w:hint="eastAsia" w:ascii="宋体" w:hAnsi="宋体"/>
        </w:rPr>
        <w:t>）：</w:t>
      </w:r>
      <w:r>
        <w:rPr>
          <w:rFonts w:ascii="宋体" w:hAnsi="宋体"/>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tabs>
          <w:tab w:val="left" w:leader="middleDot" w:pos="8400"/>
        </w:tabs>
        <w:spacing w:line="360" w:lineRule="auto"/>
        <w:ind w:left="3990" w:leftChars="1900"/>
      </w:pPr>
      <w:r>
        <w:rPr>
          <w:rFonts w:hint="eastAsia" w:ascii="宋体" w:hAnsi="宋体"/>
          <w:szCs w:val="21"/>
        </w:rPr>
        <w:t>日期：           年    月   日</w:t>
      </w:r>
    </w:p>
    <w:p>
      <w:pPr>
        <w:ind w:firstLine="3360" w:firstLineChars="1600"/>
        <w:rPr>
          <w:rFonts w:cs="宋体"/>
        </w:rPr>
      </w:pPr>
    </w:p>
    <w:p>
      <w:pPr>
        <w:pStyle w:val="124"/>
        <w:ind w:firstLine="141" w:firstLineChars="50"/>
        <w:jc w:val="left"/>
      </w:pPr>
      <w:r>
        <w:rPr>
          <w:rFonts w:hint="eastAsia"/>
        </w:rPr>
        <w:t>格式</w:t>
      </w:r>
      <w:bookmarkEnd w:id="991"/>
      <w:r>
        <w:rPr>
          <w:rFonts w:hint="eastAsia"/>
        </w:rPr>
        <w:t>六</w:t>
      </w:r>
    </w:p>
    <w:bookmarkEnd w:id="992"/>
    <w:p>
      <w:pPr>
        <w:pStyle w:val="124"/>
        <w:ind w:firstLine="562"/>
        <w:outlineLvl w:val="0"/>
      </w:pPr>
    </w:p>
    <w:p>
      <w:pPr>
        <w:spacing w:line="400" w:lineRule="exact"/>
        <w:jc w:val="center"/>
        <w:rPr>
          <w:rFonts w:ascii="宋体" w:hAnsi="宋体"/>
          <w:sz w:val="28"/>
          <w:szCs w:val="28"/>
        </w:rPr>
      </w:pPr>
      <w:r>
        <w:rPr>
          <w:rFonts w:hint="eastAsia" w:ascii="宋体" w:hAnsi="宋体"/>
          <w:sz w:val="28"/>
          <w:szCs w:val="28"/>
        </w:rPr>
        <w:t>绿色药都产业园配套设施提升工程（北区）（</w:t>
      </w:r>
      <w:r>
        <w:rPr>
          <w:rFonts w:hint="eastAsia" w:ascii="宋体" w:hAnsi="宋体"/>
          <w:sz w:val="28"/>
          <w:szCs w:val="28"/>
          <w:lang w:eastAsia="zh-CN"/>
        </w:rPr>
        <w:t>亮化工程</w:t>
      </w:r>
      <w:r>
        <w:rPr>
          <w:rFonts w:hint="eastAsia" w:ascii="宋体" w:hAnsi="宋体"/>
          <w:sz w:val="28"/>
          <w:szCs w:val="28"/>
        </w:rPr>
        <w:t>）</w:t>
      </w:r>
    </w:p>
    <w:p>
      <w:pPr>
        <w:spacing w:line="400" w:lineRule="exact"/>
        <w:jc w:val="center"/>
        <w:rPr>
          <w:rFonts w:ascii="宋体" w:hAnsi="宋体"/>
          <w:sz w:val="28"/>
          <w:szCs w:val="28"/>
        </w:rPr>
      </w:pPr>
      <w:bookmarkStart w:id="1004" w:name="_Toc30080_WPSOffice_Level2"/>
      <w:r>
        <w:rPr>
          <w:rFonts w:hint="eastAsia" w:ascii="宋体" w:hAnsi="宋体"/>
          <w:sz w:val="28"/>
          <w:szCs w:val="28"/>
        </w:rPr>
        <w:t>主要施工机械设备表</w:t>
      </w:r>
      <w:bookmarkEnd w:id="1004"/>
    </w:p>
    <w:p>
      <w:pPr>
        <w:spacing w:line="400" w:lineRule="exact"/>
        <w:jc w:val="center"/>
        <w:rPr>
          <w:rFonts w:ascii="宋体" w:hAnsi="宋体"/>
          <w:sz w:val="28"/>
          <w:szCs w:val="28"/>
        </w:rPr>
      </w:pPr>
    </w:p>
    <w:tbl>
      <w:tblPr>
        <w:tblStyle w:val="44"/>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设备名称</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规格型号</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数量</w:t>
            </w: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设备能力</w:t>
            </w: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进场时间</w:t>
            </w: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宋体" w:hAnsi="宋体" w:cs="宋体"/>
                <w:kern w:val="0"/>
                <w:szCs w:val="21"/>
              </w:rPr>
            </w:pPr>
          </w:p>
        </w:tc>
      </w:tr>
    </w:tbl>
    <w:p>
      <w:pPr>
        <w:spacing w:line="440" w:lineRule="exact"/>
        <w:jc w:val="right"/>
        <w:rPr>
          <w:sz w:val="24"/>
        </w:rPr>
      </w:pPr>
    </w:p>
    <w:p>
      <w:pPr>
        <w:tabs>
          <w:tab w:val="left" w:leader="middleDot" w:pos="8400"/>
        </w:tabs>
        <w:spacing w:line="360" w:lineRule="auto"/>
        <w:ind w:left="3990" w:leftChars="1900"/>
        <w:rPr>
          <w:rFonts w:ascii="宋体" w:hAnsi="宋体"/>
          <w:u w:val="single"/>
        </w:rPr>
      </w:pPr>
      <w:bookmarkStart w:id="1005" w:name="_Toc50019913"/>
      <w:bookmarkStart w:id="1006" w:name="_Toc31921"/>
      <w:r>
        <w:rPr>
          <w:rFonts w:hint="eastAsia" w:ascii="宋体" w:hAnsi="宋体"/>
        </w:rPr>
        <w:t>投标人</w:t>
      </w:r>
      <w:r>
        <w:rPr>
          <w:rFonts w:hint="eastAsia"/>
        </w:rPr>
        <w:t>（</w:t>
      </w:r>
      <w:r>
        <w:rPr>
          <w:rFonts w:hint="eastAsia" w:ascii="宋体" w:hAnsi="宋体"/>
          <w:snapToGrid w:val="0"/>
        </w:rPr>
        <w:t>单位盖章</w:t>
      </w:r>
      <w:r>
        <w:rPr>
          <w:rFonts w:hint="eastAsia"/>
        </w:rPr>
        <w:t>）</w:t>
      </w:r>
      <w:r>
        <w:rPr>
          <w:rFonts w:hint="eastAsia" w:ascii="宋体" w:hAnsi="宋体"/>
        </w:rPr>
        <w:t>：</w:t>
      </w:r>
      <w:r>
        <w:rPr>
          <w:rFonts w:ascii="宋体" w:hAnsi="宋体"/>
          <w:u w:val="single"/>
        </w:rPr>
        <w:t xml:space="preserve">                      </w:t>
      </w:r>
    </w:p>
    <w:p>
      <w:pPr>
        <w:tabs>
          <w:tab w:val="left" w:leader="middleDot" w:pos="8400"/>
        </w:tabs>
        <w:spacing w:line="360" w:lineRule="auto"/>
        <w:ind w:left="3990" w:leftChars="1900"/>
        <w:rPr>
          <w:rFonts w:ascii="宋体" w:hAnsi="宋体"/>
        </w:rPr>
      </w:pPr>
      <w:r>
        <w:rPr>
          <w:rFonts w:hint="eastAsia" w:ascii="宋体" w:hAnsi="宋体"/>
        </w:rPr>
        <w:t>法定代表人（</w:t>
      </w:r>
      <w:r>
        <w:rPr>
          <w:rFonts w:hint="eastAsia" w:ascii="宋体" w:hAnsi="宋体"/>
          <w:szCs w:val="21"/>
        </w:rPr>
        <w:t>签字或盖章</w:t>
      </w:r>
      <w:r>
        <w:rPr>
          <w:rFonts w:hint="eastAsia" w:ascii="宋体" w:hAnsi="宋体"/>
        </w:rPr>
        <w:t>）：</w:t>
      </w:r>
      <w:r>
        <w:rPr>
          <w:rFonts w:ascii="宋体" w:hAnsi="宋体"/>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tabs>
          <w:tab w:val="left" w:leader="middleDot" w:pos="8400"/>
        </w:tabs>
        <w:spacing w:line="360" w:lineRule="auto"/>
        <w:ind w:left="3990" w:leftChars="1900"/>
      </w:pPr>
      <w:r>
        <w:rPr>
          <w:rFonts w:hint="eastAsia" w:ascii="宋体" w:hAnsi="宋体"/>
          <w:szCs w:val="21"/>
        </w:rPr>
        <w:t>日期：           年    月   日</w:t>
      </w:r>
    </w:p>
    <w:p>
      <w:pPr>
        <w:rPr>
          <w:rFonts w:cs="宋体"/>
        </w:rPr>
      </w:pPr>
      <w:r>
        <w:rPr>
          <w:rFonts w:hint="eastAsia" w:cs="宋体"/>
        </w:rPr>
        <w:br w:type="page"/>
      </w:r>
    </w:p>
    <w:p>
      <w:pPr>
        <w:pStyle w:val="124"/>
        <w:ind w:firstLine="141" w:firstLineChars="50"/>
        <w:jc w:val="left"/>
      </w:pPr>
      <w:r>
        <w:rPr>
          <w:rFonts w:hint="eastAsia"/>
        </w:rPr>
        <w:t>格式</w:t>
      </w:r>
      <w:bookmarkEnd w:id="1005"/>
      <w:bookmarkEnd w:id="1006"/>
      <w:r>
        <w:rPr>
          <w:rFonts w:hint="eastAsia"/>
        </w:rPr>
        <w:t>七</w:t>
      </w:r>
    </w:p>
    <w:p>
      <w:pPr>
        <w:adjustRightInd w:val="0"/>
        <w:snapToGrid w:val="0"/>
        <w:spacing w:before="156" w:beforeLines="50" w:line="360" w:lineRule="auto"/>
        <w:jc w:val="center"/>
        <w:rPr>
          <w:rFonts w:eastAsia="黑体"/>
          <w:sz w:val="44"/>
        </w:rPr>
      </w:pPr>
      <w:bookmarkStart w:id="1007" w:name="_Toc23909"/>
      <w:bookmarkStart w:id="1008" w:name="_Toc16076"/>
      <w:r>
        <w:rPr>
          <w:rFonts w:hint="eastAsia" w:eastAsia="黑体"/>
          <w:sz w:val="44"/>
        </w:rPr>
        <w:t>法定代表人授权委托书</w:t>
      </w:r>
      <w:bookmarkEnd w:id="1007"/>
      <w:bookmarkEnd w:id="1008"/>
    </w:p>
    <w:p>
      <w:pPr>
        <w:adjustRightInd w:val="0"/>
        <w:snapToGrid w:val="0"/>
        <w:spacing w:before="156" w:beforeLines="50" w:line="360" w:lineRule="auto"/>
        <w:jc w:val="center"/>
        <w:rPr>
          <w:sz w:val="28"/>
        </w:rPr>
      </w:pPr>
      <w:r>
        <w:rPr>
          <w:rFonts w:hint="eastAsia"/>
          <w:sz w:val="28"/>
        </w:rPr>
        <w:t>（参考样张）</w:t>
      </w:r>
    </w:p>
    <w:p>
      <w:pPr>
        <w:adjustRightInd w:val="0"/>
        <w:snapToGrid w:val="0"/>
        <w:spacing w:before="156" w:beforeLines="50" w:line="360" w:lineRule="auto"/>
        <w:ind w:left="1079" w:leftChars="514" w:firstLine="560" w:firstLineChars="200"/>
        <w:rPr>
          <w:sz w:val="28"/>
        </w:rPr>
      </w:pPr>
    </w:p>
    <w:p>
      <w:pPr>
        <w:adjustRightInd w:val="0"/>
        <w:snapToGrid w:val="0"/>
        <w:spacing w:before="156" w:beforeLines="50" w:line="360" w:lineRule="auto"/>
        <w:ind w:firstLine="600"/>
        <w:rPr>
          <w:sz w:val="28"/>
        </w:rPr>
      </w:pPr>
      <w:r>
        <w:rPr>
          <w:rFonts w:hint="eastAsia"/>
          <w:sz w:val="28"/>
        </w:rPr>
        <w:t>本授权委托书声明：本人</w:t>
      </w:r>
      <w:r>
        <w:rPr>
          <w:rFonts w:hint="eastAsia"/>
          <w:sz w:val="28"/>
          <w:u w:val="single"/>
        </w:rPr>
        <w:t xml:space="preserve">                   </w:t>
      </w:r>
      <w:r>
        <w:rPr>
          <w:rFonts w:hint="eastAsia"/>
          <w:sz w:val="28"/>
        </w:rPr>
        <w:t>（法定代表人姓名）系</w:t>
      </w:r>
      <w:r>
        <w:rPr>
          <w:rFonts w:hint="eastAsia"/>
          <w:sz w:val="28"/>
          <w:u w:val="single"/>
        </w:rPr>
        <w:t xml:space="preserve">                             </w:t>
      </w:r>
      <w:r>
        <w:rPr>
          <w:rFonts w:hint="eastAsia"/>
          <w:sz w:val="28"/>
        </w:rPr>
        <w:t>（投标人全称）的法定代表人，现授权委托</w:t>
      </w:r>
      <w:r>
        <w:rPr>
          <w:rFonts w:hint="eastAsia"/>
          <w:sz w:val="28"/>
          <w:u w:val="single"/>
        </w:rPr>
        <w:t xml:space="preserve">               </w:t>
      </w:r>
      <w:r>
        <w:rPr>
          <w:rFonts w:hint="eastAsia"/>
          <w:sz w:val="28"/>
        </w:rPr>
        <w:t>（代理人姓名）为我的代理人，以本单位的名义参加</w:t>
      </w:r>
      <w:r>
        <w:rPr>
          <w:rFonts w:hint="eastAsia"/>
          <w:sz w:val="28"/>
          <w:u w:val="single"/>
        </w:rPr>
        <w:t xml:space="preserve"> 台州市椒江城市发展投资集团有限公司  </w:t>
      </w:r>
      <w:r>
        <w:rPr>
          <w:rFonts w:hint="eastAsia"/>
          <w:sz w:val="28"/>
        </w:rPr>
        <w:t xml:space="preserve">（招标人）组织的 </w:t>
      </w:r>
      <w:r>
        <w:rPr>
          <w:rFonts w:hint="eastAsia"/>
          <w:bCs/>
          <w:sz w:val="28"/>
          <w:u w:val="single"/>
        </w:rPr>
        <w:t>绿色药都产业园配套设施提升工程（北区）（</w:t>
      </w:r>
      <w:r>
        <w:rPr>
          <w:rFonts w:hint="eastAsia"/>
          <w:bCs/>
          <w:sz w:val="28"/>
          <w:u w:val="single"/>
          <w:lang w:eastAsia="zh-CN"/>
        </w:rPr>
        <w:t>亮化工程</w:t>
      </w:r>
      <w:r>
        <w:rPr>
          <w:rFonts w:hint="eastAsia"/>
          <w:bCs/>
          <w:sz w:val="28"/>
          <w:u w:val="single"/>
        </w:rPr>
        <w:t>）</w:t>
      </w:r>
      <w:r>
        <w:rPr>
          <w:rFonts w:hint="eastAsia"/>
          <w:sz w:val="28"/>
          <w:u w:val="single"/>
        </w:rPr>
        <w:t xml:space="preserve"> </w:t>
      </w:r>
      <w:r>
        <w:rPr>
          <w:rFonts w:hint="eastAsia"/>
          <w:sz w:val="28"/>
        </w:rPr>
        <w:t>（工程名称）的投标。代理人在该工程招投标活动中的一切事务，我公司均予以承认，由此所产生的一切法律后果和法律责任，均由我公司承担。</w:t>
      </w:r>
    </w:p>
    <w:p>
      <w:pPr>
        <w:adjustRightInd w:val="0"/>
        <w:snapToGrid w:val="0"/>
        <w:spacing w:before="156" w:beforeLines="50" w:line="360" w:lineRule="auto"/>
        <w:ind w:firstLine="560" w:firstLineChars="200"/>
        <w:rPr>
          <w:sz w:val="28"/>
        </w:rPr>
      </w:pPr>
      <w:r>
        <w:rPr>
          <w:rFonts w:hint="eastAsia"/>
          <w:sz w:val="28"/>
        </w:rPr>
        <w:t>代理人无转委权，特此委托。</w:t>
      </w:r>
    </w:p>
    <w:p>
      <w:pPr>
        <w:adjustRightInd w:val="0"/>
        <w:snapToGrid w:val="0"/>
        <w:spacing w:before="156" w:beforeLines="50" w:line="360" w:lineRule="auto"/>
        <w:rPr>
          <w:sz w:val="28"/>
        </w:rPr>
      </w:pPr>
    </w:p>
    <w:p>
      <w:pPr>
        <w:adjustRightInd w:val="0"/>
        <w:snapToGrid w:val="0"/>
        <w:spacing w:before="156" w:beforeLines="50" w:line="360" w:lineRule="auto"/>
        <w:jc w:val="left"/>
        <w:rPr>
          <w:sz w:val="28"/>
        </w:rPr>
      </w:pPr>
    </w:p>
    <w:p>
      <w:pPr>
        <w:snapToGrid w:val="0"/>
        <w:spacing w:before="156" w:beforeLines="50" w:line="360" w:lineRule="auto"/>
        <w:rPr>
          <w:rFonts w:ascii="宋体" w:hAnsi="宋体" w:cs="宋体"/>
          <w:sz w:val="28"/>
          <w:szCs w:val="28"/>
        </w:rPr>
      </w:pPr>
      <w:r>
        <w:rPr>
          <w:rFonts w:hint="eastAsia" w:ascii="宋体" w:hAnsi="宋体" w:cs="宋体"/>
          <w:sz w:val="28"/>
          <w:szCs w:val="28"/>
        </w:rPr>
        <w:t>投标人（</w:t>
      </w:r>
      <w:r>
        <w:rPr>
          <w:rFonts w:hint="eastAsia" w:ascii="宋体" w:hAnsi="宋体" w:cs="Arial"/>
          <w:sz w:val="28"/>
          <w:szCs w:val="28"/>
        </w:rPr>
        <w:t>盖章</w:t>
      </w:r>
      <w:r>
        <w:rPr>
          <w:rFonts w:hint="eastAsia" w:ascii="宋体" w:hAnsi="宋体" w:cs="宋体"/>
          <w:sz w:val="28"/>
          <w:szCs w:val="28"/>
        </w:rPr>
        <w:t>）：</w:t>
      </w:r>
    </w:p>
    <w:p>
      <w:pPr>
        <w:snapToGrid w:val="0"/>
        <w:spacing w:before="156" w:beforeLines="50" w:line="360" w:lineRule="auto"/>
        <w:rPr>
          <w:rFonts w:ascii="宋体" w:hAnsi="宋体" w:cs="宋体"/>
          <w:sz w:val="28"/>
          <w:szCs w:val="28"/>
        </w:rPr>
      </w:pPr>
      <w:r>
        <w:rPr>
          <w:rFonts w:hint="eastAsia" w:ascii="宋体" w:hAnsi="宋体" w:cs="宋体"/>
          <w:sz w:val="28"/>
          <w:szCs w:val="28"/>
        </w:rPr>
        <w:t>法定代表人（签字或盖章）：</w:t>
      </w:r>
    </w:p>
    <w:p>
      <w:pPr>
        <w:snapToGrid w:val="0"/>
        <w:spacing w:before="156" w:beforeLines="50" w:line="360" w:lineRule="auto"/>
        <w:rPr>
          <w:rFonts w:ascii="宋体" w:hAnsi="宋体" w:cs="宋体"/>
          <w:sz w:val="28"/>
          <w:szCs w:val="28"/>
          <w:u w:val="single"/>
        </w:rPr>
      </w:pPr>
      <w:r>
        <w:rPr>
          <w:rFonts w:hint="eastAsia" w:ascii="宋体" w:hAnsi="宋体" w:cs="宋体"/>
          <w:sz w:val="28"/>
          <w:szCs w:val="28"/>
        </w:rPr>
        <w:t>委托代理人：</w:t>
      </w:r>
      <w:r>
        <w:rPr>
          <w:rFonts w:hint="eastAsia" w:ascii="宋体" w:hAnsi="宋体" w:cs="宋体"/>
          <w:sz w:val="28"/>
          <w:szCs w:val="28"/>
          <w:u w:val="single"/>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hint="eastAsia" w:ascii="宋体" w:hAnsi="宋体" w:cs="宋体"/>
          <w:sz w:val="28"/>
          <w:szCs w:val="28"/>
        </w:rPr>
        <w:t xml:space="preserve">     年龄：</w:t>
      </w:r>
      <w:r>
        <w:rPr>
          <w:rFonts w:hint="eastAsia" w:ascii="宋体" w:hAnsi="宋体" w:cs="宋体"/>
          <w:sz w:val="28"/>
          <w:szCs w:val="28"/>
          <w:u w:val="single"/>
        </w:rPr>
        <w:t xml:space="preserve">        </w:t>
      </w:r>
    </w:p>
    <w:p>
      <w:pPr>
        <w:snapToGrid w:val="0"/>
        <w:spacing w:before="156" w:beforeLines="50" w:line="360" w:lineRule="auto"/>
        <w:rPr>
          <w:rFonts w:ascii="宋体" w:hAnsi="宋体" w:cs="宋体"/>
          <w:sz w:val="28"/>
          <w:szCs w:val="28"/>
          <w:u w:val="single"/>
        </w:rPr>
      </w:pPr>
      <w:r>
        <w:rPr>
          <w:rFonts w:hint="eastAsia" w:ascii="宋体" w:hAnsi="宋体" w:cs="宋体"/>
          <w:sz w:val="28"/>
          <w:szCs w:val="28"/>
        </w:rPr>
        <w:t>身份证号码：</w:t>
      </w:r>
      <w:r>
        <w:rPr>
          <w:rFonts w:hint="eastAsia" w:ascii="宋体" w:hAnsi="宋体" w:cs="宋体"/>
          <w:sz w:val="28"/>
          <w:szCs w:val="28"/>
          <w:u w:val="single"/>
        </w:rPr>
        <w:t xml:space="preserve">                      </w:t>
      </w:r>
      <w:r>
        <w:rPr>
          <w:rFonts w:hint="eastAsia" w:ascii="宋体" w:hAnsi="宋体" w:cs="宋体"/>
          <w:sz w:val="28"/>
          <w:szCs w:val="28"/>
        </w:rPr>
        <w:t xml:space="preserve">      职务：</w:t>
      </w:r>
      <w:r>
        <w:rPr>
          <w:rFonts w:hint="eastAsia" w:ascii="宋体" w:hAnsi="宋体" w:cs="宋体"/>
          <w:sz w:val="28"/>
          <w:szCs w:val="28"/>
          <w:u w:val="single"/>
        </w:rPr>
        <w:t xml:space="preserve">               </w:t>
      </w:r>
    </w:p>
    <w:p>
      <w:pPr>
        <w:snapToGrid w:val="0"/>
        <w:spacing w:before="156" w:beforeLines="50" w:line="360" w:lineRule="auto"/>
        <w:rPr>
          <w:rFonts w:ascii="宋体" w:hAnsi="宋体" w:cs="宋体"/>
          <w:sz w:val="28"/>
          <w:szCs w:val="28"/>
        </w:rPr>
      </w:pPr>
      <w:r>
        <w:rPr>
          <w:rFonts w:hint="eastAsia" w:ascii="宋体" w:hAnsi="宋体" w:cs="宋体"/>
          <w:sz w:val="28"/>
          <w:szCs w:val="28"/>
        </w:rPr>
        <w:t>联系电话：</w:t>
      </w:r>
      <w:r>
        <w:rPr>
          <w:rFonts w:hint="eastAsia" w:ascii="宋体" w:hAnsi="宋体" w:cs="宋体"/>
          <w:sz w:val="28"/>
          <w:szCs w:val="28"/>
          <w:u w:val="single"/>
        </w:rPr>
        <w:t xml:space="preserve">                 </w:t>
      </w:r>
      <w:r>
        <w:rPr>
          <w:rFonts w:hint="eastAsia" w:ascii="宋体" w:hAnsi="宋体" w:cs="宋体"/>
          <w:sz w:val="28"/>
          <w:szCs w:val="28"/>
        </w:rPr>
        <w:t xml:space="preserve">   电子邮箱：</w:t>
      </w:r>
      <w:r>
        <w:rPr>
          <w:rFonts w:hint="eastAsia" w:ascii="宋体" w:hAnsi="宋体" w:cs="宋体"/>
          <w:sz w:val="28"/>
          <w:szCs w:val="28"/>
          <w:u w:val="single"/>
        </w:rPr>
        <w:t xml:space="preserve">                     </w:t>
      </w:r>
    </w:p>
    <w:p>
      <w:pPr>
        <w:adjustRightInd w:val="0"/>
        <w:snapToGrid w:val="0"/>
        <w:spacing w:before="156" w:beforeLines="50" w:line="360" w:lineRule="auto"/>
        <w:jc w:val="left"/>
        <w:rPr>
          <w:sz w:val="28"/>
        </w:rPr>
      </w:pPr>
      <w:r>
        <w:rPr>
          <w:rFonts w:hint="eastAsia" w:ascii="宋体" w:hAnsi="宋体" w:cs="宋体"/>
          <w:sz w:val="28"/>
          <w:szCs w:val="28"/>
        </w:rPr>
        <w:t>授权委托日期：</w:t>
      </w:r>
      <w:bookmarkStart w:id="1009" w:name="_Toc437526283"/>
      <w:r>
        <w:rPr>
          <w:rFonts w:hint="eastAsia" w:ascii="宋体" w:hAnsi="宋体" w:cs="宋体"/>
          <w:sz w:val="28"/>
          <w:szCs w:val="28"/>
        </w:rPr>
        <w:t xml:space="preserve">      年</w:t>
      </w:r>
      <w:bookmarkEnd w:id="1009"/>
      <w:r>
        <w:rPr>
          <w:rFonts w:hint="eastAsia" w:ascii="宋体" w:hAnsi="宋体" w:cs="宋体"/>
          <w:sz w:val="28"/>
          <w:szCs w:val="28"/>
        </w:rPr>
        <w:t xml:space="preserve">    月    日</w:t>
      </w:r>
    </w:p>
    <w:p>
      <w:pPr>
        <w:rPr>
          <w:sz w:val="28"/>
        </w:rPr>
      </w:pPr>
    </w:p>
    <w:p>
      <w:pPr>
        <w:rPr>
          <w:rFonts w:cs="宋体"/>
        </w:rPr>
      </w:pPr>
      <w:r>
        <w:rPr>
          <w:rFonts w:hint="eastAsia" w:cs="宋体"/>
        </w:rPr>
        <w:br w:type="page"/>
      </w:r>
    </w:p>
    <w:p>
      <w:pPr>
        <w:pStyle w:val="124"/>
        <w:ind w:firstLine="141" w:firstLineChars="50"/>
        <w:jc w:val="left"/>
      </w:pPr>
      <w:r>
        <w:rPr>
          <w:rFonts w:hint="eastAsia"/>
        </w:rPr>
        <w:t>格式八</w:t>
      </w:r>
    </w:p>
    <w:p>
      <w:pPr>
        <w:wordWrap w:val="0"/>
        <w:jc w:val="center"/>
        <w:outlineLvl w:val="3"/>
        <w:rPr>
          <w:rFonts w:ascii="宋体" w:hAnsi="宋体" w:eastAsia="仿宋_GB2312" w:cs="宋体"/>
          <w:sz w:val="28"/>
          <w:szCs w:val="20"/>
        </w:rPr>
      </w:pPr>
      <w:r>
        <w:rPr>
          <w:rFonts w:hint="eastAsia" w:ascii="黑体" w:hAnsi="Calibri" w:eastAsia="黑体"/>
          <w:sz w:val="44"/>
          <w:szCs w:val="20"/>
        </w:rPr>
        <w:t>法定代表人身份证明</w:t>
      </w:r>
    </w:p>
    <w:p>
      <w:pPr>
        <w:adjustRightInd w:val="0"/>
        <w:snapToGrid w:val="0"/>
        <w:spacing w:before="156" w:beforeLines="50" w:line="360" w:lineRule="auto"/>
        <w:jc w:val="center"/>
        <w:outlineLvl w:val="9"/>
        <w:rPr>
          <w:rFonts w:ascii="宋体" w:hAnsi="宋体" w:eastAsia="仿宋_GB2312" w:cs="宋体"/>
          <w:sz w:val="24"/>
          <w:szCs w:val="20"/>
        </w:rPr>
      </w:pPr>
      <w:r>
        <w:rPr>
          <w:rFonts w:hint="eastAsia" w:ascii="宋体" w:hAnsi="Calibri"/>
          <w:sz w:val="28"/>
          <w:szCs w:val="20"/>
        </w:rPr>
        <w:t>（参考样张）</w:t>
      </w:r>
    </w:p>
    <w:p>
      <w:pPr>
        <w:wordWrap w:val="0"/>
        <w:rPr>
          <w:rFonts w:ascii="宋体" w:hAnsi="宋体" w:eastAsia="仿宋_GB2312" w:cs="宋体"/>
          <w:sz w:val="24"/>
          <w:szCs w:val="20"/>
        </w:rPr>
      </w:pPr>
    </w:p>
    <w:p>
      <w:pPr>
        <w:wordWrap w:val="0"/>
        <w:spacing w:line="640" w:lineRule="exact"/>
        <w:ind w:firstLine="560" w:firstLineChars="200"/>
        <w:rPr>
          <w:rFonts w:ascii="宋体" w:hAnsi="宋体" w:cs="宋体"/>
          <w:sz w:val="28"/>
          <w:szCs w:val="28"/>
        </w:rPr>
      </w:pPr>
      <w:r>
        <w:rPr>
          <w:rFonts w:hint="eastAsia" w:ascii="宋体" w:hAnsi="宋体" w:cs="宋体"/>
          <w:sz w:val="28"/>
          <w:szCs w:val="28"/>
        </w:rPr>
        <w:t>投标人名称：</w:t>
      </w:r>
      <w:r>
        <w:rPr>
          <w:rFonts w:hint="eastAsia" w:ascii="宋体" w:hAnsi="宋体" w:cs="宋体"/>
          <w:sz w:val="28"/>
          <w:szCs w:val="28"/>
          <w:u w:val="single"/>
        </w:rPr>
        <w:t xml:space="preserve">                                 </w:t>
      </w:r>
    </w:p>
    <w:p>
      <w:pPr>
        <w:wordWrap w:val="0"/>
        <w:spacing w:line="640" w:lineRule="exact"/>
        <w:ind w:firstLine="560" w:firstLineChars="200"/>
        <w:rPr>
          <w:rFonts w:ascii="宋体" w:hAnsi="宋体" w:cs="宋体"/>
          <w:sz w:val="28"/>
          <w:szCs w:val="28"/>
          <w:u w:val="single"/>
        </w:rPr>
      </w:pPr>
      <w:r>
        <w:rPr>
          <w:rFonts w:hint="eastAsia" w:ascii="宋体" w:hAnsi="宋体" w:cs="宋体"/>
          <w:sz w:val="28"/>
          <w:szCs w:val="28"/>
        </w:rPr>
        <w:t>单位性质：</w:t>
      </w:r>
      <w:r>
        <w:rPr>
          <w:rFonts w:hint="eastAsia" w:ascii="宋体" w:hAnsi="宋体" w:cs="宋体"/>
          <w:sz w:val="28"/>
          <w:szCs w:val="28"/>
          <w:u w:val="single"/>
        </w:rPr>
        <w:t xml:space="preserve">                                   </w:t>
      </w:r>
    </w:p>
    <w:p>
      <w:pPr>
        <w:wordWrap w:val="0"/>
        <w:spacing w:line="640" w:lineRule="exact"/>
        <w:ind w:firstLine="560" w:firstLineChars="200"/>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xml:space="preserve">                                    </w:t>
      </w:r>
    </w:p>
    <w:p>
      <w:pPr>
        <w:wordWrap w:val="0"/>
        <w:spacing w:line="640" w:lineRule="exact"/>
        <w:ind w:firstLine="560" w:firstLineChars="200"/>
        <w:rPr>
          <w:rFonts w:ascii="宋体" w:hAnsi="宋体" w:cs="宋体"/>
          <w:sz w:val="28"/>
          <w:szCs w:val="28"/>
        </w:rPr>
      </w:pPr>
      <w:r>
        <w:rPr>
          <w:rFonts w:hint="eastAsia" w:ascii="宋体" w:hAnsi="宋体" w:cs="宋体"/>
          <w:sz w:val="28"/>
          <w:szCs w:val="28"/>
        </w:rPr>
        <w:t>成立时间：</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ordWrap w:val="0"/>
        <w:spacing w:line="640" w:lineRule="exact"/>
        <w:ind w:firstLine="560" w:firstLineChars="200"/>
        <w:rPr>
          <w:rFonts w:ascii="宋体" w:hAnsi="宋体" w:cs="宋体"/>
          <w:sz w:val="28"/>
          <w:szCs w:val="28"/>
        </w:rPr>
      </w:pPr>
      <w:r>
        <w:rPr>
          <w:rFonts w:hint="eastAsia" w:ascii="宋体" w:hAnsi="宋体" w:cs="宋体"/>
          <w:sz w:val="28"/>
          <w:szCs w:val="28"/>
        </w:rPr>
        <w:t>经营期限：</w:t>
      </w:r>
      <w:r>
        <w:rPr>
          <w:rFonts w:hint="eastAsia" w:ascii="宋体" w:hAnsi="宋体" w:cs="宋体"/>
          <w:sz w:val="28"/>
          <w:szCs w:val="28"/>
          <w:u w:val="single"/>
        </w:rPr>
        <w:t xml:space="preserve">                                   </w:t>
      </w:r>
    </w:p>
    <w:p>
      <w:pPr>
        <w:wordWrap w:val="0"/>
        <w:spacing w:line="640" w:lineRule="exact"/>
        <w:ind w:firstLine="560" w:firstLineChars="200"/>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hint="eastAsia" w:ascii="宋体" w:hAnsi="宋体" w:cs="宋体"/>
          <w:sz w:val="28"/>
          <w:szCs w:val="28"/>
        </w:rPr>
        <w:t xml:space="preserve">  年龄：</w:t>
      </w:r>
      <w:r>
        <w:rPr>
          <w:rFonts w:hint="eastAsia" w:ascii="宋体" w:hAnsi="宋体" w:cs="宋体"/>
          <w:sz w:val="28"/>
          <w:szCs w:val="28"/>
          <w:u w:val="single"/>
        </w:rPr>
        <w:t xml:space="preserve">        </w:t>
      </w:r>
      <w:r>
        <w:rPr>
          <w:rFonts w:hint="eastAsia" w:ascii="宋体" w:hAnsi="宋体" w:cs="宋体"/>
          <w:sz w:val="28"/>
          <w:szCs w:val="28"/>
        </w:rPr>
        <w:t xml:space="preserve">  </w:t>
      </w:r>
    </w:p>
    <w:p>
      <w:pPr>
        <w:wordWrap w:val="0"/>
        <w:spacing w:line="640" w:lineRule="exact"/>
        <w:ind w:firstLine="560" w:firstLineChars="200"/>
        <w:rPr>
          <w:rFonts w:ascii="宋体" w:hAnsi="宋体" w:cs="宋体"/>
          <w:sz w:val="28"/>
          <w:szCs w:val="28"/>
          <w:u w:val="single"/>
        </w:rPr>
      </w:pPr>
      <w:r>
        <w:rPr>
          <w:rFonts w:hint="eastAsia" w:ascii="宋体" w:hAnsi="宋体" w:cs="宋体"/>
          <w:sz w:val="28"/>
          <w:szCs w:val="28"/>
        </w:rPr>
        <w:t>身份证号码：</w:t>
      </w:r>
      <w:r>
        <w:rPr>
          <w:rFonts w:hint="eastAsia" w:ascii="宋体" w:hAnsi="宋体" w:cs="宋体"/>
          <w:sz w:val="28"/>
          <w:szCs w:val="28"/>
          <w:u w:val="single"/>
        </w:rPr>
        <w:t xml:space="preserve">                                 </w:t>
      </w:r>
    </w:p>
    <w:p>
      <w:pPr>
        <w:wordWrap w:val="0"/>
        <w:spacing w:line="640" w:lineRule="exact"/>
        <w:ind w:firstLine="560" w:firstLineChars="200"/>
        <w:rPr>
          <w:rFonts w:ascii="宋体" w:hAnsi="宋体" w:cs="宋体"/>
          <w:sz w:val="28"/>
          <w:szCs w:val="28"/>
        </w:rPr>
      </w:pPr>
      <w:r>
        <w:rPr>
          <w:rFonts w:hint="eastAsia" w:ascii="宋体" w:hAnsi="宋体" w:cs="宋体"/>
          <w:sz w:val="28"/>
          <w:szCs w:val="28"/>
        </w:rPr>
        <w:t>联系电话：</w:t>
      </w:r>
      <w:r>
        <w:rPr>
          <w:rFonts w:hint="eastAsia" w:ascii="宋体" w:hAnsi="宋体" w:cs="宋体"/>
          <w:sz w:val="28"/>
          <w:szCs w:val="28"/>
          <w:u w:val="single"/>
        </w:rPr>
        <w:t xml:space="preserve">                                   </w:t>
      </w:r>
    </w:p>
    <w:p>
      <w:pPr>
        <w:wordWrap w:val="0"/>
        <w:spacing w:line="640" w:lineRule="exact"/>
        <w:ind w:firstLine="560" w:firstLineChars="200"/>
        <w:rPr>
          <w:rFonts w:ascii="宋体" w:hAnsi="宋体" w:cs="宋体"/>
          <w:sz w:val="28"/>
          <w:szCs w:val="28"/>
        </w:rPr>
      </w:pP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系</w:t>
      </w:r>
      <w:r>
        <w:rPr>
          <w:rFonts w:hint="eastAsia" w:ascii="宋体" w:hAnsi="宋体" w:cs="宋体"/>
          <w:sz w:val="28"/>
          <w:szCs w:val="28"/>
          <w:u w:val="single"/>
        </w:rPr>
        <w:t xml:space="preserve">               （投标人名称）</w:t>
      </w:r>
      <w:r>
        <w:rPr>
          <w:rFonts w:hint="eastAsia" w:ascii="宋体" w:hAnsi="宋体" w:cs="宋体"/>
          <w:sz w:val="28"/>
          <w:szCs w:val="28"/>
        </w:rPr>
        <w:t>的法定代表人。</w:t>
      </w:r>
    </w:p>
    <w:p>
      <w:pPr>
        <w:wordWrap w:val="0"/>
        <w:spacing w:line="640" w:lineRule="exact"/>
        <w:ind w:firstLine="560" w:firstLineChars="200"/>
        <w:rPr>
          <w:rFonts w:ascii="宋体" w:hAnsi="宋体" w:cs="宋体"/>
          <w:sz w:val="28"/>
          <w:szCs w:val="28"/>
        </w:rPr>
      </w:pPr>
    </w:p>
    <w:p>
      <w:pPr>
        <w:wordWrap w:val="0"/>
        <w:spacing w:line="640" w:lineRule="exact"/>
        <w:ind w:firstLine="1120" w:firstLineChars="400"/>
        <w:rPr>
          <w:rFonts w:ascii="宋体" w:hAnsi="宋体" w:cs="宋体"/>
          <w:sz w:val="28"/>
          <w:szCs w:val="28"/>
        </w:rPr>
      </w:pPr>
      <w:r>
        <w:rPr>
          <w:rFonts w:hint="eastAsia" w:ascii="宋体" w:hAnsi="宋体" w:cs="宋体"/>
          <w:sz w:val="28"/>
          <w:szCs w:val="28"/>
        </w:rPr>
        <w:t>特此证明。</w:t>
      </w:r>
    </w:p>
    <w:p>
      <w:pPr>
        <w:wordWrap w:val="0"/>
        <w:spacing w:line="640" w:lineRule="exact"/>
        <w:rPr>
          <w:rFonts w:ascii="宋体" w:hAnsi="宋体" w:cs="宋体"/>
          <w:sz w:val="28"/>
          <w:szCs w:val="28"/>
        </w:rPr>
      </w:pPr>
    </w:p>
    <w:p>
      <w:pPr>
        <w:spacing w:line="640" w:lineRule="exact"/>
        <w:jc w:val="right"/>
        <w:rPr>
          <w:rFonts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（盖单位公章）</w:t>
      </w:r>
    </w:p>
    <w:p>
      <w:pPr>
        <w:wordWrap w:val="0"/>
        <w:spacing w:line="640" w:lineRule="exact"/>
        <w:rPr>
          <w:rFonts w:ascii="宋体" w:hAnsi="宋体" w:cs="宋体"/>
          <w:sz w:val="28"/>
          <w:szCs w:val="28"/>
        </w:rPr>
      </w:pPr>
    </w:p>
    <w:p>
      <w:pPr>
        <w:jc w:val="right"/>
        <w:rPr>
          <w:rFonts w:cs="宋体"/>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cs="宋体"/>
        </w:rPr>
        <w:br w:type="page"/>
      </w:r>
    </w:p>
    <w:p>
      <w:pPr>
        <w:pStyle w:val="124"/>
        <w:ind w:firstLine="141" w:firstLineChars="50"/>
        <w:jc w:val="left"/>
      </w:pPr>
      <w:r>
        <w:rPr>
          <w:rFonts w:hint="eastAsia"/>
        </w:rPr>
        <w:t>格式九</w:t>
      </w:r>
    </w:p>
    <w:p>
      <w:pPr>
        <w:autoSpaceDE w:val="0"/>
        <w:autoSpaceDN w:val="0"/>
        <w:adjustRightInd w:val="0"/>
        <w:spacing w:line="460" w:lineRule="exact"/>
        <w:textAlignment w:val="baseline"/>
        <w:rPr>
          <w:b/>
          <w:kern w:val="0"/>
          <w:sz w:val="24"/>
        </w:rPr>
      </w:pPr>
    </w:p>
    <w:p>
      <w:pPr>
        <w:adjustRightInd w:val="0"/>
        <w:snapToGrid w:val="0"/>
        <w:spacing w:line="586" w:lineRule="exact"/>
        <w:ind w:firstLine="659" w:firstLineChars="205"/>
        <w:jc w:val="center"/>
        <w:rPr>
          <w:rFonts w:ascii="黑体" w:hAnsi="黑体" w:eastAsia="黑体" w:cs="黑体"/>
          <w:b/>
          <w:bCs/>
          <w:sz w:val="32"/>
          <w:szCs w:val="32"/>
        </w:rPr>
      </w:pPr>
      <w:bookmarkStart w:id="1010" w:name="_Toc7120"/>
      <w:bookmarkStart w:id="1011" w:name="_Toc8115"/>
      <w:r>
        <w:rPr>
          <w:rFonts w:ascii="黑体" w:hAnsi="黑体" w:eastAsia="黑体" w:cs="黑体"/>
          <w:b/>
          <w:bCs/>
          <w:sz w:val="32"/>
          <w:szCs w:val="32"/>
        </w:rPr>
        <w:t>拟派项目负责人在投标截止日无在其他任何</w:t>
      </w:r>
      <w:bookmarkEnd w:id="1010"/>
      <w:bookmarkEnd w:id="1011"/>
    </w:p>
    <w:p>
      <w:pPr>
        <w:adjustRightInd w:val="0"/>
        <w:snapToGrid w:val="0"/>
        <w:spacing w:line="586" w:lineRule="exact"/>
        <w:ind w:firstLine="659" w:firstLineChars="205"/>
        <w:jc w:val="center"/>
        <w:rPr>
          <w:rFonts w:ascii="黑体" w:hAnsi="黑体" w:eastAsia="黑体" w:cs="黑体"/>
          <w:b/>
          <w:bCs/>
          <w:sz w:val="32"/>
          <w:szCs w:val="32"/>
        </w:rPr>
      </w:pPr>
      <w:bookmarkStart w:id="1012" w:name="_Toc31626"/>
      <w:bookmarkStart w:id="1013" w:name="_Toc26791"/>
      <w:r>
        <w:rPr>
          <w:rFonts w:ascii="黑体" w:hAnsi="黑体" w:eastAsia="黑体" w:cs="黑体"/>
          <w:b/>
          <w:bCs/>
          <w:sz w:val="32"/>
          <w:szCs w:val="32"/>
        </w:rPr>
        <w:t>在建合同工程上现任项目负责人的承诺书</w:t>
      </w:r>
      <w:bookmarkEnd w:id="1012"/>
      <w:bookmarkEnd w:id="1013"/>
    </w:p>
    <w:p>
      <w:pPr>
        <w:adjustRightInd w:val="0"/>
        <w:snapToGrid w:val="0"/>
        <w:spacing w:line="586" w:lineRule="exact"/>
        <w:ind w:firstLine="576" w:firstLineChars="205"/>
        <w:jc w:val="center"/>
        <w:rPr>
          <w:b/>
          <w:snapToGrid w:val="0"/>
          <w:kern w:val="0"/>
          <w:sz w:val="28"/>
          <w:szCs w:val="28"/>
        </w:rPr>
      </w:pPr>
    </w:p>
    <w:p>
      <w:pPr>
        <w:autoSpaceDE w:val="0"/>
        <w:autoSpaceDN w:val="0"/>
        <w:adjustRightInd w:val="0"/>
        <w:spacing w:line="360" w:lineRule="auto"/>
        <w:textAlignment w:val="baseline"/>
        <w:rPr>
          <w:kern w:val="0"/>
          <w:sz w:val="28"/>
          <w:szCs w:val="28"/>
        </w:rPr>
      </w:pPr>
      <w:r>
        <w:rPr>
          <w:rFonts w:hint="eastAsia"/>
          <w:sz w:val="28"/>
          <w:u w:val="single"/>
        </w:rPr>
        <w:t>台州市椒江城市发展投资集团有限公司</w:t>
      </w:r>
      <w:r>
        <w:rPr>
          <w:rFonts w:hint="eastAsia"/>
          <w:kern w:val="0"/>
          <w:sz w:val="28"/>
          <w:szCs w:val="28"/>
        </w:rPr>
        <w:t>：</w:t>
      </w:r>
    </w:p>
    <w:p>
      <w:pPr>
        <w:autoSpaceDE w:val="0"/>
        <w:autoSpaceDN w:val="0"/>
        <w:adjustRightInd w:val="0"/>
        <w:snapToGrid w:val="0"/>
        <w:spacing w:line="360" w:lineRule="auto"/>
        <w:ind w:firstLine="560" w:firstLineChars="200"/>
        <w:textAlignment w:val="baseline"/>
        <w:rPr>
          <w:kern w:val="0"/>
          <w:sz w:val="28"/>
          <w:szCs w:val="28"/>
        </w:rPr>
      </w:pPr>
      <w:r>
        <w:rPr>
          <w:kern w:val="0"/>
          <w:sz w:val="28"/>
          <w:szCs w:val="28"/>
        </w:rPr>
        <w:t>我公司及拟派项目负责人承诺，拟派参加</w:t>
      </w:r>
      <w:r>
        <w:rPr>
          <w:rFonts w:hint="eastAsia"/>
          <w:bCs/>
          <w:sz w:val="28"/>
          <w:u w:val="single"/>
        </w:rPr>
        <w:t>绿色药都产业园配套设施提升工程（北区）（</w:t>
      </w:r>
      <w:r>
        <w:rPr>
          <w:rFonts w:hint="eastAsia"/>
          <w:bCs/>
          <w:sz w:val="28"/>
          <w:u w:val="single"/>
          <w:lang w:eastAsia="zh-CN"/>
        </w:rPr>
        <w:t>亮化工程</w:t>
      </w:r>
      <w:r>
        <w:rPr>
          <w:rFonts w:hint="eastAsia"/>
          <w:bCs/>
          <w:sz w:val="28"/>
          <w:u w:val="single"/>
        </w:rPr>
        <w:t>）</w:t>
      </w:r>
      <w:r>
        <w:rPr>
          <w:rFonts w:hint="eastAsia"/>
          <w:kern w:val="0"/>
          <w:sz w:val="28"/>
          <w:szCs w:val="28"/>
        </w:rPr>
        <w:t>项目</w:t>
      </w:r>
      <w:r>
        <w:rPr>
          <w:kern w:val="0"/>
          <w:sz w:val="28"/>
          <w:szCs w:val="28"/>
        </w:rPr>
        <w:t>投标中的项目负责人在投标截止日无在其他任何在建合同工程</w:t>
      </w:r>
      <w:r>
        <w:rPr>
          <w:rFonts w:hint="eastAsia"/>
          <w:b/>
          <w:kern w:val="0"/>
          <w:sz w:val="28"/>
          <w:szCs w:val="28"/>
        </w:rPr>
        <w:t>（含法定公开招标限额以下工程）</w:t>
      </w:r>
      <w:r>
        <w:rPr>
          <w:kern w:val="0"/>
          <w:sz w:val="28"/>
          <w:szCs w:val="28"/>
        </w:rPr>
        <w:t>上现任项目负责人的情形。在建合同工程的开始时间为合同工程中标通知书发出</w:t>
      </w:r>
      <w:r>
        <w:rPr>
          <w:rFonts w:hint="eastAsia"/>
          <w:kern w:val="0"/>
          <w:sz w:val="28"/>
          <w:szCs w:val="28"/>
        </w:rPr>
        <w:t>之日</w:t>
      </w:r>
      <w:r>
        <w:rPr>
          <w:kern w:val="0"/>
          <w:sz w:val="28"/>
          <w:szCs w:val="28"/>
        </w:rPr>
        <w:t>（不通过招标方式的，开始时间为合同签订</w:t>
      </w:r>
      <w:r>
        <w:rPr>
          <w:rFonts w:hint="eastAsia"/>
          <w:kern w:val="0"/>
          <w:sz w:val="28"/>
          <w:szCs w:val="28"/>
        </w:rPr>
        <w:t>之</w:t>
      </w:r>
      <w:r>
        <w:rPr>
          <w:kern w:val="0"/>
          <w:sz w:val="28"/>
          <w:szCs w:val="28"/>
        </w:rPr>
        <w:t>日），结束时间为该合同通过合同验收或合同解除</w:t>
      </w:r>
      <w:r>
        <w:rPr>
          <w:rFonts w:hint="eastAsia"/>
          <w:kern w:val="0"/>
          <w:sz w:val="28"/>
          <w:szCs w:val="28"/>
        </w:rPr>
        <w:t>之</w:t>
      </w:r>
      <w:r>
        <w:rPr>
          <w:kern w:val="0"/>
          <w:sz w:val="28"/>
          <w:szCs w:val="28"/>
        </w:rPr>
        <w:t>日。</w:t>
      </w:r>
    </w:p>
    <w:p>
      <w:pPr>
        <w:autoSpaceDE w:val="0"/>
        <w:autoSpaceDN w:val="0"/>
        <w:adjustRightInd w:val="0"/>
        <w:snapToGrid w:val="0"/>
        <w:spacing w:line="360" w:lineRule="auto"/>
        <w:ind w:firstLine="560" w:firstLineChars="200"/>
        <w:textAlignment w:val="baseline"/>
        <w:rPr>
          <w:kern w:val="0"/>
          <w:sz w:val="28"/>
          <w:szCs w:val="28"/>
        </w:rPr>
      </w:pPr>
      <w:r>
        <w:rPr>
          <w:kern w:val="0"/>
          <w:sz w:val="28"/>
          <w:szCs w:val="28"/>
        </w:rPr>
        <w:t>以上承诺如有虚假，愿意接受投标保证金不予退还的处罚。给招标人造成损失的，愿意依法承担赔偿责任。如已中标，同意招标人取消我公司中标资格的处理。</w:t>
      </w:r>
    </w:p>
    <w:p>
      <w:pPr>
        <w:autoSpaceDE w:val="0"/>
        <w:autoSpaceDN w:val="0"/>
        <w:adjustRightInd w:val="0"/>
        <w:spacing w:line="360" w:lineRule="auto"/>
        <w:textAlignment w:val="baseline"/>
        <w:rPr>
          <w:kern w:val="0"/>
          <w:sz w:val="28"/>
          <w:szCs w:val="28"/>
        </w:rPr>
      </w:pPr>
    </w:p>
    <w:p>
      <w:pPr>
        <w:autoSpaceDE w:val="0"/>
        <w:autoSpaceDN w:val="0"/>
        <w:adjustRightInd w:val="0"/>
        <w:spacing w:line="360" w:lineRule="auto"/>
        <w:ind w:firstLine="4060" w:firstLineChars="1450"/>
        <w:textAlignment w:val="baseline"/>
        <w:rPr>
          <w:rFonts w:ascii="宋体" w:hAnsi="宋体" w:cs="宋体"/>
          <w:kern w:val="0"/>
          <w:sz w:val="28"/>
          <w:szCs w:val="28"/>
        </w:rPr>
      </w:pPr>
      <w:r>
        <w:rPr>
          <w:rFonts w:hint="eastAsia" w:ascii="宋体" w:hAnsi="宋体" w:cs="宋体"/>
          <w:kern w:val="0"/>
          <w:sz w:val="28"/>
          <w:szCs w:val="28"/>
        </w:rPr>
        <w:t>法定代表人（签字或盖章）：</w:t>
      </w:r>
    </w:p>
    <w:p>
      <w:pPr>
        <w:autoSpaceDE w:val="0"/>
        <w:autoSpaceDN w:val="0"/>
        <w:adjustRightInd w:val="0"/>
        <w:spacing w:line="360" w:lineRule="auto"/>
        <w:textAlignment w:val="baseline"/>
        <w:rPr>
          <w:rFonts w:ascii="宋体" w:hAnsi="宋体" w:cs="宋体"/>
          <w:kern w:val="0"/>
          <w:sz w:val="28"/>
          <w:szCs w:val="28"/>
        </w:rPr>
      </w:pPr>
    </w:p>
    <w:p>
      <w:pPr>
        <w:autoSpaceDE w:val="0"/>
        <w:autoSpaceDN w:val="0"/>
        <w:adjustRightInd w:val="0"/>
        <w:spacing w:line="360" w:lineRule="auto"/>
        <w:ind w:firstLine="4900" w:firstLineChars="1750"/>
        <w:textAlignment w:val="baseline"/>
        <w:rPr>
          <w:rFonts w:ascii="宋体" w:hAnsi="宋体" w:cs="宋体"/>
          <w:kern w:val="0"/>
          <w:sz w:val="28"/>
          <w:szCs w:val="28"/>
        </w:rPr>
      </w:pPr>
      <w:r>
        <w:rPr>
          <w:rFonts w:hint="eastAsia" w:ascii="宋体" w:hAnsi="宋体" w:cs="宋体"/>
          <w:kern w:val="0"/>
          <w:sz w:val="28"/>
          <w:szCs w:val="28"/>
        </w:rPr>
        <w:t>投  标  人（盖章）：</w:t>
      </w:r>
    </w:p>
    <w:p>
      <w:pPr>
        <w:autoSpaceDE w:val="0"/>
        <w:autoSpaceDN w:val="0"/>
        <w:adjustRightInd w:val="0"/>
        <w:spacing w:line="360" w:lineRule="auto"/>
        <w:textAlignment w:val="baseline"/>
        <w:rPr>
          <w:rFonts w:ascii="宋体" w:hAnsi="宋体" w:cs="宋体"/>
          <w:kern w:val="0"/>
          <w:sz w:val="28"/>
          <w:szCs w:val="28"/>
        </w:rPr>
      </w:pPr>
    </w:p>
    <w:p>
      <w:pPr>
        <w:autoSpaceDE w:val="0"/>
        <w:autoSpaceDN w:val="0"/>
        <w:adjustRightInd w:val="0"/>
        <w:spacing w:line="360" w:lineRule="auto"/>
        <w:textAlignment w:val="baseline"/>
        <w:rPr>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    年    月    日</w:t>
      </w:r>
    </w:p>
    <w:p>
      <w:pPr>
        <w:pStyle w:val="42"/>
      </w:pPr>
    </w:p>
    <w:p/>
    <w:p>
      <w:pPr>
        <w:pStyle w:val="42"/>
        <w:jc w:val="both"/>
        <w:outlineLvl w:val="9"/>
      </w:pPr>
    </w:p>
    <w:sectPr>
      <w:headerReference r:id="rId14" w:type="first"/>
      <w:headerReference r:id="rId13" w:type="default"/>
      <w:pgSz w:w="11907" w:h="16840"/>
      <w:pgMar w:top="1417" w:right="1418"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28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28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9"/>
                            <w:ind w:left="315" w:leftChars="150" w:right="315" w:rightChars="15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3mgnTYAQAAsQ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VNySIvw4STOI29JysOu2Ei&#10;unPtCXn2uBANtbj/lOhPFvVOuzMbYTZ2s3HwQe07bHmZq4N/f4jYXO45VRhhkWtycJKZ9bR1aVX+&#10;93PWw5+2+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neaCdNgBAACxAwAADgAAAAAAAAAB&#10;ACAAAAAiAQAAZHJzL2Uyb0RvYy54bWxQSwUGAAAAAAYABgBZAQAAbAUAAAAA&#10;">
              <v:fill on="f" focussize="0,0"/>
              <v:stroke on="f" weight="1.25pt"/>
              <v:imagedata o:title=""/>
              <o:lock v:ext="edit" aspectratio="f"/>
              <v:textbox inset="0mm,0mm,0mm,0mm" style="mso-fit-shape-to-text:t;">
                <w:txbxContent>
                  <w:p>
                    <w:pPr>
                      <w:pStyle w:val="29"/>
                      <w:ind w:left="315" w:leftChars="150" w:right="315" w:rightChars="15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28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jc w:val="center"/>
                          </w:pPr>
                          <w:r>
                            <w:fldChar w:fldCharType="begin"/>
                          </w:r>
                          <w:r>
                            <w:rPr>
                              <w:rStyle w:val="48"/>
                            </w:rPr>
                            <w:instrText xml:space="preserve"> PAGE </w:instrText>
                          </w:r>
                          <w:r>
                            <w:fldChar w:fldCharType="separate"/>
                          </w:r>
                          <w:r>
                            <w:rPr>
                              <w:rStyle w:val="48"/>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9"/>
                      <w:jc w:val="center"/>
                    </w:pPr>
                    <w:r>
                      <w:fldChar w:fldCharType="begin"/>
                    </w:r>
                    <w:r>
                      <w:rPr>
                        <w:rStyle w:val="48"/>
                      </w:rPr>
                      <w:instrText xml:space="preserve"> PAGE </w:instrText>
                    </w:r>
                    <w:r>
                      <w:fldChar w:fldCharType="separate"/>
                    </w:r>
                    <w:r>
                      <w:rPr>
                        <w:rStyle w:val="48"/>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9"/>
                            <w:jc w:val="center"/>
                          </w:pPr>
                          <w:r>
                            <w:fldChar w:fldCharType="begin"/>
                          </w:r>
                          <w:r>
                            <w:rPr>
                              <w:rStyle w:val="48"/>
                            </w:rPr>
                            <w:instrText xml:space="preserve"> PAGE </w:instrText>
                          </w:r>
                          <w:r>
                            <w:fldChar w:fldCharType="separate"/>
                          </w:r>
                          <w:r>
                            <w:rPr>
                              <w:rStyle w:val="48"/>
                            </w:rPr>
                            <w:t>36</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41DM70QEAAKUDAAAOAAAAAAAAAAEAIAAAACIB&#10;AABkcnMvZTJvRG9jLnhtbFBLBQYAAAAABgAGAFkBAABlBQAAAAA=&#10;">
              <v:fill on="f" focussize="0,0"/>
              <v:stroke on="f" weight="1.25pt"/>
              <v:imagedata o:title=""/>
              <o:lock v:ext="edit" aspectratio="f"/>
              <v:textbox inset="0mm,0mm,0mm,0mm" style="mso-fit-shape-to-text:t;">
                <w:txbxContent>
                  <w:p>
                    <w:pPr>
                      <w:pStyle w:val="29"/>
                      <w:jc w:val="center"/>
                    </w:pPr>
                    <w:r>
                      <w:fldChar w:fldCharType="begin"/>
                    </w:r>
                    <w:r>
                      <w:rPr>
                        <w:rStyle w:val="48"/>
                      </w:rPr>
                      <w:instrText xml:space="preserve"> PAGE </w:instrText>
                    </w:r>
                    <w:r>
                      <w:fldChar w:fldCharType="separate"/>
                    </w:r>
                    <w:r>
                      <w:rPr>
                        <w:rStyle w:val="48"/>
                      </w:rP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tabs>
        <w:tab w:val="left" w:pos="5772"/>
      </w:tabs>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ordWrap w:val="0"/>
      <w:jc w:val="right"/>
    </w:pPr>
    <w:r>
      <w:rPr>
        <w:rFonts w:hint="eastAsia" w:ascii="宋体" w:hAnsi="宋体"/>
        <w:color w:val="000000"/>
      </w:rPr>
      <w:t>绿色药都产业园配套设施提升工程（北区）（</w:t>
    </w:r>
    <w:r>
      <w:rPr>
        <w:rFonts w:hint="eastAsia" w:ascii="宋体" w:hAnsi="宋体"/>
        <w:color w:val="000000"/>
        <w:lang w:eastAsia="zh-CN"/>
      </w:rPr>
      <w:t>亮化工程</w:t>
    </w:r>
    <w:r>
      <w:rPr>
        <w:rFonts w:hint="eastAsia" w:ascii="宋体" w:hAnsi="宋体"/>
        <w:color w:val="000000"/>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ascii="宋体" w:hAnsi="宋体" w:cs="宋体"/>
      </w:rPr>
    </w:pPr>
    <w:r>
      <w:rPr>
        <w:rFonts w:hint="eastAsia" w:ascii="宋体" w:hAnsi="宋体" w:cs="宋体"/>
      </w:rPr>
      <w:t>绿色药都产业园配套设施提升工程（北区）（</w:t>
    </w:r>
    <w:r>
      <w:rPr>
        <w:rFonts w:hint="eastAsia" w:ascii="宋体" w:hAnsi="宋体" w:cs="宋体"/>
        <w:lang w:eastAsia="zh-CN"/>
      </w:rPr>
      <w:t>亮化工程</w:t>
    </w:r>
    <w:r>
      <w:rPr>
        <w:rFonts w:hint="eastAsia" w:ascii="宋体" w:hAnsi="宋体" w:cs="宋体"/>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ordWrap w:val="0"/>
      <w:jc w:val="right"/>
    </w:pPr>
    <w:r>
      <w:rPr>
        <w:rFonts w:hint="eastAsia" w:ascii="宋体" w:hAnsi="宋体"/>
        <w:color w:val="000000"/>
      </w:rPr>
      <w:t>绿色药都产业园配套设施提升工程（北区）（</w:t>
    </w:r>
    <w:r>
      <w:rPr>
        <w:rFonts w:hint="eastAsia" w:ascii="宋体" w:hAnsi="宋体"/>
        <w:color w:val="000000"/>
        <w:lang w:eastAsia="zh-CN"/>
      </w:rPr>
      <w:t>亮化工程</w:t>
    </w:r>
    <w:r>
      <w:rPr>
        <w:rFonts w:hint="eastAsia" w:ascii="宋体" w:hAnsi="宋体"/>
        <w:color w:val="000000"/>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 xml:space="preserve">                              绿色药都产业园配套设施提升工程（北区）（</w:t>
    </w:r>
    <w:r>
      <w:rPr>
        <w:rFonts w:hint="eastAsia"/>
        <w:lang w:eastAsia="zh-CN"/>
      </w:rPr>
      <w:t>亮化工程</w:t>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85673"/>
    <w:multiLevelType w:val="singleLevel"/>
    <w:tmpl w:val="01185673"/>
    <w:lvl w:ilvl="0" w:tentative="0">
      <w:start w:val="2"/>
      <w:numFmt w:val="decimal"/>
      <w:suff w:val="nothing"/>
      <w:lvlText w:val="%1）"/>
      <w:lvlJc w:val="left"/>
    </w:lvl>
  </w:abstractNum>
  <w:abstractNum w:abstractNumId="1">
    <w:nsid w:val="1CEF1A35"/>
    <w:multiLevelType w:val="singleLevel"/>
    <w:tmpl w:val="1CEF1A35"/>
    <w:lvl w:ilvl="0" w:tentative="0">
      <w:start w:val="1"/>
      <w:numFmt w:val="decimal"/>
      <w:suff w:val="nothing"/>
      <w:lvlText w:val="%1、"/>
      <w:lvlJc w:val="left"/>
    </w:lvl>
  </w:abstractNum>
  <w:abstractNum w:abstractNumId="2">
    <w:nsid w:val="5349B270"/>
    <w:multiLevelType w:val="singleLevel"/>
    <w:tmpl w:val="5349B270"/>
    <w:lvl w:ilvl="0" w:tentative="0">
      <w:start w:val="1"/>
      <w:numFmt w:val="decimal"/>
      <w:suff w:val="nothing"/>
      <w:lvlText w:val="%1、"/>
      <w:lvlJc w:val="left"/>
    </w:lvl>
  </w:abstractNum>
  <w:abstractNum w:abstractNumId="3">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79"/>
  <w:drawingGridHorizontalSpacing w:val="189"/>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 w:name="KSO_WPS_MARK_KEY" w:val="43a0b1ae-1367-412e-a455-07662b59d7a2"/>
  </w:docVars>
  <w:rsids>
    <w:rsidRoot w:val="00172A27"/>
    <w:rsid w:val="00000FB1"/>
    <w:rsid w:val="000021D7"/>
    <w:rsid w:val="00002429"/>
    <w:rsid w:val="00003729"/>
    <w:rsid w:val="00003AD0"/>
    <w:rsid w:val="00007E18"/>
    <w:rsid w:val="00007F54"/>
    <w:rsid w:val="0001078E"/>
    <w:rsid w:val="00010A0E"/>
    <w:rsid w:val="000117E2"/>
    <w:rsid w:val="0001184E"/>
    <w:rsid w:val="00012191"/>
    <w:rsid w:val="00012D90"/>
    <w:rsid w:val="00014478"/>
    <w:rsid w:val="00014F3A"/>
    <w:rsid w:val="00015BCF"/>
    <w:rsid w:val="00016F83"/>
    <w:rsid w:val="00017DA4"/>
    <w:rsid w:val="00020893"/>
    <w:rsid w:val="00020F43"/>
    <w:rsid w:val="0002237D"/>
    <w:rsid w:val="000227FE"/>
    <w:rsid w:val="0002348E"/>
    <w:rsid w:val="00025C19"/>
    <w:rsid w:val="00025C8D"/>
    <w:rsid w:val="00026ACD"/>
    <w:rsid w:val="00027878"/>
    <w:rsid w:val="00030A51"/>
    <w:rsid w:val="00033087"/>
    <w:rsid w:val="00034382"/>
    <w:rsid w:val="00034576"/>
    <w:rsid w:val="00034EED"/>
    <w:rsid w:val="00036C49"/>
    <w:rsid w:val="000416E0"/>
    <w:rsid w:val="00041997"/>
    <w:rsid w:val="00042109"/>
    <w:rsid w:val="00042212"/>
    <w:rsid w:val="000430BE"/>
    <w:rsid w:val="00043273"/>
    <w:rsid w:val="00043B6D"/>
    <w:rsid w:val="000450FE"/>
    <w:rsid w:val="0004748E"/>
    <w:rsid w:val="00050C9C"/>
    <w:rsid w:val="00051E48"/>
    <w:rsid w:val="000528E9"/>
    <w:rsid w:val="00054075"/>
    <w:rsid w:val="00055574"/>
    <w:rsid w:val="00056034"/>
    <w:rsid w:val="00056477"/>
    <w:rsid w:val="000603CC"/>
    <w:rsid w:val="0006094A"/>
    <w:rsid w:val="00062248"/>
    <w:rsid w:val="0006273B"/>
    <w:rsid w:val="00062C28"/>
    <w:rsid w:val="000632AF"/>
    <w:rsid w:val="000632BF"/>
    <w:rsid w:val="000634E2"/>
    <w:rsid w:val="000640DD"/>
    <w:rsid w:val="00067B17"/>
    <w:rsid w:val="0007064C"/>
    <w:rsid w:val="00070B07"/>
    <w:rsid w:val="0007225B"/>
    <w:rsid w:val="00072371"/>
    <w:rsid w:val="00072800"/>
    <w:rsid w:val="000731D1"/>
    <w:rsid w:val="000743DF"/>
    <w:rsid w:val="00076CD4"/>
    <w:rsid w:val="000803C4"/>
    <w:rsid w:val="00083671"/>
    <w:rsid w:val="00084ED5"/>
    <w:rsid w:val="0008506F"/>
    <w:rsid w:val="0008666F"/>
    <w:rsid w:val="00086A4F"/>
    <w:rsid w:val="000870C5"/>
    <w:rsid w:val="000876B8"/>
    <w:rsid w:val="00092FB3"/>
    <w:rsid w:val="000936AA"/>
    <w:rsid w:val="00093715"/>
    <w:rsid w:val="000A0973"/>
    <w:rsid w:val="000A0B57"/>
    <w:rsid w:val="000A36E4"/>
    <w:rsid w:val="000A4B0E"/>
    <w:rsid w:val="000A50A0"/>
    <w:rsid w:val="000B2844"/>
    <w:rsid w:val="000B5A13"/>
    <w:rsid w:val="000B6613"/>
    <w:rsid w:val="000B7B15"/>
    <w:rsid w:val="000C06A4"/>
    <w:rsid w:val="000C342B"/>
    <w:rsid w:val="000C4029"/>
    <w:rsid w:val="000C4275"/>
    <w:rsid w:val="000C511B"/>
    <w:rsid w:val="000C5E7F"/>
    <w:rsid w:val="000C60CC"/>
    <w:rsid w:val="000C675A"/>
    <w:rsid w:val="000C765B"/>
    <w:rsid w:val="000C7F51"/>
    <w:rsid w:val="000D0886"/>
    <w:rsid w:val="000D0B4E"/>
    <w:rsid w:val="000D1701"/>
    <w:rsid w:val="000D1A78"/>
    <w:rsid w:val="000D255E"/>
    <w:rsid w:val="000D396E"/>
    <w:rsid w:val="000D6A86"/>
    <w:rsid w:val="000E098E"/>
    <w:rsid w:val="000E0E81"/>
    <w:rsid w:val="000E17D7"/>
    <w:rsid w:val="000E3D56"/>
    <w:rsid w:val="000E52CE"/>
    <w:rsid w:val="000F13B8"/>
    <w:rsid w:val="000F40A8"/>
    <w:rsid w:val="000F748A"/>
    <w:rsid w:val="00100FAE"/>
    <w:rsid w:val="00102806"/>
    <w:rsid w:val="001039AB"/>
    <w:rsid w:val="00106DD6"/>
    <w:rsid w:val="00106F77"/>
    <w:rsid w:val="001071F2"/>
    <w:rsid w:val="00110BBF"/>
    <w:rsid w:val="00111498"/>
    <w:rsid w:val="00111F8E"/>
    <w:rsid w:val="0011234F"/>
    <w:rsid w:val="00112577"/>
    <w:rsid w:val="0011278B"/>
    <w:rsid w:val="001211BE"/>
    <w:rsid w:val="0012143C"/>
    <w:rsid w:val="001223CE"/>
    <w:rsid w:val="00122C53"/>
    <w:rsid w:val="001265F6"/>
    <w:rsid w:val="00130DB1"/>
    <w:rsid w:val="00130EE6"/>
    <w:rsid w:val="00131025"/>
    <w:rsid w:val="00131A6C"/>
    <w:rsid w:val="00133485"/>
    <w:rsid w:val="0013359F"/>
    <w:rsid w:val="001339E0"/>
    <w:rsid w:val="00135448"/>
    <w:rsid w:val="00136600"/>
    <w:rsid w:val="0013757F"/>
    <w:rsid w:val="0013796B"/>
    <w:rsid w:val="00137F93"/>
    <w:rsid w:val="00140E02"/>
    <w:rsid w:val="0014185C"/>
    <w:rsid w:val="0014290F"/>
    <w:rsid w:val="0014425E"/>
    <w:rsid w:val="001446A9"/>
    <w:rsid w:val="00144BBB"/>
    <w:rsid w:val="00144E33"/>
    <w:rsid w:val="001521B6"/>
    <w:rsid w:val="001532FB"/>
    <w:rsid w:val="00153832"/>
    <w:rsid w:val="0015503F"/>
    <w:rsid w:val="001560F3"/>
    <w:rsid w:val="00156F75"/>
    <w:rsid w:val="00166B51"/>
    <w:rsid w:val="00172A27"/>
    <w:rsid w:val="0017312D"/>
    <w:rsid w:val="001737BF"/>
    <w:rsid w:val="001747A5"/>
    <w:rsid w:val="00174F47"/>
    <w:rsid w:val="00175433"/>
    <w:rsid w:val="0017614D"/>
    <w:rsid w:val="00180016"/>
    <w:rsid w:val="001826F5"/>
    <w:rsid w:val="00183557"/>
    <w:rsid w:val="00186BF1"/>
    <w:rsid w:val="001938E0"/>
    <w:rsid w:val="001942F0"/>
    <w:rsid w:val="00194E84"/>
    <w:rsid w:val="0019570D"/>
    <w:rsid w:val="00195C7E"/>
    <w:rsid w:val="001A163C"/>
    <w:rsid w:val="001A3F2E"/>
    <w:rsid w:val="001A6653"/>
    <w:rsid w:val="001B029E"/>
    <w:rsid w:val="001B0AC6"/>
    <w:rsid w:val="001B1194"/>
    <w:rsid w:val="001B1F3E"/>
    <w:rsid w:val="001B1F4F"/>
    <w:rsid w:val="001B263F"/>
    <w:rsid w:val="001B2E42"/>
    <w:rsid w:val="001B32A0"/>
    <w:rsid w:val="001B3694"/>
    <w:rsid w:val="001B3ADD"/>
    <w:rsid w:val="001B3E10"/>
    <w:rsid w:val="001B4619"/>
    <w:rsid w:val="001B58DE"/>
    <w:rsid w:val="001C025C"/>
    <w:rsid w:val="001C0CEE"/>
    <w:rsid w:val="001C17E7"/>
    <w:rsid w:val="001C1C74"/>
    <w:rsid w:val="001C21BC"/>
    <w:rsid w:val="001C2B75"/>
    <w:rsid w:val="001C2F71"/>
    <w:rsid w:val="001C3E3A"/>
    <w:rsid w:val="001C52F1"/>
    <w:rsid w:val="001C7309"/>
    <w:rsid w:val="001C7D75"/>
    <w:rsid w:val="001D0D89"/>
    <w:rsid w:val="001D1455"/>
    <w:rsid w:val="001D314A"/>
    <w:rsid w:val="001D6FF4"/>
    <w:rsid w:val="001D70AF"/>
    <w:rsid w:val="001E1470"/>
    <w:rsid w:val="001E1CBB"/>
    <w:rsid w:val="001E1F8C"/>
    <w:rsid w:val="001E26F1"/>
    <w:rsid w:val="001E2F76"/>
    <w:rsid w:val="001E3E92"/>
    <w:rsid w:val="001E4DE8"/>
    <w:rsid w:val="001E56DB"/>
    <w:rsid w:val="001E5AD4"/>
    <w:rsid w:val="001E62AE"/>
    <w:rsid w:val="001E682F"/>
    <w:rsid w:val="001E68A6"/>
    <w:rsid w:val="001E6F78"/>
    <w:rsid w:val="001E7968"/>
    <w:rsid w:val="001F0E36"/>
    <w:rsid w:val="001F17C8"/>
    <w:rsid w:val="001F23DF"/>
    <w:rsid w:val="001F26FE"/>
    <w:rsid w:val="001F2F43"/>
    <w:rsid w:val="001F3BFE"/>
    <w:rsid w:val="001F475D"/>
    <w:rsid w:val="001F4E77"/>
    <w:rsid w:val="001F5763"/>
    <w:rsid w:val="001F7823"/>
    <w:rsid w:val="002018F3"/>
    <w:rsid w:val="00201FC5"/>
    <w:rsid w:val="002020D7"/>
    <w:rsid w:val="002034FF"/>
    <w:rsid w:val="00206189"/>
    <w:rsid w:val="00207136"/>
    <w:rsid w:val="002116C2"/>
    <w:rsid w:val="00212593"/>
    <w:rsid w:val="00212ADA"/>
    <w:rsid w:val="0021498B"/>
    <w:rsid w:val="00214D16"/>
    <w:rsid w:val="0022031F"/>
    <w:rsid w:val="00221160"/>
    <w:rsid w:val="002214B4"/>
    <w:rsid w:val="002218F6"/>
    <w:rsid w:val="0022242D"/>
    <w:rsid w:val="00222ACB"/>
    <w:rsid w:val="00223207"/>
    <w:rsid w:val="00223265"/>
    <w:rsid w:val="00224750"/>
    <w:rsid w:val="00225AAB"/>
    <w:rsid w:val="00226D2C"/>
    <w:rsid w:val="00227A87"/>
    <w:rsid w:val="00231069"/>
    <w:rsid w:val="00232870"/>
    <w:rsid w:val="00233FB3"/>
    <w:rsid w:val="00235A7E"/>
    <w:rsid w:val="002370E6"/>
    <w:rsid w:val="0023726E"/>
    <w:rsid w:val="00237A05"/>
    <w:rsid w:val="00237CF4"/>
    <w:rsid w:val="00240E52"/>
    <w:rsid w:val="00245150"/>
    <w:rsid w:val="00246C9B"/>
    <w:rsid w:val="00250885"/>
    <w:rsid w:val="00253077"/>
    <w:rsid w:val="002536A5"/>
    <w:rsid w:val="002545D4"/>
    <w:rsid w:val="00254C0F"/>
    <w:rsid w:val="00255CA9"/>
    <w:rsid w:val="00255D45"/>
    <w:rsid w:val="00260540"/>
    <w:rsid w:val="00260BE0"/>
    <w:rsid w:val="002628F9"/>
    <w:rsid w:val="00262BD5"/>
    <w:rsid w:val="002639C6"/>
    <w:rsid w:val="00264BCF"/>
    <w:rsid w:val="00265704"/>
    <w:rsid w:val="002661D6"/>
    <w:rsid w:val="002664A1"/>
    <w:rsid w:val="00267317"/>
    <w:rsid w:val="00267A02"/>
    <w:rsid w:val="002740A7"/>
    <w:rsid w:val="00280A05"/>
    <w:rsid w:val="00281042"/>
    <w:rsid w:val="00281EC6"/>
    <w:rsid w:val="00284757"/>
    <w:rsid w:val="00285171"/>
    <w:rsid w:val="00285214"/>
    <w:rsid w:val="0028694E"/>
    <w:rsid w:val="00290447"/>
    <w:rsid w:val="0029069D"/>
    <w:rsid w:val="00292004"/>
    <w:rsid w:val="002920EF"/>
    <w:rsid w:val="002930F6"/>
    <w:rsid w:val="00293A8F"/>
    <w:rsid w:val="00296974"/>
    <w:rsid w:val="002972D4"/>
    <w:rsid w:val="002A0047"/>
    <w:rsid w:val="002A14B0"/>
    <w:rsid w:val="002A25E6"/>
    <w:rsid w:val="002A2798"/>
    <w:rsid w:val="002A3B92"/>
    <w:rsid w:val="002A6BE2"/>
    <w:rsid w:val="002A74AA"/>
    <w:rsid w:val="002B04E9"/>
    <w:rsid w:val="002B0F4E"/>
    <w:rsid w:val="002B26CB"/>
    <w:rsid w:val="002B289D"/>
    <w:rsid w:val="002B2CE1"/>
    <w:rsid w:val="002B42A8"/>
    <w:rsid w:val="002B478F"/>
    <w:rsid w:val="002B4D05"/>
    <w:rsid w:val="002B5C24"/>
    <w:rsid w:val="002B6286"/>
    <w:rsid w:val="002C02B9"/>
    <w:rsid w:val="002C06F3"/>
    <w:rsid w:val="002C0D06"/>
    <w:rsid w:val="002C5D17"/>
    <w:rsid w:val="002C7BD5"/>
    <w:rsid w:val="002D04EC"/>
    <w:rsid w:val="002D0C87"/>
    <w:rsid w:val="002D510B"/>
    <w:rsid w:val="002D6C7B"/>
    <w:rsid w:val="002D7446"/>
    <w:rsid w:val="002D7708"/>
    <w:rsid w:val="002E3223"/>
    <w:rsid w:val="002E3BDA"/>
    <w:rsid w:val="002E4BF6"/>
    <w:rsid w:val="002E5322"/>
    <w:rsid w:val="002E5D2D"/>
    <w:rsid w:val="002E6126"/>
    <w:rsid w:val="002E6787"/>
    <w:rsid w:val="002E6B9B"/>
    <w:rsid w:val="002F1838"/>
    <w:rsid w:val="002F32B5"/>
    <w:rsid w:val="002F3F38"/>
    <w:rsid w:val="002F4135"/>
    <w:rsid w:val="002F4900"/>
    <w:rsid w:val="002F5C31"/>
    <w:rsid w:val="002F7229"/>
    <w:rsid w:val="002F7E91"/>
    <w:rsid w:val="0030049A"/>
    <w:rsid w:val="003008C5"/>
    <w:rsid w:val="00301599"/>
    <w:rsid w:val="00304B10"/>
    <w:rsid w:val="0030582D"/>
    <w:rsid w:val="003062DE"/>
    <w:rsid w:val="00306C6E"/>
    <w:rsid w:val="00306EDB"/>
    <w:rsid w:val="0031036D"/>
    <w:rsid w:val="003105A2"/>
    <w:rsid w:val="00311133"/>
    <w:rsid w:val="00312ABF"/>
    <w:rsid w:val="003132A4"/>
    <w:rsid w:val="003151F3"/>
    <w:rsid w:val="00316ABD"/>
    <w:rsid w:val="00320144"/>
    <w:rsid w:val="0032062B"/>
    <w:rsid w:val="00323090"/>
    <w:rsid w:val="00324BD8"/>
    <w:rsid w:val="0032573C"/>
    <w:rsid w:val="00325765"/>
    <w:rsid w:val="00327E95"/>
    <w:rsid w:val="0033102E"/>
    <w:rsid w:val="0033136D"/>
    <w:rsid w:val="00333939"/>
    <w:rsid w:val="00333C49"/>
    <w:rsid w:val="003347B3"/>
    <w:rsid w:val="003348EC"/>
    <w:rsid w:val="003355DC"/>
    <w:rsid w:val="00342583"/>
    <w:rsid w:val="00345DBF"/>
    <w:rsid w:val="00347CD2"/>
    <w:rsid w:val="0035152A"/>
    <w:rsid w:val="0035209C"/>
    <w:rsid w:val="00352B72"/>
    <w:rsid w:val="0035432D"/>
    <w:rsid w:val="0035455A"/>
    <w:rsid w:val="00354AE9"/>
    <w:rsid w:val="00355F7E"/>
    <w:rsid w:val="00355FD8"/>
    <w:rsid w:val="0035628D"/>
    <w:rsid w:val="003568B2"/>
    <w:rsid w:val="00356B36"/>
    <w:rsid w:val="00356FB7"/>
    <w:rsid w:val="00357B3C"/>
    <w:rsid w:val="00357B98"/>
    <w:rsid w:val="003618E3"/>
    <w:rsid w:val="00361D4A"/>
    <w:rsid w:val="00361EC4"/>
    <w:rsid w:val="00363F66"/>
    <w:rsid w:val="00364BA1"/>
    <w:rsid w:val="003657D8"/>
    <w:rsid w:val="0036653D"/>
    <w:rsid w:val="00372AE0"/>
    <w:rsid w:val="00376247"/>
    <w:rsid w:val="00376D36"/>
    <w:rsid w:val="00380A65"/>
    <w:rsid w:val="00381199"/>
    <w:rsid w:val="003852EF"/>
    <w:rsid w:val="00385473"/>
    <w:rsid w:val="00385570"/>
    <w:rsid w:val="003859FE"/>
    <w:rsid w:val="0038642F"/>
    <w:rsid w:val="003873ED"/>
    <w:rsid w:val="00387AA2"/>
    <w:rsid w:val="00391700"/>
    <w:rsid w:val="003920C9"/>
    <w:rsid w:val="00392524"/>
    <w:rsid w:val="00392FB2"/>
    <w:rsid w:val="003941A4"/>
    <w:rsid w:val="003949E7"/>
    <w:rsid w:val="003951B3"/>
    <w:rsid w:val="003969D7"/>
    <w:rsid w:val="0039702E"/>
    <w:rsid w:val="003A00A6"/>
    <w:rsid w:val="003A1DCB"/>
    <w:rsid w:val="003A4434"/>
    <w:rsid w:val="003A6646"/>
    <w:rsid w:val="003A74C9"/>
    <w:rsid w:val="003A7871"/>
    <w:rsid w:val="003A792C"/>
    <w:rsid w:val="003A7B87"/>
    <w:rsid w:val="003B1489"/>
    <w:rsid w:val="003B1D87"/>
    <w:rsid w:val="003B2803"/>
    <w:rsid w:val="003B339E"/>
    <w:rsid w:val="003B3560"/>
    <w:rsid w:val="003B629F"/>
    <w:rsid w:val="003C0CF3"/>
    <w:rsid w:val="003C1138"/>
    <w:rsid w:val="003C1667"/>
    <w:rsid w:val="003C1881"/>
    <w:rsid w:val="003C29FC"/>
    <w:rsid w:val="003C3514"/>
    <w:rsid w:val="003C4426"/>
    <w:rsid w:val="003C4B76"/>
    <w:rsid w:val="003C4C16"/>
    <w:rsid w:val="003C656B"/>
    <w:rsid w:val="003C6F44"/>
    <w:rsid w:val="003C7D70"/>
    <w:rsid w:val="003D066F"/>
    <w:rsid w:val="003D136C"/>
    <w:rsid w:val="003D276D"/>
    <w:rsid w:val="003D2FD9"/>
    <w:rsid w:val="003D3420"/>
    <w:rsid w:val="003D5BAB"/>
    <w:rsid w:val="003D655B"/>
    <w:rsid w:val="003D67A9"/>
    <w:rsid w:val="003D7202"/>
    <w:rsid w:val="003E02CE"/>
    <w:rsid w:val="003E06EA"/>
    <w:rsid w:val="003E0B5D"/>
    <w:rsid w:val="003E1078"/>
    <w:rsid w:val="003E30DE"/>
    <w:rsid w:val="003E3A87"/>
    <w:rsid w:val="003E42EC"/>
    <w:rsid w:val="003E4F1E"/>
    <w:rsid w:val="003E58BA"/>
    <w:rsid w:val="003E6B6E"/>
    <w:rsid w:val="003F1AF9"/>
    <w:rsid w:val="003F2498"/>
    <w:rsid w:val="003F2559"/>
    <w:rsid w:val="003F52C5"/>
    <w:rsid w:val="003F57CF"/>
    <w:rsid w:val="003F5BCB"/>
    <w:rsid w:val="003F7913"/>
    <w:rsid w:val="003F7922"/>
    <w:rsid w:val="00400BDF"/>
    <w:rsid w:val="00400C3F"/>
    <w:rsid w:val="00401E5C"/>
    <w:rsid w:val="00403E63"/>
    <w:rsid w:val="004045B2"/>
    <w:rsid w:val="004055DA"/>
    <w:rsid w:val="00407757"/>
    <w:rsid w:val="00410140"/>
    <w:rsid w:val="00412452"/>
    <w:rsid w:val="00415181"/>
    <w:rsid w:val="00417529"/>
    <w:rsid w:val="00420DFA"/>
    <w:rsid w:val="004213FD"/>
    <w:rsid w:val="00425403"/>
    <w:rsid w:val="00425B15"/>
    <w:rsid w:val="00427C90"/>
    <w:rsid w:val="0043050C"/>
    <w:rsid w:val="00430BA2"/>
    <w:rsid w:val="004317C1"/>
    <w:rsid w:val="0043316E"/>
    <w:rsid w:val="0043390E"/>
    <w:rsid w:val="00435CCB"/>
    <w:rsid w:val="00436524"/>
    <w:rsid w:val="00441B93"/>
    <w:rsid w:val="00445CED"/>
    <w:rsid w:val="00446BD6"/>
    <w:rsid w:val="00447230"/>
    <w:rsid w:val="00447FD6"/>
    <w:rsid w:val="004502C8"/>
    <w:rsid w:val="00450D71"/>
    <w:rsid w:val="00451467"/>
    <w:rsid w:val="004517F0"/>
    <w:rsid w:val="00451F7B"/>
    <w:rsid w:val="00456758"/>
    <w:rsid w:val="00457D7F"/>
    <w:rsid w:val="004609B9"/>
    <w:rsid w:val="004615A4"/>
    <w:rsid w:val="00464543"/>
    <w:rsid w:val="00465659"/>
    <w:rsid w:val="00466CE4"/>
    <w:rsid w:val="00467913"/>
    <w:rsid w:val="004709EF"/>
    <w:rsid w:val="00471FF2"/>
    <w:rsid w:val="00472B28"/>
    <w:rsid w:val="00472E15"/>
    <w:rsid w:val="00476DCD"/>
    <w:rsid w:val="00477102"/>
    <w:rsid w:val="0048077D"/>
    <w:rsid w:val="00482E2E"/>
    <w:rsid w:val="00483C2D"/>
    <w:rsid w:val="00484ACC"/>
    <w:rsid w:val="00486033"/>
    <w:rsid w:val="00486EDD"/>
    <w:rsid w:val="00490E09"/>
    <w:rsid w:val="00492287"/>
    <w:rsid w:val="00493201"/>
    <w:rsid w:val="00493CC7"/>
    <w:rsid w:val="00493D96"/>
    <w:rsid w:val="0049622E"/>
    <w:rsid w:val="004966B9"/>
    <w:rsid w:val="004A46C7"/>
    <w:rsid w:val="004A4A2F"/>
    <w:rsid w:val="004A5B14"/>
    <w:rsid w:val="004A5D86"/>
    <w:rsid w:val="004A6040"/>
    <w:rsid w:val="004A76EA"/>
    <w:rsid w:val="004B03BF"/>
    <w:rsid w:val="004B0906"/>
    <w:rsid w:val="004B0DF2"/>
    <w:rsid w:val="004B1017"/>
    <w:rsid w:val="004B17CE"/>
    <w:rsid w:val="004B1E3B"/>
    <w:rsid w:val="004B1F98"/>
    <w:rsid w:val="004B44A9"/>
    <w:rsid w:val="004C0852"/>
    <w:rsid w:val="004C1582"/>
    <w:rsid w:val="004C164B"/>
    <w:rsid w:val="004C1AA2"/>
    <w:rsid w:val="004C2561"/>
    <w:rsid w:val="004C29EE"/>
    <w:rsid w:val="004C4154"/>
    <w:rsid w:val="004C577A"/>
    <w:rsid w:val="004C6149"/>
    <w:rsid w:val="004C642A"/>
    <w:rsid w:val="004C70A9"/>
    <w:rsid w:val="004D4AB7"/>
    <w:rsid w:val="004D506F"/>
    <w:rsid w:val="004D55BD"/>
    <w:rsid w:val="004D6D33"/>
    <w:rsid w:val="004D6F6C"/>
    <w:rsid w:val="004D7069"/>
    <w:rsid w:val="004D7625"/>
    <w:rsid w:val="004D769E"/>
    <w:rsid w:val="004D795A"/>
    <w:rsid w:val="004E0150"/>
    <w:rsid w:val="004E03C2"/>
    <w:rsid w:val="004E0A4B"/>
    <w:rsid w:val="004E20D6"/>
    <w:rsid w:val="004E2496"/>
    <w:rsid w:val="004E25B1"/>
    <w:rsid w:val="004E28D5"/>
    <w:rsid w:val="004E2FD3"/>
    <w:rsid w:val="004E3C2B"/>
    <w:rsid w:val="004E68C9"/>
    <w:rsid w:val="004F00BD"/>
    <w:rsid w:val="004F1D5A"/>
    <w:rsid w:val="004F2D5D"/>
    <w:rsid w:val="004F4851"/>
    <w:rsid w:val="004F4E61"/>
    <w:rsid w:val="004F57AB"/>
    <w:rsid w:val="004F57FC"/>
    <w:rsid w:val="004F6701"/>
    <w:rsid w:val="004F7E47"/>
    <w:rsid w:val="00500138"/>
    <w:rsid w:val="00501901"/>
    <w:rsid w:val="005039A4"/>
    <w:rsid w:val="00503ED8"/>
    <w:rsid w:val="00504798"/>
    <w:rsid w:val="00504807"/>
    <w:rsid w:val="005049C2"/>
    <w:rsid w:val="00504EB0"/>
    <w:rsid w:val="00506F86"/>
    <w:rsid w:val="00507164"/>
    <w:rsid w:val="005117CD"/>
    <w:rsid w:val="005149A9"/>
    <w:rsid w:val="00515DD9"/>
    <w:rsid w:val="00520529"/>
    <w:rsid w:val="00521AC3"/>
    <w:rsid w:val="00523B27"/>
    <w:rsid w:val="00527696"/>
    <w:rsid w:val="00527CFC"/>
    <w:rsid w:val="00527CFE"/>
    <w:rsid w:val="00531EBF"/>
    <w:rsid w:val="005321F8"/>
    <w:rsid w:val="00532C49"/>
    <w:rsid w:val="00532D3A"/>
    <w:rsid w:val="005354F1"/>
    <w:rsid w:val="005363B3"/>
    <w:rsid w:val="0053754F"/>
    <w:rsid w:val="00540CB7"/>
    <w:rsid w:val="00540E85"/>
    <w:rsid w:val="0054192C"/>
    <w:rsid w:val="00541FAD"/>
    <w:rsid w:val="00542ED6"/>
    <w:rsid w:val="00543E9E"/>
    <w:rsid w:val="00544599"/>
    <w:rsid w:val="0054619E"/>
    <w:rsid w:val="00550D78"/>
    <w:rsid w:val="00551DE1"/>
    <w:rsid w:val="00552183"/>
    <w:rsid w:val="00553794"/>
    <w:rsid w:val="0055495C"/>
    <w:rsid w:val="00554D88"/>
    <w:rsid w:val="00554E65"/>
    <w:rsid w:val="00555A91"/>
    <w:rsid w:val="005570ED"/>
    <w:rsid w:val="00557E4D"/>
    <w:rsid w:val="00561191"/>
    <w:rsid w:val="00563D83"/>
    <w:rsid w:val="00564DA4"/>
    <w:rsid w:val="0056606F"/>
    <w:rsid w:val="00566BD7"/>
    <w:rsid w:val="00566C7C"/>
    <w:rsid w:val="00567121"/>
    <w:rsid w:val="0057022E"/>
    <w:rsid w:val="0057167F"/>
    <w:rsid w:val="00573220"/>
    <w:rsid w:val="005742B8"/>
    <w:rsid w:val="005751CA"/>
    <w:rsid w:val="0057673D"/>
    <w:rsid w:val="005770D9"/>
    <w:rsid w:val="00577C87"/>
    <w:rsid w:val="00577DAE"/>
    <w:rsid w:val="005812BA"/>
    <w:rsid w:val="00581724"/>
    <w:rsid w:val="00582905"/>
    <w:rsid w:val="00583D4B"/>
    <w:rsid w:val="005865AF"/>
    <w:rsid w:val="00590D3B"/>
    <w:rsid w:val="00594347"/>
    <w:rsid w:val="00595122"/>
    <w:rsid w:val="00596F06"/>
    <w:rsid w:val="005976DF"/>
    <w:rsid w:val="005A0804"/>
    <w:rsid w:val="005A2402"/>
    <w:rsid w:val="005A4509"/>
    <w:rsid w:val="005A4FA4"/>
    <w:rsid w:val="005A4FE1"/>
    <w:rsid w:val="005A5982"/>
    <w:rsid w:val="005A60D4"/>
    <w:rsid w:val="005A7BA4"/>
    <w:rsid w:val="005B2AF4"/>
    <w:rsid w:val="005B2B65"/>
    <w:rsid w:val="005B3085"/>
    <w:rsid w:val="005B30AB"/>
    <w:rsid w:val="005B44DA"/>
    <w:rsid w:val="005B4ACA"/>
    <w:rsid w:val="005B6887"/>
    <w:rsid w:val="005B6E94"/>
    <w:rsid w:val="005B7293"/>
    <w:rsid w:val="005B7B9F"/>
    <w:rsid w:val="005B7BE1"/>
    <w:rsid w:val="005B7C5A"/>
    <w:rsid w:val="005C09F6"/>
    <w:rsid w:val="005C1EA7"/>
    <w:rsid w:val="005C31DE"/>
    <w:rsid w:val="005C3599"/>
    <w:rsid w:val="005C5FCF"/>
    <w:rsid w:val="005C634F"/>
    <w:rsid w:val="005D1B74"/>
    <w:rsid w:val="005D2A43"/>
    <w:rsid w:val="005D353A"/>
    <w:rsid w:val="005D3D54"/>
    <w:rsid w:val="005D5E96"/>
    <w:rsid w:val="005D6293"/>
    <w:rsid w:val="005D65B4"/>
    <w:rsid w:val="005D6EAB"/>
    <w:rsid w:val="005D71D6"/>
    <w:rsid w:val="005D7966"/>
    <w:rsid w:val="005E2F15"/>
    <w:rsid w:val="005E374B"/>
    <w:rsid w:val="005E4031"/>
    <w:rsid w:val="005E4FB8"/>
    <w:rsid w:val="005E5C31"/>
    <w:rsid w:val="005E5D99"/>
    <w:rsid w:val="005F01DA"/>
    <w:rsid w:val="005F2778"/>
    <w:rsid w:val="005F3323"/>
    <w:rsid w:val="005F6B26"/>
    <w:rsid w:val="005F6CC0"/>
    <w:rsid w:val="005F6FEA"/>
    <w:rsid w:val="005F7E2B"/>
    <w:rsid w:val="00600510"/>
    <w:rsid w:val="00601AE3"/>
    <w:rsid w:val="00603E78"/>
    <w:rsid w:val="00603FFF"/>
    <w:rsid w:val="00604EFA"/>
    <w:rsid w:val="006067B3"/>
    <w:rsid w:val="00607B8D"/>
    <w:rsid w:val="006105D1"/>
    <w:rsid w:val="00612F4C"/>
    <w:rsid w:val="00613B82"/>
    <w:rsid w:val="0061444A"/>
    <w:rsid w:val="006153B0"/>
    <w:rsid w:val="00616283"/>
    <w:rsid w:val="00616FF5"/>
    <w:rsid w:val="006176A9"/>
    <w:rsid w:val="00622D6C"/>
    <w:rsid w:val="0062567D"/>
    <w:rsid w:val="00625FF4"/>
    <w:rsid w:val="00630D49"/>
    <w:rsid w:val="0063277E"/>
    <w:rsid w:val="006329CD"/>
    <w:rsid w:val="00633E20"/>
    <w:rsid w:val="00635755"/>
    <w:rsid w:val="006359CB"/>
    <w:rsid w:val="006373D1"/>
    <w:rsid w:val="00637425"/>
    <w:rsid w:val="0064137A"/>
    <w:rsid w:val="006431B0"/>
    <w:rsid w:val="00643A0A"/>
    <w:rsid w:val="00643FA8"/>
    <w:rsid w:val="0064506B"/>
    <w:rsid w:val="00647C62"/>
    <w:rsid w:val="00647CC3"/>
    <w:rsid w:val="00650A1C"/>
    <w:rsid w:val="006528A6"/>
    <w:rsid w:val="006528C3"/>
    <w:rsid w:val="00653848"/>
    <w:rsid w:val="00657555"/>
    <w:rsid w:val="00662348"/>
    <w:rsid w:val="00664301"/>
    <w:rsid w:val="006650E7"/>
    <w:rsid w:val="006666E1"/>
    <w:rsid w:val="00666D07"/>
    <w:rsid w:val="0066740F"/>
    <w:rsid w:val="00667760"/>
    <w:rsid w:val="006678B4"/>
    <w:rsid w:val="0067083D"/>
    <w:rsid w:val="0067184A"/>
    <w:rsid w:val="00671C20"/>
    <w:rsid w:val="00672D45"/>
    <w:rsid w:val="0067485B"/>
    <w:rsid w:val="006755F1"/>
    <w:rsid w:val="006769DC"/>
    <w:rsid w:val="00676CBB"/>
    <w:rsid w:val="00676E56"/>
    <w:rsid w:val="00676F85"/>
    <w:rsid w:val="00677932"/>
    <w:rsid w:val="006805E1"/>
    <w:rsid w:val="0068143C"/>
    <w:rsid w:val="00681AE6"/>
    <w:rsid w:val="00683FDA"/>
    <w:rsid w:val="00684B48"/>
    <w:rsid w:val="00684FBB"/>
    <w:rsid w:val="00685A0F"/>
    <w:rsid w:val="006907F5"/>
    <w:rsid w:val="0069135F"/>
    <w:rsid w:val="0069234E"/>
    <w:rsid w:val="00694848"/>
    <w:rsid w:val="00694D09"/>
    <w:rsid w:val="00695358"/>
    <w:rsid w:val="00696998"/>
    <w:rsid w:val="00696A93"/>
    <w:rsid w:val="006A39B6"/>
    <w:rsid w:val="006A3C2A"/>
    <w:rsid w:val="006A3F79"/>
    <w:rsid w:val="006A3F7A"/>
    <w:rsid w:val="006A4A8F"/>
    <w:rsid w:val="006B39D2"/>
    <w:rsid w:val="006B5FA6"/>
    <w:rsid w:val="006B604D"/>
    <w:rsid w:val="006B6750"/>
    <w:rsid w:val="006C1C45"/>
    <w:rsid w:val="006C2749"/>
    <w:rsid w:val="006C27A7"/>
    <w:rsid w:val="006C2FC6"/>
    <w:rsid w:val="006C4241"/>
    <w:rsid w:val="006C4860"/>
    <w:rsid w:val="006C6E83"/>
    <w:rsid w:val="006D0B9E"/>
    <w:rsid w:val="006D2EB1"/>
    <w:rsid w:val="006D36D6"/>
    <w:rsid w:val="006D4CEC"/>
    <w:rsid w:val="006D5F7F"/>
    <w:rsid w:val="006E0526"/>
    <w:rsid w:val="006E08EA"/>
    <w:rsid w:val="006E098E"/>
    <w:rsid w:val="006E100A"/>
    <w:rsid w:val="006E1EE1"/>
    <w:rsid w:val="006E22BA"/>
    <w:rsid w:val="006E4427"/>
    <w:rsid w:val="006E464D"/>
    <w:rsid w:val="006E6BF6"/>
    <w:rsid w:val="006E7C9D"/>
    <w:rsid w:val="006F112B"/>
    <w:rsid w:val="006F1395"/>
    <w:rsid w:val="006F3477"/>
    <w:rsid w:val="006F3868"/>
    <w:rsid w:val="006F4080"/>
    <w:rsid w:val="006F47B1"/>
    <w:rsid w:val="006F4DAE"/>
    <w:rsid w:val="006F718D"/>
    <w:rsid w:val="00700335"/>
    <w:rsid w:val="00700374"/>
    <w:rsid w:val="00700B30"/>
    <w:rsid w:val="00700D08"/>
    <w:rsid w:val="007028FF"/>
    <w:rsid w:val="00703870"/>
    <w:rsid w:val="00703D85"/>
    <w:rsid w:val="00703E57"/>
    <w:rsid w:val="00704006"/>
    <w:rsid w:val="00704E6B"/>
    <w:rsid w:val="00705AFD"/>
    <w:rsid w:val="00710E48"/>
    <w:rsid w:val="00711147"/>
    <w:rsid w:val="007113C7"/>
    <w:rsid w:val="0071141E"/>
    <w:rsid w:val="00714AE2"/>
    <w:rsid w:val="00714B63"/>
    <w:rsid w:val="00715621"/>
    <w:rsid w:val="00715A8D"/>
    <w:rsid w:val="007176EC"/>
    <w:rsid w:val="00721765"/>
    <w:rsid w:val="007218F7"/>
    <w:rsid w:val="00721A05"/>
    <w:rsid w:val="00721C91"/>
    <w:rsid w:val="0072270C"/>
    <w:rsid w:val="0072272B"/>
    <w:rsid w:val="00722A74"/>
    <w:rsid w:val="00722B26"/>
    <w:rsid w:val="00723264"/>
    <w:rsid w:val="007233BD"/>
    <w:rsid w:val="00724E22"/>
    <w:rsid w:val="00730B5F"/>
    <w:rsid w:val="007315D7"/>
    <w:rsid w:val="00733328"/>
    <w:rsid w:val="0073370B"/>
    <w:rsid w:val="00733A3D"/>
    <w:rsid w:val="00733ED5"/>
    <w:rsid w:val="00736352"/>
    <w:rsid w:val="0073667D"/>
    <w:rsid w:val="00737C06"/>
    <w:rsid w:val="00740265"/>
    <w:rsid w:val="007417A1"/>
    <w:rsid w:val="007422CE"/>
    <w:rsid w:val="00742ED7"/>
    <w:rsid w:val="00745B1F"/>
    <w:rsid w:val="00747F33"/>
    <w:rsid w:val="00754050"/>
    <w:rsid w:val="00754295"/>
    <w:rsid w:val="00754B5E"/>
    <w:rsid w:val="00755C3C"/>
    <w:rsid w:val="007600C4"/>
    <w:rsid w:val="00761179"/>
    <w:rsid w:val="00761D39"/>
    <w:rsid w:val="00763C60"/>
    <w:rsid w:val="00763E2A"/>
    <w:rsid w:val="007663F3"/>
    <w:rsid w:val="0076640C"/>
    <w:rsid w:val="00766A7C"/>
    <w:rsid w:val="00766AF9"/>
    <w:rsid w:val="00766EFB"/>
    <w:rsid w:val="00767432"/>
    <w:rsid w:val="007713EC"/>
    <w:rsid w:val="00771618"/>
    <w:rsid w:val="00772E2C"/>
    <w:rsid w:val="0077335A"/>
    <w:rsid w:val="007737B6"/>
    <w:rsid w:val="007744A7"/>
    <w:rsid w:val="00774765"/>
    <w:rsid w:val="00774EBD"/>
    <w:rsid w:val="0077536F"/>
    <w:rsid w:val="0077556C"/>
    <w:rsid w:val="00776B36"/>
    <w:rsid w:val="00777C32"/>
    <w:rsid w:val="00780336"/>
    <w:rsid w:val="007806A8"/>
    <w:rsid w:val="007813B0"/>
    <w:rsid w:val="007813E9"/>
    <w:rsid w:val="00781F9E"/>
    <w:rsid w:val="007821D4"/>
    <w:rsid w:val="00783AA7"/>
    <w:rsid w:val="007842A3"/>
    <w:rsid w:val="007901E0"/>
    <w:rsid w:val="0079064D"/>
    <w:rsid w:val="00790766"/>
    <w:rsid w:val="007907E9"/>
    <w:rsid w:val="00791041"/>
    <w:rsid w:val="00791CF3"/>
    <w:rsid w:val="007923D3"/>
    <w:rsid w:val="007924B0"/>
    <w:rsid w:val="00793650"/>
    <w:rsid w:val="007948BE"/>
    <w:rsid w:val="00796595"/>
    <w:rsid w:val="007966EC"/>
    <w:rsid w:val="007967BF"/>
    <w:rsid w:val="007972FF"/>
    <w:rsid w:val="00797418"/>
    <w:rsid w:val="007A24CE"/>
    <w:rsid w:val="007A26E3"/>
    <w:rsid w:val="007A439A"/>
    <w:rsid w:val="007A63C8"/>
    <w:rsid w:val="007A7D58"/>
    <w:rsid w:val="007B010A"/>
    <w:rsid w:val="007B2501"/>
    <w:rsid w:val="007B2528"/>
    <w:rsid w:val="007B32D1"/>
    <w:rsid w:val="007B4933"/>
    <w:rsid w:val="007B5036"/>
    <w:rsid w:val="007B6019"/>
    <w:rsid w:val="007B6ED3"/>
    <w:rsid w:val="007B7C11"/>
    <w:rsid w:val="007C23E7"/>
    <w:rsid w:val="007C2DB2"/>
    <w:rsid w:val="007C34DA"/>
    <w:rsid w:val="007C35EF"/>
    <w:rsid w:val="007C42DD"/>
    <w:rsid w:val="007C5A82"/>
    <w:rsid w:val="007C7855"/>
    <w:rsid w:val="007D043B"/>
    <w:rsid w:val="007D2C14"/>
    <w:rsid w:val="007D4BCB"/>
    <w:rsid w:val="007D4DB4"/>
    <w:rsid w:val="007D64E4"/>
    <w:rsid w:val="007D793E"/>
    <w:rsid w:val="007E109C"/>
    <w:rsid w:val="007E25C8"/>
    <w:rsid w:val="007E3219"/>
    <w:rsid w:val="007E3ED9"/>
    <w:rsid w:val="007E525E"/>
    <w:rsid w:val="007E577E"/>
    <w:rsid w:val="007E59A3"/>
    <w:rsid w:val="007E5F0B"/>
    <w:rsid w:val="007E6A64"/>
    <w:rsid w:val="007F0AB6"/>
    <w:rsid w:val="007F11F8"/>
    <w:rsid w:val="007F2504"/>
    <w:rsid w:val="007F3FB9"/>
    <w:rsid w:val="007F4F79"/>
    <w:rsid w:val="007F5530"/>
    <w:rsid w:val="007F5B54"/>
    <w:rsid w:val="007F5E69"/>
    <w:rsid w:val="007F5F40"/>
    <w:rsid w:val="00801F93"/>
    <w:rsid w:val="00802776"/>
    <w:rsid w:val="00802C9A"/>
    <w:rsid w:val="00802E4E"/>
    <w:rsid w:val="00803518"/>
    <w:rsid w:val="00804CFC"/>
    <w:rsid w:val="00810B09"/>
    <w:rsid w:val="00810FF3"/>
    <w:rsid w:val="00812802"/>
    <w:rsid w:val="00812CE2"/>
    <w:rsid w:val="008137D5"/>
    <w:rsid w:val="00813EF6"/>
    <w:rsid w:val="008147A5"/>
    <w:rsid w:val="00815FB4"/>
    <w:rsid w:val="008165FE"/>
    <w:rsid w:val="0081687C"/>
    <w:rsid w:val="00816EF6"/>
    <w:rsid w:val="00816FB2"/>
    <w:rsid w:val="008179B8"/>
    <w:rsid w:val="008200AD"/>
    <w:rsid w:val="00821FC3"/>
    <w:rsid w:val="0082255D"/>
    <w:rsid w:val="00822F53"/>
    <w:rsid w:val="00824E32"/>
    <w:rsid w:val="008271E2"/>
    <w:rsid w:val="00827FF3"/>
    <w:rsid w:val="0083183D"/>
    <w:rsid w:val="0083324E"/>
    <w:rsid w:val="00836ED6"/>
    <w:rsid w:val="008405E7"/>
    <w:rsid w:val="00841D3A"/>
    <w:rsid w:val="008426B3"/>
    <w:rsid w:val="0084351F"/>
    <w:rsid w:val="00843857"/>
    <w:rsid w:val="0084437A"/>
    <w:rsid w:val="00844AC6"/>
    <w:rsid w:val="00845E78"/>
    <w:rsid w:val="00847F00"/>
    <w:rsid w:val="00850EAD"/>
    <w:rsid w:val="008520E4"/>
    <w:rsid w:val="00852C33"/>
    <w:rsid w:val="008530C1"/>
    <w:rsid w:val="008538D7"/>
    <w:rsid w:val="008539C7"/>
    <w:rsid w:val="00856706"/>
    <w:rsid w:val="008574D0"/>
    <w:rsid w:val="00857EB2"/>
    <w:rsid w:val="00860142"/>
    <w:rsid w:val="00860F1A"/>
    <w:rsid w:val="0086160E"/>
    <w:rsid w:val="008623FD"/>
    <w:rsid w:val="0086480F"/>
    <w:rsid w:val="0087119A"/>
    <w:rsid w:val="008723C6"/>
    <w:rsid w:val="0087371F"/>
    <w:rsid w:val="0087435C"/>
    <w:rsid w:val="00875703"/>
    <w:rsid w:val="00877039"/>
    <w:rsid w:val="0088029C"/>
    <w:rsid w:val="008804DD"/>
    <w:rsid w:val="00882EDD"/>
    <w:rsid w:val="00884157"/>
    <w:rsid w:val="0088462F"/>
    <w:rsid w:val="008852A4"/>
    <w:rsid w:val="00885BA9"/>
    <w:rsid w:val="00886498"/>
    <w:rsid w:val="00886BE6"/>
    <w:rsid w:val="00887653"/>
    <w:rsid w:val="00892FEF"/>
    <w:rsid w:val="00893410"/>
    <w:rsid w:val="00894C9F"/>
    <w:rsid w:val="00897982"/>
    <w:rsid w:val="008A02D0"/>
    <w:rsid w:val="008A0F45"/>
    <w:rsid w:val="008A18AF"/>
    <w:rsid w:val="008A1B63"/>
    <w:rsid w:val="008A1E50"/>
    <w:rsid w:val="008A343B"/>
    <w:rsid w:val="008A3A7D"/>
    <w:rsid w:val="008A768D"/>
    <w:rsid w:val="008A7F9F"/>
    <w:rsid w:val="008B0754"/>
    <w:rsid w:val="008B172F"/>
    <w:rsid w:val="008B1894"/>
    <w:rsid w:val="008B317A"/>
    <w:rsid w:val="008B3C12"/>
    <w:rsid w:val="008B469F"/>
    <w:rsid w:val="008B46D8"/>
    <w:rsid w:val="008B4AD7"/>
    <w:rsid w:val="008B58E8"/>
    <w:rsid w:val="008B5B22"/>
    <w:rsid w:val="008B5FA6"/>
    <w:rsid w:val="008B6550"/>
    <w:rsid w:val="008B685A"/>
    <w:rsid w:val="008B68ED"/>
    <w:rsid w:val="008C0A01"/>
    <w:rsid w:val="008C0E02"/>
    <w:rsid w:val="008C0F9A"/>
    <w:rsid w:val="008C14DF"/>
    <w:rsid w:val="008C1C5E"/>
    <w:rsid w:val="008C1FEC"/>
    <w:rsid w:val="008C2E95"/>
    <w:rsid w:val="008C3A50"/>
    <w:rsid w:val="008C43CC"/>
    <w:rsid w:val="008C4EB6"/>
    <w:rsid w:val="008C51A4"/>
    <w:rsid w:val="008C549D"/>
    <w:rsid w:val="008C6055"/>
    <w:rsid w:val="008D4AAE"/>
    <w:rsid w:val="008D6434"/>
    <w:rsid w:val="008D6B9B"/>
    <w:rsid w:val="008D786F"/>
    <w:rsid w:val="008D79A1"/>
    <w:rsid w:val="008D7D92"/>
    <w:rsid w:val="008E386B"/>
    <w:rsid w:val="008E4D02"/>
    <w:rsid w:val="008E4F8B"/>
    <w:rsid w:val="008E5B38"/>
    <w:rsid w:val="008E6154"/>
    <w:rsid w:val="008E7D08"/>
    <w:rsid w:val="008F280F"/>
    <w:rsid w:val="008F302E"/>
    <w:rsid w:val="008F32E0"/>
    <w:rsid w:val="008F5283"/>
    <w:rsid w:val="008F53BB"/>
    <w:rsid w:val="008F5A14"/>
    <w:rsid w:val="008F699B"/>
    <w:rsid w:val="008F6D13"/>
    <w:rsid w:val="008F78E6"/>
    <w:rsid w:val="0090152E"/>
    <w:rsid w:val="00901D6E"/>
    <w:rsid w:val="0090267F"/>
    <w:rsid w:val="00904574"/>
    <w:rsid w:val="00906F78"/>
    <w:rsid w:val="00910496"/>
    <w:rsid w:val="00910F8D"/>
    <w:rsid w:val="00914D63"/>
    <w:rsid w:val="009168C0"/>
    <w:rsid w:val="00916CB4"/>
    <w:rsid w:val="00922733"/>
    <w:rsid w:val="00922B42"/>
    <w:rsid w:val="009239E0"/>
    <w:rsid w:val="00923CC7"/>
    <w:rsid w:val="009249BA"/>
    <w:rsid w:val="00924CD2"/>
    <w:rsid w:val="00924E5D"/>
    <w:rsid w:val="00926077"/>
    <w:rsid w:val="0092695D"/>
    <w:rsid w:val="00926FB8"/>
    <w:rsid w:val="009324CB"/>
    <w:rsid w:val="00932F8D"/>
    <w:rsid w:val="00936972"/>
    <w:rsid w:val="0093709C"/>
    <w:rsid w:val="009372F6"/>
    <w:rsid w:val="0093761B"/>
    <w:rsid w:val="00941C1D"/>
    <w:rsid w:val="00944F2C"/>
    <w:rsid w:val="009452B2"/>
    <w:rsid w:val="00945DA0"/>
    <w:rsid w:val="0094665D"/>
    <w:rsid w:val="00947432"/>
    <w:rsid w:val="0095140B"/>
    <w:rsid w:val="00952479"/>
    <w:rsid w:val="0095291B"/>
    <w:rsid w:val="009563E6"/>
    <w:rsid w:val="009574D1"/>
    <w:rsid w:val="00960150"/>
    <w:rsid w:val="00960FD6"/>
    <w:rsid w:val="009615E6"/>
    <w:rsid w:val="00961692"/>
    <w:rsid w:val="00962CB0"/>
    <w:rsid w:val="00962CF1"/>
    <w:rsid w:val="00963D22"/>
    <w:rsid w:val="0096517C"/>
    <w:rsid w:val="00966611"/>
    <w:rsid w:val="00970419"/>
    <w:rsid w:val="009723BD"/>
    <w:rsid w:val="0097270E"/>
    <w:rsid w:val="00972BFD"/>
    <w:rsid w:val="00973185"/>
    <w:rsid w:val="009746FC"/>
    <w:rsid w:val="00974F1A"/>
    <w:rsid w:val="00975A4B"/>
    <w:rsid w:val="00977095"/>
    <w:rsid w:val="00980456"/>
    <w:rsid w:val="009821AD"/>
    <w:rsid w:val="009821B0"/>
    <w:rsid w:val="00983C98"/>
    <w:rsid w:val="009843D9"/>
    <w:rsid w:val="00984843"/>
    <w:rsid w:val="00984A68"/>
    <w:rsid w:val="00986C10"/>
    <w:rsid w:val="0099040B"/>
    <w:rsid w:val="00990CD9"/>
    <w:rsid w:val="0099143C"/>
    <w:rsid w:val="0099160F"/>
    <w:rsid w:val="009921AD"/>
    <w:rsid w:val="00992E4D"/>
    <w:rsid w:val="00993029"/>
    <w:rsid w:val="0099348B"/>
    <w:rsid w:val="009937E1"/>
    <w:rsid w:val="00995993"/>
    <w:rsid w:val="00995C42"/>
    <w:rsid w:val="00996B61"/>
    <w:rsid w:val="00997886"/>
    <w:rsid w:val="009978CA"/>
    <w:rsid w:val="009A1FE3"/>
    <w:rsid w:val="009A28BE"/>
    <w:rsid w:val="009A345E"/>
    <w:rsid w:val="009A4195"/>
    <w:rsid w:val="009A6816"/>
    <w:rsid w:val="009A6890"/>
    <w:rsid w:val="009B3E42"/>
    <w:rsid w:val="009B41DA"/>
    <w:rsid w:val="009B5154"/>
    <w:rsid w:val="009B6BA8"/>
    <w:rsid w:val="009B6FA7"/>
    <w:rsid w:val="009B7EA9"/>
    <w:rsid w:val="009C070B"/>
    <w:rsid w:val="009C0F38"/>
    <w:rsid w:val="009C1AEE"/>
    <w:rsid w:val="009C5C30"/>
    <w:rsid w:val="009C6751"/>
    <w:rsid w:val="009C6E24"/>
    <w:rsid w:val="009C77A9"/>
    <w:rsid w:val="009C7C57"/>
    <w:rsid w:val="009D0181"/>
    <w:rsid w:val="009D1194"/>
    <w:rsid w:val="009D1ED8"/>
    <w:rsid w:val="009D25AB"/>
    <w:rsid w:val="009D2769"/>
    <w:rsid w:val="009D2FF9"/>
    <w:rsid w:val="009D4599"/>
    <w:rsid w:val="009D737E"/>
    <w:rsid w:val="009E1C3E"/>
    <w:rsid w:val="009E2AF6"/>
    <w:rsid w:val="009E3669"/>
    <w:rsid w:val="009E4247"/>
    <w:rsid w:val="009E523E"/>
    <w:rsid w:val="009F3AF0"/>
    <w:rsid w:val="009F4D3D"/>
    <w:rsid w:val="009F63C4"/>
    <w:rsid w:val="009F65BD"/>
    <w:rsid w:val="009F6B43"/>
    <w:rsid w:val="009F719F"/>
    <w:rsid w:val="009F7AF4"/>
    <w:rsid w:val="009F7DA7"/>
    <w:rsid w:val="009F7EDF"/>
    <w:rsid w:val="00A00920"/>
    <w:rsid w:val="00A03D0C"/>
    <w:rsid w:val="00A04642"/>
    <w:rsid w:val="00A05575"/>
    <w:rsid w:val="00A0686C"/>
    <w:rsid w:val="00A07483"/>
    <w:rsid w:val="00A10A59"/>
    <w:rsid w:val="00A10E31"/>
    <w:rsid w:val="00A11197"/>
    <w:rsid w:val="00A11C97"/>
    <w:rsid w:val="00A15387"/>
    <w:rsid w:val="00A20886"/>
    <w:rsid w:val="00A214EF"/>
    <w:rsid w:val="00A227BC"/>
    <w:rsid w:val="00A229D0"/>
    <w:rsid w:val="00A22E7F"/>
    <w:rsid w:val="00A244A9"/>
    <w:rsid w:val="00A2689E"/>
    <w:rsid w:val="00A27859"/>
    <w:rsid w:val="00A301F5"/>
    <w:rsid w:val="00A305A6"/>
    <w:rsid w:val="00A316AC"/>
    <w:rsid w:val="00A327F3"/>
    <w:rsid w:val="00A32E71"/>
    <w:rsid w:val="00A332E4"/>
    <w:rsid w:val="00A35049"/>
    <w:rsid w:val="00A36090"/>
    <w:rsid w:val="00A36489"/>
    <w:rsid w:val="00A37AF3"/>
    <w:rsid w:val="00A37C23"/>
    <w:rsid w:val="00A37D7E"/>
    <w:rsid w:val="00A42BB0"/>
    <w:rsid w:val="00A43098"/>
    <w:rsid w:val="00A43B99"/>
    <w:rsid w:val="00A477FA"/>
    <w:rsid w:val="00A47C51"/>
    <w:rsid w:val="00A50FD7"/>
    <w:rsid w:val="00A5295A"/>
    <w:rsid w:val="00A53A60"/>
    <w:rsid w:val="00A5767F"/>
    <w:rsid w:val="00A61DC0"/>
    <w:rsid w:val="00A61FE8"/>
    <w:rsid w:val="00A624F3"/>
    <w:rsid w:val="00A660BA"/>
    <w:rsid w:val="00A67955"/>
    <w:rsid w:val="00A67F8D"/>
    <w:rsid w:val="00A700C8"/>
    <w:rsid w:val="00A71680"/>
    <w:rsid w:val="00A71EE2"/>
    <w:rsid w:val="00A71F54"/>
    <w:rsid w:val="00A73BFB"/>
    <w:rsid w:val="00A75087"/>
    <w:rsid w:val="00A7639B"/>
    <w:rsid w:val="00A76E83"/>
    <w:rsid w:val="00A776EA"/>
    <w:rsid w:val="00A77A6D"/>
    <w:rsid w:val="00A82060"/>
    <w:rsid w:val="00A825AB"/>
    <w:rsid w:val="00A82678"/>
    <w:rsid w:val="00A83260"/>
    <w:rsid w:val="00A837BC"/>
    <w:rsid w:val="00A83DB7"/>
    <w:rsid w:val="00A84690"/>
    <w:rsid w:val="00A8494A"/>
    <w:rsid w:val="00A84E65"/>
    <w:rsid w:val="00A85255"/>
    <w:rsid w:val="00A85794"/>
    <w:rsid w:val="00A8605C"/>
    <w:rsid w:val="00A86126"/>
    <w:rsid w:val="00A87C79"/>
    <w:rsid w:val="00A90816"/>
    <w:rsid w:val="00A92E95"/>
    <w:rsid w:val="00A953D2"/>
    <w:rsid w:val="00A96134"/>
    <w:rsid w:val="00A9711F"/>
    <w:rsid w:val="00A97BF0"/>
    <w:rsid w:val="00AA2E7E"/>
    <w:rsid w:val="00AA3462"/>
    <w:rsid w:val="00AA5A82"/>
    <w:rsid w:val="00AA6300"/>
    <w:rsid w:val="00AB079A"/>
    <w:rsid w:val="00AB2656"/>
    <w:rsid w:val="00AB3C0B"/>
    <w:rsid w:val="00AB7085"/>
    <w:rsid w:val="00AC02B6"/>
    <w:rsid w:val="00AC08A5"/>
    <w:rsid w:val="00AC17E2"/>
    <w:rsid w:val="00AC1BB9"/>
    <w:rsid w:val="00AC1EF1"/>
    <w:rsid w:val="00AC5A7E"/>
    <w:rsid w:val="00AC63C0"/>
    <w:rsid w:val="00AC6A82"/>
    <w:rsid w:val="00AD0D19"/>
    <w:rsid w:val="00AD1494"/>
    <w:rsid w:val="00AD37F7"/>
    <w:rsid w:val="00AD4735"/>
    <w:rsid w:val="00AD5233"/>
    <w:rsid w:val="00AD7C86"/>
    <w:rsid w:val="00AE04C2"/>
    <w:rsid w:val="00AE246A"/>
    <w:rsid w:val="00AE2803"/>
    <w:rsid w:val="00AE5511"/>
    <w:rsid w:val="00AF0955"/>
    <w:rsid w:val="00AF0B87"/>
    <w:rsid w:val="00AF0CEC"/>
    <w:rsid w:val="00AF177C"/>
    <w:rsid w:val="00AF2A84"/>
    <w:rsid w:val="00AF58E9"/>
    <w:rsid w:val="00AF5C4D"/>
    <w:rsid w:val="00AF6C1E"/>
    <w:rsid w:val="00AF7DA6"/>
    <w:rsid w:val="00B034C0"/>
    <w:rsid w:val="00B039DE"/>
    <w:rsid w:val="00B07420"/>
    <w:rsid w:val="00B10361"/>
    <w:rsid w:val="00B10854"/>
    <w:rsid w:val="00B12AF4"/>
    <w:rsid w:val="00B13148"/>
    <w:rsid w:val="00B14FAD"/>
    <w:rsid w:val="00B15A03"/>
    <w:rsid w:val="00B16DFC"/>
    <w:rsid w:val="00B174C9"/>
    <w:rsid w:val="00B21CFA"/>
    <w:rsid w:val="00B22759"/>
    <w:rsid w:val="00B2308F"/>
    <w:rsid w:val="00B23405"/>
    <w:rsid w:val="00B25484"/>
    <w:rsid w:val="00B30082"/>
    <w:rsid w:val="00B301AB"/>
    <w:rsid w:val="00B30519"/>
    <w:rsid w:val="00B30A9A"/>
    <w:rsid w:val="00B3223A"/>
    <w:rsid w:val="00B32A87"/>
    <w:rsid w:val="00B33920"/>
    <w:rsid w:val="00B33B0B"/>
    <w:rsid w:val="00B3425B"/>
    <w:rsid w:val="00B377C7"/>
    <w:rsid w:val="00B37E2E"/>
    <w:rsid w:val="00B40960"/>
    <w:rsid w:val="00B41086"/>
    <w:rsid w:val="00B41449"/>
    <w:rsid w:val="00B46D36"/>
    <w:rsid w:val="00B503F1"/>
    <w:rsid w:val="00B5392C"/>
    <w:rsid w:val="00B55A39"/>
    <w:rsid w:val="00B56FAC"/>
    <w:rsid w:val="00B616D4"/>
    <w:rsid w:val="00B620DA"/>
    <w:rsid w:val="00B63FF4"/>
    <w:rsid w:val="00B64CD4"/>
    <w:rsid w:val="00B66191"/>
    <w:rsid w:val="00B66A44"/>
    <w:rsid w:val="00B70FFE"/>
    <w:rsid w:val="00B711D8"/>
    <w:rsid w:val="00B7224E"/>
    <w:rsid w:val="00B73DF4"/>
    <w:rsid w:val="00B77AA6"/>
    <w:rsid w:val="00B80AEE"/>
    <w:rsid w:val="00B81BF0"/>
    <w:rsid w:val="00B820C3"/>
    <w:rsid w:val="00B86A81"/>
    <w:rsid w:val="00B86CE2"/>
    <w:rsid w:val="00B87E3F"/>
    <w:rsid w:val="00B901D1"/>
    <w:rsid w:val="00B905D6"/>
    <w:rsid w:val="00B909A3"/>
    <w:rsid w:val="00B90BA5"/>
    <w:rsid w:val="00B93C2B"/>
    <w:rsid w:val="00B94301"/>
    <w:rsid w:val="00B945BC"/>
    <w:rsid w:val="00B9619B"/>
    <w:rsid w:val="00BA0D5A"/>
    <w:rsid w:val="00BA12CF"/>
    <w:rsid w:val="00BA5894"/>
    <w:rsid w:val="00BA5A74"/>
    <w:rsid w:val="00BA645F"/>
    <w:rsid w:val="00BB152A"/>
    <w:rsid w:val="00BB1C75"/>
    <w:rsid w:val="00BB21EE"/>
    <w:rsid w:val="00BB23E4"/>
    <w:rsid w:val="00BB2FA4"/>
    <w:rsid w:val="00BB613C"/>
    <w:rsid w:val="00BC1789"/>
    <w:rsid w:val="00BC249A"/>
    <w:rsid w:val="00BC3A3E"/>
    <w:rsid w:val="00BC3F21"/>
    <w:rsid w:val="00BC4DBB"/>
    <w:rsid w:val="00BC664A"/>
    <w:rsid w:val="00BD0CAA"/>
    <w:rsid w:val="00BD19B3"/>
    <w:rsid w:val="00BD3A1A"/>
    <w:rsid w:val="00BD7D9D"/>
    <w:rsid w:val="00BE1274"/>
    <w:rsid w:val="00BE32C0"/>
    <w:rsid w:val="00BE4643"/>
    <w:rsid w:val="00BE5991"/>
    <w:rsid w:val="00BE7515"/>
    <w:rsid w:val="00BE7D66"/>
    <w:rsid w:val="00BF0529"/>
    <w:rsid w:val="00BF0A37"/>
    <w:rsid w:val="00BF4CDA"/>
    <w:rsid w:val="00BF5C75"/>
    <w:rsid w:val="00C031E8"/>
    <w:rsid w:val="00C03F6C"/>
    <w:rsid w:val="00C045B5"/>
    <w:rsid w:val="00C052DA"/>
    <w:rsid w:val="00C053B8"/>
    <w:rsid w:val="00C11DCE"/>
    <w:rsid w:val="00C125CF"/>
    <w:rsid w:val="00C12995"/>
    <w:rsid w:val="00C132D8"/>
    <w:rsid w:val="00C14629"/>
    <w:rsid w:val="00C17F30"/>
    <w:rsid w:val="00C20E9F"/>
    <w:rsid w:val="00C21230"/>
    <w:rsid w:val="00C23104"/>
    <w:rsid w:val="00C241C8"/>
    <w:rsid w:val="00C24436"/>
    <w:rsid w:val="00C24B87"/>
    <w:rsid w:val="00C250EA"/>
    <w:rsid w:val="00C2613A"/>
    <w:rsid w:val="00C27924"/>
    <w:rsid w:val="00C30B85"/>
    <w:rsid w:val="00C311EE"/>
    <w:rsid w:val="00C31E1C"/>
    <w:rsid w:val="00C32FA1"/>
    <w:rsid w:val="00C35C9B"/>
    <w:rsid w:val="00C367C9"/>
    <w:rsid w:val="00C400F0"/>
    <w:rsid w:val="00C457B9"/>
    <w:rsid w:val="00C4625C"/>
    <w:rsid w:val="00C466A4"/>
    <w:rsid w:val="00C51913"/>
    <w:rsid w:val="00C52B84"/>
    <w:rsid w:val="00C52FCF"/>
    <w:rsid w:val="00C5472E"/>
    <w:rsid w:val="00C54B6D"/>
    <w:rsid w:val="00C55387"/>
    <w:rsid w:val="00C5683A"/>
    <w:rsid w:val="00C601C1"/>
    <w:rsid w:val="00C61105"/>
    <w:rsid w:val="00C65CD9"/>
    <w:rsid w:val="00C713A8"/>
    <w:rsid w:val="00C72099"/>
    <w:rsid w:val="00C73CA9"/>
    <w:rsid w:val="00C74C6F"/>
    <w:rsid w:val="00C75ACE"/>
    <w:rsid w:val="00C7679E"/>
    <w:rsid w:val="00C76C73"/>
    <w:rsid w:val="00C76F42"/>
    <w:rsid w:val="00C7717A"/>
    <w:rsid w:val="00C77311"/>
    <w:rsid w:val="00C775CF"/>
    <w:rsid w:val="00C818ED"/>
    <w:rsid w:val="00C82661"/>
    <w:rsid w:val="00C837FD"/>
    <w:rsid w:val="00C84B69"/>
    <w:rsid w:val="00C8515D"/>
    <w:rsid w:val="00C85BD2"/>
    <w:rsid w:val="00C85F0B"/>
    <w:rsid w:val="00C86B8F"/>
    <w:rsid w:val="00C8777D"/>
    <w:rsid w:val="00C87DDE"/>
    <w:rsid w:val="00C9081E"/>
    <w:rsid w:val="00C918DF"/>
    <w:rsid w:val="00C92574"/>
    <w:rsid w:val="00C92930"/>
    <w:rsid w:val="00C93A8E"/>
    <w:rsid w:val="00C93EA0"/>
    <w:rsid w:val="00C94E63"/>
    <w:rsid w:val="00C95FA4"/>
    <w:rsid w:val="00C97F3C"/>
    <w:rsid w:val="00CA2895"/>
    <w:rsid w:val="00CA2B78"/>
    <w:rsid w:val="00CA38F8"/>
    <w:rsid w:val="00CA4ADE"/>
    <w:rsid w:val="00CA4EE2"/>
    <w:rsid w:val="00CA6948"/>
    <w:rsid w:val="00CA704C"/>
    <w:rsid w:val="00CB1E41"/>
    <w:rsid w:val="00CB2415"/>
    <w:rsid w:val="00CB416F"/>
    <w:rsid w:val="00CB4A24"/>
    <w:rsid w:val="00CB6340"/>
    <w:rsid w:val="00CB65F5"/>
    <w:rsid w:val="00CB6637"/>
    <w:rsid w:val="00CB66B7"/>
    <w:rsid w:val="00CB6BCD"/>
    <w:rsid w:val="00CC466C"/>
    <w:rsid w:val="00CC6290"/>
    <w:rsid w:val="00CC62C8"/>
    <w:rsid w:val="00CC6A93"/>
    <w:rsid w:val="00CD27C0"/>
    <w:rsid w:val="00CD65EE"/>
    <w:rsid w:val="00CD77F3"/>
    <w:rsid w:val="00CE0A3E"/>
    <w:rsid w:val="00CE146F"/>
    <w:rsid w:val="00CE16E3"/>
    <w:rsid w:val="00CE171B"/>
    <w:rsid w:val="00CE4189"/>
    <w:rsid w:val="00CE5117"/>
    <w:rsid w:val="00CE5276"/>
    <w:rsid w:val="00CE7696"/>
    <w:rsid w:val="00CF1513"/>
    <w:rsid w:val="00CF22C7"/>
    <w:rsid w:val="00CF54C0"/>
    <w:rsid w:val="00CF5CA8"/>
    <w:rsid w:val="00D00CFA"/>
    <w:rsid w:val="00D04ADA"/>
    <w:rsid w:val="00D05290"/>
    <w:rsid w:val="00D05389"/>
    <w:rsid w:val="00D06030"/>
    <w:rsid w:val="00D06F39"/>
    <w:rsid w:val="00D070BB"/>
    <w:rsid w:val="00D076ED"/>
    <w:rsid w:val="00D07DC9"/>
    <w:rsid w:val="00D1300B"/>
    <w:rsid w:val="00D1437A"/>
    <w:rsid w:val="00D15DB6"/>
    <w:rsid w:val="00D16316"/>
    <w:rsid w:val="00D202B9"/>
    <w:rsid w:val="00D22C25"/>
    <w:rsid w:val="00D237E8"/>
    <w:rsid w:val="00D249A3"/>
    <w:rsid w:val="00D24EDF"/>
    <w:rsid w:val="00D2566F"/>
    <w:rsid w:val="00D26D71"/>
    <w:rsid w:val="00D27000"/>
    <w:rsid w:val="00D27A08"/>
    <w:rsid w:val="00D30FB0"/>
    <w:rsid w:val="00D30FCF"/>
    <w:rsid w:val="00D31FA3"/>
    <w:rsid w:val="00D32BCC"/>
    <w:rsid w:val="00D33C8C"/>
    <w:rsid w:val="00D3512E"/>
    <w:rsid w:val="00D371C5"/>
    <w:rsid w:val="00D40CE4"/>
    <w:rsid w:val="00D42215"/>
    <w:rsid w:val="00D431CD"/>
    <w:rsid w:val="00D455F6"/>
    <w:rsid w:val="00D45E25"/>
    <w:rsid w:val="00D46BFB"/>
    <w:rsid w:val="00D47515"/>
    <w:rsid w:val="00D47859"/>
    <w:rsid w:val="00D47E23"/>
    <w:rsid w:val="00D50A54"/>
    <w:rsid w:val="00D511C0"/>
    <w:rsid w:val="00D556C6"/>
    <w:rsid w:val="00D557C3"/>
    <w:rsid w:val="00D560B5"/>
    <w:rsid w:val="00D56143"/>
    <w:rsid w:val="00D57B17"/>
    <w:rsid w:val="00D611D4"/>
    <w:rsid w:val="00D61A2B"/>
    <w:rsid w:val="00D624A9"/>
    <w:rsid w:val="00D629DD"/>
    <w:rsid w:val="00D643E6"/>
    <w:rsid w:val="00D64457"/>
    <w:rsid w:val="00D64848"/>
    <w:rsid w:val="00D649BD"/>
    <w:rsid w:val="00D6657E"/>
    <w:rsid w:val="00D70EB9"/>
    <w:rsid w:val="00D710EB"/>
    <w:rsid w:val="00D7138F"/>
    <w:rsid w:val="00D71AC2"/>
    <w:rsid w:val="00D736B5"/>
    <w:rsid w:val="00D73913"/>
    <w:rsid w:val="00D74EE1"/>
    <w:rsid w:val="00D74F41"/>
    <w:rsid w:val="00D75D81"/>
    <w:rsid w:val="00D762C9"/>
    <w:rsid w:val="00D765DD"/>
    <w:rsid w:val="00D779D5"/>
    <w:rsid w:val="00D81BCF"/>
    <w:rsid w:val="00D828BA"/>
    <w:rsid w:val="00D828D8"/>
    <w:rsid w:val="00D83843"/>
    <w:rsid w:val="00D84264"/>
    <w:rsid w:val="00D84E4C"/>
    <w:rsid w:val="00D90C27"/>
    <w:rsid w:val="00D92442"/>
    <w:rsid w:val="00D947C3"/>
    <w:rsid w:val="00D94D3F"/>
    <w:rsid w:val="00DA0940"/>
    <w:rsid w:val="00DA0AE1"/>
    <w:rsid w:val="00DA1B39"/>
    <w:rsid w:val="00DA38E9"/>
    <w:rsid w:val="00DA6507"/>
    <w:rsid w:val="00DA73FF"/>
    <w:rsid w:val="00DB15CE"/>
    <w:rsid w:val="00DB20B4"/>
    <w:rsid w:val="00DB226C"/>
    <w:rsid w:val="00DB4C19"/>
    <w:rsid w:val="00DB521B"/>
    <w:rsid w:val="00DB60B0"/>
    <w:rsid w:val="00DB6819"/>
    <w:rsid w:val="00DB6992"/>
    <w:rsid w:val="00DB6F00"/>
    <w:rsid w:val="00DB785E"/>
    <w:rsid w:val="00DB7B3A"/>
    <w:rsid w:val="00DC2943"/>
    <w:rsid w:val="00DC348D"/>
    <w:rsid w:val="00DC34E0"/>
    <w:rsid w:val="00DC42A3"/>
    <w:rsid w:val="00DC5934"/>
    <w:rsid w:val="00DD187C"/>
    <w:rsid w:val="00DD2606"/>
    <w:rsid w:val="00DD4285"/>
    <w:rsid w:val="00DD451D"/>
    <w:rsid w:val="00DD584C"/>
    <w:rsid w:val="00DD61C6"/>
    <w:rsid w:val="00DD645B"/>
    <w:rsid w:val="00DD6E9F"/>
    <w:rsid w:val="00DE3A03"/>
    <w:rsid w:val="00DE5F56"/>
    <w:rsid w:val="00DE6259"/>
    <w:rsid w:val="00DE695A"/>
    <w:rsid w:val="00DF002A"/>
    <w:rsid w:val="00DF0DD8"/>
    <w:rsid w:val="00DF2458"/>
    <w:rsid w:val="00DF5753"/>
    <w:rsid w:val="00DF767C"/>
    <w:rsid w:val="00E000F3"/>
    <w:rsid w:val="00E00946"/>
    <w:rsid w:val="00E025F5"/>
    <w:rsid w:val="00E02666"/>
    <w:rsid w:val="00E0353C"/>
    <w:rsid w:val="00E03CD2"/>
    <w:rsid w:val="00E05613"/>
    <w:rsid w:val="00E064E2"/>
    <w:rsid w:val="00E100AE"/>
    <w:rsid w:val="00E12CF8"/>
    <w:rsid w:val="00E13FB1"/>
    <w:rsid w:val="00E14752"/>
    <w:rsid w:val="00E14EAC"/>
    <w:rsid w:val="00E1758E"/>
    <w:rsid w:val="00E203FC"/>
    <w:rsid w:val="00E20521"/>
    <w:rsid w:val="00E23554"/>
    <w:rsid w:val="00E248FD"/>
    <w:rsid w:val="00E26701"/>
    <w:rsid w:val="00E30D36"/>
    <w:rsid w:val="00E31611"/>
    <w:rsid w:val="00E33867"/>
    <w:rsid w:val="00E35E1E"/>
    <w:rsid w:val="00E364D8"/>
    <w:rsid w:val="00E369F7"/>
    <w:rsid w:val="00E37290"/>
    <w:rsid w:val="00E374B3"/>
    <w:rsid w:val="00E40765"/>
    <w:rsid w:val="00E410A2"/>
    <w:rsid w:val="00E42370"/>
    <w:rsid w:val="00E44E1A"/>
    <w:rsid w:val="00E45EBD"/>
    <w:rsid w:val="00E475C2"/>
    <w:rsid w:val="00E52A50"/>
    <w:rsid w:val="00E54CD8"/>
    <w:rsid w:val="00E54CDB"/>
    <w:rsid w:val="00E550B6"/>
    <w:rsid w:val="00E550F8"/>
    <w:rsid w:val="00E5598C"/>
    <w:rsid w:val="00E560C0"/>
    <w:rsid w:val="00E5620F"/>
    <w:rsid w:val="00E56B8E"/>
    <w:rsid w:val="00E604AC"/>
    <w:rsid w:val="00E60D2D"/>
    <w:rsid w:val="00E631A7"/>
    <w:rsid w:val="00E64B54"/>
    <w:rsid w:val="00E66F7E"/>
    <w:rsid w:val="00E6721B"/>
    <w:rsid w:val="00E67D61"/>
    <w:rsid w:val="00E67F5C"/>
    <w:rsid w:val="00E70342"/>
    <w:rsid w:val="00E70A13"/>
    <w:rsid w:val="00E70C85"/>
    <w:rsid w:val="00E718C5"/>
    <w:rsid w:val="00E72099"/>
    <w:rsid w:val="00E73DA2"/>
    <w:rsid w:val="00E74D2C"/>
    <w:rsid w:val="00E74D91"/>
    <w:rsid w:val="00E750CF"/>
    <w:rsid w:val="00E759E1"/>
    <w:rsid w:val="00E75F39"/>
    <w:rsid w:val="00E77FA0"/>
    <w:rsid w:val="00E801FE"/>
    <w:rsid w:val="00E81326"/>
    <w:rsid w:val="00E821EB"/>
    <w:rsid w:val="00E83894"/>
    <w:rsid w:val="00E849FC"/>
    <w:rsid w:val="00E8581F"/>
    <w:rsid w:val="00E8697B"/>
    <w:rsid w:val="00E876C1"/>
    <w:rsid w:val="00E87E63"/>
    <w:rsid w:val="00E87F54"/>
    <w:rsid w:val="00E9166B"/>
    <w:rsid w:val="00E9189F"/>
    <w:rsid w:val="00E92934"/>
    <w:rsid w:val="00E92A65"/>
    <w:rsid w:val="00E93611"/>
    <w:rsid w:val="00E941EB"/>
    <w:rsid w:val="00E94E97"/>
    <w:rsid w:val="00EA0AA7"/>
    <w:rsid w:val="00EA13C6"/>
    <w:rsid w:val="00EA2094"/>
    <w:rsid w:val="00EA2994"/>
    <w:rsid w:val="00EA3BAD"/>
    <w:rsid w:val="00EA5968"/>
    <w:rsid w:val="00EA5F25"/>
    <w:rsid w:val="00EA5F52"/>
    <w:rsid w:val="00EA6671"/>
    <w:rsid w:val="00EB0112"/>
    <w:rsid w:val="00EB1493"/>
    <w:rsid w:val="00EB187B"/>
    <w:rsid w:val="00EB1894"/>
    <w:rsid w:val="00EB2036"/>
    <w:rsid w:val="00EB2212"/>
    <w:rsid w:val="00EB2A98"/>
    <w:rsid w:val="00EB4ECE"/>
    <w:rsid w:val="00EB6B0E"/>
    <w:rsid w:val="00EB76BF"/>
    <w:rsid w:val="00EC0725"/>
    <w:rsid w:val="00EC1C5F"/>
    <w:rsid w:val="00EC2445"/>
    <w:rsid w:val="00EC32FF"/>
    <w:rsid w:val="00EC4466"/>
    <w:rsid w:val="00EC5500"/>
    <w:rsid w:val="00EC5AD2"/>
    <w:rsid w:val="00EC5C68"/>
    <w:rsid w:val="00ED04C9"/>
    <w:rsid w:val="00ED0D7E"/>
    <w:rsid w:val="00ED2965"/>
    <w:rsid w:val="00ED344E"/>
    <w:rsid w:val="00ED6D77"/>
    <w:rsid w:val="00ED7384"/>
    <w:rsid w:val="00ED7A5F"/>
    <w:rsid w:val="00EE0D4D"/>
    <w:rsid w:val="00EE18DF"/>
    <w:rsid w:val="00EE20DA"/>
    <w:rsid w:val="00EE2D33"/>
    <w:rsid w:val="00EE33C0"/>
    <w:rsid w:val="00EE34C7"/>
    <w:rsid w:val="00EE3AE9"/>
    <w:rsid w:val="00EE4811"/>
    <w:rsid w:val="00EE5C9B"/>
    <w:rsid w:val="00EE6182"/>
    <w:rsid w:val="00EE6240"/>
    <w:rsid w:val="00EE7225"/>
    <w:rsid w:val="00EE7728"/>
    <w:rsid w:val="00EF0872"/>
    <w:rsid w:val="00EF0D5F"/>
    <w:rsid w:val="00EF0DD7"/>
    <w:rsid w:val="00EF0E70"/>
    <w:rsid w:val="00EF220C"/>
    <w:rsid w:val="00EF24A5"/>
    <w:rsid w:val="00EF2879"/>
    <w:rsid w:val="00EF4714"/>
    <w:rsid w:val="00EF4DB1"/>
    <w:rsid w:val="00EF4F59"/>
    <w:rsid w:val="00EF59AB"/>
    <w:rsid w:val="00EF68E7"/>
    <w:rsid w:val="00EF70DC"/>
    <w:rsid w:val="00EF798E"/>
    <w:rsid w:val="00F01480"/>
    <w:rsid w:val="00F023C8"/>
    <w:rsid w:val="00F03E51"/>
    <w:rsid w:val="00F0426F"/>
    <w:rsid w:val="00F070A4"/>
    <w:rsid w:val="00F07FBE"/>
    <w:rsid w:val="00F10009"/>
    <w:rsid w:val="00F11345"/>
    <w:rsid w:val="00F12067"/>
    <w:rsid w:val="00F14584"/>
    <w:rsid w:val="00F14E86"/>
    <w:rsid w:val="00F1568D"/>
    <w:rsid w:val="00F173F7"/>
    <w:rsid w:val="00F17C54"/>
    <w:rsid w:val="00F21073"/>
    <w:rsid w:val="00F22783"/>
    <w:rsid w:val="00F22C59"/>
    <w:rsid w:val="00F23DBB"/>
    <w:rsid w:val="00F23EA5"/>
    <w:rsid w:val="00F240BF"/>
    <w:rsid w:val="00F25CD4"/>
    <w:rsid w:val="00F25CEB"/>
    <w:rsid w:val="00F26E7E"/>
    <w:rsid w:val="00F3014F"/>
    <w:rsid w:val="00F30D43"/>
    <w:rsid w:val="00F30F7E"/>
    <w:rsid w:val="00F30FDB"/>
    <w:rsid w:val="00F31732"/>
    <w:rsid w:val="00F31E70"/>
    <w:rsid w:val="00F327AA"/>
    <w:rsid w:val="00F32F35"/>
    <w:rsid w:val="00F34020"/>
    <w:rsid w:val="00F345F9"/>
    <w:rsid w:val="00F34D5F"/>
    <w:rsid w:val="00F36D8E"/>
    <w:rsid w:val="00F36E5E"/>
    <w:rsid w:val="00F3717A"/>
    <w:rsid w:val="00F37BE3"/>
    <w:rsid w:val="00F41311"/>
    <w:rsid w:val="00F42802"/>
    <w:rsid w:val="00F45882"/>
    <w:rsid w:val="00F47913"/>
    <w:rsid w:val="00F47D1D"/>
    <w:rsid w:val="00F510DA"/>
    <w:rsid w:val="00F51D5C"/>
    <w:rsid w:val="00F520A0"/>
    <w:rsid w:val="00F52660"/>
    <w:rsid w:val="00F52887"/>
    <w:rsid w:val="00F53C43"/>
    <w:rsid w:val="00F555C8"/>
    <w:rsid w:val="00F56192"/>
    <w:rsid w:val="00F5702A"/>
    <w:rsid w:val="00F579E2"/>
    <w:rsid w:val="00F60545"/>
    <w:rsid w:val="00F63F29"/>
    <w:rsid w:val="00F64073"/>
    <w:rsid w:val="00F65173"/>
    <w:rsid w:val="00F6725A"/>
    <w:rsid w:val="00F7218B"/>
    <w:rsid w:val="00F72460"/>
    <w:rsid w:val="00F72C78"/>
    <w:rsid w:val="00F73990"/>
    <w:rsid w:val="00F73E76"/>
    <w:rsid w:val="00F77479"/>
    <w:rsid w:val="00F77BC7"/>
    <w:rsid w:val="00F80276"/>
    <w:rsid w:val="00F8126C"/>
    <w:rsid w:val="00F815D4"/>
    <w:rsid w:val="00F819B9"/>
    <w:rsid w:val="00F82037"/>
    <w:rsid w:val="00F828A5"/>
    <w:rsid w:val="00F82AD5"/>
    <w:rsid w:val="00F82E29"/>
    <w:rsid w:val="00F8328D"/>
    <w:rsid w:val="00F8391E"/>
    <w:rsid w:val="00F83B2B"/>
    <w:rsid w:val="00F83C70"/>
    <w:rsid w:val="00F84610"/>
    <w:rsid w:val="00F84B07"/>
    <w:rsid w:val="00F84F22"/>
    <w:rsid w:val="00F876DB"/>
    <w:rsid w:val="00F87ECE"/>
    <w:rsid w:val="00F87F0D"/>
    <w:rsid w:val="00F90C7B"/>
    <w:rsid w:val="00F9233C"/>
    <w:rsid w:val="00F92527"/>
    <w:rsid w:val="00F94AC6"/>
    <w:rsid w:val="00F95689"/>
    <w:rsid w:val="00F972AA"/>
    <w:rsid w:val="00FA1B84"/>
    <w:rsid w:val="00FA1BE6"/>
    <w:rsid w:val="00FA36CC"/>
    <w:rsid w:val="00FA3C46"/>
    <w:rsid w:val="00FA49E6"/>
    <w:rsid w:val="00FA6295"/>
    <w:rsid w:val="00FA6B95"/>
    <w:rsid w:val="00FA78C8"/>
    <w:rsid w:val="00FA7C9B"/>
    <w:rsid w:val="00FB1A03"/>
    <w:rsid w:val="00FB2045"/>
    <w:rsid w:val="00FB27F8"/>
    <w:rsid w:val="00FB5C78"/>
    <w:rsid w:val="00FB5C82"/>
    <w:rsid w:val="00FB6F3D"/>
    <w:rsid w:val="00FB7604"/>
    <w:rsid w:val="00FC052B"/>
    <w:rsid w:val="00FC0F35"/>
    <w:rsid w:val="00FC19F5"/>
    <w:rsid w:val="00FC4610"/>
    <w:rsid w:val="00FC5840"/>
    <w:rsid w:val="00FD00BB"/>
    <w:rsid w:val="00FD0AB3"/>
    <w:rsid w:val="00FD2150"/>
    <w:rsid w:val="00FD2377"/>
    <w:rsid w:val="00FD2406"/>
    <w:rsid w:val="00FD26C5"/>
    <w:rsid w:val="00FD3097"/>
    <w:rsid w:val="00FD3172"/>
    <w:rsid w:val="00FD4447"/>
    <w:rsid w:val="00FD4839"/>
    <w:rsid w:val="00FD4FEF"/>
    <w:rsid w:val="00FD709B"/>
    <w:rsid w:val="00FE04AE"/>
    <w:rsid w:val="00FE0845"/>
    <w:rsid w:val="00FE2BAE"/>
    <w:rsid w:val="00FE2C48"/>
    <w:rsid w:val="00FE509A"/>
    <w:rsid w:val="00FE5752"/>
    <w:rsid w:val="00FE6DBE"/>
    <w:rsid w:val="00FE7C1D"/>
    <w:rsid w:val="00FF003B"/>
    <w:rsid w:val="00FF0D10"/>
    <w:rsid w:val="00FF0F8D"/>
    <w:rsid w:val="00FF1008"/>
    <w:rsid w:val="00FF41C6"/>
    <w:rsid w:val="00FF4D77"/>
    <w:rsid w:val="00FF6D0C"/>
    <w:rsid w:val="01151DE1"/>
    <w:rsid w:val="013132B4"/>
    <w:rsid w:val="01663733"/>
    <w:rsid w:val="01BE3BEC"/>
    <w:rsid w:val="01F1349B"/>
    <w:rsid w:val="020019F3"/>
    <w:rsid w:val="02051289"/>
    <w:rsid w:val="0225519F"/>
    <w:rsid w:val="023807D4"/>
    <w:rsid w:val="02487F12"/>
    <w:rsid w:val="02606796"/>
    <w:rsid w:val="02A71D48"/>
    <w:rsid w:val="02D93C11"/>
    <w:rsid w:val="03063B5E"/>
    <w:rsid w:val="03115ABB"/>
    <w:rsid w:val="0346038A"/>
    <w:rsid w:val="035411B3"/>
    <w:rsid w:val="0360008E"/>
    <w:rsid w:val="03A26F61"/>
    <w:rsid w:val="03DE22FF"/>
    <w:rsid w:val="03E83E23"/>
    <w:rsid w:val="03F90F3C"/>
    <w:rsid w:val="04135BDA"/>
    <w:rsid w:val="04180CCB"/>
    <w:rsid w:val="041D3FE0"/>
    <w:rsid w:val="0462405C"/>
    <w:rsid w:val="049555FA"/>
    <w:rsid w:val="04DF095E"/>
    <w:rsid w:val="05427653"/>
    <w:rsid w:val="054F4DEF"/>
    <w:rsid w:val="06575EF0"/>
    <w:rsid w:val="06852C2C"/>
    <w:rsid w:val="06C33659"/>
    <w:rsid w:val="06F45D13"/>
    <w:rsid w:val="07211341"/>
    <w:rsid w:val="072913D5"/>
    <w:rsid w:val="072F31A0"/>
    <w:rsid w:val="079E5CB6"/>
    <w:rsid w:val="07A40BA1"/>
    <w:rsid w:val="07CB4E30"/>
    <w:rsid w:val="07D97A2E"/>
    <w:rsid w:val="07E4114F"/>
    <w:rsid w:val="08866D6C"/>
    <w:rsid w:val="088D4C89"/>
    <w:rsid w:val="089F6DEA"/>
    <w:rsid w:val="08E21D19"/>
    <w:rsid w:val="09662AD3"/>
    <w:rsid w:val="09804A95"/>
    <w:rsid w:val="09A029C7"/>
    <w:rsid w:val="09FF4517"/>
    <w:rsid w:val="0A0E41BF"/>
    <w:rsid w:val="0A5605CA"/>
    <w:rsid w:val="0A6E2E3B"/>
    <w:rsid w:val="0A8D5451"/>
    <w:rsid w:val="0A8D5BA7"/>
    <w:rsid w:val="0AB164CA"/>
    <w:rsid w:val="0AC617C9"/>
    <w:rsid w:val="0AF371CB"/>
    <w:rsid w:val="0B066C13"/>
    <w:rsid w:val="0B0A0974"/>
    <w:rsid w:val="0B526AF3"/>
    <w:rsid w:val="0B652AC7"/>
    <w:rsid w:val="0B6A500F"/>
    <w:rsid w:val="0B7A7AD2"/>
    <w:rsid w:val="0BB817DC"/>
    <w:rsid w:val="0C0C690F"/>
    <w:rsid w:val="0C1E0ECA"/>
    <w:rsid w:val="0C4E54DA"/>
    <w:rsid w:val="0C50489D"/>
    <w:rsid w:val="0D1D260F"/>
    <w:rsid w:val="0D295270"/>
    <w:rsid w:val="0DA670D3"/>
    <w:rsid w:val="0DCA2AF6"/>
    <w:rsid w:val="0DD2726A"/>
    <w:rsid w:val="0DDD671A"/>
    <w:rsid w:val="0DE3141E"/>
    <w:rsid w:val="0DF935A3"/>
    <w:rsid w:val="0DFB67AA"/>
    <w:rsid w:val="0E184E91"/>
    <w:rsid w:val="0E364FEF"/>
    <w:rsid w:val="0E9B0871"/>
    <w:rsid w:val="0EA72B33"/>
    <w:rsid w:val="0EC05A12"/>
    <w:rsid w:val="0EC53268"/>
    <w:rsid w:val="0ECE0184"/>
    <w:rsid w:val="0F1F3237"/>
    <w:rsid w:val="0F792B85"/>
    <w:rsid w:val="0FFE0091"/>
    <w:rsid w:val="101F7E47"/>
    <w:rsid w:val="104171C4"/>
    <w:rsid w:val="104A2851"/>
    <w:rsid w:val="10805BD8"/>
    <w:rsid w:val="108A0E49"/>
    <w:rsid w:val="10E2689B"/>
    <w:rsid w:val="110959A5"/>
    <w:rsid w:val="1114493A"/>
    <w:rsid w:val="116117DA"/>
    <w:rsid w:val="11C1055E"/>
    <w:rsid w:val="11EE2D13"/>
    <w:rsid w:val="11F81F36"/>
    <w:rsid w:val="12041F1C"/>
    <w:rsid w:val="121E149D"/>
    <w:rsid w:val="1223094F"/>
    <w:rsid w:val="1232199F"/>
    <w:rsid w:val="126B6E60"/>
    <w:rsid w:val="1284702C"/>
    <w:rsid w:val="12BE708A"/>
    <w:rsid w:val="12CB2BAB"/>
    <w:rsid w:val="12CF5120"/>
    <w:rsid w:val="12E135EC"/>
    <w:rsid w:val="13437701"/>
    <w:rsid w:val="137F185E"/>
    <w:rsid w:val="139610EE"/>
    <w:rsid w:val="14013E9D"/>
    <w:rsid w:val="1446749E"/>
    <w:rsid w:val="14552807"/>
    <w:rsid w:val="145D17DF"/>
    <w:rsid w:val="14AF4FED"/>
    <w:rsid w:val="14D27D66"/>
    <w:rsid w:val="14E13CE5"/>
    <w:rsid w:val="151D2687"/>
    <w:rsid w:val="151F6E35"/>
    <w:rsid w:val="15311A8B"/>
    <w:rsid w:val="15545FBB"/>
    <w:rsid w:val="156E2F55"/>
    <w:rsid w:val="15841072"/>
    <w:rsid w:val="158D48D7"/>
    <w:rsid w:val="159C7A9A"/>
    <w:rsid w:val="15E341E6"/>
    <w:rsid w:val="160E5983"/>
    <w:rsid w:val="16172309"/>
    <w:rsid w:val="162813FE"/>
    <w:rsid w:val="1641084C"/>
    <w:rsid w:val="16E46A7E"/>
    <w:rsid w:val="1723439D"/>
    <w:rsid w:val="175B1B99"/>
    <w:rsid w:val="175E0014"/>
    <w:rsid w:val="17660D52"/>
    <w:rsid w:val="177260CA"/>
    <w:rsid w:val="17903A53"/>
    <w:rsid w:val="17A04274"/>
    <w:rsid w:val="17F757A8"/>
    <w:rsid w:val="183427DC"/>
    <w:rsid w:val="18A31AD0"/>
    <w:rsid w:val="18B244FE"/>
    <w:rsid w:val="18C00B9E"/>
    <w:rsid w:val="18E95527"/>
    <w:rsid w:val="18EB7ADE"/>
    <w:rsid w:val="18ED0220"/>
    <w:rsid w:val="18F73BF3"/>
    <w:rsid w:val="192D45DB"/>
    <w:rsid w:val="1972339C"/>
    <w:rsid w:val="19BD02FC"/>
    <w:rsid w:val="19D15440"/>
    <w:rsid w:val="19D6473A"/>
    <w:rsid w:val="19EE156D"/>
    <w:rsid w:val="1A5345E8"/>
    <w:rsid w:val="1A6359B7"/>
    <w:rsid w:val="1B192422"/>
    <w:rsid w:val="1C122284"/>
    <w:rsid w:val="1C54039F"/>
    <w:rsid w:val="1C5B5ACE"/>
    <w:rsid w:val="1C9869B7"/>
    <w:rsid w:val="1CD75A11"/>
    <w:rsid w:val="1CDF669E"/>
    <w:rsid w:val="1CF76142"/>
    <w:rsid w:val="1D040FF3"/>
    <w:rsid w:val="1D1E2965"/>
    <w:rsid w:val="1D201455"/>
    <w:rsid w:val="1D227FFC"/>
    <w:rsid w:val="1D4F7E5A"/>
    <w:rsid w:val="1D84718F"/>
    <w:rsid w:val="1D8C0128"/>
    <w:rsid w:val="1D904F98"/>
    <w:rsid w:val="1DA31624"/>
    <w:rsid w:val="1E756AB7"/>
    <w:rsid w:val="1E9A018D"/>
    <w:rsid w:val="1E9E247D"/>
    <w:rsid w:val="1EE3764A"/>
    <w:rsid w:val="1F146173"/>
    <w:rsid w:val="1F1503CC"/>
    <w:rsid w:val="1F3C0C14"/>
    <w:rsid w:val="1F45510B"/>
    <w:rsid w:val="1F5D40BA"/>
    <w:rsid w:val="201D2FC3"/>
    <w:rsid w:val="202802D6"/>
    <w:rsid w:val="20483F87"/>
    <w:rsid w:val="20DE4A74"/>
    <w:rsid w:val="20E56E25"/>
    <w:rsid w:val="21594058"/>
    <w:rsid w:val="216170C6"/>
    <w:rsid w:val="21647269"/>
    <w:rsid w:val="21E84E39"/>
    <w:rsid w:val="22087A05"/>
    <w:rsid w:val="224C31CA"/>
    <w:rsid w:val="226B4FCF"/>
    <w:rsid w:val="22C24779"/>
    <w:rsid w:val="22DA3ABB"/>
    <w:rsid w:val="233E6268"/>
    <w:rsid w:val="234D704C"/>
    <w:rsid w:val="236025A7"/>
    <w:rsid w:val="236E59A8"/>
    <w:rsid w:val="237A4BEA"/>
    <w:rsid w:val="2388209C"/>
    <w:rsid w:val="239A46F7"/>
    <w:rsid w:val="23A81CF8"/>
    <w:rsid w:val="23A843AE"/>
    <w:rsid w:val="23FA5880"/>
    <w:rsid w:val="240B751C"/>
    <w:rsid w:val="24263C7E"/>
    <w:rsid w:val="24D257BB"/>
    <w:rsid w:val="24D33093"/>
    <w:rsid w:val="24D75447"/>
    <w:rsid w:val="24E266BE"/>
    <w:rsid w:val="24EB5085"/>
    <w:rsid w:val="250457F9"/>
    <w:rsid w:val="25082EBE"/>
    <w:rsid w:val="252209A2"/>
    <w:rsid w:val="253F1725"/>
    <w:rsid w:val="254B78ED"/>
    <w:rsid w:val="255B24A6"/>
    <w:rsid w:val="257C01E4"/>
    <w:rsid w:val="258C3857"/>
    <w:rsid w:val="25A074FA"/>
    <w:rsid w:val="261325B3"/>
    <w:rsid w:val="263559A2"/>
    <w:rsid w:val="263B3E35"/>
    <w:rsid w:val="26497B9D"/>
    <w:rsid w:val="267F18DF"/>
    <w:rsid w:val="269336F3"/>
    <w:rsid w:val="26BB22FC"/>
    <w:rsid w:val="26C02C61"/>
    <w:rsid w:val="26E32190"/>
    <w:rsid w:val="26FB639A"/>
    <w:rsid w:val="270F557E"/>
    <w:rsid w:val="272B0B25"/>
    <w:rsid w:val="276F79A5"/>
    <w:rsid w:val="277D3724"/>
    <w:rsid w:val="27867009"/>
    <w:rsid w:val="27A73F81"/>
    <w:rsid w:val="27E72BFA"/>
    <w:rsid w:val="28002853"/>
    <w:rsid w:val="28227D70"/>
    <w:rsid w:val="28257EEB"/>
    <w:rsid w:val="28391CFE"/>
    <w:rsid w:val="284442FF"/>
    <w:rsid w:val="28463D78"/>
    <w:rsid w:val="28594076"/>
    <w:rsid w:val="290B3FDC"/>
    <w:rsid w:val="2A0175C8"/>
    <w:rsid w:val="2A2D76E5"/>
    <w:rsid w:val="2AE77C2D"/>
    <w:rsid w:val="2AEB1048"/>
    <w:rsid w:val="2AF37D93"/>
    <w:rsid w:val="2AFA3770"/>
    <w:rsid w:val="2B0968A5"/>
    <w:rsid w:val="2BB00A18"/>
    <w:rsid w:val="2BD947CA"/>
    <w:rsid w:val="2C8408E6"/>
    <w:rsid w:val="2D1E473F"/>
    <w:rsid w:val="2D270342"/>
    <w:rsid w:val="2D560B2E"/>
    <w:rsid w:val="2D8810E6"/>
    <w:rsid w:val="2E157F60"/>
    <w:rsid w:val="2E4D4E96"/>
    <w:rsid w:val="2E5366AA"/>
    <w:rsid w:val="2E686F1A"/>
    <w:rsid w:val="2F0A5AF1"/>
    <w:rsid w:val="2F130F1F"/>
    <w:rsid w:val="2F2C3872"/>
    <w:rsid w:val="2F370E7A"/>
    <w:rsid w:val="2F516DE8"/>
    <w:rsid w:val="2F532607"/>
    <w:rsid w:val="2F733648"/>
    <w:rsid w:val="2F775CD1"/>
    <w:rsid w:val="2F8B583B"/>
    <w:rsid w:val="2FA35CF7"/>
    <w:rsid w:val="2FEA3C1C"/>
    <w:rsid w:val="302D2258"/>
    <w:rsid w:val="30446BB4"/>
    <w:rsid w:val="30486548"/>
    <w:rsid w:val="30CF6417"/>
    <w:rsid w:val="30D374B9"/>
    <w:rsid w:val="31261340"/>
    <w:rsid w:val="316C25FC"/>
    <w:rsid w:val="3180269B"/>
    <w:rsid w:val="31A46901"/>
    <w:rsid w:val="320D4605"/>
    <w:rsid w:val="321C1CC0"/>
    <w:rsid w:val="321E6415"/>
    <w:rsid w:val="323474D6"/>
    <w:rsid w:val="32CB3CEF"/>
    <w:rsid w:val="32EF0276"/>
    <w:rsid w:val="32F54575"/>
    <w:rsid w:val="339119B8"/>
    <w:rsid w:val="33D61DDB"/>
    <w:rsid w:val="33D927FC"/>
    <w:rsid w:val="34A02044"/>
    <w:rsid w:val="35792894"/>
    <w:rsid w:val="35A75CDD"/>
    <w:rsid w:val="35D64671"/>
    <w:rsid w:val="35E366BF"/>
    <w:rsid w:val="35F0287C"/>
    <w:rsid w:val="36161D51"/>
    <w:rsid w:val="36517D31"/>
    <w:rsid w:val="36650B8A"/>
    <w:rsid w:val="36A123F9"/>
    <w:rsid w:val="36C57795"/>
    <w:rsid w:val="36D43F5A"/>
    <w:rsid w:val="37064013"/>
    <w:rsid w:val="3726138B"/>
    <w:rsid w:val="372B11CB"/>
    <w:rsid w:val="37333AAD"/>
    <w:rsid w:val="37470626"/>
    <w:rsid w:val="38370DE2"/>
    <w:rsid w:val="38716D87"/>
    <w:rsid w:val="388E1899"/>
    <w:rsid w:val="39697224"/>
    <w:rsid w:val="39B370B9"/>
    <w:rsid w:val="39B90D60"/>
    <w:rsid w:val="39DE1486"/>
    <w:rsid w:val="3A1A0397"/>
    <w:rsid w:val="3A2231A9"/>
    <w:rsid w:val="3A325083"/>
    <w:rsid w:val="3A3E434D"/>
    <w:rsid w:val="3A916C6E"/>
    <w:rsid w:val="3B0C56FB"/>
    <w:rsid w:val="3B504144"/>
    <w:rsid w:val="3BB12647"/>
    <w:rsid w:val="3BB76938"/>
    <w:rsid w:val="3BDE32FB"/>
    <w:rsid w:val="3CFA6CDB"/>
    <w:rsid w:val="3CFC7257"/>
    <w:rsid w:val="3D092B1F"/>
    <w:rsid w:val="3D0D5AD2"/>
    <w:rsid w:val="3D225EF4"/>
    <w:rsid w:val="3D367856"/>
    <w:rsid w:val="3D67406A"/>
    <w:rsid w:val="3D716137"/>
    <w:rsid w:val="3DA022B8"/>
    <w:rsid w:val="3DC50BC1"/>
    <w:rsid w:val="3E27439B"/>
    <w:rsid w:val="3E6B3CC2"/>
    <w:rsid w:val="3EAF1E82"/>
    <w:rsid w:val="3EC85596"/>
    <w:rsid w:val="3FA253EC"/>
    <w:rsid w:val="3FFC2773"/>
    <w:rsid w:val="400B3221"/>
    <w:rsid w:val="408F1E5B"/>
    <w:rsid w:val="409511B4"/>
    <w:rsid w:val="409577E5"/>
    <w:rsid w:val="41147C5F"/>
    <w:rsid w:val="412C3F06"/>
    <w:rsid w:val="41530B68"/>
    <w:rsid w:val="41E10591"/>
    <w:rsid w:val="4206732D"/>
    <w:rsid w:val="42253CC7"/>
    <w:rsid w:val="422E3EC3"/>
    <w:rsid w:val="42323DCD"/>
    <w:rsid w:val="42721E36"/>
    <w:rsid w:val="42B82062"/>
    <w:rsid w:val="43302B19"/>
    <w:rsid w:val="43581EEE"/>
    <w:rsid w:val="43A01F56"/>
    <w:rsid w:val="43A23B31"/>
    <w:rsid w:val="43DD1C5C"/>
    <w:rsid w:val="43F00345"/>
    <w:rsid w:val="43F910A7"/>
    <w:rsid w:val="4407139B"/>
    <w:rsid w:val="440F0E8C"/>
    <w:rsid w:val="444B0656"/>
    <w:rsid w:val="44A77A7B"/>
    <w:rsid w:val="44BF25DF"/>
    <w:rsid w:val="44DC0E97"/>
    <w:rsid w:val="44E12B7A"/>
    <w:rsid w:val="44EA7781"/>
    <w:rsid w:val="44F24721"/>
    <w:rsid w:val="44F7002D"/>
    <w:rsid w:val="450A6ADE"/>
    <w:rsid w:val="453F51BA"/>
    <w:rsid w:val="454A4FB1"/>
    <w:rsid w:val="456A5978"/>
    <w:rsid w:val="458B2EF7"/>
    <w:rsid w:val="45CA500D"/>
    <w:rsid w:val="45CE449D"/>
    <w:rsid w:val="45EE1EE1"/>
    <w:rsid w:val="45F033EC"/>
    <w:rsid w:val="460052E3"/>
    <w:rsid w:val="463B5544"/>
    <w:rsid w:val="46462749"/>
    <w:rsid w:val="46633530"/>
    <w:rsid w:val="469F6F8C"/>
    <w:rsid w:val="46A45989"/>
    <w:rsid w:val="46FF2D29"/>
    <w:rsid w:val="471A3C9C"/>
    <w:rsid w:val="476426D7"/>
    <w:rsid w:val="477959F4"/>
    <w:rsid w:val="477A4AE6"/>
    <w:rsid w:val="47905083"/>
    <w:rsid w:val="47BA1F3A"/>
    <w:rsid w:val="47E457F0"/>
    <w:rsid w:val="47F45D38"/>
    <w:rsid w:val="48955469"/>
    <w:rsid w:val="48AC6A77"/>
    <w:rsid w:val="48CD060A"/>
    <w:rsid w:val="492148EE"/>
    <w:rsid w:val="49716CDE"/>
    <w:rsid w:val="49802E06"/>
    <w:rsid w:val="49A337AB"/>
    <w:rsid w:val="49B23289"/>
    <w:rsid w:val="49F77BF2"/>
    <w:rsid w:val="4A231A90"/>
    <w:rsid w:val="4A340A78"/>
    <w:rsid w:val="4A5B3027"/>
    <w:rsid w:val="4A6F5EFD"/>
    <w:rsid w:val="4AAD0D12"/>
    <w:rsid w:val="4B2D0926"/>
    <w:rsid w:val="4B4A354D"/>
    <w:rsid w:val="4BC304DA"/>
    <w:rsid w:val="4C342849"/>
    <w:rsid w:val="4C8E46F5"/>
    <w:rsid w:val="4CA9713B"/>
    <w:rsid w:val="4D18451D"/>
    <w:rsid w:val="4D2D5015"/>
    <w:rsid w:val="4DB6498C"/>
    <w:rsid w:val="4DDC57FF"/>
    <w:rsid w:val="4DE37500"/>
    <w:rsid w:val="4DEC4ABC"/>
    <w:rsid w:val="4EF3581A"/>
    <w:rsid w:val="4EF646E6"/>
    <w:rsid w:val="4F381E35"/>
    <w:rsid w:val="4F454541"/>
    <w:rsid w:val="4F551C67"/>
    <w:rsid w:val="4F6132E8"/>
    <w:rsid w:val="4F7437E4"/>
    <w:rsid w:val="4FF344E7"/>
    <w:rsid w:val="4FFF45D6"/>
    <w:rsid w:val="500573FC"/>
    <w:rsid w:val="50122E9C"/>
    <w:rsid w:val="503E7254"/>
    <w:rsid w:val="50474951"/>
    <w:rsid w:val="50537C8B"/>
    <w:rsid w:val="505F35E7"/>
    <w:rsid w:val="50836F29"/>
    <w:rsid w:val="508A6091"/>
    <w:rsid w:val="511057C2"/>
    <w:rsid w:val="51761639"/>
    <w:rsid w:val="518D4C69"/>
    <w:rsid w:val="51A6507E"/>
    <w:rsid w:val="51E53ECE"/>
    <w:rsid w:val="522A29C1"/>
    <w:rsid w:val="52BA7908"/>
    <w:rsid w:val="52FE404B"/>
    <w:rsid w:val="53A779BD"/>
    <w:rsid w:val="53C95D59"/>
    <w:rsid w:val="53EE5D2F"/>
    <w:rsid w:val="542842DF"/>
    <w:rsid w:val="543B2399"/>
    <w:rsid w:val="54DE78B7"/>
    <w:rsid w:val="54F35961"/>
    <w:rsid w:val="55052E32"/>
    <w:rsid w:val="55323A6E"/>
    <w:rsid w:val="555B2474"/>
    <w:rsid w:val="55A27FBB"/>
    <w:rsid w:val="55AE5964"/>
    <w:rsid w:val="55D657FB"/>
    <w:rsid w:val="560A6A9A"/>
    <w:rsid w:val="568558F8"/>
    <w:rsid w:val="56BD4BD9"/>
    <w:rsid w:val="56E9717E"/>
    <w:rsid w:val="56EF4C88"/>
    <w:rsid w:val="56F615EA"/>
    <w:rsid w:val="56FC37F6"/>
    <w:rsid w:val="56FD7E9C"/>
    <w:rsid w:val="57213D61"/>
    <w:rsid w:val="57292192"/>
    <w:rsid w:val="57785A41"/>
    <w:rsid w:val="57CF1EDF"/>
    <w:rsid w:val="57D20FB6"/>
    <w:rsid w:val="57D85169"/>
    <w:rsid w:val="57FF7452"/>
    <w:rsid w:val="582711E0"/>
    <w:rsid w:val="583051A5"/>
    <w:rsid w:val="586C053E"/>
    <w:rsid w:val="586C69D7"/>
    <w:rsid w:val="588E567B"/>
    <w:rsid w:val="58A82562"/>
    <w:rsid w:val="58A86C38"/>
    <w:rsid w:val="58C97488"/>
    <w:rsid w:val="58CA6DC4"/>
    <w:rsid w:val="590D7553"/>
    <w:rsid w:val="591E232A"/>
    <w:rsid w:val="592F6EAB"/>
    <w:rsid w:val="5947076F"/>
    <w:rsid w:val="59471950"/>
    <w:rsid w:val="59C8510D"/>
    <w:rsid w:val="59C93AF8"/>
    <w:rsid w:val="59EE7ED6"/>
    <w:rsid w:val="59F644CC"/>
    <w:rsid w:val="5A08718C"/>
    <w:rsid w:val="5A2433A7"/>
    <w:rsid w:val="5A265356"/>
    <w:rsid w:val="5A965EC8"/>
    <w:rsid w:val="5AA73492"/>
    <w:rsid w:val="5AC67ADD"/>
    <w:rsid w:val="5B275A9A"/>
    <w:rsid w:val="5B2C3A21"/>
    <w:rsid w:val="5B526448"/>
    <w:rsid w:val="5B9B62C2"/>
    <w:rsid w:val="5C265F81"/>
    <w:rsid w:val="5C5972A3"/>
    <w:rsid w:val="5CE65233"/>
    <w:rsid w:val="5D0555C1"/>
    <w:rsid w:val="5D1A5F84"/>
    <w:rsid w:val="5D4972FE"/>
    <w:rsid w:val="5D4B625C"/>
    <w:rsid w:val="5D917D6B"/>
    <w:rsid w:val="5DA603F4"/>
    <w:rsid w:val="5DD565DB"/>
    <w:rsid w:val="5DDE19E0"/>
    <w:rsid w:val="5E0C632E"/>
    <w:rsid w:val="5EA16F15"/>
    <w:rsid w:val="5EB5095C"/>
    <w:rsid w:val="60595BDE"/>
    <w:rsid w:val="60620CB4"/>
    <w:rsid w:val="606B057D"/>
    <w:rsid w:val="60944E19"/>
    <w:rsid w:val="60B72B0B"/>
    <w:rsid w:val="60DC2823"/>
    <w:rsid w:val="61076ED3"/>
    <w:rsid w:val="6160336F"/>
    <w:rsid w:val="61A43316"/>
    <w:rsid w:val="61DD4808"/>
    <w:rsid w:val="61E915DA"/>
    <w:rsid w:val="623407F2"/>
    <w:rsid w:val="627E1034"/>
    <w:rsid w:val="62BA564C"/>
    <w:rsid w:val="62D95FBA"/>
    <w:rsid w:val="62E664F3"/>
    <w:rsid w:val="62E76EEB"/>
    <w:rsid w:val="6306303F"/>
    <w:rsid w:val="631C34A7"/>
    <w:rsid w:val="63315FB5"/>
    <w:rsid w:val="634429B5"/>
    <w:rsid w:val="63557ABB"/>
    <w:rsid w:val="638F4325"/>
    <w:rsid w:val="64081788"/>
    <w:rsid w:val="641720B6"/>
    <w:rsid w:val="641E0942"/>
    <w:rsid w:val="642022D0"/>
    <w:rsid w:val="642120A7"/>
    <w:rsid w:val="642F1EFF"/>
    <w:rsid w:val="644D2C12"/>
    <w:rsid w:val="64624E8A"/>
    <w:rsid w:val="646F7C9B"/>
    <w:rsid w:val="6487349A"/>
    <w:rsid w:val="648F7F3B"/>
    <w:rsid w:val="64B573B4"/>
    <w:rsid w:val="654D75FF"/>
    <w:rsid w:val="656A78E3"/>
    <w:rsid w:val="65953C32"/>
    <w:rsid w:val="661D647F"/>
    <w:rsid w:val="66306530"/>
    <w:rsid w:val="667D2167"/>
    <w:rsid w:val="668900D4"/>
    <w:rsid w:val="668F526E"/>
    <w:rsid w:val="66953FF5"/>
    <w:rsid w:val="66A641FE"/>
    <w:rsid w:val="66AC7F5F"/>
    <w:rsid w:val="66DE276C"/>
    <w:rsid w:val="672568F4"/>
    <w:rsid w:val="67C56A01"/>
    <w:rsid w:val="67CB1BF6"/>
    <w:rsid w:val="67DE7B8C"/>
    <w:rsid w:val="67DF670D"/>
    <w:rsid w:val="689D7257"/>
    <w:rsid w:val="68AD6BF3"/>
    <w:rsid w:val="68BA4F2A"/>
    <w:rsid w:val="68E8578C"/>
    <w:rsid w:val="68EB3641"/>
    <w:rsid w:val="69196B5C"/>
    <w:rsid w:val="692F4AE5"/>
    <w:rsid w:val="698152A6"/>
    <w:rsid w:val="69945B7B"/>
    <w:rsid w:val="6A473436"/>
    <w:rsid w:val="6A5D2DA3"/>
    <w:rsid w:val="6AC62A14"/>
    <w:rsid w:val="6AD45E84"/>
    <w:rsid w:val="6B375565"/>
    <w:rsid w:val="6B451C5D"/>
    <w:rsid w:val="6B552EEF"/>
    <w:rsid w:val="6B58584E"/>
    <w:rsid w:val="6B6466C4"/>
    <w:rsid w:val="6B7361F6"/>
    <w:rsid w:val="6B7D40ED"/>
    <w:rsid w:val="6BA04FD8"/>
    <w:rsid w:val="6BAC6CB0"/>
    <w:rsid w:val="6C116647"/>
    <w:rsid w:val="6C6F726D"/>
    <w:rsid w:val="6C737E0E"/>
    <w:rsid w:val="6C8F4739"/>
    <w:rsid w:val="6CD75587"/>
    <w:rsid w:val="6CDC2B9F"/>
    <w:rsid w:val="6D01047E"/>
    <w:rsid w:val="6D7111E6"/>
    <w:rsid w:val="6D8A61D8"/>
    <w:rsid w:val="6D9C454D"/>
    <w:rsid w:val="6E1019D3"/>
    <w:rsid w:val="6E223FE2"/>
    <w:rsid w:val="6E6E0401"/>
    <w:rsid w:val="6F1908BA"/>
    <w:rsid w:val="6F363300"/>
    <w:rsid w:val="6F4A588D"/>
    <w:rsid w:val="6FAC6F98"/>
    <w:rsid w:val="6FDE667D"/>
    <w:rsid w:val="70097F36"/>
    <w:rsid w:val="71105A0D"/>
    <w:rsid w:val="71592572"/>
    <w:rsid w:val="71994FF4"/>
    <w:rsid w:val="71CC6F57"/>
    <w:rsid w:val="72465D9F"/>
    <w:rsid w:val="726F06D6"/>
    <w:rsid w:val="728453A9"/>
    <w:rsid w:val="72C85AD7"/>
    <w:rsid w:val="72D817E7"/>
    <w:rsid w:val="730A7720"/>
    <w:rsid w:val="73436ECA"/>
    <w:rsid w:val="734E4BDB"/>
    <w:rsid w:val="73A35DF8"/>
    <w:rsid w:val="73F54346"/>
    <w:rsid w:val="74AC5D10"/>
    <w:rsid w:val="74C80461"/>
    <w:rsid w:val="74CB3DE4"/>
    <w:rsid w:val="74E82586"/>
    <w:rsid w:val="750835BC"/>
    <w:rsid w:val="750C6A4F"/>
    <w:rsid w:val="75157098"/>
    <w:rsid w:val="752A712D"/>
    <w:rsid w:val="75374EBA"/>
    <w:rsid w:val="75425C4C"/>
    <w:rsid w:val="75526D6C"/>
    <w:rsid w:val="75606B29"/>
    <w:rsid w:val="757A0091"/>
    <w:rsid w:val="75A45DEE"/>
    <w:rsid w:val="75C01268"/>
    <w:rsid w:val="75C967AA"/>
    <w:rsid w:val="75D7214F"/>
    <w:rsid w:val="75EF556A"/>
    <w:rsid w:val="76000BDE"/>
    <w:rsid w:val="76257FDC"/>
    <w:rsid w:val="76302040"/>
    <w:rsid w:val="764553DA"/>
    <w:rsid w:val="765F5636"/>
    <w:rsid w:val="76811532"/>
    <w:rsid w:val="76FF2E34"/>
    <w:rsid w:val="76FF64E0"/>
    <w:rsid w:val="773009A8"/>
    <w:rsid w:val="77973BF7"/>
    <w:rsid w:val="77B21657"/>
    <w:rsid w:val="77CC07AE"/>
    <w:rsid w:val="77CE7714"/>
    <w:rsid w:val="77E038CC"/>
    <w:rsid w:val="77E25213"/>
    <w:rsid w:val="77E737D8"/>
    <w:rsid w:val="77EC779E"/>
    <w:rsid w:val="77F03223"/>
    <w:rsid w:val="78042D5F"/>
    <w:rsid w:val="78497AEB"/>
    <w:rsid w:val="786645B8"/>
    <w:rsid w:val="78CF2CFA"/>
    <w:rsid w:val="78EA3838"/>
    <w:rsid w:val="7902001F"/>
    <w:rsid w:val="79807633"/>
    <w:rsid w:val="79A12577"/>
    <w:rsid w:val="79BA77A9"/>
    <w:rsid w:val="79CF50A8"/>
    <w:rsid w:val="7A92183B"/>
    <w:rsid w:val="7AF21B2E"/>
    <w:rsid w:val="7B2A7835"/>
    <w:rsid w:val="7B2B3FD0"/>
    <w:rsid w:val="7B783B3B"/>
    <w:rsid w:val="7B7D57B4"/>
    <w:rsid w:val="7BA019FB"/>
    <w:rsid w:val="7BA449EF"/>
    <w:rsid w:val="7BB12F84"/>
    <w:rsid w:val="7BDF2448"/>
    <w:rsid w:val="7BE55CBE"/>
    <w:rsid w:val="7C643EAF"/>
    <w:rsid w:val="7C7278BD"/>
    <w:rsid w:val="7C804ADE"/>
    <w:rsid w:val="7CCF78F6"/>
    <w:rsid w:val="7CFA3428"/>
    <w:rsid w:val="7D1A2F93"/>
    <w:rsid w:val="7D2A0E82"/>
    <w:rsid w:val="7D2E7A75"/>
    <w:rsid w:val="7DB171F9"/>
    <w:rsid w:val="7DF50E3B"/>
    <w:rsid w:val="7E2B7445"/>
    <w:rsid w:val="7E3966C7"/>
    <w:rsid w:val="7E55608C"/>
    <w:rsid w:val="7E584C66"/>
    <w:rsid w:val="7E807F63"/>
    <w:rsid w:val="7E8E760E"/>
    <w:rsid w:val="7EB201F8"/>
    <w:rsid w:val="7EF21E52"/>
    <w:rsid w:val="7EFA721C"/>
    <w:rsid w:val="7F1D6B8A"/>
    <w:rsid w:val="7F2A5B47"/>
    <w:rsid w:val="7F9E5799"/>
    <w:rsid w:val="7FDC2B87"/>
    <w:rsid w:val="7FF51057"/>
    <w:rsid w:val="BF765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7"/>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59"/>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0"/>
    <w:autoRedefine/>
    <w:qFormat/>
    <w:uiPriority w:val="0"/>
    <w:pPr>
      <w:keepNext/>
      <w:keepLines/>
      <w:widowControl/>
      <w:tabs>
        <w:tab w:val="left" w:pos="1008"/>
      </w:tabs>
      <w:spacing w:before="280" w:after="290" w:line="376" w:lineRule="auto"/>
      <w:ind w:left="1008" w:hanging="1008"/>
      <w:jc w:val="left"/>
      <w:outlineLvl w:val="4"/>
    </w:pPr>
    <w:rPr>
      <w:b/>
      <w:bCs/>
      <w:kern w:val="0"/>
      <w:sz w:val="28"/>
      <w:szCs w:val="28"/>
    </w:rPr>
  </w:style>
  <w:style w:type="paragraph" w:styleId="7">
    <w:name w:val="heading 6"/>
    <w:basedOn w:val="1"/>
    <w:next w:val="1"/>
    <w:link w:val="61"/>
    <w:autoRedefine/>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62"/>
    <w:autoRedefine/>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63"/>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64"/>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rFonts w:ascii="Calibri" w:hAnsi="Calibri" w:cs="Calibri"/>
      <w:sz w:val="18"/>
      <w:szCs w:val="18"/>
    </w:rPr>
  </w:style>
  <w:style w:type="paragraph" w:styleId="12">
    <w:name w:val="Normal Indent"/>
    <w:basedOn w:val="1"/>
    <w:link w:val="58"/>
    <w:autoRedefine/>
    <w:qFormat/>
    <w:uiPriority w:val="0"/>
    <w:pPr>
      <w:ind w:firstLine="420" w:firstLineChars="200"/>
    </w:pPr>
  </w:style>
  <w:style w:type="paragraph" w:styleId="13">
    <w:name w:val="Document Map"/>
    <w:basedOn w:val="1"/>
    <w:link w:val="65"/>
    <w:autoRedefine/>
    <w:qFormat/>
    <w:uiPriority w:val="0"/>
    <w:pPr>
      <w:shd w:val="clear" w:color="auto" w:fill="000080"/>
    </w:pPr>
    <w:rPr>
      <w:kern w:val="0"/>
      <w:sz w:val="20"/>
      <w:shd w:val="clear" w:color="auto" w:fill="000080"/>
    </w:rPr>
  </w:style>
  <w:style w:type="paragraph" w:styleId="14">
    <w:name w:val="annotation text"/>
    <w:basedOn w:val="1"/>
    <w:link w:val="66"/>
    <w:autoRedefine/>
    <w:qFormat/>
    <w:uiPriority w:val="0"/>
    <w:pPr>
      <w:jc w:val="left"/>
    </w:pPr>
    <w:rPr>
      <w:rFonts w:ascii="宋体" w:hAnsi="宋体"/>
    </w:rPr>
  </w:style>
  <w:style w:type="paragraph" w:styleId="15">
    <w:name w:val="Body Text 3"/>
    <w:basedOn w:val="1"/>
    <w:link w:val="67"/>
    <w:autoRedefine/>
    <w:qFormat/>
    <w:uiPriority w:val="0"/>
    <w:rPr>
      <w:rFonts w:ascii="宋体"/>
      <w:sz w:val="24"/>
      <w:szCs w:val="20"/>
    </w:rPr>
  </w:style>
  <w:style w:type="paragraph" w:styleId="16">
    <w:name w:val="Body Text"/>
    <w:basedOn w:val="1"/>
    <w:next w:val="17"/>
    <w:link w:val="68"/>
    <w:autoRedefine/>
    <w:qFormat/>
    <w:uiPriority w:val="0"/>
    <w:pPr>
      <w:spacing w:after="120"/>
    </w:pPr>
  </w:style>
  <w:style w:type="paragraph" w:styleId="17">
    <w:name w:val="Body Text First Indent"/>
    <w:basedOn w:val="16"/>
    <w:next w:val="1"/>
    <w:autoRedefine/>
    <w:qFormat/>
    <w:uiPriority w:val="0"/>
    <w:pPr>
      <w:ind w:firstLine="420" w:firstLineChars="100"/>
    </w:pPr>
    <w:rPr>
      <w:szCs w:val="22"/>
    </w:rPr>
  </w:style>
  <w:style w:type="paragraph" w:styleId="18">
    <w:name w:val="Body Text Indent"/>
    <w:basedOn w:val="1"/>
    <w:next w:val="19"/>
    <w:link w:val="69"/>
    <w:autoRedefine/>
    <w:qFormat/>
    <w:uiPriority w:val="0"/>
    <w:pPr>
      <w:spacing w:after="120"/>
      <w:ind w:left="420" w:leftChars="200"/>
    </w:pPr>
  </w:style>
  <w:style w:type="paragraph" w:styleId="19">
    <w:name w:val="Body Text First Indent 2"/>
    <w:basedOn w:val="18"/>
    <w:next w:val="16"/>
    <w:autoRedefine/>
    <w:qFormat/>
    <w:uiPriority w:val="0"/>
    <w:pPr>
      <w:tabs>
        <w:tab w:val="left" w:pos="720"/>
        <w:tab w:val="left" w:pos="900"/>
        <w:tab w:val="left" w:pos="1260"/>
        <w:tab w:val="left" w:pos="2160"/>
        <w:tab w:val="left" w:pos="2880"/>
        <w:tab w:val="left" w:pos="3600"/>
        <w:tab w:val="left" w:pos="4320"/>
        <w:tab w:val="left" w:pos="5040"/>
        <w:tab w:val="left" w:pos="5760"/>
      </w:tabs>
      <w:ind w:firstLine="420"/>
    </w:pPr>
    <w:rPr>
      <w:rFonts w:cs="宋体"/>
      <w:szCs w:val="21"/>
    </w:rPr>
  </w:style>
  <w:style w:type="paragraph" w:styleId="20">
    <w:name w:val="Block Text"/>
    <w:basedOn w:val="1"/>
    <w:autoRedefine/>
    <w:qFormat/>
    <w:uiPriority w:val="0"/>
    <w:pPr>
      <w:autoSpaceDE w:val="0"/>
      <w:autoSpaceDN w:val="0"/>
      <w:adjustRightInd w:val="0"/>
      <w:spacing w:line="240" w:lineRule="atLeast"/>
      <w:ind w:left="1797" w:right="857" w:rightChars="857" w:firstLine="542" w:firstLineChars="226"/>
      <w:jc w:val="left"/>
    </w:pPr>
    <w:rPr>
      <w:rFonts w:hint="eastAsia" w:ascii="宋体"/>
      <w:color w:val="000000"/>
      <w:kern w:val="0"/>
      <w:sz w:val="24"/>
    </w:rPr>
  </w:style>
  <w:style w:type="paragraph" w:styleId="21">
    <w:name w:val="index 4"/>
    <w:basedOn w:val="1"/>
    <w:next w:val="1"/>
    <w:autoRedefine/>
    <w:qFormat/>
    <w:uiPriority w:val="0"/>
    <w:pPr>
      <w:ind w:left="600" w:leftChars="600"/>
    </w:pPr>
    <w:rPr>
      <w:rFonts w:ascii="Calibri" w:hAnsi="Calibri"/>
    </w:rPr>
  </w:style>
  <w:style w:type="paragraph" w:styleId="22">
    <w:name w:val="toc 5"/>
    <w:basedOn w:val="1"/>
    <w:next w:val="1"/>
    <w:autoRedefine/>
    <w:qFormat/>
    <w:uiPriority w:val="0"/>
    <w:pPr>
      <w:ind w:left="840"/>
      <w:jc w:val="left"/>
    </w:pPr>
    <w:rPr>
      <w:rFonts w:ascii="Calibri" w:hAnsi="Calibri" w:cs="Calibri"/>
      <w:sz w:val="18"/>
      <w:szCs w:val="18"/>
    </w:rPr>
  </w:style>
  <w:style w:type="paragraph" w:styleId="23">
    <w:name w:val="toc 3"/>
    <w:basedOn w:val="1"/>
    <w:next w:val="1"/>
    <w:autoRedefine/>
    <w:qFormat/>
    <w:uiPriority w:val="39"/>
    <w:pPr>
      <w:ind w:left="420"/>
      <w:jc w:val="left"/>
    </w:pPr>
    <w:rPr>
      <w:rFonts w:ascii="Calibri" w:hAnsi="Calibri" w:cs="Calibri"/>
      <w:i/>
      <w:iCs/>
      <w:sz w:val="20"/>
      <w:szCs w:val="20"/>
    </w:rPr>
  </w:style>
  <w:style w:type="paragraph" w:styleId="24">
    <w:name w:val="Plain Text"/>
    <w:basedOn w:val="1"/>
    <w:link w:val="70"/>
    <w:autoRedefine/>
    <w:qFormat/>
    <w:uiPriority w:val="0"/>
    <w:rPr>
      <w:rFonts w:ascii="宋体" w:hAnsi="Courier New"/>
      <w:szCs w:val="20"/>
    </w:rPr>
  </w:style>
  <w:style w:type="paragraph" w:styleId="25">
    <w:name w:val="toc 8"/>
    <w:basedOn w:val="1"/>
    <w:next w:val="1"/>
    <w:autoRedefine/>
    <w:qFormat/>
    <w:uiPriority w:val="39"/>
    <w:pPr>
      <w:ind w:left="1470"/>
      <w:jc w:val="left"/>
    </w:pPr>
    <w:rPr>
      <w:rFonts w:ascii="Calibri" w:hAnsi="Calibri" w:cs="Calibri"/>
      <w:sz w:val="18"/>
      <w:szCs w:val="18"/>
    </w:rPr>
  </w:style>
  <w:style w:type="paragraph" w:styleId="26">
    <w:name w:val="Date"/>
    <w:basedOn w:val="1"/>
    <w:next w:val="1"/>
    <w:link w:val="71"/>
    <w:autoRedefine/>
    <w:qFormat/>
    <w:uiPriority w:val="0"/>
    <w:rPr>
      <w:sz w:val="24"/>
      <w:szCs w:val="20"/>
    </w:rPr>
  </w:style>
  <w:style w:type="paragraph" w:styleId="27">
    <w:name w:val="Body Text Indent 2"/>
    <w:basedOn w:val="1"/>
    <w:link w:val="72"/>
    <w:autoRedefine/>
    <w:qFormat/>
    <w:uiPriority w:val="0"/>
    <w:pPr>
      <w:spacing w:after="120" w:line="480" w:lineRule="auto"/>
      <w:ind w:left="420" w:leftChars="200"/>
    </w:pPr>
  </w:style>
  <w:style w:type="paragraph" w:styleId="28">
    <w:name w:val="Balloon Text"/>
    <w:basedOn w:val="1"/>
    <w:link w:val="73"/>
    <w:autoRedefine/>
    <w:qFormat/>
    <w:uiPriority w:val="0"/>
    <w:rPr>
      <w:sz w:val="18"/>
      <w:szCs w:val="18"/>
    </w:rPr>
  </w:style>
  <w:style w:type="paragraph" w:styleId="29">
    <w:name w:val="footer"/>
    <w:basedOn w:val="1"/>
    <w:link w:val="74"/>
    <w:autoRedefine/>
    <w:qFormat/>
    <w:uiPriority w:val="99"/>
    <w:pPr>
      <w:tabs>
        <w:tab w:val="center" w:pos="4153"/>
        <w:tab w:val="right" w:pos="8306"/>
      </w:tabs>
      <w:snapToGrid w:val="0"/>
      <w:jc w:val="left"/>
    </w:pPr>
    <w:rPr>
      <w:sz w:val="18"/>
      <w:szCs w:val="18"/>
    </w:rPr>
  </w:style>
  <w:style w:type="paragraph" w:styleId="30">
    <w:name w:val="envelope return"/>
    <w:basedOn w:val="1"/>
    <w:autoRedefine/>
    <w:qFormat/>
    <w:uiPriority w:val="0"/>
    <w:pPr>
      <w:snapToGrid w:val="0"/>
    </w:pPr>
    <w:rPr>
      <w:rFonts w:ascii="Arial" w:hAnsi="Arial"/>
    </w:rPr>
  </w:style>
  <w:style w:type="paragraph" w:styleId="31">
    <w:name w:val="header"/>
    <w:basedOn w:val="1"/>
    <w:link w:val="75"/>
    <w:autoRedefine/>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39"/>
    <w:pPr>
      <w:spacing w:before="120" w:after="120"/>
      <w:jc w:val="left"/>
    </w:pPr>
    <w:rPr>
      <w:rFonts w:ascii="Calibri" w:hAnsi="Calibri" w:cs="Calibri"/>
      <w:b/>
      <w:bCs/>
      <w:caps/>
      <w:sz w:val="20"/>
      <w:szCs w:val="20"/>
    </w:rPr>
  </w:style>
  <w:style w:type="paragraph" w:styleId="33">
    <w:name w:val="toc 4"/>
    <w:basedOn w:val="1"/>
    <w:next w:val="1"/>
    <w:autoRedefine/>
    <w:qFormat/>
    <w:uiPriority w:val="39"/>
    <w:pPr>
      <w:ind w:left="630"/>
      <w:jc w:val="left"/>
    </w:pPr>
    <w:rPr>
      <w:rFonts w:ascii="Calibri" w:hAnsi="Calibri" w:cs="Calibri"/>
      <w:sz w:val="18"/>
      <w:szCs w:val="18"/>
    </w:rPr>
  </w:style>
  <w:style w:type="paragraph" w:styleId="34">
    <w:name w:val="Subtitle"/>
    <w:basedOn w:val="1"/>
    <w:next w:val="1"/>
    <w:link w:val="76"/>
    <w:autoRedefine/>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77"/>
    <w:autoRedefine/>
    <w:qFormat/>
    <w:uiPriority w:val="0"/>
    <w:pPr>
      <w:snapToGrid w:val="0"/>
      <w:jc w:val="left"/>
    </w:pPr>
    <w:rPr>
      <w:rFonts w:eastAsia="仿宋_GB2312"/>
      <w:sz w:val="18"/>
      <w:szCs w:val="20"/>
    </w:rPr>
  </w:style>
  <w:style w:type="paragraph" w:styleId="36">
    <w:name w:val="toc 6"/>
    <w:basedOn w:val="1"/>
    <w:next w:val="1"/>
    <w:autoRedefine/>
    <w:qFormat/>
    <w:uiPriority w:val="39"/>
    <w:pPr>
      <w:ind w:left="1050"/>
      <w:jc w:val="left"/>
    </w:pPr>
    <w:rPr>
      <w:rFonts w:ascii="Calibri" w:hAnsi="Calibri" w:cs="Calibri"/>
      <w:sz w:val="18"/>
      <w:szCs w:val="18"/>
    </w:rPr>
  </w:style>
  <w:style w:type="paragraph" w:styleId="37">
    <w:name w:val="Body Text Indent 3"/>
    <w:basedOn w:val="1"/>
    <w:link w:val="78"/>
    <w:autoRedefine/>
    <w:qFormat/>
    <w:uiPriority w:val="0"/>
    <w:pPr>
      <w:spacing w:after="120"/>
      <w:ind w:left="420" w:leftChars="200"/>
    </w:pPr>
    <w:rPr>
      <w:sz w:val="16"/>
      <w:szCs w:val="16"/>
    </w:rPr>
  </w:style>
  <w:style w:type="paragraph" w:styleId="38">
    <w:name w:val="toc 2"/>
    <w:basedOn w:val="1"/>
    <w:next w:val="1"/>
    <w:autoRedefine/>
    <w:qFormat/>
    <w:uiPriority w:val="39"/>
    <w:pPr>
      <w:ind w:left="210"/>
      <w:jc w:val="left"/>
    </w:pPr>
    <w:rPr>
      <w:rFonts w:ascii="Calibri" w:hAnsi="Calibri" w:cs="Calibri"/>
      <w:smallCaps/>
      <w:sz w:val="20"/>
      <w:szCs w:val="20"/>
    </w:rPr>
  </w:style>
  <w:style w:type="paragraph" w:styleId="39">
    <w:name w:val="toc 9"/>
    <w:basedOn w:val="1"/>
    <w:next w:val="1"/>
    <w:autoRedefine/>
    <w:qFormat/>
    <w:uiPriority w:val="39"/>
    <w:pPr>
      <w:ind w:left="1680"/>
      <w:jc w:val="left"/>
    </w:pPr>
    <w:rPr>
      <w:rFonts w:ascii="Calibri" w:hAnsi="Calibri" w:cs="Calibri"/>
      <w:sz w:val="18"/>
      <w:szCs w:val="18"/>
    </w:rPr>
  </w:style>
  <w:style w:type="paragraph" w:styleId="40">
    <w:name w:val="Body Text 2"/>
    <w:basedOn w:val="1"/>
    <w:link w:val="79"/>
    <w:autoRedefine/>
    <w:qFormat/>
    <w:uiPriority w:val="0"/>
    <w:pPr>
      <w:spacing w:after="120" w:line="480" w:lineRule="auto"/>
    </w:pPr>
  </w:style>
  <w:style w:type="paragraph" w:styleId="41">
    <w:name w:val="Normal (Web)"/>
    <w:basedOn w:val="1"/>
    <w:autoRedefine/>
    <w:qFormat/>
    <w:uiPriority w:val="99"/>
    <w:pPr>
      <w:widowControl/>
      <w:spacing w:before="100" w:beforeAutospacing="1" w:after="100" w:afterAutospacing="1"/>
      <w:jc w:val="left"/>
    </w:pPr>
    <w:rPr>
      <w:rFonts w:ascii="宋体" w:hAnsi="宋体" w:cs="宋体"/>
      <w:color w:val="000000"/>
      <w:kern w:val="0"/>
      <w:sz w:val="24"/>
    </w:rPr>
  </w:style>
  <w:style w:type="paragraph" w:styleId="42">
    <w:name w:val="Title"/>
    <w:basedOn w:val="1"/>
    <w:next w:val="1"/>
    <w:link w:val="54"/>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4"/>
    <w:next w:val="14"/>
    <w:link w:val="80"/>
    <w:autoRedefine/>
    <w:qFormat/>
    <w:uiPriority w:val="0"/>
    <w:rPr>
      <w:rFonts w:hAnsi="Times New Roman"/>
      <w:b/>
      <w:bCs/>
      <w:kern w:val="0"/>
      <w:sz w:val="28"/>
      <w:szCs w:val="20"/>
    </w:r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color w:val="000000"/>
    </w:rPr>
  </w:style>
  <w:style w:type="character" w:styleId="48">
    <w:name w:val="page number"/>
    <w:autoRedefine/>
    <w:qFormat/>
    <w:uiPriority w:val="0"/>
  </w:style>
  <w:style w:type="character" w:styleId="49">
    <w:name w:val="FollowedHyperlink"/>
    <w:autoRedefine/>
    <w:qFormat/>
    <w:uiPriority w:val="0"/>
    <w:rPr>
      <w:color w:val="800080"/>
      <w:u w:val="single"/>
    </w:rPr>
  </w:style>
  <w:style w:type="character" w:styleId="50">
    <w:name w:val="Hyperlink"/>
    <w:autoRedefine/>
    <w:qFormat/>
    <w:uiPriority w:val="99"/>
    <w:rPr>
      <w:color w:val="0000FF"/>
      <w:u w:val="single"/>
    </w:rPr>
  </w:style>
  <w:style w:type="character" w:styleId="51">
    <w:name w:val="annotation reference"/>
    <w:autoRedefine/>
    <w:qFormat/>
    <w:uiPriority w:val="99"/>
    <w:rPr>
      <w:sz w:val="21"/>
      <w:szCs w:val="21"/>
    </w:rPr>
  </w:style>
  <w:style w:type="character" w:styleId="52">
    <w:name w:val="footnote reference"/>
    <w:autoRedefine/>
    <w:qFormat/>
    <w:uiPriority w:val="0"/>
    <w:rPr>
      <w:vertAlign w:val="superscript"/>
    </w:rPr>
  </w:style>
  <w:style w:type="character" w:styleId="53">
    <w:name w:val="HTML Sample"/>
    <w:basedOn w:val="46"/>
    <w:autoRedefine/>
    <w:qFormat/>
    <w:uiPriority w:val="0"/>
    <w:rPr>
      <w:rFonts w:ascii="Courier New" w:hAnsi="Courier New"/>
    </w:rPr>
  </w:style>
  <w:style w:type="character" w:customStyle="1" w:styleId="54">
    <w:name w:val="标题 字符"/>
    <w:link w:val="42"/>
    <w:autoRedefine/>
    <w:qFormat/>
    <w:uiPriority w:val="0"/>
    <w:rPr>
      <w:rFonts w:ascii="Arial" w:hAnsi="Arial" w:eastAsia="宋体"/>
      <w:b/>
      <w:sz w:val="32"/>
      <w:lang w:val="en-US" w:eastAsia="zh-CN" w:bidi="ar-SA"/>
    </w:rPr>
  </w:style>
  <w:style w:type="character" w:customStyle="1" w:styleId="55">
    <w:name w:val="标题 1 字符"/>
    <w:link w:val="2"/>
    <w:autoRedefine/>
    <w:qFormat/>
    <w:uiPriority w:val="0"/>
    <w:rPr>
      <w:rFonts w:eastAsia="宋体"/>
      <w:b/>
      <w:bCs/>
      <w:kern w:val="44"/>
      <w:sz w:val="44"/>
      <w:szCs w:val="44"/>
      <w:lang w:val="en-US" w:eastAsia="zh-CN" w:bidi="ar-SA"/>
    </w:rPr>
  </w:style>
  <w:style w:type="character" w:customStyle="1" w:styleId="56">
    <w:name w:val="标题 2 字符"/>
    <w:link w:val="3"/>
    <w:autoRedefine/>
    <w:qFormat/>
    <w:uiPriority w:val="0"/>
    <w:rPr>
      <w:rFonts w:ascii="Arial" w:hAnsi="Arial" w:eastAsia="黑体"/>
      <w:b/>
      <w:bCs/>
      <w:kern w:val="2"/>
      <w:sz w:val="32"/>
      <w:szCs w:val="32"/>
      <w:lang w:val="en-US" w:eastAsia="zh-CN" w:bidi="ar-SA"/>
    </w:rPr>
  </w:style>
  <w:style w:type="character" w:customStyle="1" w:styleId="57">
    <w:name w:val="标题 3 字符"/>
    <w:link w:val="4"/>
    <w:autoRedefine/>
    <w:qFormat/>
    <w:uiPriority w:val="0"/>
    <w:rPr>
      <w:rFonts w:eastAsia="宋体"/>
      <w:b/>
      <w:bCs/>
      <w:kern w:val="2"/>
      <w:sz w:val="32"/>
      <w:szCs w:val="32"/>
      <w:lang w:val="en-US" w:eastAsia="zh-CN" w:bidi="ar-SA"/>
    </w:rPr>
  </w:style>
  <w:style w:type="character" w:customStyle="1" w:styleId="58">
    <w:name w:val="正文缩进 字符"/>
    <w:link w:val="12"/>
    <w:autoRedefine/>
    <w:qFormat/>
    <w:uiPriority w:val="0"/>
    <w:rPr>
      <w:rFonts w:eastAsia="宋体"/>
      <w:kern w:val="2"/>
      <w:sz w:val="21"/>
      <w:szCs w:val="24"/>
      <w:lang w:val="en-US" w:eastAsia="zh-CN" w:bidi="ar-SA"/>
    </w:rPr>
  </w:style>
  <w:style w:type="character" w:customStyle="1" w:styleId="59">
    <w:name w:val="标题 4 字符"/>
    <w:link w:val="5"/>
    <w:autoRedefine/>
    <w:qFormat/>
    <w:uiPriority w:val="0"/>
    <w:rPr>
      <w:rFonts w:ascii="Arial" w:hAnsi="Arial" w:eastAsia="黑体"/>
      <w:b/>
      <w:bCs/>
      <w:kern w:val="2"/>
      <w:sz w:val="28"/>
      <w:szCs w:val="28"/>
      <w:lang w:val="en-US" w:eastAsia="zh-CN" w:bidi="ar-SA"/>
    </w:rPr>
  </w:style>
  <w:style w:type="character" w:customStyle="1" w:styleId="60">
    <w:name w:val="标题 5 字符"/>
    <w:link w:val="6"/>
    <w:autoRedefine/>
    <w:qFormat/>
    <w:uiPriority w:val="0"/>
    <w:rPr>
      <w:rFonts w:eastAsia="宋体"/>
      <w:b/>
      <w:bCs/>
      <w:sz w:val="28"/>
      <w:szCs w:val="28"/>
      <w:lang w:val="en-US" w:eastAsia="zh-CN" w:bidi="ar-SA"/>
    </w:rPr>
  </w:style>
  <w:style w:type="character" w:customStyle="1" w:styleId="61">
    <w:name w:val="标题 6 字符"/>
    <w:link w:val="7"/>
    <w:autoRedefine/>
    <w:qFormat/>
    <w:uiPriority w:val="0"/>
    <w:rPr>
      <w:rFonts w:ascii="Arial" w:hAnsi="Arial" w:eastAsia="黑体"/>
      <w:b/>
      <w:bCs/>
      <w:sz w:val="24"/>
      <w:szCs w:val="24"/>
      <w:lang w:val="en-US" w:eastAsia="zh-CN" w:bidi="ar-SA"/>
    </w:rPr>
  </w:style>
  <w:style w:type="character" w:customStyle="1" w:styleId="62">
    <w:name w:val="标题 7 字符"/>
    <w:link w:val="8"/>
    <w:autoRedefine/>
    <w:qFormat/>
    <w:uiPriority w:val="0"/>
    <w:rPr>
      <w:rFonts w:eastAsia="宋体"/>
      <w:b/>
      <w:bCs/>
      <w:sz w:val="24"/>
      <w:szCs w:val="24"/>
      <w:lang w:val="en-US" w:eastAsia="zh-CN" w:bidi="ar-SA"/>
    </w:rPr>
  </w:style>
  <w:style w:type="character" w:customStyle="1" w:styleId="63">
    <w:name w:val="标题 8 字符"/>
    <w:link w:val="9"/>
    <w:autoRedefine/>
    <w:qFormat/>
    <w:uiPriority w:val="0"/>
    <w:rPr>
      <w:rFonts w:ascii="Arial" w:hAnsi="Arial" w:eastAsia="黑体"/>
      <w:sz w:val="24"/>
      <w:szCs w:val="24"/>
      <w:lang w:val="en-US" w:eastAsia="zh-CN" w:bidi="ar-SA"/>
    </w:rPr>
  </w:style>
  <w:style w:type="character" w:customStyle="1" w:styleId="64">
    <w:name w:val="标题 9 字符"/>
    <w:link w:val="10"/>
    <w:autoRedefine/>
    <w:qFormat/>
    <w:uiPriority w:val="0"/>
    <w:rPr>
      <w:rFonts w:ascii="Arial" w:hAnsi="Arial" w:eastAsia="黑体"/>
      <w:sz w:val="21"/>
      <w:szCs w:val="21"/>
      <w:lang w:val="en-US" w:eastAsia="zh-CN" w:bidi="ar-SA"/>
    </w:rPr>
  </w:style>
  <w:style w:type="character" w:customStyle="1" w:styleId="65">
    <w:name w:val="文档结构图 字符"/>
    <w:link w:val="13"/>
    <w:autoRedefine/>
    <w:qFormat/>
    <w:uiPriority w:val="0"/>
    <w:rPr>
      <w:szCs w:val="24"/>
      <w:shd w:val="clear" w:color="auto" w:fill="000080"/>
      <w:lang w:bidi="ar-SA"/>
    </w:rPr>
  </w:style>
  <w:style w:type="character" w:customStyle="1" w:styleId="66">
    <w:name w:val="批注文字 字符"/>
    <w:link w:val="14"/>
    <w:autoRedefine/>
    <w:qFormat/>
    <w:locked/>
    <w:uiPriority w:val="0"/>
    <w:rPr>
      <w:rFonts w:ascii="宋体" w:hAnsi="宋体"/>
      <w:kern w:val="2"/>
      <w:sz w:val="21"/>
      <w:szCs w:val="24"/>
    </w:rPr>
  </w:style>
  <w:style w:type="character" w:customStyle="1" w:styleId="67">
    <w:name w:val="正文文本 3 字符"/>
    <w:link w:val="15"/>
    <w:autoRedefine/>
    <w:qFormat/>
    <w:uiPriority w:val="0"/>
    <w:rPr>
      <w:rFonts w:ascii="宋体"/>
      <w:kern w:val="2"/>
      <w:sz w:val="24"/>
    </w:rPr>
  </w:style>
  <w:style w:type="character" w:customStyle="1" w:styleId="68">
    <w:name w:val="正文文本 字符"/>
    <w:link w:val="16"/>
    <w:autoRedefine/>
    <w:qFormat/>
    <w:uiPriority w:val="0"/>
    <w:rPr>
      <w:rFonts w:eastAsia="宋体"/>
      <w:kern w:val="2"/>
      <w:sz w:val="21"/>
      <w:szCs w:val="24"/>
      <w:lang w:val="en-US" w:eastAsia="zh-CN" w:bidi="ar-SA"/>
    </w:rPr>
  </w:style>
  <w:style w:type="character" w:customStyle="1" w:styleId="69">
    <w:name w:val="正文文本缩进 字符"/>
    <w:link w:val="18"/>
    <w:autoRedefine/>
    <w:qFormat/>
    <w:uiPriority w:val="0"/>
    <w:rPr>
      <w:rFonts w:eastAsia="宋体"/>
      <w:kern w:val="2"/>
      <w:sz w:val="21"/>
      <w:szCs w:val="24"/>
      <w:lang w:val="en-US" w:eastAsia="zh-CN" w:bidi="ar-SA"/>
    </w:rPr>
  </w:style>
  <w:style w:type="character" w:customStyle="1" w:styleId="70">
    <w:name w:val="纯文本 字符"/>
    <w:link w:val="24"/>
    <w:autoRedefine/>
    <w:qFormat/>
    <w:uiPriority w:val="0"/>
    <w:rPr>
      <w:rFonts w:ascii="宋体" w:hAnsi="Courier New" w:eastAsia="宋体"/>
      <w:kern w:val="2"/>
      <w:sz w:val="21"/>
      <w:lang w:val="en-US" w:eastAsia="zh-CN" w:bidi="ar-SA"/>
    </w:rPr>
  </w:style>
  <w:style w:type="character" w:customStyle="1" w:styleId="71">
    <w:name w:val="日期 字符"/>
    <w:link w:val="26"/>
    <w:autoRedefine/>
    <w:qFormat/>
    <w:uiPriority w:val="0"/>
    <w:rPr>
      <w:kern w:val="2"/>
      <w:sz w:val="24"/>
    </w:rPr>
  </w:style>
  <w:style w:type="character" w:customStyle="1" w:styleId="72">
    <w:name w:val="正文文本缩进 2 字符"/>
    <w:link w:val="27"/>
    <w:autoRedefine/>
    <w:qFormat/>
    <w:uiPriority w:val="0"/>
    <w:rPr>
      <w:kern w:val="2"/>
      <w:sz w:val="21"/>
      <w:szCs w:val="24"/>
    </w:rPr>
  </w:style>
  <w:style w:type="character" w:customStyle="1" w:styleId="73">
    <w:name w:val="批注框文本 字符"/>
    <w:link w:val="28"/>
    <w:autoRedefine/>
    <w:qFormat/>
    <w:uiPriority w:val="0"/>
    <w:rPr>
      <w:kern w:val="2"/>
      <w:sz w:val="18"/>
      <w:szCs w:val="18"/>
    </w:rPr>
  </w:style>
  <w:style w:type="character" w:customStyle="1" w:styleId="74">
    <w:name w:val="页脚 字符"/>
    <w:link w:val="29"/>
    <w:autoRedefine/>
    <w:qFormat/>
    <w:uiPriority w:val="99"/>
    <w:rPr>
      <w:rFonts w:eastAsia="宋体"/>
      <w:kern w:val="2"/>
      <w:sz w:val="18"/>
      <w:szCs w:val="18"/>
      <w:lang w:val="en-US" w:eastAsia="zh-CN" w:bidi="ar-SA"/>
    </w:rPr>
  </w:style>
  <w:style w:type="character" w:customStyle="1" w:styleId="75">
    <w:name w:val="页眉 字符"/>
    <w:link w:val="31"/>
    <w:autoRedefine/>
    <w:qFormat/>
    <w:uiPriority w:val="99"/>
    <w:rPr>
      <w:rFonts w:eastAsia="宋体"/>
      <w:kern w:val="2"/>
      <w:sz w:val="18"/>
      <w:szCs w:val="18"/>
      <w:lang w:val="en-US" w:eastAsia="zh-CN" w:bidi="ar-SA"/>
    </w:rPr>
  </w:style>
  <w:style w:type="character" w:customStyle="1" w:styleId="76">
    <w:name w:val="副标题 字符"/>
    <w:link w:val="34"/>
    <w:autoRedefine/>
    <w:qFormat/>
    <w:uiPriority w:val="0"/>
    <w:rPr>
      <w:rFonts w:ascii="Cambria" w:hAnsi="Cambria"/>
      <w:b/>
      <w:bCs/>
      <w:kern w:val="28"/>
      <w:sz w:val="32"/>
      <w:szCs w:val="32"/>
      <w:lang w:bidi="ar-SA"/>
    </w:rPr>
  </w:style>
  <w:style w:type="character" w:customStyle="1" w:styleId="77">
    <w:name w:val="脚注文本 字符"/>
    <w:link w:val="35"/>
    <w:autoRedefine/>
    <w:qFormat/>
    <w:uiPriority w:val="0"/>
    <w:rPr>
      <w:rFonts w:eastAsia="仿宋_GB2312"/>
      <w:kern w:val="2"/>
      <w:sz w:val="18"/>
    </w:rPr>
  </w:style>
  <w:style w:type="character" w:customStyle="1" w:styleId="78">
    <w:name w:val="正文文本缩进 3 字符"/>
    <w:link w:val="37"/>
    <w:autoRedefine/>
    <w:qFormat/>
    <w:uiPriority w:val="0"/>
    <w:rPr>
      <w:kern w:val="2"/>
      <w:sz w:val="16"/>
      <w:szCs w:val="16"/>
    </w:rPr>
  </w:style>
  <w:style w:type="character" w:customStyle="1" w:styleId="79">
    <w:name w:val="正文文本 2 字符"/>
    <w:link w:val="40"/>
    <w:autoRedefine/>
    <w:qFormat/>
    <w:uiPriority w:val="0"/>
    <w:rPr>
      <w:kern w:val="2"/>
      <w:sz w:val="21"/>
      <w:szCs w:val="24"/>
    </w:rPr>
  </w:style>
  <w:style w:type="character" w:customStyle="1" w:styleId="80">
    <w:name w:val="批注主题 字符"/>
    <w:link w:val="43"/>
    <w:autoRedefine/>
    <w:qFormat/>
    <w:uiPriority w:val="0"/>
    <w:rPr>
      <w:rFonts w:ascii="宋体"/>
      <w:b/>
      <w:bCs/>
      <w:sz w:val="28"/>
      <w:lang w:bidi="ar-SA"/>
    </w:rPr>
  </w:style>
  <w:style w:type="paragraph" w:customStyle="1" w:styleId="81">
    <w:name w:val="4、正文"/>
    <w:basedOn w:val="1"/>
    <w:autoRedefine/>
    <w:qFormat/>
    <w:uiPriority w:val="0"/>
    <w:pPr>
      <w:ind w:firstLine="200" w:firstLineChars="200"/>
    </w:pPr>
    <w:rPr>
      <w:rFonts w:ascii="宋体"/>
      <w:sz w:val="24"/>
      <w:szCs w:val="28"/>
    </w:rPr>
  </w:style>
  <w:style w:type="character" w:customStyle="1" w:styleId="82">
    <w:name w:val="font161"/>
    <w:autoRedefine/>
    <w:qFormat/>
    <w:uiPriority w:val="0"/>
    <w:rPr>
      <w:b/>
      <w:bCs/>
      <w:sz w:val="32"/>
      <w:szCs w:val="32"/>
    </w:rPr>
  </w:style>
  <w:style w:type="character" w:customStyle="1" w:styleId="83">
    <w:name w:val="文档结构图 Char1"/>
    <w:autoRedefine/>
    <w:semiHidden/>
    <w:qFormat/>
    <w:uiPriority w:val="99"/>
    <w:rPr>
      <w:rFonts w:ascii="宋体"/>
      <w:kern w:val="2"/>
      <w:sz w:val="18"/>
      <w:szCs w:val="18"/>
    </w:rPr>
  </w:style>
  <w:style w:type="character" w:customStyle="1" w:styleId="84">
    <w:name w:val="不明显强调1"/>
    <w:autoRedefine/>
    <w:qFormat/>
    <w:uiPriority w:val="0"/>
    <w:rPr>
      <w:i/>
      <w:iCs/>
      <w:color w:val="808080"/>
    </w:rPr>
  </w:style>
  <w:style w:type="character" w:customStyle="1" w:styleId="85">
    <w:name w:val="批注主题 Char1"/>
    <w:autoRedefine/>
    <w:semiHidden/>
    <w:qFormat/>
    <w:uiPriority w:val="99"/>
    <w:rPr>
      <w:b/>
      <w:bCs/>
      <w:kern w:val="2"/>
      <w:sz w:val="21"/>
      <w:szCs w:val="24"/>
    </w:rPr>
  </w:style>
  <w:style w:type="character" w:customStyle="1" w:styleId="86">
    <w:name w:val="正文文字4 Char Char"/>
    <w:autoRedefine/>
    <w:qFormat/>
    <w:uiPriority w:val="0"/>
    <w:rPr>
      <w:rFonts w:eastAsia="宋体"/>
      <w:kern w:val="2"/>
      <w:sz w:val="21"/>
      <w:szCs w:val="24"/>
      <w:lang w:val="en-US" w:eastAsia="zh-CN" w:bidi="ar-SA"/>
    </w:rPr>
  </w:style>
  <w:style w:type="character" w:customStyle="1" w:styleId="87">
    <w:name w:val="标题4 Char Char"/>
    <w:link w:val="88"/>
    <w:autoRedefine/>
    <w:qFormat/>
    <w:uiPriority w:val="0"/>
    <w:rPr>
      <w:rFonts w:eastAsia="仿宋_GB2312"/>
      <w:kern w:val="2"/>
      <w:sz w:val="32"/>
      <w:lang w:val="en-US" w:eastAsia="zh-CN" w:bidi="ar-SA"/>
    </w:rPr>
  </w:style>
  <w:style w:type="paragraph" w:customStyle="1" w:styleId="88">
    <w:name w:val="标题4"/>
    <w:basedOn w:val="1"/>
    <w:link w:val="87"/>
    <w:autoRedefine/>
    <w:qFormat/>
    <w:uiPriority w:val="0"/>
    <w:rPr>
      <w:rFonts w:eastAsia="仿宋_GB2312"/>
      <w:sz w:val="32"/>
      <w:szCs w:val="20"/>
    </w:rPr>
  </w:style>
  <w:style w:type="character" w:customStyle="1" w:styleId="89">
    <w:name w:val="htd01"/>
    <w:autoRedefine/>
    <w:qFormat/>
    <w:uiPriority w:val="0"/>
  </w:style>
  <w:style w:type="character" w:customStyle="1" w:styleId="90">
    <w:name w:val="页脚 Char1"/>
    <w:autoRedefine/>
    <w:qFormat/>
    <w:uiPriority w:val="99"/>
    <w:rPr>
      <w:rFonts w:eastAsia="宋体"/>
      <w:kern w:val="2"/>
      <w:sz w:val="18"/>
      <w:szCs w:val="18"/>
      <w:lang w:val="en-US" w:eastAsia="zh-CN" w:bidi="ar-SA"/>
    </w:rPr>
  </w:style>
  <w:style w:type="character" w:customStyle="1" w:styleId="91">
    <w:name w:val="style11"/>
    <w:autoRedefine/>
    <w:qFormat/>
    <w:uiPriority w:val="0"/>
    <w:rPr>
      <w:b/>
      <w:bCs/>
      <w:color w:val="D54F2B"/>
      <w:sz w:val="21"/>
      <w:szCs w:val="21"/>
    </w:rPr>
  </w:style>
  <w:style w:type="character" w:customStyle="1" w:styleId="92">
    <w:name w:val="正文文本缩进 Char1"/>
    <w:autoRedefine/>
    <w:semiHidden/>
    <w:qFormat/>
    <w:uiPriority w:val="99"/>
    <w:rPr>
      <w:kern w:val="2"/>
      <w:sz w:val="21"/>
      <w:szCs w:val="24"/>
    </w:rPr>
  </w:style>
  <w:style w:type="character" w:customStyle="1" w:styleId="93">
    <w:name w:val="fx_label"/>
    <w:autoRedefine/>
    <w:qFormat/>
    <w:uiPriority w:val="0"/>
  </w:style>
  <w:style w:type="character" w:customStyle="1" w:styleId="94">
    <w:name w:val="明显引用 Char1"/>
    <w:autoRedefine/>
    <w:qFormat/>
    <w:uiPriority w:val="30"/>
    <w:rPr>
      <w:b/>
      <w:bCs/>
      <w:i/>
      <w:iCs/>
      <w:color w:val="4F81BD"/>
      <w:kern w:val="2"/>
      <w:sz w:val="21"/>
      <w:szCs w:val="24"/>
    </w:rPr>
  </w:style>
  <w:style w:type="character" w:customStyle="1" w:styleId="95">
    <w:name w:val="引用 Char1"/>
    <w:autoRedefine/>
    <w:qFormat/>
    <w:uiPriority w:val="29"/>
    <w:rPr>
      <w:i/>
      <w:iCs/>
      <w:color w:val="000000"/>
      <w:kern w:val="2"/>
      <w:sz w:val="21"/>
      <w:szCs w:val="24"/>
    </w:rPr>
  </w:style>
  <w:style w:type="character" w:customStyle="1" w:styleId="96">
    <w:name w:val="二 Char1"/>
    <w:autoRedefine/>
    <w:qFormat/>
    <w:uiPriority w:val="0"/>
    <w:rPr>
      <w:rFonts w:eastAsia="宋体"/>
      <w:kern w:val="2"/>
      <w:sz w:val="21"/>
      <w:szCs w:val="24"/>
      <w:lang w:val="en-US" w:eastAsia="zh-CN" w:bidi="ar-SA"/>
    </w:rPr>
  </w:style>
  <w:style w:type="character" w:customStyle="1" w:styleId="97">
    <w:name w:val="批注框文本 Char1"/>
    <w:autoRedefine/>
    <w:semiHidden/>
    <w:qFormat/>
    <w:uiPriority w:val="99"/>
    <w:rPr>
      <w:kern w:val="2"/>
      <w:sz w:val="18"/>
      <w:szCs w:val="18"/>
    </w:rPr>
  </w:style>
  <w:style w:type="character" w:customStyle="1" w:styleId="98">
    <w:name w:val="纯文本 Char1"/>
    <w:autoRedefine/>
    <w:semiHidden/>
    <w:qFormat/>
    <w:uiPriority w:val="99"/>
    <w:rPr>
      <w:rFonts w:ascii="宋体" w:hAnsi="Courier New" w:cs="Courier New"/>
      <w:kern w:val="2"/>
      <w:sz w:val="21"/>
      <w:szCs w:val="21"/>
    </w:rPr>
  </w:style>
  <w:style w:type="character" w:customStyle="1" w:styleId="99">
    <w:name w:val="明显引用 字符"/>
    <w:link w:val="100"/>
    <w:autoRedefine/>
    <w:qFormat/>
    <w:uiPriority w:val="0"/>
    <w:rPr>
      <w:b/>
      <w:bCs/>
      <w:i/>
      <w:iCs/>
      <w:color w:val="4F81BD"/>
      <w:kern w:val="2"/>
      <w:sz w:val="21"/>
      <w:szCs w:val="22"/>
      <w:lang w:bidi="ar-SA"/>
    </w:rPr>
  </w:style>
  <w:style w:type="paragraph" w:styleId="100">
    <w:name w:val="Intense Quote"/>
    <w:basedOn w:val="1"/>
    <w:next w:val="1"/>
    <w:link w:val="99"/>
    <w:autoRedefine/>
    <w:qFormat/>
    <w:uiPriority w:val="0"/>
    <w:pPr>
      <w:pBdr>
        <w:bottom w:val="single" w:color="4F81BD" w:sz="4" w:space="4"/>
      </w:pBdr>
      <w:spacing w:before="200" w:after="280"/>
      <w:ind w:left="936" w:right="936"/>
    </w:pPr>
    <w:rPr>
      <w:b/>
      <w:bCs/>
      <w:i/>
      <w:iCs/>
      <w:color w:val="4F81BD"/>
      <w:szCs w:val="22"/>
    </w:rPr>
  </w:style>
  <w:style w:type="character" w:customStyle="1" w:styleId="101">
    <w:name w:val="副标题 Char1"/>
    <w:autoRedefine/>
    <w:qFormat/>
    <w:uiPriority w:val="11"/>
    <w:rPr>
      <w:rFonts w:ascii="Cambria" w:hAnsi="Cambria" w:cs="Times New Roman"/>
      <w:b/>
      <w:bCs/>
      <w:kern w:val="28"/>
      <w:sz w:val="32"/>
      <w:szCs w:val="32"/>
    </w:rPr>
  </w:style>
  <w:style w:type="character" w:customStyle="1" w:styleId="102">
    <w:name w:val="Char Char1"/>
    <w:autoRedefine/>
    <w:qFormat/>
    <w:uiPriority w:val="0"/>
    <w:rPr>
      <w:rFonts w:ascii="Arial" w:hAnsi="Arial" w:eastAsia="黑体"/>
      <w:b/>
      <w:bCs/>
      <w:kern w:val="2"/>
      <w:sz w:val="32"/>
      <w:szCs w:val="32"/>
      <w:lang w:val="en-US" w:eastAsia="zh-CN" w:bidi="ar-SA"/>
    </w:rPr>
  </w:style>
  <w:style w:type="character" w:customStyle="1" w:styleId="103">
    <w:name w:val="标题 Char1"/>
    <w:autoRedefine/>
    <w:qFormat/>
    <w:uiPriority w:val="10"/>
    <w:rPr>
      <w:rFonts w:ascii="Cambria" w:hAnsi="Cambria" w:cs="Times New Roman"/>
      <w:b/>
      <w:bCs/>
      <w:kern w:val="2"/>
      <w:sz w:val="32"/>
      <w:szCs w:val="32"/>
    </w:rPr>
  </w:style>
  <w:style w:type="character" w:customStyle="1" w:styleId="104">
    <w:name w:val="页眉 Char1"/>
    <w:autoRedefine/>
    <w:qFormat/>
    <w:uiPriority w:val="99"/>
    <w:rPr>
      <w:rFonts w:eastAsia="宋体"/>
      <w:kern w:val="2"/>
      <w:sz w:val="18"/>
      <w:szCs w:val="18"/>
      <w:lang w:val="en-US" w:eastAsia="zh-CN" w:bidi="ar-SA"/>
    </w:rPr>
  </w:style>
  <w:style w:type="character" w:customStyle="1" w:styleId="105">
    <w:name w:val="引用 字符"/>
    <w:link w:val="106"/>
    <w:autoRedefine/>
    <w:qFormat/>
    <w:uiPriority w:val="0"/>
    <w:rPr>
      <w:i/>
      <w:iCs/>
      <w:color w:val="000000"/>
      <w:kern w:val="2"/>
      <w:sz w:val="21"/>
      <w:szCs w:val="22"/>
      <w:lang w:bidi="ar-SA"/>
    </w:rPr>
  </w:style>
  <w:style w:type="paragraph" w:styleId="106">
    <w:name w:val="Quote"/>
    <w:basedOn w:val="1"/>
    <w:next w:val="1"/>
    <w:link w:val="105"/>
    <w:autoRedefine/>
    <w:qFormat/>
    <w:uiPriority w:val="0"/>
    <w:rPr>
      <w:i/>
      <w:iCs/>
      <w:color w:val="000000"/>
      <w:szCs w:val="22"/>
    </w:rPr>
  </w:style>
  <w:style w:type="character" w:customStyle="1" w:styleId="107">
    <w:name w:val="批注文字 Char1"/>
    <w:autoRedefine/>
    <w:semiHidden/>
    <w:qFormat/>
    <w:uiPriority w:val="99"/>
    <w:rPr>
      <w:kern w:val="2"/>
      <w:sz w:val="21"/>
      <w:szCs w:val="24"/>
    </w:rPr>
  </w:style>
  <w:style w:type="character" w:customStyle="1" w:styleId="108">
    <w:name w:val="不明显强调11"/>
    <w:autoRedefine/>
    <w:qFormat/>
    <w:uiPriority w:val="0"/>
    <w:rPr>
      <w:i/>
      <w:iCs/>
      <w:color w:val="808080"/>
    </w:rPr>
  </w:style>
  <w:style w:type="character" w:customStyle="1" w:styleId="109">
    <w:name w:val="标题5 Char Char"/>
    <w:link w:val="110"/>
    <w:autoRedefine/>
    <w:qFormat/>
    <w:uiPriority w:val="0"/>
    <w:rPr>
      <w:rFonts w:ascii="Arial" w:hAnsi="Arial"/>
      <w:b/>
      <w:bCs/>
      <w:sz w:val="24"/>
      <w:szCs w:val="32"/>
      <w:lang w:bidi="ar-SA"/>
    </w:rPr>
  </w:style>
  <w:style w:type="paragraph" w:customStyle="1" w:styleId="110">
    <w:name w:val="标题5"/>
    <w:basedOn w:val="4"/>
    <w:link w:val="109"/>
    <w:autoRedefine/>
    <w:qFormat/>
    <w:uiPriority w:val="0"/>
    <w:pPr>
      <w:spacing w:line="413" w:lineRule="auto"/>
    </w:pPr>
    <w:rPr>
      <w:rFonts w:ascii="Arial" w:hAnsi="Arial"/>
      <w:kern w:val="0"/>
      <w:sz w:val="24"/>
    </w:rPr>
  </w:style>
  <w:style w:type="character" w:customStyle="1" w:styleId="111">
    <w:name w:val="正文文本 Char1"/>
    <w:autoRedefine/>
    <w:semiHidden/>
    <w:qFormat/>
    <w:uiPriority w:val="99"/>
    <w:rPr>
      <w:kern w:val="2"/>
      <w:sz w:val="21"/>
      <w:szCs w:val="24"/>
    </w:rPr>
  </w:style>
  <w:style w:type="paragraph" w:customStyle="1" w:styleId="112">
    <w:name w:val="表格文字"/>
    <w:basedOn w:val="1"/>
    <w:autoRedefine/>
    <w:qFormat/>
    <w:uiPriority w:val="0"/>
    <w:pPr>
      <w:adjustRightInd w:val="0"/>
      <w:spacing w:line="420" w:lineRule="atLeast"/>
      <w:jc w:val="left"/>
      <w:textAlignment w:val="baseline"/>
    </w:pPr>
    <w:rPr>
      <w:kern w:val="0"/>
      <w:szCs w:val="20"/>
    </w:rPr>
  </w:style>
  <w:style w:type="paragraph" w:customStyle="1" w:styleId="113">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114">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5">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11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7">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8">
    <w:name w:val="样式 样式 样式1 + 首行缩进:  2 字符 + 左侧:  0.74 厘米"/>
    <w:basedOn w:val="113"/>
    <w:autoRedefine/>
    <w:qFormat/>
    <w:uiPriority w:val="0"/>
    <w:pPr>
      <w:ind w:firstLine="200"/>
    </w:pPr>
  </w:style>
  <w:style w:type="paragraph" w:customStyle="1" w:styleId="119">
    <w:name w:val="列出段落1"/>
    <w:basedOn w:val="1"/>
    <w:autoRedefine/>
    <w:unhideWhenUsed/>
    <w:qFormat/>
    <w:uiPriority w:val="0"/>
    <w:pPr>
      <w:ind w:firstLine="420" w:firstLineChars="200"/>
    </w:pPr>
    <w:rPr>
      <w:rFonts w:hint="eastAsia" w:ascii="Calibri" w:hAnsi="Calibri"/>
    </w:rPr>
  </w:style>
  <w:style w:type="paragraph" w:customStyle="1" w:styleId="120">
    <w:name w:val="p0"/>
    <w:basedOn w:val="1"/>
    <w:autoRedefine/>
    <w:qFormat/>
    <w:uiPriority w:val="0"/>
    <w:pPr>
      <w:widowControl/>
      <w:spacing w:before="100" w:beforeAutospacing="1" w:after="100" w:afterAutospacing="1" w:line="440" w:lineRule="exact"/>
      <w:ind w:firstLine="100" w:firstLineChars="100"/>
      <w:jc w:val="left"/>
    </w:pPr>
    <w:rPr>
      <w:rFonts w:ascii="宋体" w:hAnsi="宋体" w:cs="宋体"/>
      <w:kern w:val="0"/>
      <w:sz w:val="24"/>
    </w:rPr>
  </w:style>
  <w:style w:type="paragraph" w:customStyle="1" w:styleId="121">
    <w:name w:val="样式 标题 3 + 段前: 7.8 磅"/>
    <w:basedOn w:val="4"/>
    <w:autoRedefine/>
    <w:qFormat/>
    <w:uiPriority w:val="0"/>
    <w:pPr>
      <w:keepNext w:val="0"/>
      <w:keepLines w:val="0"/>
      <w:spacing w:before="156" w:after="0" w:line="360" w:lineRule="auto"/>
      <w:ind w:left="2220" w:hanging="420"/>
    </w:pPr>
    <w:rPr>
      <w:rFonts w:cs="宋体"/>
      <w:b w:val="0"/>
      <w:bCs w:val="0"/>
      <w:sz w:val="24"/>
      <w:szCs w:val="20"/>
    </w:rPr>
  </w:style>
  <w:style w:type="paragraph" w:customStyle="1" w:styleId="122">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3">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24">
    <w:name w:val="样式 标题 2 + Times New Roman 四号 非加粗 段前: 5 磅 段后: 0 磅 行距: 固定值 20..."/>
    <w:basedOn w:val="81"/>
    <w:autoRedefine/>
    <w:qFormat/>
    <w:uiPriority w:val="0"/>
    <w:pPr>
      <w:spacing w:before="100" w:line="400" w:lineRule="exact"/>
    </w:pPr>
    <w:rPr>
      <w:rFonts w:ascii="Times New Roman" w:cs="宋体"/>
      <w:b/>
      <w:sz w:val="28"/>
    </w:rPr>
  </w:style>
  <w:style w:type="paragraph" w:customStyle="1" w:styleId="125">
    <w:name w:val="TOC 标题1"/>
    <w:basedOn w:val="2"/>
    <w:next w:val="1"/>
    <w:autoRedefine/>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12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7">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28">
    <w:name w:val="Char2"/>
    <w:basedOn w:val="1"/>
    <w:autoRedefine/>
    <w:qFormat/>
    <w:uiPriority w:val="0"/>
    <w:rPr>
      <w:rFonts w:ascii="仿宋_GB2312" w:eastAsia="仿宋_GB2312"/>
      <w:b/>
      <w:sz w:val="32"/>
      <w:szCs w:val="32"/>
    </w:rPr>
  </w:style>
  <w:style w:type="paragraph" w:customStyle="1" w:styleId="129">
    <w:name w:val="表格"/>
    <w:basedOn w:val="1"/>
    <w:autoRedefine/>
    <w:qFormat/>
    <w:uiPriority w:val="0"/>
    <w:pPr>
      <w:jc w:val="center"/>
      <w:textAlignment w:val="center"/>
    </w:pPr>
    <w:rPr>
      <w:rFonts w:ascii="华文细黑" w:hAnsi="华文细黑"/>
      <w:kern w:val="0"/>
      <w:szCs w:val="20"/>
    </w:rPr>
  </w:style>
  <w:style w:type="paragraph" w:customStyle="1" w:styleId="130">
    <w:name w:val="样式 标题 3 + Arial"/>
    <w:basedOn w:val="4"/>
    <w:autoRedefine/>
    <w:qFormat/>
    <w:uiPriority w:val="0"/>
    <w:pPr>
      <w:spacing w:beforeLines="100" w:after="0" w:line="360" w:lineRule="auto"/>
    </w:pPr>
    <w:rPr>
      <w:rFonts w:ascii="Arial" w:hAnsi="Arial"/>
      <w:sz w:val="24"/>
    </w:rPr>
  </w:style>
  <w:style w:type="paragraph" w:customStyle="1" w:styleId="131">
    <w:name w:val="样式 正文文本"/>
    <w:basedOn w:val="1"/>
    <w:autoRedefine/>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132">
    <w:name w:val="1"/>
    <w:basedOn w:val="1"/>
    <w:next w:val="1"/>
    <w:autoRedefine/>
    <w:qFormat/>
    <w:uiPriority w:val="0"/>
  </w:style>
  <w:style w:type="paragraph" w:customStyle="1" w:styleId="133">
    <w:name w:val="Char"/>
    <w:basedOn w:val="1"/>
    <w:autoRedefine/>
    <w:qFormat/>
    <w:uiPriority w:val="0"/>
    <w:pPr>
      <w:tabs>
        <w:tab w:val="left" w:pos="432"/>
      </w:tabs>
      <w:spacing w:beforeLines="50" w:afterLines="50"/>
      <w:ind w:left="432" w:hanging="432"/>
    </w:pPr>
    <w:rPr>
      <w:rFonts w:ascii="仿宋_GB2312" w:eastAsia="仿宋_GB2312"/>
      <w:sz w:val="24"/>
    </w:rPr>
  </w:style>
  <w:style w:type="paragraph" w:styleId="134">
    <w:name w:val="List Paragraph"/>
    <w:basedOn w:val="1"/>
    <w:autoRedefine/>
    <w:qFormat/>
    <w:uiPriority w:val="0"/>
    <w:pPr>
      <w:ind w:firstLine="420" w:firstLineChars="200"/>
    </w:pPr>
    <w:rPr>
      <w:rFonts w:ascii="Calibri" w:hAnsi="Calibri"/>
      <w:szCs w:val="22"/>
    </w:rPr>
  </w:style>
  <w:style w:type="paragraph" w:customStyle="1" w:styleId="135">
    <w:name w:val="Char1"/>
    <w:basedOn w:val="1"/>
    <w:autoRedefine/>
    <w:qFormat/>
    <w:uiPriority w:val="0"/>
    <w:pPr>
      <w:jc w:val="center"/>
    </w:pPr>
    <w:rPr>
      <w:rFonts w:ascii="仿宋_GB2312" w:eastAsia="仿宋_GB2312"/>
      <w:b/>
      <w:kern w:val="0"/>
      <w:sz w:val="32"/>
      <w:szCs w:val="32"/>
      <w:lang w:val="en-GB"/>
    </w:rPr>
  </w:style>
  <w:style w:type="paragraph" w:customStyle="1" w:styleId="136">
    <w:name w:val="Char3"/>
    <w:basedOn w:val="1"/>
    <w:autoRedefine/>
    <w:qFormat/>
    <w:uiPriority w:val="0"/>
    <w:pPr>
      <w:tabs>
        <w:tab w:val="left" w:pos="360"/>
      </w:tabs>
    </w:pPr>
    <w:rPr>
      <w:sz w:val="24"/>
    </w:rPr>
  </w:style>
  <w:style w:type="paragraph" w:customStyle="1" w:styleId="137">
    <w:name w:val="WPSOffice手动目录 1"/>
    <w:autoRedefine/>
    <w:qFormat/>
    <w:uiPriority w:val="0"/>
    <w:rPr>
      <w:rFonts w:ascii="Times New Roman" w:hAnsi="Times New Roman" w:eastAsia="宋体" w:cs="Times New Roman"/>
      <w:lang w:val="en-US" w:eastAsia="zh-CN" w:bidi="ar-SA"/>
    </w:rPr>
  </w:style>
  <w:style w:type="paragraph" w:customStyle="1" w:styleId="13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39">
    <w:name w:val="BodyText1I"/>
    <w:basedOn w:val="140"/>
    <w:next w:val="141"/>
    <w:autoRedefine/>
    <w:qFormat/>
    <w:uiPriority w:val="0"/>
    <w:pPr>
      <w:ind w:firstLine="420" w:firstLineChars="100"/>
    </w:pPr>
  </w:style>
  <w:style w:type="paragraph" w:customStyle="1" w:styleId="140">
    <w:name w:val="BodyText"/>
    <w:basedOn w:val="1"/>
    <w:autoRedefine/>
    <w:qFormat/>
    <w:uiPriority w:val="0"/>
    <w:pPr>
      <w:spacing w:after="120"/>
      <w:textAlignment w:val="baseline"/>
    </w:pPr>
  </w:style>
  <w:style w:type="paragraph" w:customStyle="1" w:styleId="141">
    <w:name w:val="TOC6"/>
    <w:basedOn w:val="1"/>
    <w:next w:val="1"/>
    <w:autoRedefine/>
    <w:qFormat/>
    <w:uiPriority w:val="0"/>
    <w:pPr>
      <w:ind w:left="2100" w:leftChars="1000"/>
      <w:textAlignment w:val="baseline"/>
    </w:pPr>
  </w:style>
  <w:style w:type="paragraph" w:customStyle="1" w:styleId="142">
    <w:name w:val="List Paragraph1"/>
    <w:basedOn w:val="1"/>
    <w:autoRedefine/>
    <w:qFormat/>
    <w:uiPriority w:val="0"/>
    <w:pPr>
      <w:ind w:firstLine="420" w:firstLineChars="200"/>
    </w:pPr>
    <w:rPr>
      <w:rFonts w:ascii="Calibri" w:hAnsi="Calibri"/>
      <w:szCs w:val="22"/>
    </w:rPr>
  </w:style>
  <w:style w:type="paragraph" w:customStyle="1" w:styleId="14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4">
    <w:name w:val="Revision"/>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无间隔*"/>
    <w:autoRedefine/>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146">
    <w:name w:val="签发人"/>
    <w:basedOn w:val="1"/>
    <w:autoRedefine/>
    <w:qFormat/>
    <w:uiPriority w:val="0"/>
    <w:rPr>
      <w:rFonts w:eastAsia="楷体"/>
      <w:sz w:val="32"/>
    </w:rPr>
  </w:style>
  <w:style w:type="paragraph" w:customStyle="1" w:styleId="147">
    <w:name w:val="DAS正文"/>
    <w:basedOn w:val="1"/>
    <w:autoRedefine/>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建经咨询</Company>
  <Pages>73</Pages>
  <Words>47457</Words>
  <Characters>50709</Characters>
  <Lines>379</Lines>
  <Paragraphs>106</Paragraphs>
  <TotalTime>77</TotalTime>
  <ScaleCrop>false</ScaleCrop>
  <LinksUpToDate>false</LinksUpToDate>
  <CharactersWithSpaces>55422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2022-12-26T00:49:00Z</dcterms:created>
  <dc:creator>z</dc:creator>
  <cp:lastModifiedBy>小微</cp:lastModifiedBy>
  <cp:lastPrinted>2024-03-29T08:09:00Z</cp:lastPrinted>
  <dcterms:modified xsi:type="dcterms:W3CDTF">2024-04-25T08:16:42Z</dcterms:modified>
  <dc:title>台州市建设</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4BD78192BC6940FF892A1E57F32F95CD_13</vt:lpwstr>
  </property>
</Properties>
</file>