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spacing w:line="360" w:lineRule="auto"/>
        <w:jc w:val="center"/>
        <w:rPr>
          <w:rFonts w:ascii="Times New Roman" w:hAnsi="Times New Roman" w:eastAsia="方正魏碑简体"/>
          <w:bCs/>
          <w:color w:val="auto"/>
          <w:spacing w:val="-18"/>
          <w:sz w:val="48"/>
          <w:szCs w:val="48"/>
        </w:rPr>
      </w:pPr>
      <w:r>
        <w:rPr>
          <w:rFonts w:hint="eastAsia" w:ascii="Times New Roman" w:hAnsi="Times New Roman" w:eastAsia="方正魏碑简体"/>
          <w:bCs/>
          <w:color w:val="auto"/>
          <w:spacing w:val="-18"/>
          <w:sz w:val="48"/>
          <w:szCs w:val="48"/>
        </w:rPr>
        <w:t xml:space="preserve">   2020年至2021年年度行政事业公务用车定点保险服务采购竞争性磋商</w:t>
      </w:r>
      <w:r>
        <w:rPr>
          <w:rFonts w:ascii="Times New Roman" w:hAnsi="Times New Roman" w:eastAsia="方正魏碑简体"/>
          <w:bCs/>
          <w:color w:val="auto"/>
          <w:spacing w:val="-18"/>
          <w:sz w:val="48"/>
          <w:szCs w:val="48"/>
        </w:rPr>
        <w:t>文件</w:t>
      </w:r>
    </w:p>
    <w:p>
      <w:pPr>
        <w:spacing w:line="360" w:lineRule="auto"/>
        <w:ind w:firstLine="1506" w:firstLineChars="500"/>
        <w:rPr>
          <w:b/>
          <w:color w:val="auto"/>
          <w:sz w:val="30"/>
          <w:szCs w:val="30"/>
        </w:rPr>
      </w:pPr>
    </w:p>
    <w:p>
      <w:pPr>
        <w:spacing w:line="360" w:lineRule="auto"/>
        <w:ind w:firstLine="1506" w:firstLineChars="500"/>
        <w:rPr>
          <w:b/>
          <w:color w:val="auto"/>
          <w:sz w:val="30"/>
          <w:szCs w:val="30"/>
        </w:rPr>
      </w:pPr>
    </w:p>
    <w:p>
      <w:pPr>
        <w:spacing w:line="360" w:lineRule="auto"/>
        <w:ind w:firstLine="1506" w:firstLineChars="500"/>
        <w:rPr>
          <w:rFonts w:eastAsia="Calibri"/>
          <w:b/>
          <w:color w:val="auto"/>
          <w:sz w:val="30"/>
          <w:szCs w:val="30"/>
        </w:rPr>
      </w:pPr>
      <w:r>
        <w:rPr>
          <w:rFonts w:hint="eastAsia"/>
          <w:b/>
          <w:color w:val="auto"/>
          <w:sz w:val="30"/>
          <w:szCs w:val="30"/>
        </w:rPr>
        <w:t xml:space="preserve">项目编号： HCZC2020-C3-240049-YCXM </w:t>
      </w:r>
    </w:p>
    <w:p>
      <w:pPr>
        <w:spacing w:line="360" w:lineRule="auto"/>
        <w:jc w:val="center"/>
        <w:rPr>
          <w:b/>
          <w:color w:val="auto"/>
          <w:sz w:val="30"/>
          <w:szCs w:val="30"/>
        </w:rPr>
      </w:pPr>
    </w:p>
    <w:p>
      <w:pPr>
        <w:spacing w:line="360" w:lineRule="auto"/>
        <w:jc w:val="center"/>
        <w:rPr>
          <w:b/>
          <w:color w:val="auto"/>
          <w:sz w:val="30"/>
          <w:szCs w:val="30"/>
        </w:rPr>
      </w:pPr>
    </w:p>
    <w:p>
      <w:pPr>
        <w:spacing w:line="360" w:lineRule="auto"/>
        <w:jc w:val="center"/>
        <w:rPr>
          <w:b/>
          <w:color w:val="auto"/>
          <w:sz w:val="30"/>
          <w:szCs w:val="30"/>
        </w:rPr>
      </w:pPr>
    </w:p>
    <w:p>
      <w:pPr>
        <w:spacing w:line="360" w:lineRule="auto"/>
        <w:jc w:val="center"/>
        <w:rPr>
          <w:b/>
          <w:color w:val="auto"/>
          <w:sz w:val="30"/>
          <w:szCs w:val="30"/>
        </w:rPr>
      </w:pPr>
      <w:r>
        <w:rPr>
          <w:rFonts w:hint="eastAsia" w:hAnsi="宋体"/>
          <w:color w:val="auto"/>
          <w:sz w:val="36"/>
          <w:szCs w:val="36"/>
        </w:rPr>
        <w:drawing>
          <wp:inline distT="0" distB="0" distL="0" distR="0">
            <wp:extent cx="2251710" cy="2191385"/>
            <wp:effectExtent l="1905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noChangeArrowheads="1"/>
                    </pic:cNvPicPr>
                  </pic:nvPicPr>
                  <pic:blipFill>
                    <a:blip r:embed="rId10" cstate="print"/>
                    <a:srcRect/>
                    <a:stretch>
                      <a:fillRect/>
                    </a:stretch>
                  </pic:blipFill>
                  <pic:spPr>
                    <a:xfrm>
                      <a:off x="0" y="0"/>
                      <a:ext cx="2251710" cy="2191385"/>
                    </a:xfrm>
                    <a:prstGeom prst="rect">
                      <a:avLst/>
                    </a:prstGeom>
                    <a:noFill/>
                    <a:ln w="9525">
                      <a:noFill/>
                      <a:miter lim="800000"/>
                      <a:headEnd/>
                      <a:tailEnd/>
                    </a:ln>
                  </pic:spPr>
                </pic:pic>
              </a:graphicData>
            </a:graphic>
          </wp:inline>
        </w:drawing>
      </w:r>
    </w:p>
    <w:p>
      <w:pPr>
        <w:spacing w:line="360" w:lineRule="auto"/>
        <w:jc w:val="center"/>
        <w:rPr>
          <w:color w:val="auto"/>
        </w:rPr>
      </w:pPr>
    </w:p>
    <w:p>
      <w:pPr>
        <w:spacing w:line="360" w:lineRule="auto"/>
        <w:jc w:val="center"/>
        <w:rPr>
          <w:color w:val="auto"/>
        </w:rPr>
      </w:pPr>
      <w:r>
        <w:rPr>
          <w:rFonts w:hint="eastAsia"/>
          <w:color w:val="auto"/>
        </w:rPr>
        <w:t>.</w:t>
      </w:r>
    </w:p>
    <w:p>
      <w:pPr>
        <w:spacing w:line="360" w:lineRule="auto"/>
        <w:jc w:val="center"/>
        <w:rPr>
          <w:color w:val="auto"/>
        </w:rPr>
      </w:pPr>
    </w:p>
    <w:p>
      <w:pPr>
        <w:spacing w:line="360" w:lineRule="auto"/>
        <w:jc w:val="center"/>
        <w:rPr>
          <w:color w:val="auto"/>
        </w:rPr>
      </w:pPr>
    </w:p>
    <w:p>
      <w:pPr>
        <w:spacing w:line="360" w:lineRule="auto"/>
        <w:jc w:val="center"/>
        <w:rPr>
          <w:color w:val="auto"/>
        </w:rPr>
      </w:pPr>
    </w:p>
    <w:p>
      <w:pPr>
        <w:spacing w:line="360" w:lineRule="auto"/>
        <w:rPr>
          <w:color w:val="auto"/>
        </w:rPr>
      </w:pPr>
      <w:r>
        <w:rPr>
          <w:rFonts w:hint="eastAsia"/>
          <w:b/>
          <w:color w:val="auto"/>
          <w:sz w:val="30"/>
          <w:szCs w:val="30"/>
        </w:rPr>
        <w:t xml:space="preserve">      </w:t>
      </w:r>
    </w:p>
    <w:p>
      <w:pPr>
        <w:spacing w:line="360" w:lineRule="auto"/>
        <w:ind w:left="-2" w:leftChars="-1" w:firstLine="1155" w:firstLineChars="550"/>
        <w:rPr>
          <w:color w:val="auto"/>
        </w:rPr>
      </w:pPr>
    </w:p>
    <w:p>
      <w:pPr>
        <w:spacing w:line="360" w:lineRule="auto"/>
        <w:rPr>
          <w:color w:val="auto"/>
        </w:rPr>
      </w:pPr>
      <w:r>
        <w:rPr>
          <w:color w:val="auto"/>
          <w:sz w:val="20"/>
          <w:lang w:val="zh-CN"/>
        </w:rPr>
        <w:pict>
          <v:line id="Line 3" o:spid="_x0000_s1268" o:spt="20" style="position:absolute;left:0pt;margin-left:-17.25pt;margin-top:9.75pt;height:0.05pt;width:477pt;z-index:251656192;mso-width-relative:page;mso-height-relative:page;" coordsize="21600,21600">
            <v:path arrowok="t"/>
            <v:fill focussize="0,0"/>
            <v:stroke weight="4.5pt" linestyle="thinThick"/>
            <v:imagedata o:title=""/>
            <o:lock v:ext="edit"/>
          </v:line>
        </w:pict>
      </w:r>
    </w:p>
    <w:p>
      <w:pPr>
        <w:spacing w:line="360" w:lineRule="auto"/>
        <w:ind w:left="3213" w:hanging="3213" w:hangingChars="1000"/>
        <w:rPr>
          <w:rFonts w:eastAsia="Calibri"/>
          <w:b/>
          <w:color w:val="auto"/>
          <w:sz w:val="30"/>
          <w:szCs w:val="30"/>
        </w:rPr>
      </w:pPr>
      <w:r>
        <w:rPr>
          <w:rFonts w:hint="eastAsia"/>
          <w:b/>
          <w:color w:val="auto"/>
          <w:sz w:val="32"/>
          <w:szCs w:val="32"/>
        </w:rPr>
        <w:t xml:space="preserve">        </w:t>
      </w:r>
      <w:r>
        <w:rPr>
          <w:rFonts w:hint="eastAsia"/>
          <w:b/>
          <w:color w:val="auto"/>
          <w:sz w:val="30"/>
          <w:szCs w:val="30"/>
        </w:rPr>
        <w:t>采 购 单 位：东兰县机关事务管理局</w:t>
      </w:r>
    </w:p>
    <w:p>
      <w:pPr>
        <w:spacing w:line="360" w:lineRule="auto"/>
        <w:ind w:firstLine="1205" w:firstLineChars="400"/>
        <w:rPr>
          <w:b/>
          <w:color w:val="auto"/>
          <w:sz w:val="30"/>
          <w:szCs w:val="30"/>
        </w:rPr>
      </w:pPr>
      <w:r>
        <w:rPr>
          <w:rFonts w:hint="eastAsia"/>
          <w:b/>
          <w:color w:val="auto"/>
          <w:sz w:val="30"/>
          <w:szCs w:val="30"/>
        </w:rPr>
        <w:t>采购代理机构：亿诚建设项目管理有限公司</w:t>
      </w:r>
    </w:p>
    <w:p>
      <w:pPr>
        <w:spacing w:line="560" w:lineRule="exact"/>
        <w:ind w:firstLine="3313" w:firstLineChars="1100"/>
        <w:rPr>
          <w:b/>
          <w:color w:val="auto"/>
          <w:sz w:val="30"/>
          <w:szCs w:val="30"/>
        </w:rPr>
        <w:sectPr>
          <w:type w:val="continuous"/>
          <w:pgSz w:w="11907" w:h="16840"/>
          <w:pgMar w:top="1440" w:right="1440" w:bottom="1440" w:left="1797" w:header="567" w:footer="591" w:gutter="0"/>
          <w:pgNumType w:start="0"/>
          <w:cols w:space="720" w:num="1"/>
          <w:docGrid w:linePitch="312" w:charSpace="0"/>
        </w:sectPr>
      </w:pPr>
      <w:r>
        <w:rPr>
          <w:rFonts w:hint="eastAsia"/>
          <w:b/>
          <w:color w:val="auto"/>
          <w:sz w:val="30"/>
          <w:szCs w:val="30"/>
        </w:rPr>
        <w:t>2020年6月</w:t>
      </w:r>
    </w:p>
    <w:p>
      <w:pPr>
        <w:spacing w:line="360" w:lineRule="auto"/>
        <w:jc w:val="center"/>
        <w:rPr>
          <w:rFonts w:ascii="宋体" w:hAnsi="宋体"/>
          <w:b/>
          <w:color w:val="auto"/>
          <w:sz w:val="44"/>
          <w:szCs w:val="44"/>
        </w:rPr>
      </w:pPr>
      <w:r>
        <w:rPr>
          <w:rFonts w:hint="eastAsia" w:ascii="宋体" w:hAnsi="宋体"/>
          <w:b/>
          <w:color w:val="auto"/>
          <w:sz w:val="44"/>
          <w:szCs w:val="44"/>
        </w:rPr>
        <w:t>目       录</w:t>
      </w:r>
    </w:p>
    <w:p>
      <w:pPr>
        <w:pStyle w:val="20"/>
        <w:spacing w:line="360" w:lineRule="auto"/>
        <w:ind w:firstLine="1744" w:firstLineChars="557"/>
        <w:rPr>
          <w:rFonts w:ascii="黑体" w:hAnsi="华文中宋" w:eastAsia="黑体"/>
          <w:b/>
          <w:bCs/>
          <w:color w:val="auto"/>
          <w:spacing w:val="16"/>
          <w:sz w:val="28"/>
          <w:szCs w:val="28"/>
        </w:rPr>
      </w:pPr>
    </w:p>
    <w:p>
      <w:pPr>
        <w:spacing w:line="240" w:lineRule="exact"/>
        <w:ind w:firstLine="300"/>
        <w:jc w:val="center"/>
        <w:rPr>
          <w:b/>
          <w:color w:val="auto"/>
          <w:sz w:val="28"/>
          <w:szCs w:val="28"/>
        </w:rPr>
      </w:pPr>
    </w:p>
    <w:p>
      <w:pPr>
        <w:pStyle w:val="27"/>
        <w:spacing w:line="480" w:lineRule="auto"/>
        <w:rPr>
          <w:rFonts w:asciiTheme="minorHAnsi" w:hAnsiTheme="minorHAnsi" w:eastAsiaTheme="minorEastAsia" w:cstheme="minorBidi"/>
          <w:b/>
          <w:color w:val="auto"/>
          <w:sz w:val="24"/>
        </w:rPr>
      </w:pPr>
      <w:r>
        <w:rPr>
          <w:rFonts w:ascii="宋体" w:hAnsi="宋体"/>
          <w:b/>
          <w:color w:val="auto"/>
          <w:sz w:val="24"/>
        </w:rPr>
        <w:fldChar w:fldCharType="begin"/>
      </w:r>
      <w:r>
        <w:rPr>
          <w:rFonts w:ascii="宋体" w:hAnsi="宋体"/>
          <w:b/>
          <w:color w:val="auto"/>
          <w:sz w:val="24"/>
        </w:rPr>
        <w:instrText xml:space="preserve"> </w:instrText>
      </w:r>
      <w:r>
        <w:rPr>
          <w:rFonts w:hint="eastAsia" w:ascii="宋体" w:hAnsi="宋体"/>
          <w:b/>
          <w:color w:val="auto"/>
          <w:sz w:val="24"/>
        </w:rPr>
        <w:instrText xml:space="preserve">TOC \o "1-3" \h \z \u</w:instrText>
      </w:r>
      <w:r>
        <w:rPr>
          <w:rFonts w:ascii="宋体" w:hAnsi="宋体"/>
          <w:b/>
          <w:color w:val="auto"/>
          <w:sz w:val="24"/>
        </w:rPr>
        <w:instrText xml:space="preserve"> </w:instrText>
      </w:r>
      <w:r>
        <w:rPr>
          <w:rFonts w:ascii="宋体" w:hAnsi="宋体"/>
          <w:b/>
          <w:color w:val="auto"/>
          <w:sz w:val="24"/>
        </w:rPr>
        <w:fldChar w:fldCharType="separate"/>
      </w:r>
      <w:r>
        <w:rPr>
          <w:color w:val="auto"/>
        </w:rPr>
        <w:fldChar w:fldCharType="begin"/>
      </w:r>
      <w:r>
        <w:rPr>
          <w:color w:val="auto"/>
        </w:rPr>
        <w:instrText xml:space="preserve"> HYPERLINK \l "_Toc42013013" </w:instrText>
      </w:r>
      <w:r>
        <w:rPr>
          <w:color w:val="auto"/>
        </w:rPr>
        <w:fldChar w:fldCharType="separate"/>
      </w:r>
      <w:r>
        <w:rPr>
          <w:rStyle w:val="45"/>
          <w:rFonts w:hint="eastAsia"/>
          <w:b/>
          <w:color w:val="auto"/>
          <w:sz w:val="24"/>
        </w:rPr>
        <w:t>第一章</w:t>
      </w:r>
      <w:r>
        <w:rPr>
          <w:rStyle w:val="45"/>
          <w:b/>
          <w:color w:val="auto"/>
          <w:sz w:val="24"/>
        </w:rPr>
        <w:t xml:space="preserve">  </w:t>
      </w:r>
      <w:r>
        <w:rPr>
          <w:rStyle w:val="45"/>
          <w:rFonts w:hint="eastAsia"/>
          <w:b/>
          <w:color w:val="auto"/>
          <w:sz w:val="24"/>
        </w:rPr>
        <w:t>竞争性磋商公告</w:t>
      </w:r>
      <w:r>
        <w:rPr>
          <w:b/>
          <w:color w:val="auto"/>
          <w:sz w:val="24"/>
        </w:rPr>
        <w:tab/>
      </w:r>
      <w:r>
        <w:rPr>
          <w:b/>
          <w:color w:val="auto"/>
          <w:sz w:val="24"/>
        </w:rPr>
        <w:fldChar w:fldCharType="begin"/>
      </w:r>
      <w:r>
        <w:rPr>
          <w:b/>
          <w:color w:val="auto"/>
          <w:sz w:val="24"/>
        </w:rPr>
        <w:instrText xml:space="preserve"> PAGEREF _Toc42013013 \h </w:instrText>
      </w:r>
      <w:r>
        <w:rPr>
          <w:b/>
          <w:color w:val="auto"/>
          <w:sz w:val="24"/>
        </w:rPr>
        <w:fldChar w:fldCharType="separate"/>
      </w:r>
      <w:r>
        <w:rPr>
          <w:b/>
          <w:color w:val="auto"/>
          <w:sz w:val="24"/>
        </w:rPr>
        <w:t>1</w:t>
      </w:r>
      <w:r>
        <w:rPr>
          <w:b/>
          <w:color w:val="auto"/>
          <w:sz w:val="24"/>
        </w:rPr>
        <w:fldChar w:fldCharType="end"/>
      </w:r>
      <w:r>
        <w:rPr>
          <w:b/>
          <w:color w:val="auto"/>
          <w:sz w:val="24"/>
        </w:rPr>
        <w:fldChar w:fldCharType="end"/>
      </w:r>
    </w:p>
    <w:p>
      <w:pPr>
        <w:pStyle w:val="27"/>
        <w:spacing w:line="480" w:lineRule="auto"/>
        <w:rPr>
          <w:rFonts w:asciiTheme="minorHAnsi" w:hAnsiTheme="minorHAnsi" w:eastAsiaTheme="minorEastAsia" w:cstheme="minorBidi"/>
          <w:b/>
          <w:color w:val="auto"/>
          <w:sz w:val="24"/>
        </w:rPr>
      </w:pPr>
      <w:r>
        <w:rPr>
          <w:color w:val="auto"/>
        </w:rPr>
        <w:fldChar w:fldCharType="begin"/>
      </w:r>
      <w:r>
        <w:rPr>
          <w:color w:val="auto"/>
        </w:rPr>
        <w:instrText xml:space="preserve"> HYPERLINK \l "_Toc42013017" </w:instrText>
      </w:r>
      <w:r>
        <w:rPr>
          <w:color w:val="auto"/>
        </w:rPr>
        <w:fldChar w:fldCharType="separate"/>
      </w:r>
      <w:r>
        <w:rPr>
          <w:rStyle w:val="45"/>
          <w:rFonts w:hint="eastAsia"/>
          <w:b/>
          <w:color w:val="auto"/>
          <w:sz w:val="24"/>
        </w:rPr>
        <w:t>第二章</w:t>
      </w:r>
      <w:r>
        <w:rPr>
          <w:rStyle w:val="45"/>
          <w:b/>
          <w:color w:val="auto"/>
          <w:sz w:val="24"/>
        </w:rPr>
        <w:t xml:space="preserve">  </w:t>
      </w:r>
      <w:r>
        <w:rPr>
          <w:rStyle w:val="45"/>
          <w:rFonts w:hint="eastAsia"/>
          <w:b/>
          <w:color w:val="auto"/>
          <w:sz w:val="24"/>
        </w:rPr>
        <w:t>竞标人须知及前附表</w:t>
      </w:r>
      <w:r>
        <w:rPr>
          <w:b/>
          <w:color w:val="auto"/>
          <w:sz w:val="24"/>
        </w:rPr>
        <w:tab/>
      </w:r>
      <w:r>
        <w:rPr>
          <w:b/>
          <w:color w:val="auto"/>
          <w:sz w:val="24"/>
        </w:rPr>
        <w:fldChar w:fldCharType="begin"/>
      </w:r>
      <w:r>
        <w:rPr>
          <w:b/>
          <w:color w:val="auto"/>
          <w:sz w:val="24"/>
        </w:rPr>
        <w:instrText xml:space="preserve"> PAGEREF _Toc42013017 \h </w:instrText>
      </w:r>
      <w:r>
        <w:rPr>
          <w:b/>
          <w:color w:val="auto"/>
          <w:sz w:val="24"/>
        </w:rPr>
        <w:fldChar w:fldCharType="separate"/>
      </w:r>
      <w:r>
        <w:rPr>
          <w:b/>
          <w:color w:val="auto"/>
          <w:sz w:val="24"/>
        </w:rPr>
        <w:t>4</w:t>
      </w:r>
      <w:r>
        <w:rPr>
          <w:b/>
          <w:color w:val="auto"/>
          <w:sz w:val="24"/>
        </w:rPr>
        <w:fldChar w:fldCharType="end"/>
      </w:r>
      <w:r>
        <w:rPr>
          <w:b/>
          <w:color w:val="auto"/>
          <w:sz w:val="24"/>
        </w:rPr>
        <w:fldChar w:fldCharType="end"/>
      </w:r>
    </w:p>
    <w:p>
      <w:pPr>
        <w:pStyle w:val="27"/>
        <w:spacing w:line="480" w:lineRule="auto"/>
        <w:rPr>
          <w:rFonts w:asciiTheme="minorHAnsi" w:hAnsiTheme="minorHAnsi" w:eastAsiaTheme="minorEastAsia" w:cstheme="minorBidi"/>
          <w:b/>
          <w:color w:val="auto"/>
          <w:sz w:val="24"/>
        </w:rPr>
      </w:pPr>
      <w:r>
        <w:rPr>
          <w:color w:val="auto"/>
        </w:rPr>
        <w:fldChar w:fldCharType="begin"/>
      </w:r>
      <w:r>
        <w:rPr>
          <w:color w:val="auto"/>
        </w:rPr>
        <w:instrText xml:space="preserve"> HYPERLINK \l "_Toc42013020" </w:instrText>
      </w:r>
      <w:r>
        <w:rPr>
          <w:color w:val="auto"/>
        </w:rPr>
        <w:fldChar w:fldCharType="separate"/>
      </w:r>
      <w:r>
        <w:rPr>
          <w:rStyle w:val="45"/>
          <w:rFonts w:hint="eastAsia"/>
          <w:b/>
          <w:color w:val="auto"/>
          <w:sz w:val="24"/>
        </w:rPr>
        <w:t>第三章</w:t>
      </w:r>
      <w:r>
        <w:rPr>
          <w:rStyle w:val="45"/>
          <w:b/>
          <w:color w:val="auto"/>
          <w:sz w:val="24"/>
        </w:rPr>
        <w:t xml:space="preserve">   </w:t>
      </w:r>
      <w:r>
        <w:rPr>
          <w:rStyle w:val="45"/>
          <w:rFonts w:hint="eastAsia"/>
          <w:b/>
          <w:color w:val="auto"/>
          <w:sz w:val="24"/>
        </w:rPr>
        <w:t>项目基本情况及要求</w:t>
      </w:r>
      <w:r>
        <w:rPr>
          <w:b/>
          <w:color w:val="auto"/>
          <w:sz w:val="24"/>
        </w:rPr>
        <w:tab/>
      </w:r>
      <w:r>
        <w:rPr>
          <w:b/>
          <w:color w:val="auto"/>
          <w:sz w:val="24"/>
        </w:rPr>
        <w:fldChar w:fldCharType="begin"/>
      </w:r>
      <w:r>
        <w:rPr>
          <w:b/>
          <w:color w:val="auto"/>
          <w:sz w:val="24"/>
        </w:rPr>
        <w:instrText xml:space="preserve"> PAGEREF _Toc42013020 \h </w:instrText>
      </w:r>
      <w:r>
        <w:rPr>
          <w:b/>
          <w:color w:val="auto"/>
          <w:sz w:val="24"/>
        </w:rPr>
        <w:fldChar w:fldCharType="separate"/>
      </w:r>
      <w:r>
        <w:rPr>
          <w:b/>
          <w:color w:val="auto"/>
          <w:sz w:val="24"/>
        </w:rPr>
        <w:t>13</w:t>
      </w:r>
      <w:r>
        <w:rPr>
          <w:b/>
          <w:color w:val="auto"/>
          <w:sz w:val="24"/>
        </w:rPr>
        <w:fldChar w:fldCharType="end"/>
      </w:r>
      <w:r>
        <w:rPr>
          <w:b/>
          <w:color w:val="auto"/>
          <w:sz w:val="24"/>
        </w:rPr>
        <w:fldChar w:fldCharType="end"/>
      </w:r>
    </w:p>
    <w:p>
      <w:pPr>
        <w:pStyle w:val="27"/>
        <w:spacing w:line="480" w:lineRule="auto"/>
        <w:rPr>
          <w:rFonts w:asciiTheme="minorHAnsi" w:hAnsiTheme="minorHAnsi" w:eastAsiaTheme="minorEastAsia" w:cstheme="minorBidi"/>
          <w:b/>
          <w:color w:val="auto"/>
          <w:sz w:val="24"/>
        </w:rPr>
      </w:pPr>
      <w:r>
        <w:rPr>
          <w:color w:val="auto"/>
        </w:rPr>
        <w:fldChar w:fldCharType="begin"/>
      </w:r>
      <w:r>
        <w:rPr>
          <w:color w:val="auto"/>
        </w:rPr>
        <w:instrText xml:space="preserve"> HYPERLINK \l "_Toc42013022" </w:instrText>
      </w:r>
      <w:r>
        <w:rPr>
          <w:color w:val="auto"/>
        </w:rPr>
        <w:fldChar w:fldCharType="separate"/>
      </w:r>
      <w:r>
        <w:rPr>
          <w:rStyle w:val="45"/>
          <w:rFonts w:hint="eastAsia"/>
          <w:b/>
          <w:color w:val="auto"/>
          <w:sz w:val="24"/>
        </w:rPr>
        <w:t>第四章</w:t>
      </w:r>
      <w:r>
        <w:rPr>
          <w:rStyle w:val="45"/>
          <w:b/>
          <w:color w:val="auto"/>
          <w:sz w:val="24"/>
        </w:rPr>
        <w:t xml:space="preserve"> </w:t>
      </w:r>
      <w:r>
        <w:rPr>
          <w:rStyle w:val="45"/>
          <w:rFonts w:hint="eastAsia"/>
          <w:b/>
          <w:color w:val="auto"/>
          <w:sz w:val="24"/>
        </w:rPr>
        <w:t>合同基本条款及合同书（格式）</w:t>
      </w:r>
      <w:r>
        <w:rPr>
          <w:b/>
          <w:color w:val="auto"/>
          <w:sz w:val="24"/>
        </w:rPr>
        <w:tab/>
      </w:r>
      <w:r>
        <w:rPr>
          <w:b/>
          <w:color w:val="auto"/>
          <w:sz w:val="24"/>
        </w:rPr>
        <w:fldChar w:fldCharType="begin"/>
      </w:r>
      <w:r>
        <w:rPr>
          <w:b/>
          <w:color w:val="auto"/>
          <w:sz w:val="24"/>
        </w:rPr>
        <w:instrText xml:space="preserve"> PAGEREF _Toc42013022 \h </w:instrText>
      </w:r>
      <w:r>
        <w:rPr>
          <w:b/>
          <w:color w:val="auto"/>
          <w:sz w:val="24"/>
        </w:rPr>
        <w:fldChar w:fldCharType="separate"/>
      </w:r>
      <w:r>
        <w:rPr>
          <w:b/>
          <w:color w:val="auto"/>
          <w:sz w:val="24"/>
        </w:rPr>
        <w:t>15</w:t>
      </w:r>
      <w:r>
        <w:rPr>
          <w:b/>
          <w:color w:val="auto"/>
          <w:sz w:val="24"/>
        </w:rPr>
        <w:fldChar w:fldCharType="end"/>
      </w:r>
      <w:r>
        <w:rPr>
          <w:b/>
          <w:color w:val="auto"/>
          <w:sz w:val="24"/>
        </w:rPr>
        <w:fldChar w:fldCharType="end"/>
      </w:r>
    </w:p>
    <w:p>
      <w:pPr>
        <w:pStyle w:val="27"/>
        <w:spacing w:line="480" w:lineRule="auto"/>
        <w:rPr>
          <w:rFonts w:asciiTheme="minorHAnsi" w:hAnsiTheme="minorHAnsi" w:eastAsiaTheme="minorEastAsia" w:cstheme="minorBidi"/>
          <w:b/>
          <w:color w:val="auto"/>
          <w:sz w:val="24"/>
        </w:rPr>
      </w:pPr>
      <w:r>
        <w:rPr>
          <w:color w:val="auto"/>
        </w:rPr>
        <w:fldChar w:fldCharType="begin"/>
      </w:r>
      <w:r>
        <w:rPr>
          <w:color w:val="auto"/>
        </w:rPr>
        <w:instrText xml:space="preserve"> HYPERLINK \l "_Toc42013025" </w:instrText>
      </w:r>
      <w:r>
        <w:rPr>
          <w:color w:val="auto"/>
        </w:rPr>
        <w:fldChar w:fldCharType="separate"/>
      </w:r>
      <w:r>
        <w:rPr>
          <w:rStyle w:val="45"/>
          <w:rFonts w:hint="eastAsia"/>
          <w:b/>
          <w:color w:val="auto"/>
          <w:sz w:val="24"/>
        </w:rPr>
        <w:t>第五章</w:t>
      </w:r>
      <w:r>
        <w:rPr>
          <w:rStyle w:val="45"/>
          <w:b/>
          <w:color w:val="auto"/>
          <w:sz w:val="24"/>
        </w:rPr>
        <w:t xml:space="preserve">  </w:t>
      </w:r>
      <w:r>
        <w:rPr>
          <w:rStyle w:val="45"/>
          <w:rFonts w:hint="eastAsia"/>
          <w:b/>
          <w:color w:val="auto"/>
          <w:sz w:val="24"/>
        </w:rPr>
        <w:t>评标方法和定标标准</w:t>
      </w:r>
      <w:r>
        <w:rPr>
          <w:b/>
          <w:color w:val="auto"/>
          <w:sz w:val="24"/>
        </w:rPr>
        <w:tab/>
      </w:r>
      <w:r>
        <w:rPr>
          <w:b/>
          <w:color w:val="auto"/>
          <w:sz w:val="24"/>
        </w:rPr>
        <w:fldChar w:fldCharType="begin"/>
      </w:r>
      <w:r>
        <w:rPr>
          <w:b/>
          <w:color w:val="auto"/>
          <w:sz w:val="24"/>
        </w:rPr>
        <w:instrText xml:space="preserve"> PAGEREF _Toc42013025 \h </w:instrText>
      </w:r>
      <w:r>
        <w:rPr>
          <w:b/>
          <w:color w:val="auto"/>
          <w:sz w:val="24"/>
        </w:rPr>
        <w:fldChar w:fldCharType="separate"/>
      </w:r>
      <w:r>
        <w:rPr>
          <w:b/>
          <w:color w:val="auto"/>
          <w:sz w:val="24"/>
        </w:rPr>
        <w:t>20</w:t>
      </w:r>
      <w:r>
        <w:rPr>
          <w:b/>
          <w:color w:val="auto"/>
          <w:sz w:val="24"/>
        </w:rPr>
        <w:fldChar w:fldCharType="end"/>
      </w:r>
      <w:r>
        <w:rPr>
          <w:b/>
          <w:color w:val="auto"/>
          <w:sz w:val="24"/>
        </w:rPr>
        <w:fldChar w:fldCharType="end"/>
      </w:r>
    </w:p>
    <w:p>
      <w:pPr>
        <w:pStyle w:val="27"/>
        <w:spacing w:line="480" w:lineRule="auto"/>
        <w:rPr>
          <w:rFonts w:asciiTheme="minorHAnsi" w:hAnsiTheme="minorHAnsi" w:eastAsiaTheme="minorEastAsia" w:cstheme="minorBidi"/>
          <w:b/>
          <w:color w:val="auto"/>
          <w:sz w:val="24"/>
        </w:rPr>
      </w:pPr>
      <w:r>
        <w:rPr>
          <w:color w:val="auto"/>
        </w:rPr>
        <w:fldChar w:fldCharType="begin"/>
      </w:r>
      <w:r>
        <w:rPr>
          <w:color w:val="auto"/>
        </w:rPr>
        <w:instrText xml:space="preserve"> HYPERLINK \l "_Toc42013030" </w:instrText>
      </w:r>
      <w:r>
        <w:rPr>
          <w:color w:val="auto"/>
        </w:rPr>
        <w:fldChar w:fldCharType="separate"/>
      </w:r>
      <w:r>
        <w:rPr>
          <w:rStyle w:val="45"/>
          <w:rFonts w:hint="eastAsia"/>
          <w:b/>
          <w:color w:val="auto"/>
          <w:sz w:val="24"/>
        </w:rPr>
        <w:t>第六章</w:t>
      </w:r>
      <w:r>
        <w:rPr>
          <w:rStyle w:val="45"/>
          <w:b/>
          <w:color w:val="auto"/>
          <w:sz w:val="24"/>
        </w:rPr>
        <w:t xml:space="preserve">  </w:t>
      </w:r>
      <w:r>
        <w:rPr>
          <w:rStyle w:val="45"/>
          <w:rFonts w:hint="eastAsia"/>
          <w:b/>
          <w:color w:val="auto"/>
          <w:sz w:val="24"/>
        </w:rPr>
        <w:t>响应文件（格式）</w:t>
      </w:r>
      <w:r>
        <w:rPr>
          <w:b/>
          <w:color w:val="auto"/>
          <w:sz w:val="24"/>
        </w:rPr>
        <w:tab/>
      </w:r>
      <w:r>
        <w:rPr>
          <w:b/>
          <w:color w:val="auto"/>
          <w:sz w:val="24"/>
        </w:rPr>
        <w:fldChar w:fldCharType="begin"/>
      </w:r>
      <w:r>
        <w:rPr>
          <w:b/>
          <w:color w:val="auto"/>
          <w:sz w:val="24"/>
        </w:rPr>
        <w:instrText xml:space="preserve"> PAGEREF _Toc42013030 \h </w:instrText>
      </w:r>
      <w:r>
        <w:rPr>
          <w:b/>
          <w:color w:val="auto"/>
          <w:sz w:val="24"/>
        </w:rPr>
        <w:fldChar w:fldCharType="separate"/>
      </w:r>
      <w:r>
        <w:rPr>
          <w:b/>
          <w:color w:val="auto"/>
          <w:sz w:val="24"/>
        </w:rPr>
        <w:t>23</w:t>
      </w:r>
      <w:r>
        <w:rPr>
          <w:b/>
          <w:color w:val="auto"/>
          <w:sz w:val="24"/>
        </w:rPr>
        <w:fldChar w:fldCharType="end"/>
      </w:r>
      <w:r>
        <w:rPr>
          <w:b/>
          <w:color w:val="auto"/>
          <w:sz w:val="24"/>
        </w:rPr>
        <w:fldChar w:fldCharType="end"/>
      </w:r>
    </w:p>
    <w:p>
      <w:pPr>
        <w:spacing w:line="480" w:lineRule="auto"/>
        <w:ind w:firstLine="300"/>
        <w:jc w:val="center"/>
        <w:rPr>
          <w:color w:val="auto"/>
          <w:sz w:val="15"/>
        </w:rPr>
      </w:pPr>
      <w:r>
        <w:rPr>
          <w:rFonts w:ascii="宋体" w:hAnsi="宋体"/>
          <w:b/>
          <w:color w:val="auto"/>
          <w:sz w:val="24"/>
        </w:rPr>
        <w:fldChar w:fldCharType="end"/>
      </w:r>
    </w:p>
    <w:p>
      <w:pPr>
        <w:spacing w:line="240" w:lineRule="exact"/>
        <w:ind w:firstLine="300"/>
        <w:jc w:val="center"/>
        <w:rPr>
          <w:color w:val="auto"/>
          <w:sz w:val="15"/>
        </w:rPr>
      </w:pPr>
    </w:p>
    <w:p>
      <w:pPr>
        <w:spacing w:line="240" w:lineRule="exact"/>
        <w:ind w:firstLine="300"/>
        <w:jc w:val="center"/>
        <w:rPr>
          <w:color w:val="auto"/>
          <w:sz w:val="15"/>
        </w:rPr>
      </w:pPr>
    </w:p>
    <w:p>
      <w:pPr>
        <w:spacing w:line="240" w:lineRule="exact"/>
        <w:ind w:firstLine="300"/>
        <w:jc w:val="center"/>
        <w:rPr>
          <w:color w:val="auto"/>
          <w:sz w:val="15"/>
        </w:rPr>
      </w:pPr>
    </w:p>
    <w:p>
      <w:pPr>
        <w:spacing w:line="240" w:lineRule="exact"/>
        <w:ind w:firstLine="300"/>
        <w:jc w:val="center"/>
        <w:rPr>
          <w:color w:val="auto"/>
          <w:sz w:val="15"/>
        </w:rPr>
      </w:pPr>
    </w:p>
    <w:p>
      <w:pPr>
        <w:spacing w:line="240" w:lineRule="exact"/>
        <w:ind w:firstLine="300"/>
        <w:jc w:val="center"/>
        <w:rPr>
          <w:color w:val="auto"/>
          <w:sz w:val="15"/>
        </w:rPr>
      </w:pPr>
    </w:p>
    <w:p>
      <w:pPr>
        <w:spacing w:line="240" w:lineRule="exact"/>
        <w:ind w:firstLine="300"/>
        <w:jc w:val="center"/>
        <w:rPr>
          <w:color w:val="auto"/>
          <w:sz w:val="15"/>
        </w:rPr>
      </w:pPr>
    </w:p>
    <w:p>
      <w:pPr>
        <w:spacing w:line="240" w:lineRule="exact"/>
        <w:ind w:firstLine="300"/>
        <w:jc w:val="center"/>
        <w:rPr>
          <w:color w:val="auto"/>
          <w:sz w:val="15"/>
        </w:rPr>
      </w:pPr>
    </w:p>
    <w:p>
      <w:pPr>
        <w:spacing w:line="240" w:lineRule="exact"/>
        <w:ind w:firstLine="300"/>
        <w:jc w:val="center"/>
        <w:rPr>
          <w:color w:val="auto"/>
          <w:sz w:val="15"/>
        </w:rPr>
      </w:pPr>
    </w:p>
    <w:p>
      <w:pPr>
        <w:spacing w:line="240" w:lineRule="exact"/>
        <w:ind w:firstLine="300"/>
        <w:jc w:val="center"/>
        <w:rPr>
          <w:color w:val="auto"/>
          <w:sz w:val="15"/>
        </w:rPr>
      </w:pPr>
    </w:p>
    <w:p>
      <w:pPr>
        <w:spacing w:line="240" w:lineRule="exact"/>
        <w:ind w:firstLine="300"/>
        <w:jc w:val="center"/>
        <w:rPr>
          <w:color w:val="auto"/>
          <w:sz w:val="15"/>
        </w:rPr>
      </w:pPr>
    </w:p>
    <w:p>
      <w:pPr>
        <w:spacing w:line="240" w:lineRule="exact"/>
        <w:ind w:firstLine="300"/>
        <w:jc w:val="center"/>
        <w:rPr>
          <w:color w:val="auto"/>
          <w:sz w:val="15"/>
        </w:rPr>
      </w:pPr>
    </w:p>
    <w:p>
      <w:pPr>
        <w:spacing w:line="240" w:lineRule="exact"/>
        <w:ind w:firstLine="300"/>
        <w:jc w:val="center"/>
        <w:rPr>
          <w:color w:val="auto"/>
          <w:sz w:val="15"/>
        </w:rPr>
      </w:pPr>
    </w:p>
    <w:p>
      <w:pPr>
        <w:spacing w:line="240" w:lineRule="exact"/>
        <w:ind w:firstLine="300"/>
        <w:jc w:val="center"/>
        <w:rPr>
          <w:color w:val="auto"/>
          <w:sz w:val="15"/>
        </w:rPr>
      </w:pPr>
    </w:p>
    <w:p>
      <w:pPr>
        <w:spacing w:line="240" w:lineRule="exact"/>
        <w:ind w:firstLine="300"/>
        <w:jc w:val="center"/>
        <w:rPr>
          <w:color w:val="auto"/>
          <w:sz w:val="15"/>
        </w:rPr>
      </w:pPr>
    </w:p>
    <w:p>
      <w:pPr>
        <w:spacing w:line="240" w:lineRule="exact"/>
        <w:ind w:firstLine="300"/>
        <w:jc w:val="center"/>
        <w:rPr>
          <w:color w:val="auto"/>
          <w:sz w:val="15"/>
        </w:rPr>
      </w:pPr>
    </w:p>
    <w:p>
      <w:pPr>
        <w:spacing w:line="240" w:lineRule="exact"/>
        <w:ind w:firstLine="300"/>
        <w:jc w:val="center"/>
        <w:rPr>
          <w:color w:val="auto"/>
          <w:sz w:val="15"/>
        </w:rPr>
      </w:pPr>
    </w:p>
    <w:p>
      <w:pPr>
        <w:spacing w:line="240" w:lineRule="exact"/>
        <w:ind w:firstLine="300"/>
        <w:jc w:val="center"/>
        <w:rPr>
          <w:color w:val="auto"/>
          <w:sz w:val="15"/>
        </w:rPr>
      </w:pPr>
    </w:p>
    <w:p>
      <w:pPr>
        <w:spacing w:line="240" w:lineRule="exact"/>
        <w:ind w:firstLine="300"/>
        <w:jc w:val="center"/>
        <w:rPr>
          <w:color w:val="auto"/>
          <w:sz w:val="15"/>
        </w:rPr>
      </w:pPr>
    </w:p>
    <w:p>
      <w:pPr>
        <w:spacing w:line="240" w:lineRule="exact"/>
        <w:ind w:firstLine="300"/>
        <w:jc w:val="center"/>
        <w:rPr>
          <w:color w:val="auto"/>
          <w:sz w:val="15"/>
        </w:rPr>
      </w:pPr>
    </w:p>
    <w:p>
      <w:pPr>
        <w:spacing w:line="240" w:lineRule="exact"/>
        <w:ind w:firstLine="300"/>
        <w:jc w:val="center"/>
        <w:rPr>
          <w:color w:val="auto"/>
          <w:sz w:val="15"/>
        </w:rPr>
      </w:pPr>
    </w:p>
    <w:p>
      <w:pPr>
        <w:spacing w:line="240" w:lineRule="exact"/>
        <w:ind w:firstLine="300"/>
        <w:jc w:val="center"/>
        <w:rPr>
          <w:color w:val="auto"/>
          <w:sz w:val="15"/>
        </w:rPr>
      </w:pPr>
    </w:p>
    <w:p>
      <w:pPr>
        <w:spacing w:line="240" w:lineRule="exact"/>
        <w:ind w:firstLine="300"/>
        <w:jc w:val="center"/>
        <w:rPr>
          <w:color w:val="auto"/>
          <w:sz w:val="15"/>
        </w:rPr>
      </w:pPr>
    </w:p>
    <w:p>
      <w:pPr>
        <w:spacing w:line="240" w:lineRule="exact"/>
        <w:ind w:firstLine="300"/>
        <w:jc w:val="center"/>
        <w:rPr>
          <w:color w:val="auto"/>
          <w:sz w:val="15"/>
        </w:rPr>
      </w:pPr>
    </w:p>
    <w:p>
      <w:pPr>
        <w:spacing w:line="240" w:lineRule="exact"/>
        <w:ind w:firstLine="300"/>
        <w:jc w:val="center"/>
        <w:rPr>
          <w:color w:val="auto"/>
        </w:rPr>
      </w:pPr>
      <w:r>
        <w:rPr>
          <w:color w:val="auto"/>
          <w:sz w:val="15"/>
        </w:rPr>
        <w:br w:type="page"/>
      </w:r>
      <w:r>
        <w:rPr>
          <w:rFonts w:hint="eastAsia"/>
          <w:color w:val="auto"/>
        </w:rPr>
        <w:t xml:space="preserve"> </w:t>
      </w:r>
    </w:p>
    <w:p>
      <w:pPr>
        <w:pStyle w:val="20"/>
        <w:spacing w:line="360" w:lineRule="auto"/>
        <w:jc w:val="center"/>
        <w:outlineLvl w:val="0"/>
        <w:rPr>
          <w:b/>
          <w:color w:val="auto"/>
          <w:sz w:val="36"/>
          <w:szCs w:val="36"/>
        </w:rPr>
      </w:pPr>
      <w:bookmarkStart w:id="0" w:name="_Toc29107"/>
      <w:bookmarkStart w:id="1" w:name="_Toc42013013"/>
      <w:bookmarkStart w:id="2" w:name="OLE_LINK6"/>
      <w:r>
        <w:rPr>
          <w:rFonts w:hint="eastAsia"/>
          <w:b/>
          <w:color w:val="auto"/>
          <w:sz w:val="36"/>
          <w:szCs w:val="36"/>
        </w:rPr>
        <w:t>第一章  竞争性磋商公告</w:t>
      </w:r>
      <w:bookmarkEnd w:id="0"/>
      <w:bookmarkEnd w:id="1"/>
    </w:p>
    <w:p>
      <w:pPr>
        <w:pStyle w:val="14"/>
        <w:spacing w:line="460" w:lineRule="exact"/>
        <w:jc w:val="center"/>
        <w:outlineLvl w:val="0"/>
        <w:rPr>
          <w:rFonts w:ascii="宋体" w:hAnsi="宋体" w:eastAsia="宋体" w:cs="宋体"/>
          <w:bCs/>
          <w:color w:val="auto"/>
          <w:spacing w:val="0"/>
          <w:sz w:val="32"/>
          <w:szCs w:val="32"/>
        </w:rPr>
      </w:pPr>
      <w:bookmarkStart w:id="3" w:name="_Toc31321"/>
      <w:bookmarkStart w:id="4" w:name="_Toc22546"/>
      <w:bookmarkStart w:id="5" w:name="_Toc42013014"/>
      <w:bookmarkStart w:id="6" w:name="_Toc27617"/>
      <w:bookmarkStart w:id="7" w:name="_Toc34399722"/>
      <w:bookmarkStart w:id="8" w:name="_Toc11303"/>
      <w:bookmarkStart w:id="9" w:name="_Toc34904449"/>
      <w:bookmarkStart w:id="10" w:name="_Toc34399655"/>
      <w:r>
        <w:rPr>
          <w:rFonts w:hint="eastAsia" w:ascii="宋体" w:hAnsi="宋体" w:eastAsia="宋体" w:cs="宋体"/>
          <w:bCs/>
          <w:color w:val="auto"/>
          <w:spacing w:val="0"/>
          <w:sz w:val="32"/>
          <w:szCs w:val="32"/>
        </w:rPr>
        <w:t>亿诚建设项目管理有限公司</w:t>
      </w:r>
      <w:bookmarkEnd w:id="3"/>
      <w:bookmarkEnd w:id="4"/>
      <w:bookmarkEnd w:id="5"/>
      <w:bookmarkEnd w:id="6"/>
      <w:bookmarkEnd w:id="7"/>
      <w:bookmarkEnd w:id="8"/>
      <w:bookmarkEnd w:id="9"/>
      <w:bookmarkEnd w:id="10"/>
    </w:p>
    <w:p>
      <w:pPr>
        <w:pStyle w:val="14"/>
        <w:spacing w:line="460" w:lineRule="exact"/>
        <w:jc w:val="center"/>
        <w:outlineLvl w:val="0"/>
        <w:rPr>
          <w:rFonts w:ascii="宋体" w:hAnsi="宋体" w:eastAsia="宋体" w:cs="宋体"/>
          <w:bCs/>
          <w:color w:val="auto"/>
          <w:spacing w:val="0"/>
          <w:sz w:val="32"/>
          <w:szCs w:val="32"/>
        </w:rPr>
      </w:pPr>
      <w:bookmarkStart w:id="11" w:name="_Toc34904450"/>
      <w:bookmarkStart w:id="12" w:name="_Toc34399656"/>
      <w:bookmarkStart w:id="13" w:name="_Toc34399723"/>
      <w:bookmarkStart w:id="14" w:name="_Toc13707"/>
      <w:bookmarkStart w:id="15" w:name="_Toc42013015"/>
      <w:bookmarkStart w:id="16" w:name="_Toc22410"/>
      <w:bookmarkStart w:id="17" w:name="_Toc18530"/>
      <w:bookmarkStart w:id="18" w:name="_Toc26701"/>
      <w:r>
        <w:rPr>
          <w:rFonts w:hint="eastAsia" w:ascii="宋体" w:hAnsi="宋体" w:eastAsia="宋体" w:cs="宋体"/>
          <w:bCs/>
          <w:color w:val="auto"/>
          <w:spacing w:val="0"/>
          <w:sz w:val="32"/>
          <w:szCs w:val="32"/>
        </w:rPr>
        <w:t>2020年至2021年年度行政事业公务用车定点保险服务采购（HCZC2020-C3-240049-YCXM ）</w:t>
      </w:r>
      <w:bookmarkEnd w:id="11"/>
      <w:bookmarkEnd w:id="12"/>
      <w:bookmarkEnd w:id="13"/>
      <w:bookmarkEnd w:id="14"/>
      <w:bookmarkEnd w:id="15"/>
    </w:p>
    <w:p>
      <w:pPr>
        <w:pStyle w:val="14"/>
        <w:spacing w:line="460" w:lineRule="exact"/>
        <w:jc w:val="center"/>
        <w:outlineLvl w:val="0"/>
        <w:rPr>
          <w:rFonts w:ascii="宋体" w:hAnsi="宋体" w:eastAsia="宋体" w:cs="宋体"/>
          <w:bCs/>
          <w:color w:val="auto"/>
          <w:spacing w:val="0"/>
          <w:sz w:val="32"/>
          <w:szCs w:val="32"/>
        </w:rPr>
      </w:pPr>
      <w:bookmarkStart w:id="19" w:name="_Toc42013016"/>
      <w:bookmarkStart w:id="20" w:name="_Toc34399657"/>
      <w:bookmarkStart w:id="21" w:name="_Toc34904451"/>
      <w:bookmarkStart w:id="22" w:name="_Toc34399724"/>
      <w:r>
        <w:rPr>
          <w:rFonts w:hint="eastAsia" w:ascii="宋体" w:hAnsi="宋体" w:eastAsia="宋体" w:cs="宋体"/>
          <w:bCs/>
          <w:color w:val="auto"/>
          <w:spacing w:val="0"/>
          <w:sz w:val="32"/>
          <w:szCs w:val="32"/>
        </w:rPr>
        <w:t>竞争性磋商采购公告</w:t>
      </w:r>
      <w:bookmarkEnd w:id="16"/>
      <w:bookmarkEnd w:id="17"/>
      <w:bookmarkEnd w:id="18"/>
      <w:bookmarkEnd w:id="19"/>
      <w:bookmarkEnd w:id="20"/>
      <w:bookmarkEnd w:id="21"/>
      <w:bookmarkEnd w:id="22"/>
    </w:p>
    <w:p>
      <w:pPr>
        <w:spacing w:line="420" w:lineRule="exact"/>
        <w:ind w:firstLine="600" w:firstLineChars="250"/>
        <w:rPr>
          <w:rFonts w:ascii="宋体" w:hAnsi="宋体"/>
          <w:color w:val="auto"/>
          <w:sz w:val="24"/>
        </w:rPr>
      </w:pPr>
      <w:r>
        <w:rPr>
          <w:rFonts w:hint="eastAsia" w:ascii="宋体" w:hAnsi="宋体"/>
          <w:color w:val="auto"/>
          <w:sz w:val="24"/>
        </w:rPr>
        <w:t>亿诚建设项目管理有限公司受采购人</w:t>
      </w:r>
      <w:r>
        <w:rPr>
          <w:rFonts w:hint="eastAsia" w:ascii="宋体" w:hAnsi="宋体"/>
          <w:bCs/>
          <w:color w:val="auto"/>
          <w:sz w:val="24"/>
        </w:rPr>
        <w:t>东兰县机关事务管理局</w:t>
      </w:r>
      <w:r>
        <w:rPr>
          <w:rFonts w:hint="eastAsia" w:ascii="宋体" w:hAnsi="宋体"/>
          <w:color w:val="auto"/>
          <w:sz w:val="24"/>
        </w:rPr>
        <w:t>的委托，拟对2020年至2021年年度行政事业公务用车定点保险服务采购项目进行竞争性磋商采购，欢迎符合条件的供应商前来参加磋商活动，现将有关事项公告如下：</w:t>
      </w:r>
    </w:p>
    <w:p>
      <w:pPr>
        <w:pStyle w:val="15"/>
        <w:spacing w:line="420" w:lineRule="exact"/>
        <w:ind w:firstLine="0"/>
        <w:rPr>
          <w:rFonts w:hAnsi="宋体"/>
          <w:b/>
          <w:bCs/>
          <w:color w:val="auto"/>
          <w:spacing w:val="0"/>
          <w:sz w:val="24"/>
          <w:szCs w:val="24"/>
        </w:rPr>
      </w:pPr>
      <w:r>
        <w:rPr>
          <w:rFonts w:hint="eastAsia" w:hAnsi="宋体"/>
          <w:b/>
          <w:bCs/>
          <w:color w:val="auto"/>
          <w:spacing w:val="0"/>
          <w:sz w:val="24"/>
          <w:szCs w:val="24"/>
        </w:rPr>
        <w:t>一、采购项目名称及内容：</w:t>
      </w:r>
    </w:p>
    <w:p>
      <w:pPr>
        <w:pStyle w:val="20"/>
        <w:spacing w:line="420" w:lineRule="exact"/>
        <w:ind w:firstLine="472" w:firstLineChars="196"/>
        <w:rPr>
          <w:rFonts w:hAnsi="宋体"/>
          <w:bCs/>
          <w:color w:val="auto"/>
          <w:sz w:val="24"/>
          <w:szCs w:val="24"/>
        </w:rPr>
      </w:pPr>
      <w:r>
        <w:rPr>
          <w:rFonts w:hint="eastAsia" w:hAnsi="宋体"/>
          <w:b/>
          <w:bCs/>
          <w:color w:val="auto"/>
          <w:sz w:val="24"/>
          <w:szCs w:val="24"/>
        </w:rPr>
        <w:t>项目名称</w:t>
      </w:r>
      <w:r>
        <w:rPr>
          <w:rFonts w:hint="eastAsia" w:hAnsi="宋体"/>
          <w:bCs/>
          <w:color w:val="auto"/>
          <w:sz w:val="24"/>
          <w:szCs w:val="24"/>
        </w:rPr>
        <w:t>：2020年至2021年年度行政事业公务用车定点保险服务采购</w:t>
      </w:r>
    </w:p>
    <w:p>
      <w:pPr>
        <w:pStyle w:val="20"/>
        <w:spacing w:line="420" w:lineRule="exact"/>
        <w:ind w:firstLine="472" w:firstLineChars="196"/>
        <w:rPr>
          <w:rFonts w:hAnsi="宋体"/>
          <w:bCs/>
          <w:color w:val="auto"/>
          <w:sz w:val="24"/>
          <w:szCs w:val="24"/>
        </w:rPr>
      </w:pPr>
      <w:r>
        <w:rPr>
          <w:rFonts w:hint="eastAsia" w:hAnsi="宋体"/>
          <w:b/>
          <w:bCs/>
          <w:color w:val="auto"/>
          <w:sz w:val="24"/>
          <w:szCs w:val="24"/>
        </w:rPr>
        <w:t>项目编号</w:t>
      </w:r>
      <w:r>
        <w:rPr>
          <w:rFonts w:hint="eastAsia" w:hAnsi="宋体"/>
          <w:bCs/>
          <w:color w:val="auto"/>
          <w:sz w:val="24"/>
          <w:szCs w:val="24"/>
        </w:rPr>
        <w:t xml:space="preserve">：HCZC2020-C3-240049-YCXM  </w:t>
      </w:r>
    </w:p>
    <w:p>
      <w:pPr>
        <w:pStyle w:val="20"/>
        <w:spacing w:line="420" w:lineRule="exact"/>
        <w:ind w:firstLine="472" w:firstLineChars="196"/>
        <w:rPr>
          <w:rFonts w:hAnsi="宋体"/>
          <w:color w:val="auto"/>
          <w:sz w:val="24"/>
          <w:szCs w:val="24"/>
        </w:rPr>
      </w:pPr>
      <w:r>
        <w:rPr>
          <w:rFonts w:hint="eastAsia" w:hAnsi="宋体"/>
          <w:b/>
          <w:color w:val="auto"/>
          <w:sz w:val="24"/>
          <w:szCs w:val="24"/>
        </w:rPr>
        <w:t>采购内容</w:t>
      </w:r>
      <w:r>
        <w:rPr>
          <w:rFonts w:hint="eastAsia" w:hAnsi="宋体"/>
          <w:color w:val="auto"/>
          <w:sz w:val="24"/>
          <w:szCs w:val="24"/>
        </w:rPr>
        <w:t>：</w:t>
      </w:r>
      <w:r>
        <w:rPr>
          <w:rFonts w:hint="eastAsia" w:hAnsi="宋体"/>
          <w:bCs/>
          <w:color w:val="auto"/>
          <w:sz w:val="24"/>
          <w:szCs w:val="24"/>
        </w:rPr>
        <w:t>2020年至2021年年度行政事业公务用车定点保险服务采购，如需进一步了解详细内容，详见采购文件。</w:t>
      </w:r>
    </w:p>
    <w:p>
      <w:pPr>
        <w:pStyle w:val="20"/>
        <w:spacing w:line="420" w:lineRule="exact"/>
        <w:ind w:firstLine="472" w:firstLineChars="196"/>
        <w:rPr>
          <w:rFonts w:hAnsi="宋体"/>
          <w:color w:val="auto"/>
          <w:sz w:val="24"/>
          <w:szCs w:val="24"/>
        </w:rPr>
      </w:pPr>
      <w:r>
        <w:rPr>
          <w:rFonts w:hint="eastAsia" w:hAnsi="宋体"/>
          <w:b/>
          <w:color w:val="auto"/>
          <w:sz w:val="24"/>
          <w:szCs w:val="24"/>
        </w:rPr>
        <w:t>采购预算价（人民币）：</w:t>
      </w:r>
      <w:r>
        <w:rPr>
          <w:rFonts w:hint="eastAsia" w:hAnsi="宋体"/>
          <w:bCs/>
          <w:color w:val="auto"/>
          <w:sz w:val="24"/>
          <w:szCs w:val="24"/>
        </w:rPr>
        <w:t>52.44</w:t>
      </w:r>
      <w:r>
        <w:rPr>
          <w:rFonts w:hint="eastAsia" w:hAnsi="宋体"/>
          <w:color w:val="auto"/>
          <w:sz w:val="24"/>
          <w:szCs w:val="24"/>
        </w:rPr>
        <w:t>万元</w:t>
      </w:r>
    </w:p>
    <w:p>
      <w:pPr>
        <w:pStyle w:val="20"/>
        <w:spacing w:line="420" w:lineRule="exact"/>
        <w:rPr>
          <w:rFonts w:hAnsi="宋体"/>
          <w:color w:val="auto"/>
          <w:sz w:val="24"/>
          <w:szCs w:val="24"/>
        </w:rPr>
      </w:pPr>
      <w:r>
        <w:rPr>
          <w:rFonts w:hint="eastAsia" w:hAnsi="宋体" w:cs="宋体"/>
          <w:b/>
          <w:bCs/>
          <w:color w:val="auto"/>
          <w:sz w:val="24"/>
          <w:szCs w:val="24"/>
        </w:rPr>
        <w:t>二</w:t>
      </w:r>
      <w:r>
        <w:rPr>
          <w:rFonts w:hint="eastAsia" w:hAnsi="宋体"/>
          <w:b/>
          <w:bCs/>
          <w:color w:val="auto"/>
          <w:sz w:val="24"/>
          <w:szCs w:val="24"/>
        </w:rPr>
        <w:t>、</w:t>
      </w:r>
      <w:r>
        <w:rPr>
          <w:rFonts w:hint="eastAsia" w:hAnsi="宋体"/>
          <w:color w:val="auto"/>
          <w:sz w:val="24"/>
          <w:szCs w:val="24"/>
        </w:rPr>
        <w:t>本项目需要落实的政府采购政策：</w:t>
      </w:r>
    </w:p>
    <w:p>
      <w:pPr>
        <w:pStyle w:val="20"/>
        <w:spacing w:line="420" w:lineRule="exact"/>
        <w:ind w:firstLine="470" w:firstLineChars="196"/>
        <w:rPr>
          <w:rFonts w:hAnsi="宋体"/>
          <w:color w:val="auto"/>
          <w:sz w:val="24"/>
          <w:szCs w:val="24"/>
        </w:rPr>
      </w:pPr>
      <w:r>
        <w:rPr>
          <w:rFonts w:hint="eastAsia" w:hAnsi="宋体"/>
          <w:color w:val="auto"/>
          <w:sz w:val="24"/>
          <w:szCs w:val="24"/>
        </w:rPr>
        <w:t>1、政府采购促进中小企业发展。</w:t>
      </w:r>
    </w:p>
    <w:p>
      <w:pPr>
        <w:pStyle w:val="20"/>
        <w:spacing w:line="420" w:lineRule="exact"/>
        <w:ind w:firstLine="470" w:firstLineChars="196"/>
        <w:rPr>
          <w:rFonts w:hAnsi="宋体"/>
          <w:color w:val="auto"/>
          <w:sz w:val="24"/>
          <w:szCs w:val="24"/>
        </w:rPr>
      </w:pPr>
      <w:r>
        <w:rPr>
          <w:rFonts w:hint="eastAsia" w:hAnsi="宋体"/>
          <w:color w:val="auto"/>
          <w:sz w:val="24"/>
          <w:szCs w:val="24"/>
        </w:rPr>
        <w:t>2、政府采购支持采用本国产品的政策。</w:t>
      </w:r>
    </w:p>
    <w:p>
      <w:pPr>
        <w:pStyle w:val="20"/>
        <w:spacing w:line="420" w:lineRule="exact"/>
        <w:ind w:firstLine="470" w:firstLineChars="196"/>
        <w:rPr>
          <w:rFonts w:hAnsi="宋体"/>
          <w:color w:val="auto"/>
          <w:sz w:val="24"/>
          <w:szCs w:val="24"/>
        </w:rPr>
      </w:pPr>
      <w:r>
        <w:rPr>
          <w:rFonts w:hint="eastAsia" w:hAnsi="宋体"/>
          <w:color w:val="auto"/>
          <w:sz w:val="24"/>
          <w:szCs w:val="24"/>
        </w:rPr>
        <w:t>3、政府采购促进残疾人就业政策。</w:t>
      </w:r>
    </w:p>
    <w:p>
      <w:pPr>
        <w:pStyle w:val="20"/>
        <w:spacing w:line="420" w:lineRule="exact"/>
        <w:ind w:firstLine="470" w:firstLineChars="196"/>
        <w:rPr>
          <w:rFonts w:hAnsi="宋体"/>
          <w:color w:val="auto"/>
          <w:sz w:val="24"/>
          <w:szCs w:val="24"/>
        </w:rPr>
      </w:pPr>
      <w:r>
        <w:rPr>
          <w:rFonts w:hint="eastAsia" w:hAnsi="宋体"/>
          <w:color w:val="auto"/>
          <w:sz w:val="24"/>
          <w:szCs w:val="24"/>
        </w:rPr>
        <w:t>4、政府采购支持监狱企业发展。</w:t>
      </w:r>
    </w:p>
    <w:p>
      <w:pPr>
        <w:pStyle w:val="15"/>
        <w:spacing w:line="420" w:lineRule="exact"/>
        <w:ind w:firstLine="0"/>
        <w:rPr>
          <w:rFonts w:hAnsi="宋体"/>
          <w:b/>
          <w:color w:val="auto"/>
          <w:sz w:val="24"/>
          <w:szCs w:val="24"/>
        </w:rPr>
      </w:pPr>
      <w:r>
        <w:rPr>
          <w:rFonts w:hint="eastAsia" w:hAnsi="宋体"/>
          <w:b/>
          <w:bCs/>
          <w:color w:val="auto"/>
          <w:spacing w:val="0"/>
          <w:sz w:val="24"/>
          <w:szCs w:val="24"/>
        </w:rPr>
        <w:t>三、</w:t>
      </w:r>
      <w:bookmarkStart w:id="23" w:name="OLE_LINK1"/>
      <w:r>
        <w:rPr>
          <w:rFonts w:hint="eastAsia" w:hAnsi="宋体"/>
          <w:b/>
          <w:color w:val="auto"/>
          <w:sz w:val="24"/>
          <w:szCs w:val="24"/>
        </w:rPr>
        <w:t>磋商供应商</w:t>
      </w:r>
      <w:bookmarkEnd w:id="23"/>
      <w:r>
        <w:rPr>
          <w:rFonts w:hint="eastAsia" w:hAnsi="宋体"/>
          <w:b/>
          <w:color w:val="auto"/>
          <w:sz w:val="24"/>
          <w:szCs w:val="24"/>
        </w:rPr>
        <w:t>的资格要求：</w:t>
      </w:r>
    </w:p>
    <w:p>
      <w:pPr>
        <w:pStyle w:val="20"/>
        <w:spacing w:line="420" w:lineRule="exact"/>
        <w:ind w:firstLine="470" w:firstLineChars="196"/>
        <w:rPr>
          <w:rFonts w:hAnsi="宋体"/>
          <w:color w:val="auto"/>
          <w:sz w:val="24"/>
          <w:szCs w:val="24"/>
        </w:rPr>
      </w:pPr>
      <w:r>
        <w:rPr>
          <w:rFonts w:hint="eastAsia" w:hAnsi="宋体"/>
          <w:color w:val="auto"/>
          <w:sz w:val="24"/>
          <w:szCs w:val="24"/>
        </w:rPr>
        <w:t>1.符合《中华人民共和国政府采购法》第二十二条规定；</w:t>
      </w:r>
    </w:p>
    <w:p>
      <w:pPr>
        <w:pStyle w:val="75"/>
        <w:tabs>
          <w:tab w:val="left" w:pos="951"/>
        </w:tabs>
        <w:autoSpaceDE w:val="0"/>
        <w:autoSpaceDN w:val="0"/>
        <w:spacing w:line="420" w:lineRule="exact"/>
        <w:ind w:firstLineChars="0"/>
        <w:rPr>
          <w:rFonts w:ascii="宋体" w:hAnsi="宋体"/>
          <w:color w:val="auto"/>
          <w:sz w:val="24"/>
          <w:szCs w:val="24"/>
        </w:rPr>
      </w:pPr>
      <w:bookmarkStart w:id="24" w:name="2._国内注册（指按国家有关规定要求注册的），具有本次服务采购经营范围，具备法人"/>
      <w:bookmarkEnd w:id="24"/>
      <w:r>
        <w:rPr>
          <w:rFonts w:hint="eastAsia" w:ascii="宋体" w:hAnsi="宋体"/>
          <w:color w:val="auto"/>
          <w:spacing w:val="-1"/>
          <w:sz w:val="24"/>
          <w:szCs w:val="24"/>
        </w:rPr>
        <w:t>2.</w:t>
      </w:r>
      <w:r>
        <w:rPr>
          <w:rFonts w:hint="eastAsia"/>
          <w:color w:val="auto"/>
        </w:rPr>
        <w:t xml:space="preserve"> </w:t>
      </w:r>
      <w:r>
        <w:rPr>
          <w:rFonts w:hint="eastAsia" w:ascii="宋体" w:hAnsi="宋体"/>
          <w:color w:val="auto"/>
          <w:spacing w:val="-1"/>
          <w:sz w:val="24"/>
          <w:szCs w:val="24"/>
        </w:rPr>
        <w:t>供应商须为取得中国银行保险监督委员会或其地方银保监局颁发的经营车辆保险业务许可证和经工商机关注册登记的市级及以上的分支机构或公司。</w:t>
      </w:r>
    </w:p>
    <w:p>
      <w:pPr>
        <w:pStyle w:val="20"/>
        <w:spacing w:line="420" w:lineRule="exact"/>
        <w:ind w:firstLine="470" w:firstLineChars="196"/>
        <w:rPr>
          <w:rFonts w:hAnsi="宋体"/>
          <w:color w:val="auto"/>
          <w:sz w:val="24"/>
          <w:szCs w:val="24"/>
        </w:rPr>
      </w:pPr>
      <w:bookmarkStart w:id="25" w:name="3.单位负责人为同一人或者存在直接控股、管理关系的不同供应商，不得参加同一合同项"/>
      <w:bookmarkEnd w:id="25"/>
      <w:r>
        <w:rPr>
          <w:rFonts w:hint="eastAsia" w:hAnsi="宋体"/>
          <w:color w:val="auto"/>
          <w:sz w:val="24"/>
          <w:szCs w:val="24"/>
        </w:rPr>
        <w:t>3.单位负责人为同一人或者存在直接控股、管理关系的不同供应商，不得参加同一合同项下的政府采购活动。</w:t>
      </w:r>
    </w:p>
    <w:p>
      <w:pPr>
        <w:pStyle w:val="20"/>
        <w:spacing w:line="420" w:lineRule="exact"/>
        <w:ind w:firstLine="470" w:firstLineChars="196"/>
        <w:rPr>
          <w:rFonts w:hAnsi="宋体"/>
          <w:color w:val="auto"/>
          <w:sz w:val="24"/>
          <w:szCs w:val="24"/>
        </w:rPr>
      </w:pPr>
      <w:bookmarkStart w:id="26" w:name="4.对在“信用中国”网站(www.creditchina.gov.cn)、中国政"/>
      <w:bookmarkEnd w:id="26"/>
      <w:r>
        <w:rPr>
          <w:rFonts w:hint="eastAsia" w:hAnsi="宋体"/>
          <w:color w:val="auto"/>
          <w:sz w:val="24"/>
          <w:szCs w:val="24"/>
        </w:rPr>
        <w:t>4.对在“信用中国”网站(www.creditchina.gov.cn)、中国政府采购网(www.ccgp.gov.cn)等</w:t>
      </w:r>
      <w:r>
        <w:rPr>
          <w:rFonts w:hint="eastAsia" w:hAnsi="宋体"/>
          <w:color w:val="auto"/>
          <w:sz w:val="24"/>
          <w:szCs w:val="24"/>
        </w:rPr>
        <w:tab/>
      </w:r>
      <w:r>
        <w:rPr>
          <w:rFonts w:hint="eastAsia" w:hAnsi="宋体"/>
          <w:color w:val="auto"/>
          <w:sz w:val="24"/>
          <w:szCs w:val="24"/>
        </w:rPr>
        <w:t>渠道列入失信被执行人、重大税收违法案件当事人名单、政府采购严重违法失信行为记录名单及其他不符合《中华人民共和国政府采购法》第二十二条规定条件的供应商，不得参与政府采购活动。</w:t>
      </w:r>
    </w:p>
    <w:p>
      <w:pPr>
        <w:pStyle w:val="20"/>
        <w:spacing w:line="420" w:lineRule="exact"/>
        <w:ind w:firstLine="470" w:firstLineChars="196"/>
        <w:rPr>
          <w:rFonts w:hAnsi="宋体"/>
          <w:color w:val="auto"/>
          <w:sz w:val="24"/>
          <w:szCs w:val="24"/>
        </w:rPr>
      </w:pPr>
      <w:bookmarkStart w:id="27" w:name="5.本项目不接受联合体竞标。"/>
      <w:bookmarkEnd w:id="27"/>
      <w:r>
        <w:rPr>
          <w:rFonts w:hint="eastAsia" w:hAnsi="宋体"/>
          <w:color w:val="auto"/>
          <w:sz w:val="24"/>
          <w:szCs w:val="24"/>
        </w:rPr>
        <w:t>5.本项目不接受联合体竞标。</w:t>
      </w:r>
    </w:p>
    <w:p>
      <w:pPr>
        <w:pStyle w:val="20"/>
        <w:spacing w:line="420" w:lineRule="exact"/>
        <w:rPr>
          <w:rFonts w:hint="eastAsia" w:hAnsi="宋体"/>
          <w:b/>
          <w:bCs/>
          <w:color w:val="auto"/>
          <w:sz w:val="24"/>
          <w:szCs w:val="24"/>
        </w:rPr>
      </w:pPr>
      <w:bookmarkStart w:id="28" w:name="6.本项目不接受未购买竞争性谈判文件的供应商竞标。"/>
      <w:bookmarkEnd w:id="28"/>
    </w:p>
    <w:p>
      <w:pPr>
        <w:pStyle w:val="20"/>
        <w:spacing w:line="420" w:lineRule="exact"/>
        <w:rPr>
          <w:rFonts w:hAnsi="宋体"/>
          <w:color w:val="auto"/>
          <w:sz w:val="24"/>
          <w:szCs w:val="24"/>
        </w:rPr>
      </w:pPr>
      <w:r>
        <w:rPr>
          <w:rFonts w:hint="eastAsia" w:hAnsi="宋体"/>
          <w:b/>
          <w:bCs/>
          <w:color w:val="auto"/>
          <w:sz w:val="24"/>
          <w:szCs w:val="24"/>
        </w:rPr>
        <w:t>四、</w:t>
      </w:r>
      <w:r>
        <w:rPr>
          <w:rFonts w:hint="eastAsia" w:hAnsi="宋体"/>
          <w:b/>
          <w:bCs/>
          <w:color w:val="auto"/>
          <w:sz w:val="24"/>
          <w:szCs w:val="24"/>
          <w:shd w:val="clear" w:color="auto" w:fill="FFFFFF"/>
        </w:rPr>
        <w:t>采购文件的获取</w:t>
      </w:r>
      <w:r>
        <w:rPr>
          <w:rFonts w:hint="eastAsia" w:hAnsi="宋体"/>
          <w:color w:val="auto"/>
          <w:sz w:val="24"/>
          <w:szCs w:val="24"/>
        </w:rPr>
        <w:t>：</w:t>
      </w:r>
    </w:p>
    <w:p>
      <w:pPr>
        <w:pStyle w:val="34"/>
        <w:spacing w:before="0" w:beforeAutospacing="0" w:after="0" w:afterAutospacing="0" w:line="360" w:lineRule="auto"/>
        <w:ind w:firstLine="482"/>
        <w:jc w:val="both"/>
        <w:rPr>
          <w:color w:val="auto"/>
          <w:kern w:val="2"/>
          <w:shd w:val="clear" w:color="auto" w:fill="FFFFFF"/>
        </w:rPr>
      </w:pPr>
      <w:r>
        <w:rPr>
          <w:rFonts w:hint="eastAsia"/>
          <w:color w:val="auto"/>
          <w:kern w:val="2"/>
          <w:shd w:val="clear" w:color="auto" w:fill="FFFFFF"/>
        </w:rPr>
        <w:t>本项目报名方式为网上报名，潜在供应商可于竞争性磋商公告发布之日起至竞争性磋商截止时间前登陆河池市公共资源交易中心网（http://www.hcjyxxw.com/gxhczbw/），在河池市公共资源交易中心网电子交易平台注册，并在系统上下载采购文件电子版等资料，同时还需要在政采云平台（网址：https://www.zcygov.cn/old_domain.html）登录注册报名，逾期下载无效，交易服务部联系电话：0778-2302718。</w:t>
      </w:r>
    </w:p>
    <w:p>
      <w:pPr>
        <w:pStyle w:val="20"/>
        <w:spacing w:line="420" w:lineRule="exact"/>
        <w:rPr>
          <w:rFonts w:hAnsi="宋体" w:cs="Arial"/>
          <w:color w:val="auto"/>
          <w:kern w:val="0"/>
          <w:sz w:val="24"/>
        </w:rPr>
      </w:pPr>
      <w:r>
        <w:rPr>
          <w:rFonts w:hint="eastAsia" w:hAnsi="宋体" w:cs="Arial"/>
          <w:b/>
          <w:bCs/>
          <w:color w:val="auto"/>
          <w:kern w:val="0"/>
          <w:sz w:val="24"/>
        </w:rPr>
        <w:t>五、磋商保证金</w:t>
      </w:r>
    </w:p>
    <w:p>
      <w:pPr>
        <w:widowControl/>
        <w:shd w:val="clear" w:color="auto" w:fill="FFFFFF"/>
        <w:spacing w:line="420" w:lineRule="exact"/>
        <w:ind w:firstLine="420"/>
        <w:jc w:val="left"/>
        <w:rPr>
          <w:rFonts w:ascii="宋体" w:hAnsi="宋体" w:cs="Arial"/>
          <w:color w:val="auto"/>
          <w:kern w:val="0"/>
          <w:sz w:val="24"/>
        </w:rPr>
      </w:pPr>
      <w:r>
        <w:rPr>
          <w:rFonts w:hint="eastAsia" w:ascii="宋体" w:hAnsi="宋体"/>
          <w:b/>
          <w:bCs/>
          <w:color w:val="auto"/>
          <w:sz w:val="24"/>
          <w:shd w:val="clear" w:color="auto" w:fill="FFFFFF"/>
        </w:rPr>
        <w:t>磋商保证金为</w:t>
      </w:r>
      <w:r>
        <w:rPr>
          <w:rFonts w:hint="eastAsia" w:ascii="宋体" w:hAnsi="宋体"/>
          <w:color w:val="auto"/>
          <w:sz w:val="24"/>
          <w:shd w:val="clear" w:color="auto" w:fill="FFFFFF"/>
        </w:rPr>
        <w:t>人民币伍仟元整（￥5000.00元），保证金的交纳方式：银行转账、支票、汇票、本票或者银行、保险机构出具的保函，禁止采用现钞方式。采用银行转账方式的，在响应文件递交截止时间前交至采购代理机构指定账户并且到账【开户银行：河池市区农村信用合作联社兴业信用社，开户名称：河池市公共资源交易中心，银行账号：详见磋商须知前附表】；采用支票、汇票、本票或者保函等方式的，在响应文件递交截止时间前，供应商应当递交单独密封的支票、汇票、本票或者保函原件。</w:t>
      </w:r>
      <w:r>
        <w:rPr>
          <w:rFonts w:hint="eastAsia" w:ascii="宋体" w:hAnsi="宋体"/>
          <w:b/>
          <w:bCs/>
          <w:color w:val="auto"/>
          <w:sz w:val="24"/>
          <w:shd w:val="clear" w:color="auto" w:fill="FFFFFF"/>
        </w:rPr>
        <w:t>否则视为无效竞标保证金。</w:t>
      </w:r>
    </w:p>
    <w:p>
      <w:pPr>
        <w:widowControl/>
        <w:shd w:val="clear" w:color="auto" w:fill="FFFFFF"/>
        <w:spacing w:line="420" w:lineRule="exact"/>
        <w:jc w:val="left"/>
        <w:rPr>
          <w:rFonts w:ascii="宋体" w:hAnsi="宋体"/>
          <w:color w:val="auto"/>
          <w:kern w:val="0"/>
          <w:sz w:val="24"/>
        </w:rPr>
      </w:pPr>
      <w:r>
        <w:rPr>
          <w:rFonts w:hint="eastAsia" w:ascii="宋体" w:hAnsi="宋体"/>
          <w:b/>
          <w:bCs/>
          <w:color w:val="auto"/>
          <w:kern w:val="0"/>
          <w:sz w:val="24"/>
        </w:rPr>
        <w:t>六、竞标截止时间和地点：</w:t>
      </w:r>
    </w:p>
    <w:p>
      <w:pPr>
        <w:widowControl/>
        <w:shd w:val="clear" w:color="auto" w:fill="FFFFFF"/>
        <w:spacing w:line="420" w:lineRule="exact"/>
        <w:ind w:firstLine="420"/>
        <w:jc w:val="left"/>
        <w:rPr>
          <w:rFonts w:ascii="宋体" w:hAnsi="宋体"/>
          <w:color w:val="auto"/>
          <w:kern w:val="0"/>
          <w:sz w:val="24"/>
        </w:rPr>
      </w:pPr>
      <w:r>
        <w:rPr>
          <w:rFonts w:hint="eastAsia" w:ascii="宋体" w:hAnsi="宋体"/>
          <w:color w:val="auto"/>
          <w:kern w:val="0"/>
          <w:sz w:val="24"/>
        </w:rPr>
        <w:t>竞标人应于</w:t>
      </w:r>
      <w:r>
        <w:rPr>
          <w:rFonts w:hint="eastAsia" w:ascii="宋体" w:hAnsi="宋体"/>
          <w:b/>
          <w:bCs/>
          <w:color w:val="auto"/>
          <w:kern w:val="0"/>
          <w:sz w:val="24"/>
          <w:u w:val="single"/>
        </w:rPr>
        <w:t>2020年</w:t>
      </w:r>
      <w:r>
        <w:rPr>
          <w:rFonts w:hint="eastAsia" w:ascii="宋体" w:hAnsi="宋体"/>
          <w:b/>
          <w:bCs/>
          <w:color w:val="auto"/>
          <w:kern w:val="0"/>
          <w:sz w:val="24"/>
          <w:u w:val="single"/>
          <w:lang w:val="en-US" w:eastAsia="zh-CN"/>
        </w:rPr>
        <w:t>06</w:t>
      </w:r>
      <w:r>
        <w:rPr>
          <w:rFonts w:hint="eastAsia" w:ascii="宋体" w:hAnsi="宋体"/>
          <w:b/>
          <w:bCs/>
          <w:color w:val="auto"/>
          <w:kern w:val="0"/>
          <w:sz w:val="24"/>
          <w:u w:val="single"/>
        </w:rPr>
        <w:t>月</w:t>
      </w:r>
      <w:r>
        <w:rPr>
          <w:rFonts w:hint="eastAsia" w:ascii="宋体" w:hAnsi="宋体"/>
          <w:b/>
          <w:bCs/>
          <w:color w:val="auto"/>
          <w:kern w:val="0"/>
          <w:sz w:val="24"/>
          <w:u w:val="single"/>
          <w:lang w:val="en-US" w:eastAsia="zh-CN"/>
        </w:rPr>
        <w:t>16</w:t>
      </w:r>
      <w:r>
        <w:rPr>
          <w:rFonts w:hint="eastAsia" w:ascii="宋体" w:hAnsi="宋体"/>
          <w:b/>
          <w:bCs/>
          <w:color w:val="auto"/>
          <w:kern w:val="0"/>
          <w:sz w:val="24"/>
          <w:u w:val="single"/>
        </w:rPr>
        <w:t>日</w:t>
      </w:r>
      <w:r>
        <w:rPr>
          <w:rFonts w:hint="eastAsia" w:ascii="宋体" w:hAnsi="宋体"/>
          <w:b/>
          <w:bCs/>
          <w:color w:val="auto"/>
          <w:kern w:val="0"/>
          <w:sz w:val="24"/>
          <w:u w:val="single"/>
          <w:lang w:val="en-US" w:eastAsia="zh-CN"/>
        </w:rPr>
        <w:t>9</w:t>
      </w:r>
      <w:r>
        <w:rPr>
          <w:rFonts w:hint="eastAsia" w:ascii="宋体" w:hAnsi="宋体"/>
          <w:b/>
          <w:bCs/>
          <w:color w:val="auto"/>
          <w:kern w:val="0"/>
          <w:sz w:val="24"/>
          <w:u w:val="single"/>
        </w:rPr>
        <w:t>时</w:t>
      </w:r>
      <w:r>
        <w:rPr>
          <w:rFonts w:hint="eastAsia" w:ascii="宋体" w:hAnsi="宋体"/>
          <w:b/>
          <w:bCs/>
          <w:color w:val="auto"/>
          <w:kern w:val="0"/>
          <w:sz w:val="24"/>
          <w:u w:val="single"/>
          <w:lang w:val="en-US" w:eastAsia="zh-CN"/>
        </w:rPr>
        <w:t>00</w:t>
      </w:r>
      <w:r>
        <w:rPr>
          <w:rFonts w:hint="eastAsia" w:ascii="宋体" w:hAnsi="宋体"/>
          <w:b/>
          <w:bCs/>
          <w:color w:val="auto"/>
          <w:kern w:val="0"/>
          <w:sz w:val="24"/>
          <w:u w:val="single"/>
        </w:rPr>
        <w:t>分</w:t>
      </w:r>
      <w:r>
        <w:rPr>
          <w:rFonts w:hint="eastAsia" w:ascii="宋体" w:hAnsi="宋体"/>
          <w:color w:val="auto"/>
          <w:kern w:val="0"/>
          <w:sz w:val="24"/>
        </w:rPr>
        <w:t>前将竞标文件密封送交到河池市公共资源交易中心开标厅（地址：</w:t>
      </w:r>
      <w:r>
        <w:rPr>
          <w:rFonts w:hint="eastAsia" w:ascii="宋体" w:hAnsi="宋体"/>
          <w:color w:val="auto"/>
          <w:spacing w:val="6"/>
          <w:kern w:val="0"/>
          <w:sz w:val="24"/>
        </w:rPr>
        <w:t>河池市金城江区城东新区肯旺桥西侧北面市工人文化宫办公大楼五楼</w:t>
      </w:r>
      <w:r>
        <w:rPr>
          <w:rFonts w:hint="eastAsia" w:ascii="宋体" w:hAnsi="宋体"/>
          <w:color w:val="auto"/>
          <w:sz w:val="24"/>
          <w:u w:val="single"/>
          <w:shd w:val="clear" w:color="auto" w:fill="FFFFFF"/>
        </w:rPr>
        <w:t>（具体详见5楼电子显示屏安排））</w:t>
      </w:r>
      <w:r>
        <w:rPr>
          <w:rFonts w:hint="eastAsia" w:ascii="宋体" w:hAnsi="宋体"/>
          <w:color w:val="auto"/>
          <w:kern w:val="0"/>
          <w:sz w:val="24"/>
        </w:rPr>
        <w:t>，逾期送达或未密封将予以拒收（或作无效投标文件处理）。</w:t>
      </w:r>
    </w:p>
    <w:p>
      <w:pPr>
        <w:widowControl/>
        <w:shd w:val="clear" w:color="auto" w:fill="FFFFFF"/>
        <w:spacing w:line="420" w:lineRule="exact"/>
        <w:jc w:val="left"/>
        <w:rPr>
          <w:rFonts w:ascii="宋体" w:hAnsi="宋体"/>
          <w:color w:val="auto"/>
          <w:kern w:val="0"/>
          <w:sz w:val="24"/>
        </w:rPr>
      </w:pPr>
      <w:r>
        <w:rPr>
          <w:rFonts w:hint="eastAsia" w:ascii="宋体" w:hAnsi="宋体"/>
          <w:b/>
          <w:bCs/>
          <w:color w:val="auto"/>
          <w:kern w:val="0"/>
          <w:sz w:val="24"/>
        </w:rPr>
        <w:t>七、开标时间及地点：</w:t>
      </w:r>
    </w:p>
    <w:p>
      <w:pPr>
        <w:widowControl/>
        <w:shd w:val="clear" w:color="auto" w:fill="FFFFFF"/>
        <w:spacing w:line="420" w:lineRule="exact"/>
        <w:ind w:firstLine="420"/>
        <w:jc w:val="left"/>
        <w:rPr>
          <w:rFonts w:ascii="宋体" w:hAnsi="宋体"/>
          <w:color w:val="auto"/>
          <w:sz w:val="24"/>
          <w:shd w:val="clear" w:color="auto" w:fill="FFFFFF"/>
        </w:rPr>
      </w:pPr>
      <w:r>
        <w:rPr>
          <w:rFonts w:hint="eastAsia" w:ascii="宋体" w:hAnsi="宋体"/>
          <w:color w:val="auto"/>
          <w:kern w:val="0"/>
          <w:sz w:val="24"/>
        </w:rPr>
        <w:t>本项目将于</w:t>
      </w:r>
      <w:r>
        <w:rPr>
          <w:rFonts w:hint="eastAsia" w:ascii="宋体" w:hAnsi="宋体"/>
          <w:b/>
          <w:bCs/>
          <w:color w:val="auto"/>
          <w:kern w:val="0"/>
          <w:sz w:val="24"/>
          <w:u w:val="single"/>
        </w:rPr>
        <w:t>2020年</w:t>
      </w:r>
      <w:r>
        <w:rPr>
          <w:rFonts w:hint="eastAsia" w:ascii="宋体" w:hAnsi="宋体"/>
          <w:b/>
          <w:bCs/>
          <w:color w:val="auto"/>
          <w:kern w:val="0"/>
          <w:sz w:val="24"/>
          <w:u w:val="single"/>
          <w:lang w:val="en-US" w:eastAsia="zh-CN"/>
        </w:rPr>
        <w:t>06</w:t>
      </w:r>
      <w:r>
        <w:rPr>
          <w:rFonts w:hint="eastAsia" w:ascii="宋体" w:hAnsi="宋体"/>
          <w:b/>
          <w:bCs/>
          <w:color w:val="auto"/>
          <w:kern w:val="0"/>
          <w:sz w:val="24"/>
          <w:u w:val="single"/>
        </w:rPr>
        <w:t>月</w:t>
      </w:r>
      <w:r>
        <w:rPr>
          <w:rFonts w:hint="eastAsia" w:ascii="宋体" w:hAnsi="宋体"/>
          <w:b/>
          <w:bCs/>
          <w:color w:val="auto"/>
          <w:kern w:val="0"/>
          <w:sz w:val="24"/>
          <w:u w:val="single"/>
          <w:lang w:val="en-US" w:eastAsia="zh-CN"/>
        </w:rPr>
        <w:t>16</w:t>
      </w:r>
      <w:r>
        <w:rPr>
          <w:rFonts w:hint="eastAsia" w:ascii="宋体" w:hAnsi="宋体"/>
          <w:b/>
          <w:bCs/>
          <w:color w:val="auto"/>
          <w:kern w:val="0"/>
          <w:sz w:val="24"/>
          <w:u w:val="single"/>
        </w:rPr>
        <w:t>日</w:t>
      </w:r>
      <w:r>
        <w:rPr>
          <w:rFonts w:hint="eastAsia" w:ascii="宋体" w:hAnsi="宋体"/>
          <w:b/>
          <w:bCs/>
          <w:color w:val="auto"/>
          <w:kern w:val="0"/>
          <w:sz w:val="24"/>
          <w:u w:val="single"/>
          <w:lang w:val="en-US" w:eastAsia="zh-CN"/>
        </w:rPr>
        <w:t>9</w:t>
      </w:r>
      <w:r>
        <w:rPr>
          <w:rFonts w:hint="eastAsia" w:ascii="宋体" w:hAnsi="宋体"/>
          <w:b/>
          <w:bCs/>
          <w:color w:val="auto"/>
          <w:kern w:val="0"/>
          <w:sz w:val="24"/>
          <w:u w:val="single"/>
        </w:rPr>
        <w:t>时</w:t>
      </w:r>
      <w:r>
        <w:rPr>
          <w:rFonts w:hint="eastAsia" w:ascii="宋体" w:hAnsi="宋体"/>
          <w:b/>
          <w:bCs/>
          <w:color w:val="auto"/>
          <w:kern w:val="0"/>
          <w:sz w:val="24"/>
          <w:u w:val="single"/>
          <w:lang w:val="en-US" w:eastAsia="zh-CN"/>
        </w:rPr>
        <w:t>00</w:t>
      </w:r>
      <w:r>
        <w:rPr>
          <w:rFonts w:hint="eastAsia" w:ascii="宋体" w:hAnsi="宋体"/>
          <w:b/>
          <w:bCs/>
          <w:color w:val="auto"/>
          <w:kern w:val="0"/>
          <w:sz w:val="24"/>
          <w:u w:val="single"/>
        </w:rPr>
        <w:t>分</w:t>
      </w:r>
      <w:r>
        <w:rPr>
          <w:rFonts w:hint="eastAsia" w:ascii="宋体" w:hAnsi="宋体"/>
          <w:color w:val="auto"/>
          <w:kern w:val="0"/>
          <w:sz w:val="24"/>
        </w:rPr>
        <w:t>截标后在河池市公共资源交易中心开标厅（地址：</w:t>
      </w:r>
      <w:r>
        <w:rPr>
          <w:rFonts w:hint="eastAsia" w:ascii="宋体" w:hAnsi="宋体"/>
          <w:color w:val="auto"/>
          <w:spacing w:val="6"/>
          <w:kern w:val="0"/>
          <w:sz w:val="24"/>
        </w:rPr>
        <w:t>河池市金城江区城东新区肯旺桥西侧北面市工人文化宫办公大楼五楼</w:t>
      </w:r>
      <w:r>
        <w:rPr>
          <w:rFonts w:hint="eastAsia" w:ascii="宋体" w:hAnsi="宋体"/>
          <w:color w:val="auto"/>
          <w:kern w:val="0"/>
          <w:sz w:val="24"/>
        </w:rPr>
        <w:t>）开标厅开标，</w:t>
      </w:r>
      <w:r>
        <w:rPr>
          <w:rFonts w:hint="eastAsia" w:ascii="宋体" w:hAnsi="宋体"/>
          <w:color w:val="auto"/>
          <w:sz w:val="24"/>
          <w:shd w:val="clear" w:color="auto" w:fill="FFFFFF"/>
        </w:rPr>
        <w:t>竞标人可以由法定代表人或委托代理人出席开标会议（携带本人身份证原件，委托代理人出席应携带单位授权委托书原件）。</w:t>
      </w:r>
    </w:p>
    <w:p>
      <w:pPr>
        <w:pStyle w:val="20"/>
        <w:spacing w:line="420" w:lineRule="exact"/>
        <w:rPr>
          <w:rFonts w:hAnsi="宋体"/>
          <w:b/>
          <w:bCs/>
          <w:color w:val="auto"/>
          <w:sz w:val="24"/>
          <w:szCs w:val="24"/>
        </w:rPr>
      </w:pPr>
      <w:r>
        <w:rPr>
          <w:rFonts w:hint="eastAsia" w:hAnsi="宋体"/>
          <w:b/>
          <w:bCs/>
          <w:color w:val="auto"/>
          <w:sz w:val="24"/>
          <w:szCs w:val="24"/>
        </w:rPr>
        <w:t>八、联系事项</w:t>
      </w:r>
    </w:p>
    <w:p>
      <w:pPr>
        <w:pStyle w:val="34"/>
        <w:shd w:val="clear" w:color="auto" w:fill="FFFFFF"/>
        <w:spacing w:before="0" w:beforeAutospacing="0" w:after="0" w:afterAutospacing="0" w:line="420" w:lineRule="exact"/>
        <w:ind w:firstLine="420"/>
        <w:jc w:val="both"/>
        <w:rPr>
          <w:color w:val="auto"/>
          <w:shd w:val="clear" w:color="auto" w:fill="FFFFFF"/>
        </w:rPr>
      </w:pPr>
      <w:r>
        <w:rPr>
          <w:rFonts w:hint="eastAsia"/>
          <w:color w:val="auto"/>
          <w:shd w:val="clear" w:color="auto" w:fill="FFFFFF"/>
        </w:rPr>
        <w:t>1、采购单位名称：东兰县机关事务管理局</w:t>
      </w:r>
    </w:p>
    <w:p>
      <w:pPr>
        <w:pStyle w:val="34"/>
        <w:shd w:val="clear" w:color="auto" w:fill="FFFFFF"/>
        <w:spacing w:before="0" w:beforeAutospacing="0" w:after="0" w:afterAutospacing="0" w:line="420" w:lineRule="exact"/>
        <w:ind w:firstLine="540" w:firstLineChars="225"/>
        <w:jc w:val="both"/>
        <w:rPr>
          <w:rFonts w:cs="宋体"/>
          <w:color w:val="auto"/>
        </w:rPr>
      </w:pPr>
      <w:r>
        <w:rPr>
          <w:rFonts w:hint="eastAsia" w:cs="宋体"/>
          <w:color w:val="auto"/>
        </w:rPr>
        <w:t>联系人：韩工</w:t>
      </w:r>
    </w:p>
    <w:p>
      <w:pPr>
        <w:pStyle w:val="20"/>
        <w:spacing w:line="420" w:lineRule="exact"/>
        <w:ind w:firstLine="480" w:firstLineChars="200"/>
        <w:rPr>
          <w:rFonts w:hAnsi="宋体"/>
          <w:color w:val="auto"/>
          <w:sz w:val="24"/>
          <w:szCs w:val="24"/>
          <w:shd w:val="clear" w:color="auto" w:fill="FFFFFF"/>
        </w:rPr>
      </w:pPr>
      <w:r>
        <w:rPr>
          <w:rFonts w:hint="eastAsia" w:hAnsi="宋体"/>
          <w:color w:val="auto"/>
          <w:sz w:val="24"/>
          <w:szCs w:val="24"/>
          <w:shd w:val="clear" w:color="auto" w:fill="FFFFFF"/>
        </w:rPr>
        <w:t>联系电话：0778-6322069</w:t>
      </w:r>
    </w:p>
    <w:p>
      <w:pPr>
        <w:widowControl/>
        <w:shd w:val="clear" w:color="auto" w:fill="FFFFFF"/>
        <w:spacing w:line="420" w:lineRule="exact"/>
        <w:ind w:firstLine="420"/>
        <w:rPr>
          <w:rFonts w:ascii="宋体" w:hAnsi="宋体" w:cs="宋体"/>
          <w:color w:val="auto"/>
          <w:kern w:val="0"/>
          <w:sz w:val="24"/>
        </w:rPr>
      </w:pPr>
      <w:r>
        <w:rPr>
          <w:rFonts w:hint="eastAsia" w:ascii="宋体" w:hAnsi="宋体" w:cs="宋体"/>
          <w:color w:val="auto"/>
          <w:kern w:val="0"/>
          <w:sz w:val="24"/>
        </w:rPr>
        <w:t>地址：河池市东兰县东兰镇陵园街65号</w:t>
      </w:r>
    </w:p>
    <w:p>
      <w:pPr>
        <w:pStyle w:val="20"/>
        <w:spacing w:line="420" w:lineRule="exact"/>
        <w:ind w:firstLine="360" w:firstLineChars="150"/>
        <w:rPr>
          <w:rFonts w:hAnsi="宋体"/>
          <w:color w:val="auto"/>
          <w:sz w:val="24"/>
          <w:szCs w:val="24"/>
          <w:shd w:val="clear" w:color="auto" w:fill="FFFFFF"/>
        </w:rPr>
      </w:pPr>
      <w:r>
        <w:rPr>
          <w:rFonts w:hint="eastAsia" w:hAnsi="宋体"/>
          <w:color w:val="auto"/>
          <w:sz w:val="24"/>
          <w:szCs w:val="24"/>
          <w:shd w:val="clear" w:color="auto" w:fill="FFFFFF"/>
        </w:rPr>
        <w:t>2、采购代理机构名称：亿诚建设项目管理有限公司</w:t>
      </w:r>
    </w:p>
    <w:p>
      <w:pPr>
        <w:pStyle w:val="20"/>
        <w:spacing w:line="420" w:lineRule="exact"/>
        <w:ind w:firstLine="480" w:firstLineChars="200"/>
        <w:rPr>
          <w:rFonts w:hAnsi="宋体"/>
          <w:color w:val="auto"/>
          <w:sz w:val="24"/>
          <w:szCs w:val="24"/>
          <w:shd w:val="clear" w:color="auto" w:fill="FFFFFF"/>
        </w:rPr>
      </w:pPr>
      <w:r>
        <w:rPr>
          <w:rFonts w:hint="eastAsia" w:hAnsi="宋体"/>
          <w:color w:val="auto"/>
          <w:sz w:val="24"/>
          <w:szCs w:val="24"/>
          <w:shd w:val="clear" w:color="auto" w:fill="FFFFFF"/>
        </w:rPr>
        <w:t>联系人：杨智</w:t>
      </w:r>
    </w:p>
    <w:p>
      <w:pPr>
        <w:pStyle w:val="20"/>
        <w:spacing w:line="420" w:lineRule="exact"/>
        <w:ind w:firstLine="480" w:firstLineChars="200"/>
        <w:rPr>
          <w:rFonts w:hAnsi="宋体"/>
          <w:color w:val="auto"/>
          <w:sz w:val="24"/>
          <w:szCs w:val="24"/>
          <w:shd w:val="clear" w:color="auto" w:fill="FFFFFF"/>
        </w:rPr>
      </w:pPr>
      <w:r>
        <w:rPr>
          <w:rFonts w:hint="eastAsia" w:hAnsi="宋体"/>
          <w:color w:val="auto"/>
          <w:sz w:val="24"/>
          <w:szCs w:val="24"/>
          <w:shd w:val="clear" w:color="auto" w:fill="FFFFFF"/>
        </w:rPr>
        <w:t xml:space="preserve">联系电话：0778-2777716 </w:t>
      </w:r>
    </w:p>
    <w:p>
      <w:pPr>
        <w:pStyle w:val="20"/>
        <w:spacing w:line="420" w:lineRule="exact"/>
        <w:ind w:firstLine="480" w:firstLineChars="200"/>
        <w:rPr>
          <w:rFonts w:hAnsi="宋体"/>
          <w:color w:val="auto"/>
          <w:sz w:val="24"/>
          <w:szCs w:val="24"/>
          <w:shd w:val="clear" w:color="auto" w:fill="FFFFFF"/>
        </w:rPr>
      </w:pPr>
      <w:r>
        <w:rPr>
          <w:rFonts w:hint="eastAsia" w:hAnsi="宋体"/>
          <w:color w:val="auto"/>
          <w:sz w:val="24"/>
          <w:szCs w:val="24"/>
          <w:shd w:val="clear" w:color="auto" w:fill="FFFFFF"/>
        </w:rPr>
        <w:t>地址：河池市新建东路18号金旅大厦801室</w:t>
      </w:r>
    </w:p>
    <w:p>
      <w:pPr>
        <w:spacing w:line="420" w:lineRule="exact"/>
        <w:ind w:firstLine="480" w:firstLineChars="200"/>
        <w:rPr>
          <w:rFonts w:ascii="宋体" w:hAnsi="宋体"/>
          <w:color w:val="auto"/>
          <w:sz w:val="24"/>
          <w:shd w:val="clear" w:color="auto" w:fill="FFFFFF"/>
        </w:rPr>
      </w:pPr>
      <w:r>
        <w:rPr>
          <w:rFonts w:hint="eastAsia" w:ascii="宋体" w:hAnsi="宋体"/>
          <w:color w:val="auto"/>
          <w:sz w:val="24"/>
          <w:shd w:val="clear" w:color="auto" w:fill="FFFFFF"/>
        </w:rPr>
        <w:t>3、监督管理部门：东兰县政府采购管理办公室，联系电话：0778-6328633</w:t>
      </w:r>
    </w:p>
    <w:p>
      <w:pPr>
        <w:shd w:val="clear" w:color="auto" w:fill="FFFFFF"/>
        <w:spacing w:line="420" w:lineRule="exact"/>
        <w:ind w:firstLine="540" w:firstLineChars="225"/>
        <w:rPr>
          <w:rFonts w:ascii="宋体" w:hAnsi="宋体" w:cs="Arial"/>
          <w:color w:val="auto"/>
          <w:kern w:val="0"/>
          <w:sz w:val="24"/>
        </w:rPr>
      </w:pPr>
      <w:r>
        <w:rPr>
          <w:rFonts w:hint="eastAsia" w:ascii="宋体" w:hAnsi="宋体"/>
          <w:color w:val="auto"/>
          <w:sz w:val="24"/>
          <w:shd w:val="clear" w:color="auto" w:fill="FFFFFF"/>
        </w:rPr>
        <w:t>4、交易服务单位:河池市公共资源交易中心 ,</w:t>
      </w:r>
      <w:r>
        <w:rPr>
          <w:rFonts w:hint="eastAsia" w:ascii="宋体" w:hAnsi="宋体" w:cs="Arial"/>
          <w:color w:val="auto"/>
          <w:kern w:val="0"/>
          <w:sz w:val="24"/>
        </w:rPr>
        <w:t>通讯地址：河池市金城江区城东新区肯旺桥西侧北面市工人文化宫办公大楼五楼</w:t>
      </w:r>
    </w:p>
    <w:p>
      <w:pPr>
        <w:widowControl/>
        <w:shd w:val="clear" w:color="auto" w:fill="FFFFFF"/>
        <w:spacing w:line="420" w:lineRule="exact"/>
        <w:ind w:firstLine="420"/>
        <w:rPr>
          <w:rFonts w:ascii="宋体" w:hAnsi="宋体" w:cs="Arial"/>
          <w:color w:val="auto"/>
          <w:kern w:val="0"/>
          <w:sz w:val="24"/>
        </w:rPr>
      </w:pPr>
      <w:r>
        <w:rPr>
          <w:rFonts w:hint="eastAsia" w:ascii="宋体" w:hAnsi="宋体" w:cs="Arial"/>
          <w:color w:val="auto"/>
          <w:kern w:val="0"/>
          <w:sz w:val="24"/>
        </w:rPr>
        <w:t>联系方式： 0778—2302718（交易服务部）、0778—2303798（开标评标部）、0778—2301278（财务部）   </w:t>
      </w:r>
    </w:p>
    <w:p>
      <w:pPr>
        <w:pStyle w:val="20"/>
        <w:spacing w:line="420" w:lineRule="exact"/>
        <w:rPr>
          <w:rFonts w:hAnsi="宋体"/>
          <w:b/>
          <w:bCs/>
          <w:color w:val="auto"/>
          <w:sz w:val="24"/>
          <w:szCs w:val="24"/>
        </w:rPr>
      </w:pPr>
      <w:r>
        <w:rPr>
          <w:rFonts w:hint="eastAsia" w:hAnsi="宋体"/>
          <w:b/>
          <w:bCs/>
          <w:color w:val="auto"/>
          <w:sz w:val="24"/>
          <w:szCs w:val="24"/>
        </w:rPr>
        <w:t>九、公告发布媒体</w:t>
      </w:r>
    </w:p>
    <w:p>
      <w:pPr>
        <w:spacing w:line="420" w:lineRule="exact"/>
        <w:ind w:firstLine="360" w:firstLineChars="150"/>
        <w:rPr>
          <w:rFonts w:ascii="宋体" w:hAnsi="宋体"/>
          <w:color w:val="auto"/>
          <w:sz w:val="24"/>
          <w:shd w:val="clear" w:color="auto" w:fill="FFFFFF"/>
        </w:rPr>
      </w:pPr>
      <w:r>
        <w:rPr>
          <w:rFonts w:hint="eastAsia" w:ascii="宋体" w:hAnsi="宋体"/>
          <w:color w:val="auto"/>
          <w:sz w:val="24"/>
          <w:shd w:val="clear" w:color="auto" w:fill="FFFFFF"/>
        </w:rPr>
        <w:t>中国政府采购网（</w:t>
      </w:r>
      <w:r>
        <w:rPr>
          <w:color w:val="auto"/>
        </w:rPr>
        <w:fldChar w:fldCharType="begin"/>
      </w:r>
      <w:r>
        <w:rPr>
          <w:color w:val="auto"/>
        </w:rPr>
        <w:instrText xml:space="preserve"> HYPERLINK "http://www.ccgp.gov.cn" </w:instrText>
      </w:r>
      <w:r>
        <w:rPr>
          <w:color w:val="auto"/>
        </w:rPr>
        <w:fldChar w:fldCharType="separate"/>
      </w:r>
      <w:r>
        <w:rPr>
          <w:rStyle w:val="45"/>
          <w:rFonts w:hint="eastAsia" w:ascii="宋体" w:hAnsi="宋体"/>
          <w:color w:val="auto"/>
          <w:sz w:val="24"/>
          <w:shd w:val="clear" w:color="auto" w:fill="FFFFFF"/>
        </w:rPr>
        <w:t>http://www.ccgp.gov.cn</w:t>
      </w:r>
      <w:r>
        <w:rPr>
          <w:rStyle w:val="45"/>
          <w:rFonts w:hint="eastAsia" w:ascii="宋体" w:hAnsi="宋体"/>
          <w:color w:val="auto"/>
          <w:sz w:val="24"/>
          <w:shd w:val="clear" w:color="auto" w:fill="FFFFFF"/>
        </w:rPr>
        <w:fldChar w:fldCharType="end"/>
      </w:r>
      <w:r>
        <w:rPr>
          <w:rFonts w:hint="eastAsia" w:ascii="宋体" w:hAnsi="宋体"/>
          <w:color w:val="auto"/>
          <w:sz w:val="24"/>
          <w:shd w:val="clear" w:color="auto" w:fill="FFFFFF"/>
        </w:rPr>
        <w:t>）</w:t>
      </w:r>
    </w:p>
    <w:p>
      <w:pPr>
        <w:spacing w:line="420" w:lineRule="exact"/>
        <w:ind w:firstLine="360" w:firstLineChars="150"/>
        <w:rPr>
          <w:rFonts w:ascii="宋体" w:hAnsi="宋体"/>
          <w:color w:val="auto"/>
          <w:sz w:val="24"/>
          <w:shd w:val="clear" w:color="auto" w:fill="FFFFFF"/>
        </w:rPr>
      </w:pPr>
      <w:r>
        <w:rPr>
          <w:rFonts w:hint="eastAsia" w:ascii="宋体" w:hAnsi="宋体"/>
          <w:color w:val="auto"/>
          <w:sz w:val="24"/>
          <w:shd w:val="clear" w:color="auto" w:fill="FFFFFF"/>
        </w:rPr>
        <w:t>广西壮族自治区政府采购网（</w:t>
      </w:r>
      <w:r>
        <w:rPr>
          <w:color w:val="auto"/>
        </w:rPr>
        <w:fldChar w:fldCharType="begin"/>
      </w:r>
      <w:r>
        <w:rPr>
          <w:color w:val="auto"/>
        </w:rPr>
        <w:instrText xml:space="preserve"> HYPERLINK "http://zfcg.gxzf.gov.cn" </w:instrText>
      </w:r>
      <w:r>
        <w:rPr>
          <w:color w:val="auto"/>
        </w:rPr>
        <w:fldChar w:fldCharType="separate"/>
      </w:r>
      <w:r>
        <w:rPr>
          <w:rStyle w:val="45"/>
          <w:rFonts w:hint="eastAsia" w:ascii="宋体" w:hAnsi="宋体"/>
          <w:color w:val="auto"/>
          <w:sz w:val="24"/>
          <w:shd w:val="clear" w:color="auto" w:fill="FFFFFF"/>
        </w:rPr>
        <w:t>http://zfcg.gxzf.gov.cn</w:t>
      </w:r>
      <w:r>
        <w:rPr>
          <w:rStyle w:val="45"/>
          <w:rFonts w:hint="eastAsia" w:ascii="宋体" w:hAnsi="宋体"/>
          <w:color w:val="auto"/>
          <w:sz w:val="24"/>
          <w:shd w:val="clear" w:color="auto" w:fill="FFFFFF"/>
        </w:rPr>
        <w:fldChar w:fldCharType="end"/>
      </w:r>
      <w:r>
        <w:rPr>
          <w:rFonts w:hint="eastAsia" w:ascii="宋体" w:hAnsi="宋体"/>
          <w:color w:val="auto"/>
          <w:sz w:val="24"/>
          <w:shd w:val="clear" w:color="auto" w:fill="FFFFFF"/>
        </w:rPr>
        <w:t>）</w:t>
      </w:r>
    </w:p>
    <w:p>
      <w:pPr>
        <w:spacing w:line="420" w:lineRule="exact"/>
        <w:ind w:firstLine="360" w:firstLineChars="150"/>
        <w:rPr>
          <w:rFonts w:ascii="宋体" w:hAnsi="宋体"/>
          <w:color w:val="auto"/>
          <w:sz w:val="24"/>
        </w:rPr>
      </w:pPr>
      <w:r>
        <w:rPr>
          <w:rFonts w:hint="eastAsia" w:ascii="宋体" w:hAnsi="宋体"/>
          <w:color w:val="auto"/>
          <w:sz w:val="24"/>
          <w:shd w:val="clear" w:color="auto" w:fill="FFFFFF"/>
        </w:rPr>
        <w:t>河池市公共资源交易中心网（http://www.hcjyxxw.com/gxhczbw/） </w:t>
      </w:r>
    </w:p>
    <w:p>
      <w:pPr>
        <w:spacing w:line="420" w:lineRule="exact"/>
        <w:rPr>
          <w:rFonts w:ascii="宋体" w:hAnsi="宋体"/>
          <w:color w:val="auto"/>
          <w:sz w:val="24"/>
        </w:rPr>
      </w:pPr>
    </w:p>
    <w:p>
      <w:pPr>
        <w:spacing w:line="420" w:lineRule="exact"/>
        <w:ind w:firstLine="5520" w:firstLineChars="2300"/>
        <w:rPr>
          <w:rFonts w:ascii="宋体" w:hAnsi="宋体"/>
          <w:color w:val="auto"/>
          <w:sz w:val="24"/>
        </w:rPr>
      </w:pPr>
      <w:r>
        <w:rPr>
          <w:rFonts w:hint="eastAsia" w:ascii="宋体" w:hAnsi="宋体"/>
          <w:color w:val="auto"/>
          <w:sz w:val="24"/>
        </w:rPr>
        <w:t xml:space="preserve">    </w:t>
      </w:r>
    </w:p>
    <w:p>
      <w:pPr>
        <w:pStyle w:val="20"/>
        <w:spacing w:line="420" w:lineRule="exact"/>
        <w:ind w:firstLine="525"/>
        <w:jc w:val="center"/>
        <w:rPr>
          <w:rFonts w:hAnsi="宋体"/>
          <w:color w:val="auto"/>
          <w:sz w:val="24"/>
          <w:szCs w:val="24"/>
        </w:rPr>
      </w:pPr>
      <w:r>
        <w:rPr>
          <w:rFonts w:hint="eastAsia" w:hAnsi="宋体"/>
          <w:color w:val="auto"/>
          <w:sz w:val="24"/>
          <w:szCs w:val="24"/>
        </w:rPr>
        <w:t xml:space="preserve">                                         亿诚建设项目管理有限公司</w:t>
      </w:r>
    </w:p>
    <w:p>
      <w:pPr>
        <w:spacing w:line="420" w:lineRule="exact"/>
        <w:rPr>
          <w:rFonts w:ascii="宋体" w:hAnsi="宋体"/>
          <w:color w:val="auto"/>
          <w:sz w:val="24"/>
        </w:rPr>
      </w:pPr>
      <w:r>
        <w:rPr>
          <w:rFonts w:hint="eastAsia" w:ascii="宋体" w:hAnsi="宋体"/>
          <w:color w:val="auto"/>
          <w:sz w:val="24"/>
        </w:rPr>
        <w:t xml:space="preserve">                                                        2020年6月4日</w:t>
      </w:r>
      <w:bookmarkEnd w:id="2"/>
    </w:p>
    <w:p>
      <w:pPr>
        <w:pStyle w:val="20"/>
        <w:spacing w:line="360" w:lineRule="auto"/>
        <w:jc w:val="center"/>
        <w:outlineLvl w:val="0"/>
        <w:rPr>
          <w:b/>
          <w:color w:val="auto"/>
          <w:sz w:val="36"/>
          <w:szCs w:val="36"/>
        </w:rPr>
      </w:pPr>
      <w:r>
        <w:rPr>
          <w:rFonts w:hint="eastAsia"/>
          <w:color w:val="auto"/>
          <w:sz w:val="28"/>
        </w:rPr>
        <w:t xml:space="preserve"> </w:t>
      </w:r>
      <w:r>
        <w:rPr>
          <w:color w:val="auto"/>
          <w:sz w:val="28"/>
          <w:shd w:val="pct10" w:color="auto" w:fill="FFFFFF"/>
        </w:rPr>
        <w:br w:type="page"/>
      </w:r>
      <w:bookmarkStart w:id="29" w:name="_Toc42013018"/>
      <w:bookmarkStart w:id="30" w:name="_Toc34399726"/>
      <w:bookmarkStart w:id="31" w:name="_Toc155493657"/>
      <w:bookmarkStart w:id="32" w:name="_Toc42013017"/>
      <w:r>
        <w:rPr>
          <w:rFonts w:hint="eastAsia"/>
          <w:b/>
          <w:color w:val="auto"/>
          <w:sz w:val="36"/>
          <w:szCs w:val="36"/>
        </w:rPr>
        <w:t>第二章  竞标人须知及前附表</w:t>
      </w:r>
      <w:bookmarkEnd w:id="29"/>
      <w:bookmarkEnd w:id="30"/>
      <w:bookmarkEnd w:id="31"/>
      <w:bookmarkEnd w:id="32"/>
    </w:p>
    <w:p>
      <w:pPr>
        <w:pStyle w:val="20"/>
        <w:spacing w:line="360" w:lineRule="auto"/>
        <w:jc w:val="center"/>
        <w:outlineLvl w:val="0"/>
        <w:rPr>
          <w:b/>
          <w:color w:val="auto"/>
          <w:sz w:val="36"/>
          <w:szCs w:val="36"/>
        </w:rPr>
      </w:pPr>
      <w:bookmarkStart w:id="33" w:name="_Toc42013019"/>
      <w:bookmarkStart w:id="34" w:name="_Toc34399660"/>
      <w:bookmarkStart w:id="35" w:name="_Toc34399727"/>
      <w:bookmarkStart w:id="36" w:name="_Toc34904454"/>
      <w:r>
        <w:rPr>
          <w:rFonts w:hint="eastAsia"/>
          <w:b/>
          <w:color w:val="auto"/>
          <w:sz w:val="36"/>
          <w:szCs w:val="36"/>
        </w:rPr>
        <w:t>竞标人须知前附表</w:t>
      </w:r>
      <w:bookmarkEnd w:id="33"/>
      <w:bookmarkEnd w:id="34"/>
      <w:bookmarkEnd w:id="35"/>
      <w:bookmarkEnd w:id="36"/>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888"/>
        <w:gridCol w:w="8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60" w:type="dxa"/>
            <w:vAlign w:val="center"/>
          </w:tcPr>
          <w:p>
            <w:pPr>
              <w:pStyle w:val="20"/>
              <w:spacing w:line="360" w:lineRule="exact"/>
              <w:jc w:val="center"/>
              <w:rPr>
                <w:rFonts w:hAnsi="宋体"/>
                <w:color w:val="auto"/>
                <w:szCs w:val="21"/>
              </w:rPr>
            </w:pPr>
            <w:r>
              <w:rPr>
                <w:rFonts w:hint="eastAsia" w:hAnsi="宋体"/>
                <w:color w:val="auto"/>
                <w:szCs w:val="21"/>
              </w:rPr>
              <w:t>项号</w:t>
            </w:r>
          </w:p>
        </w:tc>
        <w:tc>
          <w:tcPr>
            <w:tcW w:w="888" w:type="dxa"/>
            <w:vAlign w:val="center"/>
          </w:tcPr>
          <w:p>
            <w:pPr>
              <w:pStyle w:val="20"/>
              <w:spacing w:line="360" w:lineRule="exact"/>
              <w:jc w:val="center"/>
              <w:rPr>
                <w:rFonts w:hAnsi="宋体"/>
                <w:color w:val="auto"/>
                <w:szCs w:val="21"/>
              </w:rPr>
            </w:pPr>
            <w:r>
              <w:rPr>
                <w:rFonts w:hint="eastAsia" w:hAnsi="宋体"/>
                <w:color w:val="auto"/>
                <w:szCs w:val="21"/>
              </w:rPr>
              <w:t>条款号</w:t>
            </w:r>
          </w:p>
        </w:tc>
        <w:tc>
          <w:tcPr>
            <w:tcW w:w="8422" w:type="dxa"/>
            <w:vAlign w:val="center"/>
          </w:tcPr>
          <w:p>
            <w:pPr>
              <w:pStyle w:val="20"/>
              <w:spacing w:line="360" w:lineRule="exact"/>
              <w:jc w:val="center"/>
              <w:rPr>
                <w:rFonts w:hAnsi="宋体"/>
                <w:color w:val="auto"/>
                <w:szCs w:val="21"/>
              </w:rPr>
            </w:pPr>
            <w:r>
              <w:rPr>
                <w:rFonts w:hint="eastAsia" w:hAnsi="宋体"/>
                <w:color w:val="auto"/>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0" w:type="dxa"/>
            <w:vAlign w:val="center"/>
          </w:tcPr>
          <w:p>
            <w:pPr>
              <w:pStyle w:val="20"/>
              <w:spacing w:line="360" w:lineRule="exact"/>
              <w:jc w:val="center"/>
              <w:rPr>
                <w:rFonts w:hAnsi="宋体"/>
                <w:color w:val="auto"/>
                <w:szCs w:val="21"/>
              </w:rPr>
            </w:pPr>
            <w:r>
              <w:rPr>
                <w:rFonts w:hint="eastAsia" w:hAnsi="宋体"/>
                <w:color w:val="auto"/>
                <w:szCs w:val="21"/>
              </w:rPr>
              <w:t>1</w:t>
            </w:r>
          </w:p>
        </w:tc>
        <w:tc>
          <w:tcPr>
            <w:tcW w:w="888" w:type="dxa"/>
            <w:vAlign w:val="center"/>
          </w:tcPr>
          <w:p>
            <w:pPr>
              <w:spacing w:line="360" w:lineRule="exact"/>
              <w:jc w:val="center"/>
              <w:rPr>
                <w:rFonts w:ascii="宋体" w:hAnsi="宋体"/>
                <w:color w:val="auto"/>
                <w:spacing w:val="-1"/>
                <w:sz w:val="24"/>
              </w:rPr>
            </w:pPr>
            <w:r>
              <w:rPr>
                <w:rFonts w:hint="eastAsia" w:ascii="宋体" w:hAnsi="宋体"/>
                <w:color w:val="auto"/>
                <w:spacing w:val="-1"/>
                <w:sz w:val="24"/>
              </w:rPr>
              <w:t>1.1</w:t>
            </w:r>
          </w:p>
        </w:tc>
        <w:tc>
          <w:tcPr>
            <w:tcW w:w="8422" w:type="dxa"/>
            <w:vAlign w:val="center"/>
          </w:tcPr>
          <w:p>
            <w:pPr>
              <w:pStyle w:val="20"/>
              <w:spacing w:line="360" w:lineRule="exact"/>
              <w:rPr>
                <w:rFonts w:hAnsi="宋体"/>
                <w:color w:val="auto"/>
                <w:spacing w:val="-1"/>
                <w:szCs w:val="21"/>
              </w:rPr>
            </w:pPr>
            <w:r>
              <w:rPr>
                <w:rFonts w:hint="eastAsia" w:hAnsi="宋体"/>
                <w:color w:val="auto"/>
                <w:spacing w:val="-1"/>
                <w:szCs w:val="21"/>
              </w:rPr>
              <w:t>项目名称：2020年至2021年年度行政事业公务用车定点保险服务采购</w:t>
            </w:r>
          </w:p>
          <w:p>
            <w:pPr>
              <w:pStyle w:val="20"/>
              <w:spacing w:line="360" w:lineRule="exact"/>
              <w:rPr>
                <w:rFonts w:hAnsi="宋体"/>
                <w:color w:val="auto"/>
                <w:spacing w:val="-1"/>
                <w:szCs w:val="21"/>
              </w:rPr>
            </w:pPr>
            <w:r>
              <w:rPr>
                <w:rFonts w:hint="eastAsia" w:hAnsi="宋体"/>
                <w:color w:val="auto"/>
                <w:spacing w:val="-1"/>
                <w:szCs w:val="21"/>
              </w:rPr>
              <w:t xml:space="preserve">项目编号：HCZC2020-C3-240049-YCXM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660" w:type="dxa"/>
            <w:vAlign w:val="center"/>
          </w:tcPr>
          <w:p>
            <w:pPr>
              <w:pStyle w:val="20"/>
              <w:spacing w:line="360" w:lineRule="exact"/>
              <w:jc w:val="center"/>
              <w:rPr>
                <w:rFonts w:hAnsi="宋体"/>
                <w:color w:val="auto"/>
                <w:szCs w:val="21"/>
              </w:rPr>
            </w:pPr>
            <w:r>
              <w:rPr>
                <w:rFonts w:hint="eastAsia" w:hAnsi="宋体"/>
                <w:color w:val="auto"/>
                <w:szCs w:val="21"/>
              </w:rPr>
              <w:t>2</w:t>
            </w:r>
          </w:p>
        </w:tc>
        <w:tc>
          <w:tcPr>
            <w:tcW w:w="888" w:type="dxa"/>
            <w:vAlign w:val="center"/>
          </w:tcPr>
          <w:p>
            <w:pPr>
              <w:spacing w:line="360" w:lineRule="exact"/>
              <w:jc w:val="center"/>
              <w:rPr>
                <w:rFonts w:ascii="宋体" w:hAnsi="宋体"/>
                <w:color w:val="auto"/>
                <w:spacing w:val="-1"/>
                <w:sz w:val="24"/>
              </w:rPr>
            </w:pPr>
            <w:r>
              <w:rPr>
                <w:rFonts w:hint="eastAsia" w:ascii="宋体" w:hAnsi="宋体"/>
                <w:color w:val="auto"/>
                <w:spacing w:val="-1"/>
                <w:sz w:val="24"/>
              </w:rPr>
              <w:t>2.1</w:t>
            </w:r>
          </w:p>
        </w:tc>
        <w:tc>
          <w:tcPr>
            <w:tcW w:w="8422" w:type="dxa"/>
            <w:vAlign w:val="center"/>
          </w:tcPr>
          <w:p>
            <w:pPr>
              <w:pStyle w:val="15"/>
              <w:spacing w:line="360" w:lineRule="exact"/>
              <w:ind w:right="191" w:rightChars="91" w:firstLine="0"/>
              <w:rPr>
                <w:rFonts w:hAnsi="宋体"/>
                <w:color w:val="auto"/>
                <w:spacing w:val="-1"/>
                <w:sz w:val="21"/>
                <w:szCs w:val="21"/>
              </w:rPr>
            </w:pPr>
            <w:r>
              <w:rPr>
                <w:rFonts w:hint="eastAsia" w:hAnsi="宋体"/>
                <w:color w:val="auto"/>
                <w:spacing w:val="-1"/>
                <w:sz w:val="21"/>
                <w:szCs w:val="21"/>
              </w:rPr>
              <w:t>磋商供应商资格：</w:t>
            </w:r>
          </w:p>
          <w:p>
            <w:pPr>
              <w:pStyle w:val="20"/>
              <w:spacing w:line="360" w:lineRule="exact"/>
              <w:ind w:firstLine="407" w:firstLineChars="196"/>
              <w:rPr>
                <w:rFonts w:hAnsi="宋体"/>
                <w:color w:val="auto"/>
                <w:spacing w:val="-1"/>
                <w:szCs w:val="21"/>
              </w:rPr>
            </w:pPr>
            <w:r>
              <w:rPr>
                <w:rFonts w:hint="eastAsia" w:hAnsi="宋体"/>
                <w:color w:val="auto"/>
                <w:spacing w:val="-1"/>
                <w:szCs w:val="21"/>
              </w:rPr>
              <w:t>1.符合《中华人民共和国政府采购法》第二十二条规定；</w:t>
            </w:r>
          </w:p>
          <w:p>
            <w:pPr>
              <w:pStyle w:val="75"/>
              <w:tabs>
                <w:tab w:val="left" w:pos="951"/>
              </w:tabs>
              <w:autoSpaceDE w:val="0"/>
              <w:autoSpaceDN w:val="0"/>
              <w:spacing w:line="420" w:lineRule="exact"/>
              <w:ind w:firstLineChars="0"/>
              <w:rPr>
                <w:rFonts w:ascii="宋体" w:hAnsi="宋体"/>
                <w:color w:val="auto"/>
                <w:spacing w:val="-1"/>
                <w:szCs w:val="21"/>
              </w:rPr>
            </w:pPr>
            <w:r>
              <w:rPr>
                <w:rFonts w:hint="eastAsia" w:ascii="宋体" w:hAnsi="宋体"/>
                <w:color w:val="auto"/>
                <w:spacing w:val="-1"/>
                <w:szCs w:val="21"/>
              </w:rPr>
              <w:t>2.</w:t>
            </w:r>
            <w:r>
              <w:rPr>
                <w:rFonts w:ascii="宋体" w:hAnsi="宋体"/>
                <w:color w:val="auto"/>
                <w:spacing w:val="-1"/>
                <w:szCs w:val="21"/>
              </w:rPr>
              <w:t xml:space="preserve"> </w:t>
            </w:r>
            <w:r>
              <w:rPr>
                <w:rFonts w:hint="eastAsia" w:ascii="宋体" w:hAnsi="宋体"/>
                <w:color w:val="auto"/>
                <w:spacing w:val="-1"/>
                <w:szCs w:val="21"/>
              </w:rPr>
              <w:t>竞标人须为取得中国银行保险监督委员会或其地方银保监局颁发的经营车辆保险业务许可证和经工商机关注册登记的市级及以上的分支机构或公司；</w:t>
            </w:r>
          </w:p>
          <w:p>
            <w:pPr>
              <w:pStyle w:val="20"/>
              <w:spacing w:line="360" w:lineRule="exact"/>
              <w:ind w:firstLine="407" w:firstLineChars="196"/>
              <w:rPr>
                <w:rFonts w:hAnsi="宋体"/>
                <w:color w:val="auto"/>
                <w:spacing w:val="-1"/>
                <w:szCs w:val="21"/>
              </w:rPr>
            </w:pPr>
            <w:r>
              <w:rPr>
                <w:rFonts w:hint="eastAsia" w:hAnsi="宋体"/>
                <w:color w:val="auto"/>
                <w:spacing w:val="-1"/>
                <w:szCs w:val="21"/>
              </w:rPr>
              <w:t>3.单位负责人为同一人或者存在直接控股、管理关系的不同供应商，不得参加同一合同项下的政府采购活动；</w:t>
            </w:r>
          </w:p>
          <w:p>
            <w:pPr>
              <w:pStyle w:val="20"/>
              <w:spacing w:line="360" w:lineRule="exact"/>
              <w:ind w:firstLine="407" w:firstLineChars="196"/>
              <w:rPr>
                <w:rFonts w:hAnsi="宋体"/>
                <w:color w:val="auto"/>
                <w:spacing w:val="-1"/>
                <w:szCs w:val="21"/>
              </w:rPr>
            </w:pPr>
            <w:r>
              <w:rPr>
                <w:rFonts w:hint="eastAsia" w:hAnsi="宋体"/>
                <w:color w:val="auto"/>
                <w:spacing w:val="-1"/>
                <w:szCs w:val="21"/>
              </w:rPr>
              <w:t>4.对在“信用中国”网站(www.creditchina.gov.cn)、中国政府采购网(www.ccgp.gov.cn)等</w:t>
            </w:r>
            <w:r>
              <w:rPr>
                <w:rFonts w:hint="eastAsia" w:hAnsi="宋体"/>
                <w:color w:val="auto"/>
                <w:spacing w:val="-1"/>
                <w:szCs w:val="21"/>
              </w:rPr>
              <w:tab/>
            </w:r>
            <w:r>
              <w:rPr>
                <w:rFonts w:hint="eastAsia" w:hAnsi="宋体"/>
                <w:color w:val="auto"/>
                <w:spacing w:val="-1"/>
                <w:szCs w:val="21"/>
              </w:rPr>
              <w:t>渠道列入失信被执行人、重大税收违法案件当事人名单、政府采购严重违法失信行为记录名单及其他不符合《中华人民共和国政府采购法》第二十二条规定条件的供应商，不得参与政府采购活动；</w:t>
            </w:r>
          </w:p>
          <w:p>
            <w:pPr>
              <w:pStyle w:val="20"/>
              <w:spacing w:line="360" w:lineRule="exact"/>
              <w:ind w:firstLine="407" w:firstLineChars="196"/>
              <w:rPr>
                <w:rFonts w:hAnsi="宋体"/>
                <w:color w:val="auto"/>
                <w:spacing w:val="-1"/>
                <w:szCs w:val="21"/>
              </w:rPr>
            </w:pPr>
            <w:r>
              <w:rPr>
                <w:rFonts w:hint="eastAsia" w:hAnsi="宋体"/>
                <w:color w:val="auto"/>
                <w:spacing w:val="-1"/>
                <w:szCs w:val="21"/>
              </w:rPr>
              <w:t>5.本项目不接受联合体竞标；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660" w:type="dxa"/>
            <w:vAlign w:val="center"/>
          </w:tcPr>
          <w:p>
            <w:pPr>
              <w:pStyle w:val="20"/>
              <w:spacing w:line="360" w:lineRule="exact"/>
              <w:jc w:val="center"/>
              <w:rPr>
                <w:rFonts w:hAnsi="宋体"/>
                <w:color w:val="auto"/>
                <w:szCs w:val="21"/>
              </w:rPr>
            </w:pPr>
            <w:r>
              <w:rPr>
                <w:rFonts w:hint="eastAsia" w:hAnsi="宋体"/>
                <w:color w:val="auto"/>
                <w:szCs w:val="21"/>
              </w:rPr>
              <w:t>3</w:t>
            </w:r>
          </w:p>
        </w:tc>
        <w:tc>
          <w:tcPr>
            <w:tcW w:w="888" w:type="dxa"/>
            <w:vAlign w:val="center"/>
          </w:tcPr>
          <w:p>
            <w:pPr>
              <w:spacing w:line="360" w:lineRule="exact"/>
              <w:jc w:val="center"/>
              <w:rPr>
                <w:rFonts w:ascii="宋体" w:hAnsi="宋体"/>
                <w:color w:val="auto"/>
                <w:szCs w:val="21"/>
              </w:rPr>
            </w:pPr>
            <w:r>
              <w:rPr>
                <w:rFonts w:hint="eastAsia" w:ascii="宋体" w:hAnsi="宋体"/>
                <w:color w:val="auto"/>
                <w:szCs w:val="21"/>
              </w:rPr>
              <w:t>7</w:t>
            </w:r>
          </w:p>
        </w:tc>
        <w:tc>
          <w:tcPr>
            <w:tcW w:w="8422" w:type="dxa"/>
            <w:vAlign w:val="center"/>
          </w:tcPr>
          <w:p>
            <w:pPr>
              <w:pStyle w:val="15"/>
              <w:spacing w:line="360" w:lineRule="exact"/>
              <w:ind w:left="-4" w:leftChars="-2" w:firstLine="4" w:firstLineChars="2"/>
              <w:rPr>
                <w:rFonts w:hint="eastAsia" w:hAnsi="宋体"/>
                <w:color w:val="auto"/>
                <w:spacing w:val="0"/>
                <w:sz w:val="21"/>
                <w:szCs w:val="21"/>
              </w:rPr>
            </w:pPr>
            <w:r>
              <w:rPr>
                <w:rFonts w:hint="eastAsia" w:hAnsi="宋体"/>
                <w:color w:val="auto"/>
                <w:spacing w:val="0"/>
                <w:sz w:val="21"/>
                <w:szCs w:val="21"/>
              </w:rPr>
              <w:t>磋商报价：1、供应商必须就采购需求作完整唯一报价；</w:t>
            </w:r>
          </w:p>
          <w:p>
            <w:pPr>
              <w:pStyle w:val="15"/>
              <w:spacing w:line="360" w:lineRule="exact"/>
              <w:ind w:left="-4" w:leftChars="-2" w:firstLine="4" w:firstLineChars="2"/>
              <w:rPr>
                <w:rFonts w:hint="eastAsia" w:hAnsi="宋体"/>
                <w:color w:val="auto"/>
                <w:spacing w:val="0"/>
                <w:sz w:val="21"/>
                <w:szCs w:val="21"/>
              </w:rPr>
            </w:pPr>
            <w:r>
              <w:rPr>
                <w:rFonts w:hint="eastAsia" w:hAnsi="宋体"/>
                <w:color w:val="auto"/>
                <w:spacing w:val="0"/>
                <w:sz w:val="21"/>
                <w:szCs w:val="21"/>
              </w:rPr>
              <w:t>2、不论投标结果如何，竞标人均应自行承担所有与投标有关的全部费用；</w:t>
            </w:r>
          </w:p>
          <w:p>
            <w:pPr>
              <w:pStyle w:val="15"/>
              <w:spacing w:line="360" w:lineRule="exact"/>
              <w:ind w:left="-4" w:leftChars="-2" w:firstLine="4" w:firstLineChars="2"/>
              <w:rPr>
                <w:rFonts w:hAnsi="宋体"/>
                <w:color w:val="auto"/>
                <w:spacing w:val="0"/>
                <w:sz w:val="21"/>
                <w:szCs w:val="21"/>
              </w:rPr>
            </w:pPr>
            <w:r>
              <w:rPr>
                <w:rFonts w:hint="eastAsia" w:hAnsi="宋体"/>
                <w:color w:val="auto"/>
                <w:spacing w:val="0"/>
                <w:sz w:val="21"/>
                <w:szCs w:val="21"/>
              </w:rPr>
              <w:t>3、磋商报价必须小于采购预算控制价，否则作无效磋商处理。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0" w:type="dxa"/>
            <w:vAlign w:val="center"/>
          </w:tcPr>
          <w:p>
            <w:pPr>
              <w:pStyle w:val="20"/>
              <w:spacing w:line="360" w:lineRule="exact"/>
              <w:jc w:val="center"/>
              <w:rPr>
                <w:rFonts w:hAnsi="宋体"/>
                <w:color w:val="auto"/>
                <w:szCs w:val="21"/>
              </w:rPr>
            </w:pPr>
            <w:r>
              <w:rPr>
                <w:rFonts w:hint="eastAsia" w:hAnsi="宋体"/>
                <w:color w:val="auto"/>
                <w:szCs w:val="21"/>
              </w:rPr>
              <w:t>4</w:t>
            </w:r>
          </w:p>
        </w:tc>
        <w:tc>
          <w:tcPr>
            <w:tcW w:w="888" w:type="dxa"/>
            <w:vAlign w:val="center"/>
          </w:tcPr>
          <w:p>
            <w:pPr>
              <w:spacing w:line="360" w:lineRule="exact"/>
              <w:jc w:val="center"/>
              <w:rPr>
                <w:rFonts w:ascii="宋体" w:hAnsi="宋体"/>
                <w:color w:val="auto"/>
                <w:szCs w:val="21"/>
              </w:rPr>
            </w:pPr>
            <w:r>
              <w:rPr>
                <w:rFonts w:hint="eastAsia" w:ascii="宋体" w:hAnsi="宋体"/>
                <w:color w:val="auto"/>
                <w:szCs w:val="21"/>
              </w:rPr>
              <w:t>9.1</w:t>
            </w:r>
          </w:p>
        </w:tc>
        <w:tc>
          <w:tcPr>
            <w:tcW w:w="8422" w:type="dxa"/>
            <w:vAlign w:val="center"/>
          </w:tcPr>
          <w:p>
            <w:pPr>
              <w:pStyle w:val="20"/>
              <w:spacing w:line="360" w:lineRule="exact"/>
              <w:rPr>
                <w:rFonts w:hAnsi="宋体"/>
                <w:color w:val="auto"/>
                <w:szCs w:val="21"/>
              </w:rPr>
            </w:pPr>
            <w:r>
              <w:rPr>
                <w:rFonts w:hint="eastAsia" w:hAnsi="宋体"/>
                <w:color w:val="auto"/>
                <w:szCs w:val="21"/>
              </w:rPr>
              <w:t>响应文件：一套正本、四套副本(A4标准胶装装订)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60" w:type="dxa"/>
            <w:vAlign w:val="center"/>
          </w:tcPr>
          <w:p>
            <w:pPr>
              <w:pStyle w:val="20"/>
              <w:spacing w:line="360" w:lineRule="exact"/>
              <w:jc w:val="center"/>
              <w:rPr>
                <w:rFonts w:hAnsi="宋体"/>
                <w:color w:val="auto"/>
                <w:szCs w:val="21"/>
              </w:rPr>
            </w:pPr>
            <w:r>
              <w:rPr>
                <w:rFonts w:hint="eastAsia" w:hAnsi="宋体"/>
                <w:color w:val="auto"/>
                <w:szCs w:val="21"/>
              </w:rPr>
              <w:t>5</w:t>
            </w:r>
          </w:p>
        </w:tc>
        <w:tc>
          <w:tcPr>
            <w:tcW w:w="888" w:type="dxa"/>
            <w:vAlign w:val="center"/>
          </w:tcPr>
          <w:p>
            <w:pPr>
              <w:spacing w:line="360" w:lineRule="exact"/>
              <w:jc w:val="center"/>
              <w:rPr>
                <w:rFonts w:ascii="宋体" w:hAnsi="宋体"/>
                <w:color w:val="auto"/>
                <w:szCs w:val="21"/>
              </w:rPr>
            </w:pPr>
            <w:r>
              <w:rPr>
                <w:rFonts w:hint="eastAsia" w:ascii="宋体" w:hAnsi="宋体"/>
                <w:color w:val="auto"/>
                <w:szCs w:val="21"/>
              </w:rPr>
              <w:t>10</w:t>
            </w:r>
          </w:p>
        </w:tc>
        <w:tc>
          <w:tcPr>
            <w:tcW w:w="8422" w:type="dxa"/>
            <w:vAlign w:val="center"/>
          </w:tcPr>
          <w:p>
            <w:pPr>
              <w:pStyle w:val="20"/>
              <w:spacing w:line="360" w:lineRule="exact"/>
              <w:rPr>
                <w:rFonts w:hAnsi="宋体"/>
                <w:color w:val="auto"/>
                <w:szCs w:val="21"/>
              </w:rPr>
            </w:pPr>
            <w:r>
              <w:rPr>
                <w:rFonts w:hint="eastAsia" w:hAnsi="宋体"/>
                <w:color w:val="auto"/>
                <w:szCs w:val="21"/>
              </w:rPr>
              <w:t>响应文件有效期：竞标截止之日起60天内。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60" w:type="dxa"/>
            <w:vAlign w:val="center"/>
          </w:tcPr>
          <w:p>
            <w:pPr>
              <w:pStyle w:val="20"/>
              <w:spacing w:line="360" w:lineRule="exact"/>
              <w:jc w:val="center"/>
              <w:rPr>
                <w:rFonts w:hAnsi="宋体"/>
                <w:color w:val="auto"/>
                <w:szCs w:val="21"/>
              </w:rPr>
            </w:pPr>
            <w:r>
              <w:rPr>
                <w:rFonts w:hint="eastAsia" w:hAnsi="宋体"/>
                <w:color w:val="auto"/>
                <w:szCs w:val="21"/>
              </w:rPr>
              <w:t>6</w:t>
            </w:r>
          </w:p>
        </w:tc>
        <w:tc>
          <w:tcPr>
            <w:tcW w:w="888" w:type="dxa"/>
            <w:vAlign w:val="center"/>
          </w:tcPr>
          <w:p>
            <w:pPr>
              <w:spacing w:line="360" w:lineRule="exact"/>
              <w:jc w:val="center"/>
              <w:rPr>
                <w:rFonts w:ascii="宋体" w:hAnsi="宋体"/>
                <w:color w:val="auto"/>
                <w:szCs w:val="21"/>
              </w:rPr>
            </w:pPr>
            <w:r>
              <w:rPr>
                <w:rFonts w:hint="eastAsia" w:ascii="宋体" w:hAnsi="宋体"/>
                <w:color w:val="auto"/>
                <w:szCs w:val="21"/>
              </w:rPr>
              <w:t>11</w:t>
            </w:r>
          </w:p>
        </w:tc>
        <w:tc>
          <w:tcPr>
            <w:tcW w:w="8422" w:type="dxa"/>
            <w:vAlign w:val="center"/>
          </w:tcPr>
          <w:p>
            <w:pPr>
              <w:pStyle w:val="20"/>
              <w:spacing w:line="360" w:lineRule="exact"/>
              <w:rPr>
                <w:rFonts w:hAnsi="宋体"/>
                <w:color w:val="auto"/>
                <w:szCs w:val="21"/>
              </w:rPr>
            </w:pPr>
            <w:r>
              <w:rPr>
                <w:rFonts w:hint="eastAsia" w:hAnsi="宋体"/>
                <w:color w:val="auto"/>
                <w:szCs w:val="21"/>
              </w:rPr>
              <w:t>竞标保证金：人民币伍仟元整（￥5000.00元），（须足额交纳）竞标保证金应在竞标有效期内保持有效。</w:t>
            </w:r>
          </w:p>
          <w:p>
            <w:pPr>
              <w:pStyle w:val="20"/>
              <w:spacing w:line="360" w:lineRule="exact"/>
              <w:rPr>
                <w:rFonts w:hAnsi="宋体"/>
                <w:color w:val="auto"/>
                <w:szCs w:val="21"/>
              </w:rPr>
            </w:pPr>
            <w:r>
              <w:rPr>
                <w:rFonts w:hint="eastAsia" w:hAnsi="宋体"/>
                <w:color w:val="auto"/>
                <w:szCs w:val="21"/>
              </w:rPr>
              <w:t>保证金缴纳形式：从竞标人基本账户转出，保证金交纳证明须为银行开具并加盖银行公章的凭证，办理竞标保证金手续时，请务必在银行进账单或电汇单的用途或空白栏上注明项目名称及项目编号，以免耽误竞标。竞标人须按规定提交保证金，否则，竞标将被拒绝。竞标人将竞标保证金以电汇、转账等非现金形式从竞标人基本账户在投标截止前交至以下账户：</w:t>
            </w:r>
          </w:p>
          <w:p>
            <w:pPr>
              <w:pStyle w:val="20"/>
              <w:spacing w:line="360" w:lineRule="exact"/>
              <w:rPr>
                <w:rFonts w:hAnsi="宋体"/>
                <w:color w:val="auto"/>
                <w:szCs w:val="21"/>
              </w:rPr>
            </w:pPr>
            <w:r>
              <w:rPr>
                <w:rFonts w:hint="eastAsia" w:hAnsi="宋体"/>
                <w:color w:val="auto"/>
                <w:szCs w:val="21"/>
              </w:rPr>
              <w:t xml:space="preserve">开户名称：河池市公共资源交易中心 </w:t>
            </w:r>
          </w:p>
          <w:p>
            <w:pPr>
              <w:pStyle w:val="20"/>
              <w:spacing w:line="360" w:lineRule="exact"/>
              <w:rPr>
                <w:rFonts w:hAnsi="宋体"/>
                <w:color w:val="auto"/>
                <w:szCs w:val="21"/>
              </w:rPr>
            </w:pPr>
            <w:r>
              <w:rPr>
                <w:rFonts w:hint="eastAsia" w:hAnsi="宋体"/>
                <w:color w:val="auto"/>
                <w:szCs w:val="21"/>
              </w:rPr>
              <w:t>开户银行：河池市区农村信用合作联社兴业信用社</w:t>
            </w:r>
          </w:p>
          <w:p>
            <w:pPr>
              <w:pStyle w:val="20"/>
              <w:spacing w:line="360" w:lineRule="exact"/>
              <w:rPr>
                <w:rFonts w:hAnsi="宋体"/>
                <w:color w:val="auto"/>
                <w:szCs w:val="21"/>
              </w:rPr>
            </w:pPr>
            <w:r>
              <w:rPr>
                <w:rFonts w:hint="eastAsia" w:hAnsi="宋体"/>
                <w:color w:val="auto"/>
                <w:szCs w:val="21"/>
              </w:rPr>
              <w:t>银行账号：20401333455002156</w:t>
            </w:r>
          </w:p>
          <w:p>
            <w:pPr>
              <w:pStyle w:val="20"/>
              <w:spacing w:line="360" w:lineRule="exact"/>
              <w:rPr>
                <w:rFonts w:hAnsi="宋体"/>
                <w:b/>
                <w:bCs/>
                <w:color w:val="auto"/>
                <w:szCs w:val="21"/>
              </w:rPr>
            </w:pPr>
            <w:r>
              <w:rPr>
                <w:rFonts w:hint="eastAsia" w:hAnsi="宋体"/>
                <w:b/>
                <w:bCs/>
                <w:color w:val="auto"/>
                <w:szCs w:val="21"/>
              </w:rPr>
              <w:t>注：</w:t>
            </w:r>
          </w:p>
          <w:p>
            <w:pPr>
              <w:pStyle w:val="20"/>
              <w:spacing w:line="360" w:lineRule="exact"/>
              <w:rPr>
                <w:rFonts w:hAnsi="宋体"/>
                <w:color w:val="auto"/>
                <w:szCs w:val="21"/>
              </w:rPr>
            </w:pPr>
            <w:r>
              <w:rPr>
                <w:rFonts w:hint="eastAsia" w:hAnsi="宋体"/>
                <w:color w:val="auto"/>
                <w:szCs w:val="21"/>
              </w:rPr>
              <w:t>1、竞标人采用银行转账、电汇等非现金形式交纳竞标保证金的，竞标保证金必须从竞标人的基本账户转出到指定银行账户，否则视为无效竞标保证金。</w:t>
            </w:r>
          </w:p>
          <w:p>
            <w:pPr>
              <w:pStyle w:val="20"/>
              <w:spacing w:line="360" w:lineRule="exact"/>
              <w:rPr>
                <w:rFonts w:hAnsi="宋体"/>
                <w:color w:val="auto"/>
                <w:szCs w:val="21"/>
              </w:rPr>
            </w:pPr>
            <w:r>
              <w:rPr>
                <w:rFonts w:hint="eastAsia" w:hAnsi="宋体"/>
                <w:color w:val="auto"/>
                <w:szCs w:val="21"/>
              </w:rPr>
              <w:t>2、未成交供应商的竞标保证金在成交通知书发出之日起五个工作日内退还。</w:t>
            </w:r>
          </w:p>
          <w:p>
            <w:pPr>
              <w:pStyle w:val="20"/>
              <w:spacing w:line="360" w:lineRule="exact"/>
              <w:rPr>
                <w:rFonts w:hAnsi="宋体"/>
                <w:color w:val="auto"/>
                <w:szCs w:val="21"/>
              </w:rPr>
            </w:pPr>
            <w:r>
              <w:rPr>
                <w:rFonts w:hint="eastAsia" w:hAnsi="宋体"/>
                <w:color w:val="auto"/>
                <w:szCs w:val="21"/>
              </w:rPr>
              <w:t>3、成交供应商的竞标保证金在成交供应商与采购人签订合同之日起五个工作日内退还。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jc w:val="center"/>
        </w:trPr>
        <w:tc>
          <w:tcPr>
            <w:tcW w:w="660" w:type="dxa"/>
            <w:vAlign w:val="center"/>
          </w:tcPr>
          <w:p>
            <w:pPr>
              <w:pStyle w:val="20"/>
              <w:spacing w:line="360" w:lineRule="exact"/>
              <w:jc w:val="center"/>
              <w:rPr>
                <w:rFonts w:hAnsi="宋体"/>
                <w:color w:val="auto"/>
                <w:szCs w:val="21"/>
              </w:rPr>
            </w:pPr>
            <w:r>
              <w:rPr>
                <w:rFonts w:hint="eastAsia" w:hAnsi="宋体"/>
                <w:color w:val="auto"/>
                <w:szCs w:val="21"/>
              </w:rPr>
              <w:t>7</w:t>
            </w:r>
          </w:p>
        </w:tc>
        <w:tc>
          <w:tcPr>
            <w:tcW w:w="888" w:type="dxa"/>
            <w:vAlign w:val="center"/>
          </w:tcPr>
          <w:p>
            <w:pPr>
              <w:spacing w:line="360" w:lineRule="exact"/>
              <w:jc w:val="center"/>
              <w:rPr>
                <w:rFonts w:ascii="宋体" w:hAnsi="宋体"/>
                <w:color w:val="auto"/>
                <w:szCs w:val="21"/>
              </w:rPr>
            </w:pPr>
            <w:r>
              <w:rPr>
                <w:rFonts w:hint="eastAsia" w:ascii="宋体" w:hAnsi="宋体"/>
                <w:color w:val="auto"/>
                <w:szCs w:val="21"/>
              </w:rPr>
              <w:t>12</w:t>
            </w:r>
          </w:p>
        </w:tc>
        <w:tc>
          <w:tcPr>
            <w:tcW w:w="8422" w:type="dxa"/>
            <w:vAlign w:val="center"/>
          </w:tcPr>
          <w:p>
            <w:pPr>
              <w:pStyle w:val="20"/>
              <w:spacing w:line="360" w:lineRule="exact"/>
              <w:rPr>
                <w:rFonts w:hAnsi="宋体"/>
                <w:color w:val="auto"/>
                <w:szCs w:val="21"/>
              </w:rPr>
            </w:pPr>
            <w:r>
              <w:rPr>
                <w:rFonts w:hint="eastAsia" w:hAnsi="宋体"/>
                <w:color w:val="auto"/>
                <w:szCs w:val="21"/>
              </w:rPr>
              <w:t>磋商响应文件以密封形式递交</w:t>
            </w:r>
          </w:p>
          <w:p>
            <w:pPr>
              <w:pStyle w:val="20"/>
              <w:spacing w:line="360" w:lineRule="exact"/>
              <w:rPr>
                <w:bCs/>
                <w:color w:val="auto"/>
              </w:rPr>
            </w:pPr>
            <w:r>
              <w:rPr>
                <w:rFonts w:hint="eastAsia" w:hAnsi="宋体"/>
                <w:color w:val="auto"/>
                <w:szCs w:val="21"/>
              </w:rPr>
              <w:t>接收地点：</w:t>
            </w:r>
            <w:r>
              <w:rPr>
                <w:rFonts w:hint="eastAsia" w:hAnsi="宋体"/>
                <w:color w:val="auto"/>
                <w:kern w:val="0"/>
                <w:szCs w:val="21"/>
              </w:rPr>
              <w:t>河池市公共资源交易中心开标厅（地址：</w:t>
            </w:r>
            <w:r>
              <w:rPr>
                <w:rFonts w:hint="eastAsia" w:hAnsi="宋体"/>
                <w:color w:val="auto"/>
                <w:spacing w:val="6"/>
                <w:kern w:val="0"/>
                <w:szCs w:val="21"/>
              </w:rPr>
              <w:t>河池市金城江区城东新区肯旺桥西侧北面市工人文化宫办公大楼五楼</w:t>
            </w:r>
            <w:r>
              <w:rPr>
                <w:rFonts w:hint="eastAsia"/>
                <w:color w:val="auto"/>
                <w:u w:val="single"/>
                <w:shd w:val="clear" w:color="auto" w:fill="FFFFFF"/>
              </w:rPr>
              <w:t>（具体详见5楼电子显示屏安排））</w:t>
            </w:r>
            <w:r>
              <w:rPr>
                <w:rFonts w:hint="eastAsia" w:hAnsi="宋体"/>
                <w:color w:val="auto"/>
                <w:szCs w:val="21"/>
              </w:rPr>
              <w:t>响应文件递交截止时间为：2020年06月16日</w:t>
            </w:r>
            <w:r>
              <w:rPr>
                <w:rFonts w:hint="eastAsia" w:hAnsi="宋体"/>
                <w:color w:val="auto"/>
                <w:szCs w:val="21"/>
                <w:lang w:val="en-US" w:eastAsia="zh-CN"/>
              </w:rPr>
              <w:t>9</w:t>
            </w:r>
            <w:r>
              <w:rPr>
                <w:rFonts w:hint="eastAsia" w:hAnsi="宋体"/>
                <w:color w:val="auto"/>
                <w:szCs w:val="21"/>
              </w:rPr>
              <w:t>时00分</w:t>
            </w:r>
          </w:p>
          <w:p>
            <w:pPr>
              <w:pStyle w:val="20"/>
              <w:spacing w:line="360" w:lineRule="exact"/>
              <w:rPr>
                <w:rFonts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60" w:type="dxa"/>
            <w:vAlign w:val="center"/>
          </w:tcPr>
          <w:p>
            <w:pPr>
              <w:pStyle w:val="20"/>
              <w:spacing w:line="360" w:lineRule="exact"/>
              <w:jc w:val="center"/>
              <w:rPr>
                <w:rFonts w:hAnsi="宋体"/>
                <w:color w:val="auto"/>
                <w:szCs w:val="21"/>
              </w:rPr>
            </w:pPr>
            <w:r>
              <w:rPr>
                <w:rFonts w:hint="eastAsia" w:hAnsi="宋体"/>
                <w:color w:val="auto"/>
                <w:szCs w:val="21"/>
              </w:rPr>
              <w:t>8</w:t>
            </w:r>
          </w:p>
        </w:tc>
        <w:tc>
          <w:tcPr>
            <w:tcW w:w="888" w:type="dxa"/>
            <w:vAlign w:val="center"/>
          </w:tcPr>
          <w:p>
            <w:pPr>
              <w:spacing w:line="360" w:lineRule="exact"/>
              <w:jc w:val="center"/>
              <w:rPr>
                <w:rFonts w:ascii="宋体" w:hAnsi="宋体"/>
                <w:color w:val="auto"/>
                <w:szCs w:val="21"/>
              </w:rPr>
            </w:pPr>
            <w:r>
              <w:rPr>
                <w:rFonts w:hint="eastAsia" w:ascii="宋体" w:hAnsi="宋体"/>
                <w:color w:val="auto"/>
                <w:szCs w:val="21"/>
              </w:rPr>
              <w:t>14.1</w:t>
            </w:r>
          </w:p>
        </w:tc>
        <w:tc>
          <w:tcPr>
            <w:tcW w:w="8422" w:type="dxa"/>
            <w:vAlign w:val="center"/>
          </w:tcPr>
          <w:p>
            <w:pPr>
              <w:pStyle w:val="20"/>
              <w:spacing w:line="360" w:lineRule="exact"/>
              <w:rPr>
                <w:rFonts w:hAnsi="宋体"/>
                <w:color w:val="auto"/>
                <w:szCs w:val="21"/>
              </w:rPr>
            </w:pPr>
            <w:r>
              <w:rPr>
                <w:rFonts w:hint="eastAsia" w:hAnsi="宋体"/>
                <w:color w:val="auto"/>
                <w:szCs w:val="21"/>
              </w:rPr>
              <w:t>磋商开始时间：2020年06月16日9时00分后（具体时间由采购代理机构另行通知）。</w:t>
            </w:r>
          </w:p>
          <w:p>
            <w:pPr>
              <w:pStyle w:val="20"/>
              <w:spacing w:line="360" w:lineRule="exact"/>
              <w:rPr>
                <w:rFonts w:hAnsi="宋体"/>
                <w:color w:val="auto"/>
                <w:szCs w:val="21"/>
              </w:rPr>
            </w:pPr>
            <w:r>
              <w:rPr>
                <w:rFonts w:hint="eastAsia" w:hAnsi="宋体"/>
                <w:color w:val="auto"/>
                <w:szCs w:val="21"/>
              </w:rPr>
              <w:t>磋商地点：</w:t>
            </w:r>
            <w:r>
              <w:rPr>
                <w:rFonts w:hint="eastAsia" w:hAnsi="宋体"/>
                <w:color w:val="auto"/>
                <w:spacing w:val="6"/>
                <w:kern w:val="0"/>
                <w:szCs w:val="21"/>
              </w:rPr>
              <w:t>河池市金城江区城东新区肯旺桥西侧北面市工人文化宫办公大楼五楼</w:t>
            </w:r>
            <w:r>
              <w:rPr>
                <w:rFonts w:hint="eastAsia"/>
                <w:color w:val="auto"/>
                <w:u w:val="single"/>
                <w:shd w:val="clear" w:color="auto" w:fill="FFFFFF"/>
              </w:rPr>
              <w:t>（具体详见5楼电子显示屏安排）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60" w:type="dxa"/>
            <w:vAlign w:val="center"/>
          </w:tcPr>
          <w:p>
            <w:pPr>
              <w:pStyle w:val="20"/>
              <w:spacing w:line="360" w:lineRule="exact"/>
              <w:jc w:val="center"/>
              <w:rPr>
                <w:rFonts w:hAnsi="宋体"/>
                <w:color w:val="auto"/>
                <w:szCs w:val="21"/>
              </w:rPr>
            </w:pPr>
            <w:r>
              <w:rPr>
                <w:rFonts w:hAnsi="宋体"/>
                <w:color w:val="auto"/>
                <w:szCs w:val="21"/>
              </w:rPr>
              <w:t>9</w:t>
            </w:r>
          </w:p>
        </w:tc>
        <w:tc>
          <w:tcPr>
            <w:tcW w:w="888" w:type="dxa"/>
            <w:vAlign w:val="center"/>
          </w:tcPr>
          <w:p>
            <w:pPr>
              <w:spacing w:line="360" w:lineRule="exact"/>
              <w:jc w:val="center"/>
              <w:rPr>
                <w:rFonts w:ascii="宋体" w:hAnsi="宋体"/>
                <w:color w:val="auto"/>
                <w:szCs w:val="21"/>
              </w:rPr>
            </w:pPr>
          </w:p>
        </w:tc>
        <w:tc>
          <w:tcPr>
            <w:tcW w:w="8422" w:type="dxa"/>
            <w:vAlign w:val="center"/>
          </w:tcPr>
          <w:p>
            <w:pPr>
              <w:pStyle w:val="20"/>
              <w:spacing w:line="360" w:lineRule="exact"/>
              <w:rPr>
                <w:rFonts w:hAnsi="宋体"/>
                <w:color w:val="auto"/>
                <w:szCs w:val="21"/>
              </w:rPr>
            </w:pPr>
            <w:r>
              <w:rPr>
                <w:rFonts w:hint="eastAsia" w:hAnsi="宋体"/>
                <w:color w:val="auto"/>
                <w:szCs w:val="21"/>
              </w:rPr>
              <w:t>评标方法：综合评分法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60" w:type="dxa"/>
            <w:vAlign w:val="center"/>
          </w:tcPr>
          <w:p>
            <w:pPr>
              <w:pStyle w:val="20"/>
              <w:spacing w:line="360" w:lineRule="exact"/>
              <w:jc w:val="center"/>
              <w:rPr>
                <w:rFonts w:hAnsi="宋体"/>
                <w:color w:val="auto"/>
                <w:szCs w:val="21"/>
              </w:rPr>
            </w:pPr>
            <w:r>
              <w:rPr>
                <w:rFonts w:hint="eastAsia" w:hAnsi="宋体"/>
                <w:color w:val="auto"/>
                <w:szCs w:val="21"/>
              </w:rPr>
              <w:t>10</w:t>
            </w:r>
          </w:p>
        </w:tc>
        <w:tc>
          <w:tcPr>
            <w:tcW w:w="888" w:type="dxa"/>
            <w:vAlign w:val="center"/>
          </w:tcPr>
          <w:p>
            <w:pPr>
              <w:spacing w:line="360" w:lineRule="exact"/>
              <w:jc w:val="center"/>
              <w:rPr>
                <w:rFonts w:ascii="宋体" w:hAnsi="宋体"/>
                <w:color w:val="auto"/>
                <w:szCs w:val="21"/>
              </w:rPr>
            </w:pPr>
            <w:r>
              <w:rPr>
                <w:rFonts w:hint="eastAsia" w:ascii="宋体" w:hAnsi="宋体"/>
                <w:color w:val="auto"/>
                <w:szCs w:val="21"/>
              </w:rPr>
              <w:t>20</w:t>
            </w:r>
          </w:p>
        </w:tc>
        <w:tc>
          <w:tcPr>
            <w:tcW w:w="8422" w:type="dxa"/>
            <w:vAlign w:val="center"/>
          </w:tcPr>
          <w:p>
            <w:pPr>
              <w:pStyle w:val="20"/>
              <w:spacing w:line="360" w:lineRule="exact"/>
              <w:rPr>
                <w:rFonts w:hAnsi="宋体"/>
                <w:b/>
                <w:color w:val="auto"/>
                <w:szCs w:val="21"/>
                <w:u w:val="single"/>
              </w:rPr>
            </w:pPr>
            <w:r>
              <w:rPr>
                <w:rFonts w:hint="eastAsia" w:hAnsi="宋体"/>
                <w:color w:val="auto"/>
                <w:szCs w:val="21"/>
              </w:rPr>
              <w:t>履约保证金：</w:t>
            </w:r>
            <w:r>
              <w:rPr>
                <w:rFonts w:hint="eastAsia" w:hAnsi="宋体"/>
                <w:bCs/>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60" w:type="dxa"/>
            <w:vAlign w:val="center"/>
          </w:tcPr>
          <w:p>
            <w:pPr>
              <w:pStyle w:val="20"/>
              <w:spacing w:line="360" w:lineRule="exact"/>
              <w:jc w:val="center"/>
              <w:rPr>
                <w:rFonts w:hAnsi="宋体"/>
                <w:color w:val="auto"/>
                <w:szCs w:val="21"/>
              </w:rPr>
            </w:pPr>
            <w:r>
              <w:rPr>
                <w:rFonts w:hint="eastAsia" w:hAnsi="宋体"/>
                <w:color w:val="auto"/>
                <w:szCs w:val="21"/>
              </w:rPr>
              <w:t>11</w:t>
            </w:r>
          </w:p>
        </w:tc>
        <w:tc>
          <w:tcPr>
            <w:tcW w:w="888" w:type="dxa"/>
            <w:vAlign w:val="center"/>
          </w:tcPr>
          <w:p>
            <w:pPr>
              <w:spacing w:line="360" w:lineRule="exact"/>
              <w:jc w:val="center"/>
              <w:rPr>
                <w:rFonts w:ascii="宋体" w:hAnsi="宋体"/>
                <w:color w:val="auto"/>
                <w:szCs w:val="21"/>
              </w:rPr>
            </w:pPr>
            <w:r>
              <w:rPr>
                <w:rFonts w:hint="eastAsia" w:ascii="宋体" w:hAnsi="宋体"/>
                <w:color w:val="auto"/>
                <w:szCs w:val="21"/>
              </w:rPr>
              <w:t>26、27</w:t>
            </w:r>
          </w:p>
        </w:tc>
        <w:tc>
          <w:tcPr>
            <w:tcW w:w="8422" w:type="dxa"/>
            <w:vAlign w:val="center"/>
          </w:tcPr>
          <w:p>
            <w:pPr>
              <w:pStyle w:val="20"/>
              <w:spacing w:line="360" w:lineRule="exact"/>
              <w:rPr>
                <w:rFonts w:hAnsi="宋体" w:cs="宋体"/>
                <w:color w:val="auto"/>
                <w:szCs w:val="21"/>
              </w:rPr>
            </w:pPr>
            <w:r>
              <w:rPr>
                <w:rFonts w:hint="eastAsia" w:hAnsi="宋体" w:cs="宋体"/>
                <w:color w:val="auto"/>
                <w:szCs w:val="21"/>
              </w:rPr>
              <w:t>采购代理服务费：领取成交通知书前，成交人应向采购代理机构一次性付清采购代理服务费，否则，采购代理机构将视之为违约，取消该成交决定并对成交人已提交的全部竞标保证金不予退还。本项目采购代理服务费为8000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60" w:type="dxa"/>
            <w:vAlign w:val="center"/>
          </w:tcPr>
          <w:p>
            <w:pPr>
              <w:pStyle w:val="20"/>
              <w:spacing w:line="360" w:lineRule="exact"/>
              <w:jc w:val="center"/>
              <w:rPr>
                <w:rFonts w:hAnsi="宋体"/>
                <w:color w:val="auto"/>
                <w:szCs w:val="21"/>
              </w:rPr>
            </w:pPr>
            <w:r>
              <w:rPr>
                <w:rFonts w:hint="eastAsia" w:hAnsi="宋体"/>
                <w:color w:val="auto"/>
                <w:szCs w:val="21"/>
              </w:rPr>
              <w:t>12</w:t>
            </w:r>
          </w:p>
        </w:tc>
        <w:tc>
          <w:tcPr>
            <w:tcW w:w="888" w:type="dxa"/>
            <w:vAlign w:val="center"/>
          </w:tcPr>
          <w:p>
            <w:pPr>
              <w:spacing w:line="360" w:lineRule="exact"/>
              <w:jc w:val="center"/>
              <w:rPr>
                <w:rFonts w:ascii="宋体" w:hAnsi="宋体"/>
                <w:color w:val="auto"/>
                <w:szCs w:val="21"/>
              </w:rPr>
            </w:pPr>
          </w:p>
        </w:tc>
        <w:tc>
          <w:tcPr>
            <w:tcW w:w="8422" w:type="dxa"/>
            <w:vAlign w:val="center"/>
          </w:tcPr>
          <w:p>
            <w:pPr>
              <w:pStyle w:val="20"/>
              <w:spacing w:line="360" w:lineRule="exact"/>
              <w:rPr>
                <w:rFonts w:hAnsi="宋体" w:cs="宋体"/>
                <w:color w:val="auto"/>
                <w:szCs w:val="21"/>
              </w:rPr>
            </w:pPr>
            <w:r>
              <w:rPr>
                <w:rFonts w:hint="eastAsia" w:hAnsi="宋体"/>
                <w:color w:val="auto"/>
                <w:kern w:val="0"/>
                <w:szCs w:val="21"/>
              </w:rPr>
              <w:t>现场勘察：无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60" w:type="dxa"/>
            <w:vAlign w:val="center"/>
          </w:tcPr>
          <w:p>
            <w:pPr>
              <w:pStyle w:val="20"/>
              <w:spacing w:line="360" w:lineRule="exact"/>
              <w:jc w:val="center"/>
              <w:rPr>
                <w:rFonts w:hAnsi="宋体"/>
                <w:color w:val="auto"/>
                <w:szCs w:val="21"/>
              </w:rPr>
            </w:pPr>
            <w:r>
              <w:rPr>
                <w:rFonts w:hint="eastAsia" w:hAnsi="宋体"/>
                <w:color w:val="auto"/>
                <w:szCs w:val="21"/>
              </w:rPr>
              <w:t>13</w:t>
            </w:r>
          </w:p>
        </w:tc>
        <w:tc>
          <w:tcPr>
            <w:tcW w:w="888" w:type="dxa"/>
            <w:vAlign w:val="center"/>
          </w:tcPr>
          <w:p>
            <w:pPr>
              <w:spacing w:line="360" w:lineRule="exact"/>
              <w:jc w:val="center"/>
              <w:rPr>
                <w:rFonts w:ascii="宋体" w:hAnsi="宋体"/>
                <w:color w:val="auto"/>
                <w:szCs w:val="21"/>
              </w:rPr>
            </w:pPr>
          </w:p>
        </w:tc>
        <w:tc>
          <w:tcPr>
            <w:tcW w:w="8422" w:type="dxa"/>
            <w:vAlign w:val="center"/>
          </w:tcPr>
          <w:p>
            <w:pPr>
              <w:spacing w:line="360" w:lineRule="exact"/>
              <w:ind w:firstLine="420" w:firstLineChars="200"/>
              <w:rPr>
                <w:rFonts w:ascii="宋体" w:hAnsi="宋体" w:cs="宋体"/>
                <w:color w:val="auto"/>
                <w:szCs w:val="21"/>
              </w:rPr>
            </w:pPr>
            <w:r>
              <w:rPr>
                <w:rFonts w:hint="eastAsia" w:ascii="宋体" w:hAnsi="宋体" w:cs="宋体"/>
                <w:color w:val="auto"/>
                <w:szCs w:val="21"/>
              </w:rPr>
              <w:t xml:space="preserve">1. </w:t>
            </w:r>
            <w:r>
              <w:rPr>
                <w:rFonts w:ascii="宋体" w:hAnsi="宋体" w:cs="宋体"/>
                <w:color w:val="auto"/>
                <w:szCs w:val="21"/>
              </w:rPr>
              <w:t>本文件中描述</w:t>
            </w:r>
            <w:r>
              <w:rPr>
                <w:rFonts w:hint="eastAsia" w:ascii="宋体" w:hAnsi="宋体" w:cs="宋体"/>
                <w:color w:val="auto"/>
                <w:szCs w:val="21"/>
              </w:rPr>
              <w:t>供应商</w:t>
            </w:r>
            <w:r>
              <w:rPr>
                <w:rFonts w:ascii="宋体" w:hAnsi="宋体" w:cs="宋体"/>
                <w:color w:val="auto"/>
                <w:szCs w:val="21"/>
              </w:rPr>
              <w:t>的“公章”是指根据我国对公章的管理规定，用</w:t>
            </w:r>
            <w:r>
              <w:rPr>
                <w:rFonts w:hint="eastAsia" w:ascii="宋体" w:hAnsi="宋体" w:cs="宋体"/>
                <w:color w:val="auto"/>
                <w:szCs w:val="21"/>
              </w:rPr>
              <w:t>供应商</w:t>
            </w:r>
            <w:r>
              <w:rPr>
                <w:rFonts w:ascii="宋体" w:hAnsi="宋体" w:cs="宋体"/>
                <w:color w:val="auto"/>
                <w:szCs w:val="21"/>
              </w:rPr>
              <w:t>法定主体行为名称制作的印章，除本文件有特殊规定外，</w:t>
            </w:r>
            <w:r>
              <w:rPr>
                <w:rFonts w:hint="eastAsia" w:ascii="宋体" w:hAnsi="宋体" w:cs="宋体"/>
                <w:color w:val="auto"/>
                <w:szCs w:val="21"/>
              </w:rPr>
              <w:t>供应商</w:t>
            </w:r>
            <w:r>
              <w:rPr>
                <w:rFonts w:ascii="宋体" w:hAnsi="宋体" w:cs="宋体"/>
                <w:color w:val="auto"/>
                <w:szCs w:val="21"/>
              </w:rPr>
              <w:t>的财务章、部门章、分公司章、工会章、合同章、竞标专用章、业务专用章及银行的转账章、现金收讫章、现金付讫章等其它形式印章均不能代替公章。</w:t>
            </w:r>
          </w:p>
          <w:p>
            <w:pPr>
              <w:spacing w:line="360" w:lineRule="exact"/>
              <w:ind w:firstLine="420" w:firstLineChars="200"/>
              <w:rPr>
                <w:rFonts w:ascii="宋体" w:hAnsi="宋体"/>
                <w:color w:val="auto"/>
                <w:kern w:val="0"/>
                <w:szCs w:val="21"/>
              </w:rPr>
            </w:pPr>
            <w:r>
              <w:rPr>
                <w:rFonts w:hint="eastAsia" w:ascii="宋体" w:hAnsi="宋体"/>
                <w:color w:val="auto"/>
                <w:szCs w:val="21"/>
              </w:rPr>
              <w:t xml:space="preserve">2. </w:t>
            </w:r>
            <w:r>
              <w:rPr>
                <w:rFonts w:ascii="宋体" w:hAnsi="宋体" w:cs="宋体"/>
                <w:color w:val="auto"/>
                <w:szCs w:val="21"/>
              </w:rPr>
              <w:t>本文件中描述</w:t>
            </w:r>
            <w:r>
              <w:rPr>
                <w:rFonts w:hint="eastAsia" w:ascii="宋体" w:hAnsi="宋体" w:cs="宋体"/>
                <w:color w:val="auto"/>
                <w:szCs w:val="21"/>
              </w:rPr>
              <w:t>供应商</w:t>
            </w:r>
            <w:r>
              <w:rPr>
                <w:rFonts w:ascii="宋体" w:hAnsi="宋体" w:cs="宋体"/>
                <w:color w:val="auto"/>
                <w:szCs w:val="21"/>
              </w:rPr>
              <w:t>的“</w:t>
            </w:r>
            <w:r>
              <w:rPr>
                <w:rFonts w:hint="eastAsia" w:ascii="宋体" w:hAnsi="宋体" w:cs="宋体"/>
                <w:color w:val="auto"/>
                <w:szCs w:val="21"/>
              </w:rPr>
              <w:t>签字</w:t>
            </w:r>
            <w:r>
              <w:rPr>
                <w:rFonts w:ascii="宋体" w:hAnsi="宋体" w:cs="宋体"/>
                <w:color w:val="auto"/>
                <w:szCs w:val="21"/>
              </w:rPr>
              <w:t>”是指</w:t>
            </w:r>
            <w:r>
              <w:rPr>
                <w:rFonts w:hint="eastAsia" w:ascii="宋体" w:hAnsi="宋体" w:cs="宋体"/>
                <w:color w:val="auto"/>
                <w:szCs w:val="21"/>
              </w:rPr>
              <w:t>供应商的法定代表人</w:t>
            </w:r>
            <w:r>
              <w:rPr>
                <w:rFonts w:hint="eastAsia"/>
                <w:bCs/>
                <w:color w:val="auto"/>
              </w:rPr>
              <w:t>（或负责人）</w:t>
            </w:r>
            <w:r>
              <w:rPr>
                <w:rFonts w:hint="eastAsia" w:ascii="宋体" w:hAnsi="宋体" w:cs="宋体"/>
                <w:color w:val="auto"/>
                <w:szCs w:val="21"/>
              </w:rPr>
              <w:t>或被授权人亲自在磋商文件规定签署处亲笔写上个人的名字的行为，私章、签字章、印鉴、影印等其它形式</w:t>
            </w:r>
            <w:r>
              <w:rPr>
                <w:rFonts w:ascii="宋体" w:hAnsi="宋体" w:cs="宋体"/>
                <w:color w:val="auto"/>
                <w:szCs w:val="21"/>
              </w:rPr>
              <w:t>均不能代替</w:t>
            </w:r>
            <w:r>
              <w:rPr>
                <w:rFonts w:hint="eastAsia" w:ascii="宋体" w:hAnsi="宋体" w:cs="宋体"/>
                <w:color w:val="auto"/>
                <w:szCs w:val="21"/>
              </w:rPr>
              <w:t>亲笔签字</w:t>
            </w:r>
            <w:r>
              <w:rPr>
                <w:rFonts w:ascii="宋体" w:hAnsi="宋体" w:cs="宋体"/>
                <w:color w:val="auto"/>
                <w:szCs w:val="21"/>
              </w:rPr>
              <w:t>。</w:t>
            </w:r>
          </w:p>
        </w:tc>
      </w:tr>
    </w:tbl>
    <w:p>
      <w:pPr>
        <w:pStyle w:val="20"/>
        <w:rPr>
          <w:color w:val="auto"/>
        </w:rPr>
      </w:pPr>
      <w:r>
        <w:rPr>
          <w:color w:val="auto"/>
        </w:rPr>
        <w:br w:type="page"/>
      </w:r>
    </w:p>
    <w:p>
      <w:pPr>
        <w:spacing w:line="400" w:lineRule="exact"/>
        <w:jc w:val="center"/>
        <w:rPr>
          <w:rFonts w:ascii="宋体" w:hAnsi="宋体"/>
          <w:b/>
          <w:color w:val="auto"/>
          <w:sz w:val="32"/>
          <w:szCs w:val="32"/>
        </w:rPr>
      </w:pPr>
      <w:bookmarkStart w:id="37" w:name="_Toc381103820"/>
      <w:r>
        <w:rPr>
          <w:rFonts w:hint="eastAsia" w:ascii="宋体" w:hAnsi="宋体"/>
          <w:b/>
          <w:color w:val="auto"/>
          <w:sz w:val="32"/>
          <w:szCs w:val="32"/>
        </w:rPr>
        <w:t>竞标人须知</w:t>
      </w:r>
    </w:p>
    <w:p>
      <w:pPr>
        <w:spacing w:line="360" w:lineRule="exact"/>
        <w:rPr>
          <w:rFonts w:ascii="宋体" w:hAnsi="宋体"/>
          <w:b/>
          <w:color w:val="auto"/>
          <w:szCs w:val="21"/>
        </w:rPr>
      </w:pPr>
      <w:r>
        <w:rPr>
          <w:rFonts w:hint="eastAsia" w:ascii="宋体" w:hAnsi="宋体"/>
          <w:b/>
          <w:color w:val="auto"/>
          <w:szCs w:val="21"/>
        </w:rPr>
        <w:t>一、总　则</w:t>
      </w:r>
    </w:p>
    <w:p>
      <w:pPr>
        <w:spacing w:line="350" w:lineRule="exact"/>
        <w:rPr>
          <w:rFonts w:ascii="宋体" w:hAnsi="宋体"/>
          <w:color w:val="auto"/>
          <w:szCs w:val="21"/>
        </w:rPr>
      </w:pPr>
      <w:r>
        <w:rPr>
          <w:rFonts w:hint="eastAsia" w:ascii="宋体" w:hAnsi="宋体"/>
          <w:color w:val="auto"/>
          <w:szCs w:val="21"/>
        </w:rPr>
        <w:t>1. 适用范围</w:t>
      </w:r>
    </w:p>
    <w:p>
      <w:pPr>
        <w:spacing w:line="350" w:lineRule="exact"/>
        <w:ind w:left="420" w:hanging="420"/>
        <w:rPr>
          <w:rFonts w:ascii="宋体" w:hAnsi="宋体"/>
          <w:color w:val="auto"/>
          <w:szCs w:val="21"/>
        </w:rPr>
      </w:pPr>
      <w:r>
        <w:rPr>
          <w:rFonts w:hint="eastAsia" w:ascii="宋体" w:hAnsi="宋体"/>
          <w:color w:val="auto"/>
          <w:szCs w:val="21"/>
        </w:rPr>
        <w:t>1.1 本文件仅适用于本文件中所叙述的服务类采购项目。</w:t>
      </w:r>
    </w:p>
    <w:p>
      <w:pPr>
        <w:spacing w:line="350" w:lineRule="exact"/>
        <w:rPr>
          <w:rFonts w:ascii="宋体" w:hAnsi="宋体"/>
          <w:color w:val="auto"/>
        </w:rPr>
      </w:pPr>
      <w:r>
        <w:rPr>
          <w:rFonts w:hint="eastAsia" w:ascii="宋体" w:hAnsi="宋体"/>
          <w:color w:val="auto"/>
          <w:szCs w:val="21"/>
        </w:rPr>
        <w:t>1.2本采购项目名称：</w:t>
      </w:r>
      <w:r>
        <w:rPr>
          <w:rFonts w:hint="eastAsia" w:hAnsi="宋体"/>
          <w:color w:val="auto"/>
        </w:rPr>
        <w:t>2020年至2021年年度行政事业公务用车定点保险服务采购</w:t>
      </w:r>
      <w:r>
        <w:rPr>
          <w:rFonts w:hint="eastAsia" w:ascii="宋体" w:hAnsi="宋体"/>
          <w:color w:val="auto"/>
        </w:rPr>
        <w:t>；</w:t>
      </w:r>
    </w:p>
    <w:p>
      <w:pPr>
        <w:spacing w:line="350" w:lineRule="exact"/>
        <w:rPr>
          <w:rFonts w:ascii="宋体" w:hAnsi="宋体"/>
          <w:color w:val="auto"/>
        </w:rPr>
      </w:pPr>
      <w:r>
        <w:rPr>
          <w:rFonts w:hint="eastAsia" w:ascii="宋体" w:hAnsi="宋体"/>
          <w:color w:val="auto"/>
        </w:rPr>
        <w:t xml:space="preserve">采购项目编号：HCZC2020-C3-240049-YCXM   </w:t>
      </w:r>
    </w:p>
    <w:p>
      <w:pPr>
        <w:spacing w:line="350" w:lineRule="exact"/>
        <w:rPr>
          <w:rFonts w:ascii="宋体" w:hAnsi="宋体"/>
          <w:b/>
          <w:color w:val="auto"/>
          <w:szCs w:val="21"/>
        </w:rPr>
      </w:pPr>
      <w:r>
        <w:rPr>
          <w:rFonts w:hint="eastAsia" w:ascii="宋体" w:hAnsi="宋体"/>
          <w:b/>
          <w:color w:val="auto"/>
          <w:szCs w:val="21"/>
        </w:rPr>
        <w:t>2. 定义</w:t>
      </w:r>
    </w:p>
    <w:p>
      <w:pPr>
        <w:spacing w:line="350" w:lineRule="exact"/>
        <w:rPr>
          <w:rFonts w:ascii="宋体" w:hAnsi="宋体"/>
          <w:color w:val="auto"/>
          <w:szCs w:val="21"/>
        </w:rPr>
      </w:pPr>
      <w:r>
        <w:rPr>
          <w:rFonts w:hint="eastAsia" w:ascii="宋体" w:hAnsi="宋体"/>
          <w:color w:val="auto"/>
          <w:szCs w:val="21"/>
        </w:rPr>
        <w:t xml:space="preserve">2.1“采购人”是指：东兰县机关事务管理局                 </w:t>
      </w:r>
    </w:p>
    <w:p>
      <w:pPr>
        <w:spacing w:line="350" w:lineRule="exact"/>
        <w:rPr>
          <w:rFonts w:ascii="宋体" w:hAnsi="宋体"/>
          <w:color w:val="auto"/>
          <w:szCs w:val="21"/>
          <w:u w:val="single"/>
        </w:rPr>
      </w:pPr>
      <w:r>
        <w:rPr>
          <w:rFonts w:hint="eastAsia" w:ascii="宋体" w:hAnsi="宋体"/>
          <w:color w:val="auto"/>
          <w:szCs w:val="21"/>
        </w:rPr>
        <w:t>2.2“采购代理机构”是指：亿诚建设项目管理有限公司</w:t>
      </w:r>
    </w:p>
    <w:p>
      <w:pPr>
        <w:spacing w:line="350" w:lineRule="exact"/>
        <w:rPr>
          <w:rFonts w:ascii="宋体" w:hAnsi="宋体"/>
          <w:color w:val="auto"/>
          <w:szCs w:val="21"/>
        </w:rPr>
      </w:pPr>
      <w:r>
        <w:rPr>
          <w:rFonts w:hint="eastAsia" w:ascii="宋体" w:hAnsi="宋体"/>
          <w:color w:val="auto"/>
          <w:szCs w:val="21"/>
        </w:rPr>
        <w:t>2.3“供应商”是指响应本文件要求，参加磋商的供应商。如果该供应商在本次磋商中成交，即成为“成交供应商”。</w:t>
      </w:r>
    </w:p>
    <w:p>
      <w:pPr>
        <w:spacing w:line="350" w:lineRule="exact"/>
        <w:rPr>
          <w:rFonts w:ascii="宋体" w:hAnsi="宋体"/>
          <w:color w:val="auto"/>
          <w:szCs w:val="21"/>
        </w:rPr>
      </w:pPr>
      <w:r>
        <w:rPr>
          <w:rFonts w:hint="eastAsia" w:ascii="宋体" w:hAnsi="宋体"/>
          <w:color w:val="auto"/>
          <w:szCs w:val="21"/>
        </w:rPr>
        <w:t>2.4“服务”是指含服务以及其他类似的义务。</w:t>
      </w:r>
    </w:p>
    <w:p>
      <w:pPr>
        <w:spacing w:line="350" w:lineRule="exact"/>
        <w:rPr>
          <w:rFonts w:ascii="宋体" w:hAnsi="宋体"/>
          <w:color w:val="auto"/>
          <w:szCs w:val="21"/>
        </w:rPr>
      </w:pPr>
      <w:r>
        <w:rPr>
          <w:rFonts w:hint="eastAsia" w:ascii="宋体" w:hAnsi="宋体"/>
          <w:color w:val="auto"/>
          <w:szCs w:val="21"/>
        </w:rPr>
        <w:t>2.5“响应文件”是指：供应商根据本文件要求，编制包含技术和服务等所有内容的响应文件。</w:t>
      </w:r>
    </w:p>
    <w:p>
      <w:pPr>
        <w:spacing w:line="350" w:lineRule="exact"/>
        <w:rPr>
          <w:rFonts w:ascii="宋体" w:hAnsi="宋体"/>
          <w:bCs/>
          <w:color w:val="auto"/>
          <w:szCs w:val="21"/>
        </w:rPr>
      </w:pPr>
      <w:r>
        <w:rPr>
          <w:rFonts w:hint="eastAsia" w:ascii="宋体" w:hAnsi="宋体"/>
          <w:b/>
          <w:color w:val="auto"/>
          <w:szCs w:val="21"/>
        </w:rPr>
        <w:t>2.6实质性要求：</w:t>
      </w:r>
      <w:r>
        <w:rPr>
          <w:rFonts w:hint="eastAsia" w:ascii="宋体" w:hAnsi="宋体"/>
          <w:bCs/>
          <w:color w:val="auto"/>
          <w:szCs w:val="21"/>
        </w:rPr>
        <w:t>“项目需求”中的所有条款要求及本竞争性磋商文件要求必须提供的均为实质性要求。</w:t>
      </w:r>
    </w:p>
    <w:p>
      <w:pPr>
        <w:spacing w:line="350" w:lineRule="exact"/>
        <w:rPr>
          <w:rFonts w:ascii="宋体" w:hAnsi="宋体"/>
          <w:b/>
          <w:color w:val="auto"/>
          <w:szCs w:val="21"/>
        </w:rPr>
      </w:pPr>
      <w:r>
        <w:rPr>
          <w:rFonts w:hint="eastAsia" w:ascii="宋体" w:hAnsi="宋体"/>
          <w:b/>
          <w:color w:val="auto"/>
          <w:szCs w:val="21"/>
        </w:rPr>
        <w:t>3. 供应商的资格</w:t>
      </w:r>
    </w:p>
    <w:p>
      <w:pPr>
        <w:pStyle w:val="20"/>
        <w:spacing w:line="360" w:lineRule="exact"/>
        <w:ind w:firstLine="411" w:firstLineChars="196"/>
        <w:rPr>
          <w:color w:val="auto"/>
        </w:rPr>
      </w:pPr>
      <w:r>
        <w:rPr>
          <w:rFonts w:hint="eastAsia"/>
          <w:color w:val="auto"/>
        </w:rPr>
        <w:t>见竞标人须知及前附表。</w:t>
      </w:r>
    </w:p>
    <w:p>
      <w:pPr>
        <w:spacing w:line="350" w:lineRule="exact"/>
        <w:rPr>
          <w:rFonts w:ascii="宋体" w:hAnsi="宋体"/>
          <w:b/>
          <w:color w:val="auto"/>
          <w:szCs w:val="21"/>
        </w:rPr>
      </w:pPr>
      <w:r>
        <w:rPr>
          <w:rFonts w:hint="eastAsia" w:ascii="宋体" w:hAnsi="宋体"/>
          <w:b/>
          <w:color w:val="auto"/>
          <w:szCs w:val="21"/>
        </w:rPr>
        <w:t>4.</w:t>
      </w:r>
      <w:r>
        <w:rPr>
          <w:rFonts w:hint="eastAsia" w:ascii="宋体" w:hAnsi="宋体"/>
          <w:color w:val="auto"/>
          <w:szCs w:val="21"/>
        </w:rPr>
        <w:t xml:space="preserve"> </w:t>
      </w:r>
      <w:r>
        <w:rPr>
          <w:rFonts w:hint="eastAsia" w:ascii="宋体" w:hAnsi="宋体"/>
          <w:b/>
          <w:color w:val="auto"/>
          <w:szCs w:val="21"/>
        </w:rPr>
        <w:t>磋商费用、采购代理服务费、磋商文件的澄清和修改要求</w:t>
      </w:r>
    </w:p>
    <w:p>
      <w:pPr>
        <w:spacing w:line="350" w:lineRule="exact"/>
        <w:rPr>
          <w:rFonts w:ascii="宋体" w:hAnsi="宋体"/>
          <w:color w:val="auto"/>
          <w:szCs w:val="21"/>
        </w:rPr>
      </w:pPr>
      <w:r>
        <w:rPr>
          <w:rFonts w:hint="eastAsia" w:ascii="宋体" w:hAnsi="宋体"/>
          <w:color w:val="auto"/>
          <w:szCs w:val="21"/>
        </w:rPr>
        <w:t>4.1</w:t>
      </w:r>
      <w:r>
        <w:rPr>
          <w:rFonts w:hint="eastAsia" w:ascii="宋体" w:hAnsi="宋体"/>
          <w:b/>
          <w:color w:val="auto"/>
          <w:szCs w:val="21"/>
        </w:rPr>
        <w:t>磋商费用：</w:t>
      </w:r>
      <w:r>
        <w:rPr>
          <w:rFonts w:hint="eastAsia" w:ascii="宋体" w:hAnsi="宋体"/>
          <w:color w:val="auto"/>
          <w:szCs w:val="21"/>
        </w:rPr>
        <w:t>供应商应自行承担所有与编写和提交响应文件有关的费用，不论磋商结果如何，采购人和采购代理机构在任何情况下无义务和责任承担此类费用。</w:t>
      </w:r>
    </w:p>
    <w:p>
      <w:pPr>
        <w:spacing w:line="350" w:lineRule="exact"/>
        <w:rPr>
          <w:rFonts w:ascii="宋体" w:hAnsi="宋体"/>
          <w:color w:val="auto"/>
          <w:szCs w:val="21"/>
        </w:rPr>
      </w:pPr>
      <w:r>
        <w:rPr>
          <w:rFonts w:hint="eastAsia" w:ascii="宋体" w:hAnsi="宋体"/>
          <w:color w:val="auto"/>
          <w:szCs w:val="21"/>
        </w:rPr>
        <w:t>4.2</w:t>
      </w:r>
      <w:r>
        <w:rPr>
          <w:rFonts w:hint="eastAsia" w:ascii="宋体" w:hAnsi="宋体"/>
          <w:b/>
          <w:color w:val="auto"/>
          <w:szCs w:val="21"/>
        </w:rPr>
        <w:t>采购代理服务费：</w:t>
      </w:r>
      <w:r>
        <w:rPr>
          <w:rFonts w:hint="eastAsia" w:hAnsi="宋体" w:cs="宋体"/>
          <w:color w:val="auto"/>
          <w:szCs w:val="21"/>
        </w:rPr>
        <w:t>领取成交通知书前，成交人应向采购代理机构一次性付清采购代理服务费，否则，采购代理机构将视之为违约，取消该成交决定并对成交人已提交的全部竞标保证金不予退还。本项目采购代理服务费为8000元。</w:t>
      </w:r>
    </w:p>
    <w:p>
      <w:pPr>
        <w:spacing w:line="350" w:lineRule="exact"/>
        <w:ind w:left="420" w:hanging="420"/>
        <w:rPr>
          <w:rFonts w:ascii="宋体" w:hAnsi="宋体"/>
          <w:color w:val="auto"/>
          <w:szCs w:val="21"/>
        </w:rPr>
      </w:pPr>
      <w:r>
        <w:rPr>
          <w:rFonts w:hint="eastAsia" w:ascii="宋体" w:hAnsi="宋体"/>
          <w:color w:val="auto"/>
          <w:szCs w:val="21"/>
        </w:rPr>
        <w:t>4.3</w:t>
      </w:r>
      <w:r>
        <w:rPr>
          <w:rFonts w:hint="eastAsia" w:ascii="宋体" w:hAnsi="宋体"/>
          <w:b/>
          <w:color w:val="auto"/>
          <w:szCs w:val="21"/>
        </w:rPr>
        <w:t>竞争性磋商文件的澄清和修改：</w:t>
      </w:r>
    </w:p>
    <w:p>
      <w:pPr>
        <w:spacing w:line="350" w:lineRule="exact"/>
        <w:rPr>
          <w:rFonts w:ascii="宋体" w:hAnsi="宋体"/>
          <w:color w:val="auto"/>
          <w:szCs w:val="21"/>
        </w:rPr>
      </w:pPr>
      <w:r>
        <w:rPr>
          <w:rFonts w:hint="eastAsia" w:ascii="宋体" w:hAnsi="宋体"/>
          <w:color w:val="auto"/>
          <w:szCs w:val="21"/>
        </w:rPr>
        <w:t>4.3.1供应商应认真阅读竞争性磋商文件的采购需求，如发现需求中有误或要求不合理的，供应商必须在</w:t>
      </w:r>
      <w:r>
        <w:rPr>
          <w:rFonts w:ascii="宋体" w:hAnsi="宋体"/>
          <w:color w:val="auto"/>
          <w:szCs w:val="21"/>
        </w:rPr>
        <w:t>提交首次响应文件截止之日前</w:t>
      </w:r>
      <w:r>
        <w:rPr>
          <w:rFonts w:hint="eastAsia" w:ascii="宋体" w:hAnsi="宋体"/>
          <w:color w:val="auto"/>
          <w:szCs w:val="21"/>
        </w:rPr>
        <w:t>，以书面形式向</w:t>
      </w:r>
      <w:r>
        <w:rPr>
          <w:rFonts w:ascii="宋体" w:hAnsi="宋体"/>
          <w:color w:val="auto"/>
          <w:szCs w:val="21"/>
        </w:rPr>
        <w:t>采购人、采购代理机构</w:t>
      </w:r>
      <w:r>
        <w:rPr>
          <w:rFonts w:hint="eastAsia" w:ascii="宋体" w:hAnsi="宋体"/>
          <w:color w:val="auto"/>
          <w:szCs w:val="21"/>
        </w:rPr>
        <w:t>提出。</w:t>
      </w:r>
    </w:p>
    <w:p>
      <w:pPr>
        <w:spacing w:line="350" w:lineRule="exact"/>
        <w:rPr>
          <w:rFonts w:ascii="宋体" w:hAnsi="宋体"/>
          <w:color w:val="auto"/>
          <w:szCs w:val="21"/>
        </w:rPr>
      </w:pPr>
      <w:r>
        <w:rPr>
          <w:rFonts w:hint="eastAsia" w:ascii="宋体" w:hAnsi="宋体"/>
          <w:color w:val="auto"/>
          <w:szCs w:val="21"/>
        </w:rPr>
        <w:t>4.3.2</w:t>
      </w:r>
      <w:r>
        <w:rPr>
          <w:rFonts w:ascii="宋体" w:hAnsi="宋体"/>
          <w:color w:val="auto"/>
          <w:szCs w:val="21"/>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应当在提交首次响应文件截止之日</w:t>
      </w:r>
      <w:r>
        <w:rPr>
          <w:rFonts w:hint="eastAsia" w:ascii="宋体" w:hAnsi="宋体"/>
          <w:color w:val="auto"/>
          <w:szCs w:val="21"/>
        </w:rPr>
        <w:t>5</w:t>
      </w:r>
      <w:r>
        <w:rPr>
          <w:rFonts w:ascii="宋体" w:hAnsi="宋体"/>
          <w:color w:val="auto"/>
          <w:szCs w:val="21"/>
        </w:rPr>
        <w:t>日前，以书面形式通知所有接收磋商文件的供应商，不足</w:t>
      </w:r>
      <w:r>
        <w:rPr>
          <w:rFonts w:hint="eastAsia" w:ascii="宋体" w:hAnsi="宋体"/>
          <w:color w:val="auto"/>
          <w:szCs w:val="21"/>
        </w:rPr>
        <w:t>5</w:t>
      </w:r>
      <w:r>
        <w:rPr>
          <w:rFonts w:ascii="宋体" w:hAnsi="宋体"/>
          <w:color w:val="auto"/>
          <w:szCs w:val="21"/>
        </w:rPr>
        <w:t>日的，应当顺延提交首次响应文件截止之日。</w:t>
      </w:r>
    </w:p>
    <w:p>
      <w:pPr>
        <w:spacing w:line="350" w:lineRule="exact"/>
        <w:ind w:left="420" w:hanging="420"/>
        <w:rPr>
          <w:rFonts w:ascii="宋体" w:hAnsi="宋体"/>
          <w:b/>
          <w:color w:val="auto"/>
          <w:szCs w:val="21"/>
        </w:rPr>
      </w:pPr>
      <w:r>
        <w:rPr>
          <w:rFonts w:hint="eastAsia" w:ascii="宋体" w:hAnsi="宋体"/>
          <w:color w:val="auto"/>
          <w:szCs w:val="21"/>
        </w:rPr>
        <w:t>4.4</w:t>
      </w:r>
      <w:r>
        <w:rPr>
          <w:rFonts w:hint="eastAsia" w:ascii="宋体" w:hAnsi="宋体"/>
          <w:b/>
          <w:color w:val="auto"/>
          <w:szCs w:val="21"/>
        </w:rPr>
        <w:t>联合体要求：</w:t>
      </w:r>
      <w:r>
        <w:rPr>
          <w:rFonts w:hint="eastAsia" w:ascii="宋体" w:hAnsi="宋体" w:cs="Arial"/>
          <w:b/>
          <w:color w:val="auto"/>
          <w:szCs w:val="21"/>
        </w:rPr>
        <w:t>本项目不接受联合体参与磋商。</w:t>
      </w:r>
    </w:p>
    <w:p>
      <w:pPr>
        <w:spacing w:line="350" w:lineRule="exact"/>
        <w:ind w:left="420" w:hanging="420"/>
        <w:rPr>
          <w:rFonts w:ascii="宋体" w:hAnsi="宋体"/>
          <w:b/>
          <w:color w:val="auto"/>
          <w:szCs w:val="21"/>
        </w:rPr>
      </w:pPr>
      <w:r>
        <w:rPr>
          <w:rFonts w:hint="eastAsia" w:ascii="宋体" w:hAnsi="宋体"/>
          <w:b/>
          <w:color w:val="auto"/>
          <w:szCs w:val="21"/>
        </w:rPr>
        <w:t>二、响应文件的编制</w:t>
      </w:r>
      <w:r>
        <w:rPr>
          <w:rFonts w:hint="eastAsia" w:ascii="宋体" w:hAnsi="宋体"/>
          <w:bCs/>
          <w:color w:val="auto"/>
          <w:szCs w:val="21"/>
        </w:rPr>
        <w:t>（格式见第六章）</w:t>
      </w:r>
    </w:p>
    <w:p>
      <w:pPr>
        <w:spacing w:line="350" w:lineRule="exact"/>
        <w:rPr>
          <w:rFonts w:ascii="宋体" w:hAnsi="宋体"/>
          <w:b/>
          <w:color w:val="auto"/>
          <w:szCs w:val="21"/>
        </w:rPr>
      </w:pPr>
      <w:r>
        <w:rPr>
          <w:rFonts w:hint="eastAsia" w:ascii="宋体" w:hAnsi="宋体"/>
          <w:b/>
          <w:color w:val="auto"/>
          <w:szCs w:val="21"/>
        </w:rPr>
        <w:t>5. 响应文件编制基本要求</w:t>
      </w:r>
    </w:p>
    <w:p>
      <w:pPr>
        <w:spacing w:line="350" w:lineRule="exact"/>
        <w:ind w:left="420" w:hanging="420"/>
        <w:rPr>
          <w:rFonts w:ascii="宋体" w:hAnsi="宋体"/>
          <w:color w:val="auto"/>
          <w:szCs w:val="21"/>
        </w:rPr>
      </w:pPr>
      <w:r>
        <w:rPr>
          <w:rFonts w:hint="eastAsia" w:ascii="宋体" w:hAnsi="宋体"/>
          <w:color w:val="auto"/>
          <w:szCs w:val="21"/>
        </w:rPr>
        <w:t>5.1供应商对响应文件的编制应按要求装订和封装。</w:t>
      </w:r>
    </w:p>
    <w:p>
      <w:pPr>
        <w:spacing w:line="350" w:lineRule="exact"/>
        <w:rPr>
          <w:rFonts w:ascii="宋体" w:hAnsi="宋体"/>
          <w:color w:val="auto"/>
          <w:szCs w:val="21"/>
        </w:rPr>
      </w:pPr>
      <w:r>
        <w:rPr>
          <w:rFonts w:hint="eastAsia" w:ascii="宋体" w:hAnsi="宋体"/>
          <w:color w:val="auto"/>
          <w:szCs w:val="21"/>
        </w:rPr>
        <w:t>5.2供应商提交的响应文件以及供应商与采购代理机构和采购人就有关磋商的所有来往函电均应使用中文。供应商提交的支持文件和印刷的文献可以使用别的语言，但其相应内容必须附有中文翻译文本，在解释响应文件时以中文翻译文本为主。</w:t>
      </w:r>
    </w:p>
    <w:p>
      <w:pPr>
        <w:spacing w:line="350" w:lineRule="exact"/>
        <w:rPr>
          <w:rFonts w:ascii="宋体" w:hAnsi="宋体"/>
          <w:color w:val="auto"/>
          <w:szCs w:val="21"/>
        </w:rPr>
      </w:pPr>
      <w:r>
        <w:rPr>
          <w:rFonts w:hint="eastAsia" w:ascii="宋体" w:hAnsi="宋体"/>
          <w:color w:val="auto"/>
          <w:szCs w:val="21"/>
        </w:rPr>
        <w:t>5.3供应商应认真阅读、并充分理解本文件的全部内容（包括所有的补充、修改内容），承诺并履行本文件中各项条款规定及要求。</w:t>
      </w:r>
    </w:p>
    <w:p>
      <w:pPr>
        <w:spacing w:line="350" w:lineRule="exact"/>
        <w:ind w:left="420" w:hanging="420"/>
        <w:rPr>
          <w:rFonts w:ascii="宋体" w:hAnsi="宋体"/>
          <w:color w:val="auto"/>
          <w:szCs w:val="21"/>
        </w:rPr>
      </w:pPr>
      <w:r>
        <w:rPr>
          <w:rFonts w:hint="eastAsia" w:ascii="宋体" w:hAnsi="宋体"/>
          <w:color w:val="auto"/>
          <w:szCs w:val="21"/>
        </w:rPr>
        <w:t>5.4响应文件必须按本文件的全部内容，包括所有的补充通知及附件进行编制。</w:t>
      </w:r>
    </w:p>
    <w:p>
      <w:pPr>
        <w:spacing w:line="350" w:lineRule="exact"/>
        <w:rPr>
          <w:rFonts w:ascii="宋体" w:hAnsi="宋体"/>
          <w:color w:val="auto"/>
          <w:szCs w:val="21"/>
        </w:rPr>
      </w:pPr>
      <w:r>
        <w:rPr>
          <w:rFonts w:hint="eastAsia" w:ascii="宋体" w:hAnsi="宋体"/>
          <w:color w:val="auto"/>
          <w:szCs w:val="21"/>
        </w:rPr>
        <w:t>5.5如因供应商只填写和提供了本文件要求的部分内容和附件，而给评审造成困难，其可能导致的结果和责任由供应商自行承担。</w:t>
      </w:r>
    </w:p>
    <w:p>
      <w:pPr>
        <w:spacing w:line="350" w:lineRule="exact"/>
        <w:rPr>
          <w:rFonts w:ascii="宋体" w:hAnsi="宋体"/>
          <w:color w:val="auto"/>
          <w:szCs w:val="21"/>
        </w:rPr>
      </w:pPr>
      <w:r>
        <w:rPr>
          <w:rFonts w:hint="eastAsia" w:ascii="宋体" w:hAnsi="宋体"/>
          <w:color w:val="auto"/>
          <w:szCs w:val="21"/>
        </w:rPr>
        <w:t>5.6响应文件的组成</w:t>
      </w:r>
      <w:r>
        <w:rPr>
          <w:rFonts w:hint="eastAsia" w:ascii="宋体" w:hAnsi="宋体"/>
          <w:bCs/>
          <w:color w:val="auto"/>
          <w:szCs w:val="21"/>
        </w:rPr>
        <w:t>（格式见第六章）。</w:t>
      </w:r>
    </w:p>
    <w:p>
      <w:pPr>
        <w:spacing w:line="350" w:lineRule="exact"/>
        <w:ind w:firstLine="420"/>
        <w:rPr>
          <w:rFonts w:ascii="宋体" w:hAnsi="宋体"/>
          <w:color w:val="auto"/>
          <w:szCs w:val="21"/>
        </w:rPr>
      </w:pPr>
      <w:r>
        <w:rPr>
          <w:rFonts w:hint="eastAsia" w:ascii="宋体" w:hAnsi="宋体"/>
          <w:color w:val="auto"/>
          <w:szCs w:val="21"/>
        </w:rPr>
        <w:t>响应文件应为商务技术文件组成</w:t>
      </w:r>
      <w:r>
        <w:rPr>
          <w:rFonts w:hint="eastAsia" w:ascii="宋体" w:hAnsi="宋体"/>
          <w:b/>
          <w:color w:val="auto"/>
          <w:szCs w:val="21"/>
        </w:rPr>
        <w:t>（以下文件应真实有效）</w:t>
      </w:r>
      <w:r>
        <w:rPr>
          <w:rFonts w:hint="eastAsia" w:ascii="宋体" w:hAnsi="宋体"/>
          <w:color w:val="auto"/>
          <w:szCs w:val="21"/>
        </w:rPr>
        <w:t>，</w:t>
      </w:r>
      <w:r>
        <w:rPr>
          <w:rFonts w:hint="eastAsia"/>
          <w:b/>
          <w:bCs/>
          <w:color w:val="auto"/>
        </w:rPr>
        <w:t>属于“必须提供”的文件均必须提交并加盖供应商公章，否则，响应文件无效</w:t>
      </w:r>
      <w:r>
        <w:rPr>
          <w:rFonts w:hint="eastAsia" w:ascii="宋体" w:hAnsi="宋体"/>
          <w:color w:val="auto"/>
          <w:szCs w:val="21"/>
        </w:rPr>
        <w:t>。</w:t>
      </w:r>
    </w:p>
    <w:p>
      <w:pPr>
        <w:spacing w:line="350" w:lineRule="exact"/>
        <w:rPr>
          <w:rFonts w:ascii="宋体" w:hAnsi="宋体"/>
          <w:color w:val="auto"/>
          <w:szCs w:val="21"/>
        </w:rPr>
      </w:pPr>
      <w:r>
        <w:rPr>
          <w:rFonts w:hint="eastAsia" w:ascii="宋体" w:hAnsi="宋体"/>
          <w:color w:val="auto"/>
          <w:szCs w:val="21"/>
        </w:rPr>
        <w:t>5.6.1商务技术文件：</w:t>
      </w:r>
    </w:p>
    <w:p>
      <w:pPr>
        <w:spacing w:line="300" w:lineRule="exact"/>
        <w:ind w:left="1123" w:leftChars="135" w:right="355" w:rightChars="169" w:hanging="840"/>
        <w:rPr>
          <w:rFonts w:ascii="宋体" w:hAnsi="宋体"/>
          <w:color w:val="auto"/>
          <w:szCs w:val="21"/>
        </w:rPr>
      </w:pPr>
      <w:r>
        <w:rPr>
          <w:rFonts w:hint="eastAsia" w:ascii="宋体" w:hAnsi="宋体"/>
          <w:b/>
          <w:color w:val="auto"/>
          <w:szCs w:val="21"/>
        </w:rPr>
        <w:t>商务技术文件:</w:t>
      </w:r>
    </w:p>
    <w:p>
      <w:pPr>
        <w:spacing w:line="300" w:lineRule="auto"/>
        <w:ind w:left="283" w:leftChars="135" w:right="355" w:rightChars="169"/>
        <w:rPr>
          <w:rFonts w:ascii="宋体" w:hAnsi="宋体"/>
          <w:b/>
          <w:color w:val="auto"/>
          <w:szCs w:val="21"/>
        </w:rPr>
      </w:pPr>
      <w:r>
        <w:rPr>
          <w:rFonts w:hint="eastAsia" w:ascii="宋体" w:hAnsi="宋体"/>
          <w:b/>
          <w:color w:val="auto"/>
          <w:szCs w:val="21"/>
        </w:rPr>
        <w:t>1）“磋商书”及“磋商声明书”</w:t>
      </w:r>
      <w:r>
        <w:rPr>
          <w:rFonts w:hint="eastAsia" w:hAnsi="宋体"/>
          <w:b/>
          <w:color w:val="auto"/>
          <w:szCs w:val="21"/>
        </w:rPr>
        <w:t>（</w:t>
      </w:r>
      <w:r>
        <w:rPr>
          <w:rFonts w:hint="eastAsia"/>
          <w:b/>
          <w:bCs/>
          <w:color w:val="auto"/>
        </w:rPr>
        <w:t>必须提供</w:t>
      </w:r>
      <w:r>
        <w:rPr>
          <w:rFonts w:hint="eastAsia" w:hAnsi="宋体"/>
          <w:b/>
          <w:color w:val="auto"/>
          <w:szCs w:val="21"/>
        </w:rPr>
        <w:t>）</w:t>
      </w:r>
    </w:p>
    <w:p>
      <w:pPr>
        <w:spacing w:line="300" w:lineRule="auto"/>
        <w:ind w:left="283" w:leftChars="135" w:right="355" w:rightChars="169"/>
        <w:rPr>
          <w:rFonts w:ascii="宋体" w:hAnsi="宋体"/>
          <w:b/>
          <w:color w:val="auto"/>
          <w:szCs w:val="21"/>
        </w:rPr>
      </w:pPr>
      <w:r>
        <w:rPr>
          <w:rFonts w:hint="eastAsia" w:ascii="宋体" w:hAnsi="宋体"/>
          <w:b/>
          <w:color w:val="auto"/>
          <w:szCs w:val="21"/>
        </w:rPr>
        <w:t>2）</w:t>
      </w:r>
      <w:r>
        <w:rPr>
          <w:rFonts w:ascii="宋体" w:hAnsi="宋体"/>
          <w:b/>
          <w:color w:val="auto"/>
          <w:szCs w:val="21"/>
        </w:rPr>
        <w:t>报价表</w:t>
      </w:r>
      <w:r>
        <w:rPr>
          <w:rFonts w:hint="eastAsia" w:hAnsi="宋体"/>
          <w:b/>
          <w:color w:val="auto"/>
          <w:szCs w:val="21"/>
        </w:rPr>
        <w:t>（</w:t>
      </w:r>
      <w:r>
        <w:rPr>
          <w:rFonts w:hint="eastAsia"/>
          <w:b/>
          <w:bCs/>
          <w:color w:val="auto"/>
        </w:rPr>
        <w:t>必须提供</w:t>
      </w:r>
      <w:r>
        <w:rPr>
          <w:rFonts w:hint="eastAsia" w:hAnsi="宋体"/>
          <w:b/>
          <w:color w:val="auto"/>
          <w:szCs w:val="21"/>
        </w:rPr>
        <w:t>）</w:t>
      </w:r>
    </w:p>
    <w:p>
      <w:pPr>
        <w:spacing w:line="300" w:lineRule="auto"/>
        <w:ind w:left="283" w:leftChars="135" w:right="355" w:rightChars="169"/>
        <w:rPr>
          <w:rFonts w:ascii="宋体" w:hAnsi="宋体"/>
          <w:b/>
          <w:color w:val="auto"/>
          <w:szCs w:val="21"/>
        </w:rPr>
      </w:pPr>
      <w:r>
        <w:rPr>
          <w:rFonts w:hint="eastAsia" w:ascii="宋体" w:hAnsi="宋体"/>
          <w:b/>
          <w:color w:val="auto"/>
          <w:szCs w:val="21"/>
        </w:rPr>
        <w:t>3）磋商响应表</w:t>
      </w:r>
      <w:r>
        <w:rPr>
          <w:rFonts w:hint="eastAsia" w:hAnsi="宋体"/>
          <w:b/>
          <w:color w:val="auto"/>
          <w:szCs w:val="21"/>
        </w:rPr>
        <w:t>（</w:t>
      </w:r>
      <w:r>
        <w:rPr>
          <w:rFonts w:hint="eastAsia"/>
          <w:b/>
          <w:bCs/>
          <w:color w:val="auto"/>
        </w:rPr>
        <w:t>必须提供</w:t>
      </w:r>
      <w:r>
        <w:rPr>
          <w:rFonts w:hint="eastAsia" w:hAnsi="宋体"/>
          <w:b/>
          <w:color w:val="auto"/>
          <w:szCs w:val="21"/>
        </w:rPr>
        <w:t>）</w:t>
      </w:r>
    </w:p>
    <w:p>
      <w:pPr>
        <w:spacing w:line="300" w:lineRule="auto"/>
        <w:ind w:left="283" w:leftChars="135" w:right="355" w:rightChars="169"/>
        <w:rPr>
          <w:rFonts w:ascii="宋体" w:hAnsi="宋体"/>
          <w:b/>
          <w:color w:val="auto"/>
          <w:szCs w:val="21"/>
        </w:rPr>
      </w:pPr>
      <w:r>
        <w:rPr>
          <w:rFonts w:hint="eastAsia" w:ascii="宋体" w:hAnsi="宋体"/>
          <w:b/>
          <w:color w:val="auto"/>
          <w:szCs w:val="21"/>
        </w:rPr>
        <w:t>4）供应商</w:t>
      </w:r>
      <w:r>
        <w:rPr>
          <w:rFonts w:ascii="宋体" w:hAnsi="宋体"/>
          <w:b/>
          <w:color w:val="auto"/>
          <w:szCs w:val="21"/>
        </w:rPr>
        <w:t>有效的企业法人营业执照副本件、组织机构代码证副本、税务登记证副本（或有统一社会信用代码的营业执照）</w:t>
      </w:r>
      <w:r>
        <w:rPr>
          <w:rFonts w:hint="eastAsia" w:hAnsi="宋体"/>
          <w:b/>
          <w:color w:val="auto"/>
          <w:szCs w:val="21"/>
        </w:rPr>
        <w:t>（</w:t>
      </w:r>
      <w:r>
        <w:rPr>
          <w:rFonts w:hint="eastAsia"/>
          <w:b/>
          <w:bCs/>
          <w:color w:val="auto"/>
        </w:rPr>
        <w:t>必须提供</w:t>
      </w:r>
      <w:r>
        <w:rPr>
          <w:rFonts w:hint="eastAsia" w:hAnsi="宋体"/>
          <w:b/>
          <w:color w:val="auto"/>
          <w:szCs w:val="21"/>
        </w:rPr>
        <w:t>）</w:t>
      </w:r>
    </w:p>
    <w:p>
      <w:pPr>
        <w:spacing w:line="300" w:lineRule="auto"/>
        <w:ind w:left="283" w:leftChars="135" w:right="355" w:rightChars="169"/>
        <w:rPr>
          <w:rFonts w:ascii="宋体" w:hAnsi="宋体"/>
          <w:b/>
          <w:color w:val="auto"/>
          <w:szCs w:val="21"/>
        </w:rPr>
      </w:pPr>
      <w:r>
        <w:rPr>
          <w:rFonts w:hint="eastAsia" w:ascii="宋体" w:hAnsi="宋体"/>
          <w:b/>
          <w:color w:val="auto"/>
          <w:szCs w:val="21"/>
        </w:rPr>
        <w:t>5）</w:t>
      </w:r>
      <w:r>
        <w:rPr>
          <w:rFonts w:ascii="宋体" w:hAnsi="宋体"/>
          <w:b/>
          <w:color w:val="auto"/>
          <w:szCs w:val="21"/>
        </w:rPr>
        <w:t>国家保险监督管理机构颁发的中华人民共和国经营车辆保险业务许可证复印件</w:t>
      </w:r>
      <w:r>
        <w:rPr>
          <w:rFonts w:hint="eastAsia" w:hAnsi="宋体"/>
          <w:b/>
          <w:color w:val="auto"/>
          <w:szCs w:val="21"/>
        </w:rPr>
        <w:t>（</w:t>
      </w:r>
      <w:r>
        <w:rPr>
          <w:rFonts w:hint="eastAsia"/>
          <w:b/>
          <w:bCs/>
          <w:color w:val="auto"/>
        </w:rPr>
        <w:t>必须提供</w:t>
      </w:r>
      <w:r>
        <w:rPr>
          <w:rFonts w:hint="eastAsia" w:hAnsi="宋体"/>
          <w:b/>
          <w:color w:val="auto"/>
          <w:szCs w:val="21"/>
        </w:rPr>
        <w:t>）</w:t>
      </w:r>
    </w:p>
    <w:p>
      <w:pPr>
        <w:spacing w:line="300" w:lineRule="auto"/>
        <w:ind w:left="283" w:leftChars="135" w:right="355" w:rightChars="169"/>
        <w:rPr>
          <w:rFonts w:ascii="宋体" w:hAnsi="宋体"/>
          <w:b/>
          <w:color w:val="auto"/>
          <w:szCs w:val="21"/>
        </w:rPr>
      </w:pPr>
      <w:r>
        <w:rPr>
          <w:rFonts w:hint="eastAsia" w:ascii="宋体" w:hAnsi="宋体"/>
          <w:b/>
          <w:color w:val="auto"/>
          <w:szCs w:val="21"/>
        </w:rPr>
        <w:t>6）供应商</w:t>
      </w:r>
      <w:r>
        <w:rPr>
          <w:rFonts w:ascii="宋体" w:hAnsi="宋体"/>
          <w:b/>
          <w:color w:val="auto"/>
          <w:szCs w:val="21"/>
        </w:rPr>
        <w:t>法定代表人或负责人（分支机构或派出机构）授权委托书原件和委托代理人完整身份证复印件（委托代理时必须提供)</w:t>
      </w:r>
    </w:p>
    <w:p>
      <w:pPr>
        <w:spacing w:line="300" w:lineRule="auto"/>
        <w:ind w:left="283" w:leftChars="135" w:right="355" w:rightChars="169"/>
        <w:rPr>
          <w:rFonts w:ascii="宋体" w:hAnsi="宋体"/>
          <w:b/>
          <w:color w:val="auto"/>
          <w:szCs w:val="21"/>
        </w:rPr>
      </w:pPr>
      <w:r>
        <w:rPr>
          <w:rFonts w:hint="eastAsia" w:ascii="宋体" w:hAnsi="宋体"/>
          <w:b/>
          <w:color w:val="auto"/>
          <w:szCs w:val="21"/>
        </w:rPr>
        <w:t>7）</w:t>
      </w:r>
      <w:r>
        <w:rPr>
          <w:rFonts w:ascii="宋体" w:hAnsi="宋体"/>
          <w:b/>
          <w:color w:val="auto"/>
          <w:szCs w:val="21"/>
        </w:rPr>
        <w:t>投标保证金证明材料</w:t>
      </w:r>
      <w:r>
        <w:rPr>
          <w:rFonts w:hint="eastAsia" w:hAnsi="宋体"/>
          <w:b/>
          <w:color w:val="auto"/>
          <w:szCs w:val="21"/>
        </w:rPr>
        <w:t>（</w:t>
      </w:r>
      <w:r>
        <w:rPr>
          <w:rFonts w:hint="eastAsia"/>
          <w:b/>
          <w:bCs/>
          <w:color w:val="auto"/>
        </w:rPr>
        <w:t>必须提供</w:t>
      </w:r>
      <w:r>
        <w:rPr>
          <w:rFonts w:hint="eastAsia" w:hAnsi="宋体"/>
          <w:b/>
          <w:color w:val="auto"/>
          <w:szCs w:val="21"/>
        </w:rPr>
        <w:t>）</w:t>
      </w:r>
    </w:p>
    <w:p>
      <w:pPr>
        <w:pStyle w:val="20"/>
        <w:spacing w:line="400" w:lineRule="exact"/>
        <w:ind w:firstLine="204" w:firstLineChars="97"/>
        <w:rPr>
          <w:rFonts w:hAnsi="宋体"/>
          <w:b/>
          <w:color w:val="auto"/>
          <w:szCs w:val="21"/>
        </w:rPr>
      </w:pPr>
      <w:r>
        <w:rPr>
          <w:rFonts w:hint="eastAsia" w:hAnsi="宋体"/>
          <w:b/>
          <w:color w:val="auto"/>
          <w:szCs w:val="21"/>
        </w:rPr>
        <w:t xml:space="preserve"> 8）截标时间前半年内，供应商连续三个月缴纳社保费的缴费凭证复印件；无缴费记录的，应提供由供应商所在地社保部门出具的《缴纳或免缴社保费证明》，新设立的企业按实际情况提供（必须提供）</w:t>
      </w:r>
    </w:p>
    <w:p>
      <w:pPr>
        <w:pStyle w:val="20"/>
        <w:spacing w:line="400" w:lineRule="exact"/>
        <w:ind w:firstLine="310" w:firstLineChars="147"/>
        <w:rPr>
          <w:rFonts w:hAnsi="宋体"/>
          <w:b/>
          <w:color w:val="auto"/>
          <w:szCs w:val="21"/>
        </w:rPr>
      </w:pPr>
      <w:r>
        <w:rPr>
          <w:rFonts w:hint="eastAsia" w:hAnsi="宋体"/>
          <w:b/>
          <w:color w:val="auto"/>
          <w:szCs w:val="21"/>
        </w:rPr>
        <w:t>9）截标时间前半年内，供应商连续三个月完税证明或免缴税费的证明复印件（必须提供）</w:t>
      </w:r>
    </w:p>
    <w:p>
      <w:pPr>
        <w:spacing w:line="300" w:lineRule="auto"/>
        <w:ind w:left="283" w:leftChars="135" w:right="355" w:rightChars="169"/>
        <w:rPr>
          <w:rFonts w:ascii="宋体" w:hAnsi="宋体"/>
          <w:b/>
          <w:color w:val="auto"/>
          <w:szCs w:val="21"/>
        </w:rPr>
      </w:pPr>
      <w:r>
        <w:rPr>
          <w:rFonts w:hint="eastAsia" w:ascii="宋体" w:hAnsi="宋体"/>
          <w:b/>
          <w:color w:val="auto"/>
          <w:szCs w:val="21"/>
        </w:rPr>
        <w:t>10）</w:t>
      </w:r>
      <w:r>
        <w:rPr>
          <w:rFonts w:ascii="宋体" w:hAnsi="宋体"/>
          <w:b/>
          <w:color w:val="auto"/>
          <w:szCs w:val="21"/>
        </w:rPr>
        <w:t>公务用车投保及理赔服务措施</w:t>
      </w:r>
      <w:r>
        <w:rPr>
          <w:rFonts w:hint="eastAsia" w:hAnsi="宋体"/>
          <w:b/>
          <w:color w:val="auto"/>
          <w:szCs w:val="21"/>
        </w:rPr>
        <w:t>（</w:t>
      </w:r>
      <w:r>
        <w:rPr>
          <w:rFonts w:hint="eastAsia"/>
          <w:b/>
          <w:bCs/>
          <w:color w:val="auto"/>
        </w:rPr>
        <w:t>必须提供</w:t>
      </w:r>
      <w:r>
        <w:rPr>
          <w:rFonts w:hint="eastAsia" w:hAnsi="宋体"/>
          <w:b/>
          <w:color w:val="auto"/>
          <w:szCs w:val="21"/>
        </w:rPr>
        <w:t>）</w:t>
      </w:r>
    </w:p>
    <w:p>
      <w:pPr>
        <w:spacing w:line="300" w:lineRule="auto"/>
        <w:ind w:left="283" w:leftChars="135" w:right="355" w:rightChars="169"/>
        <w:rPr>
          <w:rFonts w:ascii="宋体" w:hAnsi="宋体"/>
          <w:b/>
          <w:color w:val="auto"/>
          <w:szCs w:val="21"/>
        </w:rPr>
      </w:pPr>
      <w:r>
        <w:rPr>
          <w:rFonts w:hint="eastAsia" w:ascii="宋体" w:hAnsi="宋体"/>
          <w:b/>
          <w:color w:val="auto"/>
          <w:szCs w:val="21"/>
        </w:rPr>
        <w:t>11）</w:t>
      </w:r>
      <w:r>
        <w:rPr>
          <w:rFonts w:ascii="宋体" w:hAnsi="宋体"/>
          <w:b/>
          <w:color w:val="auto"/>
          <w:szCs w:val="21"/>
        </w:rPr>
        <w:t>机动车辆保险条款</w:t>
      </w:r>
      <w:r>
        <w:rPr>
          <w:rFonts w:hint="eastAsia" w:hAnsi="宋体"/>
          <w:b/>
          <w:color w:val="auto"/>
          <w:szCs w:val="21"/>
        </w:rPr>
        <w:t>（</w:t>
      </w:r>
      <w:r>
        <w:rPr>
          <w:rFonts w:hint="eastAsia"/>
          <w:b/>
          <w:bCs/>
          <w:color w:val="auto"/>
        </w:rPr>
        <w:t>必须提供</w:t>
      </w:r>
      <w:r>
        <w:rPr>
          <w:rFonts w:hint="eastAsia" w:hAnsi="宋体"/>
          <w:b/>
          <w:color w:val="auto"/>
          <w:szCs w:val="21"/>
        </w:rPr>
        <w:t>）</w:t>
      </w:r>
    </w:p>
    <w:p>
      <w:pPr>
        <w:spacing w:line="300" w:lineRule="auto"/>
        <w:ind w:left="283" w:leftChars="135" w:right="355" w:rightChars="169"/>
        <w:rPr>
          <w:rFonts w:ascii="宋体" w:hAnsi="宋体"/>
          <w:b/>
          <w:color w:val="auto"/>
          <w:szCs w:val="21"/>
        </w:rPr>
      </w:pPr>
      <w:r>
        <w:rPr>
          <w:rFonts w:hint="eastAsia" w:ascii="宋体" w:hAnsi="宋体"/>
          <w:b/>
          <w:color w:val="auto"/>
          <w:szCs w:val="21"/>
        </w:rPr>
        <w:t>12)竞标</w:t>
      </w:r>
      <w:r>
        <w:rPr>
          <w:rFonts w:ascii="宋体" w:hAnsi="宋体"/>
          <w:b/>
          <w:color w:val="auto"/>
          <w:szCs w:val="21"/>
        </w:rPr>
        <w:t>人认为需提供的其他（如信誉业绩等）证明材料</w:t>
      </w:r>
    </w:p>
    <w:p>
      <w:pPr>
        <w:spacing w:line="350" w:lineRule="exact"/>
        <w:rPr>
          <w:color w:val="auto"/>
        </w:rPr>
      </w:pPr>
      <w:r>
        <w:rPr>
          <w:rFonts w:hint="eastAsia" w:ascii="宋体" w:hAnsi="宋体" w:cs="Courier New"/>
          <w:color w:val="auto"/>
          <w:szCs w:val="21"/>
        </w:rPr>
        <w:t>5.7</w:t>
      </w:r>
      <w:r>
        <w:rPr>
          <w:rFonts w:hint="eastAsia"/>
          <w:b/>
          <w:color w:val="auto"/>
        </w:rPr>
        <w:t>供应商应按竞争性磋商文件第六章“响应文件（格式）”编制响应文件。</w:t>
      </w:r>
    </w:p>
    <w:p>
      <w:pPr>
        <w:spacing w:line="350" w:lineRule="exact"/>
        <w:rPr>
          <w:rFonts w:ascii="宋体" w:hAnsi="宋体"/>
          <w:b/>
          <w:color w:val="auto"/>
          <w:szCs w:val="21"/>
        </w:rPr>
      </w:pPr>
      <w:r>
        <w:rPr>
          <w:rFonts w:hint="eastAsia" w:ascii="宋体" w:hAnsi="宋体"/>
          <w:b/>
          <w:color w:val="auto"/>
          <w:szCs w:val="21"/>
        </w:rPr>
        <w:t>6. 计量单位</w:t>
      </w:r>
    </w:p>
    <w:p>
      <w:pPr>
        <w:spacing w:line="350" w:lineRule="exact"/>
        <w:ind w:left="420" w:leftChars="200"/>
        <w:rPr>
          <w:rFonts w:ascii="宋体" w:hAnsi="宋体"/>
          <w:b/>
          <w:color w:val="auto"/>
          <w:szCs w:val="21"/>
        </w:rPr>
      </w:pPr>
      <w:r>
        <w:rPr>
          <w:rFonts w:hint="eastAsia" w:ascii="宋体" w:hAnsi="宋体"/>
          <w:b/>
          <w:color w:val="auto"/>
          <w:szCs w:val="21"/>
        </w:rPr>
        <w:t>除技术要求中另有规定外，本文件所要求使用的计量单位均应采用国家法定计量单位。</w:t>
      </w:r>
    </w:p>
    <w:p>
      <w:pPr>
        <w:spacing w:line="350" w:lineRule="exact"/>
        <w:rPr>
          <w:rFonts w:ascii="宋体" w:hAnsi="宋体"/>
          <w:b/>
          <w:color w:val="auto"/>
          <w:szCs w:val="21"/>
        </w:rPr>
      </w:pPr>
      <w:r>
        <w:rPr>
          <w:rFonts w:hint="eastAsia" w:ascii="宋体" w:hAnsi="宋体"/>
          <w:b/>
          <w:color w:val="auto"/>
          <w:szCs w:val="21"/>
        </w:rPr>
        <w:t>三、磋商报价要求</w:t>
      </w:r>
    </w:p>
    <w:p>
      <w:pPr>
        <w:spacing w:line="350" w:lineRule="exact"/>
        <w:rPr>
          <w:rFonts w:ascii="宋体" w:hAnsi="宋体"/>
          <w:b/>
          <w:color w:val="auto"/>
          <w:szCs w:val="21"/>
        </w:rPr>
      </w:pPr>
      <w:r>
        <w:rPr>
          <w:rFonts w:hint="eastAsia" w:ascii="宋体" w:hAnsi="宋体"/>
          <w:b/>
          <w:color w:val="auto"/>
          <w:szCs w:val="21"/>
        </w:rPr>
        <w:t>7. 磋商报价</w:t>
      </w:r>
    </w:p>
    <w:p>
      <w:pPr>
        <w:pStyle w:val="20"/>
        <w:spacing w:line="440" w:lineRule="exact"/>
        <w:rPr>
          <w:rFonts w:hAnsi="宋体"/>
          <w:b/>
          <w:color w:val="auto"/>
          <w:szCs w:val="21"/>
        </w:rPr>
      </w:pPr>
      <w:r>
        <w:rPr>
          <w:rFonts w:hint="eastAsia" w:hAnsi="宋体"/>
          <w:b/>
          <w:color w:val="auto"/>
          <w:szCs w:val="21"/>
        </w:rPr>
        <w:t>7.1竞标报价应按采购文件中相关附表格式填写。</w:t>
      </w:r>
    </w:p>
    <w:p>
      <w:pPr>
        <w:pStyle w:val="20"/>
        <w:spacing w:line="440" w:lineRule="exact"/>
        <w:rPr>
          <w:rFonts w:hAnsi="宋体"/>
          <w:b/>
          <w:color w:val="auto"/>
          <w:szCs w:val="21"/>
        </w:rPr>
      </w:pPr>
      <w:r>
        <w:rPr>
          <w:rFonts w:hint="eastAsia" w:hAnsi="宋体"/>
          <w:b/>
          <w:color w:val="auto"/>
          <w:szCs w:val="21"/>
        </w:rPr>
        <w:t>7.2投标报价是履行合同的最终价格，应包括①采购人指定服务内容的基本费用；②项目所需的全部</w:t>
      </w:r>
    </w:p>
    <w:p>
      <w:pPr>
        <w:pStyle w:val="20"/>
        <w:spacing w:line="440" w:lineRule="exact"/>
        <w:rPr>
          <w:rFonts w:hAnsi="宋体"/>
          <w:b/>
          <w:color w:val="auto"/>
          <w:szCs w:val="21"/>
        </w:rPr>
      </w:pPr>
      <w:r>
        <w:rPr>
          <w:rFonts w:hint="eastAsia" w:hAnsi="宋体"/>
          <w:b/>
          <w:color w:val="auto"/>
          <w:szCs w:val="21"/>
        </w:rPr>
        <w:t>人工费用（包含但不限于派出工作人员的交通费、住宿费、伙食补助费）；③其他费用（包含但不限于知识产权、技术支持、售后服务等费用）；④必要的保险费和各项税费等一切完成本项目服务所需要的费用。</w:t>
      </w:r>
    </w:p>
    <w:p>
      <w:pPr>
        <w:pStyle w:val="20"/>
        <w:spacing w:line="440" w:lineRule="exact"/>
        <w:rPr>
          <w:rFonts w:hint="eastAsia" w:hAnsi="宋体"/>
          <w:b/>
          <w:color w:val="auto"/>
          <w:szCs w:val="21"/>
        </w:rPr>
      </w:pPr>
      <w:r>
        <w:rPr>
          <w:rFonts w:hint="eastAsia" w:hAnsi="宋体"/>
          <w:b/>
          <w:color w:val="auto"/>
          <w:szCs w:val="21"/>
        </w:rPr>
        <w:t>7.3竞标文件只允许有一个报价，有选择的或有条件的报价将不予接受</w:t>
      </w:r>
    </w:p>
    <w:p>
      <w:pPr>
        <w:tabs>
          <w:tab w:val="left" w:pos="1353"/>
        </w:tabs>
        <w:autoSpaceDE w:val="0"/>
        <w:autoSpaceDN w:val="0"/>
        <w:spacing w:before="6" w:line="440" w:lineRule="exact"/>
        <w:ind w:right="619"/>
        <w:rPr>
          <w:rFonts w:ascii="宋体" w:hAnsi="宋体"/>
          <w:b/>
          <w:color w:val="auto"/>
          <w:szCs w:val="21"/>
        </w:rPr>
      </w:pPr>
      <w:r>
        <w:rPr>
          <w:rFonts w:hint="eastAsia" w:ascii="宋体" w:hAnsi="宋体"/>
          <w:b/>
          <w:color w:val="auto"/>
          <w:szCs w:val="21"/>
        </w:rPr>
        <w:t>7.4报价不得超过采购预算价。</w:t>
      </w:r>
    </w:p>
    <w:p>
      <w:pPr>
        <w:pStyle w:val="20"/>
        <w:spacing w:line="440" w:lineRule="exact"/>
        <w:rPr>
          <w:color w:val="auto"/>
        </w:rPr>
      </w:pPr>
      <w:r>
        <w:rPr>
          <w:rFonts w:hint="eastAsia"/>
          <w:b/>
          <w:color w:val="auto"/>
        </w:rPr>
        <w:t>8. 竞标货币</w:t>
      </w:r>
    </w:p>
    <w:p>
      <w:pPr>
        <w:pStyle w:val="20"/>
        <w:spacing w:line="440" w:lineRule="exact"/>
        <w:rPr>
          <w:rFonts w:hAnsi="宋体"/>
          <w:b/>
          <w:color w:val="auto"/>
          <w:szCs w:val="21"/>
        </w:rPr>
      </w:pPr>
      <w:r>
        <w:rPr>
          <w:rFonts w:hint="eastAsia" w:hAnsi="宋体"/>
          <w:b/>
          <w:color w:val="auto"/>
          <w:szCs w:val="21"/>
        </w:rPr>
        <w:t>8.1</w:t>
      </w:r>
      <w:r>
        <w:rPr>
          <w:rFonts w:hint="eastAsia"/>
          <w:color w:val="auto"/>
        </w:rPr>
        <w:t>竞标应以人民币报价</w:t>
      </w:r>
      <w:r>
        <w:rPr>
          <w:rFonts w:hAnsi="宋体"/>
          <w:b/>
          <w:color w:val="auto"/>
          <w:szCs w:val="21"/>
        </w:rPr>
        <w:t>；</w:t>
      </w:r>
    </w:p>
    <w:p>
      <w:pPr>
        <w:spacing w:line="350" w:lineRule="exact"/>
        <w:rPr>
          <w:rFonts w:ascii="宋体" w:hAnsi="宋体"/>
          <w:b/>
          <w:color w:val="auto"/>
          <w:szCs w:val="21"/>
        </w:rPr>
      </w:pPr>
      <w:r>
        <w:rPr>
          <w:rFonts w:hint="eastAsia" w:ascii="宋体" w:hAnsi="宋体"/>
          <w:b/>
          <w:color w:val="auto"/>
          <w:szCs w:val="21"/>
        </w:rPr>
        <w:t>四、响应文件的份数、装订、封装、签署和递交</w:t>
      </w:r>
    </w:p>
    <w:p>
      <w:pPr>
        <w:spacing w:line="350" w:lineRule="exact"/>
        <w:ind w:left="420" w:hanging="420"/>
        <w:rPr>
          <w:rFonts w:ascii="宋体" w:hAnsi="宋体"/>
          <w:b/>
          <w:color w:val="auto"/>
          <w:szCs w:val="21"/>
        </w:rPr>
      </w:pPr>
      <w:r>
        <w:rPr>
          <w:rFonts w:hint="eastAsia" w:ascii="宋体" w:hAnsi="宋体"/>
          <w:b/>
          <w:color w:val="auto"/>
          <w:szCs w:val="21"/>
        </w:rPr>
        <w:t>9. 响应文件的份数、装订、封装、签署</w:t>
      </w:r>
    </w:p>
    <w:p>
      <w:pPr>
        <w:spacing w:line="350" w:lineRule="exact"/>
        <w:ind w:left="420" w:hanging="420"/>
        <w:rPr>
          <w:rFonts w:ascii="宋体" w:hAnsi="宋体"/>
          <w:color w:val="auto"/>
          <w:szCs w:val="21"/>
        </w:rPr>
      </w:pPr>
      <w:r>
        <w:rPr>
          <w:rFonts w:hint="eastAsia" w:ascii="宋体" w:hAnsi="宋体"/>
          <w:color w:val="auto"/>
          <w:szCs w:val="21"/>
        </w:rPr>
        <w:t>9.1响应文件份数：正本壹册，副本肆册，须胶装并完整提交。</w:t>
      </w:r>
    </w:p>
    <w:p>
      <w:pPr>
        <w:spacing w:line="350" w:lineRule="exact"/>
        <w:rPr>
          <w:rFonts w:ascii="宋体" w:hAnsi="宋体"/>
          <w:color w:val="auto"/>
          <w:szCs w:val="21"/>
        </w:rPr>
      </w:pPr>
      <w:r>
        <w:rPr>
          <w:rFonts w:hint="eastAsia" w:ascii="宋体" w:hAnsi="宋体"/>
          <w:color w:val="auto"/>
          <w:szCs w:val="21"/>
        </w:rPr>
        <w:t>9.2供应商应将响应文件(价格文件、商务技术文件两部份内容按顺序装订成册)，响应文件的封面应注明“正本”、“副本”字样；若响应文件过厚无法装订成壹册的，供应商可进行分装，但须相应标注清楚。</w:t>
      </w:r>
    </w:p>
    <w:p>
      <w:pPr>
        <w:spacing w:line="350" w:lineRule="exact"/>
        <w:rPr>
          <w:rFonts w:ascii="宋体" w:hAnsi="宋体"/>
          <w:color w:val="auto"/>
          <w:szCs w:val="21"/>
        </w:rPr>
      </w:pPr>
      <w:r>
        <w:rPr>
          <w:rFonts w:hint="eastAsia" w:ascii="宋体" w:hAnsi="宋体"/>
          <w:color w:val="auto"/>
          <w:szCs w:val="21"/>
        </w:rPr>
        <w:t>9.3响应文件的信封上应写明：</w:t>
      </w:r>
    </w:p>
    <w:p>
      <w:pPr>
        <w:spacing w:line="350" w:lineRule="exact"/>
        <w:ind w:left="420"/>
        <w:rPr>
          <w:rFonts w:ascii="宋体" w:hAnsi="宋体"/>
          <w:color w:val="auto"/>
          <w:szCs w:val="21"/>
        </w:rPr>
      </w:pPr>
      <w:r>
        <w:rPr>
          <w:rFonts w:hint="eastAsia" w:ascii="宋体" w:hAnsi="宋体"/>
          <w:color w:val="auto"/>
          <w:szCs w:val="21"/>
        </w:rPr>
        <w:t>1）竞争性磋商项目编号；</w:t>
      </w:r>
    </w:p>
    <w:p>
      <w:pPr>
        <w:spacing w:line="350" w:lineRule="exact"/>
        <w:ind w:left="420"/>
        <w:rPr>
          <w:rFonts w:ascii="宋体" w:hAnsi="宋体"/>
          <w:color w:val="auto"/>
          <w:szCs w:val="21"/>
        </w:rPr>
      </w:pPr>
      <w:r>
        <w:rPr>
          <w:rFonts w:hint="eastAsia" w:ascii="宋体" w:hAnsi="宋体"/>
          <w:color w:val="auto"/>
          <w:szCs w:val="21"/>
        </w:rPr>
        <w:t>2）竞争性磋商项目名称；</w:t>
      </w:r>
    </w:p>
    <w:p>
      <w:pPr>
        <w:spacing w:line="350" w:lineRule="exact"/>
        <w:ind w:left="420"/>
        <w:rPr>
          <w:rFonts w:ascii="宋体" w:hAnsi="宋体"/>
          <w:color w:val="auto"/>
          <w:szCs w:val="21"/>
        </w:rPr>
      </w:pPr>
      <w:r>
        <w:rPr>
          <w:rFonts w:hint="eastAsia" w:ascii="宋体" w:hAnsi="宋体"/>
          <w:color w:val="auto"/>
          <w:szCs w:val="21"/>
        </w:rPr>
        <w:t>3）供应商名称。</w:t>
      </w:r>
    </w:p>
    <w:p>
      <w:pPr>
        <w:spacing w:line="350" w:lineRule="exact"/>
        <w:ind w:left="420"/>
        <w:rPr>
          <w:rFonts w:ascii="宋体" w:hAnsi="宋体"/>
          <w:color w:val="auto"/>
          <w:szCs w:val="21"/>
        </w:rPr>
      </w:pPr>
      <w:r>
        <w:rPr>
          <w:rFonts w:hint="eastAsia" w:ascii="宋体" w:hAnsi="宋体"/>
          <w:color w:val="auto"/>
          <w:szCs w:val="21"/>
        </w:rPr>
        <w:t>4）</w:t>
      </w:r>
      <w:r>
        <w:rPr>
          <w:rFonts w:ascii="宋体" w:hAnsi="宋体"/>
          <w:color w:val="auto"/>
          <w:szCs w:val="21"/>
          <w:u w:val="single"/>
        </w:rPr>
        <w:t xml:space="preserve">       </w:t>
      </w:r>
      <w:r>
        <w:rPr>
          <w:rFonts w:hint="eastAsia" w:ascii="宋体" w:hAnsi="宋体"/>
          <w:color w:val="auto"/>
          <w:szCs w:val="21"/>
        </w:rPr>
        <w:t>年</w:t>
      </w:r>
      <w:r>
        <w:rPr>
          <w:rFonts w:ascii="宋体" w:hAnsi="宋体"/>
          <w:color w:val="auto"/>
          <w:szCs w:val="21"/>
          <w:u w:val="single"/>
        </w:rPr>
        <w:t xml:space="preserve">       </w:t>
      </w:r>
      <w:r>
        <w:rPr>
          <w:rFonts w:hint="eastAsia" w:ascii="宋体" w:hAnsi="宋体"/>
          <w:color w:val="auto"/>
          <w:szCs w:val="21"/>
        </w:rPr>
        <w:t>月</w:t>
      </w:r>
      <w:r>
        <w:rPr>
          <w:rFonts w:ascii="宋体" w:hAnsi="宋体"/>
          <w:color w:val="auto"/>
          <w:szCs w:val="21"/>
          <w:u w:val="single"/>
        </w:rPr>
        <w:t xml:space="preserve">      </w:t>
      </w:r>
      <w:r>
        <w:rPr>
          <w:rFonts w:hint="eastAsia" w:ascii="宋体" w:hAnsi="宋体"/>
          <w:color w:val="auto"/>
          <w:szCs w:val="21"/>
        </w:rPr>
        <w:t>日</w:t>
      </w:r>
      <w:r>
        <w:rPr>
          <w:rFonts w:ascii="宋体" w:hAnsi="宋体"/>
          <w:color w:val="auto"/>
          <w:szCs w:val="21"/>
          <w:u w:val="single"/>
        </w:rPr>
        <w:t xml:space="preserve">      </w:t>
      </w:r>
      <w:r>
        <w:rPr>
          <w:rFonts w:hint="eastAsia" w:ascii="宋体" w:hAnsi="宋体"/>
          <w:color w:val="auto"/>
          <w:szCs w:val="21"/>
        </w:rPr>
        <w:t>时</w:t>
      </w:r>
      <w:r>
        <w:rPr>
          <w:rFonts w:ascii="宋体" w:hAnsi="宋体"/>
          <w:color w:val="auto"/>
          <w:szCs w:val="21"/>
          <w:u w:val="single"/>
        </w:rPr>
        <w:t xml:space="preserve">      </w:t>
      </w:r>
      <w:r>
        <w:rPr>
          <w:rFonts w:hint="eastAsia" w:ascii="宋体" w:hAnsi="宋体"/>
          <w:color w:val="auto"/>
          <w:szCs w:val="21"/>
        </w:rPr>
        <w:t>分开标，此时间以前不得开封。</w:t>
      </w:r>
    </w:p>
    <w:p>
      <w:pPr>
        <w:snapToGrid w:val="0"/>
        <w:spacing w:line="350" w:lineRule="exact"/>
        <w:jc w:val="left"/>
        <w:rPr>
          <w:rFonts w:ascii="宋体" w:hAnsi="宋体"/>
          <w:color w:val="auto"/>
          <w:szCs w:val="21"/>
        </w:rPr>
      </w:pPr>
      <w:r>
        <w:rPr>
          <w:rFonts w:hint="eastAsia" w:ascii="宋体" w:hAnsi="宋体"/>
          <w:color w:val="auto"/>
          <w:szCs w:val="21"/>
        </w:rPr>
        <w:t>9.4 响应文件的正本需打印或用不褪色的墨水填写，响应文件正本除本竞争性磋商文件中规定的可提供复印件外均须提供原件，副本可以为正本的复印件，如正本和副本不符，以正本为准。</w:t>
      </w:r>
    </w:p>
    <w:p>
      <w:pPr>
        <w:snapToGrid w:val="0"/>
        <w:spacing w:line="350" w:lineRule="exact"/>
        <w:jc w:val="left"/>
        <w:rPr>
          <w:rFonts w:ascii="宋体" w:hAnsi="宋体"/>
          <w:color w:val="auto"/>
          <w:szCs w:val="21"/>
        </w:rPr>
      </w:pPr>
      <w:r>
        <w:rPr>
          <w:rFonts w:hint="eastAsia" w:ascii="宋体" w:hAnsi="宋体"/>
          <w:color w:val="auto"/>
          <w:szCs w:val="21"/>
        </w:rPr>
        <w:t>9.5响应文件须由供应商在规定位置盖供应商公章并由法定代表人或被授权人签署，供应商应写全称。</w:t>
      </w:r>
    </w:p>
    <w:p>
      <w:pPr>
        <w:spacing w:line="350" w:lineRule="exact"/>
        <w:rPr>
          <w:rFonts w:ascii="宋体" w:hAnsi="宋体"/>
          <w:color w:val="auto"/>
          <w:szCs w:val="21"/>
        </w:rPr>
      </w:pPr>
      <w:r>
        <w:rPr>
          <w:rFonts w:hint="eastAsia" w:ascii="宋体" w:hAnsi="宋体"/>
          <w:color w:val="auto"/>
          <w:szCs w:val="21"/>
        </w:rPr>
        <w:t>9.6响应文件不得涂改，若有修改错漏处，须加盖供应商公章及法定代表人签字；响应文件因字迹潦草或表达不清所引起的后果由供应商负责。</w:t>
      </w:r>
    </w:p>
    <w:p>
      <w:pPr>
        <w:spacing w:line="350" w:lineRule="exact"/>
        <w:rPr>
          <w:rFonts w:ascii="宋体" w:hAnsi="宋体" w:cs="宋体"/>
          <w:color w:val="auto"/>
          <w:szCs w:val="21"/>
        </w:rPr>
      </w:pPr>
      <w:r>
        <w:rPr>
          <w:rFonts w:hint="eastAsia" w:ascii="宋体" w:hAnsi="宋体"/>
          <w:color w:val="auto"/>
          <w:szCs w:val="21"/>
        </w:rPr>
        <w:t>9.7</w:t>
      </w:r>
      <w:r>
        <w:rPr>
          <w:rFonts w:ascii="宋体" w:hAnsi="宋体" w:cs="宋体"/>
          <w:color w:val="auto"/>
          <w:szCs w:val="21"/>
        </w:rPr>
        <w:t>本文件中描述</w:t>
      </w:r>
      <w:r>
        <w:rPr>
          <w:rFonts w:hint="eastAsia" w:ascii="宋体" w:hAnsi="宋体" w:cs="宋体"/>
          <w:color w:val="auto"/>
          <w:szCs w:val="21"/>
        </w:rPr>
        <w:t>供应商</w:t>
      </w:r>
      <w:r>
        <w:rPr>
          <w:rFonts w:ascii="宋体" w:hAnsi="宋体" w:cs="宋体"/>
          <w:color w:val="auto"/>
          <w:szCs w:val="21"/>
        </w:rPr>
        <w:t>的“公章”是指根据我国对公章的管理规定，用</w:t>
      </w:r>
      <w:r>
        <w:rPr>
          <w:rFonts w:hint="eastAsia" w:ascii="宋体" w:hAnsi="宋体" w:cs="宋体"/>
          <w:color w:val="auto"/>
          <w:szCs w:val="21"/>
        </w:rPr>
        <w:t>供应商</w:t>
      </w:r>
      <w:r>
        <w:rPr>
          <w:rFonts w:ascii="宋体" w:hAnsi="宋体" w:cs="宋体"/>
          <w:color w:val="auto"/>
          <w:szCs w:val="21"/>
        </w:rPr>
        <w:t>法定主体行为名称制作的印章，除本文件有特殊规定外，</w:t>
      </w:r>
      <w:r>
        <w:rPr>
          <w:rFonts w:hint="eastAsia" w:ascii="宋体" w:hAnsi="宋体" w:cs="宋体"/>
          <w:color w:val="auto"/>
          <w:szCs w:val="21"/>
        </w:rPr>
        <w:t>供应商</w:t>
      </w:r>
      <w:r>
        <w:rPr>
          <w:rFonts w:ascii="宋体" w:hAnsi="宋体" w:cs="宋体"/>
          <w:color w:val="auto"/>
          <w:szCs w:val="21"/>
        </w:rPr>
        <w:t>的财务章、部门章、分公司章、工会章、合同章、竞标专用章、业务专用章及银行的转账章、现金收讫章、现金付讫章等其它形式印章均不能代替公章。</w:t>
      </w:r>
    </w:p>
    <w:p>
      <w:pPr>
        <w:spacing w:line="350" w:lineRule="exact"/>
        <w:rPr>
          <w:rFonts w:ascii="宋体" w:hAnsi="宋体" w:cs="宋体"/>
          <w:bCs/>
          <w:color w:val="auto"/>
          <w:szCs w:val="21"/>
        </w:rPr>
      </w:pPr>
      <w:r>
        <w:rPr>
          <w:rFonts w:hint="eastAsia" w:ascii="宋体" w:hAnsi="宋体" w:cs="宋体"/>
          <w:color w:val="auto"/>
          <w:szCs w:val="21"/>
        </w:rPr>
        <w:t>9.8</w:t>
      </w:r>
      <w:r>
        <w:rPr>
          <w:rFonts w:ascii="宋体" w:hAnsi="宋体" w:cs="宋体"/>
          <w:bCs/>
          <w:color w:val="auto"/>
          <w:szCs w:val="21"/>
        </w:rPr>
        <w:t>本文件中描述</w:t>
      </w:r>
      <w:r>
        <w:rPr>
          <w:rFonts w:hint="eastAsia" w:ascii="宋体" w:hAnsi="宋体" w:cs="宋体"/>
          <w:bCs/>
          <w:color w:val="auto"/>
          <w:szCs w:val="21"/>
        </w:rPr>
        <w:t>供应商</w:t>
      </w:r>
      <w:r>
        <w:rPr>
          <w:rFonts w:ascii="宋体" w:hAnsi="宋体" w:cs="宋体"/>
          <w:bCs/>
          <w:color w:val="auto"/>
          <w:szCs w:val="21"/>
        </w:rPr>
        <w:t>的“</w:t>
      </w:r>
      <w:r>
        <w:rPr>
          <w:rFonts w:hint="eastAsia" w:ascii="宋体" w:hAnsi="宋体" w:cs="宋体"/>
          <w:bCs/>
          <w:color w:val="auto"/>
          <w:szCs w:val="21"/>
        </w:rPr>
        <w:t>签字</w:t>
      </w:r>
      <w:r>
        <w:rPr>
          <w:rFonts w:ascii="宋体" w:hAnsi="宋体" w:cs="宋体"/>
          <w:bCs/>
          <w:color w:val="auto"/>
          <w:szCs w:val="21"/>
        </w:rPr>
        <w:t>”是指</w:t>
      </w:r>
      <w:r>
        <w:rPr>
          <w:rFonts w:hint="eastAsia" w:ascii="宋体" w:hAnsi="宋体" w:cs="宋体"/>
          <w:bCs/>
          <w:color w:val="auto"/>
          <w:szCs w:val="21"/>
        </w:rPr>
        <w:t>供应商的法定代表人或被授权人亲自在文件规定签署处亲笔写上个人的名字的行为，私章、签字章、印鉴、影印等其它形式</w:t>
      </w:r>
      <w:r>
        <w:rPr>
          <w:rFonts w:ascii="宋体" w:hAnsi="宋体" w:cs="宋体"/>
          <w:bCs/>
          <w:color w:val="auto"/>
          <w:szCs w:val="21"/>
        </w:rPr>
        <w:t>均不能代替</w:t>
      </w:r>
      <w:r>
        <w:rPr>
          <w:rFonts w:hint="eastAsia" w:ascii="宋体" w:hAnsi="宋体" w:cs="宋体"/>
          <w:bCs/>
          <w:color w:val="auto"/>
          <w:szCs w:val="21"/>
        </w:rPr>
        <w:t>亲笔签字</w:t>
      </w:r>
      <w:r>
        <w:rPr>
          <w:rFonts w:ascii="宋体" w:hAnsi="宋体" w:cs="宋体"/>
          <w:bCs/>
          <w:color w:val="auto"/>
          <w:szCs w:val="21"/>
        </w:rPr>
        <w:t>。</w:t>
      </w:r>
    </w:p>
    <w:p>
      <w:pPr>
        <w:spacing w:line="350" w:lineRule="exact"/>
        <w:ind w:left="420" w:hanging="420"/>
        <w:rPr>
          <w:rFonts w:ascii="宋体" w:hAnsi="宋体"/>
          <w:bCs/>
          <w:color w:val="auto"/>
          <w:szCs w:val="21"/>
        </w:rPr>
      </w:pPr>
      <w:r>
        <w:rPr>
          <w:rFonts w:hint="eastAsia" w:ascii="宋体" w:hAnsi="宋体"/>
          <w:bCs/>
          <w:color w:val="auto"/>
          <w:szCs w:val="21"/>
        </w:rPr>
        <w:t>10. 响应文件有效期</w:t>
      </w:r>
    </w:p>
    <w:p>
      <w:pPr>
        <w:spacing w:line="350" w:lineRule="exact"/>
        <w:ind w:left="420" w:hanging="420"/>
        <w:rPr>
          <w:rFonts w:ascii="宋体" w:hAnsi="宋体"/>
          <w:color w:val="auto"/>
          <w:szCs w:val="21"/>
        </w:rPr>
      </w:pPr>
      <w:r>
        <w:rPr>
          <w:rFonts w:hint="eastAsia" w:ascii="宋体" w:hAnsi="宋体"/>
          <w:color w:val="auto"/>
          <w:szCs w:val="21"/>
        </w:rPr>
        <w:t>10.1</w:t>
      </w:r>
      <w:r>
        <w:rPr>
          <w:rFonts w:hint="eastAsia" w:ascii="宋体" w:hAnsi="宋体"/>
          <w:b/>
          <w:color w:val="auto"/>
          <w:szCs w:val="21"/>
        </w:rPr>
        <w:t>响应文件有效期：</w:t>
      </w:r>
      <w:bookmarkStart w:id="38" w:name="OLE_LINK13"/>
      <w:r>
        <w:rPr>
          <w:rFonts w:hint="eastAsia" w:ascii="宋体" w:hAnsi="宋体"/>
          <w:color w:val="auto"/>
          <w:szCs w:val="21"/>
        </w:rPr>
        <w:t>详见供应商须知前附表</w:t>
      </w:r>
      <w:bookmarkEnd w:id="38"/>
      <w:r>
        <w:rPr>
          <w:rFonts w:hint="eastAsia" w:ascii="宋体" w:hAnsi="宋体"/>
          <w:color w:val="auto"/>
          <w:szCs w:val="21"/>
        </w:rPr>
        <w:t>。</w:t>
      </w:r>
    </w:p>
    <w:p>
      <w:pPr>
        <w:spacing w:line="350" w:lineRule="exact"/>
        <w:ind w:left="420" w:hanging="420"/>
        <w:rPr>
          <w:rFonts w:ascii="宋体" w:hAnsi="宋体"/>
          <w:color w:val="auto"/>
          <w:szCs w:val="21"/>
        </w:rPr>
      </w:pPr>
      <w:r>
        <w:rPr>
          <w:rFonts w:hint="eastAsia" w:ascii="宋体" w:hAnsi="宋体"/>
          <w:color w:val="auto"/>
          <w:szCs w:val="21"/>
        </w:rPr>
        <w:t>10.1.1未成交的响应文件有效期内均应保持有效。</w:t>
      </w:r>
    </w:p>
    <w:p>
      <w:pPr>
        <w:spacing w:line="350" w:lineRule="exact"/>
        <w:ind w:left="420" w:hanging="420"/>
        <w:rPr>
          <w:rFonts w:ascii="宋体" w:hAnsi="宋体"/>
          <w:color w:val="auto"/>
          <w:szCs w:val="21"/>
        </w:rPr>
      </w:pPr>
      <w:r>
        <w:rPr>
          <w:rFonts w:hint="eastAsia" w:ascii="宋体" w:hAnsi="宋体"/>
          <w:color w:val="auto"/>
          <w:szCs w:val="21"/>
        </w:rPr>
        <w:t>10.1.2成交供应商的响应文件自递交截止之日起至合同履行完毕止均应保持有效。</w:t>
      </w:r>
    </w:p>
    <w:p>
      <w:pPr>
        <w:spacing w:line="350" w:lineRule="exact"/>
        <w:ind w:left="420" w:hanging="420"/>
        <w:rPr>
          <w:rFonts w:ascii="宋体" w:hAnsi="宋体"/>
          <w:b/>
          <w:color w:val="auto"/>
          <w:szCs w:val="21"/>
        </w:rPr>
      </w:pPr>
      <w:r>
        <w:rPr>
          <w:rFonts w:hint="eastAsia" w:ascii="宋体" w:hAnsi="宋体"/>
          <w:b/>
          <w:color w:val="auto"/>
          <w:szCs w:val="21"/>
        </w:rPr>
        <w:t>11. 磋商保证金</w:t>
      </w:r>
    </w:p>
    <w:p>
      <w:pPr>
        <w:spacing w:line="350" w:lineRule="exact"/>
        <w:rPr>
          <w:rFonts w:ascii="宋体" w:hAnsi="宋体"/>
          <w:color w:val="auto"/>
          <w:szCs w:val="21"/>
        </w:rPr>
      </w:pPr>
      <w:r>
        <w:rPr>
          <w:rFonts w:hint="eastAsia" w:ascii="宋体" w:hAnsi="宋体"/>
          <w:color w:val="auto"/>
          <w:szCs w:val="21"/>
        </w:rPr>
        <w:t>11.1</w:t>
      </w:r>
      <w:r>
        <w:rPr>
          <w:rFonts w:hint="eastAsia" w:ascii="宋体" w:hAnsi="宋体"/>
          <w:b/>
          <w:color w:val="auto"/>
          <w:szCs w:val="21"/>
        </w:rPr>
        <w:t>磋商保证金金额（人民币）</w:t>
      </w:r>
      <w:r>
        <w:rPr>
          <w:rFonts w:hint="eastAsia" w:ascii="宋体" w:hAnsi="宋体"/>
          <w:color w:val="auto"/>
          <w:szCs w:val="21"/>
        </w:rPr>
        <w:t>：详见供应商须知前附表</w:t>
      </w:r>
      <w:r>
        <w:rPr>
          <w:rFonts w:hint="eastAsia" w:ascii="宋体" w:hAnsi="宋体" w:cs="Arial"/>
          <w:color w:val="auto"/>
          <w:szCs w:val="21"/>
        </w:rPr>
        <w:t>，</w:t>
      </w:r>
      <w:r>
        <w:rPr>
          <w:rFonts w:hint="eastAsia" w:ascii="宋体" w:hAnsi="宋体"/>
          <w:color w:val="auto"/>
          <w:szCs w:val="21"/>
        </w:rPr>
        <w:t>保证金应在响应文件有效期内保持有效。</w:t>
      </w:r>
    </w:p>
    <w:p>
      <w:pPr>
        <w:snapToGrid w:val="0"/>
        <w:spacing w:line="320" w:lineRule="exact"/>
        <w:rPr>
          <w:rFonts w:ascii="宋体" w:hAnsi="宋体"/>
          <w:color w:val="auto"/>
          <w:sz w:val="24"/>
          <w:u w:val="single"/>
        </w:rPr>
      </w:pPr>
      <w:r>
        <w:rPr>
          <w:rFonts w:hint="eastAsia" w:ascii="宋体" w:hAnsi="宋体"/>
          <w:color w:val="auto"/>
          <w:szCs w:val="21"/>
        </w:rPr>
        <w:t>11.2</w:t>
      </w:r>
      <w:r>
        <w:rPr>
          <w:rFonts w:hint="eastAsia" w:ascii="宋体" w:hAnsi="宋体"/>
          <w:b/>
          <w:color w:val="auto"/>
          <w:szCs w:val="21"/>
        </w:rPr>
        <w:t>磋商保证金交纳方式：</w:t>
      </w:r>
      <w:r>
        <w:rPr>
          <w:rFonts w:hint="eastAsia" w:ascii="宋体" w:hAnsi="宋体"/>
          <w:color w:val="auto"/>
          <w:szCs w:val="21"/>
        </w:rPr>
        <w:t>详见供应商须知前附表</w:t>
      </w:r>
      <w:r>
        <w:rPr>
          <w:rFonts w:hint="eastAsia" w:ascii="宋体" w:hAnsi="宋体"/>
          <w:color w:val="auto"/>
          <w:sz w:val="24"/>
        </w:rPr>
        <w:t>。</w:t>
      </w:r>
    </w:p>
    <w:p>
      <w:pPr>
        <w:spacing w:line="350" w:lineRule="exact"/>
        <w:ind w:left="105" w:hanging="105" w:hangingChars="50"/>
        <w:rPr>
          <w:bCs/>
          <w:color w:val="auto"/>
        </w:rPr>
      </w:pPr>
      <w:r>
        <w:rPr>
          <w:rFonts w:hint="eastAsia"/>
          <w:bCs/>
          <w:color w:val="auto"/>
        </w:rPr>
        <w:t>注：供应商应按上述要求交纳保证金，并自行考虑到账时间，妥善安排保证金交纳工作，确保按时到账。</w:t>
      </w:r>
    </w:p>
    <w:p>
      <w:pPr>
        <w:spacing w:line="350" w:lineRule="exact"/>
        <w:rPr>
          <w:rFonts w:ascii="宋体" w:hAnsi="宋体"/>
          <w:color w:val="auto"/>
          <w:szCs w:val="21"/>
        </w:rPr>
      </w:pPr>
      <w:r>
        <w:rPr>
          <w:rFonts w:hint="eastAsia" w:ascii="宋体" w:hAnsi="宋体"/>
          <w:color w:val="auto"/>
          <w:szCs w:val="21"/>
        </w:rPr>
        <w:t>11.3除法律规定不予退还保证金的情形外，保证金的退还均以转账形式退回到供应商银行账户。</w:t>
      </w:r>
    </w:p>
    <w:p>
      <w:pPr>
        <w:spacing w:line="350" w:lineRule="exact"/>
        <w:rPr>
          <w:rFonts w:ascii="宋体" w:hAnsi="宋体"/>
          <w:color w:val="auto"/>
          <w:szCs w:val="21"/>
        </w:rPr>
      </w:pPr>
      <w:r>
        <w:rPr>
          <w:rFonts w:hint="eastAsia" w:ascii="宋体" w:hAnsi="宋体"/>
          <w:color w:val="auto"/>
          <w:szCs w:val="21"/>
        </w:rPr>
        <w:t>11.3.1未成交供应商的保证金在成交通知书发出后五个工作日内，由供应商提供本单位开户银行及账号后，以转账方式退还（无息）。</w:t>
      </w:r>
    </w:p>
    <w:p>
      <w:pPr>
        <w:spacing w:line="350" w:lineRule="exact"/>
        <w:rPr>
          <w:rFonts w:ascii="宋体" w:hAnsi="宋体"/>
          <w:color w:val="auto"/>
          <w:szCs w:val="21"/>
        </w:rPr>
      </w:pPr>
      <w:r>
        <w:rPr>
          <w:rFonts w:hint="eastAsia" w:ascii="宋体" w:hAnsi="宋体"/>
          <w:color w:val="auto"/>
          <w:szCs w:val="21"/>
        </w:rPr>
        <w:t xml:space="preserve">11.3.2成交供应商的保证金在合同签订后并将一份合同原件送达到采购代理机构存档后的五个工作日内，以转账方式退还（无息）。 </w:t>
      </w:r>
    </w:p>
    <w:p>
      <w:pPr>
        <w:spacing w:line="350" w:lineRule="exact"/>
        <w:ind w:left="420" w:hanging="420"/>
        <w:rPr>
          <w:rFonts w:ascii="宋体" w:hAnsi="宋体"/>
          <w:b/>
          <w:color w:val="auto"/>
          <w:szCs w:val="21"/>
        </w:rPr>
      </w:pPr>
      <w:r>
        <w:rPr>
          <w:rFonts w:hint="eastAsia" w:ascii="宋体" w:hAnsi="宋体"/>
          <w:b/>
          <w:color w:val="auto"/>
          <w:szCs w:val="21"/>
        </w:rPr>
        <w:t>12. 响应文件的递交</w:t>
      </w:r>
    </w:p>
    <w:p>
      <w:pPr>
        <w:spacing w:line="350" w:lineRule="exact"/>
        <w:rPr>
          <w:rFonts w:ascii="宋体" w:hAnsi="宋体"/>
          <w:color w:val="auto"/>
        </w:rPr>
      </w:pPr>
      <w:r>
        <w:rPr>
          <w:rFonts w:hint="eastAsia" w:ascii="宋体" w:hAnsi="宋体"/>
          <w:color w:val="auto"/>
          <w:szCs w:val="21"/>
        </w:rPr>
        <w:t>12.1</w:t>
      </w:r>
      <w:r>
        <w:rPr>
          <w:rFonts w:hint="eastAsia" w:ascii="宋体" w:hAnsi="宋体"/>
          <w:b/>
          <w:color w:val="auto"/>
        </w:rPr>
        <w:t>响应文件递交截止时间和地点</w:t>
      </w:r>
      <w:r>
        <w:rPr>
          <w:rFonts w:hint="eastAsia" w:ascii="宋体" w:hAnsi="宋体"/>
          <w:color w:val="auto"/>
        </w:rPr>
        <w:t>：详见供应商须知前附表，逾期送达的将予以拒收。</w:t>
      </w:r>
    </w:p>
    <w:p>
      <w:pPr>
        <w:spacing w:line="350" w:lineRule="exact"/>
        <w:rPr>
          <w:color w:val="auto"/>
          <w:szCs w:val="21"/>
        </w:rPr>
      </w:pPr>
      <w:r>
        <w:rPr>
          <w:rFonts w:hint="eastAsia" w:ascii="宋体" w:hAnsi="宋体"/>
          <w:color w:val="auto"/>
          <w:szCs w:val="21"/>
        </w:rPr>
        <w:t>12.2迟交的响应文件：供应商应当在磋商文件要求的截止时间前，将响应文件密封送达指定地点。在截止时间后送达的响应文件为无效文件，采购人、采购代理机构或者磋商小组应当拒收。</w:t>
      </w:r>
    </w:p>
    <w:p>
      <w:pPr>
        <w:spacing w:line="350" w:lineRule="exact"/>
        <w:rPr>
          <w:rFonts w:ascii="宋体" w:hAnsi="宋体"/>
          <w:b/>
          <w:color w:val="auto"/>
          <w:szCs w:val="21"/>
        </w:rPr>
      </w:pPr>
      <w:r>
        <w:rPr>
          <w:rFonts w:hint="eastAsia" w:ascii="宋体" w:hAnsi="宋体"/>
          <w:b/>
          <w:color w:val="auto"/>
          <w:szCs w:val="21"/>
        </w:rPr>
        <w:t>五、磋商小组成立</w:t>
      </w:r>
    </w:p>
    <w:p>
      <w:pPr>
        <w:widowControl/>
        <w:spacing w:line="350" w:lineRule="exact"/>
        <w:ind w:firstLine="411" w:firstLineChars="196"/>
        <w:rPr>
          <w:rFonts w:ascii="宋体" w:hAnsi="宋体"/>
          <w:color w:val="auto"/>
          <w:szCs w:val="21"/>
        </w:rPr>
      </w:pPr>
      <w:r>
        <w:rPr>
          <w:rFonts w:hint="eastAsia" w:ascii="宋体" w:hAnsi="宋体"/>
          <w:color w:val="auto"/>
          <w:szCs w:val="21"/>
        </w:rPr>
        <w:t>13.1竞争性磋商小组成立：磋商小组由采购人代表和评审专家共</w:t>
      </w:r>
      <w:r>
        <w:rPr>
          <w:rFonts w:ascii="宋体" w:hAnsi="宋体"/>
          <w:color w:val="auto"/>
          <w:szCs w:val="21"/>
        </w:rPr>
        <w:t>3</w:t>
      </w:r>
      <w:r>
        <w:rPr>
          <w:rFonts w:hint="eastAsia" w:ascii="宋体" w:hAnsi="宋体"/>
          <w:color w:val="auto"/>
          <w:szCs w:val="21"/>
        </w:rPr>
        <w:t>人（含）以上单数组成，其中评审专家人数不得少于磋商小组成员总数的</w:t>
      </w:r>
      <w:r>
        <w:rPr>
          <w:rFonts w:ascii="宋体" w:hAnsi="宋体"/>
          <w:color w:val="auto"/>
          <w:szCs w:val="21"/>
        </w:rPr>
        <w:t>2/3</w:t>
      </w:r>
      <w:r>
        <w:rPr>
          <w:rFonts w:hint="eastAsia" w:ascii="宋体" w:hAnsi="宋体"/>
          <w:color w:val="auto"/>
          <w:szCs w:val="21"/>
        </w:rPr>
        <w:t>。采购人代表不得以评审专家身份参加本部门或本单位采购项目的评审。采购代理机构人员不得参加本机构代理的采购项目的评审。</w:t>
      </w:r>
    </w:p>
    <w:p>
      <w:pPr>
        <w:widowControl/>
        <w:spacing w:line="350" w:lineRule="exact"/>
        <w:ind w:firstLine="411" w:firstLineChars="196"/>
        <w:rPr>
          <w:rFonts w:ascii="宋体" w:hAnsi="宋体"/>
          <w:color w:val="auto"/>
          <w:szCs w:val="21"/>
        </w:rPr>
      </w:pPr>
      <w:r>
        <w:rPr>
          <w:rFonts w:hint="eastAsia" w:ascii="宋体" w:hAnsi="宋体"/>
          <w:color w:val="auto"/>
          <w:szCs w:val="21"/>
        </w:rPr>
        <w:t>13.2竞争性磋商小组在采购活动过程中应当履行下列职责：</w:t>
      </w:r>
    </w:p>
    <w:p>
      <w:pPr>
        <w:spacing w:line="350" w:lineRule="exact"/>
        <w:ind w:left="420"/>
        <w:rPr>
          <w:rFonts w:ascii="宋体" w:hAnsi="宋体"/>
          <w:color w:val="auto"/>
          <w:szCs w:val="21"/>
        </w:rPr>
      </w:pPr>
      <w:r>
        <w:rPr>
          <w:rFonts w:hint="eastAsia"/>
          <w:color w:val="auto"/>
          <w:szCs w:val="21"/>
        </w:rPr>
        <w:t>1）确</w:t>
      </w:r>
      <w:r>
        <w:rPr>
          <w:rFonts w:hint="eastAsia" w:ascii="宋体" w:hAnsi="宋体"/>
          <w:color w:val="auto"/>
          <w:szCs w:val="21"/>
        </w:rPr>
        <w:t xml:space="preserve">认磋商文件； </w:t>
      </w:r>
    </w:p>
    <w:p>
      <w:pPr>
        <w:spacing w:line="350" w:lineRule="exact"/>
        <w:ind w:left="420"/>
        <w:rPr>
          <w:rFonts w:ascii="宋体" w:hAnsi="宋体"/>
          <w:color w:val="auto"/>
          <w:szCs w:val="21"/>
        </w:rPr>
      </w:pPr>
      <w:r>
        <w:rPr>
          <w:rFonts w:hint="eastAsia" w:ascii="宋体" w:hAnsi="宋体"/>
          <w:color w:val="auto"/>
          <w:szCs w:val="21"/>
        </w:rPr>
        <w:t>2）从符合相应资格条件的供应商名单中供应商参加磋商；</w:t>
      </w:r>
    </w:p>
    <w:p>
      <w:pPr>
        <w:spacing w:line="350" w:lineRule="exact"/>
        <w:ind w:left="420"/>
        <w:rPr>
          <w:rFonts w:ascii="宋体" w:hAnsi="宋体"/>
          <w:color w:val="auto"/>
          <w:szCs w:val="21"/>
        </w:rPr>
      </w:pPr>
      <w:r>
        <w:rPr>
          <w:rFonts w:hint="eastAsia" w:ascii="宋体" w:hAnsi="宋体"/>
          <w:color w:val="auto"/>
          <w:szCs w:val="21"/>
        </w:rPr>
        <w:t>3）审查供应商的响应文件并作出评价；</w:t>
      </w:r>
    </w:p>
    <w:p>
      <w:pPr>
        <w:spacing w:line="350" w:lineRule="exact"/>
        <w:ind w:left="420"/>
        <w:rPr>
          <w:rFonts w:ascii="宋体" w:hAnsi="宋体"/>
          <w:color w:val="auto"/>
          <w:szCs w:val="21"/>
        </w:rPr>
      </w:pPr>
      <w:r>
        <w:rPr>
          <w:rFonts w:hint="eastAsia" w:ascii="宋体" w:hAnsi="宋体"/>
          <w:color w:val="auto"/>
          <w:szCs w:val="21"/>
        </w:rPr>
        <w:t>4）要求供应商解释或者澄清其响应文件；</w:t>
      </w:r>
    </w:p>
    <w:p>
      <w:pPr>
        <w:spacing w:line="350" w:lineRule="exact"/>
        <w:ind w:left="420"/>
        <w:rPr>
          <w:rFonts w:ascii="宋体" w:hAnsi="宋体"/>
          <w:color w:val="auto"/>
          <w:szCs w:val="21"/>
        </w:rPr>
      </w:pPr>
      <w:r>
        <w:rPr>
          <w:rFonts w:hint="eastAsia" w:ascii="宋体" w:hAnsi="宋体"/>
          <w:color w:val="auto"/>
          <w:szCs w:val="21"/>
        </w:rPr>
        <w:t>5）编写评审报告；</w:t>
      </w:r>
    </w:p>
    <w:p>
      <w:pPr>
        <w:spacing w:line="350" w:lineRule="exact"/>
        <w:ind w:left="420"/>
        <w:rPr>
          <w:rFonts w:ascii="宋体" w:hAnsi="宋体"/>
          <w:color w:val="auto"/>
          <w:szCs w:val="21"/>
        </w:rPr>
      </w:pPr>
      <w:r>
        <w:rPr>
          <w:rFonts w:hint="eastAsia" w:ascii="宋体" w:hAnsi="宋体"/>
          <w:color w:val="auto"/>
          <w:szCs w:val="21"/>
        </w:rPr>
        <w:t>6）告知采购人、采购代理机构在评审过程中发现的供应商的违法违规行为。</w:t>
      </w:r>
    </w:p>
    <w:p>
      <w:pPr>
        <w:spacing w:line="350" w:lineRule="exact"/>
        <w:ind w:left="420"/>
        <w:rPr>
          <w:rFonts w:ascii="宋体" w:hAnsi="宋体"/>
          <w:color w:val="auto"/>
          <w:szCs w:val="21"/>
        </w:rPr>
      </w:pPr>
      <w:r>
        <w:rPr>
          <w:rFonts w:hint="eastAsia" w:ascii="宋体" w:hAnsi="宋体"/>
          <w:color w:val="auto"/>
          <w:szCs w:val="21"/>
        </w:rPr>
        <w:t>13.3</w:t>
      </w:r>
      <w:r>
        <w:rPr>
          <w:rFonts w:hint="eastAsia"/>
          <w:color w:val="auto"/>
          <w:szCs w:val="21"/>
        </w:rPr>
        <w:t>竞争性磋商</w:t>
      </w:r>
      <w:r>
        <w:rPr>
          <w:rFonts w:hint="eastAsia" w:ascii="宋体" w:hAnsi="宋体"/>
          <w:color w:val="auto"/>
          <w:szCs w:val="21"/>
        </w:rPr>
        <w:t>小组成员应当履行下列义务：</w:t>
      </w:r>
    </w:p>
    <w:p>
      <w:pPr>
        <w:spacing w:line="350" w:lineRule="exact"/>
        <w:ind w:left="420"/>
        <w:rPr>
          <w:rFonts w:ascii="宋体" w:hAnsi="宋体"/>
          <w:color w:val="auto"/>
          <w:szCs w:val="21"/>
        </w:rPr>
      </w:pPr>
      <w:r>
        <w:rPr>
          <w:rFonts w:hint="eastAsia" w:ascii="宋体" w:hAnsi="宋体"/>
          <w:color w:val="auto"/>
          <w:szCs w:val="21"/>
        </w:rPr>
        <w:t>1）遵纪守法，客观、公正、廉洁地履行职责；</w:t>
      </w:r>
    </w:p>
    <w:p>
      <w:pPr>
        <w:spacing w:line="350" w:lineRule="exact"/>
        <w:ind w:left="420"/>
        <w:rPr>
          <w:rFonts w:ascii="宋体" w:hAnsi="宋体"/>
          <w:color w:val="auto"/>
          <w:szCs w:val="21"/>
        </w:rPr>
      </w:pPr>
      <w:r>
        <w:rPr>
          <w:rFonts w:hint="eastAsia" w:ascii="宋体" w:hAnsi="宋体"/>
          <w:color w:val="auto"/>
          <w:szCs w:val="21"/>
        </w:rPr>
        <w:t>2）根据采购文件的规定独立进行评审，对个人的评审意见承担法律责任；</w:t>
      </w:r>
    </w:p>
    <w:p>
      <w:pPr>
        <w:spacing w:line="350" w:lineRule="exact"/>
        <w:ind w:left="420"/>
        <w:rPr>
          <w:rFonts w:ascii="宋体" w:hAnsi="宋体"/>
          <w:color w:val="auto"/>
          <w:szCs w:val="21"/>
        </w:rPr>
      </w:pPr>
      <w:r>
        <w:rPr>
          <w:rFonts w:hint="eastAsia" w:ascii="宋体" w:hAnsi="宋体"/>
          <w:color w:val="auto"/>
          <w:szCs w:val="21"/>
        </w:rPr>
        <w:t>3）参与评审报告的起草；</w:t>
      </w:r>
    </w:p>
    <w:p>
      <w:pPr>
        <w:spacing w:line="350" w:lineRule="exact"/>
        <w:ind w:left="420"/>
        <w:rPr>
          <w:rFonts w:ascii="宋体" w:hAnsi="宋体"/>
          <w:color w:val="auto"/>
          <w:szCs w:val="21"/>
        </w:rPr>
      </w:pPr>
      <w:r>
        <w:rPr>
          <w:rFonts w:hint="eastAsia" w:ascii="宋体" w:hAnsi="宋体"/>
          <w:color w:val="auto"/>
          <w:szCs w:val="21"/>
        </w:rPr>
        <w:t>4）配合采购人、采购代理机构答复供应商提出的质疑；</w:t>
      </w:r>
    </w:p>
    <w:p>
      <w:pPr>
        <w:spacing w:line="350" w:lineRule="exact"/>
        <w:ind w:left="420"/>
        <w:rPr>
          <w:color w:val="auto"/>
          <w:szCs w:val="21"/>
        </w:rPr>
      </w:pPr>
      <w:r>
        <w:rPr>
          <w:rFonts w:hint="eastAsia" w:ascii="宋体" w:hAnsi="宋体"/>
          <w:color w:val="auto"/>
          <w:szCs w:val="21"/>
        </w:rPr>
        <w:t>5）配合财</w:t>
      </w:r>
      <w:r>
        <w:rPr>
          <w:rFonts w:hint="eastAsia"/>
          <w:color w:val="auto"/>
          <w:szCs w:val="21"/>
        </w:rPr>
        <w:t>政部门的投诉处理和监督检查工作。</w:t>
      </w:r>
    </w:p>
    <w:p>
      <w:pPr>
        <w:tabs>
          <w:tab w:val="left" w:pos="1155"/>
        </w:tabs>
        <w:spacing w:line="350" w:lineRule="exact"/>
        <w:rPr>
          <w:rFonts w:ascii="宋体" w:hAnsi="宋体"/>
          <w:b/>
          <w:color w:val="auto"/>
          <w:szCs w:val="21"/>
        </w:rPr>
      </w:pPr>
      <w:r>
        <w:rPr>
          <w:rFonts w:hint="eastAsia" w:ascii="宋体" w:hAnsi="宋体"/>
          <w:b/>
          <w:color w:val="auto"/>
          <w:szCs w:val="21"/>
        </w:rPr>
        <w:t>六、响应文件评审程序</w:t>
      </w:r>
      <w:r>
        <w:rPr>
          <w:rFonts w:ascii="宋体" w:hAnsi="宋体"/>
          <w:b/>
          <w:color w:val="auto"/>
          <w:szCs w:val="21"/>
        </w:rPr>
        <w:tab/>
      </w:r>
    </w:p>
    <w:p>
      <w:pPr>
        <w:spacing w:line="350" w:lineRule="exact"/>
        <w:ind w:firstLine="420" w:firstLineChars="200"/>
        <w:rPr>
          <w:rFonts w:ascii="宋体" w:hAnsi="宋体"/>
          <w:color w:val="auto"/>
          <w:szCs w:val="21"/>
        </w:rPr>
      </w:pPr>
      <w:r>
        <w:rPr>
          <w:rFonts w:hint="eastAsia" w:ascii="宋体" w:hAnsi="宋体" w:cs="宋体"/>
          <w:color w:val="auto"/>
          <w:kern w:val="0"/>
          <w:szCs w:val="21"/>
        </w:rPr>
        <w:t>14.1</w:t>
      </w:r>
      <w:r>
        <w:rPr>
          <w:rFonts w:hint="eastAsia" w:ascii="宋体" w:hAnsi="宋体"/>
          <w:b/>
          <w:color w:val="auto"/>
        </w:rPr>
        <w:t>响应文件开启时间、磋商时间及地点</w:t>
      </w:r>
      <w:r>
        <w:rPr>
          <w:rFonts w:hint="eastAsia" w:ascii="宋体" w:hAnsi="宋体"/>
          <w:color w:val="auto"/>
        </w:rPr>
        <w:t>：响应文件递交截止时间后为开启响应文件及与供应商磋商时间，具体时间由采购代理机构另行通知。</w:t>
      </w:r>
      <w:r>
        <w:rPr>
          <w:rFonts w:hint="eastAsia" w:ascii="宋体" w:hAnsi="宋体"/>
          <w:b/>
          <w:color w:val="auto"/>
        </w:rPr>
        <w:t>地点：</w:t>
      </w:r>
      <w:r>
        <w:rPr>
          <w:rFonts w:hint="eastAsia"/>
          <w:color w:val="auto"/>
          <w:u w:val="single"/>
        </w:rPr>
        <w:t>详见竞标人须知前附表</w:t>
      </w:r>
      <w:r>
        <w:rPr>
          <w:rFonts w:hint="eastAsia" w:ascii="宋体" w:hAnsi="宋体"/>
          <w:color w:val="auto"/>
        </w:rPr>
        <w:t>，</w:t>
      </w:r>
      <w:r>
        <w:rPr>
          <w:rFonts w:hint="eastAsia" w:ascii="宋体" w:hAnsi="宋体"/>
          <w:color w:val="auto"/>
          <w:szCs w:val="21"/>
        </w:rPr>
        <w:t>参加磋商的法定代表人或相应的被授权人必须持有效证件（法定代表人凭身份证或相应的被授权人凭授权委托书原件和身份证）依时到达指定地点等候当面</w:t>
      </w:r>
      <w:r>
        <w:rPr>
          <w:rFonts w:hint="eastAsia" w:ascii="宋体" w:hAnsi="宋体"/>
          <w:color w:val="auto"/>
        </w:rPr>
        <w:t>磋商</w:t>
      </w:r>
      <w:r>
        <w:rPr>
          <w:rFonts w:hint="eastAsia" w:ascii="宋体" w:hAnsi="宋体"/>
          <w:color w:val="auto"/>
          <w:szCs w:val="21"/>
        </w:rPr>
        <w:t>。</w:t>
      </w:r>
    </w:p>
    <w:p>
      <w:pPr>
        <w:spacing w:line="350" w:lineRule="exact"/>
        <w:ind w:firstLine="420" w:firstLineChars="200"/>
        <w:rPr>
          <w:rFonts w:ascii="宋体" w:hAnsi="宋体"/>
          <w:color w:val="auto"/>
          <w:szCs w:val="21"/>
        </w:rPr>
      </w:pPr>
      <w:r>
        <w:rPr>
          <w:rFonts w:hint="eastAsia" w:ascii="宋体" w:hAnsi="宋体"/>
          <w:color w:val="auto"/>
          <w:szCs w:val="21"/>
        </w:rPr>
        <w:t>14.2</w:t>
      </w:r>
      <w:r>
        <w:rPr>
          <w:rFonts w:ascii="宋体" w:hAnsi="宋体"/>
          <w:color w:val="auto"/>
          <w:szCs w:val="21"/>
        </w:rPr>
        <w:t>磋商小组</w:t>
      </w:r>
      <w:r>
        <w:rPr>
          <w:rFonts w:hint="eastAsia" w:ascii="宋体" w:hAnsi="宋体"/>
          <w:color w:val="auto"/>
          <w:szCs w:val="21"/>
        </w:rPr>
        <w:t>确认竞争性磋商文件。</w:t>
      </w:r>
    </w:p>
    <w:p>
      <w:pPr>
        <w:spacing w:line="350" w:lineRule="exact"/>
        <w:ind w:firstLine="420" w:firstLineChars="200"/>
        <w:rPr>
          <w:rFonts w:ascii="宋体" w:hAnsi="宋体"/>
          <w:color w:val="auto"/>
          <w:szCs w:val="21"/>
        </w:rPr>
      </w:pPr>
      <w:r>
        <w:rPr>
          <w:rFonts w:hint="eastAsia" w:ascii="宋体" w:hAnsi="宋体"/>
          <w:color w:val="auto"/>
          <w:szCs w:val="21"/>
        </w:rPr>
        <w:t>14.3</w:t>
      </w:r>
      <w:r>
        <w:rPr>
          <w:rFonts w:ascii="宋体" w:hAnsi="宋体"/>
          <w:color w:val="auto"/>
          <w:szCs w:val="21"/>
        </w:rPr>
        <w:t>磋商小组对响应文件进行评审，</w:t>
      </w:r>
      <w:r>
        <w:rPr>
          <w:rFonts w:hint="eastAsia" w:ascii="宋体" w:hAnsi="宋体"/>
          <w:color w:val="auto"/>
          <w:szCs w:val="21"/>
        </w:rPr>
        <w:t>并根据竞争性磋商文件规定的程序、评定成交标准等事项与实质性响应竞争性磋商文件要求的供应商进行磋商</w:t>
      </w:r>
      <w:r>
        <w:rPr>
          <w:rFonts w:ascii="宋体" w:hAnsi="宋体"/>
          <w:color w:val="auto"/>
          <w:szCs w:val="21"/>
        </w:rPr>
        <w:t>。</w:t>
      </w:r>
    </w:p>
    <w:p>
      <w:pPr>
        <w:spacing w:line="350" w:lineRule="exact"/>
        <w:ind w:firstLine="420" w:firstLineChars="200"/>
        <w:rPr>
          <w:rFonts w:ascii="宋体" w:hAnsi="宋体"/>
          <w:color w:val="auto"/>
          <w:szCs w:val="21"/>
        </w:rPr>
      </w:pPr>
      <w:r>
        <w:rPr>
          <w:rFonts w:hint="eastAsia" w:ascii="宋体" w:hAnsi="宋体"/>
          <w:color w:val="auto"/>
          <w:szCs w:val="21"/>
        </w:rPr>
        <w:t>14.3.1</w:t>
      </w:r>
      <w:r>
        <w:rPr>
          <w:rFonts w:ascii="宋体" w:hAnsi="宋体"/>
          <w:color w:val="auto"/>
          <w:szCs w:val="21"/>
        </w:rPr>
        <w:t>资格条件</w:t>
      </w:r>
      <w:r>
        <w:rPr>
          <w:rFonts w:hint="eastAsia" w:ascii="宋体" w:hAnsi="宋体"/>
          <w:color w:val="auto"/>
          <w:szCs w:val="21"/>
        </w:rPr>
        <w:t>不符合</w:t>
      </w:r>
      <w:r>
        <w:rPr>
          <w:rFonts w:ascii="宋体" w:hAnsi="宋体"/>
          <w:color w:val="auto"/>
          <w:szCs w:val="21"/>
        </w:rPr>
        <w:t>的供应商</w:t>
      </w:r>
      <w:r>
        <w:rPr>
          <w:rFonts w:hint="eastAsia" w:ascii="宋体" w:hAnsi="宋体"/>
          <w:color w:val="auto"/>
          <w:szCs w:val="21"/>
        </w:rPr>
        <w:t>或</w:t>
      </w:r>
      <w:r>
        <w:rPr>
          <w:rFonts w:ascii="宋体" w:hAnsi="宋体"/>
          <w:color w:val="auto"/>
          <w:szCs w:val="21"/>
        </w:rPr>
        <w:t>未实质性响应竞争性磋商文件的响应文件按无效处理，磋商小组应当告知有关供应商。</w:t>
      </w:r>
    </w:p>
    <w:p>
      <w:pPr>
        <w:spacing w:line="350" w:lineRule="exact"/>
        <w:ind w:firstLine="420" w:firstLineChars="200"/>
        <w:rPr>
          <w:rFonts w:ascii="宋体" w:hAnsi="宋体"/>
          <w:color w:val="auto"/>
          <w:szCs w:val="21"/>
        </w:rPr>
      </w:pPr>
      <w:r>
        <w:rPr>
          <w:rFonts w:hint="eastAsia" w:ascii="宋体" w:hAnsi="宋体"/>
          <w:color w:val="auto"/>
          <w:szCs w:val="21"/>
        </w:rPr>
        <w:t>14.3.2澄清</w:t>
      </w:r>
    </w:p>
    <w:p>
      <w:pPr>
        <w:spacing w:line="350" w:lineRule="exact"/>
        <w:ind w:firstLine="420" w:firstLineChars="200"/>
        <w:rPr>
          <w:rFonts w:ascii="宋体" w:hAnsi="宋体"/>
          <w:color w:val="auto"/>
          <w:szCs w:val="21"/>
        </w:rPr>
      </w:pPr>
      <w:r>
        <w:rPr>
          <w:rFonts w:hint="eastAsia" w:ascii="宋体" w:hAnsi="宋体"/>
          <w:color w:val="auto"/>
          <w:szCs w:val="21"/>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50" w:lineRule="exact"/>
        <w:ind w:firstLine="420" w:firstLineChars="200"/>
        <w:rPr>
          <w:rFonts w:ascii="宋体" w:hAnsi="宋体" w:cs="宋体"/>
          <w:color w:val="auto"/>
          <w:kern w:val="0"/>
          <w:szCs w:val="21"/>
        </w:rPr>
      </w:pPr>
      <w:r>
        <w:rPr>
          <w:rFonts w:hint="eastAsia" w:ascii="宋体" w:hAnsi="宋体"/>
          <w:color w:val="auto"/>
          <w:szCs w:val="21"/>
        </w:rPr>
        <w:t>磋商小组要求供应商澄清、说明或者更正响应文件应当以书面形式作出。供应商的澄清、说明或者更正应当由法定代表人或其授权代表签字或者加盖公章。由授权代表签字的，应当附法定代表人授权书。</w:t>
      </w:r>
    </w:p>
    <w:p>
      <w:pPr>
        <w:spacing w:line="350" w:lineRule="exact"/>
        <w:ind w:firstLine="420" w:firstLineChars="200"/>
        <w:rPr>
          <w:rFonts w:ascii="宋体" w:hAnsi="宋体" w:cs="宋体"/>
          <w:color w:val="auto"/>
          <w:kern w:val="0"/>
          <w:szCs w:val="21"/>
        </w:rPr>
      </w:pPr>
      <w:r>
        <w:rPr>
          <w:rFonts w:hint="eastAsia" w:ascii="宋体" w:hAnsi="宋体" w:cs="宋体"/>
          <w:color w:val="auto"/>
          <w:kern w:val="0"/>
          <w:szCs w:val="21"/>
        </w:rPr>
        <w:t>14.4磋商</w:t>
      </w:r>
    </w:p>
    <w:p>
      <w:pPr>
        <w:spacing w:line="350" w:lineRule="exact"/>
        <w:ind w:firstLine="420" w:firstLineChars="200"/>
        <w:rPr>
          <w:rFonts w:ascii="宋体" w:hAnsi="宋体"/>
          <w:color w:val="auto"/>
          <w:szCs w:val="21"/>
        </w:rPr>
      </w:pPr>
      <w:r>
        <w:rPr>
          <w:rFonts w:hint="eastAsia" w:ascii="宋体" w:hAnsi="宋体"/>
          <w:color w:val="auto"/>
          <w:szCs w:val="21"/>
        </w:rPr>
        <w:t>14.4.1磋商时间及地点：</w:t>
      </w:r>
      <w:r>
        <w:rPr>
          <w:rFonts w:hint="eastAsia" w:ascii="宋体" w:hAnsi="宋体"/>
          <w:color w:val="auto"/>
          <w:szCs w:val="21"/>
          <w:u w:val="single"/>
        </w:rPr>
        <w:t>磋商时间：响应文件递交截止时间后为与供应商磋商时间，具体时间由采购代理机构另行通知</w:t>
      </w:r>
      <w:r>
        <w:rPr>
          <w:rFonts w:hint="eastAsia" w:ascii="宋体" w:hAnsi="宋体"/>
          <w:color w:val="auto"/>
          <w:szCs w:val="21"/>
        </w:rPr>
        <w:t>；</w:t>
      </w:r>
      <w:r>
        <w:rPr>
          <w:rFonts w:hint="eastAsia" w:ascii="宋体" w:hAnsi="宋体"/>
          <w:color w:val="auto"/>
          <w:szCs w:val="21"/>
          <w:u w:val="single"/>
        </w:rPr>
        <w:t>磋商地点：详见供应商须知前附表</w:t>
      </w:r>
      <w:r>
        <w:rPr>
          <w:rFonts w:hint="eastAsia" w:ascii="宋体" w:hAnsi="宋体"/>
          <w:color w:val="auto"/>
          <w:szCs w:val="21"/>
        </w:rPr>
        <w:t>。参加磋商的法定代表人或相应的委托代理人必须持有效证件【法定代表人凭身份证或相应的被授权人凭授权委托书原件和身份证】依时到达指定地点等候当面</w:t>
      </w:r>
      <w:r>
        <w:rPr>
          <w:rFonts w:hint="eastAsia" w:ascii="宋体" w:hAnsi="宋体"/>
          <w:color w:val="auto"/>
        </w:rPr>
        <w:t>磋商</w:t>
      </w:r>
      <w:r>
        <w:rPr>
          <w:rFonts w:hint="eastAsia" w:ascii="宋体" w:hAnsi="宋体"/>
          <w:color w:val="auto"/>
          <w:szCs w:val="21"/>
        </w:rPr>
        <w:t>。</w:t>
      </w:r>
    </w:p>
    <w:p>
      <w:pPr>
        <w:spacing w:line="350" w:lineRule="exact"/>
        <w:ind w:firstLine="420" w:firstLineChars="200"/>
        <w:rPr>
          <w:rFonts w:ascii="宋体" w:hAnsi="宋体" w:cs="宋体"/>
          <w:color w:val="auto"/>
          <w:kern w:val="0"/>
          <w:szCs w:val="21"/>
        </w:rPr>
      </w:pPr>
      <w:r>
        <w:rPr>
          <w:rFonts w:hint="eastAsia" w:ascii="宋体" w:hAnsi="宋体"/>
          <w:color w:val="auto"/>
          <w:szCs w:val="21"/>
        </w:rPr>
        <w:t>14.4.2供应商参加磋商需要携带的材料：</w:t>
      </w:r>
      <w:r>
        <w:rPr>
          <w:rFonts w:hint="eastAsia" w:ascii="宋体" w:hAnsi="宋体"/>
          <w:color w:val="auto"/>
        </w:rPr>
        <w:t>参加磋商的法定代表人或被授权人必须持有效证件（法定代表人凭身份证明书和身份证或被授权人凭法人授权委托书原件和身份证）</w:t>
      </w:r>
      <w:r>
        <w:rPr>
          <w:rFonts w:hint="eastAsia" w:ascii="宋体" w:hAnsi="宋体"/>
          <w:color w:val="auto"/>
          <w:szCs w:val="21"/>
        </w:rPr>
        <w:t>。</w:t>
      </w:r>
    </w:p>
    <w:p>
      <w:pPr>
        <w:spacing w:line="350" w:lineRule="exact"/>
        <w:ind w:firstLine="420" w:firstLineChars="200"/>
        <w:rPr>
          <w:rFonts w:ascii="宋体" w:hAnsi="宋体" w:cs="宋体"/>
          <w:color w:val="auto"/>
          <w:kern w:val="0"/>
          <w:szCs w:val="21"/>
        </w:rPr>
      </w:pPr>
      <w:r>
        <w:rPr>
          <w:rFonts w:hint="eastAsia" w:ascii="宋体" w:hAnsi="宋体" w:cs="宋体"/>
          <w:color w:val="auto"/>
          <w:kern w:val="0"/>
          <w:szCs w:val="21"/>
        </w:rPr>
        <w:t>磋商小组按已确定的</w:t>
      </w:r>
      <w:r>
        <w:rPr>
          <w:rFonts w:hint="eastAsia" w:ascii="宋体" w:hAnsi="宋体"/>
          <w:color w:val="auto"/>
          <w:szCs w:val="21"/>
        </w:rPr>
        <w:t>磋商顺序，</w:t>
      </w:r>
      <w:r>
        <w:rPr>
          <w:rFonts w:ascii="宋体" w:hAnsi="宋体"/>
          <w:color w:val="auto"/>
          <w:szCs w:val="21"/>
        </w:rPr>
        <w:t>磋商小组所有成员应当集中与单一供应商分别进行磋商，并给予所有参加磋商的供应商平等的磋商机会。</w:t>
      </w:r>
    </w:p>
    <w:p>
      <w:pPr>
        <w:spacing w:line="350" w:lineRule="exact"/>
        <w:ind w:firstLine="420" w:firstLineChars="200"/>
        <w:rPr>
          <w:rFonts w:ascii="宋体" w:hAnsi="宋体"/>
          <w:color w:val="auto"/>
          <w:szCs w:val="21"/>
        </w:rPr>
      </w:pPr>
      <w:r>
        <w:rPr>
          <w:rFonts w:ascii="宋体" w:hAnsi="宋体"/>
          <w:color w:val="auto"/>
          <w:szCs w:val="21"/>
        </w:rPr>
        <w:t>在磋商过程中，磋商小组可以根据竞争性磋商文件和磋商情况实质性变动采购需求中的技术、服务要求以及合同草案条款，但不得变动竞争性磋商文件中的其他内容。实质性变动的内容，须经采购人代表确认。</w:t>
      </w:r>
    </w:p>
    <w:p>
      <w:pPr>
        <w:spacing w:line="350" w:lineRule="exact"/>
        <w:ind w:firstLine="420" w:firstLineChars="200"/>
        <w:rPr>
          <w:rFonts w:ascii="宋体" w:hAnsi="宋体"/>
          <w:color w:val="auto"/>
          <w:szCs w:val="21"/>
        </w:rPr>
      </w:pPr>
      <w:r>
        <w:rPr>
          <w:rFonts w:ascii="宋体" w:hAnsi="宋体"/>
          <w:color w:val="auto"/>
          <w:szCs w:val="21"/>
        </w:rPr>
        <w:t>对竞争性磋商文件作出的实质性变动是竞争性磋商文件的有效组成部分，磋商小组应当及时以书面形式同时通知所有参加磋商的供应商。</w:t>
      </w:r>
    </w:p>
    <w:p>
      <w:pPr>
        <w:spacing w:line="350" w:lineRule="exact"/>
        <w:ind w:firstLine="420" w:firstLineChars="200"/>
        <w:rPr>
          <w:rFonts w:ascii="宋体" w:hAnsi="宋体"/>
          <w:color w:val="auto"/>
          <w:szCs w:val="21"/>
        </w:rPr>
      </w:pPr>
      <w:r>
        <w:rPr>
          <w:rFonts w:ascii="宋体" w:hAnsi="宋体"/>
          <w:color w:val="auto"/>
          <w:szCs w:val="21"/>
        </w:rPr>
        <w:t>供应商应当按照竞争性磋商文件的变动情况和磋商小组的要求重新提交响应文件，并由其法定代表人或</w:t>
      </w:r>
      <w:r>
        <w:rPr>
          <w:rFonts w:hint="eastAsia" w:ascii="宋体" w:hAnsi="宋体"/>
          <w:color w:val="auto"/>
          <w:szCs w:val="21"/>
        </w:rPr>
        <w:t>被</w:t>
      </w:r>
      <w:r>
        <w:rPr>
          <w:rFonts w:ascii="宋体" w:hAnsi="宋体"/>
          <w:color w:val="auto"/>
          <w:szCs w:val="21"/>
        </w:rPr>
        <w:t>授权</w:t>
      </w:r>
      <w:r>
        <w:rPr>
          <w:rFonts w:hint="eastAsia" w:ascii="宋体" w:hAnsi="宋体"/>
          <w:color w:val="auto"/>
          <w:szCs w:val="21"/>
        </w:rPr>
        <w:t>人</w:t>
      </w:r>
      <w:r>
        <w:rPr>
          <w:rFonts w:ascii="宋体" w:hAnsi="宋体"/>
          <w:color w:val="auto"/>
          <w:szCs w:val="21"/>
        </w:rPr>
        <w:t>签字或者加盖公章</w:t>
      </w:r>
      <w:r>
        <w:rPr>
          <w:rFonts w:hint="eastAsia" w:ascii="宋体" w:hAnsi="宋体"/>
          <w:color w:val="auto"/>
          <w:szCs w:val="21"/>
        </w:rPr>
        <w:t>。</w:t>
      </w:r>
      <w:r>
        <w:rPr>
          <w:rFonts w:ascii="宋体" w:hAnsi="宋体"/>
          <w:color w:val="auto"/>
          <w:szCs w:val="21"/>
        </w:rPr>
        <w:t>由授权</w:t>
      </w:r>
      <w:r>
        <w:rPr>
          <w:rFonts w:hint="eastAsia" w:ascii="宋体" w:hAnsi="宋体"/>
          <w:color w:val="auto"/>
          <w:szCs w:val="21"/>
        </w:rPr>
        <w:t>人</w:t>
      </w:r>
      <w:r>
        <w:rPr>
          <w:rFonts w:ascii="宋体" w:hAnsi="宋体"/>
          <w:color w:val="auto"/>
          <w:szCs w:val="21"/>
        </w:rPr>
        <w:t>签字的，应当附法定代表人授权书。</w:t>
      </w:r>
    </w:p>
    <w:p>
      <w:pPr>
        <w:spacing w:line="350" w:lineRule="exact"/>
        <w:ind w:firstLine="420" w:firstLineChars="200"/>
        <w:rPr>
          <w:rFonts w:ascii="宋体" w:hAnsi="宋体"/>
          <w:color w:val="auto"/>
          <w:szCs w:val="21"/>
        </w:rPr>
      </w:pPr>
      <w:r>
        <w:rPr>
          <w:rFonts w:hint="eastAsia" w:ascii="宋体" w:hAnsi="宋体"/>
          <w:color w:val="auto"/>
          <w:szCs w:val="21"/>
        </w:rPr>
        <w:t>磋商中，磋商的任何一方不得透露与磋商有关的其他供应商的技术资料、价格和其他信息。</w:t>
      </w:r>
    </w:p>
    <w:p>
      <w:pPr>
        <w:widowControl/>
        <w:tabs>
          <w:tab w:val="left" w:pos="540"/>
        </w:tabs>
        <w:spacing w:line="350" w:lineRule="exact"/>
        <w:ind w:firstLine="420" w:firstLineChars="200"/>
        <w:jc w:val="left"/>
        <w:rPr>
          <w:rFonts w:ascii="宋体" w:hAnsi="宋体"/>
          <w:color w:val="auto"/>
          <w:szCs w:val="21"/>
        </w:rPr>
      </w:pPr>
      <w:r>
        <w:rPr>
          <w:rFonts w:hint="eastAsia" w:ascii="宋体" w:hAnsi="宋体"/>
          <w:color w:val="auto"/>
          <w:szCs w:val="21"/>
        </w:rPr>
        <w:t>采购代理机构对磋商过程和重要磋商内容进行记录，磋商双方在记录上签字确认。</w:t>
      </w:r>
    </w:p>
    <w:p>
      <w:pPr>
        <w:spacing w:line="350" w:lineRule="exact"/>
        <w:ind w:firstLine="422" w:firstLineChars="200"/>
        <w:rPr>
          <w:rFonts w:ascii="宋体" w:hAnsi="宋体"/>
          <w:b/>
          <w:color w:val="auto"/>
          <w:szCs w:val="21"/>
        </w:rPr>
      </w:pPr>
      <w:r>
        <w:rPr>
          <w:rFonts w:hint="eastAsia" w:ascii="宋体" w:hAnsi="宋体"/>
          <w:b/>
          <w:color w:val="auto"/>
          <w:szCs w:val="21"/>
        </w:rPr>
        <w:t>15.最终磋商结束后，磋商小组不得再与供应商进行任何形式的商谈。</w:t>
      </w:r>
    </w:p>
    <w:p>
      <w:pPr>
        <w:spacing w:line="350" w:lineRule="exact"/>
        <w:ind w:firstLine="422" w:firstLineChars="200"/>
        <w:rPr>
          <w:rFonts w:ascii="宋体" w:hAnsi="宋体"/>
          <w:b/>
          <w:color w:val="auto"/>
          <w:szCs w:val="21"/>
        </w:rPr>
      </w:pPr>
      <w:r>
        <w:rPr>
          <w:rFonts w:hint="eastAsia" w:ascii="宋体" w:hAnsi="宋体"/>
          <w:b/>
          <w:color w:val="auto"/>
          <w:szCs w:val="21"/>
        </w:rPr>
        <w:t>16. 评审与比较</w:t>
      </w:r>
    </w:p>
    <w:p>
      <w:pPr>
        <w:tabs>
          <w:tab w:val="left" w:pos="1140"/>
        </w:tabs>
        <w:spacing w:line="350" w:lineRule="exact"/>
        <w:ind w:firstLine="420" w:firstLineChars="200"/>
        <w:rPr>
          <w:rFonts w:ascii="宋体" w:hAnsi="宋体"/>
          <w:color w:val="auto"/>
          <w:szCs w:val="21"/>
        </w:rPr>
      </w:pPr>
      <w:r>
        <w:rPr>
          <w:rFonts w:hint="eastAsia" w:ascii="宋体" w:hAnsi="宋体"/>
          <w:color w:val="auto"/>
          <w:szCs w:val="21"/>
        </w:rPr>
        <w:t>16.1 磋商小组按竞争性磋商文件中规定的评审办法，对资格性审查和符合性审查合格的响应文件进行评估，综合比较与评价。</w:t>
      </w:r>
    </w:p>
    <w:p>
      <w:pPr>
        <w:tabs>
          <w:tab w:val="left" w:pos="1140"/>
        </w:tabs>
        <w:spacing w:line="350" w:lineRule="exact"/>
        <w:ind w:firstLine="420" w:firstLineChars="200"/>
        <w:rPr>
          <w:rFonts w:ascii="宋体" w:hAnsi="宋体"/>
          <w:color w:val="auto"/>
          <w:szCs w:val="21"/>
        </w:rPr>
      </w:pPr>
      <w:r>
        <w:rPr>
          <w:rFonts w:hint="eastAsia" w:ascii="宋体" w:hAnsi="宋体"/>
          <w:color w:val="auto"/>
          <w:szCs w:val="21"/>
        </w:rPr>
        <w:t>16.2采购代理机构对评审数据进行校对、核对，对畸高、畸低的重大差异评分提示磋商小组复核或书面说明理由。</w:t>
      </w:r>
    </w:p>
    <w:p>
      <w:pPr>
        <w:tabs>
          <w:tab w:val="left" w:pos="1140"/>
        </w:tabs>
        <w:spacing w:line="350" w:lineRule="exact"/>
        <w:ind w:firstLine="420" w:firstLineChars="200"/>
        <w:rPr>
          <w:rFonts w:ascii="宋体" w:hAnsi="宋体"/>
          <w:color w:val="auto"/>
          <w:szCs w:val="21"/>
        </w:rPr>
      </w:pPr>
      <w:r>
        <w:rPr>
          <w:rFonts w:hint="eastAsia" w:ascii="宋体" w:hAnsi="宋体"/>
          <w:color w:val="auto"/>
          <w:szCs w:val="21"/>
        </w:rPr>
        <w:t>16.3 在评审过程中出现法律法规和磋商文件均没有明确规定的情形时，由磋商小组现场协商解决，协商不一致的，由全体磋商小组投票表决，以得票率二分之一以上专家的意见为准。</w:t>
      </w:r>
    </w:p>
    <w:p>
      <w:pPr>
        <w:tabs>
          <w:tab w:val="left" w:pos="1140"/>
        </w:tabs>
        <w:spacing w:line="350" w:lineRule="exact"/>
        <w:ind w:firstLine="420" w:firstLineChars="200"/>
        <w:rPr>
          <w:rFonts w:ascii="宋体" w:hAnsi="宋体"/>
          <w:color w:val="auto"/>
          <w:szCs w:val="21"/>
        </w:rPr>
      </w:pPr>
      <w:r>
        <w:rPr>
          <w:rFonts w:hint="eastAsia" w:ascii="宋体" w:hAnsi="宋体"/>
          <w:color w:val="auto"/>
          <w:szCs w:val="21"/>
        </w:rPr>
        <w:t>16.4 采购代理机构发现磋商小组有明显的违规倾向或歧视现象，或不按评审办法进行，或其他不正常行为的，应当及时制止。如制止无效，应及时向监督管理机构报告。</w:t>
      </w:r>
    </w:p>
    <w:p>
      <w:pPr>
        <w:widowControl/>
        <w:tabs>
          <w:tab w:val="left" w:pos="540"/>
        </w:tabs>
        <w:spacing w:line="350" w:lineRule="exact"/>
        <w:ind w:firstLine="420" w:firstLineChars="200"/>
        <w:jc w:val="left"/>
        <w:rPr>
          <w:rFonts w:ascii="宋体" w:hAnsi="宋体"/>
          <w:color w:val="auto"/>
          <w:szCs w:val="21"/>
        </w:rPr>
      </w:pPr>
      <w:r>
        <w:rPr>
          <w:rFonts w:hint="eastAsia" w:ascii="宋体" w:hAnsi="宋体"/>
          <w:color w:val="auto"/>
          <w:szCs w:val="21"/>
        </w:rPr>
        <w:t>16.5</w:t>
      </w:r>
      <w:r>
        <w:rPr>
          <w:rFonts w:hint="eastAsia"/>
          <w:color w:val="auto"/>
        </w:rPr>
        <w:t>评审方法及定标标准</w:t>
      </w:r>
      <w:r>
        <w:rPr>
          <w:rFonts w:hint="eastAsia" w:ascii="宋体" w:hAnsi="宋体"/>
          <w:color w:val="auto"/>
          <w:szCs w:val="21"/>
        </w:rPr>
        <w:t>详见第五章。</w:t>
      </w:r>
    </w:p>
    <w:p>
      <w:pPr>
        <w:pStyle w:val="20"/>
        <w:spacing w:line="420" w:lineRule="exact"/>
        <w:ind w:firstLine="413" w:firstLineChars="196"/>
        <w:rPr>
          <w:b/>
          <w:color w:val="auto"/>
        </w:rPr>
      </w:pPr>
      <w:r>
        <w:rPr>
          <w:rFonts w:hint="eastAsia" w:hAnsi="宋体"/>
          <w:b/>
          <w:color w:val="auto"/>
          <w:szCs w:val="21"/>
        </w:rPr>
        <w:t>17.</w:t>
      </w:r>
      <w:r>
        <w:rPr>
          <w:rFonts w:hint="eastAsia"/>
          <w:b/>
          <w:color w:val="auto"/>
        </w:rPr>
        <w:t>无效的响应文件</w:t>
      </w:r>
    </w:p>
    <w:p>
      <w:pPr>
        <w:pStyle w:val="20"/>
        <w:spacing w:line="420" w:lineRule="exact"/>
        <w:ind w:firstLine="411" w:firstLineChars="196"/>
        <w:rPr>
          <w:color w:val="auto"/>
        </w:rPr>
      </w:pPr>
      <w:r>
        <w:rPr>
          <w:rFonts w:hint="eastAsia"/>
          <w:color w:val="auto"/>
        </w:rPr>
        <w:t>17.1响应文件如有下列情况之一，将会在评标中按照无效响应文件处理</w:t>
      </w:r>
      <w:r>
        <w:rPr>
          <w:rFonts w:hint="eastAsia"/>
          <w:b/>
          <w:color w:val="auto"/>
        </w:rPr>
        <w:t>（(8)- (13)视为供应商串通竞标）</w:t>
      </w:r>
      <w:r>
        <w:rPr>
          <w:rFonts w:hint="eastAsia"/>
          <w:color w:val="auto"/>
        </w:rPr>
        <w:t>：</w:t>
      </w:r>
    </w:p>
    <w:p>
      <w:pPr>
        <w:pStyle w:val="20"/>
        <w:spacing w:line="400" w:lineRule="exact"/>
        <w:ind w:firstLine="420" w:firstLineChars="200"/>
        <w:rPr>
          <w:rFonts w:hAnsi="宋体" w:cs="宋体"/>
          <w:color w:val="auto"/>
        </w:rPr>
      </w:pPr>
      <w:r>
        <w:rPr>
          <w:rFonts w:hint="eastAsia" w:hAnsi="宋体" w:cs="宋体"/>
          <w:color w:val="auto"/>
        </w:rPr>
        <w:t>⑴供应商所提供材料不足以证明其具备本项目要求的资格；</w:t>
      </w:r>
    </w:p>
    <w:p>
      <w:pPr>
        <w:pStyle w:val="20"/>
        <w:spacing w:line="400" w:lineRule="exact"/>
        <w:ind w:firstLine="420" w:firstLineChars="200"/>
        <w:rPr>
          <w:rFonts w:hAnsi="宋体" w:cs="宋体"/>
          <w:color w:val="auto"/>
        </w:rPr>
      </w:pPr>
      <w:r>
        <w:rPr>
          <w:rFonts w:hint="eastAsia" w:hAnsi="宋体" w:cs="宋体"/>
          <w:color w:val="auto"/>
        </w:rPr>
        <w:t>⑵供应商未按规定向采购代理机构购买本项目竞争性磋商文件；</w:t>
      </w:r>
    </w:p>
    <w:p>
      <w:pPr>
        <w:pStyle w:val="20"/>
        <w:spacing w:line="400" w:lineRule="exact"/>
        <w:ind w:firstLine="420" w:firstLineChars="200"/>
        <w:rPr>
          <w:rFonts w:hAnsi="宋体" w:cs="宋体"/>
          <w:color w:val="auto"/>
        </w:rPr>
      </w:pPr>
      <w:r>
        <w:rPr>
          <w:rFonts w:hint="eastAsia" w:hAnsi="宋体" w:cs="宋体"/>
          <w:color w:val="auto"/>
        </w:rPr>
        <w:t>⑶未按本竞争性磋商文件要求交纳磋商保证金的；</w:t>
      </w:r>
    </w:p>
    <w:p>
      <w:pPr>
        <w:pStyle w:val="20"/>
        <w:spacing w:line="400" w:lineRule="exact"/>
        <w:ind w:firstLine="420" w:firstLineChars="200"/>
        <w:rPr>
          <w:rFonts w:hAnsi="宋体" w:cs="宋体"/>
          <w:color w:val="auto"/>
        </w:rPr>
      </w:pPr>
      <w:r>
        <w:rPr>
          <w:rFonts w:hint="eastAsia" w:hAnsi="宋体" w:cs="宋体"/>
          <w:color w:val="auto"/>
        </w:rPr>
        <w:t>⑷ 未按竞争性磋商文件的要求密封、签署、盖章的及要求提供的响应文件份数的；</w:t>
      </w:r>
    </w:p>
    <w:p>
      <w:pPr>
        <w:pStyle w:val="20"/>
        <w:spacing w:line="400" w:lineRule="exact"/>
        <w:ind w:firstLine="420" w:firstLineChars="200"/>
        <w:rPr>
          <w:rFonts w:hAnsi="宋体" w:cs="宋体"/>
          <w:color w:val="auto"/>
        </w:rPr>
      </w:pPr>
      <w:r>
        <w:rPr>
          <w:rFonts w:hint="eastAsia" w:hAnsi="宋体" w:cs="宋体"/>
          <w:color w:val="auto"/>
        </w:rPr>
        <w:t>⑸不符合竞争性磋商文件中规定的实质性要求并且在磋商规定的时间内无法说明和补充的；</w:t>
      </w:r>
    </w:p>
    <w:p>
      <w:pPr>
        <w:pStyle w:val="20"/>
        <w:spacing w:line="400" w:lineRule="exact"/>
        <w:ind w:firstLine="420" w:firstLineChars="200"/>
        <w:rPr>
          <w:rFonts w:hAnsi="宋体" w:cs="宋体"/>
          <w:color w:val="auto"/>
        </w:rPr>
      </w:pPr>
      <w:r>
        <w:rPr>
          <w:rFonts w:hint="eastAsia" w:hAnsi="宋体" w:cs="宋体"/>
          <w:color w:val="auto"/>
        </w:rPr>
        <w:t>⑹供应商无法在规定时间内提供资格证明材料进行核对，或应谈判与</w:t>
      </w:r>
      <w:r>
        <w:rPr>
          <w:rFonts w:hint="eastAsia" w:hAnsi="宋体"/>
          <w:color w:val="auto"/>
          <w:szCs w:val="21"/>
        </w:rPr>
        <w:t>磋商小组</w:t>
      </w:r>
      <w:r>
        <w:rPr>
          <w:rFonts w:hint="eastAsia" w:hAnsi="宋体" w:cs="宋体"/>
          <w:color w:val="auto"/>
        </w:rPr>
        <w:t>要求提供的有关材料原件与其在响应文件中所提供的材料复印件不一致的；</w:t>
      </w:r>
    </w:p>
    <w:p>
      <w:pPr>
        <w:pStyle w:val="20"/>
        <w:spacing w:line="400" w:lineRule="exact"/>
        <w:ind w:firstLine="420" w:firstLineChars="200"/>
        <w:rPr>
          <w:rFonts w:hAnsi="宋体" w:cs="宋体"/>
          <w:color w:val="auto"/>
        </w:rPr>
      </w:pPr>
      <w:r>
        <w:rPr>
          <w:rFonts w:hint="eastAsia" w:hAnsi="宋体" w:cs="宋体"/>
          <w:color w:val="auto"/>
        </w:rPr>
        <w:t>⑺不符合法律、法规和竞争性磋商文件规定的其他实质性要求和条件的。</w:t>
      </w:r>
    </w:p>
    <w:p>
      <w:pPr>
        <w:pStyle w:val="20"/>
        <w:spacing w:line="400" w:lineRule="exact"/>
        <w:ind w:firstLine="420" w:firstLineChars="200"/>
        <w:rPr>
          <w:rFonts w:hAnsi="宋体" w:cs="宋体"/>
          <w:color w:val="auto"/>
        </w:rPr>
      </w:pPr>
      <w:r>
        <w:rPr>
          <w:rFonts w:hint="eastAsia" w:hAnsi="宋体" w:cs="宋体"/>
          <w:color w:val="auto"/>
        </w:rPr>
        <w:t>⑻</w:t>
      </w:r>
      <w:r>
        <w:rPr>
          <w:rFonts w:hint="eastAsia" w:hAnsi="宋体"/>
          <w:color w:val="auto"/>
          <w:szCs w:val="21"/>
        </w:rPr>
        <w:t>不同</w:t>
      </w:r>
      <w:r>
        <w:rPr>
          <w:rFonts w:hint="eastAsia" w:hAnsi="宋体" w:cs="宋体"/>
          <w:color w:val="auto"/>
        </w:rPr>
        <w:t>供应商</w:t>
      </w:r>
      <w:r>
        <w:rPr>
          <w:rFonts w:hint="eastAsia" w:hAnsi="宋体"/>
          <w:color w:val="auto"/>
          <w:szCs w:val="21"/>
        </w:rPr>
        <w:t>的响应文件由同一单位或者个人编制；或不同竞标人报名的IP地址一致的；</w:t>
      </w:r>
    </w:p>
    <w:p>
      <w:pPr>
        <w:pStyle w:val="20"/>
        <w:spacing w:line="400" w:lineRule="exact"/>
        <w:ind w:firstLine="420" w:firstLineChars="200"/>
        <w:rPr>
          <w:rFonts w:hAnsi="宋体" w:cs="宋体"/>
          <w:color w:val="auto"/>
        </w:rPr>
      </w:pPr>
      <w:r>
        <w:rPr>
          <w:rFonts w:hint="eastAsia" w:hAnsi="宋体" w:cs="宋体"/>
          <w:color w:val="auto"/>
        </w:rPr>
        <w:t>⑼</w:t>
      </w:r>
      <w:r>
        <w:rPr>
          <w:rFonts w:hint="eastAsia" w:hAnsi="宋体"/>
          <w:color w:val="auto"/>
          <w:szCs w:val="21"/>
        </w:rPr>
        <w:t>不同</w:t>
      </w:r>
      <w:r>
        <w:rPr>
          <w:rFonts w:hint="eastAsia" w:hAnsi="宋体" w:cs="宋体"/>
          <w:color w:val="auto"/>
        </w:rPr>
        <w:t>供应商</w:t>
      </w:r>
      <w:r>
        <w:rPr>
          <w:rFonts w:hint="eastAsia" w:hAnsi="宋体"/>
          <w:color w:val="auto"/>
          <w:szCs w:val="21"/>
        </w:rPr>
        <w:t>委托同一单位或者个人办理竞标事宜；</w:t>
      </w:r>
    </w:p>
    <w:p>
      <w:pPr>
        <w:pStyle w:val="20"/>
        <w:spacing w:line="400" w:lineRule="exact"/>
        <w:ind w:firstLine="420" w:firstLineChars="200"/>
        <w:rPr>
          <w:rFonts w:hAnsi="宋体" w:cs="宋体"/>
          <w:color w:val="auto"/>
        </w:rPr>
      </w:pPr>
      <w:r>
        <w:rPr>
          <w:rFonts w:hint="eastAsia" w:hAnsi="宋体" w:cs="宋体"/>
          <w:color w:val="auto"/>
        </w:rPr>
        <w:t>⑽</w:t>
      </w:r>
      <w:r>
        <w:rPr>
          <w:rFonts w:hint="eastAsia" w:hAnsi="宋体"/>
          <w:color w:val="auto"/>
          <w:szCs w:val="21"/>
        </w:rPr>
        <w:t>不同的</w:t>
      </w:r>
      <w:r>
        <w:rPr>
          <w:rFonts w:hint="eastAsia" w:hAnsi="宋体" w:cs="宋体"/>
          <w:color w:val="auto"/>
        </w:rPr>
        <w:t>供应商</w:t>
      </w:r>
      <w:r>
        <w:rPr>
          <w:rFonts w:hint="eastAsia" w:hAnsi="宋体"/>
          <w:color w:val="auto"/>
          <w:szCs w:val="21"/>
        </w:rPr>
        <w:t>的响应文件载明的项目管理员为同一人；</w:t>
      </w:r>
    </w:p>
    <w:p>
      <w:pPr>
        <w:spacing w:line="400" w:lineRule="exact"/>
        <w:ind w:firstLine="420" w:firstLineChars="200"/>
        <w:rPr>
          <w:rFonts w:ascii="宋体" w:hAnsi="宋体"/>
          <w:color w:val="auto"/>
          <w:szCs w:val="21"/>
        </w:rPr>
      </w:pPr>
      <w:r>
        <w:rPr>
          <w:rFonts w:hint="eastAsia" w:ascii="宋体" w:hAnsi="宋体"/>
          <w:color w:val="auto"/>
          <w:szCs w:val="21"/>
        </w:rPr>
        <w:t>⑾不同</w:t>
      </w:r>
      <w:r>
        <w:rPr>
          <w:rFonts w:hint="eastAsia" w:hAnsi="宋体" w:cs="宋体"/>
          <w:color w:val="auto"/>
        </w:rPr>
        <w:t>供应商</w:t>
      </w:r>
      <w:r>
        <w:rPr>
          <w:rFonts w:hint="eastAsia" w:ascii="宋体" w:hAnsi="宋体"/>
          <w:color w:val="auto"/>
          <w:szCs w:val="21"/>
        </w:rPr>
        <w:t>的响应文件异常一致；</w:t>
      </w:r>
    </w:p>
    <w:p>
      <w:pPr>
        <w:spacing w:line="400" w:lineRule="exact"/>
        <w:ind w:firstLine="420" w:firstLineChars="200"/>
        <w:rPr>
          <w:rFonts w:ascii="宋体" w:hAnsi="宋体"/>
          <w:color w:val="auto"/>
          <w:szCs w:val="21"/>
        </w:rPr>
      </w:pPr>
      <w:r>
        <w:rPr>
          <w:rFonts w:hint="eastAsia" w:ascii="宋体" w:hAnsi="宋体"/>
          <w:color w:val="auto"/>
          <w:szCs w:val="21"/>
        </w:rPr>
        <w:t>⑿不同</w:t>
      </w:r>
      <w:r>
        <w:rPr>
          <w:rFonts w:hint="eastAsia" w:hAnsi="宋体" w:cs="宋体"/>
          <w:color w:val="auto"/>
        </w:rPr>
        <w:t>供应商</w:t>
      </w:r>
      <w:r>
        <w:rPr>
          <w:rFonts w:hint="eastAsia" w:ascii="宋体" w:hAnsi="宋体"/>
          <w:color w:val="auto"/>
          <w:szCs w:val="21"/>
        </w:rPr>
        <w:t>的响应文件相互混装；</w:t>
      </w:r>
    </w:p>
    <w:p>
      <w:pPr>
        <w:spacing w:line="400" w:lineRule="exact"/>
        <w:ind w:firstLine="420" w:firstLineChars="200"/>
        <w:rPr>
          <w:rFonts w:hAnsi="宋体"/>
          <w:color w:val="auto"/>
          <w:szCs w:val="21"/>
        </w:rPr>
      </w:pPr>
      <w:r>
        <w:rPr>
          <w:rFonts w:hint="eastAsia" w:ascii="宋体" w:hAnsi="宋体"/>
          <w:color w:val="auto"/>
          <w:szCs w:val="21"/>
        </w:rPr>
        <w:t>⒀</w:t>
      </w:r>
      <w:r>
        <w:rPr>
          <w:rFonts w:hint="eastAsia" w:hAnsi="宋体"/>
          <w:color w:val="auto"/>
          <w:szCs w:val="21"/>
        </w:rPr>
        <w:t>不同</w:t>
      </w:r>
      <w:r>
        <w:rPr>
          <w:rFonts w:hint="eastAsia" w:hAnsi="宋体" w:cs="宋体"/>
          <w:color w:val="auto"/>
        </w:rPr>
        <w:t>供应商</w:t>
      </w:r>
      <w:r>
        <w:rPr>
          <w:rFonts w:hint="eastAsia" w:hAnsi="宋体"/>
          <w:color w:val="auto"/>
          <w:szCs w:val="21"/>
        </w:rPr>
        <w:t>的磋商保证金从同一单位或者个人账户转出。</w:t>
      </w:r>
    </w:p>
    <w:p>
      <w:pPr>
        <w:spacing w:line="350" w:lineRule="exact"/>
        <w:ind w:firstLine="422" w:firstLineChars="200"/>
        <w:rPr>
          <w:rFonts w:ascii="宋体" w:hAnsi="宋体"/>
          <w:b/>
          <w:color w:val="auto"/>
          <w:szCs w:val="21"/>
        </w:rPr>
      </w:pPr>
      <w:r>
        <w:rPr>
          <w:rFonts w:hint="eastAsia" w:ascii="宋体" w:hAnsi="宋体"/>
          <w:b/>
          <w:color w:val="auto"/>
          <w:szCs w:val="21"/>
        </w:rPr>
        <w:t>特别说明：</w:t>
      </w:r>
    </w:p>
    <w:p>
      <w:pPr>
        <w:widowControl/>
        <w:spacing w:line="35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17.2供应商所使用的资格、信誉、荣誉、业绩与企业认证必须为本供应商所拥有。供应商所使用的采购项目实施人员必须为本供应商员工（或必须为本供应商或分支机构正式员工）。</w:t>
      </w:r>
    </w:p>
    <w:p>
      <w:pPr>
        <w:widowControl/>
        <w:spacing w:line="35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17.3供应商应仔细阅读竞争性磋商文件的所有内容，按照竞争性磋商文件的要求提交响应文件，并对所提供的全部资料的真实性承担法律责任。</w:t>
      </w:r>
    </w:p>
    <w:p>
      <w:pPr>
        <w:spacing w:line="350" w:lineRule="exact"/>
        <w:ind w:firstLine="420" w:firstLineChars="200"/>
        <w:rPr>
          <w:rFonts w:hAnsi="宋体"/>
          <w:color w:val="auto"/>
        </w:rPr>
      </w:pPr>
      <w:r>
        <w:rPr>
          <w:rFonts w:hint="eastAsia" w:ascii="宋体" w:hAnsi="宋体" w:cs="宋体"/>
          <w:color w:val="auto"/>
          <w:kern w:val="0"/>
          <w:szCs w:val="21"/>
        </w:rPr>
        <w:t>17.4供应商在</w:t>
      </w:r>
      <w:r>
        <w:rPr>
          <w:rFonts w:hint="eastAsia" w:ascii="宋体" w:hAnsi="宋体" w:cs="Courier New"/>
          <w:color w:val="auto"/>
          <w:szCs w:val="21"/>
        </w:rPr>
        <w:t>磋商</w:t>
      </w:r>
      <w:r>
        <w:rPr>
          <w:rFonts w:hint="eastAsia" w:ascii="宋体" w:hAnsi="宋体" w:cs="宋体"/>
          <w:color w:val="auto"/>
          <w:kern w:val="0"/>
          <w:szCs w:val="21"/>
        </w:rPr>
        <w:t>活动中提供任何虚假材料，其响应文件无效，并报监管部门查处；成交后发现的，成交供应商须依照《中华人民共和国消费者权益保护法》第49条之规定双倍赔偿采购人，且民事赔偿并不免除违法供应商的行政与</w:t>
      </w:r>
      <w:r>
        <w:rPr>
          <w:rFonts w:hint="eastAsia" w:hAnsi="宋体"/>
          <w:color w:val="auto"/>
        </w:rPr>
        <w:t>刑事责任。</w:t>
      </w:r>
    </w:p>
    <w:p>
      <w:pPr>
        <w:widowControl/>
        <w:tabs>
          <w:tab w:val="left" w:pos="540"/>
        </w:tabs>
        <w:spacing w:line="350" w:lineRule="exact"/>
        <w:ind w:firstLine="316" w:firstLineChars="150"/>
        <w:jc w:val="left"/>
        <w:rPr>
          <w:rFonts w:hAnsi="宋体"/>
          <w:b/>
          <w:bCs/>
          <w:color w:val="auto"/>
        </w:rPr>
      </w:pPr>
      <w:r>
        <w:rPr>
          <w:rFonts w:hint="eastAsia" w:ascii="宋体" w:hAnsi="宋体"/>
          <w:b/>
          <w:bCs/>
          <w:color w:val="auto"/>
        </w:rPr>
        <w:t>18.</w:t>
      </w:r>
      <w:r>
        <w:rPr>
          <w:rFonts w:hint="eastAsia" w:hAnsi="宋体"/>
          <w:b/>
          <w:bCs/>
          <w:color w:val="auto"/>
        </w:rPr>
        <w:t>在评审过程中出现法律法规和竞争性磋商文件均没有明确规定的情形时，由磋商小组现场协商解决，协商不一致的，由全体磋商小组投票表决，以得票率二分之一以上专家的意见为准。</w:t>
      </w:r>
    </w:p>
    <w:p>
      <w:pPr>
        <w:spacing w:line="350" w:lineRule="exact"/>
        <w:rPr>
          <w:rFonts w:ascii="宋体" w:hAnsi="宋体"/>
          <w:b/>
          <w:color w:val="auto"/>
          <w:szCs w:val="21"/>
        </w:rPr>
      </w:pPr>
      <w:r>
        <w:rPr>
          <w:rFonts w:hint="eastAsia" w:ascii="宋体" w:hAnsi="宋体"/>
          <w:b/>
          <w:color w:val="auto"/>
          <w:szCs w:val="21"/>
        </w:rPr>
        <w:t>七、确定成交供应商办法及结果公告</w:t>
      </w:r>
    </w:p>
    <w:p>
      <w:pPr>
        <w:spacing w:line="350" w:lineRule="exact"/>
        <w:ind w:firstLine="315" w:firstLineChars="150"/>
        <w:rPr>
          <w:rFonts w:ascii="宋体" w:hAnsi="宋体" w:cs="宋体"/>
          <w:color w:val="auto"/>
          <w:kern w:val="0"/>
          <w:szCs w:val="21"/>
        </w:rPr>
      </w:pPr>
      <w:r>
        <w:rPr>
          <w:rFonts w:hint="eastAsia" w:ascii="宋体" w:hAnsi="宋体" w:cs="宋体"/>
          <w:color w:val="auto"/>
          <w:kern w:val="0"/>
          <w:szCs w:val="21"/>
        </w:rPr>
        <w:t>19. 确定成交供应商办法及结果公告</w:t>
      </w:r>
    </w:p>
    <w:p>
      <w:pPr>
        <w:spacing w:line="350" w:lineRule="exact"/>
        <w:ind w:firstLine="315" w:firstLineChars="150"/>
        <w:rPr>
          <w:rFonts w:ascii="宋体" w:hAnsi="宋体"/>
          <w:color w:val="auto"/>
          <w:szCs w:val="21"/>
        </w:rPr>
      </w:pPr>
      <w:r>
        <w:rPr>
          <w:rFonts w:hint="eastAsia" w:ascii="宋体" w:hAnsi="宋体"/>
          <w:color w:val="auto"/>
          <w:szCs w:val="21"/>
        </w:rPr>
        <w:t>19.1</w:t>
      </w:r>
      <w:r>
        <w:rPr>
          <w:rFonts w:hint="eastAsia" w:ascii="宋体" w:hAnsi="宋体" w:cs="Courier New"/>
          <w:color w:val="auto"/>
          <w:szCs w:val="21"/>
        </w:rPr>
        <w:t>采购代理机构在评审结束后二个工作日内将评审报告交采购人确认，采购人应当自收到评审报告之日起五个工作日内按照评审报告中推荐的成交候选供应商顺序确定成交供应商。采购人也可以事先授权磋商小组直接确定成交供应商。采购人逾期未确定成交供应商且不提出异议的，视为确定评审报告提出的排序第一的供应商为成交供应商</w:t>
      </w:r>
      <w:r>
        <w:rPr>
          <w:rFonts w:ascii="宋体" w:hAnsi="宋体" w:cs="宋体"/>
          <w:color w:val="auto"/>
          <w:kern w:val="0"/>
          <w:szCs w:val="21"/>
        </w:rPr>
        <w:t>。</w:t>
      </w:r>
    </w:p>
    <w:p>
      <w:pPr>
        <w:spacing w:line="350" w:lineRule="exact"/>
        <w:ind w:firstLine="315" w:firstLineChars="150"/>
        <w:rPr>
          <w:rFonts w:ascii="宋体" w:hAnsi="宋体"/>
          <w:color w:val="auto"/>
          <w:szCs w:val="21"/>
        </w:rPr>
      </w:pPr>
      <w:r>
        <w:rPr>
          <w:rFonts w:hint="eastAsia" w:ascii="宋体" w:hAnsi="宋体"/>
          <w:color w:val="auto"/>
          <w:szCs w:val="21"/>
        </w:rPr>
        <w:t>19.2</w:t>
      </w:r>
      <w:r>
        <w:rPr>
          <w:rFonts w:ascii="宋体" w:hAnsi="宋体"/>
          <w:color w:val="auto"/>
          <w:szCs w:val="21"/>
        </w:rPr>
        <w:t>采购代理机构应当在成交供应商确定后2个工作日内，在省级以上</w:t>
      </w:r>
      <w:r>
        <w:rPr>
          <w:rFonts w:hint="eastAsia" w:ascii="宋体" w:hAnsi="宋体"/>
          <w:color w:val="auto"/>
          <w:szCs w:val="21"/>
        </w:rPr>
        <w:t>（含省级）</w:t>
      </w:r>
      <w:r>
        <w:rPr>
          <w:rFonts w:ascii="宋体" w:hAnsi="宋体"/>
          <w:color w:val="auto"/>
          <w:szCs w:val="21"/>
        </w:rPr>
        <w:t>财政部门指定的媒体上公告成交结果，同时向成交供应商发出成交通知书</w:t>
      </w:r>
      <w:r>
        <w:rPr>
          <w:rFonts w:hint="eastAsia" w:ascii="宋体" w:hAnsi="宋体"/>
          <w:color w:val="auto"/>
          <w:szCs w:val="21"/>
        </w:rPr>
        <w:t>。</w:t>
      </w:r>
    </w:p>
    <w:p>
      <w:pPr>
        <w:spacing w:line="320" w:lineRule="exact"/>
        <w:rPr>
          <w:rFonts w:ascii="宋体" w:hAnsi="宋体"/>
          <w:b/>
          <w:color w:val="auto"/>
          <w:szCs w:val="21"/>
        </w:rPr>
      </w:pPr>
      <w:r>
        <w:rPr>
          <w:rFonts w:hint="eastAsia" w:ascii="宋体" w:hAnsi="宋体"/>
          <w:b/>
          <w:color w:val="auto"/>
          <w:szCs w:val="21"/>
        </w:rPr>
        <w:t>八、履约保证金</w:t>
      </w:r>
    </w:p>
    <w:p>
      <w:pPr>
        <w:spacing w:line="320" w:lineRule="exact"/>
        <w:ind w:firstLine="420" w:firstLineChars="200"/>
        <w:rPr>
          <w:rFonts w:ascii="宋体" w:hAnsi="宋体"/>
          <w:color w:val="auto"/>
          <w:szCs w:val="21"/>
        </w:rPr>
      </w:pPr>
      <w:r>
        <w:rPr>
          <w:rFonts w:hint="eastAsia" w:ascii="宋体" w:hAnsi="宋体"/>
          <w:color w:val="auto"/>
          <w:szCs w:val="21"/>
        </w:rPr>
        <w:t>本项目无履约保证金。在项目实施过程中，成交供应商无法按合同约定协助采购人完成采购任务时，采购人可以取消合同。</w:t>
      </w:r>
    </w:p>
    <w:p>
      <w:pPr>
        <w:spacing w:line="320" w:lineRule="exact"/>
        <w:rPr>
          <w:rFonts w:ascii="宋体" w:hAnsi="宋体"/>
          <w:b/>
          <w:color w:val="auto"/>
          <w:szCs w:val="21"/>
        </w:rPr>
      </w:pPr>
      <w:r>
        <w:rPr>
          <w:rFonts w:hint="eastAsia" w:hAnsi="宋体"/>
          <w:b/>
          <w:color w:val="auto"/>
        </w:rPr>
        <w:t>九、</w:t>
      </w:r>
      <w:r>
        <w:rPr>
          <w:rFonts w:hint="eastAsia" w:ascii="宋体" w:hAnsi="宋体"/>
          <w:b/>
          <w:color w:val="auto"/>
          <w:szCs w:val="21"/>
        </w:rPr>
        <w:t>签订合同及合同存档、公告</w:t>
      </w:r>
    </w:p>
    <w:p>
      <w:pPr>
        <w:spacing w:line="350" w:lineRule="exact"/>
        <w:ind w:firstLine="420" w:firstLineChars="200"/>
        <w:rPr>
          <w:rFonts w:ascii="宋体" w:hAnsi="宋体"/>
          <w:color w:val="auto"/>
          <w:szCs w:val="21"/>
        </w:rPr>
      </w:pPr>
      <w:r>
        <w:rPr>
          <w:rFonts w:hint="eastAsia" w:ascii="宋体" w:hAnsi="宋体"/>
          <w:color w:val="auto"/>
          <w:szCs w:val="21"/>
        </w:rPr>
        <w:t>24. 签订合同及合同存档</w:t>
      </w:r>
    </w:p>
    <w:p>
      <w:pPr>
        <w:spacing w:line="350" w:lineRule="exact"/>
        <w:ind w:firstLine="420" w:firstLineChars="200"/>
        <w:rPr>
          <w:color w:val="auto"/>
        </w:rPr>
      </w:pPr>
      <w:r>
        <w:rPr>
          <w:rFonts w:hint="eastAsia" w:ascii="宋体" w:hAnsi="宋体"/>
          <w:color w:val="auto"/>
          <w:szCs w:val="21"/>
        </w:rPr>
        <w:t>24.1成交供应商在收到成交通知书后，按规定与采购人签订采购合同</w:t>
      </w:r>
      <w:r>
        <w:rPr>
          <w:rFonts w:hint="eastAsia"/>
          <w:color w:val="auto"/>
        </w:rPr>
        <w:t>。</w:t>
      </w:r>
    </w:p>
    <w:p>
      <w:pPr>
        <w:spacing w:line="350" w:lineRule="exact"/>
        <w:ind w:firstLine="420" w:firstLineChars="200"/>
        <w:rPr>
          <w:rFonts w:hAnsi="宋体"/>
          <w:color w:val="auto"/>
        </w:rPr>
      </w:pPr>
      <w:r>
        <w:rPr>
          <w:rFonts w:hint="eastAsia" w:ascii="宋体" w:hAnsi="宋体"/>
          <w:color w:val="auto"/>
          <w:szCs w:val="21"/>
        </w:rPr>
        <w:t>24.2成交供应商签订合同时，须携带的资格证件：营业执照副本原件、单位授权委托书及被授权人身份证原件等其它资格证件</w:t>
      </w:r>
      <w:r>
        <w:rPr>
          <w:rFonts w:hint="eastAsia" w:hAnsi="宋体"/>
          <w:color w:val="auto"/>
        </w:rPr>
        <w:t>，经采购人核验合格后方可签订合同。</w:t>
      </w:r>
    </w:p>
    <w:p>
      <w:pPr>
        <w:spacing w:line="350" w:lineRule="exact"/>
        <w:ind w:firstLine="420" w:firstLineChars="200"/>
        <w:rPr>
          <w:rFonts w:ascii="宋体" w:hAnsi="宋体"/>
          <w:color w:val="auto"/>
          <w:szCs w:val="21"/>
        </w:rPr>
      </w:pPr>
      <w:r>
        <w:rPr>
          <w:rFonts w:hint="eastAsia" w:ascii="宋体" w:hAnsi="宋体"/>
          <w:color w:val="auto"/>
          <w:szCs w:val="21"/>
        </w:rPr>
        <w:t>24.3成交供应商拒绝签订采购合同的，采购人可以按本项目确定成交供应商办法确定其他供应商作为成交供应商并签订采购合同，也可以重新开展采购活动。拒绝签订采购合同的成交供应商不得参加对该项目重新开展的采购活动。</w:t>
      </w:r>
    </w:p>
    <w:p>
      <w:pPr>
        <w:spacing w:line="350" w:lineRule="exact"/>
        <w:ind w:firstLine="420" w:firstLineChars="200"/>
        <w:rPr>
          <w:rFonts w:hAnsi="宋体"/>
          <w:color w:val="auto"/>
        </w:rPr>
      </w:pPr>
      <w:r>
        <w:rPr>
          <w:rFonts w:hint="eastAsia" w:ascii="宋体" w:hAnsi="宋体"/>
          <w:color w:val="auto"/>
        </w:rPr>
        <w:t>24.4</w:t>
      </w:r>
      <w:r>
        <w:rPr>
          <w:rFonts w:hint="eastAsia" w:hAnsi="宋体"/>
          <w:color w:val="auto"/>
        </w:rPr>
        <w:t>成交供应商应于合同签订后并将一份合同原件送达到采购代理机构存档。</w:t>
      </w:r>
    </w:p>
    <w:p>
      <w:pPr>
        <w:spacing w:line="350" w:lineRule="exact"/>
        <w:rPr>
          <w:rFonts w:ascii="宋体" w:hAnsi="宋体"/>
          <w:b/>
          <w:color w:val="auto"/>
          <w:szCs w:val="21"/>
        </w:rPr>
      </w:pPr>
      <w:r>
        <w:rPr>
          <w:rFonts w:hint="eastAsia" w:ascii="宋体" w:hAnsi="宋体"/>
          <w:b/>
          <w:color w:val="auto"/>
          <w:szCs w:val="21"/>
        </w:rPr>
        <w:t>十、适用法律</w:t>
      </w:r>
    </w:p>
    <w:p>
      <w:pPr>
        <w:spacing w:line="350" w:lineRule="exact"/>
        <w:ind w:left="25" w:leftChars="12" w:firstLine="420" w:firstLineChars="200"/>
        <w:rPr>
          <w:rFonts w:ascii="宋体" w:hAnsi="宋体"/>
          <w:b/>
          <w:color w:val="auto"/>
          <w:szCs w:val="21"/>
        </w:rPr>
      </w:pPr>
      <w:r>
        <w:rPr>
          <w:rFonts w:hint="eastAsia" w:ascii="宋体" w:hAnsi="宋体"/>
          <w:color w:val="auto"/>
          <w:szCs w:val="21"/>
        </w:rPr>
        <w:t>25.采购当事人的一切活动均适用于《中华人民共和国政府采购法》、《中华人民共和国政府采购法实施条例》、《政府采购竞争性磋商采购方式管理暂行办法》及相关规定。</w:t>
      </w:r>
    </w:p>
    <w:p>
      <w:pPr>
        <w:tabs>
          <w:tab w:val="left" w:pos="2835"/>
        </w:tabs>
        <w:spacing w:line="350" w:lineRule="exact"/>
        <w:rPr>
          <w:rFonts w:ascii="宋体" w:hAnsi="宋体"/>
          <w:b/>
          <w:color w:val="auto"/>
          <w:szCs w:val="21"/>
        </w:rPr>
      </w:pPr>
      <w:r>
        <w:rPr>
          <w:rFonts w:hint="eastAsia" w:ascii="宋体" w:hAnsi="宋体"/>
          <w:b/>
          <w:color w:val="auto"/>
          <w:szCs w:val="21"/>
        </w:rPr>
        <w:t>十一、其它内容</w:t>
      </w:r>
    </w:p>
    <w:p>
      <w:pPr>
        <w:pStyle w:val="20"/>
        <w:snapToGrid w:val="0"/>
        <w:spacing w:before="120" w:after="120" w:line="350" w:lineRule="exact"/>
        <w:ind w:firstLine="517" w:firstLineChars="245"/>
        <w:rPr>
          <w:rFonts w:hAnsi="宋体"/>
          <w:color w:val="auto"/>
        </w:rPr>
      </w:pPr>
      <w:r>
        <w:rPr>
          <w:rFonts w:hint="eastAsia" w:hAnsi="宋体"/>
          <w:b/>
          <w:color w:val="auto"/>
        </w:rPr>
        <w:t>26.</w:t>
      </w:r>
      <w:r>
        <w:rPr>
          <w:rFonts w:hint="eastAsia" w:hAnsi="宋体"/>
          <w:color w:val="auto"/>
        </w:rPr>
        <w:t>采购代理服务收费标准：本项目采购代理服务费由</w:t>
      </w:r>
      <w:r>
        <w:rPr>
          <w:rFonts w:hint="eastAsia" w:hAnsi="宋体" w:cs="宋体"/>
          <w:color w:val="auto"/>
          <w:kern w:val="0"/>
          <w:szCs w:val="21"/>
        </w:rPr>
        <w:t>成交供应商</w:t>
      </w:r>
      <w:r>
        <w:rPr>
          <w:rFonts w:hint="eastAsia" w:hAnsi="宋体"/>
          <w:color w:val="auto"/>
        </w:rPr>
        <w:t>在领取成交通知书时一次性支付。</w:t>
      </w:r>
    </w:p>
    <w:p>
      <w:pPr>
        <w:pStyle w:val="20"/>
        <w:snapToGrid w:val="0"/>
        <w:spacing w:line="350" w:lineRule="exact"/>
        <w:ind w:firstLine="315" w:firstLineChars="150"/>
        <w:rPr>
          <w:rFonts w:hAnsi="宋体"/>
          <w:color w:val="auto"/>
        </w:rPr>
      </w:pPr>
      <w:r>
        <w:rPr>
          <w:rFonts w:hint="eastAsia" w:hAnsi="宋体"/>
          <w:color w:val="auto"/>
        </w:rPr>
        <w:t xml:space="preserve"> 27.询问、质疑和投诉</w:t>
      </w:r>
    </w:p>
    <w:p>
      <w:pPr>
        <w:pStyle w:val="20"/>
        <w:snapToGrid w:val="0"/>
        <w:spacing w:line="350" w:lineRule="exact"/>
        <w:ind w:firstLine="420" w:firstLineChars="200"/>
        <w:rPr>
          <w:rFonts w:hAnsi="宋体"/>
          <w:color w:val="auto"/>
        </w:rPr>
      </w:pPr>
      <w:r>
        <w:rPr>
          <w:rFonts w:hint="eastAsia" w:hAnsi="宋体"/>
          <w:color w:val="auto"/>
        </w:rPr>
        <w:t>27.1供应商对采购活动事项有疑问的，可以向采购人、采购代理机构提出询问。</w:t>
      </w:r>
    </w:p>
    <w:p>
      <w:pPr>
        <w:pStyle w:val="20"/>
        <w:snapToGrid w:val="0"/>
        <w:spacing w:line="350" w:lineRule="exact"/>
        <w:ind w:firstLine="420" w:firstLineChars="200"/>
        <w:rPr>
          <w:rFonts w:hAnsi="宋体"/>
          <w:color w:val="auto"/>
        </w:rPr>
      </w:pPr>
      <w:r>
        <w:rPr>
          <w:rFonts w:hint="eastAsia" w:hAnsi="宋体"/>
          <w:color w:val="auto"/>
        </w:rPr>
        <w:t>27.2供应商认为采购文件、采购过程或成交结果使自己的合法权益受到损害的，应当在知道或者应知其权益受到损害之日起七个工作日内，以书面形式向采购人、采购代理机构提出质疑。具体计算时间如下：</w:t>
      </w:r>
    </w:p>
    <w:p>
      <w:pPr>
        <w:spacing w:line="350" w:lineRule="exact"/>
        <w:ind w:left="417" w:leftChars="150" w:hanging="102" w:hangingChars="49"/>
        <w:rPr>
          <w:rFonts w:hAnsi="宋体"/>
          <w:color w:val="auto"/>
        </w:rPr>
      </w:pPr>
      <w:r>
        <w:rPr>
          <w:rFonts w:hAnsi="宋体"/>
          <w:color w:val="auto"/>
        </w:rPr>
        <w:t>（一）对可以质疑的</w:t>
      </w:r>
      <w:r>
        <w:rPr>
          <w:rFonts w:hint="eastAsia" w:hAnsi="宋体"/>
          <w:color w:val="auto"/>
        </w:rPr>
        <w:t>采购</w:t>
      </w:r>
      <w:r>
        <w:rPr>
          <w:rFonts w:hAnsi="宋体"/>
          <w:color w:val="auto"/>
        </w:rPr>
        <w:t>文件提出质疑的，为收到采购文件之日；</w:t>
      </w:r>
    </w:p>
    <w:p>
      <w:pPr>
        <w:spacing w:line="350" w:lineRule="exact"/>
        <w:ind w:left="417" w:leftChars="150" w:hanging="102" w:hangingChars="49"/>
        <w:rPr>
          <w:rFonts w:hAnsi="宋体"/>
          <w:color w:val="auto"/>
        </w:rPr>
      </w:pPr>
      <w:r>
        <w:rPr>
          <w:rFonts w:hAnsi="宋体"/>
          <w:color w:val="auto"/>
        </w:rPr>
        <w:t>（二）对</w:t>
      </w:r>
      <w:r>
        <w:rPr>
          <w:rFonts w:hint="eastAsia" w:hAnsi="宋体"/>
          <w:color w:val="auto"/>
        </w:rPr>
        <w:t>采购</w:t>
      </w:r>
      <w:r>
        <w:rPr>
          <w:rFonts w:hAnsi="宋体"/>
          <w:color w:val="auto"/>
        </w:rPr>
        <w:t>过程提出质疑的，为各采购程序环节结束之日；</w:t>
      </w:r>
    </w:p>
    <w:p>
      <w:pPr>
        <w:spacing w:line="350" w:lineRule="exact"/>
        <w:ind w:left="417" w:leftChars="150" w:hanging="102" w:hangingChars="49"/>
        <w:rPr>
          <w:rFonts w:hAnsi="宋体"/>
          <w:color w:val="auto"/>
        </w:rPr>
      </w:pPr>
      <w:r>
        <w:rPr>
          <w:rFonts w:hAnsi="宋体"/>
          <w:color w:val="auto"/>
        </w:rPr>
        <w:t>（三）对</w:t>
      </w:r>
      <w:r>
        <w:rPr>
          <w:rFonts w:hint="eastAsia" w:hAnsi="宋体"/>
          <w:color w:val="auto"/>
        </w:rPr>
        <w:t>成交</w:t>
      </w:r>
      <w:r>
        <w:rPr>
          <w:rFonts w:hAnsi="宋体"/>
          <w:color w:val="auto"/>
        </w:rPr>
        <w:t>结果提出质疑的，为</w:t>
      </w:r>
      <w:r>
        <w:rPr>
          <w:rFonts w:hint="eastAsia" w:hAnsi="宋体"/>
          <w:color w:val="auto"/>
        </w:rPr>
        <w:t>成交</w:t>
      </w:r>
      <w:r>
        <w:rPr>
          <w:rFonts w:hAnsi="宋体"/>
          <w:color w:val="auto"/>
        </w:rPr>
        <w:t>结果公告期限届满之日。</w:t>
      </w:r>
    </w:p>
    <w:p>
      <w:pPr>
        <w:spacing w:line="350" w:lineRule="exact"/>
        <w:ind w:firstLine="420" w:firstLineChars="200"/>
        <w:rPr>
          <w:rFonts w:hAnsi="宋体"/>
          <w:color w:val="auto"/>
        </w:rPr>
      </w:pPr>
      <w:r>
        <w:rPr>
          <w:rFonts w:hint="eastAsia" w:hAnsi="宋体"/>
          <w:color w:val="auto"/>
        </w:rPr>
        <w:t>供应商对的质疑答复不满意或者采购人或采购代理机构未在规定时间内作出答复的，可以在答复期满后十五个工作日内向同级监管部门投诉。</w:t>
      </w:r>
    </w:p>
    <w:p>
      <w:pPr>
        <w:spacing w:line="350" w:lineRule="exact"/>
        <w:ind w:firstLine="420" w:firstLineChars="200"/>
        <w:rPr>
          <w:rFonts w:hAnsi="宋体"/>
          <w:color w:val="auto"/>
        </w:rPr>
      </w:pPr>
      <w:r>
        <w:rPr>
          <w:rFonts w:hint="eastAsia" w:ascii="宋体" w:hAnsi="宋体"/>
          <w:color w:val="auto"/>
        </w:rPr>
        <w:t>27.3质疑</w:t>
      </w:r>
      <w:r>
        <w:rPr>
          <w:rFonts w:hint="eastAsia" w:hAnsi="宋体"/>
          <w:color w:val="auto"/>
        </w:rPr>
        <w:t>、投诉应当采用书面形式，质疑书、投诉书均应明确阐述采购文件、采购过程、成交结果中使自己合法权益受到损害的实质性内容，提供相关事实、明确的请求、必要的证明材料，便于有关单位调查、答复和处理。</w:t>
      </w:r>
    </w:p>
    <w:p>
      <w:pPr>
        <w:spacing w:line="350" w:lineRule="exact"/>
        <w:ind w:firstLine="420" w:firstLineChars="200"/>
        <w:rPr>
          <w:b/>
          <w:color w:val="auto"/>
        </w:rPr>
      </w:pPr>
      <w:r>
        <w:rPr>
          <w:rFonts w:hint="eastAsia" w:ascii="宋体" w:hAnsi="宋体"/>
          <w:color w:val="auto"/>
          <w:szCs w:val="21"/>
        </w:rPr>
        <w:t>28.解释权：本竞争性磋商文件的解释权属于采购人及采购代理机构。</w:t>
      </w:r>
      <w:bookmarkEnd w:id="37"/>
      <w:r>
        <w:rPr>
          <w:rFonts w:hint="eastAsia"/>
          <w:color w:val="auto"/>
          <w:sz w:val="32"/>
        </w:rPr>
        <w:t xml:space="preserve"> </w:t>
      </w:r>
    </w:p>
    <w:p>
      <w:pPr>
        <w:pStyle w:val="20"/>
        <w:spacing w:line="360" w:lineRule="auto"/>
        <w:jc w:val="center"/>
        <w:outlineLvl w:val="0"/>
        <w:rPr>
          <w:rFonts w:hAnsi="宋体"/>
          <w:b/>
          <w:color w:val="auto"/>
          <w:sz w:val="36"/>
          <w:szCs w:val="36"/>
        </w:rPr>
      </w:pPr>
      <w:r>
        <w:rPr>
          <w:color w:val="auto"/>
        </w:rPr>
        <w:br w:type="page"/>
      </w:r>
      <w:bookmarkStart w:id="39" w:name="_Toc155493658"/>
      <w:bookmarkStart w:id="40" w:name="_Toc42013020"/>
      <w:r>
        <w:rPr>
          <w:rFonts w:hint="eastAsia"/>
          <w:b/>
          <w:color w:val="auto"/>
          <w:sz w:val="36"/>
          <w:szCs w:val="36"/>
        </w:rPr>
        <w:t xml:space="preserve">第三章   </w:t>
      </w:r>
      <w:bookmarkEnd w:id="39"/>
      <w:r>
        <w:rPr>
          <w:rFonts w:hint="eastAsia"/>
          <w:b/>
          <w:color w:val="auto"/>
          <w:sz w:val="36"/>
          <w:szCs w:val="36"/>
        </w:rPr>
        <w:t>项目基本情况及要求</w:t>
      </w:r>
      <w:bookmarkEnd w:id="40"/>
    </w:p>
    <w:p>
      <w:pPr>
        <w:pStyle w:val="14"/>
        <w:spacing w:before="90" w:line="321" w:lineRule="auto"/>
        <w:ind w:left="212" w:leftChars="101" w:right="546" w:firstLine="207" w:firstLineChars="98"/>
        <w:rPr>
          <w:rFonts w:ascii="宋体" w:hAnsi="宋体" w:eastAsia="宋体"/>
          <w:color w:val="auto"/>
          <w:spacing w:val="0"/>
          <w:kern w:val="24"/>
          <w:position w:val="2"/>
          <w:sz w:val="21"/>
          <w:szCs w:val="21"/>
        </w:rPr>
      </w:pPr>
      <w:bookmarkStart w:id="41" w:name="_Toc34399729"/>
      <w:bookmarkStart w:id="42" w:name="_Toc34399662"/>
      <w:bookmarkStart w:id="43" w:name="_Toc34904456"/>
      <w:r>
        <w:rPr>
          <w:rFonts w:hint="eastAsia" w:ascii="宋体" w:hAnsi="宋体" w:eastAsia="宋体"/>
          <w:color w:val="auto"/>
          <w:spacing w:val="0"/>
          <w:kern w:val="24"/>
          <w:position w:val="2"/>
          <w:sz w:val="21"/>
          <w:szCs w:val="21"/>
        </w:rPr>
        <w:t>一、采购内容</w:t>
      </w:r>
      <w:bookmarkEnd w:id="41"/>
      <w:bookmarkEnd w:id="42"/>
      <w:r>
        <w:rPr>
          <w:rFonts w:hint="eastAsia" w:ascii="宋体" w:hAnsi="宋体" w:eastAsia="宋体"/>
          <w:color w:val="auto"/>
          <w:spacing w:val="0"/>
          <w:kern w:val="24"/>
          <w:position w:val="2"/>
          <w:sz w:val="21"/>
          <w:szCs w:val="21"/>
        </w:rPr>
        <w:t>：</w:t>
      </w:r>
      <w:bookmarkEnd w:id="43"/>
      <w:r>
        <w:rPr>
          <w:rFonts w:hint="eastAsia" w:ascii="Times New Roman" w:hAnsi="Times New Roman" w:eastAsia="宋体"/>
          <w:color w:val="auto"/>
          <w:spacing w:val="-1"/>
          <w:kern w:val="24"/>
          <w:position w:val="2"/>
          <w:sz w:val="21"/>
          <w:szCs w:val="24"/>
        </w:rPr>
        <w:t>东兰</w:t>
      </w:r>
      <w:r>
        <w:rPr>
          <w:rFonts w:ascii="Times New Roman" w:hAnsi="Times New Roman" w:eastAsia="宋体"/>
          <w:color w:val="auto"/>
          <w:spacing w:val="-1"/>
          <w:kern w:val="24"/>
          <w:position w:val="2"/>
          <w:sz w:val="21"/>
          <w:szCs w:val="24"/>
        </w:rPr>
        <w:t>县2020年至2021年年度行政事业公务用车定点保险服务采购</w:t>
      </w:r>
      <w:r>
        <w:rPr>
          <w:rFonts w:hint="eastAsia" w:ascii="宋体" w:hAnsi="宋体" w:eastAsia="宋体"/>
          <w:color w:val="auto"/>
          <w:spacing w:val="0"/>
          <w:kern w:val="24"/>
          <w:position w:val="2"/>
          <w:sz w:val="21"/>
          <w:szCs w:val="21"/>
        </w:rPr>
        <w:t>，公务用车69台</w:t>
      </w:r>
      <w:r>
        <w:rPr>
          <w:rFonts w:ascii="宋体" w:hAnsi="宋体" w:eastAsia="宋体"/>
          <w:color w:val="auto"/>
          <w:spacing w:val="0"/>
          <w:kern w:val="24"/>
          <w:position w:val="2"/>
          <w:sz w:val="21"/>
          <w:szCs w:val="21"/>
        </w:rPr>
        <w:t>。</w:t>
      </w:r>
    </w:p>
    <w:p>
      <w:pPr>
        <w:pStyle w:val="20"/>
        <w:spacing w:line="440" w:lineRule="exact"/>
        <w:ind w:right="628" w:rightChars="299" w:firstLine="413" w:firstLineChars="196"/>
        <w:jc w:val="left"/>
        <w:outlineLvl w:val="0"/>
        <w:rPr>
          <w:rFonts w:hAnsi="宋体"/>
          <w:b/>
          <w:color w:val="auto"/>
          <w:kern w:val="24"/>
          <w:position w:val="2"/>
          <w:szCs w:val="21"/>
        </w:rPr>
      </w:pPr>
      <w:bookmarkStart w:id="44" w:name="_Toc34399663"/>
      <w:bookmarkStart w:id="45" w:name="_Toc34399730"/>
      <w:bookmarkStart w:id="46" w:name="_Toc42013021"/>
      <w:bookmarkStart w:id="47" w:name="_Toc34904457"/>
      <w:r>
        <w:rPr>
          <w:rFonts w:hint="eastAsia" w:hAnsi="宋体"/>
          <w:b/>
          <w:color w:val="auto"/>
          <w:kern w:val="24"/>
          <w:position w:val="2"/>
          <w:szCs w:val="21"/>
        </w:rPr>
        <w:t>二、</w:t>
      </w:r>
      <w:bookmarkEnd w:id="44"/>
      <w:bookmarkEnd w:id="45"/>
      <w:r>
        <w:rPr>
          <w:rFonts w:ascii="Times New Roman" w:hAnsi="Times New Roman"/>
          <w:b/>
          <w:color w:val="auto"/>
          <w:kern w:val="24"/>
          <w:position w:val="2"/>
          <w:szCs w:val="24"/>
        </w:rPr>
        <w:t>中标服务期限：</w:t>
      </w:r>
      <w:r>
        <w:rPr>
          <w:rFonts w:hint="eastAsia" w:ascii="Times New Roman" w:hAnsi="Times New Roman"/>
          <w:b/>
          <w:color w:val="auto"/>
          <w:kern w:val="24"/>
          <w:position w:val="2"/>
          <w:szCs w:val="24"/>
        </w:rPr>
        <w:t>贰年(即自签订合同之日起计算)</w:t>
      </w:r>
      <w:r>
        <w:rPr>
          <w:rFonts w:ascii="Times New Roman" w:hAnsi="Times New Roman"/>
          <w:b/>
          <w:color w:val="auto"/>
          <w:kern w:val="24"/>
          <w:position w:val="2"/>
          <w:szCs w:val="24"/>
        </w:rPr>
        <w:t>。在协议服务期限内，各采购人新购车辆、未上保险或保险已到期的车辆，在办理车辆保险时，必须到中标保险机构投保。</w:t>
      </w:r>
      <w:bookmarkEnd w:id="46"/>
      <w:bookmarkEnd w:id="47"/>
    </w:p>
    <w:p>
      <w:pPr>
        <w:pStyle w:val="20"/>
        <w:spacing w:line="450" w:lineRule="exact"/>
        <w:ind w:firstLine="420"/>
        <w:rPr>
          <w:rFonts w:ascii="Times New Roman" w:hAnsi="Times New Roman"/>
          <w:b/>
          <w:color w:val="auto"/>
          <w:kern w:val="24"/>
          <w:position w:val="2"/>
        </w:rPr>
      </w:pPr>
      <w:bookmarkStart w:id="48" w:name="_Toc381103833"/>
      <w:r>
        <w:rPr>
          <w:rFonts w:hint="eastAsia" w:ascii="Times New Roman" w:hAnsi="Times New Roman"/>
          <w:b/>
          <w:color w:val="auto"/>
          <w:kern w:val="24"/>
          <w:position w:val="2"/>
        </w:rPr>
        <w:t>三</w:t>
      </w:r>
      <w:r>
        <w:rPr>
          <w:rFonts w:ascii="Times New Roman" w:hAnsi="Times New Roman"/>
          <w:b/>
          <w:color w:val="auto"/>
          <w:kern w:val="24"/>
          <w:position w:val="2"/>
        </w:rPr>
        <w:t>、</w:t>
      </w:r>
      <w:r>
        <w:rPr>
          <w:rFonts w:hint="eastAsia" w:ascii="Times New Roman" w:hAnsi="Times New Roman"/>
          <w:b/>
          <w:color w:val="auto"/>
          <w:kern w:val="24"/>
          <w:position w:val="2"/>
        </w:rPr>
        <w:t>供应商</w:t>
      </w:r>
      <w:r>
        <w:rPr>
          <w:rFonts w:ascii="Times New Roman" w:hAnsi="Times New Roman"/>
          <w:b/>
          <w:color w:val="auto"/>
          <w:kern w:val="24"/>
          <w:position w:val="2"/>
        </w:rPr>
        <w:t>应按照《中华人民共和国保险法》及中国保险监督管理委员会的有关规定，向被保险人提供机动车辆应有全部服务。对保险车辆必须提供下列文件：</w:t>
      </w:r>
    </w:p>
    <w:p>
      <w:pPr>
        <w:pStyle w:val="20"/>
        <w:spacing w:line="450" w:lineRule="exact"/>
        <w:ind w:firstLine="420"/>
        <w:rPr>
          <w:rFonts w:ascii="Times New Roman" w:hAnsi="Times New Roman"/>
          <w:b/>
          <w:color w:val="auto"/>
          <w:kern w:val="24"/>
          <w:position w:val="2"/>
        </w:rPr>
      </w:pPr>
      <w:r>
        <w:rPr>
          <w:rFonts w:ascii="Times New Roman" w:hAnsi="Times New Roman"/>
          <w:b/>
          <w:color w:val="auto"/>
          <w:kern w:val="24"/>
          <w:position w:val="2"/>
        </w:rPr>
        <w:t>1、中国保险监督管理委员会统一启用的机动车辆防伪保险单。一车一单，电脑出单。</w:t>
      </w:r>
    </w:p>
    <w:p>
      <w:pPr>
        <w:pStyle w:val="20"/>
        <w:spacing w:line="450" w:lineRule="exact"/>
        <w:ind w:firstLine="420"/>
        <w:rPr>
          <w:rFonts w:ascii="Times New Roman" w:hAnsi="Times New Roman"/>
          <w:b/>
          <w:color w:val="auto"/>
          <w:kern w:val="24"/>
          <w:position w:val="2"/>
        </w:rPr>
      </w:pPr>
      <w:r>
        <w:rPr>
          <w:rFonts w:ascii="Times New Roman" w:hAnsi="Times New Roman"/>
          <w:b/>
          <w:color w:val="auto"/>
          <w:kern w:val="24"/>
          <w:position w:val="2"/>
        </w:rPr>
        <w:t>2、中标保险公司统一印制的机动车辆保险证，一车一证。</w:t>
      </w:r>
    </w:p>
    <w:p>
      <w:pPr>
        <w:pStyle w:val="20"/>
        <w:spacing w:line="450" w:lineRule="exact"/>
        <w:ind w:firstLine="420"/>
        <w:rPr>
          <w:rFonts w:ascii="Times New Roman" w:hAnsi="Times New Roman"/>
          <w:b/>
          <w:color w:val="auto"/>
          <w:kern w:val="24"/>
          <w:position w:val="2"/>
        </w:rPr>
      </w:pPr>
      <w:r>
        <w:rPr>
          <w:rFonts w:ascii="Times New Roman" w:hAnsi="Times New Roman"/>
          <w:b/>
          <w:color w:val="auto"/>
          <w:kern w:val="24"/>
          <w:position w:val="2"/>
        </w:rPr>
        <w:t>3、由税务部门监制的车辆保险发票。</w:t>
      </w:r>
    </w:p>
    <w:p>
      <w:pPr>
        <w:pStyle w:val="20"/>
        <w:spacing w:line="450" w:lineRule="exact"/>
        <w:ind w:firstLine="420"/>
        <w:rPr>
          <w:rFonts w:ascii="Times New Roman" w:hAnsi="Times New Roman"/>
          <w:b/>
          <w:color w:val="auto"/>
          <w:kern w:val="24"/>
          <w:position w:val="2"/>
        </w:rPr>
      </w:pPr>
      <w:r>
        <w:rPr>
          <w:rFonts w:ascii="Times New Roman" w:hAnsi="Times New Roman"/>
          <w:b/>
          <w:color w:val="auto"/>
          <w:kern w:val="24"/>
          <w:position w:val="2"/>
        </w:rPr>
        <w:t>四、保险类别：按照中国保险监督管理委员会规定，采购人设定本次采购的公务用车定点保险服务险种如下：</w:t>
      </w:r>
    </w:p>
    <w:p>
      <w:pPr>
        <w:pStyle w:val="20"/>
        <w:spacing w:line="450" w:lineRule="exact"/>
        <w:ind w:left="420"/>
        <w:rPr>
          <w:rFonts w:ascii="Times New Roman" w:hAnsi="Times New Roman"/>
          <w:b/>
          <w:color w:val="auto"/>
          <w:kern w:val="24"/>
          <w:position w:val="2"/>
        </w:rPr>
      </w:pPr>
      <w:r>
        <w:rPr>
          <w:rFonts w:ascii="Times New Roman" w:hAnsi="Times New Roman"/>
          <w:b/>
          <w:color w:val="auto"/>
          <w:kern w:val="24"/>
          <w:position w:val="2"/>
        </w:rPr>
        <w:t>1、车辆损失险；</w:t>
      </w:r>
    </w:p>
    <w:p>
      <w:pPr>
        <w:pStyle w:val="20"/>
        <w:spacing w:line="450" w:lineRule="exact"/>
        <w:ind w:left="420"/>
        <w:rPr>
          <w:rFonts w:ascii="Times New Roman" w:hAnsi="Times New Roman"/>
          <w:b/>
          <w:color w:val="auto"/>
          <w:kern w:val="24"/>
          <w:position w:val="2"/>
        </w:rPr>
      </w:pPr>
      <w:r>
        <w:rPr>
          <w:rFonts w:ascii="Times New Roman" w:hAnsi="Times New Roman"/>
          <w:b/>
          <w:color w:val="auto"/>
          <w:kern w:val="24"/>
          <w:position w:val="2"/>
        </w:rPr>
        <w:t>2、第三者责任险；</w:t>
      </w:r>
    </w:p>
    <w:p>
      <w:pPr>
        <w:pStyle w:val="20"/>
        <w:spacing w:line="450" w:lineRule="exact"/>
        <w:ind w:left="420"/>
        <w:rPr>
          <w:rFonts w:ascii="Times New Roman" w:hAnsi="Times New Roman"/>
          <w:b/>
          <w:color w:val="auto"/>
          <w:kern w:val="24"/>
          <w:position w:val="2"/>
        </w:rPr>
      </w:pPr>
      <w:r>
        <w:rPr>
          <w:rFonts w:ascii="Times New Roman" w:hAnsi="Times New Roman"/>
          <w:b/>
          <w:color w:val="auto"/>
          <w:kern w:val="24"/>
          <w:position w:val="2"/>
        </w:rPr>
        <w:t>3、全车盗抢险；</w:t>
      </w:r>
    </w:p>
    <w:p>
      <w:pPr>
        <w:pStyle w:val="20"/>
        <w:spacing w:line="450" w:lineRule="exact"/>
        <w:ind w:left="420"/>
        <w:rPr>
          <w:rFonts w:ascii="Times New Roman" w:hAnsi="Times New Roman"/>
          <w:b/>
          <w:color w:val="auto"/>
          <w:kern w:val="24"/>
          <w:position w:val="2"/>
        </w:rPr>
      </w:pPr>
      <w:r>
        <w:rPr>
          <w:rFonts w:ascii="Times New Roman" w:hAnsi="Times New Roman"/>
          <w:b/>
          <w:color w:val="auto"/>
          <w:kern w:val="24"/>
          <w:position w:val="2"/>
        </w:rPr>
        <w:t>4、车上责任险；</w:t>
      </w:r>
    </w:p>
    <w:p>
      <w:pPr>
        <w:pStyle w:val="20"/>
        <w:spacing w:line="450" w:lineRule="exact"/>
        <w:ind w:left="420"/>
        <w:rPr>
          <w:rFonts w:ascii="Times New Roman" w:hAnsi="Times New Roman"/>
          <w:b/>
          <w:color w:val="auto"/>
          <w:kern w:val="24"/>
          <w:position w:val="2"/>
        </w:rPr>
      </w:pPr>
      <w:r>
        <w:rPr>
          <w:rFonts w:ascii="Times New Roman" w:hAnsi="Times New Roman"/>
          <w:b/>
          <w:color w:val="auto"/>
          <w:kern w:val="24"/>
          <w:position w:val="2"/>
        </w:rPr>
        <w:t>5、不计免陪特约险；</w:t>
      </w:r>
    </w:p>
    <w:p>
      <w:pPr>
        <w:pStyle w:val="20"/>
        <w:spacing w:line="450" w:lineRule="exact"/>
        <w:ind w:left="420"/>
        <w:rPr>
          <w:rFonts w:ascii="Times New Roman" w:hAnsi="Times New Roman"/>
          <w:b/>
          <w:color w:val="auto"/>
          <w:kern w:val="24"/>
          <w:position w:val="2"/>
        </w:rPr>
      </w:pPr>
      <w:r>
        <w:rPr>
          <w:rFonts w:hint="eastAsia" w:ascii="Times New Roman" w:hAnsi="Times New Roman"/>
          <w:b/>
          <w:color w:val="auto"/>
          <w:kern w:val="24"/>
          <w:position w:val="2"/>
        </w:rPr>
        <w:t>6、车身划痕险；</w:t>
      </w:r>
    </w:p>
    <w:p>
      <w:pPr>
        <w:pStyle w:val="20"/>
        <w:spacing w:line="450" w:lineRule="exact"/>
        <w:ind w:left="420"/>
        <w:rPr>
          <w:rFonts w:ascii="Times New Roman" w:hAnsi="Times New Roman"/>
          <w:b/>
          <w:color w:val="auto"/>
          <w:kern w:val="24"/>
          <w:position w:val="2"/>
        </w:rPr>
      </w:pPr>
      <w:r>
        <w:rPr>
          <w:rFonts w:hint="eastAsia" w:ascii="Times New Roman" w:hAnsi="Times New Roman"/>
          <w:b/>
          <w:color w:val="auto"/>
          <w:kern w:val="24"/>
          <w:position w:val="2"/>
        </w:rPr>
        <w:t>7、玻璃单独破碎险；</w:t>
      </w:r>
    </w:p>
    <w:p>
      <w:pPr>
        <w:pStyle w:val="20"/>
        <w:spacing w:line="450" w:lineRule="exact"/>
        <w:ind w:left="420"/>
        <w:rPr>
          <w:rFonts w:ascii="Times New Roman" w:hAnsi="Times New Roman"/>
          <w:b/>
          <w:color w:val="auto"/>
          <w:kern w:val="24"/>
          <w:position w:val="2"/>
        </w:rPr>
      </w:pPr>
      <w:r>
        <w:rPr>
          <w:rFonts w:hint="eastAsia" w:ascii="Times New Roman" w:hAnsi="Times New Roman"/>
          <w:b/>
          <w:color w:val="auto"/>
          <w:kern w:val="24"/>
          <w:position w:val="2"/>
        </w:rPr>
        <w:t>8、自燃损失险；</w:t>
      </w:r>
    </w:p>
    <w:p>
      <w:pPr>
        <w:pStyle w:val="20"/>
        <w:spacing w:line="450" w:lineRule="exact"/>
        <w:ind w:left="420"/>
        <w:rPr>
          <w:rFonts w:ascii="Times New Roman" w:hAnsi="Times New Roman"/>
          <w:b/>
          <w:color w:val="auto"/>
          <w:kern w:val="24"/>
          <w:position w:val="2"/>
        </w:rPr>
      </w:pPr>
      <w:r>
        <w:rPr>
          <w:rFonts w:hint="eastAsia" w:ascii="Times New Roman" w:hAnsi="Times New Roman"/>
          <w:b/>
          <w:color w:val="auto"/>
          <w:kern w:val="24"/>
          <w:position w:val="2"/>
        </w:rPr>
        <w:t>9、新增加设备损失险；</w:t>
      </w:r>
    </w:p>
    <w:p>
      <w:pPr>
        <w:pStyle w:val="20"/>
        <w:spacing w:line="450" w:lineRule="exact"/>
        <w:ind w:left="420"/>
        <w:rPr>
          <w:rFonts w:ascii="Times New Roman" w:hAnsi="Times New Roman"/>
          <w:b/>
          <w:color w:val="auto"/>
          <w:kern w:val="24"/>
          <w:position w:val="2"/>
        </w:rPr>
      </w:pPr>
      <w:r>
        <w:rPr>
          <w:rFonts w:hint="eastAsia" w:ascii="Times New Roman" w:hAnsi="Times New Roman"/>
          <w:b/>
          <w:color w:val="auto"/>
          <w:kern w:val="24"/>
          <w:position w:val="2"/>
        </w:rPr>
        <w:t>10、发动机涉水损失险；</w:t>
      </w:r>
    </w:p>
    <w:p>
      <w:pPr>
        <w:pStyle w:val="20"/>
        <w:spacing w:line="450" w:lineRule="exact"/>
        <w:ind w:left="420"/>
        <w:rPr>
          <w:rFonts w:ascii="Times New Roman" w:hAnsi="Times New Roman"/>
          <w:b/>
          <w:color w:val="auto"/>
          <w:kern w:val="24"/>
          <w:position w:val="2"/>
        </w:rPr>
      </w:pPr>
      <w:r>
        <w:rPr>
          <w:rFonts w:hint="eastAsia" w:ascii="Times New Roman" w:hAnsi="Times New Roman"/>
          <w:b/>
          <w:color w:val="auto"/>
          <w:kern w:val="24"/>
          <w:position w:val="2"/>
        </w:rPr>
        <w:t>11、机动车损失保险无法找到第三方特约险；</w:t>
      </w:r>
    </w:p>
    <w:p>
      <w:pPr>
        <w:pStyle w:val="20"/>
        <w:spacing w:line="450" w:lineRule="exact"/>
        <w:ind w:left="420"/>
        <w:rPr>
          <w:rFonts w:ascii="Times New Roman" w:hAnsi="Times New Roman"/>
          <w:b/>
          <w:color w:val="auto"/>
          <w:kern w:val="24"/>
          <w:position w:val="2"/>
        </w:rPr>
      </w:pPr>
      <w:r>
        <w:rPr>
          <w:rFonts w:hint="eastAsia" w:ascii="Times New Roman" w:hAnsi="Times New Roman"/>
          <w:b/>
          <w:color w:val="auto"/>
          <w:kern w:val="24"/>
          <w:position w:val="2"/>
        </w:rPr>
        <w:t>12</w:t>
      </w:r>
      <w:r>
        <w:rPr>
          <w:rFonts w:ascii="Times New Roman" w:hAnsi="Times New Roman"/>
          <w:b/>
          <w:color w:val="auto"/>
          <w:kern w:val="24"/>
          <w:position w:val="2"/>
        </w:rPr>
        <w:t>、交强险。</w:t>
      </w:r>
    </w:p>
    <w:p>
      <w:pPr>
        <w:spacing w:line="450" w:lineRule="exact"/>
        <w:ind w:firstLine="422" w:firstLineChars="200"/>
        <w:rPr>
          <w:b/>
          <w:bCs/>
          <w:color w:val="auto"/>
          <w:kern w:val="24"/>
          <w:position w:val="2"/>
          <w:lang w:val="en-GB"/>
        </w:rPr>
      </w:pPr>
      <w:r>
        <w:rPr>
          <w:b/>
          <w:color w:val="auto"/>
          <w:kern w:val="24"/>
          <w:position w:val="2"/>
        </w:rPr>
        <w:t>五、</w:t>
      </w:r>
      <w:r>
        <w:rPr>
          <w:b/>
          <w:color w:val="auto"/>
          <w:kern w:val="24"/>
          <w:position w:val="2"/>
          <w:lang w:val="en-GB"/>
        </w:rPr>
        <w:t>保险费的计算</w:t>
      </w:r>
    </w:p>
    <w:p>
      <w:pPr>
        <w:pStyle w:val="20"/>
        <w:spacing w:line="450" w:lineRule="exact"/>
        <w:ind w:firstLine="422" w:firstLineChars="200"/>
        <w:rPr>
          <w:rFonts w:ascii="Times New Roman" w:hAnsi="Times New Roman"/>
          <w:b/>
          <w:bCs/>
          <w:color w:val="auto"/>
          <w:kern w:val="24"/>
          <w:position w:val="2"/>
          <w:szCs w:val="21"/>
          <w:lang w:val="en-GB"/>
        </w:rPr>
      </w:pPr>
      <w:r>
        <w:rPr>
          <w:rFonts w:ascii="Times New Roman" w:hAnsi="Times New Roman"/>
          <w:b/>
          <w:color w:val="auto"/>
          <w:kern w:val="24"/>
          <w:position w:val="2"/>
          <w:lang w:val="en-GB"/>
        </w:rPr>
        <w:t>所有投保车辆价值按新车辆购置价和折旧后的车辆实际价值计算（不含车辆购置附加费）；第三者责任保险按最高限额人民币</w:t>
      </w:r>
      <w:r>
        <w:rPr>
          <w:rFonts w:hint="eastAsia" w:ascii="Times New Roman" w:hAnsi="Times New Roman"/>
          <w:b/>
          <w:color w:val="auto"/>
          <w:kern w:val="24"/>
          <w:position w:val="2"/>
          <w:lang w:val="en-GB"/>
        </w:rPr>
        <w:t>5</w:t>
      </w:r>
      <w:r>
        <w:rPr>
          <w:rFonts w:ascii="Times New Roman" w:hAnsi="Times New Roman"/>
          <w:b/>
          <w:color w:val="auto"/>
          <w:kern w:val="24"/>
          <w:position w:val="2"/>
          <w:lang w:val="en-GB"/>
        </w:rPr>
        <w:t>0万元每辆车的标准执行（摩托车除外）；全车盗抢险，车辆购置时间超过8年，行程超过20万公里，原则上不投此险种（高档越野车、两轮摩托车除外）；车上人员责任险按最高限额人民币</w:t>
      </w:r>
      <w:r>
        <w:rPr>
          <w:rFonts w:hint="eastAsia" w:ascii="Times New Roman" w:hAnsi="Times New Roman"/>
          <w:b/>
          <w:color w:val="auto"/>
          <w:kern w:val="24"/>
          <w:position w:val="2"/>
          <w:lang w:val="en-GB"/>
        </w:rPr>
        <w:t>10</w:t>
      </w:r>
      <w:r>
        <w:rPr>
          <w:rFonts w:ascii="Times New Roman" w:hAnsi="Times New Roman"/>
          <w:b/>
          <w:color w:val="auto"/>
          <w:kern w:val="24"/>
          <w:position w:val="2"/>
          <w:lang w:val="en-GB"/>
        </w:rPr>
        <w:t>万元每位的标准执行。</w:t>
      </w:r>
    </w:p>
    <w:p>
      <w:pPr>
        <w:pStyle w:val="14"/>
        <w:spacing w:line="321" w:lineRule="auto"/>
        <w:ind w:left="212" w:right="443"/>
        <w:rPr>
          <w:rFonts w:ascii="Times New Roman" w:hAnsi="Times New Roman" w:eastAsia="宋体"/>
          <w:color w:val="auto"/>
          <w:spacing w:val="-5"/>
          <w:kern w:val="24"/>
          <w:position w:val="2"/>
          <w:sz w:val="21"/>
          <w:szCs w:val="24"/>
        </w:rPr>
      </w:pPr>
      <w:r>
        <w:rPr>
          <w:rFonts w:hint="eastAsia" w:ascii="Times New Roman" w:hAnsi="Times New Roman" w:eastAsia="宋体"/>
          <w:bCs/>
          <w:color w:val="auto"/>
          <w:spacing w:val="0"/>
          <w:kern w:val="24"/>
          <w:position w:val="2"/>
          <w:sz w:val="21"/>
          <w:szCs w:val="21"/>
          <w:lang w:val="en-GB"/>
        </w:rPr>
        <w:t>六</w:t>
      </w:r>
      <w:r>
        <w:rPr>
          <w:rFonts w:ascii="Times New Roman" w:hAnsi="Times New Roman" w:eastAsia="宋体"/>
          <w:color w:val="auto"/>
          <w:spacing w:val="-5"/>
          <w:kern w:val="24"/>
          <w:position w:val="2"/>
          <w:sz w:val="21"/>
          <w:szCs w:val="24"/>
        </w:rPr>
        <w:t>、</w:t>
      </w:r>
      <w:r>
        <w:rPr>
          <w:rFonts w:hint="eastAsia" w:ascii="Times New Roman" w:hAnsi="Times New Roman" w:eastAsia="宋体"/>
          <w:color w:val="auto"/>
          <w:spacing w:val="-5"/>
          <w:kern w:val="24"/>
          <w:position w:val="2"/>
          <w:sz w:val="21"/>
          <w:szCs w:val="24"/>
        </w:rPr>
        <w:t>供应商</w:t>
      </w:r>
      <w:r>
        <w:rPr>
          <w:rFonts w:ascii="Times New Roman" w:hAnsi="Times New Roman" w:eastAsia="宋体"/>
          <w:color w:val="auto"/>
          <w:spacing w:val="-5"/>
          <w:kern w:val="24"/>
          <w:position w:val="2"/>
          <w:sz w:val="21"/>
          <w:szCs w:val="24"/>
        </w:rPr>
        <w:t>应考虑</w:t>
      </w:r>
      <w:r>
        <w:rPr>
          <w:rFonts w:hint="eastAsia" w:ascii="Times New Roman" w:hAnsi="Times New Roman" w:eastAsia="宋体"/>
          <w:color w:val="auto"/>
          <w:spacing w:val="-5"/>
          <w:kern w:val="24"/>
          <w:position w:val="2"/>
          <w:sz w:val="21"/>
          <w:szCs w:val="24"/>
        </w:rPr>
        <w:t>东兰县</w:t>
      </w:r>
      <w:r>
        <w:rPr>
          <w:rFonts w:ascii="Times New Roman" w:hAnsi="Times New Roman" w:eastAsia="宋体"/>
          <w:color w:val="auto"/>
          <w:spacing w:val="-5"/>
          <w:kern w:val="24"/>
          <w:position w:val="2"/>
          <w:sz w:val="21"/>
          <w:szCs w:val="24"/>
        </w:rPr>
        <w:t>公务用车车型、车种、用途、使用年限、购买价格等因素， 本着减少财政支出、增加保障制度的原则，选择上述第四、五项规定的险种和费率，向采购人提出书面的建设性优选方案，作为</w:t>
      </w:r>
      <w:r>
        <w:rPr>
          <w:rFonts w:hint="eastAsia" w:ascii="Times New Roman" w:hAnsi="Times New Roman" w:eastAsia="宋体"/>
          <w:color w:val="auto"/>
          <w:spacing w:val="-5"/>
          <w:kern w:val="24"/>
          <w:position w:val="2"/>
          <w:sz w:val="21"/>
          <w:szCs w:val="24"/>
        </w:rPr>
        <w:t>响应</w:t>
      </w:r>
      <w:r>
        <w:rPr>
          <w:rFonts w:ascii="Times New Roman" w:hAnsi="Times New Roman" w:eastAsia="宋体"/>
          <w:color w:val="auto"/>
          <w:spacing w:val="-5"/>
          <w:kern w:val="24"/>
          <w:position w:val="2"/>
          <w:sz w:val="21"/>
          <w:szCs w:val="24"/>
        </w:rPr>
        <w:t>文件之一。</w:t>
      </w:r>
    </w:p>
    <w:p>
      <w:pPr>
        <w:pStyle w:val="14"/>
        <w:spacing w:line="321" w:lineRule="auto"/>
        <w:ind w:left="212" w:right="549"/>
        <w:rPr>
          <w:rFonts w:ascii="Times New Roman" w:hAnsi="Times New Roman" w:eastAsia="宋体"/>
          <w:color w:val="auto"/>
          <w:spacing w:val="-5"/>
          <w:kern w:val="24"/>
          <w:position w:val="2"/>
          <w:sz w:val="21"/>
          <w:szCs w:val="24"/>
        </w:rPr>
      </w:pPr>
      <w:r>
        <w:rPr>
          <w:rFonts w:hint="eastAsia" w:ascii="Times New Roman" w:hAnsi="Times New Roman" w:eastAsia="宋体"/>
          <w:color w:val="auto"/>
          <w:spacing w:val="-5"/>
          <w:kern w:val="24"/>
          <w:position w:val="2"/>
          <w:sz w:val="21"/>
          <w:szCs w:val="24"/>
        </w:rPr>
        <w:t>七</w:t>
      </w:r>
      <w:r>
        <w:rPr>
          <w:rFonts w:ascii="Times New Roman" w:hAnsi="Times New Roman" w:eastAsia="宋体"/>
          <w:color w:val="auto"/>
          <w:spacing w:val="-5"/>
          <w:kern w:val="24"/>
          <w:position w:val="2"/>
          <w:sz w:val="21"/>
          <w:szCs w:val="24"/>
        </w:rPr>
        <w:t>、在严格遵守《保险法》及中国保险监督管理委员会有关机动国车辆保险规定的条件下，</w:t>
      </w:r>
      <w:r>
        <w:rPr>
          <w:rFonts w:hint="eastAsia" w:ascii="Times New Roman" w:hAnsi="Times New Roman" w:eastAsia="宋体"/>
          <w:color w:val="auto"/>
          <w:spacing w:val="-5"/>
          <w:kern w:val="24"/>
          <w:position w:val="2"/>
          <w:sz w:val="21"/>
          <w:szCs w:val="24"/>
        </w:rPr>
        <w:t>供应商</w:t>
      </w:r>
      <w:r>
        <w:rPr>
          <w:rFonts w:ascii="Times New Roman" w:hAnsi="Times New Roman" w:eastAsia="宋体"/>
          <w:color w:val="auto"/>
          <w:spacing w:val="-5"/>
          <w:kern w:val="24"/>
          <w:position w:val="2"/>
          <w:sz w:val="21"/>
          <w:szCs w:val="24"/>
        </w:rPr>
        <w:t>应向采购人提出优化服务措施、机动车辆保险条款的书面文件，作为</w:t>
      </w:r>
      <w:r>
        <w:rPr>
          <w:rFonts w:hint="eastAsia" w:ascii="Times New Roman" w:hAnsi="Times New Roman" w:eastAsia="宋体"/>
          <w:color w:val="auto"/>
          <w:spacing w:val="-5"/>
          <w:kern w:val="24"/>
          <w:position w:val="2"/>
          <w:sz w:val="21"/>
          <w:szCs w:val="24"/>
        </w:rPr>
        <w:t>响应</w:t>
      </w:r>
      <w:r>
        <w:rPr>
          <w:rFonts w:ascii="Times New Roman" w:hAnsi="Times New Roman" w:eastAsia="宋体"/>
          <w:color w:val="auto"/>
          <w:spacing w:val="-5"/>
          <w:kern w:val="24"/>
          <w:position w:val="2"/>
          <w:sz w:val="21"/>
          <w:szCs w:val="24"/>
        </w:rPr>
        <w:t>文件之一。</w:t>
      </w:r>
    </w:p>
    <w:p>
      <w:pPr>
        <w:pStyle w:val="20"/>
        <w:spacing w:line="440" w:lineRule="exact"/>
        <w:jc w:val="left"/>
        <w:outlineLvl w:val="0"/>
        <w:rPr>
          <w:rFonts w:hAnsi="宋体"/>
          <w:b/>
          <w:color w:val="auto"/>
          <w:szCs w:val="21"/>
        </w:rPr>
      </w:pPr>
    </w:p>
    <w:p>
      <w:pPr>
        <w:pStyle w:val="2"/>
        <w:rPr>
          <w:rFonts w:ascii="宋体" w:hAnsi="宋体"/>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2"/>
        <w:rPr>
          <w:rFonts w:ascii="宋体" w:hAnsi="宋体"/>
          <w:color w:val="auto"/>
        </w:rPr>
      </w:pPr>
    </w:p>
    <w:p>
      <w:pPr>
        <w:pStyle w:val="2"/>
        <w:rPr>
          <w:rFonts w:ascii="宋体" w:hAnsi="宋体"/>
          <w:color w:val="auto"/>
        </w:rPr>
      </w:pPr>
    </w:p>
    <w:p>
      <w:pPr>
        <w:pStyle w:val="2"/>
        <w:rPr>
          <w:rFonts w:ascii="宋体" w:hAnsi="宋体"/>
          <w:color w:val="auto"/>
        </w:rPr>
      </w:pPr>
    </w:p>
    <w:p>
      <w:pPr>
        <w:pStyle w:val="20"/>
        <w:spacing w:line="360" w:lineRule="auto"/>
        <w:jc w:val="center"/>
        <w:outlineLvl w:val="0"/>
        <w:rPr>
          <w:rFonts w:ascii="金山简隶书" w:eastAsia="金山简隶书"/>
          <w:color w:val="auto"/>
        </w:rPr>
      </w:pPr>
      <w:r>
        <w:rPr>
          <w:rFonts w:hint="eastAsia" w:hAnsi="宋体"/>
          <w:color w:val="auto"/>
        </w:rPr>
        <w:t xml:space="preserve">  </w:t>
      </w:r>
      <w:r>
        <w:rPr>
          <w:rFonts w:hint="eastAsia"/>
          <w:b/>
          <w:color w:val="auto"/>
          <w:sz w:val="36"/>
          <w:szCs w:val="36"/>
        </w:rPr>
        <w:t xml:space="preserve"> </w:t>
      </w:r>
      <w:bookmarkStart w:id="49" w:name="_Toc42013022"/>
      <w:r>
        <w:rPr>
          <w:rFonts w:hint="eastAsia"/>
          <w:b/>
          <w:color w:val="auto"/>
          <w:sz w:val="36"/>
          <w:szCs w:val="36"/>
        </w:rPr>
        <w:t>第四章 合同基本条款及合同书（格式）</w:t>
      </w:r>
      <w:bookmarkEnd w:id="49"/>
    </w:p>
    <w:p>
      <w:pPr>
        <w:pStyle w:val="4"/>
        <w:numPr>
          <w:ilvl w:val="2"/>
          <w:numId w:val="0"/>
        </w:numPr>
        <w:tabs>
          <w:tab w:val="left" w:pos="720"/>
        </w:tabs>
        <w:spacing w:before="120" w:after="0" w:line="360" w:lineRule="auto"/>
        <w:jc w:val="center"/>
        <w:rPr>
          <w:rFonts w:ascii="宋体" w:hAnsi="宋体" w:cs="宋体"/>
          <w:bCs w:val="0"/>
          <w:color w:val="auto"/>
          <w:kern w:val="0"/>
        </w:rPr>
      </w:pPr>
      <w:r>
        <w:rPr>
          <w:rFonts w:hint="eastAsia"/>
          <w:color w:val="auto"/>
        </w:rPr>
        <w:cr/>
      </w:r>
      <w:r>
        <w:rPr>
          <w:rFonts w:hint="eastAsia"/>
          <w:color w:val="auto"/>
        </w:rPr>
        <w:cr/>
      </w:r>
      <w:r>
        <w:rPr>
          <w:rFonts w:hint="eastAsia"/>
          <w:color w:val="auto"/>
        </w:rPr>
        <w:cr/>
      </w:r>
      <w:r>
        <w:rPr>
          <w:rFonts w:hint="eastAsia"/>
          <w:color w:val="auto"/>
        </w:rPr>
        <w:cr/>
      </w:r>
      <w:r>
        <w:rPr>
          <w:rFonts w:hint="eastAsia"/>
          <w:color w:val="auto"/>
        </w:rPr>
        <w:cr/>
      </w:r>
      <w:r>
        <w:rPr>
          <w:b w:val="0"/>
          <w:color w:val="auto"/>
        </w:rPr>
        <w:br w:type="page"/>
      </w:r>
      <w:bookmarkStart w:id="50" w:name="_Toc42013024"/>
      <w:bookmarkStart w:id="51" w:name="_Toc42013023"/>
      <w:r>
        <w:rPr>
          <w:rFonts w:hint="eastAsia" w:ascii="宋体" w:hAnsi="宋体" w:cs="宋体"/>
          <w:bCs w:val="0"/>
          <w:color w:val="auto"/>
          <w:kern w:val="0"/>
        </w:rPr>
        <w:t>合同主要条款及格式</w:t>
      </w:r>
      <w:bookmarkEnd w:id="50"/>
      <w:bookmarkEnd w:id="51"/>
    </w:p>
    <w:p>
      <w:pPr>
        <w:snapToGrid w:val="0"/>
        <w:spacing w:line="380" w:lineRule="exact"/>
        <w:jc w:val="center"/>
        <w:rPr>
          <w:rFonts w:ascii="宋体" w:hAnsi="宋体"/>
          <w:bCs/>
          <w:color w:val="auto"/>
          <w:sz w:val="28"/>
          <w:szCs w:val="28"/>
        </w:rPr>
      </w:pPr>
    </w:p>
    <w:p>
      <w:pPr>
        <w:spacing w:line="400" w:lineRule="exact"/>
        <w:rPr>
          <w:rFonts w:ascii="宋体" w:hAnsi="宋体"/>
          <w:color w:val="auto"/>
        </w:rPr>
      </w:pPr>
      <w:r>
        <w:rPr>
          <w:rFonts w:hint="eastAsia" w:ascii="宋体" w:hAnsi="宋体"/>
          <w:color w:val="auto"/>
        </w:rPr>
        <w:t>项目名称：</w:t>
      </w:r>
      <w:r>
        <w:rPr>
          <w:rFonts w:hint="eastAsia" w:ascii="宋体" w:hAnsi="宋体"/>
          <w:color w:val="auto"/>
          <w:u w:val="single"/>
        </w:rPr>
        <w:t xml:space="preserve">                     </w:t>
      </w:r>
    </w:p>
    <w:p>
      <w:pPr>
        <w:spacing w:line="400" w:lineRule="exact"/>
        <w:rPr>
          <w:rFonts w:ascii="宋体" w:hAnsi="宋体"/>
          <w:color w:val="auto"/>
          <w:u w:val="single"/>
        </w:rPr>
      </w:pPr>
      <w:r>
        <w:rPr>
          <w:rFonts w:hint="eastAsia" w:ascii="宋体" w:hAnsi="宋体"/>
          <w:color w:val="auto"/>
        </w:rPr>
        <w:t>采购编号：</w:t>
      </w:r>
      <w:r>
        <w:rPr>
          <w:rFonts w:hint="eastAsia" w:ascii="宋体" w:hAnsi="宋体"/>
          <w:color w:val="auto"/>
          <w:u w:val="single"/>
        </w:rPr>
        <w:t xml:space="preserve">                     </w:t>
      </w:r>
    </w:p>
    <w:p>
      <w:pPr>
        <w:spacing w:line="400" w:lineRule="exact"/>
        <w:rPr>
          <w:rFonts w:ascii="宋体" w:hAnsi="宋体"/>
          <w:color w:val="auto"/>
        </w:rPr>
      </w:pPr>
      <w:r>
        <w:rPr>
          <w:rFonts w:hint="eastAsia" w:ascii="宋体" w:hAnsi="宋体"/>
          <w:color w:val="auto"/>
        </w:rPr>
        <w:t>甲方：</w:t>
      </w:r>
      <w:r>
        <w:rPr>
          <w:rFonts w:hint="eastAsia" w:ascii="宋体" w:hAnsi="宋体"/>
          <w:color w:val="auto"/>
          <w:u w:val="single"/>
        </w:rPr>
        <w:t xml:space="preserve">  </w:t>
      </w:r>
      <w:r>
        <w:rPr>
          <w:rFonts w:hint="eastAsia" w:hAnsi="宋体"/>
          <w:color w:val="auto"/>
          <w:u w:val="single"/>
        </w:rPr>
        <w:t xml:space="preserve">                       </w:t>
      </w:r>
      <w:r>
        <w:rPr>
          <w:rFonts w:hint="eastAsia" w:ascii="宋体" w:hAnsi="宋体"/>
          <w:color w:val="auto"/>
        </w:rPr>
        <w:t>（采购人）</w:t>
      </w:r>
    </w:p>
    <w:p>
      <w:pPr>
        <w:spacing w:line="400" w:lineRule="exact"/>
        <w:rPr>
          <w:rFonts w:ascii="宋体" w:hAnsi="宋体"/>
          <w:color w:val="auto"/>
        </w:rPr>
      </w:pPr>
      <w:r>
        <w:rPr>
          <w:rFonts w:hint="eastAsia" w:ascii="宋体" w:hAnsi="宋体"/>
          <w:color w:val="auto"/>
        </w:rPr>
        <w:t>乙方：</w:t>
      </w:r>
      <w:r>
        <w:rPr>
          <w:rFonts w:hint="eastAsia" w:ascii="宋体" w:hAnsi="宋体"/>
          <w:color w:val="auto"/>
          <w:u w:val="single"/>
        </w:rPr>
        <w:t xml:space="preserve">                         </w:t>
      </w:r>
      <w:r>
        <w:rPr>
          <w:rFonts w:hint="eastAsia" w:ascii="宋体" w:hAnsi="宋体"/>
          <w:color w:val="auto"/>
        </w:rPr>
        <w:t>（成交供应商）</w:t>
      </w:r>
    </w:p>
    <w:p>
      <w:pPr>
        <w:spacing w:line="400" w:lineRule="exact"/>
        <w:rPr>
          <w:color w:val="auto"/>
        </w:rPr>
      </w:pPr>
    </w:p>
    <w:p>
      <w:pPr>
        <w:spacing w:line="400" w:lineRule="exact"/>
        <w:ind w:firstLine="420" w:firstLineChars="200"/>
        <w:rPr>
          <w:color w:val="auto"/>
        </w:rPr>
      </w:pPr>
      <w:r>
        <w:rPr>
          <w:rFonts w:hint="eastAsia"/>
          <w:color w:val="auto"/>
        </w:rPr>
        <w:t>根据《中华人民共和国政府采购法》、《中华人民共和国合同法》等法律、法规规定，按照采购文件、响应文件规定条款和成交供应商的承诺、甲乙双方签订本采购合同。</w:t>
      </w:r>
    </w:p>
    <w:p>
      <w:pPr>
        <w:spacing w:line="440" w:lineRule="exact"/>
        <w:ind w:right="-27" w:rightChars="-13" w:firstLine="420" w:firstLineChars="200"/>
        <w:rPr>
          <w:rFonts w:hAnsi="宋体"/>
          <w:color w:val="auto"/>
          <w:szCs w:val="21"/>
        </w:rPr>
      </w:pPr>
      <w:r>
        <w:rPr>
          <w:rFonts w:hint="eastAsia"/>
          <w:color w:val="auto"/>
          <w:szCs w:val="21"/>
        </w:rPr>
        <w:t>甲、乙双方经过友好协商，达成如下协议。</w:t>
      </w:r>
    </w:p>
    <w:p>
      <w:pPr>
        <w:pStyle w:val="20"/>
        <w:spacing w:line="360" w:lineRule="auto"/>
        <w:ind w:firstLine="420"/>
        <w:rPr>
          <w:rFonts w:ascii="Times New Roman" w:hAnsi="Times New Roman"/>
          <w:b/>
          <w:color w:val="auto"/>
        </w:rPr>
      </w:pPr>
      <w:r>
        <w:rPr>
          <w:rFonts w:hint="eastAsia" w:ascii="Times New Roman" w:hAnsi="宋体"/>
          <w:b/>
          <w:color w:val="auto"/>
        </w:rPr>
        <w:t>一</w:t>
      </w:r>
      <w:r>
        <w:rPr>
          <w:rFonts w:ascii="Times New Roman" w:hAnsi="宋体"/>
          <w:b/>
          <w:color w:val="auto"/>
        </w:rPr>
        <w:t>、公务用车统一保险范围、期限</w:t>
      </w:r>
    </w:p>
    <w:p>
      <w:pPr>
        <w:pStyle w:val="20"/>
        <w:spacing w:line="360" w:lineRule="auto"/>
        <w:ind w:firstLine="420"/>
        <w:rPr>
          <w:rFonts w:ascii="Times New Roman" w:hAnsi="宋体"/>
          <w:color w:val="auto"/>
        </w:rPr>
      </w:pPr>
      <w:r>
        <w:rPr>
          <w:rFonts w:hint="eastAsia" w:ascii="Times New Roman" w:hAnsi="宋体"/>
          <w:color w:val="auto"/>
        </w:rPr>
        <w:t>（一）东兰县行政事业单位、社会团体的公务用车实行统一集中保险。</w:t>
      </w:r>
    </w:p>
    <w:p>
      <w:pPr>
        <w:pStyle w:val="20"/>
        <w:spacing w:line="360" w:lineRule="auto"/>
        <w:ind w:firstLine="420"/>
        <w:rPr>
          <w:rFonts w:ascii="Times New Roman" w:hAnsi="Times New Roman"/>
          <w:color w:val="auto"/>
        </w:rPr>
      </w:pPr>
      <w:r>
        <w:rPr>
          <w:rFonts w:ascii="Times New Roman" w:hAnsi="宋体"/>
          <w:color w:val="auto"/>
        </w:rPr>
        <w:t>（二）服务期限：</w:t>
      </w:r>
      <w:r>
        <w:rPr>
          <w:rFonts w:ascii="Times New Roman" w:hAnsi="宋体"/>
          <w:b/>
          <w:color w:val="auto"/>
        </w:rPr>
        <w:t>自本协议签订日起</w:t>
      </w:r>
      <w:r>
        <w:rPr>
          <w:rFonts w:hint="eastAsia" w:ascii="Times New Roman" w:hAnsi="宋体"/>
          <w:b/>
          <w:color w:val="auto"/>
        </w:rPr>
        <w:t>贰</w:t>
      </w:r>
      <w:r>
        <w:rPr>
          <w:rFonts w:ascii="Times New Roman" w:hAnsi="宋体"/>
          <w:b/>
          <w:color w:val="auto"/>
        </w:rPr>
        <w:t>年内</w:t>
      </w:r>
      <w:r>
        <w:rPr>
          <w:rFonts w:ascii="Times New Roman" w:hAnsi="宋体"/>
          <w:color w:val="auto"/>
        </w:rPr>
        <w:t>。在此期间，各采购人新购车辆、未上保险或保险已到期的车辆，在办理车辆保险时，必须到中标保险机构投保；保险尚未到期的车辆，在协议服务期内保险到期续保</w:t>
      </w:r>
      <w:r>
        <w:rPr>
          <w:rFonts w:ascii="Times New Roman" w:hAnsi="Times New Roman"/>
          <w:color w:val="auto"/>
        </w:rPr>
        <w:t>时必须到中标保险机构处投保。</w:t>
      </w:r>
    </w:p>
    <w:p>
      <w:pPr>
        <w:pStyle w:val="20"/>
        <w:spacing w:line="360" w:lineRule="auto"/>
        <w:ind w:firstLine="420"/>
        <w:rPr>
          <w:rFonts w:ascii="Times New Roman" w:hAnsi="Times New Roman"/>
          <w:b/>
          <w:color w:val="auto"/>
        </w:rPr>
      </w:pPr>
      <w:r>
        <w:rPr>
          <w:rFonts w:hint="eastAsia" w:ascii="Times New Roman" w:hAnsi="Times New Roman"/>
          <w:b/>
          <w:color w:val="auto"/>
        </w:rPr>
        <w:t>二</w:t>
      </w:r>
      <w:r>
        <w:rPr>
          <w:rFonts w:ascii="Times New Roman" w:hAnsi="Times New Roman"/>
          <w:b/>
          <w:color w:val="auto"/>
        </w:rPr>
        <w:t>、投保险种及保费</w:t>
      </w:r>
    </w:p>
    <w:p>
      <w:pPr>
        <w:pStyle w:val="20"/>
        <w:spacing w:line="450" w:lineRule="exact"/>
        <w:ind w:firstLine="420" w:firstLineChars="200"/>
        <w:rPr>
          <w:rFonts w:ascii="Times New Roman" w:hAnsi="Times New Roman"/>
          <w:color w:val="auto"/>
        </w:rPr>
      </w:pPr>
      <w:r>
        <w:rPr>
          <w:rFonts w:ascii="Times New Roman" w:hAnsi="Times New Roman"/>
          <w:color w:val="auto"/>
        </w:rPr>
        <w:t>1、保险险种：在已投保机动车交通事故强制保险的前提下，可再根据本次</w:t>
      </w:r>
      <w:r>
        <w:rPr>
          <w:rFonts w:hint="eastAsia" w:ascii="Times New Roman" w:hAnsi="Times New Roman"/>
          <w:color w:val="auto"/>
        </w:rPr>
        <w:t>采购</w:t>
      </w:r>
      <w:r>
        <w:rPr>
          <w:rFonts w:ascii="Times New Roman" w:hAnsi="Times New Roman"/>
          <w:color w:val="auto"/>
        </w:rPr>
        <w:t>所规定的</w:t>
      </w:r>
      <w:r>
        <w:rPr>
          <w:rFonts w:hint="eastAsia" w:ascii="Times New Roman" w:hAnsi="Times New Roman"/>
          <w:color w:val="auto"/>
        </w:rPr>
        <w:t>11</w:t>
      </w:r>
      <w:r>
        <w:rPr>
          <w:rFonts w:ascii="Times New Roman" w:hAnsi="Times New Roman"/>
          <w:color w:val="auto"/>
        </w:rPr>
        <w:t>个险种（车辆损失险</w:t>
      </w:r>
      <w:r>
        <w:rPr>
          <w:rFonts w:hint="eastAsia" w:ascii="Times New Roman" w:hAnsi="Times New Roman"/>
          <w:color w:val="auto"/>
        </w:rPr>
        <w:t>、</w:t>
      </w:r>
      <w:r>
        <w:rPr>
          <w:rFonts w:ascii="Times New Roman" w:hAnsi="Times New Roman"/>
          <w:color w:val="auto"/>
        </w:rPr>
        <w:t>第三者责任险</w:t>
      </w:r>
      <w:r>
        <w:rPr>
          <w:rFonts w:hint="eastAsia" w:ascii="Times New Roman" w:hAnsi="Times New Roman"/>
          <w:color w:val="auto"/>
        </w:rPr>
        <w:t>、</w:t>
      </w:r>
      <w:r>
        <w:rPr>
          <w:rFonts w:ascii="Times New Roman" w:hAnsi="Times New Roman"/>
          <w:color w:val="auto"/>
        </w:rPr>
        <w:t>车上责任险、全车盗抢险</w:t>
      </w:r>
      <w:r>
        <w:rPr>
          <w:rFonts w:hint="eastAsia" w:ascii="Times New Roman" w:hAnsi="Times New Roman"/>
          <w:color w:val="auto"/>
        </w:rPr>
        <w:t>、</w:t>
      </w:r>
      <w:r>
        <w:rPr>
          <w:rFonts w:ascii="Times New Roman" w:hAnsi="Times New Roman"/>
          <w:color w:val="auto"/>
        </w:rPr>
        <w:t>不计免陪特约险</w:t>
      </w:r>
      <w:r>
        <w:rPr>
          <w:rFonts w:hint="eastAsia" w:ascii="Times New Roman" w:hAnsi="Times New Roman"/>
          <w:color w:val="auto"/>
        </w:rPr>
        <w:t>、车身划痕险、玻璃单独破碎险、自燃损失险、新增加设备损失险、发动机涉水损失险、机动车损失保险无法找到第三方特约险</w:t>
      </w:r>
      <w:r>
        <w:rPr>
          <w:rFonts w:ascii="Times New Roman" w:hAnsi="Times New Roman"/>
          <w:color w:val="auto"/>
        </w:rPr>
        <w:t>）</w:t>
      </w:r>
      <w:r>
        <w:rPr>
          <w:rFonts w:hint="eastAsia" w:ascii="Times New Roman" w:hAnsi="Times New Roman"/>
          <w:color w:val="auto"/>
        </w:rPr>
        <w:t>中任意选择最多6个险种投保，由投保人自行决定。</w:t>
      </w:r>
    </w:p>
    <w:p>
      <w:pPr>
        <w:pStyle w:val="20"/>
        <w:spacing w:line="360" w:lineRule="auto"/>
        <w:ind w:firstLine="420" w:firstLineChars="200"/>
        <w:rPr>
          <w:rFonts w:ascii="Times New Roman" w:hAnsi="Times New Roman"/>
          <w:color w:val="auto"/>
        </w:rPr>
      </w:pPr>
      <w:r>
        <w:rPr>
          <w:rFonts w:hint="eastAsia" w:ascii="Times New Roman" w:hAnsi="Times New Roman"/>
          <w:color w:val="auto"/>
          <w:szCs w:val="24"/>
        </w:rPr>
        <w:t>2</w:t>
      </w:r>
      <w:r>
        <w:rPr>
          <w:rFonts w:ascii="Times New Roman" w:hAnsi="Times New Roman"/>
          <w:color w:val="auto"/>
        </w:rPr>
        <w:t>、对于平时只在市区内使用的没有投保车上人员责任险的中巴、大客车，如需要外出使用并属用车单位自用（外借或外租除外）时，经向保险公司申报，办理有关手续后，保险公司可承担车上人员责任险10000元/座的保险责任，保费按短期月费率计算（不足一个月按月计算）。</w:t>
      </w:r>
    </w:p>
    <w:p>
      <w:pPr>
        <w:pStyle w:val="20"/>
        <w:spacing w:line="360" w:lineRule="auto"/>
        <w:ind w:firstLine="420" w:firstLineChars="200"/>
        <w:rPr>
          <w:rFonts w:ascii="Times New Roman" w:hAnsi="Times New Roman"/>
          <w:color w:val="auto"/>
        </w:rPr>
      </w:pPr>
      <w:r>
        <w:rPr>
          <w:rFonts w:hint="eastAsia" w:ascii="Times New Roman" w:hAnsi="Times New Roman"/>
          <w:color w:val="auto"/>
        </w:rPr>
        <w:t>3、合同金额为：     元整（￥     元）；</w:t>
      </w:r>
    </w:p>
    <w:p>
      <w:pPr>
        <w:spacing w:line="440" w:lineRule="exact"/>
        <w:ind w:right="-27" w:rightChars="-13" w:firstLine="422" w:firstLineChars="200"/>
        <w:rPr>
          <w:b/>
          <w:bCs/>
          <w:color w:val="auto"/>
          <w:szCs w:val="21"/>
        </w:rPr>
      </w:pPr>
      <w:r>
        <w:rPr>
          <w:rFonts w:hint="eastAsia"/>
          <w:b/>
          <w:bCs/>
          <w:color w:val="auto"/>
          <w:szCs w:val="21"/>
        </w:rPr>
        <w:t>三、该项目保险责任限额</w:t>
      </w:r>
    </w:p>
    <w:p>
      <w:pPr>
        <w:spacing w:line="440" w:lineRule="exact"/>
        <w:ind w:right="-27" w:rightChars="-13" w:firstLine="420" w:firstLineChars="200"/>
        <w:rPr>
          <w:color w:val="auto"/>
        </w:rPr>
      </w:pPr>
      <w:r>
        <w:rPr>
          <w:rFonts w:hint="eastAsia"/>
          <w:color w:val="auto"/>
          <w:u w:val="single"/>
        </w:rPr>
        <w:t xml:space="preserve">                                                                   </w:t>
      </w:r>
      <w:r>
        <w:rPr>
          <w:rFonts w:hint="eastAsia"/>
          <w:color w:val="auto"/>
        </w:rPr>
        <w:t>。</w:t>
      </w:r>
    </w:p>
    <w:p>
      <w:pPr>
        <w:pStyle w:val="20"/>
        <w:spacing w:line="360" w:lineRule="auto"/>
        <w:ind w:firstLine="420"/>
        <w:rPr>
          <w:rFonts w:ascii="Times New Roman" w:hAnsi="Times New Roman"/>
          <w:b/>
          <w:color w:val="auto"/>
        </w:rPr>
      </w:pPr>
      <w:r>
        <w:rPr>
          <w:rFonts w:ascii="Times New Roman" w:hAnsi="Times New Roman"/>
          <w:b/>
          <w:color w:val="auto"/>
        </w:rPr>
        <w:t>四、资料</w:t>
      </w:r>
    </w:p>
    <w:p>
      <w:pPr>
        <w:pStyle w:val="20"/>
        <w:spacing w:line="360" w:lineRule="auto"/>
        <w:ind w:firstLine="420"/>
        <w:rPr>
          <w:rFonts w:ascii="Times New Roman" w:hAnsi="Times New Roman"/>
          <w:color w:val="auto"/>
        </w:rPr>
      </w:pPr>
      <w:r>
        <w:rPr>
          <w:rFonts w:ascii="Times New Roman" w:hAnsi="Times New Roman"/>
          <w:color w:val="auto"/>
        </w:rPr>
        <w:t>1、投保车辆所有权单位向乙方提供本单位采购车险服务的有关资料。</w:t>
      </w:r>
    </w:p>
    <w:p>
      <w:pPr>
        <w:pStyle w:val="20"/>
        <w:spacing w:line="360" w:lineRule="auto"/>
        <w:ind w:firstLine="420"/>
        <w:rPr>
          <w:rFonts w:ascii="Times New Roman" w:hAnsi="Times New Roman"/>
          <w:color w:val="auto"/>
        </w:rPr>
      </w:pPr>
      <w:r>
        <w:rPr>
          <w:rFonts w:ascii="Times New Roman" w:hAnsi="Times New Roman"/>
          <w:color w:val="auto"/>
        </w:rPr>
        <w:t>2、乙方应按</w:t>
      </w:r>
      <w:r>
        <w:rPr>
          <w:rFonts w:hint="eastAsia" w:ascii="Times New Roman" w:hAnsi="Times New Roman"/>
          <w:color w:val="auto"/>
        </w:rPr>
        <w:t>响应</w:t>
      </w:r>
      <w:r>
        <w:rPr>
          <w:rFonts w:ascii="Times New Roman" w:hAnsi="Times New Roman"/>
          <w:color w:val="auto"/>
        </w:rPr>
        <w:t>文件规定的时间向甲方提供有关车辆保险方面的相关资料。</w:t>
      </w:r>
    </w:p>
    <w:p>
      <w:pPr>
        <w:pStyle w:val="20"/>
        <w:spacing w:line="360" w:lineRule="auto"/>
        <w:ind w:firstLine="420"/>
        <w:rPr>
          <w:rFonts w:ascii="Times New Roman" w:hAnsi="Times New Roman"/>
          <w:color w:val="auto"/>
        </w:rPr>
      </w:pPr>
      <w:r>
        <w:rPr>
          <w:rFonts w:ascii="Times New Roman" w:hAnsi="Times New Roman"/>
          <w:color w:val="auto"/>
        </w:rPr>
        <w:t>3、未经甲方事先书面同意，乙方不得将由甲方提供的有关合同或任何合同条文、规格、计划或资料提供给与履行本合同无关的任何第三方。即使经得甲方同意，向与履行本合同有关的人员提供，也应注意保密并限于履行合同的必须范围。</w:t>
      </w:r>
    </w:p>
    <w:p>
      <w:pPr>
        <w:spacing w:line="440" w:lineRule="exact"/>
        <w:ind w:right="-27" w:rightChars="-13" w:firstLine="420" w:firstLineChars="200"/>
        <w:rPr>
          <w:color w:val="auto"/>
        </w:rPr>
      </w:pPr>
    </w:p>
    <w:p>
      <w:pPr>
        <w:spacing w:line="360" w:lineRule="auto"/>
        <w:ind w:right="-27" w:rightChars="-13" w:firstLine="422" w:firstLineChars="200"/>
        <w:rPr>
          <w:b/>
          <w:bCs/>
          <w:color w:val="auto"/>
          <w:szCs w:val="21"/>
        </w:rPr>
      </w:pPr>
      <w:r>
        <w:rPr>
          <w:rFonts w:hint="eastAsia"/>
          <w:b/>
          <w:bCs/>
          <w:color w:val="auto"/>
          <w:szCs w:val="21"/>
        </w:rPr>
        <w:t>五、采购单位办理保险的程序</w:t>
      </w:r>
    </w:p>
    <w:p>
      <w:pPr>
        <w:spacing w:line="360" w:lineRule="auto"/>
        <w:ind w:right="-27" w:rightChars="-13" w:firstLine="420" w:firstLineChars="200"/>
        <w:rPr>
          <w:color w:val="auto"/>
          <w:szCs w:val="21"/>
        </w:rPr>
      </w:pPr>
      <w:r>
        <w:rPr>
          <w:rFonts w:hint="eastAsia"/>
          <w:color w:val="auto"/>
          <w:szCs w:val="21"/>
        </w:rPr>
        <w:t>1、甲方预约乙方上门为其单位办理保险服务。</w:t>
      </w:r>
    </w:p>
    <w:p>
      <w:pPr>
        <w:pStyle w:val="20"/>
        <w:spacing w:line="360" w:lineRule="auto"/>
        <w:ind w:firstLine="420" w:firstLineChars="200"/>
        <w:rPr>
          <w:rFonts w:ascii="Times New Roman" w:hAnsi="Times New Roman"/>
          <w:color w:val="auto"/>
        </w:rPr>
      </w:pPr>
      <w:r>
        <w:rPr>
          <w:rFonts w:hint="eastAsia" w:ascii="Times New Roman" w:hAnsi="Times New Roman"/>
          <w:color w:val="auto"/>
        </w:rPr>
        <w:t>2</w:t>
      </w:r>
      <w:r>
        <w:rPr>
          <w:rFonts w:ascii="Times New Roman" w:hAnsi="Times New Roman"/>
          <w:color w:val="auto"/>
        </w:rPr>
        <w:t>、投保车辆所有权</w:t>
      </w:r>
      <w:r>
        <w:rPr>
          <w:rFonts w:hint="eastAsia" w:ascii="Times New Roman" w:hAnsi="Times New Roman"/>
          <w:color w:val="auto"/>
        </w:rPr>
        <w:t>单位或甲方</w:t>
      </w:r>
      <w:r>
        <w:rPr>
          <w:rFonts w:ascii="Times New Roman" w:hAnsi="Times New Roman"/>
          <w:color w:val="auto"/>
        </w:rPr>
        <w:t>向乙方提供本单位采购车险服务的有关资料。</w:t>
      </w:r>
    </w:p>
    <w:p>
      <w:pPr>
        <w:pStyle w:val="20"/>
        <w:spacing w:line="360" w:lineRule="auto"/>
        <w:ind w:firstLine="420" w:firstLineChars="200"/>
        <w:rPr>
          <w:rFonts w:ascii="Times New Roman" w:hAnsi="Times New Roman"/>
          <w:color w:val="auto"/>
        </w:rPr>
      </w:pPr>
      <w:r>
        <w:rPr>
          <w:rFonts w:hint="eastAsia" w:ascii="Times New Roman" w:hAnsi="Times New Roman"/>
          <w:color w:val="auto"/>
        </w:rPr>
        <w:t>3</w:t>
      </w:r>
      <w:r>
        <w:rPr>
          <w:rFonts w:ascii="Times New Roman" w:hAnsi="Times New Roman"/>
          <w:color w:val="auto"/>
        </w:rPr>
        <w:t>、乙方应按</w:t>
      </w:r>
      <w:r>
        <w:rPr>
          <w:rFonts w:hint="eastAsia" w:ascii="Times New Roman" w:hAnsi="Times New Roman"/>
          <w:color w:val="auto"/>
        </w:rPr>
        <w:t>响应</w:t>
      </w:r>
      <w:r>
        <w:rPr>
          <w:rFonts w:ascii="Times New Roman" w:hAnsi="Times New Roman"/>
          <w:color w:val="auto"/>
        </w:rPr>
        <w:t>文件规定的时间向甲方提供有关车辆保险方面的相关资料。</w:t>
      </w:r>
    </w:p>
    <w:p>
      <w:pPr>
        <w:pStyle w:val="20"/>
        <w:spacing w:line="360" w:lineRule="auto"/>
        <w:ind w:firstLine="420" w:firstLineChars="200"/>
        <w:rPr>
          <w:rFonts w:ascii="Times New Roman" w:hAnsi="Times New Roman"/>
          <w:color w:val="auto"/>
        </w:rPr>
      </w:pPr>
      <w:r>
        <w:rPr>
          <w:rFonts w:hint="eastAsia" w:ascii="Times New Roman" w:hAnsi="Times New Roman"/>
          <w:color w:val="auto"/>
        </w:rPr>
        <w:t>4</w:t>
      </w:r>
      <w:r>
        <w:rPr>
          <w:rFonts w:ascii="Times New Roman" w:hAnsi="Times New Roman"/>
          <w:color w:val="auto"/>
        </w:rPr>
        <w:t>、未经甲方事先书面同意，乙方不得将由甲方提供的有关合同或任何合同条文、规格、计划或资料提供给与履行本合同无关的任何第三方。即使经得甲方同意，向与履行本合同有关的人员提供，也应注意保密并限于履行合同的必须范围。</w:t>
      </w:r>
    </w:p>
    <w:p>
      <w:pPr>
        <w:pStyle w:val="20"/>
        <w:spacing w:line="360" w:lineRule="auto"/>
        <w:ind w:firstLine="420" w:firstLineChars="200"/>
        <w:rPr>
          <w:rFonts w:ascii="Times New Roman" w:hAnsi="Times New Roman"/>
          <w:color w:val="auto"/>
        </w:rPr>
      </w:pPr>
      <w:r>
        <w:rPr>
          <w:rFonts w:hint="eastAsia"/>
          <w:color w:val="auto"/>
          <w:szCs w:val="21"/>
        </w:rPr>
        <w:t>5、甲方与乙方签订《保险合同》。</w:t>
      </w:r>
    </w:p>
    <w:p>
      <w:pPr>
        <w:spacing w:line="440" w:lineRule="exact"/>
        <w:ind w:left="422"/>
        <w:rPr>
          <w:b/>
          <w:bCs/>
          <w:color w:val="auto"/>
        </w:rPr>
      </w:pPr>
      <w:r>
        <w:rPr>
          <w:rFonts w:hint="eastAsia"/>
          <w:b/>
          <w:bCs/>
          <w:color w:val="auto"/>
        </w:rPr>
        <w:t>六 、保险单的签订及保险责任生效时间</w:t>
      </w:r>
    </w:p>
    <w:p>
      <w:pPr>
        <w:spacing w:line="440" w:lineRule="exact"/>
        <w:ind w:right="-27" w:rightChars="-13" w:firstLine="420" w:firstLineChars="200"/>
        <w:rPr>
          <w:color w:val="auto"/>
          <w:szCs w:val="21"/>
        </w:rPr>
      </w:pPr>
      <w:r>
        <w:rPr>
          <w:rFonts w:hint="eastAsia"/>
          <w:color w:val="auto"/>
          <w:szCs w:val="21"/>
        </w:rPr>
        <w:t>乙方根据经甲方审核后的《保险申请表》，与</w:t>
      </w:r>
      <w:r>
        <w:rPr>
          <w:rFonts w:hint="eastAsia"/>
          <w:color w:val="auto"/>
        </w:rPr>
        <w:t>采购人</w:t>
      </w:r>
      <w:r>
        <w:rPr>
          <w:rFonts w:hint="eastAsia"/>
          <w:color w:val="auto"/>
          <w:szCs w:val="21"/>
        </w:rPr>
        <w:t>签订《保险单》约定生效时间，并从《保险单》约定生效时间开始承担保险责任。</w:t>
      </w:r>
    </w:p>
    <w:p>
      <w:pPr>
        <w:pStyle w:val="20"/>
        <w:spacing w:line="360" w:lineRule="auto"/>
        <w:ind w:firstLine="420"/>
        <w:rPr>
          <w:rFonts w:ascii="Times New Roman" w:hAnsi="Times New Roman"/>
          <w:b/>
          <w:color w:val="auto"/>
        </w:rPr>
      </w:pPr>
      <w:r>
        <w:rPr>
          <w:rFonts w:hint="eastAsia" w:ascii="Times New Roman" w:hAnsi="Times New Roman"/>
          <w:b/>
          <w:color w:val="auto"/>
        </w:rPr>
        <w:t>七</w:t>
      </w:r>
      <w:r>
        <w:rPr>
          <w:rFonts w:ascii="Times New Roman" w:hAnsi="Times New Roman"/>
          <w:b/>
          <w:color w:val="auto"/>
        </w:rPr>
        <w:t>、保险费的结算与支付方式</w:t>
      </w:r>
    </w:p>
    <w:p>
      <w:pPr>
        <w:pStyle w:val="20"/>
        <w:spacing w:line="360" w:lineRule="auto"/>
        <w:ind w:firstLine="420" w:firstLineChars="200"/>
        <w:rPr>
          <w:rFonts w:ascii="Times New Roman" w:hAnsi="Times New Roman"/>
          <w:color w:val="auto"/>
        </w:rPr>
      </w:pPr>
      <w:r>
        <w:rPr>
          <w:rFonts w:ascii="Times New Roman" w:hAnsi="Times New Roman"/>
          <w:color w:val="auto"/>
        </w:rPr>
        <w:t>1、承保合同签订后，乙方须在七个工作日内将承保合同一份送东兰县政府采购监督管理办公室备案。</w:t>
      </w:r>
    </w:p>
    <w:p>
      <w:pPr>
        <w:pStyle w:val="20"/>
        <w:spacing w:line="360" w:lineRule="auto"/>
        <w:ind w:firstLine="420" w:firstLineChars="200"/>
        <w:rPr>
          <w:rFonts w:ascii="Times New Roman" w:hAnsi="Times New Roman"/>
          <w:color w:val="auto"/>
        </w:rPr>
      </w:pPr>
      <w:r>
        <w:rPr>
          <w:rFonts w:ascii="Times New Roman" w:hAnsi="Times New Roman"/>
          <w:color w:val="auto"/>
        </w:rPr>
        <w:t>2、保险费支付程序：</w:t>
      </w:r>
    </w:p>
    <w:p>
      <w:pPr>
        <w:pStyle w:val="20"/>
        <w:spacing w:line="360" w:lineRule="auto"/>
        <w:ind w:firstLine="420"/>
        <w:rPr>
          <w:rFonts w:ascii="Times New Roman" w:hAnsi="Times New Roman"/>
          <w:color w:val="auto"/>
        </w:rPr>
      </w:pPr>
      <w:r>
        <w:rPr>
          <w:rFonts w:ascii="Times New Roman" w:hAnsi="Times New Roman"/>
          <w:color w:val="auto"/>
        </w:rPr>
        <w:fldChar w:fldCharType="begin"/>
      </w:r>
      <w:r>
        <w:rPr>
          <w:rFonts w:ascii="Times New Roman" w:hAnsi="Times New Roman"/>
          <w:color w:val="auto"/>
        </w:rPr>
        <w:instrText xml:space="preserve"> = 1 \* GB3 </w:instrText>
      </w:r>
      <w:r>
        <w:rPr>
          <w:rFonts w:ascii="Times New Roman" w:hAnsi="Times New Roman"/>
          <w:color w:val="auto"/>
        </w:rPr>
        <w:fldChar w:fldCharType="separate"/>
      </w:r>
      <w:r>
        <w:rPr>
          <w:rFonts w:ascii="Times New Roman" w:hAnsi="宋体"/>
          <w:color w:val="auto"/>
        </w:rPr>
        <w:t>①</w:t>
      </w:r>
      <w:r>
        <w:rPr>
          <w:rFonts w:ascii="Times New Roman" w:hAnsi="Times New Roman"/>
          <w:color w:val="auto"/>
        </w:rPr>
        <w:fldChar w:fldCharType="end"/>
      </w:r>
      <w:r>
        <w:rPr>
          <w:rFonts w:ascii="Times New Roman" w:hAnsi="Times New Roman"/>
          <w:color w:val="auto"/>
        </w:rPr>
        <w:t xml:space="preserve"> 属于财政性资金的由国库支付中心直接支付，属于单位自筹资金的，由单位自行支付。</w:t>
      </w:r>
    </w:p>
    <w:p>
      <w:pPr>
        <w:pStyle w:val="20"/>
        <w:spacing w:line="360" w:lineRule="auto"/>
        <w:ind w:firstLine="420"/>
        <w:rPr>
          <w:rFonts w:ascii="Times New Roman" w:hAnsi="Times New Roman"/>
          <w:color w:val="auto"/>
        </w:rPr>
      </w:pPr>
      <w:r>
        <w:rPr>
          <w:rFonts w:ascii="Times New Roman" w:hAnsi="Times New Roman"/>
          <w:color w:val="auto"/>
        </w:rPr>
        <w:fldChar w:fldCharType="begin"/>
      </w:r>
      <w:r>
        <w:rPr>
          <w:rFonts w:ascii="Times New Roman" w:hAnsi="Times New Roman"/>
          <w:color w:val="auto"/>
        </w:rPr>
        <w:instrText xml:space="preserve"> = 2 \* GB3 </w:instrText>
      </w:r>
      <w:r>
        <w:rPr>
          <w:rFonts w:ascii="Times New Roman" w:hAnsi="Times New Roman"/>
          <w:color w:val="auto"/>
        </w:rPr>
        <w:fldChar w:fldCharType="separate"/>
      </w:r>
      <w:r>
        <w:rPr>
          <w:rFonts w:ascii="Times New Roman" w:hAnsi="宋体"/>
          <w:color w:val="auto"/>
        </w:rPr>
        <w:t>②</w:t>
      </w:r>
      <w:r>
        <w:rPr>
          <w:rFonts w:ascii="Times New Roman" w:hAnsi="Times New Roman"/>
          <w:color w:val="auto"/>
        </w:rPr>
        <w:fldChar w:fldCharType="end"/>
      </w:r>
      <w:r>
        <w:rPr>
          <w:rFonts w:ascii="Times New Roman" w:hAnsi="Times New Roman"/>
          <w:color w:val="auto"/>
        </w:rPr>
        <w:t xml:space="preserve"> </w:t>
      </w:r>
      <w:r>
        <w:rPr>
          <w:rFonts w:hint="eastAsia" w:ascii="Times New Roman" w:hAnsi="Times New Roman"/>
          <w:color w:val="auto"/>
        </w:rPr>
        <w:t>投保车辆所有权单位应于车辆保险到期前10个工作日提供相关投保资料给乙方办理承保手续，并于保险到期前支付保险费，确保车辆不脱保。</w:t>
      </w:r>
    </w:p>
    <w:p>
      <w:pPr>
        <w:pStyle w:val="20"/>
        <w:spacing w:line="360" w:lineRule="auto"/>
        <w:ind w:firstLine="420"/>
        <w:rPr>
          <w:rFonts w:ascii="Times New Roman" w:hAnsi="Times New Roman"/>
          <w:color w:val="auto"/>
        </w:rPr>
      </w:pPr>
      <w:r>
        <w:rPr>
          <w:rFonts w:ascii="Times New Roman" w:hAnsi="Times New Roman"/>
          <w:color w:val="auto"/>
        </w:rPr>
        <w:fldChar w:fldCharType="begin"/>
      </w:r>
      <w:r>
        <w:rPr>
          <w:rFonts w:ascii="Times New Roman" w:hAnsi="Times New Roman"/>
          <w:color w:val="auto"/>
        </w:rPr>
        <w:instrText xml:space="preserve"> = 3 \* GB3 </w:instrText>
      </w:r>
      <w:r>
        <w:rPr>
          <w:rFonts w:ascii="Times New Roman" w:hAnsi="Times New Roman"/>
          <w:color w:val="auto"/>
        </w:rPr>
        <w:fldChar w:fldCharType="separate"/>
      </w:r>
      <w:r>
        <w:rPr>
          <w:rFonts w:ascii="Times New Roman" w:hAnsi="宋体"/>
          <w:color w:val="auto"/>
        </w:rPr>
        <w:t>③</w:t>
      </w:r>
      <w:r>
        <w:rPr>
          <w:rFonts w:ascii="Times New Roman" w:hAnsi="Times New Roman"/>
          <w:color w:val="auto"/>
        </w:rPr>
        <w:fldChar w:fldCharType="end"/>
      </w:r>
      <w:r>
        <w:rPr>
          <w:rFonts w:ascii="Times New Roman" w:hAnsi="Times New Roman"/>
          <w:color w:val="auto"/>
        </w:rPr>
        <w:t xml:space="preserve"> </w:t>
      </w:r>
      <w:r>
        <w:rPr>
          <w:rFonts w:hint="eastAsia" w:ascii="Times New Roman" w:hAnsi="Times New Roman"/>
          <w:color w:val="auto"/>
        </w:rPr>
        <w:t>乙方收到保险费后，及时出具正式保险费发票及保险合同给投保车俩所有权单位。</w:t>
      </w:r>
    </w:p>
    <w:p>
      <w:pPr>
        <w:pStyle w:val="20"/>
        <w:spacing w:line="360" w:lineRule="auto"/>
        <w:ind w:firstLine="420"/>
        <w:rPr>
          <w:rFonts w:ascii="Times New Roman" w:hAnsi="Times New Roman"/>
          <w:color w:val="auto"/>
        </w:rPr>
      </w:pPr>
      <w:r>
        <w:rPr>
          <w:rFonts w:ascii="Times New Roman" w:hAnsi="Times New Roman"/>
          <w:color w:val="auto"/>
        </w:rPr>
        <w:t>公务用车定点保险过程中，如投保车辆所有权单位、乙方或</w:t>
      </w:r>
      <w:r>
        <w:rPr>
          <w:rFonts w:hint="eastAsia" w:ascii="Times New Roman" w:hAnsi="Times New Roman"/>
          <w:color w:val="auto"/>
        </w:rPr>
        <w:t>采购</w:t>
      </w:r>
      <w:r>
        <w:rPr>
          <w:rFonts w:ascii="Times New Roman" w:hAnsi="Times New Roman"/>
          <w:color w:val="auto"/>
        </w:rPr>
        <w:t>代理机构存在违法行为，在政府采购监督管理机构调查期间、被行政处罚期间，政府采购监督管理机构可视具体情况对采购结果进行重新评价，在此期间延期支付保费。</w:t>
      </w:r>
    </w:p>
    <w:p>
      <w:pPr>
        <w:spacing w:line="440" w:lineRule="exact"/>
        <w:ind w:right="-27" w:rightChars="-13" w:firstLine="422" w:firstLineChars="200"/>
        <w:rPr>
          <w:b/>
          <w:bCs/>
          <w:color w:val="auto"/>
          <w:szCs w:val="21"/>
        </w:rPr>
      </w:pPr>
      <w:r>
        <w:rPr>
          <w:rFonts w:hint="eastAsia"/>
          <w:b/>
          <w:bCs/>
          <w:color w:val="auto"/>
          <w:szCs w:val="21"/>
        </w:rPr>
        <w:t>八、甲方的权利：</w:t>
      </w:r>
    </w:p>
    <w:p>
      <w:pPr>
        <w:spacing w:line="440" w:lineRule="exact"/>
        <w:ind w:right="-27" w:rightChars="-13" w:firstLine="420" w:firstLineChars="200"/>
        <w:rPr>
          <w:color w:val="auto"/>
          <w:szCs w:val="21"/>
        </w:rPr>
      </w:pPr>
      <w:r>
        <w:rPr>
          <w:rFonts w:hint="eastAsia"/>
          <w:color w:val="auto"/>
          <w:szCs w:val="21"/>
        </w:rPr>
        <w:t>甲方有权拒付乙方不按标准多收取的保险费。</w:t>
      </w:r>
    </w:p>
    <w:p>
      <w:pPr>
        <w:spacing w:line="440" w:lineRule="exact"/>
        <w:ind w:right="-27" w:rightChars="-13" w:firstLine="422" w:firstLineChars="200"/>
        <w:rPr>
          <w:b/>
          <w:bCs/>
          <w:color w:val="auto"/>
          <w:szCs w:val="21"/>
        </w:rPr>
      </w:pPr>
      <w:r>
        <w:rPr>
          <w:rFonts w:hint="eastAsia"/>
          <w:b/>
          <w:bCs/>
          <w:color w:val="auto"/>
          <w:szCs w:val="21"/>
        </w:rPr>
        <w:t>九、甲方的义务：</w:t>
      </w:r>
    </w:p>
    <w:p>
      <w:pPr>
        <w:spacing w:line="440" w:lineRule="exact"/>
        <w:ind w:right="-27" w:rightChars="-13" w:firstLine="420" w:firstLineChars="200"/>
        <w:rPr>
          <w:b/>
          <w:bCs/>
          <w:color w:val="auto"/>
          <w:szCs w:val="21"/>
        </w:rPr>
      </w:pPr>
      <w:r>
        <w:rPr>
          <w:rFonts w:hint="eastAsia"/>
          <w:color w:val="auto"/>
          <w:szCs w:val="21"/>
        </w:rPr>
        <w:t>甲方有义务督促</w:t>
      </w:r>
      <w:r>
        <w:rPr>
          <w:rFonts w:hint="eastAsia" w:ascii="宋体" w:hAnsi="宋体"/>
          <w:color w:val="auto"/>
        </w:rPr>
        <w:t>乙方</w:t>
      </w:r>
      <w:r>
        <w:rPr>
          <w:rFonts w:hint="eastAsia"/>
          <w:color w:val="auto"/>
          <w:szCs w:val="21"/>
        </w:rPr>
        <w:t>按时办理承保手续并交付保险单。</w:t>
      </w:r>
    </w:p>
    <w:p>
      <w:pPr>
        <w:spacing w:line="440" w:lineRule="exact"/>
        <w:ind w:right="-27" w:rightChars="-13" w:firstLine="422" w:firstLineChars="200"/>
        <w:rPr>
          <w:b/>
          <w:bCs/>
          <w:color w:val="auto"/>
          <w:szCs w:val="21"/>
        </w:rPr>
      </w:pPr>
      <w:r>
        <w:rPr>
          <w:rFonts w:hint="eastAsia"/>
          <w:b/>
          <w:bCs/>
          <w:color w:val="auto"/>
          <w:szCs w:val="21"/>
        </w:rPr>
        <w:t>十、乙方的权利：</w:t>
      </w:r>
    </w:p>
    <w:p>
      <w:pPr>
        <w:spacing w:line="440" w:lineRule="exact"/>
        <w:ind w:right="-27" w:rightChars="-13" w:firstLine="420" w:firstLineChars="200"/>
        <w:rPr>
          <w:color w:val="auto"/>
          <w:szCs w:val="21"/>
        </w:rPr>
      </w:pPr>
      <w:r>
        <w:rPr>
          <w:rFonts w:hint="eastAsia"/>
          <w:color w:val="auto"/>
          <w:szCs w:val="21"/>
        </w:rPr>
        <w:t>1、有权要求</w:t>
      </w:r>
      <w:r>
        <w:rPr>
          <w:rFonts w:hint="eastAsia"/>
          <w:color w:val="auto"/>
        </w:rPr>
        <w:t>采购人</w:t>
      </w:r>
      <w:r>
        <w:rPr>
          <w:rFonts w:hint="eastAsia"/>
          <w:color w:val="auto"/>
          <w:szCs w:val="21"/>
        </w:rPr>
        <w:t>按规定结清投保保险费；</w:t>
      </w:r>
    </w:p>
    <w:p>
      <w:pPr>
        <w:spacing w:line="440" w:lineRule="exact"/>
        <w:ind w:right="-27" w:rightChars="-13" w:firstLine="420" w:firstLineChars="200"/>
        <w:rPr>
          <w:color w:val="auto"/>
          <w:szCs w:val="21"/>
        </w:rPr>
      </w:pPr>
      <w:r>
        <w:rPr>
          <w:rFonts w:hint="eastAsia"/>
          <w:color w:val="auto"/>
          <w:szCs w:val="21"/>
        </w:rPr>
        <w:t>2、有权向有关部门投诉甲方的违约行为。</w:t>
      </w:r>
    </w:p>
    <w:p>
      <w:pPr>
        <w:spacing w:line="440" w:lineRule="exact"/>
        <w:ind w:right="-27" w:rightChars="-13" w:firstLine="422" w:firstLineChars="200"/>
        <w:rPr>
          <w:b/>
          <w:bCs/>
          <w:color w:val="auto"/>
          <w:szCs w:val="21"/>
        </w:rPr>
      </w:pPr>
      <w:r>
        <w:rPr>
          <w:rFonts w:hint="eastAsia"/>
          <w:b/>
          <w:bCs/>
          <w:color w:val="auto"/>
          <w:szCs w:val="21"/>
        </w:rPr>
        <w:t>十一、乙方的义务：</w:t>
      </w:r>
    </w:p>
    <w:p>
      <w:pPr>
        <w:spacing w:line="440" w:lineRule="exact"/>
        <w:ind w:right="-27" w:rightChars="-13" w:firstLine="420" w:firstLineChars="200"/>
        <w:rPr>
          <w:color w:val="auto"/>
          <w:szCs w:val="21"/>
        </w:rPr>
      </w:pPr>
      <w:r>
        <w:rPr>
          <w:rFonts w:hint="eastAsia"/>
          <w:color w:val="auto"/>
          <w:szCs w:val="21"/>
        </w:rPr>
        <w:t>1、乙方必须按其竞标时的服务承诺向投保所属单位提供优质承保服务。</w:t>
      </w:r>
    </w:p>
    <w:p>
      <w:pPr>
        <w:spacing w:line="440" w:lineRule="exact"/>
        <w:ind w:right="-27" w:rightChars="-13" w:firstLine="422" w:firstLineChars="200"/>
        <w:rPr>
          <w:color w:val="auto"/>
        </w:rPr>
      </w:pPr>
      <w:r>
        <w:rPr>
          <w:rFonts w:hint="eastAsia"/>
          <w:b/>
          <w:bCs/>
          <w:color w:val="auto"/>
        </w:rPr>
        <w:t>2、</w:t>
      </w:r>
      <w:r>
        <w:rPr>
          <w:rFonts w:hint="eastAsia"/>
          <w:bCs/>
          <w:color w:val="auto"/>
        </w:rPr>
        <w:t>乙方</w:t>
      </w:r>
      <w:r>
        <w:rPr>
          <w:rFonts w:hint="eastAsia"/>
          <w:color w:val="auto"/>
        </w:rPr>
        <w:t>应按照《中华人民共和国保险法》及中国保险监督管理委员会的有关规定，向被保险人提供采购项目需求应有的全部服务。</w:t>
      </w:r>
    </w:p>
    <w:p>
      <w:pPr>
        <w:spacing w:line="440" w:lineRule="exact"/>
        <w:ind w:right="-27" w:rightChars="-13" w:firstLine="422" w:firstLineChars="200"/>
        <w:rPr>
          <w:b/>
          <w:bCs/>
          <w:color w:val="auto"/>
          <w:szCs w:val="21"/>
        </w:rPr>
      </w:pPr>
      <w:r>
        <w:rPr>
          <w:rFonts w:hint="eastAsia"/>
          <w:b/>
          <w:bCs/>
          <w:color w:val="auto"/>
          <w:szCs w:val="21"/>
        </w:rPr>
        <w:t>十二、违约责任：</w:t>
      </w:r>
    </w:p>
    <w:p>
      <w:pPr>
        <w:spacing w:line="440" w:lineRule="exact"/>
        <w:ind w:right="-27" w:rightChars="-13" w:firstLine="420" w:firstLineChars="200"/>
        <w:rPr>
          <w:color w:val="auto"/>
          <w:szCs w:val="21"/>
        </w:rPr>
      </w:pPr>
      <w:r>
        <w:rPr>
          <w:rFonts w:hint="eastAsia"/>
          <w:color w:val="auto"/>
          <w:szCs w:val="21"/>
        </w:rPr>
        <w:t>甲乙方如有违约情况，守约方</w:t>
      </w:r>
      <w:r>
        <w:rPr>
          <w:rFonts w:hint="eastAsia"/>
          <w:color w:val="auto"/>
        </w:rPr>
        <w:t>有权按《合同法》追究违约方的造成守约方的经济损失</w:t>
      </w:r>
      <w:r>
        <w:rPr>
          <w:rFonts w:hint="eastAsia"/>
          <w:color w:val="auto"/>
          <w:szCs w:val="21"/>
        </w:rPr>
        <w:t>；</w:t>
      </w:r>
    </w:p>
    <w:p>
      <w:pPr>
        <w:spacing w:line="440" w:lineRule="exact"/>
        <w:ind w:right="-27" w:rightChars="-13" w:firstLine="422" w:firstLineChars="200"/>
        <w:rPr>
          <w:b/>
          <w:bCs/>
          <w:color w:val="auto"/>
          <w:szCs w:val="21"/>
        </w:rPr>
      </w:pPr>
      <w:r>
        <w:rPr>
          <w:rFonts w:hint="eastAsia"/>
          <w:b/>
          <w:bCs/>
          <w:color w:val="auto"/>
          <w:szCs w:val="21"/>
        </w:rPr>
        <w:t>十三、协议的修改与终止：</w:t>
      </w:r>
    </w:p>
    <w:p>
      <w:pPr>
        <w:spacing w:line="440" w:lineRule="exact"/>
        <w:ind w:right="-27" w:rightChars="-13" w:firstLine="420" w:firstLineChars="200"/>
        <w:rPr>
          <w:color w:val="auto"/>
          <w:szCs w:val="21"/>
        </w:rPr>
      </w:pPr>
      <w:r>
        <w:rPr>
          <w:rFonts w:hint="eastAsia"/>
          <w:color w:val="auto"/>
          <w:szCs w:val="21"/>
        </w:rPr>
        <w:t>1、经甲、乙双方认可，可更改本协议；</w:t>
      </w:r>
    </w:p>
    <w:p>
      <w:pPr>
        <w:spacing w:line="440" w:lineRule="exact"/>
        <w:ind w:right="-27" w:rightChars="-13" w:firstLine="420" w:firstLineChars="200"/>
        <w:rPr>
          <w:color w:val="auto"/>
          <w:szCs w:val="21"/>
        </w:rPr>
      </w:pPr>
      <w:r>
        <w:rPr>
          <w:rFonts w:hint="eastAsia"/>
          <w:color w:val="auto"/>
          <w:szCs w:val="21"/>
        </w:rPr>
        <w:t>2、任何一方如因发生不可抗拒事件而丧失履行协议能力，本协议可自行终止；</w:t>
      </w:r>
    </w:p>
    <w:p>
      <w:pPr>
        <w:spacing w:line="440" w:lineRule="exact"/>
        <w:ind w:right="-27" w:rightChars="-13" w:firstLine="422" w:firstLineChars="200"/>
        <w:rPr>
          <w:b/>
          <w:bCs/>
          <w:color w:val="auto"/>
          <w:szCs w:val="21"/>
        </w:rPr>
      </w:pPr>
      <w:r>
        <w:rPr>
          <w:rFonts w:hint="eastAsia"/>
          <w:b/>
          <w:bCs/>
          <w:color w:val="auto"/>
          <w:szCs w:val="21"/>
        </w:rPr>
        <w:t>十四、协议期限：</w:t>
      </w:r>
      <w:r>
        <w:rPr>
          <w:rFonts w:hint="eastAsia"/>
          <w:color w:val="auto"/>
          <w:szCs w:val="21"/>
        </w:rPr>
        <w:t>协议期限从签订合同之日起</w:t>
      </w:r>
      <w:r>
        <w:rPr>
          <w:rFonts w:hint="eastAsia"/>
          <w:color w:val="auto"/>
          <w:szCs w:val="21"/>
          <w:u w:val="single"/>
        </w:rPr>
        <w:t xml:space="preserve">    </w:t>
      </w:r>
      <w:r>
        <w:rPr>
          <w:rFonts w:hint="eastAsia"/>
          <w:color w:val="auto"/>
          <w:szCs w:val="21"/>
        </w:rPr>
        <w:t>年。</w:t>
      </w:r>
    </w:p>
    <w:p>
      <w:pPr>
        <w:spacing w:line="400" w:lineRule="exact"/>
        <w:ind w:firstLine="413" w:firstLineChars="196"/>
        <w:rPr>
          <w:rFonts w:ascii="宋体" w:hAnsi="宋体"/>
          <w:b/>
          <w:color w:val="auto"/>
          <w:szCs w:val="21"/>
        </w:rPr>
      </w:pPr>
      <w:r>
        <w:rPr>
          <w:rFonts w:hint="eastAsia" w:ascii="宋体" w:hAnsi="宋体"/>
          <w:b/>
          <w:color w:val="auto"/>
          <w:szCs w:val="21"/>
        </w:rPr>
        <w:t>十五、不可抗力事件处理</w:t>
      </w:r>
    </w:p>
    <w:p>
      <w:pPr>
        <w:spacing w:line="400" w:lineRule="exact"/>
        <w:ind w:firstLine="420" w:firstLineChars="200"/>
        <w:rPr>
          <w:rFonts w:ascii="宋体" w:hAnsi="宋体"/>
          <w:color w:val="auto"/>
          <w:szCs w:val="21"/>
        </w:rPr>
      </w:pPr>
      <w:r>
        <w:rPr>
          <w:rFonts w:hint="eastAsia" w:ascii="宋体" w:hAnsi="宋体"/>
          <w:color w:val="auto"/>
          <w:szCs w:val="21"/>
        </w:rPr>
        <w:t>1、在合同有效期内，乙方因不可抗力事件导致不能履行合同，则合同履行期可延长，其延长期与不可抗力影响期相同。</w:t>
      </w:r>
    </w:p>
    <w:p>
      <w:pPr>
        <w:spacing w:line="400" w:lineRule="exact"/>
        <w:ind w:left="360"/>
        <w:rPr>
          <w:rFonts w:ascii="宋体" w:hAnsi="宋体"/>
          <w:color w:val="auto"/>
          <w:szCs w:val="21"/>
        </w:rPr>
      </w:pPr>
      <w:r>
        <w:rPr>
          <w:rFonts w:hint="eastAsia" w:ascii="宋体" w:hAnsi="宋体"/>
          <w:color w:val="auto"/>
          <w:szCs w:val="21"/>
        </w:rPr>
        <w:t>2、不可抗力事件发生后，应立即通知对方，并寄送有关权威机构出具的证明。</w:t>
      </w:r>
    </w:p>
    <w:p>
      <w:pPr>
        <w:spacing w:line="400" w:lineRule="exact"/>
        <w:ind w:left="360"/>
        <w:rPr>
          <w:rFonts w:ascii="宋体" w:hAnsi="宋体"/>
          <w:color w:val="auto"/>
          <w:szCs w:val="21"/>
        </w:rPr>
      </w:pPr>
      <w:r>
        <w:rPr>
          <w:rFonts w:hint="eastAsia" w:ascii="宋体" w:hAnsi="宋体"/>
          <w:color w:val="auto"/>
          <w:szCs w:val="21"/>
        </w:rPr>
        <w:t>3、不可抗力事件延续一百二十天以上，双方应通过友好协商，确定是否继续履行合同。</w:t>
      </w:r>
    </w:p>
    <w:p>
      <w:pPr>
        <w:spacing w:line="400" w:lineRule="exact"/>
        <w:ind w:firstLine="413" w:firstLineChars="196"/>
        <w:rPr>
          <w:rFonts w:ascii="宋体" w:hAnsi="宋体"/>
          <w:b/>
          <w:color w:val="auto"/>
          <w:szCs w:val="21"/>
        </w:rPr>
      </w:pPr>
      <w:r>
        <w:rPr>
          <w:rFonts w:hint="eastAsia" w:ascii="宋体" w:hAnsi="宋体"/>
          <w:b/>
          <w:color w:val="auto"/>
          <w:szCs w:val="21"/>
        </w:rPr>
        <w:t>十六、合同争议解决</w:t>
      </w:r>
    </w:p>
    <w:p>
      <w:pPr>
        <w:spacing w:line="400" w:lineRule="exact"/>
        <w:ind w:firstLine="420" w:firstLineChars="200"/>
        <w:rPr>
          <w:rFonts w:ascii="宋体" w:hAnsi="宋体"/>
          <w:color w:val="auto"/>
          <w:szCs w:val="21"/>
        </w:rPr>
      </w:pPr>
      <w:r>
        <w:rPr>
          <w:rFonts w:hint="eastAsia" w:ascii="宋体" w:hAnsi="宋体"/>
          <w:color w:val="auto"/>
          <w:szCs w:val="21"/>
        </w:rPr>
        <w:t>1、因履行本合同引起的或与本合同有关的争议，甲乙双方应首先通过友好协商解决，如果协商不能解决，可向河池市仲裁委员会申请仲裁或向东兰县人民法院提起诉讼。</w:t>
      </w:r>
    </w:p>
    <w:p>
      <w:pPr>
        <w:spacing w:line="400" w:lineRule="exact"/>
        <w:ind w:left="435"/>
        <w:rPr>
          <w:rFonts w:ascii="宋体" w:hAnsi="宋体"/>
          <w:color w:val="auto"/>
          <w:szCs w:val="21"/>
        </w:rPr>
      </w:pPr>
      <w:r>
        <w:rPr>
          <w:rFonts w:hint="eastAsia" w:ascii="宋体" w:hAnsi="宋体"/>
          <w:color w:val="auto"/>
          <w:szCs w:val="21"/>
        </w:rPr>
        <w:t>2、诉讼期间，本合同继续履行。</w:t>
      </w:r>
    </w:p>
    <w:p>
      <w:pPr>
        <w:spacing w:line="400" w:lineRule="exact"/>
        <w:ind w:firstLine="413" w:firstLineChars="196"/>
        <w:rPr>
          <w:rFonts w:ascii="宋体" w:hAnsi="宋体"/>
          <w:b/>
          <w:color w:val="auto"/>
          <w:szCs w:val="21"/>
        </w:rPr>
      </w:pPr>
      <w:r>
        <w:rPr>
          <w:rFonts w:hint="eastAsia" w:ascii="宋体" w:hAnsi="宋体"/>
          <w:b/>
          <w:color w:val="auto"/>
          <w:szCs w:val="21"/>
        </w:rPr>
        <w:t>十七、合同生效及其它</w:t>
      </w:r>
    </w:p>
    <w:p>
      <w:pPr>
        <w:spacing w:line="400" w:lineRule="exact"/>
        <w:ind w:firstLine="420" w:firstLineChars="200"/>
        <w:rPr>
          <w:rFonts w:ascii="宋体" w:hAnsi="宋体"/>
          <w:color w:val="auto"/>
          <w:szCs w:val="21"/>
        </w:rPr>
      </w:pPr>
      <w:r>
        <w:rPr>
          <w:rFonts w:hint="eastAsia" w:ascii="宋体" w:hAnsi="宋体"/>
          <w:color w:val="auto"/>
          <w:szCs w:val="21"/>
        </w:rPr>
        <w:t>1、合同经甲乙双方法定代表人、负责人、自然人或相应的授权代表签字并加盖单位公章后生效。</w:t>
      </w:r>
    </w:p>
    <w:p>
      <w:pPr>
        <w:spacing w:line="400" w:lineRule="exact"/>
        <w:ind w:firstLine="420" w:firstLineChars="200"/>
        <w:rPr>
          <w:rFonts w:ascii="宋体" w:hAnsi="宋体"/>
          <w:color w:val="auto"/>
          <w:szCs w:val="21"/>
        </w:rPr>
      </w:pPr>
      <w:r>
        <w:rPr>
          <w:rFonts w:hint="eastAsia" w:ascii="宋体" w:hAnsi="宋体"/>
          <w:color w:val="auto"/>
          <w:szCs w:val="21"/>
        </w:rPr>
        <w:t>2、合同执行中涉及采购资金和采购内容修改或补充的，需经</w:t>
      </w:r>
      <w:r>
        <w:rPr>
          <w:rFonts w:hint="eastAsia" w:hAnsi="宋体"/>
          <w:color w:val="auto"/>
          <w:szCs w:val="21"/>
        </w:rPr>
        <w:t>（东兰县）</w:t>
      </w:r>
      <w:r>
        <w:rPr>
          <w:rFonts w:hint="eastAsia" w:ascii="宋体" w:hAnsi="宋体"/>
          <w:color w:val="auto"/>
          <w:szCs w:val="21"/>
        </w:rPr>
        <w:t>财政部门审批，并签订书面补充协议报</w:t>
      </w:r>
      <w:r>
        <w:rPr>
          <w:rFonts w:hint="eastAsia" w:hAnsi="宋体"/>
          <w:color w:val="auto"/>
          <w:szCs w:val="21"/>
        </w:rPr>
        <w:t>（东兰县）</w:t>
      </w:r>
      <w:r>
        <w:rPr>
          <w:rFonts w:hint="eastAsia" w:ascii="宋体" w:hAnsi="宋体"/>
          <w:color w:val="auto"/>
          <w:szCs w:val="21"/>
        </w:rPr>
        <w:t>政府采购办公室备案，方可作为主合同不可分割的一部分。</w:t>
      </w:r>
    </w:p>
    <w:p>
      <w:pPr>
        <w:spacing w:line="400" w:lineRule="exact"/>
        <w:ind w:left="435"/>
        <w:rPr>
          <w:rFonts w:ascii="宋体" w:hAnsi="宋体"/>
          <w:color w:val="auto"/>
          <w:szCs w:val="21"/>
        </w:rPr>
      </w:pPr>
      <w:r>
        <w:rPr>
          <w:rFonts w:hint="eastAsia" w:ascii="宋体" w:hAnsi="宋体"/>
          <w:color w:val="auto"/>
          <w:szCs w:val="21"/>
        </w:rPr>
        <w:t>3、本合同未尽事宜，遵照《合同法》有关条文执行。</w:t>
      </w:r>
    </w:p>
    <w:p>
      <w:pPr>
        <w:spacing w:line="400" w:lineRule="exact"/>
        <w:ind w:firstLine="413" w:firstLineChars="196"/>
        <w:rPr>
          <w:rFonts w:ascii="宋体" w:hAnsi="宋体"/>
          <w:b/>
          <w:color w:val="auto"/>
          <w:szCs w:val="21"/>
        </w:rPr>
      </w:pPr>
      <w:r>
        <w:rPr>
          <w:rFonts w:hint="eastAsia" w:ascii="宋体" w:hAnsi="宋体"/>
          <w:b/>
          <w:color w:val="auto"/>
          <w:szCs w:val="21"/>
        </w:rPr>
        <w:t>十八、合同的变更、终止与转让</w:t>
      </w:r>
    </w:p>
    <w:p>
      <w:pPr>
        <w:spacing w:line="400" w:lineRule="exact"/>
        <w:ind w:firstLine="420" w:firstLineChars="200"/>
        <w:rPr>
          <w:rFonts w:ascii="宋体" w:hAnsi="宋体"/>
          <w:color w:val="auto"/>
          <w:szCs w:val="21"/>
        </w:rPr>
      </w:pPr>
      <w:r>
        <w:rPr>
          <w:rFonts w:hint="eastAsia" w:ascii="宋体" w:hAnsi="宋体"/>
          <w:color w:val="auto"/>
          <w:szCs w:val="21"/>
        </w:rPr>
        <w:t>1、除《中华人民共和国政府采购法》第五十条规定的情形外，本合同一经签订，甲乙双方不得擅自变更，中止或终止。</w:t>
      </w:r>
    </w:p>
    <w:p>
      <w:pPr>
        <w:spacing w:line="400" w:lineRule="exact"/>
        <w:ind w:left="420"/>
        <w:rPr>
          <w:rFonts w:ascii="宋体" w:hAnsi="宋体"/>
          <w:color w:val="auto"/>
          <w:szCs w:val="21"/>
        </w:rPr>
      </w:pPr>
      <w:r>
        <w:rPr>
          <w:rFonts w:hint="eastAsia" w:ascii="宋体" w:hAnsi="宋体"/>
          <w:color w:val="auto"/>
          <w:szCs w:val="21"/>
        </w:rPr>
        <w:t>2、乙方不得擅自转让其应履行的合同义务。</w:t>
      </w:r>
    </w:p>
    <w:p>
      <w:pPr>
        <w:spacing w:line="400" w:lineRule="exact"/>
        <w:ind w:firstLine="422" w:firstLineChars="200"/>
        <w:rPr>
          <w:rFonts w:ascii="宋体" w:hAnsi="宋体"/>
          <w:b/>
          <w:color w:val="auto"/>
          <w:szCs w:val="21"/>
        </w:rPr>
      </w:pPr>
      <w:r>
        <w:rPr>
          <w:rFonts w:hint="eastAsia" w:ascii="宋体" w:hAnsi="宋体"/>
          <w:b/>
          <w:color w:val="auto"/>
          <w:szCs w:val="21"/>
        </w:rPr>
        <w:t>十九、签订本合同依据：</w:t>
      </w:r>
    </w:p>
    <w:p>
      <w:pPr>
        <w:spacing w:line="400" w:lineRule="exact"/>
        <w:ind w:left="420"/>
        <w:rPr>
          <w:rFonts w:ascii="宋体" w:hAnsi="宋体"/>
          <w:color w:val="auto"/>
          <w:szCs w:val="21"/>
        </w:rPr>
      </w:pPr>
      <w:r>
        <w:rPr>
          <w:rFonts w:hint="eastAsia" w:ascii="宋体" w:hAnsi="宋体"/>
          <w:color w:val="auto"/>
          <w:szCs w:val="21"/>
        </w:rPr>
        <w:t>1.采购文件；</w:t>
      </w:r>
    </w:p>
    <w:p>
      <w:pPr>
        <w:spacing w:line="400" w:lineRule="exact"/>
        <w:ind w:left="420"/>
        <w:rPr>
          <w:rFonts w:ascii="宋体" w:hAnsi="宋体"/>
          <w:color w:val="auto"/>
          <w:szCs w:val="21"/>
        </w:rPr>
      </w:pPr>
      <w:r>
        <w:rPr>
          <w:rFonts w:hint="eastAsia" w:ascii="宋体" w:hAnsi="宋体"/>
          <w:color w:val="auto"/>
          <w:szCs w:val="21"/>
        </w:rPr>
        <w:t>2.乙方提供的响应文件；</w:t>
      </w:r>
    </w:p>
    <w:p>
      <w:pPr>
        <w:spacing w:line="400" w:lineRule="exact"/>
        <w:ind w:left="420"/>
        <w:rPr>
          <w:rFonts w:ascii="宋体" w:hAnsi="宋体"/>
          <w:color w:val="auto"/>
          <w:szCs w:val="21"/>
        </w:rPr>
      </w:pPr>
      <w:r>
        <w:rPr>
          <w:rFonts w:hint="eastAsia" w:ascii="宋体" w:hAnsi="宋体"/>
          <w:color w:val="auto"/>
          <w:szCs w:val="21"/>
        </w:rPr>
        <w:t>3.中标通知书。</w:t>
      </w:r>
    </w:p>
    <w:p>
      <w:pPr>
        <w:snapToGrid w:val="0"/>
        <w:spacing w:line="420" w:lineRule="exact"/>
        <w:ind w:firstLine="422" w:firstLineChars="200"/>
        <w:rPr>
          <w:rFonts w:ascii="宋体" w:hAnsi="宋体"/>
          <w:color w:val="auto"/>
          <w:szCs w:val="21"/>
        </w:rPr>
      </w:pPr>
      <w:r>
        <w:rPr>
          <w:rFonts w:hint="eastAsia" w:ascii="宋体" w:hAnsi="宋体"/>
          <w:b/>
          <w:color w:val="auto"/>
          <w:szCs w:val="21"/>
        </w:rPr>
        <w:t xml:space="preserve">第二十条  </w:t>
      </w:r>
      <w:r>
        <w:rPr>
          <w:rFonts w:hint="eastAsia" w:ascii="宋体" w:hAnsi="宋体"/>
          <w:color w:val="auto"/>
          <w:szCs w:val="21"/>
        </w:rPr>
        <w:t>合同一式</w:t>
      </w:r>
      <w:r>
        <w:rPr>
          <w:rFonts w:hint="eastAsia" w:ascii="宋体" w:hAnsi="宋体"/>
          <w:color w:val="auto"/>
          <w:szCs w:val="21"/>
          <w:u w:val="single"/>
        </w:rPr>
        <w:t xml:space="preserve"> 四 </w:t>
      </w:r>
      <w:r>
        <w:rPr>
          <w:rFonts w:hint="eastAsia" w:ascii="宋体" w:hAnsi="宋体"/>
          <w:color w:val="auto"/>
          <w:szCs w:val="21"/>
        </w:rPr>
        <w:t>份，具有同等法律效力，财政部门（政府采购监管部门）、采购代理机构各一份，甲乙双方各</w:t>
      </w:r>
      <w:r>
        <w:rPr>
          <w:rFonts w:hint="eastAsia" w:ascii="宋体" w:hAnsi="宋体"/>
          <w:color w:val="auto"/>
          <w:szCs w:val="21"/>
          <w:u w:val="single"/>
        </w:rPr>
        <w:t xml:space="preserve"> 一 </w:t>
      </w:r>
      <w:r>
        <w:rPr>
          <w:rFonts w:hint="eastAsia" w:ascii="宋体" w:hAnsi="宋体"/>
          <w:color w:val="auto"/>
          <w:szCs w:val="21"/>
        </w:rPr>
        <w:t>份（可根据需要另增加）。</w:t>
      </w:r>
    </w:p>
    <w:p>
      <w:pPr>
        <w:snapToGrid w:val="0"/>
        <w:spacing w:line="420" w:lineRule="exact"/>
        <w:ind w:firstLine="420" w:firstLineChars="200"/>
        <w:rPr>
          <w:rFonts w:ascii="宋体" w:hAnsi="宋体"/>
          <w:color w:val="auto"/>
          <w:szCs w:val="21"/>
        </w:rPr>
      </w:pPr>
      <w:r>
        <w:rPr>
          <w:rFonts w:hint="eastAsia" w:ascii="宋体" w:hAnsi="宋体"/>
          <w:color w:val="auto"/>
          <w:szCs w:val="21"/>
        </w:rPr>
        <w:t>本合同甲乙双方签字盖章后生效，自签订之日起七个工作日内，采购人或采购代理机构应当将合同副本报同级财政部门备案。</w:t>
      </w:r>
    </w:p>
    <w:tbl>
      <w:tblPr>
        <w:tblStyle w:val="38"/>
        <w:tblpPr w:leftFromText="180" w:rightFromText="180" w:vertAnchor="text" w:horzAnchor="margin" w:tblpXSpec="center" w:tblpY="2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6"/>
        <w:gridCol w:w="4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9" w:hRule="atLeast"/>
        </w:trPr>
        <w:tc>
          <w:tcPr>
            <w:tcW w:w="4936" w:type="dxa"/>
            <w:vAlign w:val="center"/>
          </w:tcPr>
          <w:p>
            <w:pPr>
              <w:snapToGrid w:val="0"/>
              <w:rPr>
                <w:rFonts w:ascii="宋体" w:hAnsi="宋体"/>
                <w:color w:val="auto"/>
                <w:szCs w:val="21"/>
              </w:rPr>
            </w:pPr>
            <w:r>
              <w:rPr>
                <w:rFonts w:hint="eastAsia" w:ascii="宋体" w:hAnsi="宋体"/>
                <w:color w:val="auto"/>
                <w:szCs w:val="21"/>
              </w:rPr>
              <w:t>甲方（章）</w:t>
            </w:r>
          </w:p>
          <w:p>
            <w:pPr>
              <w:snapToGrid w:val="0"/>
              <w:rPr>
                <w:rFonts w:ascii="宋体" w:hAnsi="宋体"/>
                <w:color w:val="auto"/>
                <w:szCs w:val="21"/>
              </w:rPr>
            </w:pPr>
          </w:p>
          <w:p>
            <w:pPr>
              <w:snapToGrid w:val="0"/>
              <w:rPr>
                <w:rFonts w:ascii="宋体" w:hAnsi="宋体"/>
                <w:color w:val="auto"/>
                <w:szCs w:val="21"/>
              </w:rPr>
            </w:pPr>
          </w:p>
          <w:p>
            <w:pPr>
              <w:snapToGrid w:val="0"/>
              <w:ind w:firstLine="945" w:firstLineChars="450"/>
              <w:jc w:val="right"/>
              <w:rPr>
                <w:rFonts w:ascii="宋体" w:hAnsi="宋体"/>
                <w:color w:val="auto"/>
                <w:szCs w:val="21"/>
              </w:rPr>
            </w:pPr>
            <w:r>
              <w:rPr>
                <w:rFonts w:hint="eastAsia" w:ascii="宋体" w:hAnsi="宋体"/>
                <w:color w:val="auto"/>
                <w:szCs w:val="21"/>
              </w:rPr>
              <w:t>年   月   日</w:t>
            </w:r>
          </w:p>
        </w:tc>
        <w:tc>
          <w:tcPr>
            <w:tcW w:w="4937" w:type="dxa"/>
            <w:vAlign w:val="center"/>
          </w:tcPr>
          <w:p>
            <w:pPr>
              <w:snapToGrid w:val="0"/>
              <w:rPr>
                <w:rFonts w:ascii="宋体" w:hAnsi="宋体"/>
                <w:color w:val="auto"/>
                <w:szCs w:val="21"/>
              </w:rPr>
            </w:pPr>
            <w:r>
              <w:rPr>
                <w:rFonts w:hint="eastAsia" w:ascii="宋体" w:hAnsi="宋体"/>
                <w:color w:val="auto"/>
                <w:szCs w:val="21"/>
              </w:rPr>
              <w:t xml:space="preserve">乙方（章）              </w:t>
            </w:r>
          </w:p>
          <w:p>
            <w:pPr>
              <w:snapToGrid w:val="0"/>
              <w:rPr>
                <w:rFonts w:ascii="宋体" w:hAnsi="宋体"/>
                <w:color w:val="auto"/>
                <w:szCs w:val="21"/>
              </w:rPr>
            </w:pPr>
          </w:p>
          <w:p>
            <w:pPr>
              <w:snapToGrid w:val="0"/>
              <w:rPr>
                <w:rFonts w:ascii="宋体" w:hAnsi="宋体"/>
                <w:color w:val="auto"/>
                <w:szCs w:val="21"/>
              </w:rPr>
            </w:pPr>
          </w:p>
          <w:p>
            <w:pPr>
              <w:snapToGrid w:val="0"/>
              <w:jc w:val="right"/>
              <w:rPr>
                <w:rFonts w:ascii="宋体" w:hAnsi="宋体"/>
                <w:color w:val="auto"/>
                <w:szCs w:val="21"/>
              </w:rPr>
            </w:pPr>
            <w:r>
              <w:rPr>
                <w:rFonts w:hint="eastAsia" w:ascii="宋体" w:hAnsi="宋体"/>
                <w:color w:val="auto"/>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4936" w:type="dxa"/>
            <w:vAlign w:val="center"/>
          </w:tcPr>
          <w:p>
            <w:pPr>
              <w:snapToGrid w:val="0"/>
              <w:rPr>
                <w:rFonts w:ascii="宋体" w:hAnsi="宋体"/>
                <w:color w:val="auto"/>
                <w:szCs w:val="21"/>
              </w:rPr>
            </w:pPr>
            <w:r>
              <w:rPr>
                <w:rFonts w:hint="eastAsia" w:ascii="宋体" w:hAnsi="宋体"/>
                <w:color w:val="auto"/>
                <w:szCs w:val="21"/>
              </w:rPr>
              <w:t xml:space="preserve">单位地址： </w:t>
            </w:r>
          </w:p>
        </w:tc>
        <w:tc>
          <w:tcPr>
            <w:tcW w:w="4937" w:type="dxa"/>
            <w:vAlign w:val="center"/>
          </w:tcPr>
          <w:p>
            <w:pPr>
              <w:snapToGrid w:val="0"/>
              <w:rPr>
                <w:rFonts w:ascii="宋体" w:hAnsi="宋体"/>
                <w:color w:val="auto"/>
                <w:szCs w:val="21"/>
              </w:rPr>
            </w:pPr>
            <w:r>
              <w:rPr>
                <w:rFonts w:hint="eastAsia" w:ascii="宋体" w:hAnsi="宋体"/>
                <w:color w:val="auto"/>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4936" w:type="dxa"/>
            <w:vAlign w:val="center"/>
          </w:tcPr>
          <w:p>
            <w:pPr>
              <w:snapToGrid w:val="0"/>
              <w:rPr>
                <w:rFonts w:ascii="宋体" w:hAnsi="宋体"/>
                <w:color w:val="auto"/>
                <w:szCs w:val="21"/>
              </w:rPr>
            </w:pPr>
            <w:r>
              <w:rPr>
                <w:rFonts w:hint="eastAsia" w:ascii="宋体" w:hAnsi="宋体"/>
                <w:color w:val="auto"/>
                <w:szCs w:val="21"/>
              </w:rPr>
              <w:t>法定代表人：</w:t>
            </w:r>
          </w:p>
        </w:tc>
        <w:tc>
          <w:tcPr>
            <w:tcW w:w="4937" w:type="dxa"/>
            <w:vAlign w:val="center"/>
          </w:tcPr>
          <w:p>
            <w:pPr>
              <w:snapToGrid w:val="0"/>
              <w:rPr>
                <w:rFonts w:ascii="宋体" w:hAnsi="宋体"/>
                <w:color w:val="auto"/>
                <w:szCs w:val="21"/>
              </w:rPr>
            </w:pPr>
            <w:r>
              <w:rPr>
                <w:rFonts w:hint="eastAsia" w:ascii="宋体" w:hAnsi="宋体"/>
                <w:color w:val="auto"/>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4936" w:type="dxa"/>
            <w:vAlign w:val="center"/>
          </w:tcPr>
          <w:p>
            <w:pPr>
              <w:snapToGrid w:val="0"/>
              <w:rPr>
                <w:rFonts w:ascii="宋体" w:hAnsi="宋体"/>
                <w:color w:val="auto"/>
                <w:szCs w:val="21"/>
              </w:rPr>
            </w:pPr>
            <w:r>
              <w:rPr>
                <w:rFonts w:hint="eastAsia" w:ascii="宋体" w:hAnsi="宋体"/>
                <w:color w:val="auto"/>
                <w:szCs w:val="21"/>
              </w:rPr>
              <w:t>委托代理人：</w:t>
            </w:r>
          </w:p>
        </w:tc>
        <w:tc>
          <w:tcPr>
            <w:tcW w:w="4937" w:type="dxa"/>
            <w:vAlign w:val="center"/>
          </w:tcPr>
          <w:p>
            <w:pPr>
              <w:snapToGrid w:val="0"/>
              <w:rPr>
                <w:rFonts w:ascii="宋体" w:hAnsi="宋体"/>
                <w:color w:val="auto"/>
                <w:szCs w:val="21"/>
              </w:rPr>
            </w:pPr>
            <w:r>
              <w:rPr>
                <w:rFonts w:hint="eastAsia" w:ascii="宋体" w:hAnsi="宋体"/>
                <w:color w:val="auto"/>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4936" w:type="dxa"/>
            <w:vAlign w:val="center"/>
          </w:tcPr>
          <w:p>
            <w:pPr>
              <w:snapToGrid w:val="0"/>
              <w:rPr>
                <w:rFonts w:ascii="宋体" w:hAnsi="宋体"/>
                <w:color w:val="auto"/>
                <w:szCs w:val="21"/>
              </w:rPr>
            </w:pPr>
            <w:r>
              <w:rPr>
                <w:rFonts w:hint="eastAsia" w:ascii="宋体" w:hAnsi="宋体"/>
                <w:color w:val="auto"/>
                <w:szCs w:val="21"/>
              </w:rPr>
              <w:t>电话：</w:t>
            </w:r>
          </w:p>
        </w:tc>
        <w:tc>
          <w:tcPr>
            <w:tcW w:w="4937" w:type="dxa"/>
            <w:vAlign w:val="center"/>
          </w:tcPr>
          <w:p>
            <w:pPr>
              <w:snapToGrid w:val="0"/>
              <w:rPr>
                <w:rFonts w:ascii="宋体" w:hAnsi="宋体"/>
                <w:color w:val="auto"/>
                <w:szCs w:val="21"/>
              </w:rPr>
            </w:pPr>
            <w:r>
              <w:rPr>
                <w:rFonts w:hint="eastAsia" w:ascii="宋体" w:hAnsi="宋体"/>
                <w:color w:val="auto"/>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4936" w:type="dxa"/>
            <w:vAlign w:val="center"/>
          </w:tcPr>
          <w:p>
            <w:pPr>
              <w:snapToGrid w:val="0"/>
              <w:rPr>
                <w:rFonts w:ascii="宋体" w:hAnsi="宋体"/>
                <w:color w:val="auto"/>
                <w:szCs w:val="21"/>
              </w:rPr>
            </w:pPr>
            <w:r>
              <w:rPr>
                <w:rFonts w:hint="eastAsia" w:ascii="宋体" w:hAnsi="宋体"/>
                <w:color w:val="auto"/>
                <w:szCs w:val="21"/>
              </w:rPr>
              <w:t>电子邮箱：</w:t>
            </w:r>
          </w:p>
        </w:tc>
        <w:tc>
          <w:tcPr>
            <w:tcW w:w="4937" w:type="dxa"/>
            <w:vAlign w:val="center"/>
          </w:tcPr>
          <w:p>
            <w:pPr>
              <w:snapToGrid w:val="0"/>
              <w:rPr>
                <w:rFonts w:ascii="宋体" w:hAnsi="宋体"/>
                <w:color w:val="auto"/>
                <w:szCs w:val="21"/>
              </w:rPr>
            </w:pPr>
            <w:r>
              <w:rPr>
                <w:rFonts w:hint="eastAsia" w:ascii="宋体" w:hAnsi="宋体"/>
                <w:color w:val="auto"/>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4936" w:type="dxa"/>
            <w:vAlign w:val="center"/>
          </w:tcPr>
          <w:p>
            <w:pPr>
              <w:snapToGrid w:val="0"/>
              <w:rPr>
                <w:rFonts w:ascii="宋体" w:hAnsi="宋体"/>
                <w:color w:val="auto"/>
                <w:szCs w:val="21"/>
              </w:rPr>
            </w:pPr>
            <w:r>
              <w:rPr>
                <w:rFonts w:hint="eastAsia" w:ascii="宋体" w:hAnsi="宋体"/>
                <w:color w:val="auto"/>
                <w:szCs w:val="21"/>
              </w:rPr>
              <w:t xml:space="preserve">开户银行： </w:t>
            </w:r>
          </w:p>
        </w:tc>
        <w:tc>
          <w:tcPr>
            <w:tcW w:w="4937" w:type="dxa"/>
            <w:vAlign w:val="center"/>
          </w:tcPr>
          <w:p>
            <w:pPr>
              <w:snapToGrid w:val="0"/>
              <w:rPr>
                <w:rFonts w:ascii="宋体" w:hAnsi="宋体"/>
                <w:color w:val="auto"/>
                <w:szCs w:val="21"/>
              </w:rPr>
            </w:pPr>
            <w:r>
              <w:rPr>
                <w:rFonts w:hint="eastAsia" w:ascii="宋体" w:hAnsi="宋体"/>
                <w:color w:val="auto"/>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4936" w:type="dxa"/>
            <w:vAlign w:val="center"/>
          </w:tcPr>
          <w:p>
            <w:pPr>
              <w:snapToGrid w:val="0"/>
              <w:rPr>
                <w:rFonts w:ascii="宋体" w:hAnsi="宋体"/>
                <w:color w:val="auto"/>
                <w:szCs w:val="21"/>
              </w:rPr>
            </w:pPr>
            <w:r>
              <w:rPr>
                <w:rFonts w:hint="eastAsia" w:ascii="宋体" w:hAnsi="宋体"/>
                <w:color w:val="auto"/>
                <w:szCs w:val="21"/>
              </w:rPr>
              <w:t>账号：</w:t>
            </w:r>
          </w:p>
        </w:tc>
        <w:tc>
          <w:tcPr>
            <w:tcW w:w="4937" w:type="dxa"/>
            <w:vAlign w:val="center"/>
          </w:tcPr>
          <w:p>
            <w:pPr>
              <w:snapToGrid w:val="0"/>
              <w:rPr>
                <w:rFonts w:ascii="宋体" w:hAnsi="宋体"/>
                <w:color w:val="auto"/>
                <w:szCs w:val="21"/>
              </w:rPr>
            </w:pPr>
            <w:r>
              <w:rPr>
                <w:rFonts w:hint="eastAsia" w:ascii="宋体" w:hAnsi="宋体"/>
                <w:color w:val="auto"/>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trPr>
        <w:tc>
          <w:tcPr>
            <w:tcW w:w="4936" w:type="dxa"/>
            <w:vAlign w:val="center"/>
          </w:tcPr>
          <w:p>
            <w:pPr>
              <w:snapToGrid w:val="0"/>
              <w:rPr>
                <w:rFonts w:ascii="宋体" w:hAnsi="宋体"/>
                <w:color w:val="auto"/>
                <w:szCs w:val="21"/>
              </w:rPr>
            </w:pPr>
            <w:r>
              <w:rPr>
                <w:rFonts w:hint="eastAsia" w:ascii="宋体" w:hAnsi="宋体"/>
                <w:color w:val="auto"/>
                <w:szCs w:val="21"/>
              </w:rPr>
              <w:t>邮政编码：</w:t>
            </w:r>
          </w:p>
        </w:tc>
        <w:tc>
          <w:tcPr>
            <w:tcW w:w="4937" w:type="dxa"/>
            <w:vAlign w:val="center"/>
          </w:tcPr>
          <w:p>
            <w:pPr>
              <w:snapToGrid w:val="0"/>
              <w:rPr>
                <w:rFonts w:ascii="宋体" w:hAnsi="宋体"/>
                <w:color w:val="auto"/>
                <w:szCs w:val="21"/>
              </w:rPr>
            </w:pPr>
            <w:r>
              <w:rPr>
                <w:rFonts w:hint="eastAsia" w:ascii="宋体" w:hAnsi="宋体"/>
                <w:color w:val="auto"/>
                <w:szCs w:val="21"/>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873" w:type="dxa"/>
            <w:gridSpan w:val="2"/>
          </w:tcPr>
          <w:p>
            <w:pPr>
              <w:snapToGrid w:val="0"/>
              <w:rPr>
                <w:rFonts w:ascii="宋体" w:hAnsi="宋体"/>
                <w:color w:val="auto"/>
                <w:szCs w:val="21"/>
              </w:rPr>
            </w:pPr>
            <w:r>
              <w:rPr>
                <w:rFonts w:hint="eastAsia" w:ascii="宋体" w:hAnsi="宋体"/>
                <w:color w:val="auto"/>
                <w:szCs w:val="21"/>
              </w:rPr>
              <w:t>经办人：</w:t>
            </w:r>
          </w:p>
          <w:p>
            <w:pPr>
              <w:snapToGrid w:val="0"/>
              <w:rPr>
                <w:rFonts w:ascii="宋体" w:hAnsi="宋体"/>
                <w:color w:val="auto"/>
                <w:szCs w:val="21"/>
              </w:rPr>
            </w:pPr>
          </w:p>
          <w:p>
            <w:pPr>
              <w:snapToGrid w:val="0"/>
              <w:ind w:firstLine="630" w:firstLineChars="300"/>
              <w:jc w:val="right"/>
              <w:rPr>
                <w:rFonts w:ascii="宋体" w:hAnsi="宋体"/>
                <w:color w:val="auto"/>
                <w:szCs w:val="21"/>
              </w:rPr>
            </w:pPr>
            <w:r>
              <w:rPr>
                <w:rFonts w:hint="eastAsia" w:ascii="宋体" w:hAnsi="宋体"/>
                <w:color w:val="auto"/>
                <w:szCs w:val="21"/>
              </w:rPr>
              <w:t>年    月    日</w:t>
            </w:r>
          </w:p>
        </w:tc>
      </w:tr>
      <w:bookmarkEnd w:id="48"/>
    </w:tbl>
    <w:p>
      <w:pPr>
        <w:pStyle w:val="20"/>
        <w:spacing w:line="360" w:lineRule="auto"/>
        <w:jc w:val="center"/>
        <w:outlineLvl w:val="0"/>
        <w:rPr>
          <w:rFonts w:hint="eastAsia"/>
          <w:b/>
          <w:color w:val="auto"/>
          <w:sz w:val="36"/>
          <w:szCs w:val="36"/>
        </w:rPr>
      </w:pPr>
      <w:bookmarkStart w:id="52" w:name="_Toc42013025"/>
      <w:bookmarkStart w:id="53" w:name="_Toc381103834"/>
      <w:bookmarkStart w:id="54" w:name="_Toc215204668"/>
    </w:p>
    <w:p>
      <w:pPr>
        <w:pStyle w:val="20"/>
        <w:spacing w:line="360" w:lineRule="auto"/>
        <w:jc w:val="center"/>
        <w:outlineLvl w:val="0"/>
        <w:rPr>
          <w:rFonts w:hint="eastAsia"/>
          <w:b/>
          <w:color w:val="auto"/>
          <w:sz w:val="36"/>
          <w:szCs w:val="36"/>
        </w:rPr>
      </w:pPr>
    </w:p>
    <w:p>
      <w:pPr>
        <w:pStyle w:val="20"/>
        <w:spacing w:line="360" w:lineRule="auto"/>
        <w:jc w:val="center"/>
        <w:outlineLvl w:val="0"/>
        <w:rPr>
          <w:rFonts w:hint="eastAsia"/>
          <w:b/>
          <w:color w:val="auto"/>
          <w:sz w:val="36"/>
          <w:szCs w:val="36"/>
        </w:rPr>
      </w:pPr>
    </w:p>
    <w:p>
      <w:pPr>
        <w:pStyle w:val="20"/>
        <w:spacing w:line="360" w:lineRule="auto"/>
        <w:jc w:val="center"/>
        <w:outlineLvl w:val="0"/>
        <w:rPr>
          <w:rFonts w:hint="eastAsia"/>
          <w:b/>
          <w:color w:val="auto"/>
          <w:sz w:val="36"/>
          <w:szCs w:val="36"/>
        </w:rPr>
      </w:pPr>
    </w:p>
    <w:p>
      <w:pPr>
        <w:pStyle w:val="20"/>
        <w:spacing w:line="360" w:lineRule="auto"/>
        <w:jc w:val="center"/>
        <w:outlineLvl w:val="0"/>
        <w:rPr>
          <w:rFonts w:hint="eastAsia"/>
          <w:b/>
          <w:color w:val="auto"/>
          <w:sz w:val="36"/>
          <w:szCs w:val="36"/>
        </w:rPr>
      </w:pPr>
    </w:p>
    <w:p>
      <w:pPr>
        <w:pStyle w:val="20"/>
        <w:spacing w:line="360" w:lineRule="auto"/>
        <w:jc w:val="center"/>
        <w:outlineLvl w:val="0"/>
        <w:rPr>
          <w:rFonts w:hint="eastAsia"/>
          <w:b/>
          <w:color w:val="auto"/>
          <w:sz w:val="36"/>
          <w:szCs w:val="36"/>
        </w:rPr>
      </w:pPr>
    </w:p>
    <w:p>
      <w:pPr>
        <w:pStyle w:val="20"/>
        <w:spacing w:line="360" w:lineRule="auto"/>
        <w:jc w:val="center"/>
        <w:outlineLvl w:val="0"/>
        <w:rPr>
          <w:rFonts w:hint="eastAsia"/>
          <w:b/>
          <w:color w:val="auto"/>
          <w:sz w:val="36"/>
          <w:szCs w:val="36"/>
        </w:rPr>
      </w:pPr>
    </w:p>
    <w:p>
      <w:pPr>
        <w:pStyle w:val="20"/>
        <w:spacing w:line="360" w:lineRule="auto"/>
        <w:jc w:val="center"/>
        <w:outlineLvl w:val="0"/>
        <w:rPr>
          <w:rFonts w:hint="eastAsia"/>
          <w:b/>
          <w:color w:val="auto"/>
          <w:sz w:val="36"/>
          <w:szCs w:val="36"/>
        </w:rPr>
      </w:pPr>
    </w:p>
    <w:p>
      <w:pPr>
        <w:pStyle w:val="20"/>
        <w:spacing w:line="360" w:lineRule="auto"/>
        <w:jc w:val="center"/>
        <w:outlineLvl w:val="0"/>
        <w:rPr>
          <w:rFonts w:hint="eastAsia"/>
          <w:b/>
          <w:color w:val="auto"/>
          <w:sz w:val="36"/>
          <w:szCs w:val="36"/>
        </w:rPr>
      </w:pPr>
    </w:p>
    <w:p>
      <w:pPr>
        <w:pStyle w:val="20"/>
        <w:spacing w:line="360" w:lineRule="auto"/>
        <w:jc w:val="center"/>
        <w:outlineLvl w:val="0"/>
        <w:rPr>
          <w:rFonts w:hint="eastAsia"/>
          <w:b/>
          <w:color w:val="auto"/>
          <w:sz w:val="36"/>
          <w:szCs w:val="36"/>
        </w:rPr>
      </w:pPr>
    </w:p>
    <w:p>
      <w:pPr>
        <w:pStyle w:val="20"/>
        <w:spacing w:line="360" w:lineRule="auto"/>
        <w:jc w:val="center"/>
        <w:outlineLvl w:val="0"/>
        <w:rPr>
          <w:rFonts w:hint="eastAsia"/>
          <w:b/>
          <w:color w:val="auto"/>
          <w:sz w:val="36"/>
          <w:szCs w:val="36"/>
        </w:rPr>
      </w:pPr>
    </w:p>
    <w:p>
      <w:pPr>
        <w:pStyle w:val="20"/>
        <w:spacing w:line="360" w:lineRule="auto"/>
        <w:jc w:val="center"/>
        <w:outlineLvl w:val="0"/>
        <w:rPr>
          <w:b/>
          <w:color w:val="auto"/>
          <w:sz w:val="36"/>
          <w:szCs w:val="36"/>
        </w:rPr>
      </w:pPr>
      <w:r>
        <w:rPr>
          <w:rFonts w:hint="eastAsia"/>
          <w:b/>
          <w:color w:val="auto"/>
          <w:sz w:val="36"/>
          <w:szCs w:val="36"/>
        </w:rPr>
        <w:t>第五章  评标方法和定标标准</w:t>
      </w:r>
      <w:bookmarkEnd w:id="52"/>
      <w:bookmarkEnd w:id="53"/>
    </w:p>
    <w:p>
      <w:pPr>
        <w:pStyle w:val="20"/>
        <w:spacing w:line="440" w:lineRule="exact"/>
        <w:ind w:firstLine="422" w:firstLineChars="200"/>
        <w:rPr>
          <w:rFonts w:hAnsi="宋体"/>
          <w:b/>
          <w:bCs/>
          <w:color w:val="auto"/>
          <w:szCs w:val="21"/>
        </w:rPr>
      </w:pPr>
      <w:r>
        <w:rPr>
          <w:rFonts w:hint="eastAsia" w:hAnsi="宋体"/>
          <w:b/>
          <w:bCs/>
          <w:color w:val="auto"/>
          <w:szCs w:val="21"/>
        </w:rPr>
        <w:t>一、评标原则</w:t>
      </w:r>
    </w:p>
    <w:p>
      <w:pPr>
        <w:pStyle w:val="20"/>
        <w:spacing w:line="440" w:lineRule="exact"/>
        <w:ind w:firstLine="420"/>
        <w:rPr>
          <w:rFonts w:hAnsi="宋体"/>
          <w:color w:val="auto"/>
          <w:szCs w:val="21"/>
        </w:rPr>
      </w:pPr>
      <w:r>
        <w:rPr>
          <w:rFonts w:hint="eastAsia" w:hAnsi="宋体"/>
          <w:color w:val="auto"/>
          <w:szCs w:val="21"/>
        </w:rPr>
        <w:t>（一）磋商小组构成：本采购项目的磋商小组由依法组成的评审专家、采购单位代表共3人构成，其中专家人数不少于成员总数的三分之二。</w:t>
      </w:r>
    </w:p>
    <w:p>
      <w:pPr>
        <w:pStyle w:val="20"/>
        <w:spacing w:line="440" w:lineRule="exact"/>
        <w:ind w:firstLine="420"/>
        <w:rPr>
          <w:rFonts w:hAnsi="宋体"/>
          <w:b/>
          <w:bCs/>
          <w:color w:val="auto"/>
          <w:szCs w:val="21"/>
        </w:rPr>
      </w:pPr>
      <w:r>
        <w:rPr>
          <w:rFonts w:hint="eastAsia" w:hAnsi="宋体"/>
          <w:color w:val="auto"/>
          <w:szCs w:val="21"/>
        </w:rPr>
        <w:t>（二）评标依据：“磋商小组”将以磋商文件、响应文件为评标依据，采用综合评分法按百分制打分。</w:t>
      </w:r>
    </w:p>
    <w:p>
      <w:pPr>
        <w:pStyle w:val="20"/>
        <w:spacing w:line="440" w:lineRule="exact"/>
        <w:ind w:firstLine="420"/>
        <w:rPr>
          <w:rFonts w:hAnsi="宋体"/>
          <w:b/>
          <w:bCs/>
          <w:color w:val="auto"/>
          <w:szCs w:val="21"/>
        </w:rPr>
      </w:pPr>
      <w:r>
        <w:rPr>
          <w:rFonts w:hint="eastAsia" w:hAnsi="宋体"/>
          <w:b/>
          <w:bCs/>
          <w:color w:val="auto"/>
          <w:szCs w:val="21"/>
        </w:rPr>
        <w:t>二、评标方法</w:t>
      </w:r>
    </w:p>
    <w:p>
      <w:pPr>
        <w:pStyle w:val="20"/>
        <w:spacing w:line="440" w:lineRule="exact"/>
        <w:ind w:firstLine="420"/>
        <w:rPr>
          <w:rFonts w:hAnsi="宋体"/>
          <w:color w:val="auto"/>
          <w:szCs w:val="21"/>
        </w:rPr>
      </w:pPr>
      <w:r>
        <w:rPr>
          <w:rFonts w:hint="eastAsia" w:hAnsi="宋体"/>
          <w:color w:val="auto"/>
          <w:szCs w:val="21"/>
        </w:rPr>
        <w:t>（一）对进入详评的，采用综合评分法。</w:t>
      </w:r>
    </w:p>
    <w:p>
      <w:pPr>
        <w:pStyle w:val="20"/>
        <w:spacing w:line="440" w:lineRule="exact"/>
        <w:ind w:firstLine="420"/>
        <w:rPr>
          <w:rFonts w:hAnsi="宋体"/>
          <w:color w:val="auto"/>
          <w:szCs w:val="21"/>
        </w:rPr>
      </w:pPr>
      <w:r>
        <w:rPr>
          <w:rFonts w:hint="eastAsia" w:hAnsi="宋体"/>
          <w:color w:val="auto"/>
          <w:szCs w:val="21"/>
        </w:rPr>
        <w:t>（二）计分办法（按四舍五入取至小数点后二位）</w:t>
      </w:r>
    </w:p>
    <w:bookmarkEnd w:id="54"/>
    <w:p>
      <w:pPr>
        <w:pStyle w:val="20"/>
        <w:spacing w:line="440" w:lineRule="exact"/>
        <w:ind w:firstLine="420"/>
        <w:rPr>
          <w:rFonts w:hAnsi="宋体"/>
          <w:b/>
          <w:bCs/>
          <w:szCs w:val="21"/>
        </w:rPr>
      </w:pPr>
      <w:bookmarkStart w:id="55" w:name="1.价格分………………………………………………………………………………30分"/>
      <w:bookmarkEnd w:id="55"/>
      <w:r>
        <w:rPr>
          <w:rFonts w:hint="eastAsia" w:hAnsi="宋体"/>
          <w:b/>
          <w:bCs/>
          <w:szCs w:val="21"/>
        </w:rPr>
        <w:t>1.报价分.................................. ... ... ... ... ... ..............15分</w:t>
      </w:r>
    </w:p>
    <w:p>
      <w:pPr>
        <w:pStyle w:val="20"/>
        <w:spacing w:line="440" w:lineRule="exact"/>
        <w:ind w:firstLine="420"/>
        <w:rPr>
          <w:rFonts w:hAnsi="宋体"/>
          <w:color w:val="000000"/>
          <w:szCs w:val="21"/>
        </w:rPr>
      </w:pPr>
      <w:r>
        <w:rPr>
          <w:rFonts w:hint="eastAsia" w:hAnsi="宋体"/>
          <w:color w:val="000000"/>
          <w:szCs w:val="21"/>
        </w:rPr>
        <w:t>（1）评标价为供应商的竞标报价进行政策性扣除后的价格，评标价只是作为评标时使用。最终成交人的中标金额＝竞标报价。</w:t>
      </w:r>
    </w:p>
    <w:p>
      <w:pPr>
        <w:pStyle w:val="20"/>
        <w:spacing w:line="440" w:lineRule="exact"/>
        <w:ind w:firstLine="420"/>
        <w:rPr>
          <w:rFonts w:hAnsi="宋体"/>
          <w:color w:val="000000"/>
          <w:szCs w:val="21"/>
        </w:rPr>
      </w:pPr>
      <w:r>
        <w:rPr>
          <w:rFonts w:hint="eastAsia" w:hAnsi="宋体"/>
          <w:color w:val="000000"/>
          <w:szCs w:val="21"/>
        </w:rPr>
        <w:t>（2）政策性扣除计算方法。</w:t>
      </w:r>
    </w:p>
    <w:p>
      <w:pPr>
        <w:pStyle w:val="20"/>
        <w:spacing w:line="440" w:lineRule="exact"/>
        <w:ind w:firstLine="420"/>
        <w:rPr>
          <w:rFonts w:hAnsi="宋体"/>
          <w:color w:val="000000"/>
          <w:szCs w:val="21"/>
        </w:rPr>
      </w:pPr>
      <w:r>
        <w:rPr>
          <w:rFonts w:hint="eastAsia" w:hAnsi="宋体"/>
          <w:color w:val="000000"/>
          <w:szCs w:val="21"/>
        </w:rPr>
        <w:t>供应商符合小型、微型企业或监狱企业条件的，其竞标报价将按相应比例进行扣除，用扣除后的价格参与评审（计算价格分）。</w:t>
      </w:r>
    </w:p>
    <w:p>
      <w:pPr>
        <w:pStyle w:val="20"/>
        <w:spacing w:line="440" w:lineRule="exact"/>
        <w:ind w:firstLine="420"/>
        <w:rPr>
          <w:rFonts w:hAnsi="宋体"/>
          <w:color w:val="000000"/>
          <w:szCs w:val="21"/>
        </w:rPr>
      </w:pPr>
      <w:r>
        <w:rPr>
          <w:rFonts w:hint="eastAsia" w:hAnsi="宋体"/>
          <w:color w:val="000000"/>
          <w:szCs w:val="21"/>
        </w:rPr>
        <w:t>小型、微型企业组成联合体参加投标的，联合体视同为小型、微型企业享受扶持政策。</w:t>
      </w:r>
    </w:p>
    <w:p>
      <w:pPr>
        <w:pStyle w:val="20"/>
        <w:spacing w:line="440" w:lineRule="exact"/>
        <w:ind w:firstLine="420"/>
        <w:rPr>
          <w:rFonts w:hAnsi="宋体"/>
          <w:color w:val="000000"/>
          <w:szCs w:val="21"/>
        </w:rPr>
      </w:pPr>
      <w:r>
        <w:rPr>
          <w:rFonts w:hint="eastAsia" w:hAnsi="宋体"/>
          <w:color w:val="000000"/>
          <w:szCs w:val="21"/>
        </w:rPr>
        <w:t>（3）按照《财政部、司法部关于政府采购支持监狱企业发展有关问题的通知》（财库〔2014〕68 号）之规定，监狱企业视同小型、微型企业。</w:t>
      </w:r>
    </w:p>
    <w:p>
      <w:pPr>
        <w:pStyle w:val="20"/>
        <w:spacing w:line="440" w:lineRule="exact"/>
        <w:ind w:firstLine="420"/>
        <w:rPr>
          <w:rFonts w:hAnsi="宋体"/>
          <w:szCs w:val="21"/>
        </w:rPr>
      </w:pPr>
      <w:r>
        <w:rPr>
          <w:rFonts w:hint="eastAsia" w:hAnsi="宋体"/>
          <w:color w:val="000000"/>
          <w:szCs w:val="21"/>
        </w:rPr>
        <w:t>（4）按照《政府采购促进中小企业发展暂行办法》（财库[2011]181 号）之规定，投标单位认定为小型和微型企业（以具有认定职能的部门出具的证明材料为准）且所投产品均为小型和微型企业产品（以具有认定职能的部门出具的证明材料为准）的，对小型和微型企业产品的价格给予 6%的扣除，扣除后的价格为评标报价，即评标报价=投标价×（1-6%）；大中型企业和其他自然人、法人或者其他组织与小型、微型企业组成联合体投标，联合体协议中约定小型、微型企业的协议合同金额占到联合体协议合同总金额 30%以上</w:t>
      </w:r>
      <w:r>
        <w:rPr>
          <w:rFonts w:hint="eastAsia" w:hAnsi="宋体"/>
          <w:szCs w:val="21"/>
        </w:rPr>
        <w:t>的，联合体投标价给予 2%的扣除，扣除后的价格为评标价，即评标报价=投标价×（1-2%）； 除上述情况外，评标报价=投标价。</w:t>
      </w:r>
    </w:p>
    <w:p>
      <w:pPr>
        <w:pStyle w:val="20"/>
        <w:spacing w:line="440" w:lineRule="exact"/>
        <w:ind w:firstLine="420"/>
        <w:rPr>
          <w:rFonts w:hAnsi="宋体"/>
          <w:szCs w:val="21"/>
        </w:rPr>
      </w:pPr>
      <w:r>
        <w:rPr>
          <w:rFonts w:hint="eastAsia" w:hAnsi="宋体"/>
          <w:szCs w:val="21"/>
        </w:rPr>
        <w:t>（5）以进入综合评分环节的最低的评标报价为基准价，基准价报价得分为 15分。</w:t>
      </w:r>
    </w:p>
    <w:p>
      <w:pPr>
        <w:pStyle w:val="20"/>
        <w:spacing w:line="440" w:lineRule="exact"/>
        <w:ind w:firstLine="420"/>
        <w:rPr>
          <w:rFonts w:hAnsi="宋体"/>
          <w:b/>
          <w:bCs/>
          <w:szCs w:val="21"/>
        </w:rPr>
      </w:pPr>
      <w:r>
        <w:rPr>
          <w:rFonts w:hint="eastAsia" w:hAnsi="宋体"/>
          <w:szCs w:val="21"/>
        </w:rPr>
        <w:t>（6）价格分计算公式：某供应商价格分=基准价/某供应商评标报价金额×15分</w:t>
      </w:r>
    </w:p>
    <w:p>
      <w:pPr>
        <w:pStyle w:val="20"/>
        <w:spacing w:line="440" w:lineRule="exact"/>
        <w:ind w:firstLine="420"/>
        <w:rPr>
          <w:rFonts w:hAnsi="宋体"/>
          <w:b/>
          <w:bCs/>
          <w:szCs w:val="21"/>
        </w:rPr>
      </w:pPr>
      <w:r>
        <w:rPr>
          <w:rFonts w:hint="eastAsia" w:hAnsi="宋体"/>
          <w:b/>
          <w:bCs/>
          <w:szCs w:val="21"/>
        </w:rPr>
        <w:t>2.</w:t>
      </w:r>
      <w:r>
        <w:rPr>
          <w:rFonts w:hAnsi="宋体"/>
          <w:b/>
          <w:bCs/>
          <w:szCs w:val="21"/>
        </w:rPr>
        <w:t>公务用车投保及理赔服务措施</w:t>
      </w:r>
      <w:r>
        <w:rPr>
          <w:rFonts w:hint="eastAsia" w:hAnsi="宋体"/>
          <w:b/>
          <w:bCs/>
          <w:szCs w:val="21"/>
        </w:rPr>
        <w:t>方案.................... ... ... ... .................75</w:t>
      </w:r>
      <w:r>
        <w:rPr>
          <w:rFonts w:hAnsi="宋体"/>
          <w:b/>
          <w:bCs/>
          <w:szCs w:val="21"/>
        </w:rPr>
        <w:t>分</w:t>
      </w:r>
    </w:p>
    <w:p>
      <w:pPr>
        <w:pStyle w:val="14"/>
        <w:spacing w:before="192" w:line="440" w:lineRule="exact"/>
        <w:ind w:firstLine="315" w:firstLineChars="150"/>
        <w:rPr>
          <w:rFonts w:ascii="宋体" w:hAnsi="宋体" w:eastAsia="宋体"/>
          <w:b w:val="0"/>
          <w:bCs/>
          <w:spacing w:val="0"/>
          <w:sz w:val="21"/>
          <w:szCs w:val="21"/>
        </w:rPr>
      </w:pPr>
      <w:r>
        <w:rPr>
          <w:rFonts w:hint="eastAsia" w:ascii="宋体" w:hAnsi="宋体" w:eastAsia="宋体"/>
          <w:b w:val="0"/>
          <w:bCs/>
          <w:spacing w:val="0"/>
          <w:sz w:val="21"/>
          <w:szCs w:val="21"/>
        </w:rPr>
        <w:t>（1）</w:t>
      </w:r>
      <w:r>
        <w:rPr>
          <w:rFonts w:ascii="宋体" w:hAnsi="宋体" w:eastAsia="宋体"/>
          <w:b w:val="0"/>
          <w:bCs/>
          <w:spacing w:val="0"/>
          <w:sz w:val="21"/>
          <w:szCs w:val="21"/>
        </w:rPr>
        <w:t>投保</w:t>
      </w:r>
      <w:r>
        <w:rPr>
          <w:rFonts w:hint="eastAsia" w:ascii="宋体" w:hAnsi="宋体" w:eastAsia="宋体"/>
          <w:b w:val="0"/>
          <w:bCs/>
          <w:spacing w:val="0"/>
          <w:sz w:val="21"/>
          <w:szCs w:val="21"/>
        </w:rPr>
        <w:t>前</w:t>
      </w:r>
      <w:r>
        <w:rPr>
          <w:rFonts w:ascii="宋体" w:hAnsi="宋体" w:eastAsia="宋体"/>
          <w:b w:val="0"/>
          <w:bCs/>
          <w:spacing w:val="0"/>
          <w:sz w:val="21"/>
          <w:szCs w:val="21"/>
        </w:rPr>
        <w:t>的服务方案总体表述（</w:t>
      </w:r>
      <w:r>
        <w:rPr>
          <w:rFonts w:hint="eastAsia" w:ascii="宋体" w:hAnsi="宋体" w:eastAsia="宋体"/>
          <w:b w:val="0"/>
          <w:bCs/>
          <w:spacing w:val="0"/>
          <w:sz w:val="21"/>
          <w:szCs w:val="21"/>
        </w:rPr>
        <w:t>9</w:t>
      </w:r>
      <w:r>
        <w:rPr>
          <w:rFonts w:ascii="宋体" w:hAnsi="宋体" w:eastAsia="宋体"/>
          <w:b w:val="0"/>
          <w:bCs/>
          <w:spacing w:val="0"/>
          <w:sz w:val="21"/>
          <w:szCs w:val="21"/>
        </w:rPr>
        <w:t>分）</w:t>
      </w:r>
    </w:p>
    <w:p>
      <w:pPr>
        <w:pStyle w:val="20"/>
        <w:spacing w:line="440" w:lineRule="exact"/>
        <w:ind w:firstLine="420"/>
        <w:rPr>
          <w:rFonts w:hAnsi="宋体"/>
          <w:bCs/>
          <w:szCs w:val="21"/>
        </w:rPr>
      </w:pPr>
      <w:r>
        <w:rPr>
          <w:rFonts w:hint="eastAsia" w:hAnsi="宋体"/>
          <w:bCs/>
          <w:szCs w:val="21"/>
        </w:rPr>
        <w:t>一档（0分）：无</w:t>
      </w:r>
      <w:r>
        <w:rPr>
          <w:rFonts w:hAnsi="宋体"/>
          <w:bCs/>
          <w:szCs w:val="21"/>
        </w:rPr>
        <w:t>投保</w:t>
      </w:r>
      <w:r>
        <w:rPr>
          <w:rFonts w:hint="eastAsia" w:hAnsi="宋体"/>
          <w:bCs/>
          <w:szCs w:val="21"/>
        </w:rPr>
        <w:t>前服务</w:t>
      </w:r>
      <w:r>
        <w:rPr>
          <w:rFonts w:hAnsi="宋体"/>
          <w:bCs/>
          <w:szCs w:val="21"/>
        </w:rPr>
        <w:t>方案</w:t>
      </w:r>
      <w:r>
        <w:rPr>
          <w:rFonts w:hint="eastAsia" w:hAnsi="宋体"/>
          <w:bCs/>
          <w:szCs w:val="21"/>
        </w:rPr>
        <w:t>或</w:t>
      </w:r>
      <w:r>
        <w:rPr>
          <w:rFonts w:hAnsi="宋体"/>
          <w:bCs/>
          <w:szCs w:val="21"/>
        </w:rPr>
        <w:t>投保</w:t>
      </w:r>
      <w:r>
        <w:rPr>
          <w:rFonts w:hint="eastAsia" w:hAnsi="宋体"/>
          <w:bCs/>
          <w:szCs w:val="21"/>
        </w:rPr>
        <w:t>前服务</w:t>
      </w:r>
      <w:r>
        <w:rPr>
          <w:rFonts w:hAnsi="宋体"/>
          <w:bCs/>
          <w:szCs w:val="21"/>
        </w:rPr>
        <w:t>方案</w:t>
      </w:r>
      <w:r>
        <w:rPr>
          <w:rFonts w:hint="eastAsia" w:hAnsi="宋体"/>
          <w:bCs/>
          <w:szCs w:val="21"/>
        </w:rPr>
        <w:t>总体评价</w:t>
      </w:r>
      <w:r>
        <w:rPr>
          <w:rFonts w:hint="eastAsia" w:ascii="Times New Roman" w:hAnsi="Times New Roman"/>
        </w:rPr>
        <w:t>差</w:t>
      </w:r>
      <w:r>
        <w:rPr>
          <w:rFonts w:hint="eastAsia" w:hAnsi="宋体"/>
          <w:bCs/>
          <w:szCs w:val="21"/>
        </w:rPr>
        <w:t>；</w:t>
      </w:r>
    </w:p>
    <w:p>
      <w:pPr>
        <w:pStyle w:val="20"/>
        <w:spacing w:line="440" w:lineRule="exact"/>
        <w:ind w:firstLine="420"/>
        <w:rPr>
          <w:rFonts w:hAnsi="宋体"/>
          <w:bCs/>
          <w:szCs w:val="21"/>
        </w:rPr>
      </w:pPr>
      <w:r>
        <w:rPr>
          <w:rFonts w:hint="eastAsia" w:hAnsi="宋体"/>
          <w:bCs/>
          <w:szCs w:val="21"/>
        </w:rPr>
        <w:t>二档（3分）：</w:t>
      </w:r>
      <w:r>
        <w:rPr>
          <w:rFonts w:hAnsi="宋体"/>
          <w:bCs/>
          <w:szCs w:val="21"/>
        </w:rPr>
        <w:t>投保</w:t>
      </w:r>
      <w:r>
        <w:rPr>
          <w:rFonts w:hint="eastAsia" w:hAnsi="宋体"/>
          <w:bCs/>
          <w:szCs w:val="21"/>
        </w:rPr>
        <w:t>前服务</w:t>
      </w:r>
      <w:r>
        <w:rPr>
          <w:rFonts w:hAnsi="宋体"/>
          <w:bCs/>
          <w:szCs w:val="21"/>
        </w:rPr>
        <w:t>方案</w:t>
      </w:r>
      <w:r>
        <w:rPr>
          <w:rFonts w:hint="eastAsia" w:hAnsi="宋体"/>
          <w:bCs/>
          <w:szCs w:val="21"/>
        </w:rPr>
        <w:t>总体评价一般；</w:t>
      </w:r>
    </w:p>
    <w:p>
      <w:pPr>
        <w:pStyle w:val="20"/>
        <w:spacing w:line="440" w:lineRule="exact"/>
        <w:ind w:firstLine="420"/>
        <w:rPr>
          <w:rFonts w:hAnsi="宋体"/>
          <w:bCs/>
          <w:szCs w:val="21"/>
        </w:rPr>
      </w:pPr>
      <w:r>
        <w:rPr>
          <w:rFonts w:hint="eastAsia" w:hAnsi="宋体"/>
          <w:bCs/>
          <w:szCs w:val="21"/>
        </w:rPr>
        <w:t>三档（6分）：</w:t>
      </w:r>
      <w:r>
        <w:rPr>
          <w:rFonts w:hAnsi="宋体"/>
          <w:bCs/>
          <w:szCs w:val="21"/>
        </w:rPr>
        <w:t>投保</w:t>
      </w:r>
      <w:r>
        <w:rPr>
          <w:rFonts w:hint="eastAsia" w:hAnsi="宋体"/>
          <w:bCs/>
          <w:szCs w:val="21"/>
        </w:rPr>
        <w:t>前服务</w:t>
      </w:r>
      <w:r>
        <w:rPr>
          <w:rFonts w:hAnsi="宋体"/>
          <w:bCs/>
          <w:szCs w:val="21"/>
        </w:rPr>
        <w:t>方案</w:t>
      </w:r>
      <w:r>
        <w:rPr>
          <w:rFonts w:hint="eastAsia" w:hAnsi="宋体"/>
          <w:bCs/>
          <w:szCs w:val="21"/>
        </w:rPr>
        <w:t>总体评价良好。</w:t>
      </w:r>
    </w:p>
    <w:p>
      <w:pPr>
        <w:pStyle w:val="20"/>
        <w:spacing w:line="440" w:lineRule="exact"/>
        <w:ind w:firstLine="420"/>
        <w:rPr>
          <w:rFonts w:hAnsi="宋体"/>
          <w:bCs/>
          <w:szCs w:val="21"/>
        </w:rPr>
      </w:pPr>
      <w:r>
        <w:rPr>
          <w:rFonts w:hint="eastAsia" w:hAnsi="宋体"/>
          <w:bCs/>
          <w:szCs w:val="21"/>
        </w:rPr>
        <w:t>四档（9分）：</w:t>
      </w:r>
      <w:r>
        <w:rPr>
          <w:rFonts w:hAnsi="宋体"/>
          <w:bCs/>
          <w:szCs w:val="21"/>
        </w:rPr>
        <w:t>投保</w:t>
      </w:r>
      <w:r>
        <w:rPr>
          <w:rFonts w:hint="eastAsia" w:hAnsi="宋体"/>
          <w:bCs/>
          <w:szCs w:val="21"/>
        </w:rPr>
        <w:t>前服务</w:t>
      </w:r>
      <w:r>
        <w:rPr>
          <w:rFonts w:hAnsi="宋体"/>
          <w:bCs/>
          <w:szCs w:val="21"/>
        </w:rPr>
        <w:t>方案</w:t>
      </w:r>
      <w:r>
        <w:rPr>
          <w:rFonts w:hint="eastAsia" w:hAnsi="宋体"/>
          <w:bCs/>
          <w:szCs w:val="21"/>
        </w:rPr>
        <w:t>总体评价优。</w:t>
      </w:r>
    </w:p>
    <w:p>
      <w:pPr>
        <w:pStyle w:val="14"/>
        <w:spacing w:before="91" w:line="440" w:lineRule="exact"/>
        <w:ind w:firstLine="315" w:firstLineChars="150"/>
        <w:rPr>
          <w:rFonts w:ascii="宋体" w:hAnsi="宋体" w:eastAsia="宋体"/>
          <w:b w:val="0"/>
          <w:bCs/>
          <w:spacing w:val="0"/>
          <w:sz w:val="21"/>
          <w:szCs w:val="21"/>
        </w:rPr>
      </w:pPr>
      <w:r>
        <w:rPr>
          <w:rFonts w:hint="eastAsia" w:ascii="宋体" w:hAnsi="宋体" w:eastAsia="宋体"/>
          <w:b w:val="0"/>
          <w:bCs/>
          <w:spacing w:val="0"/>
          <w:sz w:val="21"/>
          <w:szCs w:val="21"/>
        </w:rPr>
        <w:t>（2）</w:t>
      </w:r>
      <w:r>
        <w:rPr>
          <w:rFonts w:ascii="宋体" w:hAnsi="宋体" w:eastAsia="宋体"/>
          <w:b w:val="0"/>
          <w:bCs/>
          <w:spacing w:val="0"/>
          <w:sz w:val="21"/>
          <w:szCs w:val="21"/>
        </w:rPr>
        <w:t xml:space="preserve">项目组织实施（满分 </w:t>
      </w:r>
      <w:r>
        <w:rPr>
          <w:rFonts w:hint="eastAsia" w:ascii="宋体" w:hAnsi="宋体" w:eastAsia="宋体"/>
          <w:b w:val="0"/>
          <w:bCs/>
          <w:spacing w:val="0"/>
          <w:sz w:val="21"/>
          <w:szCs w:val="21"/>
        </w:rPr>
        <w:t>9</w:t>
      </w:r>
      <w:r>
        <w:rPr>
          <w:rFonts w:ascii="宋体" w:hAnsi="宋体" w:eastAsia="宋体"/>
          <w:b w:val="0"/>
          <w:bCs/>
          <w:spacing w:val="0"/>
          <w:sz w:val="21"/>
          <w:szCs w:val="21"/>
        </w:rPr>
        <w:t>分）</w:t>
      </w:r>
    </w:p>
    <w:p>
      <w:pPr>
        <w:pStyle w:val="20"/>
        <w:spacing w:line="440" w:lineRule="exact"/>
        <w:ind w:firstLine="420"/>
        <w:rPr>
          <w:rFonts w:hAnsi="宋体"/>
          <w:bCs/>
          <w:szCs w:val="21"/>
        </w:rPr>
      </w:pPr>
      <w:r>
        <w:rPr>
          <w:rFonts w:hint="eastAsia" w:hAnsi="宋体"/>
          <w:bCs/>
          <w:szCs w:val="21"/>
        </w:rPr>
        <w:t>一档（0分）：无项目实施方案或项目实施方案总体评价</w:t>
      </w:r>
      <w:r>
        <w:rPr>
          <w:rFonts w:hint="eastAsia" w:ascii="Times New Roman" w:hAnsi="Times New Roman"/>
        </w:rPr>
        <w:t>差</w:t>
      </w:r>
      <w:r>
        <w:rPr>
          <w:rFonts w:hint="eastAsia" w:hAnsi="宋体"/>
          <w:bCs/>
          <w:szCs w:val="21"/>
        </w:rPr>
        <w:t>；</w:t>
      </w:r>
    </w:p>
    <w:p>
      <w:pPr>
        <w:pStyle w:val="20"/>
        <w:spacing w:line="440" w:lineRule="exact"/>
        <w:ind w:firstLine="420"/>
        <w:rPr>
          <w:rFonts w:hAnsi="宋体"/>
          <w:bCs/>
          <w:szCs w:val="21"/>
        </w:rPr>
      </w:pPr>
      <w:r>
        <w:rPr>
          <w:rFonts w:hint="eastAsia" w:hAnsi="宋体"/>
          <w:bCs/>
          <w:szCs w:val="21"/>
        </w:rPr>
        <w:t>二档（3分）：项目实施方案总体评价一般；</w:t>
      </w:r>
    </w:p>
    <w:p>
      <w:pPr>
        <w:pStyle w:val="20"/>
        <w:spacing w:line="440" w:lineRule="exact"/>
        <w:ind w:firstLine="420"/>
        <w:rPr>
          <w:rFonts w:hAnsi="宋体"/>
          <w:bCs/>
          <w:szCs w:val="21"/>
        </w:rPr>
      </w:pPr>
      <w:r>
        <w:rPr>
          <w:rFonts w:hint="eastAsia" w:hAnsi="宋体"/>
          <w:bCs/>
          <w:szCs w:val="21"/>
        </w:rPr>
        <w:t>三档（6分）：项目实施方案总体评价良好。</w:t>
      </w:r>
    </w:p>
    <w:p>
      <w:pPr>
        <w:pStyle w:val="14"/>
        <w:spacing w:line="440" w:lineRule="exact"/>
        <w:ind w:firstLine="420" w:firstLineChars="200"/>
        <w:rPr>
          <w:rFonts w:ascii="宋体" w:hAnsi="宋体" w:eastAsia="宋体"/>
          <w:b w:val="0"/>
          <w:bCs/>
          <w:spacing w:val="0"/>
          <w:sz w:val="21"/>
          <w:szCs w:val="21"/>
        </w:rPr>
      </w:pPr>
      <w:r>
        <w:rPr>
          <w:rFonts w:hint="eastAsia" w:ascii="宋体" w:hAnsi="宋体" w:eastAsia="宋体"/>
          <w:b w:val="0"/>
          <w:bCs/>
          <w:spacing w:val="0"/>
          <w:sz w:val="21"/>
          <w:szCs w:val="21"/>
        </w:rPr>
        <w:t>四档（9分）：项目实施方案总体评价优。</w:t>
      </w:r>
    </w:p>
    <w:p>
      <w:pPr>
        <w:pStyle w:val="14"/>
        <w:spacing w:line="440" w:lineRule="exact"/>
        <w:ind w:firstLine="315" w:firstLineChars="150"/>
        <w:rPr>
          <w:rFonts w:ascii="宋体" w:hAnsi="宋体" w:eastAsia="宋体"/>
          <w:b w:val="0"/>
          <w:bCs/>
          <w:spacing w:val="0"/>
          <w:sz w:val="21"/>
          <w:szCs w:val="21"/>
        </w:rPr>
      </w:pPr>
      <w:r>
        <w:rPr>
          <w:rFonts w:hint="eastAsia" w:ascii="宋体" w:hAnsi="宋体" w:eastAsia="宋体"/>
          <w:b w:val="0"/>
          <w:bCs/>
          <w:spacing w:val="0"/>
          <w:sz w:val="21"/>
          <w:szCs w:val="21"/>
        </w:rPr>
        <w:t>（3）</w:t>
      </w:r>
      <w:r>
        <w:rPr>
          <w:rFonts w:ascii="宋体" w:hAnsi="宋体" w:eastAsia="宋体"/>
          <w:b w:val="0"/>
          <w:bCs/>
          <w:spacing w:val="0"/>
          <w:sz w:val="21"/>
          <w:szCs w:val="21"/>
        </w:rPr>
        <w:t xml:space="preserve">出险处理方案（满分 </w:t>
      </w:r>
      <w:r>
        <w:rPr>
          <w:rFonts w:hint="eastAsia" w:ascii="宋体" w:hAnsi="宋体" w:eastAsia="宋体"/>
          <w:b w:val="0"/>
          <w:bCs/>
          <w:spacing w:val="0"/>
          <w:sz w:val="21"/>
          <w:szCs w:val="21"/>
        </w:rPr>
        <w:t>10</w:t>
      </w:r>
      <w:r>
        <w:rPr>
          <w:rFonts w:ascii="宋体" w:hAnsi="宋体" w:eastAsia="宋体"/>
          <w:b w:val="0"/>
          <w:bCs/>
          <w:spacing w:val="0"/>
          <w:sz w:val="21"/>
          <w:szCs w:val="21"/>
        </w:rPr>
        <w:t>分）</w:t>
      </w:r>
    </w:p>
    <w:p>
      <w:pPr>
        <w:pStyle w:val="20"/>
        <w:spacing w:line="440" w:lineRule="exact"/>
        <w:ind w:firstLine="420"/>
        <w:rPr>
          <w:rFonts w:hAnsi="宋体" w:cs="宋体"/>
          <w:bCs/>
          <w:szCs w:val="21"/>
        </w:rPr>
      </w:pPr>
      <w:r>
        <w:rPr>
          <w:rFonts w:hint="eastAsia" w:hAnsi="宋体" w:cs="宋体"/>
          <w:bCs/>
          <w:szCs w:val="21"/>
        </w:rPr>
        <w:t>一档（0分）：无</w:t>
      </w:r>
      <w:r>
        <w:rPr>
          <w:rFonts w:hAnsi="宋体" w:cs="宋体"/>
          <w:bCs/>
          <w:szCs w:val="21"/>
        </w:rPr>
        <w:t>出险处理方案</w:t>
      </w:r>
      <w:r>
        <w:rPr>
          <w:rFonts w:hint="eastAsia" w:hAnsi="宋体" w:cs="宋体"/>
          <w:bCs/>
          <w:szCs w:val="21"/>
        </w:rPr>
        <w:t>或</w:t>
      </w:r>
      <w:r>
        <w:rPr>
          <w:rFonts w:hAnsi="宋体" w:cs="宋体"/>
          <w:bCs/>
          <w:szCs w:val="21"/>
        </w:rPr>
        <w:t>出险处理方案</w:t>
      </w:r>
      <w:r>
        <w:rPr>
          <w:rFonts w:hint="eastAsia" w:hAnsi="宋体"/>
          <w:bCs/>
          <w:szCs w:val="21"/>
        </w:rPr>
        <w:t>总体评价</w:t>
      </w:r>
      <w:r>
        <w:rPr>
          <w:rFonts w:hint="eastAsia" w:ascii="Times New Roman" w:hAnsi="Times New Roman"/>
        </w:rPr>
        <w:t>差</w:t>
      </w:r>
      <w:r>
        <w:rPr>
          <w:rFonts w:hAnsi="宋体" w:cs="宋体"/>
          <w:bCs/>
          <w:szCs w:val="21"/>
        </w:rPr>
        <w:t>；</w:t>
      </w:r>
    </w:p>
    <w:p>
      <w:pPr>
        <w:pStyle w:val="20"/>
        <w:spacing w:line="440" w:lineRule="exact"/>
        <w:ind w:firstLine="420"/>
        <w:rPr>
          <w:rFonts w:hAnsi="宋体" w:cs="宋体"/>
          <w:bCs/>
          <w:szCs w:val="21"/>
        </w:rPr>
      </w:pPr>
      <w:r>
        <w:rPr>
          <w:rFonts w:hint="eastAsia" w:hAnsi="宋体" w:cs="宋体"/>
          <w:bCs/>
          <w:szCs w:val="21"/>
        </w:rPr>
        <w:t>二档（3分）：</w:t>
      </w:r>
      <w:r>
        <w:rPr>
          <w:rFonts w:hAnsi="宋体" w:cs="宋体"/>
          <w:bCs/>
          <w:szCs w:val="21"/>
        </w:rPr>
        <w:t>出险处理方案一般，无优势；</w:t>
      </w:r>
    </w:p>
    <w:p>
      <w:pPr>
        <w:pStyle w:val="20"/>
        <w:spacing w:line="440" w:lineRule="exact"/>
        <w:ind w:firstLine="420"/>
        <w:rPr>
          <w:rFonts w:hAnsi="宋体" w:cs="宋体"/>
          <w:bCs/>
          <w:szCs w:val="21"/>
        </w:rPr>
      </w:pPr>
      <w:r>
        <w:rPr>
          <w:rFonts w:hint="eastAsia" w:hAnsi="宋体" w:cs="宋体"/>
          <w:bCs/>
          <w:szCs w:val="21"/>
        </w:rPr>
        <w:t>三档（7分）：</w:t>
      </w:r>
      <w:r>
        <w:rPr>
          <w:rFonts w:hAnsi="宋体" w:cs="宋体"/>
          <w:bCs/>
          <w:szCs w:val="21"/>
        </w:rPr>
        <w:t>出险处理方案可行，有一定优势；</w:t>
      </w:r>
    </w:p>
    <w:p>
      <w:pPr>
        <w:pStyle w:val="20"/>
        <w:spacing w:line="440" w:lineRule="exact"/>
        <w:ind w:firstLine="420"/>
        <w:rPr>
          <w:rFonts w:hAnsi="宋体" w:cs="宋体"/>
          <w:bCs/>
          <w:szCs w:val="21"/>
        </w:rPr>
      </w:pPr>
      <w:r>
        <w:rPr>
          <w:rFonts w:hint="eastAsia" w:hAnsi="宋体" w:cs="宋体"/>
          <w:bCs/>
          <w:szCs w:val="21"/>
        </w:rPr>
        <w:t>四档（10分）：</w:t>
      </w:r>
      <w:r>
        <w:rPr>
          <w:rFonts w:hAnsi="宋体" w:cs="宋体"/>
          <w:bCs/>
          <w:szCs w:val="21"/>
        </w:rPr>
        <w:t>出险处理方案快捷，责任落实到岗位，优势突出。</w:t>
      </w:r>
    </w:p>
    <w:p>
      <w:pPr>
        <w:pStyle w:val="14"/>
        <w:spacing w:line="440" w:lineRule="exact"/>
        <w:ind w:firstLine="315" w:firstLineChars="150"/>
        <w:rPr>
          <w:rFonts w:ascii="宋体" w:hAnsi="宋体" w:eastAsia="宋体"/>
          <w:b w:val="0"/>
          <w:bCs/>
          <w:spacing w:val="0"/>
          <w:sz w:val="21"/>
          <w:szCs w:val="21"/>
        </w:rPr>
      </w:pPr>
      <w:r>
        <w:rPr>
          <w:rFonts w:hint="eastAsia" w:ascii="宋体" w:hAnsi="宋体" w:eastAsia="宋体"/>
          <w:b w:val="0"/>
          <w:bCs/>
          <w:spacing w:val="0"/>
          <w:sz w:val="21"/>
          <w:szCs w:val="21"/>
        </w:rPr>
        <w:t>（4）</w:t>
      </w:r>
      <w:r>
        <w:rPr>
          <w:rFonts w:ascii="宋体" w:hAnsi="宋体" w:eastAsia="宋体"/>
          <w:b w:val="0"/>
          <w:bCs/>
          <w:spacing w:val="0"/>
          <w:sz w:val="21"/>
          <w:szCs w:val="21"/>
        </w:rPr>
        <w:t xml:space="preserve">定损理赔服务措施（满分 </w:t>
      </w:r>
      <w:r>
        <w:rPr>
          <w:rFonts w:hint="eastAsia" w:ascii="宋体" w:hAnsi="宋体" w:eastAsia="宋体"/>
          <w:b w:val="0"/>
          <w:bCs/>
          <w:spacing w:val="0"/>
          <w:sz w:val="21"/>
          <w:szCs w:val="21"/>
        </w:rPr>
        <w:t>10</w:t>
      </w:r>
      <w:r>
        <w:rPr>
          <w:rFonts w:ascii="宋体" w:hAnsi="宋体" w:eastAsia="宋体"/>
          <w:b w:val="0"/>
          <w:bCs/>
          <w:spacing w:val="0"/>
          <w:sz w:val="21"/>
          <w:szCs w:val="21"/>
        </w:rPr>
        <w:t>分）</w:t>
      </w:r>
    </w:p>
    <w:p>
      <w:pPr>
        <w:pStyle w:val="20"/>
        <w:spacing w:line="440" w:lineRule="exact"/>
        <w:ind w:firstLine="525" w:firstLineChars="250"/>
        <w:outlineLvl w:val="0"/>
        <w:rPr>
          <w:rFonts w:ascii="Times New Roman" w:hAnsi="Times New Roman"/>
        </w:rPr>
      </w:pPr>
      <w:bookmarkStart w:id="56" w:name="_Toc42013026"/>
      <w:bookmarkStart w:id="57" w:name="_Toc200268387"/>
      <w:bookmarkStart w:id="58" w:name="_Toc200268299"/>
      <w:bookmarkStart w:id="59" w:name="_Toc230949409"/>
      <w:bookmarkStart w:id="60" w:name="_Toc200308986"/>
      <w:bookmarkStart w:id="61" w:name="_Toc230929170"/>
      <w:bookmarkStart w:id="62" w:name="_Toc200268385"/>
      <w:bookmarkStart w:id="63" w:name="_Toc230949406"/>
      <w:bookmarkStart w:id="64" w:name="_Toc200308984"/>
      <w:bookmarkStart w:id="65" w:name="_Toc200268297"/>
      <w:bookmarkStart w:id="66" w:name="_Toc230929167"/>
      <w:r>
        <w:rPr>
          <w:rFonts w:ascii="Times New Roman" w:hAnsi="Times New Roman"/>
        </w:rPr>
        <w:t>一档（</w:t>
      </w:r>
      <w:r>
        <w:rPr>
          <w:rFonts w:hint="eastAsia" w:ascii="Times New Roman" w:hAnsi="Times New Roman"/>
        </w:rPr>
        <w:t>0</w:t>
      </w:r>
      <w:r>
        <w:rPr>
          <w:rFonts w:ascii="Times New Roman" w:hAnsi="Times New Roman"/>
        </w:rPr>
        <w:t>分）：</w:t>
      </w:r>
      <w:r>
        <w:rPr>
          <w:rFonts w:hint="eastAsia" w:ascii="Times New Roman" w:hAnsi="Times New Roman"/>
        </w:rPr>
        <w:t>无</w:t>
      </w:r>
      <w:r>
        <w:rPr>
          <w:rFonts w:ascii="Times New Roman" w:hAnsi="Times New Roman"/>
        </w:rPr>
        <w:t>定损理赔服务措施；</w:t>
      </w:r>
      <w:bookmarkEnd w:id="56"/>
    </w:p>
    <w:p>
      <w:pPr>
        <w:pStyle w:val="20"/>
        <w:spacing w:line="440" w:lineRule="exact"/>
        <w:ind w:firstLine="525" w:firstLineChars="250"/>
        <w:outlineLvl w:val="0"/>
        <w:rPr>
          <w:rFonts w:ascii="Times New Roman" w:hAnsi="Times New Roman"/>
        </w:rPr>
      </w:pPr>
      <w:bookmarkStart w:id="67" w:name="_Toc42013027"/>
      <w:r>
        <w:rPr>
          <w:rFonts w:hint="eastAsia" w:ascii="Times New Roman" w:hAnsi="Times New Roman"/>
        </w:rPr>
        <w:t>二</w:t>
      </w:r>
      <w:r>
        <w:rPr>
          <w:rFonts w:ascii="Times New Roman" w:hAnsi="Times New Roman"/>
        </w:rPr>
        <w:t>档（</w:t>
      </w:r>
      <w:r>
        <w:rPr>
          <w:rFonts w:hint="eastAsia" w:ascii="Times New Roman" w:hAnsi="Times New Roman"/>
        </w:rPr>
        <w:t>3</w:t>
      </w:r>
      <w:r>
        <w:rPr>
          <w:rFonts w:ascii="Times New Roman" w:hAnsi="Times New Roman"/>
        </w:rPr>
        <w:t>分）：</w:t>
      </w:r>
      <w:bookmarkEnd w:id="57"/>
      <w:bookmarkEnd w:id="58"/>
      <w:bookmarkEnd w:id="59"/>
      <w:bookmarkEnd w:id="60"/>
      <w:bookmarkEnd w:id="61"/>
      <w:r>
        <w:rPr>
          <w:rFonts w:ascii="Times New Roman" w:hAnsi="Times New Roman"/>
        </w:rPr>
        <w:t>定损理赔服务措施</w:t>
      </w:r>
      <w:r>
        <w:rPr>
          <w:rFonts w:hint="eastAsia" w:ascii="Times New Roman" w:hAnsi="Times New Roman"/>
        </w:rPr>
        <w:t>、</w:t>
      </w:r>
      <w:r>
        <w:rPr>
          <w:rFonts w:ascii="Times New Roman" w:hAnsi="Times New Roman"/>
        </w:rPr>
        <w:t>定损时限、结案赔付时限</w:t>
      </w:r>
      <w:r>
        <w:rPr>
          <w:rFonts w:hint="eastAsia" w:ascii="Times New Roman" w:hAnsi="Times New Roman"/>
        </w:rPr>
        <w:t>综合评价一般</w:t>
      </w:r>
      <w:r>
        <w:rPr>
          <w:rFonts w:ascii="Times New Roman" w:hAnsi="Times New Roman"/>
        </w:rPr>
        <w:t>；</w:t>
      </w:r>
      <w:bookmarkEnd w:id="67"/>
      <w:r>
        <w:rPr>
          <w:rFonts w:ascii="Times New Roman" w:hAnsi="Times New Roman"/>
        </w:rPr>
        <w:t xml:space="preserve"> </w:t>
      </w:r>
    </w:p>
    <w:p>
      <w:pPr>
        <w:pStyle w:val="20"/>
        <w:spacing w:line="440" w:lineRule="exact"/>
        <w:ind w:firstLine="525" w:firstLineChars="250"/>
        <w:outlineLvl w:val="0"/>
        <w:rPr>
          <w:rFonts w:ascii="Times New Roman" w:hAnsi="Times New Roman"/>
        </w:rPr>
      </w:pPr>
      <w:bookmarkStart w:id="68" w:name="_Toc42013028"/>
      <w:bookmarkStart w:id="69" w:name="_Toc230949408"/>
      <w:bookmarkStart w:id="70" w:name="_Toc230929169"/>
      <w:r>
        <w:rPr>
          <w:rFonts w:hint="eastAsia" w:ascii="Times New Roman" w:hAnsi="Times New Roman"/>
        </w:rPr>
        <w:t>三</w:t>
      </w:r>
      <w:r>
        <w:rPr>
          <w:rFonts w:ascii="Times New Roman" w:hAnsi="Times New Roman"/>
        </w:rPr>
        <w:t>档（</w:t>
      </w:r>
      <w:r>
        <w:rPr>
          <w:rFonts w:hint="eastAsia" w:ascii="Times New Roman" w:hAnsi="Times New Roman"/>
        </w:rPr>
        <w:t>7分</w:t>
      </w:r>
      <w:r>
        <w:rPr>
          <w:rFonts w:ascii="Times New Roman" w:hAnsi="Times New Roman"/>
        </w:rPr>
        <w:t>）：定损理赔服务措施</w:t>
      </w:r>
      <w:r>
        <w:rPr>
          <w:rFonts w:hint="eastAsia" w:ascii="Times New Roman" w:hAnsi="Times New Roman"/>
        </w:rPr>
        <w:t>、</w:t>
      </w:r>
      <w:r>
        <w:rPr>
          <w:rFonts w:ascii="Times New Roman" w:hAnsi="Times New Roman"/>
        </w:rPr>
        <w:t>定损时限、结案赔付时限</w:t>
      </w:r>
      <w:r>
        <w:rPr>
          <w:rFonts w:hint="eastAsia" w:ascii="Times New Roman" w:hAnsi="Times New Roman"/>
        </w:rPr>
        <w:t>综合评价良好</w:t>
      </w:r>
      <w:r>
        <w:rPr>
          <w:rFonts w:ascii="Times New Roman" w:hAnsi="Times New Roman"/>
        </w:rPr>
        <w:t>；</w:t>
      </w:r>
      <w:bookmarkEnd w:id="68"/>
      <w:bookmarkEnd w:id="69"/>
      <w:bookmarkEnd w:id="70"/>
    </w:p>
    <w:p>
      <w:pPr>
        <w:pStyle w:val="20"/>
        <w:spacing w:line="440" w:lineRule="exact"/>
        <w:ind w:firstLine="525" w:firstLineChars="250"/>
        <w:outlineLvl w:val="0"/>
        <w:rPr>
          <w:rFonts w:ascii="Times New Roman" w:hAnsi="Times New Roman"/>
          <w:spacing w:val="-4"/>
          <w:szCs w:val="21"/>
        </w:rPr>
      </w:pPr>
      <w:bookmarkStart w:id="71" w:name="_Toc200268298"/>
      <w:bookmarkStart w:id="72" w:name="_Toc200268386"/>
      <w:bookmarkStart w:id="73" w:name="_Toc200308985"/>
      <w:bookmarkStart w:id="74" w:name="_Toc230949407"/>
      <w:bookmarkStart w:id="75" w:name="_Toc230929168"/>
      <w:bookmarkStart w:id="76" w:name="_Toc42013029"/>
      <w:r>
        <w:rPr>
          <w:rFonts w:hint="eastAsia" w:ascii="Times New Roman" w:hAnsi="Times New Roman"/>
        </w:rPr>
        <w:t>四</w:t>
      </w:r>
      <w:r>
        <w:rPr>
          <w:rFonts w:ascii="Times New Roman" w:hAnsi="Times New Roman"/>
        </w:rPr>
        <w:t>档（</w:t>
      </w:r>
      <w:r>
        <w:rPr>
          <w:rFonts w:hint="eastAsia" w:ascii="Times New Roman" w:hAnsi="Times New Roman"/>
        </w:rPr>
        <w:t>10分</w:t>
      </w:r>
      <w:r>
        <w:rPr>
          <w:rFonts w:ascii="Times New Roman" w:hAnsi="Times New Roman"/>
        </w:rPr>
        <w:t>）：</w:t>
      </w:r>
      <w:bookmarkEnd w:id="71"/>
      <w:bookmarkEnd w:id="72"/>
      <w:bookmarkEnd w:id="73"/>
      <w:bookmarkEnd w:id="74"/>
      <w:bookmarkEnd w:id="75"/>
      <w:r>
        <w:rPr>
          <w:rFonts w:ascii="Times New Roman" w:hAnsi="Times New Roman"/>
        </w:rPr>
        <w:t>定损理赔服务措施</w:t>
      </w:r>
      <w:r>
        <w:rPr>
          <w:rFonts w:hint="eastAsia" w:ascii="Times New Roman" w:hAnsi="Times New Roman"/>
        </w:rPr>
        <w:t>、</w:t>
      </w:r>
      <w:r>
        <w:rPr>
          <w:rFonts w:ascii="Times New Roman" w:hAnsi="Times New Roman"/>
        </w:rPr>
        <w:t>定损时限、结案赔付时限</w:t>
      </w:r>
      <w:r>
        <w:rPr>
          <w:rFonts w:hint="eastAsia" w:ascii="Times New Roman" w:hAnsi="Times New Roman"/>
        </w:rPr>
        <w:t>综合评价优</w:t>
      </w:r>
      <w:r>
        <w:rPr>
          <w:rFonts w:ascii="Times New Roman" w:hAnsi="Times New Roman"/>
        </w:rPr>
        <w:t>；</w:t>
      </w:r>
      <w:bookmarkEnd w:id="76"/>
    </w:p>
    <w:bookmarkEnd w:id="62"/>
    <w:bookmarkEnd w:id="63"/>
    <w:bookmarkEnd w:id="64"/>
    <w:bookmarkEnd w:id="65"/>
    <w:bookmarkEnd w:id="66"/>
    <w:p>
      <w:pPr>
        <w:pStyle w:val="20"/>
        <w:spacing w:line="440" w:lineRule="exact"/>
        <w:ind w:left="44" w:leftChars="21" w:firstLine="420" w:firstLineChars="200"/>
        <w:rPr>
          <w:rFonts w:ascii="Times New Roman" w:hAnsi="Times New Roman"/>
        </w:rPr>
      </w:pPr>
      <w:r>
        <w:rPr>
          <w:rFonts w:hint="eastAsia" w:ascii="Times New Roman" w:hAnsi="Times New Roman"/>
        </w:rPr>
        <w:t>（5）</w:t>
      </w:r>
      <w:r>
        <w:rPr>
          <w:rFonts w:ascii="Times New Roman" w:hAnsi="Times New Roman"/>
        </w:rPr>
        <w:t xml:space="preserve">理赔权限（满分 </w:t>
      </w:r>
      <w:r>
        <w:rPr>
          <w:rFonts w:hint="eastAsia" w:ascii="Times New Roman" w:hAnsi="Times New Roman"/>
        </w:rPr>
        <w:t>10</w:t>
      </w:r>
      <w:r>
        <w:rPr>
          <w:rFonts w:ascii="Times New Roman" w:hAnsi="Times New Roman"/>
        </w:rPr>
        <w:t>分）</w:t>
      </w:r>
    </w:p>
    <w:p>
      <w:pPr>
        <w:pStyle w:val="20"/>
        <w:spacing w:line="440" w:lineRule="exact"/>
        <w:ind w:left="44" w:leftChars="21" w:firstLine="525" w:firstLineChars="250"/>
        <w:rPr>
          <w:rFonts w:ascii="Times New Roman" w:hAnsi="Times New Roman"/>
        </w:rPr>
      </w:pPr>
      <w:r>
        <w:rPr>
          <w:rFonts w:ascii="Times New Roman" w:hAnsi="Times New Roman"/>
        </w:rPr>
        <w:t>一档（</w:t>
      </w:r>
      <w:r>
        <w:rPr>
          <w:rFonts w:hint="eastAsia" w:ascii="Times New Roman" w:hAnsi="Times New Roman"/>
        </w:rPr>
        <w:t>0分</w:t>
      </w:r>
      <w:r>
        <w:rPr>
          <w:rFonts w:ascii="Times New Roman" w:hAnsi="Times New Roman"/>
        </w:rPr>
        <w:t>）：</w:t>
      </w:r>
      <w:r>
        <w:rPr>
          <w:rFonts w:hint="eastAsia" w:ascii="Times New Roman" w:hAnsi="Times New Roman"/>
        </w:rPr>
        <w:t>无</w:t>
      </w:r>
      <w:r>
        <w:rPr>
          <w:rFonts w:ascii="Times New Roman" w:hAnsi="Times New Roman"/>
        </w:rPr>
        <w:t>理赔权限；</w:t>
      </w:r>
    </w:p>
    <w:p>
      <w:pPr>
        <w:pStyle w:val="20"/>
        <w:spacing w:line="440" w:lineRule="exact"/>
        <w:ind w:left="44" w:leftChars="21" w:firstLine="525" w:firstLineChars="250"/>
        <w:rPr>
          <w:rFonts w:ascii="Times New Roman" w:hAnsi="Times New Roman"/>
        </w:rPr>
      </w:pPr>
      <w:r>
        <w:rPr>
          <w:rFonts w:hint="eastAsia" w:ascii="Times New Roman" w:hAnsi="Times New Roman"/>
        </w:rPr>
        <w:t>二</w:t>
      </w:r>
      <w:r>
        <w:rPr>
          <w:rFonts w:ascii="Times New Roman" w:hAnsi="Times New Roman"/>
        </w:rPr>
        <w:t>档（</w:t>
      </w:r>
      <w:r>
        <w:rPr>
          <w:rFonts w:hint="eastAsia" w:ascii="Times New Roman" w:hAnsi="Times New Roman"/>
        </w:rPr>
        <w:t>3分</w:t>
      </w:r>
      <w:r>
        <w:rPr>
          <w:rFonts w:ascii="Times New Roman" w:hAnsi="Times New Roman"/>
        </w:rPr>
        <w:t>）：理赔权限</w:t>
      </w:r>
      <w:r>
        <w:rPr>
          <w:rFonts w:hint="eastAsia" w:ascii="Times New Roman" w:hAnsi="Times New Roman"/>
        </w:rPr>
        <w:t>总体评价</w:t>
      </w:r>
      <w:r>
        <w:rPr>
          <w:rFonts w:ascii="Times New Roman" w:hAnsi="Times New Roman"/>
        </w:rPr>
        <w:t>一般；</w:t>
      </w:r>
    </w:p>
    <w:p>
      <w:pPr>
        <w:pStyle w:val="20"/>
        <w:spacing w:line="440" w:lineRule="exact"/>
        <w:ind w:left="44" w:leftChars="21" w:firstLine="420" w:firstLineChars="200"/>
        <w:rPr>
          <w:rFonts w:ascii="Times New Roman" w:hAnsi="Times New Roman"/>
        </w:rPr>
      </w:pPr>
      <w:r>
        <w:rPr>
          <w:rFonts w:hint="eastAsia" w:ascii="Times New Roman" w:hAnsi="Times New Roman"/>
        </w:rPr>
        <w:t xml:space="preserve"> 三</w:t>
      </w:r>
      <w:r>
        <w:rPr>
          <w:rFonts w:ascii="Times New Roman" w:hAnsi="Times New Roman"/>
        </w:rPr>
        <w:t>档（</w:t>
      </w:r>
      <w:r>
        <w:rPr>
          <w:rFonts w:hint="eastAsia" w:ascii="Times New Roman" w:hAnsi="Times New Roman"/>
        </w:rPr>
        <w:t>7</w:t>
      </w:r>
      <w:r>
        <w:rPr>
          <w:rFonts w:ascii="Times New Roman" w:hAnsi="Times New Roman"/>
        </w:rPr>
        <w:t>分）：理赔权限</w:t>
      </w:r>
      <w:r>
        <w:rPr>
          <w:rFonts w:hint="eastAsia" w:ascii="Times New Roman" w:hAnsi="Times New Roman"/>
        </w:rPr>
        <w:t>总体评价</w:t>
      </w:r>
      <w:r>
        <w:rPr>
          <w:rFonts w:ascii="Times New Roman" w:hAnsi="Times New Roman"/>
        </w:rPr>
        <w:t>较好；</w:t>
      </w:r>
    </w:p>
    <w:p>
      <w:pPr>
        <w:pStyle w:val="20"/>
        <w:spacing w:line="440" w:lineRule="exact"/>
        <w:ind w:left="44" w:leftChars="21" w:firstLine="420" w:firstLineChars="200"/>
        <w:rPr>
          <w:rFonts w:ascii="Times New Roman" w:hAnsi="Times New Roman"/>
        </w:rPr>
      </w:pPr>
      <w:r>
        <w:rPr>
          <w:rFonts w:hint="eastAsia" w:ascii="Times New Roman" w:hAnsi="Times New Roman"/>
        </w:rPr>
        <w:t xml:space="preserve"> 四</w:t>
      </w:r>
      <w:r>
        <w:rPr>
          <w:rFonts w:ascii="Times New Roman" w:hAnsi="Times New Roman"/>
        </w:rPr>
        <w:t>档（</w:t>
      </w:r>
      <w:r>
        <w:rPr>
          <w:rFonts w:hint="eastAsia" w:ascii="Times New Roman" w:hAnsi="Times New Roman"/>
        </w:rPr>
        <w:t>10</w:t>
      </w:r>
      <w:r>
        <w:rPr>
          <w:rFonts w:ascii="Times New Roman" w:hAnsi="Times New Roman"/>
        </w:rPr>
        <w:t>分）：理赔权限</w:t>
      </w:r>
      <w:r>
        <w:rPr>
          <w:rFonts w:hint="eastAsia" w:ascii="Times New Roman" w:hAnsi="Times New Roman"/>
        </w:rPr>
        <w:t>总体评价优</w:t>
      </w:r>
      <w:r>
        <w:rPr>
          <w:rFonts w:ascii="Times New Roman" w:hAnsi="Times New Roman"/>
        </w:rPr>
        <w:t>。</w:t>
      </w:r>
    </w:p>
    <w:p>
      <w:pPr>
        <w:pStyle w:val="20"/>
        <w:spacing w:line="440" w:lineRule="exact"/>
        <w:ind w:left="44" w:leftChars="21" w:firstLine="420" w:firstLineChars="200"/>
        <w:rPr>
          <w:rFonts w:hAnsi="宋体" w:cs="宋体"/>
          <w:bCs/>
          <w:szCs w:val="21"/>
        </w:rPr>
      </w:pPr>
      <w:r>
        <w:rPr>
          <w:rFonts w:hint="eastAsia" w:hAnsi="宋体" w:cs="宋体"/>
          <w:bCs/>
          <w:szCs w:val="21"/>
        </w:rPr>
        <w:t>（6）</w:t>
      </w:r>
      <w:r>
        <w:rPr>
          <w:rFonts w:hAnsi="宋体" w:cs="宋体"/>
          <w:bCs/>
          <w:szCs w:val="21"/>
        </w:rPr>
        <w:t>理赔争议解决方案（</w:t>
      </w:r>
      <w:r>
        <w:rPr>
          <w:rFonts w:hint="eastAsia" w:hAnsi="宋体" w:cs="宋体"/>
          <w:bCs/>
          <w:szCs w:val="21"/>
        </w:rPr>
        <w:t>9</w:t>
      </w:r>
      <w:r>
        <w:rPr>
          <w:rFonts w:hAnsi="宋体" w:cs="宋体"/>
          <w:bCs/>
          <w:szCs w:val="21"/>
        </w:rPr>
        <w:t>分）</w:t>
      </w:r>
    </w:p>
    <w:p>
      <w:pPr>
        <w:pStyle w:val="20"/>
        <w:spacing w:line="440" w:lineRule="exact"/>
        <w:ind w:left="44" w:leftChars="21" w:firstLine="420" w:firstLineChars="200"/>
        <w:rPr>
          <w:rFonts w:hAnsi="宋体" w:cs="宋体"/>
          <w:bCs/>
          <w:szCs w:val="21"/>
        </w:rPr>
      </w:pPr>
      <w:r>
        <w:rPr>
          <w:rFonts w:hAnsi="宋体" w:cs="宋体"/>
          <w:bCs/>
          <w:szCs w:val="21"/>
        </w:rPr>
        <w:t>一档（</w:t>
      </w:r>
      <w:r>
        <w:rPr>
          <w:rFonts w:hint="eastAsia" w:hAnsi="宋体" w:cs="宋体"/>
          <w:bCs/>
          <w:szCs w:val="21"/>
        </w:rPr>
        <w:t>0分</w:t>
      </w:r>
      <w:r>
        <w:rPr>
          <w:rFonts w:hAnsi="宋体" w:cs="宋体"/>
          <w:bCs/>
          <w:szCs w:val="21"/>
        </w:rPr>
        <w:t>）：</w:t>
      </w:r>
      <w:r>
        <w:rPr>
          <w:rFonts w:hint="eastAsia" w:hAnsi="宋体" w:cs="宋体"/>
          <w:bCs/>
          <w:szCs w:val="21"/>
        </w:rPr>
        <w:t>无</w:t>
      </w:r>
      <w:r>
        <w:rPr>
          <w:rFonts w:hAnsi="宋体" w:cs="宋体"/>
          <w:bCs/>
          <w:szCs w:val="21"/>
        </w:rPr>
        <w:t>理赔争议解决方案</w:t>
      </w:r>
      <w:r>
        <w:rPr>
          <w:rFonts w:hint="eastAsia" w:hAnsi="宋体" w:cs="宋体"/>
          <w:bCs/>
          <w:szCs w:val="21"/>
        </w:rPr>
        <w:t>或</w:t>
      </w:r>
      <w:r>
        <w:rPr>
          <w:rFonts w:hAnsi="宋体" w:cs="宋体"/>
          <w:bCs/>
          <w:szCs w:val="21"/>
        </w:rPr>
        <w:t>理赔争议解决方案</w:t>
      </w:r>
      <w:r>
        <w:rPr>
          <w:rFonts w:hint="eastAsia" w:hAnsi="宋体" w:cs="宋体"/>
          <w:bCs/>
          <w:szCs w:val="21"/>
        </w:rPr>
        <w:t>总体评价差</w:t>
      </w:r>
      <w:r>
        <w:rPr>
          <w:rFonts w:hAnsi="宋体" w:cs="宋体"/>
          <w:bCs/>
          <w:szCs w:val="21"/>
        </w:rPr>
        <w:t>；</w:t>
      </w:r>
    </w:p>
    <w:p>
      <w:pPr>
        <w:pStyle w:val="20"/>
        <w:spacing w:line="440" w:lineRule="exact"/>
        <w:ind w:left="44" w:leftChars="21" w:firstLine="420" w:firstLineChars="200"/>
        <w:rPr>
          <w:rFonts w:hAnsi="宋体" w:cs="宋体"/>
          <w:bCs/>
          <w:szCs w:val="21"/>
        </w:rPr>
      </w:pPr>
      <w:r>
        <w:rPr>
          <w:rFonts w:hint="eastAsia" w:hAnsi="宋体" w:cs="宋体"/>
          <w:bCs/>
          <w:szCs w:val="21"/>
        </w:rPr>
        <w:t>二</w:t>
      </w:r>
      <w:r>
        <w:rPr>
          <w:rFonts w:hAnsi="宋体" w:cs="宋体"/>
          <w:bCs/>
          <w:szCs w:val="21"/>
        </w:rPr>
        <w:t>档（</w:t>
      </w:r>
      <w:r>
        <w:rPr>
          <w:rFonts w:hint="eastAsia" w:hAnsi="宋体" w:cs="宋体"/>
          <w:bCs/>
          <w:szCs w:val="21"/>
        </w:rPr>
        <w:t>3分</w:t>
      </w:r>
      <w:r>
        <w:rPr>
          <w:rFonts w:hAnsi="宋体" w:cs="宋体"/>
          <w:bCs/>
          <w:szCs w:val="21"/>
        </w:rPr>
        <w:t>）：理赔争议解决方案</w:t>
      </w:r>
      <w:r>
        <w:rPr>
          <w:rFonts w:hint="eastAsia" w:hAnsi="宋体" w:cs="宋体"/>
          <w:bCs/>
          <w:szCs w:val="21"/>
        </w:rPr>
        <w:t>总体评价</w:t>
      </w:r>
      <w:r>
        <w:rPr>
          <w:rFonts w:hAnsi="宋体" w:cs="宋体"/>
          <w:bCs/>
          <w:szCs w:val="21"/>
        </w:rPr>
        <w:t>一般；</w:t>
      </w:r>
    </w:p>
    <w:p>
      <w:pPr>
        <w:pStyle w:val="20"/>
        <w:spacing w:line="440" w:lineRule="exact"/>
        <w:ind w:left="44" w:leftChars="21" w:firstLine="420" w:firstLineChars="200"/>
        <w:rPr>
          <w:rFonts w:hAnsi="宋体" w:cs="宋体"/>
          <w:bCs/>
          <w:szCs w:val="21"/>
        </w:rPr>
      </w:pPr>
      <w:r>
        <w:rPr>
          <w:rFonts w:hint="eastAsia" w:hAnsi="宋体" w:cs="宋体"/>
          <w:bCs/>
          <w:szCs w:val="21"/>
        </w:rPr>
        <w:t>三</w:t>
      </w:r>
      <w:r>
        <w:rPr>
          <w:rFonts w:hAnsi="宋体" w:cs="宋体"/>
          <w:bCs/>
          <w:szCs w:val="21"/>
        </w:rPr>
        <w:t>档（</w:t>
      </w:r>
      <w:r>
        <w:rPr>
          <w:rFonts w:hint="eastAsia" w:hAnsi="宋体" w:cs="宋体"/>
          <w:bCs/>
          <w:szCs w:val="21"/>
        </w:rPr>
        <w:t>6</w:t>
      </w:r>
      <w:r>
        <w:rPr>
          <w:rFonts w:hAnsi="宋体" w:cs="宋体"/>
          <w:bCs/>
          <w:szCs w:val="21"/>
        </w:rPr>
        <w:t>分）：理赔争议解决方案</w:t>
      </w:r>
      <w:r>
        <w:rPr>
          <w:rFonts w:hint="eastAsia" w:hAnsi="宋体" w:cs="宋体"/>
          <w:bCs/>
          <w:szCs w:val="21"/>
        </w:rPr>
        <w:t>总体评价</w:t>
      </w:r>
      <w:r>
        <w:rPr>
          <w:rFonts w:hAnsi="宋体" w:cs="宋体"/>
          <w:bCs/>
          <w:szCs w:val="21"/>
        </w:rPr>
        <w:t>较好；</w:t>
      </w:r>
    </w:p>
    <w:p>
      <w:pPr>
        <w:pStyle w:val="20"/>
        <w:spacing w:line="440" w:lineRule="exact"/>
        <w:ind w:left="44" w:leftChars="21" w:firstLine="420" w:firstLineChars="200"/>
        <w:rPr>
          <w:rFonts w:hAnsi="宋体" w:cs="宋体"/>
          <w:bCs/>
          <w:szCs w:val="21"/>
        </w:rPr>
      </w:pPr>
      <w:r>
        <w:rPr>
          <w:rFonts w:hint="eastAsia" w:hAnsi="宋体" w:cs="宋体"/>
          <w:bCs/>
          <w:szCs w:val="21"/>
        </w:rPr>
        <w:t>四</w:t>
      </w:r>
      <w:r>
        <w:rPr>
          <w:rFonts w:hAnsi="宋体" w:cs="宋体"/>
          <w:bCs/>
          <w:szCs w:val="21"/>
        </w:rPr>
        <w:t>档（</w:t>
      </w:r>
      <w:r>
        <w:rPr>
          <w:rFonts w:hint="eastAsia" w:hAnsi="宋体" w:cs="宋体"/>
          <w:bCs/>
          <w:szCs w:val="21"/>
        </w:rPr>
        <w:t>9</w:t>
      </w:r>
      <w:r>
        <w:rPr>
          <w:rFonts w:hAnsi="宋体" w:cs="宋体"/>
          <w:bCs/>
          <w:szCs w:val="21"/>
        </w:rPr>
        <w:t>分）：理赔争议解决方案</w:t>
      </w:r>
      <w:r>
        <w:rPr>
          <w:rFonts w:hint="eastAsia" w:hAnsi="宋体" w:cs="宋体"/>
          <w:bCs/>
          <w:szCs w:val="21"/>
        </w:rPr>
        <w:t>总体评价优</w:t>
      </w:r>
      <w:r>
        <w:rPr>
          <w:rFonts w:hAnsi="宋体" w:cs="宋体"/>
          <w:bCs/>
          <w:szCs w:val="21"/>
        </w:rPr>
        <w:t>。</w:t>
      </w:r>
    </w:p>
    <w:p>
      <w:pPr>
        <w:pStyle w:val="20"/>
        <w:spacing w:line="440" w:lineRule="exact"/>
        <w:ind w:left="44" w:leftChars="21" w:firstLine="420" w:firstLineChars="200"/>
        <w:rPr>
          <w:rFonts w:hAnsi="宋体" w:cs="宋体"/>
          <w:bCs/>
          <w:szCs w:val="21"/>
        </w:rPr>
      </w:pPr>
      <w:r>
        <w:rPr>
          <w:rFonts w:hint="eastAsia" w:hAnsi="宋体" w:cs="宋体"/>
          <w:bCs/>
          <w:szCs w:val="21"/>
        </w:rPr>
        <w:t>（7）</w:t>
      </w:r>
      <w:r>
        <w:rPr>
          <w:rFonts w:hAnsi="宋体" w:cs="宋体"/>
          <w:bCs/>
          <w:szCs w:val="21"/>
        </w:rPr>
        <w:t>公务用车保险优化服务措施（</w:t>
      </w:r>
      <w:r>
        <w:rPr>
          <w:rFonts w:hint="eastAsia" w:hAnsi="宋体" w:cs="宋体"/>
          <w:bCs/>
          <w:szCs w:val="21"/>
        </w:rPr>
        <w:t>9</w:t>
      </w:r>
      <w:r>
        <w:rPr>
          <w:rFonts w:hAnsi="宋体" w:cs="宋体"/>
          <w:bCs/>
          <w:szCs w:val="21"/>
        </w:rPr>
        <w:t>分）</w:t>
      </w:r>
    </w:p>
    <w:p>
      <w:pPr>
        <w:pStyle w:val="20"/>
        <w:spacing w:line="440" w:lineRule="exact"/>
        <w:ind w:left="44" w:leftChars="21" w:firstLine="420" w:firstLineChars="200"/>
        <w:rPr>
          <w:rFonts w:hAnsi="宋体" w:cs="宋体"/>
          <w:bCs/>
          <w:szCs w:val="21"/>
        </w:rPr>
      </w:pPr>
      <w:r>
        <w:rPr>
          <w:rFonts w:hAnsi="宋体" w:cs="宋体"/>
          <w:bCs/>
          <w:szCs w:val="21"/>
        </w:rPr>
        <w:t>在承诺</w:t>
      </w:r>
      <w:r>
        <w:rPr>
          <w:rFonts w:hint="eastAsia" w:hAnsi="宋体" w:cs="宋体"/>
          <w:bCs/>
          <w:szCs w:val="21"/>
        </w:rPr>
        <w:t>采购</w:t>
      </w:r>
      <w:r>
        <w:rPr>
          <w:rFonts w:hAnsi="宋体" w:cs="宋体"/>
          <w:bCs/>
          <w:szCs w:val="21"/>
        </w:rPr>
        <w:t>文件必须要求服务措施的基础上提出其它优化服务措施（主要就如何预防车辆机件故障和司机驾驶等原因造成出险的措施）：</w:t>
      </w:r>
    </w:p>
    <w:p>
      <w:pPr>
        <w:pStyle w:val="20"/>
        <w:spacing w:line="440" w:lineRule="exact"/>
        <w:ind w:left="44" w:leftChars="21" w:firstLine="420" w:firstLineChars="200"/>
        <w:rPr>
          <w:rFonts w:hAnsi="宋体" w:cs="宋体"/>
          <w:bCs/>
          <w:szCs w:val="21"/>
        </w:rPr>
      </w:pPr>
      <w:r>
        <w:rPr>
          <w:rFonts w:hAnsi="宋体" w:cs="宋体"/>
          <w:bCs/>
          <w:szCs w:val="21"/>
        </w:rPr>
        <w:t>一档（</w:t>
      </w:r>
      <w:r>
        <w:rPr>
          <w:rFonts w:hint="eastAsia" w:hAnsi="宋体" w:cs="宋体"/>
          <w:bCs/>
          <w:szCs w:val="21"/>
        </w:rPr>
        <w:t>0</w:t>
      </w:r>
      <w:r>
        <w:rPr>
          <w:rFonts w:hAnsi="宋体" w:cs="宋体"/>
          <w:bCs/>
          <w:szCs w:val="21"/>
        </w:rPr>
        <w:t>分）：</w:t>
      </w:r>
      <w:r>
        <w:rPr>
          <w:rFonts w:hint="eastAsia" w:hAnsi="宋体" w:cs="宋体"/>
          <w:bCs/>
          <w:szCs w:val="21"/>
        </w:rPr>
        <w:t>无</w:t>
      </w:r>
      <w:r>
        <w:rPr>
          <w:rFonts w:hAnsi="宋体" w:cs="宋体"/>
          <w:bCs/>
          <w:szCs w:val="21"/>
        </w:rPr>
        <w:t>预防出险等优化服务方案；</w:t>
      </w:r>
    </w:p>
    <w:p>
      <w:pPr>
        <w:pStyle w:val="20"/>
        <w:spacing w:line="440" w:lineRule="exact"/>
        <w:ind w:left="44" w:leftChars="21" w:firstLine="420" w:firstLineChars="200"/>
        <w:rPr>
          <w:rFonts w:hAnsi="宋体" w:cs="宋体"/>
          <w:bCs/>
          <w:szCs w:val="21"/>
        </w:rPr>
      </w:pPr>
      <w:r>
        <w:rPr>
          <w:rFonts w:hint="eastAsia" w:hAnsi="宋体" w:cs="宋体"/>
          <w:bCs/>
          <w:szCs w:val="21"/>
        </w:rPr>
        <w:t>二</w:t>
      </w:r>
      <w:r>
        <w:rPr>
          <w:rFonts w:hAnsi="宋体" w:cs="宋体"/>
          <w:bCs/>
          <w:szCs w:val="21"/>
        </w:rPr>
        <w:t>档（</w:t>
      </w:r>
      <w:r>
        <w:rPr>
          <w:rFonts w:hint="eastAsia" w:hAnsi="宋体" w:cs="宋体"/>
          <w:bCs/>
          <w:szCs w:val="21"/>
        </w:rPr>
        <w:t>3</w:t>
      </w:r>
      <w:r>
        <w:rPr>
          <w:rFonts w:hAnsi="宋体" w:cs="宋体"/>
          <w:bCs/>
          <w:szCs w:val="21"/>
        </w:rPr>
        <w:t>分）：预防出险等优化服务方案有效，具体操作措施一般；</w:t>
      </w:r>
    </w:p>
    <w:p>
      <w:pPr>
        <w:pStyle w:val="20"/>
        <w:spacing w:line="440" w:lineRule="exact"/>
        <w:ind w:left="44" w:leftChars="21" w:firstLine="420" w:firstLineChars="200"/>
        <w:rPr>
          <w:rFonts w:hAnsi="宋体" w:cs="宋体"/>
          <w:bCs/>
          <w:szCs w:val="21"/>
        </w:rPr>
      </w:pPr>
      <w:r>
        <w:rPr>
          <w:rFonts w:hint="eastAsia" w:hAnsi="宋体" w:cs="宋体"/>
          <w:bCs/>
          <w:szCs w:val="21"/>
        </w:rPr>
        <w:t>三</w:t>
      </w:r>
      <w:r>
        <w:rPr>
          <w:rFonts w:hAnsi="宋体" w:cs="宋体"/>
          <w:bCs/>
          <w:szCs w:val="21"/>
        </w:rPr>
        <w:t>档（</w:t>
      </w:r>
      <w:r>
        <w:rPr>
          <w:rFonts w:hint="eastAsia" w:hAnsi="宋体" w:cs="宋体"/>
          <w:bCs/>
          <w:szCs w:val="21"/>
        </w:rPr>
        <w:t>6</w:t>
      </w:r>
      <w:r>
        <w:rPr>
          <w:rFonts w:hAnsi="宋体" w:cs="宋体"/>
          <w:bCs/>
          <w:szCs w:val="21"/>
        </w:rPr>
        <w:t>分）：预防出险等优化服务方案清楚，具体操作措施可行；</w:t>
      </w:r>
    </w:p>
    <w:p>
      <w:pPr>
        <w:pStyle w:val="20"/>
        <w:spacing w:line="440" w:lineRule="exact"/>
        <w:ind w:left="44" w:leftChars="21" w:firstLine="420" w:firstLineChars="200"/>
        <w:rPr>
          <w:rFonts w:hAnsi="宋体" w:cs="宋体"/>
          <w:bCs/>
          <w:szCs w:val="21"/>
        </w:rPr>
      </w:pPr>
      <w:r>
        <w:rPr>
          <w:rFonts w:hint="eastAsia" w:hAnsi="宋体" w:cs="宋体"/>
          <w:bCs/>
          <w:szCs w:val="21"/>
        </w:rPr>
        <w:t>四</w:t>
      </w:r>
      <w:r>
        <w:rPr>
          <w:rFonts w:hAnsi="宋体" w:cs="宋体"/>
          <w:bCs/>
          <w:szCs w:val="21"/>
        </w:rPr>
        <w:t>档（</w:t>
      </w:r>
      <w:r>
        <w:rPr>
          <w:rFonts w:hint="eastAsia" w:hAnsi="宋体" w:cs="宋体"/>
          <w:bCs/>
          <w:szCs w:val="21"/>
        </w:rPr>
        <w:t>9</w:t>
      </w:r>
      <w:r>
        <w:rPr>
          <w:rFonts w:hAnsi="宋体" w:cs="宋体"/>
          <w:bCs/>
          <w:szCs w:val="21"/>
        </w:rPr>
        <w:t>分）：预防出险等优化服务方案突出，具体操作措施明显且可操作性强。</w:t>
      </w:r>
    </w:p>
    <w:p>
      <w:pPr>
        <w:pStyle w:val="20"/>
        <w:spacing w:line="440" w:lineRule="exact"/>
        <w:ind w:left="44" w:leftChars="21" w:firstLine="420" w:firstLineChars="200"/>
        <w:rPr>
          <w:rFonts w:hAnsi="宋体" w:cs="宋体"/>
          <w:bCs/>
          <w:szCs w:val="21"/>
        </w:rPr>
      </w:pPr>
      <w:r>
        <w:rPr>
          <w:rFonts w:hint="eastAsia" w:hAnsi="宋体" w:cs="宋体"/>
          <w:bCs/>
          <w:szCs w:val="21"/>
        </w:rPr>
        <w:t>（8）</w:t>
      </w:r>
      <w:r>
        <w:rPr>
          <w:rFonts w:hAnsi="宋体" w:cs="宋体"/>
          <w:bCs/>
          <w:szCs w:val="21"/>
        </w:rPr>
        <w:t>增值服务承诺（</w:t>
      </w:r>
      <w:r>
        <w:rPr>
          <w:rFonts w:hint="eastAsia" w:hAnsi="宋体" w:cs="宋体"/>
          <w:bCs/>
          <w:szCs w:val="21"/>
        </w:rPr>
        <w:t>9</w:t>
      </w:r>
      <w:r>
        <w:rPr>
          <w:rFonts w:hAnsi="宋体" w:cs="宋体"/>
          <w:bCs/>
          <w:szCs w:val="21"/>
        </w:rPr>
        <w:t>分）</w:t>
      </w:r>
    </w:p>
    <w:p>
      <w:pPr>
        <w:pStyle w:val="20"/>
        <w:spacing w:line="440" w:lineRule="exact"/>
        <w:ind w:left="44" w:leftChars="21" w:firstLine="420" w:firstLineChars="200"/>
        <w:rPr>
          <w:rFonts w:hAnsi="宋体" w:cs="宋体"/>
          <w:bCs/>
          <w:szCs w:val="21"/>
        </w:rPr>
      </w:pPr>
      <w:r>
        <w:rPr>
          <w:rFonts w:hAnsi="宋体" w:cs="宋体"/>
          <w:bCs/>
          <w:szCs w:val="21"/>
        </w:rPr>
        <w:t>主要针对车辆维修、维保内容所增加的特色服务，如电脑检测、常规检查、</w:t>
      </w:r>
      <w:r>
        <w:rPr>
          <w:rFonts w:hint="eastAsia" w:hAnsi="宋体" w:cs="宋体"/>
          <w:bCs/>
          <w:szCs w:val="21"/>
        </w:rPr>
        <w:t>安全维护</w:t>
      </w:r>
      <w:r>
        <w:rPr>
          <w:rFonts w:hAnsi="宋体" w:cs="宋体"/>
          <w:bCs/>
          <w:szCs w:val="21"/>
        </w:rPr>
        <w:t>等服务项目所做出的承诺及执行措施：</w:t>
      </w:r>
    </w:p>
    <w:p>
      <w:pPr>
        <w:pStyle w:val="20"/>
        <w:spacing w:line="440" w:lineRule="exact"/>
        <w:ind w:left="44" w:leftChars="21" w:firstLine="420" w:firstLineChars="200"/>
        <w:rPr>
          <w:rFonts w:hAnsi="宋体" w:cs="宋体"/>
          <w:bCs/>
          <w:szCs w:val="21"/>
        </w:rPr>
      </w:pPr>
      <w:r>
        <w:rPr>
          <w:rFonts w:hAnsi="宋体" w:cs="宋体"/>
          <w:bCs/>
          <w:szCs w:val="21"/>
        </w:rPr>
        <w:t>一档（</w:t>
      </w:r>
      <w:r>
        <w:rPr>
          <w:rFonts w:hint="eastAsia" w:hAnsi="宋体" w:cs="宋体"/>
          <w:bCs/>
          <w:szCs w:val="21"/>
        </w:rPr>
        <w:t>0</w:t>
      </w:r>
      <w:r>
        <w:rPr>
          <w:rFonts w:hAnsi="宋体" w:cs="宋体"/>
          <w:bCs/>
          <w:szCs w:val="21"/>
        </w:rPr>
        <w:t>分）：</w:t>
      </w:r>
      <w:r>
        <w:rPr>
          <w:rFonts w:hint="eastAsia" w:hAnsi="宋体" w:cs="宋体"/>
          <w:bCs/>
          <w:szCs w:val="21"/>
        </w:rPr>
        <w:t>无</w:t>
      </w:r>
      <w:r>
        <w:rPr>
          <w:rFonts w:hAnsi="宋体" w:cs="宋体"/>
          <w:bCs/>
          <w:szCs w:val="21"/>
        </w:rPr>
        <w:t>增值服务承诺</w:t>
      </w:r>
      <w:r>
        <w:rPr>
          <w:rFonts w:hint="eastAsia" w:hAnsi="宋体" w:cs="宋体"/>
          <w:bCs/>
          <w:szCs w:val="21"/>
        </w:rPr>
        <w:t>。</w:t>
      </w:r>
    </w:p>
    <w:p>
      <w:pPr>
        <w:pStyle w:val="20"/>
        <w:spacing w:line="440" w:lineRule="exact"/>
        <w:ind w:left="44" w:leftChars="21" w:firstLine="420" w:firstLineChars="200"/>
        <w:rPr>
          <w:rFonts w:hAnsi="宋体" w:cs="宋体"/>
          <w:bCs/>
          <w:szCs w:val="21"/>
        </w:rPr>
      </w:pPr>
      <w:r>
        <w:rPr>
          <w:rFonts w:hint="eastAsia" w:hAnsi="宋体" w:cs="宋体"/>
          <w:bCs/>
          <w:szCs w:val="21"/>
        </w:rPr>
        <w:t>二</w:t>
      </w:r>
      <w:r>
        <w:rPr>
          <w:rFonts w:hAnsi="宋体" w:cs="宋体"/>
          <w:bCs/>
          <w:szCs w:val="21"/>
        </w:rPr>
        <w:t>档（</w:t>
      </w:r>
      <w:r>
        <w:rPr>
          <w:rFonts w:hint="eastAsia" w:hAnsi="宋体" w:cs="宋体"/>
          <w:bCs/>
          <w:szCs w:val="21"/>
        </w:rPr>
        <w:t>3</w:t>
      </w:r>
      <w:r>
        <w:rPr>
          <w:rFonts w:hAnsi="宋体" w:cs="宋体"/>
          <w:bCs/>
          <w:szCs w:val="21"/>
        </w:rPr>
        <w:t>分）：承诺的增值服务一般，实施方案还可行。</w:t>
      </w:r>
    </w:p>
    <w:p>
      <w:pPr>
        <w:pStyle w:val="20"/>
        <w:spacing w:line="440" w:lineRule="exact"/>
        <w:ind w:left="44" w:leftChars="21" w:firstLine="420" w:firstLineChars="200"/>
        <w:rPr>
          <w:rFonts w:hAnsi="宋体" w:cs="宋体"/>
          <w:bCs/>
          <w:szCs w:val="21"/>
        </w:rPr>
      </w:pPr>
      <w:r>
        <w:rPr>
          <w:rFonts w:hint="eastAsia" w:hAnsi="宋体" w:cs="宋体"/>
          <w:bCs/>
          <w:szCs w:val="21"/>
        </w:rPr>
        <w:t>三</w:t>
      </w:r>
      <w:r>
        <w:rPr>
          <w:rFonts w:hAnsi="宋体" w:cs="宋体"/>
          <w:bCs/>
          <w:szCs w:val="21"/>
        </w:rPr>
        <w:t>档（</w:t>
      </w:r>
      <w:r>
        <w:rPr>
          <w:rFonts w:hint="eastAsia" w:hAnsi="宋体" w:cs="宋体"/>
          <w:bCs/>
          <w:szCs w:val="21"/>
        </w:rPr>
        <w:t>6分</w:t>
      </w:r>
      <w:r>
        <w:rPr>
          <w:rFonts w:hAnsi="宋体" w:cs="宋体"/>
          <w:bCs/>
          <w:szCs w:val="21"/>
        </w:rPr>
        <w:t>）：承诺的增值服务较多，实施方案较全面。</w:t>
      </w:r>
    </w:p>
    <w:p>
      <w:pPr>
        <w:pStyle w:val="20"/>
        <w:spacing w:line="440" w:lineRule="exact"/>
        <w:ind w:left="44" w:leftChars="21" w:firstLine="420" w:firstLineChars="200"/>
        <w:rPr>
          <w:rFonts w:hAnsi="宋体" w:cs="宋体"/>
          <w:bCs/>
          <w:szCs w:val="21"/>
        </w:rPr>
      </w:pPr>
      <w:r>
        <w:rPr>
          <w:rFonts w:hint="eastAsia" w:hAnsi="宋体" w:cs="宋体"/>
          <w:bCs/>
          <w:szCs w:val="21"/>
        </w:rPr>
        <w:t>四</w:t>
      </w:r>
      <w:r>
        <w:rPr>
          <w:rFonts w:hAnsi="宋体" w:cs="宋体"/>
          <w:bCs/>
          <w:szCs w:val="21"/>
        </w:rPr>
        <w:t>档（</w:t>
      </w:r>
      <w:r>
        <w:rPr>
          <w:rFonts w:hint="eastAsia" w:hAnsi="宋体" w:cs="宋体"/>
          <w:bCs/>
          <w:szCs w:val="21"/>
        </w:rPr>
        <w:t>9分</w:t>
      </w:r>
      <w:r>
        <w:rPr>
          <w:rFonts w:hAnsi="宋体" w:cs="宋体"/>
          <w:bCs/>
          <w:szCs w:val="21"/>
        </w:rPr>
        <w:t>）：承诺的增值服务最多，实施方案最全面。</w:t>
      </w:r>
    </w:p>
    <w:p>
      <w:pPr>
        <w:pStyle w:val="8"/>
        <w:tabs>
          <w:tab w:val="left" w:leader="dot" w:pos="9070"/>
        </w:tabs>
        <w:spacing w:before="34" w:line="440" w:lineRule="exact"/>
        <w:ind w:left="0" w:firstLine="411" w:firstLineChars="195"/>
      </w:pPr>
      <w:r>
        <w:rPr>
          <w:rFonts w:hint="eastAsia"/>
        </w:rPr>
        <w:t>3.</w:t>
      </w:r>
      <w:r>
        <w:t>企业</w:t>
      </w:r>
      <w:r>
        <w:rPr>
          <w:rFonts w:hint="eastAsia"/>
        </w:rPr>
        <w:t>信誉及实力</w:t>
      </w:r>
      <w:r>
        <w:tab/>
      </w:r>
      <w:r>
        <w:rPr>
          <w:rFonts w:hint="eastAsia"/>
        </w:rPr>
        <w:t>10</w:t>
      </w:r>
      <w:r>
        <w:t>分</w:t>
      </w:r>
    </w:p>
    <w:p>
      <w:pPr>
        <w:spacing w:line="440" w:lineRule="exact"/>
        <w:ind w:left="424" w:leftChars="202" w:firstLine="149" w:firstLineChars="71"/>
        <w:jc w:val="left"/>
        <w:rPr>
          <w:rFonts w:ascii="宋体" w:hAnsi="宋体" w:cs="宋体"/>
          <w:bCs/>
          <w:szCs w:val="21"/>
        </w:rPr>
      </w:pPr>
      <w:r>
        <w:rPr>
          <w:rFonts w:hint="eastAsia" w:ascii="宋体" w:hAnsi="宋体"/>
          <w:bCs/>
          <w:kern w:val="0"/>
          <w:szCs w:val="21"/>
        </w:rPr>
        <w:t>（1）</w:t>
      </w:r>
      <w:r>
        <w:rPr>
          <w:rFonts w:hint="eastAsia" w:ascii="宋体" w:hAnsi="宋体" w:cs="宋体"/>
          <w:bCs/>
          <w:szCs w:val="21"/>
        </w:rPr>
        <w:t>业绩：供应商自 2017年1月1日</w:t>
      </w:r>
      <w:r>
        <w:rPr>
          <w:rFonts w:ascii="宋体" w:hAnsi="宋体" w:cs="宋体"/>
          <w:bCs/>
          <w:szCs w:val="21"/>
        </w:rPr>
        <w:t>(</w:t>
      </w:r>
      <w:r>
        <w:rPr>
          <w:rFonts w:hint="eastAsia" w:ascii="宋体" w:hAnsi="宋体" w:cs="宋体"/>
          <w:bCs/>
          <w:szCs w:val="21"/>
        </w:rPr>
        <w:t>以中标通知书签订时间或合同签订时间为准</w:t>
      </w:r>
      <w:r>
        <w:rPr>
          <w:rFonts w:ascii="宋体" w:hAnsi="宋体" w:cs="宋体"/>
          <w:bCs/>
          <w:szCs w:val="21"/>
        </w:rPr>
        <w:t>)</w:t>
      </w:r>
      <w:r>
        <w:rPr>
          <w:rFonts w:hint="eastAsia" w:ascii="宋体" w:hAnsi="宋体" w:cs="宋体"/>
          <w:bCs/>
          <w:szCs w:val="21"/>
        </w:rPr>
        <w:t>至今公务用车定点保险业绩证明，每个项目得5分，满分10分。（</w:t>
      </w:r>
      <w:r>
        <w:rPr>
          <w:rFonts w:ascii="宋体" w:hAnsi="宋体" w:cs="宋体"/>
          <w:bCs/>
          <w:szCs w:val="21"/>
        </w:rPr>
        <w:t>以中标通知书或合同复印件为准</w:t>
      </w:r>
      <w:r>
        <w:rPr>
          <w:rFonts w:hint="eastAsia" w:ascii="宋体" w:hAnsi="宋体" w:cs="宋体"/>
          <w:bCs/>
          <w:szCs w:val="21"/>
        </w:rPr>
        <w:t>）</w:t>
      </w:r>
    </w:p>
    <w:p>
      <w:pPr>
        <w:spacing w:line="440" w:lineRule="exact"/>
        <w:rPr>
          <w:rFonts w:ascii="宋体" w:hAnsi="宋体" w:cs="宋体"/>
          <w:bCs/>
          <w:szCs w:val="21"/>
        </w:rPr>
        <w:sectPr>
          <w:footerReference r:id="rId3" w:type="default"/>
          <w:type w:val="continuous"/>
          <w:pgSz w:w="11910" w:h="16840"/>
          <w:pgMar w:top="1582" w:right="1140" w:bottom="1162" w:left="919" w:header="1128" w:footer="970" w:gutter="0"/>
          <w:pgNumType w:start="0"/>
          <w:cols w:space="720" w:num="1"/>
          <w:titlePg/>
        </w:sectPr>
      </w:pPr>
    </w:p>
    <w:p>
      <w:pPr>
        <w:pStyle w:val="8"/>
        <w:spacing w:before="142" w:line="440" w:lineRule="exact"/>
        <w:ind w:left="0" w:firstLine="413" w:firstLineChars="196"/>
        <w:rPr>
          <w:rFonts w:cs="Times New Roman"/>
          <w:lang w:val="en-US" w:bidi="ar-SA"/>
        </w:rPr>
      </w:pPr>
      <w:r>
        <w:rPr>
          <w:rFonts w:hint="eastAsia" w:cs="Times New Roman"/>
          <w:lang w:val="en-US" w:bidi="ar-SA"/>
        </w:rPr>
        <w:t>（三）</w:t>
      </w:r>
      <w:r>
        <w:rPr>
          <w:rFonts w:cs="Times New Roman"/>
          <w:lang w:val="en-US" w:bidi="ar-SA"/>
        </w:rPr>
        <w:t>总得分=</w:t>
      </w:r>
      <w:r>
        <w:rPr>
          <w:rFonts w:hint="eastAsia" w:cs="Times New Roman"/>
          <w:lang w:val="en-US" w:bidi="ar-SA"/>
        </w:rPr>
        <w:t>1+2+3</w:t>
      </w:r>
    </w:p>
    <w:p>
      <w:pPr>
        <w:pStyle w:val="20"/>
        <w:spacing w:line="440" w:lineRule="exact"/>
        <w:ind w:firstLine="632" w:firstLineChars="300"/>
        <w:rPr>
          <w:rFonts w:hAnsi="宋体"/>
          <w:b/>
        </w:rPr>
      </w:pPr>
      <w:r>
        <w:rPr>
          <w:rFonts w:hint="eastAsia" w:hAnsi="宋体"/>
          <w:b/>
          <w:bCs/>
        </w:rPr>
        <w:t>三、中标标准及中标候选人推荐原则</w:t>
      </w:r>
    </w:p>
    <w:p>
      <w:pPr>
        <w:pStyle w:val="20"/>
        <w:spacing w:line="440" w:lineRule="exact"/>
        <w:ind w:left="141" w:leftChars="67" w:firstLine="420" w:firstLineChars="200"/>
        <w:rPr>
          <w:bCs/>
        </w:rPr>
      </w:pPr>
      <w:r>
        <w:rPr>
          <w:rFonts w:hint="eastAsia"/>
          <w:bCs/>
        </w:rPr>
        <w:t>（一）</w:t>
      </w:r>
      <w:r>
        <w:rPr>
          <w:rFonts w:hint="eastAsia"/>
        </w:rPr>
        <w:t>竞争性磋商响应文件在</w:t>
      </w:r>
      <w:r>
        <w:rPr>
          <w:rFonts w:hint="eastAsia" w:hAnsi="宋体" w:cs="宋体"/>
          <w:kern w:val="0"/>
        </w:rPr>
        <w:t>质量和服务均能满足</w:t>
      </w:r>
      <w:r>
        <w:rPr>
          <w:rFonts w:hint="eastAsia" w:hAnsi="宋体"/>
          <w:bCs/>
        </w:rPr>
        <w:t>竞争性磋商文件</w:t>
      </w:r>
      <w:r>
        <w:rPr>
          <w:rFonts w:hint="eastAsia" w:hAnsi="宋体" w:cs="宋体"/>
          <w:kern w:val="0"/>
        </w:rPr>
        <w:t>实质性响应要求时</w:t>
      </w:r>
      <w:r>
        <w:rPr>
          <w:rFonts w:hint="eastAsia"/>
          <w:bCs/>
        </w:rPr>
        <w:t>，磋商小组将根据得分由高到低排列次序（得分相同时，以最后价格分由高到低顺序排列；得分相同且最后报价得分相同的，按</w:t>
      </w:r>
      <w:r>
        <w:t>公务用车投</w:t>
      </w:r>
      <w:r>
        <w:rPr>
          <w:spacing w:val="-3"/>
        </w:rPr>
        <w:t>保</w:t>
      </w:r>
      <w:r>
        <w:t>及</w:t>
      </w:r>
      <w:r>
        <w:rPr>
          <w:spacing w:val="-3"/>
        </w:rPr>
        <w:t>理</w:t>
      </w:r>
      <w:r>
        <w:t>赔服务措施</w:t>
      </w:r>
      <w:r>
        <w:rPr>
          <w:rFonts w:hint="eastAsia" w:hAnsi="宋体"/>
          <w:szCs w:val="21"/>
        </w:rPr>
        <w:t>得分高到低</w:t>
      </w:r>
      <w:r>
        <w:rPr>
          <w:rFonts w:hint="eastAsia"/>
          <w:bCs/>
        </w:rPr>
        <w:t>顺序排列）并推荐成交候选人。采购单位应当确定磋商小组推荐排名第一的成交候选</w:t>
      </w:r>
      <w:r>
        <w:rPr>
          <w:rFonts w:hint="eastAsia"/>
        </w:rPr>
        <w:t>人</w:t>
      </w:r>
      <w:r>
        <w:rPr>
          <w:rFonts w:hint="eastAsia"/>
          <w:bCs/>
        </w:rPr>
        <w:t>为成交</w:t>
      </w:r>
      <w:r>
        <w:rPr>
          <w:rFonts w:hint="eastAsia"/>
        </w:rPr>
        <w:t>人</w:t>
      </w:r>
      <w:r>
        <w:rPr>
          <w:rFonts w:hint="eastAsia"/>
          <w:bCs/>
        </w:rPr>
        <w:t>。排名第一的成交候选</w:t>
      </w:r>
      <w:r>
        <w:rPr>
          <w:rFonts w:hint="eastAsia"/>
        </w:rPr>
        <w:t>人</w:t>
      </w:r>
      <w:r>
        <w:rPr>
          <w:rFonts w:hint="eastAsia"/>
          <w:bCs/>
        </w:rPr>
        <w:t>放弃成交、因不可抗力提出不能履行协议的，或者竞争性磋商文件规定应当提交质量保证金而在规定的期限内未能提交的，采购单位可以确定排名第二的成交候选</w:t>
      </w:r>
      <w:r>
        <w:rPr>
          <w:rFonts w:hint="eastAsia"/>
        </w:rPr>
        <w:t>人</w:t>
      </w:r>
      <w:r>
        <w:rPr>
          <w:rFonts w:hint="eastAsia"/>
          <w:bCs/>
        </w:rPr>
        <w:t>为成交人。</w:t>
      </w:r>
    </w:p>
    <w:p>
      <w:pPr>
        <w:pStyle w:val="20"/>
        <w:spacing w:line="440" w:lineRule="exact"/>
        <w:ind w:left="141" w:leftChars="67" w:firstLine="315" w:firstLineChars="150"/>
        <w:rPr>
          <w:rFonts w:hAnsi="宋体"/>
        </w:rPr>
      </w:pPr>
      <w:r>
        <w:rPr>
          <w:rFonts w:hint="eastAsia"/>
        </w:rPr>
        <w:t>（二）磋商小组认为，某磋商供应商的有效报价或者某些分项报价明显不合理或者低于成本，有可能影响服务质量和不能诚信履约的，应要求其在规定的期限内提供书面文件予以解释说明，并提交相关证明材料，</w:t>
      </w:r>
      <w:r>
        <w:rPr>
          <w:rFonts w:hint="eastAsia" w:hAnsi="宋体"/>
        </w:rPr>
        <w:t>否则，磋商小组不推荐该磋商供应商为成交候选人。</w:t>
      </w:r>
    </w:p>
    <w:p>
      <w:pPr>
        <w:pStyle w:val="20"/>
        <w:spacing w:line="440" w:lineRule="exact"/>
        <w:ind w:left="141" w:leftChars="67" w:firstLine="315" w:firstLineChars="150"/>
        <w:rPr>
          <w:rFonts w:hAnsi="宋体"/>
          <w:color w:val="auto"/>
        </w:rPr>
      </w:pPr>
    </w:p>
    <w:p>
      <w:pPr>
        <w:pStyle w:val="20"/>
        <w:spacing w:line="360" w:lineRule="auto"/>
        <w:jc w:val="center"/>
        <w:outlineLvl w:val="0"/>
        <w:rPr>
          <w:rFonts w:hAnsi="宋体"/>
          <w:b/>
          <w:color w:val="auto"/>
        </w:rPr>
      </w:pPr>
      <w:r>
        <w:rPr>
          <w:rFonts w:hAnsi="宋体"/>
          <w:b/>
          <w:color w:val="auto"/>
        </w:rPr>
        <w:br w:type="page"/>
      </w:r>
      <w:bookmarkStart w:id="77" w:name="_Toc42013030"/>
      <w:r>
        <w:rPr>
          <w:rFonts w:hint="eastAsia"/>
          <w:b/>
          <w:color w:val="auto"/>
          <w:sz w:val="36"/>
          <w:szCs w:val="36"/>
        </w:rPr>
        <w:t>第六章  响应文件（格式）</w:t>
      </w:r>
      <w:bookmarkEnd w:id="77"/>
    </w:p>
    <w:p>
      <w:pPr>
        <w:spacing w:line="240" w:lineRule="atLeast"/>
        <w:jc w:val="center"/>
        <w:rPr>
          <w:rFonts w:ascii="宋体" w:hAnsi="宋体"/>
          <w:b/>
          <w:color w:val="auto"/>
          <w:sz w:val="32"/>
          <w:szCs w:val="32"/>
        </w:rPr>
      </w:pPr>
    </w:p>
    <w:p>
      <w:pPr>
        <w:spacing w:line="240" w:lineRule="atLeast"/>
        <w:jc w:val="center"/>
        <w:rPr>
          <w:rFonts w:ascii="宋体" w:hAnsi="宋体"/>
          <w:b/>
          <w:color w:val="auto"/>
          <w:sz w:val="32"/>
          <w:szCs w:val="32"/>
        </w:rPr>
      </w:pPr>
      <w:r>
        <w:rPr>
          <w:rFonts w:hint="eastAsia" w:ascii="宋体" w:hAnsi="宋体"/>
          <w:b/>
          <w:color w:val="auto"/>
          <w:sz w:val="32"/>
          <w:szCs w:val="32"/>
        </w:rPr>
        <w:t xml:space="preserve">  (封面)</w:t>
      </w:r>
    </w:p>
    <w:p>
      <w:pPr>
        <w:spacing w:line="360" w:lineRule="auto"/>
        <w:jc w:val="center"/>
        <w:rPr>
          <w:rFonts w:ascii="宋体" w:hAnsi="宋体"/>
          <w:color w:val="auto"/>
          <w:szCs w:val="21"/>
        </w:rPr>
      </w:pPr>
    </w:p>
    <w:p>
      <w:pPr>
        <w:spacing w:line="360" w:lineRule="auto"/>
        <w:jc w:val="center"/>
        <w:rPr>
          <w:rFonts w:ascii="宋体" w:hAnsi="宋体"/>
          <w:color w:val="auto"/>
          <w:szCs w:val="21"/>
        </w:rPr>
      </w:pPr>
    </w:p>
    <w:p>
      <w:pPr>
        <w:pStyle w:val="20"/>
        <w:spacing w:line="440" w:lineRule="exact"/>
        <w:ind w:firstLine="6930" w:firstLineChars="3300"/>
        <w:rPr>
          <w:rFonts w:hAnsi="宋体"/>
          <w:color w:val="auto"/>
        </w:rPr>
      </w:pPr>
      <w:r>
        <w:rPr>
          <w:rFonts w:hint="eastAsia" w:hAnsi="宋体"/>
          <w:color w:val="auto"/>
        </w:rPr>
        <w:t xml:space="preserve">   </w:t>
      </w:r>
      <w:r>
        <w:rPr>
          <w:rFonts w:hint="eastAsia" w:hAnsi="宋体"/>
          <w:color w:val="auto"/>
          <w:u w:val="single"/>
        </w:rPr>
        <w:t xml:space="preserve">        </w:t>
      </w:r>
      <w:r>
        <w:rPr>
          <w:rFonts w:hint="eastAsia" w:hAnsi="宋体"/>
          <w:b/>
          <w:bCs/>
          <w:color w:val="auto"/>
          <w:sz w:val="36"/>
        </w:rPr>
        <w:t>本</w:t>
      </w:r>
    </w:p>
    <w:p>
      <w:pPr>
        <w:pStyle w:val="20"/>
        <w:spacing w:line="440" w:lineRule="exact"/>
        <w:jc w:val="center"/>
        <w:rPr>
          <w:rFonts w:hAnsi="宋体"/>
          <w:color w:val="auto"/>
        </w:rPr>
      </w:pPr>
    </w:p>
    <w:p>
      <w:pPr>
        <w:pStyle w:val="20"/>
        <w:spacing w:line="440" w:lineRule="exact"/>
        <w:jc w:val="center"/>
        <w:rPr>
          <w:rFonts w:hAnsi="宋体"/>
          <w:color w:val="auto"/>
        </w:rPr>
      </w:pPr>
    </w:p>
    <w:p>
      <w:pPr>
        <w:pStyle w:val="20"/>
        <w:rPr>
          <w:rFonts w:hAnsi="宋体"/>
          <w:color w:val="auto"/>
        </w:rPr>
      </w:pPr>
      <w:r>
        <w:rPr>
          <w:rFonts w:hint="eastAsia" w:hAnsi="宋体"/>
          <w:b/>
          <w:bCs/>
          <w:color w:val="auto"/>
          <w:sz w:val="36"/>
        </w:rPr>
        <w:t xml:space="preserve"> </w:t>
      </w:r>
    </w:p>
    <w:p>
      <w:pPr>
        <w:pStyle w:val="20"/>
        <w:rPr>
          <w:rFonts w:hAnsi="宋体"/>
          <w:color w:val="auto"/>
        </w:rPr>
      </w:pPr>
    </w:p>
    <w:p>
      <w:pPr>
        <w:pStyle w:val="20"/>
        <w:rPr>
          <w:rFonts w:hAnsi="宋体"/>
          <w:color w:val="auto"/>
        </w:rPr>
      </w:pPr>
    </w:p>
    <w:p>
      <w:pPr>
        <w:pStyle w:val="20"/>
        <w:jc w:val="center"/>
        <w:rPr>
          <w:rFonts w:hAnsi="宋体"/>
          <w:color w:val="auto"/>
          <w:sz w:val="72"/>
        </w:rPr>
      </w:pPr>
      <w:r>
        <w:rPr>
          <w:rFonts w:hint="eastAsia" w:hAnsi="宋体"/>
          <w:color w:val="auto"/>
          <w:sz w:val="72"/>
        </w:rPr>
        <w:t>响 应 文 件</w:t>
      </w:r>
    </w:p>
    <w:p>
      <w:pPr>
        <w:pStyle w:val="20"/>
        <w:rPr>
          <w:rFonts w:hAnsi="宋体"/>
          <w:color w:val="auto"/>
        </w:rPr>
      </w:pPr>
    </w:p>
    <w:p>
      <w:pPr>
        <w:pStyle w:val="20"/>
        <w:rPr>
          <w:rFonts w:hAnsi="宋体"/>
          <w:color w:val="auto"/>
        </w:rPr>
      </w:pPr>
    </w:p>
    <w:p>
      <w:pPr>
        <w:pStyle w:val="20"/>
        <w:rPr>
          <w:rFonts w:hAnsi="宋体"/>
          <w:color w:val="auto"/>
        </w:rPr>
      </w:pPr>
    </w:p>
    <w:p>
      <w:pPr>
        <w:pStyle w:val="20"/>
        <w:rPr>
          <w:rFonts w:hAnsi="宋体"/>
          <w:color w:val="auto"/>
        </w:rPr>
      </w:pPr>
    </w:p>
    <w:p>
      <w:pPr>
        <w:pStyle w:val="20"/>
        <w:ind w:firstLine="1545" w:firstLineChars="481"/>
        <w:rPr>
          <w:rFonts w:hAnsi="宋体"/>
          <w:b/>
          <w:bCs/>
          <w:color w:val="auto"/>
          <w:sz w:val="32"/>
          <w:szCs w:val="32"/>
        </w:rPr>
      </w:pPr>
      <w:r>
        <w:rPr>
          <w:rFonts w:hint="eastAsia" w:hAnsi="宋体"/>
          <w:b/>
          <w:color w:val="auto"/>
          <w:sz w:val="32"/>
          <w:szCs w:val="32"/>
        </w:rPr>
        <w:t>项目名称：</w:t>
      </w:r>
      <w:r>
        <w:rPr>
          <w:rFonts w:hint="eastAsia" w:hAnsi="宋体"/>
          <w:b/>
          <w:bCs/>
          <w:color w:val="auto"/>
          <w:sz w:val="32"/>
          <w:szCs w:val="32"/>
        </w:rPr>
        <w:t xml:space="preserve"> </w:t>
      </w:r>
    </w:p>
    <w:p>
      <w:pPr>
        <w:pStyle w:val="20"/>
        <w:ind w:firstLine="1545" w:firstLineChars="481"/>
        <w:rPr>
          <w:rFonts w:hAnsi="宋体"/>
          <w:b/>
          <w:color w:val="auto"/>
          <w:sz w:val="32"/>
          <w:szCs w:val="32"/>
        </w:rPr>
      </w:pPr>
      <w:r>
        <w:rPr>
          <w:rFonts w:hint="eastAsia" w:hAnsi="宋体"/>
          <w:b/>
          <w:color w:val="auto"/>
          <w:sz w:val="32"/>
          <w:szCs w:val="32"/>
        </w:rPr>
        <w:t xml:space="preserve">项目编号: </w:t>
      </w:r>
    </w:p>
    <w:p>
      <w:pPr>
        <w:pStyle w:val="20"/>
        <w:rPr>
          <w:rFonts w:hAnsi="宋体"/>
          <w:color w:val="auto"/>
        </w:rPr>
      </w:pPr>
    </w:p>
    <w:p>
      <w:pPr>
        <w:pStyle w:val="20"/>
        <w:rPr>
          <w:rFonts w:hAnsi="宋体"/>
          <w:color w:val="auto"/>
        </w:rPr>
      </w:pPr>
    </w:p>
    <w:p>
      <w:pPr>
        <w:pStyle w:val="20"/>
        <w:rPr>
          <w:rFonts w:hAnsi="宋体"/>
          <w:color w:val="auto"/>
        </w:rPr>
      </w:pPr>
    </w:p>
    <w:p>
      <w:pPr>
        <w:pStyle w:val="20"/>
        <w:rPr>
          <w:rFonts w:hAnsi="宋体"/>
          <w:color w:val="auto"/>
        </w:rPr>
      </w:pPr>
    </w:p>
    <w:p>
      <w:pPr>
        <w:pStyle w:val="20"/>
        <w:rPr>
          <w:rFonts w:hAnsi="宋体"/>
          <w:color w:val="auto"/>
        </w:rPr>
      </w:pPr>
    </w:p>
    <w:p>
      <w:pPr>
        <w:pStyle w:val="20"/>
        <w:rPr>
          <w:rFonts w:hAnsi="宋体"/>
          <w:color w:val="auto"/>
        </w:rPr>
      </w:pPr>
    </w:p>
    <w:p>
      <w:pPr>
        <w:pStyle w:val="20"/>
        <w:rPr>
          <w:rFonts w:hAnsi="宋体"/>
          <w:color w:val="auto"/>
        </w:rPr>
      </w:pPr>
    </w:p>
    <w:p>
      <w:pPr>
        <w:pStyle w:val="20"/>
        <w:rPr>
          <w:rFonts w:hAnsi="宋体"/>
          <w:color w:val="auto"/>
        </w:rPr>
      </w:pPr>
    </w:p>
    <w:p>
      <w:pPr>
        <w:pStyle w:val="20"/>
        <w:rPr>
          <w:rFonts w:hAnsi="宋体"/>
          <w:color w:val="auto"/>
        </w:rPr>
      </w:pPr>
    </w:p>
    <w:p>
      <w:pPr>
        <w:pStyle w:val="20"/>
        <w:rPr>
          <w:rFonts w:hAnsi="宋体"/>
          <w:color w:val="auto"/>
        </w:rPr>
      </w:pPr>
    </w:p>
    <w:p>
      <w:pPr>
        <w:pStyle w:val="20"/>
        <w:rPr>
          <w:rFonts w:hAnsi="宋体"/>
          <w:color w:val="auto"/>
        </w:rPr>
      </w:pPr>
    </w:p>
    <w:p>
      <w:pPr>
        <w:pStyle w:val="20"/>
        <w:rPr>
          <w:rFonts w:hAnsi="宋体"/>
          <w:color w:val="auto"/>
        </w:rPr>
      </w:pPr>
    </w:p>
    <w:p>
      <w:pPr>
        <w:pStyle w:val="20"/>
        <w:rPr>
          <w:rFonts w:hAnsi="宋体"/>
          <w:color w:val="auto"/>
        </w:rPr>
      </w:pPr>
    </w:p>
    <w:p>
      <w:pPr>
        <w:pStyle w:val="20"/>
        <w:spacing w:line="500" w:lineRule="exact"/>
        <w:ind w:left="1260" w:leftChars="600"/>
        <w:rPr>
          <w:rFonts w:hAnsi="宋体"/>
          <w:b/>
          <w:bCs/>
          <w:color w:val="auto"/>
          <w:sz w:val="28"/>
        </w:rPr>
      </w:pPr>
      <w:r>
        <w:rPr>
          <w:rFonts w:hint="eastAsia" w:hAnsi="宋体"/>
          <w:b/>
          <w:bCs/>
          <w:color w:val="auto"/>
          <w:sz w:val="28"/>
        </w:rPr>
        <w:t xml:space="preserve">磋商供应商： </w:t>
      </w:r>
      <w:r>
        <w:rPr>
          <w:rFonts w:hint="eastAsia" w:hAnsi="宋体"/>
          <w:b/>
          <w:bCs/>
          <w:color w:val="auto"/>
          <w:sz w:val="28"/>
          <w:u w:val="single"/>
        </w:rPr>
        <w:t xml:space="preserve">                               （盖公章） </w:t>
      </w:r>
    </w:p>
    <w:p>
      <w:pPr>
        <w:pStyle w:val="20"/>
        <w:spacing w:line="500" w:lineRule="exact"/>
        <w:ind w:firstLine="1124" w:firstLineChars="400"/>
        <w:rPr>
          <w:rFonts w:hAnsi="宋体"/>
          <w:b/>
          <w:bCs/>
          <w:color w:val="auto"/>
          <w:sz w:val="28"/>
        </w:rPr>
      </w:pPr>
      <w:r>
        <w:rPr>
          <w:rFonts w:hint="eastAsia" w:hAnsi="宋体"/>
          <w:b/>
          <w:bCs/>
          <w:color w:val="auto"/>
          <w:sz w:val="28"/>
        </w:rPr>
        <w:t xml:space="preserve"> 法定代表人（或委托代理人）签字： </w:t>
      </w:r>
      <w:r>
        <w:rPr>
          <w:rFonts w:hint="eastAsia" w:hAnsi="宋体"/>
          <w:b/>
          <w:bCs/>
          <w:color w:val="auto"/>
          <w:sz w:val="28"/>
          <w:u w:val="single"/>
        </w:rPr>
        <w:t xml:space="preserve">                  </w:t>
      </w:r>
    </w:p>
    <w:p>
      <w:pPr>
        <w:pStyle w:val="20"/>
        <w:spacing w:line="360" w:lineRule="exact"/>
        <w:ind w:left="412"/>
        <w:rPr>
          <w:rFonts w:hAnsi="宋体"/>
          <w:color w:val="auto"/>
        </w:rPr>
      </w:pPr>
      <w:r>
        <w:rPr>
          <w:rFonts w:hint="eastAsia" w:hAnsi="宋体"/>
          <w:b/>
          <w:bCs/>
          <w:color w:val="auto"/>
          <w:sz w:val="28"/>
        </w:rPr>
        <w:t xml:space="preserve"> </w:t>
      </w:r>
    </w:p>
    <w:p>
      <w:pPr>
        <w:pStyle w:val="20"/>
        <w:spacing w:line="360" w:lineRule="exact"/>
        <w:ind w:left="412"/>
        <w:rPr>
          <w:rFonts w:hAnsi="宋体"/>
          <w:color w:val="auto"/>
          <w:sz w:val="32"/>
          <w:szCs w:val="32"/>
        </w:rPr>
      </w:pPr>
      <w:r>
        <w:rPr>
          <w:rFonts w:hint="eastAsia" w:hAnsi="宋体"/>
          <w:color w:val="auto"/>
        </w:rPr>
        <w:t xml:space="preserve">                        </w:t>
      </w:r>
      <w:r>
        <w:rPr>
          <w:rFonts w:hint="eastAsia" w:hAnsi="宋体"/>
          <w:color w:val="auto"/>
          <w:sz w:val="32"/>
          <w:szCs w:val="32"/>
        </w:rPr>
        <w:t xml:space="preserve"> 年       月        日</w:t>
      </w:r>
    </w:p>
    <w:p>
      <w:pPr>
        <w:pStyle w:val="20"/>
        <w:spacing w:line="360" w:lineRule="exact"/>
        <w:ind w:left="412"/>
        <w:rPr>
          <w:rFonts w:hAnsi="宋体"/>
          <w:color w:val="auto"/>
        </w:rPr>
      </w:pPr>
    </w:p>
    <w:p>
      <w:pPr>
        <w:pStyle w:val="20"/>
        <w:spacing w:line="360" w:lineRule="exact"/>
        <w:ind w:left="412"/>
        <w:rPr>
          <w:rFonts w:hAnsi="宋体"/>
          <w:color w:val="auto"/>
        </w:rPr>
      </w:pPr>
    </w:p>
    <w:p>
      <w:pPr>
        <w:pStyle w:val="20"/>
        <w:spacing w:line="360" w:lineRule="exact"/>
        <w:ind w:left="412"/>
        <w:rPr>
          <w:rFonts w:hAnsi="宋体"/>
          <w:color w:val="auto"/>
        </w:rPr>
      </w:pPr>
    </w:p>
    <w:p>
      <w:pPr>
        <w:jc w:val="center"/>
        <w:rPr>
          <w:rFonts w:ascii="宋体" w:hAnsi="宋体"/>
          <w:b/>
          <w:color w:val="auto"/>
          <w:szCs w:val="21"/>
        </w:rPr>
      </w:pPr>
      <w:r>
        <w:rPr>
          <w:rFonts w:hint="eastAsia" w:ascii="宋体" w:hAnsi="宋体"/>
          <w:b/>
          <w:color w:val="auto"/>
          <w:szCs w:val="21"/>
        </w:rPr>
        <w:t>目录</w:t>
      </w:r>
    </w:p>
    <w:p>
      <w:pPr>
        <w:jc w:val="left"/>
        <w:rPr>
          <w:rFonts w:ascii="宋体" w:hAnsi="宋体"/>
          <w:b/>
          <w:color w:val="auto"/>
          <w:szCs w:val="21"/>
        </w:rPr>
      </w:pPr>
    </w:p>
    <w:p>
      <w:pPr>
        <w:spacing w:line="300" w:lineRule="auto"/>
        <w:ind w:left="283" w:leftChars="135"/>
        <w:rPr>
          <w:rFonts w:ascii="宋体" w:hAnsi="宋体"/>
          <w:b/>
          <w:color w:val="auto"/>
          <w:szCs w:val="21"/>
        </w:rPr>
      </w:pPr>
    </w:p>
    <w:p>
      <w:pPr>
        <w:spacing w:line="300" w:lineRule="exact"/>
        <w:ind w:left="1123" w:leftChars="135" w:right="355" w:rightChars="169" w:hanging="840"/>
        <w:rPr>
          <w:rFonts w:ascii="宋体" w:hAnsi="宋体"/>
          <w:color w:val="auto"/>
          <w:szCs w:val="21"/>
        </w:rPr>
      </w:pPr>
      <w:r>
        <w:rPr>
          <w:rFonts w:hint="eastAsia" w:ascii="宋体" w:hAnsi="宋体"/>
          <w:b/>
          <w:color w:val="auto"/>
          <w:szCs w:val="21"/>
        </w:rPr>
        <w:t>商务技术文件:</w:t>
      </w:r>
    </w:p>
    <w:p>
      <w:pPr>
        <w:spacing w:line="300" w:lineRule="auto"/>
        <w:ind w:left="283" w:leftChars="135" w:right="355" w:rightChars="169"/>
        <w:rPr>
          <w:rFonts w:ascii="宋体" w:hAnsi="宋体"/>
          <w:b/>
          <w:color w:val="auto"/>
          <w:szCs w:val="21"/>
        </w:rPr>
      </w:pPr>
      <w:r>
        <w:rPr>
          <w:rFonts w:hint="eastAsia" w:ascii="宋体" w:hAnsi="宋体"/>
          <w:b/>
          <w:color w:val="auto"/>
          <w:szCs w:val="21"/>
        </w:rPr>
        <w:t>1）“磋商书”及“磋商声明书”</w:t>
      </w:r>
      <w:r>
        <w:rPr>
          <w:rFonts w:hint="eastAsia" w:hAnsi="宋体"/>
          <w:b/>
          <w:color w:val="auto"/>
          <w:szCs w:val="21"/>
        </w:rPr>
        <w:t>（</w:t>
      </w:r>
      <w:r>
        <w:rPr>
          <w:rFonts w:hint="eastAsia"/>
          <w:b/>
          <w:bCs/>
          <w:color w:val="auto"/>
        </w:rPr>
        <w:t>必须提供</w:t>
      </w:r>
      <w:r>
        <w:rPr>
          <w:rFonts w:hint="eastAsia" w:hAnsi="宋体"/>
          <w:b/>
          <w:color w:val="auto"/>
          <w:szCs w:val="21"/>
        </w:rPr>
        <w:t>）</w:t>
      </w:r>
    </w:p>
    <w:p>
      <w:pPr>
        <w:spacing w:line="300" w:lineRule="auto"/>
        <w:ind w:left="283" w:leftChars="135" w:right="355" w:rightChars="169"/>
        <w:rPr>
          <w:rFonts w:ascii="宋体" w:hAnsi="宋体"/>
          <w:b/>
          <w:color w:val="auto"/>
          <w:szCs w:val="21"/>
        </w:rPr>
      </w:pPr>
      <w:r>
        <w:rPr>
          <w:rFonts w:hint="eastAsia" w:ascii="宋体" w:hAnsi="宋体"/>
          <w:b/>
          <w:color w:val="auto"/>
          <w:szCs w:val="21"/>
        </w:rPr>
        <w:t>2）</w:t>
      </w:r>
      <w:r>
        <w:rPr>
          <w:rFonts w:ascii="宋体" w:hAnsi="宋体"/>
          <w:b/>
          <w:color w:val="auto"/>
          <w:szCs w:val="21"/>
        </w:rPr>
        <w:t>报价表</w:t>
      </w:r>
      <w:r>
        <w:rPr>
          <w:rFonts w:hint="eastAsia" w:hAnsi="宋体"/>
          <w:b/>
          <w:color w:val="auto"/>
          <w:szCs w:val="21"/>
        </w:rPr>
        <w:t>（</w:t>
      </w:r>
      <w:r>
        <w:rPr>
          <w:rFonts w:hint="eastAsia"/>
          <w:b/>
          <w:bCs/>
          <w:color w:val="auto"/>
        </w:rPr>
        <w:t>必须提供</w:t>
      </w:r>
      <w:r>
        <w:rPr>
          <w:rFonts w:hint="eastAsia" w:hAnsi="宋体"/>
          <w:b/>
          <w:color w:val="auto"/>
          <w:szCs w:val="21"/>
        </w:rPr>
        <w:t>）</w:t>
      </w:r>
    </w:p>
    <w:p>
      <w:pPr>
        <w:spacing w:line="300" w:lineRule="auto"/>
        <w:ind w:left="283" w:leftChars="135" w:right="355" w:rightChars="169"/>
        <w:rPr>
          <w:rFonts w:ascii="宋体" w:hAnsi="宋体"/>
          <w:b/>
          <w:color w:val="auto"/>
          <w:szCs w:val="21"/>
        </w:rPr>
      </w:pPr>
      <w:r>
        <w:rPr>
          <w:rFonts w:hint="eastAsia" w:ascii="宋体" w:hAnsi="宋体"/>
          <w:b/>
          <w:color w:val="auto"/>
          <w:szCs w:val="21"/>
        </w:rPr>
        <w:t>3）磋商响应表</w:t>
      </w:r>
      <w:r>
        <w:rPr>
          <w:rFonts w:hint="eastAsia" w:hAnsi="宋体"/>
          <w:b/>
          <w:color w:val="auto"/>
          <w:szCs w:val="21"/>
        </w:rPr>
        <w:t>（</w:t>
      </w:r>
      <w:r>
        <w:rPr>
          <w:rFonts w:hint="eastAsia"/>
          <w:b/>
          <w:bCs/>
          <w:color w:val="auto"/>
        </w:rPr>
        <w:t>必须提供</w:t>
      </w:r>
      <w:r>
        <w:rPr>
          <w:rFonts w:hint="eastAsia" w:hAnsi="宋体"/>
          <w:b/>
          <w:color w:val="auto"/>
          <w:szCs w:val="21"/>
        </w:rPr>
        <w:t>）</w:t>
      </w:r>
    </w:p>
    <w:p>
      <w:pPr>
        <w:spacing w:line="300" w:lineRule="auto"/>
        <w:ind w:left="283" w:leftChars="135" w:right="355" w:rightChars="169"/>
        <w:rPr>
          <w:rFonts w:ascii="宋体" w:hAnsi="宋体"/>
          <w:b/>
          <w:color w:val="auto"/>
          <w:szCs w:val="21"/>
        </w:rPr>
      </w:pPr>
      <w:r>
        <w:rPr>
          <w:rFonts w:hint="eastAsia" w:ascii="宋体" w:hAnsi="宋体"/>
          <w:b/>
          <w:color w:val="auto"/>
          <w:szCs w:val="21"/>
        </w:rPr>
        <w:t>4）供应商</w:t>
      </w:r>
      <w:r>
        <w:rPr>
          <w:rFonts w:ascii="宋体" w:hAnsi="宋体"/>
          <w:b/>
          <w:color w:val="auto"/>
          <w:szCs w:val="21"/>
        </w:rPr>
        <w:t>有效的企业法人营业执照副本件、组织机构代码证副本、税务登记证副本（或有统一社会信用代码的营业执照）</w:t>
      </w:r>
      <w:r>
        <w:rPr>
          <w:rFonts w:hint="eastAsia" w:hAnsi="宋体"/>
          <w:b/>
          <w:color w:val="auto"/>
          <w:szCs w:val="21"/>
        </w:rPr>
        <w:t>（</w:t>
      </w:r>
      <w:r>
        <w:rPr>
          <w:rFonts w:hint="eastAsia"/>
          <w:b/>
          <w:bCs/>
          <w:color w:val="auto"/>
        </w:rPr>
        <w:t>必须提供</w:t>
      </w:r>
      <w:r>
        <w:rPr>
          <w:rFonts w:hint="eastAsia" w:hAnsi="宋体"/>
          <w:b/>
          <w:color w:val="auto"/>
          <w:szCs w:val="21"/>
        </w:rPr>
        <w:t>）</w:t>
      </w:r>
    </w:p>
    <w:p>
      <w:pPr>
        <w:spacing w:line="300" w:lineRule="auto"/>
        <w:ind w:left="283" w:leftChars="135" w:right="355" w:rightChars="169"/>
        <w:rPr>
          <w:rFonts w:ascii="宋体" w:hAnsi="宋体"/>
          <w:b/>
          <w:color w:val="auto"/>
          <w:szCs w:val="21"/>
        </w:rPr>
      </w:pPr>
      <w:r>
        <w:rPr>
          <w:rFonts w:hint="eastAsia" w:ascii="宋体" w:hAnsi="宋体"/>
          <w:b/>
          <w:color w:val="auto"/>
          <w:szCs w:val="21"/>
        </w:rPr>
        <w:t>5）</w:t>
      </w:r>
      <w:r>
        <w:rPr>
          <w:rFonts w:ascii="宋体" w:hAnsi="宋体"/>
          <w:b/>
          <w:color w:val="auto"/>
          <w:szCs w:val="21"/>
        </w:rPr>
        <w:t>国家保险监督管理机构颁发的中华人民共和国经营车辆保险业务许可证复印件</w:t>
      </w:r>
      <w:r>
        <w:rPr>
          <w:rFonts w:hint="eastAsia" w:hAnsi="宋体"/>
          <w:b/>
          <w:color w:val="auto"/>
          <w:szCs w:val="21"/>
        </w:rPr>
        <w:t>（</w:t>
      </w:r>
      <w:r>
        <w:rPr>
          <w:rFonts w:hint="eastAsia"/>
          <w:b/>
          <w:bCs/>
          <w:color w:val="auto"/>
        </w:rPr>
        <w:t>必须提供</w:t>
      </w:r>
      <w:r>
        <w:rPr>
          <w:rFonts w:hint="eastAsia" w:hAnsi="宋体"/>
          <w:b/>
          <w:color w:val="auto"/>
          <w:szCs w:val="21"/>
        </w:rPr>
        <w:t>）</w:t>
      </w:r>
    </w:p>
    <w:p>
      <w:pPr>
        <w:spacing w:line="300" w:lineRule="auto"/>
        <w:ind w:left="283" w:leftChars="135" w:right="355" w:rightChars="169"/>
        <w:rPr>
          <w:rFonts w:ascii="宋体" w:hAnsi="宋体"/>
          <w:b/>
          <w:color w:val="auto"/>
          <w:szCs w:val="21"/>
        </w:rPr>
      </w:pPr>
      <w:r>
        <w:rPr>
          <w:rFonts w:hint="eastAsia" w:ascii="宋体" w:hAnsi="宋体"/>
          <w:b/>
          <w:color w:val="auto"/>
          <w:szCs w:val="21"/>
        </w:rPr>
        <w:t>6）供应商</w:t>
      </w:r>
      <w:r>
        <w:rPr>
          <w:rFonts w:ascii="宋体" w:hAnsi="宋体"/>
          <w:b/>
          <w:color w:val="auto"/>
          <w:szCs w:val="21"/>
        </w:rPr>
        <w:t>法定代表人或负责人（分支机构或派出机构）授权委托书原件和委托代理人完整身份证复印件（委托代理时必须提供)</w:t>
      </w:r>
    </w:p>
    <w:p>
      <w:pPr>
        <w:spacing w:line="300" w:lineRule="auto"/>
        <w:ind w:left="283" w:leftChars="135" w:right="355" w:rightChars="169"/>
        <w:rPr>
          <w:rFonts w:ascii="宋体" w:hAnsi="宋体"/>
          <w:b/>
          <w:color w:val="auto"/>
          <w:szCs w:val="21"/>
        </w:rPr>
      </w:pPr>
      <w:r>
        <w:rPr>
          <w:rFonts w:hint="eastAsia" w:ascii="宋体" w:hAnsi="宋体"/>
          <w:b/>
          <w:color w:val="auto"/>
          <w:szCs w:val="21"/>
        </w:rPr>
        <w:t>7）</w:t>
      </w:r>
      <w:r>
        <w:rPr>
          <w:rFonts w:ascii="宋体" w:hAnsi="宋体"/>
          <w:b/>
          <w:color w:val="auto"/>
          <w:szCs w:val="21"/>
        </w:rPr>
        <w:t>投标保证金证明材料</w:t>
      </w:r>
      <w:r>
        <w:rPr>
          <w:rFonts w:hint="eastAsia" w:hAnsi="宋体"/>
          <w:b/>
          <w:color w:val="auto"/>
          <w:szCs w:val="21"/>
        </w:rPr>
        <w:t>（</w:t>
      </w:r>
      <w:r>
        <w:rPr>
          <w:rFonts w:hint="eastAsia"/>
          <w:b/>
          <w:bCs/>
          <w:color w:val="auto"/>
        </w:rPr>
        <w:t>必须提供</w:t>
      </w:r>
      <w:r>
        <w:rPr>
          <w:rFonts w:hint="eastAsia" w:hAnsi="宋体"/>
          <w:b/>
          <w:color w:val="auto"/>
          <w:szCs w:val="21"/>
        </w:rPr>
        <w:t>）</w:t>
      </w:r>
    </w:p>
    <w:p>
      <w:pPr>
        <w:pStyle w:val="20"/>
        <w:spacing w:line="400" w:lineRule="exact"/>
        <w:ind w:firstLine="204" w:firstLineChars="97"/>
        <w:rPr>
          <w:rFonts w:hAnsi="宋体"/>
          <w:b/>
          <w:color w:val="auto"/>
          <w:szCs w:val="21"/>
        </w:rPr>
      </w:pPr>
      <w:r>
        <w:rPr>
          <w:rFonts w:hint="eastAsia" w:hAnsi="宋体"/>
          <w:b/>
          <w:color w:val="auto"/>
          <w:szCs w:val="21"/>
        </w:rPr>
        <w:t>8）截标时间前半年内，供应商连续三个月缴纳社保费的缴费凭证复印件；无缴费记录的，应提供由供应商所在地社保部门出具的《缴纳或免缴社保费证明》，新设立的企业按实际情况提供（</w:t>
      </w:r>
      <w:r>
        <w:rPr>
          <w:rFonts w:hint="eastAsia"/>
          <w:b/>
          <w:bCs/>
          <w:color w:val="auto"/>
        </w:rPr>
        <w:t>必须提供</w:t>
      </w:r>
      <w:r>
        <w:rPr>
          <w:rFonts w:hint="eastAsia" w:hAnsi="宋体"/>
          <w:b/>
          <w:color w:val="auto"/>
          <w:szCs w:val="21"/>
        </w:rPr>
        <w:t>）</w:t>
      </w:r>
    </w:p>
    <w:p>
      <w:pPr>
        <w:pStyle w:val="20"/>
        <w:spacing w:line="400" w:lineRule="exact"/>
        <w:ind w:firstLine="310" w:firstLineChars="147"/>
        <w:rPr>
          <w:rFonts w:hAnsi="宋体"/>
          <w:b/>
          <w:color w:val="auto"/>
          <w:szCs w:val="21"/>
        </w:rPr>
      </w:pPr>
      <w:r>
        <w:rPr>
          <w:rFonts w:hint="eastAsia" w:hAnsi="宋体"/>
          <w:b/>
          <w:color w:val="auto"/>
          <w:szCs w:val="21"/>
        </w:rPr>
        <w:t>9）截标时间前半年内，供应商连续三个月完税证明或免缴税费的证明复印件（</w:t>
      </w:r>
      <w:r>
        <w:rPr>
          <w:rFonts w:hint="eastAsia"/>
          <w:b/>
          <w:bCs/>
          <w:color w:val="auto"/>
        </w:rPr>
        <w:t>必须提供</w:t>
      </w:r>
      <w:r>
        <w:rPr>
          <w:rFonts w:hint="eastAsia" w:hAnsi="宋体"/>
          <w:b/>
          <w:color w:val="auto"/>
          <w:szCs w:val="21"/>
        </w:rPr>
        <w:t>）</w:t>
      </w:r>
    </w:p>
    <w:p>
      <w:pPr>
        <w:spacing w:line="300" w:lineRule="auto"/>
        <w:ind w:left="283" w:leftChars="135" w:right="355" w:rightChars="169"/>
        <w:rPr>
          <w:rFonts w:ascii="宋体" w:hAnsi="宋体"/>
          <w:b/>
          <w:color w:val="auto"/>
          <w:szCs w:val="21"/>
        </w:rPr>
      </w:pPr>
      <w:r>
        <w:rPr>
          <w:rFonts w:hint="eastAsia" w:ascii="宋体" w:hAnsi="宋体"/>
          <w:b/>
          <w:color w:val="auto"/>
          <w:szCs w:val="21"/>
        </w:rPr>
        <w:t>10）</w:t>
      </w:r>
      <w:r>
        <w:rPr>
          <w:rFonts w:ascii="宋体" w:hAnsi="宋体"/>
          <w:b/>
          <w:color w:val="auto"/>
          <w:szCs w:val="21"/>
        </w:rPr>
        <w:t>公务用车投保及理赔服务措施</w:t>
      </w:r>
      <w:r>
        <w:rPr>
          <w:rFonts w:hint="eastAsia" w:hAnsi="宋体"/>
          <w:b/>
          <w:color w:val="auto"/>
          <w:szCs w:val="21"/>
        </w:rPr>
        <w:t>（</w:t>
      </w:r>
      <w:r>
        <w:rPr>
          <w:rFonts w:hint="eastAsia"/>
          <w:b/>
          <w:bCs/>
          <w:color w:val="auto"/>
        </w:rPr>
        <w:t>必须提供</w:t>
      </w:r>
      <w:r>
        <w:rPr>
          <w:rFonts w:hint="eastAsia" w:hAnsi="宋体"/>
          <w:b/>
          <w:color w:val="auto"/>
          <w:szCs w:val="21"/>
        </w:rPr>
        <w:t>）</w:t>
      </w:r>
    </w:p>
    <w:p>
      <w:pPr>
        <w:spacing w:line="300" w:lineRule="auto"/>
        <w:ind w:left="283" w:leftChars="135" w:right="355" w:rightChars="169"/>
        <w:rPr>
          <w:rFonts w:ascii="宋体" w:hAnsi="宋体"/>
          <w:b/>
          <w:color w:val="auto"/>
          <w:szCs w:val="21"/>
        </w:rPr>
      </w:pPr>
      <w:r>
        <w:rPr>
          <w:rFonts w:hint="eastAsia" w:ascii="宋体" w:hAnsi="宋体"/>
          <w:b/>
          <w:color w:val="auto"/>
          <w:szCs w:val="21"/>
        </w:rPr>
        <w:t>11）</w:t>
      </w:r>
      <w:r>
        <w:rPr>
          <w:rFonts w:ascii="宋体" w:hAnsi="宋体"/>
          <w:b/>
          <w:color w:val="auto"/>
          <w:szCs w:val="21"/>
        </w:rPr>
        <w:t>机动车辆保险条款</w:t>
      </w:r>
      <w:r>
        <w:rPr>
          <w:rFonts w:hint="eastAsia" w:hAnsi="宋体"/>
          <w:b/>
          <w:color w:val="auto"/>
          <w:szCs w:val="21"/>
        </w:rPr>
        <w:t>（</w:t>
      </w:r>
      <w:r>
        <w:rPr>
          <w:rFonts w:hint="eastAsia"/>
          <w:b/>
          <w:bCs/>
          <w:color w:val="auto"/>
        </w:rPr>
        <w:t>必须提供</w:t>
      </w:r>
      <w:r>
        <w:rPr>
          <w:rFonts w:hint="eastAsia" w:hAnsi="宋体"/>
          <w:b/>
          <w:color w:val="auto"/>
          <w:szCs w:val="21"/>
        </w:rPr>
        <w:t>）</w:t>
      </w:r>
    </w:p>
    <w:p>
      <w:pPr>
        <w:spacing w:line="300" w:lineRule="auto"/>
        <w:ind w:left="283" w:leftChars="135" w:right="355" w:rightChars="169"/>
        <w:rPr>
          <w:rFonts w:ascii="宋体" w:hAnsi="宋体"/>
          <w:b/>
          <w:color w:val="auto"/>
          <w:szCs w:val="21"/>
        </w:rPr>
      </w:pPr>
      <w:r>
        <w:rPr>
          <w:rFonts w:hint="eastAsia" w:ascii="宋体" w:hAnsi="宋体"/>
          <w:b/>
          <w:color w:val="auto"/>
          <w:szCs w:val="21"/>
        </w:rPr>
        <w:t>12)</w:t>
      </w:r>
      <w:r>
        <w:rPr>
          <w:rFonts w:hint="eastAsia" w:ascii="宋体"/>
          <w:b/>
          <w:color w:val="auto"/>
          <w:spacing w:val="-5"/>
        </w:rPr>
        <w:t xml:space="preserve"> 竞标人</w:t>
      </w:r>
      <w:r>
        <w:rPr>
          <w:rFonts w:ascii="宋体" w:hAnsi="宋体"/>
          <w:b/>
          <w:color w:val="auto"/>
          <w:szCs w:val="21"/>
        </w:rPr>
        <w:t>认为需提供的其他（如信誉业绩等）证明材料</w:t>
      </w:r>
    </w:p>
    <w:p>
      <w:pPr>
        <w:spacing w:line="300" w:lineRule="auto"/>
        <w:ind w:left="283" w:leftChars="135" w:right="355" w:rightChars="169"/>
        <w:rPr>
          <w:rFonts w:ascii="宋体" w:hAnsi="宋体"/>
          <w:b/>
          <w:color w:val="auto"/>
          <w:szCs w:val="21"/>
        </w:rPr>
      </w:pPr>
    </w:p>
    <w:p>
      <w:pPr>
        <w:spacing w:line="304" w:lineRule="exact"/>
        <w:rPr>
          <w:color w:val="auto"/>
        </w:rPr>
        <w:sectPr>
          <w:footerReference r:id="rId4" w:type="default"/>
          <w:type w:val="continuous"/>
          <w:pgSz w:w="11910" w:h="16840"/>
          <w:pgMar w:top="1580" w:right="1137" w:bottom="1160" w:left="920" w:header="1127" w:footer="972" w:gutter="0"/>
          <w:cols w:space="720" w:num="1"/>
        </w:sectPr>
      </w:pPr>
    </w:p>
    <w:p>
      <w:pPr>
        <w:numPr>
          <w:ilvl w:val="0"/>
          <w:numId w:val="1"/>
        </w:numPr>
        <w:spacing w:line="300" w:lineRule="auto"/>
        <w:rPr>
          <w:rFonts w:ascii="宋体" w:hAnsi="宋体"/>
          <w:b/>
          <w:color w:val="auto"/>
          <w:sz w:val="28"/>
          <w:szCs w:val="28"/>
        </w:rPr>
      </w:pPr>
      <w:r>
        <w:rPr>
          <w:rFonts w:hint="eastAsia" w:ascii="宋体" w:hAnsi="宋体"/>
          <w:b/>
          <w:color w:val="auto"/>
          <w:sz w:val="28"/>
          <w:szCs w:val="28"/>
        </w:rPr>
        <w:t xml:space="preserve"> “磋商书”及“磋商声明书”；</w:t>
      </w:r>
    </w:p>
    <w:p>
      <w:pPr>
        <w:spacing w:line="300" w:lineRule="auto"/>
        <w:rPr>
          <w:rFonts w:ascii="宋体" w:hAnsi="宋体"/>
          <w:b/>
          <w:color w:val="auto"/>
          <w:sz w:val="28"/>
          <w:szCs w:val="28"/>
        </w:rPr>
      </w:pPr>
    </w:p>
    <w:p>
      <w:pPr>
        <w:spacing w:line="300" w:lineRule="auto"/>
        <w:jc w:val="center"/>
        <w:rPr>
          <w:rFonts w:ascii="宋体" w:hAnsi="宋体"/>
          <w:b/>
          <w:color w:val="auto"/>
          <w:sz w:val="32"/>
          <w:szCs w:val="32"/>
        </w:rPr>
      </w:pPr>
      <w:r>
        <w:rPr>
          <w:rFonts w:hint="eastAsia" w:ascii="宋体" w:hAnsi="宋体"/>
          <w:b/>
          <w:color w:val="auto"/>
          <w:sz w:val="32"/>
          <w:szCs w:val="32"/>
        </w:rPr>
        <w:t>磋  商  书（格式）</w:t>
      </w:r>
    </w:p>
    <w:p>
      <w:pPr>
        <w:pStyle w:val="20"/>
        <w:spacing w:line="440" w:lineRule="exact"/>
        <w:rPr>
          <w:rFonts w:hAnsi="宋体"/>
          <w:color w:val="auto"/>
          <w:sz w:val="24"/>
          <w:szCs w:val="24"/>
        </w:rPr>
      </w:pPr>
      <w:r>
        <w:rPr>
          <w:rFonts w:hint="eastAsia" w:hAnsi="宋体"/>
          <w:color w:val="auto"/>
          <w:sz w:val="24"/>
          <w:szCs w:val="24"/>
        </w:rPr>
        <w:t>亿诚建设项目管理有限公司：</w:t>
      </w:r>
    </w:p>
    <w:p>
      <w:pPr>
        <w:pStyle w:val="20"/>
        <w:spacing w:line="440" w:lineRule="exact"/>
        <w:ind w:firstLine="480"/>
        <w:rPr>
          <w:rFonts w:hAnsi="宋体"/>
          <w:color w:val="auto"/>
          <w:sz w:val="24"/>
          <w:szCs w:val="24"/>
        </w:rPr>
      </w:pPr>
      <w:r>
        <w:rPr>
          <w:rFonts w:hint="eastAsia" w:hAnsi="宋体"/>
          <w:color w:val="auto"/>
          <w:sz w:val="24"/>
          <w:szCs w:val="24"/>
        </w:rPr>
        <w:t>依据贵方</w:t>
      </w:r>
      <w:r>
        <w:rPr>
          <w:rFonts w:hint="eastAsia" w:hAnsi="宋体"/>
          <w:color w:val="auto"/>
          <w:sz w:val="24"/>
          <w:szCs w:val="24"/>
          <w:u w:val="single"/>
        </w:rPr>
        <w:t xml:space="preserve">               </w:t>
      </w:r>
      <w:r>
        <w:rPr>
          <w:rFonts w:hint="eastAsia" w:hAnsi="宋体"/>
          <w:color w:val="auto"/>
          <w:sz w:val="24"/>
          <w:szCs w:val="24"/>
        </w:rPr>
        <w:t>项目（采购项目名称及项目编号）采购的磋商邀请，我方</w:t>
      </w:r>
      <w:r>
        <w:rPr>
          <w:rFonts w:hint="eastAsia" w:hAnsi="宋体"/>
          <w:color w:val="auto"/>
          <w:sz w:val="24"/>
          <w:szCs w:val="24"/>
          <w:u w:val="single"/>
        </w:rPr>
        <w:t>（姓名和职务）</w:t>
      </w:r>
      <w:r>
        <w:rPr>
          <w:rFonts w:hint="eastAsia" w:hAnsi="宋体"/>
          <w:color w:val="auto"/>
          <w:sz w:val="24"/>
          <w:szCs w:val="24"/>
        </w:rPr>
        <w:t>经正式授权并代表供应商</w:t>
      </w:r>
      <w:r>
        <w:rPr>
          <w:rFonts w:hint="eastAsia" w:hAnsi="宋体"/>
          <w:color w:val="auto"/>
          <w:sz w:val="24"/>
          <w:szCs w:val="24"/>
          <w:u w:val="single"/>
        </w:rPr>
        <w:t xml:space="preserve">             （</w:t>
      </w:r>
      <w:r>
        <w:rPr>
          <w:rFonts w:hint="eastAsia" w:hAnsi="宋体"/>
          <w:color w:val="auto"/>
          <w:sz w:val="24"/>
          <w:szCs w:val="24"/>
        </w:rPr>
        <w:t>供应商名称、地址</w:t>
      </w:r>
      <w:r>
        <w:rPr>
          <w:rFonts w:hint="eastAsia" w:hAnsi="宋体"/>
          <w:b/>
          <w:color w:val="auto"/>
          <w:sz w:val="24"/>
          <w:szCs w:val="24"/>
        </w:rPr>
        <w:t>）</w:t>
      </w:r>
      <w:r>
        <w:rPr>
          <w:rFonts w:hint="eastAsia" w:hAnsi="宋体"/>
          <w:color w:val="auto"/>
          <w:sz w:val="24"/>
          <w:szCs w:val="24"/>
        </w:rPr>
        <w:t>提交响应文件价格文件、技术文件正本一份和副本</w:t>
      </w:r>
      <w:r>
        <w:rPr>
          <w:rFonts w:hint="eastAsia" w:hAnsi="宋体"/>
          <w:color w:val="auto"/>
          <w:sz w:val="24"/>
          <w:szCs w:val="24"/>
          <w:u w:val="single"/>
        </w:rPr>
        <w:t>四</w:t>
      </w:r>
      <w:r>
        <w:rPr>
          <w:rFonts w:hint="eastAsia" w:hAnsi="宋体"/>
          <w:color w:val="auto"/>
          <w:sz w:val="24"/>
          <w:szCs w:val="24"/>
        </w:rPr>
        <w:t>份。</w:t>
      </w:r>
    </w:p>
    <w:p>
      <w:pPr>
        <w:pStyle w:val="20"/>
        <w:spacing w:line="440" w:lineRule="exact"/>
        <w:rPr>
          <w:rFonts w:hAnsi="宋体"/>
          <w:color w:val="auto"/>
          <w:sz w:val="24"/>
          <w:szCs w:val="24"/>
        </w:rPr>
      </w:pPr>
      <w:r>
        <w:rPr>
          <w:rFonts w:hint="eastAsia" w:hAnsi="宋体"/>
          <w:color w:val="auto"/>
          <w:sz w:val="24"/>
          <w:szCs w:val="24"/>
        </w:rPr>
        <w:t>在此，签字代表宣布同意如下：</w:t>
      </w:r>
    </w:p>
    <w:p>
      <w:pPr>
        <w:pStyle w:val="20"/>
        <w:spacing w:line="440" w:lineRule="exact"/>
        <w:ind w:firstLine="480"/>
        <w:rPr>
          <w:rFonts w:hAnsi="宋体"/>
          <w:color w:val="auto"/>
          <w:sz w:val="24"/>
          <w:szCs w:val="24"/>
        </w:rPr>
      </w:pPr>
      <w:r>
        <w:rPr>
          <w:rFonts w:hint="eastAsia" w:hAnsi="宋体"/>
          <w:color w:val="auto"/>
          <w:sz w:val="24"/>
          <w:szCs w:val="24"/>
        </w:rPr>
        <w:t>1. 将按竞争性磋商文件的约定履行合同责任和义务；</w:t>
      </w:r>
    </w:p>
    <w:p>
      <w:pPr>
        <w:pStyle w:val="20"/>
        <w:spacing w:line="440" w:lineRule="exact"/>
        <w:ind w:left="480"/>
        <w:rPr>
          <w:rFonts w:hAnsi="宋体"/>
          <w:color w:val="auto"/>
          <w:sz w:val="24"/>
          <w:szCs w:val="24"/>
        </w:rPr>
      </w:pPr>
      <w:r>
        <w:rPr>
          <w:rFonts w:hint="eastAsia" w:hAnsi="宋体"/>
          <w:color w:val="auto"/>
          <w:sz w:val="24"/>
          <w:szCs w:val="24"/>
        </w:rPr>
        <w:t>2. 已详细审查全部竞争性磋商文件，包括</w:t>
      </w:r>
      <w:r>
        <w:rPr>
          <w:rFonts w:hint="eastAsia" w:hAnsi="宋体"/>
          <w:color w:val="auto"/>
          <w:sz w:val="24"/>
          <w:szCs w:val="24"/>
          <w:u w:val="single"/>
        </w:rPr>
        <w:t>（补遗文件）（如果有的话）</w:t>
      </w:r>
      <w:r>
        <w:rPr>
          <w:rFonts w:hint="eastAsia" w:hAnsi="宋体"/>
          <w:color w:val="auto"/>
          <w:sz w:val="24"/>
          <w:szCs w:val="24"/>
        </w:rPr>
        <w:t>；将自行承担因对全部竞争性磋商文件（补遗文件）（如果有的话）理解不正确或误解而产生的相应后果；我们完全理解并同意放弃对这方面有不明及误解的权利；</w:t>
      </w:r>
    </w:p>
    <w:p>
      <w:pPr>
        <w:pStyle w:val="20"/>
        <w:spacing w:line="440" w:lineRule="exact"/>
        <w:ind w:left="480"/>
        <w:rPr>
          <w:rFonts w:hAnsi="宋体"/>
          <w:color w:val="auto"/>
          <w:sz w:val="24"/>
          <w:szCs w:val="24"/>
        </w:rPr>
      </w:pPr>
      <w:r>
        <w:rPr>
          <w:rFonts w:hint="eastAsia" w:hAnsi="宋体"/>
          <w:color w:val="auto"/>
          <w:sz w:val="24"/>
          <w:szCs w:val="24"/>
        </w:rPr>
        <w:t>3. 因自身原因，失去联系或无法在磋商小组规定的时间内完成最后报价的，经磋商小组集体讨论，可以认定报价为最后报价或拒绝磋商（对不同意见，以投票表决形式，少数服从多数确定）。</w:t>
      </w:r>
    </w:p>
    <w:p>
      <w:pPr>
        <w:spacing w:line="380" w:lineRule="exact"/>
        <w:ind w:left="105" w:leftChars="50" w:firstLine="360" w:firstLineChars="150"/>
        <w:rPr>
          <w:rFonts w:hAnsi="宋体"/>
          <w:color w:val="auto"/>
          <w:sz w:val="24"/>
        </w:rPr>
      </w:pPr>
      <w:r>
        <w:rPr>
          <w:rFonts w:hint="eastAsia" w:ascii="宋体" w:hAnsi="宋体"/>
          <w:color w:val="auto"/>
          <w:sz w:val="24"/>
        </w:rPr>
        <w:t>4 本项目响应文件有效期：自响应文件递交截止之日起至采购合同签订之日止。</w:t>
      </w:r>
    </w:p>
    <w:p>
      <w:pPr>
        <w:pStyle w:val="20"/>
        <w:spacing w:line="440" w:lineRule="exact"/>
        <w:ind w:left="840" w:hanging="360"/>
        <w:rPr>
          <w:rFonts w:hAnsi="宋体"/>
          <w:color w:val="auto"/>
          <w:sz w:val="24"/>
          <w:szCs w:val="24"/>
        </w:rPr>
      </w:pPr>
      <w:r>
        <w:rPr>
          <w:rFonts w:hint="eastAsia" w:hAnsi="宋体"/>
          <w:color w:val="auto"/>
          <w:sz w:val="24"/>
          <w:szCs w:val="24"/>
        </w:rPr>
        <w:t>5. 同意提供按照贵方可能要求的与其磋商有关的一切数据或资料；</w:t>
      </w:r>
    </w:p>
    <w:p>
      <w:pPr>
        <w:pStyle w:val="20"/>
        <w:spacing w:line="440" w:lineRule="exact"/>
        <w:ind w:firstLine="480"/>
        <w:rPr>
          <w:rFonts w:hAnsi="宋体"/>
          <w:color w:val="auto"/>
          <w:sz w:val="24"/>
          <w:szCs w:val="24"/>
          <w:u w:val="single"/>
        </w:rPr>
      </w:pPr>
      <w:r>
        <w:rPr>
          <w:rFonts w:hint="eastAsia" w:hAnsi="宋体"/>
          <w:color w:val="auto"/>
          <w:sz w:val="24"/>
          <w:szCs w:val="24"/>
        </w:rPr>
        <w:t>6. 与本磋商有关的一切正式往来信函请寄：</w:t>
      </w:r>
      <w:r>
        <w:rPr>
          <w:rFonts w:hint="eastAsia" w:hAnsi="宋体"/>
          <w:color w:val="auto"/>
          <w:sz w:val="24"/>
          <w:szCs w:val="24"/>
          <w:u w:val="single"/>
        </w:rPr>
        <w:t xml:space="preserve">                       </w:t>
      </w:r>
      <w:r>
        <w:rPr>
          <w:rFonts w:hint="eastAsia" w:hAnsi="宋体"/>
          <w:color w:val="auto"/>
          <w:sz w:val="24"/>
          <w:szCs w:val="24"/>
        </w:rPr>
        <w:t>邮政编号：</w:t>
      </w:r>
      <w:r>
        <w:rPr>
          <w:rFonts w:hint="eastAsia" w:hAnsi="宋体"/>
          <w:color w:val="auto"/>
          <w:sz w:val="24"/>
          <w:szCs w:val="24"/>
          <w:u w:val="single"/>
        </w:rPr>
        <w:t xml:space="preserve">    </w:t>
      </w:r>
    </w:p>
    <w:p>
      <w:pPr>
        <w:pStyle w:val="20"/>
        <w:spacing w:line="440" w:lineRule="exact"/>
        <w:ind w:firstLine="840"/>
        <w:rPr>
          <w:rFonts w:hAnsi="宋体"/>
          <w:color w:val="auto"/>
          <w:sz w:val="24"/>
          <w:szCs w:val="24"/>
        </w:rPr>
      </w:pPr>
      <w:r>
        <w:rPr>
          <w:rFonts w:hint="eastAsia" w:hAnsi="宋体"/>
          <w:color w:val="auto"/>
          <w:sz w:val="24"/>
          <w:szCs w:val="24"/>
        </w:rPr>
        <w:t>电话/传真：</w:t>
      </w:r>
      <w:r>
        <w:rPr>
          <w:rFonts w:hint="eastAsia" w:hAnsi="宋体"/>
          <w:color w:val="auto"/>
          <w:sz w:val="24"/>
          <w:szCs w:val="24"/>
          <w:u w:val="single"/>
        </w:rPr>
        <w:t xml:space="preserve">                        </w:t>
      </w:r>
      <w:r>
        <w:rPr>
          <w:rFonts w:hint="eastAsia" w:hAnsi="宋体"/>
          <w:color w:val="auto"/>
          <w:sz w:val="24"/>
          <w:szCs w:val="24"/>
        </w:rPr>
        <w:t xml:space="preserve"> 电子函件：</w:t>
      </w:r>
      <w:r>
        <w:rPr>
          <w:rFonts w:hint="eastAsia" w:hAnsi="宋体"/>
          <w:color w:val="auto"/>
          <w:sz w:val="24"/>
          <w:szCs w:val="24"/>
          <w:u w:val="single"/>
        </w:rPr>
        <w:t xml:space="preserve">             </w:t>
      </w:r>
      <w:r>
        <w:rPr>
          <w:rFonts w:hint="eastAsia" w:hAnsi="宋体"/>
          <w:color w:val="auto"/>
          <w:sz w:val="24"/>
          <w:szCs w:val="24"/>
        </w:rPr>
        <w:t xml:space="preserve">              </w:t>
      </w:r>
    </w:p>
    <w:p>
      <w:pPr>
        <w:pStyle w:val="20"/>
        <w:spacing w:line="440" w:lineRule="exact"/>
        <w:ind w:firstLine="840"/>
        <w:rPr>
          <w:rFonts w:hAnsi="宋体"/>
          <w:color w:val="auto"/>
          <w:sz w:val="24"/>
          <w:szCs w:val="24"/>
          <w:u w:val="single"/>
        </w:rPr>
      </w:pPr>
      <w:r>
        <w:rPr>
          <w:rFonts w:hint="eastAsia" w:hAnsi="宋体"/>
          <w:color w:val="auto"/>
          <w:sz w:val="24"/>
          <w:szCs w:val="24"/>
        </w:rPr>
        <w:t>日期：</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w:t>
      </w:r>
    </w:p>
    <w:p>
      <w:pPr>
        <w:pStyle w:val="20"/>
        <w:spacing w:line="440" w:lineRule="exact"/>
        <w:ind w:firstLine="840"/>
        <w:rPr>
          <w:rFonts w:hAnsi="宋体"/>
          <w:color w:val="auto"/>
          <w:sz w:val="24"/>
          <w:szCs w:val="24"/>
          <w:u w:val="single"/>
        </w:rPr>
      </w:pPr>
      <w:r>
        <w:rPr>
          <w:rFonts w:hint="eastAsia" w:hAnsi="宋体"/>
          <w:color w:val="auto"/>
          <w:sz w:val="24"/>
          <w:szCs w:val="24"/>
        </w:rPr>
        <w:t>法定代表人</w:t>
      </w:r>
      <w:r>
        <w:rPr>
          <w:rFonts w:hint="eastAsia"/>
          <w:bCs/>
          <w:color w:val="auto"/>
          <w:sz w:val="24"/>
          <w:szCs w:val="24"/>
        </w:rPr>
        <w:t>（或负责人）</w:t>
      </w:r>
      <w:r>
        <w:rPr>
          <w:rFonts w:hint="eastAsia" w:hAnsi="宋体"/>
          <w:color w:val="auto"/>
          <w:sz w:val="24"/>
          <w:szCs w:val="24"/>
        </w:rPr>
        <w:t>或被授权人签字：</w:t>
      </w:r>
      <w:r>
        <w:rPr>
          <w:rFonts w:hint="eastAsia" w:hAnsi="宋体"/>
          <w:color w:val="auto"/>
          <w:sz w:val="24"/>
          <w:szCs w:val="24"/>
          <w:u w:val="single"/>
        </w:rPr>
        <w:t xml:space="preserve">                       </w:t>
      </w:r>
    </w:p>
    <w:p>
      <w:pPr>
        <w:pStyle w:val="20"/>
        <w:spacing w:line="440" w:lineRule="exact"/>
        <w:ind w:firstLine="840"/>
        <w:rPr>
          <w:rFonts w:hAnsi="宋体"/>
          <w:color w:val="auto"/>
          <w:sz w:val="24"/>
          <w:szCs w:val="24"/>
        </w:rPr>
      </w:pPr>
      <w:r>
        <w:rPr>
          <w:rFonts w:hint="eastAsia" w:hAnsi="宋体"/>
          <w:color w:val="auto"/>
          <w:sz w:val="24"/>
          <w:szCs w:val="24"/>
        </w:rPr>
        <w:t>磋商供应商（公章）：</w:t>
      </w:r>
      <w:r>
        <w:rPr>
          <w:rFonts w:hint="eastAsia" w:hAnsi="宋体"/>
          <w:color w:val="auto"/>
          <w:sz w:val="24"/>
          <w:szCs w:val="24"/>
          <w:u w:val="single"/>
        </w:rPr>
        <w:t xml:space="preserve">                           </w:t>
      </w:r>
      <w:r>
        <w:rPr>
          <w:rFonts w:hint="eastAsia" w:hAnsi="宋体"/>
          <w:color w:val="auto"/>
          <w:sz w:val="24"/>
          <w:szCs w:val="24"/>
        </w:rPr>
        <w:t xml:space="preserve">                           </w:t>
      </w:r>
    </w:p>
    <w:p>
      <w:pPr>
        <w:pStyle w:val="20"/>
        <w:spacing w:line="440" w:lineRule="exact"/>
        <w:ind w:firstLine="840"/>
        <w:rPr>
          <w:rFonts w:hAnsi="宋体"/>
          <w:b/>
          <w:color w:val="auto"/>
          <w:sz w:val="24"/>
          <w:szCs w:val="24"/>
        </w:rPr>
      </w:pPr>
      <w:r>
        <w:rPr>
          <w:rFonts w:hint="eastAsia" w:hAnsi="宋体"/>
          <w:color w:val="auto"/>
          <w:sz w:val="24"/>
          <w:szCs w:val="24"/>
        </w:rPr>
        <w:t>开户银行：</w:t>
      </w:r>
      <w:r>
        <w:rPr>
          <w:rFonts w:hint="eastAsia" w:hAnsi="宋体"/>
          <w:color w:val="auto"/>
          <w:sz w:val="24"/>
          <w:szCs w:val="24"/>
          <w:u w:val="single"/>
        </w:rPr>
        <w:t xml:space="preserve">                         </w:t>
      </w:r>
      <w:r>
        <w:rPr>
          <w:rFonts w:hint="eastAsia" w:hAnsi="宋体"/>
          <w:color w:val="auto"/>
          <w:sz w:val="24"/>
          <w:szCs w:val="24"/>
        </w:rPr>
        <w:t xml:space="preserve">  账号/行号：</w:t>
      </w:r>
      <w:r>
        <w:rPr>
          <w:rFonts w:hint="eastAsia" w:hAnsi="宋体"/>
          <w:color w:val="auto"/>
          <w:sz w:val="24"/>
          <w:szCs w:val="24"/>
          <w:u w:val="single"/>
        </w:rPr>
        <w:t xml:space="preserve">           </w:t>
      </w:r>
    </w:p>
    <w:p>
      <w:pPr>
        <w:pStyle w:val="20"/>
        <w:spacing w:line="440" w:lineRule="exact"/>
        <w:ind w:firstLine="840"/>
        <w:rPr>
          <w:rFonts w:hAnsi="宋体"/>
          <w:color w:val="auto"/>
          <w:sz w:val="24"/>
          <w:szCs w:val="24"/>
        </w:rPr>
      </w:pPr>
      <w:r>
        <w:rPr>
          <w:rFonts w:hint="eastAsia" w:hAnsi="宋体"/>
          <w:color w:val="auto"/>
          <w:sz w:val="24"/>
          <w:szCs w:val="24"/>
        </w:rPr>
        <w:t xml:space="preserve">      </w:t>
      </w:r>
    </w:p>
    <w:p>
      <w:pPr>
        <w:pStyle w:val="20"/>
        <w:spacing w:line="440" w:lineRule="exact"/>
        <w:ind w:firstLine="840"/>
        <w:rPr>
          <w:rFonts w:hAnsi="宋体"/>
          <w:b/>
          <w:color w:val="auto"/>
          <w:sz w:val="24"/>
          <w:szCs w:val="24"/>
        </w:rPr>
      </w:pPr>
      <w:r>
        <w:rPr>
          <w:rFonts w:hint="eastAsia" w:hAnsi="宋体"/>
          <w:b/>
          <w:color w:val="auto"/>
          <w:sz w:val="24"/>
          <w:szCs w:val="24"/>
        </w:rPr>
        <w:t>注：磋商书必须由法定代表人（或负责人）或被授权人签字并加盖供应商公章。</w:t>
      </w:r>
    </w:p>
    <w:p>
      <w:pPr>
        <w:pStyle w:val="20"/>
        <w:spacing w:line="440" w:lineRule="exact"/>
        <w:ind w:firstLine="840"/>
        <w:rPr>
          <w:rFonts w:hAnsi="宋体"/>
          <w:color w:val="auto"/>
        </w:rPr>
      </w:pPr>
    </w:p>
    <w:p>
      <w:pPr>
        <w:pStyle w:val="20"/>
        <w:spacing w:line="440" w:lineRule="exact"/>
        <w:ind w:firstLine="840"/>
        <w:rPr>
          <w:rFonts w:hAnsi="宋体"/>
          <w:b/>
          <w:color w:val="auto"/>
        </w:rPr>
      </w:pPr>
    </w:p>
    <w:p>
      <w:pPr>
        <w:pStyle w:val="20"/>
        <w:spacing w:line="440" w:lineRule="exact"/>
        <w:ind w:firstLine="840"/>
        <w:rPr>
          <w:rFonts w:hAnsi="宋体"/>
          <w:b/>
          <w:color w:val="auto"/>
        </w:rPr>
      </w:pPr>
    </w:p>
    <w:p>
      <w:pPr>
        <w:pStyle w:val="20"/>
        <w:spacing w:line="440" w:lineRule="exact"/>
        <w:ind w:firstLine="840"/>
        <w:rPr>
          <w:rFonts w:hAnsi="宋体"/>
          <w:b/>
          <w:color w:val="auto"/>
        </w:rPr>
      </w:pPr>
    </w:p>
    <w:p>
      <w:pPr>
        <w:pStyle w:val="20"/>
        <w:spacing w:line="440" w:lineRule="exact"/>
        <w:ind w:firstLine="840"/>
        <w:rPr>
          <w:rFonts w:hAnsi="宋体"/>
          <w:b/>
          <w:color w:val="auto"/>
        </w:rPr>
      </w:pPr>
    </w:p>
    <w:p>
      <w:pPr>
        <w:pStyle w:val="20"/>
        <w:spacing w:line="440" w:lineRule="exact"/>
        <w:ind w:firstLine="840"/>
        <w:rPr>
          <w:rFonts w:hAnsi="宋体"/>
          <w:b/>
          <w:color w:val="auto"/>
        </w:rPr>
      </w:pPr>
    </w:p>
    <w:p>
      <w:pPr>
        <w:pStyle w:val="20"/>
        <w:spacing w:line="440" w:lineRule="exact"/>
        <w:ind w:firstLine="840"/>
        <w:rPr>
          <w:rFonts w:hAnsi="宋体"/>
          <w:b/>
          <w:color w:val="auto"/>
        </w:rPr>
      </w:pPr>
    </w:p>
    <w:p>
      <w:pPr>
        <w:spacing w:line="320" w:lineRule="exact"/>
        <w:jc w:val="center"/>
        <w:rPr>
          <w:rFonts w:ascii="宋体" w:hAnsi="宋体"/>
          <w:b/>
          <w:color w:val="auto"/>
          <w:sz w:val="32"/>
          <w:szCs w:val="32"/>
        </w:rPr>
      </w:pPr>
    </w:p>
    <w:p>
      <w:pPr>
        <w:spacing w:line="320" w:lineRule="exact"/>
        <w:jc w:val="center"/>
        <w:rPr>
          <w:rFonts w:ascii="宋体" w:hAnsi="宋体"/>
          <w:b/>
          <w:color w:val="auto"/>
          <w:sz w:val="32"/>
          <w:szCs w:val="32"/>
        </w:rPr>
      </w:pPr>
      <w:r>
        <w:rPr>
          <w:rFonts w:hint="eastAsia" w:ascii="宋体" w:hAnsi="宋体"/>
          <w:b/>
          <w:color w:val="auto"/>
          <w:sz w:val="32"/>
          <w:szCs w:val="32"/>
        </w:rPr>
        <w:t>磋商声明书（格式）</w:t>
      </w:r>
    </w:p>
    <w:p>
      <w:pPr>
        <w:spacing w:line="320" w:lineRule="exact"/>
        <w:jc w:val="center"/>
        <w:rPr>
          <w:rFonts w:ascii="宋体" w:hAnsi="宋体"/>
          <w:color w:val="auto"/>
          <w:sz w:val="24"/>
          <w:szCs w:val="20"/>
        </w:rPr>
      </w:pPr>
    </w:p>
    <w:p>
      <w:pPr>
        <w:snapToGrid w:val="0"/>
        <w:spacing w:beforeLines="50" w:after="50"/>
        <w:rPr>
          <w:rFonts w:ascii="宋体" w:hAnsi="宋体"/>
          <w:color w:val="auto"/>
          <w:sz w:val="24"/>
        </w:rPr>
      </w:pPr>
      <w:r>
        <w:rPr>
          <w:rFonts w:hint="eastAsia" w:ascii="宋体" w:hAnsi="宋体"/>
          <w:color w:val="auto"/>
          <w:sz w:val="24"/>
        </w:rPr>
        <w:t>致：亿诚建设项目管理有限公司：</w:t>
      </w:r>
    </w:p>
    <w:p>
      <w:pPr>
        <w:snapToGrid w:val="0"/>
        <w:spacing w:beforeLines="50" w:after="50" w:line="360" w:lineRule="exact"/>
        <w:ind w:firstLine="720" w:firstLineChars="300"/>
        <w:rPr>
          <w:rFonts w:ascii="宋体" w:hAnsi="宋体"/>
          <w:color w:val="auto"/>
          <w:sz w:val="24"/>
        </w:rPr>
      </w:pPr>
      <w:r>
        <w:rPr>
          <w:rFonts w:hint="eastAsia" w:ascii="宋体" w:hAnsi="宋体"/>
          <w:color w:val="auto"/>
          <w:sz w:val="24"/>
          <w:u w:val="single"/>
        </w:rPr>
        <w:t>_______ _</w:t>
      </w:r>
      <w:r>
        <w:rPr>
          <w:rFonts w:hint="eastAsia" w:ascii="宋体" w:hAnsi="宋体"/>
          <w:color w:val="auto"/>
          <w:sz w:val="24"/>
        </w:rPr>
        <w:t>（供应商名称）系中华人民共和国合法企业，经营地址</w:t>
      </w:r>
      <w:r>
        <w:rPr>
          <w:rFonts w:hint="eastAsia" w:ascii="宋体" w:hAnsi="宋体"/>
          <w:color w:val="auto"/>
          <w:sz w:val="24"/>
          <w:u w:val="single"/>
        </w:rPr>
        <w:t xml:space="preserve">                  </w:t>
      </w:r>
      <w:r>
        <w:rPr>
          <w:rFonts w:hint="eastAsia" w:ascii="宋体" w:hAnsi="宋体"/>
          <w:color w:val="auto"/>
          <w:sz w:val="24"/>
        </w:rPr>
        <w:t>。</w:t>
      </w:r>
    </w:p>
    <w:p>
      <w:pPr>
        <w:snapToGrid w:val="0"/>
        <w:spacing w:beforeLines="50" w:line="360" w:lineRule="exact"/>
        <w:ind w:firstLine="480" w:firstLineChars="200"/>
        <w:rPr>
          <w:rFonts w:ascii="宋体" w:hAnsi="宋体"/>
          <w:color w:val="auto"/>
          <w:sz w:val="24"/>
        </w:rPr>
      </w:pPr>
      <w:r>
        <w:rPr>
          <w:rFonts w:hint="eastAsia" w:ascii="宋体" w:hAnsi="宋体"/>
          <w:color w:val="auto"/>
          <w:sz w:val="24"/>
        </w:rPr>
        <w:t>我</w:t>
      </w:r>
      <w:r>
        <w:rPr>
          <w:rFonts w:hint="eastAsia" w:ascii="宋体" w:hAnsi="宋体"/>
          <w:color w:val="auto"/>
          <w:sz w:val="24"/>
          <w:u w:val="single"/>
        </w:rPr>
        <w:t>___    __</w:t>
      </w:r>
      <w:r>
        <w:rPr>
          <w:rFonts w:hint="eastAsia" w:ascii="宋体" w:hAnsi="宋体"/>
          <w:color w:val="auto"/>
          <w:sz w:val="24"/>
        </w:rPr>
        <w:t>（姓名）系</w:t>
      </w:r>
      <w:r>
        <w:rPr>
          <w:rFonts w:hint="eastAsia" w:ascii="宋体" w:hAnsi="宋体"/>
          <w:color w:val="auto"/>
          <w:sz w:val="24"/>
          <w:u w:val="single"/>
        </w:rPr>
        <w:t>_______     __</w:t>
      </w:r>
      <w:r>
        <w:rPr>
          <w:rFonts w:hint="eastAsia" w:ascii="宋体" w:hAnsi="宋体"/>
          <w:color w:val="auto"/>
          <w:sz w:val="24"/>
        </w:rPr>
        <w:t>（供应商名称）的法定代表人</w:t>
      </w:r>
      <w:r>
        <w:rPr>
          <w:rFonts w:hint="eastAsia"/>
          <w:bCs/>
          <w:color w:val="auto"/>
          <w:sz w:val="24"/>
        </w:rPr>
        <w:t>（或负责人）</w:t>
      </w:r>
      <w:r>
        <w:rPr>
          <w:rFonts w:hint="eastAsia" w:ascii="宋体" w:hAnsi="宋体"/>
          <w:color w:val="auto"/>
          <w:sz w:val="24"/>
        </w:rPr>
        <w:t>或被授权人，我方愿意参加贵方组织的_____</w:t>
      </w:r>
      <w:r>
        <w:rPr>
          <w:rFonts w:hint="eastAsia" w:ascii="宋体" w:hAnsi="宋体"/>
          <w:color w:val="auto"/>
          <w:sz w:val="24"/>
          <w:u w:val="single"/>
        </w:rPr>
        <w:t>_              _     _</w:t>
      </w:r>
      <w:r>
        <w:rPr>
          <w:rFonts w:hint="eastAsia" w:ascii="宋体" w:hAnsi="宋体"/>
          <w:color w:val="auto"/>
          <w:sz w:val="24"/>
        </w:rPr>
        <w:t>_项目的磋商，为便于贵方公正、择优地确定成交供应商及其产品和服务，我方就本次磋商有关事项郑重声明如下：</w:t>
      </w:r>
    </w:p>
    <w:p>
      <w:pPr>
        <w:snapToGrid w:val="0"/>
        <w:spacing w:line="360" w:lineRule="exact"/>
        <w:ind w:firstLine="480" w:firstLineChars="200"/>
        <w:rPr>
          <w:rFonts w:ascii="宋体" w:hAnsi="宋体"/>
          <w:color w:val="auto"/>
          <w:sz w:val="24"/>
        </w:rPr>
      </w:pPr>
      <w:r>
        <w:rPr>
          <w:rFonts w:hint="eastAsia" w:ascii="宋体" w:hAnsi="宋体"/>
          <w:color w:val="auto"/>
          <w:sz w:val="24"/>
        </w:rPr>
        <w:t>1.我方向贵方提交的所有响应文件、资料都是准确的和真实的。</w:t>
      </w:r>
    </w:p>
    <w:p>
      <w:pPr>
        <w:snapToGrid w:val="0"/>
        <w:spacing w:beforeLines="50" w:line="360" w:lineRule="exact"/>
        <w:ind w:firstLine="480" w:firstLineChars="200"/>
        <w:rPr>
          <w:rFonts w:ascii="宋体" w:hAnsi="宋体"/>
          <w:color w:val="auto"/>
          <w:sz w:val="24"/>
        </w:rPr>
      </w:pPr>
      <w:r>
        <w:rPr>
          <w:rFonts w:hint="eastAsia" w:ascii="宋体" w:hAnsi="宋体"/>
          <w:color w:val="auto"/>
          <w:sz w:val="24"/>
        </w:rPr>
        <w:t>2.我方不是采购人的附属机构；在获知本项目采购信息后，与采购人聘请的为此项目提供咨询服务的公司及其附属机构没有任何联系。</w:t>
      </w:r>
    </w:p>
    <w:p>
      <w:pPr>
        <w:snapToGrid w:val="0"/>
        <w:spacing w:beforeLines="50" w:line="360" w:lineRule="exact"/>
        <w:ind w:firstLine="480" w:firstLineChars="200"/>
        <w:rPr>
          <w:rFonts w:ascii="宋体" w:hAnsi="宋体"/>
          <w:color w:val="auto"/>
          <w:sz w:val="24"/>
        </w:rPr>
      </w:pPr>
      <w:r>
        <w:rPr>
          <w:rFonts w:hint="eastAsia" w:ascii="宋体" w:hAnsi="宋体"/>
          <w:color w:val="auto"/>
          <w:sz w:val="24"/>
        </w:rPr>
        <w:t>3.我方此次向贵方提供的服务名称为：</w:t>
      </w:r>
      <w:r>
        <w:rPr>
          <w:rFonts w:hint="eastAsia" w:ascii="宋体" w:hAnsi="宋体"/>
          <w:color w:val="auto"/>
          <w:sz w:val="24"/>
          <w:u w:val="single"/>
        </w:rPr>
        <w:t xml:space="preserve">                              </w:t>
      </w:r>
      <w:r>
        <w:rPr>
          <w:rFonts w:hint="eastAsia" w:ascii="宋体" w:hAnsi="宋体"/>
          <w:color w:val="auto"/>
          <w:sz w:val="24"/>
        </w:rPr>
        <w:t>。</w:t>
      </w:r>
    </w:p>
    <w:p>
      <w:pPr>
        <w:snapToGrid w:val="0"/>
        <w:spacing w:beforeLines="50" w:line="360" w:lineRule="exact"/>
        <w:ind w:firstLine="480" w:firstLineChars="200"/>
        <w:rPr>
          <w:rFonts w:ascii="宋体" w:hAnsi="宋体"/>
          <w:color w:val="auto"/>
          <w:sz w:val="24"/>
          <w:u w:val="single"/>
        </w:rPr>
      </w:pPr>
      <w:r>
        <w:rPr>
          <w:rFonts w:hint="eastAsia" w:ascii="宋体" w:hAnsi="宋体"/>
          <w:color w:val="auto"/>
          <w:sz w:val="24"/>
        </w:rPr>
        <w:t>4.以上事项如有虚假或隐瞒，我方愿意承担一切后果，并不再寻求任何旨在减轻或免除法律责任的辩解。</w:t>
      </w:r>
    </w:p>
    <w:p>
      <w:pPr>
        <w:snapToGrid w:val="0"/>
        <w:spacing w:line="360" w:lineRule="exact"/>
        <w:ind w:firstLine="480" w:firstLineChars="200"/>
        <w:rPr>
          <w:rFonts w:ascii="宋体" w:hAnsi="宋体"/>
          <w:color w:val="auto"/>
          <w:sz w:val="24"/>
        </w:rPr>
      </w:pPr>
      <w:r>
        <w:rPr>
          <w:rFonts w:hint="eastAsia" w:ascii="宋体" w:hAnsi="宋体"/>
          <w:color w:val="auto"/>
          <w:sz w:val="24"/>
        </w:rPr>
        <w:t>5. 我方在此声明，我方及由本人担任</w:t>
      </w:r>
      <w:r>
        <w:rPr>
          <w:rFonts w:hint="eastAsia" w:hAnsi="宋体"/>
          <w:color w:val="auto"/>
          <w:sz w:val="24"/>
        </w:rPr>
        <w:t>法定代表人</w:t>
      </w:r>
      <w:r>
        <w:rPr>
          <w:rFonts w:hint="eastAsia"/>
          <w:bCs/>
          <w:color w:val="auto"/>
          <w:sz w:val="24"/>
        </w:rPr>
        <w:t>（或负责人）</w:t>
      </w:r>
      <w:r>
        <w:rPr>
          <w:rFonts w:hint="eastAsia" w:ascii="宋体" w:hAnsi="宋体"/>
          <w:color w:val="auto"/>
          <w:sz w:val="24"/>
        </w:rPr>
        <w:t>的其他机构在参加本项目的政府采购活动前三年内，在经营活动中没有重大违法记录，符合《中华人民共和国政府采购法》及《中华人民共和国政府采购实施条例》规定的供应商条件，我方对此声明负全部法律责任。</w:t>
      </w:r>
    </w:p>
    <w:p>
      <w:pPr>
        <w:pStyle w:val="16"/>
        <w:tabs>
          <w:tab w:val="left" w:pos="939"/>
        </w:tabs>
        <w:snapToGrid w:val="0"/>
        <w:ind w:left="773" w:leftChars="150" w:hanging="458" w:hangingChars="191"/>
        <w:rPr>
          <w:rFonts w:ascii="宋体" w:hAnsi="宋体"/>
          <w:color w:val="auto"/>
          <w:sz w:val="24"/>
        </w:rPr>
      </w:pPr>
    </w:p>
    <w:p>
      <w:pPr>
        <w:snapToGrid w:val="0"/>
        <w:spacing w:beforeLines="50" w:after="50"/>
        <w:ind w:right="480" w:firstLine="3120" w:firstLineChars="1300"/>
        <w:rPr>
          <w:rFonts w:ascii="宋体" w:hAnsi="宋体"/>
          <w:color w:val="auto"/>
          <w:sz w:val="24"/>
        </w:rPr>
      </w:pPr>
    </w:p>
    <w:p>
      <w:pPr>
        <w:snapToGrid w:val="0"/>
        <w:spacing w:beforeLines="50" w:after="50"/>
        <w:ind w:right="480" w:firstLine="3120" w:firstLineChars="1300"/>
        <w:rPr>
          <w:rFonts w:ascii="宋体" w:hAnsi="宋体"/>
          <w:color w:val="auto"/>
          <w:sz w:val="24"/>
          <w:u w:val="single"/>
        </w:rPr>
      </w:pPr>
      <w:r>
        <w:rPr>
          <w:rFonts w:hint="eastAsia" w:ascii="宋体" w:hAnsi="宋体"/>
          <w:color w:val="auto"/>
          <w:sz w:val="24"/>
        </w:rPr>
        <w:t>磋商供应商（盖章）：</w:t>
      </w:r>
      <w:r>
        <w:rPr>
          <w:rFonts w:hint="eastAsia" w:ascii="宋体" w:hAnsi="宋体"/>
          <w:color w:val="auto"/>
          <w:sz w:val="24"/>
          <w:u w:val="single"/>
        </w:rPr>
        <w:t xml:space="preserve">                             </w:t>
      </w:r>
    </w:p>
    <w:p>
      <w:pPr>
        <w:snapToGrid w:val="0"/>
        <w:spacing w:beforeLines="50"/>
        <w:ind w:right="480" w:firstLine="3120" w:firstLineChars="1300"/>
        <w:rPr>
          <w:rFonts w:ascii="宋体" w:hAnsi="宋体"/>
          <w:color w:val="auto"/>
          <w:sz w:val="24"/>
          <w:u w:val="single"/>
        </w:rPr>
      </w:pPr>
      <w:r>
        <w:rPr>
          <w:rFonts w:hint="eastAsia" w:ascii="宋体" w:hAnsi="宋体"/>
          <w:color w:val="auto"/>
          <w:sz w:val="24"/>
        </w:rPr>
        <w:t>法定代表人（或负责人）或被授权人签字：</w:t>
      </w:r>
      <w:r>
        <w:rPr>
          <w:rFonts w:hint="eastAsia" w:ascii="宋体" w:hAnsi="宋体"/>
          <w:color w:val="auto"/>
          <w:sz w:val="24"/>
          <w:u w:val="single"/>
        </w:rPr>
        <w:t xml:space="preserve">             </w:t>
      </w:r>
    </w:p>
    <w:p>
      <w:pPr>
        <w:snapToGrid w:val="0"/>
        <w:spacing w:beforeLines="50" w:after="50"/>
        <w:ind w:right="480" w:firstLine="3120" w:firstLineChars="1300"/>
        <w:rPr>
          <w:rFonts w:hAnsi="宋体"/>
          <w:color w:val="auto"/>
          <w:sz w:val="24"/>
        </w:rPr>
      </w:pPr>
      <w:r>
        <w:rPr>
          <w:rFonts w:hint="eastAsia" w:hAnsi="宋体"/>
          <w:color w:val="auto"/>
          <w:sz w:val="24"/>
        </w:rPr>
        <w:t>日期：</w:t>
      </w:r>
      <w:r>
        <w:rPr>
          <w:rFonts w:hint="eastAsia" w:hAnsi="宋体"/>
          <w:color w:val="auto"/>
          <w:sz w:val="24"/>
          <w:u w:val="single"/>
        </w:rPr>
        <w:t xml:space="preserve">     </w:t>
      </w:r>
      <w:r>
        <w:rPr>
          <w:rFonts w:hint="eastAsia" w:hAnsi="宋体"/>
          <w:color w:val="auto"/>
          <w:sz w:val="24"/>
        </w:rPr>
        <w:t>年</w:t>
      </w:r>
      <w:r>
        <w:rPr>
          <w:rFonts w:hint="eastAsia" w:hAnsi="宋体"/>
          <w:color w:val="auto"/>
          <w:sz w:val="24"/>
          <w:u w:val="single"/>
        </w:rPr>
        <w:t xml:space="preserve">     </w:t>
      </w:r>
      <w:r>
        <w:rPr>
          <w:rFonts w:hint="eastAsia" w:hAnsi="宋体"/>
          <w:color w:val="auto"/>
          <w:sz w:val="24"/>
        </w:rPr>
        <w:t>月</w:t>
      </w:r>
      <w:r>
        <w:rPr>
          <w:rFonts w:hint="eastAsia" w:hAnsi="宋体"/>
          <w:color w:val="auto"/>
          <w:sz w:val="24"/>
          <w:u w:val="single"/>
        </w:rPr>
        <w:t xml:space="preserve">    </w:t>
      </w:r>
      <w:r>
        <w:rPr>
          <w:rFonts w:hint="eastAsia" w:hAnsi="宋体"/>
          <w:color w:val="auto"/>
          <w:sz w:val="24"/>
        </w:rPr>
        <w:t xml:space="preserve">日 </w:t>
      </w:r>
    </w:p>
    <w:p>
      <w:pPr>
        <w:pStyle w:val="20"/>
        <w:spacing w:line="440" w:lineRule="exact"/>
        <w:ind w:firstLine="840"/>
        <w:rPr>
          <w:rFonts w:hAnsi="宋体"/>
          <w:color w:val="auto"/>
        </w:rPr>
      </w:pPr>
    </w:p>
    <w:p>
      <w:pPr>
        <w:pStyle w:val="20"/>
        <w:spacing w:line="440" w:lineRule="exact"/>
        <w:ind w:firstLine="840"/>
        <w:rPr>
          <w:rFonts w:hAnsi="宋体"/>
          <w:color w:val="auto"/>
        </w:rPr>
      </w:pPr>
    </w:p>
    <w:p>
      <w:pPr>
        <w:pStyle w:val="20"/>
        <w:spacing w:line="440" w:lineRule="exact"/>
        <w:ind w:firstLine="840"/>
        <w:rPr>
          <w:rFonts w:hAnsi="宋体"/>
          <w:color w:val="auto"/>
        </w:rPr>
      </w:pPr>
    </w:p>
    <w:p>
      <w:pPr>
        <w:pStyle w:val="20"/>
        <w:spacing w:line="440" w:lineRule="exact"/>
        <w:jc w:val="center"/>
        <w:rPr>
          <w:rFonts w:hAnsi="宋体"/>
          <w:color w:val="auto"/>
        </w:rPr>
      </w:pPr>
    </w:p>
    <w:p>
      <w:pPr>
        <w:rPr>
          <w:color w:val="auto"/>
        </w:rPr>
        <w:sectPr>
          <w:pgSz w:w="11910" w:h="16840"/>
          <w:pgMar w:top="1580" w:right="995" w:bottom="1160" w:left="920" w:header="1127" w:footer="972" w:gutter="0"/>
          <w:cols w:space="720" w:num="1"/>
        </w:sectPr>
      </w:pPr>
    </w:p>
    <w:p>
      <w:pPr>
        <w:pStyle w:val="3"/>
        <w:numPr>
          <w:ilvl w:val="0"/>
          <w:numId w:val="1"/>
        </w:numPr>
        <w:ind w:right="397"/>
        <w:jc w:val="both"/>
        <w:rPr>
          <w:color w:val="auto"/>
        </w:rPr>
      </w:pPr>
      <w:bookmarkStart w:id="78" w:name="_Toc42013031"/>
      <w:bookmarkStart w:id="79" w:name="_Toc34904463"/>
      <w:r>
        <w:rPr>
          <w:color w:val="auto"/>
        </w:rPr>
        <w:t>报价表</w:t>
      </w:r>
      <w:bookmarkEnd w:id="78"/>
      <w:bookmarkEnd w:id="79"/>
    </w:p>
    <w:p>
      <w:pPr>
        <w:rPr>
          <w:b/>
          <w:color w:val="auto"/>
          <w:sz w:val="32"/>
          <w:szCs w:val="32"/>
        </w:rPr>
      </w:pPr>
      <w:r>
        <w:rPr>
          <w:rFonts w:hint="eastAsia"/>
          <w:color w:val="auto"/>
        </w:rPr>
        <w:t xml:space="preserve">                                              </w:t>
      </w:r>
      <w:r>
        <w:rPr>
          <w:rFonts w:hint="eastAsia"/>
          <w:b/>
          <w:color w:val="auto"/>
          <w:sz w:val="32"/>
          <w:szCs w:val="32"/>
        </w:rPr>
        <w:t xml:space="preserve"> 报价表</w:t>
      </w:r>
    </w:p>
    <w:tbl>
      <w:tblPr>
        <w:tblStyle w:val="38"/>
        <w:tblW w:w="949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829"/>
        <w:gridCol w:w="985"/>
        <w:gridCol w:w="1968"/>
        <w:gridCol w:w="2451"/>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72" w:type="dxa"/>
            <w:vAlign w:val="center"/>
          </w:tcPr>
          <w:p>
            <w:pPr>
              <w:jc w:val="center"/>
              <w:rPr>
                <w:rFonts w:ascii="宋体" w:hAnsi="宋体"/>
                <w:color w:val="auto"/>
                <w:sz w:val="24"/>
              </w:rPr>
            </w:pPr>
            <w:r>
              <w:rPr>
                <w:rFonts w:hint="eastAsia" w:ascii="宋体" w:hAnsi="宋体"/>
                <w:color w:val="auto"/>
                <w:sz w:val="24"/>
              </w:rPr>
              <w:t>序号</w:t>
            </w:r>
          </w:p>
        </w:tc>
        <w:tc>
          <w:tcPr>
            <w:tcW w:w="1829" w:type="dxa"/>
            <w:vAlign w:val="center"/>
          </w:tcPr>
          <w:p>
            <w:pPr>
              <w:jc w:val="center"/>
              <w:rPr>
                <w:rFonts w:ascii="宋体" w:hAnsi="宋体"/>
                <w:color w:val="auto"/>
                <w:sz w:val="24"/>
              </w:rPr>
            </w:pPr>
            <w:r>
              <w:rPr>
                <w:rFonts w:hint="eastAsia" w:ascii="宋体" w:hAnsi="宋体"/>
                <w:color w:val="auto"/>
                <w:sz w:val="24"/>
              </w:rPr>
              <w:t>服务名称</w:t>
            </w:r>
          </w:p>
        </w:tc>
        <w:tc>
          <w:tcPr>
            <w:tcW w:w="985" w:type="dxa"/>
            <w:vAlign w:val="center"/>
          </w:tcPr>
          <w:p>
            <w:pPr>
              <w:jc w:val="center"/>
              <w:rPr>
                <w:rFonts w:ascii="宋体" w:hAnsi="宋体"/>
                <w:color w:val="auto"/>
                <w:sz w:val="24"/>
              </w:rPr>
            </w:pPr>
            <w:r>
              <w:rPr>
                <w:rFonts w:hint="eastAsia" w:ascii="宋体" w:hAnsi="宋体"/>
                <w:color w:val="auto"/>
                <w:sz w:val="24"/>
              </w:rPr>
              <w:t>计量单位</w:t>
            </w:r>
          </w:p>
        </w:tc>
        <w:tc>
          <w:tcPr>
            <w:tcW w:w="1968" w:type="dxa"/>
            <w:vAlign w:val="center"/>
          </w:tcPr>
          <w:p>
            <w:pPr>
              <w:jc w:val="center"/>
              <w:rPr>
                <w:rFonts w:ascii="宋体" w:hAnsi="宋体"/>
                <w:color w:val="auto"/>
                <w:sz w:val="24"/>
              </w:rPr>
            </w:pPr>
            <w:r>
              <w:rPr>
                <w:rFonts w:hint="eastAsia" w:ascii="宋体" w:hAnsi="宋体"/>
                <w:color w:val="auto"/>
                <w:sz w:val="24"/>
              </w:rPr>
              <w:t>数量（年投保数）</w:t>
            </w:r>
          </w:p>
        </w:tc>
        <w:tc>
          <w:tcPr>
            <w:tcW w:w="2451" w:type="dxa"/>
            <w:vAlign w:val="center"/>
          </w:tcPr>
          <w:p>
            <w:pPr>
              <w:jc w:val="center"/>
              <w:rPr>
                <w:rFonts w:ascii="宋体" w:hAnsi="宋体"/>
                <w:color w:val="auto"/>
                <w:sz w:val="24"/>
              </w:rPr>
            </w:pPr>
            <w:r>
              <w:rPr>
                <w:rFonts w:hint="eastAsia" w:ascii="宋体" w:hAnsi="宋体"/>
                <w:color w:val="auto"/>
                <w:sz w:val="24"/>
              </w:rPr>
              <w:t>投保</w:t>
            </w:r>
          </w:p>
          <w:p>
            <w:pPr>
              <w:jc w:val="center"/>
              <w:rPr>
                <w:rFonts w:ascii="宋体" w:hAnsi="宋体"/>
                <w:color w:val="auto"/>
                <w:sz w:val="24"/>
              </w:rPr>
            </w:pPr>
            <w:r>
              <w:rPr>
                <w:rFonts w:hint="eastAsia" w:ascii="宋体" w:hAnsi="宋体"/>
                <w:color w:val="auto"/>
                <w:sz w:val="24"/>
              </w:rPr>
              <w:t>年限（年）</w:t>
            </w:r>
          </w:p>
        </w:tc>
        <w:tc>
          <w:tcPr>
            <w:tcW w:w="1586" w:type="dxa"/>
            <w:vAlign w:val="center"/>
          </w:tcPr>
          <w:p>
            <w:pPr>
              <w:jc w:val="center"/>
              <w:rPr>
                <w:rFonts w:ascii="宋体" w:hAnsi="宋体"/>
                <w:color w:val="auto"/>
                <w:sz w:val="24"/>
              </w:rPr>
            </w:pPr>
            <w:r>
              <w:rPr>
                <w:rFonts w:hint="eastAsia" w:ascii="宋体" w:hAnsi="宋体"/>
                <w:color w:val="auto"/>
                <w:sz w:val="24"/>
              </w:rPr>
              <w:t>总报价（元）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672" w:type="dxa"/>
            <w:vAlign w:val="center"/>
          </w:tcPr>
          <w:p>
            <w:pPr>
              <w:jc w:val="center"/>
              <w:rPr>
                <w:rFonts w:ascii="宋体" w:hAnsi="宋体"/>
                <w:color w:val="auto"/>
                <w:sz w:val="24"/>
              </w:rPr>
            </w:pPr>
            <w:r>
              <w:rPr>
                <w:rFonts w:ascii="宋体" w:hAnsi="宋体"/>
                <w:color w:val="auto"/>
                <w:sz w:val="24"/>
              </w:rPr>
              <w:t>1</w:t>
            </w:r>
          </w:p>
        </w:tc>
        <w:tc>
          <w:tcPr>
            <w:tcW w:w="1829" w:type="dxa"/>
            <w:vAlign w:val="center"/>
          </w:tcPr>
          <w:p>
            <w:pPr>
              <w:jc w:val="center"/>
              <w:rPr>
                <w:rFonts w:ascii="宋体" w:hAnsi="宋体"/>
                <w:color w:val="auto"/>
                <w:sz w:val="24"/>
              </w:rPr>
            </w:pPr>
            <w:r>
              <w:rPr>
                <w:rFonts w:hint="eastAsia" w:ascii="宋体" w:hAnsi="宋体"/>
                <w:color w:val="auto"/>
                <w:sz w:val="24"/>
              </w:rPr>
              <w:t>2020年至2021年年度行政事业公务用车定点保险服务采购</w:t>
            </w:r>
          </w:p>
        </w:tc>
        <w:tc>
          <w:tcPr>
            <w:tcW w:w="985" w:type="dxa"/>
            <w:vAlign w:val="center"/>
          </w:tcPr>
          <w:p>
            <w:pPr>
              <w:ind w:right="-42" w:rightChars="-20"/>
              <w:jc w:val="center"/>
              <w:rPr>
                <w:rFonts w:ascii="宋体" w:hAnsi="宋体"/>
                <w:color w:val="auto"/>
                <w:sz w:val="24"/>
              </w:rPr>
            </w:pPr>
            <w:r>
              <w:rPr>
                <w:rFonts w:hint="eastAsia" w:ascii="宋体" w:hAnsi="宋体"/>
                <w:color w:val="auto"/>
                <w:sz w:val="24"/>
              </w:rPr>
              <w:t>台/年</w:t>
            </w:r>
          </w:p>
        </w:tc>
        <w:tc>
          <w:tcPr>
            <w:tcW w:w="1968" w:type="dxa"/>
            <w:vAlign w:val="center"/>
          </w:tcPr>
          <w:p>
            <w:pPr>
              <w:jc w:val="center"/>
              <w:rPr>
                <w:rFonts w:ascii="宋体" w:hAnsi="宋体"/>
                <w:color w:val="auto"/>
                <w:sz w:val="24"/>
              </w:rPr>
            </w:pPr>
            <w:r>
              <w:rPr>
                <w:rFonts w:hint="eastAsia" w:ascii="宋体" w:hAnsi="宋体"/>
                <w:color w:val="auto"/>
                <w:sz w:val="24"/>
              </w:rPr>
              <w:t>69</w:t>
            </w:r>
          </w:p>
        </w:tc>
        <w:tc>
          <w:tcPr>
            <w:tcW w:w="2451" w:type="dxa"/>
            <w:vAlign w:val="center"/>
          </w:tcPr>
          <w:p>
            <w:pPr>
              <w:jc w:val="center"/>
              <w:rPr>
                <w:rFonts w:ascii="宋体" w:hAnsi="宋体"/>
                <w:color w:val="auto"/>
                <w:sz w:val="24"/>
              </w:rPr>
            </w:pPr>
            <w:r>
              <w:rPr>
                <w:rFonts w:hint="eastAsia" w:ascii="宋体" w:hAnsi="宋体"/>
                <w:color w:val="auto"/>
                <w:sz w:val="24"/>
              </w:rPr>
              <w:t>2年</w:t>
            </w:r>
          </w:p>
        </w:tc>
        <w:tc>
          <w:tcPr>
            <w:tcW w:w="1586"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9491" w:type="dxa"/>
            <w:gridSpan w:val="6"/>
          </w:tcPr>
          <w:p>
            <w:pPr>
              <w:rPr>
                <w:rFonts w:ascii="宋体" w:hAnsi="宋体"/>
                <w:color w:val="auto"/>
                <w:sz w:val="24"/>
              </w:rPr>
            </w:pPr>
          </w:p>
          <w:p>
            <w:pPr>
              <w:rPr>
                <w:rFonts w:ascii="宋体" w:hAnsi="宋体"/>
                <w:color w:val="auto"/>
                <w:sz w:val="24"/>
              </w:rPr>
            </w:pPr>
            <w:r>
              <w:rPr>
                <w:rFonts w:hint="eastAsia" w:ascii="宋体" w:hAnsi="宋体"/>
                <w:color w:val="auto"/>
                <w:sz w:val="24"/>
              </w:rPr>
              <w:t>投 标 总 价：           元整（</w:t>
            </w:r>
            <w:r>
              <w:rPr>
                <w:rFonts w:hint="eastAsia" w:ascii="宋体" w:hAnsi="宋体"/>
                <w:color w:val="auto"/>
                <w:sz w:val="24"/>
                <w:shd w:val="clear" w:color="auto" w:fill="FFFFFF"/>
              </w:rPr>
              <w:t xml:space="preserve">￥           </w:t>
            </w:r>
            <w:r>
              <w:rPr>
                <w:rFonts w:hint="eastAsia" w:ascii="宋体" w:hAnsi="宋体"/>
                <w:color w:val="auto"/>
                <w:sz w:val="24"/>
              </w:rPr>
              <w:t>元）</w:t>
            </w:r>
          </w:p>
          <w:p>
            <w:pPr>
              <w:rPr>
                <w:rFonts w:ascii="宋体" w:hAnsi="宋体"/>
                <w:color w:val="auto"/>
                <w:sz w:val="24"/>
              </w:rPr>
            </w:pPr>
            <w:r>
              <w:rPr>
                <w:rFonts w:hint="eastAsia" w:ascii="宋体" w:hAnsi="宋体"/>
                <w:color w:val="auto"/>
                <w:sz w:val="24"/>
              </w:rPr>
              <w:t>保险期限：贰年(即自签订合同之日起计算)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9491" w:type="dxa"/>
            <w:gridSpan w:val="6"/>
          </w:tcPr>
          <w:p>
            <w:pPr>
              <w:rPr>
                <w:rFonts w:ascii="宋体" w:hAnsi="宋体"/>
                <w:color w:val="auto"/>
                <w:sz w:val="24"/>
              </w:rPr>
            </w:pPr>
          </w:p>
          <w:p>
            <w:pPr>
              <w:rPr>
                <w:rFonts w:ascii="宋体" w:hAnsi="宋体"/>
                <w:color w:val="auto"/>
                <w:sz w:val="24"/>
              </w:rPr>
            </w:pPr>
            <w:r>
              <w:rPr>
                <w:rFonts w:hint="eastAsia" w:ascii="宋体" w:hAnsi="宋体"/>
                <w:color w:val="auto"/>
                <w:sz w:val="24"/>
              </w:rPr>
              <w:t>说明 ：投标报价是履行合同的最终价格，应包括：</w:t>
            </w:r>
          </w:p>
          <w:p>
            <w:pPr>
              <w:rPr>
                <w:rFonts w:ascii="宋体" w:hAnsi="宋体"/>
                <w:color w:val="auto"/>
                <w:sz w:val="24"/>
              </w:rPr>
            </w:pPr>
            <w:r>
              <w:rPr>
                <w:rFonts w:hint="eastAsia" w:ascii="宋体" w:hAnsi="宋体"/>
                <w:color w:val="auto"/>
                <w:sz w:val="24"/>
              </w:rPr>
              <w:t>（1）完成采购人指定服务内容的基本费用；</w:t>
            </w:r>
          </w:p>
          <w:p>
            <w:pPr>
              <w:rPr>
                <w:rFonts w:ascii="宋体" w:hAnsi="宋体"/>
                <w:color w:val="auto"/>
                <w:sz w:val="24"/>
              </w:rPr>
            </w:pPr>
            <w:r>
              <w:rPr>
                <w:rFonts w:hint="eastAsia" w:ascii="宋体" w:hAnsi="宋体"/>
                <w:color w:val="auto"/>
                <w:sz w:val="24"/>
              </w:rPr>
              <w:t>（2）完成项目所需的全部人工费用 （包含但不限于派出工作人员的交通费、住宿费、伙食补助费） ；</w:t>
            </w:r>
          </w:p>
          <w:p>
            <w:pPr>
              <w:rPr>
                <w:rFonts w:ascii="宋体" w:hAnsi="宋体"/>
                <w:color w:val="auto"/>
                <w:sz w:val="24"/>
              </w:rPr>
            </w:pPr>
            <w:r>
              <w:rPr>
                <w:rFonts w:hint="eastAsia" w:ascii="宋体" w:hAnsi="宋体"/>
                <w:color w:val="auto"/>
                <w:sz w:val="24"/>
              </w:rPr>
              <w:t>（3）其他费用（包括但不限于知识产权、技术支持、售后服务等费用）；</w:t>
            </w:r>
          </w:p>
          <w:p>
            <w:pPr>
              <w:rPr>
                <w:rFonts w:ascii="宋体" w:hAnsi="宋体"/>
                <w:color w:val="auto"/>
                <w:sz w:val="24"/>
              </w:rPr>
            </w:pPr>
            <w:r>
              <w:rPr>
                <w:rFonts w:hint="eastAsia" w:ascii="宋体" w:hAnsi="宋体"/>
                <w:color w:val="auto"/>
                <w:sz w:val="24"/>
              </w:rPr>
              <w:t>（4）招标代理服务费，必要的保险费用和各项税费等一切完成本项目服务所需要的费用。</w:t>
            </w:r>
          </w:p>
        </w:tc>
      </w:tr>
    </w:tbl>
    <w:p>
      <w:pPr>
        <w:pStyle w:val="3"/>
        <w:ind w:right="397"/>
        <w:jc w:val="both"/>
        <w:rPr>
          <w:rFonts w:ascii="宋体" w:hAnsi="宋体"/>
          <w:b w:val="0"/>
          <w:color w:val="auto"/>
        </w:rPr>
      </w:pPr>
    </w:p>
    <w:p>
      <w:pPr>
        <w:spacing w:line="320" w:lineRule="exact"/>
        <w:jc w:val="center"/>
        <w:rPr>
          <w:rFonts w:ascii="宋体" w:hAnsi="宋体"/>
          <w:b/>
          <w:color w:val="auto"/>
          <w:sz w:val="24"/>
        </w:rPr>
      </w:pPr>
    </w:p>
    <w:p>
      <w:pPr>
        <w:snapToGrid w:val="0"/>
        <w:spacing w:beforeLines="50" w:after="50"/>
        <w:ind w:right="480" w:firstLine="3120" w:firstLineChars="1300"/>
        <w:rPr>
          <w:rFonts w:ascii="宋体" w:hAnsi="宋体"/>
          <w:color w:val="auto"/>
          <w:sz w:val="24"/>
          <w:u w:val="single"/>
        </w:rPr>
      </w:pPr>
      <w:r>
        <w:rPr>
          <w:rFonts w:hint="eastAsia" w:ascii="宋体" w:hAnsi="宋体"/>
          <w:color w:val="auto"/>
          <w:sz w:val="24"/>
        </w:rPr>
        <w:t>磋商供应商</w:t>
      </w:r>
      <w:r>
        <w:rPr>
          <w:rFonts w:ascii="宋体" w:hAnsi="宋体"/>
          <w:color w:val="auto"/>
          <w:sz w:val="24"/>
        </w:rPr>
        <w:t>（公章）</w:t>
      </w:r>
      <w:r>
        <w:rPr>
          <w:rFonts w:hint="eastAsia" w:ascii="宋体" w:hAnsi="宋体"/>
          <w:color w:val="auto"/>
          <w:sz w:val="24"/>
        </w:rPr>
        <w:t>：</w:t>
      </w:r>
      <w:r>
        <w:rPr>
          <w:rFonts w:hint="eastAsia" w:ascii="宋体" w:hAnsi="宋体"/>
          <w:color w:val="auto"/>
          <w:sz w:val="24"/>
          <w:u w:val="single"/>
        </w:rPr>
        <w:t xml:space="preserve">                             </w:t>
      </w:r>
    </w:p>
    <w:p>
      <w:pPr>
        <w:spacing w:line="320" w:lineRule="exact"/>
        <w:jc w:val="center"/>
        <w:rPr>
          <w:rFonts w:ascii="宋体" w:hAnsi="宋体"/>
          <w:b/>
          <w:color w:val="auto"/>
          <w:sz w:val="24"/>
        </w:rPr>
      </w:pPr>
    </w:p>
    <w:p>
      <w:pPr>
        <w:snapToGrid w:val="0"/>
        <w:spacing w:beforeLines="50"/>
        <w:ind w:right="480" w:firstLine="3120" w:firstLineChars="1300"/>
        <w:rPr>
          <w:rFonts w:ascii="宋体" w:hAnsi="宋体"/>
          <w:color w:val="auto"/>
          <w:sz w:val="24"/>
          <w:u w:val="single"/>
        </w:rPr>
      </w:pPr>
      <w:r>
        <w:rPr>
          <w:rFonts w:hint="eastAsia" w:ascii="宋体" w:hAnsi="宋体"/>
          <w:color w:val="auto"/>
          <w:sz w:val="24"/>
        </w:rPr>
        <w:t>法定代表人（或负责人）或被授权人签字：</w:t>
      </w:r>
      <w:r>
        <w:rPr>
          <w:rFonts w:hint="eastAsia" w:ascii="宋体" w:hAnsi="宋体"/>
          <w:color w:val="auto"/>
          <w:sz w:val="24"/>
          <w:u w:val="single"/>
        </w:rPr>
        <w:t xml:space="preserve">             </w:t>
      </w:r>
    </w:p>
    <w:p>
      <w:pPr>
        <w:pStyle w:val="20"/>
        <w:spacing w:line="300" w:lineRule="auto"/>
        <w:ind w:firstLine="5640" w:firstLineChars="2350"/>
        <w:rPr>
          <w:rFonts w:hAnsi="宋体"/>
          <w:color w:val="auto"/>
          <w:sz w:val="24"/>
          <w:szCs w:val="24"/>
        </w:rPr>
      </w:pPr>
      <w:r>
        <w:rPr>
          <w:rFonts w:hint="eastAsia" w:hAnsi="宋体"/>
          <w:color w:val="auto"/>
          <w:sz w:val="24"/>
          <w:szCs w:val="24"/>
        </w:rPr>
        <w:t>日期：</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 xml:space="preserve">日 </w:t>
      </w:r>
    </w:p>
    <w:p>
      <w:pPr>
        <w:spacing w:line="320" w:lineRule="exact"/>
        <w:jc w:val="center"/>
        <w:rPr>
          <w:rFonts w:ascii="宋体" w:hAnsi="宋体"/>
          <w:b/>
          <w:color w:val="auto"/>
          <w:sz w:val="32"/>
          <w:szCs w:val="32"/>
        </w:rPr>
      </w:pPr>
    </w:p>
    <w:p>
      <w:pPr>
        <w:spacing w:line="320" w:lineRule="exact"/>
        <w:jc w:val="center"/>
        <w:rPr>
          <w:rFonts w:ascii="宋体" w:hAnsi="宋体"/>
          <w:b/>
          <w:color w:val="auto"/>
          <w:sz w:val="32"/>
          <w:szCs w:val="32"/>
        </w:rPr>
      </w:pPr>
    </w:p>
    <w:p>
      <w:pPr>
        <w:spacing w:line="320" w:lineRule="exact"/>
        <w:jc w:val="center"/>
        <w:rPr>
          <w:rFonts w:ascii="宋体" w:hAnsi="宋体"/>
          <w:b/>
          <w:color w:val="auto"/>
          <w:sz w:val="32"/>
          <w:szCs w:val="32"/>
        </w:rPr>
      </w:pPr>
    </w:p>
    <w:p>
      <w:pPr>
        <w:spacing w:line="320" w:lineRule="exact"/>
        <w:jc w:val="center"/>
        <w:rPr>
          <w:rFonts w:ascii="宋体" w:hAnsi="宋体"/>
          <w:b/>
          <w:color w:val="auto"/>
          <w:sz w:val="32"/>
          <w:szCs w:val="32"/>
        </w:rPr>
      </w:pPr>
    </w:p>
    <w:p>
      <w:pPr>
        <w:spacing w:line="320" w:lineRule="exact"/>
        <w:jc w:val="center"/>
        <w:rPr>
          <w:rFonts w:ascii="宋体" w:hAnsi="宋体"/>
          <w:b/>
          <w:color w:val="auto"/>
          <w:sz w:val="32"/>
          <w:szCs w:val="32"/>
        </w:rPr>
      </w:pPr>
    </w:p>
    <w:p>
      <w:pPr>
        <w:spacing w:line="320" w:lineRule="exact"/>
        <w:jc w:val="center"/>
        <w:rPr>
          <w:rFonts w:ascii="宋体" w:hAnsi="宋体"/>
          <w:b/>
          <w:color w:val="auto"/>
          <w:sz w:val="32"/>
          <w:szCs w:val="32"/>
        </w:rPr>
      </w:pPr>
    </w:p>
    <w:p>
      <w:pPr>
        <w:spacing w:line="320" w:lineRule="exact"/>
        <w:jc w:val="center"/>
        <w:rPr>
          <w:rFonts w:ascii="宋体" w:hAnsi="宋体"/>
          <w:b/>
          <w:color w:val="auto"/>
          <w:sz w:val="32"/>
          <w:szCs w:val="32"/>
        </w:rPr>
      </w:pPr>
    </w:p>
    <w:p>
      <w:pPr>
        <w:spacing w:line="320" w:lineRule="exact"/>
        <w:jc w:val="center"/>
        <w:rPr>
          <w:rFonts w:hint="eastAsia" w:ascii="宋体" w:hAnsi="宋体"/>
          <w:b/>
          <w:color w:val="auto"/>
          <w:sz w:val="32"/>
          <w:szCs w:val="32"/>
        </w:rPr>
      </w:pPr>
    </w:p>
    <w:p>
      <w:pPr>
        <w:spacing w:line="320" w:lineRule="exact"/>
        <w:jc w:val="center"/>
        <w:rPr>
          <w:rFonts w:hint="eastAsia" w:ascii="宋体" w:hAnsi="宋体"/>
          <w:b/>
          <w:color w:val="auto"/>
          <w:sz w:val="32"/>
          <w:szCs w:val="32"/>
        </w:rPr>
      </w:pPr>
    </w:p>
    <w:p>
      <w:pPr>
        <w:spacing w:line="320" w:lineRule="exact"/>
        <w:jc w:val="center"/>
        <w:rPr>
          <w:rFonts w:ascii="宋体" w:hAnsi="宋体"/>
          <w:b/>
          <w:color w:val="auto"/>
          <w:sz w:val="32"/>
          <w:szCs w:val="32"/>
        </w:rPr>
      </w:pPr>
    </w:p>
    <w:p>
      <w:pPr>
        <w:spacing w:line="320" w:lineRule="exact"/>
        <w:jc w:val="center"/>
        <w:rPr>
          <w:rFonts w:ascii="宋体" w:hAnsi="宋体"/>
          <w:b/>
          <w:color w:val="auto"/>
          <w:sz w:val="32"/>
          <w:szCs w:val="32"/>
        </w:rPr>
      </w:pPr>
    </w:p>
    <w:p>
      <w:pPr>
        <w:spacing w:line="320" w:lineRule="exact"/>
        <w:jc w:val="center"/>
        <w:rPr>
          <w:rFonts w:ascii="宋体" w:hAnsi="宋体"/>
          <w:b/>
          <w:color w:val="auto"/>
          <w:sz w:val="32"/>
          <w:szCs w:val="32"/>
        </w:rPr>
      </w:pPr>
    </w:p>
    <w:p>
      <w:pPr>
        <w:pStyle w:val="20"/>
        <w:spacing w:line="440" w:lineRule="exact"/>
        <w:jc w:val="center"/>
        <w:rPr>
          <w:rFonts w:hAnsi="宋体"/>
          <w:b/>
          <w:color w:val="auto"/>
          <w:sz w:val="32"/>
          <w:szCs w:val="32"/>
        </w:rPr>
      </w:pPr>
      <w:r>
        <w:rPr>
          <w:rFonts w:hint="eastAsia" w:hAnsi="宋体"/>
          <w:b/>
          <w:color w:val="auto"/>
          <w:sz w:val="32"/>
          <w:szCs w:val="32"/>
        </w:rPr>
        <w:t>3）磋商响应表</w:t>
      </w:r>
    </w:p>
    <w:p>
      <w:pPr>
        <w:pStyle w:val="20"/>
        <w:spacing w:line="440" w:lineRule="exact"/>
        <w:jc w:val="center"/>
        <w:rPr>
          <w:rFonts w:hAnsi="宋体"/>
          <w:b/>
          <w:color w:val="auto"/>
          <w:sz w:val="32"/>
          <w:szCs w:val="32"/>
        </w:rPr>
      </w:pPr>
    </w:p>
    <w:p>
      <w:pPr>
        <w:spacing w:line="360" w:lineRule="auto"/>
        <w:ind w:firstLine="240" w:firstLineChars="100"/>
        <w:rPr>
          <w:rFonts w:ascii="宋体" w:hAnsi="宋体"/>
          <w:color w:val="auto"/>
          <w:sz w:val="24"/>
        </w:rPr>
      </w:pPr>
      <w:r>
        <w:rPr>
          <w:rFonts w:hint="eastAsia" w:ascii="宋体" w:hAnsi="宋体"/>
          <w:color w:val="auto"/>
          <w:sz w:val="24"/>
        </w:rPr>
        <w:t>请逐条对应采购文件的第三章“项目基本情况及要求”中的服务要求，认真填写该表。</w:t>
      </w:r>
    </w:p>
    <w:tbl>
      <w:tblPr>
        <w:tblStyle w:val="38"/>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2727"/>
        <w:gridCol w:w="2868"/>
        <w:gridCol w:w="2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675" w:type="dxa"/>
            <w:vAlign w:val="center"/>
          </w:tcPr>
          <w:p>
            <w:pPr>
              <w:jc w:val="center"/>
              <w:rPr>
                <w:color w:val="auto"/>
                <w:sz w:val="24"/>
              </w:rPr>
            </w:pPr>
            <w:r>
              <w:rPr>
                <w:rFonts w:hint="eastAsia"/>
                <w:color w:val="auto"/>
                <w:sz w:val="24"/>
              </w:rPr>
              <w:t>序号</w:t>
            </w:r>
          </w:p>
        </w:tc>
        <w:tc>
          <w:tcPr>
            <w:tcW w:w="2727" w:type="dxa"/>
            <w:vAlign w:val="center"/>
          </w:tcPr>
          <w:p>
            <w:pPr>
              <w:jc w:val="center"/>
              <w:rPr>
                <w:color w:val="auto"/>
                <w:sz w:val="24"/>
              </w:rPr>
            </w:pPr>
            <w:r>
              <w:rPr>
                <w:rFonts w:hint="eastAsia"/>
                <w:color w:val="auto"/>
                <w:sz w:val="24"/>
              </w:rPr>
              <w:t>采购文件要求</w:t>
            </w:r>
          </w:p>
        </w:tc>
        <w:tc>
          <w:tcPr>
            <w:tcW w:w="2868" w:type="dxa"/>
            <w:vAlign w:val="center"/>
          </w:tcPr>
          <w:p>
            <w:pPr>
              <w:jc w:val="center"/>
              <w:rPr>
                <w:color w:val="auto"/>
                <w:sz w:val="24"/>
              </w:rPr>
            </w:pPr>
            <w:r>
              <w:rPr>
                <w:rFonts w:hint="eastAsia"/>
                <w:color w:val="auto"/>
                <w:sz w:val="24"/>
              </w:rPr>
              <w:t>竞标文件响应情况</w:t>
            </w:r>
          </w:p>
        </w:tc>
        <w:tc>
          <w:tcPr>
            <w:tcW w:w="2710" w:type="dxa"/>
            <w:vAlign w:val="center"/>
          </w:tcPr>
          <w:p>
            <w:pPr>
              <w:jc w:val="center"/>
              <w:rPr>
                <w:color w:val="auto"/>
                <w:sz w:val="24"/>
              </w:rPr>
            </w:pPr>
            <w:r>
              <w:rPr>
                <w:rFonts w:hint="eastAsia"/>
                <w:color w:val="auto"/>
                <w:sz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675" w:type="dxa"/>
          </w:tcPr>
          <w:p>
            <w:pPr>
              <w:pStyle w:val="20"/>
              <w:spacing w:line="440" w:lineRule="exact"/>
              <w:jc w:val="center"/>
              <w:rPr>
                <w:rFonts w:hAnsi="宋体"/>
                <w:b/>
                <w:color w:val="auto"/>
                <w:sz w:val="24"/>
                <w:szCs w:val="24"/>
              </w:rPr>
            </w:pPr>
          </w:p>
        </w:tc>
        <w:tc>
          <w:tcPr>
            <w:tcW w:w="2727" w:type="dxa"/>
          </w:tcPr>
          <w:p>
            <w:pPr>
              <w:pStyle w:val="20"/>
              <w:spacing w:line="440" w:lineRule="exact"/>
              <w:jc w:val="center"/>
              <w:rPr>
                <w:rFonts w:hAnsi="宋体"/>
                <w:b/>
                <w:color w:val="auto"/>
                <w:sz w:val="24"/>
                <w:szCs w:val="24"/>
              </w:rPr>
            </w:pPr>
          </w:p>
        </w:tc>
        <w:tc>
          <w:tcPr>
            <w:tcW w:w="2868" w:type="dxa"/>
          </w:tcPr>
          <w:p>
            <w:pPr>
              <w:pStyle w:val="20"/>
              <w:spacing w:line="440" w:lineRule="exact"/>
              <w:jc w:val="center"/>
              <w:rPr>
                <w:rFonts w:hAnsi="宋体"/>
                <w:b/>
                <w:color w:val="auto"/>
                <w:sz w:val="24"/>
                <w:szCs w:val="24"/>
              </w:rPr>
            </w:pPr>
          </w:p>
        </w:tc>
        <w:tc>
          <w:tcPr>
            <w:tcW w:w="2710" w:type="dxa"/>
          </w:tcPr>
          <w:p>
            <w:pPr>
              <w:pStyle w:val="20"/>
              <w:spacing w:line="440" w:lineRule="exact"/>
              <w:jc w:val="center"/>
              <w:rPr>
                <w:rFonts w:hAnsi="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675" w:type="dxa"/>
          </w:tcPr>
          <w:p>
            <w:pPr>
              <w:pStyle w:val="20"/>
              <w:spacing w:line="440" w:lineRule="exact"/>
              <w:jc w:val="center"/>
              <w:rPr>
                <w:rFonts w:hAnsi="宋体"/>
                <w:b/>
                <w:color w:val="auto"/>
                <w:sz w:val="24"/>
                <w:szCs w:val="24"/>
              </w:rPr>
            </w:pPr>
          </w:p>
        </w:tc>
        <w:tc>
          <w:tcPr>
            <w:tcW w:w="2727" w:type="dxa"/>
          </w:tcPr>
          <w:p>
            <w:pPr>
              <w:pStyle w:val="20"/>
              <w:spacing w:line="440" w:lineRule="exact"/>
              <w:jc w:val="center"/>
              <w:rPr>
                <w:rFonts w:hAnsi="宋体"/>
                <w:b/>
                <w:color w:val="auto"/>
                <w:sz w:val="24"/>
                <w:szCs w:val="24"/>
              </w:rPr>
            </w:pPr>
          </w:p>
        </w:tc>
        <w:tc>
          <w:tcPr>
            <w:tcW w:w="2868" w:type="dxa"/>
          </w:tcPr>
          <w:p>
            <w:pPr>
              <w:pStyle w:val="20"/>
              <w:spacing w:line="440" w:lineRule="exact"/>
              <w:jc w:val="center"/>
              <w:rPr>
                <w:rFonts w:hAnsi="宋体"/>
                <w:b/>
                <w:color w:val="auto"/>
                <w:sz w:val="24"/>
                <w:szCs w:val="24"/>
              </w:rPr>
            </w:pPr>
          </w:p>
        </w:tc>
        <w:tc>
          <w:tcPr>
            <w:tcW w:w="2710" w:type="dxa"/>
          </w:tcPr>
          <w:p>
            <w:pPr>
              <w:pStyle w:val="20"/>
              <w:spacing w:line="440" w:lineRule="exact"/>
              <w:jc w:val="center"/>
              <w:rPr>
                <w:rFonts w:hAnsi="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675" w:type="dxa"/>
          </w:tcPr>
          <w:p>
            <w:pPr>
              <w:pStyle w:val="20"/>
              <w:spacing w:line="440" w:lineRule="exact"/>
              <w:jc w:val="center"/>
              <w:rPr>
                <w:rFonts w:hAnsi="宋体"/>
                <w:b/>
                <w:color w:val="auto"/>
                <w:sz w:val="24"/>
                <w:szCs w:val="24"/>
              </w:rPr>
            </w:pPr>
          </w:p>
        </w:tc>
        <w:tc>
          <w:tcPr>
            <w:tcW w:w="2727" w:type="dxa"/>
          </w:tcPr>
          <w:p>
            <w:pPr>
              <w:pStyle w:val="20"/>
              <w:spacing w:line="440" w:lineRule="exact"/>
              <w:jc w:val="center"/>
              <w:rPr>
                <w:rFonts w:hAnsi="宋体"/>
                <w:b/>
                <w:color w:val="auto"/>
                <w:sz w:val="24"/>
                <w:szCs w:val="24"/>
              </w:rPr>
            </w:pPr>
          </w:p>
        </w:tc>
        <w:tc>
          <w:tcPr>
            <w:tcW w:w="2868" w:type="dxa"/>
          </w:tcPr>
          <w:p>
            <w:pPr>
              <w:pStyle w:val="20"/>
              <w:spacing w:line="440" w:lineRule="exact"/>
              <w:jc w:val="center"/>
              <w:rPr>
                <w:rFonts w:hAnsi="宋体"/>
                <w:b/>
                <w:color w:val="auto"/>
                <w:sz w:val="24"/>
                <w:szCs w:val="24"/>
              </w:rPr>
            </w:pPr>
          </w:p>
        </w:tc>
        <w:tc>
          <w:tcPr>
            <w:tcW w:w="2710" w:type="dxa"/>
          </w:tcPr>
          <w:p>
            <w:pPr>
              <w:pStyle w:val="20"/>
              <w:spacing w:line="440" w:lineRule="exact"/>
              <w:jc w:val="center"/>
              <w:rPr>
                <w:rFonts w:hAnsi="宋体"/>
                <w:b/>
                <w:color w:val="auto"/>
                <w:sz w:val="24"/>
                <w:szCs w:val="24"/>
              </w:rPr>
            </w:pPr>
          </w:p>
        </w:tc>
      </w:tr>
    </w:tbl>
    <w:p>
      <w:pPr>
        <w:pStyle w:val="20"/>
        <w:spacing w:line="440" w:lineRule="exact"/>
        <w:jc w:val="center"/>
        <w:rPr>
          <w:rFonts w:hAnsi="宋体"/>
          <w:b/>
          <w:color w:val="auto"/>
          <w:sz w:val="32"/>
          <w:szCs w:val="32"/>
        </w:rPr>
      </w:pPr>
    </w:p>
    <w:p>
      <w:pPr>
        <w:spacing w:line="360" w:lineRule="auto"/>
        <w:ind w:firstLine="240" w:firstLineChars="100"/>
        <w:rPr>
          <w:rFonts w:ascii="宋体" w:hAnsi="宋体"/>
          <w:color w:val="auto"/>
          <w:sz w:val="24"/>
        </w:rPr>
      </w:pPr>
      <w:r>
        <w:rPr>
          <w:rFonts w:hint="eastAsia" w:ascii="宋体" w:hAnsi="宋体"/>
          <w:color w:val="auto"/>
          <w:sz w:val="24"/>
        </w:rPr>
        <w:t>注;</w:t>
      </w:r>
    </w:p>
    <w:p>
      <w:pPr>
        <w:spacing w:line="360" w:lineRule="auto"/>
        <w:ind w:firstLine="240" w:firstLineChars="100"/>
        <w:rPr>
          <w:rFonts w:ascii="宋体" w:hAnsi="宋体"/>
          <w:color w:val="auto"/>
          <w:sz w:val="24"/>
        </w:rPr>
      </w:pPr>
      <w:r>
        <w:rPr>
          <w:rFonts w:hint="eastAsia" w:ascii="宋体" w:hAnsi="宋体"/>
          <w:color w:val="auto"/>
          <w:sz w:val="24"/>
        </w:rPr>
        <w:t>1.竞标人承诺响应情况与采购要求相同的为无偏离，优于采购要求的为正偏离，差于采购</w:t>
      </w:r>
    </w:p>
    <w:p>
      <w:pPr>
        <w:spacing w:line="360" w:lineRule="auto"/>
        <w:ind w:firstLine="240" w:firstLineChars="100"/>
        <w:rPr>
          <w:rFonts w:ascii="宋体" w:hAnsi="宋体"/>
          <w:color w:val="auto"/>
          <w:sz w:val="24"/>
        </w:rPr>
      </w:pPr>
      <w:r>
        <w:rPr>
          <w:rFonts w:hint="eastAsia" w:ascii="宋体" w:hAnsi="宋体"/>
          <w:color w:val="auto"/>
          <w:sz w:val="24"/>
        </w:rPr>
        <w:t>要求的为负偏离。</w:t>
      </w:r>
    </w:p>
    <w:p>
      <w:pPr>
        <w:spacing w:line="360" w:lineRule="auto"/>
        <w:ind w:firstLine="240" w:firstLineChars="100"/>
        <w:rPr>
          <w:rFonts w:ascii="宋体" w:hAnsi="宋体"/>
          <w:color w:val="auto"/>
          <w:sz w:val="24"/>
        </w:rPr>
      </w:pPr>
      <w:r>
        <w:rPr>
          <w:rFonts w:hint="eastAsia" w:ascii="宋体" w:hAnsi="宋体"/>
          <w:color w:val="auto"/>
          <w:sz w:val="24"/>
        </w:rPr>
        <w:t>2. 竞标人应根据实际响应情况如实在响应情况中填写“正偏离”、“无偏离”、“负偏</w:t>
      </w:r>
    </w:p>
    <w:p>
      <w:pPr>
        <w:spacing w:line="360" w:lineRule="auto"/>
        <w:ind w:firstLine="240" w:firstLineChars="100"/>
        <w:rPr>
          <w:rFonts w:ascii="宋体" w:hAnsi="宋体"/>
          <w:color w:val="auto"/>
          <w:sz w:val="24"/>
        </w:rPr>
      </w:pPr>
      <w:r>
        <w:rPr>
          <w:rFonts w:hint="eastAsia" w:ascii="宋体" w:hAnsi="宋体"/>
          <w:color w:val="auto"/>
          <w:sz w:val="24"/>
        </w:rPr>
        <w:t>离”。</w:t>
      </w:r>
    </w:p>
    <w:p>
      <w:pPr>
        <w:spacing w:line="360" w:lineRule="auto"/>
        <w:ind w:firstLine="240" w:firstLineChars="100"/>
        <w:rPr>
          <w:rFonts w:ascii="宋体" w:hAnsi="宋体"/>
          <w:color w:val="auto"/>
          <w:sz w:val="24"/>
        </w:rPr>
      </w:pPr>
    </w:p>
    <w:p>
      <w:pPr>
        <w:spacing w:line="360" w:lineRule="auto"/>
        <w:ind w:firstLine="240" w:firstLineChars="100"/>
        <w:rPr>
          <w:rFonts w:ascii="宋体" w:hAnsi="宋体"/>
          <w:color w:val="auto"/>
          <w:sz w:val="24"/>
        </w:rPr>
      </w:pPr>
    </w:p>
    <w:p>
      <w:pPr>
        <w:snapToGrid w:val="0"/>
        <w:spacing w:beforeLines="50" w:after="50"/>
        <w:ind w:right="480"/>
        <w:rPr>
          <w:rFonts w:ascii="宋体" w:hAnsi="宋体"/>
          <w:color w:val="auto"/>
          <w:sz w:val="24"/>
          <w:u w:val="single"/>
        </w:rPr>
      </w:pPr>
      <w:r>
        <w:rPr>
          <w:rFonts w:hint="eastAsia" w:ascii="宋体" w:hAnsi="宋体"/>
          <w:color w:val="auto"/>
          <w:sz w:val="24"/>
        </w:rPr>
        <w:t>磋商供应商</w:t>
      </w:r>
      <w:r>
        <w:rPr>
          <w:rFonts w:ascii="宋体" w:hAnsi="宋体"/>
          <w:color w:val="auto"/>
          <w:sz w:val="24"/>
        </w:rPr>
        <w:t>（公章）</w:t>
      </w:r>
      <w:r>
        <w:rPr>
          <w:rFonts w:hint="eastAsia" w:ascii="宋体" w:hAnsi="宋体"/>
          <w:color w:val="auto"/>
          <w:sz w:val="24"/>
        </w:rPr>
        <w:t>：</w:t>
      </w:r>
      <w:r>
        <w:rPr>
          <w:rFonts w:hint="eastAsia" w:ascii="宋体" w:hAnsi="宋体"/>
          <w:color w:val="auto"/>
          <w:sz w:val="24"/>
          <w:u w:val="single"/>
        </w:rPr>
        <w:t xml:space="preserve">                             </w:t>
      </w:r>
    </w:p>
    <w:p>
      <w:pPr>
        <w:snapToGrid w:val="0"/>
        <w:spacing w:beforeLines="50"/>
        <w:ind w:right="480"/>
        <w:rPr>
          <w:rFonts w:ascii="宋体" w:hAnsi="宋体"/>
          <w:color w:val="auto"/>
          <w:sz w:val="24"/>
          <w:u w:val="single"/>
        </w:rPr>
      </w:pPr>
      <w:r>
        <w:rPr>
          <w:rFonts w:hint="eastAsia" w:ascii="宋体" w:hAnsi="宋体"/>
          <w:color w:val="auto"/>
          <w:sz w:val="24"/>
        </w:rPr>
        <w:t>法定代表人（或负责人）或被授权人签字：</w:t>
      </w:r>
      <w:r>
        <w:rPr>
          <w:rFonts w:hint="eastAsia" w:ascii="宋体" w:hAnsi="宋体"/>
          <w:color w:val="auto"/>
          <w:sz w:val="24"/>
          <w:u w:val="single"/>
        </w:rPr>
        <w:t xml:space="preserve">             </w:t>
      </w:r>
    </w:p>
    <w:p>
      <w:pPr>
        <w:spacing w:line="360" w:lineRule="auto"/>
        <w:ind w:firstLine="1680" w:firstLineChars="700"/>
        <w:rPr>
          <w:rFonts w:ascii="宋体" w:hAnsi="宋体"/>
          <w:color w:val="auto"/>
          <w:sz w:val="24"/>
        </w:rPr>
      </w:pPr>
    </w:p>
    <w:p>
      <w:pPr>
        <w:spacing w:line="360" w:lineRule="auto"/>
        <w:ind w:firstLine="1680" w:firstLineChars="700"/>
        <w:rPr>
          <w:rFonts w:ascii="宋体" w:hAnsi="宋体"/>
          <w:color w:val="auto"/>
          <w:sz w:val="24"/>
        </w:rPr>
      </w:pPr>
      <w:r>
        <w:rPr>
          <w:rFonts w:hint="eastAsia" w:ascii="宋体" w:hAnsi="宋体"/>
          <w:color w:val="auto"/>
          <w:sz w:val="24"/>
        </w:rPr>
        <w:t>年  月 日</w:t>
      </w:r>
    </w:p>
    <w:p>
      <w:pPr>
        <w:spacing w:line="320" w:lineRule="exact"/>
        <w:jc w:val="center"/>
        <w:rPr>
          <w:rFonts w:ascii="宋体" w:hAnsi="宋体"/>
          <w:b/>
          <w:color w:val="auto"/>
          <w:sz w:val="32"/>
          <w:szCs w:val="32"/>
        </w:rPr>
      </w:pPr>
    </w:p>
    <w:p>
      <w:pPr>
        <w:spacing w:line="320" w:lineRule="exact"/>
        <w:jc w:val="center"/>
        <w:rPr>
          <w:rFonts w:ascii="宋体" w:hAnsi="宋体"/>
          <w:b/>
          <w:color w:val="auto"/>
          <w:sz w:val="32"/>
          <w:szCs w:val="32"/>
        </w:rPr>
      </w:pPr>
    </w:p>
    <w:p>
      <w:pPr>
        <w:spacing w:line="320" w:lineRule="exact"/>
        <w:jc w:val="center"/>
        <w:rPr>
          <w:rFonts w:ascii="宋体" w:hAnsi="宋体"/>
          <w:b/>
          <w:color w:val="auto"/>
          <w:sz w:val="32"/>
          <w:szCs w:val="32"/>
        </w:rPr>
      </w:pPr>
    </w:p>
    <w:p>
      <w:pPr>
        <w:spacing w:line="320" w:lineRule="exact"/>
        <w:jc w:val="center"/>
        <w:rPr>
          <w:rFonts w:ascii="宋体" w:hAnsi="宋体"/>
          <w:b/>
          <w:color w:val="auto"/>
          <w:sz w:val="32"/>
          <w:szCs w:val="32"/>
        </w:rPr>
      </w:pPr>
    </w:p>
    <w:p>
      <w:pPr>
        <w:spacing w:line="320" w:lineRule="exact"/>
        <w:jc w:val="center"/>
        <w:rPr>
          <w:rFonts w:ascii="宋体" w:hAnsi="宋体"/>
          <w:b/>
          <w:color w:val="auto"/>
          <w:sz w:val="32"/>
          <w:szCs w:val="32"/>
        </w:rPr>
      </w:pPr>
    </w:p>
    <w:p>
      <w:pPr>
        <w:spacing w:line="320" w:lineRule="exact"/>
        <w:jc w:val="center"/>
        <w:rPr>
          <w:rFonts w:ascii="宋体" w:hAnsi="宋体"/>
          <w:b/>
          <w:color w:val="auto"/>
          <w:sz w:val="32"/>
          <w:szCs w:val="32"/>
        </w:rPr>
      </w:pPr>
    </w:p>
    <w:p>
      <w:pPr>
        <w:spacing w:line="320" w:lineRule="exact"/>
        <w:jc w:val="center"/>
        <w:rPr>
          <w:rFonts w:ascii="宋体" w:hAnsi="宋体"/>
          <w:b/>
          <w:color w:val="auto"/>
          <w:sz w:val="32"/>
          <w:szCs w:val="32"/>
        </w:rPr>
      </w:pPr>
    </w:p>
    <w:p>
      <w:pPr>
        <w:spacing w:line="320" w:lineRule="exact"/>
        <w:jc w:val="center"/>
        <w:rPr>
          <w:rFonts w:ascii="宋体" w:hAnsi="宋体"/>
          <w:b/>
          <w:color w:val="auto"/>
          <w:sz w:val="32"/>
          <w:szCs w:val="32"/>
        </w:rPr>
      </w:pPr>
    </w:p>
    <w:p>
      <w:pPr>
        <w:spacing w:line="320" w:lineRule="exact"/>
        <w:jc w:val="center"/>
        <w:rPr>
          <w:rFonts w:ascii="宋体" w:hAnsi="宋体"/>
          <w:b/>
          <w:color w:val="auto"/>
          <w:sz w:val="32"/>
          <w:szCs w:val="32"/>
        </w:rPr>
      </w:pPr>
    </w:p>
    <w:p>
      <w:pPr>
        <w:spacing w:line="320" w:lineRule="exact"/>
        <w:jc w:val="center"/>
        <w:rPr>
          <w:rFonts w:ascii="宋体" w:hAnsi="宋体"/>
          <w:b/>
          <w:color w:val="auto"/>
          <w:sz w:val="32"/>
          <w:szCs w:val="32"/>
        </w:rPr>
      </w:pPr>
    </w:p>
    <w:p>
      <w:pPr>
        <w:spacing w:line="320" w:lineRule="exact"/>
        <w:jc w:val="center"/>
        <w:rPr>
          <w:rFonts w:ascii="宋体" w:hAnsi="宋体"/>
          <w:b/>
          <w:color w:val="auto"/>
          <w:sz w:val="32"/>
          <w:szCs w:val="32"/>
        </w:rPr>
      </w:pPr>
    </w:p>
    <w:p>
      <w:pPr>
        <w:spacing w:line="320" w:lineRule="exact"/>
        <w:jc w:val="center"/>
        <w:rPr>
          <w:rFonts w:ascii="宋体" w:hAnsi="宋体"/>
          <w:b/>
          <w:color w:val="auto"/>
          <w:sz w:val="32"/>
          <w:szCs w:val="32"/>
        </w:rPr>
      </w:pPr>
    </w:p>
    <w:p>
      <w:pPr>
        <w:pStyle w:val="14"/>
        <w:spacing w:before="2"/>
        <w:rPr>
          <w:color w:val="auto"/>
          <w:sz w:val="17"/>
        </w:rPr>
      </w:pPr>
    </w:p>
    <w:p>
      <w:pPr>
        <w:pStyle w:val="5"/>
        <w:spacing w:line="444" w:lineRule="auto"/>
        <w:ind w:left="253" w:right="594"/>
        <w:rPr>
          <w:color w:val="auto"/>
        </w:rPr>
      </w:pPr>
      <w:r>
        <w:rPr>
          <w:rFonts w:hint="eastAsia"/>
          <w:color w:val="auto"/>
        </w:rPr>
        <w:t>4）供应商</w:t>
      </w:r>
      <w:r>
        <w:rPr>
          <w:color w:val="auto"/>
        </w:rPr>
        <w:t>有效的企业法人营业执照副本件、组织机构代码证副本、税务登记证副本（或有统一社会信用代码的营业执照）</w:t>
      </w:r>
    </w:p>
    <w:p>
      <w:pPr>
        <w:pStyle w:val="14"/>
        <w:rPr>
          <w:b w:val="0"/>
          <w:color w:val="auto"/>
          <w:sz w:val="28"/>
        </w:rPr>
      </w:pPr>
    </w:p>
    <w:p>
      <w:pPr>
        <w:pStyle w:val="14"/>
        <w:rPr>
          <w:b w:val="0"/>
          <w:color w:val="auto"/>
          <w:sz w:val="28"/>
        </w:rPr>
      </w:pPr>
    </w:p>
    <w:p>
      <w:pPr>
        <w:pStyle w:val="14"/>
        <w:rPr>
          <w:b w:val="0"/>
          <w:color w:val="auto"/>
          <w:sz w:val="28"/>
        </w:rPr>
      </w:pPr>
    </w:p>
    <w:p>
      <w:pPr>
        <w:pStyle w:val="14"/>
        <w:rPr>
          <w:b w:val="0"/>
          <w:color w:val="auto"/>
          <w:sz w:val="28"/>
        </w:rPr>
      </w:pPr>
    </w:p>
    <w:p>
      <w:pPr>
        <w:pStyle w:val="14"/>
        <w:rPr>
          <w:b w:val="0"/>
          <w:color w:val="auto"/>
          <w:sz w:val="28"/>
        </w:rPr>
      </w:pPr>
    </w:p>
    <w:p>
      <w:pPr>
        <w:pStyle w:val="5"/>
        <w:spacing w:before="189" w:line="444" w:lineRule="auto"/>
        <w:ind w:left="253"/>
        <w:rPr>
          <w:color w:val="auto"/>
        </w:rPr>
      </w:pPr>
      <w:r>
        <w:rPr>
          <w:rFonts w:hint="eastAsia"/>
          <w:color w:val="auto"/>
        </w:rPr>
        <w:t>5）</w:t>
      </w:r>
      <w:r>
        <w:rPr>
          <w:color w:val="auto"/>
        </w:rPr>
        <w:t>国家保险监督管理机构颁发的中华人民共和国经营车辆保险业务许可证复印件</w:t>
      </w:r>
    </w:p>
    <w:p>
      <w:pPr>
        <w:pStyle w:val="14"/>
        <w:rPr>
          <w:b w:val="0"/>
          <w:color w:val="auto"/>
          <w:sz w:val="28"/>
        </w:rPr>
      </w:pPr>
    </w:p>
    <w:p>
      <w:pPr>
        <w:pStyle w:val="14"/>
        <w:rPr>
          <w:b w:val="0"/>
          <w:color w:val="auto"/>
          <w:sz w:val="28"/>
        </w:rPr>
      </w:pPr>
    </w:p>
    <w:p>
      <w:pPr>
        <w:pStyle w:val="14"/>
        <w:rPr>
          <w:b w:val="0"/>
          <w:color w:val="auto"/>
          <w:sz w:val="28"/>
        </w:rPr>
      </w:pPr>
    </w:p>
    <w:p>
      <w:pPr>
        <w:pStyle w:val="14"/>
        <w:rPr>
          <w:b w:val="0"/>
          <w:color w:val="auto"/>
          <w:sz w:val="28"/>
        </w:rPr>
      </w:pPr>
    </w:p>
    <w:p>
      <w:pPr>
        <w:pStyle w:val="14"/>
        <w:rPr>
          <w:b w:val="0"/>
          <w:color w:val="auto"/>
          <w:sz w:val="28"/>
        </w:rPr>
      </w:pPr>
    </w:p>
    <w:p>
      <w:pPr>
        <w:pStyle w:val="14"/>
        <w:rPr>
          <w:b w:val="0"/>
          <w:color w:val="auto"/>
          <w:sz w:val="28"/>
        </w:rPr>
      </w:pPr>
    </w:p>
    <w:p>
      <w:pPr>
        <w:pStyle w:val="14"/>
        <w:rPr>
          <w:b w:val="0"/>
          <w:color w:val="auto"/>
          <w:sz w:val="28"/>
        </w:rPr>
      </w:pPr>
    </w:p>
    <w:p>
      <w:pPr>
        <w:pStyle w:val="14"/>
        <w:rPr>
          <w:b w:val="0"/>
          <w:color w:val="auto"/>
          <w:sz w:val="28"/>
        </w:rPr>
      </w:pPr>
    </w:p>
    <w:p>
      <w:pPr>
        <w:pStyle w:val="14"/>
        <w:rPr>
          <w:b w:val="0"/>
          <w:color w:val="auto"/>
          <w:sz w:val="28"/>
        </w:rPr>
      </w:pPr>
    </w:p>
    <w:p>
      <w:pPr>
        <w:pStyle w:val="14"/>
        <w:rPr>
          <w:b w:val="0"/>
          <w:color w:val="auto"/>
          <w:sz w:val="28"/>
        </w:rPr>
      </w:pPr>
    </w:p>
    <w:p>
      <w:pPr>
        <w:pStyle w:val="14"/>
        <w:rPr>
          <w:b w:val="0"/>
          <w:color w:val="auto"/>
          <w:sz w:val="28"/>
        </w:rPr>
      </w:pPr>
    </w:p>
    <w:p>
      <w:pPr>
        <w:pStyle w:val="14"/>
        <w:rPr>
          <w:b w:val="0"/>
          <w:color w:val="auto"/>
          <w:sz w:val="28"/>
        </w:rPr>
      </w:pPr>
    </w:p>
    <w:p>
      <w:pPr>
        <w:pStyle w:val="14"/>
        <w:rPr>
          <w:b w:val="0"/>
          <w:color w:val="auto"/>
          <w:sz w:val="28"/>
        </w:rPr>
      </w:pPr>
    </w:p>
    <w:p>
      <w:pPr>
        <w:pStyle w:val="14"/>
        <w:rPr>
          <w:b w:val="0"/>
          <w:color w:val="auto"/>
          <w:sz w:val="28"/>
        </w:rPr>
      </w:pPr>
    </w:p>
    <w:p>
      <w:pPr>
        <w:pStyle w:val="14"/>
        <w:rPr>
          <w:b w:val="0"/>
          <w:color w:val="auto"/>
          <w:sz w:val="28"/>
        </w:rPr>
      </w:pPr>
    </w:p>
    <w:p>
      <w:pPr>
        <w:pStyle w:val="14"/>
        <w:rPr>
          <w:b w:val="0"/>
          <w:color w:val="auto"/>
          <w:sz w:val="28"/>
        </w:rPr>
      </w:pPr>
    </w:p>
    <w:p>
      <w:pPr>
        <w:pStyle w:val="14"/>
        <w:rPr>
          <w:b w:val="0"/>
          <w:color w:val="auto"/>
          <w:sz w:val="28"/>
        </w:rPr>
      </w:pPr>
    </w:p>
    <w:p>
      <w:pPr>
        <w:pStyle w:val="14"/>
        <w:rPr>
          <w:b w:val="0"/>
          <w:color w:val="auto"/>
          <w:sz w:val="28"/>
        </w:rPr>
      </w:pPr>
    </w:p>
    <w:p>
      <w:pPr>
        <w:pStyle w:val="14"/>
        <w:rPr>
          <w:b w:val="0"/>
          <w:color w:val="auto"/>
          <w:sz w:val="28"/>
        </w:rPr>
      </w:pPr>
    </w:p>
    <w:p>
      <w:pPr>
        <w:pStyle w:val="14"/>
        <w:rPr>
          <w:b w:val="0"/>
          <w:color w:val="auto"/>
          <w:sz w:val="28"/>
        </w:rPr>
      </w:pPr>
    </w:p>
    <w:p>
      <w:pPr>
        <w:pStyle w:val="14"/>
        <w:rPr>
          <w:b w:val="0"/>
          <w:color w:val="auto"/>
          <w:sz w:val="28"/>
        </w:rPr>
      </w:pPr>
    </w:p>
    <w:p>
      <w:pPr>
        <w:pStyle w:val="14"/>
        <w:rPr>
          <w:b w:val="0"/>
          <w:color w:val="auto"/>
          <w:sz w:val="28"/>
        </w:rPr>
      </w:pPr>
    </w:p>
    <w:p>
      <w:pPr>
        <w:pStyle w:val="14"/>
        <w:rPr>
          <w:b w:val="0"/>
          <w:color w:val="auto"/>
          <w:sz w:val="28"/>
        </w:rPr>
      </w:pPr>
    </w:p>
    <w:p>
      <w:pPr>
        <w:pStyle w:val="14"/>
        <w:rPr>
          <w:b w:val="0"/>
          <w:color w:val="auto"/>
          <w:sz w:val="28"/>
        </w:rPr>
      </w:pPr>
    </w:p>
    <w:p>
      <w:pPr>
        <w:pStyle w:val="5"/>
        <w:spacing w:line="441" w:lineRule="auto"/>
        <w:ind w:left="212" w:right="555"/>
        <w:jc w:val="left"/>
        <w:rPr>
          <w:color w:val="auto"/>
        </w:rPr>
      </w:pPr>
      <w:r>
        <w:rPr>
          <w:rFonts w:hint="eastAsia"/>
          <w:color w:val="auto"/>
        </w:rPr>
        <w:t>6）供应商</w:t>
      </w:r>
      <w:r>
        <w:rPr>
          <w:color w:val="auto"/>
        </w:rPr>
        <w:t>法定代表人或负责人（分支机构或派出机构）授权委托书原件和委托代理人完整身份证复印件（委托代理时必须提供)</w:t>
      </w:r>
    </w:p>
    <w:p>
      <w:pPr>
        <w:pStyle w:val="14"/>
        <w:spacing w:before="7"/>
        <w:rPr>
          <w:b w:val="0"/>
          <w:color w:val="auto"/>
          <w:spacing w:val="0"/>
          <w:kern w:val="10"/>
          <w:sz w:val="31"/>
        </w:rPr>
      </w:pPr>
    </w:p>
    <w:p>
      <w:pPr>
        <w:pStyle w:val="8"/>
        <w:ind w:left="376" w:right="714"/>
        <w:jc w:val="center"/>
        <w:rPr>
          <w:color w:val="auto"/>
          <w:kern w:val="10"/>
        </w:rPr>
      </w:pPr>
      <w:r>
        <w:rPr>
          <w:color w:val="auto"/>
          <w:kern w:val="10"/>
        </w:rPr>
        <w:t>法定代表人或负责人（分支机构或派出机构）授权委托书</w:t>
      </w:r>
    </w:p>
    <w:p>
      <w:pPr>
        <w:pStyle w:val="14"/>
        <w:rPr>
          <w:b w:val="0"/>
          <w:color w:val="auto"/>
          <w:spacing w:val="0"/>
          <w:kern w:val="10"/>
          <w:sz w:val="20"/>
        </w:rPr>
      </w:pPr>
    </w:p>
    <w:p>
      <w:pPr>
        <w:pStyle w:val="14"/>
        <w:spacing w:before="11"/>
        <w:rPr>
          <w:b w:val="0"/>
          <w:color w:val="auto"/>
          <w:spacing w:val="0"/>
          <w:kern w:val="10"/>
          <w:sz w:val="27"/>
        </w:rPr>
      </w:pPr>
    </w:p>
    <w:p>
      <w:pPr>
        <w:pStyle w:val="14"/>
        <w:tabs>
          <w:tab w:val="left" w:pos="2104"/>
        </w:tabs>
        <w:spacing w:before="72"/>
        <w:ind w:left="212"/>
        <w:rPr>
          <w:rFonts w:ascii="宋体" w:hAnsi="宋体" w:eastAsia="宋体"/>
          <w:b w:val="0"/>
          <w:color w:val="auto"/>
          <w:spacing w:val="0"/>
          <w:kern w:val="10"/>
          <w:sz w:val="24"/>
          <w:szCs w:val="24"/>
        </w:rPr>
      </w:pPr>
      <w:r>
        <w:rPr>
          <w:rFonts w:ascii="宋体" w:hAnsi="宋体" w:eastAsia="宋体"/>
          <w:b w:val="0"/>
          <w:color w:val="auto"/>
          <w:spacing w:val="0"/>
          <w:kern w:val="10"/>
          <w:sz w:val="24"/>
          <w:szCs w:val="24"/>
          <w:lang w:val="zh-CN" w:bidi="zh-CN"/>
        </w:rPr>
        <w:pict>
          <v:group id="组合 8" o:spid="_x0000_s1270" o:spt="203" style="position:absolute;left:0pt;margin-left:77.75pt;margin-top:15.3pt;height:0.85pt;width:73.6pt;mso-position-horizontal-relative:page;z-index:251657216;mso-width-relative:page;mso-height-relative:page;" coordorigin="1556,306" coordsize="1472,17203" o:gfxdata="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">
            <o:lock v:ext="edit"/>
            <v:shape id="_x0000_s1271" o:spid="_x0000_s1271" o:spt="100" style="position:absolute;left:1555;top:308;height:2;width:1472;" filled="f" coordsize="1472,1" o:gfxdata="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89VxL4A&#10;AADaAAAADwAAAAAAAAABACAAAAAiAAAAZHJzL2Rvd25yZXYueG1sUEsBAhQAFAAAAAgAh07iQDMv&#10;BZ47AAAAOQAAABAAAAAAAAAAAQAgAAAADQEAAGRycy9zaGFwZXhtbC54bWxQSwUGAAAAAAYABgBb&#10;AQAAtwMAAAAA&#10;" path="m0,0l734,0m1260,0l1471,0e">
              <v:path o:connecttype="segments"/>
              <v:fill on="f" focussize="0,0"/>
              <v:stroke weight="0.242913385826772pt" joinstyle="round"/>
              <v:imagedata o:title=""/>
              <o:lock v:ext="edit"/>
            </v:shape>
            <v:line id="直线 10" o:spid="_x0000_s1272" o:spt="20" style="position:absolute;left:1556;top:317;height:0;width:1468;" coordsize="21600,21600" o:gfxdata="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tL67vQAA&#10;ANsAAAAPAAAAAAAAAAEAIAAAACIAAABkcnMvZG93bnJldi54bWxQSwECFAAUAAAACACHTuJAMy8F&#10;njsAAAA5AAAAEAAAAAAAAAABACAAAAAMAQAAZHJzL3NoYXBleG1sLnhtbFBLBQYAAAAABgAGAFsB&#10;AAC2AwAAAAA=&#10;">
              <v:path arrowok="t"/>
              <v:fill focussize="0,0"/>
              <v:stroke weight="0.6pt"/>
              <v:imagedata o:title=""/>
              <o:lock v:ext="edit"/>
            </v:line>
          </v:group>
        </w:pict>
      </w:r>
      <w:r>
        <w:rPr>
          <w:rFonts w:ascii="宋体" w:hAnsi="宋体" w:eastAsia="宋体"/>
          <w:b w:val="0"/>
          <w:color w:val="auto"/>
          <w:spacing w:val="0"/>
          <w:kern w:val="10"/>
          <w:sz w:val="24"/>
          <w:szCs w:val="24"/>
        </w:rPr>
        <w:t>致：</w:t>
      </w:r>
      <w:r>
        <w:rPr>
          <w:rFonts w:hint="eastAsia" w:ascii="宋体" w:hAnsi="宋体"/>
          <w:color w:val="auto"/>
          <w:sz w:val="24"/>
          <w:szCs w:val="24"/>
        </w:rPr>
        <w:t>亿诚建设项目管理有限公司</w:t>
      </w:r>
      <w:r>
        <w:rPr>
          <w:rFonts w:ascii="宋体" w:hAnsi="宋体" w:eastAsia="宋体"/>
          <w:b w:val="0"/>
          <w:color w:val="auto"/>
          <w:spacing w:val="0"/>
          <w:kern w:val="10"/>
          <w:sz w:val="24"/>
          <w:szCs w:val="24"/>
        </w:rPr>
        <w:t>：</w:t>
      </w:r>
    </w:p>
    <w:p>
      <w:pPr>
        <w:pStyle w:val="14"/>
        <w:spacing w:before="1"/>
        <w:rPr>
          <w:rFonts w:ascii="宋体" w:hAnsi="宋体" w:eastAsia="宋体"/>
          <w:b w:val="0"/>
          <w:color w:val="auto"/>
          <w:spacing w:val="0"/>
          <w:kern w:val="10"/>
          <w:sz w:val="24"/>
          <w:szCs w:val="24"/>
        </w:rPr>
      </w:pPr>
    </w:p>
    <w:p>
      <w:pPr>
        <w:rPr>
          <w:rFonts w:ascii="宋体" w:hAnsi="宋体"/>
          <w:color w:val="auto"/>
          <w:kern w:val="10"/>
          <w:sz w:val="24"/>
        </w:rPr>
        <w:sectPr>
          <w:footerReference r:id="rId5" w:type="default"/>
          <w:pgSz w:w="11910" w:h="16840"/>
          <w:pgMar w:top="1580" w:right="580" w:bottom="1160" w:left="920" w:header="1127" w:footer="972" w:gutter="0"/>
          <w:pgNumType w:start="30"/>
          <w:cols w:space="720" w:num="1"/>
        </w:sectPr>
      </w:pPr>
    </w:p>
    <w:p>
      <w:pPr>
        <w:pStyle w:val="14"/>
        <w:tabs>
          <w:tab w:val="left" w:pos="2538"/>
        </w:tabs>
        <w:spacing w:before="78"/>
        <w:ind w:left="844"/>
        <w:rPr>
          <w:rFonts w:ascii="宋体" w:hAnsi="宋体" w:eastAsia="宋体"/>
          <w:b w:val="0"/>
          <w:color w:val="auto"/>
          <w:spacing w:val="0"/>
          <w:kern w:val="10"/>
          <w:sz w:val="24"/>
          <w:szCs w:val="24"/>
        </w:rPr>
      </w:pPr>
      <w:r>
        <w:rPr>
          <w:rFonts w:ascii="宋体" w:hAnsi="宋体" w:eastAsia="宋体"/>
          <w:b w:val="0"/>
          <w:color w:val="auto"/>
          <w:spacing w:val="0"/>
          <w:kern w:val="10"/>
          <w:sz w:val="24"/>
          <w:szCs w:val="24"/>
          <w:lang w:val="zh-CN" w:bidi="zh-CN"/>
        </w:rPr>
        <w:pict>
          <v:group id="组合 11" o:spid="_x0000_s1273" o:spt="203" style="position:absolute;left:0pt;margin-left:98.9pt;margin-top:15.6pt;height:0.85pt;width:74.05pt;mso-position-horizontal-relative:page;z-index:251658240;mso-width-relative:page;mso-height-relative:page;" coordorigin="1978,312" coordsize="1481,17203" o:gfxdata="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">
            <o:lock v:ext="edit"/>
            <v:shape id="_x0000_s1274" o:spid="_x0000_s1274" o:spt="100" style="position:absolute;left:1978;top:314;height:2;width:1478;" filled="f" coordsize="1478,1" o:gfxdata="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kLnxO8AAAA&#10;2wAAAA8AAAAAAAAAAQAgAAAAIgAAAGRycy9kb3ducmV2LnhtbFBLAQIUABQAAAAIAIdO4kAzLwWe&#10;OwAAADkAAAAQAAAAAAAAAAEAIAAAAAsBAABkcnMvc2hhcGV4bWwueG1sUEsFBgAAAAAGAAYAWwEA&#10;ALUDAAAAAA==&#10;" path="m0,0l737,0m1269,0l1478,0e">
              <v:path o:connecttype="segments"/>
              <v:fill on="f" focussize="0,0"/>
              <v:stroke weight="0.242913385826772pt" joinstyle="round"/>
              <v:imagedata o:title=""/>
              <o:lock v:ext="edit"/>
            </v:shape>
            <v:line id="直线 13" o:spid="_x0000_s1275" o:spt="20" style="position:absolute;left:1978;top:323;height:0;width:1481;" coordsize="21600,21600" o:gfxdata="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WYgzLsAAADb&#10;AAAADwAAAAAAAAABACAAAAAiAAAAZHJzL2Rvd25yZXYueG1sUEsBAhQAFAAAAAgAh07iQDMvBZ47&#10;AAAAOQAAABAAAAAAAAAAAQAgAAAACgEAAGRycy9zaGFwZXhtbC54bWxQSwUGAAAAAAYABgBbAQAA&#10;tAMAAAAA&#10;">
              <v:path arrowok="t"/>
              <v:fill focussize="0,0"/>
              <v:stroke weight="0.6pt"/>
              <v:imagedata o:title=""/>
              <o:lock v:ext="edit"/>
            </v:line>
          </v:group>
        </w:pict>
      </w:r>
      <w:r>
        <w:rPr>
          <w:rFonts w:ascii="宋体" w:hAnsi="宋体" w:eastAsia="宋体"/>
          <w:b w:val="0"/>
          <w:color w:val="auto"/>
          <w:spacing w:val="0"/>
          <w:kern w:val="10"/>
          <w:sz w:val="24"/>
          <w:szCs w:val="24"/>
          <w:lang w:val="zh-CN" w:bidi="zh-CN"/>
        </w:rPr>
        <w:pict>
          <v:group id="组合 14" o:spid="_x0000_s1276" o:spt="203" style="position:absolute;left:0pt;margin-left:225.85pt;margin-top:15.6pt;height:0.85pt;width:74.05pt;mso-position-horizontal-relative:page;z-index:251659264;mso-width-relative:page;mso-height-relative:page;" coordorigin="4518,312" coordsize="1481,17203" o:gfxdata="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">
            <o:lock v:ext="edit"/>
            <v:shape id="_x0000_s1277" o:spid="_x0000_s1277" o:spt="100" style="position:absolute;left:4517;top:314;height:2;width:1481;" filled="f" coordsize="1481,1" o:gfxdata="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D4lGC8AAAA&#10;2wAAAA8AAAAAAAAAAQAgAAAAIgAAAGRycy9kb3ducmV2LnhtbFBLAQIUABQAAAAIAIdO4kAzLwWe&#10;OwAAADkAAAAQAAAAAAAAAAEAIAAAAAsBAABkcnMvc2hhcGV4bWwueG1sUEsFBgAAAAAGAAYAWwEA&#10;ALUDAAAAAA==&#10;" path="m0,0l737,0m1269,0l1481,0e">
              <v:path o:connecttype="segments"/>
              <v:fill on="f" focussize="0,0"/>
              <v:stroke weight="0.242913385826772pt" joinstyle="round"/>
              <v:imagedata o:title=""/>
              <o:lock v:ext="edit"/>
            </v:shape>
            <v:line id="直线 16" o:spid="_x0000_s1278" o:spt="20" style="position:absolute;left:4518;top:323;height:0;width:1481;" coordsize="21600,21600" o:gfxdata="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EYNUugAAANsA&#10;AAAPAAAAAAAAAAEAIAAAACIAAABkcnMvZG93bnJldi54bWxQSwECFAAUAAAACACHTuJAMy8FnjsA&#10;AAA5AAAAEAAAAAAAAAABACAAAAAJAQAAZHJzL3NoYXBleG1sLnhtbFBLBQYAAAAABgAGAFsBAACz&#10;AwAAAAA=&#10;">
              <v:path arrowok="t"/>
              <v:fill focussize="0,0"/>
              <v:stroke weight="0.6pt"/>
              <v:imagedata o:title=""/>
              <o:lock v:ext="edit"/>
            </v:line>
          </v:group>
        </w:pict>
      </w:r>
      <w:r>
        <w:rPr>
          <w:rFonts w:ascii="宋体" w:hAnsi="宋体" w:eastAsia="宋体"/>
          <w:b w:val="0"/>
          <w:color w:val="auto"/>
          <w:spacing w:val="0"/>
          <w:kern w:val="10"/>
          <w:sz w:val="24"/>
          <w:szCs w:val="24"/>
        </w:rPr>
        <w:t>我</w:t>
      </w:r>
      <w:r>
        <w:rPr>
          <w:rFonts w:ascii="宋体" w:hAnsi="宋体" w:eastAsia="宋体"/>
          <w:b w:val="0"/>
          <w:color w:val="auto"/>
          <w:spacing w:val="0"/>
          <w:kern w:val="10"/>
          <w:sz w:val="24"/>
          <w:szCs w:val="24"/>
        </w:rPr>
        <w:tab/>
      </w:r>
      <w:r>
        <w:rPr>
          <w:rFonts w:ascii="宋体" w:hAnsi="宋体" w:eastAsia="宋体"/>
          <w:b w:val="0"/>
          <w:color w:val="auto"/>
          <w:spacing w:val="0"/>
          <w:kern w:val="10"/>
          <w:sz w:val="24"/>
          <w:szCs w:val="24"/>
        </w:rPr>
        <w:t>（姓名）系</w:t>
      </w:r>
    </w:p>
    <w:p>
      <w:pPr>
        <w:pStyle w:val="14"/>
        <w:tabs>
          <w:tab w:val="left" w:pos="3375"/>
        </w:tabs>
        <w:spacing w:before="78"/>
        <w:ind w:left="293"/>
        <w:jc w:val="center"/>
        <w:rPr>
          <w:rFonts w:ascii="宋体" w:hAnsi="宋体" w:eastAsia="宋体"/>
          <w:b w:val="0"/>
          <w:color w:val="auto"/>
          <w:spacing w:val="0"/>
          <w:kern w:val="10"/>
          <w:sz w:val="24"/>
          <w:szCs w:val="24"/>
        </w:rPr>
      </w:pPr>
      <w:r>
        <w:rPr>
          <w:rFonts w:ascii="宋体" w:hAnsi="宋体" w:eastAsia="宋体"/>
          <w:b w:val="0"/>
          <w:color w:val="auto"/>
          <w:spacing w:val="0"/>
          <w:kern w:val="10"/>
          <w:sz w:val="24"/>
          <w:szCs w:val="24"/>
        </w:rPr>
        <w:br w:type="column"/>
      </w:r>
      <w:r>
        <w:rPr>
          <w:rFonts w:ascii="宋体" w:hAnsi="宋体" w:eastAsia="宋体"/>
          <w:b w:val="0"/>
          <w:color w:val="auto"/>
          <w:spacing w:val="0"/>
          <w:kern w:val="10"/>
          <w:sz w:val="24"/>
          <w:szCs w:val="24"/>
        </w:rPr>
        <w:t>（</w:t>
      </w:r>
      <w:r>
        <w:rPr>
          <w:rFonts w:hint="eastAsia" w:ascii="宋体" w:hAnsi="宋体" w:eastAsia="宋体"/>
          <w:b w:val="0"/>
          <w:color w:val="auto"/>
          <w:spacing w:val="0"/>
          <w:kern w:val="10"/>
          <w:sz w:val="24"/>
          <w:szCs w:val="24"/>
        </w:rPr>
        <w:t>竞标</w:t>
      </w:r>
      <w:r>
        <w:rPr>
          <w:rFonts w:ascii="宋体" w:hAnsi="宋体" w:eastAsia="宋体"/>
          <w:b w:val="0"/>
          <w:color w:val="auto"/>
          <w:spacing w:val="0"/>
          <w:kern w:val="10"/>
          <w:sz w:val="24"/>
          <w:szCs w:val="24"/>
        </w:rPr>
        <w:t>人名称）的</w:t>
      </w:r>
      <w:r>
        <w:rPr>
          <w:rFonts w:ascii="宋体" w:hAnsi="宋体" w:eastAsia="宋体"/>
          <w:b w:val="0"/>
          <w:color w:val="auto"/>
          <w:spacing w:val="0"/>
          <w:kern w:val="10"/>
          <w:sz w:val="24"/>
          <w:szCs w:val="24"/>
          <w:u w:val="single"/>
        </w:rPr>
        <w:t xml:space="preserve"> </w:t>
      </w:r>
      <w:r>
        <w:rPr>
          <w:rFonts w:ascii="宋体" w:hAnsi="宋体" w:eastAsia="宋体"/>
          <w:b w:val="0"/>
          <w:color w:val="auto"/>
          <w:spacing w:val="0"/>
          <w:kern w:val="10"/>
          <w:sz w:val="24"/>
          <w:szCs w:val="24"/>
          <w:u w:val="single"/>
        </w:rPr>
        <w:tab/>
      </w:r>
      <w:r>
        <w:rPr>
          <w:rFonts w:ascii="宋体" w:hAnsi="宋体" w:eastAsia="宋体"/>
          <w:b w:val="0"/>
          <w:color w:val="auto"/>
          <w:spacing w:val="0"/>
          <w:kern w:val="10"/>
          <w:sz w:val="24"/>
          <w:szCs w:val="24"/>
        </w:rPr>
        <w:t>（法定代表人或负</w:t>
      </w:r>
    </w:p>
    <w:p>
      <w:pPr>
        <w:jc w:val="center"/>
        <w:rPr>
          <w:rFonts w:ascii="宋体" w:hAnsi="宋体"/>
          <w:color w:val="auto"/>
          <w:kern w:val="10"/>
          <w:sz w:val="24"/>
        </w:rPr>
        <w:sectPr>
          <w:type w:val="continuous"/>
          <w:pgSz w:w="11910" w:h="16840"/>
          <w:pgMar w:top="1580" w:right="580" w:bottom="280" w:left="920" w:header="720" w:footer="720" w:gutter="0"/>
          <w:cols w:equalWidth="0" w:num="2">
            <w:col w:w="3637" w:space="597"/>
            <w:col w:w="6176"/>
          </w:cols>
        </w:sectPr>
      </w:pPr>
    </w:p>
    <w:p>
      <w:pPr>
        <w:pStyle w:val="14"/>
        <w:tabs>
          <w:tab w:val="left" w:pos="5133"/>
          <w:tab w:val="left" w:pos="9013"/>
        </w:tabs>
        <w:spacing w:before="173" w:line="391" w:lineRule="auto"/>
        <w:ind w:left="212" w:right="551"/>
        <w:rPr>
          <w:rFonts w:ascii="宋体" w:hAnsi="宋体" w:eastAsia="宋体"/>
          <w:b w:val="0"/>
          <w:color w:val="auto"/>
          <w:spacing w:val="0"/>
          <w:kern w:val="10"/>
          <w:sz w:val="24"/>
          <w:szCs w:val="24"/>
        </w:rPr>
      </w:pPr>
      <w:r>
        <w:rPr>
          <w:rFonts w:ascii="宋体" w:hAnsi="宋体" w:eastAsia="宋体"/>
          <w:b w:val="0"/>
          <w:color w:val="auto"/>
          <w:spacing w:val="0"/>
          <w:kern w:val="10"/>
          <w:sz w:val="24"/>
          <w:szCs w:val="24"/>
        </w:rPr>
        <w:t>责人），现授权委托本单位在职职工</w:t>
      </w:r>
      <w:r>
        <w:rPr>
          <w:rFonts w:ascii="宋体" w:hAnsi="宋体" w:eastAsia="宋体"/>
          <w:b w:val="0"/>
          <w:color w:val="auto"/>
          <w:spacing w:val="0"/>
          <w:kern w:val="10"/>
          <w:sz w:val="24"/>
          <w:szCs w:val="24"/>
          <w:u w:val="single"/>
        </w:rPr>
        <w:t xml:space="preserve"> </w:t>
      </w:r>
      <w:r>
        <w:rPr>
          <w:rFonts w:ascii="宋体" w:hAnsi="宋体" w:eastAsia="宋体"/>
          <w:b w:val="0"/>
          <w:color w:val="auto"/>
          <w:spacing w:val="0"/>
          <w:kern w:val="10"/>
          <w:sz w:val="24"/>
          <w:szCs w:val="24"/>
          <w:u w:val="single"/>
        </w:rPr>
        <w:tab/>
      </w:r>
      <w:r>
        <w:rPr>
          <w:rFonts w:ascii="宋体" w:hAnsi="宋体" w:eastAsia="宋体"/>
          <w:b w:val="0"/>
          <w:color w:val="auto"/>
          <w:spacing w:val="0"/>
          <w:kern w:val="10"/>
          <w:sz w:val="24"/>
          <w:szCs w:val="24"/>
        </w:rPr>
        <w:t>（姓名）以我方的名义参加</w:t>
      </w:r>
      <w:r>
        <w:rPr>
          <w:rFonts w:ascii="宋体" w:hAnsi="宋体" w:eastAsia="宋体"/>
          <w:b w:val="0"/>
          <w:color w:val="auto"/>
          <w:spacing w:val="0"/>
          <w:kern w:val="10"/>
          <w:sz w:val="24"/>
          <w:szCs w:val="24"/>
          <w:u w:val="single"/>
        </w:rPr>
        <w:t xml:space="preserve"> </w:t>
      </w:r>
      <w:r>
        <w:rPr>
          <w:rFonts w:ascii="宋体" w:hAnsi="宋体" w:eastAsia="宋体"/>
          <w:b w:val="0"/>
          <w:color w:val="auto"/>
          <w:spacing w:val="0"/>
          <w:kern w:val="10"/>
          <w:sz w:val="24"/>
          <w:szCs w:val="24"/>
          <w:u w:val="single"/>
        </w:rPr>
        <w:tab/>
      </w:r>
      <w:r>
        <w:rPr>
          <w:rFonts w:ascii="宋体" w:hAnsi="宋体" w:eastAsia="宋体"/>
          <w:b w:val="0"/>
          <w:color w:val="auto"/>
          <w:spacing w:val="0"/>
          <w:kern w:val="10"/>
          <w:sz w:val="24"/>
          <w:szCs w:val="24"/>
        </w:rPr>
        <w:t>项目的投标活动，并代表我方全权办理针对上述项目的投标、开标、评标、签约等具体事务和签署相关文件。</w:t>
      </w:r>
    </w:p>
    <w:p>
      <w:pPr>
        <w:pStyle w:val="14"/>
        <w:spacing w:before="167"/>
        <w:ind w:left="635"/>
        <w:rPr>
          <w:rFonts w:ascii="宋体" w:hAnsi="宋体" w:eastAsia="宋体"/>
          <w:b w:val="0"/>
          <w:color w:val="auto"/>
          <w:spacing w:val="0"/>
          <w:kern w:val="10"/>
          <w:sz w:val="24"/>
          <w:szCs w:val="24"/>
        </w:rPr>
      </w:pPr>
      <w:r>
        <w:rPr>
          <w:rFonts w:ascii="宋体" w:hAnsi="宋体" w:eastAsia="宋体"/>
          <w:b w:val="0"/>
          <w:color w:val="auto"/>
          <w:spacing w:val="0"/>
          <w:kern w:val="10"/>
          <w:sz w:val="24"/>
          <w:szCs w:val="24"/>
        </w:rPr>
        <w:t>我方对被授权人的签名事项负全部责任。</w:t>
      </w:r>
    </w:p>
    <w:p>
      <w:pPr>
        <w:pStyle w:val="14"/>
        <w:spacing w:before="3"/>
        <w:rPr>
          <w:rFonts w:ascii="宋体" w:hAnsi="宋体" w:eastAsia="宋体"/>
          <w:b w:val="0"/>
          <w:color w:val="auto"/>
          <w:spacing w:val="0"/>
          <w:kern w:val="10"/>
          <w:sz w:val="24"/>
          <w:szCs w:val="24"/>
        </w:rPr>
      </w:pPr>
    </w:p>
    <w:p>
      <w:pPr>
        <w:pStyle w:val="14"/>
        <w:spacing w:line="393" w:lineRule="auto"/>
        <w:ind w:left="212" w:right="546" w:firstLine="480"/>
        <w:rPr>
          <w:rFonts w:ascii="宋体" w:hAnsi="宋体" w:eastAsia="宋体"/>
          <w:b w:val="0"/>
          <w:color w:val="auto"/>
          <w:spacing w:val="0"/>
          <w:kern w:val="10"/>
          <w:sz w:val="24"/>
          <w:szCs w:val="24"/>
        </w:rPr>
      </w:pPr>
      <w:r>
        <w:rPr>
          <w:rFonts w:ascii="宋体" w:hAnsi="宋体" w:eastAsia="宋体"/>
          <w:b w:val="0"/>
          <w:color w:val="auto"/>
          <w:spacing w:val="0"/>
          <w:kern w:val="10"/>
          <w:sz w:val="24"/>
          <w:szCs w:val="24"/>
          <w:u w:val="single"/>
        </w:rPr>
        <w:t>在撤销授权的书面通知以前，本授权书一直有效。</w:t>
      </w:r>
      <w:r>
        <w:rPr>
          <w:rFonts w:ascii="宋体" w:hAnsi="宋体" w:eastAsia="宋体"/>
          <w:b w:val="0"/>
          <w:color w:val="auto"/>
          <w:spacing w:val="0"/>
          <w:kern w:val="10"/>
          <w:sz w:val="24"/>
          <w:szCs w:val="24"/>
        </w:rPr>
        <w:t>被授权人在授权书有效期内签署的所有文件不因授权的撤销而失效。</w:t>
      </w:r>
    </w:p>
    <w:p>
      <w:pPr>
        <w:pStyle w:val="14"/>
        <w:spacing w:before="164"/>
        <w:ind w:left="693"/>
        <w:rPr>
          <w:rFonts w:ascii="宋体" w:hAnsi="宋体" w:eastAsia="宋体"/>
          <w:b w:val="0"/>
          <w:color w:val="auto"/>
          <w:spacing w:val="0"/>
          <w:kern w:val="10"/>
          <w:sz w:val="24"/>
          <w:szCs w:val="24"/>
        </w:rPr>
      </w:pPr>
      <w:r>
        <w:rPr>
          <w:rFonts w:ascii="宋体" w:hAnsi="宋体" w:eastAsia="宋体"/>
          <w:b w:val="0"/>
          <w:color w:val="auto"/>
          <w:spacing w:val="0"/>
          <w:kern w:val="10"/>
          <w:sz w:val="24"/>
          <w:szCs w:val="24"/>
        </w:rPr>
        <w:t>被授权人无转委托权，特此委托。</w:t>
      </w:r>
    </w:p>
    <w:p>
      <w:pPr>
        <w:pStyle w:val="14"/>
        <w:rPr>
          <w:rFonts w:ascii="宋体" w:hAnsi="宋体" w:eastAsia="宋体"/>
          <w:b w:val="0"/>
          <w:color w:val="auto"/>
          <w:spacing w:val="0"/>
          <w:kern w:val="10"/>
          <w:sz w:val="24"/>
          <w:szCs w:val="24"/>
        </w:rPr>
      </w:pPr>
    </w:p>
    <w:p>
      <w:pPr>
        <w:pStyle w:val="14"/>
        <w:rPr>
          <w:rFonts w:ascii="宋体" w:hAnsi="宋体" w:eastAsia="宋体"/>
          <w:b w:val="0"/>
          <w:color w:val="auto"/>
          <w:spacing w:val="0"/>
          <w:kern w:val="10"/>
          <w:sz w:val="24"/>
          <w:szCs w:val="24"/>
        </w:rPr>
      </w:pPr>
    </w:p>
    <w:p>
      <w:pPr>
        <w:pStyle w:val="14"/>
        <w:rPr>
          <w:rFonts w:ascii="宋体" w:hAnsi="宋体" w:eastAsia="宋体"/>
          <w:b w:val="0"/>
          <w:color w:val="auto"/>
          <w:spacing w:val="0"/>
          <w:kern w:val="10"/>
          <w:sz w:val="24"/>
          <w:szCs w:val="24"/>
        </w:rPr>
      </w:pPr>
    </w:p>
    <w:p>
      <w:pPr>
        <w:pStyle w:val="14"/>
        <w:tabs>
          <w:tab w:val="left" w:pos="2780"/>
          <w:tab w:val="left" w:pos="5253"/>
        </w:tabs>
        <w:spacing w:before="172"/>
        <w:ind w:left="212"/>
        <w:rPr>
          <w:rFonts w:ascii="宋体" w:hAnsi="宋体" w:eastAsia="宋体"/>
          <w:b w:val="0"/>
          <w:color w:val="auto"/>
          <w:spacing w:val="0"/>
          <w:kern w:val="10"/>
          <w:sz w:val="24"/>
          <w:szCs w:val="24"/>
        </w:rPr>
      </w:pPr>
      <w:r>
        <w:rPr>
          <w:rFonts w:ascii="宋体" w:hAnsi="宋体" w:eastAsia="宋体"/>
          <w:b w:val="0"/>
          <w:color w:val="auto"/>
          <w:spacing w:val="0"/>
          <w:kern w:val="10"/>
          <w:sz w:val="24"/>
          <w:szCs w:val="24"/>
        </w:rPr>
        <w:t>被授权人签字：</w:t>
      </w:r>
      <w:r>
        <w:rPr>
          <w:rFonts w:ascii="宋体" w:hAnsi="宋体" w:eastAsia="宋体"/>
          <w:b w:val="0"/>
          <w:color w:val="auto"/>
          <w:spacing w:val="0"/>
          <w:kern w:val="10"/>
          <w:sz w:val="24"/>
          <w:szCs w:val="24"/>
          <w:u w:val="single"/>
        </w:rPr>
        <w:t xml:space="preserve"> </w:t>
      </w:r>
      <w:r>
        <w:rPr>
          <w:rFonts w:ascii="宋体" w:hAnsi="宋体" w:eastAsia="宋体"/>
          <w:b w:val="0"/>
          <w:color w:val="auto"/>
          <w:spacing w:val="0"/>
          <w:kern w:val="10"/>
          <w:sz w:val="24"/>
          <w:szCs w:val="24"/>
          <w:u w:val="single"/>
        </w:rPr>
        <w:tab/>
      </w:r>
      <w:r>
        <w:rPr>
          <w:rFonts w:ascii="宋体" w:hAnsi="宋体" w:eastAsia="宋体"/>
          <w:b w:val="0"/>
          <w:color w:val="auto"/>
          <w:spacing w:val="0"/>
          <w:kern w:val="10"/>
          <w:sz w:val="24"/>
          <w:szCs w:val="24"/>
        </w:rPr>
        <w:tab/>
      </w:r>
      <w:r>
        <w:rPr>
          <w:rFonts w:ascii="宋体" w:hAnsi="宋体" w:eastAsia="宋体"/>
          <w:b w:val="0"/>
          <w:color w:val="auto"/>
          <w:spacing w:val="0"/>
          <w:kern w:val="10"/>
          <w:sz w:val="24"/>
          <w:szCs w:val="24"/>
        </w:rPr>
        <w:t>法定代表人或负责人签字：</w:t>
      </w:r>
    </w:p>
    <w:p>
      <w:pPr>
        <w:pStyle w:val="14"/>
        <w:spacing w:before="3"/>
        <w:rPr>
          <w:rFonts w:ascii="宋体" w:hAnsi="宋体" w:eastAsia="宋体"/>
          <w:b w:val="0"/>
          <w:color w:val="auto"/>
          <w:spacing w:val="0"/>
          <w:kern w:val="10"/>
          <w:sz w:val="24"/>
          <w:szCs w:val="24"/>
        </w:rPr>
      </w:pPr>
    </w:p>
    <w:p>
      <w:pPr>
        <w:pStyle w:val="14"/>
        <w:tabs>
          <w:tab w:val="left" w:pos="2886"/>
          <w:tab w:val="left" w:pos="5253"/>
        </w:tabs>
        <w:spacing w:line="540" w:lineRule="auto"/>
        <w:ind w:left="212" w:right="4519"/>
        <w:rPr>
          <w:rFonts w:ascii="宋体" w:hAnsi="宋体" w:eastAsia="宋体"/>
          <w:b w:val="0"/>
          <w:color w:val="auto"/>
          <w:spacing w:val="0"/>
          <w:kern w:val="10"/>
          <w:sz w:val="24"/>
          <w:szCs w:val="24"/>
        </w:rPr>
      </w:pPr>
      <w:r>
        <w:rPr>
          <w:rFonts w:ascii="宋体" w:hAnsi="宋体" w:eastAsia="宋体"/>
          <w:b w:val="0"/>
          <w:color w:val="auto"/>
          <w:spacing w:val="0"/>
          <w:kern w:val="10"/>
          <w:sz w:val="24"/>
          <w:szCs w:val="24"/>
        </w:rPr>
        <w:t>所在部门职务：</w:t>
      </w:r>
      <w:r>
        <w:rPr>
          <w:rFonts w:ascii="宋体" w:hAnsi="宋体" w:eastAsia="宋体"/>
          <w:b w:val="0"/>
          <w:color w:val="auto"/>
          <w:spacing w:val="0"/>
          <w:kern w:val="10"/>
          <w:sz w:val="24"/>
          <w:szCs w:val="24"/>
          <w:u w:val="single"/>
        </w:rPr>
        <w:t xml:space="preserve"> </w:t>
      </w:r>
      <w:r>
        <w:rPr>
          <w:rFonts w:ascii="宋体" w:hAnsi="宋体" w:eastAsia="宋体"/>
          <w:b w:val="0"/>
          <w:color w:val="auto"/>
          <w:spacing w:val="0"/>
          <w:kern w:val="10"/>
          <w:sz w:val="24"/>
          <w:szCs w:val="24"/>
          <w:u w:val="single"/>
        </w:rPr>
        <w:tab/>
      </w:r>
      <w:r>
        <w:rPr>
          <w:rFonts w:ascii="宋体" w:hAnsi="宋体" w:eastAsia="宋体"/>
          <w:b w:val="0"/>
          <w:color w:val="auto"/>
          <w:spacing w:val="0"/>
          <w:kern w:val="10"/>
          <w:sz w:val="24"/>
          <w:szCs w:val="24"/>
        </w:rPr>
        <w:tab/>
      </w:r>
      <w:r>
        <w:rPr>
          <w:rFonts w:ascii="宋体" w:hAnsi="宋体" w:eastAsia="宋体"/>
          <w:b w:val="0"/>
          <w:color w:val="auto"/>
          <w:spacing w:val="0"/>
          <w:kern w:val="10"/>
          <w:sz w:val="24"/>
          <w:szCs w:val="24"/>
        </w:rPr>
        <w:t>职务：</w:t>
      </w:r>
      <w:r>
        <w:rPr>
          <w:rFonts w:hint="eastAsia" w:ascii="宋体" w:hAnsi="宋体" w:eastAsia="宋体"/>
          <w:b w:val="0"/>
          <w:color w:val="auto"/>
          <w:spacing w:val="0"/>
          <w:kern w:val="10"/>
          <w:sz w:val="24"/>
          <w:szCs w:val="24"/>
        </w:rPr>
        <w:t xml:space="preserve">           </w:t>
      </w:r>
      <w:r>
        <w:rPr>
          <w:rFonts w:ascii="宋体" w:hAnsi="宋体" w:eastAsia="宋体"/>
          <w:b w:val="0"/>
          <w:color w:val="auto"/>
          <w:spacing w:val="0"/>
          <w:kern w:val="10"/>
          <w:sz w:val="24"/>
          <w:szCs w:val="24"/>
        </w:rPr>
        <w:t xml:space="preserve"> 被授权人身份证号码：</w:t>
      </w:r>
    </w:p>
    <w:p>
      <w:pPr>
        <w:pStyle w:val="14"/>
        <w:rPr>
          <w:rFonts w:ascii="宋体" w:hAnsi="宋体" w:eastAsia="宋体"/>
          <w:b w:val="0"/>
          <w:color w:val="auto"/>
          <w:spacing w:val="0"/>
          <w:kern w:val="10"/>
          <w:sz w:val="24"/>
          <w:szCs w:val="24"/>
        </w:rPr>
      </w:pPr>
    </w:p>
    <w:p>
      <w:pPr>
        <w:pStyle w:val="14"/>
        <w:spacing w:before="1"/>
        <w:rPr>
          <w:rFonts w:ascii="宋体" w:hAnsi="宋体" w:eastAsia="宋体"/>
          <w:b w:val="0"/>
          <w:color w:val="auto"/>
          <w:spacing w:val="0"/>
          <w:kern w:val="10"/>
          <w:sz w:val="24"/>
          <w:szCs w:val="24"/>
        </w:rPr>
      </w:pPr>
    </w:p>
    <w:p>
      <w:pPr>
        <w:pStyle w:val="14"/>
        <w:tabs>
          <w:tab w:val="left" w:pos="7562"/>
        </w:tabs>
        <w:ind w:left="5359"/>
        <w:rPr>
          <w:rFonts w:ascii="宋体" w:hAnsi="宋体" w:eastAsia="宋体"/>
          <w:b w:val="0"/>
          <w:color w:val="auto"/>
          <w:spacing w:val="0"/>
          <w:kern w:val="10"/>
          <w:sz w:val="24"/>
          <w:szCs w:val="24"/>
        </w:rPr>
      </w:pPr>
      <w:r>
        <w:rPr>
          <w:rFonts w:hint="eastAsia" w:ascii="宋体" w:hAnsi="宋体" w:eastAsia="宋体"/>
          <w:b w:val="0"/>
          <w:color w:val="auto"/>
          <w:spacing w:val="-3"/>
          <w:sz w:val="24"/>
          <w:szCs w:val="24"/>
        </w:rPr>
        <w:t>磋商供应商（公章）</w:t>
      </w:r>
      <w:r>
        <w:rPr>
          <w:rFonts w:ascii="宋体" w:hAnsi="宋体" w:eastAsia="宋体"/>
          <w:b w:val="0"/>
          <w:color w:val="auto"/>
          <w:spacing w:val="0"/>
          <w:kern w:val="10"/>
          <w:sz w:val="24"/>
          <w:szCs w:val="24"/>
        </w:rPr>
        <w:t>：</w:t>
      </w:r>
      <w:r>
        <w:rPr>
          <w:rFonts w:ascii="宋体" w:hAnsi="宋体" w:eastAsia="宋体"/>
          <w:b w:val="0"/>
          <w:color w:val="auto"/>
          <w:spacing w:val="0"/>
          <w:kern w:val="10"/>
          <w:sz w:val="24"/>
          <w:szCs w:val="24"/>
          <w:u w:val="single"/>
        </w:rPr>
        <w:t xml:space="preserve"> </w:t>
      </w:r>
      <w:r>
        <w:rPr>
          <w:rFonts w:ascii="宋体" w:hAnsi="宋体" w:eastAsia="宋体"/>
          <w:b w:val="0"/>
          <w:color w:val="auto"/>
          <w:spacing w:val="0"/>
          <w:kern w:val="10"/>
          <w:sz w:val="24"/>
          <w:szCs w:val="24"/>
          <w:u w:val="single"/>
        </w:rPr>
        <w:tab/>
      </w:r>
    </w:p>
    <w:p>
      <w:pPr>
        <w:pStyle w:val="14"/>
        <w:spacing w:before="8"/>
        <w:rPr>
          <w:rFonts w:ascii="宋体" w:hAnsi="宋体" w:eastAsia="宋体"/>
          <w:b w:val="0"/>
          <w:color w:val="auto"/>
          <w:spacing w:val="0"/>
          <w:kern w:val="10"/>
          <w:sz w:val="24"/>
          <w:szCs w:val="24"/>
        </w:rPr>
      </w:pPr>
    </w:p>
    <w:p>
      <w:pPr>
        <w:pStyle w:val="14"/>
        <w:tabs>
          <w:tab w:val="left" w:pos="7027"/>
          <w:tab w:val="left" w:pos="7658"/>
        </w:tabs>
        <w:spacing w:before="72"/>
        <w:ind w:left="6399"/>
        <w:rPr>
          <w:rFonts w:ascii="宋体" w:hAnsi="宋体" w:eastAsia="宋体"/>
          <w:b w:val="0"/>
          <w:color w:val="auto"/>
          <w:spacing w:val="0"/>
          <w:kern w:val="10"/>
          <w:sz w:val="24"/>
          <w:szCs w:val="24"/>
        </w:rPr>
      </w:pPr>
      <w:r>
        <w:rPr>
          <w:rFonts w:ascii="宋体" w:hAnsi="宋体" w:eastAsia="宋体"/>
          <w:b w:val="0"/>
          <w:color w:val="auto"/>
          <w:spacing w:val="0"/>
          <w:kern w:val="10"/>
          <w:sz w:val="24"/>
          <w:szCs w:val="24"/>
        </w:rPr>
        <w:t>年</w:t>
      </w:r>
      <w:r>
        <w:rPr>
          <w:rFonts w:ascii="宋体" w:hAnsi="宋体" w:eastAsia="宋体"/>
          <w:b w:val="0"/>
          <w:color w:val="auto"/>
          <w:spacing w:val="0"/>
          <w:kern w:val="10"/>
          <w:sz w:val="24"/>
          <w:szCs w:val="24"/>
        </w:rPr>
        <w:tab/>
      </w:r>
      <w:r>
        <w:rPr>
          <w:rFonts w:ascii="宋体" w:hAnsi="宋体" w:eastAsia="宋体"/>
          <w:b w:val="0"/>
          <w:color w:val="auto"/>
          <w:spacing w:val="0"/>
          <w:kern w:val="10"/>
          <w:sz w:val="24"/>
          <w:szCs w:val="24"/>
        </w:rPr>
        <w:t>月</w:t>
      </w:r>
      <w:r>
        <w:rPr>
          <w:rFonts w:ascii="宋体" w:hAnsi="宋体" w:eastAsia="宋体"/>
          <w:b w:val="0"/>
          <w:color w:val="auto"/>
          <w:spacing w:val="0"/>
          <w:kern w:val="10"/>
          <w:sz w:val="24"/>
          <w:szCs w:val="24"/>
        </w:rPr>
        <w:tab/>
      </w:r>
      <w:r>
        <w:rPr>
          <w:rFonts w:ascii="宋体" w:hAnsi="宋体" w:eastAsia="宋体"/>
          <w:b w:val="0"/>
          <w:color w:val="auto"/>
          <w:spacing w:val="0"/>
          <w:kern w:val="10"/>
          <w:sz w:val="24"/>
          <w:szCs w:val="24"/>
        </w:rPr>
        <w:t>日</w:t>
      </w:r>
    </w:p>
    <w:p>
      <w:pPr>
        <w:pStyle w:val="8"/>
        <w:spacing w:before="110"/>
        <w:ind w:left="633"/>
        <w:rPr>
          <w:b w:val="0"/>
          <w:color w:val="auto"/>
          <w:kern w:val="10"/>
          <w:sz w:val="24"/>
          <w:szCs w:val="24"/>
        </w:rPr>
      </w:pPr>
      <w:r>
        <w:rPr>
          <w:b w:val="0"/>
          <w:color w:val="auto"/>
          <w:kern w:val="10"/>
          <w:sz w:val="24"/>
          <w:szCs w:val="24"/>
        </w:rPr>
        <w:t>附：委托代理人完整身份证复印件</w:t>
      </w:r>
    </w:p>
    <w:p>
      <w:pPr>
        <w:rPr>
          <w:color w:val="auto"/>
        </w:rPr>
        <w:sectPr>
          <w:type w:val="continuous"/>
          <w:pgSz w:w="11910" w:h="16840"/>
          <w:pgMar w:top="1580" w:right="580" w:bottom="280" w:left="920" w:header="720" w:footer="720" w:gutter="0"/>
          <w:cols w:space="720" w:num="1"/>
        </w:sectPr>
      </w:pPr>
    </w:p>
    <w:p>
      <w:pPr>
        <w:pStyle w:val="14"/>
        <w:rPr>
          <w:b w:val="0"/>
          <w:color w:val="auto"/>
          <w:sz w:val="20"/>
        </w:rPr>
      </w:pPr>
    </w:p>
    <w:p>
      <w:pPr>
        <w:pStyle w:val="14"/>
        <w:rPr>
          <w:b w:val="0"/>
          <w:color w:val="auto"/>
          <w:sz w:val="23"/>
        </w:rPr>
      </w:pPr>
    </w:p>
    <w:p>
      <w:pPr>
        <w:pStyle w:val="5"/>
        <w:ind w:right="15"/>
        <w:rPr>
          <w:color w:val="auto"/>
        </w:rPr>
      </w:pPr>
      <w:r>
        <w:rPr>
          <w:color w:val="auto"/>
        </w:rPr>
        <w:t>法定代表人或负责人（分支机构或派出机构）身份证明</w:t>
      </w:r>
    </w:p>
    <w:p>
      <w:pPr>
        <w:pStyle w:val="14"/>
        <w:spacing w:before="11"/>
        <w:rPr>
          <w:b w:val="0"/>
          <w:color w:val="auto"/>
          <w:sz w:val="24"/>
        </w:rPr>
      </w:pPr>
    </w:p>
    <w:p>
      <w:pPr>
        <w:pStyle w:val="14"/>
        <w:spacing w:before="72" w:line="499" w:lineRule="auto"/>
        <w:ind w:left="738" w:right="8010"/>
        <w:rPr>
          <w:rFonts w:ascii="宋体" w:hAnsi="宋体" w:eastAsia="宋体"/>
          <w:b w:val="0"/>
          <w:color w:val="auto"/>
          <w:sz w:val="24"/>
          <w:szCs w:val="24"/>
        </w:rPr>
      </w:pPr>
      <w:r>
        <w:rPr>
          <w:rFonts w:hint="eastAsia" w:ascii="宋体" w:hAnsi="宋体" w:eastAsia="宋体"/>
          <w:b w:val="0"/>
          <w:color w:val="auto"/>
          <w:spacing w:val="-3"/>
          <w:sz w:val="24"/>
          <w:szCs w:val="24"/>
        </w:rPr>
        <w:t>磋商供应商</w:t>
      </w:r>
      <w:r>
        <w:rPr>
          <w:rFonts w:ascii="宋体" w:hAnsi="宋体" w:eastAsia="宋体"/>
          <w:b w:val="0"/>
          <w:color w:val="auto"/>
          <w:spacing w:val="-3"/>
          <w:sz w:val="24"/>
          <w:szCs w:val="24"/>
        </w:rPr>
        <w:t xml:space="preserve">： </w:t>
      </w:r>
      <w:r>
        <w:rPr>
          <w:rFonts w:ascii="宋体" w:hAnsi="宋体" w:eastAsia="宋体"/>
          <w:b w:val="0"/>
          <w:color w:val="auto"/>
          <w:spacing w:val="-4"/>
          <w:sz w:val="24"/>
          <w:szCs w:val="24"/>
        </w:rPr>
        <w:t xml:space="preserve">单位性质： </w:t>
      </w:r>
      <w:r>
        <w:rPr>
          <w:rFonts w:ascii="宋体" w:hAnsi="宋体" w:eastAsia="宋体"/>
          <w:b w:val="0"/>
          <w:color w:val="auto"/>
          <w:spacing w:val="-3"/>
          <w:sz w:val="24"/>
          <w:szCs w:val="24"/>
        </w:rPr>
        <w:t>地   址 ：</w:t>
      </w:r>
    </w:p>
    <w:p>
      <w:pPr>
        <w:pStyle w:val="14"/>
        <w:tabs>
          <w:tab w:val="left" w:pos="3576"/>
          <w:tab w:val="left" w:pos="5256"/>
          <w:tab w:val="left" w:pos="6934"/>
        </w:tabs>
        <w:spacing w:before="1" w:after="22" w:line="499" w:lineRule="auto"/>
        <w:ind w:left="738" w:right="3259"/>
        <w:rPr>
          <w:rFonts w:ascii="宋体" w:hAnsi="宋体" w:eastAsia="宋体"/>
          <w:b w:val="0"/>
          <w:color w:val="auto"/>
          <w:sz w:val="24"/>
          <w:szCs w:val="24"/>
        </w:rPr>
      </w:pPr>
      <w:r>
        <w:rPr>
          <w:rFonts w:ascii="宋体" w:hAnsi="宋体" w:eastAsia="宋体"/>
          <w:b w:val="0"/>
          <w:color w:val="auto"/>
          <w:sz w:val="24"/>
          <w:szCs w:val="24"/>
        </w:rPr>
        <w:t>成立</w:t>
      </w:r>
      <w:r>
        <w:rPr>
          <w:rFonts w:ascii="宋体" w:hAnsi="宋体" w:eastAsia="宋体"/>
          <w:b w:val="0"/>
          <w:color w:val="auto"/>
          <w:spacing w:val="-3"/>
          <w:sz w:val="24"/>
          <w:szCs w:val="24"/>
        </w:rPr>
        <w:t>时</w:t>
      </w:r>
      <w:r>
        <w:rPr>
          <w:rFonts w:ascii="宋体" w:hAnsi="宋体" w:eastAsia="宋体"/>
          <w:b w:val="0"/>
          <w:color w:val="auto"/>
          <w:sz w:val="24"/>
          <w:szCs w:val="24"/>
        </w:rPr>
        <w:t>间</w:t>
      </w:r>
      <w:r>
        <w:rPr>
          <w:rFonts w:ascii="宋体" w:hAnsi="宋体" w:eastAsia="宋体"/>
          <w:b w:val="0"/>
          <w:color w:val="auto"/>
          <w:spacing w:val="-3"/>
          <w:sz w:val="24"/>
          <w:szCs w:val="24"/>
        </w:rPr>
        <w:t>：</w:t>
      </w:r>
      <w:r>
        <w:rPr>
          <w:rFonts w:ascii="宋体" w:hAnsi="宋体" w:eastAsia="宋体"/>
          <w:b w:val="0"/>
          <w:color w:val="auto"/>
          <w:spacing w:val="-3"/>
          <w:sz w:val="24"/>
          <w:szCs w:val="24"/>
          <w:u w:val="single"/>
        </w:rPr>
        <w:t xml:space="preserve"> </w:t>
      </w:r>
      <w:r>
        <w:rPr>
          <w:rFonts w:ascii="宋体" w:hAnsi="宋体" w:eastAsia="宋体"/>
          <w:b w:val="0"/>
          <w:color w:val="auto"/>
          <w:spacing w:val="-3"/>
          <w:sz w:val="24"/>
          <w:szCs w:val="24"/>
          <w:u w:val="single"/>
        </w:rPr>
        <w:tab/>
      </w:r>
      <w:r>
        <w:rPr>
          <w:rFonts w:ascii="宋体" w:hAnsi="宋体" w:eastAsia="宋体"/>
          <w:b w:val="0"/>
          <w:color w:val="auto"/>
          <w:spacing w:val="-3"/>
          <w:sz w:val="24"/>
          <w:szCs w:val="24"/>
        </w:rPr>
        <w:t>年</w:t>
      </w:r>
      <w:r>
        <w:rPr>
          <w:rFonts w:ascii="宋体" w:hAnsi="宋体" w:eastAsia="宋体"/>
          <w:b w:val="0"/>
          <w:color w:val="auto"/>
          <w:spacing w:val="-3"/>
          <w:sz w:val="24"/>
          <w:szCs w:val="24"/>
          <w:u w:val="single"/>
        </w:rPr>
        <w:t xml:space="preserve"> </w:t>
      </w:r>
      <w:r>
        <w:rPr>
          <w:rFonts w:ascii="宋体" w:hAnsi="宋体" w:eastAsia="宋体"/>
          <w:b w:val="0"/>
          <w:color w:val="auto"/>
          <w:spacing w:val="-3"/>
          <w:sz w:val="24"/>
          <w:szCs w:val="24"/>
          <w:u w:val="single"/>
        </w:rPr>
        <w:tab/>
      </w:r>
      <w:r>
        <w:rPr>
          <w:rFonts w:ascii="宋体" w:hAnsi="宋体" w:eastAsia="宋体"/>
          <w:b w:val="0"/>
          <w:color w:val="auto"/>
          <w:sz w:val="24"/>
          <w:szCs w:val="24"/>
        </w:rPr>
        <w:t>月</w:t>
      </w:r>
      <w:r>
        <w:rPr>
          <w:rFonts w:ascii="宋体" w:hAnsi="宋体" w:eastAsia="宋体"/>
          <w:b w:val="0"/>
          <w:color w:val="auto"/>
          <w:sz w:val="24"/>
          <w:szCs w:val="24"/>
          <w:u w:val="single"/>
        </w:rPr>
        <w:t xml:space="preserve"> </w:t>
      </w:r>
      <w:r>
        <w:rPr>
          <w:rFonts w:ascii="宋体" w:hAnsi="宋体" w:eastAsia="宋体"/>
          <w:b w:val="0"/>
          <w:color w:val="auto"/>
          <w:sz w:val="24"/>
          <w:szCs w:val="24"/>
          <w:u w:val="single"/>
        </w:rPr>
        <w:tab/>
      </w:r>
      <w:r>
        <w:rPr>
          <w:rFonts w:ascii="宋体" w:hAnsi="宋体" w:eastAsia="宋体"/>
          <w:b w:val="0"/>
          <w:color w:val="auto"/>
          <w:spacing w:val="-18"/>
          <w:sz w:val="24"/>
          <w:szCs w:val="24"/>
        </w:rPr>
        <w:t>日</w:t>
      </w:r>
      <w:r>
        <w:rPr>
          <w:rFonts w:ascii="宋体" w:hAnsi="宋体" w:eastAsia="宋体"/>
          <w:b w:val="0"/>
          <w:color w:val="auto"/>
          <w:sz w:val="24"/>
          <w:szCs w:val="24"/>
        </w:rPr>
        <w:t>经营</w:t>
      </w:r>
      <w:r>
        <w:rPr>
          <w:rFonts w:ascii="宋体" w:hAnsi="宋体" w:eastAsia="宋体"/>
          <w:b w:val="0"/>
          <w:color w:val="auto"/>
          <w:spacing w:val="-3"/>
          <w:sz w:val="24"/>
          <w:szCs w:val="24"/>
        </w:rPr>
        <w:t>期</w:t>
      </w:r>
      <w:r>
        <w:rPr>
          <w:rFonts w:ascii="宋体" w:hAnsi="宋体" w:eastAsia="宋体"/>
          <w:b w:val="0"/>
          <w:color w:val="auto"/>
          <w:sz w:val="24"/>
          <w:szCs w:val="24"/>
        </w:rPr>
        <w:t>限：</w:t>
      </w:r>
    </w:p>
    <w:tbl>
      <w:tblPr>
        <w:tblStyle w:val="38"/>
        <w:tblW w:w="0" w:type="auto"/>
        <w:tblInd w:w="696" w:type="dxa"/>
        <w:tblLayout w:type="fixed"/>
        <w:tblCellMar>
          <w:top w:w="0" w:type="dxa"/>
          <w:left w:w="0" w:type="dxa"/>
          <w:bottom w:w="0" w:type="dxa"/>
          <w:right w:w="0" w:type="dxa"/>
        </w:tblCellMar>
      </w:tblPr>
      <w:tblGrid>
        <w:gridCol w:w="471"/>
        <w:gridCol w:w="3833"/>
        <w:gridCol w:w="730"/>
      </w:tblGrid>
      <w:tr>
        <w:trPr>
          <w:trHeight w:val="397" w:hRule="atLeast"/>
        </w:trPr>
        <w:tc>
          <w:tcPr>
            <w:tcW w:w="471" w:type="dxa"/>
          </w:tcPr>
          <w:p>
            <w:pPr>
              <w:pStyle w:val="115"/>
              <w:spacing w:line="247" w:lineRule="exact"/>
              <w:ind w:left="50"/>
              <w:rPr>
                <w:color w:val="auto"/>
                <w:sz w:val="24"/>
              </w:rPr>
            </w:pPr>
            <w:r>
              <w:rPr>
                <w:color w:val="auto"/>
                <w:sz w:val="24"/>
              </w:rPr>
              <w:t>姓</w:t>
            </w:r>
          </w:p>
        </w:tc>
        <w:tc>
          <w:tcPr>
            <w:tcW w:w="3833" w:type="dxa"/>
          </w:tcPr>
          <w:p>
            <w:pPr>
              <w:pStyle w:val="115"/>
              <w:tabs>
                <w:tab w:val="left" w:pos="3149"/>
              </w:tabs>
              <w:spacing w:line="247" w:lineRule="exact"/>
              <w:ind w:right="50"/>
              <w:jc w:val="center"/>
              <w:rPr>
                <w:color w:val="auto"/>
                <w:sz w:val="24"/>
              </w:rPr>
            </w:pPr>
            <w:r>
              <w:rPr>
                <w:color w:val="auto"/>
                <w:sz w:val="24"/>
              </w:rPr>
              <w:t>名</w:t>
            </w:r>
            <w:r>
              <w:rPr>
                <w:color w:val="auto"/>
                <w:spacing w:val="-3"/>
                <w:sz w:val="24"/>
              </w:rPr>
              <w:t>：</w:t>
            </w:r>
            <w:r>
              <w:rPr>
                <w:color w:val="auto"/>
                <w:spacing w:val="-3"/>
                <w:sz w:val="24"/>
                <w:u w:val="single"/>
              </w:rPr>
              <w:t xml:space="preserve"> </w:t>
            </w:r>
            <w:r>
              <w:rPr>
                <w:color w:val="auto"/>
                <w:spacing w:val="-3"/>
                <w:sz w:val="24"/>
                <w:u w:val="single"/>
              </w:rPr>
              <w:tab/>
            </w:r>
            <w:r>
              <w:rPr>
                <w:color w:val="auto"/>
                <w:sz w:val="24"/>
              </w:rPr>
              <w:t>性</w:t>
            </w:r>
          </w:p>
        </w:tc>
        <w:tc>
          <w:tcPr>
            <w:tcW w:w="730" w:type="dxa"/>
          </w:tcPr>
          <w:p>
            <w:pPr>
              <w:pStyle w:val="115"/>
              <w:spacing w:line="247" w:lineRule="exact"/>
              <w:ind w:right="47"/>
              <w:jc w:val="right"/>
              <w:rPr>
                <w:color w:val="auto"/>
                <w:sz w:val="24"/>
              </w:rPr>
            </w:pPr>
            <w:r>
              <w:rPr>
                <w:color w:val="auto"/>
                <w:sz w:val="24"/>
              </w:rPr>
              <w:t>别：</w:t>
            </w:r>
          </w:p>
        </w:tc>
      </w:tr>
      <w:tr>
        <w:tblPrEx>
          <w:tblCellMar>
            <w:top w:w="0" w:type="dxa"/>
            <w:left w:w="0" w:type="dxa"/>
            <w:bottom w:w="0" w:type="dxa"/>
            <w:right w:w="0" w:type="dxa"/>
          </w:tblCellMar>
        </w:tblPrEx>
        <w:trPr>
          <w:trHeight w:val="397" w:hRule="atLeast"/>
        </w:trPr>
        <w:tc>
          <w:tcPr>
            <w:tcW w:w="471" w:type="dxa"/>
          </w:tcPr>
          <w:p>
            <w:pPr>
              <w:pStyle w:val="115"/>
              <w:spacing w:before="142" w:line="236" w:lineRule="exact"/>
              <w:ind w:left="50"/>
              <w:rPr>
                <w:color w:val="auto"/>
                <w:sz w:val="24"/>
              </w:rPr>
            </w:pPr>
            <w:r>
              <w:rPr>
                <w:color w:val="auto"/>
                <w:sz w:val="24"/>
              </w:rPr>
              <w:t>年</w:t>
            </w:r>
          </w:p>
        </w:tc>
        <w:tc>
          <w:tcPr>
            <w:tcW w:w="3833" w:type="dxa"/>
          </w:tcPr>
          <w:p>
            <w:pPr>
              <w:pStyle w:val="115"/>
              <w:tabs>
                <w:tab w:val="left" w:pos="3149"/>
              </w:tabs>
              <w:spacing w:before="142" w:line="236" w:lineRule="exact"/>
              <w:ind w:right="50"/>
              <w:jc w:val="center"/>
              <w:rPr>
                <w:color w:val="auto"/>
                <w:sz w:val="24"/>
              </w:rPr>
            </w:pPr>
            <w:r>
              <w:rPr>
                <w:color w:val="auto"/>
                <w:sz w:val="24"/>
              </w:rPr>
              <w:t>龄</w:t>
            </w:r>
            <w:r>
              <w:rPr>
                <w:color w:val="auto"/>
                <w:spacing w:val="-3"/>
                <w:sz w:val="24"/>
              </w:rPr>
              <w:t>：</w:t>
            </w:r>
            <w:r>
              <w:rPr>
                <w:color w:val="auto"/>
                <w:spacing w:val="-3"/>
                <w:sz w:val="24"/>
                <w:u w:val="single"/>
              </w:rPr>
              <w:t xml:space="preserve"> </w:t>
            </w:r>
            <w:r>
              <w:rPr>
                <w:color w:val="auto"/>
                <w:spacing w:val="-3"/>
                <w:sz w:val="24"/>
                <w:u w:val="single"/>
              </w:rPr>
              <w:tab/>
            </w:r>
            <w:r>
              <w:rPr>
                <w:color w:val="auto"/>
                <w:sz w:val="24"/>
              </w:rPr>
              <w:t>职</w:t>
            </w:r>
          </w:p>
        </w:tc>
        <w:tc>
          <w:tcPr>
            <w:tcW w:w="730" w:type="dxa"/>
          </w:tcPr>
          <w:p>
            <w:pPr>
              <w:pStyle w:val="115"/>
              <w:spacing w:before="142" w:line="236" w:lineRule="exact"/>
              <w:ind w:right="47"/>
              <w:jc w:val="right"/>
              <w:rPr>
                <w:color w:val="auto"/>
                <w:sz w:val="24"/>
              </w:rPr>
            </w:pPr>
            <w:r>
              <w:rPr>
                <w:color w:val="auto"/>
                <w:sz w:val="24"/>
              </w:rPr>
              <w:t>务：</w:t>
            </w:r>
          </w:p>
        </w:tc>
      </w:tr>
    </w:tbl>
    <w:p>
      <w:pPr>
        <w:pStyle w:val="14"/>
        <w:spacing w:before="8"/>
        <w:rPr>
          <w:rFonts w:ascii="宋体" w:hAnsi="宋体" w:eastAsia="宋体"/>
          <w:b w:val="0"/>
          <w:color w:val="auto"/>
          <w:sz w:val="24"/>
          <w:szCs w:val="24"/>
        </w:rPr>
      </w:pPr>
    </w:p>
    <w:p>
      <w:pPr>
        <w:pStyle w:val="14"/>
        <w:tabs>
          <w:tab w:val="left" w:pos="6094"/>
        </w:tabs>
        <w:spacing w:before="1" w:line="499" w:lineRule="auto"/>
        <w:ind w:left="738" w:right="532"/>
        <w:rPr>
          <w:rFonts w:ascii="宋体" w:hAnsi="宋体" w:eastAsia="宋体"/>
          <w:b w:val="0"/>
          <w:color w:val="auto"/>
          <w:sz w:val="24"/>
          <w:szCs w:val="24"/>
        </w:rPr>
      </w:pPr>
      <w:r>
        <w:rPr>
          <w:rFonts w:ascii="宋体" w:hAnsi="宋体" w:eastAsia="宋体"/>
          <w:b w:val="0"/>
          <w:color w:val="auto"/>
          <w:sz w:val="24"/>
          <w:szCs w:val="24"/>
        </w:rPr>
        <w:t>系</w:t>
      </w:r>
      <w:r>
        <w:rPr>
          <w:rFonts w:ascii="宋体" w:hAnsi="宋体" w:eastAsia="宋体"/>
          <w:b w:val="0"/>
          <w:color w:val="auto"/>
          <w:sz w:val="24"/>
          <w:szCs w:val="24"/>
          <w:u w:val="single"/>
        </w:rPr>
        <w:t xml:space="preserve"> </w:t>
      </w:r>
      <w:r>
        <w:rPr>
          <w:rFonts w:ascii="宋体" w:hAnsi="宋体" w:eastAsia="宋体"/>
          <w:b w:val="0"/>
          <w:color w:val="auto"/>
          <w:sz w:val="24"/>
          <w:szCs w:val="24"/>
          <w:u w:val="single"/>
        </w:rPr>
        <w:tab/>
      </w:r>
      <w:r>
        <w:rPr>
          <w:rFonts w:ascii="宋体" w:hAnsi="宋体" w:eastAsia="宋体"/>
          <w:b w:val="0"/>
          <w:color w:val="auto"/>
          <w:sz w:val="24"/>
          <w:szCs w:val="24"/>
        </w:rPr>
        <w:t>（</w:t>
      </w:r>
      <w:r>
        <w:rPr>
          <w:rFonts w:hint="eastAsia" w:ascii="宋体" w:hAnsi="宋体" w:eastAsia="宋体"/>
          <w:b w:val="0"/>
          <w:color w:val="auto"/>
          <w:spacing w:val="-3"/>
          <w:sz w:val="24"/>
          <w:szCs w:val="24"/>
        </w:rPr>
        <w:t>竞标</w:t>
      </w:r>
      <w:r>
        <w:rPr>
          <w:rFonts w:ascii="宋体" w:hAnsi="宋体" w:eastAsia="宋体"/>
          <w:b w:val="0"/>
          <w:color w:val="auto"/>
          <w:spacing w:val="-3"/>
          <w:sz w:val="24"/>
          <w:szCs w:val="24"/>
        </w:rPr>
        <w:t>人</w:t>
      </w:r>
      <w:r>
        <w:rPr>
          <w:rFonts w:ascii="宋体" w:hAnsi="宋体" w:eastAsia="宋体"/>
          <w:b w:val="0"/>
          <w:color w:val="auto"/>
          <w:sz w:val="24"/>
          <w:szCs w:val="24"/>
        </w:rPr>
        <w:t>名</w:t>
      </w:r>
      <w:r>
        <w:rPr>
          <w:rFonts w:ascii="宋体" w:hAnsi="宋体" w:eastAsia="宋体"/>
          <w:b w:val="0"/>
          <w:color w:val="auto"/>
          <w:spacing w:val="-3"/>
          <w:sz w:val="24"/>
          <w:szCs w:val="24"/>
        </w:rPr>
        <w:t>称</w:t>
      </w:r>
      <w:r>
        <w:rPr>
          <w:rFonts w:ascii="宋体" w:hAnsi="宋体" w:eastAsia="宋体"/>
          <w:b w:val="0"/>
          <w:color w:val="auto"/>
          <w:sz w:val="24"/>
          <w:szCs w:val="24"/>
        </w:rPr>
        <w:t>）</w:t>
      </w:r>
      <w:r>
        <w:rPr>
          <w:rFonts w:ascii="宋体" w:hAnsi="宋体" w:eastAsia="宋体"/>
          <w:b w:val="0"/>
          <w:color w:val="auto"/>
          <w:spacing w:val="-3"/>
          <w:sz w:val="24"/>
          <w:szCs w:val="24"/>
        </w:rPr>
        <w:t>的法</w:t>
      </w:r>
      <w:r>
        <w:rPr>
          <w:rFonts w:ascii="宋体" w:hAnsi="宋体" w:eastAsia="宋体"/>
          <w:b w:val="0"/>
          <w:color w:val="auto"/>
          <w:sz w:val="24"/>
          <w:szCs w:val="24"/>
        </w:rPr>
        <w:t>定代</w:t>
      </w:r>
      <w:r>
        <w:rPr>
          <w:rFonts w:ascii="宋体" w:hAnsi="宋体" w:eastAsia="宋体"/>
          <w:b w:val="0"/>
          <w:color w:val="auto"/>
          <w:spacing w:val="-3"/>
          <w:sz w:val="24"/>
          <w:szCs w:val="24"/>
        </w:rPr>
        <w:t>表</w:t>
      </w:r>
      <w:r>
        <w:rPr>
          <w:rFonts w:ascii="宋体" w:hAnsi="宋体" w:eastAsia="宋体"/>
          <w:b w:val="0"/>
          <w:color w:val="auto"/>
          <w:sz w:val="24"/>
          <w:szCs w:val="24"/>
        </w:rPr>
        <w:t>人</w:t>
      </w:r>
      <w:r>
        <w:rPr>
          <w:rFonts w:ascii="宋体" w:hAnsi="宋体" w:eastAsia="宋体"/>
          <w:b w:val="0"/>
          <w:color w:val="auto"/>
          <w:spacing w:val="-3"/>
          <w:sz w:val="24"/>
          <w:szCs w:val="24"/>
        </w:rPr>
        <w:t>或</w:t>
      </w:r>
      <w:r>
        <w:rPr>
          <w:rFonts w:ascii="宋体" w:hAnsi="宋体" w:eastAsia="宋体"/>
          <w:b w:val="0"/>
          <w:color w:val="auto"/>
          <w:sz w:val="24"/>
          <w:szCs w:val="24"/>
        </w:rPr>
        <w:t>负</w:t>
      </w:r>
      <w:r>
        <w:rPr>
          <w:rFonts w:ascii="宋体" w:hAnsi="宋体" w:eastAsia="宋体"/>
          <w:b w:val="0"/>
          <w:color w:val="auto"/>
          <w:spacing w:val="-3"/>
          <w:sz w:val="24"/>
          <w:szCs w:val="24"/>
        </w:rPr>
        <w:t>责人</w:t>
      </w:r>
      <w:r>
        <w:rPr>
          <w:rFonts w:ascii="宋体" w:hAnsi="宋体" w:eastAsia="宋体"/>
          <w:b w:val="0"/>
          <w:color w:val="auto"/>
          <w:spacing w:val="-15"/>
          <w:sz w:val="24"/>
          <w:szCs w:val="24"/>
        </w:rPr>
        <w:t>。</w:t>
      </w:r>
      <w:r>
        <w:rPr>
          <w:rFonts w:ascii="宋体" w:hAnsi="宋体" w:eastAsia="宋体"/>
          <w:b w:val="0"/>
          <w:color w:val="auto"/>
          <w:sz w:val="24"/>
          <w:szCs w:val="24"/>
        </w:rPr>
        <w:t>特此</w:t>
      </w:r>
      <w:r>
        <w:rPr>
          <w:rFonts w:ascii="宋体" w:hAnsi="宋体" w:eastAsia="宋体"/>
          <w:b w:val="0"/>
          <w:color w:val="auto"/>
          <w:spacing w:val="-3"/>
          <w:sz w:val="24"/>
          <w:szCs w:val="24"/>
        </w:rPr>
        <w:t>证</w:t>
      </w:r>
      <w:r>
        <w:rPr>
          <w:rFonts w:ascii="宋体" w:hAnsi="宋体" w:eastAsia="宋体"/>
          <w:b w:val="0"/>
          <w:color w:val="auto"/>
          <w:sz w:val="24"/>
          <w:szCs w:val="24"/>
        </w:rPr>
        <w:t>明。</w:t>
      </w:r>
    </w:p>
    <w:p>
      <w:pPr>
        <w:pStyle w:val="14"/>
        <w:rPr>
          <w:rFonts w:ascii="宋体" w:hAnsi="宋体" w:eastAsia="宋体"/>
          <w:b w:val="0"/>
          <w:color w:val="auto"/>
          <w:sz w:val="24"/>
          <w:szCs w:val="24"/>
        </w:rPr>
      </w:pPr>
    </w:p>
    <w:p>
      <w:pPr>
        <w:pStyle w:val="14"/>
        <w:rPr>
          <w:rFonts w:ascii="宋体" w:hAnsi="宋体" w:eastAsia="宋体"/>
          <w:b w:val="0"/>
          <w:color w:val="auto"/>
          <w:sz w:val="24"/>
          <w:szCs w:val="24"/>
        </w:rPr>
      </w:pPr>
    </w:p>
    <w:p>
      <w:pPr>
        <w:pStyle w:val="14"/>
        <w:rPr>
          <w:rFonts w:ascii="宋体" w:hAnsi="宋体" w:eastAsia="宋体"/>
          <w:b w:val="0"/>
          <w:color w:val="auto"/>
          <w:sz w:val="24"/>
          <w:szCs w:val="24"/>
        </w:rPr>
      </w:pPr>
    </w:p>
    <w:p>
      <w:pPr>
        <w:pStyle w:val="14"/>
        <w:tabs>
          <w:tab w:val="left" w:pos="8595"/>
        </w:tabs>
        <w:ind w:left="5023"/>
        <w:rPr>
          <w:rFonts w:ascii="宋体" w:hAnsi="宋体" w:eastAsia="宋体"/>
          <w:b w:val="0"/>
          <w:color w:val="auto"/>
          <w:sz w:val="24"/>
          <w:szCs w:val="24"/>
        </w:rPr>
      </w:pPr>
      <w:r>
        <w:rPr>
          <w:rFonts w:hint="eastAsia" w:ascii="宋体" w:hAnsi="宋体" w:eastAsia="宋体"/>
          <w:b w:val="0"/>
          <w:color w:val="auto"/>
          <w:sz w:val="24"/>
          <w:szCs w:val="24"/>
        </w:rPr>
        <w:t>磋商供应商</w:t>
      </w:r>
      <w:r>
        <w:rPr>
          <w:rFonts w:ascii="宋体" w:hAnsi="宋体" w:eastAsia="宋体"/>
          <w:b w:val="0"/>
          <w:color w:val="auto"/>
          <w:sz w:val="24"/>
          <w:szCs w:val="24"/>
        </w:rPr>
        <w:t>（公章）</w:t>
      </w:r>
      <w:r>
        <w:rPr>
          <w:rFonts w:ascii="宋体" w:hAnsi="宋体" w:eastAsia="宋体"/>
          <w:b w:val="0"/>
          <w:color w:val="auto"/>
          <w:spacing w:val="-3"/>
          <w:sz w:val="24"/>
          <w:szCs w:val="24"/>
        </w:rPr>
        <w:t>：</w:t>
      </w:r>
      <w:r>
        <w:rPr>
          <w:rFonts w:ascii="宋体" w:hAnsi="宋体" w:eastAsia="宋体"/>
          <w:b w:val="0"/>
          <w:color w:val="auto"/>
          <w:sz w:val="24"/>
          <w:szCs w:val="24"/>
          <w:u w:val="single"/>
        </w:rPr>
        <w:t xml:space="preserve"> </w:t>
      </w:r>
      <w:r>
        <w:rPr>
          <w:rFonts w:ascii="宋体" w:hAnsi="宋体" w:eastAsia="宋体"/>
          <w:b w:val="0"/>
          <w:color w:val="auto"/>
          <w:sz w:val="24"/>
          <w:szCs w:val="24"/>
          <w:u w:val="single"/>
        </w:rPr>
        <w:tab/>
      </w:r>
    </w:p>
    <w:p>
      <w:pPr>
        <w:pStyle w:val="14"/>
        <w:tabs>
          <w:tab w:val="left" w:pos="7546"/>
          <w:tab w:val="left" w:pos="8595"/>
          <w:tab w:val="left" w:pos="9644"/>
        </w:tabs>
        <w:spacing w:before="71"/>
        <w:ind w:left="5863"/>
        <w:rPr>
          <w:rFonts w:ascii="宋体" w:hAnsi="宋体" w:eastAsia="宋体"/>
          <w:b w:val="0"/>
          <w:color w:val="auto"/>
          <w:sz w:val="24"/>
          <w:szCs w:val="24"/>
        </w:rPr>
      </w:pPr>
      <w:r>
        <w:rPr>
          <w:rFonts w:ascii="宋体" w:hAnsi="宋体" w:eastAsia="宋体"/>
          <w:b w:val="0"/>
          <w:color w:val="auto"/>
          <w:sz w:val="24"/>
          <w:szCs w:val="24"/>
          <w:u w:val="single"/>
        </w:rPr>
        <w:t xml:space="preserve"> </w:t>
      </w:r>
      <w:r>
        <w:rPr>
          <w:rFonts w:ascii="宋体" w:hAnsi="宋体" w:eastAsia="宋体"/>
          <w:b w:val="0"/>
          <w:color w:val="auto"/>
          <w:sz w:val="24"/>
          <w:szCs w:val="24"/>
          <w:u w:val="single"/>
        </w:rPr>
        <w:tab/>
      </w:r>
      <w:r>
        <w:rPr>
          <w:rFonts w:ascii="宋体" w:hAnsi="宋体" w:eastAsia="宋体"/>
          <w:b w:val="0"/>
          <w:color w:val="auto"/>
          <w:spacing w:val="-3"/>
          <w:sz w:val="24"/>
          <w:szCs w:val="24"/>
        </w:rPr>
        <w:t>年</w:t>
      </w:r>
      <w:r>
        <w:rPr>
          <w:rFonts w:ascii="宋体" w:hAnsi="宋体" w:eastAsia="宋体"/>
          <w:b w:val="0"/>
          <w:color w:val="auto"/>
          <w:spacing w:val="-3"/>
          <w:sz w:val="24"/>
          <w:szCs w:val="24"/>
          <w:u w:val="single"/>
        </w:rPr>
        <w:t xml:space="preserve"> </w:t>
      </w:r>
      <w:r>
        <w:rPr>
          <w:rFonts w:ascii="宋体" w:hAnsi="宋体" w:eastAsia="宋体"/>
          <w:b w:val="0"/>
          <w:color w:val="auto"/>
          <w:spacing w:val="-3"/>
          <w:sz w:val="24"/>
          <w:szCs w:val="24"/>
          <w:u w:val="single"/>
        </w:rPr>
        <w:tab/>
      </w:r>
      <w:r>
        <w:rPr>
          <w:rFonts w:ascii="宋体" w:hAnsi="宋体" w:eastAsia="宋体"/>
          <w:b w:val="0"/>
          <w:color w:val="auto"/>
          <w:sz w:val="24"/>
          <w:szCs w:val="24"/>
        </w:rPr>
        <w:t>月</w:t>
      </w:r>
      <w:r>
        <w:rPr>
          <w:rFonts w:ascii="宋体" w:hAnsi="宋体" w:eastAsia="宋体"/>
          <w:b w:val="0"/>
          <w:color w:val="auto"/>
          <w:sz w:val="24"/>
          <w:szCs w:val="24"/>
          <w:u w:val="single"/>
        </w:rPr>
        <w:t xml:space="preserve"> </w:t>
      </w:r>
      <w:r>
        <w:rPr>
          <w:rFonts w:ascii="宋体" w:hAnsi="宋体" w:eastAsia="宋体"/>
          <w:b w:val="0"/>
          <w:color w:val="auto"/>
          <w:sz w:val="24"/>
          <w:szCs w:val="24"/>
          <w:u w:val="single"/>
        </w:rPr>
        <w:tab/>
      </w:r>
      <w:r>
        <w:rPr>
          <w:rFonts w:ascii="宋体" w:hAnsi="宋体" w:eastAsia="宋体"/>
          <w:b w:val="0"/>
          <w:color w:val="auto"/>
          <w:sz w:val="24"/>
          <w:szCs w:val="24"/>
        </w:rPr>
        <w:t>日</w:t>
      </w:r>
    </w:p>
    <w:p>
      <w:pPr>
        <w:rPr>
          <w:color w:val="auto"/>
        </w:rPr>
        <w:sectPr>
          <w:pgSz w:w="11910" w:h="16840"/>
          <w:pgMar w:top="1580" w:right="853" w:bottom="1160" w:left="920" w:header="1127" w:footer="972" w:gutter="0"/>
          <w:cols w:space="720" w:num="1"/>
        </w:sectPr>
      </w:pPr>
    </w:p>
    <w:p>
      <w:pPr>
        <w:pStyle w:val="14"/>
        <w:spacing w:before="2"/>
        <w:rPr>
          <w:color w:val="auto"/>
          <w:sz w:val="17"/>
        </w:rPr>
      </w:pPr>
    </w:p>
    <w:p>
      <w:pPr>
        <w:pStyle w:val="5"/>
        <w:ind w:right="714"/>
        <w:rPr>
          <w:color w:val="auto"/>
        </w:rPr>
      </w:pPr>
      <w:r>
        <w:rPr>
          <w:rFonts w:hint="eastAsia"/>
          <w:color w:val="auto"/>
        </w:rPr>
        <w:t>7）</w:t>
      </w:r>
      <w:r>
        <w:rPr>
          <w:color w:val="auto"/>
        </w:rPr>
        <w:t>投标保证金证明材料</w:t>
      </w:r>
    </w:p>
    <w:p>
      <w:pPr>
        <w:pStyle w:val="14"/>
        <w:spacing w:before="184"/>
        <w:ind w:left="1893"/>
        <w:rPr>
          <w:rFonts w:ascii="宋体" w:hAnsi="宋体" w:eastAsia="宋体"/>
          <w:color w:val="auto"/>
          <w:sz w:val="24"/>
          <w:szCs w:val="24"/>
        </w:rPr>
      </w:pPr>
      <w:r>
        <w:rPr>
          <w:rFonts w:ascii="宋体" w:hAnsi="宋体" w:eastAsia="宋体"/>
          <w:color w:val="auto"/>
          <w:sz w:val="24"/>
          <w:szCs w:val="24"/>
        </w:rPr>
        <w:t>（附：</w:t>
      </w:r>
      <w:r>
        <w:rPr>
          <w:rFonts w:hint="eastAsia" w:ascii="宋体" w:hAnsi="宋体" w:eastAsia="宋体"/>
          <w:color w:val="auto"/>
          <w:sz w:val="24"/>
          <w:szCs w:val="24"/>
        </w:rPr>
        <w:t>竞标</w:t>
      </w:r>
      <w:r>
        <w:rPr>
          <w:rFonts w:ascii="宋体" w:hAnsi="宋体" w:eastAsia="宋体"/>
          <w:color w:val="auto"/>
          <w:sz w:val="24"/>
          <w:szCs w:val="24"/>
        </w:rPr>
        <w:t>人开户许可证复印件、银行缴款凭证复印件）</w:t>
      </w:r>
    </w:p>
    <w:p>
      <w:pPr>
        <w:pStyle w:val="14"/>
        <w:rPr>
          <w:rFonts w:ascii="宋体" w:hAnsi="宋体" w:eastAsia="宋体"/>
          <w:color w:val="auto"/>
          <w:sz w:val="24"/>
          <w:szCs w:val="24"/>
        </w:rPr>
      </w:pPr>
    </w:p>
    <w:p>
      <w:pPr>
        <w:pStyle w:val="14"/>
        <w:rPr>
          <w:rFonts w:ascii="宋体" w:hAnsi="宋体" w:eastAsia="宋体"/>
          <w:color w:val="auto"/>
          <w:sz w:val="24"/>
          <w:szCs w:val="24"/>
        </w:rPr>
      </w:pPr>
    </w:p>
    <w:p>
      <w:pPr>
        <w:pStyle w:val="14"/>
        <w:rPr>
          <w:rFonts w:ascii="宋体" w:hAnsi="宋体" w:eastAsia="宋体"/>
          <w:color w:val="auto"/>
          <w:sz w:val="24"/>
          <w:szCs w:val="24"/>
        </w:rPr>
      </w:pPr>
    </w:p>
    <w:p>
      <w:pPr>
        <w:pStyle w:val="5"/>
        <w:rPr>
          <w:color w:val="auto"/>
        </w:rPr>
      </w:pPr>
      <w:r>
        <w:rPr>
          <w:rFonts w:hint="eastAsia"/>
          <w:color w:val="auto"/>
        </w:rPr>
        <w:t>8）</w:t>
      </w:r>
      <w:r>
        <w:rPr>
          <w:rFonts w:hint="eastAsia" w:ascii="宋体"/>
          <w:color w:val="auto"/>
        </w:rPr>
        <w:t>截标时间前半年内</w:t>
      </w:r>
      <w:r>
        <w:rPr>
          <w:rFonts w:hint="eastAsia"/>
          <w:color w:val="auto"/>
        </w:rPr>
        <w:t>，供应商连续三个月缴纳社保费的缴费凭证复印件；无缴费记录的，应提供由供应商所在地社保部门出具的《缴纳或免缴社保费证明》，新设立的企业按实际情况提供。</w:t>
      </w:r>
    </w:p>
    <w:p>
      <w:pPr>
        <w:pStyle w:val="5"/>
        <w:rPr>
          <w:color w:val="auto"/>
        </w:rPr>
      </w:pPr>
      <w:r>
        <w:rPr>
          <w:rFonts w:hint="eastAsia"/>
          <w:color w:val="auto"/>
        </w:rPr>
        <w:t>9）</w:t>
      </w:r>
      <w:r>
        <w:rPr>
          <w:rFonts w:hint="eastAsia" w:ascii="宋体"/>
          <w:color w:val="auto"/>
        </w:rPr>
        <w:t>截标时间前半年内</w:t>
      </w:r>
      <w:r>
        <w:rPr>
          <w:rFonts w:hint="eastAsia"/>
          <w:color w:val="auto"/>
        </w:rPr>
        <w:t>，供应商连续三个月完税证明或免缴税费的证明复印件；</w:t>
      </w:r>
    </w:p>
    <w:p>
      <w:pPr>
        <w:pStyle w:val="5"/>
        <w:spacing w:before="0" w:line="440" w:lineRule="exact"/>
        <w:ind w:right="715"/>
        <w:rPr>
          <w:rFonts w:ascii="宋体" w:hAnsi="宋体"/>
          <w:color w:val="auto"/>
        </w:rPr>
      </w:pPr>
      <w:r>
        <w:rPr>
          <w:rFonts w:hint="eastAsia" w:ascii="宋体" w:hAnsi="宋体"/>
          <w:color w:val="auto"/>
        </w:rPr>
        <w:t>10）</w:t>
      </w:r>
      <w:r>
        <w:rPr>
          <w:rFonts w:ascii="宋体" w:hAnsi="宋体"/>
          <w:color w:val="auto"/>
        </w:rPr>
        <w:t>公务用车投保及理赔服务措施</w:t>
      </w:r>
    </w:p>
    <w:p>
      <w:pPr>
        <w:pStyle w:val="14"/>
        <w:spacing w:before="185" w:line="440" w:lineRule="exact"/>
        <w:ind w:left="212"/>
        <w:rPr>
          <w:rFonts w:ascii="宋体" w:hAnsi="宋体" w:eastAsia="宋体"/>
          <w:b w:val="0"/>
          <w:color w:val="auto"/>
          <w:sz w:val="24"/>
          <w:szCs w:val="24"/>
        </w:rPr>
      </w:pPr>
      <w:r>
        <w:rPr>
          <w:rFonts w:ascii="宋体" w:hAnsi="宋体" w:eastAsia="宋体"/>
          <w:b w:val="0"/>
          <w:color w:val="auto"/>
          <w:sz w:val="24"/>
          <w:szCs w:val="24"/>
        </w:rPr>
        <w:t>此文内容应包含：</w:t>
      </w:r>
    </w:p>
    <w:p>
      <w:pPr>
        <w:pStyle w:val="14"/>
        <w:spacing w:before="62" w:line="440" w:lineRule="exact"/>
        <w:ind w:left="573" w:right="546" w:hanging="361"/>
        <w:rPr>
          <w:rFonts w:ascii="宋体" w:hAnsi="宋体" w:eastAsia="宋体"/>
          <w:b w:val="0"/>
          <w:color w:val="auto"/>
          <w:sz w:val="24"/>
          <w:szCs w:val="24"/>
        </w:rPr>
      </w:pPr>
      <w:r>
        <w:rPr>
          <w:rFonts w:ascii="宋体" w:hAnsi="宋体" w:eastAsia="宋体"/>
          <w:b w:val="0"/>
          <w:color w:val="auto"/>
          <w:sz w:val="24"/>
          <w:szCs w:val="24"/>
        </w:rPr>
        <w:t>1</w:t>
      </w:r>
      <w:r>
        <w:rPr>
          <w:rFonts w:ascii="宋体" w:hAnsi="宋体" w:eastAsia="宋体"/>
          <w:b w:val="0"/>
          <w:color w:val="auto"/>
          <w:spacing w:val="-7"/>
          <w:sz w:val="24"/>
          <w:szCs w:val="24"/>
        </w:rPr>
        <w:t xml:space="preserve">、 </w:t>
      </w:r>
      <w:r>
        <w:rPr>
          <w:rFonts w:hint="eastAsia" w:ascii="宋体" w:hAnsi="宋体" w:eastAsia="宋体"/>
          <w:b w:val="0"/>
          <w:color w:val="auto"/>
          <w:spacing w:val="-7"/>
          <w:sz w:val="24"/>
          <w:szCs w:val="24"/>
        </w:rPr>
        <w:t>供应商</w:t>
      </w:r>
      <w:r>
        <w:rPr>
          <w:rFonts w:ascii="宋体" w:hAnsi="宋体" w:eastAsia="宋体"/>
          <w:b w:val="0"/>
          <w:color w:val="auto"/>
          <w:spacing w:val="-7"/>
          <w:sz w:val="24"/>
          <w:szCs w:val="24"/>
        </w:rPr>
        <w:t>投保前的服务方案、出险处理方案、定损理赔服务方案、理</w:t>
      </w:r>
      <w:r>
        <w:rPr>
          <w:rFonts w:ascii="宋体" w:hAnsi="宋体" w:eastAsia="宋体"/>
          <w:b w:val="0"/>
          <w:color w:val="auto"/>
          <w:sz w:val="24"/>
          <w:szCs w:val="24"/>
        </w:rPr>
        <w:t>赔权限</w:t>
      </w:r>
      <w:r>
        <w:rPr>
          <w:rFonts w:ascii="宋体" w:hAnsi="宋体" w:eastAsia="宋体"/>
          <w:b w:val="0"/>
          <w:color w:val="auto"/>
          <w:spacing w:val="-2"/>
          <w:sz w:val="24"/>
          <w:szCs w:val="24"/>
        </w:rPr>
        <w:t>、安全防范措施</w:t>
      </w:r>
      <w:r>
        <w:rPr>
          <w:rFonts w:ascii="宋体" w:hAnsi="宋体" w:eastAsia="宋体"/>
          <w:b w:val="0"/>
          <w:color w:val="auto"/>
          <w:sz w:val="24"/>
          <w:szCs w:val="24"/>
        </w:rPr>
        <w:t>（</w:t>
      </w:r>
      <w:r>
        <w:rPr>
          <w:rFonts w:ascii="宋体" w:hAnsi="宋体" w:eastAsia="宋体"/>
          <w:b w:val="0"/>
          <w:color w:val="auto"/>
          <w:spacing w:val="-1"/>
          <w:sz w:val="24"/>
          <w:szCs w:val="24"/>
        </w:rPr>
        <w:t>配合采购人做</w:t>
      </w:r>
      <w:r>
        <w:rPr>
          <w:rFonts w:ascii="宋体" w:hAnsi="宋体" w:eastAsia="宋体"/>
          <w:b w:val="0"/>
          <w:color w:val="auto"/>
          <w:sz w:val="24"/>
          <w:szCs w:val="24"/>
        </w:rPr>
        <w:t>）</w:t>
      </w:r>
      <w:r>
        <w:rPr>
          <w:rFonts w:ascii="宋体" w:hAnsi="宋体" w:eastAsia="宋体"/>
          <w:b w:val="0"/>
          <w:color w:val="auto"/>
          <w:spacing w:val="-3"/>
          <w:sz w:val="24"/>
          <w:szCs w:val="24"/>
        </w:rPr>
        <w:t>等内容。若出险地无服务网点，</w:t>
      </w:r>
      <w:r>
        <w:rPr>
          <w:rFonts w:hint="eastAsia" w:ascii="宋体" w:hAnsi="宋体" w:eastAsia="宋体"/>
          <w:b w:val="0"/>
          <w:color w:val="auto"/>
          <w:spacing w:val="-3"/>
          <w:sz w:val="24"/>
          <w:szCs w:val="24"/>
        </w:rPr>
        <w:t>供应商</w:t>
      </w:r>
      <w:r>
        <w:rPr>
          <w:rFonts w:ascii="宋体" w:hAnsi="宋体" w:eastAsia="宋体"/>
          <w:b w:val="0"/>
          <w:color w:val="auto"/>
          <w:spacing w:val="-3"/>
          <w:sz w:val="24"/>
          <w:szCs w:val="24"/>
        </w:rPr>
        <w:t>如何做好保险服务的措施。</w:t>
      </w:r>
    </w:p>
    <w:p>
      <w:pPr>
        <w:pStyle w:val="14"/>
        <w:spacing w:before="1" w:line="440" w:lineRule="exact"/>
        <w:ind w:left="212"/>
        <w:rPr>
          <w:rFonts w:ascii="宋体" w:hAnsi="宋体" w:eastAsia="宋体"/>
          <w:b w:val="0"/>
          <w:color w:val="auto"/>
          <w:sz w:val="24"/>
          <w:szCs w:val="24"/>
        </w:rPr>
      </w:pPr>
      <w:r>
        <w:rPr>
          <w:rFonts w:ascii="宋体" w:hAnsi="宋体" w:eastAsia="宋体"/>
          <w:b w:val="0"/>
          <w:color w:val="auto"/>
          <w:sz w:val="24"/>
          <w:szCs w:val="24"/>
        </w:rPr>
        <w:t>2、 项目的组织实施安排</w:t>
      </w:r>
    </w:p>
    <w:p>
      <w:pPr>
        <w:pStyle w:val="14"/>
        <w:spacing w:before="59" w:line="440" w:lineRule="exact"/>
        <w:ind w:left="212"/>
        <w:rPr>
          <w:rFonts w:ascii="宋体" w:hAnsi="宋体" w:eastAsia="宋体"/>
          <w:b w:val="0"/>
          <w:color w:val="auto"/>
          <w:sz w:val="24"/>
          <w:szCs w:val="24"/>
        </w:rPr>
      </w:pPr>
      <w:r>
        <w:rPr>
          <w:rFonts w:hint="eastAsia" w:ascii="宋体" w:hAnsi="宋体" w:eastAsia="宋体" w:cs="宋体"/>
          <w:b w:val="0"/>
          <w:color w:val="auto"/>
          <w:sz w:val="24"/>
          <w:szCs w:val="24"/>
        </w:rPr>
        <w:t>⑴</w:t>
      </w:r>
      <w:r>
        <w:rPr>
          <w:rFonts w:ascii="宋体" w:hAnsi="宋体" w:eastAsia="宋体"/>
          <w:b w:val="0"/>
          <w:color w:val="auto"/>
          <w:sz w:val="24"/>
          <w:szCs w:val="24"/>
        </w:rPr>
        <w:t>项目组织实施机构及相应的管理文件等。</w:t>
      </w:r>
    </w:p>
    <w:p>
      <w:pPr>
        <w:pStyle w:val="14"/>
        <w:spacing w:before="63" w:line="440" w:lineRule="exact"/>
        <w:ind w:left="212" w:right="546"/>
        <w:rPr>
          <w:rFonts w:ascii="宋体" w:hAnsi="宋体" w:eastAsia="宋体"/>
          <w:b w:val="0"/>
          <w:color w:val="auto"/>
          <w:sz w:val="24"/>
          <w:szCs w:val="24"/>
        </w:rPr>
      </w:pPr>
      <w:r>
        <w:rPr>
          <w:rFonts w:hint="eastAsia" w:ascii="宋体" w:hAnsi="宋体" w:eastAsia="宋体" w:cs="宋体"/>
          <w:b w:val="0"/>
          <w:color w:val="auto"/>
          <w:spacing w:val="-6"/>
          <w:sz w:val="24"/>
          <w:szCs w:val="24"/>
        </w:rPr>
        <w:t>⑵</w:t>
      </w:r>
      <w:r>
        <w:rPr>
          <w:rFonts w:ascii="宋体" w:hAnsi="宋体" w:eastAsia="宋体"/>
          <w:b w:val="0"/>
          <w:color w:val="auto"/>
          <w:spacing w:val="-6"/>
          <w:sz w:val="24"/>
          <w:szCs w:val="24"/>
        </w:rPr>
        <w:t>项目的实施进度计划。应能充分考虑到实施过程诸多因素的影响，能很好地处理与采购人等实施主体之</w:t>
      </w:r>
      <w:r>
        <w:rPr>
          <w:rFonts w:ascii="宋体" w:hAnsi="宋体" w:eastAsia="宋体"/>
          <w:b w:val="0"/>
          <w:color w:val="auto"/>
          <w:spacing w:val="-4"/>
          <w:sz w:val="24"/>
          <w:szCs w:val="24"/>
        </w:rPr>
        <w:t>间的关系等。保证按要求顺利实施项目的措施。</w:t>
      </w:r>
    </w:p>
    <w:p>
      <w:pPr>
        <w:pStyle w:val="14"/>
        <w:spacing w:line="440" w:lineRule="exact"/>
        <w:ind w:left="212"/>
        <w:rPr>
          <w:rFonts w:ascii="宋体" w:hAnsi="宋体" w:eastAsia="宋体"/>
          <w:b w:val="0"/>
          <w:color w:val="auto"/>
          <w:sz w:val="24"/>
          <w:szCs w:val="24"/>
        </w:rPr>
      </w:pPr>
      <w:r>
        <w:rPr>
          <w:rFonts w:hint="eastAsia" w:ascii="宋体" w:hAnsi="宋体" w:eastAsia="宋体" w:cs="宋体"/>
          <w:b w:val="0"/>
          <w:color w:val="auto"/>
          <w:sz w:val="24"/>
          <w:szCs w:val="24"/>
        </w:rPr>
        <w:t>⑶</w:t>
      </w:r>
      <w:r>
        <w:rPr>
          <w:rFonts w:ascii="宋体" w:hAnsi="宋体" w:eastAsia="宋体"/>
          <w:b w:val="0"/>
          <w:color w:val="auto"/>
          <w:sz w:val="24"/>
          <w:szCs w:val="24"/>
        </w:rPr>
        <w:t>项目实施的内部保障机制。</w:t>
      </w:r>
    </w:p>
    <w:p>
      <w:pPr>
        <w:pStyle w:val="14"/>
        <w:spacing w:before="63" w:line="440" w:lineRule="exact"/>
        <w:ind w:left="212"/>
        <w:rPr>
          <w:rFonts w:ascii="宋体" w:hAnsi="宋体" w:eastAsia="宋体"/>
          <w:b w:val="0"/>
          <w:color w:val="auto"/>
          <w:sz w:val="24"/>
          <w:szCs w:val="24"/>
        </w:rPr>
      </w:pPr>
      <w:r>
        <w:rPr>
          <w:rFonts w:ascii="宋体" w:hAnsi="宋体" w:eastAsia="宋体"/>
          <w:b w:val="0"/>
          <w:color w:val="auto"/>
          <w:sz w:val="24"/>
          <w:szCs w:val="24"/>
        </w:rPr>
        <w:t>3、对采购人作出相应的服务承诺等。</w:t>
      </w:r>
    </w:p>
    <w:p>
      <w:pPr>
        <w:pStyle w:val="14"/>
        <w:rPr>
          <w:rFonts w:ascii="宋体" w:hAnsi="宋体" w:eastAsia="宋体"/>
          <w:b w:val="0"/>
          <w:color w:val="auto"/>
          <w:sz w:val="24"/>
          <w:szCs w:val="24"/>
        </w:rPr>
      </w:pPr>
    </w:p>
    <w:p>
      <w:pPr>
        <w:pStyle w:val="14"/>
        <w:rPr>
          <w:rFonts w:ascii="宋体" w:hAnsi="宋体" w:eastAsia="宋体"/>
          <w:b w:val="0"/>
          <w:color w:val="auto"/>
          <w:sz w:val="24"/>
          <w:szCs w:val="24"/>
        </w:rPr>
      </w:pPr>
    </w:p>
    <w:p>
      <w:pPr>
        <w:pStyle w:val="14"/>
        <w:rPr>
          <w:rFonts w:ascii="宋体" w:hAnsi="宋体" w:eastAsia="宋体"/>
          <w:b w:val="0"/>
          <w:color w:val="auto"/>
          <w:sz w:val="24"/>
          <w:szCs w:val="24"/>
        </w:rPr>
      </w:pPr>
    </w:p>
    <w:p>
      <w:pPr>
        <w:pStyle w:val="14"/>
        <w:rPr>
          <w:rFonts w:ascii="宋体" w:hAnsi="宋体" w:eastAsia="宋体"/>
          <w:b w:val="0"/>
          <w:color w:val="auto"/>
          <w:sz w:val="24"/>
          <w:szCs w:val="24"/>
        </w:rPr>
      </w:pPr>
    </w:p>
    <w:p>
      <w:pPr>
        <w:pStyle w:val="14"/>
        <w:spacing w:before="12"/>
        <w:rPr>
          <w:rFonts w:ascii="宋体" w:hAnsi="宋体" w:eastAsia="宋体"/>
          <w:b w:val="0"/>
          <w:color w:val="auto"/>
          <w:sz w:val="24"/>
          <w:szCs w:val="24"/>
        </w:rPr>
      </w:pPr>
    </w:p>
    <w:p>
      <w:pPr>
        <w:pStyle w:val="14"/>
        <w:ind w:left="212"/>
        <w:rPr>
          <w:rFonts w:ascii="宋体" w:hAnsi="宋体" w:eastAsia="宋体"/>
          <w:b w:val="0"/>
          <w:color w:val="auto"/>
          <w:sz w:val="24"/>
          <w:szCs w:val="24"/>
        </w:rPr>
      </w:pPr>
      <w:r>
        <w:rPr>
          <w:rFonts w:hint="eastAsia" w:ascii="宋体" w:hAnsi="宋体" w:eastAsia="宋体"/>
          <w:b w:val="0"/>
          <w:color w:val="auto"/>
          <w:sz w:val="24"/>
          <w:szCs w:val="24"/>
        </w:rPr>
        <w:t>磋商供应商</w:t>
      </w:r>
      <w:r>
        <w:rPr>
          <w:rFonts w:ascii="宋体" w:hAnsi="宋体" w:eastAsia="宋体"/>
          <w:b w:val="0"/>
          <w:color w:val="auto"/>
          <w:sz w:val="24"/>
          <w:szCs w:val="24"/>
        </w:rPr>
        <w:t>（公章）：</w:t>
      </w:r>
    </w:p>
    <w:p>
      <w:pPr>
        <w:pStyle w:val="14"/>
        <w:rPr>
          <w:rFonts w:ascii="宋体" w:hAnsi="宋体" w:eastAsia="宋体"/>
          <w:b w:val="0"/>
          <w:color w:val="auto"/>
          <w:sz w:val="24"/>
          <w:szCs w:val="24"/>
        </w:rPr>
      </w:pPr>
    </w:p>
    <w:p>
      <w:pPr>
        <w:pStyle w:val="14"/>
        <w:tabs>
          <w:tab w:val="left" w:pos="1264"/>
          <w:tab w:val="left" w:pos="1789"/>
          <w:tab w:val="left" w:pos="2315"/>
        </w:tabs>
        <w:spacing w:before="171" w:line="619" w:lineRule="auto"/>
        <w:ind w:left="212" w:right="4818"/>
        <w:rPr>
          <w:rFonts w:ascii="宋体" w:hAnsi="宋体" w:eastAsia="宋体"/>
          <w:b w:val="0"/>
          <w:color w:val="auto"/>
          <w:sz w:val="24"/>
          <w:szCs w:val="24"/>
        </w:rPr>
      </w:pPr>
      <w:r>
        <w:rPr>
          <w:rFonts w:ascii="宋体" w:hAnsi="宋体" w:eastAsia="宋体"/>
          <w:b w:val="0"/>
          <w:color w:val="auto"/>
          <w:sz w:val="24"/>
          <w:szCs w:val="24"/>
        </w:rPr>
        <w:t>法定</w:t>
      </w:r>
      <w:r>
        <w:rPr>
          <w:rFonts w:ascii="宋体" w:hAnsi="宋体" w:eastAsia="宋体"/>
          <w:b w:val="0"/>
          <w:color w:val="auto"/>
          <w:spacing w:val="-3"/>
          <w:sz w:val="24"/>
          <w:szCs w:val="24"/>
        </w:rPr>
        <w:t>代</w:t>
      </w:r>
      <w:r>
        <w:rPr>
          <w:rFonts w:ascii="宋体" w:hAnsi="宋体" w:eastAsia="宋体"/>
          <w:b w:val="0"/>
          <w:color w:val="auto"/>
          <w:sz w:val="24"/>
          <w:szCs w:val="24"/>
        </w:rPr>
        <w:t>表</w:t>
      </w:r>
      <w:r>
        <w:rPr>
          <w:rFonts w:ascii="宋体" w:hAnsi="宋体" w:eastAsia="宋体"/>
          <w:b w:val="0"/>
          <w:color w:val="auto"/>
          <w:spacing w:val="-3"/>
          <w:sz w:val="24"/>
          <w:szCs w:val="24"/>
        </w:rPr>
        <w:t>人</w:t>
      </w:r>
      <w:r>
        <w:rPr>
          <w:rFonts w:ascii="宋体" w:hAnsi="宋体" w:eastAsia="宋体"/>
          <w:b w:val="0"/>
          <w:color w:val="auto"/>
          <w:sz w:val="24"/>
          <w:szCs w:val="24"/>
        </w:rPr>
        <w:t>或</w:t>
      </w:r>
      <w:r>
        <w:rPr>
          <w:rFonts w:ascii="宋体" w:hAnsi="宋体" w:eastAsia="宋体"/>
          <w:b w:val="0"/>
          <w:color w:val="auto"/>
          <w:spacing w:val="-3"/>
          <w:sz w:val="24"/>
          <w:szCs w:val="24"/>
        </w:rPr>
        <w:t>负</w:t>
      </w:r>
      <w:r>
        <w:rPr>
          <w:rFonts w:ascii="宋体" w:hAnsi="宋体" w:eastAsia="宋体"/>
          <w:b w:val="0"/>
          <w:color w:val="auto"/>
          <w:sz w:val="24"/>
          <w:szCs w:val="24"/>
        </w:rPr>
        <w:t>责</w:t>
      </w:r>
      <w:r>
        <w:rPr>
          <w:rFonts w:ascii="宋体" w:hAnsi="宋体" w:eastAsia="宋体"/>
          <w:b w:val="0"/>
          <w:color w:val="auto"/>
          <w:spacing w:val="-3"/>
          <w:sz w:val="24"/>
          <w:szCs w:val="24"/>
        </w:rPr>
        <w:t>人</w:t>
      </w:r>
      <w:r>
        <w:rPr>
          <w:rFonts w:ascii="宋体" w:hAnsi="宋体" w:eastAsia="宋体"/>
          <w:b w:val="0"/>
          <w:color w:val="auto"/>
          <w:sz w:val="24"/>
          <w:szCs w:val="24"/>
        </w:rPr>
        <w:t>或</w:t>
      </w:r>
      <w:r>
        <w:rPr>
          <w:rFonts w:ascii="宋体" w:hAnsi="宋体" w:eastAsia="宋体"/>
          <w:b w:val="0"/>
          <w:color w:val="auto"/>
          <w:spacing w:val="-3"/>
          <w:sz w:val="24"/>
          <w:szCs w:val="24"/>
        </w:rPr>
        <w:t>授</w:t>
      </w:r>
      <w:r>
        <w:rPr>
          <w:rFonts w:ascii="宋体" w:hAnsi="宋体" w:eastAsia="宋体"/>
          <w:b w:val="0"/>
          <w:color w:val="auto"/>
          <w:sz w:val="24"/>
          <w:szCs w:val="24"/>
        </w:rPr>
        <w:t>权代</w:t>
      </w:r>
      <w:r>
        <w:rPr>
          <w:rFonts w:ascii="宋体" w:hAnsi="宋体" w:eastAsia="宋体"/>
          <w:b w:val="0"/>
          <w:color w:val="auto"/>
          <w:spacing w:val="-3"/>
          <w:sz w:val="24"/>
          <w:szCs w:val="24"/>
        </w:rPr>
        <w:t>表</w:t>
      </w:r>
      <w:r>
        <w:rPr>
          <w:rFonts w:ascii="宋体" w:hAnsi="宋体" w:eastAsia="宋体"/>
          <w:b w:val="0"/>
          <w:color w:val="auto"/>
          <w:sz w:val="24"/>
          <w:szCs w:val="24"/>
        </w:rPr>
        <w:t>（</w:t>
      </w:r>
      <w:r>
        <w:rPr>
          <w:rFonts w:ascii="宋体" w:hAnsi="宋体" w:eastAsia="宋体"/>
          <w:b w:val="0"/>
          <w:color w:val="auto"/>
          <w:spacing w:val="-3"/>
          <w:sz w:val="24"/>
          <w:szCs w:val="24"/>
        </w:rPr>
        <w:t>签</w:t>
      </w:r>
      <w:r>
        <w:rPr>
          <w:rFonts w:ascii="宋体" w:hAnsi="宋体" w:eastAsia="宋体"/>
          <w:b w:val="0"/>
          <w:color w:val="auto"/>
          <w:sz w:val="24"/>
          <w:szCs w:val="24"/>
        </w:rPr>
        <w:t xml:space="preserve">字）： </w:t>
      </w:r>
    </w:p>
    <w:p>
      <w:pPr>
        <w:pStyle w:val="14"/>
        <w:tabs>
          <w:tab w:val="left" w:pos="1264"/>
          <w:tab w:val="left" w:pos="1789"/>
          <w:tab w:val="left" w:pos="2315"/>
        </w:tabs>
        <w:spacing w:before="171" w:line="619" w:lineRule="auto"/>
        <w:ind w:left="212" w:right="6197"/>
        <w:rPr>
          <w:rFonts w:ascii="宋体" w:hAnsi="宋体" w:eastAsia="宋体"/>
          <w:b w:val="0"/>
          <w:color w:val="auto"/>
          <w:sz w:val="24"/>
          <w:szCs w:val="24"/>
        </w:rPr>
      </w:pPr>
      <w:r>
        <w:rPr>
          <w:rFonts w:ascii="宋体" w:hAnsi="宋体" w:eastAsia="宋体"/>
          <w:b w:val="0"/>
          <w:color w:val="auto"/>
          <w:sz w:val="24"/>
          <w:szCs w:val="24"/>
        </w:rPr>
        <w:t>日期：</w:t>
      </w:r>
      <w:r>
        <w:rPr>
          <w:rFonts w:ascii="宋体" w:hAnsi="宋体" w:eastAsia="宋体"/>
          <w:b w:val="0"/>
          <w:color w:val="auto"/>
          <w:sz w:val="24"/>
          <w:szCs w:val="24"/>
          <w:u w:val="single"/>
        </w:rPr>
        <w:t xml:space="preserve"> </w:t>
      </w:r>
      <w:r>
        <w:rPr>
          <w:rFonts w:ascii="宋体" w:hAnsi="宋体" w:eastAsia="宋体"/>
          <w:b w:val="0"/>
          <w:color w:val="auto"/>
          <w:sz w:val="24"/>
          <w:szCs w:val="24"/>
          <w:u w:val="single"/>
        </w:rPr>
        <w:tab/>
      </w:r>
      <w:r>
        <w:rPr>
          <w:rFonts w:ascii="宋体" w:hAnsi="宋体" w:eastAsia="宋体"/>
          <w:b w:val="0"/>
          <w:color w:val="auto"/>
          <w:sz w:val="24"/>
          <w:szCs w:val="24"/>
        </w:rPr>
        <w:t>年</w:t>
      </w:r>
      <w:r>
        <w:rPr>
          <w:rFonts w:ascii="宋体" w:hAnsi="宋体" w:eastAsia="宋体"/>
          <w:b w:val="0"/>
          <w:color w:val="auto"/>
          <w:sz w:val="24"/>
          <w:szCs w:val="24"/>
          <w:u w:val="single"/>
        </w:rPr>
        <w:t xml:space="preserve"> </w:t>
      </w:r>
      <w:r>
        <w:rPr>
          <w:rFonts w:ascii="宋体" w:hAnsi="宋体" w:eastAsia="宋体"/>
          <w:b w:val="0"/>
          <w:color w:val="auto"/>
          <w:sz w:val="24"/>
          <w:szCs w:val="24"/>
          <w:u w:val="single"/>
        </w:rPr>
        <w:tab/>
      </w:r>
      <w:r>
        <w:rPr>
          <w:rFonts w:ascii="宋体" w:hAnsi="宋体" w:eastAsia="宋体"/>
          <w:b w:val="0"/>
          <w:color w:val="auto"/>
          <w:sz w:val="24"/>
          <w:szCs w:val="24"/>
        </w:rPr>
        <w:t>月</w:t>
      </w:r>
      <w:r>
        <w:rPr>
          <w:rFonts w:ascii="宋体" w:hAnsi="宋体" w:eastAsia="宋体"/>
          <w:b w:val="0"/>
          <w:color w:val="auto"/>
          <w:sz w:val="24"/>
          <w:szCs w:val="24"/>
          <w:u w:val="single"/>
        </w:rPr>
        <w:t xml:space="preserve"> </w:t>
      </w:r>
      <w:r>
        <w:rPr>
          <w:rFonts w:ascii="宋体" w:hAnsi="宋体" w:eastAsia="宋体"/>
          <w:b w:val="0"/>
          <w:color w:val="auto"/>
          <w:sz w:val="24"/>
          <w:szCs w:val="24"/>
          <w:u w:val="single"/>
        </w:rPr>
        <w:tab/>
      </w:r>
      <w:r>
        <w:rPr>
          <w:rFonts w:ascii="宋体" w:hAnsi="宋体" w:eastAsia="宋体"/>
          <w:b w:val="0"/>
          <w:color w:val="auto"/>
          <w:sz w:val="24"/>
          <w:szCs w:val="24"/>
        </w:rPr>
        <w:t>日</w:t>
      </w:r>
    </w:p>
    <w:p>
      <w:pPr>
        <w:spacing w:line="619" w:lineRule="auto"/>
        <w:rPr>
          <w:rFonts w:ascii="宋体" w:hAnsi="宋体"/>
          <w:color w:val="auto"/>
          <w:sz w:val="24"/>
        </w:rPr>
        <w:sectPr>
          <w:pgSz w:w="11910" w:h="16840"/>
          <w:pgMar w:top="1580" w:right="580" w:bottom="1160" w:left="920" w:header="1127" w:footer="972" w:gutter="0"/>
          <w:cols w:space="720" w:num="1"/>
        </w:sectPr>
      </w:pPr>
    </w:p>
    <w:p>
      <w:pPr>
        <w:pStyle w:val="14"/>
        <w:rPr>
          <w:color w:val="auto"/>
          <w:sz w:val="20"/>
        </w:rPr>
      </w:pPr>
    </w:p>
    <w:p>
      <w:pPr>
        <w:pStyle w:val="14"/>
        <w:spacing w:before="5"/>
        <w:rPr>
          <w:color w:val="auto"/>
        </w:rPr>
      </w:pPr>
    </w:p>
    <w:p>
      <w:pPr>
        <w:pStyle w:val="3"/>
        <w:ind w:right="301"/>
        <w:rPr>
          <w:rFonts w:ascii="宋体" w:hAnsi="宋体" w:eastAsia="宋体"/>
          <w:color w:val="auto"/>
          <w:szCs w:val="24"/>
        </w:rPr>
      </w:pPr>
      <w:bookmarkStart w:id="80" w:name="_Toc42013032"/>
      <w:bookmarkStart w:id="81" w:name="_Toc34904464"/>
      <w:r>
        <w:rPr>
          <w:rFonts w:hint="eastAsia" w:ascii="宋体" w:hAnsi="宋体" w:eastAsia="宋体"/>
          <w:color w:val="auto"/>
          <w:szCs w:val="24"/>
        </w:rPr>
        <w:t>11）</w:t>
      </w:r>
      <w:r>
        <w:rPr>
          <w:rFonts w:ascii="宋体" w:hAnsi="宋体" w:eastAsia="宋体"/>
          <w:color w:val="auto"/>
          <w:szCs w:val="24"/>
        </w:rPr>
        <w:t>机动车辆保险条款</w:t>
      </w:r>
      <w:bookmarkEnd w:id="80"/>
      <w:bookmarkEnd w:id="81"/>
    </w:p>
    <w:p>
      <w:pPr>
        <w:pStyle w:val="14"/>
        <w:spacing w:before="160"/>
        <w:ind w:left="376" w:right="85"/>
        <w:jc w:val="center"/>
        <w:rPr>
          <w:rFonts w:ascii="宋体" w:hAnsi="宋体" w:eastAsia="宋体"/>
          <w:b w:val="0"/>
          <w:color w:val="auto"/>
          <w:sz w:val="24"/>
          <w:szCs w:val="24"/>
        </w:rPr>
      </w:pPr>
      <w:r>
        <w:rPr>
          <w:rFonts w:ascii="宋体" w:hAnsi="宋体" w:eastAsia="宋体"/>
          <w:b w:val="0"/>
          <w:color w:val="auto"/>
          <w:sz w:val="24"/>
          <w:szCs w:val="24"/>
        </w:rPr>
        <w:t>（由</w:t>
      </w:r>
      <w:r>
        <w:rPr>
          <w:rFonts w:hint="eastAsia" w:ascii="宋体" w:hAnsi="宋体" w:eastAsia="宋体"/>
          <w:b w:val="0"/>
          <w:color w:val="auto"/>
          <w:sz w:val="24"/>
          <w:szCs w:val="24"/>
        </w:rPr>
        <w:t>供应商</w:t>
      </w:r>
      <w:r>
        <w:rPr>
          <w:rFonts w:ascii="宋体" w:hAnsi="宋体" w:eastAsia="宋体"/>
          <w:b w:val="0"/>
          <w:color w:val="auto"/>
          <w:sz w:val="24"/>
          <w:szCs w:val="24"/>
        </w:rPr>
        <w:t>提供本企业的机动车辆保险条款）</w:t>
      </w:r>
    </w:p>
    <w:p>
      <w:pPr>
        <w:pStyle w:val="14"/>
        <w:rPr>
          <w:rFonts w:ascii="宋体" w:hAnsi="宋体" w:eastAsia="宋体"/>
          <w:b w:val="0"/>
          <w:color w:val="auto"/>
          <w:sz w:val="20"/>
        </w:rPr>
      </w:pPr>
    </w:p>
    <w:p>
      <w:pPr>
        <w:pStyle w:val="14"/>
        <w:rPr>
          <w:rFonts w:ascii="宋体" w:hAnsi="宋体" w:eastAsia="宋体"/>
          <w:b w:val="0"/>
          <w:color w:val="auto"/>
          <w:sz w:val="20"/>
        </w:rPr>
      </w:pPr>
    </w:p>
    <w:p>
      <w:pPr>
        <w:pStyle w:val="14"/>
        <w:rPr>
          <w:rFonts w:ascii="宋体" w:hAnsi="宋体" w:eastAsia="宋体"/>
          <w:b w:val="0"/>
          <w:color w:val="auto"/>
          <w:sz w:val="20"/>
        </w:rPr>
      </w:pPr>
    </w:p>
    <w:p>
      <w:pPr>
        <w:pStyle w:val="14"/>
        <w:rPr>
          <w:rFonts w:ascii="宋体" w:hAnsi="宋体" w:eastAsia="宋体"/>
          <w:b w:val="0"/>
          <w:color w:val="auto"/>
          <w:sz w:val="20"/>
        </w:rPr>
      </w:pPr>
    </w:p>
    <w:p>
      <w:pPr>
        <w:pStyle w:val="14"/>
        <w:rPr>
          <w:rFonts w:ascii="宋体" w:hAnsi="宋体" w:eastAsia="宋体"/>
          <w:b w:val="0"/>
          <w:color w:val="auto"/>
          <w:sz w:val="20"/>
        </w:rPr>
      </w:pPr>
    </w:p>
    <w:p>
      <w:pPr>
        <w:pStyle w:val="14"/>
        <w:rPr>
          <w:rFonts w:ascii="宋体" w:hAnsi="宋体" w:eastAsia="宋体"/>
          <w:b w:val="0"/>
          <w:color w:val="auto"/>
          <w:sz w:val="20"/>
        </w:rPr>
      </w:pPr>
    </w:p>
    <w:p>
      <w:pPr>
        <w:pStyle w:val="14"/>
        <w:rPr>
          <w:rFonts w:ascii="宋体" w:hAnsi="宋体" w:eastAsia="宋体"/>
          <w:b w:val="0"/>
          <w:color w:val="auto"/>
          <w:sz w:val="20"/>
        </w:rPr>
      </w:pPr>
    </w:p>
    <w:p>
      <w:pPr>
        <w:pStyle w:val="14"/>
        <w:rPr>
          <w:rFonts w:ascii="宋体" w:hAnsi="宋体" w:eastAsia="宋体"/>
          <w:b w:val="0"/>
          <w:color w:val="auto"/>
          <w:sz w:val="20"/>
        </w:rPr>
      </w:pPr>
    </w:p>
    <w:p>
      <w:pPr>
        <w:pStyle w:val="14"/>
        <w:rPr>
          <w:rFonts w:ascii="宋体" w:hAnsi="宋体" w:eastAsia="宋体"/>
          <w:b w:val="0"/>
          <w:color w:val="auto"/>
          <w:sz w:val="20"/>
        </w:rPr>
      </w:pPr>
    </w:p>
    <w:p>
      <w:pPr>
        <w:pStyle w:val="14"/>
        <w:rPr>
          <w:rFonts w:ascii="宋体" w:hAnsi="宋体" w:eastAsia="宋体"/>
          <w:b w:val="0"/>
          <w:color w:val="auto"/>
          <w:sz w:val="20"/>
        </w:rPr>
      </w:pPr>
    </w:p>
    <w:p>
      <w:pPr>
        <w:pStyle w:val="14"/>
        <w:rPr>
          <w:rFonts w:ascii="宋体" w:hAnsi="宋体" w:eastAsia="宋体"/>
          <w:b w:val="0"/>
          <w:color w:val="auto"/>
          <w:sz w:val="20"/>
        </w:rPr>
      </w:pPr>
    </w:p>
    <w:p>
      <w:pPr>
        <w:pStyle w:val="14"/>
        <w:rPr>
          <w:rFonts w:ascii="宋体" w:hAnsi="宋体" w:eastAsia="宋体"/>
          <w:b w:val="0"/>
          <w:color w:val="auto"/>
          <w:sz w:val="20"/>
        </w:rPr>
      </w:pPr>
    </w:p>
    <w:p>
      <w:pPr>
        <w:pStyle w:val="14"/>
        <w:rPr>
          <w:rFonts w:ascii="宋体" w:hAnsi="宋体" w:eastAsia="宋体"/>
          <w:b w:val="0"/>
          <w:color w:val="auto"/>
          <w:sz w:val="20"/>
        </w:rPr>
      </w:pPr>
    </w:p>
    <w:p>
      <w:pPr>
        <w:pStyle w:val="14"/>
        <w:rPr>
          <w:rFonts w:ascii="宋体" w:hAnsi="宋体" w:eastAsia="宋体"/>
          <w:b w:val="0"/>
          <w:color w:val="auto"/>
          <w:sz w:val="20"/>
        </w:rPr>
      </w:pPr>
    </w:p>
    <w:p>
      <w:pPr>
        <w:pStyle w:val="14"/>
        <w:rPr>
          <w:rFonts w:ascii="宋体" w:hAnsi="宋体" w:eastAsia="宋体"/>
          <w:b w:val="0"/>
          <w:color w:val="auto"/>
          <w:sz w:val="20"/>
        </w:rPr>
      </w:pPr>
    </w:p>
    <w:p>
      <w:pPr>
        <w:pStyle w:val="14"/>
        <w:rPr>
          <w:rFonts w:ascii="宋体" w:hAnsi="宋体" w:eastAsia="宋体"/>
          <w:b w:val="0"/>
          <w:color w:val="auto"/>
          <w:sz w:val="20"/>
        </w:rPr>
      </w:pPr>
    </w:p>
    <w:p>
      <w:pPr>
        <w:pStyle w:val="14"/>
        <w:rPr>
          <w:rFonts w:ascii="宋体" w:hAnsi="宋体" w:eastAsia="宋体"/>
          <w:b w:val="0"/>
          <w:color w:val="auto"/>
          <w:sz w:val="20"/>
        </w:rPr>
      </w:pPr>
    </w:p>
    <w:p>
      <w:pPr>
        <w:pStyle w:val="14"/>
        <w:rPr>
          <w:rFonts w:ascii="宋体" w:hAnsi="宋体" w:eastAsia="宋体"/>
          <w:b w:val="0"/>
          <w:color w:val="auto"/>
          <w:sz w:val="20"/>
        </w:rPr>
      </w:pPr>
    </w:p>
    <w:p>
      <w:pPr>
        <w:pStyle w:val="14"/>
        <w:rPr>
          <w:rFonts w:ascii="宋体" w:hAnsi="宋体" w:eastAsia="宋体"/>
          <w:b w:val="0"/>
          <w:color w:val="auto"/>
          <w:sz w:val="20"/>
        </w:rPr>
      </w:pPr>
    </w:p>
    <w:p>
      <w:pPr>
        <w:pStyle w:val="14"/>
        <w:rPr>
          <w:rFonts w:ascii="宋体" w:hAnsi="宋体" w:eastAsia="宋体"/>
          <w:b w:val="0"/>
          <w:color w:val="auto"/>
          <w:sz w:val="20"/>
        </w:rPr>
      </w:pPr>
    </w:p>
    <w:p>
      <w:pPr>
        <w:pStyle w:val="14"/>
        <w:rPr>
          <w:rFonts w:ascii="宋体" w:hAnsi="宋体" w:eastAsia="宋体"/>
          <w:b w:val="0"/>
          <w:color w:val="auto"/>
          <w:sz w:val="20"/>
        </w:rPr>
      </w:pPr>
    </w:p>
    <w:p>
      <w:pPr>
        <w:pStyle w:val="14"/>
        <w:rPr>
          <w:rFonts w:ascii="宋体" w:hAnsi="宋体" w:eastAsia="宋体"/>
          <w:b w:val="0"/>
          <w:color w:val="auto"/>
          <w:sz w:val="20"/>
        </w:rPr>
      </w:pPr>
    </w:p>
    <w:p>
      <w:pPr>
        <w:pStyle w:val="14"/>
        <w:rPr>
          <w:rFonts w:ascii="宋体" w:hAnsi="宋体" w:eastAsia="宋体"/>
          <w:b w:val="0"/>
          <w:color w:val="auto"/>
          <w:sz w:val="20"/>
        </w:rPr>
      </w:pPr>
    </w:p>
    <w:p>
      <w:pPr>
        <w:pStyle w:val="14"/>
        <w:rPr>
          <w:rFonts w:ascii="宋体" w:hAnsi="宋体" w:eastAsia="宋体"/>
          <w:b w:val="0"/>
          <w:color w:val="auto"/>
          <w:sz w:val="20"/>
        </w:rPr>
      </w:pPr>
    </w:p>
    <w:p>
      <w:pPr>
        <w:pStyle w:val="14"/>
        <w:rPr>
          <w:rFonts w:ascii="宋体" w:hAnsi="宋体" w:eastAsia="宋体"/>
          <w:b w:val="0"/>
          <w:color w:val="auto"/>
          <w:sz w:val="20"/>
        </w:rPr>
      </w:pPr>
    </w:p>
    <w:p>
      <w:pPr>
        <w:pStyle w:val="14"/>
        <w:rPr>
          <w:rFonts w:ascii="宋体" w:hAnsi="宋体" w:eastAsia="宋体"/>
          <w:b w:val="0"/>
          <w:color w:val="auto"/>
          <w:sz w:val="20"/>
        </w:rPr>
      </w:pPr>
    </w:p>
    <w:p>
      <w:pPr>
        <w:pStyle w:val="14"/>
        <w:rPr>
          <w:rFonts w:ascii="宋体" w:hAnsi="宋体" w:eastAsia="宋体"/>
          <w:b w:val="0"/>
          <w:color w:val="auto"/>
          <w:sz w:val="24"/>
          <w:szCs w:val="24"/>
        </w:rPr>
      </w:pPr>
    </w:p>
    <w:p>
      <w:pPr>
        <w:pStyle w:val="14"/>
        <w:rPr>
          <w:rFonts w:ascii="宋体" w:hAnsi="宋体" w:eastAsia="宋体"/>
          <w:b w:val="0"/>
          <w:color w:val="auto"/>
          <w:sz w:val="24"/>
          <w:szCs w:val="24"/>
        </w:rPr>
      </w:pPr>
    </w:p>
    <w:p>
      <w:pPr>
        <w:pStyle w:val="14"/>
        <w:spacing w:before="3"/>
        <w:rPr>
          <w:rFonts w:ascii="宋体" w:hAnsi="宋体" w:eastAsia="宋体"/>
          <w:b w:val="0"/>
          <w:color w:val="auto"/>
          <w:sz w:val="24"/>
          <w:szCs w:val="24"/>
        </w:rPr>
      </w:pPr>
    </w:p>
    <w:p>
      <w:pPr>
        <w:pStyle w:val="14"/>
        <w:ind w:left="212"/>
        <w:rPr>
          <w:rFonts w:ascii="宋体" w:hAnsi="宋体" w:eastAsia="宋体"/>
          <w:b w:val="0"/>
          <w:color w:val="auto"/>
          <w:sz w:val="24"/>
          <w:szCs w:val="24"/>
        </w:rPr>
      </w:pPr>
      <w:r>
        <w:rPr>
          <w:rFonts w:hint="eastAsia" w:ascii="宋体" w:hAnsi="宋体" w:eastAsia="宋体"/>
          <w:b w:val="0"/>
          <w:color w:val="auto"/>
          <w:sz w:val="24"/>
          <w:szCs w:val="24"/>
        </w:rPr>
        <w:t>磋商供应商</w:t>
      </w:r>
      <w:r>
        <w:rPr>
          <w:rFonts w:ascii="宋体" w:hAnsi="宋体" w:eastAsia="宋体"/>
          <w:b w:val="0"/>
          <w:color w:val="auto"/>
          <w:sz w:val="24"/>
          <w:szCs w:val="24"/>
        </w:rPr>
        <w:t>（公章）：</w:t>
      </w:r>
    </w:p>
    <w:p>
      <w:pPr>
        <w:pStyle w:val="14"/>
        <w:rPr>
          <w:rFonts w:ascii="宋体" w:hAnsi="宋体" w:eastAsia="宋体"/>
          <w:b w:val="0"/>
          <w:color w:val="auto"/>
          <w:sz w:val="24"/>
          <w:szCs w:val="24"/>
        </w:rPr>
      </w:pPr>
    </w:p>
    <w:p>
      <w:pPr>
        <w:pStyle w:val="14"/>
        <w:tabs>
          <w:tab w:val="left" w:pos="1264"/>
          <w:tab w:val="left" w:pos="1789"/>
          <w:tab w:val="left" w:pos="2315"/>
        </w:tabs>
        <w:spacing w:before="171" w:line="619" w:lineRule="auto"/>
        <w:ind w:left="212" w:right="6197"/>
        <w:rPr>
          <w:rFonts w:ascii="宋体" w:hAnsi="宋体" w:eastAsia="宋体"/>
          <w:b w:val="0"/>
          <w:color w:val="auto"/>
          <w:sz w:val="24"/>
          <w:szCs w:val="24"/>
        </w:rPr>
      </w:pPr>
      <w:r>
        <w:rPr>
          <w:rFonts w:ascii="宋体" w:hAnsi="宋体" w:eastAsia="宋体"/>
          <w:b w:val="0"/>
          <w:color w:val="auto"/>
          <w:sz w:val="24"/>
          <w:szCs w:val="24"/>
        </w:rPr>
        <w:t>法定</w:t>
      </w:r>
      <w:r>
        <w:rPr>
          <w:rFonts w:ascii="宋体" w:hAnsi="宋体" w:eastAsia="宋体"/>
          <w:b w:val="0"/>
          <w:color w:val="auto"/>
          <w:spacing w:val="-3"/>
          <w:sz w:val="24"/>
          <w:szCs w:val="24"/>
        </w:rPr>
        <w:t>代</w:t>
      </w:r>
      <w:r>
        <w:rPr>
          <w:rFonts w:ascii="宋体" w:hAnsi="宋体" w:eastAsia="宋体"/>
          <w:b w:val="0"/>
          <w:color w:val="auto"/>
          <w:sz w:val="24"/>
          <w:szCs w:val="24"/>
        </w:rPr>
        <w:t>表</w:t>
      </w:r>
      <w:r>
        <w:rPr>
          <w:rFonts w:ascii="宋体" w:hAnsi="宋体" w:eastAsia="宋体"/>
          <w:b w:val="0"/>
          <w:color w:val="auto"/>
          <w:spacing w:val="-3"/>
          <w:sz w:val="24"/>
          <w:szCs w:val="24"/>
        </w:rPr>
        <w:t>人</w:t>
      </w:r>
      <w:r>
        <w:rPr>
          <w:rFonts w:ascii="宋体" w:hAnsi="宋体" w:eastAsia="宋体"/>
          <w:b w:val="0"/>
          <w:color w:val="auto"/>
          <w:sz w:val="24"/>
          <w:szCs w:val="24"/>
        </w:rPr>
        <w:t>或</w:t>
      </w:r>
      <w:r>
        <w:rPr>
          <w:rFonts w:ascii="宋体" w:hAnsi="宋体" w:eastAsia="宋体"/>
          <w:b w:val="0"/>
          <w:color w:val="auto"/>
          <w:spacing w:val="-3"/>
          <w:sz w:val="24"/>
          <w:szCs w:val="24"/>
        </w:rPr>
        <w:t>负</w:t>
      </w:r>
      <w:r>
        <w:rPr>
          <w:rFonts w:ascii="宋体" w:hAnsi="宋体" w:eastAsia="宋体"/>
          <w:b w:val="0"/>
          <w:color w:val="auto"/>
          <w:sz w:val="24"/>
          <w:szCs w:val="24"/>
        </w:rPr>
        <w:t>责</w:t>
      </w:r>
      <w:r>
        <w:rPr>
          <w:rFonts w:ascii="宋体" w:hAnsi="宋体" w:eastAsia="宋体"/>
          <w:b w:val="0"/>
          <w:color w:val="auto"/>
          <w:spacing w:val="-3"/>
          <w:sz w:val="24"/>
          <w:szCs w:val="24"/>
        </w:rPr>
        <w:t>人</w:t>
      </w:r>
      <w:r>
        <w:rPr>
          <w:rFonts w:ascii="宋体" w:hAnsi="宋体" w:eastAsia="宋体"/>
          <w:b w:val="0"/>
          <w:color w:val="auto"/>
          <w:sz w:val="24"/>
          <w:szCs w:val="24"/>
        </w:rPr>
        <w:t>或</w:t>
      </w:r>
      <w:r>
        <w:rPr>
          <w:rFonts w:ascii="宋体" w:hAnsi="宋体" w:eastAsia="宋体"/>
          <w:b w:val="0"/>
          <w:color w:val="auto"/>
          <w:spacing w:val="-3"/>
          <w:sz w:val="24"/>
          <w:szCs w:val="24"/>
        </w:rPr>
        <w:t>授</w:t>
      </w:r>
      <w:r>
        <w:rPr>
          <w:rFonts w:ascii="宋体" w:hAnsi="宋体" w:eastAsia="宋体"/>
          <w:b w:val="0"/>
          <w:color w:val="auto"/>
          <w:sz w:val="24"/>
          <w:szCs w:val="24"/>
        </w:rPr>
        <w:t>权代</w:t>
      </w:r>
      <w:r>
        <w:rPr>
          <w:rFonts w:ascii="宋体" w:hAnsi="宋体" w:eastAsia="宋体"/>
          <w:b w:val="0"/>
          <w:color w:val="auto"/>
          <w:spacing w:val="-3"/>
          <w:sz w:val="24"/>
          <w:szCs w:val="24"/>
        </w:rPr>
        <w:t>表</w:t>
      </w:r>
      <w:r>
        <w:rPr>
          <w:rFonts w:ascii="宋体" w:hAnsi="宋体" w:eastAsia="宋体"/>
          <w:b w:val="0"/>
          <w:color w:val="auto"/>
          <w:sz w:val="24"/>
          <w:szCs w:val="24"/>
        </w:rPr>
        <w:t>（</w:t>
      </w:r>
      <w:r>
        <w:rPr>
          <w:rFonts w:ascii="宋体" w:hAnsi="宋体" w:eastAsia="宋体"/>
          <w:b w:val="0"/>
          <w:color w:val="auto"/>
          <w:spacing w:val="-3"/>
          <w:sz w:val="24"/>
          <w:szCs w:val="24"/>
        </w:rPr>
        <w:t>签</w:t>
      </w:r>
      <w:r>
        <w:rPr>
          <w:rFonts w:ascii="宋体" w:hAnsi="宋体" w:eastAsia="宋体"/>
          <w:b w:val="0"/>
          <w:color w:val="auto"/>
          <w:sz w:val="24"/>
          <w:szCs w:val="24"/>
        </w:rPr>
        <w:t>字）： 日期：</w:t>
      </w:r>
      <w:r>
        <w:rPr>
          <w:rFonts w:ascii="宋体" w:hAnsi="宋体" w:eastAsia="宋体"/>
          <w:b w:val="0"/>
          <w:color w:val="auto"/>
          <w:sz w:val="24"/>
          <w:szCs w:val="24"/>
          <w:u w:val="single"/>
        </w:rPr>
        <w:t xml:space="preserve"> </w:t>
      </w:r>
      <w:r>
        <w:rPr>
          <w:rFonts w:ascii="宋体" w:hAnsi="宋体" w:eastAsia="宋体"/>
          <w:b w:val="0"/>
          <w:color w:val="auto"/>
          <w:sz w:val="24"/>
          <w:szCs w:val="24"/>
          <w:u w:val="single"/>
        </w:rPr>
        <w:tab/>
      </w:r>
      <w:r>
        <w:rPr>
          <w:rFonts w:ascii="宋体" w:hAnsi="宋体" w:eastAsia="宋体"/>
          <w:b w:val="0"/>
          <w:color w:val="auto"/>
          <w:sz w:val="24"/>
          <w:szCs w:val="24"/>
        </w:rPr>
        <w:t>年</w:t>
      </w:r>
      <w:r>
        <w:rPr>
          <w:rFonts w:ascii="宋体" w:hAnsi="宋体" w:eastAsia="宋体"/>
          <w:b w:val="0"/>
          <w:color w:val="auto"/>
          <w:sz w:val="24"/>
          <w:szCs w:val="24"/>
          <w:u w:val="single"/>
        </w:rPr>
        <w:t xml:space="preserve"> </w:t>
      </w:r>
      <w:r>
        <w:rPr>
          <w:rFonts w:ascii="宋体" w:hAnsi="宋体" w:eastAsia="宋体"/>
          <w:b w:val="0"/>
          <w:color w:val="auto"/>
          <w:sz w:val="24"/>
          <w:szCs w:val="24"/>
          <w:u w:val="single"/>
        </w:rPr>
        <w:tab/>
      </w:r>
      <w:r>
        <w:rPr>
          <w:rFonts w:ascii="宋体" w:hAnsi="宋体" w:eastAsia="宋体"/>
          <w:b w:val="0"/>
          <w:color w:val="auto"/>
          <w:sz w:val="24"/>
          <w:szCs w:val="24"/>
        </w:rPr>
        <w:t>月</w:t>
      </w:r>
      <w:r>
        <w:rPr>
          <w:rFonts w:ascii="宋体" w:hAnsi="宋体" w:eastAsia="宋体"/>
          <w:b w:val="0"/>
          <w:color w:val="auto"/>
          <w:sz w:val="24"/>
          <w:szCs w:val="24"/>
          <w:u w:val="single"/>
        </w:rPr>
        <w:t xml:space="preserve"> </w:t>
      </w:r>
      <w:r>
        <w:rPr>
          <w:rFonts w:ascii="宋体" w:hAnsi="宋体" w:eastAsia="宋体"/>
          <w:b w:val="0"/>
          <w:color w:val="auto"/>
          <w:sz w:val="24"/>
          <w:szCs w:val="24"/>
          <w:u w:val="single"/>
        </w:rPr>
        <w:tab/>
      </w:r>
      <w:r>
        <w:rPr>
          <w:rFonts w:ascii="宋体" w:hAnsi="宋体" w:eastAsia="宋体"/>
          <w:b w:val="0"/>
          <w:color w:val="auto"/>
          <w:sz w:val="24"/>
          <w:szCs w:val="24"/>
        </w:rPr>
        <w:t>日</w:t>
      </w:r>
    </w:p>
    <w:p>
      <w:pPr>
        <w:spacing w:line="619" w:lineRule="auto"/>
        <w:rPr>
          <w:rFonts w:ascii="宋体" w:hAnsi="宋体"/>
          <w:color w:val="auto"/>
          <w:szCs w:val="21"/>
        </w:rPr>
        <w:sectPr>
          <w:pgSz w:w="11910" w:h="16840"/>
          <w:pgMar w:top="1580" w:right="580" w:bottom="1160" w:left="920" w:header="1127" w:footer="972" w:gutter="0"/>
          <w:cols w:space="720" w:num="1"/>
        </w:sectPr>
      </w:pPr>
    </w:p>
    <w:p>
      <w:pPr>
        <w:pStyle w:val="14"/>
        <w:rPr>
          <w:color w:val="auto"/>
          <w:sz w:val="20"/>
        </w:rPr>
      </w:pPr>
    </w:p>
    <w:p>
      <w:pPr>
        <w:pStyle w:val="3"/>
        <w:ind w:right="718"/>
        <w:rPr>
          <w:rFonts w:ascii="宋体" w:hAnsi="宋体" w:eastAsia="宋体"/>
          <w:b w:val="0"/>
          <w:color w:val="auto"/>
          <w:szCs w:val="24"/>
        </w:rPr>
      </w:pPr>
      <w:bookmarkStart w:id="82" w:name="_Toc42013033"/>
      <w:bookmarkStart w:id="83" w:name="_Toc34904466"/>
      <w:r>
        <w:rPr>
          <w:rFonts w:hint="eastAsia"/>
          <w:color w:val="auto"/>
        </w:rPr>
        <w:t>12</w:t>
      </w:r>
      <w:r>
        <w:rPr>
          <w:rFonts w:hint="eastAsia" w:ascii="宋体" w:hAnsi="宋体" w:eastAsia="宋体"/>
          <w:b w:val="0"/>
          <w:color w:val="auto"/>
          <w:szCs w:val="24"/>
        </w:rPr>
        <w:t>）供应商</w:t>
      </w:r>
      <w:r>
        <w:rPr>
          <w:rFonts w:ascii="宋体" w:hAnsi="宋体" w:eastAsia="宋体"/>
          <w:b w:val="0"/>
          <w:color w:val="auto"/>
          <w:szCs w:val="24"/>
        </w:rPr>
        <w:t>认为需提供的其他（如信誉业绩等）证明材料</w:t>
      </w:r>
      <w:bookmarkEnd w:id="82"/>
      <w:bookmarkEnd w:id="83"/>
    </w:p>
    <w:tbl>
      <w:tblPr>
        <w:tblStyle w:val="38"/>
        <w:tblW w:w="8967"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84"/>
        <w:gridCol w:w="2314"/>
        <w:gridCol w:w="2518"/>
        <w:gridCol w:w="2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4" w:hRule="atLeast"/>
        </w:trPr>
        <w:tc>
          <w:tcPr>
            <w:tcW w:w="1584" w:type="dxa"/>
          </w:tcPr>
          <w:p>
            <w:pPr>
              <w:pStyle w:val="115"/>
              <w:rPr>
                <w:color w:val="auto"/>
                <w:sz w:val="24"/>
              </w:rPr>
            </w:pPr>
          </w:p>
          <w:p>
            <w:pPr>
              <w:pStyle w:val="115"/>
              <w:spacing w:before="10"/>
              <w:rPr>
                <w:color w:val="auto"/>
                <w:sz w:val="24"/>
              </w:rPr>
            </w:pPr>
          </w:p>
          <w:p>
            <w:pPr>
              <w:pStyle w:val="115"/>
              <w:ind w:left="266"/>
              <w:rPr>
                <w:color w:val="auto"/>
                <w:sz w:val="24"/>
              </w:rPr>
            </w:pPr>
            <w:r>
              <w:rPr>
                <w:color w:val="auto"/>
                <w:sz w:val="24"/>
              </w:rPr>
              <w:t>采购人名称</w:t>
            </w:r>
          </w:p>
        </w:tc>
        <w:tc>
          <w:tcPr>
            <w:tcW w:w="2314" w:type="dxa"/>
          </w:tcPr>
          <w:p>
            <w:pPr>
              <w:pStyle w:val="115"/>
              <w:rPr>
                <w:color w:val="auto"/>
                <w:sz w:val="24"/>
              </w:rPr>
            </w:pPr>
          </w:p>
          <w:p>
            <w:pPr>
              <w:pStyle w:val="115"/>
              <w:spacing w:before="10"/>
              <w:rPr>
                <w:color w:val="auto"/>
                <w:sz w:val="24"/>
              </w:rPr>
            </w:pPr>
          </w:p>
          <w:p>
            <w:pPr>
              <w:pStyle w:val="115"/>
              <w:ind w:left="737"/>
              <w:rPr>
                <w:color w:val="auto"/>
                <w:sz w:val="24"/>
              </w:rPr>
            </w:pPr>
            <w:r>
              <w:rPr>
                <w:color w:val="auto"/>
                <w:sz w:val="24"/>
              </w:rPr>
              <w:t>项目名称</w:t>
            </w:r>
          </w:p>
        </w:tc>
        <w:tc>
          <w:tcPr>
            <w:tcW w:w="2518" w:type="dxa"/>
          </w:tcPr>
          <w:p>
            <w:pPr>
              <w:pStyle w:val="115"/>
              <w:rPr>
                <w:color w:val="auto"/>
                <w:sz w:val="24"/>
              </w:rPr>
            </w:pPr>
          </w:p>
          <w:p>
            <w:pPr>
              <w:pStyle w:val="115"/>
              <w:spacing w:before="10"/>
              <w:rPr>
                <w:color w:val="auto"/>
                <w:sz w:val="24"/>
              </w:rPr>
            </w:pPr>
          </w:p>
          <w:p>
            <w:pPr>
              <w:pStyle w:val="115"/>
              <w:ind w:left="487"/>
              <w:rPr>
                <w:color w:val="auto"/>
                <w:sz w:val="24"/>
              </w:rPr>
            </w:pPr>
            <w:r>
              <w:rPr>
                <w:color w:val="auto"/>
                <w:sz w:val="24"/>
              </w:rPr>
              <w:t>完成状况</w:t>
            </w:r>
          </w:p>
        </w:tc>
        <w:tc>
          <w:tcPr>
            <w:tcW w:w="2551" w:type="dxa"/>
          </w:tcPr>
          <w:p>
            <w:pPr>
              <w:pStyle w:val="115"/>
              <w:rPr>
                <w:color w:val="auto"/>
                <w:sz w:val="24"/>
              </w:rPr>
            </w:pPr>
          </w:p>
          <w:p>
            <w:pPr>
              <w:pStyle w:val="115"/>
              <w:spacing w:before="144" w:line="213" w:lineRule="auto"/>
              <w:ind w:left="855" w:right="102" w:hanging="735"/>
              <w:rPr>
                <w:color w:val="auto"/>
                <w:sz w:val="24"/>
              </w:rPr>
            </w:pPr>
            <w:r>
              <w:rPr>
                <w:color w:val="auto"/>
                <w:sz w:val="24"/>
              </w:rPr>
              <w:t>采购人联系人及联系电话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1584" w:type="dxa"/>
          </w:tcPr>
          <w:p>
            <w:pPr>
              <w:pStyle w:val="115"/>
              <w:rPr>
                <w:color w:val="auto"/>
                <w:sz w:val="24"/>
              </w:rPr>
            </w:pPr>
          </w:p>
        </w:tc>
        <w:tc>
          <w:tcPr>
            <w:tcW w:w="2314" w:type="dxa"/>
          </w:tcPr>
          <w:p>
            <w:pPr>
              <w:pStyle w:val="115"/>
              <w:rPr>
                <w:color w:val="auto"/>
                <w:sz w:val="24"/>
              </w:rPr>
            </w:pPr>
          </w:p>
        </w:tc>
        <w:tc>
          <w:tcPr>
            <w:tcW w:w="2518" w:type="dxa"/>
          </w:tcPr>
          <w:p>
            <w:pPr>
              <w:pStyle w:val="115"/>
              <w:rPr>
                <w:color w:val="auto"/>
                <w:sz w:val="24"/>
              </w:rPr>
            </w:pPr>
          </w:p>
        </w:tc>
        <w:tc>
          <w:tcPr>
            <w:tcW w:w="2551" w:type="dxa"/>
          </w:tcPr>
          <w:p>
            <w:pPr>
              <w:pStyle w:val="115"/>
              <w:rPr>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1584" w:type="dxa"/>
          </w:tcPr>
          <w:p>
            <w:pPr>
              <w:pStyle w:val="115"/>
              <w:rPr>
                <w:color w:val="auto"/>
                <w:sz w:val="24"/>
              </w:rPr>
            </w:pPr>
          </w:p>
        </w:tc>
        <w:tc>
          <w:tcPr>
            <w:tcW w:w="2314" w:type="dxa"/>
          </w:tcPr>
          <w:p>
            <w:pPr>
              <w:pStyle w:val="115"/>
              <w:rPr>
                <w:color w:val="auto"/>
                <w:sz w:val="24"/>
              </w:rPr>
            </w:pPr>
          </w:p>
        </w:tc>
        <w:tc>
          <w:tcPr>
            <w:tcW w:w="2518" w:type="dxa"/>
          </w:tcPr>
          <w:p>
            <w:pPr>
              <w:pStyle w:val="115"/>
              <w:rPr>
                <w:color w:val="auto"/>
                <w:sz w:val="24"/>
              </w:rPr>
            </w:pPr>
          </w:p>
        </w:tc>
        <w:tc>
          <w:tcPr>
            <w:tcW w:w="2551" w:type="dxa"/>
          </w:tcPr>
          <w:p>
            <w:pPr>
              <w:pStyle w:val="115"/>
              <w:rPr>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1584" w:type="dxa"/>
          </w:tcPr>
          <w:p>
            <w:pPr>
              <w:pStyle w:val="115"/>
              <w:rPr>
                <w:color w:val="auto"/>
                <w:sz w:val="24"/>
              </w:rPr>
            </w:pPr>
          </w:p>
        </w:tc>
        <w:tc>
          <w:tcPr>
            <w:tcW w:w="2314" w:type="dxa"/>
          </w:tcPr>
          <w:p>
            <w:pPr>
              <w:pStyle w:val="115"/>
              <w:rPr>
                <w:color w:val="auto"/>
                <w:sz w:val="24"/>
              </w:rPr>
            </w:pPr>
          </w:p>
        </w:tc>
        <w:tc>
          <w:tcPr>
            <w:tcW w:w="2518" w:type="dxa"/>
          </w:tcPr>
          <w:p>
            <w:pPr>
              <w:pStyle w:val="115"/>
              <w:rPr>
                <w:color w:val="auto"/>
                <w:sz w:val="24"/>
              </w:rPr>
            </w:pPr>
          </w:p>
        </w:tc>
        <w:tc>
          <w:tcPr>
            <w:tcW w:w="2551" w:type="dxa"/>
          </w:tcPr>
          <w:p>
            <w:pPr>
              <w:pStyle w:val="115"/>
              <w:rPr>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584" w:type="dxa"/>
          </w:tcPr>
          <w:p>
            <w:pPr>
              <w:pStyle w:val="115"/>
              <w:rPr>
                <w:color w:val="auto"/>
                <w:sz w:val="24"/>
              </w:rPr>
            </w:pPr>
          </w:p>
        </w:tc>
        <w:tc>
          <w:tcPr>
            <w:tcW w:w="2314" w:type="dxa"/>
          </w:tcPr>
          <w:p>
            <w:pPr>
              <w:pStyle w:val="115"/>
              <w:rPr>
                <w:color w:val="auto"/>
                <w:sz w:val="24"/>
              </w:rPr>
            </w:pPr>
          </w:p>
        </w:tc>
        <w:tc>
          <w:tcPr>
            <w:tcW w:w="2518" w:type="dxa"/>
          </w:tcPr>
          <w:p>
            <w:pPr>
              <w:pStyle w:val="115"/>
              <w:rPr>
                <w:color w:val="auto"/>
                <w:sz w:val="24"/>
              </w:rPr>
            </w:pPr>
          </w:p>
        </w:tc>
        <w:tc>
          <w:tcPr>
            <w:tcW w:w="2551" w:type="dxa"/>
          </w:tcPr>
          <w:p>
            <w:pPr>
              <w:pStyle w:val="115"/>
              <w:rPr>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1584" w:type="dxa"/>
          </w:tcPr>
          <w:p>
            <w:pPr>
              <w:pStyle w:val="115"/>
              <w:rPr>
                <w:color w:val="auto"/>
                <w:sz w:val="24"/>
              </w:rPr>
            </w:pPr>
          </w:p>
        </w:tc>
        <w:tc>
          <w:tcPr>
            <w:tcW w:w="2314" w:type="dxa"/>
          </w:tcPr>
          <w:p>
            <w:pPr>
              <w:pStyle w:val="115"/>
              <w:rPr>
                <w:color w:val="auto"/>
                <w:sz w:val="24"/>
              </w:rPr>
            </w:pPr>
          </w:p>
        </w:tc>
        <w:tc>
          <w:tcPr>
            <w:tcW w:w="2518" w:type="dxa"/>
          </w:tcPr>
          <w:p>
            <w:pPr>
              <w:pStyle w:val="115"/>
              <w:rPr>
                <w:color w:val="auto"/>
                <w:sz w:val="24"/>
              </w:rPr>
            </w:pPr>
          </w:p>
        </w:tc>
        <w:tc>
          <w:tcPr>
            <w:tcW w:w="2551" w:type="dxa"/>
          </w:tcPr>
          <w:p>
            <w:pPr>
              <w:pStyle w:val="115"/>
              <w:rPr>
                <w:color w:val="auto"/>
                <w:sz w:val="24"/>
              </w:rPr>
            </w:pPr>
          </w:p>
        </w:tc>
      </w:tr>
    </w:tbl>
    <w:p>
      <w:pPr>
        <w:pStyle w:val="14"/>
        <w:rPr>
          <w:rFonts w:ascii="宋体" w:hAnsi="宋体" w:eastAsia="宋体"/>
          <w:b w:val="0"/>
          <w:color w:val="auto"/>
          <w:sz w:val="24"/>
          <w:szCs w:val="24"/>
        </w:rPr>
      </w:pPr>
    </w:p>
    <w:p>
      <w:pPr>
        <w:pStyle w:val="14"/>
        <w:spacing w:before="1" w:line="292" w:lineRule="auto"/>
        <w:ind w:right="2202"/>
        <w:rPr>
          <w:rFonts w:ascii="宋体" w:hAnsi="宋体" w:eastAsia="宋体"/>
          <w:b w:val="0"/>
          <w:color w:val="auto"/>
          <w:sz w:val="24"/>
          <w:szCs w:val="24"/>
        </w:rPr>
      </w:pPr>
      <w:r>
        <w:rPr>
          <w:rFonts w:ascii="宋体" w:hAnsi="宋体" w:eastAsia="宋体"/>
          <w:b w:val="0"/>
          <w:color w:val="auto"/>
          <w:sz w:val="24"/>
          <w:szCs w:val="24"/>
        </w:rPr>
        <w:t>注：附</w:t>
      </w:r>
      <w:r>
        <w:rPr>
          <w:rFonts w:hint="eastAsia" w:ascii="宋体" w:hAnsi="宋体" w:eastAsia="宋体"/>
          <w:b w:val="0"/>
          <w:color w:val="auto"/>
          <w:sz w:val="24"/>
          <w:szCs w:val="24"/>
        </w:rPr>
        <w:t>中标通知书或合同复印件</w:t>
      </w:r>
      <w:r>
        <w:rPr>
          <w:rFonts w:ascii="宋体" w:hAnsi="宋体" w:eastAsia="宋体"/>
          <w:b w:val="0"/>
          <w:color w:val="auto"/>
          <w:sz w:val="24"/>
          <w:szCs w:val="24"/>
        </w:rPr>
        <w:t>，</w:t>
      </w:r>
    </w:p>
    <w:p>
      <w:pPr>
        <w:pStyle w:val="14"/>
        <w:ind w:left="212"/>
        <w:rPr>
          <w:rFonts w:ascii="宋体" w:hAnsi="宋体" w:eastAsia="宋体"/>
          <w:b w:val="0"/>
          <w:color w:val="auto"/>
          <w:sz w:val="24"/>
          <w:szCs w:val="24"/>
        </w:rPr>
      </w:pPr>
      <w:r>
        <w:rPr>
          <w:rFonts w:hint="eastAsia" w:ascii="宋体" w:hAnsi="宋体" w:eastAsia="宋体"/>
          <w:b w:val="0"/>
          <w:color w:val="auto"/>
          <w:sz w:val="24"/>
          <w:szCs w:val="24"/>
        </w:rPr>
        <w:t>磋商供应商</w:t>
      </w:r>
      <w:r>
        <w:rPr>
          <w:rFonts w:ascii="宋体" w:hAnsi="宋体" w:eastAsia="宋体"/>
          <w:b w:val="0"/>
          <w:color w:val="auto"/>
          <w:sz w:val="24"/>
          <w:szCs w:val="24"/>
        </w:rPr>
        <w:t>（公章）：</w:t>
      </w:r>
    </w:p>
    <w:p>
      <w:pPr>
        <w:pStyle w:val="14"/>
        <w:rPr>
          <w:rFonts w:ascii="宋体" w:hAnsi="宋体" w:eastAsia="宋体"/>
          <w:b w:val="0"/>
          <w:color w:val="auto"/>
          <w:sz w:val="24"/>
          <w:szCs w:val="24"/>
        </w:rPr>
      </w:pPr>
    </w:p>
    <w:p>
      <w:pPr>
        <w:pStyle w:val="14"/>
        <w:tabs>
          <w:tab w:val="left" w:pos="1264"/>
          <w:tab w:val="left" w:pos="1789"/>
          <w:tab w:val="left" w:pos="2315"/>
        </w:tabs>
        <w:spacing w:before="171" w:line="619" w:lineRule="auto"/>
        <w:ind w:left="212" w:right="4818"/>
        <w:rPr>
          <w:rFonts w:ascii="宋体" w:hAnsi="宋体" w:eastAsia="宋体"/>
          <w:b w:val="0"/>
          <w:color w:val="auto"/>
          <w:sz w:val="24"/>
          <w:szCs w:val="24"/>
        </w:rPr>
      </w:pPr>
      <w:r>
        <w:rPr>
          <w:rFonts w:ascii="宋体" w:hAnsi="宋体" w:eastAsia="宋体"/>
          <w:b w:val="0"/>
          <w:color w:val="auto"/>
          <w:sz w:val="24"/>
          <w:szCs w:val="24"/>
        </w:rPr>
        <w:t>法定</w:t>
      </w:r>
      <w:r>
        <w:rPr>
          <w:rFonts w:ascii="宋体" w:hAnsi="宋体" w:eastAsia="宋体"/>
          <w:b w:val="0"/>
          <w:color w:val="auto"/>
          <w:spacing w:val="-3"/>
          <w:sz w:val="24"/>
          <w:szCs w:val="24"/>
        </w:rPr>
        <w:t>代</w:t>
      </w:r>
      <w:r>
        <w:rPr>
          <w:rFonts w:ascii="宋体" w:hAnsi="宋体" w:eastAsia="宋体"/>
          <w:b w:val="0"/>
          <w:color w:val="auto"/>
          <w:sz w:val="24"/>
          <w:szCs w:val="24"/>
        </w:rPr>
        <w:t>表</w:t>
      </w:r>
      <w:r>
        <w:rPr>
          <w:rFonts w:ascii="宋体" w:hAnsi="宋体" w:eastAsia="宋体"/>
          <w:b w:val="0"/>
          <w:color w:val="auto"/>
          <w:spacing w:val="-3"/>
          <w:sz w:val="24"/>
          <w:szCs w:val="24"/>
        </w:rPr>
        <w:t>人</w:t>
      </w:r>
      <w:r>
        <w:rPr>
          <w:rFonts w:ascii="宋体" w:hAnsi="宋体" w:eastAsia="宋体"/>
          <w:b w:val="0"/>
          <w:color w:val="auto"/>
          <w:sz w:val="24"/>
          <w:szCs w:val="24"/>
        </w:rPr>
        <w:t>或</w:t>
      </w:r>
      <w:r>
        <w:rPr>
          <w:rFonts w:ascii="宋体" w:hAnsi="宋体" w:eastAsia="宋体"/>
          <w:b w:val="0"/>
          <w:color w:val="auto"/>
          <w:spacing w:val="-3"/>
          <w:sz w:val="24"/>
          <w:szCs w:val="24"/>
        </w:rPr>
        <w:t>负</w:t>
      </w:r>
      <w:r>
        <w:rPr>
          <w:rFonts w:ascii="宋体" w:hAnsi="宋体" w:eastAsia="宋体"/>
          <w:b w:val="0"/>
          <w:color w:val="auto"/>
          <w:sz w:val="24"/>
          <w:szCs w:val="24"/>
        </w:rPr>
        <w:t>责</w:t>
      </w:r>
      <w:r>
        <w:rPr>
          <w:rFonts w:ascii="宋体" w:hAnsi="宋体" w:eastAsia="宋体"/>
          <w:b w:val="0"/>
          <w:color w:val="auto"/>
          <w:spacing w:val="-3"/>
          <w:sz w:val="24"/>
          <w:szCs w:val="24"/>
        </w:rPr>
        <w:t>人</w:t>
      </w:r>
      <w:r>
        <w:rPr>
          <w:rFonts w:ascii="宋体" w:hAnsi="宋体" w:eastAsia="宋体"/>
          <w:b w:val="0"/>
          <w:color w:val="auto"/>
          <w:sz w:val="24"/>
          <w:szCs w:val="24"/>
        </w:rPr>
        <w:t>或</w:t>
      </w:r>
      <w:r>
        <w:rPr>
          <w:rFonts w:ascii="宋体" w:hAnsi="宋体" w:eastAsia="宋体"/>
          <w:b w:val="0"/>
          <w:color w:val="auto"/>
          <w:spacing w:val="-3"/>
          <w:sz w:val="24"/>
          <w:szCs w:val="24"/>
        </w:rPr>
        <w:t>授</w:t>
      </w:r>
      <w:r>
        <w:rPr>
          <w:rFonts w:ascii="宋体" w:hAnsi="宋体" w:eastAsia="宋体"/>
          <w:b w:val="0"/>
          <w:color w:val="auto"/>
          <w:sz w:val="24"/>
          <w:szCs w:val="24"/>
        </w:rPr>
        <w:t>权代</w:t>
      </w:r>
      <w:r>
        <w:rPr>
          <w:rFonts w:ascii="宋体" w:hAnsi="宋体" w:eastAsia="宋体"/>
          <w:b w:val="0"/>
          <w:color w:val="auto"/>
          <w:spacing w:val="-3"/>
          <w:sz w:val="24"/>
          <w:szCs w:val="24"/>
        </w:rPr>
        <w:t>表</w:t>
      </w:r>
      <w:r>
        <w:rPr>
          <w:rFonts w:ascii="宋体" w:hAnsi="宋体" w:eastAsia="宋体"/>
          <w:b w:val="0"/>
          <w:color w:val="auto"/>
          <w:sz w:val="24"/>
          <w:szCs w:val="24"/>
        </w:rPr>
        <w:t>（</w:t>
      </w:r>
      <w:r>
        <w:rPr>
          <w:rFonts w:ascii="宋体" w:hAnsi="宋体" w:eastAsia="宋体"/>
          <w:b w:val="0"/>
          <w:color w:val="auto"/>
          <w:spacing w:val="-3"/>
          <w:sz w:val="24"/>
          <w:szCs w:val="24"/>
        </w:rPr>
        <w:t>签</w:t>
      </w:r>
      <w:r>
        <w:rPr>
          <w:rFonts w:ascii="宋体" w:hAnsi="宋体" w:eastAsia="宋体"/>
          <w:b w:val="0"/>
          <w:color w:val="auto"/>
          <w:sz w:val="24"/>
          <w:szCs w:val="24"/>
        </w:rPr>
        <w:t xml:space="preserve">字）： </w:t>
      </w:r>
    </w:p>
    <w:p>
      <w:pPr>
        <w:pStyle w:val="14"/>
        <w:tabs>
          <w:tab w:val="left" w:pos="1264"/>
          <w:tab w:val="left" w:pos="1789"/>
          <w:tab w:val="left" w:pos="2315"/>
        </w:tabs>
        <w:spacing w:before="171" w:line="619" w:lineRule="auto"/>
        <w:ind w:left="212" w:right="6197"/>
        <w:rPr>
          <w:rFonts w:ascii="宋体" w:hAnsi="宋体" w:eastAsia="宋体"/>
          <w:b w:val="0"/>
          <w:color w:val="auto"/>
          <w:sz w:val="24"/>
          <w:szCs w:val="24"/>
        </w:rPr>
      </w:pPr>
      <w:r>
        <w:rPr>
          <w:rFonts w:ascii="宋体" w:hAnsi="宋体" w:eastAsia="宋体"/>
          <w:b w:val="0"/>
          <w:color w:val="auto"/>
          <w:sz w:val="24"/>
          <w:szCs w:val="24"/>
        </w:rPr>
        <w:t>日期：</w:t>
      </w:r>
      <w:r>
        <w:rPr>
          <w:rFonts w:ascii="宋体" w:hAnsi="宋体" w:eastAsia="宋体"/>
          <w:b w:val="0"/>
          <w:color w:val="auto"/>
          <w:sz w:val="24"/>
          <w:szCs w:val="24"/>
          <w:u w:val="single"/>
        </w:rPr>
        <w:t xml:space="preserve"> </w:t>
      </w:r>
      <w:r>
        <w:rPr>
          <w:rFonts w:ascii="宋体" w:hAnsi="宋体" w:eastAsia="宋体"/>
          <w:b w:val="0"/>
          <w:color w:val="auto"/>
          <w:sz w:val="24"/>
          <w:szCs w:val="24"/>
          <w:u w:val="single"/>
        </w:rPr>
        <w:tab/>
      </w:r>
      <w:r>
        <w:rPr>
          <w:rFonts w:ascii="宋体" w:hAnsi="宋体" w:eastAsia="宋体"/>
          <w:b w:val="0"/>
          <w:color w:val="auto"/>
          <w:sz w:val="24"/>
          <w:szCs w:val="24"/>
        </w:rPr>
        <w:t>年</w:t>
      </w:r>
      <w:r>
        <w:rPr>
          <w:rFonts w:ascii="宋体" w:hAnsi="宋体" w:eastAsia="宋体"/>
          <w:b w:val="0"/>
          <w:color w:val="auto"/>
          <w:sz w:val="24"/>
          <w:szCs w:val="24"/>
          <w:u w:val="single"/>
        </w:rPr>
        <w:t xml:space="preserve"> </w:t>
      </w:r>
      <w:r>
        <w:rPr>
          <w:rFonts w:ascii="宋体" w:hAnsi="宋体" w:eastAsia="宋体"/>
          <w:b w:val="0"/>
          <w:color w:val="auto"/>
          <w:sz w:val="24"/>
          <w:szCs w:val="24"/>
          <w:u w:val="single"/>
        </w:rPr>
        <w:tab/>
      </w:r>
      <w:r>
        <w:rPr>
          <w:rFonts w:ascii="宋体" w:hAnsi="宋体" w:eastAsia="宋体"/>
          <w:b w:val="0"/>
          <w:color w:val="auto"/>
          <w:sz w:val="24"/>
          <w:szCs w:val="24"/>
        </w:rPr>
        <w:t>月</w:t>
      </w:r>
      <w:r>
        <w:rPr>
          <w:rFonts w:ascii="宋体" w:hAnsi="宋体" w:eastAsia="宋体"/>
          <w:b w:val="0"/>
          <w:color w:val="auto"/>
          <w:sz w:val="24"/>
          <w:szCs w:val="24"/>
          <w:u w:val="single"/>
        </w:rPr>
        <w:t xml:space="preserve"> </w:t>
      </w:r>
      <w:r>
        <w:rPr>
          <w:rFonts w:ascii="宋体" w:hAnsi="宋体" w:eastAsia="宋体"/>
          <w:b w:val="0"/>
          <w:color w:val="auto"/>
          <w:sz w:val="24"/>
          <w:szCs w:val="24"/>
          <w:u w:val="single"/>
        </w:rPr>
        <w:tab/>
      </w:r>
      <w:r>
        <w:rPr>
          <w:rFonts w:ascii="宋体" w:hAnsi="宋体" w:eastAsia="宋体"/>
          <w:b w:val="0"/>
          <w:color w:val="auto"/>
          <w:sz w:val="24"/>
          <w:szCs w:val="24"/>
        </w:rPr>
        <w:t>日</w:t>
      </w:r>
    </w:p>
    <w:p>
      <w:pPr>
        <w:spacing w:line="350" w:lineRule="exact"/>
        <w:ind w:firstLine="415" w:firstLineChars="198"/>
        <w:rPr>
          <w:rFonts w:ascii="宋体" w:hAnsi="宋体"/>
          <w:color w:val="auto"/>
          <w:szCs w:val="21"/>
        </w:rPr>
      </w:pPr>
    </w:p>
    <w:p>
      <w:pPr>
        <w:spacing w:line="350" w:lineRule="exact"/>
        <w:ind w:firstLine="415" w:firstLineChars="198"/>
        <w:rPr>
          <w:rFonts w:ascii="宋体" w:hAnsi="宋体"/>
          <w:color w:val="auto"/>
          <w:szCs w:val="21"/>
        </w:rPr>
      </w:pPr>
    </w:p>
    <w:p>
      <w:pPr>
        <w:spacing w:line="350" w:lineRule="exact"/>
        <w:ind w:firstLine="415" w:firstLineChars="198"/>
        <w:rPr>
          <w:rFonts w:ascii="宋体" w:hAnsi="宋体"/>
          <w:color w:val="auto"/>
          <w:szCs w:val="21"/>
        </w:rPr>
      </w:pPr>
    </w:p>
    <w:p>
      <w:pPr>
        <w:spacing w:line="350" w:lineRule="exact"/>
        <w:ind w:firstLine="415" w:firstLineChars="198"/>
        <w:rPr>
          <w:rFonts w:ascii="宋体" w:hAnsi="宋体"/>
          <w:color w:val="auto"/>
          <w:szCs w:val="21"/>
        </w:rPr>
      </w:pPr>
    </w:p>
    <w:p>
      <w:pPr>
        <w:spacing w:line="350" w:lineRule="exact"/>
        <w:ind w:firstLine="415" w:firstLineChars="198"/>
        <w:rPr>
          <w:rFonts w:ascii="宋体" w:hAnsi="宋体"/>
          <w:color w:val="auto"/>
          <w:szCs w:val="21"/>
        </w:rPr>
      </w:pPr>
    </w:p>
    <w:p>
      <w:pPr>
        <w:spacing w:line="350" w:lineRule="exact"/>
        <w:ind w:firstLine="415" w:firstLineChars="198"/>
        <w:rPr>
          <w:rFonts w:ascii="宋体" w:hAnsi="宋体"/>
          <w:color w:val="auto"/>
          <w:szCs w:val="21"/>
        </w:rPr>
      </w:pPr>
    </w:p>
    <w:p>
      <w:pPr>
        <w:spacing w:line="350" w:lineRule="exact"/>
        <w:ind w:firstLine="415" w:firstLineChars="198"/>
        <w:rPr>
          <w:rFonts w:ascii="宋体" w:hAnsi="宋体"/>
          <w:color w:val="auto"/>
          <w:szCs w:val="21"/>
        </w:rPr>
      </w:pPr>
    </w:p>
    <w:p>
      <w:pPr>
        <w:spacing w:line="350" w:lineRule="exact"/>
        <w:ind w:firstLine="415" w:firstLineChars="198"/>
        <w:rPr>
          <w:rFonts w:ascii="宋体" w:hAnsi="宋体"/>
          <w:color w:val="auto"/>
          <w:szCs w:val="21"/>
        </w:rPr>
      </w:pPr>
    </w:p>
    <w:p>
      <w:pPr>
        <w:spacing w:line="350" w:lineRule="exact"/>
        <w:ind w:firstLine="415" w:firstLineChars="198"/>
        <w:rPr>
          <w:rFonts w:ascii="宋体" w:hAnsi="宋体"/>
          <w:color w:val="auto"/>
          <w:szCs w:val="21"/>
        </w:rPr>
      </w:pPr>
    </w:p>
    <w:p>
      <w:pPr>
        <w:spacing w:line="350" w:lineRule="exact"/>
        <w:ind w:firstLine="415" w:firstLineChars="198"/>
        <w:rPr>
          <w:rFonts w:ascii="宋体" w:hAnsi="宋体"/>
          <w:color w:val="auto"/>
          <w:szCs w:val="21"/>
        </w:rPr>
      </w:pPr>
    </w:p>
    <w:p>
      <w:pPr>
        <w:spacing w:line="350" w:lineRule="exact"/>
        <w:ind w:firstLine="415" w:firstLineChars="198"/>
        <w:rPr>
          <w:rFonts w:ascii="宋体" w:hAnsi="宋体"/>
          <w:color w:val="auto"/>
          <w:szCs w:val="21"/>
        </w:rPr>
      </w:pPr>
    </w:p>
    <w:p>
      <w:pPr>
        <w:spacing w:line="350" w:lineRule="exact"/>
        <w:ind w:firstLine="415" w:firstLineChars="198"/>
        <w:rPr>
          <w:rFonts w:ascii="宋体" w:hAnsi="宋体"/>
          <w:color w:val="auto"/>
          <w:szCs w:val="21"/>
        </w:rPr>
      </w:pPr>
    </w:p>
    <w:p>
      <w:pPr>
        <w:spacing w:line="350" w:lineRule="exact"/>
        <w:ind w:firstLine="415" w:firstLineChars="198"/>
        <w:rPr>
          <w:rFonts w:ascii="宋体" w:hAnsi="宋体"/>
          <w:color w:val="auto"/>
          <w:szCs w:val="21"/>
        </w:rPr>
      </w:pPr>
    </w:p>
    <w:p>
      <w:pPr>
        <w:spacing w:line="350" w:lineRule="exact"/>
        <w:ind w:firstLine="415" w:firstLineChars="198"/>
        <w:rPr>
          <w:rFonts w:ascii="宋体" w:hAnsi="宋体"/>
          <w:color w:val="auto"/>
          <w:szCs w:val="21"/>
        </w:rPr>
      </w:pPr>
    </w:p>
    <w:p>
      <w:pPr>
        <w:spacing w:line="350" w:lineRule="exact"/>
        <w:ind w:firstLine="415" w:firstLineChars="198"/>
        <w:rPr>
          <w:rFonts w:ascii="宋体" w:hAnsi="宋体"/>
          <w:color w:val="auto"/>
          <w:szCs w:val="21"/>
        </w:rPr>
      </w:pPr>
    </w:p>
    <w:p>
      <w:pPr>
        <w:spacing w:line="240" w:lineRule="auto"/>
        <w:ind w:firstLine="415" w:firstLineChars="198"/>
        <w:jc w:val="both"/>
        <w:rPr>
          <w:rFonts w:hint="eastAsia" w:ascii="宋体" w:hAnsi="宋体" w:eastAsia="宋体"/>
          <w:color w:val="auto"/>
          <w:szCs w:val="21"/>
          <w:lang w:eastAsia="zh-CN"/>
        </w:rPr>
      </w:pPr>
      <w:bookmarkStart w:id="84" w:name="_GoBack"/>
      <w:r>
        <w:rPr>
          <w:rFonts w:hint="eastAsia" w:ascii="宋体" w:hAnsi="宋体" w:eastAsia="宋体"/>
          <w:color w:val="auto"/>
          <w:szCs w:val="21"/>
          <w:lang w:eastAsia="zh-CN"/>
        </w:rPr>
        <w:drawing>
          <wp:inline distT="0" distB="0" distL="114300" distR="114300">
            <wp:extent cx="5937250" cy="8362315"/>
            <wp:effectExtent l="0" t="0" r="6350" b="635"/>
            <wp:docPr id="2" name="图片 2" descr="签章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章页"/>
                    <pic:cNvPicPr>
                      <a:picLocks noChangeAspect="1"/>
                    </pic:cNvPicPr>
                  </pic:nvPicPr>
                  <pic:blipFill>
                    <a:blip r:embed="rId11"/>
                    <a:stretch>
                      <a:fillRect/>
                    </a:stretch>
                  </pic:blipFill>
                  <pic:spPr>
                    <a:xfrm>
                      <a:off x="0" y="0"/>
                      <a:ext cx="5937250" cy="8362315"/>
                    </a:xfrm>
                    <a:prstGeom prst="rect">
                      <a:avLst/>
                    </a:prstGeom>
                  </pic:spPr>
                </pic:pic>
              </a:graphicData>
            </a:graphic>
          </wp:inline>
        </w:drawing>
      </w:r>
      <w:bookmarkEnd w:id="84"/>
    </w:p>
    <w:sectPr>
      <w:headerReference r:id="rId6" w:type="default"/>
      <w:footerReference r:id="rId7" w:type="default"/>
      <w:footerReference r:id="rId8" w:type="even"/>
      <w:type w:val="continuous"/>
      <w:pgSz w:w="11906" w:h="16838"/>
      <w:pgMar w:top="1134" w:right="1134" w:bottom="1077" w:left="1418" w:header="720" w:footer="720" w:gutter="0"/>
      <w:pgNumType w:start="0"/>
      <w:cols w:space="720" w:num="1"/>
      <w:titlePg/>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简体">
    <w:altName w:val="宋体"/>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金山简黑体">
    <w:altName w:val="宋体"/>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Arial Unicode MS">
    <w:altName w:val="宋体"/>
    <w:panose1 w:val="020B0604020202020204"/>
    <w:charset w:val="86"/>
    <w:family w:val="swiss"/>
    <w:pitch w:val="default"/>
    <w:sig w:usb0="00000000" w:usb1="00000000" w:usb2="0000003F" w:usb3="00000000" w:csb0="003F01FF" w:csb1="00000000"/>
  </w:font>
  <w:font w:name="Monaco">
    <w:panose1 w:val="020B0509030404040204"/>
    <w:charset w:val="00"/>
    <w:family w:val="modern"/>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Ìå">
    <w:altName w:val="Times New Roman"/>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方正魏碑简体">
    <w:altName w:val="微软雅黑"/>
    <w:panose1 w:val="00000000000000000000"/>
    <w:charset w:val="86"/>
    <w:family w:val="script"/>
    <w:pitch w:val="default"/>
    <w:sig w:usb0="00000000" w:usb1="00000000" w:usb2="00000010" w:usb3="00000000" w:csb0="00040000" w:csb1="00000000"/>
  </w:font>
  <w:font w:name="金山简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fldChar w:fldCharType="begin"/>
    </w:r>
    <w:r>
      <w:instrText xml:space="preserve"> PAGE   \* MERGEFORMAT </w:instrText>
    </w:r>
    <w:r>
      <w:fldChar w:fldCharType="separate"/>
    </w:r>
    <w:r>
      <w:rPr>
        <w:lang w:val="zh-CN"/>
      </w:rPr>
      <w:t>23</w:t>
    </w:r>
    <w:r>
      <w:fldChar w:fldCharType="end"/>
    </w:r>
  </w:p>
  <w:p>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fldChar w:fldCharType="begin"/>
    </w:r>
    <w:r>
      <w:instrText xml:space="preserve"> PAGE   \* MERGEFORMAT </w:instrText>
    </w:r>
    <w:r>
      <w:fldChar w:fldCharType="separate"/>
    </w:r>
    <w:r>
      <w:rPr>
        <w:lang w:val="zh-CN"/>
      </w:rPr>
      <w:t>21</w:t>
    </w:r>
    <w:r>
      <w:fldChar w:fldCharType="end"/>
    </w:r>
  </w:p>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rPr>
        <w:sz w:val="20"/>
      </w:rPr>
    </w:pPr>
    <w:r>
      <w:rPr>
        <w:sz w:val="21"/>
        <w:lang w:val="zh-CN" w:bidi="zh-CN"/>
      </w:rPr>
      <w:pict>
        <v:line id="直线 8" o:spid="_x0000_s2052" o:spt="20" style="position:absolute;left:0pt;margin-left:56.6pt;margin-top:792.8pt;height:0pt;width:482pt;mso-position-horizontal-relative:page;mso-position-vertical-relative:page;z-index:-251658240;mso-width-relative:page;mso-height-relative:page;" coordsize="21600,21600" o:gfxdata="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QLOkj2QAAAA4BAAAPAAAAAAAAAAEAIAAAACIAAABk&#10;cnMvZG93bnJldi54bWxQSwECFAAUAAAACACHTuJAt/mJyMwBAACOAwAADgAAAAAAAAABACAAAAAo&#10;AQAAZHJzL2Uyb0RvYy54bWxQSwUGAAAAAAYABgBZAQAAZgUAAAAA&#10;">
          <v:path arrowok="t"/>
          <v:fill focussize="0,0"/>
          <v:stroke weight="0.48pt"/>
          <v:imagedata o:title=""/>
          <o:lock v:ext="edit"/>
        </v:line>
      </w:pict>
    </w:r>
    <w:r>
      <w:rPr>
        <w:sz w:val="21"/>
        <w:lang w:val="zh-CN" w:bidi="zh-CN"/>
      </w:rPr>
      <w:pict>
        <v:shape id="文本框 9" o:spid="_x0000_s2053" o:spt="202" type="#_x0000_t202" style="position:absolute;left:0pt;margin-left:291.2pt;margin-top:782.3pt;height:11pt;width:13.15pt;mso-position-horizontal-relative:page;mso-position-vertical-relative:page;z-index:-251658240;mso-width-relative:page;mso-height-relative:page;" filled="f" stroked="f" coordsize="21600,21600" o:gfxdata="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2Avan2gAAAA0BAAAPAAAAAAAA&#10;AAEAIAAAACIAAABkcnMvZG93bnJldi54bWxQSwECFAAUAAAACACHTuJAkvcGHJ4BAAAkAwAADgAA&#10;AAAAAAABACAAAAApAQAAZHJzL2Uyb0RvYy54bWxQSwUGAAAAAAYABgBZAQAAOQUAAAAA&#10;">
          <v:path/>
          <v:fill on="f" focussize="0,0"/>
          <v:stroke on="f" joinstyle="miter"/>
          <v:imagedata o:title=""/>
          <o:lock v:ext="edit"/>
          <v:textbox inset="0mm,0mm,0mm,0mm">
            <w:txbxContent>
              <w:p>
                <w:pPr>
                  <w:spacing w:line="220" w:lineRule="exact"/>
                  <w:ind w:left="40"/>
                  <w:rPr>
                    <w:sz w:val="18"/>
                  </w:rPr>
                </w:pPr>
                <w:r>
                  <w:fldChar w:fldCharType="begin"/>
                </w:r>
                <w:r>
                  <w:rPr>
                    <w:sz w:val="18"/>
                  </w:rPr>
                  <w:instrText xml:space="preserve"> PAGE </w:instrText>
                </w:r>
                <w:r>
                  <w:fldChar w:fldCharType="separate"/>
                </w:r>
                <w:r>
                  <w:rPr>
                    <w:sz w:val="18"/>
                  </w:rPr>
                  <w:t>31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left" w:pos="1426"/>
        <w:tab w:val="clear" w:pos="4153"/>
        <w:tab w:val="clear" w:pos="8306"/>
      </w:tabs>
    </w:pPr>
    <w:r>
      <w:pict>
        <v:shape id="_x0000_s2051" o:spid="_x0000_s2051" o:spt="202" type="#_x0000_t202" style="position:absolute;left:0pt;margin-top:0pt;height:144pt;width:144pt;mso-position-horizontal:center;mso-position-horizontal-relative:margin;mso-wrap-style:none;z-index:251657216;mso-width-relative:page;mso-height-relative:page;" filled="f" stroked="f" coordsize="21600,21600">
          <v:path/>
          <v:fill on="f" focussize="0,0"/>
          <v:stroke on="f" joinstyle="miter"/>
          <v:imagedata o:title=""/>
          <o:lock v:ext="edit"/>
          <v:textbox inset="0mm,0mm,0mm,0mm" style="mso-fit-shape-to-text:t;">
            <w:txbxContent>
              <w:p>
                <w:pPr>
                  <w:pStyle w:val="25"/>
                  <w:tabs>
                    <w:tab w:val="left" w:pos="1426"/>
                    <w:tab w:val="clear" w:pos="4153"/>
                    <w:tab w:val="clear" w:pos="8306"/>
                  </w:tabs>
                </w:pPr>
                <w:r>
                  <w:fldChar w:fldCharType="begin"/>
                </w:r>
                <w:r>
                  <w:rPr>
                    <w:rStyle w:val="42"/>
                  </w:rPr>
                  <w:instrText xml:space="preserve"> PAGE </w:instrText>
                </w:r>
                <w:r>
                  <w:fldChar w:fldCharType="separate"/>
                </w:r>
                <w:r>
                  <w:rPr>
                    <w:rStyle w:val="42"/>
                  </w:rPr>
                  <w:t>10</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2"/>
      </w:rPr>
    </w:pPr>
    <w:r>
      <w:fldChar w:fldCharType="begin"/>
    </w:r>
    <w:r>
      <w:rPr>
        <w:rStyle w:val="42"/>
      </w:rPr>
      <w:instrText xml:space="preserve">PAGE  </w:instrText>
    </w:r>
    <w:r>
      <w:fldChar w:fldCharType="separate"/>
    </w:r>
    <w:r>
      <w:rPr>
        <w:rStyle w:val="42"/>
      </w:rPr>
      <w:t>1</w:t>
    </w:r>
    <w:r>
      <w:fldChar w:fldCharType="end"/>
    </w:r>
  </w:p>
  <w:p>
    <w:pPr>
      <w:pStyle w:val="2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360" w:lineRule="exact"/>
      <w:rPr>
        <w:color w:val="000000"/>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3E263E"/>
    <w:multiLevelType w:val="singleLevel"/>
    <w:tmpl w:val="583E263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208"/>
    <w:rsid w:val="00000323"/>
    <w:rsid w:val="00000595"/>
    <w:rsid w:val="00000605"/>
    <w:rsid w:val="000007B0"/>
    <w:rsid w:val="0000094F"/>
    <w:rsid w:val="00000AC3"/>
    <w:rsid w:val="00000EED"/>
    <w:rsid w:val="00001278"/>
    <w:rsid w:val="00001384"/>
    <w:rsid w:val="00002BB2"/>
    <w:rsid w:val="00003285"/>
    <w:rsid w:val="00003817"/>
    <w:rsid w:val="00003A6B"/>
    <w:rsid w:val="000046B2"/>
    <w:rsid w:val="000047FE"/>
    <w:rsid w:val="0000485F"/>
    <w:rsid w:val="00006458"/>
    <w:rsid w:val="00006A7C"/>
    <w:rsid w:val="00007296"/>
    <w:rsid w:val="000075F5"/>
    <w:rsid w:val="00010B0B"/>
    <w:rsid w:val="0001188E"/>
    <w:rsid w:val="00011CC3"/>
    <w:rsid w:val="00011E2B"/>
    <w:rsid w:val="000128EE"/>
    <w:rsid w:val="00013200"/>
    <w:rsid w:val="000132CA"/>
    <w:rsid w:val="00013641"/>
    <w:rsid w:val="00013BB7"/>
    <w:rsid w:val="0001500B"/>
    <w:rsid w:val="00015959"/>
    <w:rsid w:val="00015A68"/>
    <w:rsid w:val="00015CEB"/>
    <w:rsid w:val="000169B5"/>
    <w:rsid w:val="00017BCC"/>
    <w:rsid w:val="00020428"/>
    <w:rsid w:val="00021250"/>
    <w:rsid w:val="000212B3"/>
    <w:rsid w:val="000221E6"/>
    <w:rsid w:val="00022738"/>
    <w:rsid w:val="00022E49"/>
    <w:rsid w:val="000236BB"/>
    <w:rsid w:val="000247AA"/>
    <w:rsid w:val="00024EBB"/>
    <w:rsid w:val="0002502D"/>
    <w:rsid w:val="00025C8C"/>
    <w:rsid w:val="00026086"/>
    <w:rsid w:val="0002747C"/>
    <w:rsid w:val="00027990"/>
    <w:rsid w:val="0003006D"/>
    <w:rsid w:val="00030BDA"/>
    <w:rsid w:val="0003200B"/>
    <w:rsid w:val="00033262"/>
    <w:rsid w:val="0003407F"/>
    <w:rsid w:val="00034706"/>
    <w:rsid w:val="0003479F"/>
    <w:rsid w:val="00034B32"/>
    <w:rsid w:val="00034B8B"/>
    <w:rsid w:val="00035454"/>
    <w:rsid w:val="00035A0E"/>
    <w:rsid w:val="00035B45"/>
    <w:rsid w:val="00035F9D"/>
    <w:rsid w:val="00036036"/>
    <w:rsid w:val="00036722"/>
    <w:rsid w:val="00036FF0"/>
    <w:rsid w:val="000377CC"/>
    <w:rsid w:val="000378E4"/>
    <w:rsid w:val="000379AF"/>
    <w:rsid w:val="00037FC2"/>
    <w:rsid w:val="000404E4"/>
    <w:rsid w:val="00042E57"/>
    <w:rsid w:val="00043461"/>
    <w:rsid w:val="000443E6"/>
    <w:rsid w:val="0004476B"/>
    <w:rsid w:val="00044BBD"/>
    <w:rsid w:val="000451B4"/>
    <w:rsid w:val="0004707B"/>
    <w:rsid w:val="00047149"/>
    <w:rsid w:val="000473C1"/>
    <w:rsid w:val="000503CB"/>
    <w:rsid w:val="00051405"/>
    <w:rsid w:val="00051803"/>
    <w:rsid w:val="00052545"/>
    <w:rsid w:val="00052B3A"/>
    <w:rsid w:val="00052B66"/>
    <w:rsid w:val="00052F8F"/>
    <w:rsid w:val="00053340"/>
    <w:rsid w:val="00053D9F"/>
    <w:rsid w:val="000541A9"/>
    <w:rsid w:val="0005437C"/>
    <w:rsid w:val="000546A5"/>
    <w:rsid w:val="00054D26"/>
    <w:rsid w:val="00054E21"/>
    <w:rsid w:val="0005514B"/>
    <w:rsid w:val="000554E8"/>
    <w:rsid w:val="00055862"/>
    <w:rsid w:val="000568F0"/>
    <w:rsid w:val="00056969"/>
    <w:rsid w:val="00056C04"/>
    <w:rsid w:val="00056EDA"/>
    <w:rsid w:val="000573E4"/>
    <w:rsid w:val="000613F4"/>
    <w:rsid w:val="00061DD2"/>
    <w:rsid w:val="0006232A"/>
    <w:rsid w:val="00062406"/>
    <w:rsid w:val="00062BDB"/>
    <w:rsid w:val="00062E5C"/>
    <w:rsid w:val="00063A01"/>
    <w:rsid w:val="00063A9D"/>
    <w:rsid w:val="000641A5"/>
    <w:rsid w:val="00064FA3"/>
    <w:rsid w:val="00065FD4"/>
    <w:rsid w:val="00067345"/>
    <w:rsid w:val="00067CDA"/>
    <w:rsid w:val="00070113"/>
    <w:rsid w:val="00070143"/>
    <w:rsid w:val="00070724"/>
    <w:rsid w:val="0007098C"/>
    <w:rsid w:val="00070FF0"/>
    <w:rsid w:val="000718F9"/>
    <w:rsid w:val="00073953"/>
    <w:rsid w:val="00075CF9"/>
    <w:rsid w:val="00076154"/>
    <w:rsid w:val="000762D1"/>
    <w:rsid w:val="000767F3"/>
    <w:rsid w:val="00076E33"/>
    <w:rsid w:val="000773C0"/>
    <w:rsid w:val="00077F11"/>
    <w:rsid w:val="00080301"/>
    <w:rsid w:val="000806D8"/>
    <w:rsid w:val="00081037"/>
    <w:rsid w:val="000817E4"/>
    <w:rsid w:val="00082A4D"/>
    <w:rsid w:val="0008327B"/>
    <w:rsid w:val="00083397"/>
    <w:rsid w:val="00085A44"/>
    <w:rsid w:val="000862FE"/>
    <w:rsid w:val="000864F8"/>
    <w:rsid w:val="000868D6"/>
    <w:rsid w:val="00087010"/>
    <w:rsid w:val="000870C9"/>
    <w:rsid w:val="00087774"/>
    <w:rsid w:val="00087823"/>
    <w:rsid w:val="00087C5E"/>
    <w:rsid w:val="00090D63"/>
    <w:rsid w:val="00090E12"/>
    <w:rsid w:val="00092617"/>
    <w:rsid w:val="00092A60"/>
    <w:rsid w:val="00093E48"/>
    <w:rsid w:val="00094350"/>
    <w:rsid w:val="000943DB"/>
    <w:rsid w:val="0009506C"/>
    <w:rsid w:val="000951F9"/>
    <w:rsid w:val="000956AA"/>
    <w:rsid w:val="00095807"/>
    <w:rsid w:val="00095AF7"/>
    <w:rsid w:val="00095EB7"/>
    <w:rsid w:val="0009620D"/>
    <w:rsid w:val="00096376"/>
    <w:rsid w:val="00096930"/>
    <w:rsid w:val="00096F05"/>
    <w:rsid w:val="00097096"/>
    <w:rsid w:val="00097E8D"/>
    <w:rsid w:val="000A0140"/>
    <w:rsid w:val="000A04B1"/>
    <w:rsid w:val="000A059B"/>
    <w:rsid w:val="000A06D3"/>
    <w:rsid w:val="000A083B"/>
    <w:rsid w:val="000A12A8"/>
    <w:rsid w:val="000A13EB"/>
    <w:rsid w:val="000A17AF"/>
    <w:rsid w:val="000A1864"/>
    <w:rsid w:val="000A2087"/>
    <w:rsid w:val="000A3A12"/>
    <w:rsid w:val="000A41CA"/>
    <w:rsid w:val="000A45ED"/>
    <w:rsid w:val="000A4860"/>
    <w:rsid w:val="000A4B5C"/>
    <w:rsid w:val="000A4CC1"/>
    <w:rsid w:val="000A4F6C"/>
    <w:rsid w:val="000A5060"/>
    <w:rsid w:val="000A519C"/>
    <w:rsid w:val="000A579F"/>
    <w:rsid w:val="000A5938"/>
    <w:rsid w:val="000A7BFD"/>
    <w:rsid w:val="000A7C51"/>
    <w:rsid w:val="000A7EAB"/>
    <w:rsid w:val="000A7FED"/>
    <w:rsid w:val="000B18AD"/>
    <w:rsid w:val="000B1938"/>
    <w:rsid w:val="000B2CAD"/>
    <w:rsid w:val="000B305B"/>
    <w:rsid w:val="000B3D24"/>
    <w:rsid w:val="000B44BE"/>
    <w:rsid w:val="000B473C"/>
    <w:rsid w:val="000B4EA6"/>
    <w:rsid w:val="000B4EF4"/>
    <w:rsid w:val="000B52E1"/>
    <w:rsid w:val="000B583C"/>
    <w:rsid w:val="000B5A8F"/>
    <w:rsid w:val="000B7AA6"/>
    <w:rsid w:val="000C11EB"/>
    <w:rsid w:val="000C3535"/>
    <w:rsid w:val="000C3689"/>
    <w:rsid w:val="000C3A9E"/>
    <w:rsid w:val="000C3BE5"/>
    <w:rsid w:val="000C42D2"/>
    <w:rsid w:val="000C4796"/>
    <w:rsid w:val="000C48CC"/>
    <w:rsid w:val="000C49CA"/>
    <w:rsid w:val="000C49DF"/>
    <w:rsid w:val="000C4A2D"/>
    <w:rsid w:val="000C6DFB"/>
    <w:rsid w:val="000D13E4"/>
    <w:rsid w:val="000D2A0E"/>
    <w:rsid w:val="000D2B39"/>
    <w:rsid w:val="000D32DC"/>
    <w:rsid w:val="000D40E4"/>
    <w:rsid w:val="000D4167"/>
    <w:rsid w:val="000D456D"/>
    <w:rsid w:val="000D4F92"/>
    <w:rsid w:val="000D6411"/>
    <w:rsid w:val="000D69CD"/>
    <w:rsid w:val="000D6EB8"/>
    <w:rsid w:val="000D7563"/>
    <w:rsid w:val="000E09CE"/>
    <w:rsid w:val="000E0A03"/>
    <w:rsid w:val="000E1533"/>
    <w:rsid w:val="000E3B6F"/>
    <w:rsid w:val="000E4728"/>
    <w:rsid w:val="000E4779"/>
    <w:rsid w:val="000E4CE7"/>
    <w:rsid w:val="000E4D08"/>
    <w:rsid w:val="000E51E8"/>
    <w:rsid w:val="000E5F64"/>
    <w:rsid w:val="000E701C"/>
    <w:rsid w:val="000F05A4"/>
    <w:rsid w:val="000F0992"/>
    <w:rsid w:val="000F0E75"/>
    <w:rsid w:val="000F0EC8"/>
    <w:rsid w:val="000F1167"/>
    <w:rsid w:val="000F1E31"/>
    <w:rsid w:val="000F3BC4"/>
    <w:rsid w:val="000F3E96"/>
    <w:rsid w:val="000F4591"/>
    <w:rsid w:val="000F474A"/>
    <w:rsid w:val="000F5DE1"/>
    <w:rsid w:val="000F6FEB"/>
    <w:rsid w:val="000F75DD"/>
    <w:rsid w:val="001000F7"/>
    <w:rsid w:val="00101646"/>
    <w:rsid w:val="00101AE3"/>
    <w:rsid w:val="001033CF"/>
    <w:rsid w:val="0010392D"/>
    <w:rsid w:val="00103FCF"/>
    <w:rsid w:val="0010677F"/>
    <w:rsid w:val="001068FA"/>
    <w:rsid w:val="00107952"/>
    <w:rsid w:val="00107C28"/>
    <w:rsid w:val="00107EDB"/>
    <w:rsid w:val="00110E1D"/>
    <w:rsid w:val="00110E2D"/>
    <w:rsid w:val="001117D7"/>
    <w:rsid w:val="00111CD5"/>
    <w:rsid w:val="00111F2B"/>
    <w:rsid w:val="001127BE"/>
    <w:rsid w:val="001128F2"/>
    <w:rsid w:val="00112FA6"/>
    <w:rsid w:val="0011368F"/>
    <w:rsid w:val="0011461E"/>
    <w:rsid w:val="00114790"/>
    <w:rsid w:val="00115141"/>
    <w:rsid w:val="00115449"/>
    <w:rsid w:val="001155C1"/>
    <w:rsid w:val="0011642B"/>
    <w:rsid w:val="00116794"/>
    <w:rsid w:val="00117F5D"/>
    <w:rsid w:val="001203B0"/>
    <w:rsid w:val="001206B0"/>
    <w:rsid w:val="0012094C"/>
    <w:rsid w:val="00120DA2"/>
    <w:rsid w:val="00121048"/>
    <w:rsid w:val="00121685"/>
    <w:rsid w:val="001232D5"/>
    <w:rsid w:val="00123865"/>
    <w:rsid w:val="00123F20"/>
    <w:rsid w:val="0012417F"/>
    <w:rsid w:val="00124627"/>
    <w:rsid w:val="00124831"/>
    <w:rsid w:val="00124DD8"/>
    <w:rsid w:val="00125114"/>
    <w:rsid w:val="0012525D"/>
    <w:rsid w:val="00125875"/>
    <w:rsid w:val="00126FEC"/>
    <w:rsid w:val="00130CC1"/>
    <w:rsid w:val="001317C3"/>
    <w:rsid w:val="0013185C"/>
    <w:rsid w:val="001325F0"/>
    <w:rsid w:val="00132BBD"/>
    <w:rsid w:val="0013301C"/>
    <w:rsid w:val="001341AE"/>
    <w:rsid w:val="001347ED"/>
    <w:rsid w:val="001349AB"/>
    <w:rsid w:val="00134F84"/>
    <w:rsid w:val="0013549D"/>
    <w:rsid w:val="001354F8"/>
    <w:rsid w:val="00136379"/>
    <w:rsid w:val="0013783B"/>
    <w:rsid w:val="00140462"/>
    <w:rsid w:val="001407A6"/>
    <w:rsid w:val="00140FDE"/>
    <w:rsid w:val="00142A1E"/>
    <w:rsid w:val="00143005"/>
    <w:rsid w:val="0014348C"/>
    <w:rsid w:val="00144103"/>
    <w:rsid w:val="00144CD6"/>
    <w:rsid w:val="0014517A"/>
    <w:rsid w:val="00145F0A"/>
    <w:rsid w:val="001461D7"/>
    <w:rsid w:val="0014734B"/>
    <w:rsid w:val="00150D21"/>
    <w:rsid w:val="001512D9"/>
    <w:rsid w:val="00152037"/>
    <w:rsid w:val="00152077"/>
    <w:rsid w:val="00152C8C"/>
    <w:rsid w:val="00152D88"/>
    <w:rsid w:val="0015341E"/>
    <w:rsid w:val="0015362D"/>
    <w:rsid w:val="00154104"/>
    <w:rsid w:val="00154952"/>
    <w:rsid w:val="00157079"/>
    <w:rsid w:val="00157D67"/>
    <w:rsid w:val="00157F8F"/>
    <w:rsid w:val="00160CAA"/>
    <w:rsid w:val="001622E8"/>
    <w:rsid w:val="00162CFA"/>
    <w:rsid w:val="0016310A"/>
    <w:rsid w:val="00163191"/>
    <w:rsid w:val="0016402F"/>
    <w:rsid w:val="001645C3"/>
    <w:rsid w:val="001649F7"/>
    <w:rsid w:val="001653B6"/>
    <w:rsid w:val="00165CAA"/>
    <w:rsid w:val="001670B2"/>
    <w:rsid w:val="00167AD5"/>
    <w:rsid w:val="00167BF7"/>
    <w:rsid w:val="00170ED0"/>
    <w:rsid w:val="00170EF9"/>
    <w:rsid w:val="00171B74"/>
    <w:rsid w:val="00174480"/>
    <w:rsid w:val="00175314"/>
    <w:rsid w:val="00175800"/>
    <w:rsid w:val="00176356"/>
    <w:rsid w:val="00176F2B"/>
    <w:rsid w:val="001770AB"/>
    <w:rsid w:val="001771F9"/>
    <w:rsid w:val="00177815"/>
    <w:rsid w:val="00177BA3"/>
    <w:rsid w:val="0018082E"/>
    <w:rsid w:val="00180BFA"/>
    <w:rsid w:val="001812CB"/>
    <w:rsid w:val="001814B3"/>
    <w:rsid w:val="00181711"/>
    <w:rsid w:val="00181C64"/>
    <w:rsid w:val="001828DA"/>
    <w:rsid w:val="00182A32"/>
    <w:rsid w:val="00182D07"/>
    <w:rsid w:val="00183059"/>
    <w:rsid w:val="00183113"/>
    <w:rsid w:val="0018397F"/>
    <w:rsid w:val="00183CC4"/>
    <w:rsid w:val="00183D3B"/>
    <w:rsid w:val="00183D3F"/>
    <w:rsid w:val="00186736"/>
    <w:rsid w:val="00186B53"/>
    <w:rsid w:val="00186E8D"/>
    <w:rsid w:val="001879B4"/>
    <w:rsid w:val="00190C77"/>
    <w:rsid w:val="00191C1E"/>
    <w:rsid w:val="00191F4C"/>
    <w:rsid w:val="001920C2"/>
    <w:rsid w:val="00193348"/>
    <w:rsid w:val="00193F72"/>
    <w:rsid w:val="001969CA"/>
    <w:rsid w:val="00196AEE"/>
    <w:rsid w:val="00197607"/>
    <w:rsid w:val="00197BEB"/>
    <w:rsid w:val="001A194C"/>
    <w:rsid w:val="001A22EB"/>
    <w:rsid w:val="001A246A"/>
    <w:rsid w:val="001A289F"/>
    <w:rsid w:val="001A2911"/>
    <w:rsid w:val="001A2BD9"/>
    <w:rsid w:val="001A38C4"/>
    <w:rsid w:val="001A3D83"/>
    <w:rsid w:val="001A45F5"/>
    <w:rsid w:val="001A4919"/>
    <w:rsid w:val="001A65E0"/>
    <w:rsid w:val="001A6E29"/>
    <w:rsid w:val="001A73AD"/>
    <w:rsid w:val="001A7AD3"/>
    <w:rsid w:val="001A7C51"/>
    <w:rsid w:val="001A7E5E"/>
    <w:rsid w:val="001B016B"/>
    <w:rsid w:val="001B13CF"/>
    <w:rsid w:val="001B144C"/>
    <w:rsid w:val="001B2760"/>
    <w:rsid w:val="001B3526"/>
    <w:rsid w:val="001B4E16"/>
    <w:rsid w:val="001B4FB9"/>
    <w:rsid w:val="001B5693"/>
    <w:rsid w:val="001B581E"/>
    <w:rsid w:val="001B5C71"/>
    <w:rsid w:val="001B5E17"/>
    <w:rsid w:val="001B6807"/>
    <w:rsid w:val="001B6DA0"/>
    <w:rsid w:val="001B6E8F"/>
    <w:rsid w:val="001B713E"/>
    <w:rsid w:val="001C12C7"/>
    <w:rsid w:val="001C1BC8"/>
    <w:rsid w:val="001C1EF6"/>
    <w:rsid w:val="001C2B3F"/>
    <w:rsid w:val="001C4C5D"/>
    <w:rsid w:val="001C5034"/>
    <w:rsid w:val="001C53CB"/>
    <w:rsid w:val="001C598E"/>
    <w:rsid w:val="001C5C48"/>
    <w:rsid w:val="001C63E7"/>
    <w:rsid w:val="001C7166"/>
    <w:rsid w:val="001C7526"/>
    <w:rsid w:val="001D06EF"/>
    <w:rsid w:val="001D1A3F"/>
    <w:rsid w:val="001D220A"/>
    <w:rsid w:val="001D4494"/>
    <w:rsid w:val="001D47A9"/>
    <w:rsid w:val="001D4C16"/>
    <w:rsid w:val="001D6232"/>
    <w:rsid w:val="001D62D3"/>
    <w:rsid w:val="001D7017"/>
    <w:rsid w:val="001E03D4"/>
    <w:rsid w:val="001E1089"/>
    <w:rsid w:val="001E1177"/>
    <w:rsid w:val="001E19F0"/>
    <w:rsid w:val="001E1BEF"/>
    <w:rsid w:val="001E1C6A"/>
    <w:rsid w:val="001E258D"/>
    <w:rsid w:val="001E2E2C"/>
    <w:rsid w:val="001E3347"/>
    <w:rsid w:val="001E41AE"/>
    <w:rsid w:val="001E41CF"/>
    <w:rsid w:val="001E462F"/>
    <w:rsid w:val="001E5089"/>
    <w:rsid w:val="001E55D1"/>
    <w:rsid w:val="001E57CA"/>
    <w:rsid w:val="001E588A"/>
    <w:rsid w:val="001E6027"/>
    <w:rsid w:val="001E733B"/>
    <w:rsid w:val="001E73A7"/>
    <w:rsid w:val="001F0D3F"/>
    <w:rsid w:val="001F1051"/>
    <w:rsid w:val="001F2C64"/>
    <w:rsid w:val="001F3669"/>
    <w:rsid w:val="001F466A"/>
    <w:rsid w:val="001F4C1D"/>
    <w:rsid w:val="001F524E"/>
    <w:rsid w:val="001F5453"/>
    <w:rsid w:val="001F5971"/>
    <w:rsid w:val="001F62B4"/>
    <w:rsid w:val="001F6D45"/>
    <w:rsid w:val="001F702B"/>
    <w:rsid w:val="001F754B"/>
    <w:rsid w:val="001F7960"/>
    <w:rsid w:val="001F7E8E"/>
    <w:rsid w:val="001F7E90"/>
    <w:rsid w:val="002010D6"/>
    <w:rsid w:val="002018A9"/>
    <w:rsid w:val="00201D27"/>
    <w:rsid w:val="0020234F"/>
    <w:rsid w:val="00202A8F"/>
    <w:rsid w:val="00203319"/>
    <w:rsid w:val="00204F56"/>
    <w:rsid w:val="00205115"/>
    <w:rsid w:val="002051DE"/>
    <w:rsid w:val="00205673"/>
    <w:rsid w:val="00205948"/>
    <w:rsid w:val="0020609D"/>
    <w:rsid w:val="002064DB"/>
    <w:rsid w:val="00206942"/>
    <w:rsid w:val="0020704D"/>
    <w:rsid w:val="00207EF1"/>
    <w:rsid w:val="00210859"/>
    <w:rsid w:val="00213BAB"/>
    <w:rsid w:val="00214703"/>
    <w:rsid w:val="002201A2"/>
    <w:rsid w:val="00220943"/>
    <w:rsid w:val="002217A7"/>
    <w:rsid w:val="00222ACC"/>
    <w:rsid w:val="00222C75"/>
    <w:rsid w:val="00223438"/>
    <w:rsid w:val="00223465"/>
    <w:rsid w:val="0022638C"/>
    <w:rsid w:val="00226DA6"/>
    <w:rsid w:val="00227920"/>
    <w:rsid w:val="0023035D"/>
    <w:rsid w:val="002304CA"/>
    <w:rsid w:val="00230EE0"/>
    <w:rsid w:val="002310A3"/>
    <w:rsid w:val="002312F1"/>
    <w:rsid w:val="002333DB"/>
    <w:rsid w:val="00233C19"/>
    <w:rsid w:val="0023464A"/>
    <w:rsid w:val="00234F0B"/>
    <w:rsid w:val="002357CE"/>
    <w:rsid w:val="00235D01"/>
    <w:rsid w:val="00236B91"/>
    <w:rsid w:val="00236F05"/>
    <w:rsid w:val="00237082"/>
    <w:rsid w:val="00237146"/>
    <w:rsid w:val="00237D4D"/>
    <w:rsid w:val="0024053D"/>
    <w:rsid w:val="00240B08"/>
    <w:rsid w:val="002410FF"/>
    <w:rsid w:val="0024322E"/>
    <w:rsid w:val="00244023"/>
    <w:rsid w:val="00245C8A"/>
    <w:rsid w:val="002467D4"/>
    <w:rsid w:val="0024685E"/>
    <w:rsid w:val="00246DF5"/>
    <w:rsid w:val="002505A2"/>
    <w:rsid w:val="00251326"/>
    <w:rsid w:val="002514E4"/>
    <w:rsid w:val="00251BE5"/>
    <w:rsid w:val="00251E0A"/>
    <w:rsid w:val="00251E7D"/>
    <w:rsid w:val="00253FF8"/>
    <w:rsid w:val="0025518D"/>
    <w:rsid w:val="00255501"/>
    <w:rsid w:val="00257728"/>
    <w:rsid w:val="0026135D"/>
    <w:rsid w:val="00261540"/>
    <w:rsid w:val="00261F4B"/>
    <w:rsid w:val="0026295C"/>
    <w:rsid w:val="00262F13"/>
    <w:rsid w:val="002630C2"/>
    <w:rsid w:val="0026310B"/>
    <w:rsid w:val="002644F3"/>
    <w:rsid w:val="00265E71"/>
    <w:rsid w:val="0026605D"/>
    <w:rsid w:val="00266718"/>
    <w:rsid w:val="00266BBB"/>
    <w:rsid w:val="00266BE4"/>
    <w:rsid w:val="00271A3A"/>
    <w:rsid w:val="00271C57"/>
    <w:rsid w:val="00271DF5"/>
    <w:rsid w:val="002735E0"/>
    <w:rsid w:val="00276696"/>
    <w:rsid w:val="00276D8A"/>
    <w:rsid w:val="002774B7"/>
    <w:rsid w:val="00280017"/>
    <w:rsid w:val="0028139E"/>
    <w:rsid w:val="00281559"/>
    <w:rsid w:val="00281775"/>
    <w:rsid w:val="002818C2"/>
    <w:rsid w:val="00281B5D"/>
    <w:rsid w:val="002834D9"/>
    <w:rsid w:val="00283CCA"/>
    <w:rsid w:val="002845D0"/>
    <w:rsid w:val="00284D90"/>
    <w:rsid w:val="00284E61"/>
    <w:rsid w:val="002851A6"/>
    <w:rsid w:val="002860C1"/>
    <w:rsid w:val="002862E8"/>
    <w:rsid w:val="00287064"/>
    <w:rsid w:val="00290863"/>
    <w:rsid w:val="00290907"/>
    <w:rsid w:val="00290F84"/>
    <w:rsid w:val="0029143C"/>
    <w:rsid w:val="00291E24"/>
    <w:rsid w:val="00292060"/>
    <w:rsid w:val="00292A7A"/>
    <w:rsid w:val="002934C5"/>
    <w:rsid w:val="0029354F"/>
    <w:rsid w:val="002935E6"/>
    <w:rsid w:val="00293BF6"/>
    <w:rsid w:val="00295758"/>
    <w:rsid w:val="00295EFA"/>
    <w:rsid w:val="00296542"/>
    <w:rsid w:val="00296754"/>
    <w:rsid w:val="00296858"/>
    <w:rsid w:val="00296B7C"/>
    <w:rsid w:val="00296C17"/>
    <w:rsid w:val="00297678"/>
    <w:rsid w:val="002979E6"/>
    <w:rsid w:val="002A06A1"/>
    <w:rsid w:val="002A0B1F"/>
    <w:rsid w:val="002A0C6A"/>
    <w:rsid w:val="002A1867"/>
    <w:rsid w:val="002A1BC1"/>
    <w:rsid w:val="002A29E2"/>
    <w:rsid w:val="002A3EDF"/>
    <w:rsid w:val="002A3FC6"/>
    <w:rsid w:val="002A403A"/>
    <w:rsid w:val="002A5605"/>
    <w:rsid w:val="002A5679"/>
    <w:rsid w:val="002A5788"/>
    <w:rsid w:val="002A6979"/>
    <w:rsid w:val="002A6F2E"/>
    <w:rsid w:val="002A7815"/>
    <w:rsid w:val="002A7D7B"/>
    <w:rsid w:val="002B09AF"/>
    <w:rsid w:val="002B0E75"/>
    <w:rsid w:val="002B225B"/>
    <w:rsid w:val="002B31E4"/>
    <w:rsid w:val="002B3471"/>
    <w:rsid w:val="002B3BC2"/>
    <w:rsid w:val="002B3C08"/>
    <w:rsid w:val="002B5CCB"/>
    <w:rsid w:val="002B62D8"/>
    <w:rsid w:val="002B7829"/>
    <w:rsid w:val="002C0F88"/>
    <w:rsid w:val="002C286E"/>
    <w:rsid w:val="002C3211"/>
    <w:rsid w:val="002C342C"/>
    <w:rsid w:val="002C43D3"/>
    <w:rsid w:val="002C4C96"/>
    <w:rsid w:val="002C5035"/>
    <w:rsid w:val="002C56FC"/>
    <w:rsid w:val="002C5B71"/>
    <w:rsid w:val="002C5DAA"/>
    <w:rsid w:val="002C61B3"/>
    <w:rsid w:val="002C6244"/>
    <w:rsid w:val="002C69D8"/>
    <w:rsid w:val="002C6BF8"/>
    <w:rsid w:val="002C737A"/>
    <w:rsid w:val="002C73DF"/>
    <w:rsid w:val="002C75E1"/>
    <w:rsid w:val="002D0C22"/>
    <w:rsid w:val="002D0C9B"/>
    <w:rsid w:val="002D33A5"/>
    <w:rsid w:val="002D56AB"/>
    <w:rsid w:val="002D6662"/>
    <w:rsid w:val="002D6691"/>
    <w:rsid w:val="002D73D6"/>
    <w:rsid w:val="002D7A67"/>
    <w:rsid w:val="002E053B"/>
    <w:rsid w:val="002E0D30"/>
    <w:rsid w:val="002E322D"/>
    <w:rsid w:val="002E3271"/>
    <w:rsid w:val="002E52BE"/>
    <w:rsid w:val="002E5CB6"/>
    <w:rsid w:val="002E5CCA"/>
    <w:rsid w:val="002E622E"/>
    <w:rsid w:val="002E7C27"/>
    <w:rsid w:val="002F0497"/>
    <w:rsid w:val="002F2E80"/>
    <w:rsid w:val="002F2F99"/>
    <w:rsid w:val="002F3283"/>
    <w:rsid w:val="002F47BF"/>
    <w:rsid w:val="002F5243"/>
    <w:rsid w:val="002F5994"/>
    <w:rsid w:val="002F5A0C"/>
    <w:rsid w:val="002F64D2"/>
    <w:rsid w:val="002F66E6"/>
    <w:rsid w:val="002F67EB"/>
    <w:rsid w:val="002F7252"/>
    <w:rsid w:val="00300060"/>
    <w:rsid w:val="00301846"/>
    <w:rsid w:val="00302770"/>
    <w:rsid w:val="00303A88"/>
    <w:rsid w:val="00303E8B"/>
    <w:rsid w:val="00305AA7"/>
    <w:rsid w:val="00305D3F"/>
    <w:rsid w:val="0030602B"/>
    <w:rsid w:val="003061C3"/>
    <w:rsid w:val="003061DE"/>
    <w:rsid w:val="0031142D"/>
    <w:rsid w:val="0031185B"/>
    <w:rsid w:val="00311D34"/>
    <w:rsid w:val="00313300"/>
    <w:rsid w:val="00313B8D"/>
    <w:rsid w:val="00313DFA"/>
    <w:rsid w:val="00314D2F"/>
    <w:rsid w:val="00316509"/>
    <w:rsid w:val="00316BA6"/>
    <w:rsid w:val="00316DE4"/>
    <w:rsid w:val="003171BE"/>
    <w:rsid w:val="003204C1"/>
    <w:rsid w:val="003223E8"/>
    <w:rsid w:val="003228C0"/>
    <w:rsid w:val="00323439"/>
    <w:rsid w:val="003248DE"/>
    <w:rsid w:val="00324D9C"/>
    <w:rsid w:val="00325586"/>
    <w:rsid w:val="00327CCF"/>
    <w:rsid w:val="00330815"/>
    <w:rsid w:val="0033089B"/>
    <w:rsid w:val="00330AB7"/>
    <w:rsid w:val="00330C85"/>
    <w:rsid w:val="00331665"/>
    <w:rsid w:val="00331696"/>
    <w:rsid w:val="003326C6"/>
    <w:rsid w:val="00333369"/>
    <w:rsid w:val="0033353F"/>
    <w:rsid w:val="003340FB"/>
    <w:rsid w:val="0033563A"/>
    <w:rsid w:val="00335D6C"/>
    <w:rsid w:val="00336357"/>
    <w:rsid w:val="003367C2"/>
    <w:rsid w:val="003367D2"/>
    <w:rsid w:val="00336A56"/>
    <w:rsid w:val="00336AA0"/>
    <w:rsid w:val="0033770E"/>
    <w:rsid w:val="00337F04"/>
    <w:rsid w:val="00340699"/>
    <w:rsid w:val="003408F8"/>
    <w:rsid w:val="00342149"/>
    <w:rsid w:val="00342D96"/>
    <w:rsid w:val="00342E33"/>
    <w:rsid w:val="003436FF"/>
    <w:rsid w:val="00343A05"/>
    <w:rsid w:val="00343A6E"/>
    <w:rsid w:val="00343CEA"/>
    <w:rsid w:val="003442FE"/>
    <w:rsid w:val="00345C03"/>
    <w:rsid w:val="00346040"/>
    <w:rsid w:val="003460ED"/>
    <w:rsid w:val="00346938"/>
    <w:rsid w:val="00346959"/>
    <w:rsid w:val="00347F8A"/>
    <w:rsid w:val="003508A0"/>
    <w:rsid w:val="00350CF7"/>
    <w:rsid w:val="003515CE"/>
    <w:rsid w:val="00352B0A"/>
    <w:rsid w:val="00352B24"/>
    <w:rsid w:val="00354243"/>
    <w:rsid w:val="003557C3"/>
    <w:rsid w:val="003557FA"/>
    <w:rsid w:val="003558AA"/>
    <w:rsid w:val="00355DC8"/>
    <w:rsid w:val="0035620D"/>
    <w:rsid w:val="003567E6"/>
    <w:rsid w:val="003572AC"/>
    <w:rsid w:val="00357C2C"/>
    <w:rsid w:val="00360193"/>
    <w:rsid w:val="00360681"/>
    <w:rsid w:val="00360D94"/>
    <w:rsid w:val="00360FD1"/>
    <w:rsid w:val="0036185A"/>
    <w:rsid w:val="00361F73"/>
    <w:rsid w:val="003622C6"/>
    <w:rsid w:val="00362951"/>
    <w:rsid w:val="00363837"/>
    <w:rsid w:val="00363C04"/>
    <w:rsid w:val="00364BCF"/>
    <w:rsid w:val="00365C6D"/>
    <w:rsid w:val="00366337"/>
    <w:rsid w:val="00366373"/>
    <w:rsid w:val="003672E6"/>
    <w:rsid w:val="00370C7A"/>
    <w:rsid w:val="0037100A"/>
    <w:rsid w:val="00371259"/>
    <w:rsid w:val="003723A2"/>
    <w:rsid w:val="00372596"/>
    <w:rsid w:val="00372D13"/>
    <w:rsid w:val="0037315F"/>
    <w:rsid w:val="00374A90"/>
    <w:rsid w:val="00374E27"/>
    <w:rsid w:val="00375EB7"/>
    <w:rsid w:val="00375FE7"/>
    <w:rsid w:val="0037623F"/>
    <w:rsid w:val="00377ADF"/>
    <w:rsid w:val="00377AF9"/>
    <w:rsid w:val="00377CD3"/>
    <w:rsid w:val="00380162"/>
    <w:rsid w:val="0038020C"/>
    <w:rsid w:val="0038151F"/>
    <w:rsid w:val="0038176D"/>
    <w:rsid w:val="00381CA1"/>
    <w:rsid w:val="003823C6"/>
    <w:rsid w:val="00382BFD"/>
    <w:rsid w:val="00383647"/>
    <w:rsid w:val="003838D2"/>
    <w:rsid w:val="00383DD0"/>
    <w:rsid w:val="00384B87"/>
    <w:rsid w:val="0038503A"/>
    <w:rsid w:val="003857DE"/>
    <w:rsid w:val="003867FC"/>
    <w:rsid w:val="003874F5"/>
    <w:rsid w:val="00390762"/>
    <w:rsid w:val="003909DB"/>
    <w:rsid w:val="00390E75"/>
    <w:rsid w:val="00391054"/>
    <w:rsid w:val="00392982"/>
    <w:rsid w:val="00392B0B"/>
    <w:rsid w:val="00392DB3"/>
    <w:rsid w:val="00393ACA"/>
    <w:rsid w:val="00394600"/>
    <w:rsid w:val="00394E17"/>
    <w:rsid w:val="0039506A"/>
    <w:rsid w:val="00395501"/>
    <w:rsid w:val="00397956"/>
    <w:rsid w:val="003A01C1"/>
    <w:rsid w:val="003A0A7E"/>
    <w:rsid w:val="003A0F2E"/>
    <w:rsid w:val="003A0FFC"/>
    <w:rsid w:val="003A23BC"/>
    <w:rsid w:val="003A2AF7"/>
    <w:rsid w:val="003A3A1E"/>
    <w:rsid w:val="003A3B8D"/>
    <w:rsid w:val="003A5E23"/>
    <w:rsid w:val="003A6645"/>
    <w:rsid w:val="003B07AB"/>
    <w:rsid w:val="003B0A9F"/>
    <w:rsid w:val="003B2730"/>
    <w:rsid w:val="003B2ECA"/>
    <w:rsid w:val="003B59C2"/>
    <w:rsid w:val="003B641F"/>
    <w:rsid w:val="003B68F1"/>
    <w:rsid w:val="003B7C50"/>
    <w:rsid w:val="003C03FE"/>
    <w:rsid w:val="003C192D"/>
    <w:rsid w:val="003C22DF"/>
    <w:rsid w:val="003C2939"/>
    <w:rsid w:val="003C396E"/>
    <w:rsid w:val="003C4581"/>
    <w:rsid w:val="003C6EBE"/>
    <w:rsid w:val="003C7FBA"/>
    <w:rsid w:val="003D00B4"/>
    <w:rsid w:val="003D06BE"/>
    <w:rsid w:val="003D08E6"/>
    <w:rsid w:val="003D0C95"/>
    <w:rsid w:val="003D0DC3"/>
    <w:rsid w:val="003D11B8"/>
    <w:rsid w:val="003D18B1"/>
    <w:rsid w:val="003D1FCC"/>
    <w:rsid w:val="003D2510"/>
    <w:rsid w:val="003D255B"/>
    <w:rsid w:val="003D2762"/>
    <w:rsid w:val="003D2D77"/>
    <w:rsid w:val="003D6411"/>
    <w:rsid w:val="003D6963"/>
    <w:rsid w:val="003D75F4"/>
    <w:rsid w:val="003D7BEC"/>
    <w:rsid w:val="003D7E60"/>
    <w:rsid w:val="003E0604"/>
    <w:rsid w:val="003E0794"/>
    <w:rsid w:val="003E0911"/>
    <w:rsid w:val="003E0E68"/>
    <w:rsid w:val="003E16F8"/>
    <w:rsid w:val="003E1E0B"/>
    <w:rsid w:val="003E2314"/>
    <w:rsid w:val="003E398E"/>
    <w:rsid w:val="003E39D8"/>
    <w:rsid w:val="003E3E1F"/>
    <w:rsid w:val="003E465D"/>
    <w:rsid w:val="003E49DA"/>
    <w:rsid w:val="003E4B80"/>
    <w:rsid w:val="003E5702"/>
    <w:rsid w:val="003E5EDB"/>
    <w:rsid w:val="003E648F"/>
    <w:rsid w:val="003E685B"/>
    <w:rsid w:val="003E7EE7"/>
    <w:rsid w:val="003F0265"/>
    <w:rsid w:val="003F05A0"/>
    <w:rsid w:val="003F0962"/>
    <w:rsid w:val="003F2A84"/>
    <w:rsid w:val="003F4176"/>
    <w:rsid w:val="003F5C37"/>
    <w:rsid w:val="003F63F6"/>
    <w:rsid w:val="003F6C53"/>
    <w:rsid w:val="003F6EF2"/>
    <w:rsid w:val="003F7C3C"/>
    <w:rsid w:val="00400852"/>
    <w:rsid w:val="00400FBF"/>
    <w:rsid w:val="004013C1"/>
    <w:rsid w:val="00403845"/>
    <w:rsid w:val="00403D67"/>
    <w:rsid w:val="004040B2"/>
    <w:rsid w:val="0040436D"/>
    <w:rsid w:val="00404612"/>
    <w:rsid w:val="00405449"/>
    <w:rsid w:val="00405B79"/>
    <w:rsid w:val="00405C9D"/>
    <w:rsid w:val="00405EAA"/>
    <w:rsid w:val="00406ED2"/>
    <w:rsid w:val="00407059"/>
    <w:rsid w:val="00410302"/>
    <w:rsid w:val="004103CE"/>
    <w:rsid w:val="004105F1"/>
    <w:rsid w:val="004117F5"/>
    <w:rsid w:val="00411A6C"/>
    <w:rsid w:val="00412D41"/>
    <w:rsid w:val="00413B88"/>
    <w:rsid w:val="00414C44"/>
    <w:rsid w:val="00414EBB"/>
    <w:rsid w:val="00414ECC"/>
    <w:rsid w:val="00414ECD"/>
    <w:rsid w:val="00415396"/>
    <w:rsid w:val="00415C56"/>
    <w:rsid w:val="00417790"/>
    <w:rsid w:val="004213F7"/>
    <w:rsid w:val="00422799"/>
    <w:rsid w:val="00423F5D"/>
    <w:rsid w:val="00424349"/>
    <w:rsid w:val="00424C56"/>
    <w:rsid w:val="004253DD"/>
    <w:rsid w:val="004261B6"/>
    <w:rsid w:val="00426A09"/>
    <w:rsid w:val="0042725A"/>
    <w:rsid w:val="0043038F"/>
    <w:rsid w:val="00430CFA"/>
    <w:rsid w:val="00431BA8"/>
    <w:rsid w:val="00432CD8"/>
    <w:rsid w:val="004334D5"/>
    <w:rsid w:val="00433DDB"/>
    <w:rsid w:val="00434214"/>
    <w:rsid w:val="0043623D"/>
    <w:rsid w:val="00436479"/>
    <w:rsid w:val="00436E46"/>
    <w:rsid w:val="00437770"/>
    <w:rsid w:val="00437847"/>
    <w:rsid w:val="00437C6C"/>
    <w:rsid w:val="00437D55"/>
    <w:rsid w:val="0044017F"/>
    <w:rsid w:val="0044137F"/>
    <w:rsid w:val="00442612"/>
    <w:rsid w:val="004427B2"/>
    <w:rsid w:val="00443D10"/>
    <w:rsid w:val="0044408F"/>
    <w:rsid w:val="0044519A"/>
    <w:rsid w:val="004453EE"/>
    <w:rsid w:val="004461AD"/>
    <w:rsid w:val="004466B9"/>
    <w:rsid w:val="00446BE1"/>
    <w:rsid w:val="0044763E"/>
    <w:rsid w:val="00450837"/>
    <w:rsid w:val="004508EE"/>
    <w:rsid w:val="004511AE"/>
    <w:rsid w:val="00451577"/>
    <w:rsid w:val="00452A1C"/>
    <w:rsid w:val="0045356F"/>
    <w:rsid w:val="00454704"/>
    <w:rsid w:val="004547C9"/>
    <w:rsid w:val="0045541A"/>
    <w:rsid w:val="0045572E"/>
    <w:rsid w:val="00456061"/>
    <w:rsid w:val="00457372"/>
    <w:rsid w:val="00457DFB"/>
    <w:rsid w:val="004606C5"/>
    <w:rsid w:val="00460815"/>
    <w:rsid w:val="0046176F"/>
    <w:rsid w:val="0046195B"/>
    <w:rsid w:val="00461B00"/>
    <w:rsid w:val="00461D09"/>
    <w:rsid w:val="00461E01"/>
    <w:rsid w:val="0046280D"/>
    <w:rsid w:val="00463E9E"/>
    <w:rsid w:val="00464774"/>
    <w:rsid w:val="00465D86"/>
    <w:rsid w:val="00466344"/>
    <w:rsid w:val="004663E2"/>
    <w:rsid w:val="0046690A"/>
    <w:rsid w:val="00467A40"/>
    <w:rsid w:val="0047112D"/>
    <w:rsid w:val="00474109"/>
    <w:rsid w:val="004744CC"/>
    <w:rsid w:val="00475DE1"/>
    <w:rsid w:val="004770D5"/>
    <w:rsid w:val="00477F01"/>
    <w:rsid w:val="00477F55"/>
    <w:rsid w:val="004814E3"/>
    <w:rsid w:val="00482A03"/>
    <w:rsid w:val="00482A6E"/>
    <w:rsid w:val="00483D06"/>
    <w:rsid w:val="00484356"/>
    <w:rsid w:val="0048558E"/>
    <w:rsid w:val="00486652"/>
    <w:rsid w:val="00486A83"/>
    <w:rsid w:val="00490E8F"/>
    <w:rsid w:val="00491F93"/>
    <w:rsid w:val="00492C4C"/>
    <w:rsid w:val="00492D79"/>
    <w:rsid w:val="004939C6"/>
    <w:rsid w:val="0049519F"/>
    <w:rsid w:val="00496096"/>
    <w:rsid w:val="0049716C"/>
    <w:rsid w:val="004A036C"/>
    <w:rsid w:val="004A1494"/>
    <w:rsid w:val="004A2A83"/>
    <w:rsid w:val="004A3F5F"/>
    <w:rsid w:val="004A48B4"/>
    <w:rsid w:val="004A4991"/>
    <w:rsid w:val="004A58C0"/>
    <w:rsid w:val="004A6085"/>
    <w:rsid w:val="004A707F"/>
    <w:rsid w:val="004B05D9"/>
    <w:rsid w:val="004B1658"/>
    <w:rsid w:val="004B1E30"/>
    <w:rsid w:val="004B1F8E"/>
    <w:rsid w:val="004B2482"/>
    <w:rsid w:val="004B3110"/>
    <w:rsid w:val="004B3400"/>
    <w:rsid w:val="004B342D"/>
    <w:rsid w:val="004B45A9"/>
    <w:rsid w:val="004B52C6"/>
    <w:rsid w:val="004B5C7F"/>
    <w:rsid w:val="004B5F87"/>
    <w:rsid w:val="004B6561"/>
    <w:rsid w:val="004B70B1"/>
    <w:rsid w:val="004B71F9"/>
    <w:rsid w:val="004B749A"/>
    <w:rsid w:val="004B74EC"/>
    <w:rsid w:val="004B7C6B"/>
    <w:rsid w:val="004B7FF8"/>
    <w:rsid w:val="004C0490"/>
    <w:rsid w:val="004C09A5"/>
    <w:rsid w:val="004C126A"/>
    <w:rsid w:val="004C219E"/>
    <w:rsid w:val="004C2BD0"/>
    <w:rsid w:val="004C3B53"/>
    <w:rsid w:val="004C4D63"/>
    <w:rsid w:val="004C6610"/>
    <w:rsid w:val="004C661F"/>
    <w:rsid w:val="004C7906"/>
    <w:rsid w:val="004D01CC"/>
    <w:rsid w:val="004D03FB"/>
    <w:rsid w:val="004D0863"/>
    <w:rsid w:val="004D1BDC"/>
    <w:rsid w:val="004D1C47"/>
    <w:rsid w:val="004D1FA2"/>
    <w:rsid w:val="004D2857"/>
    <w:rsid w:val="004D2E63"/>
    <w:rsid w:val="004D3125"/>
    <w:rsid w:val="004D483D"/>
    <w:rsid w:val="004D4A4C"/>
    <w:rsid w:val="004D764E"/>
    <w:rsid w:val="004E0679"/>
    <w:rsid w:val="004E0803"/>
    <w:rsid w:val="004E142C"/>
    <w:rsid w:val="004E15CA"/>
    <w:rsid w:val="004E17BC"/>
    <w:rsid w:val="004E198A"/>
    <w:rsid w:val="004E277F"/>
    <w:rsid w:val="004E2891"/>
    <w:rsid w:val="004E33C4"/>
    <w:rsid w:val="004E3DF7"/>
    <w:rsid w:val="004E4EED"/>
    <w:rsid w:val="004E5373"/>
    <w:rsid w:val="004E545D"/>
    <w:rsid w:val="004E55ED"/>
    <w:rsid w:val="004E58ED"/>
    <w:rsid w:val="004E5B64"/>
    <w:rsid w:val="004E7374"/>
    <w:rsid w:val="004E7A41"/>
    <w:rsid w:val="004E7C5A"/>
    <w:rsid w:val="004E7D6A"/>
    <w:rsid w:val="004E7FCB"/>
    <w:rsid w:val="004F1008"/>
    <w:rsid w:val="004F117E"/>
    <w:rsid w:val="004F1600"/>
    <w:rsid w:val="004F171B"/>
    <w:rsid w:val="004F2006"/>
    <w:rsid w:val="004F2323"/>
    <w:rsid w:val="004F3029"/>
    <w:rsid w:val="004F3256"/>
    <w:rsid w:val="004F3353"/>
    <w:rsid w:val="004F3860"/>
    <w:rsid w:val="004F3CC9"/>
    <w:rsid w:val="004F3D25"/>
    <w:rsid w:val="004F418D"/>
    <w:rsid w:val="004F41AD"/>
    <w:rsid w:val="004F4390"/>
    <w:rsid w:val="004F4EA6"/>
    <w:rsid w:val="004F54F9"/>
    <w:rsid w:val="004F5C89"/>
    <w:rsid w:val="004F5F09"/>
    <w:rsid w:val="004F61D1"/>
    <w:rsid w:val="004F7347"/>
    <w:rsid w:val="0050158F"/>
    <w:rsid w:val="00501A7D"/>
    <w:rsid w:val="00502B1F"/>
    <w:rsid w:val="00502B51"/>
    <w:rsid w:val="00502F91"/>
    <w:rsid w:val="00502FE6"/>
    <w:rsid w:val="005033D4"/>
    <w:rsid w:val="00503800"/>
    <w:rsid w:val="00503D98"/>
    <w:rsid w:val="005052F8"/>
    <w:rsid w:val="005058F2"/>
    <w:rsid w:val="00505E19"/>
    <w:rsid w:val="00505FB0"/>
    <w:rsid w:val="00505FC8"/>
    <w:rsid w:val="00506428"/>
    <w:rsid w:val="0050664E"/>
    <w:rsid w:val="00506901"/>
    <w:rsid w:val="00507E78"/>
    <w:rsid w:val="00507EB3"/>
    <w:rsid w:val="005105AE"/>
    <w:rsid w:val="00510B33"/>
    <w:rsid w:val="0051182B"/>
    <w:rsid w:val="00511A83"/>
    <w:rsid w:val="00511ACE"/>
    <w:rsid w:val="005122C1"/>
    <w:rsid w:val="00512464"/>
    <w:rsid w:val="00512572"/>
    <w:rsid w:val="0051361A"/>
    <w:rsid w:val="0051520A"/>
    <w:rsid w:val="00515582"/>
    <w:rsid w:val="00515A5B"/>
    <w:rsid w:val="00516802"/>
    <w:rsid w:val="00516B4C"/>
    <w:rsid w:val="00516F4F"/>
    <w:rsid w:val="00516FF1"/>
    <w:rsid w:val="005172A9"/>
    <w:rsid w:val="0052042E"/>
    <w:rsid w:val="00520ABC"/>
    <w:rsid w:val="005211E0"/>
    <w:rsid w:val="00521521"/>
    <w:rsid w:val="005228BA"/>
    <w:rsid w:val="00522DDC"/>
    <w:rsid w:val="005233D7"/>
    <w:rsid w:val="005243FF"/>
    <w:rsid w:val="005245CE"/>
    <w:rsid w:val="00525D25"/>
    <w:rsid w:val="00526262"/>
    <w:rsid w:val="005262A3"/>
    <w:rsid w:val="00526637"/>
    <w:rsid w:val="005267AD"/>
    <w:rsid w:val="005267C7"/>
    <w:rsid w:val="00526E61"/>
    <w:rsid w:val="00527873"/>
    <w:rsid w:val="005279F8"/>
    <w:rsid w:val="0053050E"/>
    <w:rsid w:val="00531D62"/>
    <w:rsid w:val="00531DB4"/>
    <w:rsid w:val="005321C7"/>
    <w:rsid w:val="0053361B"/>
    <w:rsid w:val="00534544"/>
    <w:rsid w:val="0053574B"/>
    <w:rsid w:val="005357A7"/>
    <w:rsid w:val="005357FA"/>
    <w:rsid w:val="00535D10"/>
    <w:rsid w:val="00535F7D"/>
    <w:rsid w:val="0053633B"/>
    <w:rsid w:val="00536614"/>
    <w:rsid w:val="0053708F"/>
    <w:rsid w:val="0053719E"/>
    <w:rsid w:val="00540765"/>
    <w:rsid w:val="00541483"/>
    <w:rsid w:val="00541862"/>
    <w:rsid w:val="00541B82"/>
    <w:rsid w:val="00543571"/>
    <w:rsid w:val="00543D04"/>
    <w:rsid w:val="00545CBD"/>
    <w:rsid w:val="00546485"/>
    <w:rsid w:val="005466E0"/>
    <w:rsid w:val="00547F88"/>
    <w:rsid w:val="00550154"/>
    <w:rsid w:val="005504AC"/>
    <w:rsid w:val="00550C4C"/>
    <w:rsid w:val="00551D81"/>
    <w:rsid w:val="00554DAC"/>
    <w:rsid w:val="005552D3"/>
    <w:rsid w:val="005554EE"/>
    <w:rsid w:val="00555934"/>
    <w:rsid w:val="00556418"/>
    <w:rsid w:val="005566C4"/>
    <w:rsid w:val="00560630"/>
    <w:rsid w:val="00560C8A"/>
    <w:rsid w:val="00562A2D"/>
    <w:rsid w:val="00562EA2"/>
    <w:rsid w:val="00563C32"/>
    <w:rsid w:val="005640F9"/>
    <w:rsid w:val="00564909"/>
    <w:rsid w:val="00565122"/>
    <w:rsid w:val="00565385"/>
    <w:rsid w:val="00565AC6"/>
    <w:rsid w:val="00566B1B"/>
    <w:rsid w:val="005701C9"/>
    <w:rsid w:val="005705DE"/>
    <w:rsid w:val="00570B6E"/>
    <w:rsid w:val="00573662"/>
    <w:rsid w:val="0057377E"/>
    <w:rsid w:val="00573B3E"/>
    <w:rsid w:val="00574146"/>
    <w:rsid w:val="005748A6"/>
    <w:rsid w:val="005749FA"/>
    <w:rsid w:val="00574D1D"/>
    <w:rsid w:val="00575F88"/>
    <w:rsid w:val="00576392"/>
    <w:rsid w:val="00576A9B"/>
    <w:rsid w:val="005772A7"/>
    <w:rsid w:val="00580336"/>
    <w:rsid w:val="00580C6B"/>
    <w:rsid w:val="0058141A"/>
    <w:rsid w:val="00582368"/>
    <w:rsid w:val="00582C67"/>
    <w:rsid w:val="00582C76"/>
    <w:rsid w:val="005833BB"/>
    <w:rsid w:val="0058415B"/>
    <w:rsid w:val="0058483F"/>
    <w:rsid w:val="00584E9E"/>
    <w:rsid w:val="00585A61"/>
    <w:rsid w:val="0058674D"/>
    <w:rsid w:val="00586A14"/>
    <w:rsid w:val="00586CEA"/>
    <w:rsid w:val="0058730E"/>
    <w:rsid w:val="005879F2"/>
    <w:rsid w:val="00590187"/>
    <w:rsid w:val="00590424"/>
    <w:rsid w:val="005920B5"/>
    <w:rsid w:val="00593D65"/>
    <w:rsid w:val="00595618"/>
    <w:rsid w:val="00595E4C"/>
    <w:rsid w:val="00596D8C"/>
    <w:rsid w:val="00597897"/>
    <w:rsid w:val="00597ACC"/>
    <w:rsid w:val="00597B83"/>
    <w:rsid w:val="005A0C1E"/>
    <w:rsid w:val="005A1F61"/>
    <w:rsid w:val="005A2200"/>
    <w:rsid w:val="005A3499"/>
    <w:rsid w:val="005A34A3"/>
    <w:rsid w:val="005A5762"/>
    <w:rsid w:val="005A6485"/>
    <w:rsid w:val="005A6977"/>
    <w:rsid w:val="005A7892"/>
    <w:rsid w:val="005A7FD1"/>
    <w:rsid w:val="005B0F9E"/>
    <w:rsid w:val="005B1D92"/>
    <w:rsid w:val="005B1DFD"/>
    <w:rsid w:val="005B2010"/>
    <w:rsid w:val="005B2EB5"/>
    <w:rsid w:val="005B305E"/>
    <w:rsid w:val="005B39E0"/>
    <w:rsid w:val="005B4587"/>
    <w:rsid w:val="005B5413"/>
    <w:rsid w:val="005B54AD"/>
    <w:rsid w:val="005B5E7D"/>
    <w:rsid w:val="005B633F"/>
    <w:rsid w:val="005B6A62"/>
    <w:rsid w:val="005C17E7"/>
    <w:rsid w:val="005C1B6B"/>
    <w:rsid w:val="005C27B7"/>
    <w:rsid w:val="005C2C18"/>
    <w:rsid w:val="005C2CF8"/>
    <w:rsid w:val="005C32FF"/>
    <w:rsid w:val="005C3929"/>
    <w:rsid w:val="005C4370"/>
    <w:rsid w:val="005C47BC"/>
    <w:rsid w:val="005C4E79"/>
    <w:rsid w:val="005C4F1A"/>
    <w:rsid w:val="005C5990"/>
    <w:rsid w:val="005C69F9"/>
    <w:rsid w:val="005C6A4A"/>
    <w:rsid w:val="005C6CB1"/>
    <w:rsid w:val="005D0712"/>
    <w:rsid w:val="005D0FE9"/>
    <w:rsid w:val="005D1AA2"/>
    <w:rsid w:val="005D1D64"/>
    <w:rsid w:val="005D1DF9"/>
    <w:rsid w:val="005D24EC"/>
    <w:rsid w:val="005D26AB"/>
    <w:rsid w:val="005D26DE"/>
    <w:rsid w:val="005D37A9"/>
    <w:rsid w:val="005D3DC9"/>
    <w:rsid w:val="005D61D8"/>
    <w:rsid w:val="005D62A2"/>
    <w:rsid w:val="005D6A8E"/>
    <w:rsid w:val="005D6B8A"/>
    <w:rsid w:val="005D742E"/>
    <w:rsid w:val="005D7627"/>
    <w:rsid w:val="005D7987"/>
    <w:rsid w:val="005E0D79"/>
    <w:rsid w:val="005E14EE"/>
    <w:rsid w:val="005E47B4"/>
    <w:rsid w:val="005E52F4"/>
    <w:rsid w:val="005E538E"/>
    <w:rsid w:val="005E5869"/>
    <w:rsid w:val="005E5CB4"/>
    <w:rsid w:val="005E6AEA"/>
    <w:rsid w:val="005E6CC6"/>
    <w:rsid w:val="005E6D5A"/>
    <w:rsid w:val="005E6E97"/>
    <w:rsid w:val="005E72E8"/>
    <w:rsid w:val="005E7F74"/>
    <w:rsid w:val="005F0ED0"/>
    <w:rsid w:val="005F19B8"/>
    <w:rsid w:val="005F39DA"/>
    <w:rsid w:val="005F5135"/>
    <w:rsid w:val="005F5311"/>
    <w:rsid w:val="005F5878"/>
    <w:rsid w:val="005F6272"/>
    <w:rsid w:val="005F6415"/>
    <w:rsid w:val="005F7459"/>
    <w:rsid w:val="005F7ECE"/>
    <w:rsid w:val="00602FB2"/>
    <w:rsid w:val="00604406"/>
    <w:rsid w:val="00605248"/>
    <w:rsid w:val="006056AF"/>
    <w:rsid w:val="0060570E"/>
    <w:rsid w:val="00605CB6"/>
    <w:rsid w:val="00606AE7"/>
    <w:rsid w:val="00607112"/>
    <w:rsid w:val="0060727D"/>
    <w:rsid w:val="006075FC"/>
    <w:rsid w:val="006112E0"/>
    <w:rsid w:val="00612581"/>
    <w:rsid w:val="006126BB"/>
    <w:rsid w:val="00612827"/>
    <w:rsid w:val="006130D0"/>
    <w:rsid w:val="006133A8"/>
    <w:rsid w:val="00613B31"/>
    <w:rsid w:val="00613C56"/>
    <w:rsid w:val="00613DB5"/>
    <w:rsid w:val="00615099"/>
    <w:rsid w:val="00615A56"/>
    <w:rsid w:val="00616A3A"/>
    <w:rsid w:val="00616E35"/>
    <w:rsid w:val="006175EB"/>
    <w:rsid w:val="00617997"/>
    <w:rsid w:val="00617AA7"/>
    <w:rsid w:val="00617DEF"/>
    <w:rsid w:val="0062020C"/>
    <w:rsid w:val="0062039E"/>
    <w:rsid w:val="0062242E"/>
    <w:rsid w:val="006227EE"/>
    <w:rsid w:val="00622813"/>
    <w:rsid w:val="00622C21"/>
    <w:rsid w:val="00622FFD"/>
    <w:rsid w:val="00623866"/>
    <w:rsid w:val="006239D5"/>
    <w:rsid w:val="00623B2D"/>
    <w:rsid w:val="0062417D"/>
    <w:rsid w:val="00624890"/>
    <w:rsid w:val="00624C8B"/>
    <w:rsid w:val="00625414"/>
    <w:rsid w:val="006260C1"/>
    <w:rsid w:val="00626E17"/>
    <w:rsid w:val="00631285"/>
    <w:rsid w:val="0063173A"/>
    <w:rsid w:val="006326B2"/>
    <w:rsid w:val="00632F5E"/>
    <w:rsid w:val="00634032"/>
    <w:rsid w:val="00634BF5"/>
    <w:rsid w:val="00636D5E"/>
    <w:rsid w:val="006370FE"/>
    <w:rsid w:val="00637D4F"/>
    <w:rsid w:val="00640278"/>
    <w:rsid w:val="006402FE"/>
    <w:rsid w:val="00641082"/>
    <w:rsid w:val="00641E4F"/>
    <w:rsid w:val="0064349E"/>
    <w:rsid w:val="0064425E"/>
    <w:rsid w:val="006442D5"/>
    <w:rsid w:val="0064483A"/>
    <w:rsid w:val="0064515E"/>
    <w:rsid w:val="006452C7"/>
    <w:rsid w:val="00646F59"/>
    <w:rsid w:val="00647D9D"/>
    <w:rsid w:val="00647E34"/>
    <w:rsid w:val="00650610"/>
    <w:rsid w:val="00651E76"/>
    <w:rsid w:val="0065248A"/>
    <w:rsid w:val="00652DF9"/>
    <w:rsid w:val="006531B5"/>
    <w:rsid w:val="00653DC5"/>
    <w:rsid w:val="00654D6C"/>
    <w:rsid w:val="00655354"/>
    <w:rsid w:val="00655691"/>
    <w:rsid w:val="006556A0"/>
    <w:rsid w:val="006556D8"/>
    <w:rsid w:val="00656BF2"/>
    <w:rsid w:val="00657256"/>
    <w:rsid w:val="006572AA"/>
    <w:rsid w:val="0065787C"/>
    <w:rsid w:val="006578FD"/>
    <w:rsid w:val="00657AC7"/>
    <w:rsid w:val="006605BB"/>
    <w:rsid w:val="00662276"/>
    <w:rsid w:val="006638F2"/>
    <w:rsid w:val="00663A50"/>
    <w:rsid w:val="006640BC"/>
    <w:rsid w:val="006654AC"/>
    <w:rsid w:val="00665B63"/>
    <w:rsid w:val="00665BC9"/>
    <w:rsid w:val="00665CC5"/>
    <w:rsid w:val="00665F8B"/>
    <w:rsid w:val="00666745"/>
    <w:rsid w:val="006679D3"/>
    <w:rsid w:val="00670410"/>
    <w:rsid w:val="006707EB"/>
    <w:rsid w:val="00670A1C"/>
    <w:rsid w:val="00671187"/>
    <w:rsid w:val="0067128F"/>
    <w:rsid w:val="00671CA6"/>
    <w:rsid w:val="00672B52"/>
    <w:rsid w:val="00673A8E"/>
    <w:rsid w:val="00673E20"/>
    <w:rsid w:val="006741E9"/>
    <w:rsid w:val="006756C0"/>
    <w:rsid w:val="00675B68"/>
    <w:rsid w:val="00676829"/>
    <w:rsid w:val="006777D8"/>
    <w:rsid w:val="00680F6A"/>
    <w:rsid w:val="006811F5"/>
    <w:rsid w:val="0068176F"/>
    <w:rsid w:val="0068318B"/>
    <w:rsid w:val="006832C9"/>
    <w:rsid w:val="006837F5"/>
    <w:rsid w:val="006847D9"/>
    <w:rsid w:val="00684C5E"/>
    <w:rsid w:val="0068568A"/>
    <w:rsid w:val="00685D53"/>
    <w:rsid w:val="00687176"/>
    <w:rsid w:val="00687287"/>
    <w:rsid w:val="00687800"/>
    <w:rsid w:val="00687DC8"/>
    <w:rsid w:val="006901A8"/>
    <w:rsid w:val="00690434"/>
    <w:rsid w:val="0069365C"/>
    <w:rsid w:val="00694453"/>
    <w:rsid w:val="00695A99"/>
    <w:rsid w:val="0069794C"/>
    <w:rsid w:val="00697A63"/>
    <w:rsid w:val="00697BF9"/>
    <w:rsid w:val="00697CA9"/>
    <w:rsid w:val="006A1636"/>
    <w:rsid w:val="006A174C"/>
    <w:rsid w:val="006A1D1B"/>
    <w:rsid w:val="006A2F45"/>
    <w:rsid w:val="006A371E"/>
    <w:rsid w:val="006A3C77"/>
    <w:rsid w:val="006A3E33"/>
    <w:rsid w:val="006A423E"/>
    <w:rsid w:val="006A4A3C"/>
    <w:rsid w:val="006A4D4F"/>
    <w:rsid w:val="006A5030"/>
    <w:rsid w:val="006A7577"/>
    <w:rsid w:val="006B2AEF"/>
    <w:rsid w:val="006B4D74"/>
    <w:rsid w:val="006B526D"/>
    <w:rsid w:val="006B543C"/>
    <w:rsid w:val="006B5E6D"/>
    <w:rsid w:val="006B5ED8"/>
    <w:rsid w:val="006B5F6D"/>
    <w:rsid w:val="006C00D3"/>
    <w:rsid w:val="006C1E25"/>
    <w:rsid w:val="006C21CE"/>
    <w:rsid w:val="006C282D"/>
    <w:rsid w:val="006C3321"/>
    <w:rsid w:val="006C3469"/>
    <w:rsid w:val="006C47B1"/>
    <w:rsid w:val="006C5FCD"/>
    <w:rsid w:val="006C61E7"/>
    <w:rsid w:val="006C667C"/>
    <w:rsid w:val="006C7173"/>
    <w:rsid w:val="006C73EF"/>
    <w:rsid w:val="006C7452"/>
    <w:rsid w:val="006C7FF5"/>
    <w:rsid w:val="006D0825"/>
    <w:rsid w:val="006D322B"/>
    <w:rsid w:val="006D40A7"/>
    <w:rsid w:val="006D40F5"/>
    <w:rsid w:val="006D530C"/>
    <w:rsid w:val="006D554C"/>
    <w:rsid w:val="006D59F8"/>
    <w:rsid w:val="006D5F4F"/>
    <w:rsid w:val="006D657F"/>
    <w:rsid w:val="006D6866"/>
    <w:rsid w:val="006D78B2"/>
    <w:rsid w:val="006D7AE7"/>
    <w:rsid w:val="006E0A76"/>
    <w:rsid w:val="006E1417"/>
    <w:rsid w:val="006E24B6"/>
    <w:rsid w:val="006E2916"/>
    <w:rsid w:val="006E291F"/>
    <w:rsid w:val="006E2B46"/>
    <w:rsid w:val="006E30F9"/>
    <w:rsid w:val="006E3645"/>
    <w:rsid w:val="006E3B52"/>
    <w:rsid w:val="006E3D27"/>
    <w:rsid w:val="006E4305"/>
    <w:rsid w:val="006E486C"/>
    <w:rsid w:val="006E53E5"/>
    <w:rsid w:val="006E54DE"/>
    <w:rsid w:val="006E5A16"/>
    <w:rsid w:val="006E6BF7"/>
    <w:rsid w:val="006E70E5"/>
    <w:rsid w:val="006E7A03"/>
    <w:rsid w:val="006E7C43"/>
    <w:rsid w:val="006E7D2E"/>
    <w:rsid w:val="006F05E4"/>
    <w:rsid w:val="006F05EE"/>
    <w:rsid w:val="006F08E5"/>
    <w:rsid w:val="006F090D"/>
    <w:rsid w:val="006F09AA"/>
    <w:rsid w:val="006F0E6F"/>
    <w:rsid w:val="006F189A"/>
    <w:rsid w:val="006F1D77"/>
    <w:rsid w:val="006F2B24"/>
    <w:rsid w:val="006F2EA8"/>
    <w:rsid w:val="006F3A29"/>
    <w:rsid w:val="006F52A7"/>
    <w:rsid w:val="006F62C9"/>
    <w:rsid w:val="006F6BAB"/>
    <w:rsid w:val="006F6C6C"/>
    <w:rsid w:val="006F6FA9"/>
    <w:rsid w:val="006F7871"/>
    <w:rsid w:val="00701998"/>
    <w:rsid w:val="00701F5E"/>
    <w:rsid w:val="00702A4F"/>
    <w:rsid w:val="00704C95"/>
    <w:rsid w:val="00704CA5"/>
    <w:rsid w:val="0070532F"/>
    <w:rsid w:val="00705480"/>
    <w:rsid w:val="0070553E"/>
    <w:rsid w:val="00706E56"/>
    <w:rsid w:val="00706F77"/>
    <w:rsid w:val="007100FD"/>
    <w:rsid w:val="0071092D"/>
    <w:rsid w:val="007115C4"/>
    <w:rsid w:val="00711FAE"/>
    <w:rsid w:val="0071273B"/>
    <w:rsid w:val="00712CF8"/>
    <w:rsid w:val="00714D40"/>
    <w:rsid w:val="00714EFF"/>
    <w:rsid w:val="0071580F"/>
    <w:rsid w:val="00715843"/>
    <w:rsid w:val="00715A98"/>
    <w:rsid w:val="00715FD6"/>
    <w:rsid w:val="0071622E"/>
    <w:rsid w:val="0071633F"/>
    <w:rsid w:val="007173B9"/>
    <w:rsid w:val="0072007F"/>
    <w:rsid w:val="00721768"/>
    <w:rsid w:val="007217A6"/>
    <w:rsid w:val="00721C0F"/>
    <w:rsid w:val="00722EC0"/>
    <w:rsid w:val="007235C6"/>
    <w:rsid w:val="00724788"/>
    <w:rsid w:val="007251A1"/>
    <w:rsid w:val="0072575A"/>
    <w:rsid w:val="007257BB"/>
    <w:rsid w:val="007257BC"/>
    <w:rsid w:val="007261B3"/>
    <w:rsid w:val="00726B02"/>
    <w:rsid w:val="00726B50"/>
    <w:rsid w:val="00726ED6"/>
    <w:rsid w:val="0072742C"/>
    <w:rsid w:val="00727795"/>
    <w:rsid w:val="00732362"/>
    <w:rsid w:val="00732C89"/>
    <w:rsid w:val="00732D28"/>
    <w:rsid w:val="0073349F"/>
    <w:rsid w:val="00733534"/>
    <w:rsid w:val="0073432B"/>
    <w:rsid w:val="0073617F"/>
    <w:rsid w:val="00736286"/>
    <w:rsid w:val="00736685"/>
    <w:rsid w:val="00736900"/>
    <w:rsid w:val="00736C69"/>
    <w:rsid w:val="00742324"/>
    <w:rsid w:val="00743976"/>
    <w:rsid w:val="00743D6D"/>
    <w:rsid w:val="00744A2E"/>
    <w:rsid w:val="0074500F"/>
    <w:rsid w:val="00745B7F"/>
    <w:rsid w:val="007464CC"/>
    <w:rsid w:val="00746F5E"/>
    <w:rsid w:val="00747533"/>
    <w:rsid w:val="00750992"/>
    <w:rsid w:val="00750BDE"/>
    <w:rsid w:val="007513A2"/>
    <w:rsid w:val="00751501"/>
    <w:rsid w:val="00751E23"/>
    <w:rsid w:val="00752791"/>
    <w:rsid w:val="007527A3"/>
    <w:rsid w:val="00752989"/>
    <w:rsid w:val="00753AC7"/>
    <w:rsid w:val="007543AC"/>
    <w:rsid w:val="00754664"/>
    <w:rsid w:val="00754AA8"/>
    <w:rsid w:val="0075616C"/>
    <w:rsid w:val="0075658D"/>
    <w:rsid w:val="00756639"/>
    <w:rsid w:val="00756BF9"/>
    <w:rsid w:val="0075782B"/>
    <w:rsid w:val="007578FA"/>
    <w:rsid w:val="00760110"/>
    <w:rsid w:val="00760762"/>
    <w:rsid w:val="007607A2"/>
    <w:rsid w:val="0076165B"/>
    <w:rsid w:val="00762105"/>
    <w:rsid w:val="00762690"/>
    <w:rsid w:val="007628C4"/>
    <w:rsid w:val="00764115"/>
    <w:rsid w:val="00764127"/>
    <w:rsid w:val="00764B2B"/>
    <w:rsid w:val="00764EC3"/>
    <w:rsid w:val="00765105"/>
    <w:rsid w:val="00765694"/>
    <w:rsid w:val="00765737"/>
    <w:rsid w:val="0076630F"/>
    <w:rsid w:val="00766CC0"/>
    <w:rsid w:val="0076758E"/>
    <w:rsid w:val="007676D4"/>
    <w:rsid w:val="00767886"/>
    <w:rsid w:val="0077012E"/>
    <w:rsid w:val="007711E4"/>
    <w:rsid w:val="0077233A"/>
    <w:rsid w:val="007723BC"/>
    <w:rsid w:val="0077317F"/>
    <w:rsid w:val="0077404A"/>
    <w:rsid w:val="00774481"/>
    <w:rsid w:val="00774A8A"/>
    <w:rsid w:val="00774E2B"/>
    <w:rsid w:val="00774F9D"/>
    <w:rsid w:val="00775559"/>
    <w:rsid w:val="00775EC5"/>
    <w:rsid w:val="00776353"/>
    <w:rsid w:val="007769E1"/>
    <w:rsid w:val="00776C1C"/>
    <w:rsid w:val="00777306"/>
    <w:rsid w:val="007777E4"/>
    <w:rsid w:val="00777BEA"/>
    <w:rsid w:val="00780D86"/>
    <w:rsid w:val="00780E68"/>
    <w:rsid w:val="00781654"/>
    <w:rsid w:val="007833CF"/>
    <w:rsid w:val="00783C69"/>
    <w:rsid w:val="00784826"/>
    <w:rsid w:val="00784FE2"/>
    <w:rsid w:val="00787ECE"/>
    <w:rsid w:val="0079087E"/>
    <w:rsid w:val="00791A31"/>
    <w:rsid w:val="007930E7"/>
    <w:rsid w:val="00793AC8"/>
    <w:rsid w:val="00793E27"/>
    <w:rsid w:val="00794B68"/>
    <w:rsid w:val="007974B1"/>
    <w:rsid w:val="00797C44"/>
    <w:rsid w:val="00797D7B"/>
    <w:rsid w:val="00797E95"/>
    <w:rsid w:val="007A136D"/>
    <w:rsid w:val="007A15AE"/>
    <w:rsid w:val="007A2436"/>
    <w:rsid w:val="007A247E"/>
    <w:rsid w:val="007A269E"/>
    <w:rsid w:val="007A4F8B"/>
    <w:rsid w:val="007A5648"/>
    <w:rsid w:val="007A6BE5"/>
    <w:rsid w:val="007B0A5E"/>
    <w:rsid w:val="007B0E9D"/>
    <w:rsid w:val="007B1298"/>
    <w:rsid w:val="007B1C37"/>
    <w:rsid w:val="007B259E"/>
    <w:rsid w:val="007B2F22"/>
    <w:rsid w:val="007B3399"/>
    <w:rsid w:val="007B5269"/>
    <w:rsid w:val="007B5B86"/>
    <w:rsid w:val="007B6209"/>
    <w:rsid w:val="007B6E49"/>
    <w:rsid w:val="007B7C7A"/>
    <w:rsid w:val="007C0384"/>
    <w:rsid w:val="007C0831"/>
    <w:rsid w:val="007C15A1"/>
    <w:rsid w:val="007C1A7A"/>
    <w:rsid w:val="007C40B1"/>
    <w:rsid w:val="007C421A"/>
    <w:rsid w:val="007C4865"/>
    <w:rsid w:val="007C5771"/>
    <w:rsid w:val="007C6F20"/>
    <w:rsid w:val="007D070A"/>
    <w:rsid w:val="007D0EE7"/>
    <w:rsid w:val="007D12D2"/>
    <w:rsid w:val="007D199C"/>
    <w:rsid w:val="007D3F23"/>
    <w:rsid w:val="007D6418"/>
    <w:rsid w:val="007D6ABB"/>
    <w:rsid w:val="007D6BE5"/>
    <w:rsid w:val="007D708C"/>
    <w:rsid w:val="007D7F95"/>
    <w:rsid w:val="007E18C6"/>
    <w:rsid w:val="007E28CA"/>
    <w:rsid w:val="007E2FA8"/>
    <w:rsid w:val="007E3333"/>
    <w:rsid w:val="007E3F2D"/>
    <w:rsid w:val="007E4191"/>
    <w:rsid w:val="007E5117"/>
    <w:rsid w:val="007E5A37"/>
    <w:rsid w:val="007E6195"/>
    <w:rsid w:val="007F06D7"/>
    <w:rsid w:val="007F1131"/>
    <w:rsid w:val="007F3433"/>
    <w:rsid w:val="007F381D"/>
    <w:rsid w:val="007F52F2"/>
    <w:rsid w:val="007F53F2"/>
    <w:rsid w:val="007F57E9"/>
    <w:rsid w:val="007F5C89"/>
    <w:rsid w:val="007F5D30"/>
    <w:rsid w:val="007F5F9B"/>
    <w:rsid w:val="007F6B33"/>
    <w:rsid w:val="007F6CED"/>
    <w:rsid w:val="007F6D7A"/>
    <w:rsid w:val="007F7DDA"/>
    <w:rsid w:val="0080036C"/>
    <w:rsid w:val="00800B8C"/>
    <w:rsid w:val="00801881"/>
    <w:rsid w:val="0080199A"/>
    <w:rsid w:val="00801F76"/>
    <w:rsid w:val="0080374B"/>
    <w:rsid w:val="00803A39"/>
    <w:rsid w:val="00803C76"/>
    <w:rsid w:val="0080424D"/>
    <w:rsid w:val="008047B3"/>
    <w:rsid w:val="00804B65"/>
    <w:rsid w:val="008055BB"/>
    <w:rsid w:val="00805EC9"/>
    <w:rsid w:val="0080739F"/>
    <w:rsid w:val="008079A0"/>
    <w:rsid w:val="00807D4A"/>
    <w:rsid w:val="00810248"/>
    <w:rsid w:val="00810460"/>
    <w:rsid w:val="00811453"/>
    <w:rsid w:val="00811753"/>
    <w:rsid w:val="00811A70"/>
    <w:rsid w:val="008121D2"/>
    <w:rsid w:val="00814545"/>
    <w:rsid w:val="0081517E"/>
    <w:rsid w:val="0081550B"/>
    <w:rsid w:val="00815E1C"/>
    <w:rsid w:val="008160FC"/>
    <w:rsid w:val="008179CC"/>
    <w:rsid w:val="00817B07"/>
    <w:rsid w:val="00817E4A"/>
    <w:rsid w:val="008208FE"/>
    <w:rsid w:val="00821C74"/>
    <w:rsid w:val="00821D6B"/>
    <w:rsid w:val="00821EFE"/>
    <w:rsid w:val="0082214B"/>
    <w:rsid w:val="0082261E"/>
    <w:rsid w:val="008233FE"/>
    <w:rsid w:val="00823862"/>
    <w:rsid w:val="0082454A"/>
    <w:rsid w:val="00824B81"/>
    <w:rsid w:val="00825098"/>
    <w:rsid w:val="00825150"/>
    <w:rsid w:val="00825B19"/>
    <w:rsid w:val="008263DC"/>
    <w:rsid w:val="00827183"/>
    <w:rsid w:val="00827845"/>
    <w:rsid w:val="0083047D"/>
    <w:rsid w:val="00830D13"/>
    <w:rsid w:val="008312A3"/>
    <w:rsid w:val="00831E02"/>
    <w:rsid w:val="00832009"/>
    <w:rsid w:val="00832093"/>
    <w:rsid w:val="00833055"/>
    <w:rsid w:val="0083372A"/>
    <w:rsid w:val="00834667"/>
    <w:rsid w:val="00834D8E"/>
    <w:rsid w:val="00834F6C"/>
    <w:rsid w:val="00835516"/>
    <w:rsid w:val="00837077"/>
    <w:rsid w:val="00840A1E"/>
    <w:rsid w:val="00840D05"/>
    <w:rsid w:val="00840ED5"/>
    <w:rsid w:val="00841A62"/>
    <w:rsid w:val="00841E7A"/>
    <w:rsid w:val="008424B6"/>
    <w:rsid w:val="00842A0A"/>
    <w:rsid w:val="008437A7"/>
    <w:rsid w:val="00844374"/>
    <w:rsid w:val="008444DC"/>
    <w:rsid w:val="00844DA0"/>
    <w:rsid w:val="00845088"/>
    <w:rsid w:val="00845BA7"/>
    <w:rsid w:val="00845E5C"/>
    <w:rsid w:val="008467F4"/>
    <w:rsid w:val="00847479"/>
    <w:rsid w:val="008507E9"/>
    <w:rsid w:val="0085120C"/>
    <w:rsid w:val="008513FD"/>
    <w:rsid w:val="008519F9"/>
    <w:rsid w:val="00852058"/>
    <w:rsid w:val="008521AC"/>
    <w:rsid w:val="00852740"/>
    <w:rsid w:val="00852812"/>
    <w:rsid w:val="0085369F"/>
    <w:rsid w:val="008539FF"/>
    <w:rsid w:val="00854333"/>
    <w:rsid w:val="00854E35"/>
    <w:rsid w:val="00855144"/>
    <w:rsid w:val="00855A54"/>
    <w:rsid w:val="00855A7C"/>
    <w:rsid w:val="00856B3F"/>
    <w:rsid w:val="00857C5C"/>
    <w:rsid w:val="00857F03"/>
    <w:rsid w:val="008604E3"/>
    <w:rsid w:val="00860C2F"/>
    <w:rsid w:val="00861701"/>
    <w:rsid w:val="00861D3D"/>
    <w:rsid w:val="008646C9"/>
    <w:rsid w:val="00865A90"/>
    <w:rsid w:val="00866798"/>
    <w:rsid w:val="008667B0"/>
    <w:rsid w:val="00870B0F"/>
    <w:rsid w:val="00870E4E"/>
    <w:rsid w:val="00872615"/>
    <w:rsid w:val="0087273D"/>
    <w:rsid w:val="00872E7E"/>
    <w:rsid w:val="00873114"/>
    <w:rsid w:val="0087322A"/>
    <w:rsid w:val="00873BFC"/>
    <w:rsid w:val="008740FA"/>
    <w:rsid w:val="0087486C"/>
    <w:rsid w:val="0087552F"/>
    <w:rsid w:val="00875A0E"/>
    <w:rsid w:val="00877018"/>
    <w:rsid w:val="008774CC"/>
    <w:rsid w:val="008802EE"/>
    <w:rsid w:val="00881785"/>
    <w:rsid w:val="0088236D"/>
    <w:rsid w:val="008830EF"/>
    <w:rsid w:val="008830FC"/>
    <w:rsid w:val="008848D1"/>
    <w:rsid w:val="00884A79"/>
    <w:rsid w:val="00885382"/>
    <w:rsid w:val="00885B7D"/>
    <w:rsid w:val="008860F1"/>
    <w:rsid w:val="00886A10"/>
    <w:rsid w:val="00886B04"/>
    <w:rsid w:val="008907D7"/>
    <w:rsid w:val="00891559"/>
    <w:rsid w:val="008931D9"/>
    <w:rsid w:val="008934CA"/>
    <w:rsid w:val="00893CC4"/>
    <w:rsid w:val="00895C76"/>
    <w:rsid w:val="00895CA1"/>
    <w:rsid w:val="008960AF"/>
    <w:rsid w:val="00896518"/>
    <w:rsid w:val="00896C1D"/>
    <w:rsid w:val="0089751E"/>
    <w:rsid w:val="00897961"/>
    <w:rsid w:val="008A07CE"/>
    <w:rsid w:val="008A0BD5"/>
    <w:rsid w:val="008A104B"/>
    <w:rsid w:val="008A1453"/>
    <w:rsid w:val="008A2D27"/>
    <w:rsid w:val="008A4AE2"/>
    <w:rsid w:val="008A502F"/>
    <w:rsid w:val="008A5819"/>
    <w:rsid w:val="008A5D4C"/>
    <w:rsid w:val="008A5FFD"/>
    <w:rsid w:val="008A64BE"/>
    <w:rsid w:val="008A6CEB"/>
    <w:rsid w:val="008A7BAE"/>
    <w:rsid w:val="008A7EAE"/>
    <w:rsid w:val="008B14AA"/>
    <w:rsid w:val="008B1EE6"/>
    <w:rsid w:val="008B20BC"/>
    <w:rsid w:val="008B2B83"/>
    <w:rsid w:val="008B2D7F"/>
    <w:rsid w:val="008B3466"/>
    <w:rsid w:val="008B3922"/>
    <w:rsid w:val="008B4096"/>
    <w:rsid w:val="008B41FA"/>
    <w:rsid w:val="008B4CBE"/>
    <w:rsid w:val="008B5EED"/>
    <w:rsid w:val="008B65CA"/>
    <w:rsid w:val="008B679B"/>
    <w:rsid w:val="008B6946"/>
    <w:rsid w:val="008B7579"/>
    <w:rsid w:val="008C0AF8"/>
    <w:rsid w:val="008C18C2"/>
    <w:rsid w:val="008C205E"/>
    <w:rsid w:val="008C388E"/>
    <w:rsid w:val="008C390C"/>
    <w:rsid w:val="008C3A80"/>
    <w:rsid w:val="008C3D62"/>
    <w:rsid w:val="008C422C"/>
    <w:rsid w:val="008C5093"/>
    <w:rsid w:val="008C5B58"/>
    <w:rsid w:val="008C5F40"/>
    <w:rsid w:val="008C6293"/>
    <w:rsid w:val="008C77CD"/>
    <w:rsid w:val="008C77D8"/>
    <w:rsid w:val="008C7A69"/>
    <w:rsid w:val="008C7A76"/>
    <w:rsid w:val="008C7C7E"/>
    <w:rsid w:val="008D03A3"/>
    <w:rsid w:val="008D0D5D"/>
    <w:rsid w:val="008D110A"/>
    <w:rsid w:val="008D1A76"/>
    <w:rsid w:val="008D3373"/>
    <w:rsid w:val="008D3A4B"/>
    <w:rsid w:val="008D42F0"/>
    <w:rsid w:val="008D4629"/>
    <w:rsid w:val="008D590F"/>
    <w:rsid w:val="008D6558"/>
    <w:rsid w:val="008D67E2"/>
    <w:rsid w:val="008D7728"/>
    <w:rsid w:val="008D7BB5"/>
    <w:rsid w:val="008D7F30"/>
    <w:rsid w:val="008E26D6"/>
    <w:rsid w:val="008E2962"/>
    <w:rsid w:val="008E39F5"/>
    <w:rsid w:val="008E3FF8"/>
    <w:rsid w:val="008E4760"/>
    <w:rsid w:val="008E4B0E"/>
    <w:rsid w:val="008E4D5F"/>
    <w:rsid w:val="008E5053"/>
    <w:rsid w:val="008E5268"/>
    <w:rsid w:val="008E5B92"/>
    <w:rsid w:val="008E5D19"/>
    <w:rsid w:val="008E63F7"/>
    <w:rsid w:val="008E6EA9"/>
    <w:rsid w:val="008E6F61"/>
    <w:rsid w:val="008F17E7"/>
    <w:rsid w:val="008F1945"/>
    <w:rsid w:val="008F1FAA"/>
    <w:rsid w:val="008F202A"/>
    <w:rsid w:val="008F2F35"/>
    <w:rsid w:val="008F30D4"/>
    <w:rsid w:val="008F3FF0"/>
    <w:rsid w:val="008F403B"/>
    <w:rsid w:val="008F4A37"/>
    <w:rsid w:val="008F53B8"/>
    <w:rsid w:val="008F59EC"/>
    <w:rsid w:val="008F5AE4"/>
    <w:rsid w:val="008F5D5A"/>
    <w:rsid w:val="008F7705"/>
    <w:rsid w:val="008F7D0F"/>
    <w:rsid w:val="008F7E69"/>
    <w:rsid w:val="0090052D"/>
    <w:rsid w:val="0090083B"/>
    <w:rsid w:val="00900E0E"/>
    <w:rsid w:val="00901CF9"/>
    <w:rsid w:val="009021CA"/>
    <w:rsid w:val="009025B9"/>
    <w:rsid w:val="00902708"/>
    <w:rsid w:val="009042BA"/>
    <w:rsid w:val="00904333"/>
    <w:rsid w:val="009055E2"/>
    <w:rsid w:val="00905947"/>
    <w:rsid w:val="00905F46"/>
    <w:rsid w:val="009060DC"/>
    <w:rsid w:val="00906D09"/>
    <w:rsid w:val="00906FA8"/>
    <w:rsid w:val="00907521"/>
    <w:rsid w:val="0090753D"/>
    <w:rsid w:val="00910313"/>
    <w:rsid w:val="00910417"/>
    <w:rsid w:val="00910708"/>
    <w:rsid w:val="0091198A"/>
    <w:rsid w:val="00914141"/>
    <w:rsid w:val="00914A17"/>
    <w:rsid w:val="0091554E"/>
    <w:rsid w:val="00915AE3"/>
    <w:rsid w:val="00916386"/>
    <w:rsid w:val="00917C73"/>
    <w:rsid w:val="009208C5"/>
    <w:rsid w:val="00920F7F"/>
    <w:rsid w:val="009219F2"/>
    <w:rsid w:val="00922D73"/>
    <w:rsid w:val="00923656"/>
    <w:rsid w:val="009236C2"/>
    <w:rsid w:val="00924E6C"/>
    <w:rsid w:val="009251B4"/>
    <w:rsid w:val="00925472"/>
    <w:rsid w:val="0092564B"/>
    <w:rsid w:val="00925742"/>
    <w:rsid w:val="00925DD9"/>
    <w:rsid w:val="00926BC2"/>
    <w:rsid w:val="00926F8A"/>
    <w:rsid w:val="0092745E"/>
    <w:rsid w:val="00927C0B"/>
    <w:rsid w:val="00927F3D"/>
    <w:rsid w:val="0093056B"/>
    <w:rsid w:val="00931840"/>
    <w:rsid w:val="00931ECE"/>
    <w:rsid w:val="00933666"/>
    <w:rsid w:val="00933D5C"/>
    <w:rsid w:val="009341B7"/>
    <w:rsid w:val="00934897"/>
    <w:rsid w:val="00934D3B"/>
    <w:rsid w:val="00935808"/>
    <w:rsid w:val="00935CA8"/>
    <w:rsid w:val="009361CF"/>
    <w:rsid w:val="00936651"/>
    <w:rsid w:val="00940059"/>
    <w:rsid w:val="009402D1"/>
    <w:rsid w:val="00941EE7"/>
    <w:rsid w:val="00942173"/>
    <w:rsid w:val="00942887"/>
    <w:rsid w:val="00942D2C"/>
    <w:rsid w:val="00943C39"/>
    <w:rsid w:val="009453A9"/>
    <w:rsid w:val="00945958"/>
    <w:rsid w:val="009460E9"/>
    <w:rsid w:val="009467D0"/>
    <w:rsid w:val="0094695B"/>
    <w:rsid w:val="00947253"/>
    <w:rsid w:val="00947404"/>
    <w:rsid w:val="0095040E"/>
    <w:rsid w:val="00950502"/>
    <w:rsid w:val="00950F65"/>
    <w:rsid w:val="00951DED"/>
    <w:rsid w:val="00952396"/>
    <w:rsid w:val="00952B69"/>
    <w:rsid w:val="0095310F"/>
    <w:rsid w:val="00953D89"/>
    <w:rsid w:val="00954A1C"/>
    <w:rsid w:val="00954EFE"/>
    <w:rsid w:val="009574DF"/>
    <w:rsid w:val="00957C44"/>
    <w:rsid w:val="00957F36"/>
    <w:rsid w:val="00961322"/>
    <w:rsid w:val="0096180A"/>
    <w:rsid w:val="0096212F"/>
    <w:rsid w:val="00963257"/>
    <w:rsid w:val="00963269"/>
    <w:rsid w:val="0096343A"/>
    <w:rsid w:val="00964355"/>
    <w:rsid w:val="009649B6"/>
    <w:rsid w:val="00964B39"/>
    <w:rsid w:val="0096510B"/>
    <w:rsid w:val="00965A49"/>
    <w:rsid w:val="00966258"/>
    <w:rsid w:val="00967E42"/>
    <w:rsid w:val="00970974"/>
    <w:rsid w:val="0097199A"/>
    <w:rsid w:val="009727E4"/>
    <w:rsid w:val="00972D08"/>
    <w:rsid w:val="00973678"/>
    <w:rsid w:val="00973B60"/>
    <w:rsid w:val="00973E75"/>
    <w:rsid w:val="0097467A"/>
    <w:rsid w:val="00974AE1"/>
    <w:rsid w:val="00975143"/>
    <w:rsid w:val="00975564"/>
    <w:rsid w:val="009756B7"/>
    <w:rsid w:val="00976139"/>
    <w:rsid w:val="0097656C"/>
    <w:rsid w:val="0097716A"/>
    <w:rsid w:val="00980023"/>
    <w:rsid w:val="00980821"/>
    <w:rsid w:val="00980D39"/>
    <w:rsid w:val="00980E80"/>
    <w:rsid w:val="009810C9"/>
    <w:rsid w:val="00981ADF"/>
    <w:rsid w:val="00981C45"/>
    <w:rsid w:val="00982644"/>
    <w:rsid w:val="0098269C"/>
    <w:rsid w:val="00982703"/>
    <w:rsid w:val="009828EC"/>
    <w:rsid w:val="009830B7"/>
    <w:rsid w:val="009838F6"/>
    <w:rsid w:val="0098469A"/>
    <w:rsid w:val="00985896"/>
    <w:rsid w:val="00985ABA"/>
    <w:rsid w:val="00985E87"/>
    <w:rsid w:val="00986085"/>
    <w:rsid w:val="009865D2"/>
    <w:rsid w:val="00986D83"/>
    <w:rsid w:val="00986DB0"/>
    <w:rsid w:val="00986E03"/>
    <w:rsid w:val="0098743E"/>
    <w:rsid w:val="009879F5"/>
    <w:rsid w:val="009907D7"/>
    <w:rsid w:val="00990974"/>
    <w:rsid w:val="0099099B"/>
    <w:rsid w:val="0099101F"/>
    <w:rsid w:val="00991208"/>
    <w:rsid w:val="009915FA"/>
    <w:rsid w:val="0099288C"/>
    <w:rsid w:val="00992D0E"/>
    <w:rsid w:val="00992D68"/>
    <w:rsid w:val="00992E32"/>
    <w:rsid w:val="009938D4"/>
    <w:rsid w:val="00994A0A"/>
    <w:rsid w:val="00994F8F"/>
    <w:rsid w:val="0099522C"/>
    <w:rsid w:val="00995BC8"/>
    <w:rsid w:val="00995D78"/>
    <w:rsid w:val="00997CDA"/>
    <w:rsid w:val="009A043C"/>
    <w:rsid w:val="009A12B9"/>
    <w:rsid w:val="009A26DF"/>
    <w:rsid w:val="009A28EB"/>
    <w:rsid w:val="009A37EF"/>
    <w:rsid w:val="009A439F"/>
    <w:rsid w:val="009A47D3"/>
    <w:rsid w:val="009A4C40"/>
    <w:rsid w:val="009A52AE"/>
    <w:rsid w:val="009A5B16"/>
    <w:rsid w:val="009A5D25"/>
    <w:rsid w:val="009A789B"/>
    <w:rsid w:val="009A7FA2"/>
    <w:rsid w:val="009B010E"/>
    <w:rsid w:val="009B0174"/>
    <w:rsid w:val="009B0A8C"/>
    <w:rsid w:val="009B0B4E"/>
    <w:rsid w:val="009B1329"/>
    <w:rsid w:val="009B2D83"/>
    <w:rsid w:val="009B3120"/>
    <w:rsid w:val="009B463C"/>
    <w:rsid w:val="009B64E8"/>
    <w:rsid w:val="009B65F6"/>
    <w:rsid w:val="009B6F86"/>
    <w:rsid w:val="009B71ED"/>
    <w:rsid w:val="009B7587"/>
    <w:rsid w:val="009C04CD"/>
    <w:rsid w:val="009C13F0"/>
    <w:rsid w:val="009C15D5"/>
    <w:rsid w:val="009C1C0D"/>
    <w:rsid w:val="009C1E0B"/>
    <w:rsid w:val="009C1E6C"/>
    <w:rsid w:val="009C2242"/>
    <w:rsid w:val="009C2350"/>
    <w:rsid w:val="009C367C"/>
    <w:rsid w:val="009C37B1"/>
    <w:rsid w:val="009C37CC"/>
    <w:rsid w:val="009C4A3E"/>
    <w:rsid w:val="009C4A46"/>
    <w:rsid w:val="009C4E6D"/>
    <w:rsid w:val="009C58DA"/>
    <w:rsid w:val="009C5D72"/>
    <w:rsid w:val="009C6336"/>
    <w:rsid w:val="009C6383"/>
    <w:rsid w:val="009C6582"/>
    <w:rsid w:val="009C6696"/>
    <w:rsid w:val="009C6CD9"/>
    <w:rsid w:val="009C73DD"/>
    <w:rsid w:val="009C7F82"/>
    <w:rsid w:val="009D0E76"/>
    <w:rsid w:val="009D1A35"/>
    <w:rsid w:val="009D211C"/>
    <w:rsid w:val="009D2156"/>
    <w:rsid w:val="009D264F"/>
    <w:rsid w:val="009D2A58"/>
    <w:rsid w:val="009D3589"/>
    <w:rsid w:val="009D3963"/>
    <w:rsid w:val="009D43BC"/>
    <w:rsid w:val="009D4F5F"/>
    <w:rsid w:val="009D51B5"/>
    <w:rsid w:val="009D557F"/>
    <w:rsid w:val="009D5CE1"/>
    <w:rsid w:val="009D64A1"/>
    <w:rsid w:val="009D6C48"/>
    <w:rsid w:val="009D6D44"/>
    <w:rsid w:val="009D7377"/>
    <w:rsid w:val="009E0DE7"/>
    <w:rsid w:val="009E118D"/>
    <w:rsid w:val="009E11FB"/>
    <w:rsid w:val="009E163C"/>
    <w:rsid w:val="009E1C78"/>
    <w:rsid w:val="009E2CF0"/>
    <w:rsid w:val="009E3163"/>
    <w:rsid w:val="009E31AC"/>
    <w:rsid w:val="009E32C8"/>
    <w:rsid w:val="009E389A"/>
    <w:rsid w:val="009E47B9"/>
    <w:rsid w:val="009E47EC"/>
    <w:rsid w:val="009E4AAE"/>
    <w:rsid w:val="009E4CC6"/>
    <w:rsid w:val="009E4EE6"/>
    <w:rsid w:val="009E60E6"/>
    <w:rsid w:val="009E64F9"/>
    <w:rsid w:val="009E6888"/>
    <w:rsid w:val="009E70A9"/>
    <w:rsid w:val="009E761B"/>
    <w:rsid w:val="009E775E"/>
    <w:rsid w:val="009E7826"/>
    <w:rsid w:val="009E783C"/>
    <w:rsid w:val="009E7F04"/>
    <w:rsid w:val="009F1371"/>
    <w:rsid w:val="009F18A2"/>
    <w:rsid w:val="009F2A01"/>
    <w:rsid w:val="009F2D37"/>
    <w:rsid w:val="009F3AD4"/>
    <w:rsid w:val="009F4D4A"/>
    <w:rsid w:val="009F4DF4"/>
    <w:rsid w:val="009F4F89"/>
    <w:rsid w:val="009F5EFA"/>
    <w:rsid w:val="009F5FBE"/>
    <w:rsid w:val="009F758B"/>
    <w:rsid w:val="00A00BBC"/>
    <w:rsid w:val="00A01E50"/>
    <w:rsid w:val="00A0256A"/>
    <w:rsid w:val="00A02871"/>
    <w:rsid w:val="00A03315"/>
    <w:rsid w:val="00A041E3"/>
    <w:rsid w:val="00A04D40"/>
    <w:rsid w:val="00A0573B"/>
    <w:rsid w:val="00A05A01"/>
    <w:rsid w:val="00A05A70"/>
    <w:rsid w:val="00A0603A"/>
    <w:rsid w:val="00A060AB"/>
    <w:rsid w:val="00A06419"/>
    <w:rsid w:val="00A07127"/>
    <w:rsid w:val="00A103AC"/>
    <w:rsid w:val="00A10D62"/>
    <w:rsid w:val="00A1117F"/>
    <w:rsid w:val="00A11384"/>
    <w:rsid w:val="00A1144B"/>
    <w:rsid w:val="00A11A04"/>
    <w:rsid w:val="00A129F0"/>
    <w:rsid w:val="00A12D8E"/>
    <w:rsid w:val="00A14EC1"/>
    <w:rsid w:val="00A15FB1"/>
    <w:rsid w:val="00A15FF3"/>
    <w:rsid w:val="00A16141"/>
    <w:rsid w:val="00A16997"/>
    <w:rsid w:val="00A16E18"/>
    <w:rsid w:val="00A1778C"/>
    <w:rsid w:val="00A22A7E"/>
    <w:rsid w:val="00A23501"/>
    <w:rsid w:val="00A23ABB"/>
    <w:rsid w:val="00A243DA"/>
    <w:rsid w:val="00A246BD"/>
    <w:rsid w:val="00A24BD3"/>
    <w:rsid w:val="00A255C5"/>
    <w:rsid w:val="00A25851"/>
    <w:rsid w:val="00A26BF9"/>
    <w:rsid w:val="00A27328"/>
    <w:rsid w:val="00A27CFD"/>
    <w:rsid w:val="00A307A8"/>
    <w:rsid w:val="00A30DBC"/>
    <w:rsid w:val="00A31FF3"/>
    <w:rsid w:val="00A32326"/>
    <w:rsid w:val="00A32530"/>
    <w:rsid w:val="00A330D8"/>
    <w:rsid w:val="00A333CF"/>
    <w:rsid w:val="00A339C5"/>
    <w:rsid w:val="00A33D78"/>
    <w:rsid w:val="00A35015"/>
    <w:rsid w:val="00A35119"/>
    <w:rsid w:val="00A3560B"/>
    <w:rsid w:val="00A367A8"/>
    <w:rsid w:val="00A36895"/>
    <w:rsid w:val="00A40283"/>
    <w:rsid w:val="00A40627"/>
    <w:rsid w:val="00A40787"/>
    <w:rsid w:val="00A41165"/>
    <w:rsid w:val="00A42DF7"/>
    <w:rsid w:val="00A42F58"/>
    <w:rsid w:val="00A437CC"/>
    <w:rsid w:val="00A43E3D"/>
    <w:rsid w:val="00A4440F"/>
    <w:rsid w:val="00A4446F"/>
    <w:rsid w:val="00A46C4B"/>
    <w:rsid w:val="00A47034"/>
    <w:rsid w:val="00A477BB"/>
    <w:rsid w:val="00A5080F"/>
    <w:rsid w:val="00A509E6"/>
    <w:rsid w:val="00A51184"/>
    <w:rsid w:val="00A51705"/>
    <w:rsid w:val="00A54A88"/>
    <w:rsid w:val="00A556E4"/>
    <w:rsid w:val="00A56A00"/>
    <w:rsid w:val="00A56D30"/>
    <w:rsid w:val="00A603B0"/>
    <w:rsid w:val="00A60657"/>
    <w:rsid w:val="00A62A00"/>
    <w:rsid w:val="00A62A96"/>
    <w:rsid w:val="00A62D12"/>
    <w:rsid w:val="00A63689"/>
    <w:rsid w:val="00A639E0"/>
    <w:rsid w:val="00A63A20"/>
    <w:rsid w:val="00A64140"/>
    <w:rsid w:val="00A65559"/>
    <w:rsid w:val="00A65B95"/>
    <w:rsid w:val="00A65DA9"/>
    <w:rsid w:val="00A67BE0"/>
    <w:rsid w:val="00A7072F"/>
    <w:rsid w:val="00A70C08"/>
    <w:rsid w:val="00A719CF"/>
    <w:rsid w:val="00A71F60"/>
    <w:rsid w:val="00A72F2B"/>
    <w:rsid w:val="00A74BE4"/>
    <w:rsid w:val="00A75021"/>
    <w:rsid w:val="00A757BA"/>
    <w:rsid w:val="00A76028"/>
    <w:rsid w:val="00A76308"/>
    <w:rsid w:val="00A763CB"/>
    <w:rsid w:val="00A76416"/>
    <w:rsid w:val="00A7759C"/>
    <w:rsid w:val="00A77987"/>
    <w:rsid w:val="00A801B6"/>
    <w:rsid w:val="00A80487"/>
    <w:rsid w:val="00A80B18"/>
    <w:rsid w:val="00A81610"/>
    <w:rsid w:val="00A82E45"/>
    <w:rsid w:val="00A83913"/>
    <w:rsid w:val="00A84862"/>
    <w:rsid w:val="00A84C3B"/>
    <w:rsid w:val="00A85C23"/>
    <w:rsid w:val="00A87074"/>
    <w:rsid w:val="00A87844"/>
    <w:rsid w:val="00A87B0B"/>
    <w:rsid w:val="00A87C22"/>
    <w:rsid w:val="00A900BC"/>
    <w:rsid w:val="00A90325"/>
    <w:rsid w:val="00A908DB"/>
    <w:rsid w:val="00A90DE8"/>
    <w:rsid w:val="00A91350"/>
    <w:rsid w:val="00A9161A"/>
    <w:rsid w:val="00A92842"/>
    <w:rsid w:val="00A9367B"/>
    <w:rsid w:val="00A936C6"/>
    <w:rsid w:val="00A93B04"/>
    <w:rsid w:val="00A93B8C"/>
    <w:rsid w:val="00A93F86"/>
    <w:rsid w:val="00A9402E"/>
    <w:rsid w:val="00A940A1"/>
    <w:rsid w:val="00A95B7F"/>
    <w:rsid w:val="00A969F3"/>
    <w:rsid w:val="00A96AFB"/>
    <w:rsid w:val="00A97384"/>
    <w:rsid w:val="00A978AF"/>
    <w:rsid w:val="00A97D79"/>
    <w:rsid w:val="00AA02A5"/>
    <w:rsid w:val="00AA0410"/>
    <w:rsid w:val="00AA05B1"/>
    <w:rsid w:val="00AA0A3B"/>
    <w:rsid w:val="00AA0B2E"/>
    <w:rsid w:val="00AA0D9D"/>
    <w:rsid w:val="00AA0DB9"/>
    <w:rsid w:val="00AA1D3B"/>
    <w:rsid w:val="00AA1E4A"/>
    <w:rsid w:val="00AA229F"/>
    <w:rsid w:val="00AA2A97"/>
    <w:rsid w:val="00AA2F73"/>
    <w:rsid w:val="00AA3256"/>
    <w:rsid w:val="00AA32A0"/>
    <w:rsid w:val="00AA57D1"/>
    <w:rsid w:val="00AA6444"/>
    <w:rsid w:val="00AA6FB3"/>
    <w:rsid w:val="00AA738B"/>
    <w:rsid w:val="00AA7800"/>
    <w:rsid w:val="00AA7838"/>
    <w:rsid w:val="00AA7A22"/>
    <w:rsid w:val="00AB1437"/>
    <w:rsid w:val="00AB1D13"/>
    <w:rsid w:val="00AB217D"/>
    <w:rsid w:val="00AB2503"/>
    <w:rsid w:val="00AB302A"/>
    <w:rsid w:val="00AB33E7"/>
    <w:rsid w:val="00AB4650"/>
    <w:rsid w:val="00AB6658"/>
    <w:rsid w:val="00AB6DB4"/>
    <w:rsid w:val="00AB76E3"/>
    <w:rsid w:val="00AC01CD"/>
    <w:rsid w:val="00AC0948"/>
    <w:rsid w:val="00AC0961"/>
    <w:rsid w:val="00AC0A32"/>
    <w:rsid w:val="00AC1318"/>
    <w:rsid w:val="00AC16FE"/>
    <w:rsid w:val="00AC174C"/>
    <w:rsid w:val="00AC2E2E"/>
    <w:rsid w:val="00AC30C9"/>
    <w:rsid w:val="00AC3134"/>
    <w:rsid w:val="00AC50FA"/>
    <w:rsid w:val="00AC56B6"/>
    <w:rsid w:val="00AC5C36"/>
    <w:rsid w:val="00AC5D17"/>
    <w:rsid w:val="00AC5ECD"/>
    <w:rsid w:val="00AC6B57"/>
    <w:rsid w:val="00AC70E7"/>
    <w:rsid w:val="00AC768F"/>
    <w:rsid w:val="00AD005C"/>
    <w:rsid w:val="00AD04D1"/>
    <w:rsid w:val="00AD0D7E"/>
    <w:rsid w:val="00AD0E1E"/>
    <w:rsid w:val="00AD14F6"/>
    <w:rsid w:val="00AD2681"/>
    <w:rsid w:val="00AD35AD"/>
    <w:rsid w:val="00AD3710"/>
    <w:rsid w:val="00AD3863"/>
    <w:rsid w:val="00AD3F74"/>
    <w:rsid w:val="00AD43D2"/>
    <w:rsid w:val="00AD45A1"/>
    <w:rsid w:val="00AD46A7"/>
    <w:rsid w:val="00AD4B62"/>
    <w:rsid w:val="00AD52B3"/>
    <w:rsid w:val="00AD5869"/>
    <w:rsid w:val="00AD5CB4"/>
    <w:rsid w:val="00AD6820"/>
    <w:rsid w:val="00AD6938"/>
    <w:rsid w:val="00AE08E7"/>
    <w:rsid w:val="00AE0C46"/>
    <w:rsid w:val="00AE1009"/>
    <w:rsid w:val="00AE1460"/>
    <w:rsid w:val="00AE299B"/>
    <w:rsid w:val="00AE3A53"/>
    <w:rsid w:val="00AE3D51"/>
    <w:rsid w:val="00AE3DE8"/>
    <w:rsid w:val="00AE4A16"/>
    <w:rsid w:val="00AE56FB"/>
    <w:rsid w:val="00AE64FB"/>
    <w:rsid w:val="00AE766C"/>
    <w:rsid w:val="00AF0126"/>
    <w:rsid w:val="00AF0CD6"/>
    <w:rsid w:val="00AF104A"/>
    <w:rsid w:val="00AF189D"/>
    <w:rsid w:val="00AF283B"/>
    <w:rsid w:val="00AF389C"/>
    <w:rsid w:val="00AF3E7B"/>
    <w:rsid w:val="00AF5531"/>
    <w:rsid w:val="00AF56A8"/>
    <w:rsid w:val="00AF6712"/>
    <w:rsid w:val="00AF6D89"/>
    <w:rsid w:val="00AF7354"/>
    <w:rsid w:val="00AF76A4"/>
    <w:rsid w:val="00AF76EC"/>
    <w:rsid w:val="00B00A5D"/>
    <w:rsid w:val="00B0174F"/>
    <w:rsid w:val="00B017B1"/>
    <w:rsid w:val="00B01F55"/>
    <w:rsid w:val="00B03B05"/>
    <w:rsid w:val="00B042F9"/>
    <w:rsid w:val="00B04750"/>
    <w:rsid w:val="00B047A7"/>
    <w:rsid w:val="00B04805"/>
    <w:rsid w:val="00B04ED3"/>
    <w:rsid w:val="00B05442"/>
    <w:rsid w:val="00B05A1D"/>
    <w:rsid w:val="00B05ABA"/>
    <w:rsid w:val="00B05BAC"/>
    <w:rsid w:val="00B06DFA"/>
    <w:rsid w:val="00B0799B"/>
    <w:rsid w:val="00B105A2"/>
    <w:rsid w:val="00B106C7"/>
    <w:rsid w:val="00B11979"/>
    <w:rsid w:val="00B11D5C"/>
    <w:rsid w:val="00B11DF2"/>
    <w:rsid w:val="00B11FC7"/>
    <w:rsid w:val="00B12B9B"/>
    <w:rsid w:val="00B133BA"/>
    <w:rsid w:val="00B13629"/>
    <w:rsid w:val="00B13A81"/>
    <w:rsid w:val="00B13D8D"/>
    <w:rsid w:val="00B13FF7"/>
    <w:rsid w:val="00B161BA"/>
    <w:rsid w:val="00B16522"/>
    <w:rsid w:val="00B1673A"/>
    <w:rsid w:val="00B17062"/>
    <w:rsid w:val="00B21278"/>
    <w:rsid w:val="00B213CF"/>
    <w:rsid w:val="00B217C8"/>
    <w:rsid w:val="00B22290"/>
    <w:rsid w:val="00B23D34"/>
    <w:rsid w:val="00B24445"/>
    <w:rsid w:val="00B24565"/>
    <w:rsid w:val="00B24DB9"/>
    <w:rsid w:val="00B250BC"/>
    <w:rsid w:val="00B25AF9"/>
    <w:rsid w:val="00B268E2"/>
    <w:rsid w:val="00B27296"/>
    <w:rsid w:val="00B31603"/>
    <w:rsid w:val="00B31C7D"/>
    <w:rsid w:val="00B33316"/>
    <w:rsid w:val="00B350F0"/>
    <w:rsid w:val="00B35502"/>
    <w:rsid w:val="00B35F7B"/>
    <w:rsid w:val="00B3695B"/>
    <w:rsid w:val="00B37A6F"/>
    <w:rsid w:val="00B37FBE"/>
    <w:rsid w:val="00B412BB"/>
    <w:rsid w:val="00B417CF"/>
    <w:rsid w:val="00B4187F"/>
    <w:rsid w:val="00B41E24"/>
    <w:rsid w:val="00B42AEC"/>
    <w:rsid w:val="00B42DE0"/>
    <w:rsid w:val="00B42F7D"/>
    <w:rsid w:val="00B4400A"/>
    <w:rsid w:val="00B44E1C"/>
    <w:rsid w:val="00B45515"/>
    <w:rsid w:val="00B4555F"/>
    <w:rsid w:val="00B4650F"/>
    <w:rsid w:val="00B46738"/>
    <w:rsid w:val="00B47250"/>
    <w:rsid w:val="00B47A44"/>
    <w:rsid w:val="00B501BA"/>
    <w:rsid w:val="00B502A1"/>
    <w:rsid w:val="00B50CAF"/>
    <w:rsid w:val="00B517D5"/>
    <w:rsid w:val="00B5322F"/>
    <w:rsid w:val="00B534C9"/>
    <w:rsid w:val="00B539B7"/>
    <w:rsid w:val="00B54B22"/>
    <w:rsid w:val="00B54E8E"/>
    <w:rsid w:val="00B563DD"/>
    <w:rsid w:val="00B56C74"/>
    <w:rsid w:val="00B57DD2"/>
    <w:rsid w:val="00B57DE1"/>
    <w:rsid w:val="00B601C7"/>
    <w:rsid w:val="00B602BD"/>
    <w:rsid w:val="00B60545"/>
    <w:rsid w:val="00B6069E"/>
    <w:rsid w:val="00B60F21"/>
    <w:rsid w:val="00B620E1"/>
    <w:rsid w:val="00B6225F"/>
    <w:rsid w:val="00B62292"/>
    <w:rsid w:val="00B63124"/>
    <w:rsid w:val="00B64A9D"/>
    <w:rsid w:val="00B64C07"/>
    <w:rsid w:val="00B6517F"/>
    <w:rsid w:val="00B65C8A"/>
    <w:rsid w:val="00B65C90"/>
    <w:rsid w:val="00B6648D"/>
    <w:rsid w:val="00B6669D"/>
    <w:rsid w:val="00B67402"/>
    <w:rsid w:val="00B70AB6"/>
    <w:rsid w:val="00B712F6"/>
    <w:rsid w:val="00B714D5"/>
    <w:rsid w:val="00B71A28"/>
    <w:rsid w:val="00B72951"/>
    <w:rsid w:val="00B72A8E"/>
    <w:rsid w:val="00B72E51"/>
    <w:rsid w:val="00B73782"/>
    <w:rsid w:val="00B74031"/>
    <w:rsid w:val="00B74C6E"/>
    <w:rsid w:val="00B755FD"/>
    <w:rsid w:val="00B75B70"/>
    <w:rsid w:val="00B76E30"/>
    <w:rsid w:val="00B7798C"/>
    <w:rsid w:val="00B80CA6"/>
    <w:rsid w:val="00B80F3D"/>
    <w:rsid w:val="00B815AD"/>
    <w:rsid w:val="00B81CD0"/>
    <w:rsid w:val="00B82679"/>
    <w:rsid w:val="00B84700"/>
    <w:rsid w:val="00B850DA"/>
    <w:rsid w:val="00B857B4"/>
    <w:rsid w:val="00B85C56"/>
    <w:rsid w:val="00B85E01"/>
    <w:rsid w:val="00B8667A"/>
    <w:rsid w:val="00B87A8D"/>
    <w:rsid w:val="00B90177"/>
    <w:rsid w:val="00B90986"/>
    <w:rsid w:val="00B90CAA"/>
    <w:rsid w:val="00B910E2"/>
    <w:rsid w:val="00B91E42"/>
    <w:rsid w:val="00B923BC"/>
    <w:rsid w:val="00B9270E"/>
    <w:rsid w:val="00B92AFF"/>
    <w:rsid w:val="00B93573"/>
    <w:rsid w:val="00B937B0"/>
    <w:rsid w:val="00B938D8"/>
    <w:rsid w:val="00B93ACB"/>
    <w:rsid w:val="00B93B3C"/>
    <w:rsid w:val="00B9629E"/>
    <w:rsid w:val="00B96551"/>
    <w:rsid w:val="00B97AB4"/>
    <w:rsid w:val="00B97DA4"/>
    <w:rsid w:val="00BA0271"/>
    <w:rsid w:val="00BA0F61"/>
    <w:rsid w:val="00BA199C"/>
    <w:rsid w:val="00BA2A9F"/>
    <w:rsid w:val="00BA2C87"/>
    <w:rsid w:val="00BA3FA8"/>
    <w:rsid w:val="00BA4A11"/>
    <w:rsid w:val="00BA4BE0"/>
    <w:rsid w:val="00BA62CA"/>
    <w:rsid w:val="00BA635E"/>
    <w:rsid w:val="00BA6ABC"/>
    <w:rsid w:val="00BA6E43"/>
    <w:rsid w:val="00BB0250"/>
    <w:rsid w:val="00BB0537"/>
    <w:rsid w:val="00BB0A07"/>
    <w:rsid w:val="00BB0B72"/>
    <w:rsid w:val="00BB0EFB"/>
    <w:rsid w:val="00BB17F8"/>
    <w:rsid w:val="00BB1B44"/>
    <w:rsid w:val="00BB291D"/>
    <w:rsid w:val="00BB3520"/>
    <w:rsid w:val="00BB5845"/>
    <w:rsid w:val="00BB714B"/>
    <w:rsid w:val="00BB7DDC"/>
    <w:rsid w:val="00BC01C5"/>
    <w:rsid w:val="00BC0AF8"/>
    <w:rsid w:val="00BC16F4"/>
    <w:rsid w:val="00BC2391"/>
    <w:rsid w:val="00BC3837"/>
    <w:rsid w:val="00BC4AE5"/>
    <w:rsid w:val="00BC4CE5"/>
    <w:rsid w:val="00BC4F4F"/>
    <w:rsid w:val="00BC6AAA"/>
    <w:rsid w:val="00BC6DDB"/>
    <w:rsid w:val="00BD0D31"/>
    <w:rsid w:val="00BD2300"/>
    <w:rsid w:val="00BD2970"/>
    <w:rsid w:val="00BD2DE2"/>
    <w:rsid w:val="00BD2EB9"/>
    <w:rsid w:val="00BD371B"/>
    <w:rsid w:val="00BD4414"/>
    <w:rsid w:val="00BD496E"/>
    <w:rsid w:val="00BD4B08"/>
    <w:rsid w:val="00BD597E"/>
    <w:rsid w:val="00BD5BAF"/>
    <w:rsid w:val="00BD652D"/>
    <w:rsid w:val="00BD6A46"/>
    <w:rsid w:val="00BE0D55"/>
    <w:rsid w:val="00BE0F3B"/>
    <w:rsid w:val="00BE21DA"/>
    <w:rsid w:val="00BE35DC"/>
    <w:rsid w:val="00BE3A64"/>
    <w:rsid w:val="00BE3F52"/>
    <w:rsid w:val="00BE5DEA"/>
    <w:rsid w:val="00BE6422"/>
    <w:rsid w:val="00BE667A"/>
    <w:rsid w:val="00BE6705"/>
    <w:rsid w:val="00BE753A"/>
    <w:rsid w:val="00BE7818"/>
    <w:rsid w:val="00BE7F9F"/>
    <w:rsid w:val="00BF018F"/>
    <w:rsid w:val="00BF0ED4"/>
    <w:rsid w:val="00BF1C34"/>
    <w:rsid w:val="00BF1C5B"/>
    <w:rsid w:val="00BF1C9D"/>
    <w:rsid w:val="00BF43DB"/>
    <w:rsid w:val="00BF52B5"/>
    <w:rsid w:val="00BF599A"/>
    <w:rsid w:val="00BF6D3C"/>
    <w:rsid w:val="00BF6EA1"/>
    <w:rsid w:val="00BF7814"/>
    <w:rsid w:val="00BF78D0"/>
    <w:rsid w:val="00BF7942"/>
    <w:rsid w:val="00C002F5"/>
    <w:rsid w:val="00C0067A"/>
    <w:rsid w:val="00C01614"/>
    <w:rsid w:val="00C029F7"/>
    <w:rsid w:val="00C04BBC"/>
    <w:rsid w:val="00C04E5F"/>
    <w:rsid w:val="00C04FA7"/>
    <w:rsid w:val="00C05E3B"/>
    <w:rsid w:val="00C063C6"/>
    <w:rsid w:val="00C066D2"/>
    <w:rsid w:val="00C06FA9"/>
    <w:rsid w:val="00C10432"/>
    <w:rsid w:val="00C109B1"/>
    <w:rsid w:val="00C10B55"/>
    <w:rsid w:val="00C10CD3"/>
    <w:rsid w:val="00C12E5D"/>
    <w:rsid w:val="00C135FF"/>
    <w:rsid w:val="00C143AB"/>
    <w:rsid w:val="00C14400"/>
    <w:rsid w:val="00C148CC"/>
    <w:rsid w:val="00C14BF6"/>
    <w:rsid w:val="00C16BD3"/>
    <w:rsid w:val="00C201E0"/>
    <w:rsid w:val="00C20C39"/>
    <w:rsid w:val="00C20F4C"/>
    <w:rsid w:val="00C2123D"/>
    <w:rsid w:val="00C2149B"/>
    <w:rsid w:val="00C2188B"/>
    <w:rsid w:val="00C21D35"/>
    <w:rsid w:val="00C224E1"/>
    <w:rsid w:val="00C22757"/>
    <w:rsid w:val="00C232E9"/>
    <w:rsid w:val="00C233D6"/>
    <w:rsid w:val="00C23E8F"/>
    <w:rsid w:val="00C24900"/>
    <w:rsid w:val="00C2502E"/>
    <w:rsid w:val="00C2526E"/>
    <w:rsid w:val="00C260B0"/>
    <w:rsid w:val="00C264DA"/>
    <w:rsid w:val="00C26C12"/>
    <w:rsid w:val="00C27766"/>
    <w:rsid w:val="00C2792C"/>
    <w:rsid w:val="00C30565"/>
    <w:rsid w:val="00C31385"/>
    <w:rsid w:val="00C326C4"/>
    <w:rsid w:val="00C32958"/>
    <w:rsid w:val="00C32BE6"/>
    <w:rsid w:val="00C330D0"/>
    <w:rsid w:val="00C33903"/>
    <w:rsid w:val="00C34DDA"/>
    <w:rsid w:val="00C34FE1"/>
    <w:rsid w:val="00C35805"/>
    <w:rsid w:val="00C35FC9"/>
    <w:rsid w:val="00C36178"/>
    <w:rsid w:val="00C36C8A"/>
    <w:rsid w:val="00C41CC9"/>
    <w:rsid w:val="00C42074"/>
    <w:rsid w:val="00C43ECF"/>
    <w:rsid w:val="00C44920"/>
    <w:rsid w:val="00C44AE1"/>
    <w:rsid w:val="00C44F54"/>
    <w:rsid w:val="00C46EAF"/>
    <w:rsid w:val="00C507FC"/>
    <w:rsid w:val="00C5131E"/>
    <w:rsid w:val="00C51864"/>
    <w:rsid w:val="00C5226F"/>
    <w:rsid w:val="00C52F3F"/>
    <w:rsid w:val="00C5347F"/>
    <w:rsid w:val="00C5379C"/>
    <w:rsid w:val="00C53F0D"/>
    <w:rsid w:val="00C5442E"/>
    <w:rsid w:val="00C54950"/>
    <w:rsid w:val="00C549FF"/>
    <w:rsid w:val="00C555CF"/>
    <w:rsid w:val="00C55823"/>
    <w:rsid w:val="00C55D7F"/>
    <w:rsid w:val="00C56C28"/>
    <w:rsid w:val="00C57C08"/>
    <w:rsid w:val="00C6209F"/>
    <w:rsid w:val="00C6226D"/>
    <w:rsid w:val="00C62668"/>
    <w:rsid w:val="00C632AC"/>
    <w:rsid w:val="00C640C6"/>
    <w:rsid w:val="00C64240"/>
    <w:rsid w:val="00C66051"/>
    <w:rsid w:val="00C66175"/>
    <w:rsid w:val="00C66349"/>
    <w:rsid w:val="00C66704"/>
    <w:rsid w:val="00C6697B"/>
    <w:rsid w:val="00C66D51"/>
    <w:rsid w:val="00C67344"/>
    <w:rsid w:val="00C6756B"/>
    <w:rsid w:val="00C700F0"/>
    <w:rsid w:val="00C70F5A"/>
    <w:rsid w:val="00C72787"/>
    <w:rsid w:val="00C73C98"/>
    <w:rsid w:val="00C74811"/>
    <w:rsid w:val="00C74850"/>
    <w:rsid w:val="00C75523"/>
    <w:rsid w:val="00C756FE"/>
    <w:rsid w:val="00C7575D"/>
    <w:rsid w:val="00C7578B"/>
    <w:rsid w:val="00C75883"/>
    <w:rsid w:val="00C76535"/>
    <w:rsid w:val="00C76781"/>
    <w:rsid w:val="00C7688B"/>
    <w:rsid w:val="00C76F3F"/>
    <w:rsid w:val="00C8071E"/>
    <w:rsid w:val="00C80B7A"/>
    <w:rsid w:val="00C82074"/>
    <w:rsid w:val="00C82A78"/>
    <w:rsid w:val="00C83292"/>
    <w:rsid w:val="00C84298"/>
    <w:rsid w:val="00C84325"/>
    <w:rsid w:val="00C8564A"/>
    <w:rsid w:val="00C871FD"/>
    <w:rsid w:val="00C9091A"/>
    <w:rsid w:val="00C90D5D"/>
    <w:rsid w:val="00C911CA"/>
    <w:rsid w:val="00C9266A"/>
    <w:rsid w:val="00C927F1"/>
    <w:rsid w:val="00C92EBE"/>
    <w:rsid w:val="00C95536"/>
    <w:rsid w:val="00C95B72"/>
    <w:rsid w:val="00C95EDD"/>
    <w:rsid w:val="00C960A5"/>
    <w:rsid w:val="00C96192"/>
    <w:rsid w:val="00C964BD"/>
    <w:rsid w:val="00C966AE"/>
    <w:rsid w:val="00C96A44"/>
    <w:rsid w:val="00C96B05"/>
    <w:rsid w:val="00C96EC5"/>
    <w:rsid w:val="00C97465"/>
    <w:rsid w:val="00C9769C"/>
    <w:rsid w:val="00C976ED"/>
    <w:rsid w:val="00C97A1B"/>
    <w:rsid w:val="00C97D8E"/>
    <w:rsid w:val="00CA01D8"/>
    <w:rsid w:val="00CA0512"/>
    <w:rsid w:val="00CA101F"/>
    <w:rsid w:val="00CA2553"/>
    <w:rsid w:val="00CA3154"/>
    <w:rsid w:val="00CA3AA7"/>
    <w:rsid w:val="00CA527F"/>
    <w:rsid w:val="00CA5820"/>
    <w:rsid w:val="00CA71F7"/>
    <w:rsid w:val="00CB0BC0"/>
    <w:rsid w:val="00CB21F2"/>
    <w:rsid w:val="00CB27DE"/>
    <w:rsid w:val="00CB2E42"/>
    <w:rsid w:val="00CB3467"/>
    <w:rsid w:val="00CB390F"/>
    <w:rsid w:val="00CB419C"/>
    <w:rsid w:val="00CB419E"/>
    <w:rsid w:val="00CB4887"/>
    <w:rsid w:val="00CB64DB"/>
    <w:rsid w:val="00CB6D3B"/>
    <w:rsid w:val="00CB7134"/>
    <w:rsid w:val="00CC03F9"/>
    <w:rsid w:val="00CC0466"/>
    <w:rsid w:val="00CC04CB"/>
    <w:rsid w:val="00CC1A87"/>
    <w:rsid w:val="00CC20FE"/>
    <w:rsid w:val="00CC2954"/>
    <w:rsid w:val="00CC2A3F"/>
    <w:rsid w:val="00CC2BEC"/>
    <w:rsid w:val="00CC2E79"/>
    <w:rsid w:val="00CC4C24"/>
    <w:rsid w:val="00CC4FE9"/>
    <w:rsid w:val="00CC5E5F"/>
    <w:rsid w:val="00CC6A5D"/>
    <w:rsid w:val="00CC6B0F"/>
    <w:rsid w:val="00CD020C"/>
    <w:rsid w:val="00CD120B"/>
    <w:rsid w:val="00CD1BF5"/>
    <w:rsid w:val="00CD3808"/>
    <w:rsid w:val="00CD3F81"/>
    <w:rsid w:val="00CD5796"/>
    <w:rsid w:val="00CD5C5B"/>
    <w:rsid w:val="00CD5E65"/>
    <w:rsid w:val="00CD620B"/>
    <w:rsid w:val="00CD6878"/>
    <w:rsid w:val="00CD6BF6"/>
    <w:rsid w:val="00CD6DE6"/>
    <w:rsid w:val="00CD7CE2"/>
    <w:rsid w:val="00CE1B1F"/>
    <w:rsid w:val="00CE35ED"/>
    <w:rsid w:val="00CE3D3F"/>
    <w:rsid w:val="00CE5159"/>
    <w:rsid w:val="00CE73AE"/>
    <w:rsid w:val="00CE7A3A"/>
    <w:rsid w:val="00CE7E1E"/>
    <w:rsid w:val="00CE7F5B"/>
    <w:rsid w:val="00CF0247"/>
    <w:rsid w:val="00CF035E"/>
    <w:rsid w:val="00CF0459"/>
    <w:rsid w:val="00CF0E2F"/>
    <w:rsid w:val="00CF1D71"/>
    <w:rsid w:val="00CF274C"/>
    <w:rsid w:val="00CF44F3"/>
    <w:rsid w:val="00CF513E"/>
    <w:rsid w:val="00CF52FA"/>
    <w:rsid w:val="00CF5368"/>
    <w:rsid w:val="00CF5F66"/>
    <w:rsid w:val="00CF5FFB"/>
    <w:rsid w:val="00CF7A98"/>
    <w:rsid w:val="00CF7D7B"/>
    <w:rsid w:val="00CF7F5B"/>
    <w:rsid w:val="00D00076"/>
    <w:rsid w:val="00D008F3"/>
    <w:rsid w:val="00D0119A"/>
    <w:rsid w:val="00D012E1"/>
    <w:rsid w:val="00D013EB"/>
    <w:rsid w:val="00D0167A"/>
    <w:rsid w:val="00D01B02"/>
    <w:rsid w:val="00D01D21"/>
    <w:rsid w:val="00D020BC"/>
    <w:rsid w:val="00D02391"/>
    <w:rsid w:val="00D02C31"/>
    <w:rsid w:val="00D032FE"/>
    <w:rsid w:val="00D0372F"/>
    <w:rsid w:val="00D0380C"/>
    <w:rsid w:val="00D04727"/>
    <w:rsid w:val="00D05933"/>
    <w:rsid w:val="00D05A40"/>
    <w:rsid w:val="00D05A8B"/>
    <w:rsid w:val="00D0606E"/>
    <w:rsid w:val="00D06165"/>
    <w:rsid w:val="00D06923"/>
    <w:rsid w:val="00D071C4"/>
    <w:rsid w:val="00D10286"/>
    <w:rsid w:val="00D108BA"/>
    <w:rsid w:val="00D10B84"/>
    <w:rsid w:val="00D11626"/>
    <w:rsid w:val="00D11D50"/>
    <w:rsid w:val="00D124ED"/>
    <w:rsid w:val="00D13142"/>
    <w:rsid w:val="00D13388"/>
    <w:rsid w:val="00D137F0"/>
    <w:rsid w:val="00D1527C"/>
    <w:rsid w:val="00D1539A"/>
    <w:rsid w:val="00D16CF5"/>
    <w:rsid w:val="00D16E37"/>
    <w:rsid w:val="00D179B4"/>
    <w:rsid w:val="00D17CB4"/>
    <w:rsid w:val="00D20764"/>
    <w:rsid w:val="00D20D2F"/>
    <w:rsid w:val="00D21EBC"/>
    <w:rsid w:val="00D22A48"/>
    <w:rsid w:val="00D22A97"/>
    <w:rsid w:val="00D22EB4"/>
    <w:rsid w:val="00D239F1"/>
    <w:rsid w:val="00D23DAD"/>
    <w:rsid w:val="00D23EAE"/>
    <w:rsid w:val="00D24167"/>
    <w:rsid w:val="00D2476C"/>
    <w:rsid w:val="00D25DDF"/>
    <w:rsid w:val="00D27C63"/>
    <w:rsid w:val="00D301EF"/>
    <w:rsid w:val="00D308B1"/>
    <w:rsid w:val="00D30C4E"/>
    <w:rsid w:val="00D31050"/>
    <w:rsid w:val="00D324B4"/>
    <w:rsid w:val="00D334D5"/>
    <w:rsid w:val="00D33D95"/>
    <w:rsid w:val="00D34902"/>
    <w:rsid w:val="00D355D4"/>
    <w:rsid w:val="00D35F65"/>
    <w:rsid w:val="00D3721E"/>
    <w:rsid w:val="00D373EC"/>
    <w:rsid w:val="00D41169"/>
    <w:rsid w:val="00D43063"/>
    <w:rsid w:val="00D43EA4"/>
    <w:rsid w:val="00D4452D"/>
    <w:rsid w:val="00D44C21"/>
    <w:rsid w:val="00D44CD4"/>
    <w:rsid w:val="00D45417"/>
    <w:rsid w:val="00D4579B"/>
    <w:rsid w:val="00D45D1B"/>
    <w:rsid w:val="00D469BA"/>
    <w:rsid w:val="00D4714E"/>
    <w:rsid w:val="00D47F6F"/>
    <w:rsid w:val="00D5033D"/>
    <w:rsid w:val="00D50D62"/>
    <w:rsid w:val="00D511C8"/>
    <w:rsid w:val="00D513E4"/>
    <w:rsid w:val="00D5142C"/>
    <w:rsid w:val="00D517A2"/>
    <w:rsid w:val="00D525F0"/>
    <w:rsid w:val="00D53012"/>
    <w:rsid w:val="00D53B96"/>
    <w:rsid w:val="00D53FB3"/>
    <w:rsid w:val="00D55C5F"/>
    <w:rsid w:val="00D56021"/>
    <w:rsid w:val="00D568D5"/>
    <w:rsid w:val="00D57E8A"/>
    <w:rsid w:val="00D602C1"/>
    <w:rsid w:val="00D6051C"/>
    <w:rsid w:val="00D6163A"/>
    <w:rsid w:val="00D620E6"/>
    <w:rsid w:val="00D620F5"/>
    <w:rsid w:val="00D62471"/>
    <w:rsid w:val="00D646B4"/>
    <w:rsid w:val="00D64B22"/>
    <w:rsid w:val="00D67455"/>
    <w:rsid w:val="00D70478"/>
    <w:rsid w:val="00D70780"/>
    <w:rsid w:val="00D709CF"/>
    <w:rsid w:val="00D70EA7"/>
    <w:rsid w:val="00D715CE"/>
    <w:rsid w:val="00D71E49"/>
    <w:rsid w:val="00D724DE"/>
    <w:rsid w:val="00D72BCE"/>
    <w:rsid w:val="00D73791"/>
    <w:rsid w:val="00D74851"/>
    <w:rsid w:val="00D75D8E"/>
    <w:rsid w:val="00D76164"/>
    <w:rsid w:val="00D76DD3"/>
    <w:rsid w:val="00D770AB"/>
    <w:rsid w:val="00D77430"/>
    <w:rsid w:val="00D77F5B"/>
    <w:rsid w:val="00D80408"/>
    <w:rsid w:val="00D80D81"/>
    <w:rsid w:val="00D821CC"/>
    <w:rsid w:val="00D824EE"/>
    <w:rsid w:val="00D83AB2"/>
    <w:rsid w:val="00D83D5D"/>
    <w:rsid w:val="00D8454E"/>
    <w:rsid w:val="00D8503E"/>
    <w:rsid w:val="00D85560"/>
    <w:rsid w:val="00D85884"/>
    <w:rsid w:val="00D85A44"/>
    <w:rsid w:val="00D86548"/>
    <w:rsid w:val="00D87343"/>
    <w:rsid w:val="00D92D05"/>
    <w:rsid w:val="00D9300C"/>
    <w:rsid w:val="00D93DA1"/>
    <w:rsid w:val="00D93DB6"/>
    <w:rsid w:val="00D97777"/>
    <w:rsid w:val="00D9781D"/>
    <w:rsid w:val="00D97AB1"/>
    <w:rsid w:val="00DA051E"/>
    <w:rsid w:val="00DA0D3F"/>
    <w:rsid w:val="00DA1012"/>
    <w:rsid w:val="00DA1D04"/>
    <w:rsid w:val="00DA2945"/>
    <w:rsid w:val="00DA2ABB"/>
    <w:rsid w:val="00DA2BB9"/>
    <w:rsid w:val="00DA616B"/>
    <w:rsid w:val="00DA7A35"/>
    <w:rsid w:val="00DB0C60"/>
    <w:rsid w:val="00DB0FF8"/>
    <w:rsid w:val="00DB134B"/>
    <w:rsid w:val="00DB15A3"/>
    <w:rsid w:val="00DB1C71"/>
    <w:rsid w:val="00DB31AC"/>
    <w:rsid w:val="00DB5411"/>
    <w:rsid w:val="00DB68B5"/>
    <w:rsid w:val="00DB691F"/>
    <w:rsid w:val="00DB6EEC"/>
    <w:rsid w:val="00DB7C14"/>
    <w:rsid w:val="00DC11D9"/>
    <w:rsid w:val="00DC13FF"/>
    <w:rsid w:val="00DC1595"/>
    <w:rsid w:val="00DC3CD3"/>
    <w:rsid w:val="00DC3CDD"/>
    <w:rsid w:val="00DC4A94"/>
    <w:rsid w:val="00DC56B7"/>
    <w:rsid w:val="00DC5C88"/>
    <w:rsid w:val="00DC652E"/>
    <w:rsid w:val="00DC6BF6"/>
    <w:rsid w:val="00DC6D2C"/>
    <w:rsid w:val="00DC70B0"/>
    <w:rsid w:val="00DC70FF"/>
    <w:rsid w:val="00DC71F1"/>
    <w:rsid w:val="00DC7615"/>
    <w:rsid w:val="00DC77E3"/>
    <w:rsid w:val="00DD0845"/>
    <w:rsid w:val="00DD0E47"/>
    <w:rsid w:val="00DD264B"/>
    <w:rsid w:val="00DD28F7"/>
    <w:rsid w:val="00DD38BF"/>
    <w:rsid w:val="00DD3A03"/>
    <w:rsid w:val="00DD3C06"/>
    <w:rsid w:val="00DD3C1F"/>
    <w:rsid w:val="00DD4D8F"/>
    <w:rsid w:val="00DD4E92"/>
    <w:rsid w:val="00DD5361"/>
    <w:rsid w:val="00DD53BA"/>
    <w:rsid w:val="00DD556C"/>
    <w:rsid w:val="00DD5A1C"/>
    <w:rsid w:val="00DE0199"/>
    <w:rsid w:val="00DE1217"/>
    <w:rsid w:val="00DE1540"/>
    <w:rsid w:val="00DE2B33"/>
    <w:rsid w:val="00DE2F9E"/>
    <w:rsid w:val="00DE31D5"/>
    <w:rsid w:val="00DE351A"/>
    <w:rsid w:val="00DE400C"/>
    <w:rsid w:val="00DE44CA"/>
    <w:rsid w:val="00DE48D8"/>
    <w:rsid w:val="00DE4E5C"/>
    <w:rsid w:val="00DE6A3A"/>
    <w:rsid w:val="00DE6B40"/>
    <w:rsid w:val="00DE6D52"/>
    <w:rsid w:val="00DE6D93"/>
    <w:rsid w:val="00DE794C"/>
    <w:rsid w:val="00DE7B78"/>
    <w:rsid w:val="00DF03EE"/>
    <w:rsid w:val="00DF1DEF"/>
    <w:rsid w:val="00DF2145"/>
    <w:rsid w:val="00DF2DBB"/>
    <w:rsid w:val="00DF3980"/>
    <w:rsid w:val="00DF4CAD"/>
    <w:rsid w:val="00DF5147"/>
    <w:rsid w:val="00DF526F"/>
    <w:rsid w:val="00DF573B"/>
    <w:rsid w:val="00DF5E44"/>
    <w:rsid w:val="00DF5EA6"/>
    <w:rsid w:val="00DF5F6A"/>
    <w:rsid w:val="00DF63BD"/>
    <w:rsid w:val="00DF63D7"/>
    <w:rsid w:val="00DF65B7"/>
    <w:rsid w:val="00DF7DD1"/>
    <w:rsid w:val="00DF7FAC"/>
    <w:rsid w:val="00E008E4"/>
    <w:rsid w:val="00E00EC9"/>
    <w:rsid w:val="00E011F1"/>
    <w:rsid w:val="00E014C7"/>
    <w:rsid w:val="00E01BCF"/>
    <w:rsid w:val="00E026C9"/>
    <w:rsid w:val="00E02B0A"/>
    <w:rsid w:val="00E04816"/>
    <w:rsid w:val="00E051B6"/>
    <w:rsid w:val="00E059FF"/>
    <w:rsid w:val="00E05FAA"/>
    <w:rsid w:val="00E0653F"/>
    <w:rsid w:val="00E06815"/>
    <w:rsid w:val="00E06EC8"/>
    <w:rsid w:val="00E07EAD"/>
    <w:rsid w:val="00E10686"/>
    <w:rsid w:val="00E119C1"/>
    <w:rsid w:val="00E12053"/>
    <w:rsid w:val="00E125BD"/>
    <w:rsid w:val="00E1461D"/>
    <w:rsid w:val="00E155D1"/>
    <w:rsid w:val="00E1618E"/>
    <w:rsid w:val="00E16208"/>
    <w:rsid w:val="00E17079"/>
    <w:rsid w:val="00E20818"/>
    <w:rsid w:val="00E215B2"/>
    <w:rsid w:val="00E21CD2"/>
    <w:rsid w:val="00E21DBF"/>
    <w:rsid w:val="00E21EF8"/>
    <w:rsid w:val="00E21F18"/>
    <w:rsid w:val="00E228EE"/>
    <w:rsid w:val="00E23E5D"/>
    <w:rsid w:val="00E23E8A"/>
    <w:rsid w:val="00E257DC"/>
    <w:rsid w:val="00E2604F"/>
    <w:rsid w:val="00E266A4"/>
    <w:rsid w:val="00E3014B"/>
    <w:rsid w:val="00E310A8"/>
    <w:rsid w:val="00E317C7"/>
    <w:rsid w:val="00E3310C"/>
    <w:rsid w:val="00E334B6"/>
    <w:rsid w:val="00E334F8"/>
    <w:rsid w:val="00E3418E"/>
    <w:rsid w:val="00E34564"/>
    <w:rsid w:val="00E35361"/>
    <w:rsid w:val="00E360D0"/>
    <w:rsid w:val="00E36978"/>
    <w:rsid w:val="00E369C6"/>
    <w:rsid w:val="00E36B16"/>
    <w:rsid w:val="00E373DC"/>
    <w:rsid w:val="00E37422"/>
    <w:rsid w:val="00E3781B"/>
    <w:rsid w:val="00E37C69"/>
    <w:rsid w:val="00E41472"/>
    <w:rsid w:val="00E41949"/>
    <w:rsid w:val="00E433AA"/>
    <w:rsid w:val="00E43454"/>
    <w:rsid w:val="00E4498E"/>
    <w:rsid w:val="00E453A8"/>
    <w:rsid w:val="00E46089"/>
    <w:rsid w:val="00E47269"/>
    <w:rsid w:val="00E47B07"/>
    <w:rsid w:val="00E504CD"/>
    <w:rsid w:val="00E51205"/>
    <w:rsid w:val="00E51DC1"/>
    <w:rsid w:val="00E533AC"/>
    <w:rsid w:val="00E54334"/>
    <w:rsid w:val="00E5597F"/>
    <w:rsid w:val="00E572DB"/>
    <w:rsid w:val="00E61FF6"/>
    <w:rsid w:val="00E62083"/>
    <w:rsid w:val="00E62BAE"/>
    <w:rsid w:val="00E63387"/>
    <w:rsid w:val="00E64605"/>
    <w:rsid w:val="00E667AC"/>
    <w:rsid w:val="00E66A5F"/>
    <w:rsid w:val="00E671A8"/>
    <w:rsid w:val="00E673C8"/>
    <w:rsid w:val="00E6741D"/>
    <w:rsid w:val="00E67886"/>
    <w:rsid w:val="00E67B25"/>
    <w:rsid w:val="00E70461"/>
    <w:rsid w:val="00E716E9"/>
    <w:rsid w:val="00E72776"/>
    <w:rsid w:val="00E72936"/>
    <w:rsid w:val="00E72D4B"/>
    <w:rsid w:val="00E72DF1"/>
    <w:rsid w:val="00E736D3"/>
    <w:rsid w:val="00E741E8"/>
    <w:rsid w:val="00E752FB"/>
    <w:rsid w:val="00E759BC"/>
    <w:rsid w:val="00E767EB"/>
    <w:rsid w:val="00E77772"/>
    <w:rsid w:val="00E8072D"/>
    <w:rsid w:val="00E812B6"/>
    <w:rsid w:val="00E82E15"/>
    <w:rsid w:val="00E834BA"/>
    <w:rsid w:val="00E836D2"/>
    <w:rsid w:val="00E83857"/>
    <w:rsid w:val="00E84791"/>
    <w:rsid w:val="00E84CAD"/>
    <w:rsid w:val="00E85990"/>
    <w:rsid w:val="00E8614E"/>
    <w:rsid w:val="00E86BF8"/>
    <w:rsid w:val="00E8742B"/>
    <w:rsid w:val="00E877EC"/>
    <w:rsid w:val="00E87CA9"/>
    <w:rsid w:val="00E9152B"/>
    <w:rsid w:val="00E9181A"/>
    <w:rsid w:val="00E91E7B"/>
    <w:rsid w:val="00E9304A"/>
    <w:rsid w:val="00E935CC"/>
    <w:rsid w:val="00E94616"/>
    <w:rsid w:val="00E94DDB"/>
    <w:rsid w:val="00E9599A"/>
    <w:rsid w:val="00E96A1D"/>
    <w:rsid w:val="00E971C4"/>
    <w:rsid w:val="00EA071A"/>
    <w:rsid w:val="00EA1199"/>
    <w:rsid w:val="00EA1274"/>
    <w:rsid w:val="00EA16AA"/>
    <w:rsid w:val="00EA2327"/>
    <w:rsid w:val="00EA2782"/>
    <w:rsid w:val="00EA2BF1"/>
    <w:rsid w:val="00EA33E8"/>
    <w:rsid w:val="00EA34D2"/>
    <w:rsid w:val="00EA4967"/>
    <w:rsid w:val="00EA4DBB"/>
    <w:rsid w:val="00EA56DD"/>
    <w:rsid w:val="00EA5845"/>
    <w:rsid w:val="00EA599E"/>
    <w:rsid w:val="00EA61A7"/>
    <w:rsid w:val="00EA665C"/>
    <w:rsid w:val="00EA680B"/>
    <w:rsid w:val="00EA69E3"/>
    <w:rsid w:val="00EA6B2E"/>
    <w:rsid w:val="00EA6C37"/>
    <w:rsid w:val="00EA6FAC"/>
    <w:rsid w:val="00EA7F08"/>
    <w:rsid w:val="00EB26A9"/>
    <w:rsid w:val="00EB299F"/>
    <w:rsid w:val="00EB2FEB"/>
    <w:rsid w:val="00EB3C29"/>
    <w:rsid w:val="00EB4771"/>
    <w:rsid w:val="00EB51E6"/>
    <w:rsid w:val="00EB5AC6"/>
    <w:rsid w:val="00EB5B63"/>
    <w:rsid w:val="00EB6321"/>
    <w:rsid w:val="00EB673C"/>
    <w:rsid w:val="00EB6B08"/>
    <w:rsid w:val="00EB6F49"/>
    <w:rsid w:val="00EB7ABA"/>
    <w:rsid w:val="00EB7B69"/>
    <w:rsid w:val="00EC027D"/>
    <w:rsid w:val="00EC033E"/>
    <w:rsid w:val="00EC0AD5"/>
    <w:rsid w:val="00EC0D2F"/>
    <w:rsid w:val="00EC0F4E"/>
    <w:rsid w:val="00EC311D"/>
    <w:rsid w:val="00EC38D6"/>
    <w:rsid w:val="00EC3AEF"/>
    <w:rsid w:val="00EC4772"/>
    <w:rsid w:val="00EC4C96"/>
    <w:rsid w:val="00EC51AF"/>
    <w:rsid w:val="00EC5B20"/>
    <w:rsid w:val="00EC6555"/>
    <w:rsid w:val="00EC6F3F"/>
    <w:rsid w:val="00EC70E2"/>
    <w:rsid w:val="00EC74E0"/>
    <w:rsid w:val="00EC7B26"/>
    <w:rsid w:val="00ED008E"/>
    <w:rsid w:val="00ED062F"/>
    <w:rsid w:val="00ED15BB"/>
    <w:rsid w:val="00ED1A39"/>
    <w:rsid w:val="00ED1CA4"/>
    <w:rsid w:val="00ED1E5F"/>
    <w:rsid w:val="00ED2544"/>
    <w:rsid w:val="00ED256E"/>
    <w:rsid w:val="00ED31FA"/>
    <w:rsid w:val="00ED3599"/>
    <w:rsid w:val="00ED39B3"/>
    <w:rsid w:val="00ED3C4C"/>
    <w:rsid w:val="00ED421C"/>
    <w:rsid w:val="00ED521A"/>
    <w:rsid w:val="00ED563D"/>
    <w:rsid w:val="00ED5728"/>
    <w:rsid w:val="00ED7427"/>
    <w:rsid w:val="00EE001D"/>
    <w:rsid w:val="00EE10B5"/>
    <w:rsid w:val="00EE1E52"/>
    <w:rsid w:val="00EE1F13"/>
    <w:rsid w:val="00EE1F76"/>
    <w:rsid w:val="00EE30FA"/>
    <w:rsid w:val="00EE33DD"/>
    <w:rsid w:val="00EE42BB"/>
    <w:rsid w:val="00EE42D2"/>
    <w:rsid w:val="00EE44CE"/>
    <w:rsid w:val="00EE4F08"/>
    <w:rsid w:val="00EE5021"/>
    <w:rsid w:val="00EE520F"/>
    <w:rsid w:val="00EE6300"/>
    <w:rsid w:val="00EE6726"/>
    <w:rsid w:val="00EE6A91"/>
    <w:rsid w:val="00EE73D5"/>
    <w:rsid w:val="00EE77F7"/>
    <w:rsid w:val="00EF0676"/>
    <w:rsid w:val="00EF0709"/>
    <w:rsid w:val="00EF0DFB"/>
    <w:rsid w:val="00EF1692"/>
    <w:rsid w:val="00EF1AFF"/>
    <w:rsid w:val="00EF2046"/>
    <w:rsid w:val="00EF254F"/>
    <w:rsid w:val="00EF41E2"/>
    <w:rsid w:val="00EF4298"/>
    <w:rsid w:val="00EF4BC1"/>
    <w:rsid w:val="00EF5F40"/>
    <w:rsid w:val="00EF6AF4"/>
    <w:rsid w:val="00F00275"/>
    <w:rsid w:val="00F0208F"/>
    <w:rsid w:val="00F0459C"/>
    <w:rsid w:val="00F048AC"/>
    <w:rsid w:val="00F04C87"/>
    <w:rsid w:val="00F05086"/>
    <w:rsid w:val="00F0508D"/>
    <w:rsid w:val="00F05334"/>
    <w:rsid w:val="00F06B55"/>
    <w:rsid w:val="00F06E0D"/>
    <w:rsid w:val="00F07251"/>
    <w:rsid w:val="00F12070"/>
    <w:rsid w:val="00F12416"/>
    <w:rsid w:val="00F132CC"/>
    <w:rsid w:val="00F13E67"/>
    <w:rsid w:val="00F14450"/>
    <w:rsid w:val="00F14A45"/>
    <w:rsid w:val="00F15086"/>
    <w:rsid w:val="00F15216"/>
    <w:rsid w:val="00F152C9"/>
    <w:rsid w:val="00F15656"/>
    <w:rsid w:val="00F16769"/>
    <w:rsid w:val="00F17973"/>
    <w:rsid w:val="00F17B81"/>
    <w:rsid w:val="00F201ED"/>
    <w:rsid w:val="00F208C3"/>
    <w:rsid w:val="00F20B7A"/>
    <w:rsid w:val="00F20ECB"/>
    <w:rsid w:val="00F20F58"/>
    <w:rsid w:val="00F21064"/>
    <w:rsid w:val="00F215E9"/>
    <w:rsid w:val="00F2275F"/>
    <w:rsid w:val="00F23284"/>
    <w:rsid w:val="00F23CAA"/>
    <w:rsid w:val="00F23F33"/>
    <w:rsid w:val="00F24E8F"/>
    <w:rsid w:val="00F24EEF"/>
    <w:rsid w:val="00F253CE"/>
    <w:rsid w:val="00F256CB"/>
    <w:rsid w:val="00F25F74"/>
    <w:rsid w:val="00F262E0"/>
    <w:rsid w:val="00F26DD5"/>
    <w:rsid w:val="00F27013"/>
    <w:rsid w:val="00F275B8"/>
    <w:rsid w:val="00F30A58"/>
    <w:rsid w:val="00F32864"/>
    <w:rsid w:val="00F33BF6"/>
    <w:rsid w:val="00F34802"/>
    <w:rsid w:val="00F34994"/>
    <w:rsid w:val="00F35907"/>
    <w:rsid w:val="00F361C6"/>
    <w:rsid w:val="00F365EA"/>
    <w:rsid w:val="00F370E2"/>
    <w:rsid w:val="00F3768D"/>
    <w:rsid w:val="00F40C6B"/>
    <w:rsid w:val="00F4197F"/>
    <w:rsid w:val="00F41A81"/>
    <w:rsid w:val="00F422B3"/>
    <w:rsid w:val="00F42B6F"/>
    <w:rsid w:val="00F42C90"/>
    <w:rsid w:val="00F43C7F"/>
    <w:rsid w:val="00F43E58"/>
    <w:rsid w:val="00F44C56"/>
    <w:rsid w:val="00F450E3"/>
    <w:rsid w:val="00F4741E"/>
    <w:rsid w:val="00F47479"/>
    <w:rsid w:val="00F47952"/>
    <w:rsid w:val="00F50CF3"/>
    <w:rsid w:val="00F51242"/>
    <w:rsid w:val="00F5176B"/>
    <w:rsid w:val="00F51DC0"/>
    <w:rsid w:val="00F52F2E"/>
    <w:rsid w:val="00F53385"/>
    <w:rsid w:val="00F54B18"/>
    <w:rsid w:val="00F54D90"/>
    <w:rsid w:val="00F55684"/>
    <w:rsid w:val="00F5587A"/>
    <w:rsid w:val="00F5620C"/>
    <w:rsid w:val="00F60C36"/>
    <w:rsid w:val="00F60E2A"/>
    <w:rsid w:val="00F6135C"/>
    <w:rsid w:val="00F618AA"/>
    <w:rsid w:val="00F61C3E"/>
    <w:rsid w:val="00F6230E"/>
    <w:rsid w:val="00F63041"/>
    <w:rsid w:val="00F6369C"/>
    <w:rsid w:val="00F64B9F"/>
    <w:rsid w:val="00F65150"/>
    <w:rsid w:val="00F652DE"/>
    <w:rsid w:val="00F65EB1"/>
    <w:rsid w:val="00F65F28"/>
    <w:rsid w:val="00F6785E"/>
    <w:rsid w:val="00F67B7F"/>
    <w:rsid w:val="00F67BB4"/>
    <w:rsid w:val="00F701CA"/>
    <w:rsid w:val="00F70249"/>
    <w:rsid w:val="00F70D47"/>
    <w:rsid w:val="00F713FC"/>
    <w:rsid w:val="00F71576"/>
    <w:rsid w:val="00F716AF"/>
    <w:rsid w:val="00F72395"/>
    <w:rsid w:val="00F73A03"/>
    <w:rsid w:val="00F73C92"/>
    <w:rsid w:val="00F744B0"/>
    <w:rsid w:val="00F75B71"/>
    <w:rsid w:val="00F76D13"/>
    <w:rsid w:val="00F770DC"/>
    <w:rsid w:val="00F7742D"/>
    <w:rsid w:val="00F77A1B"/>
    <w:rsid w:val="00F80EE2"/>
    <w:rsid w:val="00F813F6"/>
    <w:rsid w:val="00F8148F"/>
    <w:rsid w:val="00F81BA6"/>
    <w:rsid w:val="00F81D34"/>
    <w:rsid w:val="00F833AF"/>
    <w:rsid w:val="00F83F96"/>
    <w:rsid w:val="00F8456C"/>
    <w:rsid w:val="00F85E76"/>
    <w:rsid w:val="00F861F4"/>
    <w:rsid w:val="00F8664C"/>
    <w:rsid w:val="00F86660"/>
    <w:rsid w:val="00F874C4"/>
    <w:rsid w:val="00F875C9"/>
    <w:rsid w:val="00F90790"/>
    <w:rsid w:val="00F90CAC"/>
    <w:rsid w:val="00F90DD7"/>
    <w:rsid w:val="00F9157E"/>
    <w:rsid w:val="00F91BF3"/>
    <w:rsid w:val="00F91EDA"/>
    <w:rsid w:val="00F92B4A"/>
    <w:rsid w:val="00F92C9E"/>
    <w:rsid w:val="00F94E8E"/>
    <w:rsid w:val="00F96A06"/>
    <w:rsid w:val="00F96E20"/>
    <w:rsid w:val="00F972C0"/>
    <w:rsid w:val="00F97DF8"/>
    <w:rsid w:val="00FA03D2"/>
    <w:rsid w:val="00FA0B0B"/>
    <w:rsid w:val="00FA0D8B"/>
    <w:rsid w:val="00FA1A05"/>
    <w:rsid w:val="00FA2C80"/>
    <w:rsid w:val="00FA3B5D"/>
    <w:rsid w:val="00FA437B"/>
    <w:rsid w:val="00FA4E24"/>
    <w:rsid w:val="00FA7006"/>
    <w:rsid w:val="00FA725F"/>
    <w:rsid w:val="00FA7F35"/>
    <w:rsid w:val="00FB0725"/>
    <w:rsid w:val="00FB09C0"/>
    <w:rsid w:val="00FB14C3"/>
    <w:rsid w:val="00FB1F18"/>
    <w:rsid w:val="00FB21B4"/>
    <w:rsid w:val="00FB2474"/>
    <w:rsid w:val="00FB27B8"/>
    <w:rsid w:val="00FB2E99"/>
    <w:rsid w:val="00FB3254"/>
    <w:rsid w:val="00FB4BF6"/>
    <w:rsid w:val="00FB5224"/>
    <w:rsid w:val="00FB5BF2"/>
    <w:rsid w:val="00FB5D9B"/>
    <w:rsid w:val="00FB7CDE"/>
    <w:rsid w:val="00FC0238"/>
    <w:rsid w:val="00FC0BED"/>
    <w:rsid w:val="00FC17EC"/>
    <w:rsid w:val="00FC18CF"/>
    <w:rsid w:val="00FC24C3"/>
    <w:rsid w:val="00FC2FC9"/>
    <w:rsid w:val="00FC320B"/>
    <w:rsid w:val="00FC3820"/>
    <w:rsid w:val="00FC5A1B"/>
    <w:rsid w:val="00FC6F84"/>
    <w:rsid w:val="00FD092A"/>
    <w:rsid w:val="00FD23E6"/>
    <w:rsid w:val="00FD3197"/>
    <w:rsid w:val="00FD3976"/>
    <w:rsid w:val="00FD4511"/>
    <w:rsid w:val="00FD4583"/>
    <w:rsid w:val="00FD4DE8"/>
    <w:rsid w:val="00FD5012"/>
    <w:rsid w:val="00FD56A8"/>
    <w:rsid w:val="00FD5AFE"/>
    <w:rsid w:val="00FD647C"/>
    <w:rsid w:val="00FD74D5"/>
    <w:rsid w:val="00FD76AE"/>
    <w:rsid w:val="00FE0000"/>
    <w:rsid w:val="00FE19C3"/>
    <w:rsid w:val="00FE1A46"/>
    <w:rsid w:val="00FE23AB"/>
    <w:rsid w:val="00FE2EC6"/>
    <w:rsid w:val="00FE3ECE"/>
    <w:rsid w:val="00FE4073"/>
    <w:rsid w:val="00FE5F3D"/>
    <w:rsid w:val="00FE6598"/>
    <w:rsid w:val="00FF118C"/>
    <w:rsid w:val="00FF1A6D"/>
    <w:rsid w:val="00FF1FC6"/>
    <w:rsid w:val="00FF33B1"/>
    <w:rsid w:val="00FF33D5"/>
    <w:rsid w:val="00FF40BD"/>
    <w:rsid w:val="00FF4C85"/>
    <w:rsid w:val="00FF4EE7"/>
    <w:rsid w:val="00FF5B60"/>
    <w:rsid w:val="00FF5BB2"/>
    <w:rsid w:val="00FF6791"/>
    <w:rsid w:val="00FF69F0"/>
    <w:rsid w:val="00FF6A28"/>
    <w:rsid w:val="00FF6D23"/>
    <w:rsid w:val="030059AC"/>
    <w:rsid w:val="038801CB"/>
    <w:rsid w:val="044C78A1"/>
    <w:rsid w:val="04CE5217"/>
    <w:rsid w:val="04DB4F37"/>
    <w:rsid w:val="05003A64"/>
    <w:rsid w:val="06447461"/>
    <w:rsid w:val="06E122E2"/>
    <w:rsid w:val="06E20566"/>
    <w:rsid w:val="08430235"/>
    <w:rsid w:val="08F71472"/>
    <w:rsid w:val="09281778"/>
    <w:rsid w:val="09485E33"/>
    <w:rsid w:val="09B639EE"/>
    <w:rsid w:val="09F13856"/>
    <w:rsid w:val="0C0C4DA6"/>
    <w:rsid w:val="0D505977"/>
    <w:rsid w:val="0DF20C15"/>
    <w:rsid w:val="0DFF6D26"/>
    <w:rsid w:val="0E111002"/>
    <w:rsid w:val="0E8725E5"/>
    <w:rsid w:val="0FB26B56"/>
    <w:rsid w:val="103602A9"/>
    <w:rsid w:val="10F50FCE"/>
    <w:rsid w:val="121736BF"/>
    <w:rsid w:val="12553EAB"/>
    <w:rsid w:val="13FC6E63"/>
    <w:rsid w:val="152D5FBA"/>
    <w:rsid w:val="16FC01A7"/>
    <w:rsid w:val="17A307D4"/>
    <w:rsid w:val="187C2303"/>
    <w:rsid w:val="19396B22"/>
    <w:rsid w:val="1B1A6E82"/>
    <w:rsid w:val="1B427EDA"/>
    <w:rsid w:val="1B777B0B"/>
    <w:rsid w:val="1B8803F2"/>
    <w:rsid w:val="1BAB06D5"/>
    <w:rsid w:val="1CDC49CE"/>
    <w:rsid w:val="1E4053B2"/>
    <w:rsid w:val="1EBF690D"/>
    <w:rsid w:val="204602A6"/>
    <w:rsid w:val="20AA39C4"/>
    <w:rsid w:val="21054F87"/>
    <w:rsid w:val="21607EFD"/>
    <w:rsid w:val="221B31F0"/>
    <w:rsid w:val="23A06104"/>
    <w:rsid w:val="24952201"/>
    <w:rsid w:val="24CC4B5B"/>
    <w:rsid w:val="259E6F83"/>
    <w:rsid w:val="26630520"/>
    <w:rsid w:val="2666743A"/>
    <w:rsid w:val="276D1A8F"/>
    <w:rsid w:val="279C279D"/>
    <w:rsid w:val="27FE3B96"/>
    <w:rsid w:val="29FC36F6"/>
    <w:rsid w:val="2BF16F79"/>
    <w:rsid w:val="2CF15395"/>
    <w:rsid w:val="2D334C33"/>
    <w:rsid w:val="2F30205D"/>
    <w:rsid w:val="2FA3267B"/>
    <w:rsid w:val="30261B0F"/>
    <w:rsid w:val="309E69F8"/>
    <w:rsid w:val="31D936B8"/>
    <w:rsid w:val="3271262D"/>
    <w:rsid w:val="339C5890"/>
    <w:rsid w:val="342A0C7B"/>
    <w:rsid w:val="39504CEB"/>
    <w:rsid w:val="3B884D0F"/>
    <w:rsid w:val="3BB92D7D"/>
    <w:rsid w:val="3CA82078"/>
    <w:rsid w:val="3D82016F"/>
    <w:rsid w:val="3E6D486F"/>
    <w:rsid w:val="3EA37962"/>
    <w:rsid w:val="3F9E380C"/>
    <w:rsid w:val="403B3093"/>
    <w:rsid w:val="404821C1"/>
    <w:rsid w:val="43D45C29"/>
    <w:rsid w:val="43D506E7"/>
    <w:rsid w:val="44E332D9"/>
    <w:rsid w:val="44F27A50"/>
    <w:rsid w:val="45874DB3"/>
    <w:rsid w:val="45EA5E45"/>
    <w:rsid w:val="460A503D"/>
    <w:rsid w:val="46835BFA"/>
    <w:rsid w:val="46A72752"/>
    <w:rsid w:val="471440F0"/>
    <w:rsid w:val="475526F5"/>
    <w:rsid w:val="48071F0F"/>
    <w:rsid w:val="48410ACF"/>
    <w:rsid w:val="48F65B64"/>
    <w:rsid w:val="49280F94"/>
    <w:rsid w:val="4B0B22DC"/>
    <w:rsid w:val="4BBD1E2B"/>
    <w:rsid w:val="4BFC4488"/>
    <w:rsid w:val="4BFE1513"/>
    <w:rsid w:val="4CD02BB4"/>
    <w:rsid w:val="4D4B0522"/>
    <w:rsid w:val="4DA81ED0"/>
    <w:rsid w:val="4F881EA8"/>
    <w:rsid w:val="509A58D7"/>
    <w:rsid w:val="50D00A17"/>
    <w:rsid w:val="5110309C"/>
    <w:rsid w:val="518D19AF"/>
    <w:rsid w:val="51EF73E4"/>
    <w:rsid w:val="56200855"/>
    <w:rsid w:val="56261C42"/>
    <w:rsid w:val="56B23CEB"/>
    <w:rsid w:val="56D807D1"/>
    <w:rsid w:val="5841072E"/>
    <w:rsid w:val="58423124"/>
    <w:rsid w:val="58E275C0"/>
    <w:rsid w:val="59D517C5"/>
    <w:rsid w:val="59FF41DA"/>
    <w:rsid w:val="5A205739"/>
    <w:rsid w:val="5A442BB8"/>
    <w:rsid w:val="5A995EEF"/>
    <w:rsid w:val="5B9147E8"/>
    <w:rsid w:val="5BC50CD2"/>
    <w:rsid w:val="5C08599A"/>
    <w:rsid w:val="5C0A13F9"/>
    <w:rsid w:val="5C3B2FF2"/>
    <w:rsid w:val="5C9748B0"/>
    <w:rsid w:val="5CAA718B"/>
    <w:rsid w:val="5D670380"/>
    <w:rsid w:val="5E191C7D"/>
    <w:rsid w:val="5ED3519B"/>
    <w:rsid w:val="5FCD3671"/>
    <w:rsid w:val="608F6DAA"/>
    <w:rsid w:val="60F7040A"/>
    <w:rsid w:val="612049D9"/>
    <w:rsid w:val="62102512"/>
    <w:rsid w:val="62F57980"/>
    <w:rsid w:val="632F788E"/>
    <w:rsid w:val="63683228"/>
    <w:rsid w:val="63B5216E"/>
    <w:rsid w:val="63CB6E26"/>
    <w:rsid w:val="64EB170A"/>
    <w:rsid w:val="65B619B6"/>
    <w:rsid w:val="65C27805"/>
    <w:rsid w:val="660A6A3F"/>
    <w:rsid w:val="673A2B55"/>
    <w:rsid w:val="675E188D"/>
    <w:rsid w:val="682C4FD3"/>
    <w:rsid w:val="6885638E"/>
    <w:rsid w:val="69AF6694"/>
    <w:rsid w:val="6B102F47"/>
    <w:rsid w:val="6BDF72D7"/>
    <w:rsid w:val="6C0F6BF8"/>
    <w:rsid w:val="6CFE7B43"/>
    <w:rsid w:val="6DC75D7C"/>
    <w:rsid w:val="6E353CE2"/>
    <w:rsid w:val="6F28072C"/>
    <w:rsid w:val="6F763440"/>
    <w:rsid w:val="71FE6691"/>
    <w:rsid w:val="733D37F7"/>
    <w:rsid w:val="7382482E"/>
    <w:rsid w:val="741C440E"/>
    <w:rsid w:val="749D49DD"/>
    <w:rsid w:val="74AB727A"/>
    <w:rsid w:val="78051442"/>
    <w:rsid w:val="784C792A"/>
    <w:rsid w:val="789A27E1"/>
    <w:rsid w:val="7A743A5A"/>
    <w:rsid w:val="7AC23B35"/>
    <w:rsid w:val="7AD10E08"/>
    <w:rsid w:val="7ADE68B3"/>
    <w:rsid w:val="7C4922A9"/>
    <w:rsid w:val="7CDD43A4"/>
    <w:rsid w:val="7E871BBB"/>
    <w:rsid w:val="7E980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autoSpaceDE w:val="0"/>
      <w:autoSpaceDN w:val="0"/>
      <w:adjustRightInd w:val="0"/>
      <w:spacing w:before="360" w:after="260" w:line="360" w:lineRule="auto"/>
      <w:jc w:val="center"/>
      <w:textAlignment w:val="baseline"/>
      <w:outlineLvl w:val="1"/>
    </w:pPr>
    <w:rPr>
      <w:rFonts w:ascii="Arial" w:hAnsi="Arial" w:eastAsia="黑体"/>
      <w:b/>
      <w:spacing w:val="24"/>
      <w:kern w:val="0"/>
      <w:sz w:val="24"/>
      <w:szCs w:val="20"/>
    </w:rPr>
  </w:style>
  <w:style w:type="paragraph" w:styleId="4">
    <w:name w:val="heading 3"/>
    <w:basedOn w:val="1"/>
    <w:next w:val="1"/>
    <w:link w:val="129"/>
    <w:qFormat/>
    <w:uiPriority w:val="0"/>
    <w:pPr>
      <w:keepNext/>
      <w:keepLines/>
      <w:spacing w:before="260" w:after="260" w:line="416" w:lineRule="auto"/>
      <w:outlineLvl w:val="2"/>
    </w:pPr>
    <w:rPr>
      <w:b/>
      <w:bCs/>
      <w:sz w:val="32"/>
      <w:szCs w:val="32"/>
    </w:rPr>
  </w:style>
  <w:style w:type="paragraph" w:styleId="5">
    <w:name w:val="heading 4"/>
    <w:basedOn w:val="1"/>
    <w:next w:val="6"/>
    <w:qFormat/>
    <w:uiPriority w:val="0"/>
    <w:pPr>
      <w:keepNext/>
      <w:keepLines/>
      <w:spacing w:before="120" w:after="120" w:line="360" w:lineRule="auto"/>
      <w:outlineLvl w:val="3"/>
    </w:pPr>
    <w:rPr>
      <w:b/>
      <w:bCs/>
      <w:sz w:val="24"/>
    </w:rPr>
  </w:style>
  <w:style w:type="paragraph" w:styleId="7">
    <w:name w:val="heading 5"/>
    <w:basedOn w:val="1"/>
    <w:next w:val="1"/>
    <w:link w:val="132"/>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1"/>
    <w:pPr>
      <w:ind w:left="744"/>
      <w:outlineLvl w:val="5"/>
    </w:pPr>
    <w:rPr>
      <w:rFonts w:ascii="宋体" w:hAnsi="宋体" w:cs="宋体"/>
      <w:b/>
      <w:bCs/>
      <w:szCs w:val="21"/>
      <w:lang w:val="zh-CN" w:bidi="zh-CN"/>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rFonts w:ascii="方正书宋简体" w:eastAsia="方正书宋简体"/>
      <w:sz w:val="30"/>
      <w:szCs w:val="30"/>
    </w:rPr>
  </w:style>
  <w:style w:type="paragraph" w:styleId="9">
    <w:name w:val="toc 7"/>
    <w:basedOn w:val="1"/>
    <w:next w:val="1"/>
    <w:semiHidden/>
    <w:qFormat/>
    <w:uiPriority w:val="0"/>
    <w:pPr>
      <w:ind w:left="2520" w:leftChars="1200"/>
    </w:pPr>
  </w:style>
  <w:style w:type="paragraph" w:styleId="10">
    <w:name w:val="List Bullet"/>
    <w:basedOn w:val="1"/>
    <w:qFormat/>
    <w:uiPriority w:val="0"/>
    <w:pPr>
      <w:tabs>
        <w:tab w:val="left" w:pos="360"/>
      </w:tabs>
      <w:ind w:left="360" w:hanging="360"/>
    </w:pPr>
  </w:style>
  <w:style w:type="paragraph" w:styleId="11">
    <w:name w:val="Document Map"/>
    <w:basedOn w:val="1"/>
    <w:semiHidden/>
    <w:qFormat/>
    <w:uiPriority w:val="0"/>
    <w:pPr>
      <w:shd w:val="clear" w:color="auto" w:fill="000080"/>
    </w:pPr>
  </w:style>
  <w:style w:type="paragraph" w:styleId="12">
    <w:name w:val="annotation text"/>
    <w:basedOn w:val="1"/>
    <w:link w:val="66"/>
    <w:semiHidden/>
    <w:qFormat/>
    <w:uiPriority w:val="0"/>
    <w:pPr>
      <w:jc w:val="left"/>
    </w:pPr>
  </w:style>
  <w:style w:type="paragraph" w:styleId="13">
    <w:name w:val="Body Text 3"/>
    <w:basedOn w:val="1"/>
    <w:qFormat/>
    <w:uiPriority w:val="0"/>
    <w:pPr>
      <w:spacing w:line="500" w:lineRule="exact"/>
    </w:pPr>
    <w:rPr>
      <w:rFonts w:eastAsia="仿宋_GB2312"/>
      <w:sz w:val="28"/>
      <w:szCs w:val="20"/>
    </w:rPr>
  </w:style>
  <w:style w:type="paragraph" w:styleId="14">
    <w:name w:val="Body Text"/>
    <w:basedOn w:val="1"/>
    <w:qFormat/>
    <w:uiPriority w:val="0"/>
    <w:rPr>
      <w:rFonts w:ascii="金山简黑体" w:hAnsi="Courier New" w:eastAsia="金山简黑体"/>
      <w:b/>
      <w:spacing w:val="-8"/>
      <w:sz w:val="44"/>
      <w:szCs w:val="20"/>
    </w:rPr>
  </w:style>
  <w:style w:type="paragraph" w:styleId="15">
    <w:name w:val="Body Text Indent"/>
    <w:basedOn w:val="1"/>
    <w:link w:val="64"/>
    <w:qFormat/>
    <w:uiPriority w:val="0"/>
    <w:pPr>
      <w:spacing w:line="200" w:lineRule="exact"/>
      <w:ind w:firstLine="301"/>
    </w:pPr>
    <w:rPr>
      <w:rFonts w:ascii="宋体" w:hAnsi="Courier New"/>
      <w:spacing w:val="-4"/>
      <w:sz w:val="18"/>
      <w:szCs w:val="20"/>
    </w:rPr>
  </w:style>
  <w:style w:type="paragraph" w:styleId="16">
    <w:name w:val="List 2"/>
    <w:basedOn w:val="1"/>
    <w:qFormat/>
    <w:uiPriority w:val="0"/>
    <w:pPr>
      <w:ind w:left="100" w:leftChars="200" w:hanging="200" w:hangingChars="200"/>
      <w:contextualSpacing/>
    </w:pPr>
  </w:style>
  <w:style w:type="paragraph" w:styleId="17">
    <w:name w:val="Block Text"/>
    <w:basedOn w:val="1"/>
    <w:qFormat/>
    <w:uiPriority w:val="0"/>
    <w:pPr>
      <w:spacing w:line="440" w:lineRule="exact"/>
      <w:ind w:left="-171" w:right="-334" w:rightChars="-159"/>
    </w:pPr>
    <w:rPr>
      <w:rFonts w:ascii="华文中宋" w:hAnsi="华文中宋" w:eastAsia="华文中宋"/>
      <w:sz w:val="28"/>
    </w:rPr>
  </w:style>
  <w:style w:type="paragraph" w:styleId="18">
    <w:name w:val="toc 5"/>
    <w:basedOn w:val="1"/>
    <w:next w:val="1"/>
    <w:semiHidden/>
    <w:qFormat/>
    <w:uiPriority w:val="0"/>
    <w:pPr>
      <w:ind w:left="1680" w:leftChars="800"/>
    </w:pPr>
  </w:style>
  <w:style w:type="paragraph" w:styleId="19">
    <w:name w:val="toc 3"/>
    <w:basedOn w:val="1"/>
    <w:next w:val="1"/>
    <w:qFormat/>
    <w:uiPriority w:val="39"/>
    <w:pPr>
      <w:tabs>
        <w:tab w:val="right" w:leader="dot" w:pos="9060"/>
      </w:tabs>
      <w:spacing w:line="360" w:lineRule="auto"/>
    </w:pPr>
    <w:rPr>
      <w:rFonts w:eastAsia="仿宋_GB2312"/>
    </w:rPr>
  </w:style>
  <w:style w:type="paragraph" w:styleId="20">
    <w:name w:val="Plain Text"/>
    <w:basedOn w:val="1"/>
    <w:link w:val="69"/>
    <w:qFormat/>
    <w:uiPriority w:val="0"/>
    <w:rPr>
      <w:rFonts w:ascii="宋体" w:hAnsi="Courier New"/>
      <w:szCs w:val="20"/>
    </w:rPr>
  </w:style>
  <w:style w:type="paragraph" w:styleId="21">
    <w:name w:val="toc 8"/>
    <w:basedOn w:val="1"/>
    <w:next w:val="1"/>
    <w:semiHidden/>
    <w:qFormat/>
    <w:uiPriority w:val="0"/>
    <w:pPr>
      <w:ind w:left="2940" w:leftChars="1400"/>
    </w:pPr>
  </w:style>
  <w:style w:type="paragraph" w:styleId="22">
    <w:name w:val="Date"/>
    <w:basedOn w:val="1"/>
    <w:next w:val="1"/>
    <w:qFormat/>
    <w:uiPriority w:val="0"/>
    <w:pPr>
      <w:ind w:left="100" w:leftChars="2500"/>
    </w:pPr>
    <w:rPr>
      <w:rFonts w:ascii="华文中宋" w:hAnsi="华文中宋" w:eastAsia="华文中宋"/>
      <w:b/>
      <w:sz w:val="36"/>
    </w:rPr>
  </w:style>
  <w:style w:type="paragraph" w:styleId="23">
    <w:name w:val="Body Text Indent 2"/>
    <w:basedOn w:val="1"/>
    <w:qFormat/>
    <w:uiPriority w:val="0"/>
    <w:pPr>
      <w:adjustRightInd w:val="0"/>
      <w:spacing w:line="300" w:lineRule="auto"/>
      <w:ind w:left="6" w:firstLine="431"/>
    </w:pPr>
    <w:rPr>
      <w:rFonts w:ascii="宋体" w:hAnsi="Courier New"/>
      <w:bCs/>
      <w:szCs w:val="20"/>
    </w:rPr>
  </w:style>
  <w:style w:type="paragraph" w:styleId="24">
    <w:name w:val="Balloon Text"/>
    <w:basedOn w:val="1"/>
    <w:semiHidden/>
    <w:qFormat/>
    <w:uiPriority w:val="0"/>
    <w:rPr>
      <w:sz w:val="18"/>
      <w:szCs w:val="18"/>
    </w:rPr>
  </w:style>
  <w:style w:type="paragraph" w:styleId="25">
    <w:name w:val="footer"/>
    <w:basedOn w:val="1"/>
    <w:link w:val="51"/>
    <w:qFormat/>
    <w:uiPriority w:val="99"/>
    <w:pPr>
      <w:tabs>
        <w:tab w:val="center" w:pos="4153"/>
        <w:tab w:val="right" w:pos="8306"/>
      </w:tabs>
      <w:snapToGrid w:val="0"/>
      <w:jc w:val="left"/>
    </w:pPr>
    <w:rPr>
      <w:rFonts w:ascii="宋体" w:hAnsi="Courier New"/>
      <w:sz w:val="18"/>
      <w:szCs w:val="20"/>
    </w:rPr>
  </w:style>
  <w:style w:type="paragraph" w:styleId="26">
    <w:name w:val="header"/>
    <w:basedOn w:val="1"/>
    <w:link w:val="57"/>
    <w:qFormat/>
    <w:uiPriority w:val="99"/>
    <w:pPr>
      <w:pBdr>
        <w:bottom w:val="single" w:color="auto" w:sz="6" w:space="1"/>
      </w:pBdr>
      <w:tabs>
        <w:tab w:val="center" w:pos="4153"/>
        <w:tab w:val="right" w:pos="8306"/>
      </w:tabs>
      <w:snapToGrid w:val="0"/>
      <w:jc w:val="center"/>
    </w:pPr>
    <w:rPr>
      <w:rFonts w:ascii="宋体" w:hAnsi="Courier New"/>
      <w:sz w:val="18"/>
      <w:szCs w:val="20"/>
    </w:rPr>
  </w:style>
  <w:style w:type="paragraph" w:styleId="27">
    <w:name w:val="toc 1"/>
    <w:basedOn w:val="1"/>
    <w:next w:val="1"/>
    <w:qFormat/>
    <w:uiPriority w:val="39"/>
    <w:pPr>
      <w:tabs>
        <w:tab w:val="right" w:leader="dot" w:pos="9628"/>
      </w:tabs>
      <w:spacing w:line="360" w:lineRule="auto"/>
    </w:pPr>
  </w:style>
  <w:style w:type="paragraph" w:styleId="28">
    <w:name w:val="toc 4"/>
    <w:basedOn w:val="1"/>
    <w:next w:val="1"/>
    <w:semiHidden/>
    <w:qFormat/>
    <w:uiPriority w:val="0"/>
    <w:pPr>
      <w:ind w:left="1260" w:leftChars="600"/>
    </w:pPr>
  </w:style>
  <w:style w:type="paragraph" w:styleId="29">
    <w:name w:val="toc 6"/>
    <w:basedOn w:val="1"/>
    <w:next w:val="1"/>
    <w:semiHidden/>
    <w:qFormat/>
    <w:uiPriority w:val="0"/>
    <w:pPr>
      <w:ind w:left="2100" w:leftChars="1000"/>
    </w:pPr>
  </w:style>
  <w:style w:type="paragraph" w:styleId="30">
    <w:name w:val="Body Text Indent 3"/>
    <w:basedOn w:val="1"/>
    <w:qFormat/>
    <w:uiPriority w:val="0"/>
    <w:pPr>
      <w:ind w:firstLine="420" w:firstLineChars="200"/>
    </w:pPr>
    <w:rPr>
      <w:color w:val="FF0000"/>
    </w:rPr>
  </w:style>
  <w:style w:type="paragraph" w:styleId="31">
    <w:name w:val="toc 2"/>
    <w:basedOn w:val="1"/>
    <w:next w:val="1"/>
    <w:qFormat/>
    <w:uiPriority w:val="39"/>
    <w:pPr>
      <w:tabs>
        <w:tab w:val="right" w:leader="dot" w:pos="9060"/>
      </w:tabs>
      <w:adjustRightInd w:val="0"/>
      <w:spacing w:line="500" w:lineRule="exact"/>
    </w:pPr>
    <w:rPr>
      <w:rFonts w:ascii="仿宋_GB2312" w:eastAsia="仿宋_GB2312"/>
      <w:color w:val="000000"/>
      <w:sz w:val="28"/>
    </w:rPr>
  </w:style>
  <w:style w:type="paragraph" w:styleId="32">
    <w:name w:val="toc 9"/>
    <w:basedOn w:val="1"/>
    <w:next w:val="1"/>
    <w:semiHidden/>
    <w:qFormat/>
    <w:uiPriority w:val="0"/>
    <w:pPr>
      <w:ind w:left="3360" w:leftChars="1600"/>
    </w:pPr>
  </w:style>
  <w:style w:type="paragraph" w:styleId="33">
    <w:name w:val="Body Text 2"/>
    <w:basedOn w:val="1"/>
    <w:qFormat/>
    <w:uiPriority w:val="0"/>
    <w:pPr>
      <w:jc w:val="center"/>
    </w:pPr>
    <w:rPr>
      <w:rFonts w:hAnsi="宋体" w:cs="Arial Unicode MS"/>
    </w:rPr>
  </w:style>
  <w:style w:type="paragraph" w:styleId="34">
    <w:name w:val="Normal (Web)"/>
    <w:basedOn w:val="1"/>
    <w:qFormat/>
    <w:uiPriority w:val="99"/>
    <w:pPr>
      <w:widowControl/>
      <w:spacing w:before="100" w:beforeAutospacing="1" w:after="100" w:afterAutospacing="1"/>
      <w:jc w:val="left"/>
    </w:pPr>
    <w:rPr>
      <w:rFonts w:ascii="宋体" w:hAnsi="宋体"/>
      <w:kern w:val="0"/>
      <w:sz w:val="24"/>
    </w:rPr>
  </w:style>
  <w:style w:type="paragraph" w:styleId="35">
    <w:name w:val="index 1"/>
    <w:basedOn w:val="1"/>
    <w:next w:val="1"/>
    <w:semiHidden/>
    <w:qFormat/>
    <w:uiPriority w:val="0"/>
    <w:rPr>
      <w:rFonts w:ascii="宋体" w:hAnsi="宋体"/>
      <w:bCs/>
      <w:szCs w:val="28"/>
    </w:rPr>
  </w:style>
  <w:style w:type="paragraph" w:styleId="36">
    <w:name w:val="annotation subject"/>
    <w:basedOn w:val="12"/>
    <w:next w:val="12"/>
    <w:semiHidden/>
    <w:qFormat/>
    <w:uiPriority w:val="0"/>
    <w:rPr>
      <w:b/>
      <w:bCs/>
    </w:rPr>
  </w:style>
  <w:style w:type="paragraph" w:styleId="37">
    <w:name w:val="Body Text First Indent"/>
    <w:basedOn w:val="14"/>
    <w:qFormat/>
    <w:uiPriority w:val="0"/>
    <w:pPr>
      <w:spacing w:after="120"/>
      <w:ind w:firstLine="420" w:firstLineChars="100"/>
    </w:pPr>
    <w:rPr>
      <w:rFonts w:ascii="Times New Roman" w:hAnsi="Times New Roman" w:eastAsia="宋体"/>
      <w:b w:val="0"/>
      <w:spacing w:val="0"/>
      <w:sz w:val="21"/>
      <w:szCs w:val="24"/>
    </w:rPr>
  </w:style>
  <w:style w:type="table" w:styleId="39">
    <w:name w:val="Table Grid"/>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qFormat/>
    <w:uiPriority w:val="0"/>
    <w:rPr>
      <w:b/>
    </w:rPr>
  </w:style>
  <w:style w:type="character" w:styleId="42">
    <w:name w:val="page number"/>
    <w:basedOn w:val="40"/>
    <w:qFormat/>
    <w:uiPriority w:val="0"/>
  </w:style>
  <w:style w:type="character" w:styleId="43">
    <w:name w:val="FollowedHyperlink"/>
    <w:qFormat/>
    <w:uiPriority w:val="0"/>
    <w:rPr>
      <w:color w:val="428BCA"/>
      <w:u w:val="none"/>
    </w:rPr>
  </w:style>
  <w:style w:type="character" w:styleId="44">
    <w:name w:val="Emphasis"/>
    <w:qFormat/>
    <w:uiPriority w:val="0"/>
    <w:rPr>
      <w:i/>
    </w:rPr>
  </w:style>
  <w:style w:type="character" w:styleId="45">
    <w:name w:val="Hyperlink"/>
    <w:qFormat/>
    <w:uiPriority w:val="99"/>
    <w:rPr>
      <w:color w:val="428BCA"/>
      <w:u w:val="none"/>
    </w:rPr>
  </w:style>
  <w:style w:type="character" w:styleId="46">
    <w:name w:val="HTML Code"/>
    <w:qFormat/>
    <w:uiPriority w:val="0"/>
    <w:rPr>
      <w:rFonts w:ascii="Monaco" w:hAnsi="Monaco" w:eastAsia="Monaco" w:cs="Monaco"/>
      <w:color w:val="DD1144"/>
      <w:sz w:val="18"/>
      <w:szCs w:val="18"/>
      <w:bdr w:val="single" w:color="E1E1E8" w:sz="6" w:space="0"/>
      <w:shd w:val="clear" w:color="auto" w:fill="F7F7F9"/>
    </w:rPr>
  </w:style>
  <w:style w:type="character" w:styleId="47">
    <w:name w:val="annotation reference"/>
    <w:qFormat/>
    <w:uiPriority w:val="0"/>
    <w:rPr>
      <w:sz w:val="21"/>
      <w:szCs w:val="21"/>
    </w:rPr>
  </w:style>
  <w:style w:type="character" w:styleId="48">
    <w:name w:val="HTML Cite"/>
    <w:qFormat/>
    <w:uiPriority w:val="0"/>
  </w:style>
  <w:style w:type="character" w:customStyle="1" w:styleId="49">
    <w:name w:val="bds_nopic2"/>
    <w:basedOn w:val="40"/>
    <w:qFormat/>
    <w:uiPriority w:val="0"/>
  </w:style>
  <w:style w:type="character" w:customStyle="1" w:styleId="50">
    <w:name w:val="Char Char2"/>
    <w:qFormat/>
    <w:locked/>
    <w:uiPriority w:val="0"/>
    <w:rPr>
      <w:rFonts w:ascii="宋体" w:hAnsi="Courier New" w:eastAsia="宋体"/>
      <w:kern w:val="2"/>
      <w:sz w:val="21"/>
      <w:lang w:val="en-US" w:eastAsia="zh-CN" w:bidi="ar-SA"/>
    </w:rPr>
  </w:style>
  <w:style w:type="character" w:customStyle="1" w:styleId="51">
    <w:name w:val="页脚 Char"/>
    <w:link w:val="25"/>
    <w:qFormat/>
    <w:uiPriority w:val="99"/>
    <w:rPr>
      <w:rFonts w:ascii="宋体" w:hAnsi="Courier New"/>
      <w:kern w:val="2"/>
      <w:sz w:val="18"/>
    </w:rPr>
  </w:style>
  <w:style w:type="character" w:customStyle="1" w:styleId="52">
    <w:name w:val="Plain Text Char1"/>
    <w:link w:val="53"/>
    <w:qFormat/>
    <w:uiPriority w:val="0"/>
    <w:rPr>
      <w:rFonts w:ascii="宋体" w:hAnsi="Courier New" w:eastAsia="宋体"/>
      <w:kern w:val="2"/>
      <w:sz w:val="21"/>
      <w:lang w:val="en-US" w:eastAsia="zh-CN" w:bidi="ar-SA"/>
    </w:rPr>
  </w:style>
  <w:style w:type="paragraph" w:customStyle="1" w:styleId="53">
    <w:name w:val="纯文本1"/>
    <w:basedOn w:val="1"/>
    <w:link w:val="52"/>
    <w:qFormat/>
    <w:uiPriority w:val="0"/>
    <w:pPr>
      <w:adjustRightInd w:val="0"/>
      <w:jc w:val="left"/>
      <w:textAlignment w:val="baseline"/>
    </w:pPr>
    <w:rPr>
      <w:rFonts w:ascii="宋体" w:hAnsi="Courier New"/>
      <w:szCs w:val="20"/>
    </w:rPr>
  </w:style>
  <w:style w:type="character" w:customStyle="1" w:styleId="54">
    <w:name w:val="ho122"/>
    <w:qFormat/>
    <w:uiPriority w:val="0"/>
    <w:rPr>
      <w:color w:val="CC0000"/>
    </w:rPr>
  </w:style>
  <w:style w:type="character" w:customStyle="1" w:styleId="55">
    <w:name w:val="f16b1"/>
    <w:qFormat/>
    <w:uiPriority w:val="0"/>
    <w:rPr>
      <w:b/>
      <w:bCs/>
      <w:color w:val="333333"/>
      <w:sz w:val="24"/>
      <w:szCs w:val="24"/>
    </w:rPr>
  </w:style>
  <w:style w:type="character" w:customStyle="1" w:styleId="56">
    <w:name w:val="bds_nopic"/>
    <w:basedOn w:val="40"/>
    <w:qFormat/>
    <w:uiPriority w:val="0"/>
  </w:style>
  <w:style w:type="character" w:customStyle="1" w:styleId="57">
    <w:name w:val="页眉 Char"/>
    <w:link w:val="26"/>
    <w:qFormat/>
    <w:uiPriority w:val="99"/>
    <w:rPr>
      <w:rFonts w:ascii="宋体" w:hAnsi="Courier New"/>
      <w:kern w:val="2"/>
      <w:sz w:val="18"/>
    </w:rPr>
  </w:style>
  <w:style w:type="character" w:customStyle="1" w:styleId="58">
    <w:name w:val="me_close"/>
    <w:qFormat/>
    <w:uiPriority w:val="0"/>
    <w:rPr>
      <w:b/>
      <w:color w:val="FFFFFF"/>
      <w:sz w:val="18"/>
      <w:szCs w:val="18"/>
      <w:shd w:val="clear" w:color="auto" w:fill="6843FF"/>
    </w:rPr>
  </w:style>
  <w:style w:type="character" w:customStyle="1" w:styleId="59">
    <w:name w:val="bds_more1"/>
    <w:qFormat/>
    <w:uiPriority w:val="0"/>
    <w:rPr>
      <w:rFonts w:hint="eastAsia" w:ascii="宋体" w:hAnsi="宋体" w:eastAsia="宋体" w:cs="宋体"/>
    </w:rPr>
  </w:style>
  <w:style w:type="character" w:customStyle="1" w:styleId="60">
    <w:name w:val="bds_more"/>
    <w:basedOn w:val="40"/>
    <w:qFormat/>
    <w:uiPriority w:val="0"/>
  </w:style>
  <w:style w:type="character" w:customStyle="1" w:styleId="61">
    <w:name w:val="field15"/>
    <w:qFormat/>
    <w:uiPriority w:val="0"/>
  </w:style>
  <w:style w:type="character" w:customStyle="1" w:styleId="62">
    <w:name w:val="普通文字 Char Char2"/>
    <w:qFormat/>
    <w:locked/>
    <w:uiPriority w:val="0"/>
    <w:rPr>
      <w:rFonts w:ascii="宋体" w:hAnsi="Courier New" w:eastAsia="宋体"/>
      <w:kern w:val="2"/>
      <w:sz w:val="21"/>
      <w:lang w:val="en-US" w:eastAsia="zh-CN" w:bidi="ar-SA"/>
    </w:rPr>
  </w:style>
  <w:style w:type="character" w:customStyle="1" w:styleId="63">
    <w:name w:val="纯文本 Char"/>
    <w:qFormat/>
    <w:uiPriority w:val="0"/>
    <w:rPr>
      <w:rFonts w:ascii="宋体" w:hAnsi="Courier New" w:eastAsia="宋体"/>
      <w:kern w:val="2"/>
      <w:sz w:val="21"/>
      <w:lang w:val="en-US" w:eastAsia="zh-CN" w:bidi="ar-SA"/>
    </w:rPr>
  </w:style>
  <w:style w:type="character" w:customStyle="1" w:styleId="64">
    <w:name w:val="正文文本缩进 Char"/>
    <w:link w:val="15"/>
    <w:qFormat/>
    <w:uiPriority w:val="0"/>
    <w:rPr>
      <w:rFonts w:ascii="宋体" w:hAnsi="Courier New" w:eastAsia="宋体"/>
      <w:spacing w:val="-4"/>
      <w:kern w:val="2"/>
      <w:sz w:val="18"/>
      <w:lang w:val="en-US" w:eastAsia="zh-CN" w:bidi="ar-SA"/>
    </w:rPr>
  </w:style>
  <w:style w:type="character" w:customStyle="1" w:styleId="65">
    <w:name w:val="纯文本 Char1"/>
    <w:qFormat/>
    <w:uiPriority w:val="0"/>
    <w:rPr>
      <w:rFonts w:ascii="宋体" w:hAnsi="Courier New" w:eastAsia="宋体" w:cs="Times New Roman"/>
      <w:kern w:val="2"/>
      <w:sz w:val="21"/>
    </w:rPr>
  </w:style>
  <w:style w:type="character" w:customStyle="1" w:styleId="66">
    <w:name w:val="批注文字 Char"/>
    <w:link w:val="12"/>
    <w:semiHidden/>
    <w:qFormat/>
    <w:uiPriority w:val="0"/>
    <w:rPr>
      <w:rFonts w:eastAsia="宋体"/>
      <w:kern w:val="2"/>
      <w:sz w:val="21"/>
      <w:szCs w:val="24"/>
      <w:lang w:val="en-US" w:eastAsia="zh-CN" w:bidi="ar-SA"/>
    </w:rPr>
  </w:style>
  <w:style w:type="character" w:customStyle="1" w:styleId="67">
    <w:name w:val="bds_nopic1"/>
    <w:basedOn w:val="40"/>
    <w:qFormat/>
    <w:uiPriority w:val="0"/>
  </w:style>
  <w:style w:type="character" w:customStyle="1" w:styleId="68">
    <w:name w:val="bds_more2"/>
    <w:basedOn w:val="40"/>
    <w:qFormat/>
    <w:uiPriority w:val="0"/>
  </w:style>
  <w:style w:type="character" w:customStyle="1" w:styleId="69">
    <w:name w:val="纯文本 Char2"/>
    <w:link w:val="20"/>
    <w:qFormat/>
    <w:locked/>
    <w:uiPriority w:val="0"/>
    <w:rPr>
      <w:rFonts w:ascii="宋体" w:hAnsi="Courier New" w:eastAsia="宋体"/>
      <w:kern w:val="2"/>
      <w:sz w:val="21"/>
      <w:lang w:val="en-US" w:eastAsia="zh-CN" w:bidi="ar-SA"/>
    </w:rPr>
  </w:style>
  <w:style w:type="character" w:customStyle="1" w:styleId="70">
    <w:name w:val="size"/>
    <w:qFormat/>
    <w:uiPriority w:val="0"/>
    <w:rPr>
      <w:i/>
      <w:sz w:val="15"/>
      <w:szCs w:val="15"/>
    </w:rPr>
  </w:style>
  <w:style w:type="paragraph" w:customStyle="1" w:styleId="71">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72">
    <w:name w:val="Char"/>
    <w:basedOn w:val="1"/>
    <w:qFormat/>
    <w:uiPriority w:val="0"/>
  </w:style>
  <w:style w:type="paragraph" w:customStyle="1" w:styleId="73">
    <w:name w:val="font5"/>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74">
    <w:name w:val="bb"/>
    <w:basedOn w:val="1"/>
    <w:qFormat/>
    <w:uiPriority w:val="0"/>
    <w:pPr>
      <w:widowControl/>
      <w:spacing w:before="100" w:beforeAutospacing="1" w:after="100" w:afterAutospacing="1"/>
      <w:jc w:val="left"/>
    </w:pPr>
    <w:rPr>
      <w:rFonts w:ascii="宋体" w:hAnsi="宋体"/>
      <w:kern w:val="0"/>
      <w:sz w:val="24"/>
    </w:rPr>
  </w:style>
  <w:style w:type="paragraph" w:styleId="75">
    <w:name w:val="List Paragraph"/>
    <w:basedOn w:val="1"/>
    <w:qFormat/>
    <w:uiPriority w:val="99"/>
    <w:pPr>
      <w:ind w:firstLine="420" w:firstLineChars="200"/>
    </w:pPr>
    <w:rPr>
      <w:szCs w:val="20"/>
    </w:rPr>
  </w:style>
  <w:style w:type="paragraph" w:customStyle="1" w:styleId="76">
    <w:name w:val="正文文本 21"/>
    <w:basedOn w:val="1"/>
    <w:qFormat/>
    <w:uiPriority w:val="0"/>
    <w:pPr>
      <w:adjustRightInd w:val="0"/>
      <w:spacing w:line="460" w:lineRule="exact"/>
      <w:ind w:firstLine="635"/>
      <w:jc w:val="left"/>
      <w:textAlignment w:val="baseline"/>
    </w:pPr>
    <w:rPr>
      <w:sz w:val="28"/>
      <w:szCs w:val="20"/>
    </w:rPr>
  </w:style>
  <w:style w:type="paragraph" w:customStyle="1" w:styleId="7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b/>
      <w:bCs/>
      <w:kern w:val="0"/>
      <w:sz w:val="24"/>
    </w:rPr>
  </w:style>
  <w:style w:type="paragraph" w:customStyle="1" w:styleId="78">
    <w:name w:val="xl40"/>
    <w:basedOn w:val="1"/>
    <w:qFormat/>
    <w:uiPriority w:val="0"/>
    <w:pPr>
      <w:widowControl/>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79">
    <w:name w:val="font7"/>
    <w:basedOn w:val="1"/>
    <w:qFormat/>
    <w:uiPriority w:val="0"/>
    <w:pPr>
      <w:widowControl/>
      <w:spacing w:before="100" w:beforeAutospacing="1" w:after="100" w:afterAutospacing="1"/>
      <w:jc w:val="left"/>
    </w:pPr>
    <w:rPr>
      <w:rFonts w:hint="eastAsia" w:ascii="宋体" w:hAnsi="宋体" w:cs="Arial Unicode MS"/>
      <w:kern w:val="0"/>
      <w:szCs w:val="21"/>
    </w:rPr>
  </w:style>
  <w:style w:type="paragraph" w:customStyle="1" w:styleId="80">
    <w:name w:val="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81">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82">
    <w:name w:val="xl36"/>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kern w:val="0"/>
      <w:sz w:val="24"/>
    </w:rPr>
  </w:style>
  <w:style w:type="paragraph" w:customStyle="1" w:styleId="83">
    <w:name w:val="head4"/>
    <w:basedOn w:val="1"/>
    <w:qFormat/>
    <w:uiPriority w:val="0"/>
    <w:pPr>
      <w:widowControl/>
      <w:overflowPunct w:val="0"/>
      <w:autoSpaceDE w:val="0"/>
      <w:autoSpaceDN w:val="0"/>
      <w:adjustRightInd w:val="0"/>
      <w:spacing w:before="120" w:line="360" w:lineRule="auto"/>
      <w:textAlignment w:val="baseline"/>
    </w:pPr>
    <w:rPr>
      <w:rFonts w:ascii="¿¬Ìå" w:hAnsi="¿¬Ìå"/>
      <w:kern w:val="0"/>
      <w:sz w:val="24"/>
    </w:rPr>
  </w:style>
  <w:style w:type="paragraph" w:customStyle="1" w:styleId="8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85">
    <w:name w:val="文件标题"/>
    <w:basedOn w:val="1"/>
    <w:qFormat/>
    <w:uiPriority w:val="0"/>
    <w:pPr>
      <w:jc w:val="center"/>
    </w:pPr>
    <w:rPr>
      <w:b/>
      <w:sz w:val="36"/>
      <w:szCs w:val="20"/>
    </w:rPr>
  </w:style>
  <w:style w:type="paragraph" w:customStyle="1" w:styleId="8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87">
    <w:name w:val="Char Char Char"/>
    <w:basedOn w:val="1"/>
    <w:qFormat/>
    <w:uiPriority w:val="0"/>
    <w:rPr>
      <w:rFonts w:ascii="Tahoma" w:hAnsi="Tahoma"/>
      <w:sz w:val="24"/>
      <w:szCs w:val="20"/>
    </w:rPr>
  </w:style>
  <w:style w:type="paragraph" w:customStyle="1" w:styleId="88">
    <w:name w:val="简单回函地址"/>
    <w:basedOn w:val="1"/>
    <w:qFormat/>
    <w:uiPriority w:val="0"/>
    <w:rPr>
      <w:rFonts w:ascii="仿宋_GB2312" w:hAnsi="宋体" w:eastAsia="仿宋_GB2312"/>
      <w:bCs/>
      <w:sz w:val="30"/>
      <w:szCs w:val="20"/>
    </w:rPr>
  </w:style>
  <w:style w:type="paragraph" w:customStyle="1" w:styleId="89">
    <w:name w:val="xl32"/>
    <w:basedOn w:val="1"/>
    <w:qFormat/>
    <w:uiPriority w:val="0"/>
    <w:pPr>
      <w:widowControl/>
      <w:spacing w:before="100" w:beforeAutospacing="1" w:after="100" w:afterAutospacing="1"/>
      <w:jc w:val="left"/>
    </w:pPr>
    <w:rPr>
      <w:kern w:val="0"/>
      <w:sz w:val="24"/>
    </w:rPr>
  </w:style>
  <w:style w:type="paragraph" w:customStyle="1" w:styleId="90">
    <w:name w:val="样式2"/>
    <w:basedOn w:val="1"/>
    <w:qFormat/>
    <w:uiPriority w:val="0"/>
    <w:pPr>
      <w:tabs>
        <w:tab w:val="left" w:pos="1290"/>
      </w:tabs>
      <w:ind w:left="1290" w:hanging="720"/>
    </w:pPr>
    <w:rPr>
      <w:sz w:val="28"/>
      <w:szCs w:val="20"/>
    </w:rPr>
  </w:style>
  <w:style w:type="paragraph" w:customStyle="1" w:styleId="91">
    <w:name w:val="font10"/>
    <w:basedOn w:val="1"/>
    <w:qFormat/>
    <w:uiPriority w:val="0"/>
    <w:pPr>
      <w:widowControl/>
      <w:spacing w:before="100" w:beforeAutospacing="1" w:after="100" w:afterAutospacing="1"/>
      <w:jc w:val="left"/>
    </w:pPr>
    <w:rPr>
      <w:rFonts w:hint="eastAsia" w:ascii="宋体" w:hAnsi="宋体"/>
      <w:kern w:val="0"/>
      <w:sz w:val="23"/>
      <w:szCs w:val="23"/>
    </w:rPr>
  </w:style>
  <w:style w:type="paragraph" w:customStyle="1" w:styleId="92">
    <w:name w:val="head1"/>
    <w:basedOn w:val="1"/>
    <w:uiPriority w:val="0"/>
    <w:pPr>
      <w:widowControl/>
      <w:tabs>
        <w:tab w:val="left" w:pos="360"/>
      </w:tabs>
      <w:overflowPunct w:val="0"/>
      <w:autoSpaceDE w:val="0"/>
      <w:autoSpaceDN w:val="0"/>
      <w:adjustRightInd w:val="0"/>
      <w:spacing w:before="60" w:after="60"/>
      <w:ind w:left="360" w:hanging="360"/>
      <w:jc w:val="left"/>
      <w:textAlignment w:val="baseline"/>
      <w:outlineLvl w:val="0"/>
    </w:pPr>
    <w:rPr>
      <w:rFonts w:ascii="黑体" w:hAnsi="¿¬Ìå" w:eastAsia="黑体"/>
      <w:kern w:val="0"/>
      <w:sz w:val="30"/>
      <w:szCs w:val="30"/>
    </w:rPr>
  </w:style>
  <w:style w:type="paragraph" w:customStyle="1" w:styleId="93">
    <w:name w:val="文件目录"/>
    <w:basedOn w:val="1"/>
    <w:qFormat/>
    <w:uiPriority w:val="0"/>
    <w:pPr>
      <w:spacing w:line="600" w:lineRule="exact"/>
      <w:jc w:val="left"/>
    </w:pPr>
    <w:rPr>
      <w:b/>
      <w:sz w:val="30"/>
      <w:szCs w:val="20"/>
    </w:rPr>
  </w:style>
  <w:style w:type="paragraph" w:customStyle="1" w:styleId="94">
    <w:name w:val="font9"/>
    <w:basedOn w:val="1"/>
    <w:qFormat/>
    <w:uiPriority w:val="0"/>
    <w:pPr>
      <w:widowControl/>
      <w:spacing w:before="100" w:beforeAutospacing="1" w:after="100" w:afterAutospacing="1"/>
      <w:jc w:val="left"/>
    </w:pPr>
    <w:rPr>
      <w:rFonts w:hint="eastAsia" w:ascii="宋体" w:hAnsi="宋体"/>
      <w:kern w:val="0"/>
      <w:sz w:val="24"/>
      <w:u w:val="single"/>
    </w:rPr>
  </w:style>
  <w:style w:type="paragraph" w:customStyle="1" w:styleId="95">
    <w:name w:val="样式1"/>
    <w:basedOn w:val="1"/>
    <w:qFormat/>
    <w:uiPriority w:val="0"/>
    <w:pPr>
      <w:spacing w:before="120" w:after="120" w:line="300" w:lineRule="auto"/>
    </w:pPr>
    <w:rPr>
      <w:rFonts w:ascii="宋体" w:hAnsi="宋体"/>
      <w:b/>
      <w:sz w:val="24"/>
    </w:rPr>
  </w:style>
  <w:style w:type="paragraph" w:customStyle="1" w:styleId="96">
    <w:name w:val="xl24"/>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97">
    <w:name w:val="xl46"/>
    <w:basedOn w:val="1"/>
    <w:qFormat/>
    <w:uiPriority w:val="0"/>
    <w:pPr>
      <w:widowControl/>
      <w:spacing w:before="100" w:beforeAutospacing="1" w:after="100" w:afterAutospacing="1"/>
      <w:jc w:val="left"/>
    </w:pPr>
    <w:rPr>
      <w:kern w:val="0"/>
      <w:sz w:val="20"/>
      <w:szCs w:val="20"/>
    </w:rPr>
  </w:style>
  <w:style w:type="paragraph" w:customStyle="1" w:styleId="98">
    <w:name w:val="font8"/>
    <w:basedOn w:val="1"/>
    <w:qFormat/>
    <w:uiPriority w:val="0"/>
    <w:pPr>
      <w:widowControl/>
      <w:spacing w:before="100" w:beforeAutospacing="1" w:after="100" w:afterAutospacing="1"/>
      <w:jc w:val="left"/>
    </w:pPr>
    <w:rPr>
      <w:b/>
      <w:bCs/>
      <w:kern w:val="0"/>
      <w:sz w:val="32"/>
      <w:szCs w:val="32"/>
    </w:rPr>
  </w:style>
  <w:style w:type="paragraph" w:customStyle="1" w:styleId="99">
    <w:name w:val="xl34"/>
    <w:basedOn w:val="1"/>
    <w:qFormat/>
    <w:uiPriority w:val="0"/>
    <w:pPr>
      <w:widowControl/>
      <w:pBdr>
        <w:top w:val="single" w:color="auto" w:sz="8" w:space="0"/>
      </w:pBdr>
      <w:spacing w:before="100" w:beforeAutospacing="1" w:after="100" w:afterAutospacing="1"/>
      <w:jc w:val="center"/>
    </w:pPr>
    <w:rPr>
      <w:rFonts w:ascii="Arial Unicode MS" w:hAnsi="Arial Unicode MS"/>
      <w:kern w:val="0"/>
      <w:sz w:val="23"/>
      <w:szCs w:val="23"/>
    </w:rPr>
  </w:style>
  <w:style w:type="paragraph" w:customStyle="1" w:styleId="100">
    <w:name w:val="xl3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Unicode MS" w:hAnsi="Arial Unicode MS"/>
      <w:kern w:val="0"/>
      <w:sz w:val="24"/>
    </w:rPr>
  </w:style>
  <w:style w:type="paragraph" w:customStyle="1" w:styleId="101">
    <w:name w:val="Char Char Char1"/>
    <w:basedOn w:val="1"/>
    <w:qFormat/>
    <w:uiPriority w:val="0"/>
    <w:rPr>
      <w:rFonts w:ascii="Tahoma" w:hAnsi="Tahoma"/>
      <w:sz w:val="24"/>
      <w:szCs w:val="20"/>
    </w:rPr>
  </w:style>
  <w:style w:type="paragraph" w:customStyle="1" w:styleId="102">
    <w:name w:val="xl43"/>
    <w:basedOn w:val="1"/>
    <w:qFormat/>
    <w:uiPriority w:val="0"/>
    <w:pPr>
      <w:widowControl/>
      <w:pBdr>
        <w:top w:val="single" w:color="auto" w:sz="4" w:space="0"/>
        <w:left w:val="single" w:color="auto" w:sz="8" w:space="0"/>
        <w:bottom w:val="single" w:color="auto" w:sz="8" w:space="0"/>
      </w:pBdr>
      <w:spacing w:before="100" w:beforeAutospacing="1" w:after="100" w:afterAutospacing="1"/>
      <w:jc w:val="left"/>
    </w:pPr>
    <w:rPr>
      <w:rFonts w:ascii="Arial Unicode MS" w:hAnsi="Arial Unicode MS"/>
      <w:kern w:val="0"/>
      <w:sz w:val="24"/>
    </w:rPr>
  </w:style>
  <w:style w:type="paragraph" w:customStyle="1" w:styleId="103">
    <w:name w:val="xl25"/>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04">
    <w:name w:val="xl33"/>
    <w:basedOn w:val="1"/>
    <w:qFormat/>
    <w:uiPriority w:val="0"/>
    <w:pPr>
      <w:widowControl/>
      <w:spacing w:before="100" w:beforeAutospacing="1" w:after="100" w:afterAutospacing="1"/>
      <w:jc w:val="center"/>
    </w:pPr>
    <w:rPr>
      <w:rFonts w:ascii="Arial Unicode MS" w:hAnsi="Arial Unicode MS"/>
      <w:b/>
      <w:bCs/>
      <w:kern w:val="0"/>
      <w:sz w:val="32"/>
      <w:szCs w:val="32"/>
    </w:rPr>
  </w:style>
  <w:style w:type="paragraph" w:customStyle="1" w:styleId="105">
    <w:name w:val="xl2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106">
    <w:name w:val="xl41"/>
    <w:basedOn w:val="1"/>
    <w:qFormat/>
    <w:uiPriority w:val="0"/>
    <w:pPr>
      <w:widowControl/>
      <w:spacing w:before="100" w:beforeAutospacing="1" w:after="100" w:afterAutospacing="1"/>
      <w:jc w:val="left"/>
      <w:textAlignment w:val="center"/>
    </w:pPr>
    <w:rPr>
      <w:kern w:val="0"/>
      <w:sz w:val="24"/>
    </w:rPr>
  </w:style>
  <w:style w:type="paragraph" w:customStyle="1" w:styleId="107">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08">
    <w:name w:val="xl2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Unicode MS" w:hAnsi="Arial Unicode MS"/>
      <w:kern w:val="0"/>
      <w:sz w:val="24"/>
    </w:rPr>
  </w:style>
  <w:style w:type="paragraph" w:customStyle="1" w:styleId="109">
    <w:name w:val="默认段落字体 Para Char Char Char Char Char Char Char Char Char1 Char Char Char Char"/>
    <w:basedOn w:val="1"/>
    <w:qFormat/>
    <w:uiPriority w:val="0"/>
    <w:rPr>
      <w:rFonts w:ascii="Tahoma" w:hAnsi="Tahoma"/>
      <w:sz w:val="24"/>
      <w:szCs w:val="20"/>
    </w:rPr>
  </w:style>
  <w:style w:type="paragraph" w:customStyle="1" w:styleId="110">
    <w:name w:val="Char Char Char Char"/>
    <w:basedOn w:val="11"/>
    <w:qFormat/>
    <w:uiPriority w:val="0"/>
    <w:rPr>
      <w:rFonts w:ascii="Tahoma" w:hAnsi="Tahoma"/>
      <w:sz w:val="24"/>
    </w:rPr>
  </w:style>
  <w:style w:type="paragraph" w:customStyle="1" w:styleId="111">
    <w:name w:val="合同正文"/>
    <w:basedOn w:val="1"/>
    <w:qFormat/>
    <w:uiPriority w:val="0"/>
    <w:pPr>
      <w:adjustRightInd w:val="0"/>
      <w:spacing w:line="580" w:lineRule="exact"/>
    </w:pPr>
    <w:rPr>
      <w:b/>
      <w:sz w:val="24"/>
      <w:szCs w:val="20"/>
    </w:rPr>
  </w:style>
  <w:style w:type="paragraph" w:customStyle="1" w:styleId="112">
    <w:name w:val="Default Paragraph Font Para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3">
    <w:name w:val="正文1"/>
    <w:basedOn w:val="1"/>
    <w:qFormat/>
    <w:uiPriority w:val="0"/>
    <w:rPr>
      <w:rFonts w:eastAsia="Times New Roman" w:cs="宋体"/>
      <w:kern w:val="0"/>
      <w:szCs w:val="20"/>
      <w:lang w:eastAsia="en-US"/>
    </w:rPr>
  </w:style>
  <w:style w:type="paragraph" w:customStyle="1" w:styleId="114">
    <w:name w:val="xl47"/>
    <w:basedOn w:val="1"/>
    <w:qFormat/>
    <w:uiPriority w:val="0"/>
    <w:pPr>
      <w:widowControl/>
      <w:pBdr>
        <w:top w:val="single" w:color="auto" w:sz="8" w:space="0"/>
      </w:pBdr>
      <w:spacing w:before="100" w:beforeAutospacing="1" w:after="100" w:afterAutospacing="1"/>
      <w:jc w:val="center"/>
    </w:pPr>
    <w:rPr>
      <w:rFonts w:ascii="Arial Unicode MS" w:hAnsi="Arial Unicode MS"/>
      <w:kern w:val="0"/>
      <w:sz w:val="20"/>
      <w:szCs w:val="20"/>
    </w:rPr>
  </w:style>
  <w:style w:type="paragraph" w:customStyle="1" w:styleId="115">
    <w:name w:val="Table Paragraph"/>
    <w:basedOn w:val="1"/>
    <w:qFormat/>
    <w:uiPriority w:val="1"/>
    <w:rPr>
      <w:rFonts w:ascii="宋体" w:hAnsi="宋体" w:cs="宋体"/>
      <w:lang w:val="zh-CN" w:bidi="zh-CN"/>
    </w:rPr>
  </w:style>
  <w:style w:type="paragraph" w:customStyle="1" w:styleId="116">
    <w:name w:val="xl30"/>
    <w:basedOn w:val="1"/>
    <w:qFormat/>
    <w:uiPriority w:val="0"/>
    <w:pPr>
      <w:widowControl/>
      <w:spacing w:before="100" w:beforeAutospacing="1" w:after="100" w:afterAutospacing="1"/>
      <w:jc w:val="left"/>
      <w:textAlignment w:val="center"/>
    </w:pPr>
    <w:rPr>
      <w:rFonts w:ascii="Arial Unicode MS" w:hAnsi="Arial Unicode MS"/>
      <w:kern w:val="0"/>
      <w:sz w:val="24"/>
    </w:rPr>
  </w:style>
  <w:style w:type="paragraph" w:customStyle="1" w:styleId="117">
    <w:name w:val="xl39"/>
    <w:basedOn w:val="1"/>
    <w:qFormat/>
    <w:uiPriority w:val="0"/>
    <w:pPr>
      <w:widowControl/>
      <w:spacing w:before="100" w:beforeAutospacing="1" w:after="100" w:afterAutospacing="1"/>
      <w:jc w:val="center"/>
    </w:pPr>
    <w:rPr>
      <w:b/>
      <w:bCs/>
      <w:kern w:val="0"/>
      <w:sz w:val="22"/>
      <w:szCs w:val="22"/>
    </w:rPr>
  </w:style>
  <w:style w:type="paragraph" w:customStyle="1" w:styleId="118">
    <w:name w:val="font0"/>
    <w:basedOn w:val="1"/>
    <w:qFormat/>
    <w:uiPriority w:val="0"/>
    <w:pPr>
      <w:widowControl/>
      <w:spacing w:before="100" w:beforeAutospacing="1" w:after="100" w:afterAutospacing="1"/>
      <w:jc w:val="left"/>
    </w:pPr>
    <w:rPr>
      <w:rFonts w:ascii="Arial" w:hAnsi="Arial" w:eastAsia="Arial Unicode MS" w:cs="Arial"/>
      <w:kern w:val="0"/>
      <w:sz w:val="20"/>
      <w:szCs w:val="20"/>
    </w:rPr>
  </w:style>
  <w:style w:type="paragraph" w:customStyle="1" w:styleId="119">
    <w:name w:val="xl48"/>
    <w:basedOn w:val="1"/>
    <w:qFormat/>
    <w:uiPriority w:val="0"/>
    <w:pPr>
      <w:widowControl/>
      <w:spacing w:before="100" w:beforeAutospacing="1" w:after="100" w:afterAutospacing="1"/>
      <w:jc w:val="left"/>
    </w:pPr>
    <w:rPr>
      <w:kern w:val="0"/>
      <w:sz w:val="20"/>
      <w:szCs w:val="20"/>
    </w:rPr>
  </w:style>
  <w:style w:type="paragraph" w:customStyle="1" w:styleId="120">
    <w:name w:val="xl26"/>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宋体" w:hAnsi="宋体"/>
      <w:kern w:val="0"/>
      <w:sz w:val="24"/>
    </w:rPr>
  </w:style>
  <w:style w:type="paragraph" w:customStyle="1" w:styleId="121">
    <w:name w:val="xl31"/>
    <w:basedOn w:val="1"/>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122">
    <w:name w:val="Char1"/>
    <w:basedOn w:val="1"/>
    <w:qFormat/>
    <w:uiPriority w:val="0"/>
  </w:style>
  <w:style w:type="paragraph" w:customStyle="1" w:styleId="123">
    <w:name w:val="Char1 Char Char Char1"/>
    <w:basedOn w:val="1"/>
    <w:qFormat/>
    <w:uiPriority w:val="0"/>
    <w:pPr>
      <w:tabs>
        <w:tab w:val="left" w:pos="360"/>
      </w:tabs>
      <w:ind w:left="360" w:hanging="360"/>
    </w:pPr>
    <w:rPr>
      <w:sz w:val="24"/>
    </w:rPr>
  </w:style>
  <w:style w:type="paragraph" w:customStyle="1" w:styleId="124">
    <w:name w:val="xl45"/>
    <w:basedOn w:val="1"/>
    <w:qFormat/>
    <w:uiPriority w:val="0"/>
    <w:pPr>
      <w:widowControl/>
      <w:pBdr>
        <w:top w:val="single" w:color="auto" w:sz="4" w:space="0"/>
        <w:bottom w:val="single" w:color="auto" w:sz="8" w:space="0"/>
        <w:right w:val="single" w:color="auto" w:sz="8" w:space="0"/>
      </w:pBdr>
      <w:spacing w:before="100" w:beforeAutospacing="1" w:after="100" w:afterAutospacing="1"/>
      <w:jc w:val="left"/>
    </w:pPr>
    <w:rPr>
      <w:rFonts w:ascii="Arial Unicode MS" w:hAnsi="Arial Unicode MS"/>
      <w:kern w:val="0"/>
      <w:sz w:val="24"/>
    </w:rPr>
  </w:style>
  <w:style w:type="paragraph" w:customStyle="1" w:styleId="125">
    <w:name w:val="xl29"/>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126">
    <w:name w:val="text"/>
    <w:basedOn w:val="1"/>
    <w:qFormat/>
    <w:uiPriority w:val="0"/>
    <w:pPr>
      <w:overflowPunct w:val="0"/>
      <w:autoSpaceDE w:val="0"/>
      <w:autoSpaceDN w:val="0"/>
      <w:adjustRightInd w:val="0"/>
      <w:spacing w:before="120" w:after="120"/>
      <w:ind w:left="864"/>
      <w:textAlignment w:val="baseline"/>
    </w:pPr>
    <w:rPr>
      <w:rFonts w:ascii="宋体"/>
      <w:spacing w:val="-14"/>
      <w:kern w:val="0"/>
      <w:sz w:val="24"/>
    </w:rPr>
  </w:style>
  <w:style w:type="paragraph" w:customStyle="1" w:styleId="127">
    <w:name w:val="xl44"/>
    <w:basedOn w:val="1"/>
    <w:qFormat/>
    <w:uiPriority w:val="0"/>
    <w:pPr>
      <w:widowControl/>
      <w:pBdr>
        <w:top w:val="single" w:color="auto" w:sz="4" w:space="0"/>
        <w:bottom w:val="single" w:color="auto" w:sz="8" w:space="0"/>
      </w:pBdr>
      <w:spacing w:before="100" w:beforeAutospacing="1" w:after="100" w:afterAutospacing="1"/>
      <w:jc w:val="left"/>
    </w:pPr>
    <w:rPr>
      <w:rFonts w:ascii="Arial Unicode MS" w:hAnsi="Arial Unicode MS"/>
      <w:kern w:val="0"/>
      <w:sz w:val="24"/>
    </w:rPr>
  </w:style>
  <w:style w:type="paragraph" w:customStyle="1" w:styleId="128">
    <w:name w:val="xl42"/>
    <w:basedOn w:val="1"/>
    <w:qFormat/>
    <w:uiPriority w:val="0"/>
    <w:pPr>
      <w:widowControl/>
      <w:spacing w:before="100" w:beforeAutospacing="1" w:after="100" w:afterAutospacing="1"/>
      <w:jc w:val="center"/>
    </w:pPr>
    <w:rPr>
      <w:rFonts w:ascii="Arial Unicode MS" w:hAnsi="Arial Unicode MS"/>
      <w:kern w:val="0"/>
      <w:sz w:val="24"/>
    </w:rPr>
  </w:style>
  <w:style w:type="character" w:customStyle="1" w:styleId="129">
    <w:name w:val="标题 3 Char"/>
    <w:link w:val="4"/>
    <w:qFormat/>
    <w:uiPriority w:val="0"/>
    <w:rPr>
      <w:b/>
      <w:bCs/>
      <w:kern w:val="2"/>
      <w:sz w:val="32"/>
      <w:szCs w:val="32"/>
    </w:rPr>
  </w:style>
  <w:style w:type="character" w:customStyle="1" w:styleId="130">
    <w:name w:val="15"/>
    <w:basedOn w:val="40"/>
    <w:qFormat/>
    <w:uiPriority w:val="0"/>
  </w:style>
  <w:style w:type="paragraph" w:customStyle="1" w:styleId="131">
    <w:name w:val="17"/>
    <w:basedOn w:val="1"/>
    <w:qFormat/>
    <w:uiPriority w:val="0"/>
    <w:pPr>
      <w:widowControl/>
      <w:spacing w:before="100" w:beforeAutospacing="1" w:after="100" w:afterAutospacing="1"/>
      <w:jc w:val="left"/>
    </w:pPr>
    <w:rPr>
      <w:rFonts w:ascii="宋体" w:hAnsi="宋体" w:cs="宋体"/>
      <w:kern w:val="0"/>
      <w:sz w:val="24"/>
    </w:rPr>
  </w:style>
  <w:style w:type="character" w:customStyle="1" w:styleId="132">
    <w:name w:val="标题 5 Char"/>
    <w:link w:val="7"/>
    <w:semiHidden/>
    <w:qFormat/>
    <w:uiPriority w:val="0"/>
    <w:rPr>
      <w:b/>
      <w:bCs/>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2052"/>
    <customShpInfo spid="_x0000_s2053"/>
    <customShpInfo spid="_x0000_s2051"/>
    <customShpInfo spid="_x0000_s1268"/>
    <customShpInfo spid="_x0000_s1271"/>
    <customShpInfo spid="_x0000_s1272"/>
    <customShpInfo spid="_x0000_s1270"/>
    <customShpInfo spid="_x0000_s1274"/>
    <customShpInfo spid="_x0000_s1275"/>
    <customShpInfo spid="_x0000_s1273"/>
    <customShpInfo spid="_x0000_s1277"/>
    <customShpInfo spid="_x0000_s1278"/>
    <customShpInfo spid="_x0000_s127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720426-1361-4315-B5F0-84BFE870720A}">
  <ds:schemaRefs/>
</ds:datastoreItem>
</file>

<file path=docProps/app.xml><?xml version="1.0" encoding="utf-8"?>
<Properties xmlns="http://schemas.openxmlformats.org/officeDocument/2006/extended-properties" xmlns:vt="http://schemas.openxmlformats.org/officeDocument/2006/docPropsVTypes">
  <Template>Normal</Template>
  <Company>ylgs</Company>
  <Pages>37</Pages>
  <Words>3343</Words>
  <Characters>19060</Characters>
  <Lines>158</Lines>
  <Paragraphs>44</Paragraphs>
  <TotalTime>0</TotalTime>
  <ScaleCrop>false</ScaleCrop>
  <LinksUpToDate>false</LinksUpToDate>
  <CharactersWithSpaces>22359</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2020-06-02T09:06:00Z</dcterms:created>
  <dc:creator>ylgs5</dc:creator>
  <cp:lastModifiedBy>LY</cp:lastModifiedBy>
  <cp:lastPrinted>2020-06-02T10:08:00Z</cp:lastPrinted>
  <dcterms:modified xsi:type="dcterms:W3CDTF">2020-06-04T08:25:41Z</dcterms:modified>
  <dc:title>广西云龙招标有限公司</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