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新魏" w:cs="Courier New"/>
          <w:kern w:val="52"/>
          <w:sz w:val="64"/>
          <w:szCs w:val="64"/>
        </w:rPr>
      </w:pPr>
      <w:r>
        <w:rPr>
          <w:rFonts w:hint="eastAsia"/>
          <w:b/>
          <w:sz w:val="52"/>
        </w:rPr>
        <w:drawing>
          <wp:inline distT="0" distB="0" distL="114300" distR="114300">
            <wp:extent cx="2087880" cy="2072640"/>
            <wp:effectExtent l="0" t="0" r="7620" b="3810"/>
            <wp:docPr id="6" name="图片 1" descr="a7e579efc709646c85aab7c746d8d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a7e579efc709646c85aab7c746d8d9c"/>
                    <pic:cNvPicPr>
                      <a:picLocks noChangeAspect="1"/>
                    </pic:cNvPicPr>
                  </pic:nvPicPr>
                  <pic:blipFill>
                    <a:blip r:embed="rId6"/>
                    <a:stretch>
                      <a:fillRect/>
                    </a:stretch>
                  </pic:blipFill>
                  <pic:spPr>
                    <a:xfrm>
                      <a:off x="0" y="0"/>
                      <a:ext cx="2087880" cy="2072640"/>
                    </a:xfrm>
                    <a:prstGeom prst="rect">
                      <a:avLst/>
                    </a:prstGeom>
                    <a:noFill/>
                    <a:ln>
                      <a:noFill/>
                    </a:ln>
                  </pic:spPr>
                </pic:pic>
              </a:graphicData>
            </a:graphic>
          </wp:inline>
        </w:drawing>
      </w:r>
    </w:p>
    <w:p>
      <w:pPr>
        <w:jc w:val="center"/>
        <w:rPr>
          <w:rFonts w:hint="eastAsia" w:ascii="楷体" w:hAnsi="楷体" w:eastAsia="楷体" w:cs="楷体"/>
          <w:b/>
          <w:bCs/>
          <w:kern w:val="52"/>
          <w:sz w:val="56"/>
          <w:szCs w:val="56"/>
          <w:lang w:eastAsia="zh-CN"/>
        </w:rPr>
      </w:pPr>
      <w:r>
        <w:rPr>
          <w:rFonts w:hint="eastAsia" w:ascii="楷体" w:hAnsi="楷体" w:eastAsia="楷体" w:cs="楷体"/>
          <w:b/>
          <w:bCs/>
          <w:kern w:val="52"/>
          <w:sz w:val="56"/>
          <w:szCs w:val="56"/>
        </w:rPr>
        <w:t xml:space="preserve">  </w:t>
      </w:r>
      <w:r>
        <w:rPr>
          <w:rFonts w:hint="eastAsia" w:ascii="楷体" w:hAnsi="楷体" w:eastAsia="楷体" w:cs="楷体"/>
          <w:b/>
          <w:bCs/>
          <w:kern w:val="52"/>
          <w:sz w:val="56"/>
          <w:szCs w:val="56"/>
          <w:lang w:eastAsia="zh-CN"/>
        </w:rPr>
        <w:t>亿诚建设项目管理有限公司</w:t>
      </w:r>
    </w:p>
    <w:p>
      <w:pPr>
        <w:jc w:val="center"/>
        <w:rPr>
          <w:rFonts w:ascii="宋体" w:hAnsi="宋体"/>
          <w:b/>
          <w:sz w:val="96"/>
          <w:szCs w:val="84"/>
        </w:rPr>
      </w:pPr>
      <w:r>
        <w:rPr>
          <w:rFonts w:ascii="宋体" w:hAnsi="宋体"/>
          <w:sz w:val="52"/>
        </w:rPr>
        <w:cr/>
      </w:r>
    </w:p>
    <w:p>
      <w:pPr>
        <w:spacing w:line="1000" w:lineRule="exact"/>
        <w:jc w:val="center"/>
        <w:rPr>
          <w:rFonts w:hAnsi="宋体"/>
        </w:rPr>
      </w:pPr>
      <w:r>
        <w:rPr>
          <w:rFonts w:hint="eastAsia" w:ascii="宋体" w:hAnsi="宋体"/>
          <w:b/>
          <w:sz w:val="96"/>
          <w:szCs w:val="84"/>
        </w:rPr>
        <w:t>竞争性</w:t>
      </w:r>
      <w:r>
        <w:rPr>
          <w:rFonts w:hint="eastAsia" w:ascii="宋体" w:hAnsi="宋体"/>
          <w:b/>
          <w:sz w:val="96"/>
          <w:szCs w:val="84"/>
          <w:lang w:eastAsia="zh-CN"/>
        </w:rPr>
        <w:t>竞标</w:t>
      </w:r>
      <w:r>
        <w:rPr>
          <w:rFonts w:hint="eastAsia" w:ascii="宋体" w:hAnsi="宋体"/>
          <w:b/>
          <w:sz w:val="96"/>
          <w:szCs w:val="84"/>
        </w:rPr>
        <w:t>文件</w:t>
      </w:r>
    </w:p>
    <w:p>
      <w:pPr>
        <w:ind w:firstLine="1884" w:firstLineChars="700"/>
        <w:jc w:val="left"/>
        <w:rPr>
          <w:rFonts w:hint="eastAsia" w:ascii="宋体" w:hAnsi="宋体"/>
          <w:b/>
          <w:bCs/>
          <w:spacing w:val="-6"/>
          <w:sz w:val="28"/>
        </w:rPr>
      </w:pPr>
    </w:p>
    <w:p>
      <w:pPr>
        <w:ind w:firstLine="1884" w:firstLineChars="700"/>
        <w:jc w:val="left"/>
        <w:rPr>
          <w:rFonts w:hint="eastAsia" w:ascii="宋体" w:hAnsi="宋体"/>
          <w:b/>
          <w:bCs/>
          <w:spacing w:val="-6"/>
          <w:sz w:val="28"/>
        </w:rPr>
      </w:pPr>
    </w:p>
    <w:p>
      <w:pPr>
        <w:ind w:firstLine="1884" w:firstLineChars="700"/>
        <w:jc w:val="left"/>
        <w:rPr>
          <w:rFonts w:hint="eastAsia" w:ascii="宋体" w:hAnsi="宋体" w:eastAsia="宋体"/>
          <w:b/>
          <w:bCs/>
          <w:color w:val="auto"/>
          <w:spacing w:val="-6"/>
          <w:sz w:val="28"/>
          <w:lang w:eastAsia="zh-CN"/>
        </w:rPr>
      </w:pPr>
      <w:r>
        <w:rPr>
          <w:rFonts w:hint="eastAsia" w:ascii="宋体" w:hAnsi="宋体"/>
          <w:b/>
          <w:bCs/>
          <w:spacing w:val="-6"/>
          <w:sz w:val="28"/>
        </w:rPr>
        <w:t>项目名称：</w:t>
      </w:r>
      <w:r>
        <w:rPr>
          <w:rFonts w:hint="eastAsia" w:ascii="宋体" w:hAnsi="宋体"/>
          <w:b/>
          <w:bCs/>
          <w:color w:val="auto"/>
          <w:spacing w:val="-6"/>
          <w:sz w:val="28"/>
          <w:lang w:eastAsia="zh-CN"/>
        </w:rPr>
        <w:t>网络安全定制化服务及大屏显示定制化服务等项目</w:t>
      </w:r>
    </w:p>
    <w:p>
      <w:pPr>
        <w:ind w:firstLine="1884" w:firstLineChars="700"/>
        <w:jc w:val="left"/>
        <w:rPr>
          <w:rFonts w:ascii="宋体" w:hAnsi="宋体"/>
          <w:b/>
          <w:bCs/>
          <w:color w:val="auto"/>
          <w:spacing w:val="10"/>
          <w:sz w:val="28"/>
        </w:rPr>
      </w:pPr>
      <w:r>
        <w:rPr>
          <w:rFonts w:hint="eastAsia" w:ascii="宋体" w:hAnsi="宋体"/>
          <w:b/>
          <w:bCs/>
          <w:spacing w:val="-6"/>
          <w:sz w:val="28"/>
        </w:rPr>
        <w:t>项目编号：</w:t>
      </w:r>
      <w:r>
        <w:rPr>
          <w:rFonts w:hint="eastAsia" w:ascii="宋体" w:hAnsi="宋体"/>
          <w:b/>
          <w:bCs/>
          <w:color w:val="auto"/>
          <w:spacing w:val="-6"/>
          <w:sz w:val="28"/>
          <w:lang w:eastAsia="zh-CN"/>
        </w:rPr>
        <w:t>CZZC2020-J3-020158-YCXM</w:t>
      </w:r>
    </w:p>
    <w:p>
      <w:pPr>
        <w:ind w:firstLine="1050" w:firstLineChars="500"/>
        <w:rPr>
          <w:rFonts w:ascii="宋体" w:hAnsi="宋体"/>
        </w:rPr>
      </w:pPr>
    </w:p>
    <w:p>
      <w:pPr>
        <w:ind w:firstLine="1050" w:firstLineChars="500"/>
        <w:rPr>
          <w:rFonts w:ascii="宋体" w:hAnsi="宋体"/>
        </w:rPr>
      </w:pPr>
    </w:p>
    <w:p>
      <w:pPr>
        <w:ind w:firstLine="1050" w:firstLineChars="500"/>
        <w:rPr>
          <w:rFonts w:ascii="宋体" w:hAnsi="宋体"/>
        </w:rPr>
      </w:pPr>
    </w:p>
    <w:p>
      <w:pPr>
        <w:ind w:firstLine="1050" w:firstLineChars="500"/>
        <w:rPr>
          <w:rFonts w:ascii="宋体" w:hAnsi="宋体"/>
        </w:rPr>
      </w:pPr>
    </w:p>
    <w:p>
      <w:pPr>
        <w:rPr>
          <w:rFonts w:ascii="宋体" w:hAnsi="宋体"/>
        </w:rPr>
      </w:pPr>
    </w:p>
    <w:p>
      <w:pPr>
        <w:jc w:val="left"/>
        <w:rPr>
          <w:rFonts w:hint="eastAsia" w:ascii="宋体" w:hAnsi="宋体" w:eastAsia="宋体"/>
          <w:b/>
          <w:bCs/>
          <w:spacing w:val="-6"/>
          <w:sz w:val="28"/>
          <w:lang w:eastAsia="zh-CN"/>
        </w:rPr>
      </w:pPr>
      <w:r>
        <w:rPr>
          <w:rFonts w:hint="eastAsia" w:ascii="宋体" w:hAnsi="宋体"/>
        </w:rPr>
        <w:t xml:space="preserve">                     </w:t>
      </w:r>
      <w:r>
        <w:rPr>
          <w:rFonts w:hint="eastAsia" w:ascii="宋体" w:hAnsi="宋体"/>
          <w:b/>
          <w:bCs/>
          <w:spacing w:val="-6"/>
          <w:sz w:val="28"/>
        </w:rPr>
        <w:t>采购单位：</w:t>
      </w:r>
      <w:r>
        <w:rPr>
          <w:rFonts w:hint="eastAsia" w:ascii="宋体" w:hAnsi="宋体"/>
          <w:b/>
          <w:bCs/>
          <w:spacing w:val="-6"/>
          <w:sz w:val="28"/>
          <w:lang w:eastAsia="zh-CN"/>
        </w:rPr>
        <w:t>崇左市江州区卫生健康局</w:t>
      </w:r>
    </w:p>
    <w:p>
      <w:pPr>
        <w:ind w:left="-412" w:leftChars="-196"/>
        <w:jc w:val="left"/>
        <w:rPr>
          <w:rFonts w:hint="eastAsia" w:ascii="宋体" w:hAnsi="宋体" w:eastAsia="宋体"/>
          <w:b/>
          <w:bCs/>
          <w:spacing w:val="40"/>
          <w:kern w:val="0"/>
          <w:sz w:val="28"/>
          <w:lang w:eastAsia="zh-CN"/>
        </w:rPr>
      </w:pPr>
      <w:r>
        <w:rPr>
          <w:rFonts w:hint="eastAsia" w:ascii="宋体" w:hAnsi="宋体"/>
          <w:b/>
          <w:bCs/>
          <w:spacing w:val="-6"/>
          <w:sz w:val="28"/>
        </w:rPr>
        <w:t xml:space="preserve">                  采购代理机构：</w:t>
      </w:r>
      <w:r>
        <w:rPr>
          <w:rFonts w:hint="eastAsia" w:ascii="宋体" w:hAnsi="宋体"/>
          <w:b/>
          <w:bCs/>
          <w:spacing w:val="-6"/>
          <w:sz w:val="28"/>
          <w:highlight w:val="none"/>
          <w:lang w:eastAsia="zh-CN"/>
        </w:rPr>
        <w:t>亿诚建设项目管理有限公司</w:t>
      </w:r>
    </w:p>
    <w:p>
      <w:pPr>
        <w:ind w:left="-412" w:leftChars="-196"/>
        <w:jc w:val="center"/>
        <w:rPr>
          <w:rFonts w:ascii="宋体" w:hAnsi="宋体"/>
          <w:b/>
          <w:bCs/>
          <w:sz w:val="32"/>
        </w:rPr>
      </w:pPr>
      <w:r>
        <w:rPr>
          <w:rFonts w:hint="eastAsia" w:ascii="宋体" w:hAnsi="宋体"/>
          <w:b/>
          <w:bCs/>
          <w:sz w:val="28"/>
        </w:rPr>
        <w:t>2020年1</w:t>
      </w:r>
      <w:r>
        <w:rPr>
          <w:rFonts w:hint="eastAsia" w:ascii="宋体" w:hAnsi="宋体"/>
          <w:b/>
          <w:bCs/>
          <w:sz w:val="28"/>
          <w:lang w:val="en-US" w:eastAsia="zh-CN"/>
        </w:rPr>
        <w:t>2</w:t>
      </w:r>
      <w:r>
        <w:rPr>
          <w:rFonts w:hint="eastAsia" w:ascii="宋体" w:hAnsi="宋体"/>
          <w:b/>
          <w:bCs/>
          <w:sz w:val="28"/>
        </w:rPr>
        <w:t>月</w:t>
      </w:r>
    </w:p>
    <w:p>
      <w:pPr>
        <w:tabs>
          <w:tab w:val="left" w:pos="5250"/>
        </w:tabs>
        <w:jc w:val="left"/>
        <w:rPr>
          <w:rFonts w:ascii="宋体" w:hAnsi="宋体"/>
          <w:b/>
          <w:sz w:val="32"/>
          <w:szCs w:val="32"/>
        </w:rPr>
      </w:pPr>
    </w:p>
    <w:p>
      <w:pPr>
        <w:pStyle w:val="12"/>
        <w:spacing w:line="420" w:lineRule="exact"/>
        <w:jc w:val="center"/>
        <w:rPr>
          <w:rFonts w:hAnsi="宋体"/>
          <w:sz w:val="44"/>
        </w:rPr>
      </w:pPr>
      <w:r>
        <w:rPr>
          <w:rFonts w:hint="eastAsia" w:hAnsi="宋体"/>
          <w:sz w:val="44"/>
        </w:rPr>
        <w:t>目  录</w:t>
      </w:r>
    </w:p>
    <w:p>
      <w:pPr>
        <w:pStyle w:val="12"/>
        <w:tabs>
          <w:tab w:val="left" w:pos="8860"/>
          <w:tab w:val="left" w:pos="9140"/>
        </w:tabs>
        <w:ind w:firstLine="735"/>
        <w:rPr>
          <w:rFonts w:hAnsi="宋体"/>
          <w:sz w:val="32"/>
        </w:rPr>
      </w:pPr>
    </w:p>
    <w:p>
      <w:pPr>
        <w:pStyle w:val="6"/>
      </w:pPr>
    </w:p>
    <w:p>
      <w:pPr>
        <w:pStyle w:val="33"/>
        <w:tabs>
          <w:tab w:val="right" w:leader="dot" w:pos="9540"/>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"_Toc26066" </w:instrText>
      </w:r>
      <w:r>
        <w:fldChar w:fldCharType="separate"/>
      </w:r>
      <w:r>
        <w:rPr>
          <w:rFonts w:hint="eastAsia" w:ascii="宋体" w:hAnsi="宋体" w:cs="宋体"/>
          <w:sz w:val="28"/>
          <w:szCs w:val="28"/>
        </w:rPr>
        <w:t>第一章 竞争性</w:t>
      </w:r>
      <w:r>
        <w:rPr>
          <w:rFonts w:hint="eastAsia" w:ascii="宋体" w:hAnsi="宋体" w:cs="宋体"/>
          <w:sz w:val="28"/>
          <w:szCs w:val="28"/>
          <w:lang w:eastAsia="zh-CN"/>
        </w:rPr>
        <w:t>竞标</w:t>
      </w:r>
      <w:r>
        <w:rPr>
          <w:rFonts w:hint="eastAsia" w:ascii="宋体" w:hAnsi="宋体" w:cs="宋体"/>
          <w:sz w:val="28"/>
          <w:szCs w:val="28"/>
        </w:rPr>
        <w:t>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_Toc26066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33"/>
        <w:tabs>
          <w:tab w:val="right" w:leader="dot" w:pos="9540"/>
        </w:tabs>
        <w:rPr>
          <w:rFonts w:ascii="宋体" w:hAnsi="宋体" w:cs="宋体"/>
          <w:sz w:val="28"/>
          <w:szCs w:val="28"/>
        </w:rPr>
      </w:pPr>
      <w:r>
        <w:fldChar w:fldCharType="begin"/>
      </w:r>
      <w:r>
        <w:instrText xml:space="preserve"> HYPERLINK \l "_Toc18424" </w:instrText>
      </w:r>
      <w:r>
        <w:fldChar w:fldCharType="separate"/>
      </w:r>
      <w:r>
        <w:rPr>
          <w:rFonts w:hint="eastAsia" w:ascii="宋体" w:hAnsi="宋体" w:cs="宋体"/>
          <w:sz w:val="28"/>
          <w:szCs w:val="28"/>
        </w:rPr>
        <w:t xml:space="preserve">第二章 </w:t>
      </w:r>
      <w:r>
        <w:rPr>
          <w:rFonts w:hint="eastAsia" w:ascii="宋体" w:hAnsi="宋体" w:cs="宋体"/>
          <w:sz w:val="28"/>
          <w:szCs w:val="28"/>
          <w:lang w:eastAsia="zh-CN"/>
        </w:rPr>
        <w:t>竞标人</w:t>
      </w:r>
      <w:r>
        <w:rPr>
          <w:rFonts w:hint="eastAsia" w:ascii="宋体" w:hAnsi="宋体" w:cs="宋体"/>
          <w:sz w:val="28"/>
          <w:szCs w:val="28"/>
        </w:rPr>
        <w:t>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_Toc18424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33"/>
        <w:tabs>
          <w:tab w:val="right" w:leader="dot" w:pos="9540"/>
        </w:tabs>
        <w:rPr>
          <w:rFonts w:ascii="宋体" w:hAnsi="宋体" w:cs="宋体"/>
          <w:sz w:val="28"/>
          <w:szCs w:val="28"/>
        </w:rPr>
      </w:pPr>
      <w:r>
        <w:fldChar w:fldCharType="begin"/>
      </w:r>
      <w:r>
        <w:instrText xml:space="preserve"> HYPERLINK \l "_Toc2711" </w:instrText>
      </w:r>
      <w:r>
        <w:fldChar w:fldCharType="separate"/>
      </w:r>
      <w:r>
        <w:rPr>
          <w:rFonts w:hint="eastAsia" w:ascii="宋体" w:hAnsi="宋体" w:cs="宋体"/>
          <w:sz w:val="28"/>
          <w:szCs w:val="28"/>
        </w:rPr>
        <w:t>第三章 采购项目需求一览表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_Toc2711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fldChar w:fldCharType="end"/>
      </w:r>
    </w:p>
    <w:p>
      <w:pPr>
        <w:pStyle w:val="33"/>
        <w:tabs>
          <w:tab w:val="right" w:leader="dot" w:pos="9540"/>
        </w:tabs>
        <w:rPr>
          <w:rFonts w:hint="eastAsia" w:ascii="宋体" w:hAnsi="宋体" w:eastAsia="宋体" w:cs="宋体"/>
          <w:sz w:val="28"/>
          <w:szCs w:val="28"/>
          <w:lang w:val="en-US" w:eastAsia="zh-CN"/>
        </w:rPr>
      </w:pPr>
      <w:r>
        <w:fldChar w:fldCharType="begin"/>
      </w:r>
      <w:r>
        <w:instrText xml:space="preserve"> HYPERLINK \l "_Toc12983" </w:instrText>
      </w:r>
      <w:r>
        <w:fldChar w:fldCharType="separate"/>
      </w:r>
      <w:r>
        <w:rPr>
          <w:rFonts w:hint="eastAsia" w:ascii="宋体" w:hAnsi="宋体" w:cs="宋体"/>
          <w:sz w:val="28"/>
          <w:szCs w:val="28"/>
        </w:rPr>
        <w:t>第六章 评审方法</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7</w:t>
      </w:r>
    </w:p>
    <w:p>
      <w:pPr>
        <w:pStyle w:val="33"/>
        <w:tabs>
          <w:tab w:val="right" w:leader="dot" w:pos="9540"/>
        </w:tabs>
        <w:rPr>
          <w:rFonts w:hint="eastAsia" w:ascii="宋体" w:hAnsi="宋体" w:eastAsia="宋体" w:cs="宋体"/>
          <w:sz w:val="28"/>
          <w:szCs w:val="28"/>
          <w:lang w:val="en-US" w:eastAsia="zh-CN"/>
        </w:rPr>
      </w:pPr>
      <w:r>
        <w:fldChar w:fldCharType="begin"/>
      </w:r>
      <w:r>
        <w:instrText xml:space="preserve"> HYPERLINK \l "_Toc5425" </w:instrText>
      </w:r>
      <w:r>
        <w:fldChar w:fldCharType="separate"/>
      </w:r>
      <w:r>
        <w:rPr>
          <w:rFonts w:hint="eastAsia" w:ascii="宋体" w:hAnsi="宋体" w:cs="宋体"/>
          <w:sz w:val="28"/>
          <w:szCs w:val="28"/>
        </w:rPr>
        <w:t>第五章 采购合同（参考合同书格式）</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0</w:t>
      </w:r>
    </w:p>
    <w:p>
      <w:pPr>
        <w:pStyle w:val="33"/>
        <w:tabs>
          <w:tab w:val="right" w:leader="dot" w:pos="9540"/>
        </w:tabs>
        <w:rPr>
          <w:rFonts w:hint="eastAsia" w:eastAsia="宋体"/>
          <w:lang w:val="en-US" w:eastAsia="zh-CN"/>
        </w:rPr>
      </w:pPr>
      <w:r>
        <w:fldChar w:fldCharType="begin"/>
      </w:r>
      <w:r>
        <w:instrText xml:space="preserve"> HYPERLINK \l "_Toc21177"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5</w:t>
      </w:r>
    </w:p>
    <w:p>
      <w:pPr>
        <w:spacing w:line="480" w:lineRule="auto"/>
        <w:ind w:firstLine="2730" w:firstLineChars="1300"/>
        <w:rPr>
          <w:rFonts w:ascii="宋体" w:hAnsi="宋体" w:cs="宋体"/>
          <w:sz w:val="28"/>
          <w:szCs w:val="28"/>
        </w:rPr>
      </w:pPr>
      <w:r>
        <w:rPr>
          <w:rFonts w:hint="eastAsia" w:ascii="宋体" w:hAnsi="宋体" w:cs="宋体"/>
          <w:szCs w:val="28"/>
        </w:rPr>
        <w:fldChar w:fldCharType="end"/>
      </w:r>
    </w:p>
    <w:p>
      <w:pPr>
        <w:rPr>
          <w:rFonts w:ascii="宋体" w:hAnsi="宋体"/>
          <w:b/>
          <w:sz w:val="32"/>
          <w:szCs w:val="32"/>
        </w:rPr>
      </w:pPr>
      <w:r>
        <w:rPr>
          <w:rFonts w:hint="eastAsia" w:ascii="宋体" w:hAnsi="宋体"/>
          <w:b/>
          <w:sz w:val="32"/>
          <w:szCs w:val="32"/>
        </w:rPr>
        <w:br w:type="page"/>
      </w:r>
    </w:p>
    <w:p>
      <w:pPr>
        <w:numPr>
          <w:ilvl w:val="0"/>
          <w:numId w:val="1"/>
        </w:numPr>
        <w:spacing w:line="480" w:lineRule="exact"/>
        <w:jc w:val="center"/>
        <w:outlineLvl w:val="0"/>
        <w:rPr>
          <w:rFonts w:ascii="宋体" w:hAnsi="宋体"/>
          <w:b/>
          <w:sz w:val="32"/>
          <w:szCs w:val="32"/>
        </w:rPr>
      </w:pPr>
      <w:r>
        <w:rPr>
          <w:rFonts w:hint="eastAsia" w:ascii="宋体" w:hAnsi="宋体"/>
          <w:b/>
          <w:sz w:val="32"/>
          <w:szCs w:val="32"/>
        </w:rPr>
        <w:t xml:space="preserve"> </w:t>
      </w:r>
      <w:bookmarkStart w:id="0" w:name="_Toc869"/>
      <w:bookmarkStart w:id="1" w:name="_Toc26066"/>
      <w:r>
        <w:rPr>
          <w:rFonts w:hint="eastAsia" w:ascii="宋体" w:hAnsi="宋体"/>
          <w:b/>
          <w:sz w:val="32"/>
          <w:szCs w:val="32"/>
        </w:rPr>
        <w:t>竞争性</w:t>
      </w:r>
      <w:r>
        <w:rPr>
          <w:rFonts w:hint="eastAsia" w:ascii="宋体" w:hAnsi="宋体"/>
          <w:b/>
          <w:sz w:val="32"/>
          <w:szCs w:val="32"/>
          <w:lang w:eastAsia="zh-CN"/>
        </w:rPr>
        <w:t>竞标</w:t>
      </w:r>
      <w:r>
        <w:rPr>
          <w:rFonts w:hint="eastAsia" w:ascii="宋体" w:hAnsi="宋体"/>
          <w:b/>
          <w:sz w:val="32"/>
          <w:szCs w:val="32"/>
        </w:rPr>
        <w:t>公告</w:t>
      </w:r>
      <w:bookmarkEnd w:id="0"/>
      <w:bookmarkEnd w:id="1"/>
    </w:p>
    <w:p>
      <w:pPr>
        <w:spacing w:line="480" w:lineRule="exact"/>
        <w:jc w:val="center"/>
        <w:rPr>
          <w:rFonts w:ascii="宋体" w:hAnsi="宋体"/>
          <w:b/>
          <w:sz w:val="32"/>
          <w:szCs w:val="32"/>
        </w:rPr>
      </w:pPr>
      <w:r>
        <w:rPr>
          <w:rFonts w:hint="eastAsia" w:ascii="宋体" w:hAnsi="宋体"/>
          <w:b/>
          <w:sz w:val="32"/>
          <w:szCs w:val="32"/>
          <w:lang w:eastAsia="zh-CN"/>
        </w:rPr>
        <w:t>亿诚建设项目管理有限公司网络安全定制化服务及大屏显示定制化服务等项目</w:t>
      </w:r>
      <w:r>
        <w:rPr>
          <w:rFonts w:hint="eastAsia" w:ascii="宋体" w:hAnsi="宋体"/>
          <w:b/>
          <w:sz w:val="32"/>
          <w:szCs w:val="32"/>
        </w:rPr>
        <w:t>（项目编号：）</w:t>
      </w:r>
    </w:p>
    <w:p>
      <w:pPr>
        <w:spacing w:line="480" w:lineRule="exact"/>
        <w:jc w:val="center"/>
        <w:rPr>
          <w:rFonts w:ascii="宋体" w:hAnsi="宋体"/>
          <w:b/>
          <w:sz w:val="32"/>
          <w:szCs w:val="32"/>
        </w:rPr>
      </w:pPr>
      <w:r>
        <w:rPr>
          <w:rFonts w:hint="eastAsia" w:ascii="宋体" w:hAnsi="宋体"/>
          <w:b/>
          <w:sz w:val="32"/>
          <w:szCs w:val="32"/>
        </w:rPr>
        <w:t>竞争性</w:t>
      </w:r>
      <w:r>
        <w:rPr>
          <w:rFonts w:hint="eastAsia" w:ascii="宋体" w:hAnsi="宋体"/>
          <w:b/>
          <w:sz w:val="32"/>
          <w:szCs w:val="32"/>
          <w:lang w:eastAsia="zh-CN"/>
        </w:rPr>
        <w:t>竞标</w:t>
      </w:r>
      <w:r>
        <w:rPr>
          <w:rFonts w:hint="eastAsia" w:ascii="宋体" w:hAnsi="宋体"/>
          <w:b/>
          <w:sz w:val="32"/>
          <w:szCs w:val="32"/>
        </w:rPr>
        <w:t>公告</w:t>
      </w:r>
    </w:p>
    <w:p>
      <w:pPr>
        <w:spacing w:line="480" w:lineRule="exact"/>
        <w:jc w:val="center"/>
        <w:rPr>
          <w:rFonts w:ascii="宋体" w:hAnsi="宋体"/>
          <w:b/>
          <w:sz w:val="32"/>
          <w:szCs w:val="32"/>
        </w:rPr>
      </w:pP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r>
        <w:rPr>
          <w:rFonts w:hint="eastAsia" w:ascii="宋体" w:hAnsi="宋体" w:cs="宋体"/>
          <w:sz w:val="24"/>
          <w:lang w:eastAsia="zh-CN"/>
        </w:rPr>
        <w:t>崇左市江州区卫生健康局</w:t>
      </w:r>
      <w:r>
        <w:rPr>
          <w:rFonts w:hint="eastAsia" w:ascii="宋体" w:hAnsi="宋体" w:cs="宋体"/>
          <w:sz w:val="24"/>
        </w:rPr>
        <w:t>的潜在</w:t>
      </w:r>
      <w:r>
        <w:rPr>
          <w:rFonts w:hint="eastAsia" w:ascii="宋体" w:hAnsi="宋体" w:cs="宋体"/>
          <w:sz w:val="24"/>
          <w:lang w:eastAsia="zh-CN"/>
        </w:rPr>
        <w:t>竞标人</w:t>
      </w:r>
      <w:r>
        <w:rPr>
          <w:rFonts w:hint="eastAsia" w:ascii="宋体" w:hAnsi="宋体" w:cs="宋体"/>
          <w:sz w:val="24"/>
        </w:rPr>
        <w:t>应在</w:t>
      </w:r>
      <w:r>
        <w:rPr>
          <w:rFonts w:hint="eastAsia" w:ascii="宋体" w:hAnsi="宋体" w:cs="宋体"/>
          <w:sz w:val="24"/>
          <w:u w:val="single"/>
        </w:rPr>
        <w:t>“政府采购云平台”</w:t>
      </w:r>
      <w:r>
        <w:rPr>
          <w:rFonts w:hint="eastAsia" w:ascii="宋体" w:hAnsi="宋体" w:cs="宋体"/>
          <w:color w:val="auto"/>
          <w:sz w:val="24"/>
          <w:u w:val="single"/>
        </w:rPr>
        <w:t>（</w:t>
      </w:r>
      <w:r>
        <w:rPr>
          <w:rFonts w:ascii="宋体" w:hAnsi="宋体" w:cs="宋体"/>
          <w:color w:val="auto"/>
          <w:sz w:val="24"/>
          <w:highlight w:val="none"/>
          <w:u w:val="single"/>
        </w:rPr>
        <w:fldChar w:fldCharType="begin"/>
      </w:r>
      <w:r>
        <w:rPr>
          <w:rFonts w:ascii="宋体" w:hAnsi="宋体" w:cs="宋体"/>
          <w:color w:val="auto"/>
          <w:sz w:val="24"/>
          <w:highlight w:val="none"/>
          <w:u w:val="single"/>
        </w:rPr>
        <w:instrText xml:space="preserve"> HYPERLINK "</w:instrText>
      </w:r>
      <w:r>
        <w:rPr>
          <w:rFonts w:hint="eastAsia" w:ascii="宋体" w:hAnsi="宋体" w:cs="宋体"/>
          <w:color w:val="auto"/>
          <w:sz w:val="24"/>
          <w:highlight w:val="none"/>
          <w:u w:val="single"/>
        </w:rPr>
        <w:instrText xml:space="preserve">https://www.zcygov.cn）</w:instrText>
      </w:r>
      <w:r>
        <w:rPr>
          <w:rFonts w:hint="eastAsia" w:ascii="宋体" w:hAnsi="宋体" w:cs="宋体"/>
          <w:color w:val="auto"/>
          <w:sz w:val="24"/>
          <w:highlight w:val="none"/>
        </w:rPr>
        <w:instrText xml:space="preserve">获取采购文件，并于</w:instrText>
      </w:r>
      <w:r>
        <w:rPr>
          <w:rFonts w:hint="eastAsia" w:ascii="宋体" w:hAnsi="宋体" w:cs="宋体"/>
          <w:color w:val="auto"/>
          <w:sz w:val="24"/>
          <w:highlight w:val="none"/>
          <w:u w:val="single"/>
        </w:rPr>
        <w:instrText xml:space="preserve">2020年</w:instrText>
      </w:r>
      <w:r>
        <w:rPr>
          <w:rFonts w:ascii="宋体" w:hAnsi="宋体" w:cs="宋体"/>
          <w:color w:val="auto"/>
          <w:sz w:val="24"/>
          <w:highlight w:val="none"/>
          <w:u w:val="single"/>
        </w:rPr>
        <w:instrText xml:space="preserve">" </w:instrText>
      </w:r>
      <w:r>
        <w:rPr>
          <w:rFonts w:ascii="宋体" w:hAnsi="宋体" w:cs="宋体"/>
          <w:color w:val="auto"/>
          <w:sz w:val="24"/>
          <w:highlight w:val="none"/>
          <w:u w:val="single"/>
        </w:rPr>
        <w:fldChar w:fldCharType="separate"/>
      </w:r>
      <w:r>
        <w:rPr>
          <w:rStyle w:val="29"/>
          <w:rFonts w:hint="eastAsia" w:ascii="宋体" w:hAnsi="宋体" w:cs="宋体"/>
          <w:color w:val="auto"/>
          <w:sz w:val="24"/>
          <w:highlight w:val="none"/>
        </w:rPr>
        <w:t>https://www.zcygov.cn）获取采购文件，并于2020年</w:t>
      </w:r>
      <w:r>
        <w:rPr>
          <w:rFonts w:ascii="宋体" w:hAnsi="宋体" w:cs="宋体"/>
          <w:color w:val="auto"/>
          <w:sz w:val="24"/>
          <w:highlight w:val="none"/>
          <w:u w:val="single"/>
        </w:rPr>
        <w:fldChar w:fldCharType="end"/>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bCs/>
          <w:color w:val="auto"/>
          <w:sz w:val="24"/>
        </w:rPr>
        <w:t>（北京时间）前提交响应文件</w:t>
      </w:r>
      <w:r>
        <w:rPr>
          <w:rFonts w:hint="eastAsia" w:ascii="宋体" w:hAnsi="宋体" w:cs="宋体"/>
          <w:color w:val="auto"/>
          <w:sz w:val="24"/>
        </w:rPr>
        <w:t>。</w:t>
      </w:r>
    </w:p>
    <w:p>
      <w:pPr>
        <w:pStyle w:val="4"/>
        <w:spacing w:line="400" w:lineRule="exact"/>
        <w:ind w:firstLine="482"/>
        <w:jc w:val="left"/>
        <w:rPr>
          <w:rFonts w:ascii="宋体" w:hAnsi="宋体" w:eastAsia="宋体" w:cs="宋体"/>
          <w:bCs w:val="0"/>
          <w:sz w:val="24"/>
          <w:szCs w:val="24"/>
        </w:rPr>
      </w:pPr>
      <w:bookmarkStart w:id="2" w:name="_Toc35393629"/>
      <w:bookmarkStart w:id="3" w:name="_Toc28359089"/>
      <w:bookmarkStart w:id="4" w:name="_Toc35393798"/>
      <w:bookmarkStart w:id="5" w:name="_Toc28359012"/>
      <w:r>
        <w:rPr>
          <w:rFonts w:hint="eastAsia" w:ascii="宋体" w:hAnsi="宋体" w:eastAsia="宋体" w:cs="宋体"/>
          <w:bCs w:val="0"/>
          <w:sz w:val="24"/>
          <w:szCs w:val="24"/>
        </w:rPr>
        <w:t>一、项目基本情况</w:t>
      </w:r>
      <w:bookmarkEnd w:id="2"/>
      <w:bookmarkEnd w:id="3"/>
      <w:bookmarkEnd w:id="4"/>
      <w:bookmarkEnd w:id="5"/>
    </w:p>
    <w:p>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CZZC2020-J3-020158-YCXM</w:t>
      </w:r>
    </w:p>
    <w:p>
      <w:pPr>
        <w:spacing w:line="400" w:lineRule="exact"/>
        <w:ind w:firstLine="480" w:firstLineChars="200"/>
        <w:jc w:val="left"/>
        <w:rPr>
          <w:rFonts w:hint="eastAsia" w:ascii="宋体" w:hAnsi="宋体" w:eastAsia="宋体" w:cs="宋体"/>
          <w:sz w:val="24"/>
          <w:u w:val="single"/>
          <w:lang w:eastAsia="zh-CN"/>
        </w:rPr>
      </w:pPr>
      <w:r>
        <w:rPr>
          <w:rFonts w:hint="eastAsia" w:ascii="宋体" w:hAnsi="宋体" w:cs="宋体"/>
          <w:sz w:val="24"/>
        </w:rPr>
        <w:t>项目名称：网络安全定制化服务及大屏显示定制化服务等项目</w:t>
      </w:r>
    </w:p>
    <w:p>
      <w:pPr>
        <w:spacing w:line="400" w:lineRule="exact"/>
        <w:ind w:firstLine="480" w:firstLineChars="200"/>
        <w:jc w:val="left"/>
        <w:rPr>
          <w:rFonts w:ascii="宋体" w:hAnsi="宋体" w:cs="宋体"/>
          <w:sz w:val="24"/>
        </w:rPr>
      </w:pPr>
      <w:r>
        <w:rPr>
          <w:rFonts w:hint="eastAsia" w:ascii="宋体" w:hAnsi="宋体" w:cs="宋体"/>
          <w:sz w:val="24"/>
        </w:rPr>
        <w:t>采购方式：</w:t>
      </w:r>
      <w:r>
        <w:rPr>
          <w:rFonts w:hint="eastAsia" w:ascii="宋体" w:hAnsi="宋体" w:cs="宋体"/>
          <w:sz w:val="24"/>
          <w:lang w:eastAsia="zh-CN"/>
        </w:rPr>
        <w:t>☑</w:t>
      </w:r>
      <w:r>
        <w:rPr>
          <w:rFonts w:hint="eastAsia" w:ascii="宋体" w:hAnsi="宋体" w:cs="宋体"/>
          <w:sz w:val="24"/>
        </w:rPr>
        <w:t xml:space="preserve">竞争性谈判 </w:t>
      </w:r>
      <w:r>
        <w:rPr>
          <w:rFonts w:hint="eastAsia" w:ascii="宋体" w:hAnsi="宋体" w:cs="宋体"/>
          <w:sz w:val="24"/>
          <w:lang w:eastAsia="zh-CN"/>
        </w:rPr>
        <w:t>□</w:t>
      </w:r>
      <w:r>
        <w:rPr>
          <w:rFonts w:hint="eastAsia" w:ascii="宋体" w:hAnsi="宋体" w:cs="宋体"/>
          <w:sz w:val="24"/>
        </w:rPr>
        <w:t>竞争性</w:t>
      </w:r>
      <w:r>
        <w:rPr>
          <w:rFonts w:hint="eastAsia" w:ascii="宋体" w:hAnsi="宋体" w:cs="宋体"/>
          <w:sz w:val="24"/>
          <w:lang w:eastAsia="zh-CN"/>
        </w:rPr>
        <w:t>竞标</w:t>
      </w:r>
      <w:r>
        <w:rPr>
          <w:rFonts w:hint="eastAsia" w:ascii="宋体" w:hAnsi="宋体" w:cs="宋体"/>
          <w:sz w:val="24"/>
        </w:rPr>
        <w:t xml:space="preserve"> □询价</w:t>
      </w:r>
    </w:p>
    <w:p>
      <w:pPr>
        <w:spacing w:line="400" w:lineRule="exact"/>
        <w:ind w:firstLine="480" w:firstLineChars="200"/>
        <w:jc w:val="left"/>
        <w:rPr>
          <w:rFonts w:ascii="宋体" w:hAnsi="宋体" w:cs="宋体"/>
          <w:sz w:val="24"/>
        </w:rPr>
      </w:pPr>
      <w:r>
        <w:rPr>
          <w:rFonts w:hint="eastAsia" w:ascii="宋体" w:hAnsi="宋体" w:cs="宋体"/>
          <w:sz w:val="24"/>
        </w:rPr>
        <w:t>预算金额：</w:t>
      </w:r>
      <w:r>
        <w:rPr>
          <w:rFonts w:hint="eastAsia" w:ascii="宋体" w:hAnsi="宋体" w:cs="宋体"/>
          <w:sz w:val="24"/>
          <w:lang w:eastAsia="zh-CN"/>
        </w:rPr>
        <w:t>壹佰玖拾捌万元整</w:t>
      </w:r>
      <w:r>
        <w:rPr>
          <w:rFonts w:hint="eastAsia" w:ascii="宋体" w:hAnsi="宋体" w:cs="宋体"/>
          <w:sz w:val="24"/>
        </w:rPr>
        <w:t>（¥：1980000元）</w:t>
      </w:r>
    </w:p>
    <w:p>
      <w:pPr>
        <w:spacing w:line="400" w:lineRule="exact"/>
        <w:ind w:firstLine="480" w:firstLineChars="200"/>
        <w:jc w:val="left"/>
        <w:rPr>
          <w:rFonts w:ascii="宋体" w:hAnsi="宋体" w:cs="宋体"/>
          <w:sz w:val="24"/>
          <w:u w:val="single"/>
        </w:rPr>
      </w:pPr>
      <w:r>
        <w:rPr>
          <w:rFonts w:hint="eastAsia" w:ascii="宋体" w:hAnsi="宋体" w:cs="宋体"/>
          <w:sz w:val="24"/>
        </w:rPr>
        <w:t>采购需求：网络安全定制化服务及大屏显示定制化服务等项目一项，如需进一步了解详细内容，详见竞争性</w:t>
      </w:r>
      <w:r>
        <w:rPr>
          <w:rFonts w:hint="eastAsia" w:ascii="宋体" w:hAnsi="宋体" w:cs="宋体"/>
          <w:sz w:val="24"/>
          <w:lang w:eastAsia="zh-CN"/>
        </w:rPr>
        <w:t>竞标</w:t>
      </w:r>
      <w:r>
        <w:rPr>
          <w:rFonts w:hint="eastAsia" w:ascii="宋体" w:hAnsi="宋体" w:cs="宋体"/>
          <w:sz w:val="24"/>
        </w:rPr>
        <w:t>文件。</w:t>
      </w:r>
    </w:p>
    <w:p>
      <w:pPr>
        <w:spacing w:line="400" w:lineRule="exact"/>
        <w:ind w:firstLine="480" w:firstLineChars="200"/>
        <w:jc w:val="left"/>
        <w:rPr>
          <w:rFonts w:ascii="宋体" w:hAnsi="宋体" w:cs="宋体"/>
          <w:sz w:val="24"/>
          <w:highlight w:val="none"/>
          <w:u w:val="single"/>
        </w:rPr>
      </w:pPr>
      <w:r>
        <w:rPr>
          <w:rFonts w:hint="eastAsia" w:ascii="宋体" w:hAnsi="宋体" w:cs="宋体"/>
          <w:sz w:val="24"/>
        </w:rPr>
        <w:t>合同履</w:t>
      </w:r>
      <w:r>
        <w:rPr>
          <w:rFonts w:hint="eastAsia" w:ascii="宋体" w:hAnsi="宋体" w:cs="宋体"/>
          <w:sz w:val="24"/>
          <w:highlight w:val="none"/>
        </w:rPr>
        <w:t>行期限：自签订合同之日</w:t>
      </w:r>
      <w:r>
        <w:rPr>
          <w:rFonts w:hint="eastAsia" w:ascii="宋体" w:hAnsi="宋体" w:cs="宋体"/>
          <w:sz w:val="24"/>
          <w:highlight w:val="none"/>
          <w:lang w:val="en-US" w:eastAsia="zh-CN"/>
        </w:rPr>
        <w:t>起2个工作日</w:t>
      </w:r>
      <w:r>
        <w:rPr>
          <w:rFonts w:hint="eastAsia" w:ascii="宋体" w:hAnsi="宋体" w:cs="宋体"/>
          <w:sz w:val="24"/>
          <w:highlight w:val="none"/>
        </w:rPr>
        <w:t>，通过验收并交付使用。</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本项目不接受联合体投标。</w:t>
      </w:r>
    </w:p>
    <w:p>
      <w:pPr>
        <w:pStyle w:val="4"/>
        <w:spacing w:line="400" w:lineRule="exact"/>
        <w:ind w:firstLine="482"/>
        <w:jc w:val="left"/>
        <w:rPr>
          <w:rFonts w:ascii="宋体" w:hAnsi="宋体" w:eastAsia="宋体" w:cs="宋体"/>
          <w:bCs w:val="0"/>
          <w:sz w:val="24"/>
          <w:szCs w:val="24"/>
        </w:rPr>
      </w:pPr>
      <w:bookmarkStart w:id="6" w:name="_Toc35393799"/>
      <w:bookmarkStart w:id="7" w:name="_Toc28359013"/>
      <w:bookmarkStart w:id="8" w:name="_Toc35393630"/>
      <w:bookmarkStart w:id="9" w:name="_Toc28359090"/>
      <w:r>
        <w:rPr>
          <w:rFonts w:hint="eastAsia" w:ascii="宋体" w:hAnsi="宋体" w:eastAsia="宋体" w:cs="宋体"/>
          <w:bCs w:val="0"/>
          <w:sz w:val="24"/>
          <w:szCs w:val="24"/>
        </w:rPr>
        <w:t>二、申请人的资格要求：</w:t>
      </w:r>
      <w:bookmarkEnd w:id="6"/>
      <w:bookmarkEnd w:id="7"/>
      <w:bookmarkEnd w:id="8"/>
      <w:bookmarkEnd w:id="9"/>
    </w:p>
    <w:p>
      <w:pPr>
        <w:spacing w:line="380" w:lineRule="exact"/>
        <w:ind w:firstLine="480" w:firstLineChars="200"/>
        <w:rPr>
          <w:rFonts w:ascii="宋体" w:hAnsi="宋体"/>
          <w:sz w:val="24"/>
          <w:szCs w:val="24"/>
        </w:rPr>
      </w:pPr>
      <w:bookmarkStart w:id="10" w:name="_Toc35393800"/>
      <w:bookmarkStart w:id="11" w:name="_Toc35393631"/>
      <w:bookmarkStart w:id="12" w:name="_Toc28359091"/>
      <w:bookmarkStart w:id="13" w:name="_Toc28359014"/>
      <w:r>
        <w:rPr>
          <w:rFonts w:hint="eastAsia" w:ascii="宋体" w:hAnsi="宋体"/>
          <w:sz w:val="24"/>
          <w:szCs w:val="24"/>
        </w:rPr>
        <w:t>1.满足《中华人民共和国政府采购法》第二十二条规定；</w:t>
      </w:r>
    </w:p>
    <w:p>
      <w:pPr>
        <w:spacing w:line="38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.落实政府采购政策需满足的资格要求：无</w:t>
      </w:r>
    </w:p>
    <w:p>
      <w:pPr>
        <w:spacing w:line="380" w:lineRule="exact"/>
        <w:ind w:firstLine="480" w:firstLineChars="200"/>
        <w:rPr>
          <w:rFonts w:hint="eastAsia" w:ascii="宋体" w:hAnsi="宋体" w:eastAsia="宋体"/>
          <w:sz w:val="24"/>
          <w:szCs w:val="24"/>
          <w:lang w:eastAsia="zh-CN"/>
        </w:rPr>
      </w:pPr>
      <w:r>
        <w:rPr>
          <w:rFonts w:hint="eastAsia" w:ascii="宋体" w:hAnsi="宋体"/>
          <w:sz w:val="24"/>
          <w:szCs w:val="24"/>
        </w:rPr>
        <w:t>3.本项目的特定资格要求：</w:t>
      </w:r>
      <w:r>
        <w:rPr>
          <w:rFonts w:hint="eastAsia" w:ascii="宋体" w:hAnsi="宋体"/>
          <w:sz w:val="24"/>
          <w:szCs w:val="24"/>
          <w:lang w:eastAsia="zh-CN"/>
        </w:rPr>
        <w:t>无</w:t>
      </w:r>
    </w:p>
    <w:p>
      <w:pPr>
        <w:spacing w:line="40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spacing w:line="38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w:t>
      </w:r>
      <w:r>
        <w:rPr>
          <w:rFonts w:hint="eastAsia" w:ascii="宋体" w:hAnsi="宋体"/>
          <w:sz w:val="24"/>
          <w:szCs w:val="24"/>
          <w:lang w:eastAsia="zh-CN"/>
        </w:rPr>
        <w:t>竞标人</w:t>
      </w:r>
      <w:r>
        <w:rPr>
          <w:rFonts w:hint="eastAsia" w:ascii="宋体" w:hAnsi="宋体"/>
          <w:sz w:val="24"/>
          <w:szCs w:val="24"/>
        </w:rPr>
        <w:t>，不得参与</w:t>
      </w:r>
      <w:r>
        <w:rPr>
          <w:rFonts w:hint="eastAsia" w:ascii="宋体" w:hAnsi="宋体"/>
          <w:sz w:val="24"/>
          <w:szCs w:val="24"/>
          <w:lang w:eastAsia="zh-CN"/>
        </w:rPr>
        <w:t>本次</w:t>
      </w:r>
      <w:r>
        <w:rPr>
          <w:rFonts w:hint="eastAsia" w:ascii="宋体" w:hAnsi="宋体"/>
          <w:sz w:val="24"/>
          <w:szCs w:val="24"/>
        </w:rPr>
        <w:t>采购活动。</w:t>
      </w:r>
    </w:p>
    <w:p>
      <w:pPr>
        <w:pStyle w:val="4"/>
        <w:ind w:firstLine="480" w:firstLineChars="200"/>
        <w:rPr>
          <w:rFonts w:hint="eastAsia" w:ascii="宋体" w:hAnsi="宋体" w:eastAsia="宋体"/>
          <w:b w:val="0"/>
          <w:bCs w:val="0"/>
          <w:kern w:val="2"/>
          <w:sz w:val="24"/>
          <w:szCs w:val="24"/>
          <w:lang w:val="en-US" w:eastAsia="zh-CN" w:bidi="ar-SA"/>
        </w:rPr>
      </w:pPr>
      <w:r>
        <w:rPr>
          <w:rFonts w:hint="eastAsia" w:ascii="宋体" w:hAnsi="宋体" w:eastAsia="宋体"/>
          <w:b w:val="0"/>
          <w:bCs w:val="0"/>
          <w:kern w:val="2"/>
          <w:sz w:val="24"/>
          <w:szCs w:val="24"/>
          <w:lang w:val="en-US" w:eastAsia="zh-CN" w:bidi="ar-SA"/>
        </w:rPr>
        <w:t>6.本项目不接受未购买本竞争性谈判文件的竞标人参与投</w:t>
      </w:r>
      <w:r>
        <w:rPr>
          <w:rFonts w:hint="eastAsia" w:ascii="宋体" w:hAnsi="宋体" w:eastAsia="宋体"/>
          <w:b w:val="0"/>
          <w:bCs w:val="0"/>
          <w:kern w:val="2"/>
          <w:sz w:val="24"/>
          <w:szCs w:val="24"/>
          <w:lang w:val="zh-CN" w:eastAsia="zh-CN" w:bidi="ar-SA"/>
        </w:rPr>
        <w:t>标。</w:t>
      </w:r>
    </w:p>
    <w:p>
      <w:pPr>
        <w:pStyle w:val="4"/>
        <w:spacing w:line="400" w:lineRule="exact"/>
        <w:ind w:firstLine="482"/>
        <w:jc w:val="left"/>
        <w:rPr>
          <w:rFonts w:ascii="宋体" w:hAnsi="宋体" w:eastAsia="宋体" w:cs="宋体"/>
          <w:bCs w:val="0"/>
          <w:sz w:val="24"/>
          <w:szCs w:val="24"/>
        </w:rPr>
      </w:pPr>
      <w:r>
        <w:rPr>
          <w:rFonts w:hint="eastAsia" w:ascii="宋体" w:hAnsi="宋体" w:eastAsia="宋体" w:cs="宋体"/>
          <w:bCs w:val="0"/>
          <w:sz w:val="24"/>
          <w:szCs w:val="24"/>
        </w:rPr>
        <w:t>三、获取采购文件</w:t>
      </w:r>
      <w:bookmarkEnd w:id="10"/>
      <w:bookmarkEnd w:id="11"/>
      <w:bookmarkEnd w:id="12"/>
      <w:bookmarkEnd w:id="13"/>
    </w:p>
    <w:p>
      <w:pPr>
        <w:spacing w:line="400" w:lineRule="exact"/>
        <w:ind w:firstLine="540"/>
        <w:jc w:val="left"/>
        <w:rPr>
          <w:rFonts w:ascii="宋体" w:hAnsi="宋体" w:cs="宋体"/>
          <w:color w:val="FF0000"/>
          <w:sz w:val="24"/>
        </w:rPr>
      </w:pPr>
      <w:r>
        <w:rPr>
          <w:rFonts w:hint="eastAsia" w:ascii="宋体" w:hAnsi="宋体" w:cs="宋体"/>
          <w:sz w:val="24"/>
        </w:rPr>
        <w:t>时间</w:t>
      </w:r>
      <w:r>
        <w:rPr>
          <w:rFonts w:hint="eastAsia" w:ascii="宋体" w:hAnsi="宋体" w:cs="宋体"/>
          <w:color w:val="auto"/>
          <w:sz w:val="24"/>
          <w:highlight w:val="none"/>
        </w:rPr>
        <w:t>：2020年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日起至2020年12月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p>
    <w:p>
      <w:pPr>
        <w:spacing w:line="400" w:lineRule="exact"/>
        <w:ind w:firstLine="540"/>
        <w:jc w:val="left"/>
        <w:rPr>
          <w:rFonts w:ascii="宋体" w:hAnsi="宋体" w:cs="宋体"/>
          <w:sz w:val="24"/>
          <w:u w:val="single"/>
        </w:rPr>
      </w:pPr>
      <w:r>
        <w:rPr>
          <w:rFonts w:hint="eastAsia" w:ascii="宋体" w:hAnsi="宋体" w:cs="宋体"/>
          <w:sz w:val="24"/>
        </w:rPr>
        <w:t>地点：政府采购云平台（https://www.zcygov.cn）。</w:t>
      </w:r>
    </w:p>
    <w:p>
      <w:pPr>
        <w:spacing w:line="400" w:lineRule="exact"/>
        <w:ind w:firstLine="540"/>
        <w:jc w:val="left"/>
        <w:rPr>
          <w:rFonts w:ascii="宋体" w:hAnsi="宋体" w:cs="宋体"/>
          <w:sz w:val="24"/>
        </w:rPr>
      </w:pPr>
      <w:r>
        <w:rPr>
          <w:rFonts w:hint="eastAsia" w:ascii="宋体" w:hAnsi="宋体" w:cs="宋体"/>
          <w:sz w:val="24"/>
        </w:rPr>
        <w:t>方式：</w:t>
      </w:r>
      <w:r>
        <w:rPr>
          <w:rFonts w:hint="eastAsia" w:ascii="宋体" w:hAnsi="宋体" w:cs="宋体"/>
          <w:b/>
          <w:bCs/>
          <w:sz w:val="24"/>
          <w:lang w:eastAsia="zh-CN"/>
        </w:rPr>
        <w:t>竞标人</w:t>
      </w:r>
      <w:r>
        <w:rPr>
          <w:rFonts w:hint="eastAsia" w:ascii="宋体" w:hAnsi="宋体" w:cs="宋体"/>
          <w:b/>
          <w:bCs/>
          <w:sz w:val="24"/>
        </w:rPr>
        <w:t>须登录政府采购云平台（https://www.zcygov.cn/）在线办理报名并自行下载</w:t>
      </w:r>
      <w:r>
        <w:rPr>
          <w:rFonts w:hint="eastAsia" w:ascii="宋体" w:hAnsi="宋体" w:cs="宋体"/>
          <w:b/>
          <w:bCs/>
          <w:sz w:val="24"/>
          <w:lang w:eastAsia="zh-CN"/>
        </w:rPr>
        <w:t>竞标</w:t>
      </w:r>
      <w:r>
        <w:rPr>
          <w:rFonts w:hint="eastAsia" w:ascii="宋体" w:hAnsi="宋体" w:cs="宋体"/>
          <w:b/>
          <w:bCs/>
          <w:sz w:val="24"/>
        </w:rPr>
        <w:t>文件；未注册的</w:t>
      </w:r>
      <w:r>
        <w:rPr>
          <w:rFonts w:hint="eastAsia" w:ascii="宋体" w:hAnsi="宋体" w:cs="宋体"/>
          <w:b/>
          <w:bCs/>
          <w:sz w:val="24"/>
          <w:lang w:eastAsia="zh-CN"/>
        </w:rPr>
        <w:t>竞标人</w:t>
      </w:r>
      <w:r>
        <w:rPr>
          <w:rFonts w:hint="eastAsia" w:ascii="宋体" w:hAnsi="宋体" w:cs="宋体"/>
          <w:b/>
          <w:bCs/>
          <w:sz w:val="24"/>
        </w:rPr>
        <w:t>可在政采云平台完成注册后再进行报名再下载。如在操作过程中遇到问题或需技术支持，请致电政采云客服热线：400-881-7190。</w:t>
      </w:r>
    </w:p>
    <w:p>
      <w:pPr>
        <w:spacing w:line="400" w:lineRule="exact"/>
        <w:ind w:firstLine="540"/>
        <w:jc w:val="left"/>
        <w:rPr>
          <w:rFonts w:ascii="宋体" w:hAnsi="宋体" w:cs="宋体"/>
          <w:sz w:val="24"/>
        </w:rPr>
      </w:pPr>
      <w:r>
        <w:rPr>
          <w:rFonts w:hint="eastAsia" w:ascii="宋体" w:hAnsi="宋体" w:cs="宋体"/>
          <w:sz w:val="24"/>
        </w:rPr>
        <w:t>售价：0元。</w:t>
      </w:r>
    </w:p>
    <w:p>
      <w:pPr>
        <w:pStyle w:val="4"/>
        <w:spacing w:line="400" w:lineRule="exact"/>
        <w:ind w:firstLine="482"/>
        <w:jc w:val="left"/>
        <w:rPr>
          <w:rFonts w:ascii="宋体" w:hAnsi="宋体" w:eastAsia="宋体" w:cs="宋体"/>
          <w:bCs w:val="0"/>
          <w:sz w:val="24"/>
          <w:szCs w:val="24"/>
        </w:rPr>
      </w:pPr>
      <w:bookmarkStart w:id="14" w:name="_Toc35393801"/>
      <w:bookmarkStart w:id="15" w:name="_Toc35393632"/>
      <w:bookmarkStart w:id="16" w:name="_Toc28359092"/>
      <w:bookmarkStart w:id="17" w:name="_Toc28359015"/>
      <w:r>
        <w:rPr>
          <w:rFonts w:hint="eastAsia" w:ascii="宋体" w:hAnsi="宋体" w:eastAsia="宋体" w:cs="宋体"/>
          <w:bCs w:val="0"/>
          <w:sz w:val="24"/>
          <w:szCs w:val="24"/>
        </w:rPr>
        <w:t>四、响应文件提交</w:t>
      </w:r>
      <w:bookmarkEnd w:id="14"/>
      <w:bookmarkEnd w:id="15"/>
      <w:bookmarkEnd w:id="16"/>
      <w:bookmarkEnd w:id="17"/>
    </w:p>
    <w:p>
      <w:pPr>
        <w:spacing w:line="400" w:lineRule="exact"/>
        <w:ind w:firstLine="480" w:firstLineChars="200"/>
        <w:jc w:val="left"/>
        <w:rPr>
          <w:rFonts w:ascii="宋体" w:hAnsi="宋体" w:cs="宋体"/>
          <w:bCs/>
          <w:sz w:val="24"/>
          <w:u w:val="single"/>
        </w:rPr>
      </w:pPr>
      <w:r>
        <w:rPr>
          <w:rFonts w:hint="eastAsia" w:ascii="宋体" w:hAnsi="宋体" w:cs="宋体"/>
          <w:sz w:val="24"/>
        </w:rPr>
        <w:t>截止时间</w:t>
      </w:r>
      <w:r>
        <w:rPr>
          <w:rFonts w:hint="eastAsia" w:ascii="宋体" w:hAnsi="宋体" w:cs="宋体"/>
          <w:sz w:val="24"/>
          <w:highlight w:val="none"/>
        </w:rPr>
        <w:t>：</w:t>
      </w:r>
      <w:r>
        <w:rPr>
          <w:rFonts w:hint="eastAsia" w:ascii="宋体" w:hAnsi="宋体" w:cs="宋体"/>
          <w:color w:val="auto"/>
          <w:sz w:val="24"/>
          <w:highlight w:val="none"/>
          <w:lang w:eastAsia="zh-CN"/>
        </w:rPr>
        <w:t>2020年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0分</w:t>
      </w:r>
      <w:r>
        <w:rPr>
          <w:rFonts w:hint="eastAsia" w:ascii="宋体" w:hAnsi="宋体" w:cs="宋体"/>
          <w:bCs/>
          <w:color w:val="auto"/>
          <w:sz w:val="24"/>
          <w:highlight w:val="none"/>
        </w:rPr>
        <w:t>（北京时间）。</w:t>
      </w:r>
    </w:p>
    <w:p>
      <w:pPr>
        <w:spacing w:line="400" w:lineRule="exact"/>
        <w:ind w:firstLine="480" w:firstLineChars="200"/>
        <w:jc w:val="left"/>
        <w:rPr>
          <w:rFonts w:ascii="宋体" w:hAnsi="宋体" w:cs="宋体"/>
          <w:bCs/>
          <w:sz w:val="24"/>
          <w:u w:val="single"/>
        </w:rPr>
      </w:pPr>
      <w:r>
        <w:rPr>
          <w:rFonts w:hint="eastAsia" w:ascii="宋体" w:hAnsi="宋体" w:cs="宋体"/>
          <w:sz w:val="24"/>
        </w:rPr>
        <w:t>地点：</w:t>
      </w:r>
      <w:r>
        <w:rPr>
          <w:rFonts w:hint="eastAsia" w:ascii="宋体" w:hAnsi="宋体" w:cs="宋体"/>
          <w:sz w:val="24"/>
          <w:lang w:eastAsia="zh-CN"/>
        </w:rPr>
        <w:t>亿诚建设项目管理有限公司</w:t>
      </w:r>
      <w:r>
        <w:rPr>
          <w:rFonts w:hint="eastAsia" w:ascii="宋体" w:hAnsi="宋体" w:cs="宋体"/>
          <w:sz w:val="24"/>
        </w:rPr>
        <w:t>崇左分公司（</w:t>
      </w:r>
      <w:r>
        <w:rPr>
          <w:rFonts w:hint="eastAsia" w:ascii="宋体" w:hAnsi="宋体" w:cs="宋体"/>
          <w:sz w:val="24"/>
          <w:lang w:eastAsia="zh-CN"/>
        </w:rPr>
        <w:t>崇左市江州区花山路与城南八路交汇处万沣大厦四楼412室开标室</w:t>
      </w:r>
      <w:r>
        <w:rPr>
          <w:rFonts w:hint="eastAsia" w:ascii="宋体" w:hAnsi="宋体" w:cs="宋体"/>
          <w:sz w:val="24"/>
        </w:rPr>
        <w:t>）。</w:t>
      </w:r>
    </w:p>
    <w:p>
      <w:pPr>
        <w:pStyle w:val="4"/>
        <w:spacing w:line="400" w:lineRule="exact"/>
        <w:ind w:firstLine="482"/>
        <w:jc w:val="left"/>
        <w:rPr>
          <w:rFonts w:ascii="宋体" w:hAnsi="宋体" w:eastAsia="宋体" w:cs="宋体"/>
          <w:bCs w:val="0"/>
          <w:sz w:val="24"/>
          <w:szCs w:val="24"/>
        </w:rPr>
      </w:pPr>
      <w:bookmarkStart w:id="18" w:name="_Toc28359016"/>
      <w:bookmarkStart w:id="19" w:name="_Toc28359093"/>
      <w:bookmarkStart w:id="20" w:name="_Toc35393802"/>
      <w:bookmarkStart w:id="21" w:name="_Toc35393633"/>
      <w:r>
        <w:rPr>
          <w:rFonts w:hint="eastAsia" w:ascii="宋体" w:hAnsi="宋体" w:eastAsia="宋体" w:cs="宋体"/>
          <w:bCs w:val="0"/>
          <w:sz w:val="24"/>
          <w:szCs w:val="24"/>
        </w:rPr>
        <w:t>五、开启</w:t>
      </w:r>
      <w:bookmarkEnd w:id="18"/>
      <w:bookmarkEnd w:id="19"/>
      <w:bookmarkEnd w:id="20"/>
      <w:bookmarkEnd w:id="21"/>
    </w:p>
    <w:p>
      <w:pPr>
        <w:spacing w:line="400" w:lineRule="exact"/>
        <w:ind w:firstLine="480" w:firstLineChars="200"/>
        <w:jc w:val="left"/>
        <w:rPr>
          <w:rFonts w:ascii="宋体" w:hAnsi="宋体" w:cs="宋体"/>
          <w:bCs/>
          <w:sz w:val="24"/>
          <w:u w:val="single"/>
        </w:rPr>
      </w:pPr>
      <w:r>
        <w:rPr>
          <w:rFonts w:hint="eastAsia" w:ascii="宋体" w:hAnsi="宋体" w:cs="宋体"/>
          <w:sz w:val="24"/>
        </w:rPr>
        <w:t>时间：</w:t>
      </w:r>
      <w:r>
        <w:rPr>
          <w:rFonts w:hint="eastAsia" w:ascii="宋体" w:hAnsi="宋体" w:cs="宋体"/>
          <w:sz w:val="24"/>
          <w:highlight w:val="none"/>
          <w:lang w:eastAsia="zh-CN"/>
        </w:rPr>
        <w:t>2020年12月29日15点00分</w:t>
      </w:r>
      <w:r>
        <w:rPr>
          <w:rFonts w:hint="eastAsia" w:ascii="宋体" w:hAnsi="宋体" w:cs="宋体"/>
          <w:bCs/>
          <w:sz w:val="24"/>
          <w:highlight w:val="none"/>
        </w:rPr>
        <w:t>（北京时间）</w:t>
      </w:r>
    </w:p>
    <w:p>
      <w:pPr>
        <w:spacing w:line="400" w:lineRule="exact"/>
        <w:ind w:firstLine="480" w:firstLineChars="200"/>
        <w:jc w:val="left"/>
        <w:rPr>
          <w:rFonts w:ascii="宋体" w:hAnsi="宋体" w:cs="宋体"/>
          <w:bCs/>
          <w:sz w:val="24"/>
          <w:u w:val="single"/>
        </w:rPr>
      </w:pPr>
      <w:r>
        <w:rPr>
          <w:rFonts w:hint="eastAsia" w:ascii="宋体" w:hAnsi="宋体" w:cs="宋体"/>
          <w:sz w:val="24"/>
        </w:rPr>
        <w:t>地点：</w:t>
      </w:r>
      <w:r>
        <w:rPr>
          <w:rFonts w:hint="eastAsia" w:ascii="宋体" w:hAnsi="宋体" w:cs="宋体"/>
          <w:sz w:val="24"/>
          <w:lang w:eastAsia="zh-CN"/>
        </w:rPr>
        <w:t>亿诚建设项目管理有限公司</w:t>
      </w:r>
      <w:r>
        <w:rPr>
          <w:rFonts w:hint="eastAsia" w:ascii="宋体" w:hAnsi="宋体" w:cs="宋体"/>
          <w:sz w:val="24"/>
        </w:rPr>
        <w:t>崇左分公司截标室（崇左市江州区花山路与城南八路交汇处万沣大厦四楼4</w:t>
      </w:r>
      <w:r>
        <w:rPr>
          <w:rFonts w:hint="eastAsia" w:ascii="宋体" w:hAnsi="宋体" w:cs="宋体"/>
          <w:sz w:val="24"/>
          <w:lang w:val="en-US" w:eastAsia="zh-CN"/>
        </w:rPr>
        <w:t>12</w:t>
      </w:r>
      <w:r>
        <w:rPr>
          <w:rFonts w:hint="eastAsia" w:ascii="宋体" w:hAnsi="宋体" w:cs="宋体"/>
          <w:sz w:val="24"/>
        </w:rPr>
        <w:t>室)。</w:t>
      </w:r>
    </w:p>
    <w:p>
      <w:pPr>
        <w:pStyle w:val="4"/>
        <w:spacing w:line="400" w:lineRule="exact"/>
        <w:ind w:firstLine="482"/>
        <w:jc w:val="left"/>
        <w:rPr>
          <w:rFonts w:ascii="宋体" w:hAnsi="宋体" w:eastAsia="宋体" w:cs="宋体"/>
          <w:bCs w:val="0"/>
          <w:sz w:val="24"/>
          <w:szCs w:val="24"/>
        </w:rPr>
      </w:pPr>
      <w:bookmarkStart w:id="22" w:name="_Toc28359017"/>
      <w:bookmarkStart w:id="23" w:name="_Toc35393803"/>
      <w:bookmarkStart w:id="24" w:name="_Toc28359094"/>
      <w:bookmarkStart w:id="25" w:name="_Toc35393634"/>
      <w:r>
        <w:rPr>
          <w:rFonts w:hint="eastAsia" w:ascii="宋体" w:hAnsi="宋体" w:eastAsia="宋体" w:cs="宋体"/>
          <w:bCs w:val="0"/>
          <w:sz w:val="24"/>
          <w:szCs w:val="24"/>
        </w:rPr>
        <w:t>六、公告期限</w:t>
      </w:r>
      <w:bookmarkEnd w:id="22"/>
      <w:bookmarkEnd w:id="23"/>
      <w:bookmarkEnd w:id="24"/>
      <w:bookmarkEnd w:id="25"/>
    </w:p>
    <w:p>
      <w:pPr>
        <w:spacing w:line="400" w:lineRule="exact"/>
        <w:ind w:firstLine="480" w:firstLineChars="200"/>
        <w:jc w:val="left"/>
        <w:rPr>
          <w:rFonts w:ascii="宋体" w:hAnsi="宋体" w:cs="宋体"/>
          <w:kern w:val="0"/>
          <w:sz w:val="24"/>
        </w:rPr>
      </w:pPr>
      <w:r>
        <w:rPr>
          <w:rFonts w:hint="eastAsia" w:ascii="宋体" w:hAnsi="宋体" w:cs="宋体"/>
          <w:kern w:val="0"/>
          <w:sz w:val="24"/>
        </w:rPr>
        <w:t>自本公告发布之日起</w:t>
      </w:r>
      <w:r>
        <w:rPr>
          <w:rFonts w:hint="eastAsia" w:ascii="宋体" w:hAnsi="宋体" w:cs="宋体"/>
          <w:kern w:val="0"/>
          <w:sz w:val="24"/>
          <w:lang w:val="en-US" w:eastAsia="zh-CN"/>
        </w:rPr>
        <w:t>3</w:t>
      </w:r>
      <w:r>
        <w:rPr>
          <w:rFonts w:hint="eastAsia" w:ascii="宋体" w:hAnsi="宋体" w:cs="宋体"/>
          <w:kern w:val="0"/>
          <w:sz w:val="24"/>
        </w:rPr>
        <w:t>个工作日。</w:t>
      </w:r>
    </w:p>
    <w:p>
      <w:pPr>
        <w:pStyle w:val="4"/>
        <w:spacing w:line="400" w:lineRule="exact"/>
        <w:ind w:firstLine="482"/>
        <w:jc w:val="left"/>
        <w:rPr>
          <w:rFonts w:ascii="宋体" w:hAnsi="宋体" w:eastAsia="宋体" w:cs="宋体"/>
          <w:bCs w:val="0"/>
          <w:sz w:val="24"/>
          <w:szCs w:val="24"/>
        </w:rPr>
      </w:pPr>
      <w:bookmarkStart w:id="26" w:name="_Toc35393804"/>
      <w:bookmarkStart w:id="27" w:name="_Toc35393635"/>
      <w:r>
        <w:rPr>
          <w:rFonts w:hint="eastAsia" w:ascii="宋体" w:hAnsi="宋体" w:eastAsia="宋体" w:cs="宋体"/>
          <w:bCs w:val="0"/>
          <w:sz w:val="24"/>
          <w:szCs w:val="24"/>
        </w:rPr>
        <w:t>七、其他补充事宜</w:t>
      </w:r>
      <w:bookmarkEnd w:id="26"/>
      <w:bookmarkEnd w:id="27"/>
    </w:p>
    <w:p>
      <w:pPr>
        <w:spacing w:line="400" w:lineRule="exact"/>
        <w:ind w:firstLine="480" w:firstLineChars="200"/>
        <w:rPr>
          <w:rFonts w:ascii="宋体" w:hAnsi="宋体" w:cs="宋体"/>
          <w:sz w:val="24"/>
        </w:rPr>
      </w:pPr>
      <w:bookmarkStart w:id="28" w:name="_Toc28359018"/>
      <w:bookmarkStart w:id="29" w:name="_Toc35393636"/>
      <w:bookmarkStart w:id="30" w:name="_Toc28359095"/>
      <w:bookmarkStart w:id="31" w:name="_Toc35393805"/>
      <w:r>
        <w:rPr>
          <w:rFonts w:hint="eastAsia" w:ascii="宋体" w:hAnsi="宋体" w:cs="宋体"/>
          <w:sz w:val="24"/>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w:t>
      </w:r>
      <w:bookmarkStart w:id="32" w:name="sendNo"/>
      <w:r>
        <w:rPr>
          <w:rFonts w:hint="eastAsia" w:ascii="宋体" w:hAnsi="宋体" w:cs="宋体"/>
          <w:sz w:val="24"/>
        </w:rPr>
        <w:t>（财库[2017]141号）</w:t>
      </w:r>
      <w:bookmarkEnd w:id="32"/>
      <w:r>
        <w:rPr>
          <w:rFonts w:hint="eastAsia" w:ascii="宋体" w:hAnsi="宋体" w:cs="宋体"/>
          <w:sz w:val="24"/>
        </w:rPr>
        <w:t>、强制采购、优先采购节能产品、环境标志产品等政府采购相关政策。</w:t>
      </w:r>
    </w:p>
    <w:p>
      <w:pPr>
        <w:spacing w:line="40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竞标</w:t>
      </w:r>
      <w:r>
        <w:rPr>
          <w:rFonts w:hint="eastAsia" w:ascii="宋体" w:hAnsi="宋体" w:cs="宋体"/>
          <w:sz w:val="24"/>
        </w:rPr>
        <w:t>保证金（人民币）：无。</w:t>
      </w:r>
    </w:p>
    <w:p>
      <w:pPr>
        <w:spacing w:line="400" w:lineRule="exact"/>
        <w:ind w:firstLine="480" w:firstLineChars="200"/>
        <w:rPr>
          <w:rFonts w:ascii="宋体" w:hAnsi="宋体" w:cs="宋体"/>
          <w:sz w:val="24"/>
        </w:rPr>
      </w:pPr>
      <w:r>
        <w:rPr>
          <w:rFonts w:hint="eastAsia" w:ascii="宋体" w:hAnsi="宋体" w:cs="宋体"/>
          <w:sz w:val="24"/>
        </w:rPr>
        <w:t>3、逾期送达或未按规定密封的响应文件将被拒绝。</w:t>
      </w:r>
    </w:p>
    <w:p>
      <w:pPr>
        <w:spacing w:line="400" w:lineRule="exact"/>
        <w:ind w:firstLine="480" w:firstLineChars="200"/>
        <w:rPr>
          <w:rFonts w:ascii="宋体" w:hAnsi="宋体" w:cs="宋体"/>
          <w:sz w:val="24"/>
        </w:rPr>
      </w:pPr>
      <w:r>
        <w:rPr>
          <w:rFonts w:hint="eastAsia" w:ascii="宋体" w:hAnsi="宋体" w:cs="宋体"/>
          <w:sz w:val="24"/>
        </w:rPr>
        <w:t>4、响应文件提交截止时间后，采购代理机构将组织</w:t>
      </w:r>
      <w:r>
        <w:rPr>
          <w:rFonts w:hint="eastAsia" w:ascii="宋体" w:hAnsi="宋体" w:cs="宋体"/>
          <w:sz w:val="24"/>
          <w:lang w:eastAsia="zh-CN"/>
        </w:rPr>
        <w:t>竞标</w:t>
      </w:r>
      <w:r>
        <w:rPr>
          <w:rFonts w:hint="eastAsia" w:ascii="宋体" w:hAnsi="宋体" w:cs="宋体"/>
          <w:sz w:val="24"/>
        </w:rPr>
        <w:t>小组与</w:t>
      </w:r>
      <w:r>
        <w:rPr>
          <w:rFonts w:hint="eastAsia" w:ascii="宋体" w:hAnsi="宋体" w:cs="宋体"/>
          <w:sz w:val="24"/>
          <w:lang w:eastAsia="zh-CN"/>
        </w:rPr>
        <w:t>竞标竞标人</w:t>
      </w:r>
      <w:r>
        <w:rPr>
          <w:rFonts w:hint="eastAsia" w:ascii="宋体" w:hAnsi="宋体" w:cs="宋体"/>
          <w:sz w:val="24"/>
        </w:rPr>
        <w:t>进行</w:t>
      </w:r>
      <w:r>
        <w:rPr>
          <w:rFonts w:hint="eastAsia" w:ascii="宋体" w:hAnsi="宋体" w:cs="宋体"/>
          <w:sz w:val="24"/>
          <w:lang w:eastAsia="zh-CN"/>
        </w:rPr>
        <w:t>竞标</w:t>
      </w:r>
      <w:r>
        <w:rPr>
          <w:rFonts w:hint="eastAsia" w:ascii="宋体" w:hAnsi="宋体" w:cs="宋体"/>
          <w:sz w:val="24"/>
        </w:rPr>
        <w:t>，具体时间由采购代理机构另行通知。地点：</w:t>
      </w:r>
      <w:r>
        <w:rPr>
          <w:rFonts w:hint="eastAsia" w:ascii="宋体" w:hAnsi="宋体" w:cs="宋体"/>
          <w:sz w:val="24"/>
          <w:lang w:eastAsia="zh-CN"/>
        </w:rPr>
        <w:t>亿诚建设项目管理有限公司</w:t>
      </w:r>
      <w:r>
        <w:rPr>
          <w:rFonts w:hint="eastAsia" w:ascii="宋体" w:hAnsi="宋体" w:cs="宋体"/>
          <w:sz w:val="24"/>
        </w:rPr>
        <w:t>崇左分公司会议室，参加</w:t>
      </w:r>
      <w:r>
        <w:rPr>
          <w:rFonts w:hint="eastAsia" w:ascii="宋体" w:hAnsi="宋体" w:cs="宋体"/>
          <w:sz w:val="24"/>
          <w:lang w:eastAsia="zh-CN"/>
        </w:rPr>
        <w:t>竞标</w:t>
      </w:r>
      <w:r>
        <w:rPr>
          <w:rFonts w:hint="eastAsia" w:ascii="宋体" w:hAnsi="宋体" w:cs="宋体"/>
          <w:sz w:val="24"/>
        </w:rPr>
        <w:t>的法定代表人（负责人）或委托代理人必须持证件（法定代表人（负责人）凭身份证或委托代理人凭法人授权委托书原件和身份证）依时到达指定地点等候当面</w:t>
      </w:r>
      <w:r>
        <w:rPr>
          <w:rFonts w:hint="eastAsia" w:ascii="宋体" w:hAnsi="宋体" w:cs="宋体"/>
          <w:sz w:val="24"/>
          <w:lang w:eastAsia="zh-CN"/>
        </w:rPr>
        <w:t>竞标</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5、网上查询地址：中国政府采购网（www.ccgp.gov.cn）、广西政府采购网（zfcg.gxzf.gov.cn）。</w:t>
      </w:r>
    </w:p>
    <w:p>
      <w:pPr>
        <w:spacing w:line="400" w:lineRule="exact"/>
        <w:ind w:firstLine="480" w:firstLineChars="200"/>
        <w:rPr>
          <w:rFonts w:ascii="宋体" w:hAnsi="宋体" w:cs="宋体"/>
          <w:sz w:val="24"/>
        </w:rPr>
      </w:pPr>
      <w:r>
        <w:rPr>
          <w:rFonts w:hint="eastAsia" w:ascii="宋体" w:hAnsi="宋体" w:cs="宋体"/>
          <w:sz w:val="24"/>
        </w:rPr>
        <w:t>6、单位负责人为同一人或者存在直接控股、管理关系的不同</w:t>
      </w:r>
      <w:r>
        <w:rPr>
          <w:rFonts w:hint="eastAsia" w:ascii="宋体" w:hAnsi="宋体" w:cs="宋体"/>
          <w:sz w:val="24"/>
          <w:lang w:eastAsia="zh-CN"/>
        </w:rPr>
        <w:t>竞标人</w:t>
      </w:r>
      <w:r>
        <w:rPr>
          <w:rFonts w:hint="eastAsia" w:ascii="宋体" w:hAnsi="宋体" w:cs="宋体"/>
          <w:sz w:val="24"/>
        </w:rPr>
        <w:t>，不得参加同一合同项下的政府采购活动。除单一来源采购项目外，为采购项目提供整体设计、规范编制或者项目管理、监理、检测等服务的</w:t>
      </w:r>
      <w:r>
        <w:rPr>
          <w:rFonts w:hint="eastAsia" w:ascii="宋体" w:hAnsi="宋体" w:cs="宋体"/>
          <w:sz w:val="24"/>
          <w:lang w:eastAsia="zh-CN"/>
        </w:rPr>
        <w:t>竞标人</w:t>
      </w:r>
      <w:r>
        <w:rPr>
          <w:rFonts w:hint="eastAsia" w:ascii="宋体" w:hAnsi="宋体" w:cs="宋体"/>
          <w:sz w:val="24"/>
        </w:rPr>
        <w:t>，不得再参加该采购项目的其他采购活动；</w:t>
      </w:r>
    </w:p>
    <w:p>
      <w:pPr>
        <w:spacing w:line="400" w:lineRule="exact"/>
        <w:ind w:firstLine="480" w:firstLineChars="200"/>
        <w:rPr>
          <w:rFonts w:ascii="宋体" w:hAnsi="宋体" w:cs="宋体"/>
          <w:sz w:val="24"/>
        </w:rPr>
      </w:pPr>
      <w:r>
        <w:rPr>
          <w:rFonts w:hint="eastAsia" w:ascii="宋体" w:hAnsi="宋体" w:cs="宋体"/>
          <w:sz w:val="24"/>
        </w:rPr>
        <w:t>7、对在“信用中国”网站(www.creditchina.gov.cn)、中国政府采购网(www.ccgp.gov.cn)等渠道列入失信被执行人、重大税收违法案件当事人名单、政府采购严重违法失信行为记录名单的竞标人，不得参与政府采购活动。</w:t>
      </w:r>
    </w:p>
    <w:p>
      <w:pPr>
        <w:pStyle w:val="4"/>
        <w:spacing w:line="400" w:lineRule="exact"/>
        <w:ind w:firstLine="482"/>
        <w:jc w:val="left"/>
        <w:rPr>
          <w:rFonts w:ascii="宋体" w:hAnsi="宋体" w:eastAsia="宋体" w:cs="宋体"/>
          <w:bCs w:val="0"/>
          <w:sz w:val="24"/>
          <w:szCs w:val="24"/>
        </w:rPr>
      </w:pPr>
      <w:r>
        <w:rPr>
          <w:rFonts w:hint="eastAsia" w:ascii="宋体" w:hAnsi="宋体" w:eastAsia="宋体" w:cs="宋体"/>
          <w:bCs w:val="0"/>
          <w:sz w:val="24"/>
          <w:szCs w:val="24"/>
        </w:rPr>
        <w:t>八、凡对本次采购提出询问，请按以下方式联系。</w:t>
      </w:r>
      <w:bookmarkEnd w:id="28"/>
      <w:bookmarkEnd w:id="29"/>
      <w:bookmarkEnd w:id="30"/>
      <w:bookmarkEnd w:id="31"/>
    </w:p>
    <w:p>
      <w:pPr>
        <w:spacing w:line="400" w:lineRule="exact"/>
        <w:ind w:firstLine="720" w:firstLineChars="300"/>
        <w:jc w:val="left"/>
        <w:rPr>
          <w:rFonts w:ascii="宋体" w:hAnsi="宋体" w:cs="宋体"/>
          <w:sz w:val="24"/>
        </w:rPr>
      </w:pPr>
      <w:bookmarkStart w:id="33" w:name="_Toc35393806"/>
      <w:bookmarkStart w:id="34" w:name="_Toc28359096"/>
      <w:bookmarkStart w:id="35" w:name="_Toc35393637"/>
      <w:bookmarkStart w:id="36" w:name="_Toc28359019"/>
      <w:r>
        <w:rPr>
          <w:rFonts w:hint="eastAsia" w:ascii="宋体" w:hAnsi="宋体" w:cs="宋体"/>
          <w:sz w:val="24"/>
        </w:rPr>
        <w:t>1.采购人信息</w:t>
      </w:r>
      <w:bookmarkEnd w:id="33"/>
      <w:bookmarkEnd w:id="34"/>
      <w:bookmarkEnd w:id="35"/>
      <w:bookmarkEnd w:id="36"/>
    </w:p>
    <w:p>
      <w:pPr>
        <w:spacing w:line="400" w:lineRule="exact"/>
        <w:ind w:firstLine="720" w:firstLineChars="3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崇左市江州区卫生健康局</w:t>
      </w:r>
    </w:p>
    <w:p>
      <w:pPr>
        <w:spacing w:line="400" w:lineRule="exact"/>
        <w:ind w:firstLine="720" w:firstLineChars="300"/>
        <w:jc w:val="left"/>
        <w:rPr>
          <w:rFonts w:hint="eastAsia" w:ascii="宋体" w:hAnsi="宋体" w:cs="宋体"/>
          <w:sz w:val="24"/>
        </w:rPr>
      </w:pPr>
      <w:r>
        <w:rPr>
          <w:rFonts w:hint="eastAsia" w:ascii="宋体" w:hAnsi="宋体" w:cs="宋体"/>
          <w:sz w:val="24"/>
        </w:rPr>
        <w:t>地    址：崇左市新民路18号</w:t>
      </w:r>
    </w:p>
    <w:p>
      <w:pPr>
        <w:spacing w:line="400" w:lineRule="exact"/>
        <w:ind w:firstLine="720" w:firstLineChars="300"/>
        <w:jc w:val="left"/>
        <w:rPr>
          <w:rFonts w:ascii="宋体" w:hAnsi="宋体" w:cs="宋体"/>
          <w:sz w:val="24"/>
          <w:highlight w:val="none"/>
        </w:rPr>
      </w:pPr>
      <w:r>
        <w:rPr>
          <w:rFonts w:hint="eastAsia" w:ascii="宋体" w:hAnsi="宋体" w:cs="宋体"/>
          <w:sz w:val="24"/>
        </w:rPr>
        <w:t>联 系 人</w:t>
      </w:r>
      <w:r>
        <w:rPr>
          <w:rFonts w:hint="eastAsia" w:ascii="宋体" w:hAnsi="宋体" w:cs="宋体"/>
          <w:sz w:val="24"/>
          <w:highlight w:val="none"/>
        </w:rPr>
        <w:t>：</w:t>
      </w:r>
      <w:r>
        <w:rPr>
          <w:rFonts w:hint="eastAsia" w:ascii="宋体" w:hAnsi="宋体" w:cs="宋体"/>
          <w:sz w:val="24"/>
          <w:highlight w:val="none"/>
          <w:lang w:eastAsia="zh-CN"/>
        </w:rPr>
        <w:t>农工</w:t>
      </w:r>
      <w:r>
        <w:rPr>
          <w:rFonts w:hint="eastAsia" w:ascii="宋体" w:hAnsi="宋体" w:cs="宋体"/>
          <w:sz w:val="24"/>
          <w:highlight w:val="none"/>
        </w:rPr>
        <w:t xml:space="preserve"> </w:t>
      </w:r>
    </w:p>
    <w:p>
      <w:pPr>
        <w:spacing w:line="400" w:lineRule="exact"/>
        <w:ind w:firstLine="720" w:firstLineChars="300"/>
        <w:jc w:val="left"/>
        <w:rPr>
          <w:highlight w:val="none"/>
        </w:rPr>
      </w:pPr>
      <w:r>
        <w:rPr>
          <w:rFonts w:hint="eastAsia" w:ascii="宋体" w:hAnsi="宋体" w:cs="宋体"/>
          <w:sz w:val="24"/>
          <w:highlight w:val="none"/>
        </w:rPr>
        <w:t>联系方式：</w:t>
      </w:r>
      <w:r>
        <w:rPr>
          <w:rFonts w:hint="eastAsia" w:ascii="宋体" w:hAnsi="宋体" w:cs="宋体"/>
          <w:sz w:val="24"/>
          <w:highlight w:val="none"/>
          <w:lang w:val="en-US" w:eastAsia="zh-CN"/>
        </w:rPr>
        <w:t>0771-6460951</w:t>
      </w:r>
    </w:p>
    <w:p>
      <w:pPr>
        <w:spacing w:line="400" w:lineRule="exact"/>
        <w:ind w:firstLine="720" w:firstLineChars="300"/>
        <w:jc w:val="left"/>
        <w:rPr>
          <w:rFonts w:ascii="宋体" w:hAnsi="宋体" w:cs="宋体"/>
          <w:sz w:val="24"/>
        </w:rPr>
      </w:pPr>
      <w:bookmarkStart w:id="37" w:name="_Toc35393638"/>
      <w:bookmarkStart w:id="38" w:name="_Toc28359020"/>
      <w:bookmarkStart w:id="39" w:name="_Toc28359097"/>
      <w:bookmarkStart w:id="40" w:name="_Toc35393807"/>
      <w:r>
        <w:rPr>
          <w:rFonts w:hint="eastAsia" w:ascii="宋体" w:hAnsi="宋体" w:cs="宋体"/>
          <w:sz w:val="24"/>
        </w:rPr>
        <w:t>2.采购代理机构信息</w:t>
      </w:r>
      <w:bookmarkEnd w:id="37"/>
      <w:bookmarkEnd w:id="38"/>
      <w:bookmarkEnd w:id="39"/>
      <w:bookmarkEnd w:id="40"/>
    </w:p>
    <w:p>
      <w:pPr>
        <w:spacing w:line="400" w:lineRule="exact"/>
        <w:ind w:firstLine="720" w:firstLineChars="3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亿诚建设项目管理有限公司</w:t>
      </w:r>
    </w:p>
    <w:p>
      <w:pPr>
        <w:spacing w:line="400" w:lineRule="exact"/>
        <w:ind w:firstLine="720" w:firstLineChars="300"/>
        <w:jc w:val="left"/>
        <w:rPr>
          <w:rFonts w:ascii="宋体" w:hAnsi="宋体" w:cs="宋体"/>
          <w:sz w:val="24"/>
        </w:rPr>
      </w:pPr>
      <w:r>
        <w:rPr>
          <w:rFonts w:hint="eastAsia" w:ascii="宋体" w:hAnsi="宋体" w:cs="宋体"/>
          <w:sz w:val="24"/>
        </w:rPr>
        <w:t>地　　址：崇左市江州区花山路与城南八路交汇处万沣大厦四楼4</w:t>
      </w:r>
      <w:r>
        <w:rPr>
          <w:rFonts w:hint="eastAsia" w:ascii="宋体" w:hAnsi="宋体" w:cs="宋体"/>
          <w:sz w:val="24"/>
          <w:lang w:val="en-US" w:eastAsia="zh-CN"/>
        </w:rPr>
        <w:t>12</w:t>
      </w:r>
      <w:r>
        <w:rPr>
          <w:rFonts w:hint="eastAsia" w:ascii="宋体" w:hAnsi="宋体" w:cs="宋体"/>
          <w:sz w:val="24"/>
        </w:rPr>
        <w:t>室</w:t>
      </w:r>
    </w:p>
    <w:p>
      <w:pPr>
        <w:spacing w:line="400" w:lineRule="exact"/>
        <w:ind w:firstLine="720" w:firstLineChars="300"/>
        <w:jc w:val="left"/>
        <w:rPr>
          <w:rFonts w:hint="default" w:eastAsia="宋体"/>
          <w:lang w:val="en-US" w:eastAsia="zh-CN"/>
        </w:rPr>
      </w:pPr>
      <w:r>
        <w:rPr>
          <w:rFonts w:hint="eastAsia" w:ascii="宋体" w:hAnsi="宋体" w:cs="宋体"/>
          <w:sz w:val="24"/>
        </w:rPr>
        <w:t>联系人：</w:t>
      </w:r>
      <w:r>
        <w:rPr>
          <w:rFonts w:hint="eastAsia" w:ascii="宋体" w:hAnsi="宋体" w:cs="宋体"/>
          <w:sz w:val="24"/>
          <w:lang w:eastAsia="zh-CN"/>
        </w:rPr>
        <w:t>唐</w:t>
      </w:r>
      <w:r>
        <w:rPr>
          <w:rFonts w:hint="eastAsia" w:ascii="宋体" w:hAnsi="宋体" w:cs="宋体"/>
          <w:sz w:val="24"/>
        </w:rPr>
        <w:t>工，联系方式：0771-7</w:t>
      </w:r>
      <w:r>
        <w:rPr>
          <w:rFonts w:hint="eastAsia" w:ascii="宋体" w:hAnsi="宋体" w:cs="宋体"/>
          <w:sz w:val="24"/>
          <w:lang w:val="en-US" w:eastAsia="zh-CN"/>
        </w:rPr>
        <w:t>981825</w:t>
      </w:r>
    </w:p>
    <w:p>
      <w:pPr>
        <w:spacing w:line="400" w:lineRule="exact"/>
        <w:ind w:firstLine="720" w:firstLineChars="300"/>
        <w:jc w:val="left"/>
        <w:rPr>
          <w:rFonts w:ascii="宋体" w:hAnsi="宋体" w:cs="宋体"/>
          <w:sz w:val="24"/>
        </w:rPr>
      </w:pPr>
      <w:bookmarkStart w:id="41" w:name="_Toc35393639"/>
      <w:bookmarkStart w:id="42" w:name="_Toc28359021"/>
      <w:bookmarkStart w:id="43" w:name="_Toc28359098"/>
      <w:bookmarkStart w:id="44" w:name="_Toc35393808"/>
      <w:r>
        <w:rPr>
          <w:rFonts w:hint="eastAsia" w:ascii="宋体" w:hAnsi="宋体" w:cs="宋体"/>
          <w:sz w:val="24"/>
        </w:rPr>
        <w:t>3.项目联系方式</w:t>
      </w:r>
      <w:bookmarkEnd w:id="41"/>
      <w:bookmarkEnd w:id="42"/>
      <w:bookmarkEnd w:id="43"/>
      <w:bookmarkEnd w:id="44"/>
    </w:p>
    <w:p>
      <w:pPr>
        <w:spacing w:line="400" w:lineRule="exact"/>
        <w:ind w:firstLine="720" w:firstLineChars="300"/>
        <w:jc w:val="left"/>
        <w:rPr>
          <w:rFonts w:ascii="宋体" w:hAnsi="宋体" w:cs="宋体"/>
          <w:sz w:val="24"/>
        </w:rPr>
      </w:pPr>
      <w:r>
        <w:rPr>
          <w:rFonts w:hint="eastAsia" w:ascii="宋体" w:hAnsi="宋体" w:cs="宋体"/>
          <w:sz w:val="24"/>
        </w:rPr>
        <w:t>项目联系人：</w:t>
      </w:r>
      <w:r>
        <w:rPr>
          <w:rFonts w:hint="eastAsia" w:ascii="宋体" w:hAnsi="宋体" w:cs="宋体"/>
          <w:sz w:val="24"/>
          <w:lang w:eastAsia="zh-CN"/>
        </w:rPr>
        <w:t>唐</w:t>
      </w:r>
      <w:r>
        <w:rPr>
          <w:rFonts w:hint="eastAsia" w:ascii="宋体" w:hAnsi="宋体" w:cs="宋体"/>
          <w:sz w:val="24"/>
        </w:rPr>
        <w:t>工</w:t>
      </w:r>
    </w:p>
    <w:p>
      <w:pPr>
        <w:spacing w:line="400" w:lineRule="exact"/>
        <w:ind w:firstLine="720" w:firstLineChars="300"/>
        <w:jc w:val="left"/>
        <w:rPr>
          <w:rFonts w:hint="default" w:eastAsia="宋体"/>
          <w:lang w:val="en-US" w:eastAsia="zh-CN"/>
        </w:rPr>
      </w:pPr>
      <w:r>
        <w:rPr>
          <w:rFonts w:hint="eastAsia" w:ascii="宋体" w:hAnsi="宋体" w:cs="宋体"/>
          <w:sz w:val="24"/>
        </w:rPr>
        <w:t>电　　  话：0771-7</w:t>
      </w:r>
      <w:r>
        <w:rPr>
          <w:rFonts w:hint="eastAsia" w:ascii="宋体" w:hAnsi="宋体" w:cs="宋体"/>
          <w:sz w:val="24"/>
          <w:lang w:val="en-US" w:eastAsia="zh-CN"/>
        </w:rPr>
        <w:t>981825</w:t>
      </w:r>
    </w:p>
    <w:p>
      <w:pPr>
        <w:spacing w:line="400" w:lineRule="exact"/>
        <w:ind w:firstLine="630" w:firstLineChars="300"/>
        <w:jc w:val="left"/>
      </w:pPr>
    </w:p>
    <w:p>
      <w:pPr>
        <w:spacing w:line="400" w:lineRule="exact"/>
        <w:ind w:firstLine="5520" w:firstLineChars="2300"/>
        <w:jc w:val="right"/>
        <w:rPr>
          <w:rFonts w:ascii="宋体" w:hAnsi="宋体" w:cs="宋体"/>
          <w:bCs/>
          <w:sz w:val="24"/>
        </w:rPr>
      </w:pPr>
    </w:p>
    <w:p>
      <w:pPr>
        <w:spacing w:line="400" w:lineRule="exact"/>
        <w:rPr>
          <w:rFonts w:ascii="宋体" w:hAnsi="宋体" w:cs="宋体"/>
          <w:bCs/>
          <w:sz w:val="24"/>
        </w:rPr>
      </w:pPr>
    </w:p>
    <w:p>
      <w:pPr>
        <w:spacing w:line="400" w:lineRule="exact"/>
        <w:jc w:val="right"/>
        <w:rPr>
          <w:rFonts w:hint="eastAsia" w:ascii="宋体" w:hAnsi="宋体" w:eastAsia="宋体" w:cs="宋体"/>
          <w:bCs/>
          <w:sz w:val="24"/>
          <w:lang w:eastAsia="zh-CN"/>
        </w:rPr>
      </w:pPr>
      <w:r>
        <w:rPr>
          <w:rFonts w:hint="eastAsia" w:ascii="宋体" w:hAnsi="宋体" w:cs="宋体"/>
          <w:bCs/>
          <w:sz w:val="24"/>
        </w:rPr>
        <w:t xml:space="preserve">                               采购代理机构：</w:t>
      </w:r>
      <w:r>
        <w:rPr>
          <w:rFonts w:hint="eastAsia" w:ascii="宋体" w:hAnsi="宋体" w:cs="宋体"/>
          <w:bCs/>
          <w:sz w:val="24"/>
          <w:lang w:eastAsia="zh-CN"/>
        </w:rPr>
        <w:t>亿诚建设项目管理有限公司</w:t>
      </w:r>
    </w:p>
    <w:p>
      <w:pPr>
        <w:spacing w:line="400" w:lineRule="exact"/>
        <w:ind w:left="6000" w:hanging="6000" w:hangingChars="2500"/>
        <w:rPr>
          <w:rFonts w:ascii="宋体" w:hAnsi="宋体" w:cs="宋体"/>
          <w:bCs/>
          <w:sz w:val="24"/>
        </w:rPr>
      </w:pPr>
      <w:r>
        <w:rPr>
          <w:rFonts w:hint="eastAsia" w:ascii="宋体" w:hAnsi="宋体" w:cs="宋体"/>
          <w:bCs/>
          <w:sz w:val="24"/>
        </w:rPr>
        <w:t xml:space="preserve">                                                 </w:t>
      </w:r>
    </w:p>
    <w:p>
      <w:pPr>
        <w:spacing w:line="400" w:lineRule="exact"/>
        <w:ind w:left="6000" w:hanging="6000" w:hangingChars="2500"/>
        <w:jc w:val="right"/>
        <w:rPr>
          <w:rFonts w:ascii="宋体" w:hAnsi="宋体" w:cs="宋体"/>
          <w:bCs/>
          <w:sz w:val="24"/>
        </w:rPr>
      </w:pPr>
      <w:r>
        <w:rPr>
          <w:rFonts w:hint="eastAsia" w:ascii="宋体" w:hAnsi="宋体" w:cs="宋体"/>
          <w:bCs/>
          <w:sz w:val="24"/>
        </w:rPr>
        <w:t>2020年1</w:t>
      </w:r>
      <w:r>
        <w:rPr>
          <w:rFonts w:hint="eastAsia" w:ascii="宋体" w:hAnsi="宋体" w:cs="宋体"/>
          <w:bCs/>
          <w:sz w:val="24"/>
          <w:lang w:val="en-US" w:eastAsia="zh-CN"/>
        </w:rPr>
        <w:t>2</w:t>
      </w:r>
      <w:r>
        <w:rPr>
          <w:rFonts w:hint="eastAsia" w:ascii="宋体" w:hAnsi="宋体" w:cs="宋体"/>
          <w:bCs/>
          <w:sz w:val="24"/>
        </w:rPr>
        <w:t>月</w:t>
      </w:r>
      <w:r>
        <w:rPr>
          <w:rFonts w:hint="eastAsia" w:ascii="宋体" w:hAnsi="宋体" w:cs="宋体"/>
          <w:bCs/>
          <w:sz w:val="24"/>
          <w:lang w:val="en-US" w:eastAsia="zh-CN"/>
        </w:rPr>
        <w:t>23</w:t>
      </w:r>
      <w:r>
        <w:rPr>
          <w:rFonts w:hint="eastAsia" w:ascii="宋体" w:hAnsi="宋体" w:cs="宋体"/>
          <w:bCs/>
          <w:sz w:val="24"/>
        </w:rPr>
        <w:t>日</w:t>
      </w:r>
    </w:p>
    <w:p>
      <w:pPr>
        <w:wordWrap w:val="0"/>
        <w:jc w:val="right"/>
      </w:pPr>
    </w:p>
    <w:p>
      <w:pPr>
        <w:wordWrap w:val="0"/>
        <w:spacing w:line="300" w:lineRule="exact"/>
        <w:jc w:val="right"/>
      </w:pPr>
    </w:p>
    <w:p>
      <w:pPr>
        <w:wordWrap w:val="0"/>
        <w:spacing w:line="320" w:lineRule="exact"/>
        <w:ind w:left="1080" w:right="630"/>
        <w:jc w:val="right"/>
        <w:rPr>
          <w:rFonts w:ascii="宋体" w:hAnsi="宋体"/>
          <w:szCs w:val="21"/>
        </w:rPr>
      </w:pPr>
    </w:p>
    <w:p>
      <w:pPr>
        <w:numPr>
          <w:ilvl w:val="0"/>
          <w:numId w:val="2"/>
        </w:numPr>
        <w:spacing w:line="440" w:lineRule="atLeast"/>
        <w:jc w:val="center"/>
        <w:outlineLvl w:val="0"/>
        <w:rPr>
          <w:rFonts w:ascii="宋体" w:hAnsi="宋体"/>
          <w:b/>
          <w:sz w:val="32"/>
          <w:szCs w:val="32"/>
        </w:rPr>
      </w:pPr>
      <w:r>
        <w:rPr>
          <w:rFonts w:ascii="宋体" w:hAnsi="宋体"/>
          <w:b/>
          <w:sz w:val="32"/>
          <w:szCs w:val="32"/>
        </w:rPr>
        <w:br w:type="page"/>
      </w:r>
      <w:bookmarkStart w:id="45" w:name="_Toc18424"/>
      <w:bookmarkStart w:id="46" w:name="_Toc24395"/>
      <w:r>
        <w:rPr>
          <w:rFonts w:hint="eastAsia" w:ascii="宋体" w:hAnsi="宋体"/>
          <w:b/>
          <w:sz w:val="32"/>
          <w:szCs w:val="32"/>
          <w:lang w:eastAsia="zh-CN"/>
        </w:rPr>
        <w:t>竞标人</w:t>
      </w:r>
      <w:r>
        <w:rPr>
          <w:rFonts w:hint="eastAsia" w:ascii="宋体" w:hAnsi="宋体"/>
          <w:b/>
          <w:sz w:val="32"/>
          <w:szCs w:val="32"/>
        </w:rPr>
        <w:t>须知</w:t>
      </w:r>
      <w:bookmarkEnd w:id="45"/>
      <w:bookmarkEnd w:id="46"/>
    </w:p>
    <w:p>
      <w:pPr>
        <w:tabs>
          <w:tab w:val="left" w:pos="1065"/>
          <w:tab w:val="center" w:pos="4411"/>
        </w:tabs>
        <w:spacing w:line="440" w:lineRule="atLeast"/>
        <w:jc w:val="center"/>
        <w:rPr>
          <w:rFonts w:ascii="宋体" w:hAnsi="宋体"/>
          <w:b/>
          <w:sz w:val="24"/>
        </w:rPr>
      </w:pPr>
      <w:r>
        <w:rPr>
          <w:rFonts w:hint="eastAsia" w:ascii="宋体" w:hAnsi="宋体"/>
          <w:b/>
          <w:sz w:val="24"/>
        </w:rPr>
        <w:t>供 应 商 须 知 前 附 表</w:t>
      </w:r>
    </w:p>
    <w:tbl>
      <w:tblPr>
        <w:tblStyle w:val="25"/>
        <w:tblW w:w="0" w:type="auto"/>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04"/>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37" w:type="dxa"/>
            <w:vAlign w:val="center"/>
          </w:tcPr>
          <w:p>
            <w:pPr>
              <w:spacing w:line="320" w:lineRule="exact"/>
              <w:jc w:val="center"/>
              <w:rPr>
                <w:rFonts w:ascii="宋体" w:hAnsi="宋体"/>
                <w:b/>
                <w:sz w:val="24"/>
              </w:rPr>
            </w:pPr>
            <w:r>
              <w:rPr>
                <w:rFonts w:hint="eastAsia" w:ascii="宋体" w:hAnsi="宋体"/>
                <w:b/>
                <w:sz w:val="24"/>
              </w:rPr>
              <w:t>序号</w:t>
            </w:r>
          </w:p>
        </w:tc>
        <w:tc>
          <w:tcPr>
            <w:tcW w:w="2004" w:type="dxa"/>
            <w:vAlign w:val="center"/>
          </w:tcPr>
          <w:p>
            <w:pPr>
              <w:spacing w:line="320" w:lineRule="exact"/>
              <w:jc w:val="center"/>
              <w:rPr>
                <w:rFonts w:ascii="宋体" w:hAnsi="宋体"/>
                <w:b/>
                <w:sz w:val="24"/>
              </w:rPr>
            </w:pPr>
            <w:r>
              <w:rPr>
                <w:rFonts w:hint="eastAsia" w:ascii="宋体" w:hAnsi="宋体"/>
                <w:b/>
                <w:sz w:val="24"/>
              </w:rPr>
              <w:t>条款名称</w:t>
            </w:r>
          </w:p>
        </w:tc>
        <w:tc>
          <w:tcPr>
            <w:tcW w:w="7476" w:type="dxa"/>
            <w:vAlign w:val="center"/>
          </w:tcPr>
          <w:p>
            <w:pPr>
              <w:spacing w:line="320" w:lineRule="exact"/>
              <w:jc w:val="center"/>
              <w:rPr>
                <w:rFonts w:ascii="宋体" w:hAnsi="宋体"/>
                <w:b/>
                <w:sz w:val="24"/>
              </w:rPr>
            </w:pPr>
            <w:r>
              <w:rPr>
                <w:rFonts w:hint="eastAsia" w:ascii="宋体" w:hAnsi="宋体"/>
                <w:b/>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Align w:val="center"/>
          </w:tcPr>
          <w:p>
            <w:pPr>
              <w:spacing w:line="320" w:lineRule="exact"/>
              <w:jc w:val="center"/>
              <w:rPr>
                <w:rFonts w:ascii="宋体" w:hAnsi="宋体"/>
                <w:szCs w:val="21"/>
              </w:rPr>
            </w:pPr>
            <w:r>
              <w:rPr>
                <w:rFonts w:hint="eastAsia" w:ascii="宋体" w:hAnsi="宋体"/>
                <w:szCs w:val="21"/>
              </w:rPr>
              <w:t>1</w:t>
            </w:r>
          </w:p>
        </w:tc>
        <w:tc>
          <w:tcPr>
            <w:tcW w:w="2004" w:type="dxa"/>
            <w:vAlign w:val="center"/>
          </w:tcPr>
          <w:p>
            <w:pPr>
              <w:spacing w:line="320" w:lineRule="exact"/>
              <w:jc w:val="center"/>
              <w:rPr>
                <w:rFonts w:ascii="宋体" w:hAnsi="宋体"/>
                <w:szCs w:val="21"/>
              </w:rPr>
            </w:pPr>
            <w:r>
              <w:rPr>
                <w:rFonts w:hint="eastAsia" w:ascii="宋体" w:hAnsi="宋体"/>
                <w:szCs w:val="21"/>
              </w:rPr>
              <w:t>项目名称、项目编号</w:t>
            </w:r>
          </w:p>
        </w:tc>
        <w:tc>
          <w:tcPr>
            <w:tcW w:w="7476" w:type="dxa"/>
          </w:tcPr>
          <w:p>
            <w:pPr>
              <w:spacing w:line="320" w:lineRule="exact"/>
              <w:rPr>
                <w:rFonts w:hint="eastAsia" w:ascii="宋体" w:hAnsi="宋体" w:eastAsia="宋体"/>
                <w:szCs w:val="21"/>
                <w:lang w:eastAsia="zh-CN"/>
              </w:rPr>
            </w:pPr>
            <w:r>
              <w:rPr>
                <w:rFonts w:hint="eastAsia" w:ascii="宋体" w:hAnsi="宋体"/>
                <w:szCs w:val="21"/>
              </w:rPr>
              <w:t>项目名称：网络安全定制化服务及大屏显示定制化服务等项目</w:t>
            </w:r>
          </w:p>
          <w:p>
            <w:pPr>
              <w:spacing w:line="320" w:lineRule="exact"/>
              <w:rPr>
                <w:rFonts w:hint="eastAsia" w:hAnsi="宋体" w:eastAsia="宋体"/>
                <w:szCs w:val="21"/>
                <w:lang w:eastAsia="zh-CN"/>
              </w:rPr>
            </w:pPr>
            <w:r>
              <w:rPr>
                <w:rFonts w:hint="eastAsia" w:ascii="宋体" w:hAnsi="宋体"/>
                <w:szCs w:val="21"/>
              </w:rPr>
              <w:t>项目编号：</w:t>
            </w:r>
            <w:r>
              <w:rPr>
                <w:rFonts w:hint="eastAsia" w:ascii="宋体" w:hAnsi="宋体"/>
                <w:b w:val="0"/>
                <w:bCs w:val="0"/>
                <w:spacing w:val="-6"/>
                <w:sz w:val="21"/>
                <w:szCs w:val="21"/>
                <w:lang w:eastAsia="zh-CN"/>
              </w:rPr>
              <w:t>CZZC2020-J3-020158-YCXM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7" w:type="dxa"/>
            <w:vAlign w:val="center"/>
          </w:tcPr>
          <w:p>
            <w:pPr>
              <w:spacing w:line="320" w:lineRule="exact"/>
              <w:jc w:val="center"/>
              <w:rPr>
                <w:rFonts w:ascii="宋体" w:hAnsi="宋体"/>
                <w:szCs w:val="21"/>
              </w:rPr>
            </w:pPr>
            <w:r>
              <w:rPr>
                <w:rFonts w:hint="eastAsia" w:ascii="宋体" w:hAnsi="宋体"/>
                <w:szCs w:val="21"/>
              </w:rPr>
              <w:t>2</w:t>
            </w:r>
          </w:p>
        </w:tc>
        <w:tc>
          <w:tcPr>
            <w:tcW w:w="2004" w:type="dxa"/>
            <w:vAlign w:val="center"/>
          </w:tcPr>
          <w:p>
            <w:pPr>
              <w:spacing w:line="320" w:lineRule="exact"/>
              <w:jc w:val="center"/>
              <w:rPr>
                <w:rFonts w:ascii="宋体" w:hAnsi="宋体"/>
                <w:szCs w:val="21"/>
              </w:rPr>
            </w:pPr>
            <w:r>
              <w:rPr>
                <w:rFonts w:hint="eastAsia" w:ascii="宋体" w:hAnsi="宋体"/>
                <w:szCs w:val="21"/>
                <w:lang w:eastAsia="zh-CN"/>
              </w:rPr>
              <w:t>竞标人</w:t>
            </w:r>
            <w:r>
              <w:rPr>
                <w:rFonts w:hint="eastAsia" w:ascii="宋体" w:hAnsi="宋体"/>
                <w:szCs w:val="21"/>
              </w:rPr>
              <w:t>资格</w:t>
            </w:r>
          </w:p>
        </w:tc>
        <w:tc>
          <w:tcPr>
            <w:tcW w:w="7476" w:type="dxa"/>
            <w:vAlign w:val="center"/>
          </w:tcPr>
          <w:p>
            <w:pPr>
              <w:numPr>
                <w:ilvl w:val="0"/>
                <w:numId w:val="3"/>
              </w:numPr>
              <w:spacing w:line="380" w:lineRule="exact"/>
              <w:rPr>
                <w:rFonts w:hint="eastAsia" w:ascii="宋体" w:hAnsi="宋体"/>
                <w:sz w:val="21"/>
                <w:szCs w:val="21"/>
              </w:rPr>
            </w:pPr>
            <w:r>
              <w:rPr>
                <w:rFonts w:hint="eastAsia" w:ascii="宋体" w:hAnsi="宋体"/>
                <w:sz w:val="21"/>
                <w:szCs w:val="21"/>
              </w:rPr>
              <w:t>满足《中华人民共和国政府采购法》第二十二条规定；</w:t>
            </w:r>
          </w:p>
          <w:p>
            <w:pPr>
              <w:numPr>
                <w:ilvl w:val="0"/>
                <w:numId w:val="3"/>
              </w:numPr>
              <w:spacing w:line="380" w:lineRule="exact"/>
              <w:rPr>
                <w:rFonts w:ascii="宋体" w:hAnsi="宋体"/>
                <w:sz w:val="21"/>
                <w:szCs w:val="21"/>
              </w:rPr>
            </w:pPr>
            <w:r>
              <w:rPr>
                <w:rFonts w:hint="eastAsia" w:ascii="宋体" w:hAnsi="宋体"/>
                <w:sz w:val="21"/>
                <w:szCs w:val="21"/>
              </w:rPr>
              <w:t>落实政府采购政策需满足的资格要求：无</w:t>
            </w:r>
          </w:p>
          <w:p>
            <w:pPr>
              <w:numPr>
                <w:ilvl w:val="0"/>
                <w:numId w:val="3"/>
              </w:numPr>
              <w:spacing w:line="380" w:lineRule="exact"/>
              <w:ind w:left="0" w:leftChars="0" w:firstLine="0" w:firstLineChars="0"/>
              <w:rPr>
                <w:rFonts w:hint="eastAsia" w:ascii="宋体" w:hAnsi="宋体"/>
                <w:sz w:val="21"/>
                <w:szCs w:val="21"/>
                <w:lang w:val="en-US" w:eastAsia="zh-CN"/>
              </w:rPr>
            </w:pPr>
            <w:r>
              <w:rPr>
                <w:rFonts w:hint="eastAsia" w:ascii="宋体" w:hAnsi="宋体"/>
                <w:sz w:val="21"/>
                <w:szCs w:val="21"/>
              </w:rPr>
              <w:t>本项目的特定资格要求：</w:t>
            </w:r>
            <w:r>
              <w:rPr>
                <w:rFonts w:hint="eastAsia" w:ascii="宋体" w:hAnsi="宋体"/>
                <w:sz w:val="21"/>
                <w:szCs w:val="21"/>
                <w:lang w:eastAsia="zh-CN"/>
              </w:rPr>
              <w:t>无</w:t>
            </w:r>
          </w:p>
          <w:p>
            <w:pPr>
              <w:numPr>
                <w:ilvl w:val="0"/>
                <w:numId w:val="3"/>
              </w:numPr>
              <w:spacing w:line="380" w:lineRule="exact"/>
              <w:ind w:left="0" w:leftChars="0" w:firstLine="0" w:firstLineChars="0"/>
              <w:rPr>
                <w:rFonts w:hint="eastAsia" w:ascii="宋体" w:hAnsi="宋体" w:cs="宋体"/>
                <w:color w:val="auto"/>
                <w:sz w:val="21"/>
                <w:szCs w:val="21"/>
                <w:lang w:val="zh-CN"/>
              </w:rPr>
            </w:pPr>
            <w:r>
              <w:rPr>
                <w:rFonts w:hint="eastAsia" w:ascii="宋体" w:hAnsi="宋体" w:cs="宋体"/>
                <w:color w:val="auto"/>
                <w:sz w:val="21"/>
                <w:szCs w:val="21"/>
                <w:lang w:val="zh-CN"/>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spacing w:line="380" w:lineRule="exact"/>
              <w:rPr>
                <w:rFonts w:hAnsi="宋体"/>
                <w:szCs w:val="21"/>
              </w:rPr>
            </w:pPr>
            <w:r>
              <w:rPr>
                <w:rFonts w:hint="eastAsia" w:ascii="宋体" w:hAnsi="宋体"/>
                <w:sz w:val="21"/>
                <w:szCs w:val="21"/>
                <w:lang w:val="en-US" w:eastAsia="zh-CN"/>
              </w:rPr>
              <w:t>5、</w:t>
            </w:r>
            <w:r>
              <w:rPr>
                <w:rFonts w:hint="eastAsia" w:ascii="宋体" w:hAnsi="宋体"/>
                <w:sz w:val="21"/>
                <w:szCs w:val="21"/>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w:t>
            </w:r>
            <w:r>
              <w:rPr>
                <w:rFonts w:hint="eastAsia" w:ascii="宋体" w:hAnsi="宋体"/>
                <w:sz w:val="21"/>
                <w:szCs w:val="21"/>
                <w:lang w:eastAsia="zh-CN"/>
              </w:rPr>
              <w:t>竞标人</w:t>
            </w:r>
            <w:r>
              <w:rPr>
                <w:rFonts w:hint="eastAsia" w:ascii="宋体" w:hAnsi="宋体"/>
                <w:sz w:val="21"/>
                <w:szCs w:val="21"/>
              </w:rPr>
              <w:t>，不得参与</w:t>
            </w:r>
            <w:r>
              <w:rPr>
                <w:rFonts w:hint="eastAsia" w:ascii="宋体" w:hAnsi="宋体"/>
                <w:sz w:val="21"/>
                <w:szCs w:val="21"/>
                <w:lang w:eastAsia="zh-CN"/>
              </w:rPr>
              <w:t>本次</w:t>
            </w:r>
            <w:r>
              <w:rPr>
                <w:rFonts w:hint="eastAsia" w:ascii="宋体" w:hAnsi="宋体"/>
                <w:sz w:val="21"/>
                <w:szCs w:val="21"/>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3</w:t>
            </w:r>
          </w:p>
        </w:tc>
        <w:tc>
          <w:tcPr>
            <w:tcW w:w="2004" w:type="dxa"/>
            <w:vAlign w:val="center"/>
          </w:tcPr>
          <w:p>
            <w:pPr>
              <w:spacing w:line="320" w:lineRule="exact"/>
              <w:jc w:val="center"/>
              <w:rPr>
                <w:rFonts w:ascii="宋体" w:hAnsi="宋体"/>
                <w:szCs w:val="21"/>
              </w:rPr>
            </w:pPr>
            <w:r>
              <w:rPr>
                <w:rFonts w:hint="eastAsia" w:ascii="宋体" w:hAnsi="宋体"/>
                <w:szCs w:val="21"/>
                <w:lang w:eastAsia="zh-CN"/>
              </w:rPr>
              <w:t>竞标</w:t>
            </w:r>
            <w:r>
              <w:rPr>
                <w:rFonts w:hint="eastAsia" w:ascii="宋体" w:hAnsi="宋体"/>
                <w:szCs w:val="21"/>
              </w:rPr>
              <w:t>费用</w:t>
            </w:r>
          </w:p>
        </w:tc>
        <w:tc>
          <w:tcPr>
            <w:tcW w:w="7476" w:type="dxa"/>
          </w:tcPr>
          <w:p>
            <w:pPr>
              <w:spacing w:line="320" w:lineRule="exact"/>
              <w:rPr>
                <w:rFonts w:ascii="宋体" w:hAnsi="宋体"/>
                <w:szCs w:val="21"/>
              </w:rPr>
            </w:pPr>
            <w:r>
              <w:rPr>
                <w:rFonts w:hint="eastAsia" w:ascii="宋体" w:hAnsi="宋体"/>
                <w:szCs w:val="21"/>
              </w:rPr>
              <w:t>不论</w:t>
            </w:r>
            <w:r>
              <w:rPr>
                <w:rFonts w:hint="eastAsia" w:ascii="宋体" w:hAnsi="宋体"/>
                <w:szCs w:val="21"/>
                <w:lang w:eastAsia="zh-CN"/>
              </w:rPr>
              <w:t>竞标</w:t>
            </w:r>
            <w:r>
              <w:rPr>
                <w:rFonts w:hint="eastAsia" w:ascii="宋体" w:hAnsi="宋体"/>
                <w:szCs w:val="21"/>
              </w:rPr>
              <w:t>结果如何，</w:t>
            </w:r>
            <w:r>
              <w:rPr>
                <w:rFonts w:hint="eastAsia" w:ascii="宋体" w:hAnsi="宋体"/>
                <w:szCs w:val="21"/>
                <w:lang w:eastAsia="zh-CN"/>
              </w:rPr>
              <w:t>竞标人</w:t>
            </w:r>
            <w:r>
              <w:rPr>
                <w:rFonts w:hint="eastAsia" w:ascii="宋体" w:hAnsi="宋体"/>
                <w:szCs w:val="21"/>
              </w:rPr>
              <w:t>均应自行承担所有与</w:t>
            </w:r>
            <w:r>
              <w:rPr>
                <w:rFonts w:hint="eastAsia" w:ascii="宋体" w:hAnsi="宋体"/>
                <w:szCs w:val="21"/>
                <w:lang w:eastAsia="zh-CN"/>
              </w:rPr>
              <w:t>竞标</w:t>
            </w:r>
            <w:r>
              <w:rPr>
                <w:rFonts w:hint="eastAsia" w:ascii="宋体" w:hAnsi="宋体"/>
                <w:szCs w:val="21"/>
              </w:rPr>
              <w:t xml:space="preserve">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7" w:type="dxa"/>
            <w:vAlign w:val="center"/>
          </w:tcPr>
          <w:p>
            <w:pPr>
              <w:spacing w:line="320" w:lineRule="exact"/>
              <w:jc w:val="center"/>
              <w:rPr>
                <w:rFonts w:ascii="宋体" w:hAnsi="宋体"/>
                <w:szCs w:val="21"/>
              </w:rPr>
            </w:pPr>
            <w:r>
              <w:rPr>
                <w:rFonts w:hint="eastAsia" w:ascii="宋体" w:hAnsi="宋体"/>
                <w:szCs w:val="21"/>
              </w:rPr>
              <w:t>4</w:t>
            </w:r>
          </w:p>
        </w:tc>
        <w:tc>
          <w:tcPr>
            <w:tcW w:w="2004" w:type="dxa"/>
            <w:vAlign w:val="center"/>
          </w:tcPr>
          <w:p>
            <w:pPr>
              <w:spacing w:line="320" w:lineRule="exact"/>
              <w:jc w:val="center"/>
              <w:rPr>
                <w:rFonts w:ascii="宋体" w:hAnsi="宋体"/>
                <w:szCs w:val="21"/>
              </w:rPr>
            </w:pPr>
            <w:r>
              <w:rPr>
                <w:rFonts w:hint="eastAsia" w:ascii="宋体" w:hAnsi="宋体"/>
                <w:szCs w:val="20"/>
              </w:rPr>
              <w:t>响应文件电子版</w:t>
            </w:r>
          </w:p>
        </w:tc>
        <w:tc>
          <w:tcPr>
            <w:tcW w:w="7476" w:type="dxa"/>
            <w:vAlign w:val="center"/>
          </w:tcPr>
          <w:p>
            <w:pPr>
              <w:spacing w:line="320" w:lineRule="exact"/>
              <w:rPr>
                <w:rFonts w:ascii="宋体" w:hAnsi="宋体"/>
                <w:szCs w:val="21"/>
              </w:rPr>
            </w:pPr>
            <w:r>
              <w:rPr>
                <w:rFonts w:hint="eastAsia" w:ascii="宋体" w:hAnsi="宋体"/>
                <w:lang w:eastAsia="zh-CN"/>
              </w:rPr>
              <w:t>竞标</w:t>
            </w:r>
            <w:r>
              <w:rPr>
                <w:rFonts w:hint="eastAsia" w:ascii="宋体" w:hAnsi="宋体"/>
                <w:szCs w:val="20"/>
              </w:rPr>
              <w:t>响应文件电子版</w:t>
            </w:r>
            <w:r>
              <w:rPr>
                <w:rFonts w:hint="eastAsia" w:ascii="宋体" w:hAnsi="宋体"/>
              </w:rPr>
              <w:t>（拷入光盘或U盘中）一份，用小信封封装，封面注明项目名称、项目编号及</w:t>
            </w:r>
            <w:r>
              <w:rPr>
                <w:rFonts w:hint="eastAsia" w:ascii="宋体" w:hAnsi="宋体"/>
                <w:lang w:eastAsia="zh-CN"/>
              </w:rPr>
              <w:t>竞标人</w:t>
            </w:r>
            <w:r>
              <w:rPr>
                <w:rFonts w:hint="eastAsia" w:ascii="宋体" w:hAnsi="宋体"/>
              </w:rPr>
              <w:t>名称</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5</w:t>
            </w:r>
          </w:p>
        </w:tc>
        <w:tc>
          <w:tcPr>
            <w:tcW w:w="2004" w:type="dxa"/>
            <w:vAlign w:val="center"/>
          </w:tcPr>
          <w:p>
            <w:pPr>
              <w:spacing w:line="320" w:lineRule="exact"/>
              <w:jc w:val="center"/>
              <w:rPr>
                <w:rFonts w:ascii="宋体" w:hAnsi="宋体"/>
                <w:position w:val="-2"/>
                <w:szCs w:val="21"/>
              </w:rPr>
            </w:pPr>
            <w:r>
              <w:rPr>
                <w:rFonts w:hint="eastAsia" w:ascii="宋体" w:hAnsi="宋体"/>
                <w:szCs w:val="21"/>
                <w:lang w:eastAsia="zh-CN"/>
              </w:rPr>
              <w:t>竞标</w:t>
            </w:r>
            <w:r>
              <w:rPr>
                <w:rFonts w:hint="eastAsia" w:ascii="宋体" w:hAnsi="宋体"/>
                <w:szCs w:val="21"/>
              </w:rPr>
              <w:t>报价及采购预算总金额</w:t>
            </w:r>
          </w:p>
        </w:tc>
        <w:tc>
          <w:tcPr>
            <w:tcW w:w="7476" w:type="dxa"/>
            <w:vAlign w:val="center"/>
          </w:tcPr>
          <w:p>
            <w:pPr>
              <w:spacing w:line="320" w:lineRule="exact"/>
              <w:rPr>
                <w:rFonts w:ascii="宋体" w:hAnsi="宋体"/>
                <w:szCs w:val="21"/>
              </w:rPr>
            </w:pPr>
            <w:r>
              <w:rPr>
                <w:rFonts w:hint="eastAsia" w:ascii="宋体" w:hAnsi="宋体"/>
                <w:szCs w:val="21"/>
                <w:lang w:eastAsia="zh-CN"/>
              </w:rPr>
              <w:t>竞标人</w:t>
            </w:r>
            <w:r>
              <w:rPr>
                <w:rFonts w:hint="eastAsia" w:ascii="宋体" w:hAnsi="宋体"/>
                <w:szCs w:val="21"/>
              </w:rPr>
              <w:t>必须就“项目需求”中所竞的所有内容作完整唯一报价，否则，其响应将被拒绝。响应文件只允许有一个报价，有选择的或有条件的报价将不予接受。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6</w:t>
            </w:r>
          </w:p>
        </w:tc>
        <w:tc>
          <w:tcPr>
            <w:tcW w:w="2004" w:type="dxa"/>
            <w:vAlign w:val="center"/>
          </w:tcPr>
          <w:p>
            <w:pPr>
              <w:spacing w:line="320" w:lineRule="exact"/>
              <w:jc w:val="center"/>
              <w:rPr>
                <w:rFonts w:ascii="宋体" w:hAnsi="宋体"/>
                <w:position w:val="-2"/>
                <w:szCs w:val="21"/>
              </w:rPr>
            </w:pPr>
            <w:r>
              <w:rPr>
                <w:rFonts w:hint="eastAsia" w:ascii="宋体" w:hAnsi="宋体"/>
                <w:szCs w:val="21"/>
              </w:rPr>
              <w:t>响应文件有效期</w:t>
            </w:r>
          </w:p>
        </w:tc>
        <w:tc>
          <w:tcPr>
            <w:tcW w:w="7476" w:type="dxa"/>
            <w:vAlign w:val="center"/>
          </w:tcPr>
          <w:p>
            <w:pPr>
              <w:tabs>
                <w:tab w:val="left" w:pos="1305"/>
              </w:tabs>
              <w:spacing w:line="320" w:lineRule="exact"/>
              <w:rPr>
                <w:rFonts w:ascii="宋体" w:hAnsi="宋体"/>
                <w:szCs w:val="21"/>
              </w:rPr>
            </w:pPr>
            <w:r>
              <w:rPr>
                <w:rFonts w:hint="eastAsia" w:ascii="宋体" w:hAnsi="宋体"/>
                <w:szCs w:val="21"/>
              </w:rPr>
              <w:t>自响应文件递交截止时间之日起</w:t>
            </w:r>
            <w:r>
              <w:rPr>
                <w:rFonts w:hint="eastAsia" w:hAnsi="宋体"/>
              </w:rPr>
              <w:t>至采购合同签订之日止</w:t>
            </w:r>
            <w:r>
              <w:rPr>
                <w:rFonts w:hint="eastAsia" w:ascii="宋体" w:hAnsi="宋体"/>
                <w:szCs w:val="21"/>
              </w:rPr>
              <w:t>，有效期不足的响应文件将被拒绝。</w:t>
            </w:r>
          </w:p>
          <w:p>
            <w:pPr>
              <w:tabs>
                <w:tab w:val="left" w:pos="1305"/>
              </w:tabs>
              <w:spacing w:line="320" w:lineRule="exact"/>
              <w:rPr>
                <w:rFonts w:ascii="宋体" w:hAnsi="宋体"/>
                <w:szCs w:val="21"/>
              </w:rPr>
            </w:pPr>
            <w:r>
              <w:rPr>
                <w:rFonts w:hint="eastAsia" w:ascii="宋体" w:hAnsi="宋体"/>
                <w:szCs w:val="21"/>
              </w:rPr>
              <w:t>1、未成交人的响应文件竞标有效期内均应保持有效。</w:t>
            </w:r>
          </w:p>
          <w:p>
            <w:pPr>
              <w:tabs>
                <w:tab w:val="left" w:pos="1305"/>
              </w:tabs>
              <w:spacing w:line="320" w:lineRule="exact"/>
              <w:rPr>
                <w:rFonts w:ascii="宋体" w:hAnsi="宋体"/>
                <w:szCs w:val="21"/>
              </w:rPr>
            </w:pPr>
            <w:r>
              <w:rPr>
                <w:rFonts w:hint="eastAsia" w:ascii="宋体" w:hAnsi="宋体"/>
                <w:szCs w:val="21"/>
              </w:rPr>
              <w:t>2、成交人的响应文件自开标之日起至合同履行完毕止均应保持有效。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7</w:t>
            </w:r>
          </w:p>
        </w:tc>
        <w:tc>
          <w:tcPr>
            <w:tcW w:w="2004" w:type="dxa"/>
            <w:vAlign w:val="center"/>
          </w:tcPr>
          <w:p>
            <w:pPr>
              <w:spacing w:line="320" w:lineRule="exact"/>
              <w:jc w:val="center"/>
              <w:rPr>
                <w:rFonts w:ascii="宋体" w:hAnsi="宋体"/>
                <w:position w:val="-2"/>
                <w:szCs w:val="21"/>
              </w:rPr>
            </w:pPr>
            <w:r>
              <w:rPr>
                <w:rFonts w:hint="eastAsia" w:ascii="宋体" w:hAnsi="宋体"/>
                <w:position w:val="-2"/>
                <w:szCs w:val="21"/>
                <w:lang w:eastAsia="zh-CN"/>
              </w:rPr>
              <w:t>竞标</w:t>
            </w:r>
            <w:r>
              <w:rPr>
                <w:rFonts w:hint="eastAsia" w:ascii="宋体" w:hAnsi="宋体"/>
                <w:position w:val="-2"/>
                <w:szCs w:val="21"/>
              </w:rPr>
              <w:t>保证金</w:t>
            </w:r>
          </w:p>
        </w:tc>
        <w:tc>
          <w:tcPr>
            <w:tcW w:w="7476" w:type="dxa"/>
          </w:tcPr>
          <w:p>
            <w:pPr>
              <w:spacing w:line="320" w:lineRule="exact"/>
              <w:rPr>
                <w:rFonts w:ascii="宋体" w:hAnsi="宋体"/>
                <w:szCs w:val="21"/>
              </w:rPr>
            </w:pPr>
            <w:r>
              <w:rPr>
                <w:rFonts w:hint="eastAsia" w:ascii="宋体" w:hAnsi="宋体"/>
                <w:szCs w:val="21"/>
                <w:lang w:eastAsia="zh-CN"/>
              </w:rPr>
              <w:t>竞标</w:t>
            </w:r>
            <w:r>
              <w:rPr>
                <w:rFonts w:hint="eastAsia" w:ascii="宋体" w:hAnsi="宋体"/>
                <w:szCs w:val="21"/>
              </w:rPr>
              <w:t>保证金（人民币）：</w:t>
            </w:r>
            <w:r>
              <w:rPr>
                <w:rFonts w:hint="eastAsia"/>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37" w:type="dxa"/>
            <w:vAlign w:val="center"/>
          </w:tcPr>
          <w:p>
            <w:pPr>
              <w:spacing w:line="320" w:lineRule="exact"/>
              <w:jc w:val="center"/>
              <w:rPr>
                <w:rFonts w:ascii="宋体" w:hAnsi="宋体"/>
                <w:szCs w:val="21"/>
              </w:rPr>
            </w:pPr>
            <w:r>
              <w:rPr>
                <w:rFonts w:hint="eastAsia" w:ascii="宋体" w:hAnsi="宋体"/>
                <w:szCs w:val="21"/>
              </w:rPr>
              <w:t>8</w:t>
            </w:r>
          </w:p>
        </w:tc>
        <w:tc>
          <w:tcPr>
            <w:tcW w:w="2004" w:type="dxa"/>
            <w:vAlign w:val="center"/>
          </w:tcPr>
          <w:p>
            <w:pPr>
              <w:spacing w:line="320" w:lineRule="exact"/>
              <w:jc w:val="center"/>
              <w:rPr>
                <w:rFonts w:ascii="宋体" w:hAnsi="宋体"/>
                <w:szCs w:val="21"/>
              </w:rPr>
            </w:pPr>
            <w:r>
              <w:rPr>
                <w:rFonts w:hint="eastAsia" w:ascii="宋体" w:hAnsi="宋体"/>
                <w:szCs w:val="21"/>
              </w:rPr>
              <w:t>响应文件份数</w:t>
            </w:r>
          </w:p>
        </w:tc>
        <w:tc>
          <w:tcPr>
            <w:tcW w:w="7476" w:type="dxa"/>
            <w:vAlign w:val="center"/>
          </w:tcPr>
          <w:p>
            <w:pPr>
              <w:spacing w:line="320" w:lineRule="exact"/>
              <w:rPr>
                <w:rFonts w:ascii="宋体" w:hAnsi="宋体"/>
                <w:szCs w:val="21"/>
              </w:rPr>
            </w:pPr>
            <w:r>
              <w:rPr>
                <w:rFonts w:hint="eastAsia" w:ascii="宋体" w:hAnsi="宋体"/>
                <w:szCs w:val="21"/>
              </w:rPr>
              <w:t>正本一册，副本四册，须完整提交。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9</w:t>
            </w:r>
          </w:p>
        </w:tc>
        <w:tc>
          <w:tcPr>
            <w:tcW w:w="2004" w:type="dxa"/>
            <w:vAlign w:val="center"/>
          </w:tcPr>
          <w:p>
            <w:pPr>
              <w:spacing w:line="320" w:lineRule="exact"/>
              <w:jc w:val="center"/>
              <w:rPr>
                <w:rFonts w:ascii="宋体" w:hAnsi="宋体"/>
                <w:position w:val="10"/>
                <w:szCs w:val="21"/>
              </w:rPr>
            </w:pPr>
            <w:r>
              <w:rPr>
                <w:rFonts w:hint="eastAsia" w:ascii="宋体" w:hAnsi="宋体"/>
                <w:szCs w:val="21"/>
              </w:rPr>
              <w:t>响应文件装订要求</w:t>
            </w:r>
          </w:p>
        </w:tc>
        <w:tc>
          <w:tcPr>
            <w:tcW w:w="7476" w:type="dxa"/>
            <w:vAlign w:val="center"/>
          </w:tcPr>
          <w:p>
            <w:pPr>
              <w:spacing w:line="320" w:lineRule="exact"/>
              <w:rPr>
                <w:rFonts w:ascii="宋体" w:hAnsi="宋体"/>
                <w:szCs w:val="21"/>
              </w:rPr>
            </w:pPr>
            <w:r>
              <w:rPr>
                <w:rFonts w:hint="eastAsia" w:ascii="宋体" w:hAnsi="宋体"/>
                <w:szCs w:val="21"/>
                <w:lang w:eastAsia="zh-CN"/>
              </w:rPr>
              <w:t>竞标人</w:t>
            </w:r>
            <w:r>
              <w:rPr>
                <w:rFonts w:hint="eastAsia" w:ascii="宋体" w:hAnsi="宋体"/>
                <w:szCs w:val="21"/>
              </w:rPr>
              <w:t>应按</w:t>
            </w:r>
            <w:r>
              <w:rPr>
                <w:rFonts w:hint="eastAsia" w:ascii="宋体" w:hAnsi="宋体"/>
                <w:szCs w:val="21"/>
                <w:lang w:eastAsia="zh-CN"/>
              </w:rPr>
              <w:t>竞标人</w:t>
            </w:r>
            <w:r>
              <w:rPr>
                <w:rFonts w:hint="eastAsia" w:ascii="宋体" w:hAnsi="宋体"/>
                <w:szCs w:val="21"/>
              </w:rPr>
              <w:t>须知第11.1条“响应文件组成”规定的顺序自编目录及页码，响应文件的“正本”、“副本”应当单独装订成册并标注页码，装订应牢固，不易拆散和换页。封面应注明“正本”、“副本”字样，封面上写明项目名称、项目编号、采购代理机构、</w:t>
            </w:r>
            <w:r>
              <w:rPr>
                <w:rFonts w:hint="eastAsia" w:ascii="宋体" w:hAnsi="宋体"/>
                <w:szCs w:val="21"/>
                <w:lang w:eastAsia="zh-CN"/>
              </w:rPr>
              <w:t>竞标人</w:t>
            </w:r>
            <w:r>
              <w:rPr>
                <w:rFonts w:hint="eastAsia" w:ascii="宋体" w:hAnsi="宋体"/>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10</w:t>
            </w:r>
          </w:p>
        </w:tc>
        <w:tc>
          <w:tcPr>
            <w:tcW w:w="2004" w:type="dxa"/>
            <w:vAlign w:val="center"/>
          </w:tcPr>
          <w:p>
            <w:pPr>
              <w:spacing w:line="320" w:lineRule="exact"/>
              <w:jc w:val="center"/>
              <w:rPr>
                <w:rFonts w:ascii="宋体" w:hAnsi="宋体"/>
                <w:szCs w:val="21"/>
              </w:rPr>
            </w:pPr>
            <w:r>
              <w:rPr>
                <w:rFonts w:hint="eastAsia" w:ascii="宋体" w:hAnsi="宋体"/>
                <w:szCs w:val="21"/>
              </w:rPr>
              <w:t xml:space="preserve">响应文件包装、密封、标记                  </w:t>
            </w:r>
          </w:p>
        </w:tc>
        <w:tc>
          <w:tcPr>
            <w:tcW w:w="7476" w:type="dxa"/>
            <w:vAlign w:val="center"/>
          </w:tcPr>
          <w:p>
            <w:pPr>
              <w:spacing w:line="320" w:lineRule="exact"/>
              <w:rPr>
                <w:rFonts w:ascii="宋体" w:hAnsi="宋体"/>
                <w:szCs w:val="21"/>
              </w:rPr>
            </w:pPr>
            <w:r>
              <w:rPr>
                <w:rFonts w:hint="eastAsia" w:ascii="宋体" w:hAnsi="宋体"/>
                <w:b/>
                <w:szCs w:val="21"/>
              </w:rPr>
              <w:t>响应文件包装、密封：</w:t>
            </w:r>
            <w:r>
              <w:rPr>
                <w:rFonts w:hint="eastAsia" w:ascii="宋体" w:hAnsi="宋体" w:cs="宋体"/>
                <w:szCs w:val="21"/>
                <w:lang w:eastAsia="zh-CN"/>
              </w:rPr>
              <w:t>竞标人</w:t>
            </w:r>
            <w:r>
              <w:rPr>
                <w:rFonts w:hint="eastAsia" w:ascii="宋体" w:hAnsi="宋体" w:cs="宋体"/>
                <w:szCs w:val="21"/>
              </w:rPr>
              <w:t>须将响应文件“正本”、“副本”一并装入并密封在一个响应文件袋（盒、箱）中，并在密封处密封签章【公章、密封章、法定代表人（或其授权委托代理人</w:t>
            </w:r>
            <w:r>
              <w:rPr>
                <w:rFonts w:ascii="宋体" w:hAnsi="宋体" w:cs="宋体"/>
                <w:szCs w:val="21"/>
              </w:rPr>
              <w:t>）</w:t>
            </w:r>
            <w:r>
              <w:rPr>
                <w:rFonts w:hint="eastAsia" w:ascii="宋体" w:hAnsi="宋体" w:cs="宋体"/>
                <w:szCs w:val="21"/>
              </w:rPr>
              <w:t>签字均可】。</w:t>
            </w:r>
          </w:p>
          <w:p>
            <w:pPr>
              <w:spacing w:line="320" w:lineRule="exact"/>
              <w:rPr>
                <w:rFonts w:ascii="宋体" w:hAnsi="宋体"/>
                <w:b/>
                <w:szCs w:val="21"/>
              </w:rPr>
            </w:pPr>
            <w:r>
              <w:rPr>
                <w:rFonts w:hint="eastAsia" w:ascii="宋体" w:hAnsi="宋体"/>
                <w:b/>
                <w:szCs w:val="21"/>
              </w:rPr>
              <w:t>响应文件袋标记：</w:t>
            </w:r>
          </w:p>
          <w:p>
            <w:pPr>
              <w:spacing w:line="320" w:lineRule="exact"/>
              <w:rPr>
                <w:rFonts w:ascii="宋体" w:hAnsi="宋体"/>
                <w:szCs w:val="21"/>
              </w:rPr>
            </w:pPr>
            <w:r>
              <w:rPr>
                <w:rFonts w:hint="eastAsia" w:ascii="宋体" w:hAnsi="宋体"/>
                <w:szCs w:val="21"/>
              </w:rPr>
              <w:t xml:space="preserve">项目名称： </w:t>
            </w:r>
          </w:p>
          <w:p>
            <w:pPr>
              <w:spacing w:line="320" w:lineRule="exact"/>
              <w:rPr>
                <w:rFonts w:ascii="宋体" w:hAnsi="宋体"/>
                <w:szCs w:val="21"/>
              </w:rPr>
            </w:pPr>
            <w:r>
              <w:rPr>
                <w:rFonts w:hint="eastAsia" w:ascii="宋体" w:hAnsi="宋体"/>
                <w:szCs w:val="21"/>
              </w:rPr>
              <w:t xml:space="preserve">项目编号： </w:t>
            </w:r>
          </w:p>
          <w:p>
            <w:pPr>
              <w:spacing w:line="320" w:lineRule="exact"/>
              <w:rPr>
                <w:rFonts w:ascii="宋体" w:hAnsi="宋体"/>
                <w:szCs w:val="21"/>
              </w:rPr>
            </w:pPr>
            <w:r>
              <w:rPr>
                <w:rFonts w:hint="eastAsia" w:ascii="宋体" w:hAnsi="宋体"/>
                <w:szCs w:val="21"/>
              </w:rPr>
              <w:t>采购代理机构：</w:t>
            </w:r>
          </w:p>
          <w:p>
            <w:pPr>
              <w:spacing w:line="320" w:lineRule="exact"/>
              <w:rPr>
                <w:rFonts w:ascii="宋体" w:hAnsi="宋体"/>
                <w:szCs w:val="21"/>
              </w:rPr>
            </w:pPr>
            <w:r>
              <w:rPr>
                <w:rFonts w:hint="eastAsia" w:ascii="宋体" w:hAnsi="宋体"/>
                <w:szCs w:val="21"/>
                <w:lang w:eastAsia="zh-CN"/>
              </w:rPr>
              <w:t>竞标人</w:t>
            </w:r>
            <w:r>
              <w:rPr>
                <w:rFonts w:hint="eastAsia" w:ascii="宋体" w:hAnsi="宋体"/>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37" w:type="dxa"/>
            <w:vAlign w:val="center"/>
          </w:tcPr>
          <w:p>
            <w:pPr>
              <w:spacing w:line="320" w:lineRule="exact"/>
              <w:jc w:val="center"/>
              <w:rPr>
                <w:rFonts w:ascii="宋体" w:hAnsi="宋体"/>
                <w:szCs w:val="21"/>
              </w:rPr>
            </w:pPr>
            <w:r>
              <w:rPr>
                <w:rFonts w:hint="eastAsia" w:ascii="宋体" w:hAnsi="宋体"/>
                <w:szCs w:val="21"/>
              </w:rPr>
              <w:t>11</w:t>
            </w:r>
          </w:p>
        </w:tc>
        <w:tc>
          <w:tcPr>
            <w:tcW w:w="2004" w:type="dxa"/>
            <w:vAlign w:val="center"/>
          </w:tcPr>
          <w:p>
            <w:pPr>
              <w:spacing w:line="320" w:lineRule="exact"/>
              <w:jc w:val="center"/>
              <w:rPr>
                <w:rFonts w:ascii="宋体" w:hAnsi="宋体"/>
                <w:szCs w:val="21"/>
              </w:rPr>
            </w:pPr>
            <w:r>
              <w:rPr>
                <w:rFonts w:hint="eastAsia" w:ascii="宋体" w:hAnsi="宋体"/>
                <w:szCs w:val="21"/>
                <w:lang w:eastAsia="zh-CN"/>
              </w:rPr>
              <w:t>竞标人</w:t>
            </w:r>
            <w:r>
              <w:rPr>
                <w:rFonts w:hint="eastAsia" w:ascii="宋体" w:hAnsi="宋体"/>
                <w:szCs w:val="21"/>
              </w:rPr>
              <w:t>公章</w:t>
            </w:r>
          </w:p>
        </w:tc>
        <w:tc>
          <w:tcPr>
            <w:tcW w:w="7476" w:type="dxa"/>
            <w:vAlign w:val="center"/>
          </w:tcPr>
          <w:p>
            <w:pPr>
              <w:spacing w:line="320" w:lineRule="exact"/>
              <w:rPr>
                <w:rFonts w:ascii="宋体" w:hAnsi="宋体"/>
                <w:szCs w:val="21"/>
              </w:rPr>
            </w:pPr>
            <w:r>
              <w:rPr>
                <w:rFonts w:ascii="宋体" w:hAnsi="宋体" w:cs="宋体"/>
                <w:szCs w:val="21"/>
              </w:rPr>
              <w:t>本</w:t>
            </w:r>
            <w:r>
              <w:rPr>
                <w:rFonts w:hint="eastAsia" w:ascii="宋体" w:hAnsi="宋体" w:cs="宋体"/>
                <w:szCs w:val="21"/>
              </w:rPr>
              <w:t>竞争性</w:t>
            </w:r>
            <w:r>
              <w:rPr>
                <w:rFonts w:hint="eastAsia" w:ascii="宋体" w:hAnsi="宋体" w:cs="宋体"/>
                <w:szCs w:val="21"/>
                <w:lang w:eastAsia="zh-CN"/>
              </w:rPr>
              <w:t>竞标</w:t>
            </w:r>
            <w:r>
              <w:rPr>
                <w:rFonts w:hint="eastAsia" w:ascii="宋体" w:hAnsi="宋体" w:cs="宋体"/>
                <w:szCs w:val="21"/>
              </w:rPr>
              <w:t>文件</w:t>
            </w:r>
            <w:r>
              <w:rPr>
                <w:rFonts w:ascii="宋体" w:hAnsi="宋体" w:cs="宋体"/>
                <w:szCs w:val="21"/>
              </w:rPr>
              <w:t>中描述</w:t>
            </w:r>
            <w:r>
              <w:rPr>
                <w:rFonts w:hint="eastAsia" w:ascii="宋体" w:hAnsi="宋体" w:cs="宋体"/>
                <w:szCs w:val="21"/>
                <w:lang w:eastAsia="zh-CN"/>
              </w:rPr>
              <w:t>竞标人</w:t>
            </w:r>
            <w:r>
              <w:rPr>
                <w:rFonts w:ascii="宋体" w:hAnsi="宋体" w:cs="宋体"/>
                <w:szCs w:val="21"/>
              </w:rPr>
              <w:t>的“公章”是指根据我国对公章的管理规定，用</w:t>
            </w:r>
            <w:r>
              <w:rPr>
                <w:rFonts w:hint="eastAsia" w:ascii="宋体" w:hAnsi="宋体" w:cs="宋体"/>
                <w:szCs w:val="21"/>
                <w:lang w:eastAsia="zh-CN"/>
              </w:rPr>
              <w:t>竞标人</w:t>
            </w:r>
            <w:r>
              <w:rPr>
                <w:rFonts w:ascii="宋体" w:hAnsi="宋体" w:cs="宋体"/>
                <w:szCs w:val="21"/>
              </w:rPr>
              <w:t>法定主体行为名称制作的印章，除本文件有特殊规定外，</w:t>
            </w:r>
            <w:r>
              <w:rPr>
                <w:rFonts w:hint="eastAsia" w:ascii="宋体" w:hAnsi="宋体" w:cs="宋体"/>
                <w:szCs w:val="21"/>
                <w:lang w:eastAsia="zh-CN"/>
              </w:rPr>
              <w:t>竞标人</w:t>
            </w:r>
            <w:r>
              <w:rPr>
                <w:rFonts w:ascii="宋体" w:hAnsi="宋体" w:cs="宋体"/>
                <w:szCs w:val="21"/>
              </w:rPr>
              <w:t>的财务章、部门章、分公司章、工会章、合同章、</w:t>
            </w:r>
            <w:r>
              <w:rPr>
                <w:rFonts w:hint="eastAsia" w:ascii="宋体" w:hAnsi="宋体" w:cs="宋体"/>
                <w:szCs w:val="21"/>
                <w:lang w:eastAsia="zh-CN"/>
              </w:rPr>
              <w:t>竞标</w:t>
            </w:r>
            <w:r>
              <w:rPr>
                <w:rFonts w:ascii="宋体" w:hAnsi="宋体" w:cs="宋体"/>
                <w:szCs w:val="21"/>
              </w:rPr>
              <w:t>专用章、业务专用章及银行的转账章、现金收讫章、现金付讫章等其它形式印章均不能代替公章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7" w:type="dxa"/>
            <w:vAlign w:val="center"/>
          </w:tcPr>
          <w:p>
            <w:pPr>
              <w:spacing w:line="320" w:lineRule="exact"/>
              <w:jc w:val="center"/>
              <w:rPr>
                <w:rFonts w:ascii="宋体" w:hAnsi="宋体"/>
                <w:szCs w:val="21"/>
              </w:rPr>
            </w:pPr>
            <w:r>
              <w:rPr>
                <w:rFonts w:hint="eastAsia" w:ascii="宋体" w:hAnsi="宋体"/>
                <w:szCs w:val="21"/>
              </w:rPr>
              <w:t>12</w:t>
            </w:r>
          </w:p>
        </w:tc>
        <w:tc>
          <w:tcPr>
            <w:tcW w:w="2004" w:type="dxa"/>
            <w:vAlign w:val="center"/>
          </w:tcPr>
          <w:p>
            <w:pPr>
              <w:spacing w:line="320" w:lineRule="exact"/>
              <w:jc w:val="center"/>
              <w:rPr>
                <w:rFonts w:ascii="宋体" w:hAnsi="宋体"/>
                <w:szCs w:val="21"/>
              </w:rPr>
            </w:pPr>
            <w:r>
              <w:rPr>
                <w:rFonts w:hint="eastAsia" w:ascii="宋体" w:hAnsi="宋体"/>
                <w:szCs w:val="21"/>
              </w:rPr>
              <w:t>响应文件递交起止时间及截止时间</w:t>
            </w:r>
          </w:p>
        </w:tc>
        <w:tc>
          <w:tcPr>
            <w:tcW w:w="7476" w:type="dxa"/>
            <w:vAlign w:val="center"/>
          </w:tcPr>
          <w:p>
            <w:pPr>
              <w:spacing w:line="320" w:lineRule="exact"/>
              <w:rPr>
                <w:rFonts w:ascii="宋体" w:hAnsi="宋体"/>
                <w:color w:val="auto"/>
                <w:szCs w:val="21"/>
                <w:highlight w:val="none"/>
              </w:rPr>
            </w:pPr>
            <w:r>
              <w:rPr>
                <w:rFonts w:hint="eastAsia" w:ascii="宋体" w:hAnsi="宋体"/>
                <w:b/>
                <w:szCs w:val="21"/>
              </w:rPr>
              <w:t>响应文件递交起止时间：</w:t>
            </w:r>
            <w:r>
              <w:rPr>
                <w:rFonts w:hint="eastAsia" w:hAnsi="宋体"/>
                <w:color w:val="auto"/>
                <w:szCs w:val="21"/>
                <w:highlight w:val="none"/>
                <w:lang w:eastAsia="zh-CN"/>
              </w:rPr>
              <w:t>2020年</w:t>
            </w:r>
            <w:r>
              <w:rPr>
                <w:rFonts w:hint="eastAsia" w:hAnsi="宋体"/>
                <w:color w:val="auto"/>
                <w:szCs w:val="21"/>
                <w:highlight w:val="none"/>
                <w:lang w:val="en-US" w:eastAsia="zh-CN"/>
              </w:rPr>
              <w:t>12</w:t>
            </w:r>
            <w:r>
              <w:rPr>
                <w:rFonts w:hint="eastAsia" w:hAnsi="宋体"/>
                <w:color w:val="auto"/>
                <w:szCs w:val="21"/>
                <w:highlight w:val="none"/>
                <w:lang w:eastAsia="zh-CN"/>
              </w:rPr>
              <w:t>月</w:t>
            </w:r>
            <w:r>
              <w:rPr>
                <w:rFonts w:hint="eastAsia" w:hAnsi="宋体"/>
                <w:color w:val="auto"/>
                <w:szCs w:val="21"/>
                <w:highlight w:val="none"/>
                <w:lang w:val="en-US" w:eastAsia="zh-CN"/>
              </w:rPr>
              <w:t>29</w:t>
            </w:r>
            <w:r>
              <w:rPr>
                <w:rFonts w:hint="eastAsia" w:hAnsi="宋体"/>
                <w:color w:val="auto"/>
                <w:szCs w:val="21"/>
                <w:highlight w:val="none"/>
                <w:lang w:eastAsia="zh-CN"/>
              </w:rPr>
              <w:t>日</w:t>
            </w:r>
            <w:r>
              <w:rPr>
                <w:rFonts w:hint="eastAsia" w:hAnsi="宋体"/>
                <w:color w:val="auto"/>
                <w:szCs w:val="21"/>
                <w:highlight w:val="none"/>
                <w:lang w:val="en-US" w:eastAsia="zh-CN"/>
              </w:rPr>
              <w:t>15</w:t>
            </w:r>
            <w:r>
              <w:rPr>
                <w:rFonts w:hint="eastAsia" w:hAnsi="宋体"/>
                <w:color w:val="auto"/>
                <w:szCs w:val="21"/>
                <w:highlight w:val="none"/>
                <w:lang w:eastAsia="zh-CN"/>
              </w:rPr>
              <w:t>点</w:t>
            </w:r>
            <w:r>
              <w:rPr>
                <w:rFonts w:hint="eastAsia" w:hAnsi="宋体"/>
                <w:color w:val="auto"/>
                <w:szCs w:val="21"/>
                <w:highlight w:val="none"/>
                <w:lang w:val="en-US" w:eastAsia="zh-CN"/>
              </w:rPr>
              <w:t>0</w:t>
            </w:r>
            <w:r>
              <w:rPr>
                <w:rFonts w:hint="eastAsia" w:hAnsi="宋体"/>
                <w:color w:val="auto"/>
                <w:szCs w:val="21"/>
                <w:highlight w:val="none"/>
                <w:lang w:eastAsia="zh-CN"/>
              </w:rPr>
              <w:t>0分</w:t>
            </w:r>
            <w:r>
              <w:rPr>
                <w:rFonts w:hint="eastAsia" w:hAnsi="宋体"/>
                <w:color w:val="auto"/>
                <w:szCs w:val="21"/>
                <w:highlight w:val="none"/>
              </w:rPr>
              <w:t>前</w:t>
            </w:r>
            <w:r>
              <w:rPr>
                <w:rFonts w:hint="eastAsia" w:ascii="宋体" w:hAnsi="宋体"/>
                <w:color w:val="auto"/>
                <w:szCs w:val="21"/>
                <w:highlight w:val="none"/>
              </w:rPr>
              <w:t>。</w:t>
            </w:r>
          </w:p>
          <w:p>
            <w:pPr>
              <w:spacing w:line="320" w:lineRule="exact"/>
              <w:rPr>
                <w:rFonts w:ascii="宋体" w:hAnsi="宋体"/>
                <w:color w:val="auto"/>
                <w:szCs w:val="21"/>
                <w:highlight w:val="none"/>
              </w:rPr>
            </w:pPr>
            <w:r>
              <w:rPr>
                <w:rFonts w:hint="eastAsia" w:ascii="宋体" w:hAnsi="宋体"/>
                <w:b/>
                <w:color w:val="auto"/>
                <w:szCs w:val="21"/>
                <w:highlight w:val="none"/>
              </w:rPr>
              <w:t>响应文件递交截止时间：</w:t>
            </w:r>
            <w:r>
              <w:rPr>
                <w:rFonts w:hint="eastAsia" w:hAnsi="宋体"/>
                <w:color w:val="auto"/>
                <w:szCs w:val="21"/>
                <w:highlight w:val="none"/>
                <w:lang w:eastAsia="zh-CN"/>
              </w:rPr>
              <w:t>2020年</w:t>
            </w:r>
            <w:r>
              <w:rPr>
                <w:rFonts w:hint="eastAsia" w:hAnsi="宋体"/>
                <w:color w:val="auto"/>
                <w:szCs w:val="21"/>
                <w:highlight w:val="none"/>
                <w:lang w:val="en-US" w:eastAsia="zh-CN"/>
              </w:rPr>
              <w:t>12</w:t>
            </w:r>
            <w:r>
              <w:rPr>
                <w:rFonts w:hint="eastAsia" w:hAnsi="宋体"/>
                <w:color w:val="auto"/>
                <w:szCs w:val="21"/>
                <w:highlight w:val="none"/>
                <w:lang w:eastAsia="zh-CN"/>
              </w:rPr>
              <w:t>月</w:t>
            </w:r>
            <w:r>
              <w:rPr>
                <w:rFonts w:hint="eastAsia" w:hAnsi="宋体"/>
                <w:color w:val="auto"/>
                <w:szCs w:val="21"/>
                <w:highlight w:val="none"/>
                <w:lang w:val="en-US" w:eastAsia="zh-CN"/>
              </w:rPr>
              <w:t>29</w:t>
            </w:r>
            <w:r>
              <w:rPr>
                <w:rFonts w:hint="eastAsia" w:hAnsi="宋体"/>
                <w:color w:val="auto"/>
                <w:szCs w:val="21"/>
                <w:highlight w:val="none"/>
                <w:lang w:eastAsia="zh-CN"/>
              </w:rPr>
              <w:t>日</w:t>
            </w:r>
            <w:r>
              <w:rPr>
                <w:rFonts w:hint="eastAsia" w:hAnsi="宋体"/>
                <w:color w:val="auto"/>
                <w:szCs w:val="21"/>
                <w:highlight w:val="none"/>
                <w:lang w:val="en-US" w:eastAsia="zh-CN"/>
              </w:rPr>
              <w:t>15</w:t>
            </w:r>
            <w:r>
              <w:rPr>
                <w:rFonts w:hint="eastAsia" w:hAnsi="宋体"/>
                <w:color w:val="auto"/>
                <w:szCs w:val="21"/>
                <w:highlight w:val="none"/>
                <w:lang w:eastAsia="zh-CN"/>
              </w:rPr>
              <w:t>点</w:t>
            </w:r>
            <w:r>
              <w:rPr>
                <w:rFonts w:hint="eastAsia" w:hAnsi="宋体"/>
                <w:color w:val="auto"/>
                <w:szCs w:val="21"/>
                <w:highlight w:val="none"/>
                <w:lang w:val="en-US" w:eastAsia="zh-CN"/>
              </w:rPr>
              <w:t>0</w:t>
            </w:r>
            <w:r>
              <w:rPr>
                <w:rFonts w:hint="eastAsia" w:hAnsi="宋体"/>
                <w:color w:val="auto"/>
                <w:szCs w:val="21"/>
                <w:highlight w:val="none"/>
                <w:lang w:eastAsia="zh-CN"/>
              </w:rPr>
              <w:t>0分</w:t>
            </w:r>
            <w:r>
              <w:rPr>
                <w:rFonts w:hint="eastAsia" w:hAnsi="宋体"/>
                <w:color w:val="auto"/>
                <w:szCs w:val="21"/>
                <w:highlight w:val="none"/>
              </w:rPr>
              <w:t>止</w:t>
            </w:r>
            <w:r>
              <w:rPr>
                <w:rFonts w:hint="eastAsia" w:ascii="宋体" w:hAnsi="宋体"/>
                <w:color w:val="auto"/>
                <w:szCs w:val="21"/>
                <w:highlight w:val="none"/>
              </w:rPr>
              <w:t>。</w:t>
            </w:r>
          </w:p>
          <w:p>
            <w:pPr>
              <w:spacing w:line="320" w:lineRule="exact"/>
              <w:rPr>
                <w:rFonts w:ascii="宋体" w:hAnsi="宋体"/>
                <w:szCs w:val="21"/>
              </w:rPr>
            </w:pPr>
            <w:r>
              <w:rPr>
                <w:rFonts w:hint="eastAsia" w:ascii="宋体" w:hAnsi="宋体"/>
                <w:szCs w:val="21"/>
                <w:lang w:eastAsia="zh-CN"/>
              </w:rPr>
              <w:t>竞标人</w:t>
            </w:r>
            <w:r>
              <w:rPr>
                <w:rFonts w:hint="eastAsia" w:ascii="宋体" w:hAnsi="宋体"/>
                <w:szCs w:val="21"/>
              </w:rPr>
              <w:t>应按竞争性</w:t>
            </w:r>
            <w:r>
              <w:rPr>
                <w:rFonts w:hint="eastAsia" w:ascii="宋体" w:hAnsi="宋体"/>
                <w:szCs w:val="21"/>
                <w:lang w:eastAsia="zh-CN"/>
              </w:rPr>
              <w:t>竞标</w:t>
            </w:r>
            <w:r>
              <w:rPr>
                <w:rFonts w:hint="eastAsia" w:ascii="宋体" w:hAnsi="宋体"/>
                <w:szCs w:val="21"/>
              </w:rPr>
              <w:t>文件规定的响应截止时间前递交响应文件。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37" w:type="dxa"/>
            <w:vAlign w:val="center"/>
          </w:tcPr>
          <w:p>
            <w:pPr>
              <w:spacing w:line="320" w:lineRule="exact"/>
              <w:jc w:val="center"/>
              <w:rPr>
                <w:rFonts w:ascii="宋体" w:hAnsi="宋体"/>
                <w:position w:val="-2"/>
                <w:szCs w:val="21"/>
              </w:rPr>
            </w:pPr>
            <w:r>
              <w:rPr>
                <w:rFonts w:hint="eastAsia" w:ascii="宋体" w:hAnsi="宋体"/>
                <w:position w:val="-2"/>
                <w:szCs w:val="21"/>
              </w:rPr>
              <w:t>13</w:t>
            </w:r>
          </w:p>
        </w:tc>
        <w:tc>
          <w:tcPr>
            <w:tcW w:w="2004" w:type="dxa"/>
            <w:vAlign w:val="center"/>
          </w:tcPr>
          <w:p>
            <w:pPr>
              <w:spacing w:line="320" w:lineRule="exact"/>
              <w:jc w:val="center"/>
              <w:rPr>
                <w:rFonts w:ascii="宋体" w:hAnsi="宋体"/>
                <w:position w:val="-2"/>
                <w:szCs w:val="21"/>
              </w:rPr>
            </w:pPr>
            <w:r>
              <w:rPr>
                <w:rFonts w:hint="eastAsia" w:ascii="宋体" w:hAnsi="宋体"/>
                <w:position w:val="-2"/>
                <w:szCs w:val="21"/>
              </w:rPr>
              <w:t>递交响应文件地点</w:t>
            </w:r>
          </w:p>
        </w:tc>
        <w:tc>
          <w:tcPr>
            <w:tcW w:w="7476" w:type="dxa"/>
            <w:vAlign w:val="center"/>
          </w:tcPr>
          <w:p>
            <w:pPr>
              <w:spacing w:line="320" w:lineRule="exact"/>
              <w:rPr>
                <w:rFonts w:ascii="宋体" w:hAnsi="宋体"/>
                <w:szCs w:val="21"/>
              </w:rPr>
            </w:pPr>
            <w:r>
              <w:rPr>
                <w:rFonts w:hint="eastAsia" w:ascii="宋体" w:hAnsi="宋体"/>
                <w:szCs w:val="21"/>
                <w:lang w:eastAsia="zh-CN"/>
              </w:rPr>
              <w:t>亿诚建设项目管理有限公司</w:t>
            </w:r>
            <w:r>
              <w:rPr>
                <w:rFonts w:hint="eastAsia" w:ascii="宋体" w:hAnsi="宋体"/>
                <w:szCs w:val="21"/>
              </w:rPr>
              <w:t>崇左分公司（崇左市江州区花山路与城南八路交汇处万沣大厦四楼4</w:t>
            </w:r>
            <w:r>
              <w:rPr>
                <w:rFonts w:hint="eastAsia" w:ascii="宋体" w:hAnsi="宋体"/>
                <w:szCs w:val="21"/>
                <w:lang w:val="en-US" w:eastAsia="zh-CN"/>
              </w:rPr>
              <w:t>12</w:t>
            </w:r>
            <w:r>
              <w:rPr>
                <w:rFonts w:hint="eastAsia" w:ascii="宋体" w:hAnsi="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pacing w:line="320" w:lineRule="exact"/>
              <w:jc w:val="center"/>
              <w:rPr>
                <w:rFonts w:ascii="宋体" w:hAnsi="宋体"/>
                <w:szCs w:val="21"/>
              </w:rPr>
            </w:pPr>
            <w:r>
              <w:rPr>
                <w:rFonts w:hint="eastAsia" w:ascii="宋体" w:hAnsi="宋体"/>
                <w:szCs w:val="21"/>
              </w:rPr>
              <w:t>14</w:t>
            </w:r>
          </w:p>
        </w:tc>
        <w:tc>
          <w:tcPr>
            <w:tcW w:w="2004" w:type="dxa"/>
            <w:vAlign w:val="center"/>
          </w:tcPr>
          <w:p>
            <w:pPr>
              <w:spacing w:line="320" w:lineRule="exact"/>
              <w:jc w:val="center"/>
              <w:rPr>
                <w:rFonts w:ascii="宋体" w:hAnsi="宋体"/>
                <w:szCs w:val="21"/>
              </w:rPr>
            </w:pPr>
            <w:r>
              <w:rPr>
                <w:rFonts w:hint="eastAsia" w:ascii="宋体" w:hAnsi="宋体"/>
                <w:szCs w:val="21"/>
                <w:lang w:eastAsia="zh-CN"/>
              </w:rPr>
              <w:t>竞标</w:t>
            </w:r>
            <w:r>
              <w:rPr>
                <w:rFonts w:hint="eastAsia" w:ascii="宋体" w:hAnsi="宋体"/>
                <w:szCs w:val="21"/>
              </w:rPr>
              <w:t>小组组成</w:t>
            </w:r>
          </w:p>
        </w:tc>
        <w:tc>
          <w:tcPr>
            <w:tcW w:w="7476" w:type="dxa"/>
            <w:vAlign w:val="center"/>
          </w:tcPr>
          <w:p>
            <w:pPr>
              <w:spacing w:line="320" w:lineRule="exact"/>
              <w:ind w:left="31" w:leftChars="15" w:firstLine="2"/>
              <w:rPr>
                <w:rFonts w:ascii="宋体" w:hAnsi="宋体"/>
                <w:szCs w:val="21"/>
              </w:rPr>
            </w:pPr>
            <w:r>
              <w:rPr>
                <w:rFonts w:hint="eastAsia" w:ascii="宋体" w:hAnsi="宋体"/>
                <w:szCs w:val="21"/>
                <w:lang w:eastAsia="zh-CN"/>
              </w:rPr>
              <w:t>竞标</w:t>
            </w:r>
            <w:r>
              <w:rPr>
                <w:rFonts w:hint="eastAsia" w:ascii="宋体" w:hAnsi="宋体"/>
                <w:szCs w:val="21"/>
              </w:rPr>
              <w:t>及评审工作由采购代理机构负责组织，具体</w:t>
            </w:r>
            <w:r>
              <w:rPr>
                <w:rFonts w:hint="eastAsia" w:ascii="宋体" w:hAnsi="宋体"/>
                <w:szCs w:val="21"/>
                <w:lang w:eastAsia="zh-CN"/>
              </w:rPr>
              <w:t>竞标</w:t>
            </w:r>
            <w:r>
              <w:rPr>
                <w:rFonts w:hint="eastAsia" w:ascii="宋体" w:hAnsi="宋体"/>
                <w:szCs w:val="21"/>
              </w:rPr>
              <w:t>、评审工作由依法组建的</w:t>
            </w:r>
            <w:r>
              <w:rPr>
                <w:rFonts w:hint="eastAsia" w:ascii="宋体" w:hAnsi="宋体"/>
                <w:szCs w:val="21"/>
                <w:lang w:eastAsia="zh-CN"/>
              </w:rPr>
              <w:t>竞标</w:t>
            </w:r>
            <w:r>
              <w:rPr>
                <w:rFonts w:hint="eastAsia" w:ascii="宋体" w:hAnsi="宋体"/>
                <w:szCs w:val="21"/>
              </w:rPr>
              <w:t>小组负责，</w:t>
            </w:r>
            <w:r>
              <w:rPr>
                <w:rFonts w:hint="eastAsia" w:ascii="宋体" w:hAnsi="宋体"/>
                <w:szCs w:val="21"/>
                <w:lang w:eastAsia="zh-CN"/>
              </w:rPr>
              <w:t>竞标</w:t>
            </w:r>
            <w:r>
              <w:rPr>
                <w:rFonts w:hint="eastAsia" w:ascii="宋体" w:hAnsi="宋体"/>
                <w:szCs w:val="21"/>
              </w:rPr>
              <w:t>小组构成：</w:t>
            </w:r>
            <w:r>
              <w:rPr>
                <w:rFonts w:hint="eastAsia" w:ascii="宋体" w:hAnsi="宋体"/>
                <w:szCs w:val="21"/>
                <w:lang w:eastAsia="zh-CN"/>
              </w:rPr>
              <w:t>竞标</w:t>
            </w:r>
            <w:r>
              <w:rPr>
                <w:rFonts w:hint="eastAsia" w:ascii="宋体" w:hAnsi="宋体"/>
                <w:szCs w:val="21"/>
              </w:rPr>
              <w:t>小组由采购人代表和评审专家共3人以上单数组成，其中评审专家人数不得少于</w:t>
            </w:r>
            <w:r>
              <w:rPr>
                <w:rFonts w:hint="eastAsia" w:ascii="宋体" w:hAnsi="宋体"/>
                <w:szCs w:val="21"/>
                <w:lang w:eastAsia="zh-CN"/>
              </w:rPr>
              <w:t>竞标</w:t>
            </w:r>
            <w:r>
              <w:rPr>
                <w:rFonts w:hint="eastAsia" w:ascii="宋体" w:hAnsi="宋体"/>
                <w:szCs w:val="21"/>
              </w:rPr>
              <w:t>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37" w:type="dxa"/>
            <w:vAlign w:val="center"/>
          </w:tcPr>
          <w:p>
            <w:pPr>
              <w:spacing w:line="320" w:lineRule="exact"/>
              <w:jc w:val="center"/>
              <w:rPr>
                <w:rFonts w:ascii="宋体" w:hAnsi="宋体"/>
                <w:szCs w:val="21"/>
              </w:rPr>
            </w:pPr>
            <w:r>
              <w:rPr>
                <w:rFonts w:hint="eastAsia" w:ascii="宋体" w:hAnsi="宋体"/>
                <w:szCs w:val="21"/>
              </w:rPr>
              <w:t>15</w:t>
            </w:r>
          </w:p>
        </w:tc>
        <w:tc>
          <w:tcPr>
            <w:tcW w:w="2004" w:type="dxa"/>
            <w:vAlign w:val="center"/>
          </w:tcPr>
          <w:p>
            <w:pPr>
              <w:spacing w:line="320" w:lineRule="exact"/>
              <w:jc w:val="center"/>
              <w:rPr>
                <w:rFonts w:ascii="宋体" w:hAnsi="宋体"/>
                <w:szCs w:val="21"/>
              </w:rPr>
            </w:pPr>
            <w:r>
              <w:rPr>
                <w:rFonts w:hint="eastAsia" w:ascii="宋体" w:hAnsi="宋体"/>
                <w:szCs w:val="21"/>
                <w:lang w:eastAsia="zh-CN"/>
              </w:rPr>
              <w:t>竞标</w:t>
            </w:r>
            <w:r>
              <w:rPr>
                <w:rFonts w:hint="eastAsia" w:ascii="宋体" w:hAnsi="宋体"/>
                <w:szCs w:val="21"/>
              </w:rPr>
              <w:t>时间、地点、人员</w:t>
            </w:r>
          </w:p>
        </w:tc>
        <w:tc>
          <w:tcPr>
            <w:tcW w:w="7476" w:type="dxa"/>
          </w:tcPr>
          <w:p>
            <w:pPr>
              <w:spacing w:line="320" w:lineRule="exact"/>
              <w:rPr>
                <w:rFonts w:ascii="宋体" w:hAnsi="宋体"/>
                <w:szCs w:val="21"/>
              </w:rPr>
            </w:pPr>
            <w:r>
              <w:rPr>
                <w:rFonts w:hint="eastAsia" w:ascii="宋体" w:hAnsi="宋体"/>
                <w:szCs w:val="21"/>
                <w:lang w:eastAsia="zh-CN"/>
              </w:rPr>
              <w:t>竞标</w:t>
            </w:r>
            <w:r>
              <w:rPr>
                <w:rFonts w:hint="eastAsia" w:ascii="宋体" w:hAnsi="宋体"/>
                <w:szCs w:val="21"/>
              </w:rPr>
              <w:t>时间：响应文件递交截止时间后。</w:t>
            </w:r>
          </w:p>
          <w:p>
            <w:pPr>
              <w:spacing w:line="320" w:lineRule="exact"/>
              <w:rPr>
                <w:rFonts w:ascii="宋体" w:hAnsi="宋体"/>
                <w:szCs w:val="21"/>
              </w:rPr>
            </w:pPr>
            <w:r>
              <w:rPr>
                <w:rFonts w:hint="eastAsia" w:ascii="宋体" w:hAnsi="宋体"/>
                <w:szCs w:val="21"/>
                <w:lang w:eastAsia="zh-CN"/>
              </w:rPr>
              <w:t>竞标</w:t>
            </w:r>
            <w:r>
              <w:rPr>
                <w:rFonts w:hint="eastAsia" w:ascii="宋体" w:hAnsi="宋体"/>
                <w:szCs w:val="21"/>
              </w:rPr>
              <w:t>地点：</w:t>
            </w:r>
            <w:r>
              <w:rPr>
                <w:rFonts w:hint="eastAsia" w:ascii="宋体" w:hAnsi="宋体"/>
                <w:szCs w:val="21"/>
                <w:lang w:eastAsia="zh-CN"/>
              </w:rPr>
              <w:t>亿诚建设项目管理有限公司</w:t>
            </w:r>
            <w:r>
              <w:rPr>
                <w:rFonts w:hint="eastAsia" w:ascii="宋体" w:hAnsi="宋体"/>
                <w:szCs w:val="21"/>
              </w:rPr>
              <w:t>崇左分公司（崇左市江州区花山路与城南八路交汇处万沣大厦四楼4</w:t>
            </w:r>
            <w:r>
              <w:rPr>
                <w:rFonts w:hint="eastAsia" w:ascii="宋体" w:hAnsi="宋体"/>
                <w:szCs w:val="21"/>
                <w:lang w:val="en-US" w:eastAsia="zh-CN"/>
              </w:rPr>
              <w:t>12</w:t>
            </w:r>
            <w:r>
              <w:rPr>
                <w:rFonts w:hint="eastAsia" w:ascii="宋体" w:hAnsi="宋体"/>
                <w:szCs w:val="21"/>
              </w:rPr>
              <w:t>室）。</w:t>
            </w:r>
          </w:p>
          <w:p>
            <w:pPr>
              <w:spacing w:line="320" w:lineRule="exact"/>
              <w:jc w:val="left"/>
              <w:rPr>
                <w:rFonts w:ascii="宋体" w:hAnsi="宋体"/>
                <w:szCs w:val="21"/>
              </w:rPr>
            </w:pPr>
            <w:r>
              <w:rPr>
                <w:rFonts w:hint="eastAsia" w:ascii="宋体" w:hAnsi="宋体"/>
                <w:szCs w:val="21"/>
                <w:lang w:eastAsia="zh-CN"/>
              </w:rPr>
              <w:t>竞标</w:t>
            </w:r>
            <w:r>
              <w:rPr>
                <w:rFonts w:hint="eastAsia" w:ascii="宋体" w:hAnsi="宋体"/>
                <w:szCs w:val="21"/>
              </w:rPr>
              <w:t>参加人员：</w:t>
            </w:r>
            <w:r>
              <w:rPr>
                <w:rFonts w:hint="eastAsia" w:ascii="宋体" w:hAnsi="宋体"/>
                <w:szCs w:val="21"/>
                <w:lang w:eastAsia="zh-CN"/>
              </w:rPr>
              <w:t>竞标人</w:t>
            </w:r>
            <w:r>
              <w:rPr>
                <w:rFonts w:hint="eastAsia" w:ascii="宋体" w:hAnsi="宋体"/>
                <w:szCs w:val="21"/>
              </w:rPr>
              <w:t>法定代表人或委托代理人持有效身份证原件参加</w:t>
            </w:r>
            <w:r>
              <w:rPr>
                <w:rFonts w:hint="eastAsia" w:ascii="宋体" w:hAnsi="宋体"/>
                <w:szCs w:val="21"/>
                <w:lang w:eastAsia="zh-CN"/>
              </w:rPr>
              <w:t>竞标</w:t>
            </w:r>
            <w:r>
              <w:rPr>
                <w:rFonts w:hint="eastAsia" w:ascii="宋体" w:hAnsi="宋体"/>
                <w:szCs w:val="21"/>
              </w:rPr>
              <w:t>。请</w:t>
            </w:r>
            <w:r>
              <w:rPr>
                <w:rFonts w:hint="eastAsia" w:ascii="宋体" w:hAnsi="宋体"/>
                <w:szCs w:val="21"/>
                <w:lang w:eastAsia="zh-CN"/>
              </w:rPr>
              <w:t>竞标人</w:t>
            </w:r>
            <w:r>
              <w:rPr>
                <w:rFonts w:hint="eastAsia" w:ascii="宋体" w:hAnsi="宋体"/>
                <w:szCs w:val="21"/>
              </w:rPr>
              <w:t>按时到达指定地点等候当面</w:t>
            </w:r>
            <w:r>
              <w:rPr>
                <w:rFonts w:hint="eastAsia" w:ascii="宋体" w:hAnsi="宋体"/>
                <w:szCs w:val="21"/>
                <w:lang w:eastAsia="zh-CN"/>
              </w:rPr>
              <w:t>竞标</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7" w:type="dxa"/>
            <w:vAlign w:val="center"/>
          </w:tcPr>
          <w:p>
            <w:pPr>
              <w:spacing w:line="320" w:lineRule="exact"/>
              <w:jc w:val="center"/>
              <w:rPr>
                <w:rFonts w:ascii="宋体" w:hAnsi="宋体"/>
                <w:szCs w:val="21"/>
              </w:rPr>
            </w:pPr>
            <w:r>
              <w:rPr>
                <w:rFonts w:hint="eastAsia" w:ascii="宋体" w:hAnsi="宋体" w:cs="Arial"/>
                <w:kern w:val="0"/>
                <w:szCs w:val="21"/>
              </w:rPr>
              <w:t>16</w:t>
            </w:r>
          </w:p>
        </w:tc>
        <w:tc>
          <w:tcPr>
            <w:tcW w:w="2004" w:type="dxa"/>
            <w:vAlign w:val="center"/>
          </w:tcPr>
          <w:p>
            <w:pPr>
              <w:pStyle w:val="12"/>
              <w:spacing w:line="320" w:lineRule="exact"/>
              <w:ind w:left="29" w:leftChars="14"/>
              <w:rPr>
                <w:rFonts w:hAnsi="宋体" w:cs="Arial"/>
                <w:kern w:val="0"/>
                <w:szCs w:val="21"/>
              </w:rPr>
            </w:pPr>
            <w:r>
              <w:rPr>
                <w:rFonts w:hint="eastAsia" w:hAnsi="宋体" w:cs="Arial"/>
                <w:kern w:val="0"/>
                <w:szCs w:val="21"/>
              </w:rPr>
              <w:t>评标办法</w:t>
            </w:r>
          </w:p>
        </w:tc>
        <w:tc>
          <w:tcPr>
            <w:tcW w:w="7476" w:type="dxa"/>
            <w:vAlign w:val="center"/>
          </w:tcPr>
          <w:p>
            <w:pPr>
              <w:tabs>
                <w:tab w:val="left" w:pos="1140"/>
              </w:tabs>
              <w:spacing w:line="320" w:lineRule="exact"/>
              <w:rPr>
                <w:rFonts w:ascii="宋体" w:hAnsi="宋体"/>
                <w:szCs w:val="21"/>
              </w:rPr>
            </w:pPr>
            <w:r>
              <w:rPr>
                <w:rFonts w:hint="eastAsia" w:ascii="宋体" w:hAnsi="宋体"/>
                <w:szCs w:val="21"/>
              </w:rPr>
              <w:t>综合评分法，具体详见第四章评标办法。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7" w:type="dxa"/>
            <w:vAlign w:val="center"/>
          </w:tcPr>
          <w:p>
            <w:pPr>
              <w:spacing w:line="320" w:lineRule="exact"/>
              <w:jc w:val="center"/>
              <w:rPr>
                <w:rFonts w:ascii="宋体" w:hAnsi="宋体"/>
                <w:szCs w:val="21"/>
              </w:rPr>
            </w:pPr>
            <w:r>
              <w:rPr>
                <w:rFonts w:hint="eastAsia" w:ascii="宋体" w:hAnsi="宋体"/>
                <w:szCs w:val="21"/>
              </w:rPr>
              <w:t>17</w:t>
            </w:r>
          </w:p>
        </w:tc>
        <w:tc>
          <w:tcPr>
            <w:tcW w:w="2004" w:type="dxa"/>
            <w:vAlign w:val="center"/>
          </w:tcPr>
          <w:p>
            <w:pPr>
              <w:spacing w:line="320" w:lineRule="exact"/>
              <w:jc w:val="center"/>
              <w:rPr>
                <w:rFonts w:ascii="宋体" w:hAnsi="宋体"/>
                <w:szCs w:val="21"/>
              </w:rPr>
            </w:pPr>
            <w:r>
              <w:rPr>
                <w:rFonts w:hint="eastAsia" w:ascii="宋体" w:hAnsi="宋体"/>
                <w:szCs w:val="21"/>
              </w:rPr>
              <w:t>成交公告</w:t>
            </w:r>
          </w:p>
          <w:p>
            <w:pPr>
              <w:spacing w:line="320" w:lineRule="exact"/>
              <w:jc w:val="center"/>
              <w:rPr>
                <w:rFonts w:ascii="宋体" w:hAnsi="宋体"/>
                <w:szCs w:val="21"/>
              </w:rPr>
            </w:pPr>
            <w:r>
              <w:rPr>
                <w:rFonts w:hint="eastAsia" w:ascii="宋体" w:hAnsi="宋体"/>
                <w:szCs w:val="21"/>
              </w:rPr>
              <w:t>及成交通知书</w:t>
            </w:r>
          </w:p>
        </w:tc>
        <w:tc>
          <w:tcPr>
            <w:tcW w:w="7476" w:type="dxa"/>
          </w:tcPr>
          <w:p>
            <w:pPr>
              <w:spacing w:line="320" w:lineRule="exact"/>
              <w:rPr>
                <w:rFonts w:ascii="宋体" w:hAnsi="宋体"/>
              </w:rPr>
            </w:pPr>
            <w:r>
              <w:rPr>
                <w:rFonts w:hint="eastAsia" w:ascii="宋体" w:hAnsi="宋体"/>
              </w:rPr>
              <w:t>1、采购代理机构于</w:t>
            </w:r>
            <w:r>
              <w:rPr>
                <w:rFonts w:hint="eastAsia" w:ascii="宋体" w:hAnsi="宋体"/>
                <w:lang w:eastAsia="zh-CN"/>
              </w:rPr>
              <w:t>竞标</w:t>
            </w:r>
            <w:r>
              <w:rPr>
                <w:rFonts w:hint="eastAsia" w:ascii="宋体" w:hAnsi="宋体"/>
              </w:rPr>
              <w:t>结束后两个工作日内将评审报告送交采购人，采购人应当自收到评审报告两个工作日内在评审报告推荐的成交候选人顺序确定成交</w:t>
            </w:r>
            <w:r>
              <w:rPr>
                <w:rFonts w:hint="eastAsia" w:ascii="宋体" w:hAnsi="宋体"/>
                <w:lang w:eastAsia="zh-CN"/>
              </w:rPr>
              <w:t>竞标人</w:t>
            </w:r>
            <w:r>
              <w:rPr>
                <w:rFonts w:hint="eastAsia" w:ascii="宋体" w:hAnsi="宋体"/>
              </w:rPr>
              <w:t>，采购代理机构在成交</w:t>
            </w:r>
            <w:r>
              <w:rPr>
                <w:rFonts w:hint="eastAsia" w:ascii="宋体" w:hAnsi="宋体"/>
                <w:lang w:eastAsia="zh-CN"/>
              </w:rPr>
              <w:t>竞标人</w:t>
            </w:r>
            <w:r>
              <w:rPr>
                <w:rFonts w:hint="eastAsia" w:ascii="宋体" w:hAnsi="宋体"/>
              </w:rPr>
              <w:t>确定之日起两个工作日内发出成交通知书，并在指定媒体上公告成交信息。</w:t>
            </w:r>
          </w:p>
          <w:p>
            <w:pPr>
              <w:spacing w:line="320" w:lineRule="exact"/>
              <w:rPr>
                <w:rFonts w:ascii="宋体" w:hAnsi="宋体"/>
                <w:szCs w:val="21"/>
              </w:rPr>
            </w:pPr>
            <w:r>
              <w:rPr>
                <w:rFonts w:hint="eastAsia" w:ascii="宋体" w:hAnsi="宋体"/>
              </w:rPr>
              <w:t>2、在发布成交公告的同时，采购代理机构向成交</w:t>
            </w:r>
            <w:r>
              <w:rPr>
                <w:rFonts w:hint="eastAsia" w:ascii="宋体" w:hAnsi="宋体"/>
                <w:lang w:eastAsia="zh-CN"/>
              </w:rPr>
              <w:t>竞标人</w:t>
            </w:r>
            <w:r>
              <w:rPr>
                <w:rFonts w:hint="eastAsia" w:ascii="宋体" w:hAnsi="宋体"/>
              </w:rPr>
              <w:t>发出成交通知书。如成交</w:t>
            </w:r>
            <w:r>
              <w:rPr>
                <w:rFonts w:hint="eastAsia" w:ascii="宋体" w:hAnsi="宋体"/>
                <w:lang w:eastAsia="zh-CN"/>
              </w:rPr>
              <w:t>竞标人</w:t>
            </w:r>
            <w:r>
              <w:rPr>
                <w:rFonts w:hint="eastAsia" w:ascii="宋体" w:hAnsi="宋体"/>
              </w:rPr>
              <w:t>自接到通知之日起七个工作日内，不办理成交通知书领取手续的，按违约处理。采购单位将取消其成交资格，成交</w:t>
            </w:r>
            <w:r>
              <w:rPr>
                <w:rFonts w:hint="eastAsia" w:ascii="宋体" w:hAnsi="宋体"/>
                <w:lang w:eastAsia="zh-CN"/>
              </w:rPr>
              <w:t>竞标人</w:t>
            </w:r>
            <w:r>
              <w:rPr>
                <w:rFonts w:hint="eastAsia" w:ascii="宋体" w:hAnsi="宋体"/>
              </w:rPr>
              <w:t>的全部</w:t>
            </w:r>
            <w:r>
              <w:rPr>
                <w:rFonts w:hint="eastAsia" w:ascii="宋体" w:hAnsi="宋体"/>
                <w:lang w:eastAsia="zh-CN"/>
              </w:rPr>
              <w:t>竞标</w:t>
            </w:r>
            <w:r>
              <w:rPr>
                <w:rFonts w:hint="eastAsia" w:ascii="宋体" w:hAnsi="宋体"/>
              </w:rPr>
              <w:t>保证金（如有）不予退还，从</w:t>
            </w:r>
            <w:r>
              <w:rPr>
                <w:rFonts w:hint="eastAsia" w:ascii="宋体" w:hAnsi="宋体"/>
                <w:lang w:eastAsia="zh-CN"/>
              </w:rPr>
              <w:t>竞标</w:t>
            </w:r>
            <w:r>
              <w:rPr>
                <w:rFonts w:hint="eastAsia" w:ascii="宋体" w:hAnsi="宋体"/>
              </w:rPr>
              <w:t>小组推荐的成交候选</w:t>
            </w:r>
            <w:r>
              <w:rPr>
                <w:rFonts w:hint="eastAsia" w:ascii="宋体" w:hAnsi="宋体"/>
                <w:lang w:eastAsia="zh-CN"/>
              </w:rPr>
              <w:t>竞标人</w:t>
            </w:r>
            <w:r>
              <w:rPr>
                <w:rFonts w:hint="eastAsia" w:ascii="宋体" w:hAnsi="宋体"/>
              </w:rPr>
              <w:t>中按顺序重新确定成交</w:t>
            </w:r>
            <w:r>
              <w:rPr>
                <w:rFonts w:hint="eastAsia" w:ascii="宋体" w:hAnsi="宋体"/>
                <w:lang w:eastAsia="zh-CN"/>
              </w:rPr>
              <w:t>竞标人</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18</w:t>
            </w:r>
          </w:p>
        </w:tc>
        <w:tc>
          <w:tcPr>
            <w:tcW w:w="2004" w:type="dxa"/>
            <w:vAlign w:val="center"/>
          </w:tcPr>
          <w:p>
            <w:pPr>
              <w:spacing w:line="320" w:lineRule="exact"/>
              <w:jc w:val="center"/>
              <w:rPr>
                <w:rFonts w:ascii="宋体" w:hAnsi="宋体"/>
                <w:szCs w:val="21"/>
              </w:rPr>
            </w:pPr>
            <w:r>
              <w:rPr>
                <w:rFonts w:hint="eastAsia" w:ascii="宋体" w:hAnsi="宋体"/>
                <w:szCs w:val="21"/>
              </w:rPr>
              <w:t>签订合同时间</w:t>
            </w:r>
          </w:p>
        </w:tc>
        <w:tc>
          <w:tcPr>
            <w:tcW w:w="7476" w:type="dxa"/>
          </w:tcPr>
          <w:p>
            <w:pPr>
              <w:spacing w:line="320" w:lineRule="exact"/>
              <w:rPr>
                <w:rFonts w:ascii="宋体" w:hAnsi="宋体"/>
                <w:szCs w:val="21"/>
              </w:rPr>
            </w:pPr>
            <w:r>
              <w:rPr>
                <w:rFonts w:hint="eastAsia" w:ascii="宋体" w:hAnsi="宋体"/>
              </w:rPr>
              <w:t>成交通知书发出之日起十五日内。</w:t>
            </w:r>
            <w:r>
              <w:rPr>
                <w:rFonts w:hint="eastAsia" w:ascii="宋体" w:hAnsi="宋体"/>
                <w:szCs w:val="21"/>
              </w:rPr>
              <w:t>成交</w:t>
            </w:r>
            <w:r>
              <w:rPr>
                <w:rFonts w:hint="eastAsia" w:ascii="宋体" w:hAnsi="宋体"/>
                <w:szCs w:val="21"/>
                <w:lang w:eastAsia="zh-CN"/>
              </w:rPr>
              <w:t>竞标人</w:t>
            </w:r>
            <w:r>
              <w:rPr>
                <w:rFonts w:hint="eastAsia" w:ascii="宋体" w:hAnsi="宋体"/>
                <w:szCs w:val="21"/>
              </w:rPr>
              <w:t>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19</w:t>
            </w:r>
          </w:p>
        </w:tc>
        <w:tc>
          <w:tcPr>
            <w:tcW w:w="2004" w:type="dxa"/>
            <w:vAlign w:val="center"/>
          </w:tcPr>
          <w:p>
            <w:pPr>
              <w:spacing w:line="320" w:lineRule="exact"/>
              <w:jc w:val="center"/>
              <w:rPr>
                <w:rFonts w:ascii="宋体" w:hAnsi="宋体"/>
                <w:szCs w:val="21"/>
              </w:rPr>
            </w:pPr>
            <w:r>
              <w:rPr>
                <w:rFonts w:hint="eastAsia" w:ascii="宋体" w:hAnsi="宋体"/>
                <w:szCs w:val="21"/>
              </w:rPr>
              <w:t>合同及验收证明存档</w:t>
            </w:r>
          </w:p>
        </w:tc>
        <w:tc>
          <w:tcPr>
            <w:tcW w:w="7476" w:type="dxa"/>
            <w:vAlign w:val="center"/>
          </w:tcPr>
          <w:p>
            <w:pPr>
              <w:spacing w:line="320" w:lineRule="exact"/>
              <w:rPr>
                <w:rFonts w:ascii="宋体" w:hAnsi="宋体"/>
                <w:szCs w:val="21"/>
              </w:rPr>
            </w:pPr>
            <w:r>
              <w:rPr>
                <w:rFonts w:hint="eastAsia" w:ascii="宋体" w:hAnsi="宋体"/>
              </w:rPr>
              <w:t>合同及验收证明存档：政府采购合同双方自签订之日起二个工作日内将合同原件一份及验收合格后将验收证明副本一份送交采购代理机构存档。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20</w:t>
            </w:r>
          </w:p>
        </w:tc>
        <w:tc>
          <w:tcPr>
            <w:tcW w:w="2004" w:type="dxa"/>
            <w:vAlign w:val="center"/>
          </w:tcPr>
          <w:p>
            <w:pPr>
              <w:spacing w:line="320" w:lineRule="exact"/>
              <w:jc w:val="center"/>
              <w:rPr>
                <w:rFonts w:ascii="宋体" w:hAnsi="宋体"/>
                <w:szCs w:val="21"/>
              </w:rPr>
            </w:pPr>
            <w:r>
              <w:rPr>
                <w:rFonts w:hint="eastAsia" w:ascii="宋体" w:hAnsi="宋体"/>
                <w:szCs w:val="21"/>
              </w:rPr>
              <w:t>采购代理服务费及相关费用</w:t>
            </w:r>
          </w:p>
        </w:tc>
        <w:tc>
          <w:tcPr>
            <w:tcW w:w="7476" w:type="dxa"/>
          </w:tcPr>
          <w:p>
            <w:pPr>
              <w:snapToGrid w:val="0"/>
              <w:spacing w:line="320" w:lineRule="exact"/>
              <w:rPr>
                <w:rFonts w:ascii="宋体" w:hAnsi="宋体"/>
                <w:szCs w:val="21"/>
              </w:rPr>
            </w:pPr>
            <w:r>
              <w:rPr>
                <w:rFonts w:hint="eastAsia" w:ascii="宋体" w:hAnsi="宋体"/>
                <w:szCs w:val="21"/>
              </w:rPr>
              <w:t>1、不论</w:t>
            </w:r>
            <w:r>
              <w:rPr>
                <w:rFonts w:hint="eastAsia" w:ascii="宋体" w:hAnsi="宋体"/>
                <w:szCs w:val="21"/>
                <w:lang w:eastAsia="zh-CN"/>
              </w:rPr>
              <w:t>竞标</w:t>
            </w:r>
            <w:r>
              <w:rPr>
                <w:rFonts w:hint="eastAsia" w:ascii="宋体" w:hAnsi="宋体"/>
                <w:szCs w:val="21"/>
              </w:rPr>
              <w:t>结果如何，</w:t>
            </w:r>
            <w:r>
              <w:rPr>
                <w:rFonts w:hint="eastAsia" w:ascii="宋体" w:hAnsi="宋体"/>
                <w:szCs w:val="21"/>
                <w:lang w:eastAsia="zh-CN"/>
              </w:rPr>
              <w:t>竞标人</w:t>
            </w:r>
            <w:r>
              <w:rPr>
                <w:rFonts w:hint="eastAsia" w:ascii="宋体" w:hAnsi="宋体"/>
                <w:szCs w:val="21"/>
              </w:rPr>
              <w:t>均应自行承担所有与</w:t>
            </w:r>
            <w:r>
              <w:rPr>
                <w:rFonts w:hint="eastAsia" w:ascii="宋体" w:hAnsi="宋体"/>
                <w:szCs w:val="21"/>
                <w:lang w:eastAsia="zh-CN"/>
              </w:rPr>
              <w:t>竞标</w:t>
            </w:r>
            <w:r>
              <w:rPr>
                <w:rFonts w:hint="eastAsia" w:ascii="宋体" w:hAnsi="宋体"/>
                <w:szCs w:val="21"/>
              </w:rPr>
              <w:t>有关的全部费用；</w:t>
            </w:r>
          </w:p>
          <w:p>
            <w:pPr>
              <w:snapToGrid w:val="0"/>
              <w:spacing w:line="320" w:lineRule="exact"/>
              <w:rPr>
                <w:rFonts w:ascii="宋体" w:hAnsi="宋体"/>
              </w:rPr>
            </w:pPr>
            <w:r>
              <w:rPr>
                <w:rFonts w:hint="eastAsia" w:ascii="宋体" w:hAnsi="宋体"/>
                <w:szCs w:val="21"/>
              </w:rPr>
              <w:t>2、本项目代理服务费：本项目委托代理服务费按计价格[2002]1980号文件规定向成交人收取。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21</w:t>
            </w:r>
          </w:p>
        </w:tc>
        <w:tc>
          <w:tcPr>
            <w:tcW w:w="2004" w:type="dxa"/>
            <w:vAlign w:val="center"/>
          </w:tcPr>
          <w:p>
            <w:pPr>
              <w:spacing w:line="320" w:lineRule="exact"/>
              <w:jc w:val="center"/>
              <w:rPr>
                <w:rFonts w:ascii="宋体" w:hAnsi="宋体"/>
                <w:szCs w:val="21"/>
              </w:rPr>
            </w:pPr>
            <w:r>
              <w:rPr>
                <w:rFonts w:hint="eastAsia"/>
              </w:rPr>
              <w:t>履约保证金</w:t>
            </w:r>
          </w:p>
        </w:tc>
        <w:tc>
          <w:tcPr>
            <w:tcW w:w="7476" w:type="dxa"/>
            <w:vAlign w:val="center"/>
          </w:tcPr>
          <w:p>
            <w:pPr>
              <w:snapToGrid w:val="0"/>
              <w:spacing w:line="320" w:lineRule="exact"/>
              <w:rPr>
                <w:rFonts w:ascii="宋体" w:hAnsi="宋体"/>
                <w:szCs w:val="21"/>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7" w:type="dxa"/>
            <w:vAlign w:val="center"/>
          </w:tcPr>
          <w:p>
            <w:pPr>
              <w:spacing w:line="320" w:lineRule="exact"/>
              <w:jc w:val="center"/>
              <w:rPr>
                <w:rFonts w:ascii="宋体" w:hAnsi="宋体"/>
                <w:szCs w:val="21"/>
              </w:rPr>
            </w:pPr>
            <w:r>
              <w:rPr>
                <w:rFonts w:hint="eastAsia" w:ascii="宋体" w:hAnsi="宋体"/>
                <w:szCs w:val="21"/>
              </w:rPr>
              <w:t>22</w:t>
            </w:r>
          </w:p>
        </w:tc>
        <w:tc>
          <w:tcPr>
            <w:tcW w:w="2004" w:type="dxa"/>
            <w:vAlign w:val="center"/>
          </w:tcPr>
          <w:p>
            <w:pPr>
              <w:spacing w:line="320" w:lineRule="exact"/>
              <w:jc w:val="center"/>
              <w:rPr>
                <w:rFonts w:ascii="宋体" w:hAnsi="宋体"/>
                <w:szCs w:val="21"/>
              </w:rPr>
            </w:pPr>
            <w:r>
              <w:rPr>
                <w:rFonts w:hint="eastAsia" w:ascii="宋体" w:hAnsi="宋体"/>
                <w:szCs w:val="21"/>
              </w:rPr>
              <w:t>解释权</w:t>
            </w:r>
          </w:p>
        </w:tc>
        <w:tc>
          <w:tcPr>
            <w:tcW w:w="7476" w:type="dxa"/>
          </w:tcPr>
          <w:p>
            <w:pPr>
              <w:spacing w:line="320" w:lineRule="exact"/>
              <w:rPr>
                <w:rFonts w:ascii="宋体" w:hAnsi="宋体"/>
              </w:rPr>
            </w:pPr>
            <w:r>
              <w:rPr>
                <w:rFonts w:hint="eastAsia" w:ascii="宋体" w:hAnsi="宋体"/>
              </w:rPr>
              <w:t>本竞争性</w:t>
            </w:r>
            <w:r>
              <w:rPr>
                <w:rFonts w:hint="eastAsia" w:ascii="宋体" w:hAnsi="宋体"/>
                <w:lang w:eastAsia="zh-CN"/>
              </w:rPr>
              <w:t>竞标</w:t>
            </w:r>
            <w:r>
              <w:rPr>
                <w:rFonts w:hint="eastAsia" w:ascii="宋体" w:hAnsi="宋体"/>
              </w:rPr>
              <w:t>文件是根据《中华人民共和国政府采购法》、《中华人民共和国政府采购法实施条例》、《政府采购竞争性</w:t>
            </w:r>
            <w:r>
              <w:rPr>
                <w:rFonts w:hint="eastAsia" w:ascii="宋体" w:hAnsi="宋体"/>
                <w:lang w:eastAsia="zh-CN"/>
              </w:rPr>
              <w:t>竞标</w:t>
            </w:r>
            <w:r>
              <w:rPr>
                <w:rFonts w:hint="eastAsia" w:ascii="宋体" w:hAnsi="宋体"/>
              </w:rPr>
              <w:t>采购方式管理暂行办法》和政府采购管理有关规定编制，本竞争性</w:t>
            </w:r>
            <w:r>
              <w:rPr>
                <w:rFonts w:hint="eastAsia" w:ascii="宋体" w:hAnsi="宋体"/>
                <w:lang w:eastAsia="zh-CN"/>
              </w:rPr>
              <w:t>竞标</w:t>
            </w:r>
            <w:r>
              <w:rPr>
                <w:rFonts w:hint="eastAsia" w:ascii="宋体" w:hAnsi="宋体"/>
              </w:rPr>
              <w:t>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7" w:type="dxa"/>
            <w:vAlign w:val="center"/>
          </w:tcPr>
          <w:p>
            <w:pPr>
              <w:spacing w:line="320" w:lineRule="exact"/>
              <w:jc w:val="center"/>
              <w:rPr>
                <w:rFonts w:ascii="宋体" w:hAnsi="宋体"/>
                <w:szCs w:val="21"/>
              </w:rPr>
            </w:pPr>
            <w:r>
              <w:rPr>
                <w:rFonts w:hint="eastAsia" w:ascii="宋体" w:hAnsi="宋体"/>
                <w:szCs w:val="21"/>
              </w:rPr>
              <w:t>23</w:t>
            </w:r>
          </w:p>
        </w:tc>
        <w:tc>
          <w:tcPr>
            <w:tcW w:w="2004" w:type="dxa"/>
            <w:vAlign w:val="center"/>
          </w:tcPr>
          <w:p>
            <w:pPr>
              <w:spacing w:line="320" w:lineRule="exact"/>
              <w:jc w:val="center"/>
              <w:rPr>
                <w:rFonts w:ascii="宋体" w:hAnsi="宋体"/>
                <w:szCs w:val="21"/>
              </w:rPr>
            </w:pPr>
            <w:r>
              <w:rPr>
                <w:rFonts w:hint="eastAsia" w:ascii="宋体" w:hAnsi="宋体"/>
                <w:szCs w:val="21"/>
              </w:rPr>
              <w:t>监督管理机构</w:t>
            </w:r>
          </w:p>
        </w:tc>
        <w:tc>
          <w:tcPr>
            <w:tcW w:w="7476" w:type="dxa"/>
            <w:vAlign w:val="center"/>
          </w:tcPr>
          <w:p>
            <w:pPr>
              <w:spacing w:line="320" w:lineRule="exact"/>
              <w:rPr>
                <w:rFonts w:ascii="宋体" w:hAnsi="宋体"/>
              </w:rPr>
            </w:pPr>
            <w:r>
              <w:rPr>
                <w:rFonts w:hint="eastAsia" w:ascii="宋体" w:hAnsi="宋体"/>
              </w:rPr>
              <w:t>崇左市江州区财政局采购监督管理股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37" w:type="dxa"/>
            <w:vAlign w:val="center"/>
          </w:tcPr>
          <w:p>
            <w:pPr>
              <w:spacing w:line="320" w:lineRule="exact"/>
              <w:jc w:val="center"/>
              <w:rPr>
                <w:rFonts w:ascii="宋体" w:hAnsi="宋体"/>
                <w:szCs w:val="21"/>
              </w:rPr>
            </w:pPr>
            <w:r>
              <w:rPr>
                <w:rFonts w:hint="eastAsia" w:ascii="宋体" w:hAnsi="宋体"/>
                <w:szCs w:val="21"/>
              </w:rPr>
              <w:t>24</w:t>
            </w:r>
          </w:p>
        </w:tc>
        <w:tc>
          <w:tcPr>
            <w:tcW w:w="2004" w:type="dxa"/>
            <w:vAlign w:val="center"/>
          </w:tcPr>
          <w:p>
            <w:pPr>
              <w:spacing w:line="360" w:lineRule="exact"/>
              <w:jc w:val="center"/>
              <w:rPr>
                <w:rFonts w:ascii="宋体" w:hAnsi="Courier New"/>
                <w:szCs w:val="20"/>
              </w:rPr>
            </w:pPr>
            <w:r>
              <w:rPr>
                <w:rFonts w:hint="eastAsia" w:ascii="宋体" w:hAnsi="Courier New"/>
                <w:szCs w:val="20"/>
              </w:rPr>
              <w:t>采购预算</w:t>
            </w:r>
          </w:p>
        </w:tc>
        <w:tc>
          <w:tcPr>
            <w:tcW w:w="7476" w:type="dxa"/>
            <w:vAlign w:val="center"/>
          </w:tcPr>
          <w:p>
            <w:pPr>
              <w:pStyle w:val="12"/>
              <w:spacing w:line="300" w:lineRule="exact"/>
              <w:ind w:right="15"/>
              <w:rPr>
                <w:rFonts w:hAnsi="宋体"/>
                <w:szCs w:val="21"/>
              </w:rPr>
            </w:pPr>
            <w:r>
              <w:rPr>
                <w:rFonts w:hint="eastAsia" w:hAnsi="宋体"/>
                <w:color w:val="auto"/>
                <w:szCs w:val="21"/>
              </w:rPr>
              <w:t>政府采购</w:t>
            </w:r>
            <w:r>
              <w:rPr>
                <w:rFonts w:hint="eastAsia" w:hAnsi="宋体" w:eastAsia="Times New Roman"/>
                <w:color w:val="auto"/>
                <w:szCs w:val="21"/>
              </w:rPr>
              <w:t>预算</w:t>
            </w:r>
            <w:r>
              <w:rPr>
                <w:rFonts w:hint="eastAsia" w:hAnsi="宋体"/>
                <w:color w:val="auto"/>
                <w:szCs w:val="21"/>
              </w:rPr>
              <w:t>价</w:t>
            </w:r>
            <w:r>
              <w:rPr>
                <w:rFonts w:hint="eastAsia" w:hAnsi="宋体" w:eastAsia="Times New Roman"/>
                <w:color w:val="auto"/>
                <w:szCs w:val="21"/>
              </w:rPr>
              <w:t>：</w:t>
            </w:r>
            <w:r>
              <w:rPr>
                <w:rFonts w:hint="eastAsia" w:hAnsi="宋体" w:cs="宋体"/>
                <w:color w:val="auto"/>
                <w:szCs w:val="21"/>
                <w:lang w:eastAsia="zh-CN"/>
              </w:rPr>
              <w:t>壹佰玖拾捌万圆整</w:t>
            </w:r>
            <w:r>
              <w:rPr>
                <w:rFonts w:hint="eastAsia" w:hAnsi="宋体" w:eastAsia="Times New Roman"/>
                <w:color w:val="auto"/>
                <w:szCs w:val="21"/>
              </w:rPr>
              <w:t>（¥：</w:t>
            </w:r>
            <w:r>
              <w:rPr>
                <w:rFonts w:hAnsi="宋体"/>
                <w:color w:val="auto"/>
                <w:szCs w:val="21"/>
              </w:rPr>
              <w:t>19</w:t>
            </w:r>
            <w:r>
              <w:rPr>
                <w:rFonts w:hint="eastAsia" w:hAnsi="宋体"/>
                <w:color w:val="auto"/>
                <w:szCs w:val="21"/>
                <w:lang w:val="en-US" w:eastAsia="zh-CN"/>
              </w:rPr>
              <w:t>8</w:t>
            </w:r>
            <w:r>
              <w:rPr>
                <w:rFonts w:hAnsi="宋体"/>
                <w:color w:val="auto"/>
                <w:szCs w:val="21"/>
              </w:rPr>
              <w:t>0000</w:t>
            </w:r>
            <w:r>
              <w:rPr>
                <w:rFonts w:hint="eastAsia" w:hAnsi="宋体" w:eastAsia="Times New Roman"/>
                <w:color w:val="auto"/>
                <w:szCs w:val="21"/>
              </w:rPr>
              <w:t>.00元）</w:t>
            </w:r>
            <w:r>
              <w:rPr>
                <w:rFonts w:hint="eastAsia" w:hAnsi="宋体" w:eastAsia="Times New Roman" w:cs="宋体"/>
                <w:color w:val="auto"/>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7" w:type="dxa"/>
            <w:vAlign w:val="center"/>
          </w:tcPr>
          <w:p>
            <w:pPr>
              <w:spacing w:line="320" w:lineRule="exact"/>
              <w:jc w:val="center"/>
              <w:rPr>
                <w:rFonts w:ascii="宋体" w:hAnsi="宋体"/>
                <w:szCs w:val="21"/>
              </w:rPr>
            </w:pPr>
            <w:r>
              <w:rPr>
                <w:rFonts w:hint="eastAsia" w:ascii="宋体" w:hAnsi="宋体"/>
                <w:szCs w:val="21"/>
              </w:rPr>
              <w:t>25</w:t>
            </w:r>
          </w:p>
        </w:tc>
        <w:tc>
          <w:tcPr>
            <w:tcW w:w="2004" w:type="dxa"/>
            <w:vAlign w:val="center"/>
          </w:tcPr>
          <w:p>
            <w:pPr>
              <w:spacing w:line="360" w:lineRule="exact"/>
              <w:jc w:val="center"/>
              <w:rPr>
                <w:rFonts w:ascii="宋体" w:hAnsi="Courier New"/>
                <w:szCs w:val="20"/>
              </w:rPr>
            </w:pPr>
            <w:r>
              <w:rPr>
                <w:rFonts w:hint="eastAsia" w:ascii="宋体" w:hAnsi="Courier New"/>
                <w:szCs w:val="20"/>
              </w:rPr>
              <w:t>现场勘察</w:t>
            </w:r>
          </w:p>
        </w:tc>
        <w:tc>
          <w:tcPr>
            <w:tcW w:w="7476" w:type="dxa"/>
            <w:vAlign w:val="center"/>
          </w:tcPr>
          <w:p>
            <w:pPr>
              <w:pStyle w:val="11"/>
              <w:spacing w:line="360" w:lineRule="exact"/>
              <w:ind w:left="-4" w:leftChars="-2" w:firstLine="4" w:firstLineChars="2"/>
              <w:rPr>
                <w:rFonts w:hAnsi="宋体"/>
                <w:szCs w:val="21"/>
              </w:rPr>
            </w:pPr>
            <w:r>
              <w:rPr>
                <w:rFonts w:hint="eastAsia" w:hAnsi="宋体"/>
                <w:szCs w:val="21"/>
              </w:rPr>
              <w:t>现场勘察：为能顺利实施本项目，递交响应文件前各</w:t>
            </w:r>
            <w:r>
              <w:rPr>
                <w:rFonts w:hint="eastAsia" w:hAnsi="宋体"/>
                <w:szCs w:val="21"/>
                <w:lang w:eastAsia="zh-CN"/>
              </w:rPr>
              <w:t>竞标人</w:t>
            </w:r>
            <w:r>
              <w:rPr>
                <w:rFonts w:hint="eastAsia" w:hAnsi="宋体"/>
                <w:szCs w:val="21"/>
              </w:rPr>
              <w:t>可自行组织现场踏勘，交通工具、费用由各</w:t>
            </w:r>
            <w:r>
              <w:rPr>
                <w:rFonts w:hint="eastAsia" w:hAnsi="宋体"/>
                <w:szCs w:val="21"/>
                <w:lang w:eastAsia="zh-CN"/>
              </w:rPr>
              <w:t>竞标人</w:t>
            </w:r>
            <w:r>
              <w:rPr>
                <w:rFonts w:hint="eastAsia" w:hAnsi="宋体"/>
                <w:szCs w:val="21"/>
              </w:rPr>
              <w:t>自行负责。</w:t>
            </w:r>
          </w:p>
        </w:tc>
      </w:tr>
    </w:tbl>
    <w:p>
      <w:pPr>
        <w:spacing w:line="400" w:lineRule="exact"/>
        <w:jc w:val="center"/>
        <w:rPr>
          <w:rFonts w:hint="eastAsia" w:ascii="宋体" w:hAnsi="宋体"/>
          <w:b/>
          <w:color w:val="auto"/>
          <w:sz w:val="32"/>
          <w:szCs w:val="32"/>
        </w:rPr>
      </w:pPr>
      <w:r>
        <w:rPr>
          <w:rFonts w:ascii="宋体" w:hAnsi="宋体"/>
          <w:b/>
          <w:sz w:val="28"/>
          <w:szCs w:val="28"/>
        </w:rPr>
        <w:br w:type="page"/>
      </w:r>
      <w:r>
        <w:rPr>
          <w:rFonts w:hint="eastAsia" w:ascii="宋体" w:hAnsi="宋体"/>
          <w:b/>
          <w:color w:val="auto"/>
          <w:sz w:val="32"/>
          <w:szCs w:val="32"/>
        </w:rPr>
        <w:t>谈判须知</w:t>
      </w:r>
    </w:p>
    <w:p>
      <w:pPr>
        <w:spacing w:line="400" w:lineRule="exact"/>
        <w:ind w:firstLine="482" w:firstLineChars="200"/>
        <w:rPr>
          <w:rFonts w:hint="eastAsia" w:ascii="宋体" w:hAnsi="宋体"/>
          <w:b/>
          <w:color w:val="auto"/>
          <w:sz w:val="24"/>
        </w:rPr>
      </w:pPr>
      <w:r>
        <w:rPr>
          <w:rFonts w:hint="eastAsia" w:ascii="宋体" w:hAnsi="宋体"/>
          <w:b/>
          <w:color w:val="auto"/>
          <w:sz w:val="24"/>
        </w:rPr>
        <w:t>一、总　则</w:t>
      </w:r>
    </w:p>
    <w:p>
      <w:pPr>
        <w:spacing w:line="400" w:lineRule="exact"/>
        <w:ind w:firstLine="480" w:firstLineChars="200"/>
        <w:rPr>
          <w:rFonts w:hint="eastAsia" w:ascii="宋体" w:hAnsi="宋体"/>
          <w:color w:val="auto"/>
          <w:sz w:val="24"/>
        </w:rPr>
      </w:pPr>
      <w:r>
        <w:rPr>
          <w:rFonts w:hint="eastAsia" w:ascii="宋体" w:hAnsi="宋体"/>
          <w:color w:val="auto"/>
          <w:sz w:val="24"/>
        </w:rPr>
        <w:t>1. 适用范围</w:t>
      </w:r>
    </w:p>
    <w:p>
      <w:pPr>
        <w:spacing w:line="400" w:lineRule="exact"/>
        <w:ind w:firstLine="480" w:firstLineChars="200"/>
        <w:rPr>
          <w:rFonts w:hint="eastAsia" w:ascii="宋体" w:hAnsi="宋体"/>
          <w:color w:val="auto"/>
          <w:sz w:val="24"/>
        </w:rPr>
      </w:pPr>
      <w:r>
        <w:rPr>
          <w:rFonts w:hint="eastAsia" w:ascii="宋体" w:hAnsi="宋体"/>
          <w:color w:val="auto"/>
          <w:sz w:val="24"/>
        </w:rPr>
        <w:t>1.1 本文件仅适用于本文件中所叙述的货物、服务类政府采购项目。</w:t>
      </w:r>
    </w:p>
    <w:p>
      <w:pPr>
        <w:spacing w:line="400" w:lineRule="exact"/>
        <w:ind w:firstLine="480" w:firstLineChars="200"/>
        <w:rPr>
          <w:rFonts w:hint="eastAsia" w:ascii="宋体" w:hAnsi="宋体"/>
          <w:color w:val="auto"/>
          <w:sz w:val="24"/>
        </w:rPr>
      </w:pPr>
      <w:r>
        <w:rPr>
          <w:rFonts w:hint="eastAsia" w:ascii="宋体" w:hAnsi="宋体"/>
          <w:color w:val="auto"/>
          <w:sz w:val="24"/>
        </w:rPr>
        <w:t>2. 定义</w:t>
      </w:r>
    </w:p>
    <w:p>
      <w:pPr>
        <w:spacing w:line="400" w:lineRule="exact"/>
        <w:ind w:firstLine="480" w:firstLineChars="200"/>
        <w:rPr>
          <w:rFonts w:hint="eastAsia" w:ascii="宋体" w:hAnsi="宋体"/>
          <w:color w:val="auto"/>
          <w:sz w:val="24"/>
        </w:rPr>
      </w:pPr>
      <w:r>
        <w:rPr>
          <w:rFonts w:hint="eastAsia" w:ascii="宋体" w:hAnsi="宋体"/>
          <w:color w:val="auto"/>
          <w:sz w:val="24"/>
        </w:rPr>
        <w:t>2.1“采购人”是指：</w:t>
      </w:r>
      <w:r>
        <w:rPr>
          <w:rFonts w:hint="eastAsia" w:ascii="宋体" w:hAnsi="宋体"/>
          <w:color w:val="auto"/>
          <w:sz w:val="24"/>
          <w:lang w:eastAsia="zh-CN"/>
        </w:rPr>
        <w:t>崇左市江州区卫生健康局</w:t>
      </w:r>
      <w:r>
        <w:rPr>
          <w:rFonts w:hint="eastAsia" w:ascii="宋体" w:hAnsi="宋体"/>
          <w:color w:val="auto"/>
          <w:sz w:val="24"/>
        </w:rPr>
        <w:t>。</w:t>
      </w:r>
    </w:p>
    <w:p>
      <w:pPr>
        <w:spacing w:line="400" w:lineRule="exact"/>
        <w:ind w:firstLine="480" w:firstLineChars="200"/>
        <w:rPr>
          <w:rFonts w:hint="eastAsia" w:ascii="宋体" w:hAnsi="宋体"/>
          <w:color w:val="auto"/>
          <w:sz w:val="24"/>
        </w:rPr>
      </w:pPr>
      <w:r>
        <w:rPr>
          <w:rFonts w:hint="eastAsia" w:ascii="宋体" w:hAnsi="宋体"/>
          <w:color w:val="auto"/>
          <w:sz w:val="24"/>
        </w:rPr>
        <w:t>2.2“采购代理机构”是指：亿诚建设项目管理有限公司。</w:t>
      </w:r>
    </w:p>
    <w:p>
      <w:pPr>
        <w:spacing w:line="400" w:lineRule="exact"/>
        <w:ind w:firstLine="480" w:firstLineChars="200"/>
        <w:rPr>
          <w:rFonts w:hint="eastAsia" w:ascii="宋体" w:hAnsi="宋体"/>
          <w:color w:val="auto"/>
          <w:sz w:val="24"/>
        </w:rPr>
      </w:pPr>
      <w:r>
        <w:rPr>
          <w:rFonts w:hint="eastAsia" w:ascii="宋体" w:hAnsi="宋体"/>
          <w:color w:val="auto"/>
          <w:sz w:val="24"/>
        </w:rPr>
        <w:t>2.3“谈判</w:t>
      </w:r>
      <w:r>
        <w:rPr>
          <w:rFonts w:hint="eastAsia" w:ascii="宋体" w:hAnsi="宋体"/>
          <w:color w:val="auto"/>
          <w:sz w:val="24"/>
          <w:lang w:eastAsia="zh-CN"/>
        </w:rPr>
        <w:t>竞标人</w:t>
      </w:r>
      <w:r>
        <w:rPr>
          <w:rFonts w:hint="eastAsia" w:ascii="宋体" w:hAnsi="宋体"/>
          <w:color w:val="auto"/>
          <w:sz w:val="24"/>
        </w:rPr>
        <w:t>”是指购买了谈判采购文件，响应本文件要求，参加谈判的法人或者其他组织，即“竞标人”。如果该</w:t>
      </w:r>
      <w:r>
        <w:rPr>
          <w:rFonts w:hint="eastAsia" w:ascii="宋体" w:hAnsi="宋体"/>
          <w:color w:val="auto"/>
          <w:sz w:val="24"/>
          <w:lang w:eastAsia="zh-CN"/>
        </w:rPr>
        <w:t>竞标人</w:t>
      </w:r>
      <w:r>
        <w:rPr>
          <w:rFonts w:hint="eastAsia" w:ascii="宋体" w:hAnsi="宋体"/>
          <w:color w:val="auto"/>
          <w:sz w:val="24"/>
        </w:rPr>
        <w:t>在本次谈判中成交，即成为“成交</w:t>
      </w:r>
      <w:r>
        <w:rPr>
          <w:rFonts w:hint="eastAsia" w:ascii="宋体" w:hAnsi="宋体"/>
          <w:color w:val="auto"/>
          <w:sz w:val="24"/>
          <w:lang w:eastAsia="zh-CN"/>
        </w:rPr>
        <w:t>竞标人</w:t>
      </w:r>
      <w:r>
        <w:rPr>
          <w:rFonts w:hint="eastAsia" w:ascii="宋体" w:hAnsi="宋体"/>
          <w:color w:val="auto"/>
          <w:sz w:val="24"/>
        </w:rPr>
        <w:t>”。</w:t>
      </w:r>
    </w:p>
    <w:p>
      <w:pPr>
        <w:spacing w:line="400" w:lineRule="exact"/>
        <w:ind w:firstLine="480" w:firstLineChars="200"/>
        <w:rPr>
          <w:rFonts w:hint="eastAsia" w:ascii="宋体" w:hAnsi="宋体"/>
          <w:color w:val="auto"/>
          <w:sz w:val="24"/>
        </w:rPr>
      </w:pPr>
      <w:r>
        <w:rPr>
          <w:rFonts w:hint="eastAsia" w:ascii="宋体" w:hAnsi="宋体"/>
          <w:color w:val="auto"/>
          <w:sz w:val="24"/>
        </w:rPr>
        <w:t>2.4“货物”是指各种形态和种类的物品，包括原材料、燃料、设备、产品等。</w:t>
      </w:r>
    </w:p>
    <w:p>
      <w:pPr>
        <w:spacing w:line="400" w:lineRule="exact"/>
        <w:ind w:firstLine="480" w:firstLineChars="200"/>
        <w:rPr>
          <w:rFonts w:hint="eastAsia" w:ascii="宋体" w:hAnsi="宋体"/>
          <w:color w:val="auto"/>
          <w:sz w:val="24"/>
        </w:rPr>
      </w:pPr>
      <w:r>
        <w:rPr>
          <w:rFonts w:hint="eastAsia" w:ascii="宋体" w:hAnsi="宋体"/>
          <w:color w:val="auto"/>
          <w:sz w:val="24"/>
        </w:rPr>
        <w:t>2.5“服务”是指除货物和工程以外的其他政府采购对象。</w:t>
      </w:r>
    </w:p>
    <w:p>
      <w:pPr>
        <w:spacing w:line="400" w:lineRule="exact"/>
        <w:ind w:firstLine="480" w:firstLineChars="200"/>
        <w:rPr>
          <w:rFonts w:hint="eastAsia" w:ascii="宋体" w:hAnsi="宋体"/>
          <w:color w:val="auto"/>
          <w:sz w:val="24"/>
        </w:rPr>
      </w:pPr>
      <w:r>
        <w:rPr>
          <w:rFonts w:hint="eastAsia" w:ascii="宋体" w:hAnsi="宋体"/>
          <w:color w:val="auto"/>
          <w:sz w:val="24"/>
        </w:rPr>
        <w:t>2.6“竞争性谈判响应文件”是指：</w:t>
      </w:r>
      <w:r>
        <w:rPr>
          <w:rFonts w:hint="eastAsia" w:ascii="宋体" w:hAnsi="宋体"/>
          <w:color w:val="auto"/>
          <w:sz w:val="24"/>
          <w:lang w:eastAsia="zh-CN"/>
        </w:rPr>
        <w:t>竞标人</w:t>
      </w:r>
      <w:r>
        <w:rPr>
          <w:rFonts w:hint="eastAsia" w:ascii="宋体" w:hAnsi="宋体"/>
          <w:color w:val="auto"/>
          <w:sz w:val="24"/>
        </w:rPr>
        <w:t>根据本文件要求，编制包含报价、技术和服务等所有内容的文件，即“竞标文件”。</w:t>
      </w:r>
    </w:p>
    <w:p>
      <w:pPr>
        <w:spacing w:line="400" w:lineRule="exact"/>
        <w:ind w:firstLine="480" w:firstLineChars="200"/>
        <w:rPr>
          <w:rFonts w:hint="eastAsia" w:ascii="宋体" w:hAnsi="宋体"/>
          <w:color w:val="auto"/>
          <w:sz w:val="24"/>
        </w:rPr>
      </w:pPr>
      <w:r>
        <w:rPr>
          <w:rFonts w:hint="eastAsia" w:ascii="宋体" w:hAnsi="宋体"/>
          <w:color w:val="auto"/>
          <w:sz w:val="24"/>
        </w:rPr>
        <w:t>3. 谈判</w:t>
      </w:r>
      <w:r>
        <w:rPr>
          <w:rFonts w:hint="eastAsia" w:ascii="宋体" w:hAnsi="宋体"/>
          <w:color w:val="auto"/>
          <w:sz w:val="24"/>
          <w:lang w:eastAsia="zh-CN"/>
        </w:rPr>
        <w:t>竞标人</w:t>
      </w:r>
      <w:r>
        <w:rPr>
          <w:rFonts w:hint="eastAsia" w:ascii="宋体" w:hAnsi="宋体"/>
          <w:color w:val="auto"/>
          <w:sz w:val="24"/>
        </w:rPr>
        <w:t>的基本条件</w:t>
      </w:r>
    </w:p>
    <w:p>
      <w:pPr>
        <w:spacing w:line="360" w:lineRule="auto"/>
        <w:ind w:firstLine="480" w:firstLineChars="200"/>
        <w:rPr>
          <w:rFonts w:hint="eastAsia" w:ascii="宋体"/>
          <w:color w:val="auto"/>
          <w:sz w:val="24"/>
        </w:rPr>
      </w:pPr>
      <w:r>
        <w:rPr>
          <w:rFonts w:hint="eastAsia" w:ascii="宋体" w:hAnsi="宋体"/>
          <w:color w:val="auto"/>
          <w:sz w:val="24"/>
        </w:rPr>
        <w:t>3.1</w:t>
      </w:r>
      <w:r>
        <w:rPr>
          <w:rFonts w:hint="eastAsia" w:ascii="宋体"/>
          <w:color w:val="auto"/>
          <w:sz w:val="24"/>
        </w:rPr>
        <w:t>满足《中华人民共和国政府采购法》第二十二条规定</w:t>
      </w:r>
      <w:r>
        <w:rPr>
          <w:rFonts w:hint="eastAsia" w:ascii="宋体"/>
          <w:bCs/>
          <w:color w:val="auto"/>
          <w:sz w:val="24"/>
        </w:rPr>
        <w:t>。</w:t>
      </w:r>
      <w:r>
        <w:rPr>
          <w:rFonts w:hint="eastAsia" w:ascii="宋体"/>
          <w:color w:val="auto"/>
          <w:sz w:val="24"/>
        </w:rPr>
        <w:t>3.2.落实政府采购政策需满足的资格要求：无 3.3本项目的特定资格要求：无</w:t>
      </w:r>
    </w:p>
    <w:p>
      <w:pPr>
        <w:spacing w:line="400" w:lineRule="exact"/>
        <w:ind w:firstLine="480" w:firstLineChars="200"/>
        <w:rPr>
          <w:rFonts w:hint="eastAsia" w:ascii="宋体" w:hAnsi="宋体"/>
          <w:color w:val="auto"/>
          <w:sz w:val="24"/>
        </w:rPr>
      </w:pPr>
      <w:r>
        <w:rPr>
          <w:rFonts w:hint="eastAsia" w:ascii="宋体" w:hAnsi="宋体"/>
          <w:color w:val="auto"/>
          <w:sz w:val="24"/>
        </w:rPr>
        <w:t>4. 谈判费用</w:t>
      </w:r>
    </w:p>
    <w:p>
      <w:pPr>
        <w:spacing w:line="400" w:lineRule="exact"/>
        <w:ind w:firstLine="480" w:firstLineChars="200"/>
        <w:rPr>
          <w:rFonts w:hint="eastAsia" w:ascii="宋体" w:hAnsi="宋体"/>
          <w:color w:val="auto"/>
          <w:sz w:val="24"/>
        </w:rPr>
      </w:pPr>
      <w:r>
        <w:rPr>
          <w:rFonts w:hint="eastAsia" w:ascii="宋体" w:hAnsi="宋体"/>
          <w:color w:val="auto"/>
          <w:sz w:val="24"/>
        </w:rPr>
        <w:t>2.1 谈判</w:t>
      </w:r>
      <w:r>
        <w:rPr>
          <w:rFonts w:hint="eastAsia" w:ascii="宋体" w:hAnsi="宋体"/>
          <w:color w:val="auto"/>
          <w:sz w:val="24"/>
          <w:lang w:eastAsia="zh-CN"/>
        </w:rPr>
        <w:t>竞标人</w:t>
      </w:r>
      <w:r>
        <w:rPr>
          <w:rFonts w:hint="eastAsia" w:ascii="宋体" w:hAnsi="宋体"/>
          <w:color w:val="auto"/>
          <w:sz w:val="24"/>
        </w:rPr>
        <w:t>应自行承担所有与编写和提交竞争性谈判响应文件有关的费用，不论谈判结果如何，采购人和亿诚建设项目管理有限公司在任何情况下无义务和责任承担此类费用。</w:t>
      </w:r>
    </w:p>
    <w:p>
      <w:pPr>
        <w:spacing w:line="400" w:lineRule="exact"/>
        <w:ind w:firstLine="482" w:firstLineChars="200"/>
        <w:rPr>
          <w:rFonts w:hint="eastAsia" w:ascii="宋体" w:hAnsi="宋体"/>
          <w:b/>
          <w:color w:val="auto"/>
          <w:sz w:val="24"/>
        </w:rPr>
      </w:pPr>
      <w:r>
        <w:rPr>
          <w:rFonts w:hint="eastAsia" w:ascii="宋体" w:hAnsi="宋体"/>
          <w:b/>
          <w:color w:val="auto"/>
          <w:sz w:val="24"/>
        </w:rPr>
        <w:t>二、竞争性谈判响应文件的编制</w:t>
      </w:r>
    </w:p>
    <w:p>
      <w:pPr>
        <w:spacing w:line="400" w:lineRule="exact"/>
        <w:ind w:firstLine="480" w:firstLineChars="200"/>
        <w:rPr>
          <w:rFonts w:hint="eastAsia" w:ascii="宋体" w:hAnsi="宋体"/>
          <w:color w:val="auto"/>
          <w:sz w:val="24"/>
        </w:rPr>
      </w:pPr>
      <w:r>
        <w:rPr>
          <w:rFonts w:hint="eastAsia" w:ascii="宋体" w:hAnsi="宋体"/>
          <w:color w:val="auto"/>
          <w:sz w:val="24"/>
        </w:rPr>
        <w:t>5. 竞争性谈判响应文件编制基本要求</w:t>
      </w:r>
    </w:p>
    <w:p>
      <w:pPr>
        <w:spacing w:line="400" w:lineRule="exact"/>
        <w:ind w:firstLine="480" w:firstLineChars="200"/>
        <w:rPr>
          <w:rFonts w:hint="eastAsia" w:ascii="宋体" w:hAnsi="宋体"/>
          <w:color w:val="auto"/>
          <w:sz w:val="24"/>
        </w:rPr>
      </w:pPr>
      <w:r>
        <w:rPr>
          <w:rFonts w:hint="eastAsia" w:ascii="宋体" w:hAnsi="宋体"/>
          <w:color w:val="auto"/>
          <w:sz w:val="24"/>
        </w:rPr>
        <w:t>5.1谈判</w:t>
      </w:r>
      <w:r>
        <w:rPr>
          <w:rFonts w:hint="eastAsia" w:ascii="宋体" w:hAnsi="宋体"/>
          <w:color w:val="auto"/>
          <w:sz w:val="24"/>
          <w:lang w:eastAsia="zh-CN"/>
        </w:rPr>
        <w:t>竞标人</w:t>
      </w:r>
      <w:r>
        <w:rPr>
          <w:rFonts w:hint="eastAsia" w:ascii="宋体" w:hAnsi="宋体"/>
          <w:color w:val="auto"/>
          <w:sz w:val="24"/>
        </w:rPr>
        <w:t>对竞争性谈判响应文件的编制应按要求装订和封装。</w:t>
      </w:r>
    </w:p>
    <w:p>
      <w:pPr>
        <w:spacing w:line="400" w:lineRule="exact"/>
        <w:ind w:firstLine="480" w:firstLineChars="200"/>
        <w:rPr>
          <w:rFonts w:hint="eastAsia" w:ascii="宋体" w:hAnsi="宋体"/>
          <w:color w:val="auto"/>
          <w:sz w:val="24"/>
        </w:rPr>
      </w:pPr>
      <w:r>
        <w:rPr>
          <w:rFonts w:hint="eastAsia" w:ascii="宋体" w:hAnsi="宋体"/>
          <w:color w:val="auto"/>
          <w:sz w:val="24"/>
        </w:rPr>
        <w:t>5.2谈判</w:t>
      </w:r>
      <w:r>
        <w:rPr>
          <w:rFonts w:hint="eastAsia" w:ascii="宋体" w:hAnsi="宋体"/>
          <w:color w:val="auto"/>
          <w:sz w:val="24"/>
          <w:lang w:eastAsia="zh-CN"/>
        </w:rPr>
        <w:t>竞标人</w:t>
      </w:r>
      <w:r>
        <w:rPr>
          <w:rFonts w:hint="eastAsia" w:ascii="宋体" w:hAnsi="宋体"/>
          <w:color w:val="auto"/>
          <w:sz w:val="24"/>
        </w:rPr>
        <w:t>提交的竞争性谈判响应文件以及谈判</w:t>
      </w:r>
      <w:r>
        <w:rPr>
          <w:rFonts w:hint="eastAsia" w:ascii="宋体" w:hAnsi="宋体"/>
          <w:color w:val="auto"/>
          <w:sz w:val="24"/>
          <w:lang w:eastAsia="zh-CN"/>
        </w:rPr>
        <w:t>竞标人</w:t>
      </w:r>
      <w:r>
        <w:rPr>
          <w:rFonts w:hint="eastAsia" w:ascii="宋体" w:hAnsi="宋体"/>
          <w:color w:val="auto"/>
          <w:sz w:val="24"/>
        </w:rPr>
        <w:t>与</w:t>
      </w:r>
      <w:r>
        <w:rPr>
          <w:rFonts w:hint="eastAsia" w:ascii="宋体" w:hAnsi="宋体"/>
          <w:color w:val="auto"/>
          <w:sz w:val="24"/>
          <w:lang w:eastAsia="zh-CN"/>
        </w:rPr>
        <w:t>亿诚建设项目管理有限公司</w:t>
      </w:r>
      <w:r>
        <w:rPr>
          <w:rFonts w:hint="eastAsia" w:ascii="宋体" w:hAnsi="宋体"/>
          <w:color w:val="auto"/>
          <w:sz w:val="24"/>
        </w:rPr>
        <w:t>和采购人就有关谈判的所有来往函电均应使用中文。谈判</w:t>
      </w:r>
      <w:r>
        <w:rPr>
          <w:rFonts w:hint="eastAsia" w:ascii="宋体" w:hAnsi="宋体"/>
          <w:color w:val="auto"/>
          <w:sz w:val="24"/>
          <w:lang w:eastAsia="zh-CN"/>
        </w:rPr>
        <w:t>竞标人</w:t>
      </w:r>
      <w:r>
        <w:rPr>
          <w:rFonts w:hint="eastAsia" w:ascii="宋体" w:hAnsi="宋体"/>
          <w:color w:val="auto"/>
          <w:sz w:val="24"/>
        </w:rPr>
        <w:t>提交的支持文件和印刷的文献可以使用别的语言，但其相应内容必须附有中文翻译文本，在解释竞争性谈判响应文件时以翻译文本为主。</w:t>
      </w:r>
    </w:p>
    <w:p>
      <w:pPr>
        <w:spacing w:line="400" w:lineRule="exact"/>
        <w:ind w:firstLine="480" w:firstLineChars="200"/>
        <w:rPr>
          <w:rFonts w:hint="eastAsia" w:ascii="宋体" w:hAnsi="宋体"/>
          <w:color w:val="auto"/>
          <w:sz w:val="24"/>
        </w:rPr>
      </w:pPr>
      <w:r>
        <w:rPr>
          <w:rFonts w:hint="eastAsia" w:ascii="宋体" w:hAnsi="宋体"/>
          <w:color w:val="auto"/>
          <w:sz w:val="24"/>
        </w:rPr>
        <w:t>5.3谈判</w:t>
      </w:r>
      <w:r>
        <w:rPr>
          <w:rFonts w:hint="eastAsia" w:ascii="宋体" w:hAnsi="宋体"/>
          <w:color w:val="auto"/>
          <w:sz w:val="24"/>
          <w:lang w:eastAsia="zh-CN"/>
        </w:rPr>
        <w:t>竞标人</w:t>
      </w:r>
      <w:r>
        <w:rPr>
          <w:rFonts w:hint="eastAsia" w:ascii="宋体" w:hAnsi="宋体"/>
          <w:color w:val="auto"/>
          <w:sz w:val="24"/>
        </w:rPr>
        <w:t>应认真阅读、并充分理解本文件的全部内容（包括所有的补充、修改内容），承诺并履行本文件中各项条款规定及要求。</w:t>
      </w:r>
    </w:p>
    <w:p>
      <w:pPr>
        <w:spacing w:line="400" w:lineRule="exact"/>
        <w:ind w:firstLine="480" w:firstLineChars="200"/>
        <w:rPr>
          <w:rFonts w:hint="eastAsia" w:ascii="宋体" w:hAnsi="宋体"/>
          <w:color w:val="auto"/>
          <w:sz w:val="24"/>
        </w:rPr>
      </w:pPr>
      <w:r>
        <w:rPr>
          <w:rFonts w:hint="eastAsia" w:ascii="宋体" w:hAnsi="宋体"/>
          <w:color w:val="auto"/>
          <w:sz w:val="24"/>
        </w:rPr>
        <w:t>5.4竞争性谈判响应文件必须按本文件的全部内容，包括所有的补充通知及附件进行编制。</w:t>
      </w:r>
    </w:p>
    <w:p>
      <w:pPr>
        <w:spacing w:line="400" w:lineRule="exact"/>
        <w:ind w:firstLine="480" w:firstLineChars="200"/>
        <w:rPr>
          <w:rFonts w:hint="eastAsia" w:ascii="宋体" w:hAnsi="宋体"/>
          <w:color w:val="auto"/>
          <w:sz w:val="24"/>
        </w:rPr>
      </w:pPr>
      <w:r>
        <w:rPr>
          <w:rFonts w:hint="eastAsia" w:ascii="宋体" w:hAnsi="宋体"/>
          <w:color w:val="auto"/>
          <w:sz w:val="24"/>
        </w:rPr>
        <w:t>5.5如因谈判</w:t>
      </w:r>
      <w:r>
        <w:rPr>
          <w:rFonts w:hint="eastAsia" w:ascii="宋体" w:hAnsi="宋体"/>
          <w:color w:val="auto"/>
          <w:sz w:val="24"/>
          <w:lang w:eastAsia="zh-CN"/>
        </w:rPr>
        <w:t>竞标人</w:t>
      </w:r>
      <w:r>
        <w:rPr>
          <w:rFonts w:hint="eastAsia" w:ascii="宋体" w:hAnsi="宋体"/>
          <w:color w:val="auto"/>
          <w:sz w:val="24"/>
        </w:rPr>
        <w:t>只填写和提供了本文件要求的部分内容和附件，而给评审造成困难，其可能导致的结果和责任由谈判</w:t>
      </w:r>
      <w:r>
        <w:rPr>
          <w:rFonts w:hint="eastAsia" w:ascii="宋体" w:hAnsi="宋体"/>
          <w:color w:val="auto"/>
          <w:sz w:val="24"/>
          <w:lang w:eastAsia="zh-CN"/>
        </w:rPr>
        <w:t>竞标人</w:t>
      </w:r>
      <w:r>
        <w:rPr>
          <w:rFonts w:hint="eastAsia" w:ascii="宋体" w:hAnsi="宋体"/>
          <w:color w:val="auto"/>
          <w:sz w:val="24"/>
        </w:rPr>
        <w:t>自行承担。</w:t>
      </w:r>
    </w:p>
    <w:p>
      <w:pPr>
        <w:spacing w:line="400" w:lineRule="exact"/>
        <w:ind w:firstLine="480" w:firstLineChars="200"/>
        <w:rPr>
          <w:rFonts w:hint="eastAsia" w:ascii="宋体" w:hAnsi="宋体"/>
          <w:color w:val="auto"/>
          <w:sz w:val="24"/>
        </w:rPr>
      </w:pPr>
      <w:r>
        <w:rPr>
          <w:rFonts w:hint="eastAsia" w:ascii="宋体" w:hAnsi="宋体"/>
          <w:color w:val="auto"/>
          <w:sz w:val="24"/>
        </w:rPr>
        <w:t>5.6竞争性谈判响应文件的组成：竞争性谈判响应文件包括价格文件和商务技术文件。</w:t>
      </w:r>
    </w:p>
    <w:p>
      <w:pPr>
        <w:spacing w:line="400" w:lineRule="exact"/>
        <w:ind w:firstLine="482" w:firstLineChars="200"/>
        <w:rPr>
          <w:rFonts w:hint="eastAsia" w:ascii="宋体" w:hAnsi="宋体"/>
          <w:b/>
          <w:color w:val="auto"/>
          <w:sz w:val="24"/>
        </w:rPr>
      </w:pPr>
      <w:r>
        <w:rPr>
          <w:rFonts w:hint="eastAsia" w:ascii="宋体" w:hAnsi="宋体"/>
          <w:b/>
          <w:color w:val="auto"/>
          <w:sz w:val="24"/>
        </w:rPr>
        <w:t>一、价格文件</w:t>
      </w:r>
    </w:p>
    <w:p>
      <w:pPr>
        <w:spacing w:line="400" w:lineRule="exact"/>
        <w:ind w:firstLine="480" w:firstLineChars="200"/>
        <w:rPr>
          <w:rFonts w:hint="eastAsia" w:ascii="宋体" w:hAnsi="宋体"/>
          <w:color w:val="auto"/>
          <w:sz w:val="24"/>
        </w:rPr>
      </w:pPr>
      <w:r>
        <w:rPr>
          <w:rFonts w:hint="eastAsia" w:ascii="宋体" w:hAnsi="宋体"/>
          <w:color w:val="auto"/>
          <w:sz w:val="24"/>
        </w:rPr>
        <w:t>1）谈判书（必须提供）；</w:t>
      </w:r>
    </w:p>
    <w:p>
      <w:pPr>
        <w:spacing w:line="400" w:lineRule="exact"/>
        <w:ind w:firstLine="480" w:firstLineChars="200"/>
        <w:rPr>
          <w:rFonts w:hint="eastAsia" w:ascii="宋体" w:hAnsi="宋体"/>
          <w:color w:val="auto"/>
          <w:sz w:val="24"/>
        </w:rPr>
      </w:pPr>
      <w:r>
        <w:rPr>
          <w:rFonts w:hint="eastAsia" w:ascii="宋体" w:hAnsi="宋体"/>
          <w:color w:val="auto"/>
          <w:sz w:val="24"/>
        </w:rPr>
        <w:t>2）谈判报价表（必须提供）；</w:t>
      </w:r>
    </w:p>
    <w:p>
      <w:pPr>
        <w:spacing w:line="400" w:lineRule="exact"/>
        <w:ind w:firstLine="482" w:firstLineChars="200"/>
        <w:rPr>
          <w:rFonts w:hint="eastAsia" w:ascii="宋体" w:hAnsi="宋体"/>
          <w:b/>
          <w:color w:val="auto"/>
          <w:sz w:val="24"/>
        </w:rPr>
      </w:pPr>
      <w:r>
        <w:rPr>
          <w:rFonts w:hint="eastAsia" w:ascii="宋体" w:hAnsi="宋体"/>
          <w:b/>
          <w:color w:val="auto"/>
          <w:sz w:val="24"/>
        </w:rPr>
        <w:t>二、商务技术文件</w:t>
      </w:r>
    </w:p>
    <w:p>
      <w:pPr>
        <w:spacing w:line="400" w:lineRule="exact"/>
        <w:ind w:firstLine="480" w:firstLineChars="200"/>
        <w:rPr>
          <w:rFonts w:hint="eastAsia" w:ascii="宋体" w:hAnsi="宋体"/>
          <w:color w:val="auto"/>
          <w:sz w:val="24"/>
        </w:rPr>
      </w:pPr>
      <w:r>
        <w:rPr>
          <w:rFonts w:hint="eastAsia" w:ascii="宋体" w:hAnsi="宋体"/>
          <w:color w:val="auto"/>
          <w:sz w:val="24"/>
        </w:rPr>
        <w:t>3）技术响应、偏离情况说明表及商务响应表（必须提供）；</w:t>
      </w:r>
    </w:p>
    <w:p>
      <w:pPr>
        <w:spacing w:line="400" w:lineRule="exact"/>
        <w:ind w:firstLine="480" w:firstLineChars="200"/>
        <w:rPr>
          <w:rFonts w:hint="eastAsia" w:ascii="宋体" w:hAnsi="宋体"/>
          <w:color w:val="auto"/>
          <w:sz w:val="24"/>
        </w:rPr>
      </w:pPr>
      <w:r>
        <w:rPr>
          <w:rFonts w:hint="eastAsia" w:ascii="宋体" w:hAnsi="宋体"/>
          <w:color w:val="auto"/>
          <w:sz w:val="24"/>
        </w:rPr>
        <w:t>4）有效的营业执照副本复印件（必须提供）；</w:t>
      </w:r>
    </w:p>
    <w:p>
      <w:pPr>
        <w:spacing w:line="400" w:lineRule="exact"/>
        <w:ind w:firstLine="480" w:firstLineChars="200"/>
        <w:rPr>
          <w:rFonts w:hint="eastAsia" w:ascii="宋体" w:hAnsi="宋体"/>
          <w:color w:val="auto"/>
          <w:sz w:val="24"/>
        </w:rPr>
      </w:pPr>
      <w:r>
        <w:rPr>
          <w:rFonts w:hint="eastAsia" w:ascii="宋体" w:hAnsi="宋体"/>
          <w:color w:val="auto"/>
          <w:sz w:val="24"/>
        </w:rPr>
        <w:t>5）法定代表人有效的身份证复印件（必须提供）；</w:t>
      </w:r>
    </w:p>
    <w:p>
      <w:pPr>
        <w:tabs>
          <w:tab w:val="left" w:pos="1305"/>
        </w:tabs>
        <w:spacing w:line="390" w:lineRule="exact"/>
        <w:ind w:firstLine="480" w:firstLineChars="200"/>
        <w:rPr>
          <w:rFonts w:hint="eastAsia" w:ascii="宋体" w:hAnsi="宋体"/>
          <w:color w:val="auto"/>
          <w:sz w:val="24"/>
        </w:rPr>
      </w:pPr>
      <w:r>
        <w:rPr>
          <w:rFonts w:hint="eastAsia" w:ascii="宋体" w:hAnsi="宋体"/>
          <w:color w:val="auto"/>
          <w:sz w:val="24"/>
        </w:rPr>
        <w:t>6）供应商2019年的财务报表（财务报表必须包含资产负债表、现金流量表和利润表）或第三方审计报告或银行出具的资信证明；（2018年至响应文件截止时间成立不足一年公司，需提供成立之日后至少连续三个月的月报表，其中成立不足三个月的公司提供成立之后的月报表）（必须提供）</w:t>
      </w:r>
    </w:p>
    <w:p>
      <w:pPr>
        <w:tabs>
          <w:tab w:val="left" w:pos="1305"/>
        </w:tabs>
        <w:spacing w:line="390" w:lineRule="exact"/>
        <w:ind w:firstLine="480" w:firstLineChars="200"/>
        <w:rPr>
          <w:rFonts w:hint="eastAsia" w:ascii="宋体" w:hAnsi="宋体"/>
          <w:color w:val="auto"/>
          <w:sz w:val="24"/>
        </w:rPr>
      </w:pPr>
      <w:r>
        <w:rPr>
          <w:rFonts w:hint="eastAsia" w:ascii="宋体" w:hAnsi="宋体"/>
          <w:color w:val="auto"/>
          <w:sz w:val="24"/>
        </w:rPr>
        <w:t>（7）谈判截止之日前半年内供应商连续三个月的依法纳税的依法缴纳税费或依法免缴税费的证明（复印件，原件备查，格式自拟）；无纳税记录的，应提供由供应商所在地税务部门出具的《依法纳税或依法免税证明》（格式自拟，复印件，原件备查）。(成立不足要求月份的提供成立之后的依法纳税的依法缴纳税费或依法免缴税费的证明)（必须提供）</w:t>
      </w:r>
    </w:p>
    <w:p>
      <w:pPr>
        <w:tabs>
          <w:tab w:val="left" w:pos="1305"/>
        </w:tabs>
        <w:spacing w:line="390" w:lineRule="exact"/>
        <w:ind w:firstLine="480" w:firstLineChars="200"/>
        <w:rPr>
          <w:rFonts w:hint="eastAsia" w:ascii="宋体" w:hAnsi="宋体"/>
          <w:color w:val="auto"/>
          <w:sz w:val="24"/>
        </w:rPr>
      </w:pPr>
      <w:r>
        <w:rPr>
          <w:rFonts w:hint="eastAsia" w:ascii="宋体" w:hAnsi="宋体"/>
          <w:color w:val="auto"/>
          <w:sz w:val="24"/>
        </w:rPr>
        <w:t>（8）供应商响应文件递交截止之日前半年内连续三个月为项目实施人员依法缴纳社保费的缴费证明（复印件，格式自拟）；无缴费记录的，应提供由供应商所在地社保部门出具的《依法缴纳或依法免缴社保费证明》，（社保证明要求列明的缴纳社保员名单须包含项目实施人员一览表人员名单）（必须提供）；</w:t>
      </w:r>
    </w:p>
    <w:p>
      <w:pPr>
        <w:tabs>
          <w:tab w:val="left" w:pos="1305"/>
        </w:tabs>
        <w:spacing w:line="390" w:lineRule="exact"/>
        <w:ind w:firstLine="480" w:firstLineChars="200"/>
        <w:rPr>
          <w:rFonts w:hint="eastAsia" w:eastAsia="宋体"/>
          <w:lang w:eastAsia="zh-CN"/>
        </w:rPr>
      </w:pPr>
      <w:r>
        <w:rPr>
          <w:rFonts w:hint="eastAsia" w:ascii="宋体" w:hAnsi="宋体"/>
          <w:color w:val="auto"/>
          <w:sz w:val="24"/>
        </w:rPr>
        <w:t>9）售后服务承诺（必须提供）；</w:t>
      </w:r>
    </w:p>
    <w:p>
      <w:pPr>
        <w:spacing w:line="400" w:lineRule="exact"/>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）其他有效证明文件的复印件。</w:t>
      </w:r>
    </w:p>
    <w:p>
      <w:pPr>
        <w:spacing w:line="400" w:lineRule="exact"/>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1</w:t>
      </w:r>
      <w:r>
        <w:rPr>
          <w:rFonts w:hint="eastAsia" w:ascii="宋体" w:hAnsi="宋体"/>
          <w:color w:val="auto"/>
          <w:sz w:val="24"/>
        </w:rPr>
        <w:t>）谈判</w:t>
      </w:r>
      <w:r>
        <w:rPr>
          <w:rFonts w:hint="eastAsia" w:ascii="宋体" w:hAnsi="宋体"/>
          <w:color w:val="auto"/>
          <w:sz w:val="24"/>
          <w:lang w:eastAsia="zh-CN"/>
        </w:rPr>
        <w:t>竞标人</w:t>
      </w:r>
      <w:r>
        <w:rPr>
          <w:rFonts w:hint="eastAsia" w:ascii="宋体" w:hAnsi="宋体"/>
          <w:color w:val="auto"/>
          <w:sz w:val="24"/>
        </w:rPr>
        <w:t>认为需要提供的其他有关资料。</w:t>
      </w:r>
    </w:p>
    <w:p>
      <w:pPr>
        <w:tabs>
          <w:tab w:val="left" w:pos="1305"/>
        </w:tabs>
        <w:spacing w:line="390" w:lineRule="exact"/>
        <w:ind w:firstLine="480" w:firstLineChars="200"/>
        <w:rPr>
          <w:rFonts w:hint="eastAsia" w:ascii="宋体" w:hAnsi="宋体"/>
          <w:color w:val="auto"/>
          <w:sz w:val="24"/>
        </w:rPr>
      </w:pPr>
      <w:r>
        <w:rPr>
          <w:rFonts w:hint="eastAsia" w:ascii="宋体" w:hAnsi="宋体"/>
          <w:color w:val="auto"/>
          <w:sz w:val="24"/>
        </w:rPr>
        <w:t>以上有关材料应真实有效，并加盖竞标人公章（扫描公章无效）。属于“必须提供”的文件必须于本项目截标前与响应文件同时提交，否则，竞标无效。其余由竞标人视自身情况自行提交。</w:t>
      </w:r>
    </w:p>
    <w:p>
      <w:pPr>
        <w:spacing w:line="400" w:lineRule="exact"/>
        <w:ind w:firstLine="480" w:firstLineChars="200"/>
        <w:rPr>
          <w:rFonts w:hint="eastAsia" w:ascii="宋体" w:hAnsi="宋体"/>
          <w:color w:val="auto"/>
          <w:sz w:val="24"/>
        </w:rPr>
      </w:pPr>
      <w:r>
        <w:rPr>
          <w:rFonts w:hint="eastAsia" w:ascii="宋体" w:hAnsi="宋体"/>
          <w:color w:val="auto"/>
          <w:sz w:val="24"/>
        </w:rPr>
        <w:t>6. 计量单位</w:t>
      </w:r>
    </w:p>
    <w:p>
      <w:pPr>
        <w:spacing w:line="400" w:lineRule="exact"/>
        <w:ind w:firstLine="480" w:firstLineChars="200"/>
        <w:rPr>
          <w:rFonts w:hint="eastAsia" w:ascii="宋体" w:hAnsi="宋体"/>
          <w:color w:val="auto"/>
          <w:sz w:val="24"/>
        </w:rPr>
      </w:pPr>
      <w:r>
        <w:rPr>
          <w:rFonts w:hint="eastAsia" w:ascii="宋体" w:hAnsi="宋体"/>
          <w:color w:val="auto"/>
          <w:sz w:val="24"/>
        </w:rPr>
        <w:t>6.1除技术要求中另有规定外，本文件所要求使用的计量单位均应采用国家法定计量单位。</w:t>
      </w:r>
    </w:p>
    <w:p>
      <w:pPr>
        <w:spacing w:line="400" w:lineRule="exact"/>
        <w:ind w:firstLine="482" w:firstLineChars="200"/>
        <w:rPr>
          <w:rFonts w:hint="eastAsia" w:ascii="宋体" w:hAnsi="宋体"/>
          <w:b/>
          <w:color w:val="auto"/>
          <w:sz w:val="24"/>
        </w:rPr>
      </w:pPr>
      <w:r>
        <w:rPr>
          <w:rFonts w:hint="eastAsia" w:ascii="宋体" w:hAnsi="宋体"/>
          <w:b/>
          <w:color w:val="auto"/>
          <w:sz w:val="24"/>
        </w:rPr>
        <w:t>三、谈判报价要求</w:t>
      </w:r>
    </w:p>
    <w:p>
      <w:pPr>
        <w:spacing w:line="400" w:lineRule="exact"/>
        <w:ind w:firstLine="480" w:firstLineChars="200"/>
        <w:rPr>
          <w:rFonts w:hint="eastAsia" w:ascii="宋体" w:hAnsi="宋体"/>
          <w:color w:val="auto"/>
          <w:sz w:val="24"/>
        </w:rPr>
      </w:pPr>
      <w:r>
        <w:rPr>
          <w:rFonts w:hint="eastAsia" w:ascii="宋体" w:hAnsi="宋体"/>
          <w:color w:val="auto"/>
          <w:sz w:val="24"/>
        </w:rPr>
        <w:t>7.1对于本文件中未列明，而谈判</w:t>
      </w:r>
      <w:r>
        <w:rPr>
          <w:rFonts w:hint="eastAsia" w:ascii="宋体" w:hAnsi="宋体"/>
          <w:color w:val="auto"/>
          <w:sz w:val="24"/>
          <w:lang w:eastAsia="zh-CN"/>
        </w:rPr>
        <w:t>竞标人</w:t>
      </w:r>
      <w:r>
        <w:rPr>
          <w:rFonts w:hint="eastAsia" w:ascii="宋体" w:hAnsi="宋体"/>
          <w:color w:val="auto"/>
          <w:sz w:val="24"/>
        </w:rPr>
        <w:t>认为必需的费用也需列入总报价。在合同实施时，采购人将不予支付成交</w:t>
      </w:r>
      <w:r>
        <w:rPr>
          <w:rFonts w:hint="eastAsia" w:ascii="宋体" w:hAnsi="宋体"/>
          <w:color w:val="auto"/>
          <w:sz w:val="24"/>
          <w:lang w:eastAsia="zh-CN"/>
        </w:rPr>
        <w:t>竞标人</w:t>
      </w:r>
      <w:r>
        <w:rPr>
          <w:rFonts w:hint="eastAsia" w:ascii="宋体" w:hAnsi="宋体"/>
          <w:color w:val="auto"/>
          <w:sz w:val="24"/>
        </w:rPr>
        <w:t>没有列入的项目费用，并认为此项目的费用已包括在总报价中。</w:t>
      </w:r>
    </w:p>
    <w:p>
      <w:pPr>
        <w:spacing w:line="400" w:lineRule="exact"/>
        <w:ind w:firstLine="480" w:firstLineChars="200"/>
        <w:rPr>
          <w:rFonts w:hint="eastAsia" w:ascii="宋体" w:hAnsi="宋体"/>
          <w:color w:val="auto"/>
          <w:sz w:val="24"/>
        </w:rPr>
      </w:pPr>
      <w:r>
        <w:rPr>
          <w:rFonts w:hint="eastAsia" w:ascii="宋体" w:hAnsi="宋体"/>
          <w:color w:val="auto"/>
          <w:sz w:val="24"/>
        </w:rPr>
        <w:t>7.2成交</w:t>
      </w:r>
      <w:r>
        <w:rPr>
          <w:rFonts w:hint="eastAsia" w:ascii="宋体" w:hAnsi="宋体"/>
          <w:color w:val="auto"/>
          <w:sz w:val="24"/>
          <w:lang w:eastAsia="zh-CN"/>
        </w:rPr>
        <w:t>竞标人</w:t>
      </w:r>
      <w:r>
        <w:rPr>
          <w:rFonts w:hint="eastAsia" w:ascii="宋体" w:hAnsi="宋体"/>
          <w:color w:val="auto"/>
          <w:sz w:val="24"/>
        </w:rPr>
        <w:t>负责本项目所需服务的供货、安装、售后服务等全部工作。</w:t>
      </w:r>
    </w:p>
    <w:p>
      <w:pPr>
        <w:spacing w:line="400" w:lineRule="exact"/>
        <w:ind w:firstLine="480" w:firstLineChars="200"/>
        <w:rPr>
          <w:rFonts w:hint="eastAsia" w:ascii="宋体" w:hAnsi="宋体"/>
          <w:color w:val="auto"/>
          <w:sz w:val="24"/>
        </w:rPr>
      </w:pPr>
      <w:r>
        <w:rPr>
          <w:rFonts w:hint="eastAsia" w:ascii="宋体" w:hAnsi="宋体"/>
          <w:color w:val="auto"/>
          <w:sz w:val="24"/>
        </w:rPr>
        <w:t>7.3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谈判时被接受，其后果由竞标人自负。</w:t>
      </w:r>
    </w:p>
    <w:p>
      <w:pPr>
        <w:spacing w:line="400" w:lineRule="exact"/>
        <w:ind w:firstLine="480" w:firstLineChars="200"/>
        <w:rPr>
          <w:rFonts w:hint="eastAsia" w:ascii="宋体" w:hAnsi="宋体"/>
          <w:color w:val="auto"/>
          <w:sz w:val="24"/>
        </w:rPr>
      </w:pPr>
      <w:r>
        <w:rPr>
          <w:rFonts w:hint="eastAsia" w:ascii="宋体" w:hAnsi="宋体"/>
          <w:color w:val="auto"/>
          <w:sz w:val="24"/>
        </w:rPr>
        <w:t>7.4竞标人</w:t>
      </w:r>
      <w:r>
        <w:rPr>
          <w:rFonts w:hint="eastAsia" w:ascii="宋体" w:hAnsi="宋体"/>
          <w:bCs/>
          <w:color w:val="auto"/>
          <w:sz w:val="24"/>
        </w:rPr>
        <w:t>须</w:t>
      </w:r>
      <w:r>
        <w:rPr>
          <w:rFonts w:hint="eastAsia" w:ascii="宋体" w:hAnsi="宋体"/>
          <w:color w:val="auto"/>
          <w:sz w:val="24"/>
        </w:rPr>
        <w:t>就《采购项目技术规范及要求》中货物和服务内容作完整唯一报价。</w:t>
      </w:r>
    </w:p>
    <w:p>
      <w:pPr>
        <w:spacing w:line="400" w:lineRule="exact"/>
        <w:ind w:firstLine="482" w:firstLineChars="200"/>
        <w:rPr>
          <w:rFonts w:hint="eastAsia" w:ascii="宋体" w:hAnsi="宋体"/>
          <w:b/>
          <w:color w:val="auto"/>
          <w:sz w:val="24"/>
        </w:rPr>
      </w:pPr>
      <w:r>
        <w:rPr>
          <w:rFonts w:hint="eastAsia" w:ascii="宋体" w:hAnsi="宋体"/>
          <w:b/>
          <w:color w:val="auto"/>
          <w:sz w:val="24"/>
        </w:rPr>
        <w:t>四、竞争性谈判响应文件的份数、封装和递交</w:t>
      </w:r>
    </w:p>
    <w:p>
      <w:pPr>
        <w:spacing w:line="400" w:lineRule="exact"/>
        <w:ind w:firstLine="480" w:firstLineChars="200"/>
        <w:rPr>
          <w:rFonts w:hint="eastAsia" w:ascii="宋体" w:hAnsi="宋体"/>
          <w:color w:val="auto"/>
          <w:sz w:val="24"/>
        </w:rPr>
      </w:pPr>
      <w:r>
        <w:rPr>
          <w:rFonts w:hint="eastAsia" w:ascii="宋体" w:hAnsi="宋体"/>
          <w:color w:val="auto"/>
          <w:sz w:val="24"/>
        </w:rPr>
        <w:t>8. 谈判响应文件的份数和封装</w:t>
      </w:r>
    </w:p>
    <w:p>
      <w:pPr>
        <w:spacing w:line="400" w:lineRule="exact"/>
        <w:ind w:firstLine="480" w:firstLineChars="200"/>
        <w:rPr>
          <w:rFonts w:hint="eastAsia" w:ascii="宋体" w:hAnsi="宋体"/>
          <w:color w:val="auto"/>
          <w:sz w:val="24"/>
        </w:rPr>
      </w:pPr>
      <w:r>
        <w:rPr>
          <w:rFonts w:hint="eastAsia" w:ascii="宋体" w:hAnsi="宋体"/>
          <w:color w:val="auto"/>
          <w:sz w:val="24"/>
        </w:rPr>
        <w:t>8.1谈判</w:t>
      </w:r>
      <w:r>
        <w:rPr>
          <w:rFonts w:hint="eastAsia" w:ascii="宋体" w:hAnsi="宋体"/>
          <w:color w:val="auto"/>
          <w:sz w:val="24"/>
          <w:lang w:eastAsia="zh-CN"/>
        </w:rPr>
        <w:t>竞标人</w:t>
      </w:r>
      <w:r>
        <w:rPr>
          <w:rFonts w:hint="eastAsia" w:ascii="宋体" w:hAnsi="宋体"/>
          <w:color w:val="auto"/>
          <w:sz w:val="24"/>
        </w:rPr>
        <w:t>应将竞争性谈判响应文件正本一份、副本四份密封在信封（或包装袋或包装箱）中，在每一封贴处密封签章（公章、密封章、法定代表人或其委托代理人签字）。</w:t>
      </w:r>
    </w:p>
    <w:p>
      <w:pPr>
        <w:spacing w:line="400" w:lineRule="exact"/>
        <w:ind w:firstLine="480" w:firstLineChars="200"/>
        <w:rPr>
          <w:rFonts w:hint="eastAsia" w:ascii="宋体" w:hAnsi="宋体"/>
          <w:color w:val="auto"/>
          <w:sz w:val="24"/>
        </w:rPr>
      </w:pPr>
      <w:r>
        <w:rPr>
          <w:rFonts w:hint="eastAsia" w:ascii="宋体" w:hAnsi="宋体"/>
          <w:color w:val="auto"/>
          <w:sz w:val="24"/>
        </w:rPr>
        <w:t>8.2竞标文件的正本和全部副本均应使用不能擦去的墨料或墨水打印或书写，加盖骑缝章，否则视为符合性评审不合格无效竞标。凡有增加或修正之处均应由法定代表人或授权代理人签署并加盖单位公章，否则其修改无效。</w:t>
      </w:r>
    </w:p>
    <w:p>
      <w:pPr>
        <w:spacing w:line="400" w:lineRule="exact"/>
        <w:ind w:firstLine="480" w:firstLineChars="200"/>
        <w:rPr>
          <w:rFonts w:hint="eastAsia" w:ascii="宋体" w:hAnsi="宋体"/>
          <w:color w:val="auto"/>
          <w:sz w:val="24"/>
        </w:rPr>
      </w:pPr>
      <w:r>
        <w:rPr>
          <w:rFonts w:hint="eastAsia" w:ascii="宋体" w:hAnsi="宋体"/>
          <w:color w:val="auto"/>
          <w:sz w:val="24"/>
        </w:rPr>
        <w:t>8.3竞标文件的装订要求：用A4纸规格（扩展表格除外）按本须知规定的内容和顺序自编目录及页码，装订成册。竞标文件必须包边，竞标文件的装订不允许使用活页夹、订书钉等可能导致竞标文件散落或脱页的装订方式，否则将视为无效竞标文件。</w:t>
      </w:r>
    </w:p>
    <w:p>
      <w:pPr>
        <w:spacing w:line="400" w:lineRule="exact"/>
        <w:ind w:firstLine="480" w:firstLineChars="200"/>
        <w:rPr>
          <w:rFonts w:hint="eastAsia" w:ascii="宋体" w:hAnsi="宋体"/>
          <w:color w:val="auto"/>
          <w:sz w:val="24"/>
        </w:rPr>
      </w:pPr>
      <w:r>
        <w:rPr>
          <w:rFonts w:hint="eastAsia" w:ascii="宋体" w:hAnsi="宋体"/>
          <w:color w:val="auto"/>
          <w:sz w:val="24"/>
        </w:rPr>
        <w:t>8.4竞争性谈判响应文件的信封（或包装袋或包装箱）封面上应写明：</w:t>
      </w:r>
    </w:p>
    <w:p>
      <w:pPr>
        <w:spacing w:line="400" w:lineRule="exact"/>
        <w:ind w:firstLine="480" w:firstLineChars="200"/>
        <w:rPr>
          <w:rFonts w:hint="eastAsia" w:ascii="宋体" w:hAnsi="宋体"/>
          <w:color w:val="auto"/>
          <w:sz w:val="24"/>
        </w:rPr>
      </w:pPr>
      <w:r>
        <w:rPr>
          <w:rFonts w:hint="eastAsia" w:ascii="宋体" w:hAnsi="宋体"/>
          <w:color w:val="auto"/>
          <w:sz w:val="24"/>
        </w:rPr>
        <w:t>1）竞争性谈判项目编号；</w:t>
      </w:r>
    </w:p>
    <w:p>
      <w:pPr>
        <w:spacing w:line="400" w:lineRule="exact"/>
        <w:ind w:firstLine="480" w:firstLineChars="200"/>
        <w:rPr>
          <w:rFonts w:hint="eastAsia" w:ascii="宋体" w:hAnsi="宋体"/>
          <w:color w:val="auto"/>
          <w:sz w:val="24"/>
        </w:rPr>
      </w:pPr>
      <w:r>
        <w:rPr>
          <w:rFonts w:hint="eastAsia" w:ascii="宋体" w:hAnsi="宋体"/>
          <w:color w:val="auto"/>
          <w:sz w:val="24"/>
        </w:rPr>
        <w:t>2）竞争性谈判项目名称；</w:t>
      </w:r>
    </w:p>
    <w:p>
      <w:pPr>
        <w:spacing w:line="400" w:lineRule="exact"/>
        <w:ind w:firstLine="480" w:firstLineChars="200"/>
        <w:rPr>
          <w:rFonts w:hint="eastAsia" w:ascii="宋体" w:hAnsi="宋体"/>
          <w:color w:val="auto"/>
          <w:sz w:val="24"/>
        </w:rPr>
      </w:pPr>
      <w:r>
        <w:rPr>
          <w:rFonts w:hint="eastAsia" w:ascii="宋体" w:hAnsi="宋体"/>
          <w:color w:val="auto"/>
          <w:sz w:val="24"/>
        </w:rPr>
        <w:t>3）谈判</w:t>
      </w:r>
      <w:r>
        <w:rPr>
          <w:rFonts w:hint="eastAsia" w:ascii="宋体" w:hAnsi="宋体"/>
          <w:color w:val="auto"/>
          <w:sz w:val="24"/>
          <w:lang w:eastAsia="zh-CN"/>
        </w:rPr>
        <w:t>竞标人</w:t>
      </w:r>
      <w:r>
        <w:rPr>
          <w:rFonts w:hint="eastAsia" w:ascii="宋体" w:hAnsi="宋体"/>
          <w:color w:val="auto"/>
          <w:sz w:val="24"/>
        </w:rPr>
        <w:t>名称；</w:t>
      </w:r>
    </w:p>
    <w:p>
      <w:pPr>
        <w:spacing w:line="400" w:lineRule="exact"/>
        <w:ind w:firstLine="480" w:firstLineChars="200"/>
        <w:rPr>
          <w:rFonts w:hint="eastAsia" w:ascii="宋体" w:hAnsi="宋体"/>
          <w:color w:val="auto"/>
          <w:sz w:val="24"/>
        </w:rPr>
      </w:pPr>
      <w:r>
        <w:rPr>
          <w:rFonts w:hint="eastAsia" w:ascii="宋体" w:hAnsi="宋体"/>
          <w:color w:val="auto"/>
          <w:sz w:val="24"/>
        </w:rPr>
        <w:t>4）谈判</w:t>
      </w:r>
      <w:r>
        <w:rPr>
          <w:rFonts w:hint="eastAsia" w:ascii="宋体" w:hAnsi="宋体"/>
          <w:color w:val="auto"/>
          <w:sz w:val="24"/>
          <w:lang w:eastAsia="zh-CN"/>
        </w:rPr>
        <w:t>竞标人</w:t>
      </w:r>
      <w:r>
        <w:rPr>
          <w:rFonts w:hint="eastAsia" w:ascii="宋体" w:hAnsi="宋体"/>
          <w:color w:val="auto"/>
          <w:sz w:val="24"/>
        </w:rPr>
        <w:t>地址。</w:t>
      </w:r>
    </w:p>
    <w:p>
      <w:pPr>
        <w:spacing w:line="400" w:lineRule="exact"/>
        <w:ind w:firstLine="480" w:firstLineChars="200"/>
        <w:rPr>
          <w:rFonts w:hint="eastAsia" w:ascii="宋体" w:hAnsi="宋体"/>
          <w:color w:val="auto"/>
          <w:sz w:val="24"/>
        </w:rPr>
      </w:pPr>
      <w:r>
        <w:rPr>
          <w:rFonts w:hint="eastAsia" w:ascii="宋体" w:hAnsi="宋体"/>
          <w:color w:val="auto"/>
          <w:sz w:val="24"/>
        </w:rPr>
        <w:t>8.5逾期送达或竞标文件的包装未按要求密封、盖章、标记将予以拒收或作无效竞标文件处理，由此造成的风险由竞标人承担。</w:t>
      </w:r>
    </w:p>
    <w:p>
      <w:pPr>
        <w:spacing w:line="400" w:lineRule="exact"/>
        <w:ind w:firstLine="480" w:firstLineChars="200"/>
        <w:rPr>
          <w:rFonts w:hint="eastAsia" w:ascii="宋体" w:hAnsi="宋体"/>
          <w:color w:val="auto"/>
          <w:sz w:val="24"/>
        </w:rPr>
      </w:pPr>
      <w:r>
        <w:rPr>
          <w:rFonts w:hint="eastAsia" w:ascii="宋体" w:hAnsi="宋体"/>
          <w:color w:val="auto"/>
          <w:sz w:val="24"/>
        </w:rPr>
        <w:t>9. 竞争性谈判响应文件的递交</w:t>
      </w:r>
    </w:p>
    <w:p>
      <w:pPr>
        <w:spacing w:line="400" w:lineRule="exact"/>
        <w:ind w:firstLine="480" w:firstLineChars="200"/>
        <w:rPr>
          <w:rFonts w:hint="eastAsia" w:ascii="宋体" w:hAnsi="宋体"/>
          <w:color w:val="auto"/>
          <w:sz w:val="24"/>
        </w:rPr>
      </w:pPr>
      <w:r>
        <w:rPr>
          <w:rFonts w:hint="eastAsia" w:ascii="宋体" w:hAnsi="宋体"/>
          <w:color w:val="auto"/>
          <w:sz w:val="24"/>
        </w:rPr>
        <w:t>9.1所有竞争性谈判竞争性响应文件应于“第一章 竞标人须知前附表”中规定的时间前递交到规定地点。</w:t>
      </w:r>
    </w:p>
    <w:p>
      <w:pPr>
        <w:spacing w:line="400" w:lineRule="exact"/>
        <w:ind w:firstLine="480" w:firstLineChars="200"/>
        <w:rPr>
          <w:rFonts w:hint="eastAsia" w:ascii="宋体" w:hAnsi="宋体"/>
          <w:color w:val="auto"/>
          <w:sz w:val="24"/>
        </w:rPr>
      </w:pPr>
      <w:r>
        <w:rPr>
          <w:rFonts w:hint="eastAsia" w:ascii="宋体" w:hAnsi="宋体"/>
          <w:color w:val="auto"/>
          <w:sz w:val="24"/>
        </w:rPr>
        <w:t>10.迟交的竞争性谈判响应文件</w:t>
      </w:r>
    </w:p>
    <w:p>
      <w:pPr>
        <w:spacing w:line="400" w:lineRule="exact"/>
        <w:ind w:firstLine="480" w:firstLineChars="200"/>
        <w:rPr>
          <w:rFonts w:hint="eastAsia" w:ascii="宋体" w:hAnsi="宋体"/>
          <w:color w:val="auto"/>
          <w:sz w:val="24"/>
        </w:rPr>
      </w:pPr>
      <w:r>
        <w:rPr>
          <w:rFonts w:hint="eastAsia" w:ascii="宋体" w:hAnsi="宋体"/>
          <w:color w:val="auto"/>
          <w:sz w:val="24"/>
        </w:rPr>
        <w:t>按《中华人民共和国政府采购法》的规定，</w:t>
      </w:r>
      <w:r>
        <w:rPr>
          <w:rFonts w:hint="eastAsia" w:ascii="宋体" w:hAnsi="宋体"/>
          <w:color w:val="auto"/>
          <w:sz w:val="24"/>
          <w:lang w:eastAsia="zh-CN"/>
        </w:rPr>
        <w:t>亿诚建设项目管理有限公司</w:t>
      </w:r>
      <w:r>
        <w:rPr>
          <w:rFonts w:hint="eastAsia" w:ascii="宋体" w:hAnsi="宋体"/>
          <w:color w:val="auto"/>
          <w:sz w:val="24"/>
        </w:rPr>
        <w:t>将拒绝或原封退回在其规定的递交竞争性谈判响应文件截止时间之后收到的任何竞争性谈判响应文件。</w:t>
      </w:r>
    </w:p>
    <w:p>
      <w:pPr>
        <w:spacing w:line="400" w:lineRule="exact"/>
        <w:ind w:firstLine="482" w:firstLineChars="200"/>
        <w:rPr>
          <w:rFonts w:hint="eastAsia" w:ascii="宋体" w:hAnsi="宋体"/>
          <w:b/>
          <w:color w:val="auto"/>
          <w:sz w:val="24"/>
        </w:rPr>
      </w:pPr>
      <w:r>
        <w:rPr>
          <w:rFonts w:hint="eastAsia" w:ascii="宋体" w:hAnsi="宋体"/>
          <w:b/>
          <w:color w:val="auto"/>
          <w:sz w:val="24"/>
        </w:rPr>
        <w:t>五、谈判的步骤</w:t>
      </w:r>
    </w:p>
    <w:p>
      <w:pPr>
        <w:spacing w:line="400" w:lineRule="exact"/>
        <w:ind w:firstLine="480" w:firstLineChars="200"/>
        <w:rPr>
          <w:rFonts w:hint="eastAsia" w:ascii="宋体" w:hAnsi="宋体"/>
          <w:color w:val="auto"/>
          <w:sz w:val="24"/>
        </w:rPr>
      </w:pPr>
      <w:r>
        <w:rPr>
          <w:rFonts w:hint="eastAsia" w:ascii="宋体" w:hAnsi="宋体"/>
          <w:color w:val="auto"/>
          <w:sz w:val="24"/>
        </w:rPr>
        <w:t>11.1</w:t>
      </w:r>
      <w:r>
        <w:rPr>
          <w:rFonts w:hint="eastAsia" w:ascii="宋体" w:hAnsi="宋体"/>
          <w:b/>
          <w:bCs/>
          <w:color w:val="auto"/>
          <w:sz w:val="24"/>
        </w:rPr>
        <w:t>实质审查</w:t>
      </w:r>
    </w:p>
    <w:p>
      <w:pPr>
        <w:snapToGrid w:val="0"/>
        <w:spacing w:line="420" w:lineRule="exact"/>
        <w:ind w:firstLine="480" w:firstLineChars="200"/>
        <w:rPr>
          <w:rFonts w:hint="eastAsia" w:ascii="宋体" w:hAnsi="宋体"/>
          <w:color w:val="auto"/>
          <w:sz w:val="24"/>
        </w:rPr>
      </w:pPr>
      <w:r>
        <w:rPr>
          <w:rFonts w:hint="eastAsia" w:ascii="宋体" w:hAnsi="宋体"/>
          <w:color w:val="auto"/>
          <w:sz w:val="24"/>
        </w:rPr>
        <w:t>（1）谈判小组审查谈判响应文件的实质性内容是否符合谈判采购文件的实质性要求。</w:t>
      </w:r>
    </w:p>
    <w:p>
      <w:pPr>
        <w:snapToGrid w:val="0"/>
        <w:spacing w:line="420" w:lineRule="exact"/>
        <w:ind w:firstLine="480" w:firstLineChars="200"/>
        <w:rPr>
          <w:rFonts w:hint="eastAsia" w:ascii="宋体" w:hAnsi="宋体"/>
          <w:color w:val="auto"/>
          <w:sz w:val="24"/>
        </w:rPr>
      </w:pPr>
      <w:r>
        <w:rPr>
          <w:rFonts w:hint="eastAsia" w:ascii="宋体" w:hAnsi="宋体"/>
          <w:color w:val="auto"/>
          <w:sz w:val="24"/>
        </w:rPr>
        <w:t>（2）谈判小组审查谈判响应文件过程中，谈判小组对竞标人资格有疑问的，有权要求竞标人提供有关证件的原件核对，如竞标人无法在规定时间内（不超过两小时）提供原件核对或原件与复印件不一致的，将判定为资格审查不合格，作无效竞标处理。</w:t>
      </w:r>
    </w:p>
    <w:p>
      <w:pPr>
        <w:snapToGrid w:val="0"/>
        <w:spacing w:line="420" w:lineRule="exact"/>
        <w:ind w:firstLine="480" w:firstLineChars="200"/>
        <w:rPr>
          <w:rFonts w:hint="eastAsia" w:ascii="宋体" w:hAnsi="宋体"/>
          <w:color w:val="auto"/>
          <w:sz w:val="24"/>
        </w:rPr>
      </w:pPr>
      <w:r>
        <w:rPr>
          <w:rFonts w:hint="eastAsia" w:ascii="宋体" w:hAnsi="宋体"/>
          <w:color w:val="auto"/>
          <w:sz w:val="24"/>
        </w:rPr>
        <w:t>（3）谈判小组在对响应文件的有效性、完整性和响应程度进行审查时，可以要求</w:t>
      </w:r>
      <w:r>
        <w:rPr>
          <w:rFonts w:hint="eastAsia" w:ascii="宋体" w:hAnsi="宋体"/>
          <w:color w:val="auto"/>
          <w:sz w:val="24"/>
          <w:lang w:eastAsia="zh-CN"/>
        </w:rPr>
        <w:t>竞标人</w:t>
      </w:r>
      <w:r>
        <w:rPr>
          <w:rFonts w:hint="eastAsia" w:ascii="宋体" w:hAnsi="宋体"/>
          <w:color w:val="auto"/>
          <w:sz w:val="24"/>
        </w:rPr>
        <w:t>对响应文件中含义不明确、同类问题表述不一致或者有明显文字和计算错误的内容等作出必要的澄清、说明或者更正。</w:t>
      </w:r>
      <w:r>
        <w:rPr>
          <w:rFonts w:hint="eastAsia" w:ascii="宋体" w:hAnsi="宋体"/>
          <w:color w:val="auto"/>
          <w:sz w:val="24"/>
          <w:lang w:eastAsia="zh-CN"/>
        </w:rPr>
        <w:t>竞标人</w:t>
      </w:r>
      <w:r>
        <w:rPr>
          <w:rFonts w:hint="eastAsia" w:ascii="宋体" w:hAnsi="宋体"/>
          <w:color w:val="auto"/>
          <w:sz w:val="24"/>
        </w:rPr>
        <w:t>的澄清、说明或者更正不得超出响应文件的范围或者改变响应文件的实质性内容。</w:t>
      </w:r>
      <w:r>
        <w:rPr>
          <w:rFonts w:hint="eastAsia" w:ascii="宋体" w:hAnsi="宋体"/>
          <w:color w:val="auto"/>
          <w:sz w:val="24"/>
        </w:rPr>
        <w:br w:type="textWrapping"/>
      </w:r>
      <w:r>
        <w:rPr>
          <w:rFonts w:hint="eastAsia" w:ascii="宋体" w:hAnsi="宋体"/>
          <w:color w:val="auto"/>
          <w:sz w:val="24"/>
        </w:rPr>
        <w:t>　　谈判小组要求</w:t>
      </w:r>
      <w:r>
        <w:rPr>
          <w:rFonts w:hint="eastAsia" w:ascii="宋体" w:hAnsi="宋体"/>
          <w:color w:val="auto"/>
          <w:sz w:val="24"/>
          <w:lang w:eastAsia="zh-CN"/>
        </w:rPr>
        <w:t>竞标人</w:t>
      </w:r>
      <w:r>
        <w:rPr>
          <w:rFonts w:hint="eastAsia" w:ascii="宋体" w:hAnsi="宋体"/>
          <w:color w:val="auto"/>
          <w:sz w:val="24"/>
        </w:rPr>
        <w:t>澄清、说明或者更正响应文件以书面形式作出。</w:t>
      </w:r>
      <w:r>
        <w:rPr>
          <w:rFonts w:hint="eastAsia" w:ascii="宋体" w:hAnsi="宋体"/>
          <w:color w:val="auto"/>
          <w:sz w:val="24"/>
          <w:lang w:eastAsia="zh-CN"/>
        </w:rPr>
        <w:t>竞标人</w:t>
      </w:r>
      <w:r>
        <w:rPr>
          <w:rFonts w:hint="eastAsia" w:ascii="宋体" w:hAnsi="宋体"/>
          <w:color w:val="auto"/>
          <w:sz w:val="24"/>
        </w:rPr>
        <w:t>的澄清、说明或者更正应当由法定代表人或其授权代表签字或者加盖公章。</w:t>
      </w:r>
    </w:p>
    <w:p>
      <w:pPr>
        <w:snapToGrid w:val="0"/>
        <w:spacing w:line="420" w:lineRule="exact"/>
        <w:ind w:firstLine="480" w:firstLineChars="200"/>
        <w:rPr>
          <w:rFonts w:hint="eastAsia" w:ascii="宋体" w:hAnsi="宋体"/>
          <w:color w:val="auto"/>
          <w:sz w:val="24"/>
        </w:rPr>
      </w:pPr>
      <w:r>
        <w:rPr>
          <w:rFonts w:hint="eastAsia" w:ascii="宋体" w:hAnsi="宋体"/>
          <w:color w:val="auto"/>
          <w:sz w:val="24"/>
        </w:rPr>
        <w:t>未实质性响应谈判文件的谈判响应文件按无效处理，谈判小组应当告知有关</w:t>
      </w:r>
      <w:r>
        <w:rPr>
          <w:rFonts w:hint="eastAsia" w:ascii="宋体" w:hAnsi="宋体"/>
          <w:color w:val="auto"/>
          <w:sz w:val="24"/>
          <w:lang w:eastAsia="zh-CN"/>
        </w:rPr>
        <w:t>竞标人</w:t>
      </w:r>
      <w:r>
        <w:rPr>
          <w:rFonts w:hint="eastAsia" w:ascii="宋体" w:hAnsi="宋体"/>
          <w:color w:val="auto"/>
          <w:sz w:val="24"/>
        </w:rPr>
        <w:t>。</w:t>
      </w:r>
    </w:p>
    <w:p>
      <w:pPr>
        <w:widowControl/>
        <w:spacing w:line="400" w:lineRule="exact"/>
        <w:ind w:firstLine="480" w:firstLineChars="200"/>
        <w:jc w:val="left"/>
        <w:rPr>
          <w:rFonts w:hint="eastAsia" w:ascii="宋体" w:hAnsi="宋体"/>
          <w:color w:val="auto"/>
          <w:sz w:val="24"/>
        </w:rPr>
      </w:pPr>
      <w:r>
        <w:rPr>
          <w:rFonts w:hint="eastAsia" w:ascii="宋体" w:hAnsi="宋体"/>
          <w:color w:val="auto"/>
          <w:sz w:val="24"/>
        </w:rPr>
        <w:t>11.2谈判文件修正</w:t>
      </w:r>
    </w:p>
    <w:p>
      <w:pPr>
        <w:widowControl/>
        <w:spacing w:line="400" w:lineRule="exact"/>
        <w:ind w:firstLine="480" w:firstLineChars="200"/>
        <w:jc w:val="left"/>
        <w:rPr>
          <w:rFonts w:hint="eastAsia" w:ascii="宋体" w:hAnsi="宋体"/>
          <w:color w:val="auto"/>
          <w:sz w:val="24"/>
        </w:rPr>
      </w:pPr>
      <w:r>
        <w:rPr>
          <w:rFonts w:hint="eastAsia" w:ascii="宋体" w:hAnsi="宋体"/>
          <w:color w:val="auto"/>
          <w:sz w:val="24"/>
        </w:rPr>
        <w:t>（1）谈判小组根据与</w:t>
      </w:r>
      <w:r>
        <w:rPr>
          <w:rFonts w:hint="eastAsia" w:ascii="宋体" w:hAnsi="宋体"/>
          <w:color w:val="auto"/>
          <w:sz w:val="24"/>
          <w:lang w:eastAsia="zh-CN"/>
        </w:rPr>
        <w:t>竞标人</w:t>
      </w:r>
      <w:r>
        <w:rPr>
          <w:rFonts w:hint="eastAsia" w:ascii="宋体" w:hAnsi="宋体"/>
          <w:color w:val="auto"/>
          <w:sz w:val="24"/>
        </w:rPr>
        <w:t>谈判情况可能实质性变动的内容包括采购需求中的技术、服务要求。实质性变动的内容，须经采购人代表确认。</w:t>
      </w:r>
    </w:p>
    <w:p>
      <w:pPr>
        <w:widowControl/>
        <w:spacing w:line="400" w:lineRule="exact"/>
        <w:ind w:firstLine="480" w:firstLineChars="200"/>
        <w:jc w:val="left"/>
        <w:rPr>
          <w:rFonts w:hint="eastAsia" w:ascii="宋体" w:hAnsi="宋体"/>
          <w:color w:val="auto"/>
          <w:sz w:val="24"/>
        </w:rPr>
      </w:pPr>
      <w:r>
        <w:rPr>
          <w:rFonts w:hint="eastAsia" w:ascii="宋体" w:hAnsi="宋体"/>
          <w:color w:val="auto"/>
          <w:sz w:val="24"/>
        </w:rPr>
        <w:t>（2）对谈判文件作出的实质性变动是谈判文件的有效组成部分，谈判小组应当及时以书面形式同时通知所有参加谈判的</w:t>
      </w:r>
      <w:r>
        <w:rPr>
          <w:rFonts w:hint="eastAsia" w:ascii="宋体" w:hAnsi="宋体"/>
          <w:color w:val="auto"/>
          <w:sz w:val="24"/>
          <w:lang w:eastAsia="zh-CN"/>
        </w:rPr>
        <w:t>竞标人</w:t>
      </w:r>
      <w:r>
        <w:rPr>
          <w:rFonts w:hint="eastAsia" w:ascii="宋体" w:hAnsi="宋体"/>
          <w:color w:val="auto"/>
          <w:sz w:val="24"/>
        </w:rPr>
        <w:t>。</w:t>
      </w:r>
      <w:r>
        <w:rPr>
          <w:rFonts w:hint="eastAsia" w:ascii="宋体" w:hAnsi="宋体"/>
          <w:color w:val="auto"/>
          <w:sz w:val="24"/>
        </w:rPr>
        <w:br w:type="textWrapping"/>
      </w:r>
      <w:r>
        <w:rPr>
          <w:rFonts w:hint="eastAsia" w:ascii="宋体" w:hAnsi="宋体"/>
          <w:color w:val="auto"/>
          <w:sz w:val="24"/>
        </w:rPr>
        <w:t>　　</w:t>
      </w:r>
      <w:r>
        <w:rPr>
          <w:rFonts w:hint="eastAsia" w:ascii="宋体" w:hAnsi="宋体"/>
          <w:color w:val="auto"/>
          <w:sz w:val="24"/>
          <w:lang w:eastAsia="zh-CN"/>
        </w:rPr>
        <w:t>竞标人</w:t>
      </w:r>
      <w:r>
        <w:rPr>
          <w:rFonts w:hint="eastAsia" w:ascii="宋体" w:hAnsi="宋体"/>
          <w:color w:val="auto"/>
          <w:sz w:val="24"/>
        </w:rPr>
        <w:t>应当按照谈判文件的变动情况和谈判小组的要求重新提交响应文件，并由其法定代表人或授权代表签字或者加盖公章。由授权代表签字的，应当附法定代表人授权书。逾时不交的，视同放弃谈判。修正文件与响应文件同具法律效力。</w:t>
      </w:r>
    </w:p>
    <w:p>
      <w:pPr>
        <w:widowControl/>
        <w:tabs>
          <w:tab w:val="left" w:pos="540"/>
        </w:tabs>
        <w:spacing w:line="400" w:lineRule="exact"/>
        <w:ind w:firstLine="480" w:firstLineChars="200"/>
        <w:jc w:val="left"/>
        <w:rPr>
          <w:rFonts w:hint="eastAsia" w:ascii="宋体" w:hAnsi="宋体"/>
          <w:color w:val="auto"/>
          <w:sz w:val="24"/>
        </w:rPr>
      </w:pPr>
      <w:r>
        <w:rPr>
          <w:rFonts w:hint="eastAsia" w:ascii="宋体" w:hAnsi="宋体"/>
          <w:color w:val="auto"/>
          <w:sz w:val="24"/>
        </w:rPr>
        <w:t>11.3最后报价</w:t>
      </w:r>
    </w:p>
    <w:p>
      <w:pPr>
        <w:widowControl/>
        <w:tabs>
          <w:tab w:val="left" w:pos="540"/>
        </w:tabs>
        <w:spacing w:line="400" w:lineRule="exact"/>
        <w:ind w:firstLine="480" w:firstLineChars="200"/>
        <w:jc w:val="left"/>
        <w:rPr>
          <w:rFonts w:hint="eastAsia" w:ascii="宋体" w:hAnsi="宋体"/>
          <w:color w:val="auto"/>
          <w:sz w:val="24"/>
        </w:rPr>
      </w:pPr>
      <w:r>
        <w:rPr>
          <w:rFonts w:hint="eastAsia" w:ascii="宋体" w:hAnsi="宋体"/>
          <w:color w:val="auto"/>
          <w:sz w:val="24"/>
        </w:rPr>
        <w:t>谈判小组只要求商务评审和技术（服务）评审合格的谈判</w:t>
      </w:r>
      <w:r>
        <w:rPr>
          <w:rFonts w:hint="eastAsia" w:ascii="宋体" w:hAnsi="宋体"/>
          <w:color w:val="auto"/>
          <w:sz w:val="24"/>
          <w:lang w:eastAsia="zh-CN"/>
        </w:rPr>
        <w:t>竞标人</w:t>
      </w:r>
      <w:r>
        <w:rPr>
          <w:rFonts w:hint="eastAsia" w:ascii="宋体" w:hAnsi="宋体"/>
          <w:color w:val="auto"/>
          <w:sz w:val="24"/>
        </w:rPr>
        <w:t>在规定的时间内进行最后报价，密封递交谈判小组。谈判小组按报价从低到高排序，推荐成交候选人顺序，形成评审报告。</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11.4</w:t>
      </w:r>
      <w:r>
        <w:rPr>
          <w:rFonts w:ascii="宋体" w:hAnsi="宋体"/>
          <w:color w:val="auto"/>
          <w:sz w:val="24"/>
        </w:rPr>
        <w:t>谈判小组</w:t>
      </w:r>
      <w:r>
        <w:rPr>
          <w:rFonts w:hint="eastAsia" w:ascii="宋体" w:hAnsi="宋体"/>
          <w:color w:val="auto"/>
          <w:sz w:val="24"/>
        </w:rPr>
        <w:t>将</w:t>
      </w:r>
      <w:r>
        <w:rPr>
          <w:rFonts w:ascii="宋体" w:hAnsi="宋体"/>
          <w:color w:val="auto"/>
          <w:sz w:val="24"/>
        </w:rPr>
        <w:t>对响应文件进行评审，并根据谈判文件规定的程序、评定成交的标准等事项与实质性响应谈判文件要求的</w:t>
      </w:r>
      <w:r>
        <w:rPr>
          <w:rFonts w:hint="eastAsia" w:ascii="宋体" w:hAnsi="宋体"/>
          <w:color w:val="auto"/>
          <w:sz w:val="24"/>
          <w:lang w:eastAsia="zh-CN"/>
        </w:rPr>
        <w:t>竞标人</w:t>
      </w:r>
      <w:r>
        <w:rPr>
          <w:rFonts w:ascii="宋体" w:hAnsi="宋体"/>
          <w:color w:val="auto"/>
          <w:sz w:val="24"/>
        </w:rPr>
        <w:t>进行谈判。未实质性响应谈判文件的响应文件按无效处理，谈判小组应当告知有关</w:t>
      </w:r>
      <w:r>
        <w:rPr>
          <w:rFonts w:hint="eastAsia" w:ascii="宋体" w:hAnsi="宋体"/>
          <w:color w:val="auto"/>
          <w:sz w:val="24"/>
          <w:lang w:eastAsia="zh-CN"/>
        </w:rPr>
        <w:t>竞标人</w:t>
      </w:r>
      <w:r>
        <w:rPr>
          <w:rFonts w:ascii="宋体" w:hAnsi="宋体"/>
          <w:color w:val="auto"/>
          <w:sz w:val="24"/>
        </w:rPr>
        <w:t>。</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11.5</w:t>
      </w:r>
      <w:r>
        <w:rPr>
          <w:rFonts w:ascii="宋体" w:hAnsi="宋体"/>
          <w:color w:val="auto"/>
          <w:sz w:val="24"/>
        </w:rPr>
        <w:t>谈判小组所有成员</w:t>
      </w:r>
      <w:r>
        <w:rPr>
          <w:rFonts w:hint="eastAsia" w:ascii="宋体" w:hAnsi="宋体"/>
          <w:color w:val="auto"/>
          <w:sz w:val="24"/>
        </w:rPr>
        <w:t>将</w:t>
      </w:r>
      <w:r>
        <w:rPr>
          <w:rFonts w:ascii="宋体" w:hAnsi="宋体"/>
          <w:color w:val="auto"/>
          <w:sz w:val="24"/>
        </w:rPr>
        <w:t>集中与单一</w:t>
      </w:r>
      <w:r>
        <w:rPr>
          <w:rFonts w:hint="eastAsia" w:ascii="宋体" w:hAnsi="宋体"/>
          <w:color w:val="auto"/>
          <w:sz w:val="24"/>
          <w:lang w:eastAsia="zh-CN"/>
        </w:rPr>
        <w:t>竞标人</w:t>
      </w:r>
      <w:r>
        <w:rPr>
          <w:rFonts w:ascii="宋体" w:hAnsi="宋体"/>
          <w:color w:val="auto"/>
          <w:sz w:val="24"/>
        </w:rPr>
        <w:t>分别进行谈判，并给予所有参加谈判的</w:t>
      </w:r>
      <w:r>
        <w:rPr>
          <w:rFonts w:hint="eastAsia" w:ascii="宋体" w:hAnsi="宋体"/>
          <w:color w:val="auto"/>
          <w:sz w:val="24"/>
          <w:lang w:eastAsia="zh-CN"/>
        </w:rPr>
        <w:t>竞标人</w:t>
      </w:r>
      <w:r>
        <w:rPr>
          <w:rFonts w:ascii="宋体" w:hAnsi="宋体"/>
          <w:color w:val="auto"/>
          <w:sz w:val="24"/>
        </w:rPr>
        <w:t>平等的谈判机会。</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11.6</w:t>
      </w:r>
      <w:r>
        <w:rPr>
          <w:rFonts w:ascii="宋体" w:hAnsi="宋体"/>
          <w:color w:val="auto"/>
          <w:sz w:val="24"/>
        </w:rPr>
        <w:t>对谈判文件作出的实质性变动是谈判文件的有效组成部分，谈判小组应当及时以书面形式同时通知所有参加谈判的</w:t>
      </w:r>
      <w:r>
        <w:rPr>
          <w:rFonts w:hint="eastAsia" w:ascii="宋体" w:hAnsi="宋体"/>
          <w:color w:val="auto"/>
          <w:sz w:val="24"/>
          <w:lang w:eastAsia="zh-CN"/>
        </w:rPr>
        <w:t>竞标人</w:t>
      </w:r>
      <w:r>
        <w:rPr>
          <w:rFonts w:ascii="宋体" w:hAnsi="宋体"/>
          <w:color w:val="auto"/>
          <w:sz w:val="24"/>
        </w:rPr>
        <w:t>。</w:t>
      </w:r>
    </w:p>
    <w:p>
      <w:pPr>
        <w:widowControl/>
        <w:tabs>
          <w:tab w:val="left" w:pos="540"/>
        </w:tabs>
        <w:spacing w:line="380" w:lineRule="exact"/>
        <w:ind w:firstLine="480" w:firstLineChars="200"/>
        <w:jc w:val="left"/>
        <w:rPr>
          <w:rFonts w:hint="eastAsia" w:ascii="宋体" w:hAnsi="宋体"/>
          <w:color w:val="auto"/>
          <w:sz w:val="24"/>
        </w:rPr>
      </w:pPr>
      <w:r>
        <w:rPr>
          <w:rFonts w:hint="eastAsia" w:ascii="宋体" w:hAnsi="宋体"/>
          <w:color w:val="auto"/>
          <w:sz w:val="24"/>
        </w:rPr>
        <w:t>11.7</w:t>
      </w:r>
      <w:r>
        <w:rPr>
          <w:rFonts w:ascii="宋体" w:hAnsi="宋体"/>
          <w:color w:val="auto"/>
          <w:sz w:val="24"/>
        </w:rPr>
        <w:t>谈判文件能够详细列明采购标的的技术、服务要求的，谈判结束后，谈判小组应当要求所有继续参加谈判的</w:t>
      </w:r>
      <w:r>
        <w:rPr>
          <w:rFonts w:hint="eastAsia" w:ascii="宋体" w:hAnsi="宋体"/>
          <w:color w:val="auto"/>
          <w:sz w:val="24"/>
          <w:lang w:eastAsia="zh-CN"/>
        </w:rPr>
        <w:t>竞标人</w:t>
      </w:r>
      <w:r>
        <w:rPr>
          <w:rFonts w:ascii="宋体" w:hAnsi="宋体"/>
          <w:color w:val="auto"/>
          <w:sz w:val="24"/>
        </w:rPr>
        <w:t>在规定时间内</w:t>
      </w:r>
      <w:r>
        <w:rPr>
          <w:rFonts w:hint="eastAsia" w:ascii="宋体" w:hAnsi="宋体"/>
          <w:color w:val="auto"/>
          <w:sz w:val="24"/>
        </w:rPr>
        <w:t>密封提交最后报价，逾时不交的，视同放弃本次谈判，最后报价的</w:t>
      </w:r>
      <w:r>
        <w:rPr>
          <w:rFonts w:hint="eastAsia" w:ascii="宋体" w:hAnsi="宋体"/>
          <w:color w:val="auto"/>
          <w:sz w:val="24"/>
          <w:lang w:eastAsia="zh-CN"/>
        </w:rPr>
        <w:t>竞标人</w:t>
      </w:r>
      <w:r>
        <w:rPr>
          <w:rFonts w:hint="eastAsia" w:ascii="宋体" w:hAnsi="宋体"/>
          <w:color w:val="auto"/>
          <w:sz w:val="24"/>
        </w:rPr>
        <w:t>不得少于3家。</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11.8</w:t>
      </w:r>
      <w:r>
        <w:rPr>
          <w:rFonts w:ascii="宋体" w:hAnsi="宋体"/>
          <w:color w:val="auto"/>
          <w:sz w:val="24"/>
        </w:rPr>
        <w:t>谈判文件不能详细列明采购标的的技术、服务要求，需经谈判由</w:t>
      </w:r>
      <w:r>
        <w:rPr>
          <w:rFonts w:hint="eastAsia" w:ascii="宋体" w:hAnsi="宋体"/>
          <w:color w:val="auto"/>
          <w:sz w:val="24"/>
          <w:lang w:eastAsia="zh-CN"/>
        </w:rPr>
        <w:t>竞标人</w:t>
      </w:r>
      <w:r>
        <w:rPr>
          <w:rFonts w:ascii="宋体" w:hAnsi="宋体"/>
          <w:color w:val="auto"/>
          <w:sz w:val="24"/>
        </w:rPr>
        <w:t>提供最终设计方案或解决方案的，谈判结束后，谈判小组应当按照少数服从多数的原则投票推荐3家以上</w:t>
      </w:r>
      <w:r>
        <w:rPr>
          <w:rFonts w:hint="eastAsia" w:ascii="宋体" w:hAnsi="宋体"/>
          <w:color w:val="auto"/>
          <w:sz w:val="24"/>
          <w:lang w:eastAsia="zh-CN"/>
        </w:rPr>
        <w:t>竞标人</w:t>
      </w:r>
      <w:r>
        <w:rPr>
          <w:rFonts w:ascii="宋体" w:hAnsi="宋体"/>
          <w:color w:val="auto"/>
          <w:sz w:val="24"/>
        </w:rPr>
        <w:t>的设计方案或者解决方案，并要求其在规定时间内</w:t>
      </w:r>
      <w:r>
        <w:rPr>
          <w:rFonts w:hint="eastAsia" w:ascii="宋体" w:hAnsi="宋体"/>
          <w:color w:val="auto"/>
          <w:sz w:val="24"/>
        </w:rPr>
        <w:t>密封</w:t>
      </w:r>
      <w:r>
        <w:rPr>
          <w:rFonts w:ascii="宋体" w:hAnsi="宋体"/>
          <w:color w:val="auto"/>
          <w:sz w:val="24"/>
        </w:rPr>
        <w:t>提交最后报价。</w:t>
      </w:r>
    </w:p>
    <w:p>
      <w:pPr>
        <w:widowControl/>
        <w:tabs>
          <w:tab w:val="left" w:pos="540"/>
        </w:tabs>
        <w:spacing w:line="380" w:lineRule="exact"/>
        <w:ind w:firstLine="480" w:firstLineChars="200"/>
        <w:jc w:val="left"/>
        <w:rPr>
          <w:rFonts w:hint="eastAsia" w:ascii="宋体" w:hAnsi="宋体"/>
          <w:color w:val="auto"/>
          <w:sz w:val="24"/>
        </w:rPr>
      </w:pPr>
      <w:r>
        <w:rPr>
          <w:rFonts w:hint="eastAsia" w:ascii="宋体" w:hAnsi="宋体"/>
          <w:color w:val="auto"/>
          <w:sz w:val="24"/>
        </w:rPr>
        <w:t>11.9谈判</w:t>
      </w:r>
      <w:r>
        <w:rPr>
          <w:rFonts w:hint="eastAsia" w:ascii="宋体" w:hAnsi="宋体"/>
          <w:color w:val="auto"/>
          <w:sz w:val="24"/>
          <w:lang w:eastAsia="zh-CN"/>
        </w:rPr>
        <w:t>竞标人</w:t>
      </w:r>
      <w:r>
        <w:rPr>
          <w:rFonts w:hint="eastAsia" w:ascii="宋体" w:hAnsi="宋体"/>
          <w:color w:val="auto"/>
          <w:sz w:val="24"/>
        </w:rPr>
        <w:t>的最后报价均超过了政府采购预算，采购人不能支付的，谈判活动终止；终止后，采购人需要采取调整采购预算或项目配置标准等，或采取其他采购方式的，应当在采购活动开始前获得财政部门批准。</w:t>
      </w:r>
    </w:p>
    <w:p>
      <w:pPr>
        <w:widowControl/>
        <w:tabs>
          <w:tab w:val="left" w:pos="540"/>
        </w:tabs>
        <w:spacing w:line="380" w:lineRule="exact"/>
        <w:ind w:firstLine="480" w:firstLineChars="200"/>
        <w:jc w:val="left"/>
        <w:rPr>
          <w:rFonts w:hint="eastAsia" w:ascii="宋体" w:hAnsi="宋体"/>
          <w:color w:val="auto"/>
          <w:sz w:val="24"/>
        </w:rPr>
      </w:pPr>
      <w:r>
        <w:rPr>
          <w:rFonts w:hint="eastAsia" w:ascii="宋体" w:hAnsi="宋体"/>
          <w:color w:val="auto"/>
          <w:sz w:val="24"/>
        </w:rPr>
        <w:t>11.10本项目政府采购预算详见《竞争性谈判公告》第二项。</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12.</w:t>
      </w:r>
      <w:r>
        <w:rPr>
          <w:rFonts w:ascii="宋体" w:hAnsi="宋体"/>
          <w:color w:val="auto"/>
          <w:sz w:val="24"/>
        </w:rPr>
        <w:t>竞标无效</w:t>
      </w:r>
    </w:p>
    <w:p>
      <w:pPr>
        <w:widowControl/>
        <w:tabs>
          <w:tab w:val="left" w:pos="540"/>
        </w:tabs>
        <w:spacing w:line="380" w:lineRule="exact"/>
        <w:ind w:firstLine="480" w:firstLineChars="200"/>
        <w:jc w:val="left"/>
        <w:rPr>
          <w:rFonts w:hint="eastAsia" w:ascii="宋体" w:hAnsi="宋体"/>
          <w:color w:val="auto"/>
          <w:sz w:val="24"/>
        </w:rPr>
      </w:pPr>
      <w:r>
        <w:rPr>
          <w:rFonts w:hint="eastAsia" w:ascii="宋体" w:hAnsi="宋体"/>
          <w:color w:val="auto"/>
          <w:sz w:val="24"/>
        </w:rPr>
        <w:t>12</w:t>
      </w:r>
      <w:r>
        <w:rPr>
          <w:rFonts w:ascii="宋体" w:hAnsi="宋体"/>
          <w:color w:val="auto"/>
          <w:sz w:val="24"/>
        </w:rPr>
        <w:t>.1</w:t>
      </w:r>
      <w:r>
        <w:rPr>
          <w:rFonts w:hint="eastAsia" w:ascii="宋体" w:hAnsi="宋体"/>
          <w:color w:val="auto"/>
          <w:sz w:val="24"/>
        </w:rPr>
        <w:t>竞争性谈判响应文件</w:t>
      </w:r>
      <w:r>
        <w:rPr>
          <w:rFonts w:ascii="宋体" w:hAnsi="宋体"/>
          <w:color w:val="auto"/>
          <w:sz w:val="24"/>
        </w:rPr>
        <w:t>如有下列情况之一，</w:t>
      </w:r>
      <w:r>
        <w:rPr>
          <w:rFonts w:hint="eastAsia" w:ascii="宋体" w:hAnsi="宋体"/>
          <w:color w:val="auto"/>
          <w:sz w:val="24"/>
        </w:rPr>
        <w:t>将视为</w:t>
      </w:r>
      <w:r>
        <w:rPr>
          <w:rFonts w:ascii="宋体" w:hAnsi="宋体"/>
          <w:color w:val="auto"/>
          <w:sz w:val="24"/>
        </w:rPr>
        <w:t>未实质性响应谈判文件</w:t>
      </w:r>
      <w:r>
        <w:rPr>
          <w:rFonts w:hint="eastAsia" w:ascii="宋体" w:hAnsi="宋体"/>
          <w:color w:val="auto"/>
          <w:sz w:val="24"/>
        </w:rPr>
        <w:t>，</w:t>
      </w:r>
      <w:r>
        <w:rPr>
          <w:rFonts w:ascii="宋体" w:hAnsi="宋体"/>
          <w:color w:val="auto"/>
          <w:sz w:val="24"/>
        </w:rPr>
        <w:t>按竞标无效处理</w:t>
      </w:r>
      <w:r>
        <w:rPr>
          <w:rFonts w:hint="eastAsia" w:ascii="宋体" w:hAnsi="宋体"/>
          <w:color w:val="auto"/>
          <w:sz w:val="24"/>
        </w:rPr>
        <w:t>：</w:t>
      </w:r>
    </w:p>
    <w:p>
      <w:pPr>
        <w:widowControl/>
        <w:tabs>
          <w:tab w:val="left" w:pos="540"/>
        </w:tabs>
        <w:spacing w:line="380" w:lineRule="exact"/>
        <w:ind w:firstLine="480" w:firstLineChars="200"/>
        <w:jc w:val="left"/>
        <w:rPr>
          <w:rFonts w:ascii="宋体" w:hAnsi="宋体"/>
          <w:color w:val="auto"/>
          <w:sz w:val="24"/>
        </w:rPr>
      </w:pPr>
      <w:r>
        <w:rPr>
          <w:rFonts w:ascii="宋体" w:hAnsi="宋体"/>
          <w:color w:val="auto"/>
          <w:sz w:val="24"/>
        </w:rPr>
        <w:t>（1）未按采购文件规定要求密封、签署、盖章的；</w:t>
      </w:r>
    </w:p>
    <w:p>
      <w:pPr>
        <w:widowControl/>
        <w:tabs>
          <w:tab w:val="left" w:pos="540"/>
        </w:tabs>
        <w:spacing w:line="380" w:lineRule="exact"/>
        <w:ind w:firstLine="480" w:firstLineChars="200"/>
        <w:jc w:val="left"/>
        <w:rPr>
          <w:rFonts w:ascii="宋体" w:hAnsi="宋体"/>
          <w:color w:val="auto"/>
          <w:sz w:val="24"/>
        </w:rPr>
      </w:pPr>
      <w:r>
        <w:rPr>
          <w:rFonts w:ascii="宋体" w:hAnsi="宋体"/>
          <w:color w:val="auto"/>
          <w:sz w:val="24"/>
        </w:rPr>
        <w:t>（</w:t>
      </w:r>
      <w:r>
        <w:rPr>
          <w:rFonts w:hint="eastAsia" w:ascii="宋体" w:hAnsi="宋体"/>
          <w:color w:val="auto"/>
          <w:sz w:val="24"/>
        </w:rPr>
        <w:t>2</w:t>
      </w:r>
      <w:r>
        <w:rPr>
          <w:rFonts w:ascii="宋体" w:hAnsi="宋体"/>
          <w:color w:val="auto"/>
          <w:sz w:val="24"/>
        </w:rPr>
        <w:t>）不具备采购文件中规定资格要求的；</w:t>
      </w:r>
    </w:p>
    <w:p>
      <w:pPr>
        <w:widowControl/>
        <w:tabs>
          <w:tab w:val="left" w:pos="540"/>
        </w:tabs>
        <w:spacing w:line="380" w:lineRule="exact"/>
        <w:ind w:firstLine="480" w:firstLineChars="200"/>
        <w:jc w:val="left"/>
        <w:rPr>
          <w:rFonts w:ascii="宋体" w:hAnsi="宋体"/>
          <w:color w:val="auto"/>
          <w:sz w:val="24"/>
        </w:rPr>
      </w:pPr>
      <w:r>
        <w:rPr>
          <w:rFonts w:ascii="宋体" w:hAnsi="宋体"/>
          <w:color w:val="auto"/>
          <w:sz w:val="24"/>
        </w:rPr>
        <w:t>（</w:t>
      </w:r>
      <w:r>
        <w:rPr>
          <w:rFonts w:hint="eastAsia" w:ascii="宋体" w:hAnsi="宋体"/>
          <w:color w:val="auto"/>
          <w:sz w:val="24"/>
        </w:rPr>
        <w:t>3</w:t>
      </w:r>
      <w:r>
        <w:rPr>
          <w:rFonts w:ascii="宋体" w:hAnsi="宋体"/>
          <w:color w:val="auto"/>
          <w:sz w:val="24"/>
        </w:rPr>
        <w:t>）采购项目完成期限</w:t>
      </w:r>
      <w:r>
        <w:rPr>
          <w:rFonts w:hint="eastAsia" w:ascii="宋体" w:hAnsi="宋体"/>
          <w:color w:val="auto"/>
          <w:sz w:val="24"/>
        </w:rPr>
        <w:t>、付款方式、质保期交货地点、</w:t>
      </w:r>
      <w:r>
        <w:rPr>
          <w:rFonts w:ascii="宋体" w:hAnsi="宋体"/>
          <w:color w:val="auto"/>
          <w:sz w:val="24"/>
        </w:rPr>
        <w:t>合同签订期</w:t>
      </w:r>
      <w:r>
        <w:rPr>
          <w:rFonts w:hint="eastAsia" w:ascii="宋体" w:hAnsi="宋体"/>
          <w:color w:val="auto"/>
          <w:sz w:val="24"/>
        </w:rPr>
        <w:t>等不符合</w:t>
      </w:r>
      <w:r>
        <w:rPr>
          <w:rFonts w:ascii="宋体" w:hAnsi="宋体"/>
          <w:color w:val="auto"/>
          <w:sz w:val="24"/>
        </w:rPr>
        <w:t>采购</w:t>
      </w:r>
      <w:r>
        <w:rPr>
          <w:rFonts w:hint="eastAsia" w:ascii="宋体" w:hAnsi="宋体"/>
          <w:color w:val="auto"/>
          <w:sz w:val="24"/>
        </w:rPr>
        <w:t>文件要求的</w:t>
      </w:r>
      <w:r>
        <w:rPr>
          <w:rFonts w:ascii="宋体" w:hAnsi="宋体"/>
          <w:color w:val="auto"/>
          <w:sz w:val="24"/>
        </w:rPr>
        <w:t>；</w:t>
      </w:r>
    </w:p>
    <w:p>
      <w:pPr>
        <w:widowControl/>
        <w:tabs>
          <w:tab w:val="left" w:pos="540"/>
        </w:tabs>
        <w:spacing w:line="380" w:lineRule="exact"/>
        <w:ind w:firstLine="480" w:firstLineChars="200"/>
        <w:jc w:val="left"/>
        <w:rPr>
          <w:rFonts w:ascii="宋体" w:hAnsi="宋体"/>
          <w:color w:val="auto"/>
          <w:sz w:val="24"/>
        </w:rPr>
      </w:pPr>
      <w:r>
        <w:rPr>
          <w:rFonts w:ascii="宋体" w:hAnsi="宋体"/>
          <w:color w:val="auto"/>
          <w:sz w:val="24"/>
        </w:rPr>
        <w:t>（</w:t>
      </w:r>
      <w:r>
        <w:rPr>
          <w:rFonts w:hint="eastAsia" w:ascii="宋体" w:hAnsi="宋体"/>
          <w:color w:val="auto"/>
          <w:sz w:val="24"/>
        </w:rPr>
        <w:t>4</w:t>
      </w:r>
      <w:r>
        <w:rPr>
          <w:rFonts w:ascii="宋体" w:hAnsi="宋体"/>
          <w:color w:val="auto"/>
          <w:sz w:val="24"/>
        </w:rPr>
        <w:t>）</w:t>
      </w:r>
      <w:r>
        <w:rPr>
          <w:rFonts w:hint="eastAsia" w:ascii="宋体" w:hAnsi="宋体"/>
          <w:color w:val="auto"/>
          <w:sz w:val="24"/>
        </w:rPr>
        <w:t>竞标产品</w:t>
      </w:r>
      <w:r>
        <w:rPr>
          <w:rFonts w:ascii="宋体" w:hAnsi="宋体"/>
          <w:color w:val="auto"/>
          <w:sz w:val="24"/>
        </w:rPr>
        <w:t>明显不符合</w:t>
      </w:r>
      <w:r>
        <w:rPr>
          <w:rFonts w:hint="eastAsia" w:ascii="宋体" w:hAnsi="宋体"/>
          <w:color w:val="auto"/>
          <w:sz w:val="24"/>
        </w:rPr>
        <w:t>采购文件规定的</w:t>
      </w:r>
      <w:r>
        <w:rPr>
          <w:rFonts w:ascii="宋体" w:hAnsi="宋体"/>
          <w:color w:val="auto"/>
          <w:sz w:val="24"/>
        </w:rPr>
        <w:t>技术规格、技术标准</w:t>
      </w:r>
      <w:r>
        <w:rPr>
          <w:rFonts w:hint="eastAsia" w:ascii="宋体" w:hAnsi="宋体"/>
          <w:color w:val="auto"/>
          <w:sz w:val="24"/>
        </w:rPr>
        <w:t>、</w:t>
      </w:r>
      <w:r>
        <w:rPr>
          <w:rFonts w:ascii="宋体" w:hAnsi="宋体"/>
          <w:color w:val="auto"/>
          <w:sz w:val="24"/>
        </w:rPr>
        <w:t>检验标准</w:t>
      </w:r>
      <w:r>
        <w:rPr>
          <w:rFonts w:hint="eastAsia" w:ascii="宋体" w:hAnsi="宋体"/>
          <w:color w:val="auto"/>
          <w:sz w:val="24"/>
        </w:rPr>
        <w:t>等</w:t>
      </w:r>
      <w:r>
        <w:rPr>
          <w:rFonts w:ascii="宋体" w:hAnsi="宋体"/>
          <w:color w:val="auto"/>
          <w:sz w:val="24"/>
        </w:rPr>
        <w:t>要求的；</w:t>
      </w:r>
    </w:p>
    <w:p>
      <w:pPr>
        <w:widowControl/>
        <w:tabs>
          <w:tab w:val="left" w:pos="540"/>
        </w:tabs>
        <w:spacing w:line="380" w:lineRule="exact"/>
        <w:ind w:firstLine="480" w:firstLineChars="200"/>
        <w:jc w:val="left"/>
        <w:rPr>
          <w:rFonts w:ascii="宋体" w:hAnsi="宋体"/>
          <w:color w:val="auto"/>
          <w:sz w:val="24"/>
        </w:rPr>
      </w:pPr>
      <w:r>
        <w:rPr>
          <w:rFonts w:ascii="宋体" w:hAnsi="宋体"/>
          <w:color w:val="auto"/>
          <w:sz w:val="24"/>
        </w:rPr>
        <w:t>（</w:t>
      </w:r>
      <w:r>
        <w:rPr>
          <w:rFonts w:hint="eastAsia" w:ascii="宋体" w:hAnsi="宋体"/>
          <w:color w:val="auto"/>
          <w:sz w:val="24"/>
        </w:rPr>
        <w:t>5</w:t>
      </w:r>
      <w:r>
        <w:rPr>
          <w:rFonts w:ascii="宋体" w:hAnsi="宋体"/>
          <w:color w:val="auto"/>
          <w:sz w:val="24"/>
        </w:rPr>
        <w:t>）</w:t>
      </w:r>
      <w:r>
        <w:rPr>
          <w:rFonts w:hint="eastAsia" w:ascii="宋体" w:hAnsi="宋体"/>
          <w:color w:val="auto"/>
          <w:sz w:val="24"/>
        </w:rPr>
        <w:t>竞争性谈判响应文件</w:t>
      </w:r>
      <w:r>
        <w:rPr>
          <w:rFonts w:ascii="宋体" w:hAnsi="宋体"/>
          <w:color w:val="auto"/>
          <w:sz w:val="24"/>
        </w:rPr>
        <w:t>附有采购人不能接受的条件</w:t>
      </w:r>
      <w:r>
        <w:rPr>
          <w:rFonts w:hint="eastAsia" w:ascii="宋体" w:hAnsi="宋体"/>
          <w:color w:val="auto"/>
          <w:sz w:val="24"/>
        </w:rPr>
        <w:t>的</w:t>
      </w:r>
      <w:r>
        <w:rPr>
          <w:rFonts w:ascii="宋体" w:hAnsi="宋体"/>
          <w:color w:val="auto"/>
          <w:sz w:val="24"/>
        </w:rPr>
        <w:t>；</w:t>
      </w:r>
    </w:p>
    <w:p>
      <w:pPr>
        <w:widowControl/>
        <w:tabs>
          <w:tab w:val="left" w:pos="540"/>
        </w:tabs>
        <w:spacing w:line="380" w:lineRule="exact"/>
        <w:ind w:firstLine="480" w:firstLineChars="200"/>
        <w:jc w:val="left"/>
        <w:rPr>
          <w:rFonts w:hint="eastAsia" w:ascii="宋体" w:hAnsi="宋体"/>
          <w:color w:val="auto"/>
          <w:sz w:val="24"/>
        </w:rPr>
      </w:pPr>
      <w:r>
        <w:rPr>
          <w:rFonts w:ascii="宋体" w:hAnsi="宋体"/>
          <w:color w:val="auto"/>
          <w:sz w:val="24"/>
        </w:rPr>
        <w:t>（</w:t>
      </w:r>
      <w:r>
        <w:rPr>
          <w:rFonts w:hint="eastAsia" w:ascii="宋体" w:hAnsi="宋体"/>
          <w:color w:val="auto"/>
          <w:sz w:val="24"/>
        </w:rPr>
        <w:t>6</w:t>
      </w:r>
      <w:r>
        <w:rPr>
          <w:rFonts w:ascii="宋体" w:hAnsi="宋体"/>
          <w:color w:val="auto"/>
          <w:sz w:val="24"/>
        </w:rPr>
        <w:t>）不符合法律、法规和采购文件中规定的其他实质性要求的</w:t>
      </w:r>
      <w:r>
        <w:rPr>
          <w:rFonts w:hint="eastAsia" w:ascii="宋体" w:hAnsi="宋体"/>
          <w:color w:val="auto"/>
          <w:sz w:val="24"/>
        </w:rPr>
        <w:t>；</w:t>
      </w:r>
    </w:p>
    <w:p>
      <w:pPr>
        <w:widowControl/>
        <w:tabs>
          <w:tab w:val="left" w:pos="540"/>
        </w:tabs>
        <w:spacing w:line="380" w:lineRule="exact"/>
        <w:ind w:firstLine="480" w:firstLineChars="200"/>
        <w:jc w:val="left"/>
        <w:rPr>
          <w:rFonts w:hint="eastAsia" w:ascii="宋体" w:hAnsi="宋体"/>
          <w:color w:val="auto"/>
          <w:sz w:val="24"/>
        </w:rPr>
      </w:pPr>
      <w:r>
        <w:rPr>
          <w:rFonts w:hint="eastAsia" w:ascii="宋体" w:hAnsi="宋体"/>
          <w:color w:val="auto"/>
          <w:sz w:val="24"/>
        </w:rPr>
        <w:t>（7）未按第四章 “竞争性谈判响应文件格式”</w:t>
      </w:r>
      <w:r>
        <w:rPr>
          <w:rFonts w:ascii="宋体" w:hAnsi="宋体"/>
          <w:color w:val="auto"/>
          <w:sz w:val="24"/>
        </w:rPr>
        <w:t>提供的“</w:t>
      </w:r>
      <w:r>
        <w:rPr>
          <w:rFonts w:hint="eastAsia" w:ascii="宋体" w:hAnsi="宋体"/>
          <w:color w:val="auto"/>
          <w:sz w:val="24"/>
        </w:rPr>
        <w:t>附件</w:t>
      </w:r>
      <w:r>
        <w:rPr>
          <w:rFonts w:ascii="宋体" w:hAnsi="宋体"/>
          <w:color w:val="auto"/>
          <w:sz w:val="24"/>
        </w:rPr>
        <w:t>（格式）” 的要求填写</w:t>
      </w:r>
      <w:r>
        <w:rPr>
          <w:rFonts w:hint="eastAsia" w:ascii="宋体" w:hAnsi="宋体"/>
          <w:color w:val="auto"/>
          <w:sz w:val="24"/>
        </w:rPr>
        <w:t>的。</w:t>
      </w:r>
    </w:p>
    <w:p>
      <w:pPr>
        <w:widowControl/>
        <w:tabs>
          <w:tab w:val="left" w:pos="540"/>
        </w:tabs>
        <w:spacing w:line="380" w:lineRule="exact"/>
        <w:ind w:firstLine="480" w:firstLineChars="200"/>
        <w:jc w:val="left"/>
        <w:rPr>
          <w:rFonts w:hint="eastAsia" w:ascii="宋体" w:hAnsi="宋体"/>
          <w:color w:val="auto"/>
          <w:sz w:val="24"/>
        </w:rPr>
      </w:pPr>
      <w:r>
        <w:rPr>
          <w:rFonts w:hint="eastAsia" w:ascii="宋体" w:hAnsi="宋体"/>
          <w:color w:val="auto"/>
          <w:sz w:val="24"/>
        </w:rPr>
        <w:t>（8）竞标文件须由法定代表人或委托代理人在凡规定签名/签字、盖章处逐一签名和加盖公章，否则其竞标无效。</w:t>
      </w:r>
    </w:p>
    <w:p>
      <w:pPr>
        <w:widowControl/>
        <w:jc w:val="left"/>
        <w:rPr>
          <w:rFonts w:hint="eastAsia" w:ascii="宋体" w:hAnsi="宋体"/>
          <w:color w:val="auto"/>
          <w:sz w:val="24"/>
        </w:rPr>
      </w:pPr>
      <w:r>
        <w:rPr>
          <w:rFonts w:hint="eastAsia" w:ascii="宋体" w:hAnsi="宋体"/>
          <w:color w:val="auto"/>
          <w:sz w:val="24"/>
        </w:rPr>
        <w:t xml:space="preserve">    （9）竞标文件中属于“必须提供”的文件必须于本项目截标前与响应文件同时提交，否则，竞标无效。</w:t>
      </w:r>
    </w:p>
    <w:p>
      <w:pPr>
        <w:widowControl/>
        <w:tabs>
          <w:tab w:val="left" w:pos="540"/>
        </w:tabs>
        <w:spacing w:line="380" w:lineRule="exact"/>
        <w:ind w:firstLine="480" w:firstLineChars="200"/>
        <w:jc w:val="left"/>
        <w:rPr>
          <w:rFonts w:ascii="宋体" w:hAnsi="宋体"/>
          <w:bCs/>
          <w:color w:val="auto"/>
          <w:sz w:val="24"/>
        </w:rPr>
      </w:pPr>
      <w:r>
        <w:rPr>
          <w:rFonts w:hint="eastAsia" w:ascii="宋体" w:hAnsi="宋体"/>
          <w:bCs/>
          <w:color w:val="auto"/>
          <w:sz w:val="24"/>
        </w:rPr>
        <w:t>12.2</w:t>
      </w:r>
      <w:r>
        <w:rPr>
          <w:rFonts w:hint="eastAsia" w:ascii="宋体" w:hAnsi="宋体"/>
          <w:bCs/>
          <w:color w:val="auto"/>
          <w:sz w:val="24"/>
          <w:lang w:eastAsia="zh-CN"/>
        </w:rPr>
        <w:t>竞标人</w:t>
      </w:r>
      <w:r>
        <w:rPr>
          <w:rFonts w:hint="eastAsia" w:ascii="宋体" w:hAnsi="宋体"/>
          <w:bCs/>
          <w:color w:val="auto"/>
          <w:sz w:val="24"/>
        </w:rPr>
        <w:t>有下列情形之一的视为</w:t>
      </w:r>
      <w:r>
        <w:rPr>
          <w:rFonts w:hint="eastAsia" w:ascii="宋体" w:hAnsi="宋体"/>
          <w:bCs/>
          <w:color w:val="auto"/>
          <w:sz w:val="24"/>
          <w:lang w:eastAsia="zh-CN"/>
        </w:rPr>
        <w:t>竞标人</w:t>
      </w:r>
      <w:r>
        <w:rPr>
          <w:rFonts w:hint="eastAsia" w:ascii="宋体" w:hAnsi="宋体"/>
          <w:bCs/>
          <w:color w:val="auto"/>
          <w:sz w:val="24"/>
        </w:rPr>
        <w:t>相互串通竞标，响应文件将被视为无效：</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（1）不同</w:t>
      </w:r>
      <w:r>
        <w:rPr>
          <w:rFonts w:hint="eastAsia" w:ascii="宋体" w:hAnsi="宋体"/>
          <w:color w:val="auto"/>
          <w:sz w:val="24"/>
          <w:lang w:eastAsia="zh-CN"/>
        </w:rPr>
        <w:t>竞标人</w:t>
      </w:r>
      <w:r>
        <w:rPr>
          <w:rFonts w:hint="eastAsia" w:ascii="宋体" w:hAnsi="宋体"/>
          <w:color w:val="auto"/>
          <w:sz w:val="24"/>
        </w:rPr>
        <w:t>的响应文件由同一单位或者个人编制，或不同</w:t>
      </w:r>
      <w:r>
        <w:rPr>
          <w:rFonts w:hint="eastAsia" w:ascii="宋体" w:hAnsi="宋体"/>
          <w:color w:val="auto"/>
          <w:sz w:val="24"/>
          <w:lang w:eastAsia="zh-CN"/>
        </w:rPr>
        <w:t>竞标人</w:t>
      </w:r>
      <w:r>
        <w:rPr>
          <w:rFonts w:hint="eastAsia" w:ascii="宋体" w:hAnsi="宋体"/>
          <w:color w:val="auto"/>
          <w:sz w:val="24"/>
        </w:rPr>
        <w:t>报名的IP地址一致的；</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（2）不同</w:t>
      </w:r>
      <w:r>
        <w:rPr>
          <w:rFonts w:hint="eastAsia" w:ascii="宋体" w:hAnsi="宋体"/>
          <w:color w:val="auto"/>
          <w:sz w:val="24"/>
          <w:lang w:eastAsia="zh-CN"/>
        </w:rPr>
        <w:t>竞标人</w:t>
      </w:r>
      <w:r>
        <w:rPr>
          <w:rFonts w:hint="eastAsia" w:ascii="宋体" w:hAnsi="宋体"/>
          <w:color w:val="auto"/>
          <w:sz w:val="24"/>
        </w:rPr>
        <w:t>委托同一单位或者个人办理竞标事宜；</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（3）不同</w:t>
      </w:r>
      <w:r>
        <w:rPr>
          <w:rFonts w:hint="eastAsia" w:ascii="宋体" w:hAnsi="宋体"/>
          <w:color w:val="auto"/>
          <w:sz w:val="24"/>
          <w:lang w:eastAsia="zh-CN"/>
        </w:rPr>
        <w:t>竞标人</w:t>
      </w:r>
      <w:r>
        <w:rPr>
          <w:rFonts w:hint="eastAsia" w:ascii="宋体" w:hAnsi="宋体"/>
          <w:color w:val="auto"/>
          <w:sz w:val="24"/>
        </w:rPr>
        <w:t>的响应文件载明的项目管理员或项目实施人员为同一个人；</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（4）不同</w:t>
      </w:r>
      <w:r>
        <w:rPr>
          <w:rFonts w:hint="eastAsia" w:ascii="宋体" w:hAnsi="宋体"/>
          <w:color w:val="auto"/>
          <w:sz w:val="24"/>
          <w:lang w:eastAsia="zh-CN"/>
        </w:rPr>
        <w:t>竞标人</w:t>
      </w:r>
      <w:r>
        <w:rPr>
          <w:rFonts w:hint="eastAsia" w:ascii="宋体" w:hAnsi="宋体"/>
          <w:color w:val="auto"/>
          <w:sz w:val="24"/>
        </w:rPr>
        <w:t>的响应文件异常一致或竞标报价呈规律性差异；</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（5）不同</w:t>
      </w:r>
      <w:r>
        <w:rPr>
          <w:rFonts w:hint="eastAsia" w:ascii="宋体" w:hAnsi="宋体"/>
          <w:color w:val="auto"/>
          <w:sz w:val="24"/>
          <w:lang w:eastAsia="zh-CN"/>
        </w:rPr>
        <w:t>竞标人</w:t>
      </w:r>
      <w:r>
        <w:rPr>
          <w:rFonts w:hint="eastAsia" w:ascii="宋体" w:hAnsi="宋体"/>
          <w:color w:val="auto"/>
          <w:sz w:val="24"/>
        </w:rPr>
        <w:t>的响应文件相互混装；</w:t>
      </w:r>
    </w:p>
    <w:p>
      <w:pPr>
        <w:widowControl/>
        <w:tabs>
          <w:tab w:val="left" w:pos="540"/>
        </w:tabs>
        <w:spacing w:line="380" w:lineRule="exact"/>
        <w:ind w:firstLine="480" w:firstLineChars="200"/>
        <w:jc w:val="left"/>
        <w:rPr>
          <w:rFonts w:ascii="宋体" w:hAnsi="宋体"/>
          <w:bCs/>
          <w:color w:val="auto"/>
          <w:sz w:val="24"/>
        </w:rPr>
      </w:pPr>
      <w:r>
        <w:rPr>
          <w:rFonts w:hint="eastAsia" w:ascii="宋体" w:hAnsi="宋体"/>
          <w:bCs/>
          <w:color w:val="auto"/>
          <w:sz w:val="24"/>
        </w:rPr>
        <w:t>12.3 关联</w:t>
      </w:r>
      <w:r>
        <w:rPr>
          <w:rFonts w:hint="eastAsia" w:ascii="宋体" w:hAnsi="宋体"/>
          <w:bCs/>
          <w:color w:val="auto"/>
          <w:sz w:val="24"/>
          <w:lang w:eastAsia="zh-CN"/>
        </w:rPr>
        <w:t>竞标人</w:t>
      </w:r>
      <w:r>
        <w:rPr>
          <w:rFonts w:hint="eastAsia" w:ascii="宋体" w:hAnsi="宋体"/>
          <w:bCs/>
          <w:color w:val="auto"/>
          <w:sz w:val="24"/>
        </w:rPr>
        <w:t>不得参加同一合同项下政府采购活动，否则响应文件将被视为无效：</w:t>
      </w:r>
    </w:p>
    <w:p>
      <w:pPr>
        <w:widowControl/>
        <w:tabs>
          <w:tab w:val="left" w:pos="540"/>
        </w:tabs>
        <w:spacing w:line="380" w:lineRule="exact"/>
        <w:ind w:firstLine="480" w:firstLineChars="200"/>
        <w:jc w:val="left"/>
        <w:rPr>
          <w:rFonts w:ascii="宋体" w:hAnsi="宋体"/>
          <w:color w:val="auto"/>
          <w:sz w:val="24"/>
        </w:rPr>
      </w:pPr>
      <w:r>
        <w:rPr>
          <w:rFonts w:hint="eastAsia" w:ascii="宋体" w:hAnsi="宋体"/>
          <w:color w:val="auto"/>
          <w:sz w:val="24"/>
        </w:rPr>
        <w:t>（1）单位负责人为同一人或者存在直接控股、管理关系的不同的</w:t>
      </w:r>
      <w:r>
        <w:rPr>
          <w:rFonts w:hint="eastAsia" w:ascii="宋体" w:hAnsi="宋体"/>
          <w:color w:val="auto"/>
          <w:sz w:val="24"/>
          <w:lang w:eastAsia="zh-CN"/>
        </w:rPr>
        <w:t>竞标人</w:t>
      </w:r>
      <w:r>
        <w:rPr>
          <w:rFonts w:hint="eastAsia" w:ascii="宋体" w:hAnsi="宋体"/>
          <w:color w:val="auto"/>
          <w:sz w:val="24"/>
        </w:rPr>
        <w:t>，不得参加同一合同项下的政府采购活动；</w:t>
      </w:r>
    </w:p>
    <w:p>
      <w:pPr>
        <w:spacing w:line="380" w:lineRule="exact"/>
        <w:ind w:firstLine="480" w:firstLineChars="200"/>
        <w:rPr>
          <w:rFonts w:hint="eastAsia" w:ascii="宋体" w:hAnsi="宋体"/>
          <w:color w:val="auto"/>
          <w:sz w:val="24"/>
        </w:rPr>
      </w:pPr>
      <w:r>
        <w:rPr>
          <w:rFonts w:hint="eastAsia" w:ascii="宋体" w:hAnsi="宋体"/>
          <w:color w:val="auto"/>
          <w:sz w:val="24"/>
        </w:rPr>
        <w:t>（2）生产厂商授权给</w:t>
      </w:r>
      <w:r>
        <w:rPr>
          <w:rFonts w:hint="eastAsia" w:ascii="宋体" w:hAnsi="宋体"/>
          <w:color w:val="auto"/>
          <w:sz w:val="24"/>
          <w:lang w:eastAsia="zh-CN"/>
        </w:rPr>
        <w:t>竞标人</w:t>
      </w:r>
      <w:r>
        <w:rPr>
          <w:rFonts w:hint="eastAsia" w:ascii="宋体" w:hAnsi="宋体"/>
          <w:color w:val="auto"/>
          <w:sz w:val="24"/>
        </w:rPr>
        <w:t>后自己不得参加同一合同项下的政府采购活动；生产厂商对同一品牌同一型号的货物，仅能委托一个代理商参加竞标。</w:t>
      </w:r>
    </w:p>
    <w:p>
      <w:pPr>
        <w:spacing w:line="400" w:lineRule="exact"/>
        <w:ind w:firstLine="482" w:firstLineChars="200"/>
        <w:rPr>
          <w:rFonts w:hint="eastAsia" w:ascii="宋体" w:hAnsi="宋体"/>
          <w:b/>
          <w:color w:val="auto"/>
          <w:sz w:val="24"/>
        </w:rPr>
      </w:pPr>
      <w:r>
        <w:rPr>
          <w:rFonts w:hint="eastAsia" w:ascii="宋体" w:hAnsi="宋体"/>
          <w:b/>
          <w:color w:val="auto"/>
          <w:sz w:val="24"/>
        </w:rPr>
        <w:t>六、确定成交</w:t>
      </w:r>
      <w:r>
        <w:rPr>
          <w:rFonts w:hint="eastAsia" w:ascii="宋体" w:hAnsi="宋体"/>
          <w:b/>
          <w:color w:val="auto"/>
          <w:sz w:val="24"/>
          <w:lang w:eastAsia="zh-CN"/>
        </w:rPr>
        <w:t>竞标人</w:t>
      </w:r>
      <w:r>
        <w:rPr>
          <w:rFonts w:hint="eastAsia" w:ascii="宋体" w:hAnsi="宋体"/>
          <w:b/>
          <w:color w:val="auto"/>
          <w:sz w:val="24"/>
        </w:rPr>
        <w:t>办法</w:t>
      </w:r>
    </w:p>
    <w:p>
      <w:pPr>
        <w:widowControl/>
        <w:tabs>
          <w:tab w:val="left" w:pos="540"/>
        </w:tabs>
        <w:spacing w:line="400" w:lineRule="exact"/>
        <w:ind w:firstLine="480" w:firstLineChars="200"/>
        <w:jc w:val="left"/>
        <w:rPr>
          <w:rFonts w:hint="eastAsia" w:ascii="宋体" w:hAnsi="宋体"/>
          <w:color w:val="auto"/>
          <w:sz w:val="24"/>
        </w:rPr>
      </w:pPr>
      <w:r>
        <w:rPr>
          <w:rFonts w:hint="eastAsia" w:ascii="宋体" w:hAnsi="宋体"/>
          <w:color w:val="auto"/>
          <w:sz w:val="24"/>
        </w:rPr>
        <w:t>12.1谈判小组应当从质量和服务均能满足采购文件实质性响应要求的</w:t>
      </w:r>
      <w:r>
        <w:rPr>
          <w:rFonts w:hint="eastAsia" w:ascii="宋体" w:hAnsi="宋体"/>
          <w:color w:val="auto"/>
          <w:sz w:val="24"/>
          <w:lang w:eastAsia="zh-CN"/>
        </w:rPr>
        <w:t>竞标人</w:t>
      </w:r>
      <w:r>
        <w:rPr>
          <w:rFonts w:hint="eastAsia" w:ascii="宋体" w:hAnsi="宋体"/>
          <w:color w:val="auto"/>
          <w:sz w:val="24"/>
        </w:rPr>
        <w:t>中，按照最后评标报价由低到高的顺序提出成交候选人（见第二章评标方法）。</w:t>
      </w:r>
    </w:p>
    <w:p>
      <w:pPr>
        <w:widowControl/>
        <w:tabs>
          <w:tab w:val="left" w:pos="540"/>
        </w:tabs>
        <w:spacing w:line="400" w:lineRule="exact"/>
        <w:ind w:firstLine="480" w:firstLineChars="200"/>
        <w:jc w:val="left"/>
        <w:rPr>
          <w:rFonts w:hint="eastAsia" w:ascii="宋体" w:hAnsi="宋体"/>
          <w:color w:val="auto"/>
          <w:sz w:val="24"/>
        </w:rPr>
      </w:pPr>
      <w:r>
        <w:rPr>
          <w:rFonts w:hint="eastAsia" w:ascii="宋体" w:hAnsi="宋体"/>
          <w:color w:val="auto"/>
          <w:sz w:val="24"/>
        </w:rPr>
        <w:t>12.2采购人在收到评审报告后2个工作日内，从评审报告提出的成交候选人中，根据质量和服务均能满足谈判采购文件实质性响应要求且最后评标报价最低的原则确定成交</w:t>
      </w:r>
      <w:r>
        <w:rPr>
          <w:rFonts w:hint="eastAsia" w:ascii="宋体" w:hAnsi="宋体"/>
          <w:color w:val="auto"/>
          <w:sz w:val="24"/>
          <w:lang w:eastAsia="zh-CN"/>
        </w:rPr>
        <w:t>竞标人</w:t>
      </w:r>
      <w:r>
        <w:rPr>
          <w:rFonts w:hint="eastAsia" w:ascii="宋体" w:hAnsi="宋体"/>
          <w:color w:val="auto"/>
          <w:sz w:val="24"/>
        </w:rPr>
        <w:t>。</w:t>
      </w:r>
    </w:p>
    <w:p>
      <w:pPr>
        <w:spacing w:line="400" w:lineRule="exact"/>
        <w:ind w:left="420" w:leftChars="200" w:firstLine="120" w:firstLineChars="50"/>
        <w:rPr>
          <w:rFonts w:hint="eastAsia" w:ascii="宋体" w:hAnsi="宋体"/>
          <w:b/>
          <w:color w:val="auto"/>
          <w:sz w:val="24"/>
        </w:rPr>
      </w:pPr>
    </w:p>
    <w:p>
      <w:pPr>
        <w:spacing w:line="400" w:lineRule="exact"/>
        <w:ind w:left="420" w:leftChars="200" w:firstLine="120" w:firstLineChars="50"/>
        <w:rPr>
          <w:rFonts w:hint="eastAsia" w:ascii="宋体" w:hAnsi="宋体"/>
          <w:b/>
          <w:color w:val="auto"/>
          <w:sz w:val="24"/>
        </w:rPr>
      </w:pPr>
      <w:r>
        <w:rPr>
          <w:rFonts w:hint="eastAsia" w:ascii="宋体" w:hAnsi="宋体"/>
          <w:b/>
          <w:color w:val="auto"/>
          <w:sz w:val="24"/>
        </w:rPr>
        <w:t>七、签订合同</w:t>
      </w:r>
    </w:p>
    <w:p>
      <w:pPr>
        <w:widowControl/>
        <w:tabs>
          <w:tab w:val="left" w:pos="540"/>
        </w:tabs>
        <w:spacing w:line="400" w:lineRule="exact"/>
        <w:ind w:firstLine="480" w:firstLineChars="200"/>
        <w:jc w:val="left"/>
        <w:rPr>
          <w:rFonts w:hint="eastAsia" w:ascii="宋体" w:hAnsi="宋体"/>
          <w:color w:val="auto"/>
          <w:sz w:val="24"/>
        </w:rPr>
      </w:pPr>
      <w:r>
        <w:rPr>
          <w:rFonts w:hint="eastAsia" w:ascii="宋体" w:hAnsi="宋体"/>
          <w:color w:val="auto"/>
          <w:sz w:val="24"/>
        </w:rPr>
        <w:t>13.成交</w:t>
      </w:r>
      <w:r>
        <w:rPr>
          <w:rFonts w:hint="eastAsia" w:ascii="宋体" w:hAnsi="宋体"/>
          <w:color w:val="auto"/>
          <w:sz w:val="24"/>
          <w:lang w:eastAsia="zh-CN"/>
        </w:rPr>
        <w:t>竞标人</w:t>
      </w:r>
      <w:r>
        <w:rPr>
          <w:rFonts w:hint="eastAsia" w:ascii="宋体" w:hAnsi="宋体"/>
          <w:color w:val="auto"/>
          <w:sz w:val="24"/>
        </w:rPr>
        <w:t>在收到成交通知书后，按规定与采购人签订供货服务合同。</w:t>
      </w:r>
    </w:p>
    <w:p>
      <w:pPr>
        <w:spacing w:line="400" w:lineRule="exact"/>
        <w:ind w:left="420" w:leftChars="200" w:firstLine="120" w:firstLineChars="50"/>
        <w:rPr>
          <w:rFonts w:hint="eastAsia" w:ascii="宋体" w:hAnsi="宋体"/>
          <w:b/>
          <w:color w:val="auto"/>
          <w:sz w:val="24"/>
        </w:rPr>
      </w:pPr>
      <w:r>
        <w:rPr>
          <w:rFonts w:hint="eastAsia" w:ascii="宋体" w:hAnsi="宋体"/>
          <w:b/>
          <w:color w:val="auto"/>
          <w:sz w:val="24"/>
        </w:rPr>
        <w:t>八、适用法律</w:t>
      </w:r>
    </w:p>
    <w:p>
      <w:pPr>
        <w:widowControl/>
        <w:tabs>
          <w:tab w:val="left" w:pos="540"/>
        </w:tabs>
        <w:spacing w:line="400" w:lineRule="exact"/>
        <w:ind w:firstLine="480" w:firstLineChars="200"/>
        <w:jc w:val="left"/>
        <w:rPr>
          <w:rFonts w:hint="eastAsia" w:ascii="宋体" w:hAnsi="宋体"/>
          <w:color w:val="auto"/>
          <w:sz w:val="24"/>
        </w:rPr>
      </w:pPr>
      <w:r>
        <w:rPr>
          <w:rFonts w:hint="eastAsia" w:ascii="宋体" w:hAnsi="宋体"/>
          <w:color w:val="auto"/>
          <w:sz w:val="24"/>
        </w:rPr>
        <w:t>14.采购当事人的一切活动均适用于《中华人民共和国政府采购法》及相关规定。</w:t>
      </w:r>
    </w:p>
    <w:p>
      <w:pPr>
        <w:widowControl/>
        <w:tabs>
          <w:tab w:val="left" w:pos="540"/>
        </w:tabs>
        <w:spacing w:line="400" w:lineRule="exact"/>
        <w:ind w:firstLine="480" w:firstLineChars="200"/>
        <w:jc w:val="left"/>
        <w:rPr>
          <w:rFonts w:hint="eastAsia" w:ascii="宋体" w:hAnsi="宋体"/>
          <w:color w:val="auto"/>
          <w:sz w:val="24"/>
        </w:rPr>
      </w:pPr>
      <w:r>
        <w:rPr>
          <w:rFonts w:hint="eastAsia" w:ascii="宋体" w:hAnsi="宋体"/>
          <w:color w:val="auto"/>
          <w:sz w:val="24"/>
        </w:rPr>
        <w:t>最终谈判结束后，谈判小组不得再与竞标人进行任何形式的商谈。</w:t>
      </w:r>
    </w:p>
    <w:p>
      <w:pPr>
        <w:pStyle w:val="3"/>
        <w:jc w:val="center"/>
        <w:rPr>
          <w:rFonts w:hint="eastAsia"/>
          <w:color w:val="auto"/>
          <w:sz w:val="36"/>
          <w:szCs w:val="36"/>
        </w:rPr>
      </w:pPr>
      <w:r>
        <w:rPr>
          <w:color w:val="auto"/>
        </w:rPr>
        <w:br w:type="page"/>
      </w:r>
      <w:bookmarkStart w:id="47" w:name="_Toc48212404"/>
      <w:r>
        <w:rPr>
          <w:rFonts w:hint="eastAsia"/>
          <w:color w:val="auto"/>
          <w:sz w:val="32"/>
          <w:szCs w:val="36"/>
        </w:rPr>
        <w:t>第二章  评标方法</w:t>
      </w:r>
      <w:bookmarkEnd w:id="47"/>
    </w:p>
    <w:p>
      <w:pPr>
        <w:spacing w:line="500" w:lineRule="exact"/>
        <w:ind w:firstLine="480" w:firstLineChars="200"/>
        <w:rPr>
          <w:rFonts w:hint="eastAsia" w:ascii="宋体" w:hAnsi="宋体"/>
          <w:color w:val="auto"/>
          <w:sz w:val="24"/>
        </w:rPr>
      </w:pPr>
      <w:r>
        <w:rPr>
          <w:rFonts w:hint="eastAsia" w:ascii="宋体" w:hAnsi="宋体"/>
          <w:color w:val="auto"/>
          <w:sz w:val="24"/>
        </w:rPr>
        <w:t>一、评标原则：</w:t>
      </w:r>
    </w:p>
    <w:p>
      <w:pPr>
        <w:spacing w:line="500" w:lineRule="exact"/>
        <w:ind w:firstLine="480" w:firstLineChars="200"/>
        <w:rPr>
          <w:rFonts w:hint="eastAsia" w:ascii="宋体" w:hAnsi="宋体"/>
          <w:color w:val="auto"/>
          <w:sz w:val="24"/>
        </w:rPr>
      </w:pPr>
      <w:r>
        <w:rPr>
          <w:rFonts w:hint="eastAsia" w:ascii="宋体" w:hAnsi="宋体"/>
          <w:color w:val="auto"/>
          <w:sz w:val="24"/>
        </w:rPr>
        <w:t>（一）谈判小组的构成：本采购项目的谈判小组分别由依法组成的评审专家、采购人代表等三人组成，其中专家人数不少于成员总数的三分之二。</w:t>
      </w:r>
    </w:p>
    <w:p>
      <w:pPr>
        <w:spacing w:line="500" w:lineRule="exact"/>
        <w:ind w:firstLine="480" w:firstLineChars="200"/>
        <w:rPr>
          <w:rFonts w:hint="eastAsia" w:ascii="宋体" w:hAnsi="宋体"/>
          <w:color w:val="auto"/>
          <w:sz w:val="24"/>
        </w:rPr>
      </w:pPr>
      <w:r>
        <w:rPr>
          <w:rFonts w:hint="eastAsia" w:ascii="宋体" w:hAnsi="宋体"/>
          <w:color w:val="auto"/>
          <w:sz w:val="24"/>
        </w:rPr>
        <w:t>（二）评标依据：以谈判采购文件、竞标文件为评定依据。</w:t>
      </w:r>
    </w:p>
    <w:p>
      <w:pPr>
        <w:spacing w:line="500" w:lineRule="exact"/>
        <w:ind w:firstLine="480" w:firstLineChars="200"/>
        <w:rPr>
          <w:rFonts w:hint="eastAsia" w:ascii="宋体" w:hAnsi="宋体"/>
          <w:color w:val="auto"/>
          <w:sz w:val="24"/>
        </w:rPr>
      </w:pPr>
      <w:r>
        <w:rPr>
          <w:rFonts w:hint="eastAsia" w:ascii="宋体" w:hAnsi="宋体"/>
          <w:color w:val="auto"/>
          <w:sz w:val="24"/>
        </w:rPr>
        <w:t>（三）评标方法：根据质量和服务均能满足谈判采购文件实质性响应要求且最后评标报价最低的原则确定成交</w:t>
      </w:r>
      <w:r>
        <w:rPr>
          <w:rFonts w:hint="eastAsia" w:ascii="宋体" w:hAnsi="宋体"/>
          <w:color w:val="auto"/>
          <w:sz w:val="24"/>
          <w:lang w:eastAsia="zh-CN"/>
        </w:rPr>
        <w:t>竞标人</w:t>
      </w:r>
      <w:r>
        <w:rPr>
          <w:rFonts w:hint="eastAsia" w:ascii="宋体" w:hAnsi="宋体"/>
          <w:color w:val="auto"/>
          <w:sz w:val="24"/>
        </w:rPr>
        <w:t>。</w:t>
      </w:r>
    </w:p>
    <w:p>
      <w:pPr>
        <w:spacing w:line="500" w:lineRule="exact"/>
        <w:ind w:firstLine="480" w:firstLineChars="200"/>
        <w:rPr>
          <w:rFonts w:hint="eastAsia" w:ascii="宋体" w:hAnsi="宋体"/>
          <w:color w:val="auto"/>
          <w:sz w:val="24"/>
        </w:rPr>
      </w:pPr>
      <w:r>
        <w:rPr>
          <w:rFonts w:hint="eastAsia" w:ascii="宋体" w:hAnsi="宋体"/>
          <w:color w:val="auto"/>
          <w:sz w:val="24"/>
        </w:rPr>
        <w:t>（四）按照《政府采购促进中小企业发展暂行办法》（财库[2011]181号）、</w:t>
      </w:r>
      <w:r>
        <w:rPr>
          <w:rFonts w:hint="eastAsia" w:ascii="宋体" w:hAnsi="宋体" w:cs="Courier New"/>
          <w:bCs/>
          <w:color w:val="auto"/>
          <w:sz w:val="24"/>
        </w:rPr>
        <w:t>《政府采购支持监狱企业发展有关问题的通知》（财库[2014]37号）</w:t>
      </w:r>
      <w:r>
        <w:rPr>
          <w:rFonts w:hint="eastAsia" w:ascii="宋体" w:hAnsi="宋体"/>
          <w:color w:val="auto"/>
          <w:sz w:val="24"/>
        </w:rPr>
        <w:t>，竞标单位认定为小型和微型企业的（以竞标文件提供的符合规定的有关证明材料为准），并提供本企业制造的货物，由本企业承担工程、提供服务，或者提供其他小型、微型企业制造的货物的（不包括使用大型企业注册商标的货物），对小型和微型企业产品价格给予</w:t>
      </w:r>
      <w:r>
        <w:rPr>
          <w:rFonts w:hint="eastAsia" w:ascii="宋体" w:hAnsi="宋体"/>
          <w:color w:val="auto"/>
          <w:sz w:val="24"/>
          <w:lang w:val="en-US" w:eastAsia="zh-CN"/>
        </w:rPr>
        <w:t>10</w:t>
      </w:r>
      <w:r>
        <w:rPr>
          <w:rFonts w:hint="eastAsia" w:ascii="宋体" w:hAnsi="宋体"/>
          <w:color w:val="auto"/>
          <w:sz w:val="24"/>
        </w:rPr>
        <w:t>%的扣除，扣除后的价格为评标价，即评标价=竞标报价×（1-</w:t>
      </w:r>
      <w:r>
        <w:rPr>
          <w:rFonts w:hint="eastAsia" w:ascii="宋体" w:hAnsi="宋体"/>
          <w:color w:val="auto"/>
          <w:sz w:val="24"/>
          <w:lang w:val="en-US" w:eastAsia="zh-CN"/>
        </w:rPr>
        <w:t>10</w:t>
      </w:r>
      <w:r>
        <w:rPr>
          <w:rFonts w:hint="eastAsia" w:ascii="宋体" w:hAnsi="宋体"/>
          <w:color w:val="auto"/>
          <w:sz w:val="24"/>
        </w:rPr>
        <w:t>%）,除上述情况外，评标报价=最终竞标报价</w:t>
      </w:r>
    </w:p>
    <w:p>
      <w:pPr>
        <w:pStyle w:val="12"/>
        <w:spacing w:line="500" w:lineRule="exact"/>
        <w:ind w:firstLine="480" w:firstLineChars="200"/>
        <w:rPr>
          <w:rFonts w:hint="eastAsia" w:hAnsi="宋体"/>
          <w:bCs/>
          <w:color w:val="auto"/>
          <w:sz w:val="24"/>
          <w:szCs w:val="24"/>
        </w:rPr>
      </w:pPr>
      <w:r>
        <w:rPr>
          <w:rFonts w:hint="eastAsia" w:hAnsi="宋体"/>
          <w:bCs/>
          <w:color w:val="auto"/>
          <w:sz w:val="24"/>
          <w:szCs w:val="24"/>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2"/>
        <w:spacing w:line="500" w:lineRule="exact"/>
        <w:ind w:firstLine="480" w:firstLineChars="200"/>
        <w:rPr>
          <w:rFonts w:hint="eastAsia" w:hAnsi="宋体"/>
          <w:bCs/>
          <w:color w:val="auto"/>
          <w:sz w:val="24"/>
          <w:szCs w:val="24"/>
        </w:rPr>
      </w:pPr>
      <w:r>
        <w:rPr>
          <w:rFonts w:hint="eastAsia" w:hAnsi="宋体"/>
          <w:bCs/>
          <w:color w:val="auto"/>
          <w:sz w:val="24"/>
          <w:szCs w:val="24"/>
        </w:rPr>
        <w:t>残疾人福利性单位视同小型、微型企业。符合条件的残疾人福利性单位在参加政府采购活动时，应当提供规定的《残疾人福利性单位声明函》，并对声明的真实性负责。</w:t>
      </w:r>
    </w:p>
    <w:p>
      <w:pPr>
        <w:spacing w:line="500" w:lineRule="exact"/>
        <w:ind w:firstLine="480" w:firstLineChars="200"/>
        <w:rPr>
          <w:rFonts w:hint="eastAsia" w:ascii="宋体" w:hAnsi="宋体"/>
          <w:color w:val="auto"/>
          <w:sz w:val="24"/>
        </w:rPr>
      </w:pPr>
      <w:r>
        <w:rPr>
          <w:rFonts w:hint="eastAsia" w:ascii="宋体" w:hAnsi="宋体"/>
          <w:color w:val="auto"/>
          <w:sz w:val="24"/>
        </w:rPr>
        <w:t xml:space="preserve">   二、成交候选</w:t>
      </w:r>
      <w:r>
        <w:rPr>
          <w:rFonts w:hint="eastAsia" w:ascii="宋体" w:hAnsi="宋体"/>
          <w:color w:val="auto"/>
          <w:sz w:val="24"/>
          <w:lang w:eastAsia="zh-CN"/>
        </w:rPr>
        <w:t>竞标人</w:t>
      </w:r>
      <w:r>
        <w:rPr>
          <w:rFonts w:hint="eastAsia" w:ascii="宋体" w:hAnsi="宋体"/>
          <w:color w:val="auto"/>
          <w:sz w:val="24"/>
        </w:rPr>
        <w:t>推荐原则</w:t>
      </w:r>
    </w:p>
    <w:p>
      <w:pPr>
        <w:spacing w:line="500" w:lineRule="exact"/>
        <w:ind w:firstLine="600" w:firstLineChars="250"/>
        <w:rPr>
          <w:rFonts w:hint="eastAsia" w:ascii="宋体" w:hAnsi="宋体"/>
          <w:color w:val="auto"/>
          <w:sz w:val="24"/>
        </w:rPr>
      </w:pPr>
      <w:r>
        <w:rPr>
          <w:rFonts w:hint="eastAsia" w:ascii="宋体" w:hAnsi="宋体"/>
          <w:color w:val="auto"/>
          <w:sz w:val="24"/>
        </w:rPr>
        <w:t>(一) 谈判小组应当从质量和服务均能满足采购文件实质性响应要求的</w:t>
      </w:r>
      <w:r>
        <w:rPr>
          <w:rFonts w:hint="eastAsia" w:ascii="宋体" w:hAnsi="宋体"/>
          <w:color w:val="auto"/>
          <w:sz w:val="24"/>
          <w:lang w:eastAsia="zh-CN"/>
        </w:rPr>
        <w:t>竞标人</w:t>
      </w:r>
      <w:r>
        <w:rPr>
          <w:rFonts w:hint="eastAsia" w:ascii="宋体" w:hAnsi="宋体"/>
          <w:color w:val="auto"/>
          <w:sz w:val="24"/>
        </w:rPr>
        <w:t>中，按照最后竞标报价由低到高的顺序提出成交候选人(竞标报价相同时，由谈判小组集体讨论确定排序，并按由低到高的原则推荐成交候选</w:t>
      </w:r>
      <w:r>
        <w:rPr>
          <w:rFonts w:hint="eastAsia" w:ascii="宋体" w:hAnsi="宋体"/>
          <w:color w:val="auto"/>
          <w:sz w:val="24"/>
          <w:lang w:eastAsia="zh-CN"/>
        </w:rPr>
        <w:t>竞标人</w:t>
      </w:r>
      <w:r>
        <w:rPr>
          <w:rFonts w:hint="eastAsia" w:ascii="宋体" w:hAnsi="宋体"/>
          <w:color w:val="auto"/>
          <w:sz w:val="24"/>
        </w:rPr>
        <w:t xml:space="preserve">)。采购单位应当确定谈判小组推荐排名第一的成交候选人为成交人。排名第一的成交候选人放弃成交、因不可抗力提出不能履行合同，或者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    </w:t>
      </w:r>
    </w:p>
    <w:p>
      <w:pPr>
        <w:widowControl/>
        <w:tabs>
          <w:tab w:val="left" w:pos="540"/>
        </w:tabs>
        <w:spacing w:line="400" w:lineRule="exact"/>
        <w:ind w:firstLine="480" w:firstLineChars="200"/>
        <w:jc w:val="left"/>
        <w:rPr>
          <w:rFonts w:ascii="宋体" w:hAnsi="宋体"/>
          <w:szCs w:val="21"/>
        </w:rPr>
      </w:pPr>
      <w:r>
        <w:rPr>
          <w:rFonts w:hint="eastAsia" w:ascii="宋体" w:hAnsi="宋体"/>
          <w:color w:val="auto"/>
          <w:sz w:val="24"/>
        </w:rPr>
        <w:t>（二) 谈判小组认为，某竞标人的有效竞标报价或者某些分项报价明显不合理或者低于成本，有可能影响商品质量和不能诚信履约的，竞</w:t>
      </w:r>
      <w:r>
        <w:rPr>
          <w:rFonts w:ascii="宋体" w:hAnsi="宋体"/>
          <w:color w:val="auto"/>
          <w:sz w:val="24"/>
        </w:rPr>
        <w:t>标人必须提供本项目成本分析报告，同时提供（包括但不限于）以下支撑证明材料：</w:t>
      </w:r>
      <w:r>
        <w:rPr>
          <w:rFonts w:hint="eastAsia" w:ascii="宋体" w:hAnsi="宋体"/>
          <w:color w:val="auto"/>
          <w:sz w:val="24"/>
        </w:rPr>
        <w:t>①</w:t>
      </w:r>
      <w:r>
        <w:rPr>
          <w:rFonts w:ascii="宋体" w:hAnsi="宋体"/>
          <w:color w:val="auto"/>
          <w:sz w:val="24"/>
        </w:rPr>
        <w:t>行政机构税务部门开具的拟派项目组人员的《依法缴纳个人所得税或依法免缴个人所得税的凭证(与本次竞标所提供社保证明同月份)》；</w:t>
      </w:r>
      <w:r>
        <w:rPr>
          <w:rFonts w:hint="eastAsia" w:ascii="宋体" w:hAnsi="宋体"/>
          <w:color w:val="auto"/>
          <w:sz w:val="24"/>
        </w:rPr>
        <w:t>②</w:t>
      </w:r>
      <w:r>
        <w:rPr>
          <w:rFonts w:ascii="宋体" w:hAnsi="宋体"/>
          <w:color w:val="auto"/>
          <w:sz w:val="24"/>
        </w:rPr>
        <w:t>20</w:t>
      </w:r>
      <w:r>
        <w:rPr>
          <w:rFonts w:hint="eastAsia" w:ascii="宋体" w:hAnsi="宋体"/>
          <w:color w:val="auto"/>
          <w:sz w:val="24"/>
        </w:rPr>
        <w:t>17</w:t>
      </w:r>
      <w:r>
        <w:rPr>
          <w:rFonts w:ascii="宋体" w:hAnsi="宋体"/>
          <w:color w:val="auto"/>
          <w:sz w:val="24"/>
        </w:rPr>
        <w:t>年度～20</w:t>
      </w:r>
      <w:r>
        <w:rPr>
          <w:rFonts w:hint="eastAsia" w:ascii="宋体" w:hAnsi="宋体"/>
          <w:color w:val="auto"/>
          <w:sz w:val="24"/>
        </w:rPr>
        <w:t>19</w:t>
      </w:r>
      <w:r>
        <w:rPr>
          <w:rFonts w:ascii="宋体" w:hAnsi="宋体"/>
          <w:color w:val="auto"/>
          <w:sz w:val="24"/>
        </w:rPr>
        <w:t>年度经具备甲级审计资质的机构出具的审计报告[包括其固定资产成本及折旧、管理成本、人工费成本（银行出具的工资流水证明原件）、技术成本、税收（相关职能部门出具的税收缴纳证明原件）等所有成本及利润]复印件（原件现场核查），</w:t>
      </w:r>
      <w:r>
        <w:rPr>
          <w:rFonts w:hint="eastAsia" w:ascii="宋体" w:hAnsi="宋体"/>
          <w:color w:val="auto"/>
          <w:sz w:val="24"/>
        </w:rPr>
        <w:t>③</w:t>
      </w:r>
      <w:r>
        <w:rPr>
          <w:rFonts w:ascii="宋体" w:hAnsi="宋体"/>
          <w:color w:val="auto"/>
          <w:sz w:val="24"/>
        </w:rPr>
        <w:t>提供至少3个类似调查业绩的费用成本组成明细（有合同双方盖章证明复印件、中标公告查询链接、验收证明复印件、报价一览表复印件，原件现场核查），如不提供或评委认定其资料不能详尽合理说明其成本的，则视为低于</w:t>
      </w:r>
      <w:r>
        <w:rPr>
          <w:rFonts w:hint="eastAsia" w:ascii="宋体" w:hAnsi="宋体"/>
          <w:color w:val="auto"/>
          <w:sz w:val="24"/>
        </w:rPr>
        <w:t>竞</w:t>
      </w:r>
      <w:r>
        <w:rPr>
          <w:rFonts w:ascii="宋体" w:hAnsi="宋体"/>
          <w:color w:val="auto"/>
          <w:sz w:val="24"/>
        </w:rPr>
        <w:t>标人成本价报价，</w:t>
      </w:r>
      <w:r>
        <w:rPr>
          <w:rFonts w:hint="eastAsia" w:ascii="宋体" w:hAnsi="宋体"/>
          <w:color w:val="auto"/>
          <w:sz w:val="24"/>
        </w:rPr>
        <w:t>竞</w:t>
      </w:r>
      <w:r>
        <w:rPr>
          <w:rFonts w:ascii="宋体" w:hAnsi="宋体"/>
          <w:color w:val="auto"/>
          <w:sz w:val="24"/>
        </w:rPr>
        <w:t>标无效。</w:t>
      </w:r>
    </w:p>
    <w:p>
      <w:pPr>
        <w:widowControl/>
        <w:tabs>
          <w:tab w:val="left" w:pos="540"/>
        </w:tabs>
        <w:spacing w:line="400" w:lineRule="exact"/>
        <w:ind w:firstLine="420" w:firstLineChars="200"/>
        <w:jc w:val="left"/>
        <w:rPr>
          <w:rFonts w:ascii="宋体" w:hAnsi="宋体"/>
          <w:szCs w:val="21"/>
        </w:rPr>
      </w:pPr>
    </w:p>
    <w:p>
      <w:pPr>
        <w:spacing w:line="400" w:lineRule="exact"/>
        <w:jc w:val="center"/>
        <w:outlineLvl w:val="0"/>
        <w:rPr>
          <w:b/>
          <w:sz w:val="32"/>
        </w:rPr>
      </w:pPr>
      <w:r>
        <w:rPr>
          <w:rFonts w:ascii="宋体" w:hAnsi="宋体"/>
          <w:szCs w:val="21"/>
        </w:rPr>
        <w:br w:type="page"/>
      </w:r>
      <w:bookmarkStart w:id="48" w:name="_Toc2711"/>
      <w:r>
        <w:rPr>
          <w:rFonts w:hint="eastAsia"/>
          <w:b/>
          <w:sz w:val="32"/>
        </w:rPr>
        <w:t>第三章  采购项目需求一览表</w:t>
      </w:r>
      <w:bookmarkEnd w:id="48"/>
    </w:p>
    <w:p>
      <w:pPr>
        <w:spacing w:line="400" w:lineRule="exact"/>
        <w:jc w:val="center"/>
        <w:rPr>
          <w:b/>
          <w:sz w:val="32"/>
        </w:rPr>
      </w:pPr>
    </w:p>
    <w:p>
      <w:pPr>
        <w:spacing w:line="400" w:lineRule="exact"/>
        <w:ind w:firstLine="413" w:firstLineChars="196"/>
        <w:rPr>
          <w:rFonts w:ascii="宋体" w:hAnsi="宋体"/>
          <w:b/>
          <w:bCs/>
        </w:rPr>
      </w:pPr>
      <w:r>
        <w:rPr>
          <w:rFonts w:hint="eastAsia" w:ascii="宋体" w:hAnsi="宋体"/>
          <w:b/>
          <w:bCs/>
        </w:rPr>
        <w:t>说明：</w:t>
      </w:r>
    </w:p>
    <w:p>
      <w:pPr>
        <w:spacing w:line="400" w:lineRule="exact"/>
        <w:ind w:left="-10" w:leftChars="-5" w:right="2" w:rightChars="1" w:firstLine="422" w:firstLineChars="200"/>
        <w:rPr>
          <w:rFonts w:ascii="宋体" w:hAnsi="宋体"/>
          <w:b/>
          <w:bCs/>
        </w:rPr>
      </w:pPr>
      <w:r>
        <w:rPr>
          <w:rFonts w:hint="eastAsia" w:ascii="宋体" w:hAnsi="宋体"/>
          <w:b/>
          <w:bCs/>
        </w:rPr>
        <w:t>1、</w:t>
      </w:r>
      <w:r>
        <w:rPr>
          <w:rFonts w:hint="eastAsia" w:ascii="宋体" w:hAnsi="宋体"/>
          <w:b/>
          <w:bCs/>
          <w:lang w:eastAsia="zh-CN"/>
        </w:rPr>
        <w:t>竞标竞标人</w:t>
      </w:r>
      <w:r>
        <w:rPr>
          <w:rFonts w:hint="eastAsia" w:ascii="宋体" w:hAnsi="宋体"/>
          <w:b/>
          <w:bCs/>
        </w:rPr>
        <w:t>所提供的产品应实质上相当于或优于本需求表中的</w:t>
      </w:r>
      <w:r>
        <w:rPr>
          <w:rFonts w:ascii="宋体" w:hAnsi="宋体"/>
          <w:b/>
          <w:bCs/>
        </w:rPr>
        <w:t>服务内容及技术质量要求</w:t>
      </w:r>
      <w:r>
        <w:rPr>
          <w:rFonts w:hint="eastAsia" w:ascii="宋体" w:hAnsi="宋体"/>
          <w:b/>
          <w:bCs/>
          <w:szCs w:val="21"/>
        </w:rPr>
        <w:t>。</w:t>
      </w:r>
    </w:p>
    <w:p>
      <w:pPr>
        <w:spacing w:line="400" w:lineRule="exact"/>
        <w:ind w:left="-10" w:leftChars="-5" w:right="2" w:rightChars="1" w:firstLine="422" w:firstLineChars="200"/>
        <w:rPr>
          <w:rFonts w:ascii="宋体" w:hAnsi="宋体"/>
          <w:b/>
          <w:bCs/>
        </w:rPr>
      </w:pPr>
      <w:r>
        <w:rPr>
          <w:rFonts w:hint="eastAsia" w:ascii="宋体" w:hAnsi="宋体"/>
          <w:b/>
          <w:bCs/>
        </w:rPr>
        <w:t>2、本一览表的</w:t>
      </w:r>
      <w:r>
        <w:rPr>
          <w:rFonts w:ascii="宋体" w:hAnsi="宋体"/>
          <w:b/>
          <w:bCs/>
        </w:rPr>
        <w:t>服务内容及技术质量要求不明确或有误的，</w:t>
      </w:r>
      <w:r>
        <w:rPr>
          <w:rFonts w:hint="eastAsia" w:ascii="宋体" w:hAnsi="宋体"/>
          <w:b/>
          <w:bCs/>
          <w:lang w:eastAsia="zh-CN"/>
        </w:rPr>
        <w:t>竞标竞标人</w:t>
      </w:r>
      <w:r>
        <w:rPr>
          <w:rFonts w:ascii="宋体" w:hAnsi="宋体"/>
          <w:b/>
          <w:bCs/>
        </w:rPr>
        <w:t>请以详细、正确的服务内容及技术质量</w:t>
      </w:r>
      <w:r>
        <w:rPr>
          <w:rFonts w:hint="eastAsia" w:ascii="宋体" w:hAnsi="宋体"/>
          <w:b/>
          <w:bCs/>
        </w:rPr>
        <w:t>指标</w:t>
      </w:r>
      <w:r>
        <w:rPr>
          <w:rFonts w:ascii="宋体" w:hAnsi="宋体"/>
          <w:b/>
          <w:bCs/>
        </w:rPr>
        <w:t>同时填写</w:t>
      </w:r>
      <w:r>
        <w:rPr>
          <w:rFonts w:hint="eastAsia" w:ascii="宋体" w:hAnsi="宋体"/>
          <w:b/>
          <w:bCs/>
          <w:lang w:eastAsia="zh-CN"/>
        </w:rPr>
        <w:t>竞标</w:t>
      </w:r>
      <w:r>
        <w:rPr>
          <w:rFonts w:ascii="宋体" w:hAnsi="宋体"/>
          <w:b/>
          <w:bCs/>
        </w:rPr>
        <w:t>报价表和</w:t>
      </w:r>
      <w:r>
        <w:rPr>
          <w:rFonts w:hint="eastAsia" w:ascii="宋体" w:hAnsi="宋体"/>
          <w:b/>
          <w:bCs/>
        </w:rPr>
        <w:t>技术质量响应及偏离情况说明表</w:t>
      </w:r>
      <w:r>
        <w:rPr>
          <w:rFonts w:ascii="宋体" w:hAnsi="宋体"/>
          <w:b/>
          <w:bCs/>
        </w:rPr>
        <w:t>。</w:t>
      </w:r>
    </w:p>
    <w:p>
      <w:pPr>
        <w:spacing w:line="400" w:lineRule="exact"/>
        <w:ind w:left="-10" w:leftChars="-5" w:right="2" w:rightChars="1" w:firstLine="422" w:firstLineChars="200"/>
        <w:rPr>
          <w:rFonts w:ascii="宋体" w:hAnsi="宋体"/>
          <w:b/>
          <w:bCs/>
        </w:rPr>
      </w:pPr>
      <w:r>
        <w:rPr>
          <w:rFonts w:hint="eastAsia" w:ascii="宋体" w:hAnsi="宋体"/>
          <w:b/>
          <w:bCs/>
        </w:rPr>
        <w:t>3、</w:t>
      </w:r>
      <w:r>
        <w:rPr>
          <w:rFonts w:ascii="宋体" w:hAnsi="宋体"/>
          <w:b/>
          <w:bCs/>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b/>
          <w:bCs/>
        </w:rPr>
        <w:t>▲</w:t>
      </w:r>
      <w:r>
        <w:rPr>
          <w:rFonts w:ascii="宋体" w:hAnsi="宋体"/>
          <w:b/>
          <w:bCs/>
        </w:rPr>
        <w:t>”的品目。若采购货物含有此类产品时，</w:t>
      </w:r>
      <w:r>
        <w:rPr>
          <w:rFonts w:hint="eastAsia" w:ascii="宋体" w:hAnsi="宋体"/>
          <w:b/>
          <w:bCs/>
          <w:lang w:eastAsia="zh-CN"/>
        </w:rPr>
        <w:t>竞标人</w:t>
      </w:r>
      <w:r>
        <w:rPr>
          <w:rFonts w:hint="eastAsia" w:ascii="宋体" w:hAnsi="宋体"/>
          <w:b/>
          <w:bCs/>
        </w:rPr>
        <w:t>提供的</w:t>
      </w:r>
      <w:r>
        <w:rPr>
          <w:rFonts w:ascii="宋体" w:hAnsi="宋体"/>
          <w:b/>
          <w:bCs/>
        </w:rPr>
        <w:t>货物必须使用政府强制采购的节能产品。</w:t>
      </w:r>
    </w:p>
    <w:p>
      <w:pPr>
        <w:spacing w:line="400" w:lineRule="exact"/>
        <w:ind w:left="-10" w:leftChars="-5" w:right="2" w:rightChars="1" w:firstLine="422" w:firstLineChars="200"/>
        <w:rPr>
          <w:rFonts w:ascii="宋体" w:hAnsi="宋体"/>
          <w:b/>
          <w:bCs/>
        </w:rPr>
      </w:pPr>
      <w:r>
        <w:rPr>
          <w:rFonts w:hint="eastAsia" w:ascii="宋体" w:hAnsi="宋体"/>
          <w:b/>
          <w:bCs/>
        </w:rPr>
        <w:t>4、本项目成交注“▲”号的要求为实质性要求和条件，对这些关键性要求的任何不满足将导致</w:t>
      </w:r>
      <w:r>
        <w:rPr>
          <w:rFonts w:hint="eastAsia" w:ascii="宋体" w:hAnsi="宋体"/>
          <w:b/>
          <w:bCs/>
          <w:lang w:eastAsia="zh-CN"/>
        </w:rPr>
        <w:t>竞标</w:t>
      </w:r>
      <w:r>
        <w:rPr>
          <w:rFonts w:hint="eastAsia" w:ascii="宋体" w:hAnsi="宋体"/>
          <w:b/>
          <w:bCs/>
        </w:rPr>
        <w:t>响应无效。</w:t>
      </w:r>
    </w:p>
    <w:p>
      <w:pPr>
        <w:spacing w:line="360" w:lineRule="exact"/>
        <w:jc w:val="left"/>
        <w:rPr>
          <w:rFonts w:ascii="宋体" w:hAnsi="宋体"/>
          <w:b/>
          <w:sz w:val="22"/>
          <w:szCs w:val="21"/>
        </w:rPr>
      </w:pPr>
    </w:p>
    <w:tbl>
      <w:tblPr>
        <w:tblStyle w:val="25"/>
        <w:tblW w:w="101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422"/>
        <w:gridCol w:w="1950"/>
        <w:gridCol w:w="5776"/>
        <w:gridCol w:w="544"/>
        <w:gridCol w:w="675"/>
        <w:gridCol w:w="7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85"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bookmarkStart w:id="49" w:name="_Toc12983"/>
            <w:r>
              <w:rPr>
                <w:rFonts w:hint="eastAsia" w:ascii="宋体" w:hAnsi="宋体" w:eastAsia="宋体" w:cs="宋体"/>
                <w:i w:val="0"/>
                <w:color w:val="000000"/>
                <w:kern w:val="0"/>
                <w:sz w:val="21"/>
                <w:szCs w:val="21"/>
                <w:u w:val="none"/>
                <w:lang w:val="en-US" w:eastAsia="zh-CN" w:bidi="ar"/>
              </w:rPr>
              <w:t>序号</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服务名称</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3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9"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网络安全定制化服务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提供入侵防御、日志审计、漏洞扫描及视频准入控制等定制化服务。可防止非法用户的进入，并及时的中断、调整或隔离一些不正常或是具有伤害性的网络资料传输行为；收集企业系统中安全设备、网络设备、数据库、服务器、应用系统、主机等设备所产生的日志（包括运行、告警、操作、消息、状态等）并进行存储、监控、审计、分析、报警、响应和报告；基于漏洞数据库，通过扫描等手段对指定的远程或者本地计算机系统的安全脆弱性进行检测，发现可利用漏洞的一种安全检测（渗透攻击）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大屏显示定制化服务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提供室内高清全彩色LED显示屏定制化服务，可以任意组合播放文字、视频、动画及图片等信息，支持信号回显，可通过软件实时查看输入输出信号，支持4K超高清信号处理，支持多组可编辑全局图文叠加，支持信号及模式无缝切换，可同时进行多画面预览及输出监视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5"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信息化办公升级改造定制化服务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提供信息化办公升级改造定制化服务，对现有信息化办公设备进行整理盘点，提供日常保养维修、采购、软件升级更新等，满足全局信息化办公需求。</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会议扩声定制化服务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提供会议扩声服务，能通过软件切换各路输入以及变换输入、幻象电源等，同时可用软件调节增益、噪声门、延时、相位、静音、均衡器等常规参数；支持输出音频音量大小可调节，支持同声传译功能，支持摄像跟踪功能，支持先进先出、后进先出、数量限制等发言模式功能。具有声控功能，可智能打开话筒。可通过PC软件调节声控灵敏度及设置关闭时间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计算存储定制化服务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根据目前信息化建设情况提供计算存储服务，提供应用系统部署使用、数据记录使用及资源存储使用过程中的数据及资源存储主备，数据端口平台二次开发集成服务。</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5"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网络升级改造定制化服务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提供网络升级改造定制化服务，对全局有线网络、办公用电线路进行布设升级，提供主电缆敷设、市电供电线路改造，并建立联合共用接地体，形成等电位防雷体系等。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2"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提供全新分体式高清视频会议服务，超低带宽即可实现超高清效果。支持截取辅流画面进行标注功能，满足远程培训、教学等场景的交互式操作，支持任意打开、关闭远端视频，支持飞鼠方式拖拽变更视频在画面布局中的窗口位置，支持主席控制模式，可主动打开远端辅流画面，支持单屏双显、双屏双显应用功能，支持对远端会场进行云台控制，支持自动噪声抑制，自动增益控制和自动回声消除、唇音同步等音频处理功能，支持会场静音和闭音功能，会场声音输出大小可调，支持本地音频、视频回路诊断功能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录音及语音识别定制化服务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提供现场会议录音及语音识别定制化服务，支持录音导出、录音导入整理、实时语音转写、会议内容管理、主流语种同声传译及显示功能。支持软件中控，支持实时直播、同步录制、电影模式录像、资源模式录像、资源模式和电影模式同时工作。支持手动和全自动导播、一键开启推流和录像、本地通道回放等。</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3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42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w:t>
            </w:r>
          </w:p>
        </w:tc>
        <w:tc>
          <w:tcPr>
            <w:tcW w:w="195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系统集成服务</w:t>
            </w: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1、项目建设单位完成本项目所有设备的安装、调试、校准至可正常使用，提供本项目开工报告、竣工材料等采购单位所需的材料；</w:t>
            </w:r>
          </w:p>
        </w:tc>
        <w:tc>
          <w:tcPr>
            <w:tcW w:w="54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7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39"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2、项目建设单位要培训应急指挥中心使用人员、确保其熟练掌握系统功能；</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b/>
                <w:bCs/>
              </w:rPr>
              <w:t>▲</w:t>
            </w:r>
            <w:r>
              <w:rPr>
                <w:rFonts w:hint="eastAsia" w:ascii="宋体" w:hAnsi="宋体" w:eastAsia="宋体" w:cs="宋体"/>
                <w:i w:val="0"/>
                <w:iCs w:val="0"/>
                <w:color w:val="000000"/>
                <w:kern w:val="0"/>
                <w:sz w:val="21"/>
                <w:szCs w:val="21"/>
                <w:u w:val="none"/>
                <w:lang w:val="en-US" w:eastAsia="zh-CN" w:bidi="ar"/>
              </w:rPr>
              <w:t>3、项目完成验收后，有一年的质保期，质保期内由项目建设单位负责维修。</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4、维保期间所有正常使用损坏的设备维修费用均由项目建设单位承担；</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5、项目建设单位要向应急指挥中心提供5*8上门维修服务；</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6、项目建设单位要向应急指挥中心提供7*24的售后服务热线服务；</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42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、综合运维服务，项目建设单位要在产品使用期间对系统进行远程维护，确保平台正常运行。</w:t>
            </w:r>
          </w:p>
        </w:tc>
        <w:tc>
          <w:tcPr>
            <w:tcW w:w="54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40" w:hRule="atLeast"/>
          <w:jc w:val="center"/>
        </w:trPr>
        <w:tc>
          <w:tcPr>
            <w:tcW w:w="1010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kern w:val="0"/>
                <w:sz w:val="20"/>
                <w:szCs w:val="20"/>
                <w:u w:val="none"/>
                <w:lang w:val="en-US" w:eastAsia="zh-CN" w:bidi="ar"/>
              </w:rPr>
            </w:pPr>
            <w:r>
              <w:rPr>
                <w:rFonts w:hint="eastAsia"/>
                <w:b/>
                <w:sz w:val="32"/>
              </w:rPr>
              <w:br w:type="page"/>
            </w:r>
            <w:r>
              <w:rPr>
                <w:rFonts w:hint="eastAsia" w:ascii="宋体" w:hAnsi="宋体"/>
                <w:b/>
                <w:kern w:val="0"/>
                <w:szCs w:val="21"/>
              </w:rPr>
              <w:t>商务条款要求表：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93"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rPr>
                <w:rFonts w:hint="eastAsia" w:ascii="宋体" w:hAnsi="宋体"/>
                <w:szCs w:val="21"/>
              </w:rPr>
            </w:pPr>
            <w:r>
              <w:rPr>
                <w:rFonts w:hint="eastAsia" w:ascii="宋体" w:hAnsi="宋体" w:eastAsia="宋体" w:cs="宋体"/>
                <w:sz w:val="21"/>
                <w:szCs w:val="21"/>
              </w:rPr>
              <w:t>质保期</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after="0" w:line="400" w:lineRule="exact"/>
              <w:ind w:firstLine="420" w:firstLineChars="200"/>
              <w:rPr>
                <w:rFonts w:hint="eastAsia" w:ascii="宋体" w:hAnsi="宋体" w:cs="宋体"/>
                <w:szCs w:val="21"/>
              </w:rPr>
            </w:pPr>
            <w:r>
              <w:rPr>
                <w:rFonts w:hint="eastAsia" w:ascii="宋体" w:hAnsi="宋体" w:eastAsia="宋体" w:cs="宋体"/>
                <w:sz w:val="21"/>
                <w:szCs w:val="21"/>
              </w:rPr>
              <w:t>按国家有关产品“三包”规定执行“三包”，自货物验收合格之日起计算，产品质保期最短不少于1年。若厂家免费质保期超过此年限的，合同履行过程中按厂家规定执行。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3"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售后服务保障或维修响应时间要求</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360" w:lineRule="exact"/>
              <w:ind w:left="315" w:hanging="315" w:hangingChars="150"/>
              <w:rPr>
                <w:rFonts w:hint="eastAsia" w:ascii="宋体" w:hAnsi="宋体" w:cs="宋体"/>
                <w:szCs w:val="21"/>
              </w:rPr>
            </w:pPr>
            <w:r>
              <w:rPr>
                <w:rFonts w:hint="eastAsia" w:ascii="宋体" w:hAnsi="宋体" w:cs="宋体"/>
                <w:szCs w:val="21"/>
              </w:rPr>
              <w:t>1、所有设备自验收合格后质保期不少于一年。</w:t>
            </w:r>
          </w:p>
          <w:p>
            <w:pPr>
              <w:spacing w:line="360" w:lineRule="exact"/>
              <w:rPr>
                <w:rFonts w:hint="eastAsia" w:ascii="宋体" w:hAnsi="宋体" w:cs="宋体"/>
                <w:szCs w:val="21"/>
              </w:rPr>
            </w:pPr>
            <w:r>
              <w:rPr>
                <w:rFonts w:hint="eastAsia" w:ascii="宋体" w:hAnsi="宋体" w:cs="宋体"/>
                <w:szCs w:val="21"/>
              </w:rPr>
              <w:t>2、免费送货上门、免费安装、调试,厂家技术人员现场免费培训操作人员，保证操作人员熟练掌握设备使用方法，以及小故障的判断与解决。接到用户故障通知后2小时内给予答复，需要到现场解决的，到达时间不得超过12小时，并给予在24小时内维修好。</w:t>
            </w:r>
          </w:p>
          <w:p>
            <w:pPr>
              <w:spacing w:line="360" w:lineRule="exact"/>
              <w:rPr>
                <w:rFonts w:hint="eastAsia" w:ascii="宋体" w:hAnsi="宋体" w:cs="宋体"/>
                <w:szCs w:val="21"/>
              </w:rPr>
            </w:pPr>
            <w:r>
              <w:rPr>
                <w:rFonts w:hint="eastAsia" w:ascii="宋体" w:hAnsi="宋体"/>
                <w:kern w:val="0"/>
                <w:szCs w:val="21"/>
              </w:rPr>
              <w:t>3、</w:t>
            </w:r>
            <w:r>
              <w:rPr>
                <w:rFonts w:hint="eastAsia" w:ascii="宋体" w:hAnsi="宋体" w:cs="宋体"/>
                <w:szCs w:val="21"/>
              </w:rPr>
              <w:t>免费现场培训技术员2名以上，保证熟练掌握全部功能为止。</w:t>
            </w:r>
          </w:p>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cs="宋体"/>
                <w:szCs w:val="21"/>
              </w:rPr>
              <w:t>4、谈判响应</w:t>
            </w:r>
            <w:r>
              <w:rPr>
                <w:rFonts w:hint="eastAsia" w:ascii="宋体" w:hAnsi="宋体" w:cs="宋体"/>
                <w:szCs w:val="21"/>
                <w:lang w:eastAsia="zh-CN"/>
              </w:rPr>
              <w:t>竞标人</w:t>
            </w:r>
            <w:r>
              <w:rPr>
                <w:rFonts w:hint="eastAsia" w:ascii="宋体" w:hAnsi="宋体" w:cs="宋体"/>
                <w:szCs w:val="21"/>
              </w:rPr>
              <w:t>提供的必须是全新、完整、未使用过的产品。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93"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交货时间及地点</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360" w:lineRule="exact"/>
              <w:rPr>
                <w:rFonts w:ascii="宋体" w:hAnsi="宋体"/>
                <w:color w:val="auto"/>
                <w:szCs w:val="21"/>
                <w:highlight w:val="none"/>
              </w:rPr>
            </w:pPr>
            <w:r>
              <w:rPr>
                <w:rFonts w:hint="eastAsia" w:ascii="宋体" w:hAnsi="宋体"/>
                <w:color w:val="auto"/>
                <w:szCs w:val="21"/>
                <w:highlight w:val="none"/>
              </w:rPr>
              <w:t>交货时间：</w:t>
            </w:r>
            <w:r>
              <w:rPr>
                <w:rFonts w:hint="eastAsia" w:ascii="宋体" w:hAnsi="宋体" w:cs="宋体"/>
                <w:color w:val="auto"/>
                <w:szCs w:val="21"/>
                <w:highlight w:val="none"/>
              </w:rPr>
              <w:t>自签订合同之日起</w:t>
            </w:r>
            <w:r>
              <w:rPr>
                <w:rFonts w:hint="eastAsia" w:ascii="宋体" w:hAnsi="宋体" w:cs="宋体"/>
                <w:color w:val="auto"/>
                <w:szCs w:val="21"/>
                <w:highlight w:val="none"/>
                <w:lang w:val="en-US" w:eastAsia="zh-CN"/>
              </w:rPr>
              <w:t>2个工作日</w:t>
            </w:r>
            <w:r>
              <w:rPr>
                <w:rFonts w:hint="eastAsia" w:ascii="宋体" w:hAnsi="宋体" w:cs="宋体"/>
                <w:color w:val="auto"/>
                <w:szCs w:val="21"/>
                <w:highlight w:val="none"/>
              </w:rPr>
              <w:t>内</w:t>
            </w:r>
            <w:r>
              <w:rPr>
                <w:rFonts w:hint="eastAsia" w:ascii="宋体" w:hAnsi="宋体" w:cs="宋体"/>
                <w:color w:val="auto"/>
                <w:szCs w:val="21"/>
                <w:highlight w:val="none"/>
                <w:lang w:eastAsia="zh-CN"/>
              </w:rPr>
              <w:t>安装调试完毕并验收合格</w:t>
            </w:r>
            <w:r>
              <w:rPr>
                <w:rFonts w:hint="eastAsia" w:ascii="宋体" w:hAnsi="宋体" w:cs="宋体"/>
                <w:color w:val="auto"/>
                <w:szCs w:val="21"/>
                <w:highlight w:val="none"/>
              </w:rPr>
              <w:t>。</w:t>
            </w:r>
          </w:p>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szCs w:val="21"/>
              </w:rPr>
              <w:t>交货地点：</w:t>
            </w:r>
            <w:r>
              <w:rPr>
                <w:rFonts w:hint="eastAsia" w:ascii="宋体" w:hAnsi="宋体" w:cs="宋体"/>
                <w:szCs w:val="21"/>
              </w:rPr>
              <w:t>采购人指定地点</w:t>
            </w:r>
            <w:r>
              <w:rPr>
                <w:rFonts w:hint="eastAsia" w:ascii="宋体" w:hAnsi="宋体"/>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8"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szCs w:val="21"/>
              </w:rPr>
              <w:t>付款方式</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400" w:lineRule="exact"/>
              <w:rPr>
                <w:rFonts w:hint="eastAsia" w:ascii="宋体" w:hAnsi="宋体" w:eastAsia="宋体" w:cs="宋体"/>
                <w:i w:val="0"/>
                <w:color w:val="000000"/>
                <w:kern w:val="0"/>
                <w:sz w:val="20"/>
                <w:szCs w:val="20"/>
                <w:highlight w:val="yellow"/>
                <w:u w:val="none"/>
                <w:lang w:val="en-US" w:eastAsia="zh-CN" w:bidi="ar"/>
              </w:rPr>
            </w:pPr>
            <w:r>
              <w:rPr>
                <w:rFonts w:hint="eastAsia" w:hAnsi="宋体" w:cs="宋体"/>
                <w:color w:val="000000"/>
                <w:sz w:val="21"/>
                <w:highlight w:val="none"/>
                <w:lang w:val="en-US" w:eastAsia="zh-CN"/>
              </w:rPr>
              <w:t>付款方式：本项目无预付款。自服务调试完毕验收合格之日起5个工作日内，在成交供应商开具6%增值税专用发票给采购人后，采购人向成交供应商一次性付清合同价100%货款。</w:t>
            </w:r>
            <w:bookmarkStart w:id="82" w:name="_GoBack"/>
            <w:bookmarkEnd w:id="82"/>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3"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验收条件及标准</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szCs w:val="21"/>
              </w:rPr>
              <w:t>验收条件及标准: 所有设备安装调试完毕后，采购人对供货方所交货物依照招标文件上的技术规格要求和国家（设备制造国）有关标准进行现场验收，要求所有技术指标、功能、性能都能满足招标要求，验收不合格的不予签收，并视为虚假应标处理并根据招标法及标书要求追究法律责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0" w:hRule="atLeast"/>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其他</w:t>
            </w:r>
          </w:p>
        </w:tc>
        <w:tc>
          <w:tcPr>
            <w:tcW w:w="773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360" w:lineRule="exact"/>
              <w:rPr>
                <w:rFonts w:hint="eastAsia" w:ascii="宋体" w:hAnsi="宋体"/>
                <w:szCs w:val="21"/>
              </w:rPr>
            </w:pPr>
            <w:r>
              <w:rPr>
                <w:rFonts w:hint="eastAsia" w:ascii="宋体" w:hAnsi="宋体"/>
                <w:szCs w:val="21"/>
              </w:rPr>
              <w:t>谈判报价为采购人指定地点的现场交货价，包括：</w:t>
            </w:r>
          </w:p>
          <w:p>
            <w:pPr>
              <w:spacing w:line="360" w:lineRule="exact"/>
              <w:rPr>
                <w:rFonts w:hint="eastAsia" w:ascii="宋体" w:hAnsi="宋体"/>
                <w:szCs w:val="21"/>
              </w:rPr>
            </w:pPr>
            <w:r>
              <w:rPr>
                <w:rFonts w:hint="eastAsia" w:ascii="宋体" w:hAnsi="宋体"/>
                <w:szCs w:val="21"/>
              </w:rPr>
              <w:t>（1）货物的价格；</w:t>
            </w:r>
          </w:p>
          <w:p>
            <w:pPr>
              <w:spacing w:line="360" w:lineRule="exact"/>
              <w:rPr>
                <w:rFonts w:hint="eastAsia" w:ascii="宋体" w:hAnsi="宋体"/>
                <w:szCs w:val="21"/>
              </w:rPr>
            </w:pPr>
            <w:r>
              <w:rPr>
                <w:rFonts w:hint="eastAsia" w:ascii="宋体" w:hAnsi="宋体"/>
                <w:szCs w:val="21"/>
              </w:rPr>
              <w:t>（2）货物的标准附件、备品备件、专用工具的价格；</w:t>
            </w:r>
          </w:p>
          <w:p>
            <w:pPr>
              <w:spacing w:line="360" w:lineRule="exact"/>
              <w:rPr>
                <w:rFonts w:hint="eastAsia" w:ascii="宋体" w:hAnsi="宋体"/>
                <w:szCs w:val="21"/>
              </w:rPr>
            </w:pPr>
            <w:r>
              <w:rPr>
                <w:rFonts w:hint="eastAsia" w:ascii="宋体" w:hAnsi="宋体"/>
                <w:szCs w:val="21"/>
              </w:rPr>
              <w:t>（3）运输、装卸、调试、培训、技术支持售后服务等费用；</w:t>
            </w:r>
          </w:p>
          <w:p>
            <w:pPr>
              <w:spacing w:line="360" w:lineRule="exact"/>
              <w:rPr>
                <w:rFonts w:hint="eastAsia" w:ascii="宋体" w:hAnsi="宋体"/>
                <w:szCs w:val="21"/>
              </w:rPr>
            </w:pPr>
            <w:r>
              <w:rPr>
                <w:rFonts w:hint="eastAsia" w:ascii="宋体" w:hAnsi="宋体"/>
                <w:szCs w:val="21"/>
              </w:rPr>
              <w:t>（4）必要的保险费用和各项税费；</w:t>
            </w:r>
          </w:p>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szCs w:val="21"/>
              </w:rPr>
              <w:t>（5）安装费用</w:t>
            </w:r>
          </w:p>
        </w:tc>
      </w:tr>
    </w:tbl>
    <w:p>
      <w:pPr>
        <w:rPr>
          <w:rFonts w:hint="eastAsia"/>
        </w:rPr>
      </w:pPr>
    </w:p>
    <w:p>
      <w:pPr>
        <w:rPr>
          <w:b/>
          <w:sz w:val="32"/>
        </w:rPr>
      </w:pPr>
    </w:p>
    <w:p>
      <w:pPr>
        <w:pStyle w:val="2"/>
      </w:pPr>
    </w:p>
    <w:bookmarkEnd w:id="49"/>
    <w:p>
      <w:pPr>
        <w:spacing w:line="360" w:lineRule="exact"/>
        <w:jc w:val="center"/>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3"/>
        <w:jc w:val="center"/>
        <w:rPr>
          <w:rFonts w:hint="eastAsia" w:ascii="宋体" w:hAnsi="宋体"/>
          <w:color w:val="auto"/>
          <w:sz w:val="32"/>
          <w:szCs w:val="32"/>
        </w:rPr>
      </w:pPr>
      <w:r>
        <w:rPr>
          <w:rFonts w:hint="eastAsia" w:ascii="宋体" w:hAnsi="宋体"/>
          <w:color w:val="auto"/>
          <w:sz w:val="32"/>
          <w:szCs w:val="32"/>
        </w:rPr>
        <w:t>第四章   谈判响应文件基本格式</w:t>
      </w:r>
    </w:p>
    <w:p>
      <w:pPr>
        <w:spacing w:line="46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rPr>
          <w:rFonts w:hint="eastAsia" w:ascii="宋体" w:hAnsi="宋体"/>
          <w:b/>
          <w:color w:val="auto"/>
          <w:sz w:val="32"/>
          <w:szCs w:val="32"/>
        </w:rPr>
      </w:pPr>
      <w:r>
        <w:rPr>
          <w:rFonts w:hint="eastAsia" w:ascii="宋体" w:hAnsi="宋体"/>
          <w:b/>
          <w:color w:val="auto"/>
          <w:sz w:val="32"/>
          <w:szCs w:val="32"/>
        </w:rPr>
        <w:t>竞争性谈判响应文件</w:t>
      </w:r>
    </w:p>
    <w:p>
      <w:pPr>
        <w:spacing w:line="500" w:lineRule="exact"/>
        <w:jc w:val="center"/>
        <w:rPr>
          <w:rFonts w:hint="eastAsia" w:ascii="宋体" w:hAnsi="宋体"/>
          <w:color w:val="auto"/>
          <w:sz w:val="28"/>
          <w:szCs w:val="28"/>
        </w:rPr>
      </w:pPr>
    </w:p>
    <w:p>
      <w:pPr>
        <w:spacing w:line="500" w:lineRule="exact"/>
        <w:rPr>
          <w:rFonts w:hint="eastAsia" w:ascii="宋体" w:hAnsi="宋体"/>
          <w:color w:val="auto"/>
          <w:sz w:val="28"/>
          <w:szCs w:val="28"/>
        </w:rPr>
      </w:pPr>
      <w:r>
        <w:rPr>
          <w:rFonts w:hint="eastAsia" w:ascii="宋体" w:hAnsi="宋体"/>
          <w:color w:val="auto"/>
          <w:sz w:val="28"/>
          <w:szCs w:val="28"/>
        </w:rPr>
        <w:t xml:space="preserve">   </w:t>
      </w:r>
    </w:p>
    <w:p>
      <w:pPr>
        <w:spacing w:line="500" w:lineRule="exact"/>
        <w:rPr>
          <w:rFonts w:hint="eastAsia" w:ascii="宋体" w:hAnsi="宋体"/>
          <w:color w:val="auto"/>
          <w:sz w:val="28"/>
          <w:szCs w:val="28"/>
        </w:rPr>
      </w:pPr>
    </w:p>
    <w:p>
      <w:pPr>
        <w:spacing w:line="500" w:lineRule="exact"/>
        <w:rPr>
          <w:rFonts w:hint="eastAsia" w:ascii="宋体" w:hAnsi="宋体"/>
          <w:color w:val="auto"/>
          <w:sz w:val="28"/>
          <w:szCs w:val="28"/>
        </w:rPr>
      </w:pPr>
    </w:p>
    <w:p>
      <w:pPr>
        <w:spacing w:line="500" w:lineRule="exact"/>
        <w:rPr>
          <w:rFonts w:hint="eastAsia" w:ascii="宋体" w:hAnsi="宋体"/>
          <w:color w:val="auto"/>
          <w:sz w:val="28"/>
          <w:szCs w:val="28"/>
          <w:u w:val="single"/>
        </w:rPr>
      </w:pPr>
      <w:r>
        <w:rPr>
          <w:rFonts w:hint="eastAsia" w:ascii="宋体" w:hAnsi="宋体"/>
          <w:color w:val="auto"/>
          <w:sz w:val="28"/>
          <w:szCs w:val="28"/>
        </w:rPr>
        <w:t xml:space="preserve">    采购项目编号：</w:t>
      </w:r>
      <w:r>
        <w:rPr>
          <w:rFonts w:hint="eastAsia" w:ascii="宋体" w:hAnsi="宋体"/>
          <w:color w:val="auto"/>
          <w:sz w:val="28"/>
          <w:szCs w:val="28"/>
          <w:u w:val="single"/>
        </w:rPr>
        <w:t xml:space="preserve">                       </w:t>
      </w:r>
    </w:p>
    <w:p>
      <w:pPr>
        <w:tabs>
          <w:tab w:val="left" w:pos="3240"/>
        </w:tabs>
        <w:spacing w:line="500" w:lineRule="exact"/>
        <w:ind w:firstLine="560" w:firstLineChars="200"/>
        <w:rPr>
          <w:rFonts w:hint="eastAsia" w:ascii="宋体" w:hAnsi="宋体"/>
          <w:color w:val="auto"/>
          <w:sz w:val="28"/>
          <w:szCs w:val="28"/>
          <w:u w:val="single"/>
        </w:rPr>
      </w:pPr>
      <w:r>
        <w:rPr>
          <w:rFonts w:hint="eastAsia" w:ascii="宋体" w:hAnsi="宋体"/>
          <w:color w:val="auto"/>
          <w:sz w:val="28"/>
          <w:szCs w:val="28"/>
        </w:rPr>
        <w:t>采购项目名称：</w:t>
      </w:r>
      <w:r>
        <w:rPr>
          <w:rFonts w:hint="eastAsia" w:ascii="宋体" w:hAnsi="宋体"/>
          <w:color w:val="auto"/>
          <w:sz w:val="28"/>
          <w:szCs w:val="28"/>
          <w:u w:val="single"/>
        </w:rPr>
        <w:t xml:space="preserve">                       </w:t>
      </w:r>
    </w:p>
    <w:p>
      <w:pPr>
        <w:tabs>
          <w:tab w:val="left" w:pos="2625"/>
        </w:tabs>
        <w:spacing w:line="500" w:lineRule="exact"/>
        <w:jc w:val="center"/>
        <w:rPr>
          <w:rFonts w:hint="eastAsia" w:ascii="宋体" w:hAnsi="宋体"/>
          <w:color w:val="auto"/>
          <w:sz w:val="28"/>
          <w:szCs w:val="28"/>
        </w:rPr>
      </w:pPr>
    </w:p>
    <w:p>
      <w:pPr>
        <w:tabs>
          <w:tab w:val="left" w:pos="2625"/>
        </w:tabs>
        <w:spacing w:line="500" w:lineRule="exact"/>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 xml:space="preserve">                                        （谈判</w:t>
      </w:r>
      <w:r>
        <w:rPr>
          <w:rFonts w:hint="eastAsia" w:ascii="宋体" w:hAnsi="宋体"/>
          <w:color w:val="auto"/>
          <w:sz w:val="28"/>
          <w:szCs w:val="28"/>
          <w:lang w:eastAsia="zh-CN"/>
        </w:rPr>
        <w:t>竞标人</w:t>
      </w:r>
      <w:r>
        <w:rPr>
          <w:rFonts w:hint="eastAsia" w:ascii="宋体" w:hAnsi="宋体"/>
          <w:color w:val="auto"/>
          <w:sz w:val="28"/>
          <w:szCs w:val="28"/>
        </w:rPr>
        <w:t>名称）</w:t>
      </w:r>
    </w:p>
    <w:p>
      <w:pPr>
        <w:spacing w:line="500" w:lineRule="exact"/>
        <w:ind w:firstLine="6440" w:firstLineChars="2300"/>
        <w:rPr>
          <w:rFonts w:hint="eastAsia" w:ascii="宋体" w:hAnsi="宋体"/>
          <w:color w:val="auto"/>
          <w:sz w:val="28"/>
          <w:szCs w:val="28"/>
        </w:rPr>
      </w:pPr>
      <w:r>
        <w:rPr>
          <w:rFonts w:hint="eastAsia" w:ascii="宋体" w:hAnsi="宋体"/>
          <w:color w:val="auto"/>
          <w:sz w:val="28"/>
          <w:szCs w:val="28"/>
        </w:rPr>
        <w:t>年</w:t>
      </w:r>
      <w:r>
        <w:rPr>
          <w:rFonts w:hint="eastAsia" w:ascii="宋体" w:hAnsi="宋体" w:cs="宋体"/>
          <w:color w:val="auto"/>
          <w:sz w:val="28"/>
          <w:szCs w:val="28"/>
        </w:rPr>
        <w:t xml:space="preserve">    </w:t>
      </w:r>
      <w:r>
        <w:rPr>
          <w:rFonts w:hint="eastAsia" w:ascii="宋体" w:hAnsi="宋体"/>
          <w:color w:val="auto"/>
          <w:sz w:val="28"/>
          <w:szCs w:val="28"/>
        </w:rPr>
        <w:t>月    日</w:t>
      </w: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pStyle w:val="66"/>
        <w:rPr>
          <w:rFonts w:hint="eastAsia"/>
          <w:color w:val="auto"/>
        </w:rPr>
      </w:pPr>
    </w:p>
    <w:p>
      <w:pPr>
        <w:widowControl/>
        <w:jc w:val="left"/>
        <w:rPr>
          <w:rFonts w:hint="eastAsia"/>
          <w:color w:val="auto"/>
        </w:rPr>
      </w:pPr>
    </w:p>
    <w:p>
      <w:pPr>
        <w:widowControl/>
        <w:jc w:val="left"/>
        <w:rPr>
          <w:rFonts w:hint="eastAsia"/>
          <w:color w:val="auto"/>
        </w:rPr>
      </w:pPr>
    </w:p>
    <w:p>
      <w:pPr>
        <w:spacing w:line="500" w:lineRule="exact"/>
        <w:rPr>
          <w:rFonts w:hint="eastAsia" w:ascii="宋体" w:hAnsi="宋体"/>
          <w:color w:val="auto"/>
          <w:sz w:val="24"/>
          <w:szCs w:val="28"/>
        </w:rPr>
      </w:pPr>
      <w:r>
        <w:rPr>
          <w:rFonts w:hint="eastAsia" w:ascii="宋体" w:hAnsi="宋体"/>
          <w:color w:val="auto"/>
          <w:sz w:val="24"/>
          <w:szCs w:val="28"/>
        </w:rPr>
        <w:t>一、谈判书（必须提供）；</w:t>
      </w:r>
    </w:p>
    <w:p>
      <w:pPr>
        <w:widowControl/>
        <w:jc w:val="left"/>
        <w:rPr>
          <w:rFonts w:hint="eastAsia"/>
          <w:color w:val="auto"/>
        </w:rPr>
      </w:pPr>
    </w:p>
    <w:p>
      <w:pPr>
        <w:spacing w:line="520" w:lineRule="exact"/>
        <w:jc w:val="center"/>
        <w:rPr>
          <w:rFonts w:hint="eastAsia" w:ascii="宋体" w:hAnsi="宋体"/>
          <w:b/>
          <w:color w:val="auto"/>
          <w:sz w:val="32"/>
          <w:szCs w:val="32"/>
        </w:rPr>
      </w:pPr>
      <w:r>
        <w:rPr>
          <w:rFonts w:hint="eastAsia" w:ascii="宋体" w:hAnsi="宋体"/>
          <w:b/>
          <w:color w:val="auto"/>
          <w:sz w:val="32"/>
          <w:szCs w:val="32"/>
        </w:rPr>
        <w:t>谈  判  书</w:t>
      </w:r>
    </w:p>
    <w:p>
      <w:pPr>
        <w:pStyle w:val="12"/>
        <w:spacing w:line="520" w:lineRule="exact"/>
        <w:rPr>
          <w:rFonts w:hint="eastAsia" w:hAnsi="宋体"/>
          <w:color w:val="auto"/>
          <w:sz w:val="24"/>
          <w:szCs w:val="24"/>
        </w:rPr>
      </w:pPr>
      <w:r>
        <w:rPr>
          <w:rFonts w:hint="eastAsia" w:hAnsi="宋体"/>
          <w:color w:val="auto"/>
          <w:sz w:val="24"/>
          <w:szCs w:val="24"/>
          <w:u w:val="single"/>
        </w:rPr>
        <w:t xml:space="preserve"> </w:t>
      </w:r>
      <w:r>
        <w:rPr>
          <w:rFonts w:hint="eastAsia" w:hAnsi="宋体"/>
          <w:color w:val="auto"/>
          <w:sz w:val="24"/>
          <w:szCs w:val="24"/>
          <w:u w:val="single"/>
          <w:lang w:eastAsia="zh-CN"/>
        </w:rPr>
        <w:t>亿诚建设项目管理有限公司</w:t>
      </w:r>
      <w:r>
        <w:rPr>
          <w:rFonts w:hint="eastAsia" w:hAnsi="宋体"/>
          <w:color w:val="auto"/>
          <w:sz w:val="24"/>
          <w:szCs w:val="24"/>
        </w:rPr>
        <w:t>：</w:t>
      </w:r>
    </w:p>
    <w:p>
      <w:pPr>
        <w:pStyle w:val="12"/>
        <w:spacing w:line="520" w:lineRule="exact"/>
        <w:ind w:firstLine="480"/>
        <w:rPr>
          <w:rFonts w:hint="eastAsia" w:hAnsi="宋体"/>
          <w:color w:val="auto"/>
          <w:sz w:val="24"/>
          <w:szCs w:val="24"/>
        </w:rPr>
      </w:pPr>
      <w:r>
        <w:rPr>
          <w:rFonts w:hint="eastAsia" w:hAnsi="宋体"/>
          <w:color w:val="auto"/>
          <w:sz w:val="24"/>
          <w:szCs w:val="24"/>
        </w:rPr>
        <w:t>依据贵方</w:t>
      </w:r>
      <w:r>
        <w:rPr>
          <w:rFonts w:hint="eastAsia" w:hAnsi="宋体"/>
          <w:color w:val="auto"/>
          <w:sz w:val="24"/>
          <w:szCs w:val="24"/>
          <w:u w:val="single"/>
        </w:rPr>
        <w:t>[</w:t>
      </w:r>
      <w:r>
        <w:rPr>
          <w:rFonts w:hint="eastAsia" w:hAnsi="宋体"/>
          <w:color w:val="auto"/>
          <w:sz w:val="24"/>
          <w:szCs w:val="24"/>
          <w:u w:val="single"/>
          <w:lang w:eastAsia="zh-CN"/>
        </w:rPr>
        <w:t>崇左市江州区卫生健康局医用设备及耗材项目</w:t>
      </w:r>
      <w:r>
        <w:rPr>
          <w:rFonts w:hint="eastAsia" w:hAnsi="宋体"/>
          <w:color w:val="auto"/>
          <w:sz w:val="24"/>
          <w:szCs w:val="24"/>
          <w:u w:val="single"/>
        </w:rPr>
        <w:t>/项目编号</w:t>
      </w:r>
      <w:r>
        <w:rPr>
          <w:rFonts w:hint="eastAsia" w:hAnsi="宋体"/>
          <w:color w:val="auto"/>
          <w:sz w:val="24"/>
          <w:szCs w:val="24"/>
          <w:u w:val="single"/>
          <w:lang w:eastAsia="zh-CN"/>
        </w:rPr>
        <w:t>CZZC2020-J1-020159-YCXM</w:t>
      </w:r>
      <w:r>
        <w:rPr>
          <w:rFonts w:hint="eastAsia" w:hAnsi="宋体"/>
          <w:color w:val="auto"/>
          <w:sz w:val="24"/>
          <w:szCs w:val="24"/>
          <w:u w:val="single"/>
        </w:rPr>
        <w:t>]</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w:t>
      </w:r>
      <w:r>
        <w:rPr>
          <w:rFonts w:hint="eastAsia" w:hAnsi="宋体"/>
          <w:color w:val="auto"/>
          <w:sz w:val="24"/>
          <w:szCs w:val="24"/>
          <w:lang w:eastAsia="zh-CN"/>
        </w:rPr>
        <w:t>竞标人</w:t>
      </w:r>
      <w:r>
        <w:rPr>
          <w:rFonts w:hint="eastAsia" w:hAnsi="宋体"/>
          <w:color w:val="auto"/>
          <w:sz w:val="24"/>
          <w:szCs w:val="24"/>
          <w:u w:val="single"/>
        </w:rPr>
        <w:t>（谈判</w:t>
      </w:r>
      <w:r>
        <w:rPr>
          <w:rFonts w:hint="eastAsia" w:hAnsi="宋体"/>
          <w:color w:val="auto"/>
          <w:sz w:val="24"/>
          <w:szCs w:val="24"/>
          <w:u w:val="single"/>
          <w:lang w:eastAsia="zh-CN"/>
        </w:rPr>
        <w:t>竞标人</w:t>
      </w:r>
      <w:r>
        <w:rPr>
          <w:rFonts w:hint="eastAsia" w:hAnsi="宋体"/>
          <w:color w:val="auto"/>
          <w:sz w:val="24"/>
          <w:szCs w:val="24"/>
          <w:u w:val="single"/>
        </w:rPr>
        <w:t>名称、地址）</w:t>
      </w:r>
      <w:r>
        <w:rPr>
          <w:rFonts w:hint="eastAsia" w:hAnsi="宋体"/>
          <w:color w:val="auto"/>
          <w:sz w:val="24"/>
          <w:szCs w:val="24"/>
        </w:rPr>
        <w:t>提交下述竞争性谈判响应文件价格文件、技术服务文件正本一份和副本</w:t>
      </w:r>
      <w:r>
        <w:rPr>
          <w:rFonts w:hint="eastAsia" w:hAnsi="宋体"/>
          <w:color w:val="auto"/>
          <w:sz w:val="24"/>
          <w:szCs w:val="24"/>
          <w:u w:val="single"/>
        </w:rPr>
        <w:t>四</w:t>
      </w:r>
      <w:r>
        <w:rPr>
          <w:rFonts w:hint="eastAsia" w:hAnsi="宋体"/>
          <w:color w:val="auto"/>
          <w:sz w:val="24"/>
          <w:szCs w:val="24"/>
        </w:rPr>
        <w:t>份。</w:t>
      </w:r>
    </w:p>
    <w:p>
      <w:pPr>
        <w:pStyle w:val="12"/>
        <w:spacing w:line="520" w:lineRule="exact"/>
        <w:ind w:firstLine="480"/>
        <w:rPr>
          <w:rFonts w:hint="eastAsia" w:hAnsi="宋体"/>
          <w:color w:val="auto"/>
          <w:sz w:val="24"/>
          <w:szCs w:val="24"/>
        </w:rPr>
      </w:pPr>
      <w:r>
        <w:rPr>
          <w:rFonts w:hint="eastAsia" w:hAnsi="宋体"/>
          <w:color w:val="auto"/>
          <w:sz w:val="24"/>
          <w:szCs w:val="24"/>
        </w:rPr>
        <w:t>1. 报价表；</w:t>
      </w:r>
    </w:p>
    <w:p>
      <w:pPr>
        <w:pStyle w:val="12"/>
        <w:spacing w:line="520" w:lineRule="exact"/>
        <w:ind w:firstLine="480"/>
        <w:rPr>
          <w:rFonts w:hint="eastAsia" w:hAnsi="宋体"/>
          <w:color w:val="auto"/>
          <w:sz w:val="24"/>
          <w:szCs w:val="24"/>
        </w:rPr>
      </w:pPr>
      <w:r>
        <w:rPr>
          <w:rFonts w:hint="eastAsia" w:hAnsi="宋体"/>
          <w:color w:val="auto"/>
          <w:sz w:val="24"/>
          <w:szCs w:val="24"/>
        </w:rPr>
        <w:t>2. 技术响应、偏离情况说明表；</w:t>
      </w:r>
    </w:p>
    <w:p>
      <w:pPr>
        <w:pStyle w:val="12"/>
        <w:spacing w:line="520" w:lineRule="exact"/>
        <w:ind w:firstLine="480"/>
        <w:rPr>
          <w:rFonts w:hint="eastAsia" w:hAnsi="宋体"/>
          <w:color w:val="auto"/>
          <w:sz w:val="24"/>
          <w:szCs w:val="24"/>
        </w:rPr>
      </w:pPr>
      <w:r>
        <w:rPr>
          <w:rFonts w:hint="eastAsia" w:hAnsi="宋体"/>
          <w:color w:val="auto"/>
          <w:sz w:val="24"/>
          <w:szCs w:val="24"/>
        </w:rPr>
        <w:t>3. 按竞争性谈判文件谈判须知和采购项目技术规范及要求</w:t>
      </w:r>
      <w:r>
        <w:rPr>
          <w:rFonts w:hint="eastAsia" w:hAnsi="宋体"/>
          <w:color w:val="auto"/>
          <w:sz w:val="24"/>
        </w:rPr>
        <w:t>所需</w:t>
      </w:r>
      <w:r>
        <w:rPr>
          <w:rFonts w:hint="eastAsia" w:hAnsi="宋体"/>
          <w:color w:val="auto"/>
          <w:sz w:val="24"/>
          <w:szCs w:val="24"/>
        </w:rPr>
        <w:t>提供的有关文件；</w:t>
      </w:r>
    </w:p>
    <w:p>
      <w:pPr>
        <w:pStyle w:val="12"/>
        <w:spacing w:line="520" w:lineRule="exact"/>
        <w:ind w:firstLine="480"/>
        <w:rPr>
          <w:rFonts w:hint="eastAsia" w:hAnsi="宋体"/>
          <w:color w:val="auto"/>
          <w:sz w:val="24"/>
          <w:szCs w:val="24"/>
        </w:rPr>
      </w:pPr>
      <w:r>
        <w:rPr>
          <w:rFonts w:hint="eastAsia" w:hAnsi="宋体"/>
          <w:color w:val="auto"/>
          <w:sz w:val="24"/>
          <w:szCs w:val="24"/>
        </w:rPr>
        <w:t>4. 资格证明文件；</w:t>
      </w:r>
    </w:p>
    <w:p>
      <w:pPr>
        <w:pStyle w:val="12"/>
        <w:spacing w:line="520" w:lineRule="exact"/>
        <w:rPr>
          <w:rFonts w:hint="eastAsia" w:hAnsi="宋体"/>
          <w:color w:val="auto"/>
          <w:sz w:val="24"/>
          <w:szCs w:val="24"/>
        </w:rPr>
      </w:pPr>
      <w:r>
        <w:rPr>
          <w:rFonts w:hint="eastAsia" w:hAnsi="宋体"/>
          <w:color w:val="auto"/>
          <w:sz w:val="24"/>
          <w:szCs w:val="24"/>
        </w:rPr>
        <w:t>在此，授权代表宣布同意如下：</w:t>
      </w:r>
    </w:p>
    <w:p>
      <w:pPr>
        <w:pStyle w:val="12"/>
        <w:spacing w:line="520" w:lineRule="exact"/>
        <w:ind w:firstLine="480"/>
        <w:rPr>
          <w:rFonts w:hint="eastAsia" w:hAnsi="宋体"/>
          <w:color w:val="auto"/>
          <w:sz w:val="24"/>
          <w:szCs w:val="24"/>
        </w:rPr>
      </w:pPr>
      <w:r>
        <w:rPr>
          <w:rFonts w:hint="eastAsia" w:hAnsi="宋体"/>
          <w:color w:val="auto"/>
          <w:sz w:val="24"/>
          <w:szCs w:val="24"/>
        </w:rPr>
        <w:t>1. 将按竞争性谈判文件的约定履行合同责任和义务；</w:t>
      </w:r>
    </w:p>
    <w:p>
      <w:pPr>
        <w:pStyle w:val="12"/>
        <w:spacing w:line="520" w:lineRule="exact"/>
        <w:ind w:left="840" w:hanging="360"/>
        <w:rPr>
          <w:rFonts w:hint="eastAsia" w:hAnsi="宋体"/>
          <w:color w:val="auto"/>
          <w:sz w:val="24"/>
          <w:szCs w:val="24"/>
        </w:rPr>
      </w:pPr>
      <w:r>
        <w:rPr>
          <w:rFonts w:hint="eastAsia" w:hAnsi="宋体"/>
          <w:color w:val="auto"/>
          <w:sz w:val="24"/>
          <w:szCs w:val="24"/>
        </w:rPr>
        <w:t>2. 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12"/>
        <w:spacing w:line="520" w:lineRule="exact"/>
        <w:ind w:left="840" w:hanging="360"/>
        <w:rPr>
          <w:rFonts w:hint="eastAsia" w:hAnsi="宋体"/>
          <w:color w:val="auto"/>
          <w:sz w:val="24"/>
          <w:szCs w:val="24"/>
        </w:rPr>
      </w:pPr>
      <w:r>
        <w:rPr>
          <w:rFonts w:hint="eastAsia" w:hAnsi="宋体"/>
          <w:color w:val="auto"/>
          <w:sz w:val="24"/>
          <w:szCs w:val="24"/>
        </w:rPr>
        <w:t>3. 同意提供按照贵方可能要求的与其谈判有关的一切数据或资料；</w:t>
      </w:r>
    </w:p>
    <w:p>
      <w:pPr>
        <w:pStyle w:val="12"/>
        <w:spacing w:line="520" w:lineRule="exact"/>
        <w:ind w:firstLine="480"/>
        <w:rPr>
          <w:rFonts w:hint="eastAsia" w:hAnsi="宋体"/>
          <w:color w:val="auto"/>
          <w:sz w:val="24"/>
          <w:szCs w:val="24"/>
          <w:u w:val="single"/>
        </w:rPr>
      </w:pPr>
      <w:r>
        <w:rPr>
          <w:rFonts w:hint="eastAsia" w:hAnsi="宋体"/>
          <w:color w:val="auto"/>
          <w:sz w:val="24"/>
          <w:szCs w:val="24"/>
        </w:rPr>
        <w:t>4. 与本谈判有关的一切正式往来信函请寄：</w:t>
      </w:r>
      <w:r>
        <w:rPr>
          <w:rFonts w:hint="eastAsia" w:hAnsi="宋体"/>
          <w:color w:val="auto"/>
          <w:sz w:val="24"/>
          <w:szCs w:val="24"/>
          <w:u w:val="single"/>
        </w:rPr>
        <w:t xml:space="preserve">                       </w:t>
      </w:r>
    </w:p>
    <w:p>
      <w:pPr>
        <w:pStyle w:val="12"/>
        <w:spacing w:line="520" w:lineRule="exact"/>
        <w:ind w:firstLine="840"/>
        <w:rPr>
          <w:rFonts w:hint="eastAsia" w:hAnsi="宋体"/>
          <w:color w:val="auto"/>
          <w:sz w:val="24"/>
          <w:szCs w:val="24"/>
        </w:rPr>
      </w:pPr>
      <w:r>
        <w:rPr>
          <w:rFonts w:hint="eastAsia" w:hAnsi="宋体"/>
          <w:color w:val="auto"/>
          <w:sz w:val="24"/>
          <w:szCs w:val="24"/>
        </w:rPr>
        <w:t>电话/传真：</w:t>
      </w:r>
      <w:r>
        <w:rPr>
          <w:rFonts w:hint="eastAsia" w:hAnsi="宋体"/>
          <w:color w:val="auto"/>
          <w:sz w:val="24"/>
          <w:szCs w:val="24"/>
          <w:u w:val="single"/>
        </w:rPr>
        <w:t xml:space="preserve">                        </w:t>
      </w:r>
      <w:r>
        <w:rPr>
          <w:rFonts w:hint="eastAsia" w:hAnsi="宋体"/>
          <w:color w:val="auto"/>
          <w:sz w:val="24"/>
          <w:szCs w:val="24"/>
        </w:rPr>
        <w:t xml:space="preserve"> 电子函件：</w:t>
      </w:r>
      <w:r>
        <w:rPr>
          <w:rFonts w:hint="eastAsia" w:hAnsi="宋体"/>
          <w:color w:val="auto"/>
          <w:sz w:val="24"/>
          <w:szCs w:val="24"/>
          <w:u w:val="single"/>
        </w:rPr>
        <w:t xml:space="preserve">             </w:t>
      </w:r>
      <w:r>
        <w:rPr>
          <w:rFonts w:hint="eastAsia" w:hAnsi="宋体"/>
          <w:color w:val="auto"/>
          <w:sz w:val="24"/>
          <w:szCs w:val="24"/>
        </w:rPr>
        <w:t xml:space="preserve">              </w:t>
      </w:r>
    </w:p>
    <w:p>
      <w:pPr>
        <w:pStyle w:val="12"/>
        <w:spacing w:line="520" w:lineRule="exact"/>
        <w:ind w:firstLine="840"/>
        <w:rPr>
          <w:rFonts w:hint="eastAsia" w:hAnsi="宋体"/>
          <w:color w:val="auto"/>
          <w:sz w:val="24"/>
          <w:szCs w:val="24"/>
          <w:u w:val="single"/>
        </w:rPr>
      </w:pPr>
      <w:r>
        <w:rPr>
          <w:rFonts w:hint="eastAsia" w:hAnsi="宋体"/>
          <w:color w:val="auto"/>
          <w:sz w:val="24"/>
          <w:szCs w:val="24"/>
        </w:rPr>
        <w:t>日期：</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12"/>
        <w:spacing w:line="520" w:lineRule="exact"/>
        <w:ind w:firstLine="840"/>
        <w:rPr>
          <w:rFonts w:hint="eastAsia" w:hAnsi="宋体"/>
          <w:color w:val="auto"/>
          <w:sz w:val="24"/>
          <w:szCs w:val="24"/>
          <w:u w:val="single"/>
        </w:rPr>
      </w:pPr>
      <w:r>
        <w:rPr>
          <w:rFonts w:hint="eastAsia" w:hAnsi="宋体"/>
          <w:color w:val="auto"/>
          <w:sz w:val="24"/>
          <w:szCs w:val="24"/>
        </w:rPr>
        <w:t>法定代表人或法定代表人授权代表签字：</w:t>
      </w:r>
      <w:r>
        <w:rPr>
          <w:rFonts w:hint="eastAsia" w:hAnsi="宋体"/>
          <w:color w:val="auto"/>
          <w:sz w:val="24"/>
          <w:szCs w:val="24"/>
          <w:u w:val="single"/>
        </w:rPr>
        <w:t xml:space="preserve">                       </w:t>
      </w:r>
    </w:p>
    <w:p>
      <w:pPr>
        <w:pStyle w:val="12"/>
        <w:spacing w:line="520" w:lineRule="exact"/>
        <w:ind w:firstLine="840"/>
        <w:rPr>
          <w:rFonts w:hint="eastAsia" w:hAnsi="宋体"/>
          <w:color w:val="auto"/>
          <w:sz w:val="24"/>
          <w:szCs w:val="24"/>
        </w:rPr>
      </w:pPr>
      <w:r>
        <w:rPr>
          <w:rFonts w:hint="eastAsia" w:hAnsi="宋体"/>
          <w:color w:val="auto"/>
          <w:sz w:val="24"/>
          <w:szCs w:val="24"/>
        </w:rPr>
        <w:t>谈判</w:t>
      </w:r>
      <w:r>
        <w:rPr>
          <w:rFonts w:hint="eastAsia" w:hAnsi="宋体"/>
          <w:color w:val="auto"/>
          <w:sz w:val="24"/>
          <w:szCs w:val="24"/>
          <w:lang w:eastAsia="zh-CN"/>
        </w:rPr>
        <w:t>竞标人</w:t>
      </w:r>
      <w:r>
        <w:rPr>
          <w:rFonts w:hint="eastAsia" w:hAnsi="宋体"/>
          <w:color w:val="auto"/>
          <w:sz w:val="24"/>
          <w:szCs w:val="24"/>
        </w:rPr>
        <w:t>名称（盖章）：</w:t>
      </w:r>
      <w:r>
        <w:rPr>
          <w:rFonts w:hint="eastAsia" w:hAnsi="宋体"/>
          <w:color w:val="auto"/>
          <w:sz w:val="24"/>
          <w:szCs w:val="24"/>
          <w:u w:val="single"/>
        </w:rPr>
        <w:t xml:space="preserve">                                    </w:t>
      </w:r>
      <w:r>
        <w:rPr>
          <w:rFonts w:hint="eastAsia" w:hAnsi="宋体"/>
          <w:color w:val="auto"/>
          <w:sz w:val="24"/>
          <w:szCs w:val="24"/>
        </w:rPr>
        <w:t xml:space="preserve">                           </w:t>
      </w:r>
    </w:p>
    <w:p>
      <w:pPr>
        <w:spacing w:line="400" w:lineRule="exact"/>
        <w:ind w:firstLine="840" w:firstLineChars="350"/>
        <w:rPr>
          <w:rFonts w:hint="eastAsia" w:ascii="宋体" w:hAnsi="宋体"/>
          <w:color w:val="auto"/>
          <w:sz w:val="24"/>
        </w:rPr>
      </w:pPr>
      <w:r>
        <w:rPr>
          <w:rFonts w:hint="eastAsia" w:ascii="宋体" w:hAnsi="宋体"/>
          <w:color w:val="auto"/>
          <w:sz w:val="24"/>
        </w:rPr>
        <w:t>开户银行：</w:t>
      </w:r>
      <w:r>
        <w:rPr>
          <w:rFonts w:hint="eastAsia" w:ascii="宋体" w:hAnsi="宋体"/>
          <w:color w:val="auto"/>
          <w:sz w:val="24"/>
          <w:u w:val="single"/>
        </w:rPr>
        <w:t xml:space="preserve">                         </w:t>
      </w:r>
      <w:r>
        <w:rPr>
          <w:rFonts w:hint="eastAsia" w:ascii="宋体" w:hAnsi="宋体"/>
          <w:color w:val="auto"/>
          <w:sz w:val="24"/>
        </w:rPr>
        <w:t xml:space="preserve">  帐号/行号：</w:t>
      </w:r>
      <w:r>
        <w:rPr>
          <w:rFonts w:hint="eastAsia" w:ascii="宋体" w:hAnsi="宋体"/>
          <w:color w:val="auto"/>
          <w:sz w:val="24"/>
          <w:u w:val="single"/>
        </w:rPr>
        <w:t xml:space="preserve">           </w:t>
      </w:r>
      <w:r>
        <w:rPr>
          <w:rFonts w:hint="eastAsia" w:ascii="宋体" w:hAnsi="宋体"/>
          <w:color w:val="auto"/>
          <w:sz w:val="24"/>
        </w:rPr>
        <w:t xml:space="preserve">   </w:t>
      </w:r>
    </w:p>
    <w:p>
      <w:pPr>
        <w:spacing w:line="400" w:lineRule="exact"/>
        <w:ind w:firstLine="840" w:firstLineChars="350"/>
        <w:rPr>
          <w:rFonts w:hint="eastAsia" w:ascii="宋体" w:hAnsi="宋体"/>
          <w:color w:val="auto"/>
          <w:sz w:val="24"/>
        </w:rPr>
      </w:pPr>
    </w:p>
    <w:p>
      <w:pPr>
        <w:spacing w:line="400" w:lineRule="exact"/>
        <w:ind w:firstLine="840" w:firstLineChars="350"/>
        <w:rPr>
          <w:rFonts w:hint="eastAsia" w:ascii="宋体" w:hAnsi="宋体"/>
          <w:color w:val="auto"/>
          <w:sz w:val="24"/>
        </w:rPr>
      </w:pPr>
    </w:p>
    <w:p>
      <w:pPr>
        <w:spacing w:line="400" w:lineRule="exact"/>
        <w:ind w:firstLine="840" w:firstLineChars="350"/>
        <w:rPr>
          <w:rFonts w:hint="eastAsia" w:ascii="宋体" w:hAnsi="宋体"/>
          <w:color w:val="auto"/>
          <w:sz w:val="24"/>
        </w:rPr>
      </w:pPr>
    </w:p>
    <w:p>
      <w:pPr>
        <w:spacing w:line="400" w:lineRule="exact"/>
        <w:ind w:firstLine="840" w:firstLineChars="350"/>
        <w:rPr>
          <w:rFonts w:hint="eastAsia" w:ascii="宋体" w:hAnsi="宋体"/>
          <w:color w:val="auto"/>
          <w:sz w:val="24"/>
        </w:rPr>
      </w:pPr>
    </w:p>
    <w:p>
      <w:pPr>
        <w:spacing w:line="400" w:lineRule="exact"/>
        <w:ind w:firstLine="840" w:firstLineChars="350"/>
        <w:rPr>
          <w:rFonts w:hint="eastAsia" w:ascii="宋体" w:hAnsi="宋体"/>
          <w:color w:val="auto"/>
          <w:sz w:val="24"/>
        </w:rPr>
      </w:pPr>
    </w:p>
    <w:p>
      <w:pPr>
        <w:spacing w:line="500" w:lineRule="exact"/>
        <w:jc w:val="left"/>
        <w:rPr>
          <w:rFonts w:hint="eastAsia" w:ascii="宋体" w:hAnsi="宋体"/>
          <w:color w:val="auto"/>
          <w:sz w:val="28"/>
          <w:szCs w:val="28"/>
        </w:rPr>
      </w:pPr>
      <w:r>
        <w:rPr>
          <w:rFonts w:hint="eastAsia" w:ascii="宋体" w:hAnsi="宋体"/>
          <w:color w:val="auto"/>
          <w:sz w:val="28"/>
          <w:szCs w:val="28"/>
        </w:rPr>
        <w:t>二 、报价表</w:t>
      </w:r>
    </w:p>
    <w:p>
      <w:pPr>
        <w:spacing w:line="500" w:lineRule="exact"/>
        <w:jc w:val="center"/>
        <w:rPr>
          <w:rFonts w:hint="eastAsia" w:ascii="宋体" w:hAnsi="宋体"/>
          <w:color w:val="auto"/>
          <w:sz w:val="24"/>
        </w:rPr>
      </w:pPr>
    </w:p>
    <w:p>
      <w:pPr>
        <w:spacing w:line="500" w:lineRule="exact"/>
        <w:jc w:val="center"/>
        <w:rPr>
          <w:rFonts w:hint="eastAsia" w:ascii="宋体" w:hAnsi="宋体"/>
          <w:b/>
          <w:color w:val="auto"/>
          <w:sz w:val="32"/>
          <w:szCs w:val="32"/>
        </w:rPr>
      </w:pPr>
      <w:r>
        <w:rPr>
          <w:rFonts w:hint="eastAsia" w:ascii="宋体" w:hAnsi="宋体"/>
          <w:b/>
          <w:color w:val="auto"/>
          <w:sz w:val="32"/>
          <w:szCs w:val="32"/>
        </w:rPr>
        <w:t>报价表</w:t>
      </w:r>
    </w:p>
    <w:p>
      <w:pPr>
        <w:spacing w:line="500" w:lineRule="exact"/>
        <w:jc w:val="center"/>
        <w:rPr>
          <w:rFonts w:hint="eastAsia" w:ascii="宋体" w:hAnsi="宋体"/>
          <w:b/>
          <w:color w:val="auto"/>
          <w:sz w:val="24"/>
        </w:rPr>
      </w:pPr>
    </w:p>
    <w:p>
      <w:pPr>
        <w:spacing w:line="500" w:lineRule="exact"/>
        <w:rPr>
          <w:rFonts w:hint="eastAsia" w:ascii="宋体" w:hAnsi="宋体"/>
          <w:color w:val="auto"/>
          <w:sz w:val="24"/>
          <w:u w:val="single"/>
        </w:rPr>
      </w:pPr>
      <w:r>
        <w:rPr>
          <w:rFonts w:hint="eastAsia" w:ascii="宋体" w:hAnsi="宋体"/>
          <w:color w:val="auto"/>
          <w:sz w:val="24"/>
        </w:rPr>
        <w:t>采购项目编号:</w:t>
      </w:r>
      <w:r>
        <w:rPr>
          <w:rFonts w:hint="eastAsia" w:ascii="宋体" w:hAnsi="宋体"/>
          <w:color w:val="auto"/>
          <w:sz w:val="24"/>
          <w:u w:val="single"/>
        </w:rPr>
        <w:t xml:space="preserve">                 </w:t>
      </w:r>
    </w:p>
    <w:p>
      <w:pPr>
        <w:spacing w:line="500" w:lineRule="exact"/>
        <w:rPr>
          <w:rFonts w:hint="eastAsia" w:ascii="宋体" w:hAnsi="宋体"/>
          <w:color w:val="auto"/>
          <w:sz w:val="24"/>
        </w:rPr>
      </w:pPr>
      <w:r>
        <w:rPr>
          <w:rFonts w:hint="eastAsia" w:ascii="宋体" w:hAnsi="宋体"/>
          <w:color w:val="auto"/>
          <w:sz w:val="24"/>
        </w:rPr>
        <w:t>采购项目名称:</w:t>
      </w:r>
      <w:r>
        <w:rPr>
          <w:rFonts w:hint="eastAsia" w:ascii="宋体" w:hAnsi="宋体"/>
          <w:color w:val="auto"/>
          <w:sz w:val="24"/>
          <w:u w:val="single"/>
        </w:rPr>
        <w:t xml:space="preserve">                 </w:t>
      </w:r>
      <w:r>
        <w:rPr>
          <w:rFonts w:hint="eastAsia" w:ascii="宋体" w:hAnsi="宋体"/>
          <w:color w:val="auto"/>
          <w:sz w:val="24"/>
        </w:rPr>
        <w:t xml:space="preserve"> </w:t>
      </w:r>
    </w:p>
    <w:p>
      <w:pPr>
        <w:spacing w:line="500" w:lineRule="exact"/>
        <w:rPr>
          <w:rFonts w:hint="eastAsia" w:ascii="宋体" w:hAnsi="宋体"/>
          <w:color w:val="auto"/>
          <w:sz w:val="24"/>
        </w:rPr>
      </w:pPr>
      <w:r>
        <w:rPr>
          <w:rFonts w:hint="eastAsia" w:ascii="宋体" w:hAnsi="宋体"/>
          <w:color w:val="auto"/>
          <w:sz w:val="24"/>
        </w:rPr>
        <w:t>分标号（如有）：</w:t>
      </w:r>
      <w:r>
        <w:rPr>
          <w:rFonts w:hint="eastAsia" w:ascii="宋体" w:hAnsi="宋体"/>
          <w:color w:val="auto"/>
          <w:sz w:val="24"/>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324"/>
        <w:gridCol w:w="924"/>
        <w:gridCol w:w="1559"/>
        <w:gridCol w:w="1701"/>
        <w:gridCol w:w="1324"/>
        <w:gridCol w:w="141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445" w:type="dxa"/>
            <w:noWrap w:val="0"/>
            <w:vAlign w:val="center"/>
          </w:tcPr>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项号</w:t>
            </w:r>
          </w:p>
        </w:tc>
        <w:tc>
          <w:tcPr>
            <w:tcW w:w="1324" w:type="dxa"/>
            <w:noWrap w:val="0"/>
            <w:vAlign w:val="center"/>
          </w:tcPr>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货物（服务）名称</w:t>
            </w:r>
          </w:p>
        </w:tc>
        <w:tc>
          <w:tcPr>
            <w:tcW w:w="924" w:type="dxa"/>
            <w:noWrap w:val="0"/>
            <w:vAlign w:val="center"/>
          </w:tcPr>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数量</w:t>
            </w:r>
          </w:p>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①</w:t>
            </w:r>
          </w:p>
        </w:tc>
        <w:tc>
          <w:tcPr>
            <w:tcW w:w="1559" w:type="dxa"/>
            <w:noWrap w:val="0"/>
            <w:vAlign w:val="center"/>
          </w:tcPr>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品牌及国别</w:t>
            </w:r>
          </w:p>
        </w:tc>
        <w:tc>
          <w:tcPr>
            <w:tcW w:w="1701" w:type="dxa"/>
            <w:noWrap w:val="0"/>
            <w:vAlign w:val="center"/>
          </w:tcPr>
          <w:p>
            <w:pPr>
              <w:pStyle w:val="12"/>
              <w:jc w:val="center"/>
              <w:rPr>
                <w:rFonts w:hAnsi="宋体"/>
                <w:color w:val="auto"/>
                <w:kern w:val="2"/>
                <w:sz w:val="24"/>
                <w:szCs w:val="24"/>
                <w:lang w:val="en-US" w:eastAsia="zh-CN"/>
              </w:rPr>
            </w:pPr>
            <w:r>
              <w:rPr>
                <w:rFonts w:hint="eastAsia" w:hAnsi="宋体"/>
                <w:color w:val="auto"/>
                <w:kern w:val="2"/>
                <w:sz w:val="24"/>
                <w:szCs w:val="24"/>
                <w:lang w:val="en-US" w:eastAsia="zh-CN"/>
              </w:rPr>
              <w:t>规格、型号</w:t>
            </w:r>
          </w:p>
          <w:p>
            <w:pPr>
              <w:pStyle w:val="12"/>
              <w:jc w:val="center"/>
              <w:rPr>
                <w:rFonts w:hint="eastAsia" w:hAnsi="宋体"/>
                <w:color w:val="auto"/>
                <w:kern w:val="2"/>
                <w:sz w:val="24"/>
                <w:szCs w:val="24"/>
                <w:lang w:val="en-US" w:eastAsia="zh-CN"/>
              </w:rPr>
            </w:pPr>
          </w:p>
        </w:tc>
        <w:tc>
          <w:tcPr>
            <w:tcW w:w="1324" w:type="dxa"/>
            <w:noWrap w:val="0"/>
            <w:vAlign w:val="center"/>
          </w:tcPr>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单价</w:t>
            </w:r>
          </w:p>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（元)②</w:t>
            </w:r>
          </w:p>
        </w:tc>
        <w:tc>
          <w:tcPr>
            <w:tcW w:w="1419" w:type="dxa"/>
            <w:noWrap w:val="0"/>
            <w:vAlign w:val="center"/>
          </w:tcPr>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单项合价</w:t>
            </w:r>
          </w:p>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（元）</w:t>
            </w:r>
          </w:p>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③=①×②</w:t>
            </w:r>
          </w:p>
        </w:tc>
        <w:tc>
          <w:tcPr>
            <w:tcW w:w="843" w:type="dxa"/>
            <w:noWrap w:val="0"/>
            <w:vAlign w:val="center"/>
          </w:tcPr>
          <w:p>
            <w:pPr>
              <w:pStyle w:val="12"/>
              <w:jc w:val="center"/>
              <w:rPr>
                <w:rFonts w:hint="eastAsia" w:hAnsi="宋体"/>
                <w:color w:val="auto"/>
                <w:kern w:val="2"/>
                <w:sz w:val="24"/>
                <w:szCs w:val="24"/>
                <w:lang w:val="en-US" w:eastAsia="zh-CN"/>
              </w:rPr>
            </w:pPr>
            <w:r>
              <w:rPr>
                <w:rFonts w:hint="eastAsia" w:hAnsi="宋体"/>
                <w:color w:val="auto"/>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pPr>
              <w:jc w:val="center"/>
              <w:rPr>
                <w:rFonts w:hint="eastAsia" w:ascii="宋体" w:hAnsi="宋体"/>
                <w:color w:val="auto"/>
                <w:sz w:val="24"/>
              </w:rPr>
            </w:pPr>
            <w:r>
              <w:rPr>
                <w:rFonts w:hint="eastAsia" w:ascii="宋体" w:hAnsi="宋体"/>
                <w:color w:val="auto"/>
                <w:sz w:val="24"/>
              </w:rPr>
              <w:t>1</w:t>
            </w:r>
          </w:p>
        </w:tc>
        <w:tc>
          <w:tcPr>
            <w:tcW w:w="1324" w:type="dxa"/>
            <w:noWrap w:val="0"/>
            <w:vAlign w:val="center"/>
          </w:tcPr>
          <w:p>
            <w:pPr>
              <w:jc w:val="center"/>
              <w:rPr>
                <w:rFonts w:hint="eastAsia" w:ascii="宋体" w:hAnsi="宋体"/>
                <w:color w:val="auto"/>
                <w:sz w:val="24"/>
              </w:rPr>
            </w:pPr>
          </w:p>
        </w:tc>
        <w:tc>
          <w:tcPr>
            <w:tcW w:w="924" w:type="dxa"/>
            <w:noWrap w:val="0"/>
            <w:vAlign w:val="center"/>
          </w:tcPr>
          <w:p>
            <w:pPr>
              <w:jc w:val="center"/>
              <w:rPr>
                <w:rFonts w:hint="eastAsia" w:ascii="宋体" w:hAnsi="宋体"/>
                <w:color w:val="auto"/>
                <w:sz w:val="24"/>
              </w:rPr>
            </w:pPr>
          </w:p>
        </w:tc>
        <w:tc>
          <w:tcPr>
            <w:tcW w:w="1559" w:type="dxa"/>
            <w:noWrap w:val="0"/>
            <w:vAlign w:val="center"/>
          </w:tcPr>
          <w:p>
            <w:pPr>
              <w:pStyle w:val="12"/>
              <w:rPr>
                <w:rFonts w:hint="eastAsia" w:hAnsi="宋体"/>
                <w:color w:val="auto"/>
                <w:kern w:val="2"/>
                <w:sz w:val="24"/>
                <w:szCs w:val="24"/>
                <w:lang w:val="en-US" w:eastAsia="zh-CN"/>
              </w:rPr>
            </w:pPr>
          </w:p>
        </w:tc>
        <w:tc>
          <w:tcPr>
            <w:tcW w:w="1701" w:type="dxa"/>
            <w:noWrap w:val="0"/>
            <w:vAlign w:val="center"/>
          </w:tcPr>
          <w:p>
            <w:pPr>
              <w:pStyle w:val="12"/>
              <w:rPr>
                <w:rFonts w:hint="eastAsia" w:hAnsi="宋体"/>
                <w:color w:val="auto"/>
                <w:kern w:val="2"/>
                <w:sz w:val="24"/>
                <w:szCs w:val="24"/>
                <w:lang w:val="en-US" w:eastAsia="zh-CN"/>
              </w:rPr>
            </w:pPr>
          </w:p>
        </w:tc>
        <w:tc>
          <w:tcPr>
            <w:tcW w:w="1324" w:type="dxa"/>
            <w:noWrap w:val="0"/>
            <w:vAlign w:val="center"/>
          </w:tcPr>
          <w:p>
            <w:pPr>
              <w:pStyle w:val="12"/>
              <w:rPr>
                <w:rFonts w:hint="eastAsia" w:hAnsi="宋体"/>
                <w:color w:val="auto"/>
                <w:kern w:val="2"/>
                <w:sz w:val="24"/>
                <w:szCs w:val="24"/>
                <w:lang w:val="en-US" w:eastAsia="zh-CN"/>
              </w:rPr>
            </w:pPr>
          </w:p>
        </w:tc>
        <w:tc>
          <w:tcPr>
            <w:tcW w:w="1419" w:type="dxa"/>
            <w:noWrap w:val="0"/>
            <w:vAlign w:val="center"/>
          </w:tcPr>
          <w:p>
            <w:pPr>
              <w:pStyle w:val="12"/>
              <w:rPr>
                <w:rFonts w:hint="eastAsia" w:hAnsi="宋体"/>
                <w:color w:val="auto"/>
                <w:kern w:val="2"/>
                <w:sz w:val="24"/>
                <w:szCs w:val="24"/>
                <w:lang w:val="en-US" w:eastAsia="zh-CN"/>
              </w:rPr>
            </w:pPr>
          </w:p>
        </w:tc>
        <w:tc>
          <w:tcPr>
            <w:tcW w:w="843" w:type="dxa"/>
            <w:noWrap w:val="0"/>
            <w:vAlign w:val="center"/>
          </w:tcPr>
          <w:p>
            <w:pPr>
              <w:pStyle w:val="12"/>
              <w:rPr>
                <w:rFonts w:hint="eastAsia" w:hAnsi="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pPr>
              <w:jc w:val="center"/>
              <w:rPr>
                <w:rFonts w:hint="eastAsia" w:ascii="宋体" w:hAnsi="宋体"/>
                <w:color w:val="auto"/>
                <w:sz w:val="24"/>
              </w:rPr>
            </w:pPr>
            <w:r>
              <w:rPr>
                <w:rFonts w:hint="eastAsia" w:ascii="宋体" w:hAnsi="宋体"/>
                <w:color w:val="auto"/>
                <w:sz w:val="24"/>
              </w:rPr>
              <w:t>2</w:t>
            </w:r>
          </w:p>
        </w:tc>
        <w:tc>
          <w:tcPr>
            <w:tcW w:w="1324" w:type="dxa"/>
            <w:noWrap w:val="0"/>
            <w:vAlign w:val="center"/>
          </w:tcPr>
          <w:p>
            <w:pPr>
              <w:jc w:val="center"/>
              <w:rPr>
                <w:rFonts w:hint="eastAsia" w:ascii="宋体" w:hAnsi="宋体"/>
                <w:color w:val="auto"/>
                <w:sz w:val="24"/>
              </w:rPr>
            </w:pPr>
          </w:p>
        </w:tc>
        <w:tc>
          <w:tcPr>
            <w:tcW w:w="924" w:type="dxa"/>
            <w:noWrap w:val="0"/>
            <w:vAlign w:val="center"/>
          </w:tcPr>
          <w:p>
            <w:pPr>
              <w:jc w:val="center"/>
              <w:rPr>
                <w:rFonts w:hint="eastAsia" w:ascii="宋体" w:hAnsi="宋体"/>
                <w:color w:val="auto"/>
                <w:sz w:val="24"/>
              </w:rPr>
            </w:pPr>
          </w:p>
        </w:tc>
        <w:tc>
          <w:tcPr>
            <w:tcW w:w="1559" w:type="dxa"/>
            <w:noWrap w:val="0"/>
            <w:vAlign w:val="center"/>
          </w:tcPr>
          <w:p>
            <w:pPr>
              <w:pStyle w:val="12"/>
              <w:rPr>
                <w:rFonts w:hint="eastAsia" w:hAnsi="宋体"/>
                <w:color w:val="auto"/>
                <w:kern w:val="2"/>
                <w:sz w:val="24"/>
                <w:szCs w:val="24"/>
                <w:lang w:val="en-US" w:eastAsia="zh-CN"/>
              </w:rPr>
            </w:pPr>
          </w:p>
        </w:tc>
        <w:tc>
          <w:tcPr>
            <w:tcW w:w="1701" w:type="dxa"/>
            <w:noWrap w:val="0"/>
            <w:vAlign w:val="center"/>
          </w:tcPr>
          <w:p>
            <w:pPr>
              <w:pStyle w:val="12"/>
              <w:rPr>
                <w:rFonts w:hint="eastAsia" w:hAnsi="宋体"/>
                <w:color w:val="auto"/>
                <w:kern w:val="2"/>
                <w:sz w:val="24"/>
                <w:szCs w:val="24"/>
                <w:lang w:val="en-US" w:eastAsia="zh-CN"/>
              </w:rPr>
            </w:pPr>
          </w:p>
        </w:tc>
        <w:tc>
          <w:tcPr>
            <w:tcW w:w="1324" w:type="dxa"/>
            <w:noWrap w:val="0"/>
            <w:vAlign w:val="center"/>
          </w:tcPr>
          <w:p>
            <w:pPr>
              <w:pStyle w:val="12"/>
              <w:rPr>
                <w:rFonts w:hint="eastAsia" w:hAnsi="宋体"/>
                <w:color w:val="auto"/>
                <w:kern w:val="2"/>
                <w:sz w:val="24"/>
                <w:szCs w:val="24"/>
                <w:lang w:val="en-US" w:eastAsia="zh-CN"/>
              </w:rPr>
            </w:pPr>
          </w:p>
        </w:tc>
        <w:tc>
          <w:tcPr>
            <w:tcW w:w="1419" w:type="dxa"/>
            <w:noWrap w:val="0"/>
            <w:vAlign w:val="center"/>
          </w:tcPr>
          <w:p>
            <w:pPr>
              <w:pStyle w:val="12"/>
              <w:rPr>
                <w:rFonts w:hint="eastAsia" w:hAnsi="宋体"/>
                <w:color w:val="auto"/>
                <w:kern w:val="2"/>
                <w:sz w:val="24"/>
                <w:szCs w:val="24"/>
                <w:lang w:val="en-US" w:eastAsia="zh-CN"/>
              </w:rPr>
            </w:pPr>
          </w:p>
        </w:tc>
        <w:tc>
          <w:tcPr>
            <w:tcW w:w="843" w:type="dxa"/>
            <w:noWrap w:val="0"/>
            <w:vAlign w:val="center"/>
          </w:tcPr>
          <w:p>
            <w:pPr>
              <w:pStyle w:val="12"/>
              <w:rPr>
                <w:rFonts w:hint="eastAsia" w:hAnsi="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pPr>
              <w:jc w:val="center"/>
              <w:rPr>
                <w:rFonts w:hint="eastAsia" w:ascii="宋体" w:hAnsi="宋体"/>
                <w:color w:val="auto"/>
                <w:sz w:val="24"/>
              </w:rPr>
            </w:pPr>
            <w:r>
              <w:rPr>
                <w:rFonts w:hint="eastAsia" w:ascii="宋体" w:hAnsi="宋体"/>
                <w:color w:val="auto"/>
                <w:sz w:val="24"/>
              </w:rPr>
              <w:t>3</w:t>
            </w:r>
          </w:p>
        </w:tc>
        <w:tc>
          <w:tcPr>
            <w:tcW w:w="1324" w:type="dxa"/>
            <w:noWrap w:val="0"/>
            <w:vAlign w:val="center"/>
          </w:tcPr>
          <w:p>
            <w:pPr>
              <w:jc w:val="center"/>
              <w:rPr>
                <w:rFonts w:hint="eastAsia" w:ascii="宋体" w:hAnsi="宋体"/>
                <w:color w:val="auto"/>
                <w:sz w:val="24"/>
              </w:rPr>
            </w:pPr>
          </w:p>
        </w:tc>
        <w:tc>
          <w:tcPr>
            <w:tcW w:w="924" w:type="dxa"/>
            <w:noWrap w:val="0"/>
            <w:vAlign w:val="center"/>
          </w:tcPr>
          <w:p>
            <w:pPr>
              <w:jc w:val="center"/>
              <w:rPr>
                <w:rFonts w:hint="eastAsia" w:ascii="宋体" w:hAnsi="宋体"/>
                <w:color w:val="auto"/>
                <w:sz w:val="24"/>
              </w:rPr>
            </w:pPr>
          </w:p>
        </w:tc>
        <w:tc>
          <w:tcPr>
            <w:tcW w:w="1559" w:type="dxa"/>
            <w:noWrap w:val="0"/>
            <w:vAlign w:val="center"/>
          </w:tcPr>
          <w:p>
            <w:pPr>
              <w:pStyle w:val="12"/>
              <w:rPr>
                <w:rFonts w:hint="eastAsia" w:hAnsi="宋体"/>
                <w:color w:val="auto"/>
                <w:kern w:val="2"/>
                <w:sz w:val="24"/>
                <w:szCs w:val="24"/>
                <w:lang w:val="en-US" w:eastAsia="zh-CN"/>
              </w:rPr>
            </w:pPr>
          </w:p>
        </w:tc>
        <w:tc>
          <w:tcPr>
            <w:tcW w:w="1701" w:type="dxa"/>
            <w:noWrap w:val="0"/>
            <w:vAlign w:val="center"/>
          </w:tcPr>
          <w:p>
            <w:pPr>
              <w:pStyle w:val="12"/>
              <w:rPr>
                <w:rFonts w:hint="eastAsia" w:hAnsi="宋体"/>
                <w:color w:val="auto"/>
                <w:kern w:val="2"/>
                <w:sz w:val="24"/>
                <w:szCs w:val="24"/>
                <w:lang w:val="en-US" w:eastAsia="zh-CN"/>
              </w:rPr>
            </w:pPr>
          </w:p>
        </w:tc>
        <w:tc>
          <w:tcPr>
            <w:tcW w:w="1324" w:type="dxa"/>
            <w:noWrap w:val="0"/>
            <w:vAlign w:val="center"/>
          </w:tcPr>
          <w:p>
            <w:pPr>
              <w:pStyle w:val="12"/>
              <w:rPr>
                <w:rFonts w:hint="eastAsia" w:hAnsi="宋体"/>
                <w:color w:val="auto"/>
                <w:kern w:val="2"/>
                <w:sz w:val="24"/>
                <w:szCs w:val="24"/>
                <w:lang w:val="en-US" w:eastAsia="zh-CN"/>
              </w:rPr>
            </w:pPr>
          </w:p>
        </w:tc>
        <w:tc>
          <w:tcPr>
            <w:tcW w:w="1419" w:type="dxa"/>
            <w:noWrap w:val="0"/>
            <w:vAlign w:val="center"/>
          </w:tcPr>
          <w:p>
            <w:pPr>
              <w:pStyle w:val="12"/>
              <w:rPr>
                <w:rFonts w:hint="eastAsia" w:hAnsi="宋体"/>
                <w:color w:val="auto"/>
                <w:kern w:val="2"/>
                <w:sz w:val="24"/>
                <w:szCs w:val="24"/>
                <w:lang w:val="en-US" w:eastAsia="zh-CN"/>
              </w:rPr>
            </w:pPr>
          </w:p>
        </w:tc>
        <w:tc>
          <w:tcPr>
            <w:tcW w:w="843" w:type="dxa"/>
            <w:noWrap w:val="0"/>
            <w:vAlign w:val="center"/>
          </w:tcPr>
          <w:p>
            <w:pPr>
              <w:pStyle w:val="12"/>
              <w:rPr>
                <w:rFonts w:hint="eastAsia" w:hAnsi="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pPr>
              <w:jc w:val="center"/>
              <w:rPr>
                <w:rFonts w:hint="eastAsia" w:ascii="宋体" w:hAnsi="宋体"/>
                <w:color w:val="auto"/>
                <w:sz w:val="24"/>
              </w:rPr>
            </w:pPr>
            <w:r>
              <w:rPr>
                <w:rFonts w:hint="eastAsia" w:ascii="宋体" w:hAnsi="宋体"/>
                <w:color w:val="auto"/>
                <w:sz w:val="24"/>
              </w:rPr>
              <w:t>4</w:t>
            </w:r>
          </w:p>
        </w:tc>
        <w:tc>
          <w:tcPr>
            <w:tcW w:w="1324" w:type="dxa"/>
            <w:noWrap w:val="0"/>
            <w:vAlign w:val="center"/>
          </w:tcPr>
          <w:p>
            <w:pPr>
              <w:jc w:val="center"/>
              <w:rPr>
                <w:rFonts w:hint="eastAsia" w:ascii="宋体" w:hAnsi="宋体"/>
                <w:color w:val="auto"/>
                <w:sz w:val="24"/>
              </w:rPr>
            </w:pPr>
          </w:p>
        </w:tc>
        <w:tc>
          <w:tcPr>
            <w:tcW w:w="924" w:type="dxa"/>
            <w:noWrap w:val="0"/>
            <w:vAlign w:val="center"/>
          </w:tcPr>
          <w:p>
            <w:pPr>
              <w:jc w:val="center"/>
              <w:rPr>
                <w:rFonts w:hint="eastAsia" w:ascii="宋体" w:hAnsi="宋体"/>
                <w:color w:val="auto"/>
                <w:sz w:val="24"/>
              </w:rPr>
            </w:pPr>
          </w:p>
        </w:tc>
        <w:tc>
          <w:tcPr>
            <w:tcW w:w="1559" w:type="dxa"/>
            <w:noWrap w:val="0"/>
            <w:vAlign w:val="center"/>
          </w:tcPr>
          <w:p>
            <w:pPr>
              <w:pStyle w:val="12"/>
              <w:rPr>
                <w:rFonts w:hint="eastAsia" w:hAnsi="宋体"/>
                <w:color w:val="auto"/>
                <w:kern w:val="2"/>
                <w:sz w:val="24"/>
                <w:szCs w:val="24"/>
                <w:lang w:val="en-US" w:eastAsia="zh-CN"/>
              </w:rPr>
            </w:pPr>
          </w:p>
        </w:tc>
        <w:tc>
          <w:tcPr>
            <w:tcW w:w="1701" w:type="dxa"/>
            <w:noWrap w:val="0"/>
            <w:vAlign w:val="center"/>
          </w:tcPr>
          <w:p>
            <w:pPr>
              <w:pStyle w:val="12"/>
              <w:rPr>
                <w:rFonts w:hint="eastAsia" w:hAnsi="宋体"/>
                <w:color w:val="auto"/>
                <w:kern w:val="2"/>
                <w:sz w:val="24"/>
                <w:szCs w:val="24"/>
                <w:lang w:val="en-US" w:eastAsia="zh-CN"/>
              </w:rPr>
            </w:pPr>
          </w:p>
        </w:tc>
        <w:tc>
          <w:tcPr>
            <w:tcW w:w="1324" w:type="dxa"/>
            <w:noWrap w:val="0"/>
            <w:vAlign w:val="center"/>
          </w:tcPr>
          <w:p>
            <w:pPr>
              <w:pStyle w:val="12"/>
              <w:rPr>
                <w:rFonts w:hint="eastAsia" w:hAnsi="宋体"/>
                <w:color w:val="auto"/>
                <w:kern w:val="2"/>
                <w:sz w:val="24"/>
                <w:szCs w:val="24"/>
                <w:lang w:val="en-US" w:eastAsia="zh-CN"/>
              </w:rPr>
            </w:pPr>
          </w:p>
        </w:tc>
        <w:tc>
          <w:tcPr>
            <w:tcW w:w="1419" w:type="dxa"/>
            <w:noWrap w:val="0"/>
            <w:vAlign w:val="center"/>
          </w:tcPr>
          <w:p>
            <w:pPr>
              <w:pStyle w:val="12"/>
              <w:rPr>
                <w:rFonts w:hint="eastAsia" w:hAnsi="宋体"/>
                <w:color w:val="auto"/>
                <w:kern w:val="2"/>
                <w:sz w:val="24"/>
                <w:szCs w:val="24"/>
                <w:lang w:val="en-US" w:eastAsia="zh-CN"/>
              </w:rPr>
            </w:pPr>
          </w:p>
        </w:tc>
        <w:tc>
          <w:tcPr>
            <w:tcW w:w="843" w:type="dxa"/>
            <w:noWrap w:val="0"/>
            <w:vAlign w:val="center"/>
          </w:tcPr>
          <w:p>
            <w:pPr>
              <w:pStyle w:val="12"/>
              <w:rPr>
                <w:rFonts w:hint="eastAsia" w:hAnsi="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pPr>
              <w:jc w:val="center"/>
              <w:rPr>
                <w:rFonts w:hint="eastAsia" w:ascii="宋体" w:hAnsi="宋体"/>
                <w:color w:val="auto"/>
                <w:sz w:val="24"/>
              </w:rPr>
            </w:pPr>
            <w:r>
              <w:rPr>
                <w:rFonts w:hint="eastAsia" w:ascii="宋体" w:hAnsi="宋体"/>
                <w:color w:val="auto"/>
                <w:sz w:val="24"/>
              </w:rPr>
              <w:t>…</w:t>
            </w:r>
          </w:p>
        </w:tc>
        <w:tc>
          <w:tcPr>
            <w:tcW w:w="1324" w:type="dxa"/>
            <w:noWrap w:val="0"/>
            <w:vAlign w:val="center"/>
          </w:tcPr>
          <w:p>
            <w:pPr>
              <w:jc w:val="center"/>
              <w:rPr>
                <w:rFonts w:hint="eastAsia" w:ascii="宋体" w:hAnsi="宋体"/>
                <w:color w:val="auto"/>
                <w:sz w:val="24"/>
              </w:rPr>
            </w:pPr>
          </w:p>
        </w:tc>
        <w:tc>
          <w:tcPr>
            <w:tcW w:w="924" w:type="dxa"/>
            <w:noWrap w:val="0"/>
            <w:vAlign w:val="center"/>
          </w:tcPr>
          <w:p>
            <w:pPr>
              <w:jc w:val="center"/>
              <w:rPr>
                <w:rFonts w:hint="eastAsia" w:ascii="宋体" w:hAnsi="宋体"/>
                <w:color w:val="auto"/>
                <w:sz w:val="24"/>
              </w:rPr>
            </w:pPr>
          </w:p>
        </w:tc>
        <w:tc>
          <w:tcPr>
            <w:tcW w:w="1559" w:type="dxa"/>
            <w:noWrap w:val="0"/>
            <w:vAlign w:val="center"/>
          </w:tcPr>
          <w:p>
            <w:pPr>
              <w:pStyle w:val="12"/>
              <w:rPr>
                <w:rFonts w:hint="eastAsia" w:hAnsi="宋体"/>
                <w:color w:val="auto"/>
                <w:kern w:val="2"/>
                <w:sz w:val="24"/>
                <w:szCs w:val="24"/>
                <w:lang w:val="en-US" w:eastAsia="zh-CN"/>
              </w:rPr>
            </w:pPr>
          </w:p>
        </w:tc>
        <w:tc>
          <w:tcPr>
            <w:tcW w:w="1701" w:type="dxa"/>
            <w:noWrap w:val="0"/>
            <w:vAlign w:val="center"/>
          </w:tcPr>
          <w:p>
            <w:pPr>
              <w:pStyle w:val="12"/>
              <w:rPr>
                <w:rFonts w:hint="eastAsia" w:hAnsi="宋体"/>
                <w:color w:val="auto"/>
                <w:kern w:val="2"/>
                <w:sz w:val="24"/>
                <w:szCs w:val="24"/>
                <w:lang w:val="en-US" w:eastAsia="zh-CN"/>
              </w:rPr>
            </w:pPr>
          </w:p>
        </w:tc>
        <w:tc>
          <w:tcPr>
            <w:tcW w:w="1324" w:type="dxa"/>
            <w:noWrap w:val="0"/>
            <w:vAlign w:val="center"/>
          </w:tcPr>
          <w:p>
            <w:pPr>
              <w:pStyle w:val="12"/>
              <w:rPr>
                <w:rFonts w:hint="eastAsia" w:hAnsi="宋体"/>
                <w:color w:val="auto"/>
                <w:kern w:val="2"/>
                <w:sz w:val="24"/>
                <w:szCs w:val="24"/>
                <w:lang w:val="en-US" w:eastAsia="zh-CN"/>
              </w:rPr>
            </w:pPr>
          </w:p>
        </w:tc>
        <w:tc>
          <w:tcPr>
            <w:tcW w:w="1419" w:type="dxa"/>
            <w:noWrap w:val="0"/>
            <w:vAlign w:val="center"/>
          </w:tcPr>
          <w:p>
            <w:pPr>
              <w:pStyle w:val="12"/>
              <w:rPr>
                <w:rFonts w:hint="eastAsia" w:hAnsi="宋体"/>
                <w:color w:val="auto"/>
                <w:kern w:val="2"/>
                <w:sz w:val="24"/>
                <w:szCs w:val="24"/>
                <w:lang w:val="en-US" w:eastAsia="zh-CN"/>
              </w:rPr>
            </w:pPr>
          </w:p>
        </w:tc>
        <w:tc>
          <w:tcPr>
            <w:tcW w:w="843" w:type="dxa"/>
            <w:noWrap w:val="0"/>
            <w:vAlign w:val="center"/>
          </w:tcPr>
          <w:p>
            <w:pPr>
              <w:pStyle w:val="12"/>
              <w:rPr>
                <w:rFonts w:hint="eastAsia" w:hAnsi="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pPr>
              <w:jc w:val="center"/>
              <w:rPr>
                <w:rFonts w:hint="eastAsia" w:ascii="宋体" w:hAnsi="宋体"/>
                <w:color w:val="auto"/>
                <w:sz w:val="24"/>
              </w:rPr>
            </w:pPr>
            <w:r>
              <w:rPr>
                <w:rFonts w:hint="eastAsia" w:ascii="宋体" w:hAnsi="宋体"/>
                <w:color w:val="auto"/>
                <w:sz w:val="24"/>
              </w:rPr>
              <w:t>N</w:t>
            </w:r>
          </w:p>
        </w:tc>
        <w:tc>
          <w:tcPr>
            <w:tcW w:w="1324" w:type="dxa"/>
            <w:noWrap w:val="0"/>
            <w:vAlign w:val="center"/>
          </w:tcPr>
          <w:p>
            <w:pPr>
              <w:jc w:val="center"/>
              <w:rPr>
                <w:rFonts w:hint="eastAsia" w:ascii="宋体" w:hAnsi="宋体"/>
                <w:color w:val="auto"/>
                <w:sz w:val="24"/>
              </w:rPr>
            </w:pPr>
          </w:p>
        </w:tc>
        <w:tc>
          <w:tcPr>
            <w:tcW w:w="924" w:type="dxa"/>
            <w:noWrap w:val="0"/>
            <w:vAlign w:val="center"/>
          </w:tcPr>
          <w:p>
            <w:pPr>
              <w:jc w:val="center"/>
              <w:rPr>
                <w:rFonts w:hint="eastAsia" w:ascii="宋体" w:hAnsi="宋体"/>
                <w:color w:val="auto"/>
                <w:sz w:val="24"/>
              </w:rPr>
            </w:pPr>
          </w:p>
        </w:tc>
        <w:tc>
          <w:tcPr>
            <w:tcW w:w="1559" w:type="dxa"/>
            <w:noWrap w:val="0"/>
            <w:vAlign w:val="center"/>
          </w:tcPr>
          <w:p>
            <w:pPr>
              <w:pStyle w:val="12"/>
              <w:rPr>
                <w:rFonts w:hint="eastAsia" w:hAnsi="宋体"/>
                <w:color w:val="auto"/>
                <w:kern w:val="2"/>
                <w:sz w:val="24"/>
                <w:szCs w:val="24"/>
                <w:lang w:val="en-US" w:eastAsia="zh-CN"/>
              </w:rPr>
            </w:pPr>
          </w:p>
        </w:tc>
        <w:tc>
          <w:tcPr>
            <w:tcW w:w="1701" w:type="dxa"/>
            <w:noWrap w:val="0"/>
            <w:vAlign w:val="center"/>
          </w:tcPr>
          <w:p>
            <w:pPr>
              <w:pStyle w:val="12"/>
              <w:rPr>
                <w:rFonts w:hint="eastAsia" w:hAnsi="宋体"/>
                <w:color w:val="auto"/>
                <w:kern w:val="2"/>
                <w:sz w:val="24"/>
                <w:szCs w:val="24"/>
                <w:lang w:val="en-US" w:eastAsia="zh-CN"/>
              </w:rPr>
            </w:pPr>
          </w:p>
        </w:tc>
        <w:tc>
          <w:tcPr>
            <w:tcW w:w="1324" w:type="dxa"/>
            <w:noWrap w:val="0"/>
            <w:vAlign w:val="center"/>
          </w:tcPr>
          <w:p>
            <w:pPr>
              <w:pStyle w:val="12"/>
              <w:rPr>
                <w:rFonts w:hint="eastAsia" w:hAnsi="宋体"/>
                <w:color w:val="auto"/>
                <w:kern w:val="2"/>
                <w:sz w:val="24"/>
                <w:szCs w:val="24"/>
                <w:lang w:val="en-US" w:eastAsia="zh-CN"/>
              </w:rPr>
            </w:pPr>
          </w:p>
        </w:tc>
        <w:tc>
          <w:tcPr>
            <w:tcW w:w="1419" w:type="dxa"/>
            <w:noWrap w:val="0"/>
            <w:vAlign w:val="center"/>
          </w:tcPr>
          <w:p>
            <w:pPr>
              <w:pStyle w:val="12"/>
              <w:rPr>
                <w:rFonts w:hint="eastAsia" w:hAnsi="宋体"/>
                <w:color w:val="auto"/>
                <w:kern w:val="2"/>
                <w:sz w:val="24"/>
                <w:szCs w:val="24"/>
                <w:lang w:val="en-US" w:eastAsia="zh-CN"/>
              </w:rPr>
            </w:pPr>
          </w:p>
        </w:tc>
        <w:tc>
          <w:tcPr>
            <w:tcW w:w="843" w:type="dxa"/>
            <w:noWrap w:val="0"/>
            <w:vAlign w:val="center"/>
          </w:tcPr>
          <w:p>
            <w:pPr>
              <w:pStyle w:val="12"/>
              <w:rPr>
                <w:rFonts w:hint="eastAsia" w:hAnsi="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39" w:type="dxa"/>
            <w:gridSpan w:val="8"/>
            <w:noWrap w:val="0"/>
            <w:vAlign w:val="center"/>
          </w:tcPr>
          <w:p>
            <w:pPr>
              <w:pStyle w:val="12"/>
              <w:rPr>
                <w:rFonts w:hint="eastAsia" w:hAnsi="宋体"/>
                <w:color w:val="auto"/>
                <w:kern w:val="2"/>
                <w:sz w:val="24"/>
                <w:szCs w:val="24"/>
                <w:lang w:val="en-US" w:eastAsia="zh-CN"/>
              </w:rPr>
            </w:pPr>
            <w:r>
              <w:rPr>
                <w:rFonts w:hint="eastAsia" w:hAnsi="宋体"/>
                <w:color w:val="auto"/>
                <w:kern w:val="2"/>
                <w:sz w:val="24"/>
                <w:szCs w:val="24"/>
                <w:lang w:val="en-US" w:eastAsia="zh-CN"/>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539" w:type="dxa"/>
            <w:gridSpan w:val="8"/>
            <w:noWrap w:val="0"/>
            <w:vAlign w:val="center"/>
          </w:tcPr>
          <w:p>
            <w:pPr>
              <w:pStyle w:val="12"/>
              <w:rPr>
                <w:rFonts w:hint="eastAsia" w:hAnsi="宋体"/>
                <w:color w:val="auto"/>
                <w:kern w:val="2"/>
                <w:sz w:val="24"/>
                <w:szCs w:val="24"/>
                <w:lang w:val="en-US" w:eastAsia="zh-CN"/>
              </w:rPr>
            </w:pPr>
            <w:r>
              <w:rPr>
                <w:rFonts w:hint="eastAsia" w:hAnsi="宋体"/>
                <w:color w:val="auto"/>
                <w:kern w:val="2"/>
                <w:sz w:val="24"/>
                <w:szCs w:val="24"/>
                <w:lang w:val="en-US" w:eastAsia="zh-CN"/>
              </w:rPr>
              <w:t xml:space="preserve">交付使用期：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539" w:type="dxa"/>
            <w:gridSpan w:val="8"/>
            <w:noWrap w:val="0"/>
            <w:vAlign w:val="center"/>
          </w:tcPr>
          <w:p>
            <w:pPr>
              <w:pStyle w:val="12"/>
              <w:rPr>
                <w:rFonts w:hint="eastAsia" w:hAnsi="宋体"/>
                <w:color w:val="auto"/>
                <w:kern w:val="2"/>
                <w:sz w:val="24"/>
                <w:szCs w:val="24"/>
                <w:lang w:val="en-US" w:eastAsia="zh-CN"/>
              </w:rPr>
            </w:pPr>
            <w:r>
              <w:rPr>
                <w:rFonts w:hint="eastAsia" w:hAnsi="宋体"/>
                <w:color w:val="auto"/>
                <w:kern w:val="2"/>
                <w:sz w:val="24"/>
                <w:szCs w:val="24"/>
                <w:lang w:val="en-US" w:eastAsia="zh-CN"/>
              </w:rPr>
              <w:t>交货地点：</w:t>
            </w:r>
          </w:p>
        </w:tc>
      </w:tr>
    </w:tbl>
    <w:p>
      <w:pPr>
        <w:pStyle w:val="12"/>
        <w:spacing w:line="520" w:lineRule="exact"/>
        <w:rPr>
          <w:rFonts w:hint="eastAsia" w:hAnsi="宋体"/>
          <w:color w:val="auto"/>
          <w:sz w:val="24"/>
          <w:szCs w:val="24"/>
          <w:lang w:eastAsia="zh-CN"/>
        </w:rPr>
      </w:pPr>
    </w:p>
    <w:p>
      <w:pPr>
        <w:pStyle w:val="12"/>
        <w:spacing w:line="520" w:lineRule="exact"/>
        <w:rPr>
          <w:rFonts w:hint="eastAsia" w:hAnsi="宋体"/>
          <w:color w:val="auto"/>
          <w:sz w:val="24"/>
          <w:szCs w:val="24"/>
          <w:u w:val="single"/>
          <w:lang w:eastAsia="zh-CN"/>
        </w:rPr>
      </w:pPr>
      <w:r>
        <w:rPr>
          <w:rFonts w:hint="eastAsia" w:hAnsi="宋体"/>
          <w:color w:val="auto"/>
          <w:sz w:val="24"/>
          <w:szCs w:val="24"/>
        </w:rPr>
        <w:t>法定代表人或法定代表人授权代表签字：</w:t>
      </w:r>
      <w:r>
        <w:rPr>
          <w:rFonts w:hint="eastAsia" w:hAnsi="宋体"/>
          <w:color w:val="auto"/>
          <w:sz w:val="24"/>
          <w:szCs w:val="24"/>
          <w:u w:val="single"/>
        </w:rPr>
        <w:t xml:space="preserve">        </w:t>
      </w:r>
    </w:p>
    <w:p>
      <w:pPr>
        <w:pStyle w:val="12"/>
        <w:rPr>
          <w:rFonts w:hint="eastAsia" w:hAnsi="宋体"/>
          <w:color w:val="auto"/>
          <w:sz w:val="24"/>
          <w:szCs w:val="24"/>
          <w:lang w:eastAsia="zh-CN"/>
        </w:rPr>
      </w:pPr>
    </w:p>
    <w:p>
      <w:pPr>
        <w:pStyle w:val="12"/>
        <w:rPr>
          <w:rFonts w:hint="eastAsia" w:hAnsi="宋体"/>
          <w:color w:val="auto"/>
          <w:sz w:val="24"/>
          <w:szCs w:val="24"/>
          <w:u w:val="single"/>
          <w:lang w:eastAsia="zh-CN"/>
        </w:rPr>
      </w:pPr>
      <w:r>
        <w:rPr>
          <w:rFonts w:hint="eastAsia" w:hAnsi="宋体"/>
          <w:color w:val="auto"/>
          <w:sz w:val="24"/>
          <w:szCs w:val="24"/>
        </w:rPr>
        <w:t>谈判</w:t>
      </w:r>
      <w:r>
        <w:rPr>
          <w:rFonts w:hint="eastAsia" w:hAnsi="宋体"/>
          <w:color w:val="auto"/>
          <w:sz w:val="24"/>
          <w:szCs w:val="24"/>
          <w:lang w:eastAsia="zh-CN"/>
        </w:rPr>
        <w:t>竞标人</w:t>
      </w:r>
      <w:r>
        <w:rPr>
          <w:rFonts w:hint="eastAsia" w:hAnsi="宋体"/>
          <w:color w:val="auto"/>
          <w:sz w:val="24"/>
          <w:szCs w:val="24"/>
        </w:rPr>
        <w:t>名称（盖章）：</w:t>
      </w:r>
      <w:r>
        <w:rPr>
          <w:rFonts w:hint="eastAsia" w:hAnsi="宋体"/>
          <w:color w:val="auto"/>
          <w:sz w:val="24"/>
          <w:szCs w:val="24"/>
          <w:u w:val="single"/>
        </w:rPr>
        <w:t xml:space="preserve">               </w:t>
      </w:r>
    </w:p>
    <w:p>
      <w:pPr>
        <w:widowControl/>
        <w:jc w:val="left"/>
        <w:rPr>
          <w:rFonts w:hint="eastAsia"/>
          <w:color w:val="auto"/>
        </w:rPr>
      </w:pPr>
    </w:p>
    <w:p>
      <w:pPr>
        <w:adjustRightInd w:val="0"/>
        <w:snapToGrid w:val="0"/>
        <w:spacing w:line="300" w:lineRule="auto"/>
        <w:ind w:left="-88" w:leftChars="-42" w:firstLine="120" w:firstLineChars="50"/>
        <w:rPr>
          <w:rFonts w:hint="eastAsia"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pPr>
        <w:spacing w:line="500" w:lineRule="exact"/>
        <w:rPr>
          <w:rFonts w:hint="eastAsia" w:ascii="宋体" w:hAnsi="宋体"/>
          <w:color w:val="auto"/>
          <w:sz w:val="28"/>
          <w:szCs w:val="28"/>
        </w:rPr>
      </w:pPr>
      <w:r>
        <w:rPr>
          <w:rFonts w:hint="eastAsia" w:ascii="宋体" w:hAnsi="宋体"/>
          <w:color w:val="auto"/>
          <w:sz w:val="28"/>
          <w:szCs w:val="28"/>
        </w:rPr>
        <w:t>三、技术响应、偏离情况说明及商务响应表</w:t>
      </w:r>
    </w:p>
    <w:p>
      <w:pPr>
        <w:spacing w:line="500" w:lineRule="exact"/>
        <w:jc w:val="center"/>
        <w:rPr>
          <w:rFonts w:hint="eastAsia" w:ascii="宋体" w:hAnsi="宋体"/>
          <w:b/>
          <w:color w:val="auto"/>
          <w:sz w:val="32"/>
          <w:szCs w:val="32"/>
        </w:rPr>
      </w:pPr>
    </w:p>
    <w:p>
      <w:pPr>
        <w:spacing w:line="500" w:lineRule="exact"/>
        <w:jc w:val="center"/>
        <w:rPr>
          <w:rFonts w:hint="eastAsia" w:ascii="宋体" w:hAnsi="宋体"/>
          <w:b/>
          <w:color w:val="auto"/>
          <w:sz w:val="32"/>
          <w:szCs w:val="32"/>
        </w:rPr>
      </w:pPr>
      <w:r>
        <w:rPr>
          <w:rFonts w:hint="eastAsia" w:ascii="宋体" w:hAnsi="宋体"/>
          <w:b/>
          <w:color w:val="auto"/>
          <w:sz w:val="32"/>
          <w:szCs w:val="32"/>
        </w:rPr>
        <w:t>技术响应、偏离情况说明表</w:t>
      </w:r>
    </w:p>
    <w:p>
      <w:pPr>
        <w:spacing w:line="300" w:lineRule="auto"/>
        <w:rPr>
          <w:rFonts w:hint="eastAsia" w:ascii="宋体" w:hAnsi="宋体"/>
          <w:color w:val="auto"/>
          <w:sz w:val="24"/>
        </w:rPr>
      </w:pPr>
    </w:p>
    <w:p>
      <w:pPr>
        <w:spacing w:line="300" w:lineRule="auto"/>
        <w:rPr>
          <w:rFonts w:hint="eastAsia" w:ascii="宋体" w:hAnsi="宋体"/>
          <w:color w:val="auto"/>
          <w:sz w:val="24"/>
          <w:u w:val="single"/>
        </w:rPr>
      </w:pPr>
      <w:r>
        <w:rPr>
          <w:rFonts w:hint="eastAsia" w:ascii="宋体" w:hAnsi="宋体"/>
          <w:color w:val="auto"/>
          <w:sz w:val="24"/>
        </w:rPr>
        <w:t>采购项目编号:</w:t>
      </w:r>
      <w:r>
        <w:rPr>
          <w:rFonts w:hint="eastAsia" w:ascii="宋体" w:hAnsi="宋体"/>
          <w:color w:val="auto"/>
          <w:sz w:val="24"/>
          <w:u w:val="single"/>
        </w:rPr>
        <w:t xml:space="preserve">                 </w:t>
      </w:r>
    </w:p>
    <w:p>
      <w:pPr>
        <w:spacing w:line="500" w:lineRule="exact"/>
        <w:rPr>
          <w:rFonts w:hint="eastAsia" w:ascii="宋体" w:hAnsi="宋体"/>
          <w:color w:val="auto"/>
          <w:sz w:val="24"/>
        </w:rPr>
      </w:pPr>
      <w:r>
        <w:rPr>
          <w:rFonts w:hint="eastAsia" w:ascii="宋体" w:hAnsi="宋体"/>
          <w:color w:val="auto"/>
          <w:sz w:val="24"/>
        </w:rPr>
        <w:t>采购项目名称:</w:t>
      </w:r>
      <w:r>
        <w:rPr>
          <w:rFonts w:hint="eastAsia" w:ascii="宋体" w:hAnsi="宋体"/>
          <w:color w:val="auto"/>
          <w:sz w:val="24"/>
          <w:u w:val="single"/>
        </w:rPr>
        <w:t xml:space="preserve">                 </w:t>
      </w:r>
      <w:r>
        <w:rPr>
          <w:rFonts w:hint="eastAsia" w:ascii="宋体" w:hAnsi="宋体"/>
          <w:color w:val="auto"/>
          <w:sz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adjustRightInd w:val="0"/>
              <w:snapToGrid w:val="0"/>
              <w:spacing w:line="300" w:lineRule="auto"/>
              <w:jc w:val="center"/>
              <w:outlineLvl w:val="0"/>
              <w:rPr>
                <w:rFonts w:hint="eastAsia" w:ascii="宋体" w:hAnsi="宋体"/>
                <w:color w:val="auto"/>
                <w:sz w:val="24"/>
              </w:rPr>
            </w:pPr>
            <w:bookmarkStart w:id="50" w:name="_Toc48212407"/>
            <w:r>
              <w:rPr>
                <w:rFonts w:hint="eastAsia" w:ascii="宋体" w:hAnsi="宋体"/>
                <w:color w:val="auto"/>
                <w:sz w:val="24"/>
              </w:rPr>
              <w:t>序号</w:t>
            </w:r>
            <w:bookmarkEnd w:id="50"/>
          </w:p>
        </w:tc>
        <w:tc>
          <w:tcPr>
            <w:tcW w:w="1410" w:type="dxa"/>
            <w:noWrap w:val="0"/>
            <w:vAlign w:val="center"/>
          </w:tcPr>
          <w:p>
            <w:pPr>
              <w:adjustRightInd w:val="0"/>
              <w:snapToGrid w:val="0"/>
              <w:spacing w:line="300" w:lineRule="auto"/>
              <w:jc w:val="center"/>
              <w:outlineLvl w:val="0"/>
              <w:rPr>
                <w:rFonts w:hint="eastAsia" w:ascii="宋体" w:hAnsi="宋体"/>
                <w:color w:val="auto"/>
                <w:sz w:val="24"/>
              </w:rPr>
            </w:pPr>
            <w:bookmarkStart w:id="51" w:name="_Toc48212408"/>
            <w:r>
              <w:rPr>
                <w:rFonts w:hint="eastAsia" w:ascii="宋体" w:hAnsi="宋体"/>
                <w:color w:val="auto"/>
                <w:sz w:val="24"/>
              </w:rPr>
              <w:t>货物（服务）名称</w:t>
            </w:r>
            <w:bookmarkEnd w:id="51"/>
          </w:p>
        </w:tc>
        <w:tc>
          <w:tcPr>
            <w:tcW w:w="2164" w:type="dxa"/>
            <w:noWrap w:val="0"/>
            <w:vAlign w:val="center"/>
          </w:tcPr>
          <w:p>
            <w:pPr>
              <w:adjustRightInd w:val="0"/>
              <w:snapToGrid w:val="0"/>
              <w:spacing w:line="300" w:lineRule="auto"/>
              <w:jc w:val="center"/>
              <w:outlineLvl w:val="0"/>
              <w:rPr>
                <w:rFonts w:hint="eastAsia" w:ascii="宋体" w:hAnsi="宋体"/>
                <w:color w:val="auto"/>
                <w:sz w:val="24"/>
              </w:rPr>
            </w:pPr>
            <w:bookmarkStart w:id="52" w:name="_Toc48212409"/>
            <w:r>
              <w:rPr>
                <w:rFonts w:hint="eastAsia" w:ascii="宋体" w:hAnsi="宋体"/>
                <w:color w:val="auto"/>
                <w:sz w:val="24"/>
              </w:rPr>
              <w:t>竞争性谈判文件要求</w:t>
            </w:r>
            <w:bookmarkEnd w:id="52"/>
          </w:p>
        </w:tc>
        <w:tc>
          <w:tcPr>
            <w:tcW w:w="2371" w:type="dxa"/>
            <w:noWrap w:val="0"/>
            <w:vAlign w:val="center"/>
          </w:tcPr>
          <w:p>
            <w:pPr>
              <w:adjustRightInd w:val="0"/>
              <w:snapToGrid w:val="0"/>
              <w:spacing w:line="300" w:lineRule="auto"/>
              <w:jc w:val="center"/>
              <w:outlineLvl w:val="0"/>
              <w:rPr>
                <w:rFonts w:hint="eastAsia" w:ascii="宋体" w:hAnsi="宋体"/>
                <w:color w:val="auto"/>
                <w:sz w:val="24"/>
              </w:rPr>
            </w:pPr>
            <w:bookmarkStart w:id="53" w:name="_Toc48212410"/>
            <w:r>
              <w:rPr>
                <w:rFonts w:hint="eastAsia" w:ascii="宋体" w:hAnsi="宋体"/>
                <w:color w:val="auto"/>
                <w:sz w:val="24"/>
              </w:rPr>
              <w:t>谈判响应文件具体响应</w:t>
            </w:r>
            <w:bookmarkEnd w:id="53"/>
          </w:p>
        </w:tc>
        <w:tc>
          <w:tcPr>
            <w:tcW w:w="1569" w:type="dxa"/>
            <w:noWrap w:val="0"/>
            <w:vAlign w:val="center"/>
          </w:tcPr>
          <w:p>
            <w:pPr>
              <w:adjustRightInd w:val="0"/>
              <w:snapToGrid w:val="0"/>
              <w:spacing w:line="300" w:lineRule="auto"/>
              <w:jc w:val="center"/>
              <w:outlineLvl w:val="0"/>
              <w:rPr>
                <w:rFonts w:hint="eastAsia" w:ascii="宋体" w:hAnsi="宋体"/>
                <w:color w:val="auto"/>
                <w:sz w:val="24"/>
              </w:rPr>
            </w:pPr>
            <w:bookmarkStart w:id="54" w:name="_Toc48212411"/>
            <w:r>
              <w:rPr>
                <w:rFonts w:hint="eastAsia" w:ascii="宋体" w:hAnsi="宋体"/>
                <w:color w:val="auto"/>
                <w:sz w:val="24"/>
              </w:rPr>
              <w:t>响应/偏离</w:t>
            </w:r>
            <w:bookmarkEnd w:id="54"/>
          </w:p>
        </w:tc>
        <w:tc>
          <w:tcPr>
            <w:tcW w:w="817" w:type="dxa"/>
            <w:noWrap w:val="0"/>
            <w:vAlign w:val="center"/>
          </w:tcPr>
          <w:p>
            <w:pPr>
              <w:adjustRightInd w:val="0"/>
              <w:snapToGrid w:val="0"/>
              <w:spacing w:line="300" w:lineRule="auto"/>
              <w:jc w:val="center"/>
              <w:outlineLvl w:val="0"/>
              <w:rPr>
                <w:rFonts w:hint="eastAsia" w:ascii="宋体" w:hAnsi="宋体"/>
                <w:color w:val="auto"/>
                <w:sz w:val="24"/>
              </w:rPr>
            </w:pPr>
            <w:bookmarkStart w:id="55" w:name="_Toc48212412"/>
            <w:r>
              <w:rPr>
                <w:rFonts w:hint="eastAsia" w:ascii="宋体" w:hAnsi="宋体"/>
                <w:color w:val="auto"/>
                <w:sz w:val="24"/>
              </w:rPr>
              <w:t>说明</w:t>
            </w:r>
            <w:bookmarkEnd w:id="5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adjustRightInd w:val="0"/>
              <w:snapToGrid w:val="0"/>
              <w:spacing w:line="300" w:lineRule="auto"/>
              <w:jc w:val="center"/>
              <w:outlineLvl w:val="0"/>
              <w:rPr>
                <w:rFonts w:hint="eastAsia" w:ascii="宋体" w:hAnsi="宋体"/>
                <w:color w:val="auto"/>
                <w:sz w:val="24"/>
              </w:rPr>
            </w:pPr>
            <w:bookmarkStart w:id="56" w:name="_Toc48212413"/>
            <w:r>
              <w:rPr>
                <w:rFonts w:hint="eastAsia" w:ascii="宋体" w:hAnsi="宋体"/>
                <w:color w:val="auto"/>
                <w:sz w:val="24"/>
              </w:rPr>
              <w:t>1</w:t>
            </w:r>
            <w:bookmarkEnd w:id="56"/>
          </w:p>
        </w:tc>
        <w:tc>
          <w:tcPr>
            <w:tcW w:w="1410" w:type="dxa"/>
            <w:noWrap w:val="0"/>
            <w:vAlign w:val="center"/>
          </w:tcPr>
          <w:p>
            <w:pPr>
              <w:adjustRightInd w:val="0"/>
              <w:snapToGrid w:val="0"/>
              <w:spacing w:line="300" w:lineRule="auto"/>
              <w:jc w:val="center"/>
              <w:outlineLvl w:val="0"/>
              <w:rPr>
                <w:rFonts w:hint="eastAsia" w:ascii="宋体" w:hAnsi="宋体"/>
                <w:color w:val="auto"/>
                <w:sz w:val="24"/>
              </w:rPr>
            </w:pPr>
          </w:p>
        </w:tc>
        <w:tc>
          <w:tcPr>
            <w:tcW w:w="2164" w:type="dxa"/>
            <w:noWrap w:val="0"/>
            <w:vAlign w:val="center"/>
          </w:tcPr>
          <w:p>
            <w:pPr>
              <w:adjustRightInd w:val="0"/>
              <w:snapToGrid w:val="0"/>
              <w:spacing w:line="300" w:lineRule="auto"/>
              <w:jc w:val="center"/>
              <w:outlineLvl w:val="0"/>
              <w:rPr>
                <w:rFonts w:hint="eastAsia" w:ascii="宋体" w:hAnsi="宋体"/>
                <w:color w:val="auto"/>
                <w:sz w:val="24"/>
              </w:rPr>
            </w:pPr>
          </w:p>
        </w:tc>
        <w:tc>
          <w:tcPr>
            <w:tcW w:w="2371" w:type="dxa"/>
            <w:noWrap w:val="0"/>
            <w:vAlign w:val="center"/>
          </w:tcPr>
          <w:p>
            <w:pPr>
              <w:adjustRightInd w:val="0"/>
              <w:snapToGrid w:val="0"/>
              <w:spacing w:line="300" w:lineRule="auto"/>
              <w:jc w:val="center"/>
              <w:outlineLvl w:val="0"/>
              <w:rPr>
                <w:rFonts w:hint="eastAsia" w:ascii="宋体" w:hAnsi="宋体"/>
                <w:color w:val="auto"/>
                <w:sz w:val="24"/>
              </w:rPr>
            </w:pPr>
          </w:p>
        </w:tc>
        <w:tc>
          <w:tcPr>
            <w:tcW w:w="1569" w:type="dxa"/>
            <w:noWrap w:val="0"/>
            <w:vAlign w:val="center"/>
          </w:tcPr>
          <w:p>
            <w:pPr>
              <w:adjustRightInd w:val="0"/>
              <w:snapToGrid w:val="0"/>
              <w:spacing w:line="300" w:lineRule="auto"/>
              <w:jc w:val="center"/>
              <w:outlineLvl w:val="0"/>
              <w:rPr>
                <w:rFonts w:hint="eastAsia" w:ascii="宋体" w:hAnsi="宋体"/>
                <w:color w:val="auto"/>
                <w:sz w:val="24"/>
              </w:rPr>
            </w:pPr>
          </w:p>
        </w:tc>
        <w:tc>
          <w:tcPr>
            <w:tcW w:w="817" w:type="dxa"/>
            <w:noWrap w:val="0"/>
            <w:vAlign w:val="center"/>
          </w:tcPr>
          <w:p>
            <w:pPr>
              <w:adjustRightInd w:val="0"/>
              <w:snapToGrid w:val="0"/>
              <w:spacing w:line="300" w:lineRule="auto"/>
              <w:jc w:val="center"/>
              <w:outlineLvl w:val="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adjustRightInd w:val="0"/>
              <w:snapToGrid w:val="0"/>
              <w:spacing w:line="300" w:lineRule="auto"/>
              <w:jc w:val="center"/>
              <w:outlineLvl w:val="0"/>
              <w:rPr>
                <w:rFonts w:hint="eastAsia" w:ascii="宋体" w:hAnsi="宋体"/>
                <w:color w:val="auto"/>
                <w:sz w:val="24"/>
              </w:rPr>
            </w:pPr>
            <w:bookmarkStart w:id="57" w:name="_Toc48212414"/>
            <w:r>
              <w:rPr>
                <w:rFonts w:hint="eastAsia" w:ascii="宋体" w:hAnsi="宋体"/>
                <w:color w:val="auto"/>
                <w:sz w:val="24"/>
              </w:rPr>
              <w:t>2</w:t>
            </w:r>
            <w:bookmarkEnd w:id="57"/>
          </w:p>
        </w:tc>
        <w:tc>
          <w:tcPr>
            <w:tcW w:w="1410" w:type="dxa"/>
            <w:noWrap w:val="0"/>
            <w:vAlign w:val="center"/>
          </w:tcPr>
          <w:p>
            <w:pPr>
              <w:adjustRightInd w:val="0"/>
              <w:snapToGrid w:val="0"/>
              <w:spacing w:line="300" w:lineRule="auto"/>
              <w:jc w:val="center"/>
              <w:outlineLvl w:val="0"/>
              <w:rPr>
                <w:rFonts w:hint="eastAsia" w:ascii="宋体" w:hAnsi="宋体"/>
                <w:color w:val="auto"/>
                <w:sz w:val="24"/>
              </w:rPr>
            </w:pPr>
          </w:p>
        </w:tc>
        <w:tc>
          <w:tcPr>
            <w:tcW w:w="2164" w:type="dxa"/>
            <w:noWrap w:val="0"/>
            <w:vAlign w:val="center"/>
          </w:tcPr>
          <w:p>
            <w:pPr>
              <w:adjustRightInd w:val="0"/>
              <w:snapToGrid w:val="0"/>
              <w:spacing w:line="300" w:lineRule="auto"/>
              <w:jc w:val="center"/>
              <w:outlineLvl w:val="0"/>
              <w:rPr>
                <w:rFonts w:hint="eastAsia" w:ascii="宋体" w:hAnsi="宋体"/>
                <w:color w:val="auto"/>
                <w:sz w:val="24"/>
              </w:rPr>
            </w:pPr>
          </w:p>
        </w:tc>
        <w:tc>
          <w:tcPr>
            <w:tcW w:w="2371" w:type="dxa"/>
            <w:noWrap w:val="0"/>
            <w:vAlign w:val="center"/>
          </w:tcPr>
          <w:p>
            <w:pPr>
              <w:adjustRightInd w:val="0"/>
              <w:snapToGrid w:val="0"/>
              <w:spacing w:line="300" w:lineRule="auto"/>
              <w:jc w:val="center"/>
              <w:outlineLvl w:val="0"/>
              <w:rPr>
                <w:rFonts w:hint="eastAsia" w:ascii="宋体" w:hAnsi="宋体"/>
                <w:color w:val="auto"/>
                <w:sz w:val="24"/>
              </w:rPr>
            </w:pPr>
          </w:p>
        </w:tc>
        <w:tc>
          <w:tcPr>
            <w:tcW w:w="1569" w:type="dxa"/>
            <w:noWrap w:val="0"/>
            <w:vAlign w:val="center"/>
          </w:tcPr>
          <w:p>
            <w:pPr>
              <w:adjustRightInd w:val="0"/>
              <w:snapToGrid w:val="0"/>
              <w:spacing w:line="300" w:lineRule="auto"/>
              <w:jc w:val="center"/>
              <w:outlineLvl w:val="0"/>
              <w:rPr>
                <w:rFonts w:hint="eastAsia" w:ascii="宋体" w:hAnsi="宋体"/>
                <w:color w:val="auto"/>
                <w:sz w:val="24"/>
              </w:rPr>
            </w:pPr>
          </w:p>
        </w:tc>
        <w:tc>
          <w:tcPr>
            <w:tcW w:w="817" w:type="dxa"/>
            <w:noWrap w:val="0"/>
            <w:vAlign w:val="center"/>
          </w:tcPr>
          <w:p>
            <w:pPr>
              <w:adjustRightInd w:val="0"/>
              <w:snapToGrid w:val="0"/>
              <w:spacing w:line="300" w:lineRule="auto"/>
              <w:jc w:val="center"/>
              <w:outlineLvl w:val="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adjustRightInd w:val="0"/>
              <w:snapToGrid w:val="0"/>
              <w:spacing w:line="300" w:lineRule="auto"/>
              <w:jc w:val="center"/>
              <w:outlineLvl w:val="0"/>
              <w:rPr>
                <w:rFonts w:hint="eastAsia" w:ascii="宋体" w:hAnsi="宋体"/>
                <w:color w:val="auto"/>
                <w:sz w:val="24"/>
              </w:rPr>
            </w:pPr>
            <w:bookmarkStart w:id="58" w:name="_Toc48212415"/>
            <w:r>
              <w:rPr>
                <w:rFonts w:hint="eastAsia" w:ascii="宋体" w:hAnsi="宋体"/>
                <w:color w:val="auto"/>
                <w:sz w:val="24"/>
              </w:rPr>
              <w:t>3</w:t>
            </w:r>
            <w:bookmarkEnd w:id="58"/>
          </w:p>
        </w:tc>
        <w:tc>
          <w:tcPr>
            <w:tcW w:w="1410" w:type="dxa"/>
            <w:noWrap w:val="0"/>
            <w:vAlign w:val="center"/>
          </w:tcPr>
          <w:p>
            <w:pPr>
              <w:adjustRightInd w:val="0"/>
              <w:snapToGrid w:val="0"/>
              <w:spacing w:line="300" w:lineRule="auto"/>
              <w:jc w:val="center"/>
              <w:outlineLvl w:val="0"/>
              <w:rPr>
                <w:rFonts w:hint="eastAsia" w:ascii="宋体" w:hAnsi="宋体"/>
                <w:color w:val="auto"/>
                <w:sz w:val="24"/>
              </w:rPr>
            </w:pPr>
          </w:p>
        </w:tc>
        <w:tc>
          <w:tcPr>
            <w:tcW w:w="2164" w:type="dxa"/>
            <w:noWrap w:val="0"/>
            <w:vAlign w:val="center"/>
          </w:tcPr>
          <w:p>
            <w:pPr>
              <w:adjustRightInd w:val="0"/>
              <w:snapToGrid w:val="0"/>
              <w:spacing w:line="300" w:lineRule="auto"/>
              <w:jc w:val="center"/>
              <w:outlineLvl w:val="0"/>
              <w:rPr>
                <w:rFonts w:hint="eastAsia" w:ascii="宋体" w:hAnsi="宋体"/>
                <w:color w:val="auto"/>
                <w:sz w:val="24"/>
              </w:rPr>
            </w:pPr>
          </w:p>
        </w:tc>
        <w:tc>
          <w:tcPr>
            <w:tcW w:w="2371" w:type="dxa"/>
            <w:noWrap w:val="0"/>
            <w:vAlign w:val="center"/>
          </w:tcPr>
          <w:p>
            <w:pPr>
              <w:adjustRightInd w:val="0"/>
              <w:snapToGrid w:val="0"/>
              <w:spacing w:line="300" w:lineRule="auto"/>
              <w:jc w:val="center"/>
              <w:outlineLvl w:val="0"/>
              <w:rPr>
                <w:rFonts w:hint="eastAsia" w:ascii="宋体" w:hAnsi="宋体"/>
                <w:color w:val="auto"/>
                <w:sz w:val="24"/>
              </w:rPr>
            </w:pPr>
          </w:p>
        </w:tc>
        <w:tc>
          <w:tcPr>
            <w:tcW w:w="1569" w:type="dxa"/>
            <w:noWrap w:val="0"/>
            <w:vAlign w:val="center"/>
          </w:tcPr>
          <w:p>
            <w:pPr>
              <w:adjustRightInd w:val="0"/>
              <w:snapToGrid w:val="0"/>
              <w:spacing w:line="300" w:lineRule="auto"/>
              <w:jc w:val="center"/>
              <w:outlineLvl w:val="0"/>
              <w:rPr>
                <w:rFonts w:hint="eastAsia" w:ascii="宋体" w:hAnsi="宋体"/>
                <w:color w:val="auto"/>
                <w:sz w:val="24"/>
              </w:rPr>
            </w:pPr>
          </w:p>
        </w:tc>
        <w:tc>
          <w:tcPr>
            <w:tcW w:w="817" w:type="dxa"/>
            <w:noWrap w:val="0"/>
            <w:vAlign w:val="center"/>
          </w:tcPr>
          <w:p>
            <w:pPr>
              <w:adjustRightInd w:val="0"/>
              <w:snapToGrid w:val="0"/>
              <w:spacing w:line="300" w:lineRule="auto"/>
              <w:jc w:val="center"/>
              <w:outlineLvl w:val="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adjustRightInd w:val="0"/>
              <w:snapToGrid w:val="0"/>
              <w:spacing w:line="300" w:lineRule="auto"/>
              <w:jc w:val="center"/>
              <w:outlineLvl w:val="0"/>
              <w:rPr>
                <w:rFonts w:hint="eastAsia" w:ascii="宋体" w:hAnsi="宋体"/>
                <w:color w:val="auto"/>
                <w:sz w:val="24"/>
              </w:rPr>
            </w:pPr>
            <w:bookmarkStart w:id="59" w:name="_Toc48212416"/>
            <w:r>
              <w:rPr>
                <w:rFonts w:hint="eastAsia" w:ascii="宋体" w:hAnsi="宋体"/>
                <w:color w:val="auto"/>
                <w:sz w:val="24"/>
              </w:rPr>
              <w:t>…</w:t>
            </w:r>
            <w:bookmarkEnd w:id="59"/>
          </w:p>
        </w:tc>
        <w:tc>
          <w:tcPr>
            <w:tcW w:w="1410" w:type="dxa"/>
            <w:noWrap w:val="0"/>
            <w:vAlign w:val="center"/>
          </w:tcPr>
          <w:p>
            <w:pPr>
              <w:adjustRightInd w:val="0"/>
              <w:snapToGrid w:val="0"/>
              <w:spacing w:line="300" w:lineRule="auto"/>
              <w:jc w:val="center"/>
              <w:outlineLvl w:val="0"/>
              <w:rPr>
                <w:rFonts w:hint="eastAsia" w:ascii="宋体" w:hAnsi="宋体"/>
                <w:color w:val="auto"/>
                <w:sz w:val="24"/>
              </w:rPr>
            </w:pPr>
          </w:p>
        </w:tc>
        <w:tc>
          <w:tcPr>
            <w:tcW w:w="2164" w:type="dxa"/>
            <w:noWrap w:val="0"/>
            <w:vAlign w:val="center"/>
          </w:tcPr>
          <w:p>
            <w:pPr>
              <w:adjustRightInd w:val="0"/>
              <w:snapToGrid w:val="0"/>
              <w:spacing w:line="300" w:lineRule="auto"/>
              <w:jc w:val="center"/>
              <w:outlineLvl w:val="0"/>
              <w:rPr>
                <w:rFonts w:hint="eastAsia" w:ascii="宋体" w:hAnsi="宋体"/>
                <w:color w:val="auto"/>
                <w:sz w:val="24"/>
              </w:rPr>
            </w:pPr>
          </w:p>
        </w:tc>
        <w:tc>
          <w:tcPr>
            <w:tcW w:w="2371" w:type="dxa"/>
            <w:noWrap w:val="0"/>
            <w:vAlign w:val="center"/>
          </w:tcPr>
          <w:p>
            <w:pPr>
              <w:adjustRightInd w:val="0"/>
              <w:snapToGrid w:val="0"/>
              <w:spacing w:line="300" w:lineRule="auto"/>
              <w:jc w:val="center"/>
              <w:outlineLvl w:val="0"/>
              <w:rPr>
                <w:rFonts w:hint="eastAsia" w:ascii="宋体" w:hAnsi="宋体"/>
                <w:color w:val="auto"/>
                <w:sz w:val="24"/>
              </w:rPr>
            </w:pPr>
          </w:p>
        </w:tc>
        <w:tc>
          <w:tcPr>
            <w:tcW w:w="1569" w:type="dxa"/>
            <w:noWrap w:val="0"/>
            <w:vAlign w:val="center"/>
          </w:tcPr>
          <w:p>
            <w:pPr>
              <w:adjustRightInd w:val="0"/>
              <w:snapToGrid w:val="0"/>
              <w:spacing w:line="300" w:lineRule="auto"/>
              <w:jc w:val="center"/>
              <w:outlineLvl w:val="0"/>
              <w:rPr>
                <w:rFonts w:hint="eastAsia" w:ascii="宋体" w:hAnsi="宋体"/>
                <w:color w:val="auto"/>
                <w:sz w:val="24"/>
              </w:rPr>
            </w:pPr>
          </w:p>
        </w:tc>
        <w:tc>
          <w:tcPr>
            <w:tcW w:w="817" w:type="dxa"/>
            <w:noWrap w:val="0"/>
            <w:vAlign w:val="center"/>
          </w:tcPr>
          <w:p>
            <w:pPr>
              <w:adjustRightInd w:val="0"/>
              <w:snapToGrid w:val="0"/>
              <w:spacing w:line="300" w:lineRule="auto"/>
              <w:jc w:val="center"/>
              <w:outlineLvl w:val="0"/>
              <w:rPr>
                <w:rFonts w:hint="eastAsia" w:ascii="宋体" w:hAnsi="宋体"/>
                <w:color w:val="auto"/>
                <w:sz w:val="24"/>
              </w:rPr>
            </w:pPr>
          </w:p>
        </w:tc>
      </w:tr>
    </w:tbl>
    <w:p>
      <w:pPr>
        <w:adjustRightInd w:val="0"/>
        <w:snapToGrid w:val="0"/>
        <w:spacing w:line="300" w:lineRule="auto"/>
        <w:rPr>
          <w:rFonts w:hint="eastAsia" w:ascii="宋体" w:hAnsi="宋体"/>
          <w:color w:val="auto"/>
          <w:sz w:val="24"/>
        </w:rPr>
      </w:pPr>
    </w:p>
    <w:p>
      <w:pPr>
        <w:pStyle w:val="12"/>
        <w:spacing w:line="520" w:lineRule="exact"/>
        <w:rPr>
          <w:rFonts w:hint="eastAsia" w:hAnsi="宋体"/>
          <w:color w:val="auto"/>
          <w:sz w:val="24"/>
          <w:szCs w:val="28"/>
        </w:rPr>
      </w:pPr>
      <w:r>
        <w:rPr>
          <w:rFonts w:hint="eastAsia" w:hAnsi="宋体"/>
          <w:color w:val="auto"/>
          <w:sz w:val="24"/>
          <w:szCs w:val="28"/>
        </w:rPr>
        <w:t>说明：应对照竞争性谈判文件“第三章 谈判采购技术规格、参数及要求”，逐条说明所提供货物和服务已对竞争性谈判文件的技术规格做出了实质性的响应，并申明与技术规格条文的响应和偏离。特别对有具体参数要求的指标，谈判</w:t>
      </w:r>
      <w:r>
        <w:rPr>
          <w:rFonts w:hint="eastAsia" w:hAnsi="宋体"/>
          <w:color w:val="auto"/>
          <w:sz w:val="24"/>
          <w:szCs w:val="28"/>
          <w:lang w:eastAsia="zh-CN"/>
        </w:rPr>
        <w:t>竞标人</w:t>
      </w:r>
      <w:r>
        <w:rPr>
          <w:rFonts w:hint="eastAsia" w:hAnsi="宋体"/>
          <w:color w:val="auto"/>
          <w:sz w:val="24"/>
          <w:szCs w:val="28"/>
        </w:rPr>
        <w:t>必须提供所供设备的具体参数值。如果仅注明“符合”、“满足”，将导致谈判被拒绝。应对照谈判文件的要求，说明所提供货物和服务已对谈判文件的技术条款做出了实质性的响应，并申明与技术条文的响应和偏离，逐页签字，否则</w:t>
      </w:r>
      <w:r>
        <w:rPr>
          <w:rFonts w:hint="eastAsia" w:hAnsi="宋体"/>
          <w:color w:val="auto"/>
          <w:sz w:val="24"/>
          <w:szCs w:val="28"/>
          <w:lang w:eastAsia="zh-CN"/>
        </w:rPr>
        <w:t>竞标</w:t>
      </w:r>
      <w:r>
        <w:rPr>
          <w:rFonts w:hint="eastAsia" w:hAnsi="宋体"/>
          <w:color w:val="auto"/>
          <w:sz w:val="24"/>
          <w:szCs w:val="28"/>
        </w:rPr>
        <w:t>无效。</w:t>
      </w:r>
    </w:p>
    <w:p>
      <w:pPr>
        <w:pStyle w:val="12"/>
        <w:spacing w:line="300" w:lineRule="auto"/>
        <w:rPr>
          <w:rFonts w:hint="eastAsia" w:hAnsi="宋体"/>
          <w:color w:val="auto"/>
          <w:sz w:val="24"/>
          <w:szCs w:val="28"/>
        </w:rPr>
      </w:pPr>
    </w:p>
    <w:p>
      <w:pPr>
        <w:pStyle w:val="12"/>
        <w:spacing w:line="520" w:lineRule="exact"/>
        <w:rPr>
          <w:rFonts w:hint="eastAsia" w:hAnsi="宋体"/>
          <w:color w:val="auto"/>
          <w:sz w:val="24"/>
          <w:szCs w:val="28"/>
          <w:u w:val="single"/>
        </w:rPr>
      </w:pPr>
      <w:r>
        <w:rPr>
          <w:rFonts w:hint="eastAsia" w:hAnsi="宋体"/>
          <w:color w:val="auto"/>
          <w:sz w:val="24"/>
          <w:szCs w:val="28"/>
        </w:rPr>
        <w:t>法定代表人或法定代表人授权代表签字：</w:t>
      </w:r>
      <w:r>
        <w:rPr>
          <w:rFonts w:hint="eastAsia" w:hAnsi="宋体"/>
          <w:color w:val="auto"/>
          <w:sz w:val="24"/>
          <w:szCs w:val="28"/>
          <w:u w:val="single"/>
        </w:rPr>
        <w:t xml:space="preserve">        </w:t>
      </w:r>
    </w:p>
    <w:p>
      <w:pPr>
        <w:pStyle w:val="12"/>
        <w:rPr>
          <w:rFonts w:hint="eastAsia" w:hAnsi="宋体"/>
          <w:color w:val="auto"/>
          <w:sz w:val="18"/>
          <w:u w:val="single"/>
        </w:rPr>
      </w:pPr>
      <w:r>
        <w:rPr>
          <w:rFonts w:hint="eastAsia" w:hAnsi="宋体"/>
          <w:color w:val="auto"/>
          <w:sz w:val="24"/>
          <w:szCs w:val="28"/>
        </w:rPr>
        <w:t>谈判</w:t>
      </w:r>
      <w:r>
        <w:rPr>
          <w:rFonts w:hint="eastAsia" w:hAnsi="宋体"/>
          <w:color w:val="auto"/>
          <w:sz w:val="24"/>
          <w:szCs w:val="28"/>
          <w:lang w:eastAsia="zh-CN"/>
        </w:rPr>
        <w:t>竞标人</w:t>
      </w:r>
      <w:r>
        <w:rPr>
          <w:rFonts w:hint="eastAsia" w:hAnsi="宋体"/>
          <w:color w:val="auto"/>
          <w:sz w:val="24"/>
          <w:szCs w:val="28"/>
        </w:rPr>
        <w:t>名称（盖章）：</w:t>
      </w:r>
      <w:r>
        <w:rPr>
          <w:rFonts w:hint="eastAsia" w:hAnsi="宋体"/>
          <w:color w:val="auto"/>
          <w:sz w:val="24"/>
          <w:szCs w:val="28"/>
          <w:u w:val="single"/>
        </w:rPr>
        <w:t xml:space="preserve">               </w:t>
      </w:r>
    </w:p>
    <w:p>
      <w:pPr>
        <w:pStyle w:val="12"/>
        <w:spacing w:line="300" w:lineRule="auto"/>
        <w:rPr>
          <w:rFonts w:hint="eastAsia" w:hAnsi="宋体"/>
          <w:color w:val="auto"/>
          <w:sz w:val="24"/>
          <w:szCs w:val="28"/>
          <w:u w:val="single"/>
        </w:rPr>
      </w:pPr>
      <w:r>
        <w:rPr>
          <w:rFonts w:hint="eastAsia" w:hAnsi="宋体"/>
          <w:color w:val="auto"/>
          <w:sz w:val="24"/>
          <w:szCs w:val="28"/>
        </w:rPr>
        <w:t>日   期：</w:t>
      </w:r>
      <w:r>
        <w:rPr>
          <w:rFonts w:hint="eastAsia" w:hAnsi="宋体"/>
          <w:color w:val="auto"/>
          <w:sz w:val="18"/>
          <w:u w:val="single"/>
        </w:rPr>
        <w:t xml:space="preserve">                            </w:t>
      </w:r>
    </w:p>
    <w:p>
      <w:pPr>
        <w:spacing w:line="300" w:lineRule="auto"/>
        <w:rPr>
          <w:rFonts w:hint="eastAsia" w:ascii="宋体" w:hAnsi="宋体"/>
          <w:b/>
          <w:color w:val="auto"/>
          <w:sz w:val="32"/>
          <w:szCs w:val="32"/>
        </w:rPr>
      </w:pPr>
    </w:p>
    <w:p>
      <w:pPr>
        <w:widowControl/>
        <w:jc w:val="left"/>
        <w:rPr>
          <w:rFonts w:hint="eastAsia" w:ascii="宋体" w:hAnsi="宋体"/>
          <w:color w:val="auto"/>
        </w:rPr>
      </w:pPr>
    </w:p>
    <w:p>
      <w:pPr>
        <w:widowControl/>
        <w:jc w:val="left"/>
        <w:rPr>
          <w:rFonts w:hint="eastAsia" w:ascii="宋体" w:hAnsi="宋体"/>
          <w:color w:val="auto"/>
        </w:rPr>
      </w:pPr>
    </w:p>
    <w:p>
      <w:pPr>
        <w:widowControl/>
        <w:jc w:val="left"/>
        <w:rPr>
          <w:rFonts w:hint="eastAsia" w:ascii="宋体" w:hAnsi="宋体"/>
          <w:color w:val="auto"/>
        </w:rPr>
      </w:pPr>
    </w:p>
    <w:p>
      <w:pPr>
        <w:widowControl/>
        <w:jc w:val="left"/>
        <w:rPr>
          <w:rFonts w:hint="eastAsia" w:ascii="宋体" w:hAnsi="宋体"/>
          <w:color w:val="auto"/>
        </w:rPr>
      </w:pPr>
    </w:p>
    <w:p>
      <w:pPr>
        <w:pStyle w:val="66"/>
        <w:rPr>
          <w:rFonts w:hint="eastAsia" w:ascii="宋体" w:hAnsi="宋体"/>
          <w:color w:val="auto"/>
        </w:rPr>
      </w:pPr>
    </w:p>
    <w:p>
      <w:pPr>
        <w:pStyle w:val="66"/>
        <w:rPr>
          <w:rFonts w:hint="eastAsia" w:ascii="宋体" w:hAnsi="宋体"/>
          <w:color w:val="auto"/>
        </w:rPr>
      </w:pPr>
    </w:p>
    <w:p>
      <w:pPr>
        <w:widowControl/>
        <w:jc w:val="left"/>
        <w:rPr>
          <w:rFonts w:hint="eastAsia" w:ascii="宋体" w:hAnsi="宋体"/>
          <w:color w:val="auto"/>
        </w:rPr>
      </w:pPr>
    </w:p>
    <w:p>
      <w:pPr>
        <w:spacing w:line="300" w:lineRule="auto"/>
        <w:jc w:val="center"/>
        <w:rPr>
          <w:rFonts w:hint="eastAsia" w:ascii="宋体" w:hAnsi="宋体"/>
          <w:b/>
          <w:color w:val="auto"/>
          <w:sz w:val="32"/>
          <w:szCs w:val="32"/>
        </w:rPr>
      </w:pPr>
      <w:r>
        <w:rPr>
          <w:rFonts w:hint="eastAsia" w:ascii="宋体" w:hAnsi="宋体"/>
          <w:b/>
          <w:color w:val="auto"/>
          <w:sz w:val="32"/>
          <w:szCs w:val="32"/>
        </w:rPr>
        <w:t>商务响应表</w:t>
      </w:r>
    </w:p>
    <w:p>
      <w:pPr>
        <w:spacing w:line="300" w:lineRule="auto"/>
        <w:jc w:val="center"/>
        <w:rPr>
          <w:rFonts w:hint="eastAsia" w:ascii="宋体" w:hAnsi="宋体"/>
          <w:b/>
          <w:color w:val="auto"/>
          <w:sz w:val="24"/>
        </w:rPr>
      </w:pPr>
    </w:p>
    <w:p>
      <w:pPr>
        <w:spacing w:line="300" w:lineRule="auto"/>
        <w:rPr>
          <w:rFonts w:hint="eastAsia" w:ascii="宋体" w:hAnsi="宋体"/>
          <w:color w:val="auto"/>
          <w:sz w:val="24"/>
          <w:u w:val="single"/>
        </w:rPr>
      </w:pPr>
      <w:r>
        <w:rPr>
          <w:rFonts w:hint="eastAsia" w:ascii="宋体" w:hAnsi="宋体"/>
          <w:color w:val="auto"/>
          <w:sz w:val="24"/>
        </w:rPr>
        <w:t>采购项目编号:</w:t>
      </w:r>
      <w:r>
        <w:rPr>
          <w:rFonts w:hint="eastAsia" w:ascii="宋体" w:hAnsi="宋体"/>
          <w:color w:val="auto"/>
          <w:sz w:val="24"/>
          <w:u w:val="single"/>
        </w:rPr>
        <w:t xml:space="preserve">                 </w:t>
      </w:r>
    </w:p>
    <w:p>
      <w:pPr>
        <w:spacing w:line="500" w:lineRule="exact"/>
        <w:rPr>
          <w:rFonts w:hint="eastAsia" w:ascii="宋体" w:hAnsi="宋体"/>
          <w:color w:val="auto"/>
          <w:sz w:val="24"/>
        </w:rPr>
      </w:pPr>
      <w:r>
        <w:rPr>
          <w:rFonts w:hint="eastAsia" w:ascii="宋体" w:hAnsi="宋体"/>
          <w:color w:val="auto"/>
          <w:sz w:val="24"/>
        </w:rPr>
        <w:t>采购项目名称:</w:t>
      </w:r>
      <w:r>
        <w:rPr>
          <w:rFonts w:hint="eastAsia" w:ascii="宋体" w:hAnsi="宋体"/>
          <w:color w:val="auto"/>
          <w:sz w:val="24"/>
          <w:u w:val="single"/>
        </w:rPr>
        <w:t xml:space="preserve">                 </w:t>
      </w:r>
      <w:r>
        <w:rPr>
          <w:rFonts w:hint="eastAsia" w:ascii="宋体" w:hAnsi="宋体"/>
          <w:color w:val="auto"/>
          <w:sz w:val="24"/>
        </w:rPr>
        <w:t xml:space="preserve"> </w:t>
      </w:r>
    </w:p>
    <w:p>
      <w:pPr>
        <w:spacing w:line="500" w:lineRule="exact"/>
        <w:rPr>
          <w:rFonts w:hint="eastAsia" w:ascii="宋体" w:hAnsi="宋体"/>
          <w:color w:val="auto"/>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r>
              <w:rPr>
                <w:rFonts w:hint="eastAsia" w:ascii="宋体" w:hAnsi="宋体"/>
                <w:color w:val="auto"/>
                <w:sz w:val="24"/>
              </w:rPr>
              <w:t xml:space="preserve"> 项 目</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r>
              <w:rPr>
                <w:rFonts w:hint="eastAsia" w:ascii="宋体" w:hAnsi="宋体"/>
                <w:color w:val="auto"/>
                <w:sz w:val="24"/>
              </w:rPr>
              <w:t>谈判采购文件要求</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r>
              <w:rPr>
                <w:rFonts w:hint="eastAsia" w:ascii="宋体" w:hAnsi="宋体"/>
                <w:color w:val="auto"/>
                <w:sz w:val="24"/>
              </w:rPr>
              <w:t>是否响应</w:t>
            </w: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r>
              <w:rPr>
                <w:rFonts w:hint="eastAsia" w:ascii="宋体" w:hAnsi="宋体"/>
                <w:color w:val="auto"/>
                <w:sz w:val="24"/>
              </w:rPr>
              <w:t>竞标人的承诺或说明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ascii="宋体" w:hAnsi="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ascii="宋体" w:hAnsi="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ascii="宋体" w:hAnsi="宋体"/>
                <w:color w:val="auto"/>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ascii="宋体" w:hAnsi="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ascii="宋体" w:hAnsi="宋体"/>
                <w:color w:val="auto"/>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ascii="宋体" w:hAnsi="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ascii="宋体" w:hAnsi="宋体"/>
                <w:color w:val="auto"/>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ascii="宋体" w:hAnsi="宋体"/>
                <w:color w:val="auto"/>
                <w:sz w:val="24"/>
              </w:rPr>
            </w:pPr>
          </w:p>
        </w:tc>
      </w:tr>
    </w:tbl>
    <w:p>
      <w:pPr>
        <w:spacing w:line="300" w:lineRule="auto"/>
        <w:rPr>
          <w:rFonts w:hint="eastAsia" w:ascii="宋体" w:hAnsi="宋体"/>
          <w:b/>
          <w:color w:val="auto"/>
          <w:sz w:val="24"/>
        </w:rPr>
      </w:pPr>
      <w:r>
        <w:rPr>
          <w:rFonts w:hint="eastAsia" w:hAnsi="宋体"/>
          <w:color w:val="auto"/>
          <w:sz w:val="24"/>
          <w:szCs w:val="28"/>
        </w:rPr>
        <w:t>说明：应对照谈判文件的要求，说明所提供货物和服务已对</w:t>
      </w:r>
      <w:r>
        <w:rPr>
          <w:rFonts w:hint="eastAsia" w:ascii="宋体" w:hAnsi="宋体"/>
          <w:color w:val="auto"/>
          <w:sz w:val="24"/>
          <w:szCs w:val="28"/>
        </w:rPr>
        <w:t>谈判文件的商务条款做出了实质性的响应，并申明与商务条文的响应和偏离</w:t>
      </w:r>
      <w:r>
        <w:rPr>
          <w:rFonts w:hint="eastAsia" w:hAnsi="宋体"/>
          <w:color w:val="auto"/>
          <w:sz w:val="24"/>
          <w:szCs w:val="28"/>
        </w:rPr>
        <w:t>，逐页签字，否则竞标无效</w:t>
      </w:r>
      <w:r>
        <w:rPr>
          <w:rFonts w:hint="eastAsia" w:ascii="宋体" w:hAnsi="宋体"/>
          <w:color w:val="auto"/>
          <w:sz w:val="24"/>
          <w:szCs w:val="28"/>
        </w:rPr>
        <w:t>。</w:t>
      </w:r>
    </w:p>
    <w:p>
      <w:pPr>
        <w:pStyle w:val="12"/>
        <w:spacing w:line="520" w:lineRule="exact"/>
        <w:rPr>
          <w:rFonts w:hint="eastAsia" w:hAnsi="宋体"/>
          <w:color w:val="auto"/>
          <w:sz w:val="24"/>
          <w:szCs w:val="24"/>
          <w:u w:val="single"/>
          <w:lang w:eastAsia="zh-CN"/>
        </w:rPr>
      </w:pPr>
      <w:r>
        <w:rPr>
          <w:rFonts w:hint="eastAsia" w:hAnsi="宋体"/>
          <w:color w:val="auto"/>
          <w:sz w:val="24"/>
          <w:szCs w:val="24"/>
        </w:rPr>
        <w:t>法定代表人或法定代表人授权代表签字：</w:t>
      </w:r>
      <w:r>
        <w:rPr>
          <w:rFonts w:hint="eastAsia" w:hAnsi="宋体"/>
          <w:color w:val="auto"/>
          <w:sz w:val="24"/>
          <w:szCs w:val="24"/>
          <w:u w:val="single"/>
        </w:rPr>
        <w:t xml:space="preserve">        </w:t>
      </w:r>
    </w:p>
    <w:p>
      <w:pPr>
        <w:widowControl/>
        <w:jc w:val="left"/>
        <w:rPr>
          <w:rFonts w:hint="eastAsia"/>
          <w:color w:val="auto"/>
        </w:rPr>
      </w:pPr>
    </w:p>
    <w:p>
      <w:pPr>
        <w:pStyle w:val="12"/>
        <w:rPr>
          <w:rFonts w:hint="eastAsia" w:hAnsi="宋体"/>
          <w:color w:val="auto"/>
          <w:sz w:val="24"/>
          <w:szCs w:val="24"/>
          <w:u w:val="single"/>
          <w:lang w:eastAsia="zh-CN"/>
        </w:rPr>
      </w:pPr>
      <w:r>
        <w:rPr>
          <w:rFonts w:hint="eastAsia" w:hAnsi="宋体"/>
          <w:color w:val="auto"/>
          <w:sz w:val="24"/>
          <w:szCs w:val="24"/>
        </w:rPr>
        <w:t>谈判</w:t>
      </w:r>
      <w:r>
        <w:rPr>
          <w:rFonts w:hint="eastAsia" w:hAnsi="宋体"/>
          <w:color w:val="auto"/>
          <w:sz w:val="24"/>
          <w:szCs w:val="24"/>
          <w:lang w:eastAsia="zh-CN"/>
        </w:rPr>
        <w:t>竞标人</w:t>
      </w:r>
      <w:r>
        <w:rPr>
          <w:rFonts w:hint="eastAsia" w:hAnsi="宋体"/>
          <w:color w:val="auto"/>
          <w:sz w:val="24"/>
          <w:szCs w:val="24"/>
        </w:rPr>
        <w:t>名称（盖章）：</w:t>
      </w:r>
      <w:r>
        <w:rPr>
          <w:rFonts w:hint="eastAsia" w:hAnsi="宋体"/>
          <w:color w:val="auto"/>
          <w:sz w:val="24"/>
          <w:szCs w:val="24"/>
          <w:u w:val="single"/>
        </w:rPr>
        <w:t xml:space="preserve">               </w:t>
      </w:r>
    </w:p>
    <w:p>
      <w:pPr>
        <w:widowControl/>
        <w:jc w:val="left"/>
        <w:rPr>
          <w:rFonts w:hint="eastAsia"/>
          <w:color w:val="auto"/>
        </w:rPr>
      </w:pPr>
    </w:p>
    <w:p>
      <w:pPr>
        <w:pStyle w:val="12"/>
        <w:spacing w:line="300" w:lineRule="auto"/>
        <w:rPr>
          <w:rFonts w:hint="eastAsia" w:hAnsi="宋体"/>
          <w:color w:val="auto"/>
          <w:sz w:val="24"/>
          <w:szCs w:val="24"/>
          <w:u w:val="single"/>
        </w:rPr>
      </w:pPr>
      <w:r>
        <w:rPr>
          <w:rFonts w:hint="eastAsia" w:hAnsi="宋体"/>
          <w:color w:val="auto"/>
          <w:sz w:val="24"/>
          <w:szCs w:val="24"/>
        </w:rPr>
        <w:t>日   期：</w:t>
      </w:r>
      <w:r>
        <w:rPr>
          <w:rFonts w:hint="eastAsia" w:hAnsi="宋体"/>
          <w:color w:val="auto"/>
          <w:sz w:val="24"/>
          <w:szCs w:val="24"/>
          <w:u w:val="single"/>
        </w:rPr>
        <w:t xml:space="preserve">                            </w:t>
      </w:r>
    </w:p>
    <w:p>
      <w:pPr>
        <w:spacing w:line="300" w:lineRule="auto"/>
        <w:rPr>
          <w:rFonts w:hint="eastAsia" w:ascii="宋体" w:hAnsi="宋体"/>
          <w:color w:val="auto"/>
          <w:sz w:val="24"/>
        </w:rPr>
      </w:pPr>
    </w:p>
    <w:p>
      <w:pPr>
        <w:spacing w:line="400" w:lineRule="exact"/>
        <w:ind w:firstLine="560" w:firstLineChars="200"/>
        <w:rPr>
          <w:rFonts w:hint="eastAsia" w:ascii="宋体" w:hAnsi="宋体"/>
          <w:color w:val="auto"/>
          <w:sz w:val="28"/>
          <w:szCs w:val="28"/>
        </w:rPr>
      </w:pPr>
    </w:p>
    <w:p>
      <w:pPr>
        <w:spacing w:line="400" w:lineRule="exact"/>
        <w:ind w:firstLine="560" w:firstLineChars="200"/>
        <w:rPr>
          <w:rFonts w:hint="eastAsia" w:ascii="宋体" w:hAnsi="宋体"/>
          <w:color w:val="auto"/>
          <w:sz w:val="28"/>
          <w:szCs w:val="28"/>
        </w:rPr>
      </w:pPr>
    </w:p>
    <w:p>
      <w:pPr>
        <w:spacing w:line="400" w:lineRule="exact"/>
        <w:ind w:firstLine="480" w:firstLineChars="200"/>
        <w:rPr>
          <w:rFonts w:hint="eastAsia" w:ascii="宋体" w:hAnsi="宋体"/>
          <w:color w:val="auto"/>
          <w:sz w:val="24"/>
          <w:szCs w:val="28"/>
        </w:rPr>
      </w:pPr>
      <w:r>
        <w:rPr>
          <w:rFonts w:hint="eastAsia" w:ascii="宋体" w:hAnsi="宋体"/>
          <w:color w:val="auto"/>
          <w:sz w:val="24"/>
          <w:szCs w:val="28"/>
        </w:rPr>
        <w:t>四、有效的营业执照副本复印件</w:t>
      </w:r>
    </w:p>
    <w:p>
      <w:pPr>
        <w:spacing w:line="400" w:lineRule="exact"/>
        <w:ind w:firstLine="480" w:firstLineChars="200"/>
        <w:rPr>
          <w:rFonts w:hint="eastAsia" w:ascii="宋体" w:hAnsi="宋体"/>
          <w:color w:val="auto"/>
          <w:sz w:val="24"/>
          <w:szCs w:val="28"/>
        </w:rPr>
      </w:pPr>
      <w:r>
        <w:rPr>
          <w:rFonts w:hint="eastAsia" w:ascii="宋体" w:hAnsi="宋体"/>
          <w:color w:val="auto"/>
          <w:sz w:val="24"/>
          <w:szCs w:val="28"/>
        </w:rPr>
        <w:t>五、法定代表人有效的身份证复印件</w:t>
      </w:r>
    </w:p>
    <w:p>
      <w:pPr>
        <w:spacing w:line="400" w:lineRule="exact"/>
        <w:ind w:firstLine="480" w:firstLineChars="200"/>
        <w:rPr>
          <w:rFonts w:hint="eastAsia" w:ascii="宋体" w:hAnsi="宋体"/>
          <w:color w:val="auto"/>
          <w:sz w:val="24"/>
          <w:szCs w:val="28"/>
        </w:rPr>
      </w:pPr>
      <w:r>
        <w:rPr>
          <w:rFonts w:hint="eastAsia" w:ascii="宋体" w:hAnsi="宋体"/>
          <w:color w:val="auto"/>
          <w:sz w:val="24"/>
          <w:szCs w:val="28"/>
        </w:rPr>
        <w:t>六、法定代表人授权书原件和委托代理人身份证复印件（委托代理时）</w:t>
      </w:r>
    </w:p>
    <w:p>
      <w:pPr>
        <w:adjustRightInd w:val="0"/>
        <w:snapToGrid w:val="0"/>
        <w:spacing w:line="300" w:lineRule="auto"/>
        <w:jc w:val="center"/>
        <w:rPr>
          <w:rFonts w:hint="eastAsia" w:ascii="宋体" w:hAnsi="宋体"/>
          <w:b/>
          <w:color w:val="auto"/>
          <w:sz w:val="32"/>
          <w:szCs w:val="32"/>
        </w:rPr>
      </w:pPr>
    </w:p>
    <w:p>
      <w:pPr>
        <w:widowControl/>
        <w:jc w:val="left"/>
        <w:rPr>
          <w:rFonts w:hint="eastAsia" w:ascii="宋体" w:hAnsi="宋体"/>
          <w:color w:val="auto"/>
        </w:rPr>
      </w:pPr>
    </w:p>
    <w:p>
      <w:pPr>
        <w:adjustRightInd w:val="0"/>
        <w:snapToGrid w:val="0"/>
        <w:spacing w:line="300" w:lineRule="auto"/>
        <w:jc w:val="center"/>
        <w:rPr>
          <w:rFonts w:hint="eastAsia" w:ascii="宋体" w:hAnsi="宋体"/>
          <w:b/>
          <w:color w:val="auto"/>
          <w:sz w:val="32"/>
          <w:szCs w:val="32"/>
        </w:rPr>
      </w:pPr>
    </w:p>
    <w:p>
      <w:pPr>
        <w:pStyle w:val="66"/>
        <w:rPr>
          <w:rFonts w:hint="eastAsia"/>
          <w:color w:val="auto"/>
        </w:rPr>
      </w:pPr>
    </w:p>
    <w:p>
      <w:pPr>
        <w:adjustRightInd w:val="0"/>
        <w:snapToGrid w:val="0"/>
        <w:spacing w:line="300" w:lineRule="auto"/>
        <w:jc w:val="center"/>
        <w:rPr>
          <w:rFonts w:hint="eastAsia" w:ascii="宋体" w:hAnsi="宋体"/>
          <w:b/>
          <w:color w:val="auto"/>
          <w:sz w:val="32"/>
          <w:szCs w:val="32"/>
        </w:rPr>
      </w:pPr>
      <w:r>
        <w:rPr>
          <w:rFonts w:hint="eastAsia" w:ascii="宋体" w:hAnsi="宋体"/>
          <w:b/>
          <w:color w:val="auto"/>
          <w:sz w:val="32"/>
          <w:szCs w:val="32"/>
        </w:rPr>
        <w:t>法定代表人授权书</w:t>
      </w:r>
    </w:p>
    <w:p>
      <w:pPr>
        <w:spacing w:line="520" w:lineRule="exact"/>
        <w:rPr>
          <w:rFonts w:hint="eastAsia" w:ascii="宋体" w:hAnsi="宋体"/>
          <w:color w:val="auto"/>
          <w:sz w:val="24"/>
        </w:rPr>
      </w:pPr>
      <w:r>
        <w:rPr>
          <w:rFonts w:hint="eastAsia" w:ascii="宋体" w:hAnsi="宋体"/>
          <w:color w:val="auto"/>
          <w:sz w:val="24"/>
          <w:u w:val="single"/>
          <w:lang w:eastAsia="zh-CN"/>
        </w:rPr>
        <w:t>亿诚建设项目管理有限公司</w:t>
      </w:r>
      <w:r>
        <w:rPr>
          <w:rFonts w:hint="eastAsia" w:ascii="宋体" w:hAnsi="宋体"/>
          <w:color w:val="auto"/>
          <w:sz w:val="24"/>
        </w:rPr>
        <w:t>：</w:t>
      </w:r>
    </w:p>
    <w:p>
      <w:pPr>
        <w:spacing w:line="520" w:lineRule="exact"/>
        <w:ind w:firstLine="480" w:firstLineChars="200"/>
        <w:rPr>
          <w:rFonts w:hint="eastAsia"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（项    目    名   称）</w:t>
      </w:r>
      <w:r>
        <w:rPr>
          <w:rFonts w:hint="eastAsia" w:ascii="宋体" w:hAnsi="宋体"/>
          <w:color w:val="auto"/>
          <w:sz w:val="24"/>
        </w:rPr>
        <w:t>采购活动的竞标代表人，全权代表我公司处理在该项目活动中的一切事宜。代理期限从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日止。 </w:t>
      </w:r>
    </w:p>
    <w:p>
      <w:pPr>
        <w:spacing w:line="520" w:lineRule="exact"/>
        <w:rPr>
          <w:rFonts w:hint="eastAsia" w:ascii="宋体" w:hAnsi="宋体"/>
          <w:color w:val="auto"/>
          <w:sz w:val="24"/>
        </w:rPr>
      </w:pPr>
    </w:p>
    <w:p>
      <w:pPr>
        <w:spacing w:line="520" w:lineRule="exact"/>
        <w:rPr>
          <w:rFonts w:hint="eastAsia" w:ascii="宋体" w:hAnsi="宋体"/>
          <w:color w:val="auto"/>
          <w:sz w:val="24"/>
        </w:rPr>
      </w:pPr>
      <w:r>
        <w:rPr>
          <w:rFonts w:hint="eastAsia" w:ascii="宋体" w:hAnsi="宋体"/>
          <w:color w:val="auto"/>
          <w:sz w:val="24"/>
        </w:rPr>
        <w:t>授权单位（签章）：</w:t>
      </w:r>
      <w:r>
        <w:rPr>
          <w:rFonts w:hint="eastAsia" w:ascii="宋体" w:hAnsi="宋体"/>
          <w:color w:val="auto"/>
          <w:sz w:val="24"/>
          <w:u w:val="single"/>
        </w:rPr>
        <w:t xml:space="preserve">               </w:t>
      </w:r>
    </w:p>
    <w:p>
      <w:pPr>
        <w:spacing w:line="520" w:lineRule="exact"/>
        <w:rPr>
          <w:rFonts w:hint="eastAsia" w:ascii="宋体" w:hAnsi="宋体"/>
          <w:color w:val="auto"/>
          <w:sz w:val="24"/>
        </w:rPr>
      </w:pPr>
      <w:r>
        <w:rPr>
          <w:rFonts w:hint="eastAsia" w:ascii="宋体" w:hAnsi="宋体"/>
          <w:color w:val="auto"/>
          <w:sz w:val="24"/>
        </w:rPr>
        <w:t>法定代表人（签字）：</w:t>
      </w:r>
      <w:r>
        <w:rPr>
          <w:rFonts w:hint="eastAsia" w:ascii="宋体" w:hAnsi="宋体"/>
          <w:color w:val="auto"/>
          <w:sz w:val="24"/>
          <w:u w:val="single"/>
        </w:rPr>
        <w:t xml:space="preserve">       </w:t>
      </w:r>
    </w:p>
    <w:p>
      <w:pPr>
        <w:spacing w:line="520" w:lineRule="exact"/>
        <w:rPr>
          <w:rFonts w:hint="eastAsia" w:ascii="宋体" w:hAnsi="宋体"/>
          <w:color w:val="auto"/>
          <w:sz w:val="24"/>
        </w:rPr>
      </w:pPr>
      <w:r>
        <w:rPr>
          <w:rFonts w:hint="eastAsia" w:ascii="宋体" w:hAnsi="宋体"/>
          <w:color w:val="auto"/>
          <w:sz w:val="24"/>
        </w:rPr>
        <w:t>签发日期：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520" w:lineRule="exact"/>
        <w:ind w:firstLine="480" w:firstLineChars="200"/>
        <w:rPr>
          <w:rFonts w:hint="eastAsia" w:ascii="宋体" w:hAnsi="宋体"/>
          <w:color w:val="auto"/>
          <w:sz w:val="24"/>
        </w:rPr>
      </w:pPr>
      <w:r>
        <w:rPr>
          <w:rFonts w:hint="eastAsia" w:ascii="宋体" w:hAnsi="宋体"/>
          <w:color w:val="auto"/>
          <w:sz w:val="24"/>
        </w:rPr>
        <w:t>附：代理人工作单位：</w:t>
      </w:r>
      <w:r>
        <w:rPr>
          <w:rFonts w:hint="eastAsia" w:ascii="宋体" w:hAnsi="宋体"/>
          <w:color w:val="auto"/>
          <w:sz w:val="24"/>
          <w:u w:val="single"/>
        </w:rPr>
        <w:t xml:space="preserve">                     </w:t>
      </w:r>
    </w:p>
    <w:p>
      <w:pPr>
        <w:spacing w:line="520" w:lineRule="exact"/>
        <w:ind w:firstLine="480" w:firstLineChars="200"/>
        <w:rPr>
          <w:rFonts w:hint="eastAsia" w:ascii="宋体" w:hAnsi="宋体"/>
          <w:color w:val="auto"/>
          <w:sz w:val="24"/>
        </w:rPr>
      </w:pPr>
      <w:r>
        <w:rPr>
          <w:rFonts w:hint="eastAsia" w:ascii="宋体" w:hAnsi="宋体"/>
          <w:color w:val="auto"/>
          <w:sz w:val="24"/>
        </w:rPr>
        <w:t>职务：</w:t>
      </w:r>
      <w:r>
        <w:rPr>
          <w:rFonts w:hint="eastAsia" w:ascii="宋体" w:hAnsi="宋体"/>
          <w:color w:val="auto"/>
          <w:sz w:val="24"/>
          <w:u w:val="single"/>
        </w:rPr>
        <w:t xml:space="preserve">                    </w:t>
      </w:r>
      <w:r>
        <w:rPr>
          <w:rFonts w:hint="eastAsia" w:ascii="宋体" w:hAnsi="宋体"/>
          <w:color w:val="auto"/>
          <w:sz w:val="24"/>
        </w:rPr>
        <w:t xml:space="preserve">      性别：</w:t>
      </w:r>
      <w:r>
        <w:rPr>
          <w:rFonts w:hint="eastAsia" w:ascii="宋体" w:hAnsi="宋体"/>
          <w:color w:val="auto"/>
          <w:sz w:val="24"/>
          <w:u w:val="single"/>
        </w:rPr>
        <w:t xml:space="preserve">    </w:t>
      </w:r>
    </w:p>
    <w:p>
      <w:pPr>
        <w:adjustRightInd w:val="0"/>
        <w:snapToGrid w:val="0"/>
        <w:spacing w:line="520" w:lineRule="exact"/>
        <w:ind w:firstLine="480" w:firstLineChars="200"/>
        <w:rPr>
          <w:rFonts w:hint="eastAsia" w:ascii="宋体" w:hAnsi="宋体"/>
          <w:color w:val="auto"/>
          <w:sz w:val="24"/>
          <w:u w:val="single"/>
        </w:rPr>
      </w:pPr>
      <w:r>
        <w:rPr>
          <w:rFonts w:hint="eastAsia" w:ascii="宋体" w:hAnsi="宋体"/>
          <w:color w:val="auto"/>
          <w:sz w:val="24"/>
        </w:rPr>
        <w:t>身份证号码：</w:t>
      </w:r>
      <w:r>
        <w:rPr>
          <w:rFonts w:hint="eastAsia" w:ascii="宋体" w:hAnsi="宋体"/>
          <w:color w:val="auto"/>
          <w:sz w:val="24"/>
          <w:u w:val="single"/>
        </w:rPr>
        <w:t xml:space="preserve">                              </w:t>
      </w:r>
    </w:p>
    <w:p>
      <w:pPr>
        <w:adjustRightInd w:val="0"/>
        <w:snapToGrid w:val="0"/>
        <w:spacing w:line="520" w:lineRule="exact"/>
        <w:ind w:firstLine="480" w:firstLineChars="200"/>
        <w:rPr>
          <w:rFonts w:hint="eastAsia" w:ascii="宋体" w:hAnsi="宋体"/>
          <w:color w:val="auto"/>
          <w:sz w:val="24"/>
          <w:u w:val="single"/>
        </w:rPr>
      </w:pPr>
    </w:p>
    <w:tbl>
      <w:tblPr>
        <w:tblStyle w:val="2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8650" w:type="dxa"/>
            <w:noWrap w:val="0"/>
            <w:vAlign w:val="top"/>
          </w:tcPr>
          <w:p>
            <w:pPr>
              <w:spacing w:line="300" w:lineRule="auto"/>
              <w:rPr>
                <w:rFonts w:hint="eastAsia" w:ascii="宋体" w:hAnsi="宋体"/>
                <w:color w:val="auto"/>
                <w:sz w:val="24"/>
              </w:rPr>
            </w:pPr>
            <w:r>
              <w:rPr>
                <w:rFonts w:hint="eastAsia" w:ascii="宋体" w:hAnsi="宋体"/>
                <w:color w:val="auto"/>
                <w:sz w:val="24"/>
              </w:rPr>
              <w:t>被授权人身份证（复印件）</w:t>
            </w:r>
          </w:p>
        </w:tc>
      </w:tr>
    </w:tbl>
    <w:p>
      <w:pPr>
        <w:spacing w:line="400" w:lineRule="exact"/>
        <w:rPr>
          <w:rFonts w:hint="eastAsia" w:ascii="宋体" w:hAnsi="宋体"/>
          <w:color w:val="auto"/>
          <w:sz w:val="24"/>
        </w:rPr>
      </w:pPr>
    </w:p>
    <w:p>
      <w:pPr>
        <w:spacing w:line="400" w:lineRule="exact"/>
        <w:ind w:firstLine="480" w:firstLineChars="200"/>
        <w:rPr>
          <w:rFonts w:hint="eastAsia" w:ascii="宋体" w:hAnsi="宋体"/>
          <w:color w:val="auto"/>
          <w:sz w:val="24"/>
        </w:rPr>
      </w:pPr>
      <w:r>
        <w:rPr>
          <w:rFonts w:hint="eastAsia" w:ascii="宋体" w:hAnsi="宋体"/>
          <w:color w:val="auto"/>
          <w:sz w:val="24"/>
        </w:rPr>
        <w:t>八）竞标人</w:t>
      </w:r>
      <w:r>
        <w:rPr>
          <w:rFonts w:hint="eastAsia" w:ascii="宋体" w:hAnsi="宋体"/>
          <w:color w:val="auto"/>
          <w:sz w:val="24"/>
          <w:lang w:eastAsia="zh-CN"/>
        </w:rPr>
        <w:t>在</w:t>
      </w:r>
      <w:r>
        <w:rPr>
          <w:rFonts w:hint="eastAsia" w:ascii="宋体" w:hAnsi="宋体"/>
          <w:color w:val="auto"/>
          <w:sz w:val="24"/>
        </w:rPr>
        <w:t>投标截止之日前半年内连续三个月依法纳税的依法缴纳税费或依法免缴税费的证明（复印件，格式自拟）；无纳税记录的，应提供由</w:t>
      </w:r>
      <w:r>
        <w:rPr>
          <w:rFonts w:hint="eastAsia" w:ascii="宋体" w:hAnsi="宋体"/>
          <w:color w:val="auto"/>
          <w:sz w:val="24"/>
          <w:lang w:eastAsia="zh-CN"/>
        </w:rPr>
        <w:t>竞标人</w:t>
      </w:r>
      <w:r>
        <w:rPr>
          <w:rFonts w:hint="eastAsia" w:ascii="宋体" w:hAnsi="宋体"/>
          <w:color w:val="auto"/>
          <w:sz w:val="24"/>
        </w:rPr>
        <w:t>所在地主管国税、地税部门出具的《依法纳税或依法免税证明》复印件</w:t>
      </w:r>
    </w:p>
    <w:p>
      <w:pPr>
        <w:tabs>
          <w:tab w:val="left" w:pos="1305"/>
        </w:tabs>
        <w:spacing w:line="390" w:lineRule="exact"/>
        <w:ind w:firstLine="480" w:firstLineChars="200"/>
        <w:rPr>
          <w:rFonts w:hint="eastAsia" w:ascii="宋体" w:hAnsi="宋体"/>
          <w:color w:val="auto"/>
          <w:sz w:val="24"/>
        </w:rPr>
      </w:pPr>
      <w:r>
        <w:rPr>
          <w:rFonts w:hint="eastAsia" w:ascii="宋体" w:hAnsi="宋体"/>
          <w:color w:val="auto"/>
          <w:sz w:val="24"/>
        </w:rPr>
        <w:t>九）竞标人提供投标截止之日前半年内连续三个月社保缴纳证明</w:t>
      </w:r>
    </w:p>
    <w:p>
      <w:pPr>
        <w:spacing w:line="40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十）</w:t>
      </w:r>
      <w:r>
        <w:rPr>
          <w:rFonts w:hint="eastAsia" w:ascii="宋体" w:hAnsi="宋体"/>
          <w:color w:val="auto"/>
          <w:sz w:val="24"/>
          <w:lang w:val="en-US" w:eastAsia="zh-CN"/>
        </w:rPr>
        <w:t>2019年财务报表</w:t>
      </w:r>
    </w:p>
    <w:p>
      <w:pPr>
        <w:spacing w:line="400" w:lineRule="exact"/>
        <w:ind w:firstLine="480" w:firstLineChars="200"/>
        <w:rPr>
          <w:rFonts w:hint="eastAsia" w:ascii="宋体" w:hAnsi="宋体"/>
          <w:color w:val="auto"/>
          <w:sz w:val="24"/>
        </w:rPr>
      </w:pPr>
      <w:r>
        <w:rPr>
          <w:rFonts w:hint="eastAsia" w:ascii="宋体" w:hAnsi="宋体"/>
          <w:color w:val="auto"/>
          <w:sz w:val="24"/>
          <w:lang w:eastAsia="zh-CN"/>
        </w:rPr>
        <w:t>十一）</w:t>
      </w:r>
      <w:r>
        <w:rPr>
          <w:rFonts w:hint="eastAsia" w:ascii="宋体" w:hAnsi="宋体"/>
          <w:color w:val="auto"/>
          <w:sz w:val="24"/>
        </w:rPr>
        <w:t>售后服务承诺；</w:t>
      </w:r>
    </w:p>
    <w:p>
      <w:pPr>
        <w:spacing w:line="400" w:lineRule="exact"/>
        <w:ind w:firstLine="480"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eastAsia="zh-CN"/>
        </w:rPr>
        <w:t>二</w:t>
      </w:r>
      <w:r>
        <w:rPr>
          <w:rFonts w:hint="eastAsia" w:ascii="宋体" w:hAnsi="宋体"/>
          <w:color w:val="auto"/>
          <w:sz w:val="24"/>
        </w:rPr>
        <w:t>）其他有效证明文件的复印件。</w:t>
      </w:r>
    </w:p>
    <w:p>
      <w:pPr>
        <w:spacing w:line="400" w:lineRule="exact"/>
        <w:ind w:firstLine="480" w:firstLineChars="200"/>
        <w:rPr>
          <w:rFonts w:hint="eastAsia" w:ascii="宋体" w:hAnsi="宋体"/>
          <w:color w:val="auto"/>
          <w:sz w:val="28"/>
          <w:szCs w:val="28"/>
        </w:rPr>
      </w:pPr>
      <w:r>
        <w:rPr>
          <w:rFonts w:hint="eastAsia" w:ascii="宋体" w:hAnsi="宋体"/>
          <w:color w:val="auto"/>
          <w:sz w:val="24"/>
        </w:rPr>
        <w:t>十</w:t>
      </w:r>
      <w:r>
        <w:rPr>
          <w:rFonts w:hint="eastAsia" w:ascii="宋体" w:hAnsi="宋体"/>
          <w:color w:val="auto"/>
          <w:sz w:val="24"/>
          <w:lang w:eastAsia="zh-CN"/>
        </w:rPr>
        <w:t>三</w:t>
      </w:r>
      <w:r>
        <w:rPr>
          <w:rFonts w:hint="eastAsia" w:ascii="宋体" w:hAnsi="宋体"/>
          <w:color w:val="auto"/>
          <w:sz w:val="24"/>
        </w:rPr>
        <w:t>）谈判</w:t>
      </w:r>
      <w:r>
        <w:rPr>
          <w:rFonts w:hint="eastAsia" w:ascii="宋体" w:hAnsi="宋体"/>
          <w:color w:val="auto"/>
          <w:sz w:val="24"/>
          <w:lang w:eastAsia="zh-CN"/>
        </w:rPr>
        <w:t>竞标人</w:t>
      </w:r>
      <w:r>
        <w:rPr>
          <w:rFonts w:hint="eastAsia" w:ascii="宋体" w:hAnsi="宋体"/>
          <w:color w:val="auto"/>
          <w:sz w:val="24"/>
        </w:rPr>
        <w:t>认为需要提供的其他有关资料。</w:t>
      </w:r>
    </w:p>
    <w:p>
      <w:pPr>
        <w:shd w:val="clear" w:color="auto" w:fill="FFFFFF"/>
        <w:spacing w:after="240" w:line="360" w:lineRule="atLeast"/>
        <w:ind w:firstLine="480"/>
        <w:jc w:val="center"/>
        <w:rPr>
          <w:rFonts w:hint="eastAsia" w:ascii="宋体" w:hAnsi="宋体" w:cs="宋体"/>
          <w:color w:val="auto"/>
          <w:kern w:val="0"/>
          <w:sz w:val="32"/>
          <w:szCs w:val="32"/>
        </w:rPr>
      </w:pPr>
    </w:p>
    <w:p>
      <w:pPr>
        <w:shd w:val="clear" w:color="auto" w:fill="FFFFFF"/>
        <w:spacing w:after="240" w:line="360" w:lineRule="atLeast"/>
        <w:ind w:firstLine="480"/>
        <w:jc w:val="center"/>
        <w:rPr>
          <w:rFonts w:hint="eastAsia" w:ascii="宋体" w:hAnsi="宋体" w:cs="宋体"/>
          <w:color w:val="auto"/>
          <w:kern w:val="0"/>
          <w:sz w:val="32"/>
          <w:szCs w:val="32"/>
        </w:rPr>
      </w:pPr>
      <w:r>
        <w:rPr>
          <w:rFonts w:hint="eastAsia" w:ascii="宋体" w:hAnsi="宋体" w:cs="宋体"/>
          <w:color w:val="auto"/>
          <w:kern w:val="0"/>
          <w:sz w:val="32"/>
          <w:szCs w:val="32"/>
        </w:rPr>
        <w:t>中小企业声明函（格式）</w:t>
      </w:r>
    </w:p>
    <w:p>
      <w:pPr>
        <w:widowControl/>
        <w:shd w:val="clear" w:color="auto" w:fill="FFFFFF"/>
        <w:spacing w:after="240" w:line="360" w:lineRule="atLeast"/>
        <w:ind w:firstLine="480"/>
        <w:jc w:val="left"/>
        <w:rPr>
          <w:rFonts w:hint="eastAsia" w:ascii="宋体" w:hAnsi="宋体" w:cs="宋体"/>
          <w:color w:val="auto"/>
          <w:kern w:val="0"/>
          <w:sz w:val="24"/>
        </w:rPr>
      </w:pPr>
      <w:r>
        <w:rPr>
          <w:rFonts w:hint="eastAsia" w:ascii="宋体" w:hAnsi="宋体" w:cs="宋体"/>
          <w:color w:val="auto"/>
          <w:kern w:val="0"/>
          <w:sz w:val="24"/>
        </w:rPr>
        <w:t>本公司郑重声明，根据《政府采购促进中小企业发展暂行办法》（财库[2011]181号）的规定，本公司为</w:t>
      </w:r>
      <w:r>
        <w:rPr>
          <w:rFonts w:hint="eastAsia" w:ascii="宋体" w:hAnsi="宋体" w:cs="宋体"/>
          <w:color w:val="auto"/>
          <w:kern w:val="0"/>
          <w:sz w:val="24"/>
          <w:u w:val="single"/>
        </w:rPr>
        <w:t xml:space="preserve">        </w:t>
      </w:r>
      <w:r>
        <w:rPr>
          <w:rFonts w:hint="eastAsia" w:ascii="宋体" w:hAnsi="宋体" w:cs="宋体"/>
          <w:color w:val="auto"/>
          <w:kern w:val="0"/>
          <w:sz w:val="24"/>
        </w:rPr>
        <w:t>（请填写：中型、小型、微型）企业。即，本公司同时满足以下条件：</w:t>
      </w:r>
    </w:p>
    <w:p>
      <w:pPr>
        <w:widowControl/>
        <w:shd w:val="clear" w:color="auto" w:fill="FFFFFF"/>
        <w:spacing w:after="240" w:line="360" w:lineRule="atLeast"/>
        <w:ind w:firstLine="480"/>
        <w:jc w:val="left"/>
        <w:rPr>
          <w:rFonts w:hint="eastAsia" w:ascii="宋体" w:hAnsi="宋体" w:cs="宋体"/>
          <w:color w:val="auto"/>
          <w:kern w:val="0"/>
          <w:sz w:val="24"/>
        </w:rPr>
      </w:pPr>
      <w:r>
        <w:rPr>
          <w:rFonts w:hint="eastAsia" w:ascii="宋体" w:hAnsi="宋体" w:cs="宋体"/>
          <w:color w:val="auto"/>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kern w:val="0"/>
          <w:sz w:val="24"/>
          <w:u w:val="single"/>
        </w:rPr>
        <w:t xml:space="preserve">        </w:t>
      </w:r>
      <w:r>
        <w:rPr>
          <w:rFonts w:hint="eastAsia" w:ascii="宋体" w:hAnsi="宋体" w:cs="宋体"/>
          <w:color w:val="auto"/>
          <w:kern w:val="0"/>
          <w:sz w:val="24"/>
        </w:rPr>
        <w:t>（请填写：中型、小型、微型）企业。</w:t>
      </w:r>
    </w:p>
    <w:p>
      <w:pPr>
        <w:widowControl/>
        <w:shd w:val="clear" w:color="auto" w:fill="FFFFFF"/>
        <w:spacing w:after="240" w:line="360" w:lineRule="atLeast"/>
        <w:ind w:firstLine="480"/>
        <w:jc w:val="left"/>
        <w:rPr>
          <w:rFonts w:hint="eastAsia" w:ascii="宋体" w:hAnsi="宋体" w:cs="宋体"/>
          <w:color w:val="auto"/>
          <w:kern w:val="0"/>
          <w:sz w:val="24"/>
        </w:rPr>
      </w:pPr>
      <w:r>
        <w:rPr>
          <w:rFonts w:hint="eastAsia" w:ascii="宋体" w:hAnsi="宋体" w:cs="宋体"/>
          <w:color w:val="auto"/>
          <w:kern w:val="0"/>
          <w:sz w:val="24"/>
        </w:rPr>
        <w:t>2.本公司参加</w:t>
      </w:r>
      <w:r>
        <w:rPr>
          <w:rFonts w:hint="eastAsia" w:ascii="宋体" w:hAnsi="宋体" w:cs="宋体"/>
          <w:color w:val="auto"/>
          <w:kern w:val="0"/>
          <w:sz w:val="24"/>
          <w:u w:val="single"/>
        </w:rPr>
        <w:t xml:space="preserve">       </w:t>
      </w:r>
      <w:r>
        <w:rPr>
          <w:rFonts w:hint="eastAsia" w:ascii="宋体" w:hAnsi="宋体" w:cs="宋体"/>
          <w:color w:val="auto"/>
          <w:kern w:val="0"/>
          <w:sz w:val="24"/>
        </w:rPr>
        <w:t>单位的</w:t>
      </w:r>
      <w:r>
        <w:rPr>
          <w:rFonts w:hint="eastAsia" w:ascii="宋体" w:hAnsi="宋体" w:cs="宋体"/>
          <w:color w:val="auto"/>
          <w:kern w:val="0"/>
          <w:sz w:val="24"/>
          <w:u w:val="single"/>
        </w:rPr>
        <w:t xml:space="preserve">     </w:t>
      </w:r>
      <w:r>
        <w:rPr>
          <w:rFonts w:hint="eastAsia" w:ascii="宋体" w:hAnsi="宋体" w:cs="宋体"/>
          <w:color w:val="auto"/>
          <w:kern w:val="0"/>
          <w:sz w:val="24"/>
        </w:rPr>
        <w:t>项目采购活动提供本企业制造的货物，由本企业承担工程、提供服务，或者提供其他</w:t>
      </w:r>
      <w:r>
        <w:rPr>
          <w:rFonts w:hint="eastAsia" w:ascii="宋体" w:hAnsi="宋体" w:cs="宋体"/>
          <w:color w:val="auto"/>
          <w:kern w:val="0"/>
          <w:sz w:val="24"/>
          <w:u w:val="single"/>
        </w:rPr>
        <w:t xml:space="preserve">       </w:t>
      </w:r>
      <w:r>
        <w:rPr>
          <w:rFonts w:hint="eastAsia" w:ascii="宋体" w:hAnsi="宋体" w:cs="宋体"/>
          <w:color w:val="auto"/>
          <w:kern w:val="0"/>
          <w:sz w:val="24"/>
        </w:rPr>
        <w:t>（请填写：中型、小型、微型）企业制造的货物。本条所称货物不包括使用大型企业注册商标的货物。</w:t>
      </w:r>
    </w:p>
    <w:p>
      <w:pPr>
        <w:widowControl/>
        <w:shd w:val="clear" w:color="auto" w:fill="FFFFFF"/>
        <w:spacing w:after="240" w:line="360" w:lineRule="atLeast"/>
        <w:ind w:firstLine="480"/>
        <w:jc w:val="left"/>
        <w:rPr>
          <w:rFonts w:hint="eastAsia" w:ascii="宋体" w:hAnsi="宋体" w:cs="宋体"/>
          <w:color w:val="auto"/>
          <w:kern w:val="0"/>
          <w:sz w:val="24"/>
        </w:rPr>
      </w:pPr>
      <w:r>
        <w:rPr>
          <w:rFonts w:hint="eastAsia" w:ascii="宋体" w:hAnsi="宋体" w:cs="宋体"/>
          <w:color w:val="auto"/>
          <w:kern w:val="0"/>
          <w:sz w:val="24"/>
        </w:rPr>
        <w:t>本公司对上述声明的真实性负责。如有虚假，将依法承担相应责任。</w:t>
      </w:r>
    </w:p>
    <w:p>
      <w:pPr>
        <w:widowControl/>
        <w:shd w:val="clear" w:color="auto" w:fill="FFFFFF"/>
        <w:spacing w:after="240" w:line="360" w:lineRule="atLeast"/>
        <w:ind w:firstLine="480"/>
        <w:jc w:val="left"/>
        <w:rPr>
          <w:rFonts w:hint="eastAsia" w:ascii="宋体" w:hAnsi="宋体" w:cs="宋体"/>
          <w:color w:val="auto"/>
          <w:kern w:val="0"/>
          <w:sz w:val="24"/>
        </w:rPr>
      </w:pPr>
      <w:r>
        <w:rPr>
          <w:rFonts w:hint="eastAsia" w:ascii="宋体" w:hAnsi="宋体" w:cs="宋体"/>
          <w:color w:val="auto"/>
          <w:kern w:val="0"/>
          <w:sz w:val="24"/>
        </w:rPr>
        <w:t>企业名称（盖章）：</w:t>
      </w:r>
    </w:p>
    <w:p>
      <w:pPr>
        <w:widowControl/>
        <w:shd w:val="clear" w:color="auto" w:fill="FFFFFF"/>
        <w:spacing w:after="240" w:line="360" w:lineRule="atLeast"/>
        <w:ind w:firstLine="480"/>
        <w:jc w:val="left"/>
        <w:rPr>
          <w:rFonts w:hint="eastAsia" w:ascii="宋体" w:hAnsi="宋体" w:cs="宋体"/>
          <w:color w:val="auto"/>
          <w:kern w:val="0"/>
          <w:sz w:val="24"/>
        </w:rPr>
      </w:pPr>
      <w:r>
        <w:rPr>
          <w:rFonts w:hint="eastAsia" w:ascii="宋体" w:hAnsi="宋体" w:cs="宋体"/>
          <w:color w:val="auto"/>
          <w:kern w:val="0"/>
          <w:sz w:val="24"/>
        </w:rPr>
        <w:t>日期</w:t>
      </w:r>
    </w:p>
    <w:p>
      <w:pPr>
        <w:spacing w:line="320" w:lineRule="exact"/>
        <w:rPr>
          <w:rFonts w:hint="eastAsia" w:ascii="宋体" w:hAnsi="宋体"/>
          <w:color w:val="auto"/>
          <w:sz w:val="24"/>
        </w:rPr>
      </w:pPr>
    </w:p>
    <w:p>
      <w:pPr>
        <w:spacing w:line="320" w:lineRule="exact"/>
        <w:rPr>
          <w:rFonts w:hint="eastAsia" w:ascii="宋体" w:hAnsi="宋体"/>
          <w:color w:val="auto"/>
          <w:szCs w:val="21"/>
        </w:rPr>
      </w:pPr>
    </w:p>
    <w:p>
      <w:pPr>
        <w:snapToGrid w:val="0"/>
        <w:spacing w:line="400" w:lineRule="exact"/>
        <w:jc w:val="center"/>
        <w:rPr>
          <w:rFonts w:hint="eastAsia" w:ascii="宋体" w:hAnsi="宋体"/>
          <w:b/>
          <w:bCs/>
          <w:color w:val="auto"/>
          <w:sz w:val="32"/>
          <w:szCs w:val="32"/>
        </w:rPr>
      </w:pPr>
    </w:p>
    <w:p>
      <w:pPr>
        <w:snapToGrid w:val="0"/>
        <w:spacing w:before="50" w:after="156" w:afterLines="50" w:line="400" w:lineRule="exact"/>
        <w:jc w:val="left"/>
        <w:rPr>
          <w:rFonts w:hint="eastAsia" w:ascii="宋体" w:hAnsi="宋体"/>
          <w:b/>
          <w:color w:val="auto"/>
          <w:sz w:val="24"/>
        </w:rPr>
      </w:pPr>
    </w:p>
    <w:p>
      <w:pPr>
        <w:snapToGrid w:val="0"/>
        <w:spacing w:before="50" w:after="156" w:afterLines="50" w:line="400" w:lineRule="exact"/>
        <w:jc w:val="left"/>
        <w:rPr>
          <w:rFonts w:hint="eastAsia" w:ascii="宋体" w:hAnsi="宋体"/>
          <w:b/>
          <w:color w:val="auto"/>
          <w:sz w:val="24"/>
        </w:rPr>
      </w:pPr>
    </w:p>
    <w:p>
      <w:pPr>
        <w:snapToGrid w:val="0"/>
        <w:spacing w:before="50" w:after="156" w:afterLines="50" w:line="400" w:lineRule="exact"/>
        <w:jc w:val="left"/>
        <w:rPr>
          <w:rFonts w:hint="eastAsia" w:ascii="宋体" w:hAnsi="宋体"/>
          <w:b/>
          <w:color w:val="auto"/>
          <w:sz w:val="24"/>
        </w:rPr>
      </w:pPr>
    </w:p>
    <w:p>
      <w:pPr>
        <w:snapToGrid w:val="0"/>
        <w:spacing w:before="50" w:after="156" w:afterLines="50" w:line="400" w:lineRule="exact"/>
        <w:jc w:val="left"/>
        <w:rPr>
          <w:rFonts w:hint="eastAsia" w:ascii="宋体" w:hAnsi="宋体"/>
          <w:b/>
          <w:color w:val="auto"/>
          <w:sz w:val="24"/>
        </w:rPr>
      </w:pPr>
      <w:r>
        <w:rPr>
          <w:rFonts w:hint="eastAsia" w:ascii="宋体" w:hAnsi="宋体"/>
          <w:b/>
          <w:color w:val="auto"/>
          <w:sz w:val="24"/>
        </w:rPr>
        <w:t>监狱企业的证明文件</w:t>
      </w:r>
    </w:p>
    <w:p>
      <w:pPr>
        <w:snapToGrid w:val="0"/>
        <w:spacing w:before="50" w:after="156" w:afterLines="50" w:line="400" w:lineRule="exact"/>
        <w:jc w:val="left"/>
        <w:rPr>
          <w:rFonts w:hint="eastAsia" w:ascii="宋体" w:hAnsi="宋体"/>
          <w:b/>
          <w:color w:val="auto"/>
          <w:sz w:val="24"/>
        </w:rPr>
      </w:pPr>
      <w:bookmarkStart w:id="60" w:name="OLE_LINK13"/>
      <w:bookmarkStart w:id="61" w:name="OLE_LINK14"/>
    </w:p>
    <w:p>
      <w:pPr>
        <w:snapToGrid w:val="0"/>
        <w:spacing w:before="50" w:after="156" w:afterLines="50" w:line="400" w:lineRule="exact"/>
        <w:jc w:val="left"/>
        <w:rPr>
          <w:rFonts w:hint="eastAsia" w:ascii="宋体" w:hAnsi="宋体"/>
          <w:b/>
          <w:color w:val="auto"/>
          <w:sz w:val="24"/>
        </w:rPr>
      </w:pPr>
    </w:p>
    <w:p>
      <w:pPr>
        <w:snapToGrid w:val="0"/>
        <w:spacing w:before="50" w:after="156" w:afterLines="50" w:line="400" w:lineRule="exact"/>
        <w:jc w:val="left"/>
        <w:rPr>
          <w:rFonts w:hint="eastAsia" w:ascii="宋体" w:hAnsi="宋体"/>
          <w:b/>
          <w:color w:val="auto"/>
          <w:sz w:val="24"/>
        </w:rPr>
      </w:pPr>
    </w:p>
    <w:p>
      <w:pPr>
        <w:snapToGrid w:val="0"/>
        <w:spacing w:before="50" w:after="156" w:afterLines="50" w:line="400" w:lineRule="exact"/>
        <w:jc w:val="left"/>
        <w:rPr>
          <w:rFonts w:hint="eastAsia" w:ascii="宋体" w:hAnsi="宋体"/>
          <w:b/>
          <w:color w:val="auto"/>
          <w:sz w:val="24"/>
        </w:rPr>
      </w:pPr>
    </w:p>
    <w:p>
      <w:pPr>
        <w:snapToGrid w:val="0"/>
        <w:spacing w:before="50" w:after="156" w:afterLines="50" w:line="400" w:lineRule="exact"/>
        <w:jc w:val="left"/>
        <w:rPr>
          <w:rFonts w:hint="eastAsia" w:ascii="宋体" w:hAnsi="宋体"/>
          <w:b/>
          <w:color w:val="auto"/>
          <w:sz w:val="24"/>
        </w:rPr>
      </w:pPr>
    </w:p>
    <w:p>
      <w:pPr>
        <w:snapToGrid w:val="0"/>
        <w:spacing w:before="50" w:after="156" w:afterLines="50" w:line="400" w:lineRule="exact"/>
        <w:jc w:val="left"/>
        <w:rPr>
          <w:rFonts w:hint="eastAsia" w:ascii="宋体" w:hAnsi="宋体"/>
          <w:b/>
          <w:color w:val="auto"/>
          <w:sz w:val="24"/>
        </w:rPr>
      </w:pPr>
    </w:p>
    <w:p>
      <w:pPr>
        <w:snapToGrid w:val="0"/>
        <w:spacing w:before="50" w:after="156" w:afterLines="50" w:line="400" w:lineRule="exact"/>
        <w:jc w:val="left"/>
        <w:rPr>
          <w:rFonts w:hint="eastAsia" w:ascii="宋体" w:hAnsi="宋体"/>
          <w:b/>
          <w:color w:val="auto"/>
          <w:sz w:val="24"/>
        </w:rPr>
      </w:pPr>
    </w:p>
    <w:p>
      <w:pPr>
        <w:snapToGrid w:val="0"/>
        <w:spacing w:before="50" w:after="156" w:afterLines="50" w:line="400" w:lineRule="exact"/>
        <w:jc w:val="left"/>
        <w:rPr>
          <w:rFonts w:hint="eastAsia" w:ascii="宋体" w:hAnsi="宋体"/>
          <w:b/>
          <w:color w:val="auto"/>
          <w:sz w:val="24"/>
        </w:rPr>
      </w:pPr>
      <w:r>
        <w:rPr>
          <w:rFonts w:hint="eastAsia" w:ascii="宋体" w:hAnsi="宋体"/>
          <w:b/>
          <w:color w:val="auto"/>
          <w:sz w:val="24"/>
        </w:rPr>
        <w:t>残疾人福利性单位声明函（格式）：</w:t>
      </w:r>
    </w:p>
    <w:p>
      <w:pPr>
        <w:spacing w:line="588" w:lineRule="exact"/>
        <w:jc w:val="center"/>
        <w:rPr>
          <w:rFonts w:ascii="宋体" w:hAnsi="宋体"/>
          <w:color w:val="auto"/>
          <w:sz w:val="24"/>
        </w:rPr>
      </w:pPr>
      <w:r>
        <w:rPr>
          <w:rFonts w:hint="eastAsia" w:ascii="宋体" w:hAnsi="宋体"/>
          <w:color w:val="auto"/>
          <w:sz w:val="24"/>
        </w:rPr>
        <w:t>残疾人福利性单位声明函</w:t>
      </w:r>
    </w:p>
    <w:bookmarkEnd w:id="60"/>
    <w:bookmarkEnd w:id="61"/>
    <w:p>
      <w:pPr>
        <w:spacing w:line="588" w:lineRule="exact"/>
        <w:rPr>
          <w:rFonts w:ascii="宋体" w:hAnsi="宋体"/>
          <w:color w:val="auto"/>
          <w:spacing w:val="6"/>
          <w:sz w:val="24"/>
        </w:rPr>
      </w:pP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hint="eastAsia" w:ascii="宋体" w:hAnsi="宋体"/>
          <w:color w:val="auto"/>
          <w:sz w:val="24"/>
        </w:rPr>
        <w:t>〔</w:t>
      </w:r>
      <w:r>
        <w:rPr>
          <w:rFonts w:ascii="宋体" w:hAnsi="宋体"/>
          <w:color w:val="auto"/>
          <w:sz w:val="24"/>
        </w:rPr>
        <w:t>2017</w:t>
      </w:r>
      <w:r>
        <w:rPr>
          <w:rFonts w:hint="eastAsia" w:ascii="宋体" w:hAnsi="宋体"/>
          <w:color w:val="auto"/>
          <w:sz w:val="24"/>
        </w:rPr>
        <w:t>〕</w:t>
      </w:r>
      <w:r>
        <w:rPr>
          <w:rFonts w:ascii="宋体" w:hAnsi="宋体"/>
          <w:color w:val="auto"/>
          <w:sz w:val="24"/>
        </w:rPr>
        <w:t xml:space="preserve"> 141</w:t>
      </w:r>
      <w:r>
        <w:rPr>
          <w:rFonts w:hint="eastAsia" w:ascii="宋体" w:hAnsi="宋体"/>
          <w:color w:val="auto"/>
          <w:spacing w:val="6"/>
          <w:sz w:val="24"/>
        </w:rPr>
        <w:t>号）的规定，本单位为符合条件的残疾人福利性单位，且本单位参加</w:t>
      </w:r>
      <w:r>
        <w:rPr>
          <w:rFonts w:ascii="宋体" w:hAnsi="宋体"/>
          <w:color w:val="auto"/>
          <w:spacing w:val="6"/>
          <w:sz w:val="24"/>
        </w:rPr>
        <w:t>______</w:t>
      </w:r>
      <w:r>
        <w:rPr>
          <w:rFonts w:hint="eastAsia" w:ascii="宋体" w:hAnsi="宋体"/>
          <w:color w:val="auto"/>
          <w:spacing w:val="6"/>
          <w:sz w:val="24"/>
        </w:rPr>
        <w:t>单位的</w:t>
      </w:r>
      <w:r>
        <w:rPr>
          <w:rFonts w:ascii="宋体" w:hAnsi="宋体"/>
          <w:color w:val="auto"/>
          <w:spacing w:val="6"/>
          <w:sz w:val="24"/>
        </w:rPr>
        <w:t>______</w:t>
      </w:r>
      <w:r>
        <w:rPr>
          <w:rFonts w:hint="eastAsia" w:ascii="宋体" w:hAnsi="宋体"/>
          <w:color w:val="auto"/>
          <w:spacing w:val="6"/>
          <w:sz w:val="24"/>
        </w:rPr>
        <w:t>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pPr>
        <w:snapToGrid w:val="0"/>
        <w:spacing w:line="400" w:lineRule="exact"/>
        <w:rPr>
          <w:rFonts w:hint="eastAsia" w:ascii="宋体" w:hAnsi="宋体"/>
          <w:b/>
          <w:bCs/>
          <w:color w:val="auto"/>
          <w:sz w:val="32"/>
          <w:szCs w:val="32"/>
        </w:rPr>
      </w:pPr>
      <w:r>
        <w:rPr>
          <w:rFonts w:hint="eastAsia" w:ascii="宋体" w:hAnsi="宋体"/>
          <w:color w:val="auto"/>
          <w:spacing w:val="6"/>
          <w:sz w:val="24"/>
        </w:rPr>
        <w:t>本单位对上述声明的真实性负责。如有虚假，将依法承担相应责任。</w:t>
      </w: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snapToGrid w:val="0"/>
        <w:spacing w:line="400" w:lineRule="exact"/>
        <w:jc w:val="center"/>
        <w:rPr>
          <w:rFonts w:hint="eastAsia" w:ascii="宋体" w:hAnsi="宋体"/>
          <w:b/>
          <w:bCs/>
          <w:color w:val="auto"/>
          <w:sz w:val="32"/>
          <w:szCs w:val="32"/>
        </w:rPr>
      </w:pPr>
    </w:p>
    <w:p>
      <w:pPr>
        <w:pStyle w:val="3"/>
        <w:jc w:val="center"/>
        <w:rPr>
          <w:rFonts w:hint="eastAsia"/>
          <w:color w:val="auto"/>
          <w:sz w:val="32"/>
          <w:szCs w:val="32"/>
        </w:rPr>
      </w:pPr>
      <w:bookmarkStart w:id="62" w:name="_Toc48212417"/>
      <w:r>
        <w:rPr>
          <w:rFonts w:hint="eastAsia"/>
          <w:color w:val="auto"/>
          <w:sz w:val="32"/>
          <w:szCs w:val="32"/>
        </w:rPr>
        <w:t>第五章    政府采购合同</w:t>
      </w:r>
      <w:bookmarkEnd w:id="62"/>
    </w:p>
    <w:p>
      <w:pPr>
        <w:snapToGrid w:val="0"/>
        <w:spacing w:line="400" w:lineRule="exact"/>
        <w:ind w:right="480"/>
        <w:jc w:val="center"/>
        <w:rPr>
          <w:rFonts w:hint="eastAsia" w:ascii="宋体" w:hAnsi="宋体"/>
          <w:b/>
          <w:bCs/>
          <w:color w:val="auto"/>
          <w:sz w:val="28"/>
          <w:szCs w:val="28"/>
        </w:rPr>
      </w:pPr>
      <w:r>
        <w:rPr>
          <w:rFonts w:hint="eastAsia" w:ascii="宋体" w:hAnsi="宋体"/>
          <w:b/>
          <w:bCs/>
          <w:color w:val="auto"/>
          <w:sz w:val="28"/>
          <w:szCs w:val="28"/>
        </w:rPr>
        <w:t xml:space="preserve">       合同格式</w:t>
      </w:r>
    </w:p>
    <w:p>
      <w:pPr>
        <w:snapToGrid w:val="0"/>
        <w:spacing w:line="400" w:lineRule="exact"/>
        <w:ind w:right="480"/>
        <w:rPr>
          <w:rFonts w:hint="eastAsia" w:ascii="宋体" w:hAnsi="宋体"/>
          <w:bCs/>
          <w:color w:val="auto"/>
          <w:sz w:val="24"/>
          <w:u w:val="single"/>
        </w:rPr>
      </w:pPr>
      <w:r>
        <w:rPr>
          <w:rFonts w:hint="eastAsia" w:ascii="宋体" w:hAnsi="宋体"/>
          <w:bCs/>
          <w:color w:val="auto"/>
          <w:sz w:val="24"/>
        </w:rPr>
        <w:t>合同编号：</w:t>
      </w:r>
    </w:p>
    <w:p>
      <w:pPr>
        <w:snapToGrid w:val="0"/>
        <w:spacing w:line="400" w:lineRule="exact"/>
        <w:rPr>
          <w:rFonts w:hint="eastAsia" w:ascii="宋体" w:hAnsi="宋体"/>
          <w:color w:val="auto"/>
          <w:sz w:val="24"/>
          <w:u w:val="single"/>
        </w:rPr>
      </w:pPr>
      <w:r>
        <w:rPr>
          <w:rFonts w:hint="eastAsia" w:ascii="宋体" w:hAnsi="宋体"/>
          <w:color w:val="auto"/>
          <w:sz w:val="24"/>
        </w:rPr>
        <w:t>采购单位（甲方）</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pacing w:val="-20"/>
          <w:sz w:val="24"/>
        </w:rPr>
        <w:t>采 购 计 划 号</w:t>
      </w:r>
      <w:r>
        <w:rPr>
          <w:rFonts w:hint="eastAsia" w:ascii="宋体" w:hAnsi="宋体"/>
          <w:color w:val="auto"/>
          <w:sz w:val="24"/>
          <w:u w:val="single"/>
        </w:rPr>
        <w:t xml:space="preserve">             </w:t>
      </w:r>
    </w:p>
    <w:p>
      <w:pPr>
        <w:snapToGrid w:val="0"/>
        <w:spacing w:line="400" w:lineRule="exact"/>
        <w:rPr>
          <w:rFonts w:hint="eastAsia" w:ascii="宋体" w:hAnsi="宋体"/>
          <w:color w:val="auto"/>
          <w:sz w:val="24"/>
          <w:u w:val="single"/>
        </w:rPr>
      </w:pPr>
      <w:r>
        <w:rPr>
          <w:rFonts w:hint="eastAsia" w:ascii="宋体" w:hAnsi="宋体"/>
          <w:color w:val="auto"/>
          <w:sz w:val="24"/>
        </w:rPr>
        <w:t>供 应 商（乙方）</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pacing w:val="-20"/>
          <w:sz w:val="24"/>
        </w:rPr>
        <w:t xml:space="preserve">项 目  编  号 </w:t>
      </w:r>
      <w:r>
        <w:rPr>
          <w:rFonts w:hint="eastAsia" w:ascii="宋体" w:hAnsi="宋体"/>
          <w:color w:val="auto"/>
          <w:sz w:val="24"/>
          <w:u w:val="single"/>
        </w:rPr>
        <w:t xml:space="preserve">             </w:t>
      </w:r>
    </w:p>
    <w:p>
      <w:pPr>
        <w:snapToGrid w:val="0"/>
        <w:spacing w:line="400" w:lineRule="exact"/>
        <w:rPr>
          <w:rFonts w:hint="eastAsia" w:ascii="宋体" w:hAnsi="宋体"/>
          <w:color w:val="auto"/>
          <w:sz w:val="24"/>
          <w:u w:val="single"/>
        </w:rPr>
      </w:pPr>
      <w:r>
        <w:rPr>
          <w:rFonts w:hint="eastAsia" w:ascii="宋体" w:hAnsi="宋体"/>
          <w:color w:val="auto"/>
          <w:sz w:val="24"/>
        </w:rPr>
        <w:t xml:space="preserve">签  订  地  点  </w:t>
      </w:r>
      <w:r>
        <w:rPr>
          <w:rFonts w:hint="eastAsia" w:ascii="宋体" w:hAnsi="宋体"/>
          <w:color w:val="auto"/>
          <w:sz w:val="24"/>
          <w:u w:val="single"/>
        </w:rPr>
        <w:t xml:space="preserve">                          </w:t>
      </w:r>
      <w:r>
        <w:rPr>
          <w:rFonts w:hint="eastAsia" w:ascii="宋体" w:hAnsi="宋体"/>
          <w:color w:val="auto"/>
          <w:sz w:val="24"/>
        </w:rPr>
        <w:t xml:space="preserve">  签 订 时 间</w:t>
      </w:r>
      <w:r>
        <w:rPr>
          <w:rFonts w:hint="eastAsia" w:ascii="宋体" w:hAnsi="宋体"/>
          <w:color w:val="auto"/>
          <w:sz w:val="24"/>
          <w:u w:val="single"/>
        </w:rPr>
        <w:t xml:space="preserve">             </w:t>
      </w:r>
    </w:p>
    <w:p>
      <w:pPr>
        <w:snapToGrid w:val="0"/>
        <w:spacing w:line="400" w:lineRule="exact"/>
        <w:ind w:firstLine="480" w:firstLineChars="200"/>
        <w:rPr>
          <w:rFonts w:hint="eastAsia" w:ascii="宋体" w:hAnsi="宋体"/>
          <w:color w:val="auto"/>
          <w:sz w:val="24"/>
        </w:rPr>
      </w:pP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根据《中华人民共和国政府采购法》、《中华人民共和国合同法》等法律、法规规定，按照竞标文件（采购文件）规定条款和成交（成交）</w:t>
      </w:r>
      <w:r>
        <w:rPr>
          <w:rFonts w:hint="eastAsia" w:ascii="宋体" w:hAnsi="宋体"/>
          <w:color w:val="auto"/>
          <w:sz w:val="24"/>
          <w:lang w:eastAsia="zh-CN"/>
        </w:rPr>
        <w:t>竞标人</w:t>
      </w:r>
      <w:r>
        <w:rPr>
          <w:rFonts w:hint="eastAsia" w:ascii="宋体" w:hAnsi="宋体"/>
          <w:color w:val="auto"/>
          <w:sz w:val="24"/>
        </w:rPr>
        <w:t>承诺，甲乙双方签订本合同。</w:t>
      </w:r>
    </w:p>
    <w:p>
      <w:pPr>
        <w:snapToGrid w:val="0"/>
        <w:spacing w:line="400" w:lineRule="exact"/>
        <w:ind w:firstLine="482" w:firstLineChars="200"/>
        <w:outlineLvl w:val="0"/>
        <w:rPr>
          <w:rFonts w:hint="eastAsia" w:ascii="宋体" w:hAnsi="宋体"/>
          <w:b/>
          <w:color w:val="auto"/>
          <w:sz w:val="24"/>
        </w:rPr>
      </w:pPr>
      <w:bookmarkStart w:id="63" w:name="_Toc48212418"/>
      <w:r>
        <w:rPr>
          <w:rFonts w:hint="eastAsia" w:ascii="宋体" w:hAnsi="宋体"/>
          <w:b/>
          <w:color w:val="auto"/>
          <w:sz w:val="24"/>
        </w:rPr>
        <w:t>第一条　合同标的</w:t>
      </w:r>
      <w:bookmarkEnd w:id="63"/>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1、供货一览表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9"/>
        <w:gridCol w:w="1048"/>
        <w:gridCol w:w="1155"/>
        <w:gridCol w:w="1154"/>
        <w:gridCol w:w="494"/>
        <w:gridCol w:w="494"/>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96"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序号</w:t>
            </w:r>
          </w:p>
        </w:tc>
        <w:tc>
          <w:tcPr>
            <w:tcW w:w="1259"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产品</w:t>
            </w:r>
          </w:p>
          <w:p>
            <w:pPr>
              <w:snapToGrid w:val="0"/>
              <w:spacing w:line="400" w:lineRule="exact"/>
              <w:jc w:val="center"/>
              <w:rPr>
                <w:rFonts w:hint="eastAsia" w:ascii="宋体" w:hAnsi="宋体"/>
                <w:color w:val="auto"/>
                <w:sz w:val="24"/>
              </w:rPr>
            </w:pPr>
            <w:r>
              <w:rPr>
                <w:rFonts w:hint="eastAsia" w:ascii="宋体" w:hAnsi="宋体"/>
                <w:color w:val="auto"/>
                <w:sz w:val="24"/>
              </w:rPr>
              <w:t>名称</w:t>
            </w:r>
          </w:p>
        </w:tc>
        <w:tc>
          <w:tcPr>
            <w:tcW w:w="1048"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商标</w:t>
            </w:r>
          </w:p>
          <w:p>
            <w:pPr>
              <w:snapToGrid w:val="0"/>
              <w:spacing w:line="400" w:lineRule="exact"/>
              <w:jc w:val="center"/>
              <w:rPr>
                <w:rFonts w:hint="eastAsia" w:ascii="宋体" w:hAnsi="宋体"/>
                <w:color w:val="auto"/>
                <w:sz w:val="24"/>
              </w:rPr>
            </w:pPr>
            <w:r>
              <w:rPr>
                <w:rFonts w:hint="eastAsia" w:ascii="宋体" w:hAnsi="宋体"/>
                <w:color w:val="auto"/>
                <w:sz w:val="24"/>
              </w:rPr>
              <w:t>品牌</w:t>
            </w:r>
          </w:p>
        </w:tc>
        <w:tc>
          <w:tcPr>
            <w:tcW w:w="1155"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规格</w:t>
            </w:r>
          </w:p>
          <w:p>
            <w:pPr>
              <w:snapToGrid w:val="0"/>
              <w:spacing w:line="400" w:lineRule="exact"/>
              <w:jc w:val="center"/>
              <w:rPr>
                <w:rFonts w:hint="eastAsia" w:ascii="宋体" w:hAnsi="宋体"/>
                <w:color w:val="auto"/>
                <w:sz w:val="24"/>
              </w:rPr>
            </w:pPr>
            <w:r>
              <w:rPr>
                <w:rFonts w:hint="eastAsia" w:ascii="宋体" w:hAnsi="宋体"/>
                <w:color w:val="auto"/>
                <w:sz w:val="24"/>
              </w:rPr>
              <w:t>型号</w:t>
            </w:r>
          </w:p>
        </w:tc>
        <w:tc>
          <w:tcPr>
            <w:tcW w:w="1154"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生产</w:t>
            </w:r>
          </w:p>
          <w:p>
            <w:pPr>
              <w:snapToGrid w:val="0"/>
              <w:spacing w:line="400" w:lineRule="exact"/>
              <w:jc w:val="center"/>
              <w:rPr>
                <w:rFonts w:hint="eastAsia" w:ascii="宋体" w:hAnsi="宋体"/>
                <w:color w:val="auto"/>
                <w:sz w:val="24"/>
              </w:rPr>
            </w:pPr>
            <w:r>
              <w:rPr>
                <w:rFonts w:hint="eastAsia" w:ascii="宋体" w:hAnsi="宋体"/>
                <w:color w:val="auto"/>
                <w:sz w:val="24"/>
              </w:rPr>
              <w:t>厂家</w:t>
            </w:r>
          </w:p>
        </w:tc>
        <w:tc>
          <w:tcPr>
            <w:tcW w:w="494"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数  量</w:t>
            </w:r>
          </w:p>
        </w:tc>
        <w:tc>
          <w:tcPr>
            <w:tcW w:w="494"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单位</w:t>
            </w:r>
          </w:p>
        </w:tc>
        <w:tc>
          <w:tcPr>
            <w:tcW w:w="1185"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单  价</w:t>
            </w:r>
          </w:p>
          <w:p>
            <w:pPr>
              <w:snapToGrid w:val="0"/>
              <w:spacing w:line="400" w:lineRule="exact"/>
              <w:jc w:val="center"/>
              <w:rPr>
                <w:rFonts w:hint="eastAsia" w:ascii="宋体" w:hAnsi="宋体"/>
                <w:color w:val="auto"/>
                <w:sz w:val="24"/>
              </w:rPr>
            </w:pPr>
            <w:r>
              <w:rPr>
                <w:rFonts w:hint="eastAsia" w:ascii="宋体" w:hAnsi="宋体"/>
                <w:color w:val="auto"/>
                <w:sz w:val="24"/>
              </w:rPr>
              <w:t>（元）</w:t>
            </w:r>
          </w:p>
        </w:tc>
        <w:tc>
          <w:tcPr>
            <w:tcW w:w="1186"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金  额</w:t>
            </w:r>
          </w:p>
          <w:p>
            <w:pPr>
              <w:snapToGrid w:val="0"/>
              <w:spacing w:line="400" w:lineRule="exact"/>
              <w:jc w:val="center"/>
              <w:rPr>
                <w:rFonts w:hint="eastAsia" w:ascii="宋体" w:hAnsi="宋体"/>
                <w:color w:val="auto"/>
                <w:sz w:val="24"/>
              </w:rPr>
            </w:pPr>
            <w:r>
              <w:rPr>
                <w:rFonts w:hint="eastAsia" w:ascii="宋体" w:hAnsi="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6"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1</w:t>
            </w:r>
          </w:p>
        </w:tc>
        <w:tc>
          <w:tcPr>
            <w:tcW w:w="1259" w:type="dxa"/>
            <w:noWrap w:val="0"/>
            <w:vAlign w:val="center"/>
          </w:tcPr>
          <w:p>
            <w:pPr>
              <w:snapToGrid w:val="0"/>
              <w:spacing w:line="400" w:lineRule="exact"/>
              <w:jc w:val="center"/>
              <w:rPr>
                <w:rFonts w:hint="eastAsia" w:ascii="宋体" w:hAnsi="宋体"/>
                <w:color w:val="auto"/>
                <w:sz w:val="24"/>
              </w:rPr>
            </w:pPr>
          </w:p>
        </w:tc>
        <w:tc>
          <w:tcPr>
            <w:tcW w:w="1048" w:type="dxa"/>
            <w:noWrap w:val="0"/>
            <w:vAlign w:val="center"/>
          </w:tcPr>
          <w:p>
            <w:pPr>
              <w:snapToGrid w:val="0"/>
              <w:spacing w:line="400" w:lineRule="exact"/>
              <w:jc w:val="center"/>
              <w:rPr>
                <w:rFonts w:hint="eastAsia" w:ascii="宋体" w:hAnsi="宋体"/>
                <w:color w:val="auto"/>
                <w:sz w:val="24"/>
              </w:rPr>
            </w:pPr>
          </w:p>
        </w:tc>
        <w:tc>
          <w:tcPr>
            <w:tcW w:w="1155" w:type="dxa"/>
            <w:noWrap w:val="0"/>
            <w:vAlign w:val="center"/>
          </w:tcPr>
          <w:p>
            <w:pPr>
              <w:snapToGrid w:val="0"/>
              <w:spacing w:line="400" w:lineRule="exact"/>
              <w:jc w:val="center"/>
              <w:rPr>
                <w:rFonts w:hint="eastAsia" w:ascii="宋体" w:hAnsi="宋体"/>
                <w:color w:val="auto"/>
                <w:sz w:val="24"/>
              </w:rPr>
            </w:pPr>
          </w:p>
        </w:tc>
        <w:tc>
          <w:tcPr>
            <w:tcW w:w="1154" w:type="dxa"/>
            <w:noWrap w:val="0"/>
            <w:vAlign w:val="top"/>
          </w:tcPr>
          <w:p>
            <w:pPr>
              <w:snapToGrid w:val="0"/>
              <w:spacing w:line="400" w:lineRule="exact"/>
              <w:jc w:val="center"/>
              <w:rPr>
                <w:rFonts w:hint="eastAsia" w:ascii="宋体" w:hAnsi="宋体"/>
                <w:color w:val="auto"/>
                <w:sz w:val="24"/>
              </w:rPr>
            </w:pPr>
          </w:p>
        </w:tc>
        <w:tc>
          <w:tcPr>
            <w:tcW w:w="494" w:type="dxa"/>
            <w:noWrap w:val="0"/>
            <w:vAlign w:val="top"/>
          </w:tcPr>
          <w:p>
            <w:pPr>
              <w:snapToGrid w:val="0"/>
              <w:spacing w:line="400" w:lineRule="exact"/>
              <w:jc w:val="center"/>
              <w:rPr>
                <w:rFonts w:hint="eastAsia" w:ascii="宋体" w:hAnsi="宋体"/>
                <w:color w:val="auto"/>
                <w:sz w:val="24"/>
              </w:rPr>
            </w:pPr>
          </w:p>
        </w:tc>
        <w:tc>
          <w:tcPr>
            <w:tcW w:w="494" w:type="dxa"/>
            <w:noWrap w:val="0"/>
            <w:vAlign w:val="top"/>
          </w:tcPr>
          <w:p>
            <w:pPr>
              <w:snapToGrid w:val="0"/>
              <w:spacing w:line="400" w:lineRule="exact"/>
              <w:jc w:val="center"/>
              <w:rPr>
                <w:rFonts w:hint="eastAsia" w:ascii="宋体" w:hAnsi="宋体"/>
                <w:color w:val="auto"/>
                <w:sz w:val="24"/>
              </w:rPr>
            </w:pPr>
          </w:p>
        </w:tc>
        <w:tc>
          <w:tcPr>
            <w:tcW w:w="1185" w:type="dxa"/>
            <w:noWrap w:val="0"/>
            <w:vAlign w:val="center"/>
          </w:tcPr>
          <w:p>
            <w:pPr>
              <w:snapToGrid w:val="0"/>
              <w:spacing w:line="400" w:lineRule="exact"/>
              <w:jc w:val="center"/>
              <w:rPr>
                <w:rFonts w:hint="eastAsia" w:ascii="宋体" w:hAnsi="宋体"/>
                <w:color w:val="auto"/>
                <w:sz w:val="24"/>
              </w:rPr>
            </w:pPr>
          </w:p>
        </w:tc>
        <w:tc>
          <w:tcPr>
            <w:tcW w:w="1186" w:type="dxa"/>
            <w:noWrap w:val="0"/>
            <w:vAlign w:val="center"/>
          </w:tcPr>
          <w:p>
            <w:pPr>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6"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2</w:t>
            </w:r>
          </w:p>
        </w:tc>
        <w:tc>
          <w:tcPr>
            <w:tcW w:w="1259" w:type="dxa"/>
            <w:noWrap w:val="0"/>
            <w:vAlign w:val="center"/>
          </w:tcPr>
          <w:p>
            <w:pPr>
              <w:snapToGrid w:val="0"/>
              <w:spacing w:line="400" w:lineRule="exact"/>
              <w:jc w:val="center"/>
              <w:rPr>
                <w:rFonts w:hint="eastAsia" w:ascii="宋体" w:hAnsi="宋体"/>
                <w:color w:val="auto"/>
                <w:sz w:val="24"/>
              </w:rPr>
            </w:pPr>
          </w:p>
        </w:tc>
        <w:tc>
          <w:tcPr>
            <w:tcW w:w="1048" w:type="dxa"/>
            <w:noWrap w:val="0"/>
            <w:vAlign w:val="center"/>
          </w:tcPr>
          <w:p>
            <w:pPr>
              <w:snapToGrid w:val="0"/>
              <w:spacing w:line="400" w:lineRule="exact"/>
              <w:jc w:val="center"/>
              <w:rPr>
                <w:rFonts w:hint="eastAsia" w:ascii="宋体" w:hAnsi="宋体"/>
                <w:color w:val="auto"/>
                <w:sz w:val="24"/>
              </w:rPr>
            </w:pPr>
          </w:p>
        </w:tc>
        <w:tc>
          <w:tcPr>
            <w:tcW w:w="1155" w:type="dxa"/>
            <w:noWrap w:val="0"/>
            <w:vAlign w:val="center"/>
          </w:tcPr>
          <w:p>
            <w:pPr>
              <w:snapToGrid w:val="0"/>
              <w:spacing w:line="400" w:lineRule="exact"/>
              <w:jc w:val="center"/>
              <w:rPr>
                <w:rFonts w:hint="eastAsia" w:ascii="宋体" w:hAnsi="宋体"/>
                <w:color w:val="auto"/>
                <w:sz w:val="24"/>
              </w:rPr>
            </w:pPr>
          </w:p>
        </w:tc>
        <w:tc>
          <w:tcPr>
            <w:tcW w:w="1154" w:type="dxa"/>
            <w:noWrap w:val="0"/>
            <w:vAlign w:val="top"/>
          </w:tcPr>
          <w:p>
            <w:pPr>
              <w:snapToGrid w:val="0"/>
              <w:spacing w:line="400" w:lineRule="exact"/>
              <w:jc w:val="center"/>
              <w:rPr>
                <w:rFonts w:hint="eastAsia" w:ascii="宋体" w:hAnsi="宋体"/>
                <w:color w:val="auto"/>
                <w:sz w:val="24"/>
              </w:rPr>
            </w:pPr>
          </w:p>
        </w:tc>
        <w:tc>
          <w:tcPr>
            <w:tcW w:w="494" w:type="dxa"/>
            <w:noWrap w:val="0"/>
            <w:vAlign w:val="top"/>
          </w:tcPr>
          <w:p>
            <w:pPr>
              <w:snapToGrid w:val="0"/>
              <w:spacing w:line="400" w:lineRule="exact"/>
              <w:jc w:val="center"/>
              <w:rPr>
                <w:rFonts w:hint="eastAsia" w:ascii="宋体" w:hAnsi="宋体"/>
                <w:color w:val="auto"/>
                <w:sz w:val="24"/>
              </w:rPr>
            </w:pPr>
          </w:p>
        </w:tc>
        <w:tc>
          <w:tcPr>
            <w:tcW w:w="494" w:type="dxa"/>
            <w:noWrap w:val="0"/>
            <w:vAlign w:val="top"/>
          </w:tcPr>
          <w:p>
            <w:pPr>
              <w:snapToGrid w:val="0"/>
              <w:spacing w:line="400" w:lineRule="exact"/>
              <w:jc w:val="center"/>
              <w:rPr>
                <w:rFonts w:hint="eastAsia" w:ascii="宋体" w:hAnsi="宋体"/>
                <w:color w:val="auto"/>
                <w:sz w:val="24"/>
              </w:rPr>
            </w:pPr>
          </w:p>
        </w:tc>
        <w:tc>
          <w:tcPr>
            <w:tcW w:w="1185" w:type="dxa"/>
            <w:noWrap w:val="0"/>
            <w:vAlign w:val="center"/>
          </w:tcPr>
          <w:p>
            <w:pPr>
              <w:snapToGrid w:val="0"/>
              <w:spacing w:line="400" w:lineRule="exact"/>
              <w:jc w:val="center"/>
              <w:rPr>
                <w:rFonts w:hint="eastAsia" w:ascii="宋体" w:hAnsi="宋体"/>
                <w:color w:val="auto"/>
                <w:sz w:val="24"/>
              </w:rPr>
            </w:pPr>
          </w:p>
        </w:tc>
        <w:tc>
          <w:tcPr>
            <w:tcW w:w="1186" w:type="dxa"/>
            <w:noWrap w:val="0"/>
            <w:vAlign w:val="center"/>
          </w:tcPr>
          <w:p>
            <w:pPr>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6" w:type="dxa"/>
            <w:noWrap w:val="0"/>
            <w:vAlign w:val="center"/>
          </w:tcPr>
          <w:p>
            <w:pPr>
              <w:snapToGrid w:val="0"/>
              <w:spacing w:line="400" w:lineRule="exact"/>
              <w:jc w:val="center"/>
              <w:rPr>
                <w:rFonts w:hint="eastAsia" w:ascii="宋体" w:hAnsi="宋体"/>
                <w:color w:val="auto"/>
                <w:sz w:val="24"/>
              </w:rPr>
            </w:pPr>
            <w:r>
              <w:rPr>
                <w:rFonts w:hint="eastAsia" w:ascii="宋体" w:hAnsi="宋体"/>
                <w:color w:val="auto"/>
                <w:sz w:val="24"/>
              </w:rPr>
              <w:t>……</w:t>
            </w:r>
          </w:p>
        </w:tc>
        <w:tc>
          <w:tcPr>
            <w:tcW w:w="1259" w:type="dxa"/>
            <w:noWrap w:val="0"/>
            <w:vAlign w:val="center"/>
          </w:tcPr>
          <w:p>
            <w:pPr>
              <w:snapToGrid w:val="0"/>
              <w:spacing w:line="400" w:lineRule="exact"/>
              <w:jc w:val="center"/>
              <w:rPr>
                <w:rFonts w:hint="eastAsia" w:ascii="宋体" w:hAnsi="宋体"/>
                <w:color w:val="auto"/>
                <w:sz w:val="24"/>
              </w:rPr>
            </w:pPr>
          </w:p>
        </w:tc>
        <w:tc>
          <w:tcPr>
            <w:tcW w:w="1048" w:type="dxa"/>
            <w:noWrap w:val="0"/>
            <w:vAlign w:val="center"/>
          </w:tcPr>
          <w:p>
            <w:pPr>
              <w:snapToGrid w:val="0"/>
              <w:spacing w:line="400" w:lineRule="exact"/>
              <w:jc w:val="center"/>
              <w:rPr>
                <w:rFonts w:hint="eastAsia" w:ascii="宋体" w:hAnsi="宋体"/>
                <w:color w:val="auto"/>
                <w:sz w:val="24"/>
              </w:rPr>
            </w:pPr>
          </w:p>
        </w:tc>
        <w:tc>
          <w:tcPr>
            <w:tcW w:w="1155" w:type="dxa"/>
            <w:noWrap w:val="0"/>
            <w:vAlign w:val="center"/>
          </w:tcPr>
          <w:p>
            <w:pPr>
              <w:snapToGrid w:val="0"/>
              <w:spacing w:line="400" w:lineRule="exact"/>
              <w:jc w:val="center"/>
              <w:rPr>
                <w:rFonts w:hint="eastAsia" w:ascii="宋体" w:hAnsi="宋体"/>
                <w:color w:val="auto"/>
                <w:sz w:val="24"/>
              </w:rPr>
            </w:pPr>
          </w:p>
        </w:tc>
        <w:tc>
          <w:tcPr>
            <w:tcW w:w="1154" w:type="dxa"/>
            <w:noWrap w:val="0"/>
            <w:vAlign w:val="top"/>
          </w:tcPr>
          <w:p>
            <w:pPr>
              <w:snapToGrid w:val="0"/>
              <w:spacing w:line="400" w:lineRule="exact"/>
              <w:jc w:val="center"/>
              <w:rPr>
                <w:rFonts w:hint="eastAsia" w:ascii="宋体" w:hAnsi="宋体"/>
                <w:color w:val="auto"/>
                <w:sz w:val="24"/>
              </w:rPr>
            </w:pPr>
          </w:p>
        </w:tc>
        <w:tc>
          <w:tcPr>
            <w:tcW w:w="494" w:type="dxa"/>
            <w:noWrap w:val="0"/>
            <w:vAlign w:val="top"/>
          </w:tcPr>
          <w:p>
            <w:pPr>
              <w:snapToGrid w:val="0"/>
              <w:spacing w:line="400" w:lineRule="exact"/>
              <w:jc w:val="center"/>
              <w:rPr>
                <w:rFonts w:hint="eastAsia" w:ascii="宋体" w:hAnsi="宋体"/>
                <w:color w:val="auto"/>
                <w:sz w:val="24"/>
              </w:rPr>
            </w:pPr>
          </w:p>
        </w:tc>
        <w:tc>
          <w:tcPr>
            <w:tcW w:w="494" w:type="dxa"/>
            <w:noWrap w:val="0"/>
            <w:vAlign w:val="top"/>
          </w:tcPr>
          <w:p>
            <w:pPr>
              <w:snapToGrid w:val="0"/>
              <w:spacing w:line="400" w:lineRule="exact"/>
              <w:jc w:val="center"/>
              <w:rPr>
                <w:rFonts w:hint="eastAsia" w:ascii="宋体" w:hAnsi="宋体"/>
                <w:color w:val="auto"/>
                <w:sz w:val="24"/>
              </w:rPr>
            </w:pPr>
          </w:p>
        </w:tc>
        <w:tc>
          <w:tcPr>
            <w:tcW w:w="1185" w:type="dxa"/>
            <w:noWrap w:val="0"/>
            <w:vAlign w:val="center"/>
          </w:tcPr>
          <w:p>
            <w:pPr>
              <w:snapToGrid w:val="0"/>
              <w:spacing w:line="400" w:lineRule="exact"/>
              <w:jc w:val="center"/>
              <w:rPr>
                <w:rFonts w:hint="eastAsia" w:ascii="宋体" w:hAnsi="宋体"/>
                <w:color w:val="auto"/>
                <w:sz w:val="24"/>
              </w:rPr>
            </w:pPr>
          </w:p>
        </w:tc>
        <w:tc>
          <w:tcPr>
            <w:tcW w:w="1186" w:type="dxa"/>
            <w:noWrap w:val="0"/>
            <w:vAlign w:val="center"/>
          </w:tcPr>
          <w:p>
            <w:pPr>
              <w:snapToGrid w:val="0"/>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671" w:type="dxa"/>
            <w:gridSpan w:val="9"/>
            <w:noWrap w:val="0"/>
            <w:vAlign w:val="center"/>
          </w:tcPr>
          <w:p>
            <w:pPr>
              <w:snapToGrid w:val="0"/>
              <w:spacing w:line="400" w:lineRule="exact"/>
              <w:rPr>
                <w:rFonts w:hint="eastAsia" w:ascii="宋体" w:hAnsi="宋体"/>
                <w:color w:val="auto"/>
                <w:sz w:val="24"/>
              </w:rPr>
            </w:pPr>
            <w:r>
              <w:rPr>
                <w:rFonts w:hint="eastAsia" w:ascii="宋体" w:hAnsi="宋体"/>
                <w:color w:val="auto"/>
                <w:sz w:val="24"/>
              </w:rPr>
              <w:t xml:space="preserve">人民币合计金额（大写）                          （小写）                 </w:t>
            </w:r>
          </w:p>
        </w:tc>
      </w:tr>
    </w:tbl>
    <w:p>
      <w:pPr>
        <w:snapToGrid w:val="0"/>
        <w:spacing w:line="400" w:lineRule="exact"/>
        <w:ind w:right="420" w:firstLine="480" w:firstLineChars="200"/>
        <w:rPr>
          <w:rFonts w:hint="eastAsia" w:ascii="宋体" w:hAnsi="宋体"/>
          <w:color w:val="auto"/>
          <w:sz w:val="24"/>
        </w:rPr>
      </w:pPr>
      <w:r>
        <w:rPr>
          <w:rFonts w:hint="eastAsia" w:ascii="宋体" w:hAnsi="宋体"/>
          <w:color w:val="auto"/>
          <w:sz w:val="24"/>
        </w:rPr>
        <w:t>2、本项目实行交钥匙项目总包，竞标报价中包含设备、随配附件、备品备件、工具、运抵指定交货地点、保险、现场安装、调试及验收的各种费用和售后服务、税金及其他所有成本费用的总和。成交</w:t>
      </w:r>
      <w:r>
        <w:rPr>
          <w:rFonts w:hint="eastAsia" w:ascii="宋体" w:hAnsi="宋体"/>
          <w:color w:val="auto"/>
          <w:sz w:val="24"/>
          <w:lang w:eastAsia="zh-CN"/>
        </w:rPr>
        <w:t>竞标人</w:t>
      </w:r>
      <w:r>
        <w:rPr>
          <w:rFonts w:hint="eastAsia" w:ascii="宋体" w:hAnsi="宋体"/>
          <w:color w:val="auto"/>
          <w:sz w:val="24"/>
        </w:rPr>
        <w:t>必须保证整个系统的正常运行，并能通过采购方的项目验收。成交</w:t>
      </w:r>
      <w:r>
        <w:rPr>
          <w:rFonts w:hint="eastAsia" w:ascii="宋体" w:hAnsi="宋体"/>
          <w:color w:val="auto"/>
          <w:sz w:val="24"/>
          <w:lang w:eastAsia="zh-CN"/>
        </w:rPr>
        <w:t>竞标人</w:t>
      </w:r>
      <w:r>
        <w:rPr>
          <w:rFonts w:hint="eastAsia" w:ascii="宋体" w:hAnsi="宋体"/>
          <w:color w:val="auto"/>
          <w:sz w:val="24"/>
        </w:rPr>
        <w:t>负责工人人身、设备安全责任。</w:t>
      </w:r>
    </w:p>
    <w:p>
      <w:pPr>
        <w:snapToGrid w:val="0"/>
        <w:spacing w:line="400" w:lineRule="exact"/>
        <w:ind w:firstLine="482" w:firstLineChars="200"/>
        <w:outlineLvl w:val="0"/>
        <w:rPr>
          <w:rFonts w:hint="eastAsia" w:ascii="宋体" w:hAnsi="宋体"/>
          <w:color w:val="auto"/>
          <w:sz w:val="24"/>
        </w:rPr>
      </w:pPr>
      <w:bookmarkStart w:id="64" w:name="_Toc48212419"/>
      <w:r>
        <w:rPr>
          <w:rFonts w:hint="eastAsia" w:ascii="宋体" w:hAnsi="宋体"/>
          <w:b/>
          <w:color w:val="auto"/>
          <w:sz w:val="24"/>
        </w:rPr>
        <w:t>第二条　质量保证</w:t>
      </w:r>
      <w:bookmarkEnd w:id="64"/>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1、乙方所提供的货物型号、技术规格、技术参数等质量必须与竞标文件和承诺相一致。乙方提供的自主创新产品、节能和环保产品必须是列入政府采购清单的产品。</w:t>
      </w:r>
    </w:p>
    <w:p>
      <w:pPr>
        <w:snapToGrid w:val="0"/>
        <w:spacing w:line="400" w:lineRule="exact"/>
        <w:ind w:firstLine="480" w:firstLineChars="200"/>
        <w:rPr>
          <w:rFonts w:hint="eastAsia" w:ascii="宋体" w:hAnsi="宋体"/>
          <w:color w:val="auto"/>
          <w:sz w:val="24"/>
          <w:u w:val="single"/>
        </w:rPr>
      </w:pPr>
      <w:r>
        <w:rPr>
          <w:rFonts w:hint="eastAsia" w:ascii="宋体" w:hAnsi="宋体"/>
          <w:color w:val="auto"/>
          <w:sz w:val="24"/>
        </w:rPr>
        <w:t>2、乙方所提供的货物必须是全新、未使用的原装产品，且在正常安装、使用和保养条件下，其使用寿命期内各项指标均达到质量要求。</w:t>
      </w:r>
    </w:p>
    <w:p>
      <w:pPr>
        <w:snapToGrid w:val="0"/>
        <w:spacing w:line="400" w:lineRule="exact"/>
        <w:ind w:firstLine="482" w:firstLineChars="200"/>
        <w:outlineLvl w:val="0"/>
        <w:rPr>
          <w:rFonts w:hint="eastAsia" w:ascii="宋体" w:hAnsi="宋体"/>
          <w:color w:val="auto"/>
          <w:sz w:val="24"/>
        </w:rPr>
      </w:pPr>
      <w:bookmarkStart w:id="65" w:name="_Toc48212420"/>
      <w:r>
        <w:rPr>
          <w:rFonts w:hint="eastAsia" w:ascii="宋体" w:hAnsi="宋体"/>
          <w:b/>
          <w:color w:val="auto"/>
          <w:sz w:val="24"/>
        </w:rPr>
        <w:t>第三条　权力保证</w:t>
      </w:r>
      <w:bookmarkEnd w:id="65"/>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乙方应保证所提供货物在使用时不会侵犯任何第三方的专利权、商标权、工业设计权或其他权利。</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乙方应按采购文件规定的时间向甲方提供使用货物的有关技术资料。</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乙方保证所交付的货物的所有权完全属于乙方且无任何抵押、质押、查封等产权瑕疵。</w:t>
      </w:r>
    </w:p>
    <w:p>
      <w:pPr>
        <w:snapToGrid w:val="0"/>
        <w:spacing w:line="400" w:lineRule="exact"/>
        <w:ind w:firstLine="482" w:firstLineChars="200"/>
        <w:outlineLvl w:val="0"/>
        <w:rPr>
          <w:rFonts w:hint="eastAsia" w:ascii="宋体" w:hAnsi="宋体"/>
          <w:b/>
          <w:color w:val="auto"/>
          <w:sz w:val="24"/>
        </w:rPr>
      </w:pPr>
      <w:bookmarkStart w:id="66" w:name="_Toc48212421"/>
      <w:r>
        <w:rPr>
          <w:rFonts w:hint="eastAsia" w:ascii="宋体" w:hAnsi="宋体"/>
          <w:b/>
          <w:color w:val="auto"/>
          <w:sz w:val="24"/>
        </w:rPr>
        <w:t>第四条　包装和运输</w:t>
      </w:r>
      <w:bookmarkEnd w:id="66"/>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1、乙方提供的货物均应按采购文件要求的包装材料、包装标准、包装方式进行包装，每一包装单元内应附详细的装箱单和质量合格证。</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2、货物的运输方式：</w:t>
      </w:r>
      <w:r>
        <w:rPr>
          <w:rFonts w:hint="eastAsia" w:ascii="宋体" w:hAnsi="宋体"/>
          <w:color w:val="auto"/>
          <w:sz w:val="24"/>
          <w:u w:val="single"/>
        </w:rPr>
        <w:t xml:space="preserve"> 乙方自定 </w:t>
      </w:r>
      <w:r>
        <w:rPr>
          <w:rFonts w:hint="eastAsia" w:ascii="宋体" w:hAnsi="宋体"/>
          <w:color w:val="auto"/>
          <w:sz w:val="24"/>
        </w:rPr>
        <w:t>。</w:t>
      </w:r>
    </w:p>
    <w:p>
      <w:pPr>
        <w:snapToGrid w:val="0"/>
        <w:spacing w:line="400" w:lineRule="exact"/>
        <w:ind w:firstLine="480" w:firstLineChars="200"/>
        <w:rPr>
          <w:rFonts w:hint="eastAsia" w:ascii="宋体" w:hAnsi="宋体"/>
          <w:color w:val="auto"/>
          <w:sz w:val="24"/>
          <w:u w:val="single"/>
        </w:rPr>
      </w:pPr>
      <w:r>
        <w:rPr>
          <w:rFonts w:hint="eastAsia" w:ascii="宋体" w:hAnsi="宋体"/>
          <w:color w:val="auto"/>
          <w:sz w:val="24"/>
        </w:rPr>
        <w:t>3、乙方负责货物运输，货物运输合理损耗及计算方法：</w:t>
      </w:r>
      <w:r>
        <w:rPr>
          <w:rFonts w:hint="eastAsia" w:ascii="宋体" w:hAnsi="宋体"/>
          <w:color w:val="auto"/>
          <w:sz w:val="24"/>
          <w:u w:val="single"/>
        </w:rPr>
        <w:t xml:space="preserve"> 无。</w:t>
      </w:r>
    </w:p>
    <w:p>
      <w:pPr>
        <w:snapToGrid w:val="0"/>
        <w:spacing w:line="400" w:lineRule="exact"/>
        <w:ind w:firstLine="482" w:firstLineChars="200"/>
        <w:outlineLvl w:val="0"/>
        <w:rPr>
          <w:rFonts w:hint="eastAsia" w:ascii="宋体" w:hAnsi="宋体"/>
          <w:color w:val="auto"/>
          <w:sz w:val="24"/>
        </w:rPr>
      </w:pPr>
      <w:bookmarkStart w:id="67" w:name="_Toc48212422"/>
      <w:r>
        <w:rPr>
          <w:rFonts w:hint="eastAsia" w:ascii="宋体" w:hAnsi="宋体"/>
          <w:b/>
          <w:color w:val="auto"/>
          <w:sz w:val="24"/>
        </w:rPr>
        <w:t>第五条　交付和验收</w:t>
      </w:r>
      <w:bookmarkEnd w:id="67"/>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1、交付使用期：</w:t>
      </w:r>
      <w:r>
        <w:rPr>
          <w:rFonts w:hint="eastAsia" w:ascii="宋体" w:hAnsi="宋体"/>
          <w:color w:val="auto"/>
          <w:sz w:val="24"/>
          <w:u w:val="single"/>
        </w:rPr>
        <w:t>自签订合同之日起</w:t>
      </w:r>
      <w:r>
        <w:rPr>
          <w:rFonts w:hint="eastAsia" w:ascii="宋体" w:hAnsi="宋体"/>
          <w:color w:val="auto"/>
          <w:sz w:val="24"/>
          <w:u w:val="single"/>
          <w:lang w:val="en-US" w:eastAsia="zh-CN"/>
        </w:rPr>
        <w:t>20</w:t>
      </w:r>
      <w:r>
        <w:rPr>
          <w:rFonts w:hint="eastAsia" w:ascii="宋体" w:hAnsi="宋体"/>
          <w:color w:val="auto"/>
          <w:sz w:val="24"/>
          <w:u w:val="single"/>
        </w:rPr>
        <w:t>个工作日内</w:t>
      </w:r>
      <w:r>
        <w:rPr>
          <w:rFonts w:hint="eastAsia" w:ascii="宋体" w:hAnsi="宋体"/>
          <w:color w:val="auto"/>
          <w:sz w:val="24"/>
        </w:rPr>
        <w:t>、地点：</w:t>
      </w:r>
      <w:r>
        <w:rPr>
          <w:rFonts w:hint="eastAsia" w:ascii="宋体" w:hAnsi="宋体"/>
          <w:color w:val="auto"/>
          <w:sz w:val="24"/>
          <w:u w:val="single"/>
        </w:rPr>
        <w:t>采购单位指定地点</w:t>
      </w:r>
      <w:r>
        <w:rPr>
          <w:rFonts w:hint="eastAsia" w:ascii="宋体" w:hAnsi="宋体"/>
          <w:color w:val="auto"/>
          <w:sz w:val="24"/>
        </w:rPr>
        <w:t>。</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2、乙方提供不符合竞标文件和本合同规定的货物，甲方有权拒绝接受。</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3、乙方应将所提供货物的装箱清单、用户手册、原厂保修卡、随机资料、工具和备品、备件等交付给甲方，如有缺失应及时补齐，否则视为逾期交货。</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4、甲方应当在到货（安装、调试完）后7个工作日内进行验收，逾期不验收的，乙方可视同验收合格。验收合格后由甲乙双方签署货物验收单并加盖采购单位公章，甲乙双方各执一份。</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6、甲方对验收有异议的，在验收后5个工作日内以书面形式向乙方提出，乙方应自收到甲方书面异议后</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日内及时予以解决。</w:t>
      </w:r>
    </w:p>
    <w:p>
      <w:pPr>
        <w:snapToGrid w:val="0"/>
        <w:spacing w:line="400" w:lineRule="exact"/>
        <w:ind w:firstLine="482" w:firstLineChars="200"/>
        <w:outlineLvl w:val="0"/>
        <w:rPr>
          <w:rFonts w:hint="eastAsia" w:ascii="宋体" w:hAnsi="宋体"/>
          <w:b/>
          <w:color w:val="auto"/>
          <w:sz w:val="24"/>
        </w:rPr>
      </w:pPr>
      <w:bookmarkStart w:id="68" w:name="_Toc48212423"/>
      <w:r>
        <w:rPr>
          <w:rFonts w:hint="eastAsia" w:ascii="宋体" w:hAnsi="宋体"/>
          <w:b/>
          <w:color w:val="auto"/>
          <w:sz w:val="24"/>
        </w:rPr>
        <w:t>第六条　安装和培训</w:t>
      </w:r>
      <w:bookmarkEnd w:id="68"/>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1、甲方应提供必要安装条件（如场地、电源、水源等）。</w:t>
      </w:r>
    </w:p>
    <w:p>
      <w:pPr>
        <w:snapToGrid w:val="0"/>
        <w:spacing w:line="400" w:lineRule="exact"/>
        <w:ind w:firstLine="480" w:firstLineChars="200"/>
        <w:rPr>
          <w:rFonts w:hint="eastAsia" w:ascii="宋体" w:hAnsi="宋体"/>
          <w:color w:val="auto"/>
          <w:sz w:val="24"/>
          <w:u w:val="single"/>
        </w:rPr>
      </w:pPr>
      <w:r>
        <w:rPr>
          <w:rFonts w:hint="eastAsia" w:ascii="宋体" w:hAnsi="宋体"/>
          <w:color w:val="auto"/>
          <w:sz w:val="24"/>
        </w:rPr>
        <w:t>2、乙方负责甲方有关人员的培训。培训时间、地点：</w:t>
      </w:r>
      <w:r>
        <w:rPr>
          <w:rFonts w:hint="eastAsia" w:ascii="宋体" w:hAnsi="宋体"/>
          <w:color w:val="auto"/>
          <w:sz w:val="24"/>
          <w:u w:val="none"/>
        </w:rPr>
        <w:t>。</w:t>
      </w:r>
    </w:p>
    <w:p>
      <w:pPr>
        <w:snapToGrid w:val="0"/>
        <w:spacing w:line="400" w:lineRule="exact"/>
        <w:ind w:firstLine="482" w:firstLineChars="200"/>
        <w:outlineLvl w:val="0"/>
        <w:rPr>
          <w:rFonts w:hint="eastAsia" w:ascii="宋体" w:hAnsi="宋体"/>
          <w:b/>
          <w:color w:val="auto"/>
          <w:sz w:val="24"/>
        </w:rPr>
      </w:pPr>
      <w:bookmarkStart w:id="69" w:name="_Toc48212424"/>
      <w:r>
        <w:rPr>
          <w:rFonts w:hint="eastAsia" w:ascii="宋体" w:hAnsi="宋体"/>
          <w:b/>
          <w:color w:val="auto"/>
          <w:sz w:val="24"/>
        </w:rPr>
        <w:t>第七条  售后服务、保修期</w:t>
      </w:r>
      <w:bookmarkEnd w:id="69"/>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1、乙方应按照国家有关法律法规和“三包”规定以及竞标文件和本合同所附的《服务承诺》，为甲方提供售后服务。</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货物保修期：质保期一年以上（如果厂家的质保期超过一年的，质保期按厂家要求执行），质保期内定期(不少于两次)对设备进行免费保养和维护（免费维修或更换配件）并出具维护报告，保修期内出现故障，需派出技术工程师到达现场处理故障，并承担一切费用，保修期外发生维修只收材料成本费；提供终身维护和保养服务。</w:t>
      </w:r>
    </w:p>
    <w:p>
      <w:pPr>
        <w:snapToGrid w:val="0"/>
        <w:spacing w:line="400" w:lineRule="exact"/>
        <w:ind w:firstLine="480" w:firstLineChars="200"/>
        <w:rPr>
          <w:rFonts w:hint="eastAsia" w:ascii="宋体" w:hAnsi="宋体"/>
          <w:color w:val="auto"/>
          <w:sz w:val="24"/>
          <w:u w:val="single"/>
        </w:rPr>
      </w:pPr>
      <w:r>
        <w:rPr>
          <w:rFonts w:hint="eastAsia" w:ascii="宋体" w:hAnsi="宋体"/>
          <w:color w:val="auto"/>
          <w:sz w:val="24"/>
        </w:rPr>
        <w:t>3、乙方提供的服务承诺和售后服务及保修期责任等其它具体约定事项。（见合同附件）</w:t>
      </w:r>
    </w:p>
    <w:p>
      <w:pPr>
        <w:snapToGrid w:val="0"/>
        <w:spacing w:line="400" w:lineRule="exact"/>
        <w:ind w:firstLine="482" w:firstLineChars="200"/>
        <w:outlineLvl w:val="0"/>
        <w:rPr>
          <w:rFonts w:hint="eastAsia" w:ascii="宋体" w:hAnsi="宋体"/>
          <w:color w:val="auto"/>
          <w:sz w:val="24"/>
        </w:rPr>
      </w:pPr>
      <w:bookmarkStart w:id="70" w:name="_Toc48212425"/>
      <w:r>
        <w:rPr>
          <w:rFonts w:hint="eastAsia" w:ascii="宋体" w:hAnsi="宋体"/>
          <w:b/>
          <w:color w:val="auto"/>
          <w:sz w:val="24"/>
        </w:rPr>
        <w:t>第八条　付款方式</w:t>
      </w:r>
      <w:bookmarkEnd w:id="70"/>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1、当采购数量与实际使用数量不一致时，乙方应根据实际使用量供货，合同的最终结算金额按实际使用量乘以成交单价进行计算。</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2、资金性质：</w:t>
      </w:r>
      <w:r>
        <w:rPr>
          <w:rFonts w:hint="eastAsia" w:ascii="宋体" w:hAnsi="宋体"/>
          <w:color w:val="auto"/>
          <w:sz w:val="24"/>
          <w:u w:val="single"/>
        </w:rPr>
        <w:t xml:space="preserve"> 财政资金</w:t>
      </w:r>
      <w:r>
        <w:rPr>
          <w:rFonts w:hint="eastAsia" w:ascii="宋体" w:hAnsi="宋体"/>
          <w:color w:val="auto"/>
          <w:sz w:val="24"/>
        </w:rPr>
        <w:t>。</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3、付款方式：</w:t>
      </w:r>
      <w:r>
        <w:rPr>
          <w:rFonts w:hint="eastAsia" w:ascii="宋体" w:hAnsi="宋体"/>
          <w:color w:val="auto"/>
          <w:sz w:val="24"/>
          <w:u w:val="single"/>
        </w:rPr>
        <w:t xml:space="preserve"> </w:t>
      </w:r>
      <w:r>
        <w:rPr>
          <w:rFonts w:hint="eastAsia" w:ascii="宋体" w:hAnsi="宋体"/>
          <w:color w:val="auto"/>
          <w:sz w:val="24"/>
          <w:u w:val="single"/>
          <w:lang w:val="en-US" w:eastAsia="zh-CN"/>
        </w:rPr>
        <w:t>采购的货物全部</w:t>
      </w:r>
      <w:r>
        <w:rPr>
          <w:rFonts w:hint="eastAsia" w:ascii="宋体" w:hAnsi="宋体"/>
          <w:color w:val="auto"/>
          <w:sz w:val="24"/>
          <w:u w:val="single"/>
        </w:rPr>
        <w:t>到货（安装、调试完）</w:t>
      </w:r>
      <w:r>
        <w:rPr>
          <w:rFonts w:hint="eastAsia" w:ascii="宋体" w:hAnsi="宋体"/>
          <w:color w:val="auto"/>
          <w:sz w:val="24"/>
          <w:u w:val="single"/>
          <w:lang w:val="en-US" w:eastAsia="zh-CN"/>
        </w:rPr>
        <w:t>并验收合格</w:t>
      </w:r>
      <w:r>
        <w:rPr>
          <w:rFonts w:hint="eastAsia" w:ascii="宋体" w:hAnsi="宋体"/>
          <w:color w:val="auto"/>
          <w:sz w:val="24"/>
          <w:u w:val="single"/>
        </w:rPr>
        <w:t>后</w:t>
      </w:r>
      <w:r>
        <w:rPr>
          <w:rFonts w:hint="eastAsia" w:ascii="宋体" w:hAnsi="宋体"/>
          <w:color w:val="auto"/>
          <w:sz w:val="24"/>
          <w:u w:val="single"/>
          <w:lang w:eastAsia="zh-CN"/>
        </w:rPr>
        <w:t>，</w:t>
      </w:r>
      <w:r>
        <w:rPr>
          <w:rFonts w:hint="eastAsia" w:ascii="宋体" w:hAnsi="宋体"/>
          <w:color w:val="auto"/>
          <w:sz w:val="24"/>
          <w:u w:val="single"/>
          <w:lang w:val="en-US" w:eastAsia="zh-CN"/>
        </w:rPr>
        <w:t>甲方支付给乙方货款至合同价的97%，预留合同价的3%作货物质量保证金，待一年质保期过后一次性返还（无息）</w:t>
      </w:r>
      <w:r>
        <w:rPr>
          <w:rFonts w:hint="eastAsia" w:ascii="宋体" w:hAnsi="宋体"/>
          <w:color w:val="auto"/>
          <w:sz w:val="24"/>
        </w:rPr>
        <w:t>。</w:t>
      </w:r>
    </w:p>
    <w:p>
      <w:pPr>
        <w:snapToGrid w:val="0"/>
        <w:spacing w:line="400" w:lineRule="exact"/>
        <w:ind w:firstLine="482" w:firstLineChars="200"/>
        <w:outlineLvl w:val="0"/>
        <w:rPr>
          <w:rFonts w:hint="eastAsia" w:ascii="宋体" w:hAnsi="宋体"/>
          <w:b/>
          <w:color w:val="auto"/>
          <w:sz w:val="24"/>
        </w:rPr>
      </w:pPr>
      <w:bookmarkStart w:id="71" w:name="_Toc48212426"/>
      <w:r>
        <w:rPr>
          <w:rFonts w:hint="eastAsia" w:ascii="宋体" w:hAnsi="宋体"/>
          <w:b/>
          <w:color w:val="auto"/>
          <w:sz w:val="24"/>
        </w:rPr>
        <w:t>第九条、税费本合同执行中相关的一切税费均由乙方负担。</w:t>
      </w:r>
      <w:bookmarkEnd w:id="71"/>
    </w:p>
    <w:p>
      <w:pPr>
        <w:snapToGrid w:val="0"/>
        <w:spacing w:line="400" w:lineRule="exact"/>
        <w:ind w:firstLine="482" w:firstLineChars="200"/>
        <w:outlineLvl w:val="0"/>
        <w:rPr>
          <w:rFonts w:hint="eastAsia" w:ascii="宋体" w:hAnsi="宋体"/>
          <w:b/>
          <w:color w:val="auto"/>
          <w:sz w:val="24"/>
        </w:rPr>
      </w:pPr>
      <w:bookmarkStart w:id="72" w:name="_Toc48212427"/>
      <w:r>
        <w:rPr>
          <w:rFonts w:hint="eastAsia" w:ascii="宋体" w:hAnsi="宋体"/>
          <w:b/>
          <w:color w:val="auto"/>
          <w:sz w:val="24"/>
        </w:rPr>
        <w:t>第十条、质量保证及售后服务</w:t>
      </w:r>
      <w:bookmarkEnd w:id="72"/>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1、乙方应按采购文件规定的货物性能、技术要求、质量标准向甲方提供未经使用的全新产品。要求者，根据实际情况，经双方协商，可按以下办法处理：</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⑴更换：由乙方承担所发生的全部费用。</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⑵贬值处理：由甲乙双方合议定价。</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⑶退货处理：乙方应退还甲方支付的合同款，同时应承担该货物的直接费用（运输、保险、检验、货款利息及银行手续费等）。</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2、如在使用过程中发生质量问题，乙方在接到甲方通知后在</w:t>
      </w:r>
      <w:r>
        <w:rPr>
          <w:rFonts w:hint="eastAsia" w:ascii="宋体" w:hAnsi="宋体"/>
          <w:color w:val="auto"/>
          <w:sz w:val="24"/>
          <w:lang w:val="en-US" w:eastAsia="zh-CN"/>
        </w:rPr>
        <w:t>48</w:t>
      </w:r>
      <w:r>
        <w:rPr>
          <w:rFonts w:hint="eastAsia" w:ascii="宋体" w:hAnsi="宋体"/>
          <w:color w:val="auto"/>
          <w:sz w:val="24"/>
        </w:rPr>
        <w:t>小时内到达甲方现场。</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3、在质保期内，乙方应对货物出现的质量及安全问题负责处理解决并承担一切费用。</w:t>
      </w:r>
    </w:p>
    <w:p>
      <w:pPr>
        <w:pStyle w:val="12"/>
        <w:snapToGrid w:val="0"/>
        <w:spacing w:before="120" w:after="120" w:line="400" w:lineRule="exact"/>
        <w:ind w:firstLine="472" w:firstLineChars="196"/>
        <w:outlineLvl w:val="0"/>
        <w:rPr>
          <w:rFonts w:hint="eastAsia" w:hAnsi="宋体"/>
          <w:b/>
          <w:color w:val="auto"/>
          <w:sz w:val="24"/>
          <w:szCs w:val="24"/>
        </w:rPr>
      </w:pPr>
      <w:bookmarkStart w:id="73" w:name="_Toc48212428"/>
      <w:r>
        <w:rPr>
          <w:rFonts w:hint="eastAsia" w:hAnsi="宋体"/>
          <w:b/>
          <w:color w:val="auto"/>
          <w:sz w:val="24"/>
          <w:szCs w:val="24"/>
        </w:rPr>
        <w:t>第十</w:t>
      </w:r>
      <w:r>
        <w:rPr>
          <w:rFonts w:hint="eastAsia" w:hAnsi="宋体"/>
          <w:b/>
          <w:color w:val="auto"/>
          <w:sz w:val="24"/>
          <w:szCs w:val="24"/>
          <w:lang w:eastAsia="zh-CN"/>
        </w:rPr>
        <w:t>一</w:t>
      </w:r>
      <w:r>
        <w:rPr>
          <w:rFonts w:hint="eastAsia" w:hAnsi="宋体"/>
          <w:b/>
          <w:color w:val="auto"/>
          <w:sz w:val="24"/>
          <w:szCs w:val="24"/>
        </w:rPr>
        <w:t>条、验收</w:t>
      </w:r>
      <w:bookmarkEnd w:id="73"/>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1、甲方对乙方提交的货物依据采购文件上的技术规格要求和国家有关质量标准进行现场初步验收，外观、说明书符合采购</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文件技术要求的，给予签收，初步验收不合格的不予签收。货到后，甲方应当在到货后7个工作日内进行验收。</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2、乙方交货前应对产品作出全面检查和对验收文件进行整理，并列出清单，作为甲方收货验收和使用的技术条件依据，检验的结果应随货物交甲方。</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3、对技术复杂的货物，甲方应请国家认可的专业检测机构参与初步验收及最终验收，并由其出具质量检测报告。</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4、验收时乙方必须在现场，验收完毕后作出验收结果报告；验收费用由乙方负责。</w:t>
      </w:r>
    </w:p>
    <w:p>
      <w:pPr>
        <w:pStyle w:val="12"/>
        <w:snapToGrid w:val="0"/>
        <w:spacing w:before="120" w:after="120" w:line="400" w:lineRule="exact"/>
        <w:ind w:firstLine="472" w:firstLineChars="196"/>
        <w:outlineLvl w:val="0"/>
        <w:rPr>
          <w:rFonts w:hint="eastAsia" w:hAnsi="宋体"/>
          <w:b/>
          <w:color w:val="auto"/>
          <w:sz w:val="24"/>
          <w:szCs w:val="24"/>
        </w:rPr>
      </w:pPr>
      <w:bookmarkStart w:id="74" w:name="_Toc48212429"/>
      <w:r>
        <w:rPr>
          <w:rFonts w:hint="eastAsia" w:hAnsi="宋体"/>
          <w:b/>
          <w:color w:val="auto"/>
          <w:sz w:val="24"/>
          <w:szCs w:val="24"/>
        </w:rPr>
        <w:t>第十</w:t>
      </w:r>
      <w:r>
        <w:rPr>
          <w:rFonts w:hint="eastAsia" w:hAnsi="宋体"/>
          <w:b/>
          <w:color w:val="auto"/>
          <w:sz w:val="24"/>
          <w:szCs w:val="24"/>
          <w:lang w:eastAsia="zh-CN"/>
        </w:rPr>
        <w:t>二</w:t>
      </w:r>
      <w:r>
        <w:rPr>
          <w:rFonts w:hint="eastAsia" w:hAnsi="宋体"/>
          <w:b/>
          <w:color w:val="auto"/>
          <w:sz w:val="24"/>
          <w:szCs w:val="24"/>
        </w:rPr>
        <w:t>条、货物包装、发运及运输</w:t>
      </w:r>
      <w:bookmarkEnd w:id="74"/>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1、乙方应在货物发运前对其进行满足运输距离、防潮、防震、防锈和防破损装卸等要求包装，以保证货物安全运达甲方指定地点。</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2、使用说明书、质量检验证明书、随配附件和工具以及清单一并附于货物内。</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3、乙方在货物发运手续办理完毕后24小时内或货到甲方48小时前通知甲方，以准备接货。</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4、货物在交付甲方前发生的风险均由乙方负责。</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5、货物在规定的交付期限内由乙方送达甲方指定的地点视为交付，乙方同时需通知甲方货物已送达。</w:t>
      </w:r>
    </w:p>
    <w:p>
      <w:pPr>
        <w:snapToGrid w:val="0"/>
        <w:spacing w:line="400" w:lineRule="exact"/>
        <w:ind w:firstLine="482" w:firstLineChars="200"/>
        <w:outlineLvl w:val="0"/>
        <w:rPr>
          <w:rFonts w:hint="eastAsia" w:ascii="宋体" w:hAnsi="宋体"/>
          <w:b/>
          <w:color w:val="auto"/>
          <w:sz w:val="24"/>
        </w:rPr>
      </w:pPr>
      <w:bookmarkStart w:id="75" w:name="_Toc48212430"/>
      <w:r>
        <w:rPr>
          <w:rFonts w:hint="eastAsia" w:ascii="宋体" w:hAnsi="宋体"/>
          <w:b/>
          <w:color w:val="auto"/>
          <w:sz w:val="24"/>
        </w:rPr>
        <w:t>第十三条　违约责任</w:t>
      </w:r>
      <w:bookmarkEnd w:id="75"/>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2、乙方提供的货物如侵犯了第三方合法权益而引发的任何纠纷或诉讼，均由乙方负责交涉并承担全部责任。</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3、因包装、运输引起的货物损坏，按质量不合格处罚。</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4、甲方无故延期接收货物、乙方逾期交货的，每天向对方偿付违约货款额3%违约金，但违约金累计不得超过违约货款额5%，超过</w:t>
      </w:r>
      <w:r>
        <w:rPr>
          <w:rFonts w:hint="eastAsia" w:ascii="宋体" w:hAnsi="宋体"/>
          <w:color w:val="auto"/>
          <w:sz w:val="24"/>
          <w:u w:val="single"/>
        </w:rPr>
        <w:t xml:space="preserve">   </w:t>
      </w:r>
      <w:r>
        <w:rPr>
          <w:rFonts w:hint="eastAsia" w:ascii="宋体" w:hAnsi="宋体"/>
          <w:color w:val="auto"/>
          <w:sz w:val="24"/>
        </w:rPr>
        <w:t>天对方有权解除合同，违约方承担因此给对方造成经济损失；甲方延期付货款的，每天向乙方偿付延期货款额3%滞纳金，但滞纳金累计不得超过延期货款额5%。</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5、乙方未按本合同和竞标文件中的服务承诺提供售后服务的，乙方应按本合同合计金额 5%向甲方支付违约金。</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6、其它违约行为按违约货款额5%收取违约金并赔偿经济损失。</w:t>
      </w:r>
    </w:p>
    <w:p>
      <w:pPr>
        <w:pStyle w:val="12"/>
        <w:snapToGrid w:val="0"/>
        <w:spacing w:before="120" w:after="120" w:line="400" w:lineRule="exact"/>
        <w:ind w:firstLine="472" w:firstLineChars="196"/>
        <w:outlineLvl w:val="0"/>
        <w:rPr>
          <w:rFonts w:hint="eastAsia" w:hAnsi="宋体"/>
          <w:b/>
          <w:color w:val="auto"/>
          <w:sz w:val="24"/>
          <w:szCs w:val="24"/>
        </w:rPr>
      </w:pPr>
      <w:bookmarkStart w:id="76" w:name="_Toc48212431"/>
      <w:r>
        <w:rPr>
          <w:rFonts w:hint="eastAsia" w:hAnsi="宋体"/>
          <w:b/>
          <w:color w:val="auto"/>
          <w:sz w:val="24"/>
          <w:szCs w:val="24"/>
        </w:rPr>
        <w:t>第十</w:t>
      </w:r>
      <w:r>
        <w:rPr>
          <w:rFonts w:hint="eastAsia" w:hAnsi="宋体"/>
          <w:b/>
          <w:color w:val="auto"/>
          <w:sz w:val="24"/>
          <w:szCs w:val="24"/>
          <w:lang w:eastAsia="zh-CN"/>
        </w:rPr>
        <w:t>四</w:t>
      </w:r>
      <w:r>
        <w:rPr>
          <w:rFonts w:hint="eastAsia" w:hAnsi="宋体"/>
          <w:b/>
          <w:color w:val="auto"/>
          <w:sz w:val="24"/>
          <w:szCs w:val="24"/>
        </w:rPr>
        <w:t>条、不可抗力事件处理</w:t>
      </w:r>
      <w:bookmarkEnd w:id="76"/>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1、在合同有效期内，任何一方因不可抗力事件导致不能履行合同，则合同履行期可延长，其延长期与不可抗力影响期相同。</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2、不可抗力事件发生后，应立即通知对方，并寄送有关权威机构出具的证明。</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3、不可抗力事件延续120天以上，双方应通过友好协商，确定是否继续履行合同。</w:t>
      </w:r>
    </w:p>
    <w:p>
      <w:pPr>
        <w:snapToGrid w:val="0"/>
        <w:spacing w:line="400" w:lineRule="exact"/>
        <w:ind w:firstLine="482" w:firstLineChars="200"/>
        <w:outlineLvl w:val="0"/>
        <w:rPr>
          <w:rFonts w:hint="eastAsia" w:ascii="宋体" w:hAnsi="宋体"/>
          <w:color w:val="auto"/>
          <w:sz w:val="24"/>
        </w:rPr>
      </w:pPr>
      <w:bookmarkStart w:id="77" w:name="_Toc48212432"/>
      <w:r>
        <w:rPr>
          <w:rFonts w:hint="eastAsia" w:ascii="宋体" w:hAnsi="宋体"/>
          <w:b/>
          <w:color w:val="auto"/>
          <w:sz w:val="24"/>
        </w:rPr>
        <w:t>第十五条  合同争议解决</w:t>
      </w:r>
      <w:bookmarkEnd w:id="77"/>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2、因履行本合同引起的或与本合同有关的争议，甲乙双方应首先通过友好协商解决，如果协商不能解决，可向仲裁委员会申请仲裁或向人民法院提起诉讼。</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3、诉讼期间，本合同继续履行。</w:t>
      </w:r>
    </w:p>
    <w:p>
      <w:pPr>
        <w:pStyle w:val="12"/>
        <w:snapToGrid w:val="0"/>
        <w:spacing w:before="120" w:after="120" w:line="400" w:lineRule="exact"/>
        <w:ind w:firstLine="472" w:firstLineChars="196"/>
        <w:outlineLvl w:val="0"/>
        <w:rPr>
          <w:rFonts w:hint="eastAsia" w:hAnsi="宋体"/>
          <w:b/>
          <w:color w:val="auto"/>
          <w:sz w:val="24"/>
          <w:szCs w:val="24"/>
        </w:rPr>
      </w:pPr>
      <w:bookmarkStart w:id="78" w:name="_Toc48212433"/>
      <w:r>
        <w:rPr>
          <w:rFonts w:hint="eastAsia" w:hAnsi="宋体"/>
          <w:b/>
          <w:color w:val="auto"/>
          <w:sz w:val="24"/>
          <w:szCs w:val="24"/>
        </w:rPr>
        <w:t>第十</w:t>
      </w:r>
      <w:r>
        <w:rPr>
          <w:rFonts w:hint="eastAsia" w:hAnsi="宋体"/>
          <w:b/>
          <w:color w:val="auto"/>
          <w:sz w:val="24"/>
          <w:szCs w:val="24"/>
          <w:lang w:eastAsia="zh-CN"/>
        </w:rPr>
        <w:t>六</w:t>
      </w:r>
      <w:r>
        <w:rPr>
          <w:rFonts w:hint="eastAsia" w:hAnsi="宋体"/>
          <w:b/>
          <w:color w:val="auto"/>
          <w:sz w:val="24"/>
          <w:szCs w:val="24"/>
        </w:rPr>
        <w:t>条、诉讼</w:t>
      </w:r>
      <w:bookmarkEnd w:id="78"/>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双方在执行合同中所发生的一切争议，应通过协商解决。如果协商不能解决，可向仲裁委员会申请仲裁或向人民法院提起诉讼。</w:t>
      </w:r>
    </w:p>
    <w:p>
      <w:pPr>
        <w:pStyle w:val="12"/>
        <w:snapToGrid w:val="0"/>
        <w:spacing w:before="120" w:after="120" w:line="400" w:lineRule="exact"/>
        <w:ind w:left="561" w:leftChars="267"/>
        <w:rPr>
          <w:rFonts w:hint="eastAsia" w:hAnsi="宋体"/>
          <w:b/>
          <w:color w:val="auto"/>
          <w:sz w:val="24"/>
          <w:szCs w:val="24"/>
        </w:rPr>
      </w:pPr>
      <w:r>
        <w:rPr>
          <w:rFonts w:hint="eastAsia" w:hAnsi="宋体"/>
          <w:vanish/>
          <w:color w:val="auto"/>
          <w:sz w:val="24"/>
          <w:szCs w:val="24"/>
        </w:rPr>
        <w:cr/>
      </w:r>
      <w:r>
        <w:rPr>
          <w:rFonts w:hint="eastAsia" w:hAnsi="宋体"/>
          <w:b/>
          <w:color w:val="auto"/>
          <w:sz w:val="24"/>
          <w:szCs w:val="24"/>
        </w:rPr>
        <w:t>第十</w:t>
      </w:r>
      <w:r>
        <w:rPr>
          <w:rFonts w:hint="eastAsia" w:hAnsi="宋体"/>
          <w:b/>
          <w:color w:val="auto"/>
          <w:sz w:val="24"/>
          <w:szCs w:val="24"/>
          <w:lang w:eastAsia="zh-CN"/>
        </w:rPr>
        <w:t>七</w:t>
      </w:r>
      <w:r>
        <w:rPr>
          <w:rFonts w:hint="eastAsia" w:hAnsi="宋体"/>
          <w:b/>
          <w:color w:val="auto"/>
          <w:sz w:val="24"/>
          <w:szCs w:val="24"/>
        </w:rPr>
        <w:t>条、合同生效及其它</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1、合同经双方法定代表人或授权代表签字并加盖单位公章后生效。</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2、合同执行中涉及采购资金和采购内容修改或补充的，须经财政部门审批，并签书面补充协议报财政部门备案，方可作为主合同不可分割的一部分。</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3、本合同未尽事宜，遵照《合同法》有关条文执行。</w:t>
      </w:r>
    </w:p>
    <w:p>
      <w:pPr>
        <w:snapToGrid w:val="0"/>
        <w:spacing w:line="400" w:lineRule="exact"/>
        <w:ind w:firstLine="482" w:firstLineChars="200"/>
        <w:outlineLvl w:val="0"/>
        <w:rPr>
          <w:rFonts w:hint="eastAsia" w:ascii="宋体" w:hAnsi="宋体"/>
          <w:b/>
          <w:color w:val="auto"/>
          <w:sz w:val="24"/>
        </w:rPr>
      </w:pPr>
      <w:bookmarkStart w:id="79" w:name="_Toc48212434"/>
      <w:r>
        <w:rPr>
          <w:rFonts w:hint="eastAsia" w:ascii="宋体" w:hAnsi="宋体"/>
          <w:b/>
          <w:color w:val="auto"/>
          <w:sz w:val="24"/>
        </w:rPr>
        <w:t>第十八条　合同的变更、终止与转让</w:t>
      </w:r>
      <w:bookmarkEnd w:id="79"/>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1、除《中华人民共和国政府采购法》第50条规定的情形外，本合同一经签订，甲乙双方不得擅自变更、中止或终止。</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2、乙方不得擅自转让（无进口资格的</w:t>
      </w:r>
      <w:r>
        <w:rPr>
          <w:rFonts w:hint="eastAsia" w:ascii="宋体" w:hAnsi="宋体"/>
          <w:color w:val="auto"/>
          <w:sz w:val="24"/>
          <w:lang w:eastAsia="zh-CN"/>
        </w:rPr>
        <w:t>竞标人</w:t>
      </w:r>
      <w:r>
        <w:rPr>
          <w:rFonts w:hint="eastAsia" w:ascii="宋体" w:hAnsi="宋体"/>
          <w:color w:val="auto"/>
          <w:sz w:val="24"/>
        </w:rPr>
        <w:t>委托进口货物除外）其应履行的合同义务。</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3、合同经双方法定代表人或授权代表签字并加盖单位公章后生效。</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4、合同执行中涉及采购资金和采购内容修改或补充的，须经财政部门审批，并签书面补充协议报财政部门备案，方可作为主合同不可分割的一部分。</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5、本合同未尽事宜，遵照《合同法》有关条文执行。</w:t>
      </w:r>
    </w:p>
    <w:p>
      <w:pPr>
        <w:snapToGrid w:val="0"/>
        <w:spacing w:line="400" w:lineRule="exact"/>
        <w:ind w:firstLine="482" w:firstLineChars="200"/>
        <w:outlineLvl w:val="0"/>
        <w:rPr>
          <w:rFonts w:hint="eastAsia" w:ascii="宋体" w:hAnsi="宋体"/>
          <w:b/>
          <w:color w:val="auto"/>
          <w:sz w:val="24"/>
        </w:rPr>
      </w:pPr>
      <w:bookmarkStart w:id="80" w:name="_Toc48212435"/>
      <w:r>
        <w:rPr>
          <w:rFonts w:hint="eastAsia" w:ascii="宋体" w:hAnsi="宋体"/>
          <w:b/>
          <w:color w:val="auto"/>
          <w:sz w:val="24"/>
        </w:rPr>
        <w:t>第十九条　签订本合同依据</w:t>
      </w:r>
      <w:bookmarkEnd w:id="80"/>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1、采购文件；2、乙方提供的竞标文件；3、竞标承诺书；4、成交或成交通知书。</w:t>
      </w:r>
    </w:p>
    <w:p>
      <w:pPr>
        <w:snapToGrid w:val="0"/>
        <w:spacing w:line="400" w:lineRule="exact"/>
        <w:ind w:firstLine="482" w:firstLineChars="200"/>
        <w:outlineLvl w:val="0"/>
        <w:rPr>
          <w:rFonts w:hint="eastAsia" w:ascii="宋体" w:hAnsi="宋体"/>
          <w:color w:val="auto"/>
          <w:sz w:val="24"/>
        </w:rPr>
      </w:pPr>
      <w:bookmarkStart w:id="81" w:name="_Toc48212436"/>
      <w:r>
        <w:rPr>
          <w:rFonts w:hint="eastAsia" w:ascii="宋体" w:hAnsi="宋体"/>
          <w:b/>
          <w:color w:val="auto"/>
          <w:sz w:val="24"/>
        </w:rPr>
        <w:t>第二十条　</w:t>
      </w:r>
      <w:r>
        <w:rPr>
          <w:rFonts w:hint="eastAsia" w:ascii="宋体" w:hAnsi="宋体"/>
          <w:color w:val="auto"/>
          <w:sz w:val="24"/>
        </w:rPr>
        <w:t>本合同一式六份，具有同等法律效力，财政部门（政府采购监管部门）、采购代理机构各一份，甲乙双方各二份（可根据需要另增加）。</w:t>
      </w:r>
      <w:bookmarkEnd w:id="81"/>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本合同甲乙双方签字盖章后生效，自签订之日起七个工作日内，采购人或采购代理机构应当将合同副本报同级财政部门备案。</w:t>
      </w:r>
    </w:p>
    <w:p>
      <w:pPr>
        <w:snapToGrid w:val="0"/>
        <w:spacing w:line="400" w:lineRule="exact"/>
        <w:ind w:firstLine="480" w:firstLineChars="200"/>
        <w:rPr>
          <w:rFonts w:hint="eastAsia" w:ascii="宋体" w:hAnsi="宋体"/>
          <w:color w:val="auto"/>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7"/>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4847"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 xml:space="preserve">甲方（章）           </w:t>
            </w:r>
          </w:p>
          <w:p>
            <w:pPr>
              <w:snapToGrid w:val="0"/>
              <w:spacing w:line="400" w:lineRule="exact"/>
              <w:ind w:firstLine="1080" w:firstLineChars="450"/>
              <w:jc w:val="right"/>
              <w:rPr>
                <w:rFonts w:hint="eastAsia" w:ascii="宋体" w:hAnsi="宋体"/>
                <w:color w:val="auto"/>
                <w:sz w:val="24"/>
              </w:rPr>
            </w:pPr>
            <w:r>
              <w:rPr>
                <w:rFonts w:hint="eastAsia" w:ascii="宋体" w:hAnsi="宋体"/>
                <w:color w:val="auto"/>
                <w:sz w:val="24"/>
              </w:rPr>
              <w:t>年   月   日</w:t>
            </w:r>
          </w:p>
        </w:tc>
        <w:tc>
          <w:tcPr>
            <w:tcW w:w="4848"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 xml:space="preserve">乙方（章）              </w:t>
            </w:r>
          </w:p>
          <w:p>
            <w:pPr>
              <w:snapToGrid w:val="0"/>
              <w:spacing w:line="400" w:lineRule="exact"/>
              <w:jc w:val="right"/>
              <w:rPr>
                <w:rFonts w:hint="eastAsia" w:ascii="宋体" w:hAnsi="宋体"/>
                <w:color w:val="auto"/>
                <w:sz w:val="24"/>
              </w:rPr>
            </w:pPr>
            <w:r>
              <w:rPr>
                <w:rFonts w:hint="eastAsia" w:ascii="宋体" w:hAnsi="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4847"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单位地址：</w:t>
            </w:r>
          </w:p>
        </w:tc>
        <w:tc>
          <w:tcPr>
            <w:tcW w:w="4848"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4847"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法定代表人：</w:t>
            </w:r>
          </w:p>
        </w:tc>
        <w:tc>
          <w:tcPr>
            <w:tcW w:w="4848"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47"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委托代理人：</w:t>
            </w:r>
          </w:p>
        </w:tc>
        <w:tc>
          <w:tcPr>
            <w:tcW w:w="4848"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4847"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电话：</w:t>
            </w:r>
          </w:p>
        </w:tc>
        <w:tc>
          <w:tcPr>
            <w:tcW w:w="4848"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847"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电子邮箱：</w:t>
            </w:r>
          </w:p>
        </w:tc>
        <w:tc>
          <w:tcPr>
            <w:tcW w:w="4848"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4847"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开户银行：</w:t>
            </w:r>
          </w:p>
        </w:tc>
        <w:tc>
          <w:tcPr>
            <w:tcW w:w="4848"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847"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账号：</w:t>
            </w:r>
          </w:p>
        </w:tc>
        <w:tc>
          <w:tcPr>
            <w:tcW w:w="4848"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847"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邮政编码：</w:t>
            </w:r>
          </w:p>
        </w:tc>
        <w:tc>
          <w:tcPr>
            <w:tcW w:w="4848"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9695" w:type="dxa"/>
            <w:gridSpan w:val="2"/>
            <w:noWrap w:val="0"/>
            <w:vAlign w:val="top"/>
          </w:tcPr>
          <w:p>
            <w:pPr>
              <w:snapToGrid w:val="0"/>
              <w:spacing w:line="400" w:lineRule="exact"/>
              <w:rPr>
                <w:rFonts w:hint="eastAsia" w:ascii="宋体" w:hAnsi="宋体"/>
                <w:color w:val="auto"/>
                <w:sz w:val="24"/>
              </w:rPr>
            </w:pPr>
            <w:r>
              <w:rPr>
                <w:rFonts w:hint="eastAsia" w:ascii="宋体" w:hAnsi="宋体"/>
                <w:color w:val="auto"/>
                <w:sz w:val="24"/>
              </w:rPr>
              <w:t>经办人：</w:t>
            </w:r>
          </w:p>
          <w:p>
            <w:pPr>
              <w:snapToGrid w:val="0"/>
              <w:spacing w:line="400" w:lineRule="exact"/>
              <w:ind w:firstLine="720" w:firstLineChars="300"/>
              <w:jc w:val="right"/>
              <w:rPr>
                <w:rFonts w:hint="eastAsia" w:ascii="宋体" w:hAnsi="宋体"/>
                <w:color w:val="auto"/>
                <w:sz w:val="24"/>
              </w:rPr>
            </w:pPr>
            <w:r>
              <w:rPr>
                <w:rFonts w:hint="eastAsia" w:ascii="宋体" w:hAnsi="宋体"/>
                <w:color w:val="auto"/>
                <w:sz w:val="24"/>
              </w:rPr>
              <w:t>年    月    日</w:t>
            </w:r>
          </w:p>
        </w:tc>
      </w:tr>
    </w:tbl>
    <w:p>
      <w:pPr>
        <w:snapToGrid w:val="0"/>
        <w:ind w:left="420" w:hanging="420" w:hangingChars="200"/>
        <w:rPr>
          <w:rFonts w:hint="eastAsia" w:ascii="宋体" w:hAnsi="宋体"/>
          <w:color w:val="auto"/>
          <w:szCs w:val="21"/>
        </w:rPr>
      </w:pPr>
    </w:p>
    <w:p>
      <w:pPr>
        <w:snapToGrid w:val="0"/>
        <w:spacing w:line="360" w:lineRule="auto"/>
        <w:jc w:val="center"/>
        <w:rPr>
          <w:rFonts w:hint="eastAsia" w:ascii="宋体" w:hAnsi="宋体"/>
          <w:b/>
          <w:color w:val="auto"/>
          <w:sz w:val="32"/>
          <w:szCs w:val="32"/>
        </w:rPr>
      </w:pPr>
    </w:p>
    <w:p>
      <w:pPr>
        <w:pStyle w:val="66"/>
        <w:rPr>
          <w:rFonts w:hint="eastAsia" w:ascii="宋体" w:hAnsi="宋体"/>
          <w:b/>
          <w:color w:val="auto"/>
          <w:sz w:val="32"/>
          <w:szCs w:val="32"/>
        </w:rPr>
      </w:pPr>
    </w:p>
    <w:p>
      <w:pPr>
        <w:pStyle w:val="66"/>
        <w:rPr>
          <w:rFonts w:hint="eastAsia" w:ascii="宋体" w:hAnsi="宋体"/>
          <w:b/>
          <w:color w:val="auto"/>
          <w:sz w:val="32"/>
          <w:szCs w:val="32"/>
        </w:rPr>
      </w:pPr>
    </w:p>
    <w:p>
      <w:pPr>
        <w:spacing w:line="300" w:lineRule="auto"/>
      </w:pPr>
    </w:p>
    <w:sectPr>
      <w:footerReference r:id="rId4" w:type="first"/>
      <w:footerReference r:id="rId3" w:type="default"/>
      <w:pgSz w:w="11906" w:h="16838"/>
      <w:pgMar w:top="1134" w:right="1286" w:bottom="1134" w:left="1080" w:header="720" w:footer="720" w:gutter="0"/>
      <w:pgBorders>
        <w:top w:val="none" w:sz="0" w:space="0"/>
        <w:left w:val="none" w:sz="0" w:space="0"/>
        <w:bottom w:val="none" w:sz="0" w:space="0"/>
        <w:right w:val="none" w:sz="0" w:space="0"/>
      </w:pgBorders>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7"/>
                            </w:rPr>
                          </w:pPr>
                          <w:r>
                            <w:fldChar w:fldCharType="begin"/>
                          </w:r>
                          <w:r>
                            <w:rPr>
                              <w:rStyle w:val="27"/>
                            </w:rPr>
                            <w:instrText xml:space="preserve">PAGE  </w:instrText>
                          </w:r>
                          <w:r>
                            <w:fldChar w:fldCharType="separate"/>
                          </w:r>
                          <w:r>
                            <w:rPr>
                              <w:rStyle w:val="27"/>
                            </w:rPr>
                            <w:t>23</w:t>
                          </w:r>
                          <w:r>
                            <w:fldChar w:fldCharType="end"/>
                          </w: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6"/>
                      <w:rPr>
                        <w:rStyle w:val="27"/>
                      </w:rPr>
                    </w:pPr>
                    <w:r>
                      <w:fldChar w:fldCharType="begin"/>
                    </w:r>
                    <w:r>
                      <w:rPr>
                        <w:rStyle w:val="27"/>
                      </w:rPr>
                      <w:instrText xml:space="preserve">PAGE  </w:instrText>
                    </w:r>
                    <w:r>
                      <w:fldChar w:fldCharType="separate"/>
                    </w:r>
                    <w:r>
                      <w:rPr>
                        <w:rStyle w:val="27"/>
                      </w:rPr>
                      <w:t>23</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2C692"/>
    <w:multiLevelType w:val="singleLevel"/>
    <w:tmpl w:val="B3E2C692"/>
    <w:lvl w:ilvl="0" w:tentative="0">
      <w:start w:val="1"/>
      <w:numFmt w:val="decimal"/>
      <w:suff w:val="nothing"/>
      <w:lvlText w:val="%1、"/>
      <w:lvlJc w:val="left"/>
    </w:lvl>
  </w:abstractNum>
  <w:abstractNum w:abstractNumId="1">
    <w:nsid w:val="2D1D6AF0"/>
    <w:multiLevelType w:val="multilevel"/>
    <w:tmpl w:val="2D1D6AF0"/>
    <w:lvl w:ilvl="0" w:tentative="0">
      <w:start w:val="1"/>
      <w:numFmt w:val="japaneseCounting"/>
      <w:lvlText w:val="第%1章"/>
      <w:lvlJc w:val="left"/>
      <w:pPr>
        <w:ind w:left="2160" w:hanging="108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2">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0B"/>
    <w:rsid w:val="00000F77"/>
    <w:rsid w:val="00004084"/>
    <w:rsid w:val="00010DC8"/>
    <w:rsid w:val="000206F8"/>
    <w:rsid w:val="00026D03"/>
    <w:rsid w:val="0004117B"/>
    <w:rsid w:val="0006431C"/>
    <w:rsid w:val="00065458"/>
    <w:rsid w:val="00067FB8"/>
    <w:rsid w:val="00077F9A"/>
    <w:rsid w:val="00086079"/>
    <w:rsid w:val="00086D0B"/>
    <w:rsid w:val="000872D1"/>
    <w:rsid w:val="00090C2A"/>
    <w:rsid w:val="00093E5C"/>
    <w:rsid w:val="000968FF"/>
    <w:rsid w:val="000A3E67"/>
    <w:rsid w:val="000A5DBF"/>
    <w:rsid w:val="000B237B"/>
    <w:rsid w:val="000B4E61"/>
    <w:rsid w:val="000C10F8"/>
    <w:rsid w:val="000E0E0A"/>
    <w:rsid w:val="000F1413"/>
    <w:rsid w:val="000F447E"/>
    <w:rsid w:val="00113D9A"/>
    <w:rsid w:val="00117E23"/>
    <w:rsid w:val="0012352D"/>
    <w:rsid w:val="00134EB7"/>
    <w:rsid w:val="00136CEE"/>
    <w:rsid w:val="00137920"/>
    <w:rsid w:val="001419BD"/>
    <w:rsid w:val="001441E4"/>
    <w:rsid w:val="00153B77"/>
    <w:rsid w:val="00155FF3"/>
    <w:rsid w:val="00157138"/>
    <w:rsid w:val="0018087A"/>
    <w:rsid w:val="001917F6"/>
    <w:rsid w:val="00196FAA"/>
    <w:rsid w:val="00197085"/>
    <w:rsid w:val="001B05A2"/>
    <w:rsid w:val="001B447C"/>
    <w:rsid w:val="001B5599"/>
    <w:rsid w:val="001C330B"/>
    <w:rsid w:val="001C61C5"/>
    <w:rsid w:val="001D297A"/>
    <w:rsid w:val="001E1761"/>
    <w:rsid w:val="001E4F17"/>
    <w:rsid w:val="001E70CA"/>
    <w:rsid w:val="001F1F90"/>
    <w:rsid w:val="001F60D7"/>
    <w:rsid w:val="001F7631"/>
    <w:rsid w:val="002026D4"/>
    <w:rsid w:val="00210427"/>
    <w:rsid w:val="00222F60"/>
    <w:rsid w:val="002257D4"/>
    <w:rsid w:val="00232B13"/>
    <w:rsid w:val="00235BD6"/>
    <w:rsid w:val="0024145A"/>
    <w:rsid w:val="00245021"/>
    <w:rsid w:val="00250D27"/>
    <w:rsid w:val="0026379B"/>
    <w:rsid w:val="00270439"/>
    <w:rsid w:val="002704A4"/>
    <w:rsid w:val="00283A4F"/>
    <w:rsid w:val="002A4B1F"/>
    <w:rsid w:val="002A6EAE"/>
    <w:rsid w:val="002B1C55"/>
    <w:rsid w:val="002B5466"/>
    <w:rsid w:val="002C1FD2"/>
    <w:rsid w:val="002C21C7"/>
    <w:rsid w:val="002C22B9"/>
    <w:rsid w:val="002C728B"/>
    <w:rsid w:val="002C7640"/>
    <w:rsid w:val="002E0B2B"/>
    <w:rsid w:val="00302423"/>
    <w:rsid w:val="0031211B"/>
    <w:rsid w:val="003231EE"/>
    <w:rsid w:val="003261CF"/>
    <w:rsid w:val="00327687"/>
    <w:rsid w:val="00331A06"/>
    <w:rsid w:val="00332CD9"/>
    <w:rsid w:val="00342C99"/>
    <w:rsid w:val="00342E74"/>
    <w:rsid w:val="0034490E"/>
    <w:rsid w:val="00346A37"/>
    <w:rsid w:val="003547EA"/>
    <w:rsid w:val="00364B23"/>
    <w:rsid w:val="00370C5F"/>
    <w:rsid w:val="0037564C"/>
    <w:rsid w:val="003843F7"/>
    <w:rsid w:val="0039465C"/>
    <w:rsid w:val="003B2598"/>
    <w:rsid w:val="003B2672"/>
    <w:rsid w:val="003D5D89"/>
    <w:rsid w:val="003E097A"/>
    <w:rsid w:val="003E29D0"/>
    <w:rsid w:val="003F6023"/>
    <w:rsid w:val="00401166"/>
    <w:rsid w:val="00404910"/>
    <w:rsid w:val="00420610"/>
    <w:rsid w:val="00425439"/>
    <w:rsid w:val="00427DE0"/>
    <w:rsid w:val="004320EF"/>
    <w:rsid w:val="00442CE7"/>
    <w:rsid w:val="0045003D"/>
    <w:rsid w:val="004534BE"/>
    <w:rsid w:val="00460AF9"/>
    <w:rsid w:val="00462C6B"/>
    <w:rsid w:val="0046315D"/>
    <w:rsid w:val="00467136"/>
    <w:rsid w:val="004773BE"/>
    <w:rsid w:val="00480088"/>
    <w:rsid w:val="0048327F"/>
    <w:rsid w:val="004900C3"/>
    <w:rsid w:val="004A1966"/>
    <w:rsid w:val="004A249A"/>
    <w:rsid w:val="004A2D47"/>
    <w:rsid w:val="004A5318"/>
    <w:rsid w:val="004C39E4"/>
    <w:rsid w:val="004C4677"/>
    <w:rsid w:val="004D379B"/>
    <w:rsid w:val="004D7903"/>
    <w:rsid w:val="004E1C31"/>
    <w:rsid w:val="004E2118"/>
    <w:rsid w:val="004E3346"/>
    <w:rsid w:val="004E7A6C"/>
    <w:rsid w:val="004F4A0E"/>
    <w:rsid w:val="004F507B"/>
    <w:rsid w:val="00504C6C"/>
    <w:rsid w:val="005111CF"/>
    <w:rsid w:val="00514936"/>
    <w:rsid w:val="005158B9"/>
    <w:rsid w:val="00531D3E"/>
    <w:rsid w:val="00534967"/>
    <w:rsid w:val="00541945"/>
    <w:rsid w:val="00547915"/>
    <w:rsid w:val="00572D80"/>
    <w:rsid w:val="00577DFB"/>
    <w:rsid w:val="00583B48"/>
    <w:rsid w:val="00591A91"/>
    <w:rsid w:val="00597909"/>
    <w:rsid w:val="005A1780"/>
    <w:rsid w:val="005A34CE"/>
    <w:rsid w:val="005B3827"/>
    <w:rsid w:val="005C538B"/>
    <w:rsid w:val="005D52A7"/>
    <w:rsid w:val="005D7638"/>
    <w:rsid w:val="005D7CF1"/>
    <w:rsid w:val="005E675E"/>
    <w:rsid w:val="005E6B86"/>
    <w:rsid w:val="005E732A"/>
    <w:rsid w:val="005E7C3C"/>
    <w:rsid w:val="005F2292"/>
    <w:rsid w:val="005F2557"/>
    <w:rsid w:val="005F3F96"/>
    <w:rsid w:val="00621278"/>
    <w:rsid w:val="00621EAA"/>
    <w:rsid w:val="006253C8"/>
    <w:rsid w:val="00630440"/>
    <w:rsid w:val="00633CFF"/>
    <w:rsid w:val="00635FB3"/>
    <w:rsid w:val="0064215F"/>
    <w:rsid w:val="00650A7D"/>
    <w:rsid w:val="00652436"/>
    <w:rsid w:val="00667A13"/>
    <w:rsid w:val="006736C8"/>
    <w:rsid w:val="006736F3"/>
    <w:rsid w:val="006832B1"/>
    <w:rsid w:val="00684698"/>
    <w:rsid w:val="006A758B"/>
    <w:rsid w:val="006B4A2C"/>
    <w:rsid w:val="006C5BC4"/>
    <w:rsid w:val="006C7FD3"/>
    <w:rsid w:val="006D721E"/>
    <w:rsid w:val="006E2DE3"/>
    <w:rsid w:val="006E370B"/>
    <w:rsid w:val="006E3F54"/>
    <w:rsid w:val="006E7FD4"/>
    <w:rsid w:val="006F48E6"/>
    <w:rsid w:val="00704218"/>
    <w:rsid w:val="00705753"/>
    <w:rsid w:val="00705B8C"/>
    <w:rsid w:val="0071065B"/>
    <w:rsid w:val="00710D20"/>
    <w:rsid w:val="00721D53"/>
    <w:rsid w:val="007252CF"/>
    <w:rsid w:val="00732FFF"/>
    <w:rsid w:val="00737CE9"/>
    <w:rsid w:val="00742BC0"/>
    <w:rsid w:val="00746898"/>
    <w:rsid w:val="00750BE4"/>
    <w:rsid w:val="00750F8E"/>
    <w:rsid w:val="00751B96"/>
    <w:rsid w:val="00757485"/>
    <w:rsid w:val="007639BE"/>
    <w:rsid w:val="00765861"/>
    <w:rsid w:val="00767FEB"/>
    <w:rsid w:val="00774C1F"/>
    <w:rsid w:val="00777164"/>
    <w:rsid w:val="00795151"/>
    <w:rsid w:val="007A1B04"/>
    <w:rsid w:val="007A28FF"/>
    <w:rsid w:val="007A5181"/>
    <w:rsid w:val="007A560A"/>
    <w:rsid w:val="007A5ECF"/>
    <w:rsid w:val="007A72EF"/>
    <w:rsid w:val="007B2534"/>
    <w:rsid w:val="007C0977"/>
    <w:rsid w:val="007E51A1"/>
    <w:rsid w:val="007F40DC"/>
    <w:rsid w:val="00800DDC"/>
    <w:rsid w:val="008147ED"/>
    <w:rsid w:val="008176EC"/>
    <w:rsid w:val="0082688A"/>
    <w:rsid w:val="008361D8"/>
    <w:rsid w:val="008415B2"/>
    <w:rsid w:val="0084471C"/>
    <w:rsid w:val="008573E3"/>
    <w:rsid w:val="008605FF"/>
    <w:rsid w:val="00866DE7"/>
    <w:rsid w:val="00867349"/>
    <w:rsid w:val="00867EFE"/>
    <w:rsid w:val="008705AA"/>
    <w:rsid w:val="008760F8"/>
    <w:rsid w:val="00884CDA"/>
    <w:rsid w:val="008866A1"/>
    <w:rsid w:val="00893730"/>
    <w:rsid w:val="00894DC9"/>
    <w:rsid w:val="008A068B"/>
    <w:rsid w:val="008B512B"/>
    <w:rsid w:val="008B576B"/>
    <w:rsid w:val="008C3AE7"/>
    <w:rsid w:val="008C66FC"/>
    <w:rsid w:val="008C7376"/>
    <w:rsid w:val="008F4A5D"/>
    <w:rsid w:val="008F4ADE"/>
    <w:rsid w:val="008F6A2D"/>
    <w:rsid w:val="00902D37"/>
    <w:rsid w:val="00933B61"/>
    <w:rsid w:val="00935C68"/>
    <w:rsid w:val="00951EDD"/>
    <w:rsid w:val="00952554"/>
    <w:rsid w:val="0095274A"/>
    <w:rsid w:val="0096120B"/>
    <w:rsid w:val="00971757"/>
    <w:rsid w:val="00971B0D"/>
    <w:rsid w:val="0097554B"/>
    <w:rsid w:val="00977525"/>
    <w:rsid w:val="00980420"/>
    <w:rsid w:val="00980C17"/>
    <w:rsid w:val="00990B7A"/>
    <w:rsid w:val="00995BB7"/>
    <w:rsid w:val="009C40B5"/>
    <w:rsid w:val="009C7A9D"/>
    <w:rsid w:val="009D067E"/>
    <w:rsid w:val="009D22A0"/>
    <w:rsid w:val="009D35A2"/>
    <w:rsid w:val="009D63F7"/>
    <w:rsid w:val="009D6FE6"/>
    <w:rsid w:val="009E015A"/>
    <w:rsid w:val="009E4E5E"/>
    <w:rsid w:val="009E5AC9"/>
    <w:rsid w:val="009E5F64"/>
    <w:rsid w:val="009E7988"/>
    <w:rsid w:val="009F350F"/>
    <w:rsid w:val="009F6852"/>
    <w:rsid w:val="00A0761C"/>
    <w:rsid w:val="00A13C9E"/>
    <w:rsid w:val="00A26505"/>
    <w:rsid w:val="00A31509"/>
    <w:rsid w:val="00A3725A"/>
    <w:rsid w:val="00A7777A"/>
    <w:rsid w:val="00A77F0E"/>
    <w:rsid w:val="00A8140C"/>
    <w:rsid w:val="00A839F8"/>
    <w:rsid w:val="00A856B7"/>
    <w:rsid w:val="00A86765"/>
    <w:rsid w:val="00A8750F"/>
    <w:rsid w:val="00A94D39"/>
    <w:rsid w:val="00AA560C"/>
    <w:rsid w:val="00AB03B1"/>
    <w:rsid w:val="00AB12C3"/>
    <w:rsid w:val="00AB2D4F"/>
    <w:rsid w:val="00AC02AC"/>
    <w:rsid w:val="00AC14EF"/>
    <w:rsid w:val="00AC44BC"/>
    <w:rsid w:val="00AC4B4F"/>
    <w:rsid w:val="00AC67F5"/>
    <w:rsid w:val="00AD05A1"/>
    <w:rsid w:val="00AD312E"/>
    <w:rsid w:val="00AD4532"/>
    <w:rsid w:val="00AE0164"/>
    <w:rsid w:val="00AE2F77"/>
    <w:rsid w:val="00AE5AF5"/>
    <w:rsid w:val="00AE759B"/>
    <w:rsid w:val="00AF6932"/>
    <w:rsid w:val="00B0627F"/>
    <w:rsid w:val="00B13021"/>
    <w:rsid w:val="00B26CD6"/>
    <w:rsid w:val="00B316D3"/>
    <w:rsid w:val="00B41958"/>
    <w:rsid w:val="00B523AC"/>
    <w:rsid w:val="00B528D8"/>
    <w:rsid w:val="00B559B0"/>
    <w:rsid w:val="00B61A71"/>
    <w:rsid w:val="00B716AE"/>
    <w:rsid w:val="00B8250B"/>
    <w:rsid w:val="00B92BAD"/>
    <w:rsid w:val="00B97A1D"/>
    <w:rsid w:val="00BA3BB8"/>
    <w:rsid w:val="00BB0926"/>
    <w:rsid w:val="00BB2FAA"/>
    <w:rsid w:val="00BB47F0"/>
    <w:rsid w:val="00BB4A4D"/>
    <w:rsid w:val="00BC2B17"/>
    <w:rsid w:val="00BE6EA7"/>
    <w:rsid w:val="00C00516"/>
    <w:rsid w:val="00C0704C"/>
    <w:rsid w:val="00C0733D"/>
    <w:rsid w:val="00C07CB2"/>
    <w:rsid w:val="00C21169"/>
    <w:rsid w:val="00C25BE1"/>
    <w:rsid w:val="00C270FB"/>
    <w:rsid w:val="00C42810"/>
    <w:rsid w:val="00C4623F"/>
    <w:rsid w:val="00C46E84"/>
    <w:rsid w:val="00C4793E"/>
    <w:rsid w:val="00C50205"/>
    <w:rsid w:val="00C50A2F"/>
    <w:rsid w:val="00C523A8"/>
    <w:rsid w:val="00C53C0F"/>
    <w:rsid w:val="00C6387B"/>
    <w:rsid w:val="00C71837"/>
    <w:rsid w:val="00C71A20"/>
    <w:rsid w:val="00C7334F"/>
    <w:rsid w:val="00C75357"/>
    <w:rsid w:val="00C76884"/>
    <w:rsid w:val="00C7774D"/>
    <w:rsid w:val="00C92DCC"/>
    <w:rsid w:val="00C94C9C"/>
    <w:rsid w:val="00CA016B"/>
    <w:rsid w:val="00CA3312"/>
    <w:rsid w:val="00CA4B7E"/>
    <w:rsid w:val="00CA62AE"/>
    <w:rsid w:val="00CA7847"/>
    <w:rsid w:val="00CA7B4A"/>
    <w:rsid w:val="00CB00EE"/>
    <w:rsid w:val="00CC2E0F"/>
    <w:rsid w:val="00CC3DF9"/>
    <w:rsid w:val="00CC40F7"/>
    <w:rsid w:val="00CD366D"/>
    <w:rsid w:val="00CE5197"/>
    <w:rsid w:val="00CE5862"/>
    <w:rsid w:val="00CE5A71"/>
    <w:rsid w:val="00CF3218"/>
    <w:rsid w:val="00CF34C4"/>
    <w:rsid w:val="00CF514F"/>
    <w:rsid w:val="00CF619E"/>
    <w:rsid w:val="00D14C7B"/>
    <w:rsid w:val="00D20F6D"/>
    <w:rsid w:val="00D214C5"/>
    <w:rsid w:val="00D2291E"/>
    <w:rsid w:val="00D345C6"/>
    <w:rsid w:val="00D3481D"/>
    <w:rsid w:val="00D37115"/>
    <w:rsid w:val="00D6296A"/>
    <w:rsid w:val="00D62D62"/>
    <w:rsid w:val="00D6384E"/>
    <w:rsid w:val="00D63F1E"/>
    <w:rsid w:val="00D67696"/>
    <w:rsid w:val="00D74597"/>
    <w:rsid w:val="00D772B9"/>
    <w:rsid w:val="00D915A5"/>
    <w:rsid w:val="00D96B13"/>
    <w:rsid w:val="00D97141"/>
    <w:rsid w:val="00DA221F"/>
    <w:rsid w:val="00DB658E"/>
    <w:rsid w:val="00DC17FC"/>
    <w:rsid w:val="00DC5F38"/>
    <w:rsid w:val="00DD4D5D"/>
    <w:rsid w:val="00DE0071"/>
    <w:rsid w:val="00DF109E"/>
    <w:rsid w:val="00DF3536"/>
    <w:rsid w:val="00E01E74"/>
    <w:rsid w:val="00E04C38"/>
    <w:rsid w:val="00E0562B"/>
    <w:rsid w:val="00E05D95"/>
    <w:rsid w:val="00E2079C"/>
    <w:rsid w:val="00E256C1"/>
    <w:rsid w:val="00E30C26"/>
    <w:rsid w:val="00E3225D"/>
    <w:rsid w:val="00E33925"/>
    <w:rsid w:val="00E439B7"/>
    <w:rsid w:val="00E65363"/>
    <w:rsid w:val="00E70F83"/>
    <w:rsid w:val="00E87069"/>
    <w:rsid w:val="00E87B52"/>
    <w:rsid w:val="00EA12CE"/>
    <w:rsid w:val="00EA69A7"/>
    <w:rsid w:val="00EA7CBE"/>
    <w:rsid w:val="00EB0389"/>
    <w:rsid w:val="00EB37F6"/>
    <w:rsid w:val="00EB3F86"/>
    <w:rsid w:val="00EB4ED6"/>
    <w:rsid w:val="00EC6640"/>
    <w:rsid w:val="00EC764C"/>
    <w:rsid w:val="00ED06EC"/>
    <w:rsid w:val="00ED0934"/>
    <w:rsid w:val="00ED0D82"/>
    <w:rsid w:val="00ED1A7F"/>
    <w:rsid w:val="00ED71B9"/>
    <w:rsid w:val="00EE78A8"/>
    <w:rsid w:val="00EF0986"/>
    <w:rsid w:val="00F10532"/>
    <w:rsid w:val="00F12780"/>
    <w:rsid w:val="00F140B1"/>
    <w:rsid w:val="00F151D4"/>
    <w:rsid w:val="00F22D69"/>
    <w:rsid w:val="00F25072"/>
    <w:rsid w:val="00F3155F"/>
    <w:rsid w:val="00F34DBE"/>
    <w:rsid w:val="00F364C4"/>
    <w:rsid w:val="00F55D26"/>
    <w:rsid w:val="00F73CFE"/>
    <w:rsid w:val="00F7411F"/>
    <w:rsid w:val="00F74FCC"/>
    <w:rsid w:val="00F76E4B"/>
    <w:rsid w:val="00F77550"/>
    <w:rsid w:val="00F8034E"/>
    <w:rsid w:val="00F8367B"/>
    <w:rsid w:val="00F85CE8"/>
    <w:rsid w:val="00F85E82"/>
    <w:rsid w:val="00FA44D6"/>
    <w:rsid w:val="00FB4FB6"/>
    <w:rsid w:val="00FD1A81"/>
    <w:rsid w:val="00FD27DD"/>
    <w:rsid w:val="00FE0E35"/>
    <w:rsid w:val="00FE2CF7"/>
    <w:rsid w:val="00FE3684"/>
    <w:rsid w:val="00FE6C41"/>
    <w:rsid w:val="00FF0AA1"/>
    <w:rsid w:val="00FF0E9A"/>
    <w:rsid w:val="00FF0F16"/>
    <w:rsid w:val="00FF1931"/>
    <w:rsid w:val="00FF5768"/>
    <w:rsid w:val="012C741F"/>
    <w:rsid w:val="03151119"/>
    <w:rsid w:val="039C1F96"/>
    <w:rsid w:val="03BE2937"/>
    <w:rsid w:val="04A658F4"/>
    <w:rsid w:val="04A775F8"/>
    <w:rsid w:val="04AD58C0"/>
    <w:rsid w:val="04EF1741"/>
    <w:rsid w:val="04F63C0C"/>
    <w:rsid w:val="05016265"/>
    <w:rsid w:val="05415F4A"/>
    <w:rsid w:val="05E26946"/>
    <w:rsid w:val="06191E1A"/>
    <w:rsid w:val="070812FB"/>
    <w:rsid w:val="07102029"/>
    <w:rsid w:val="07870D12"/>
    <w:rsid w:val="084F1A48"/>
    <w:rsid w:val="08636F2F"/>
    <w:rsid w:val="09B44359"/>
    <w:rsid w:val="09DC3EFF"/>
    <w:rsid w:val="09E91855"/>
    <w:rsid w:val="0A8427AD"/>
    <w:rsid w:val="0BAA0A43"/>
    <w:rsid w:val="0BB511F2"/>
    <w:rsid w:val="0C250340"/>
    <w:rsid w:val="0F9128DF"/>
    <w:rsid w:val="109352D8"/>
    <w:rsid w:val="11EB3EC8"/>
    <w:rsid w:val="124C0477"/>
    <w:rsid w:val="127804B1"/>
    <w:rsid w:val="129B1F7F"/>
    <w:rsid w:val="13DF551D"/>
    <w:rsid w:val="13E17238"/>
    <w:rsid w:val="1421124D"/>
    <w:rsid w:val="151A1BEB"/>
    <w:rsid w:val="156564E1"/>
    <w:rsid w:val="1796407A"/>
    <w:rsid w:val="17A92FF7"/>
    <w:rsid w:val="186E53A0"/>
    <w:rsid w:val="1A2639F4"/>
    <w:rsid w:val="1A5B3FC4"/>
    <w:rsid w:val="1D0E5689"/>
    <w:rsid w:val="1D470051"/>
    <w:rsid w:val="1E247AE6"/>
    <w:rsid w:val="1E3A21E1"/>
    <w:rsid w:val="1E555190"/>
    <w:rsid w:val="1E723266"/>
    <w:rsid w:val="1E7C5CF4"/>
    <w:rsid w:val="1EF21316"/>
    <w:rsid w:val="1F146541"/>
    <w:rsid w:val="1F182F9D"/>
    <w:rsid w:val="20CA583B"/>
    <w:rsid w:val="21DC5D3A"/>
    <w:rsid w:val="221B79BB"/>
    <w:rsid w:val="223945CF"/>
    <w:rsid w:val="224B5D61"/>
    <w:rsid w:val="22534312"/>
    <w:rsid w:val="2271599D"/>
    <w:rsid w:val="22BA3AD8"/>
    <w:rsid w:val="23B027EF"/>
    <w:rsid w:val="24506169"/>
    <w:rsid w:val="246A2AB5"/>
    <w:rsid w:val="25211C64"/>
    <w:rsid w:val="25396D42"/>
    <w:rsid w:val="25932C9C"/>
    <w:rsid w:val="268408F3"/>
    <w:rsid w:val="2835125B"/>
    <w:rsid w:val="28383413"/>
    <w:rsid w:val="28762712"/>
    <w:rsid w:val="28977CE4"/>
    <w:rsid w:val="291E0BD8"/>
    <w:rsid w:val="2A1466A9"/>
    <w:rsid w:val="2A8970F4"/>
    <w:rsid w:val="2A900059"/>
    <w:rsid w:val="2AD21018"/>
    <w:rsid w:val="2DAE3F72"/>
    <w:rsid w:val="2DBF46A1"/>
    <w:rsid w:val="2E4B43EB"/>
    <w:rsid w:val="2F3C5AB5"/>
    <w:rsid w:val="32232299"/>
    <w:rsid w:val="333655BF"/>
    <w:rsid w:val="34B93E97"/>
    <w:rsid w:val="35F02E9E"/>
    <w:rsid w:val="36143072"/>
    <w:rsid w:val="36A437A9"/>
    <w:rsid w:val="37AA10BC"/>
    <w:rsid w:val="37AC1F77"/>
    <w:rsid w:val="39B8192D"/>
    <w:rsid w:val="3AAE2778"/>
    <w:rsid w:val="3BAD7945"/>
    <w:rsid w:val="3BDB7653"/>
    <w:rsid w:val="3C2E1323"/>
    <w:rsid w:val="3C516CC0"/>
    <w:rsid w:val="3D0975DB"/>
    <w:rsid w:val="3E6823F4"/>
    <w:rsid w:val="3E9D6028"/>
    <w:rsid w:val="3F2311C1"/>
    <w:rsid w:val="40E400DB"/>
    <w:rsid w:val="41174498"/>
    <w:rsid w:val="41CE30C3"/>
    <w:rsid w:val="4336124E"/>
    <w:rsid w:val="43706752"/>
    <w:rsid w:val="43734182"/>
    <w:rsid w:val="44514274"/>
    <w:rsid w:val="44D77F24"/>
    <w:rsid w:val="455C37D6"/>
    <w:rsid w:val="462B7078"/>
    <w:rsid w:val="46DD7D14"/>
    <w:rsid w:val="46EC4EB2"/>
    <w:rsid w:val="46EF3134"/>
    <w:rsid w:val="47A6296D"/>
    <w:rsid w:val="482161F5"/>
    <w:rsid w:val="4D83553D"/>
    <w:rsid w:val="4D900F52"/>
    <w:rsid w:val="4DB30492"/>
    <w:rsid w:val="4DF661C5"/>
    <w:rsid w:val="4EA66175"/>
    <w:rsid w:val="518F015D"/>
    <w:rsid w:val="51B91BFC"/>
    <w:rsid w:val="52CC2CEC"/>
    <w:rsid w:val="536C0DA0"/>
    <w:rsid w:val="5392222E"/>
    <w:rsid w:val="54B70C48"/>
    <w:rsid w:val="55397042"/>
    <w:rsid w:val="55D522A4"/>
    <w:rsid w:val="56A035CE"/>
    <w:rsid w:val="57BB226E"/>
    <w:rsid w:val="57D16417"/>
    <w:rsid w:val="59133DF6"/>
    <w:rsid w:val="59717635"/>
    <w:rsid w:val="59D929E6"/>
    <w:rsid w:val="59E27469"/>
    <w:rsid w:val="5A0D2087"/>
    <w:rsid w:val="5A7C2644"/>
    <w:rsid w:val="5ABD5EDB"/>
    <w:rsid w:val="5C847DC1"/>
    <w:rsid w:val="5DF168A6"/>
    <w:rsid w:val="5DF62BC7"/>
    <w:rsid w:val="5E513FA7"/>
    <w:rsid w:val="5E7C47A9"/>
    <w:rsid w:val="5E8B0AF8"/>
    <w:rsid w:val="5F607608"/>
    <w:rsid w:val="61567470"/>
    <w:rsid w:val="61F668C4"/>
    <w:rsid w:val="62104726"/>
    <w:rsid w:val="62D657C5"/>
    <w:rsid w:val="63FE7BD7"/>
    <w:rsid w:val="65644D28"/>
    <w:rsid w:val="66A245A9"/>
    <w:rsid w:val="66F00108"/>
    <w:rsid w:val="67D21E16"/>
    <w:rsid w:val="681E3308"/>
    <w:rsid w:val="68D944B7"/>
    <w:rsid w:val="68E870EE"/>
    <w:rsid w:val="6A935629"/>
    <w:rsid w:val="6B1F2B67"/>
    <w:rsid w:val="6B5D17CD"/>
    <w:rsid w:val="6B997BCB"/>
    <w:rsid w:val="6CC966CB"/>
    <w:rsid w:val="6E0079BD"/>
    <w:rsid w:val="6E29511C"/>
    <w:rsid w:val="6E99708B"/>
    <w:rsid w:val="6EB16CE5"/>
    <w:rsid w:val="6F7804E4"/>
    <w:rsid w:val="6F947061"/>
    <w:rsid w:val="6F9E10BD"/>
    <w:rsid w:val="70135658"/>
    <w:rsid w:val="70482996"/>
    <w:rsid w:val="70F3191B"/>
    <w:rsid w:val="71157F0C"/>
    <w:rsid w:val="71291ED0"/>
    <w:rsid w:val="71413404"/>
    <w:rsid w:val="72163857"/>
    <w:rsid w:val="73675177"/>
    <w:rsid w:val="736A5B4B"/>
    <w:rsid w:val="73D26B1D"/>
    <w:rsid w:val="73E13536"/>
    <w:rsid w:val="73F63198"/>
    <w:rsid w:val="74523881"/>
    <w:rsid w:val="75165CAF"/>
    <w:rsid w:val="75A5679F"/>
    <w:rsid w:val="75B81C2F"/>
    <w:rsid w:val="7614033F"/>
    <w:rsid w:val="761B5B4E"/>
    <w:rsid w:val="779738DD"/>
    <w:rsid w:val="78B34451"/>
    <w:rsid w:val="79191675"/>
    <w:rsid w:val="79AA1F64"/>
    <w:rsid w:val="79F82632"/>
    <w:rsid w:val="7A461408"/>
    <w:rsid w:val="7AEA6BAA"/>
    <w:rsid w:val="7B0E16B8"/>
    <w:rsid w:val="7B361E0E"/>
    <w:rsid w:val="7B5A4573"/>
    <w:rsid w:val="7B9F4E7D"/>
    <w:rsid w:val="7C6D158C"/>
    <w:rsid w:val="7CFF34B1"/>
    <w:rsid w:val="7D881817"/>
    <w:rsid w:val="7E27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0"/>
    <w:pPr>
      <w:keepNext/>
      <w:keepLines/>
      <w:spacing w:before="100" w:beforeAutospacing="1" w:after="100" w:afterAutospacing="1" w:line="360" w:lineRule="auto"/>
      <w:ind w:firstLine="200" w:firstLineChars="200"/>
      <w:outlineLvl w:val="1"/>
    </w:pPr>
    <w:rPr>
      <w:rFonts w:ascii="Arial" w:hAnsi="Arial" w:eastAsia="黑体"/>
      <w:b/>
      <w:bCs/>
      <w:kern w:val="0"/>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sz w:val="24"/>
    </w:rPr>
  </w:style>
  <w:style w:type="paragraph" w:styleId="7">
    <w:name w:val="Normal Indent"/>
    <w:basedOn w:val="1"/>
    <w:qFormat/>
    <w:uiPriority w:val="0"/>
    <w:pPr>
      <w:ind w:firstLine="420"/>
    </w:pPr>
    <w:rPr>
      <w:szCs w:val="20"/>
    </w:rPr>
  </w:style>
  <w:style w:type="paragraph" w:styleId="8">
    <w:name w:val="annotation text"/>
    <w:basedOn w:val="1"/>
    <w:link w:val="50"/>
    <w:semiHidden/>
    <w:qFormat/>
    <w:uiPriority w:val="0"/>
    <w:pPr>
      <w:jc w:val="left"/>
    </w:pPr>
  </w:style>
  <w:style w:type="paragraph" w:styleId="9">
    <w:name w:val="Body Text 3"/>
    <w:basedOn w:val="1"/>
    <w:qFormat/>
    <w:uiPriority w:val="0"/>
    <w:pPr>
      <w:spacing w:line="240" w:lineRule="exact"/>
    </w:pPr>
    <w:rPr>
      <w:rFonts w:ascii="宋体" w:hAnsi="宋体"/>
      <w:color w:val="000000"/>
      <w:szCs w:val="21"/>
    </w:rPr>
  </w:style>
  <w:style w:type="paragraph" w:styleId="10">
    <w:name w:val="Body Text"/>
    <w:basedOn w:val="1"/>
    <w:qFormat/>
    <w:uiPriority w:val="0"/>
    <w:pPr>
      <w:spacing w:after="120"/>
    </w:pPr>
  </w:style>
  <w:style w:type="paragraph" w:styleId="11">
    <w:name w:val="Body Text Indent"/>
    <w:basedOn w:val="1"/>
    <w:link w:val="44"/>
    <w:qFormat/>
    <w:uiPriority w:val="0"/>
    <w:pPr>
      <w:spacing w:after="120"/>
      <w:ind w:left="420" w:leftChars="200"/>
    </w:pPr>
  </w:style>
  <w:style w:type="paragraph" w:styleId="12">
    <w:name w:val="Plain Text"/>
    <w:basedOn w:val="1"/>
    <w:next w:val="6"/>
    <w:link w:val="45"/>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Cambria" w:hAnsi="Cambria"/>
      <w:b/>
      <w:bCs/>
      <w:sz w:val="44"/>
      <w:szCs w:val="32"/>
    </w:rPr>
  </w:style>
  <w:style w:type="paragraph" w:styleId="22">
    <w:name w:val="annotation subject"/>
    <w:basedOn w:val="8"/>
    <w:next w:val="8"/>
    <w:semiHidden/>
    <w:qFormat/>
    <w:uiPriority w:val="0"/>
    <w:rPr>
      <w:b/>
      <w:bCs/>
    </w:rPr>
  </w:style>
  <w:style w:type="paragraph" w:styleId="23">
    <w:name w:val="Body Text First Indent"/>
    <w:basedOn w:val="10"/>
    <w:link w:val="40"/>
    <w:qFormat/>
    <w:uiPriority w:val="0"/>
    <w:pPr>
      <w:ind w:firstLine="420" w:firstLineChars="100"/>
    </w:pPr>
  </w:style>
  <w:style w:type="paragraph" w:styleId="24">
    <w:name w:val="Body Text First Indent 2"/>
    <w:basedOn w:val="1"/>
    <w:unhideWhenUsed/>
    <w:qFormat/>
    <w:uiPriority w:val="0"/>
    <w:pPr>
      <w:ind w:firstLine="420" w:firstLineChars="200"/>
    </w:pPr>
  </w:style>
  <w:style w:type="character" w:styleId="27">
    <w:name w:val="page number"/>
    <w:basedOn w:val="26"/>
    <w:qFormat/>
    <w:uiPriority w:val="0"/>
  </w:style>
  <w:style w:type="character" w:styleId="28">
    <w:name w:val="Emphasis"/>
    <w:qFormat/>
    <w:uiPriority w:val="0"/>
    <w:rPr>
      <w:i/>
      <w:iCs/>
    </w:rPr>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paragraph" w:customStyle="1" w:styleId="31">
    <w:name w:val="p0"/>
    <w:basedOn w:val="1"/>
    <w:qFormat/>
    <w:uiPriority w:val="0"/>
    <w:pPr>
      <w:widowControl/>
    </w:pPr>
    <w:rPr>
      <w:kern w:val="0"/>
      <w:szCs w:val="21"/>
    </w:rPr>
  </w:style>
  <w:style w:type="paragraph" w:customStyle="1" w:styleId="32">
    <w:name w:val="正文1"/>
    <w:qFormat/>
    <w:uiPriority w:val="0"/>
    <w:pPr>
      <w:jc w:val="both"/>
    </w:pPr>
    <w:rPr>
      <w:rFonts w:ascii="Calibri" w:hAnsi="Calibri" w:eastAsia="宋体" w:cs="Times New Roman"/>
      <w:kern w:val="2"/>
      <w:sz w:val="21"/>
      <w:szCs w:val="21"/>
      <w:lang w:val="en-US" w:eastAsia="zh-CN" w:bidi="ar-SA"/>
    </w:rPr>
  </w:style>
  <w:style w:type="paragraph" w:customStyle="1" w:styleId="33">
    <w:name w:val="WPSOffice手动目录 1"/>
    <w:qFormat/>
    <w:uiPriority w:val="0"/>
    <w:rPr>
      <w:rFonts w:ascii="Calibri" w:hAnsi="Calibri" w:eastAsia="宋体" w:cs="Times New Roman"/>
      <w:lang w:val="en-US" w:eastAsia="zh-CN" w:bidi="ar-SA"/>
    </w:rPr>
  </w:style>
  <w:style w:type="paragraph" w:styleId="34">
    <w:name w:val="List Paragraph"/>
    <w:basedOn w:val="1"/>
    <w:qFormat/>
    <w:uiPriority w:val="34"/>
    <w:pPr>
      <w:ind w:firstLine="420" w:firstLineChars="200"/>
    </w:pPr>
  </w:style>
  <w:style w:type="paragraph" w:customStyle="1" w:styleId="35">
    <w:name w:val="Char1 Char Char Char Char Char"/>
    <w:basedOn w:val="1"/>
    <w:qFormat/>
    <w:uiPriority w:val="0"/>
    <w:rPr>
      <w:b/>
      <w:bCs/>
      <w:sz w:val="36"/>
      <w:szCs w:val="32"/>
    </w:rPr>
  </w:style>
  <w:style w:type="paragraph" w:customStyle="1" w:styleId="36">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_Style 29"/>
    <w:basedOn w:val="1"/>
    <w:qFormat/>
    <w:uiPriority w:val="0"/>
    <w:rPr>
      <w:rFonts w:ascii="Tahoma" w:hAnsi="Tahoma"/>
      <w:sz w:val="24"/>
      <w:szCs w:val="20"/>
    </w:rPr>
  </w:style>
  <w:style w:type="character" w:customStyle="1" w:styleId="38">
    <w:name w:val="font11"/>
    <w:qFormat/>
    <w:uiPriority w:val="0"/>
    <w:rPr>
      <w:rFonts w:hint="eastAsia" w:ascii="宋体" w:hAnsi="宋体" w:eastAsia="宋体" w:cs="宋体"/>
      <w:color w:val="000000"/>
      <w:sz w:val="24"/>
      <w:szCs w:val="24"/>
      <w:u w:val="none"/>
    </w:rPr>
  </w:style>
  <w:style w:type="character" w:customStyle="1" w:styleId="39">
    <w:name w:val="font71"/>
    <w:qFormat/>
    <w:uiPriority w:val="0"/>
    <w:rPr>
      <w:rFonts w:hint="eastAsia" w:ascii="宋体" w:hAnsi="宋体" w:eastAsia="宋体" w:cs="宋体"/>
      <w:color w:val="000000"/>
      <w:sz w:val="21"/>
      <w:szCs w:val="21"/>
      <w:u w:val="none"/>
    </w:rPr>
  </w:style>
  <w:style w:type="character" w:customStyle="1" w:styleId="40">
    <w:name w:val="正文文本首行缩进 字符"/>
    <w:link w:val="23"/>
    <w:qFormat/>
    <w:uiPriority w:val="0"/>
    <w:rPr>
      <w:rFonts w:eastAsia="宋体"/>
      <w:kern w:val="2"/>
      <w:sz w:val="21"/>
      <w:szCs w:val="24"/>
      <w:lang w:val="en-US" w:eastAsia="zh-CN" w:bidi="ar-SA"/>
    </w:rPr>
  </w:style>
  <w:style w:type="character" w:customStyle="1" w:styleId="41">
    <w:name w:val="H1 Char"/>
    <w:qFormat/>
    <w:uiPriority w:val="0"/>
    <w:rPr>
      <w:rFonts w:ascii="Times New Roman" w:hAnsi="Times New Roman"/>
      <w:b/>
      <w:bCs/>
      <w:kern w:val="44"/>
      <w:sz w:val="32"/>
      <w:szCs w:val="44"/>
    </w:rPr>
  </w:style>
  <w:style w:type="character" w:customStyle="1" w:styleId="42">
    <w:name w:val="Char Char7"/>
    <w:qFormat/>
    <w:uiPriority w:val="0"/>
    <w:rPr>
      <w:kern w:val="2"/>
      <w:sz w:val="21"/>
      <w:szCs w:val="24"/>
    </w:rPr>
  </w:style>
  <w:style w:type="character" w:customStyle="1" w:styleId="43">
    <w:name w:val="heading 2+ Indent: Left 0.25 in Char"/>
    <w:qFormat/>
    <w:uiPriority w:val="0"/>
    <w:rPr>
      <w:rFonts w:ascii="Arial" w:hAnsi="Arial" w:eastAsia="黑体"/>
      <w:b/>
      <w:bCs/>
      <w:kern w:val="2"/>
      <w:sz w:val="32"/>
      <w:szCs w:val="32"/>
      <w:lang w:val="en-US" w:eastAsia="zh-CN" w:bidi="ar-SA"/>
    </w:rPr>
  </w:style>
  <w:style w:type="character" w:customStyle="1" w:styleId="44">
    <w:name w:val="正文文本缩进 字符"/>
    <w:link w:val="11"/>
    <w:qFormat/>
    <w:uiPriority w:val="0"/>
    <w:rPr>
      <w:kern w:val="2"/>
      <w:sz w:val="21"/>
      <w:szCs w:val="24"/>
      <w:lang w:bidi="ar-SA"/>
    </w:rPr>
  </w:style>
  <w:style w:type="character" w:customStyle="1" w:styleId="45">
    <w:name w:val="纯文本 字符"/>
    <w:link w:val="12"/>
    <w:qFormat/>
    <w:uiPriority w:val="0"/>
    <w:rPr>
      <w:rFonts w:ascii="宋体" w:hAnsi="Courier New" w:eastAsia="宋体"/>
      <w:kern w:val="2"/>
      <w:sz w:val="21"/>
      <w:lang w:val="en-US" w:eastAsia="zh-CN" w:bidi="ar-SA"/>
    </w:rPr>
  </w:style>
  <w:style w:type="character" w:customStyle="1" w:styleId="46">
    <w:name w:val="_Style 45"/>
    <w:qFormat/>
    <w:uiPriority w:val="0"/>
    <w:rPr>
      <w:b/>
      <w:bCs/>
      <w:i/>
      <w:iCs/>
      <w:color w:val="4F81BD"/>
    </w:rPr>
  </w:style>
  <w:style w:type="character" w:customStyle="1" w:styleId="47">
    <w:name w:val="font41"/>
    <w:qFormat/>
    <w:uiPriority w:val="0"/>
    <w:rPr>
      <w:rFonts w:hint="eastAsia" w:ascii="宋体" w:hAnsi="宋体" w:eastAsia="宋体" w:cs="宋体"/>
      <w:color w:val="FF0000"/>
      <w:sz w:val="18"/>
      <w:szCs w:val="18"/>
      <w:u w:val="none"/>
    </w:rPr>
  </w:style>
  <w:style w:type="character" w:customStyle="1" w:styleId="48">
    <w:name w:val="Char Char"/>
    <w:qFormat/>
    <w:locked/>
    <w:uiPriority w:val="0"/>
    <w:rPr>
      <w:rFonts w:ascii="宋体" w:hAnsi="Courier New" w:eastAsia="宋体"/>
      <w:kern w:val="2"/>
      <w:sz w:val="21"/>
      <w:lang w:val="en-US" w:eastAsia="zh-CN" w:bidi="ar-SA"/>
    </w:rPr>
  </w:style>
  <w:style w:type="character" w:customStyle="1" w:styleId="49">
    <w:name w:val="标题 2 字符"/>
    <w:link w:val="4"/>
    <w:qFormat/>
    <w:uiPriority w:val="0"/>
    <w:rPr>
      <w:rFonts w:ascii="Arial" w:hAnsi="Arial" w:eastAsia="黑体"/>
      <w:b/>
      <w:bCs/>
      <w:sz w:val="32"/>
      <w:szCs w:val="32"/>
      <w:lang w:val="en-US" w:eastAsia="zh-CN" w:bidi="ar-SA"/>
    </w:rPr>
  </w:style>
  <w:style w:type="character" w:customStyle="1" w:styleId="50">
    <w:name w:val="批注文字 字符"/>
    <w:link w:val="8"/>
    <w:semiHidden/>
    <w:qFormat/>
    <w:uiPriority w:val="0"/>
    <w:rPr>
      <w:rFonts w:eastAsia="宋体"/>
      <w:kern w:val="2"/>
      <w:sz w:val="21"/>
      <w:szCs w:val="24"/>
      <w:lang w:val="en-US" w:eastAsia="zh-CN" w:bidi="ar-SA"/>
    </w:rPr>
  </w:style>
  <w:style w:type="character" w:customStyle="1" w:styleId="51">
    <w:name w:val="NormalCharacter"/>
    <w:qFormat/>
    <w:uiPriority w:val="0"/>
  </w:style>
  <w:style w:type="character" w:customStyle="1" w:styleId="52">
    <w:name w:val="font01"/>
    <w:qFormat/>
    <w:uiPriority w:val="0"/>
    <w:rPr>
      <w:rFonts w:ascii="Calibri" w:hAnsi="Calibri" w:cs="Calibri"/>
      <w:color w:val="000000"/>
      <w:sz w:val="24"/>
      <w:szCs w:val="24"/>
      <w:u w:val="none"/>
    </w:rPr>
  </w:style>
  <w:style w:type="character" w:customStyle="1" w:styleId="53">
    <w:name w:val="font51"/>
    <w:qFormat/>
    <w:uiPriority w:val="0"/>
    <w:rPr>
      <w:rFonts w:hint="eastAsia" w:ascii="宋体" w:hAnsi="宋体" w:eastAsia="宋体" w:cs="宋体"/>
      <w:color w:val="000000"/>
      <w:sz w:val="18"/>
      <w:szCs w:val="18"/>
      <w:u w:val="none"/>
    </w:rPr>
  </w:style>
  <w:style w:type="character" w:customStyle="1" w:styleId="54">
    <w:name w:val="纯文本 Char2"/>
    <w:qFormat/>
    <w:locked/>
    <w:uiPriority w:val="0"/>
    <w:rPr>
      <w:rFonts w:ascii="宋体" w:hAnsi="Courier New" w:eastAsia="宋体"/>
      <w:kern w:val="2"/>
      <w:sz w:val="21"/>
      <w:lang w:val="en-US" w:eastAsia="zh-CN" w:bidi="ar-SA"/>
    </w:rPr>
  </w:style>
  <w:style w:type="character" w:customStyle="1" w:styleId="55">
    <w:name w:val="标题 1 字符"/>
    <w:link w:val="3"/>
    <w:qFormat/>
    <w:uiPriority w:val="0"/>
    <w:rPr>
      <w:rFonts w:eastAsia="宋体"/>
      <w:b/>
      <w:bCs/>
      <w:kern w:val="44"/>
      <w:sz w:val="44"/>
      <w:szCs w:val="44"/>
      <w:lang w:val="en-US" w:eastAsia="zh-CN" w:bidi="ar-SA"/>
    </w:rPr>
  </w:style>
  <w:style w:type="character" w:customStyle="1" w:styleId="56">
    <w:name w:val="Char Char2"/>
    <w:qFormat/>
    <w:uiPriority w:val="0"/>
    <w:rPr>
      <w:rFonts w:hint="eastAsia" w:ascii="宋体" w:hAnsi="Courier New" w:eastAsia="宋体" w:cs="Courier New"/>
      <w:b/>
      <w:bCs/>
      <w:kern w:val="2"/>
      <w:sz w:val="21"/>
      <w:szCs w:val="21"/>
    </w:rPr>
  </w:style>
  <w:style w:type="character" w:customStyle="1" w:styleId="57">
    <w:name w:val="标题 2 Char"/>
    <w:qFormat/>
    <w:uiPriority w:val="0"/>
    <w:rPr>
      <w:rFonts w:ascii="Arial" w:hAnsi="Arial" w:eastAsia="黑体"/>
      <w:b/>
      <w:bCs/>
      <w:sz w:val="32"/>
      <w:szCs w:val="32"/>
    </w:rPr>
  </w:style>
  <w:style w:type="character" w:customStyle="1" w:styleId="58">
    <w:name w:val="Char Char6"/>
    <w:qFormat/>
    <w:uiPriority w:val="0"/>
    <w:rPr>
      <w:rFonts w:ascii="宋体" w:hAnsi="Courier New" w:eastAsia="宋体"/>
      <w:spacing w:val="-4"/>
      <w:kern w:val="2"/>
      <w:sz w:val="18"/>
      <w:lang w:val="en-US" w:eastAsia="zh-CN" w:bidi="ar-SA"/>
    </w:rPr>
  </w:style>
  <w:style w:type="character" w:customStyle="1" w:styleId="59">
    <w:name w:val="blue1"/>
    <w:qFormat/>
    <w:uiPriority w:val="0"/>
    <w:rPr>
      <w:b/>
      <w:bCs/>
      <w:color w:val="3333FF"/>
      <w:sz w:val="18"/>
      <w:szCs w:val="18"/>
    </w:rPr>
  </w:style>
  <w:style w:type="character" w:customStyle="1" w:styleId="60">
    <w:name w:val="标题 3 字符"/>
    <w:link w:val="5"/>
    <w:qFormat/>
    <w:uiPriority w:val="0"/>
    <w:rPr>
      <w:rFonts w:eastAsia="宋体"/>
      <w:b/>
      <w:bCs/>
      <w:kern w:val="2"/>
      <w:sz w:val="32"/>
      <w:szCs w:val="32"/>
      <w:lang w:val="en-US" w:eastAsia="zh-CN" w:bidi="ar-SA"/>
    </w:rPr>
  </w:style>
  <w:style w:type="character" w:customStyle="1" w:styleId="61">
    <w:name w:val="font21"/>
    <w:qFormat/>
    <w:uiPriority w:val="0"/>
    <w:rPr>
      <w:rFonts w:hint="default" w:ascii="Times New Roman" w:hAnsi="Times New Roman" w:cs="Times New Roman"/>
      <w:color w:val="000000"/>
      <w:sz w:val="18"/>
      <w:szCs w:val="18"/>
      <w:u w:val="none"/>
    </w:rPr>
  </w:style>
  <w:style w:type="character" w:customStyle="1" w:styleId="62">
    <w:name w:val="页眉 字符"/>
    <w:link w:val="17"/>
    <w:qFormat/>
    <w:uiPriority w:val="0"/>
    <w:rPr>
      <w:kern w:val="2"/>
      <w:sz w:val="18"/>
      <w:szCs w:val="18"/>
      <w:lang w:bidi="ar-SA"/>
    </w:rPr>
  </w:style>
  <w:style w:type="character" w:customStyle="1" w:styleId="63">
    <w:name w:val="apple-converted-space"/>
    <w:basedOn w:val="26"/>
    <w:qFormat/>
    <w:uiPriority w:val="0"/>
  </w:style>
  <w:style w:type="character" w:customStyle="1" w:styleId="64">
    <w:name w:val="Char Char8"/>
    <w:qFormat/>
    <w:locked/>
    <w:uiPriority w:val="0"/>
    <w:rPr>
      <w:rFonts w:ascii="宋体" w:hAnsi="Courier New" w:eastAsia="宋体" w:cs="Times New Roman"/>
      <w:kern w:val="2"/>
      <w:sz w:val="21"/>
    </w:rPr>
  </w:style>
  <w:style w:type="character" w:customStyle="1" w:styleId="65">
    <w:name w:val="Unresolved Mention"/>
    <w:basedOn w:val="26"/>
    <w:semiHidden/>
    <w:unhideWhenUsed/>
    <w:qFormat/>
    <w:uiPriority w:val="99"/>
    <w:rPr>
      <w:color w:val="605E5C"/>
      <w:shd w:val="clear" w:color="auto" w:fill="E1DFDD"/>
    </w:rPr>
  </w:style>
  <w:style w:type="paragraph" w:customStyle="1" w:styleId="6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3783</Words>
  <Characters>21566</Characters>
  <Lines>179</Lines>
  <Paragraphs>50</Paragraphs>
  <TotalTime>1</TotalTime>
  <ScaleCrop>false</ScaleCrop>
  <LinksUpToDate>false</LinksUpToDate>
  <CharactersWithSpaces>25299</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2020-08-05T03:02:00Z</dcterms:created>
  <dc:creator>微软用户</dc:creator>
  <cp:lastModifiedBy>Administrator</cp:lastModifiedBy>
  <cp:lastPrinted>2020-11-25T09:26:00Z</cp:lastPrinted>
  <dcterms:modified xsi:type="dcterms:W3CDTF">2020-12-23T15:28:47Z</dcterms:modified>
  <dc:title>广西云龙招标有限公司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