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7"/>
        <w:ind w:firstLine="105"/>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0" w:name="_Toc183682338"/>
      <w:bookmarkStart w:id="1" w:name="_Toc217446030"/>
    </w:p>
    <w:p>
      <w:pPr>
        <w:pStyle w:val="15"/>
        <w:rPr>
          <w:rFonts w:hint="eastAsia"/>
          <w:color w:val="000000" w:themeColor="text1"/>
          <w14:textFill>
            <w14:solidFill>
              <w14:schemeClr w14:val="tx1"/>
            </w14:solidFill>
          </w14:textFill>
        </w:rPr>
      </w:pPr>
    </w:p>
    <w:p>
      <w:pPr>
        <w:pStyle w:val="27"/>
        <w:ind w:firstLine="105"/>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7"/>
        <w:jc w:val="center"/>
        <w:rPr>
          <w:rFonts w:hint="eastAsia" w:asciiTheme="minorEastAsia" w:hAnsiTheme="minorEastAsia" w:eastAsiaTheme="minorEastAsia" w:cstheme="minorEastAsia"/>
          <w:color w:val="000000" w:themeColor="text1"/>
          <w:sz w:val="36"/>
          <w:szCs w:val="36"/>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52"/>
          <w:highlight w:val="none"/>
          <w:u w:val="none"/>
          <w:lang w:eastAsia="zh-CN"/>
          <w14:textFill>
            <w14:solidFill>
              <w14:schemeClr w14:val="tx1"/>
            </w14:solidFill>
          </w14:textFill>
        </w:rPr>
        <w:t>亿诚建设项目管理有限公司</w:t>
      </w:r>
    </w:p>
    <w:p>
      <w:pPr>
        <w:spacing w:line="6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60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beforeLines="50"/>
        <w:jc w:val="center"/>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p>
      <w:pPr>
        <w:spacing w:beforeLines="50"/>
        <w:jc w:val="center"/>
        <w:rPr>
          <w:rFonts w:hint="eastAsia" w:asciiTheme="minorEastAsia" w:hAnsiTheme="minorEastAsia" w:eastAsiaTheme="minorEastAsia" w:cstheme="minorEastAsia"/>
          <w:b/>
          <w:color w:val="000000" w:themeColor="text1"/>
          <w:sz w:val="84"/>
          <w:szCs w:val="8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84"/>
          <w:szCs w:val="84"/>
          <w:highlight w:val="none"/>
          <w14:textFill>
            <w14:solidFill>
              <w14:schemeClr w14:val="tx1"/>
            </w14:solidFill>
          </w14:textFill>
        </w:rPr>
        <w:t>招标文件</w:t>
      </w:r>
    </w:p>
    <w:p>
      <w:pPr>
        <w:pStyle w:val="27"/>
        <w:snapToGrid w:val="0"/>
        <w:spacing w:before="120" w:after="120" w:line="360" w:lineRule="auto"/>
        <w:ind w:firstLine="2247" w:firstLineChars="746"/>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pStyle w:val="27"/>
        <w:snapToGrid w:val="0"/>
        <w:spacing w:before="120" w:after="120" w:line="360" w:lineRule="auto"/>
        <w:ind w:firstLine="2247" w:firstLineChars="746"/>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pStyle w:val="27"/>
        <w:snapToGrid w:val="0"/>
        <w:spacing w:before="120" w:after="120" w:line="360" w:lineRule="auto"/>
        <w:ind w:firstLine="2247" w:firstLineChars="746"/>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pStyle w:val="27"/>
        <w:snapToGrid w:val="0"/>
        <w:spacing w:before="120" w:after="120" w:line="360" w:lineRule="auto"/>
        <w:ind w:firstLine="2247" w:firstLineChars="746"/>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p>
    <w:p>
      <w:pPr>
        <w:snapToGrid w:val="0"/>
        <w:spacing w:beforeLines="50" w:line="360" w:lineRule="auto"/>
        <w:ind w:firstLine="2550" w:firstLineChars="850"/>
        <w:rPr>
          <w:rFonts w:hint="eastAsia" w:asciiTheme="minorEastAsia" w:hAnsiTheme="minorEastAsia" w:eastAsiaTheme="minorEastAsia" w:cstheme="minorEastAsia"/>
          <w:color w:val="000000" w:themeColor="text1"/>
          <w:sz w:val="30"/>
          <w:szCs w:val="72"/>
          <w:highlight w:val="none"/>
          <w14:textFill>
            <w14:solidFill>
              <w14:schemeClr w14:val="tx1"/>
            </w14:solidFill>
          </w14:textFill>
        </w:rPr>
      </w:pPr>
    </w:p>
    <w:p>
      <w:pPr>
        <w:snapToGrid w:val="0"/>
        <w:spacing w:beforeLines="50" w:line="360" w:lineRule="auto"/>
        <w:ind w:firstLine="602" w:firstLineChars="200"/>
        <w:rPr>
          <w:rFonts w:hint="eastAsia" w:asciiTheme="minorEastAsia" w:hAnsiTheme="minorEastAsia" w:eastAsiaTheme="minorEastAsia" w:cstheme="minorEastAsia"/>
          <w:b/>
          <w:color w:val="000000" w:themeColor="text1"/>
          <w:sz w:val="30"/>
          <w:szCs w:val="7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72"/>
          <w:highlight w:val="none"/>
          <w14:textFill>
            <w14:solidFill>
              <w14:schemeClr w14:val="tx1"/>
            </w14:solidFill>
          </w14:textFill>
        </w:rPr>
        <w:t>项目编号：</w:t>
      </w:r>
      <w:r>
        <w:rPr>
          <w:rFonts w:hint="eastAsia" w:asciiTheme="minorEastAsia" w:hAnsiTheme="minorEastAsia" w:eastAsiaTheme="minorEastAsia" w:cstheme="minorEastAsia"/>
          <w:b/>
          <w:color w:val="000000" w:themeColor="text1"/>
          <w:sz w:val="30"/>
          <w:szCs w:val="72"/>
          <w:highlight w:val="none"/>
          <w:lang w:eastAsia="zh-CN"/>
          <w14:textFill>
            <w14:solidFill>
              <w14:schemeClr w14:val="tx1"/>
            </w14:solidFill>
          </w14:textFill>
        </w:rPr>
        <w:t>GLZC2022-G3-990436-YCJS</w:t>
      </w:r>
    </w:p>
    <w:p>
      <w:pPr>
        <w:snapToGrid w:val="0"/>
        <w:spacing w:beforeLines="50" w:line="360" w:lineRule="auto"/>
        <w:ind w:firstLine="602" w:firstLineChars="200"/>
        <w:rPr>
          <w:rFonts w:hint="eastAsia" w:asciiTheme="minorEastAsia" w:hAnsiTheme="minorEastAsia" w:eastAsiaTheme="minorEastAsia" w:cstheme="minorEastAsia"/>
          <w:b/>
          <w:color w:val="000000" w:themeColor="text1"/>
          <w:sz w:val="30"/>
          <w:szCs w:val="7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72"/>
          <w:highlight w:val="none"/>
          <w14:textFill>
            <w14:solidFill>
              <w14:schemeClr w14:val="tx1"/>
            </w14:solidFill>
          </w14:textFill>
        </w:rPr>
        <w:t>项目名称：</w:t>
      </w:r>
      <w:r>
        <w:rPr>
          <w:rFonts w:hint="eastAsia" w:asciiTheme="minorEastAsia" w:hAnsiTheme="minorEastAsia" w:eastAsiaTheme="minorEastAsia" w:cstheme="minorEastAsia"/>
          <w:b/>
          <w:color w:val="000000" w:themeColor="text1"/>
          <w:sz w:val="30"/>
          <w:szCs w:val="72"/>
          <w:highlight w:val="none"/>
          <w:lang w:eastAsia="zh-CN"/>
          <w14:textFill>
            <w14:solidFill>
              <w14:schemeClr w14:val="tx1"/>
            </w14:solidFill>
          </w14:textFill>
        </w:rPr>
        <w:t>桂林市特殊困难老年人家庭适老化改造项目</w:t>
      </w:r>
    </w:p>
    <w:p>
      <w:pPr>
        <w:snapToGrid w:val="0"/>
        <w:spacing w:beforeLines="50" w:line="360" w:lineRule="auto"/>
        <w:ind w:firstLine="602" w:firstLineChars="200"/>
        <w:rPr>
          <w:rFonts w:hint="eastAsia" w:asciiTheme="minorEastAsia" w:hAnsiTheme="minorEastAsia" w:eastAsiaTheme="minorEastAsia" w:cstheme="minorEastAsia"/>
          <w:b/>
          <w:color w:val="000000" w:themeColor="text1"/>
          <w:sz w:val="30"/>
          <w:szCs w:val="7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0"/>
          <w:szCs w:val="72"/>
          <w:highlight w:val="none"/>
          <w14:textFill>
            <w14:solidFill>
              <w14:schemeClr w14:val="tx1"/>
            </w14:solidFill>
          </w14:textFill>
        </w:rPr>
        <w:t>采购单位：</w:t>
      </w:r>
      <w:r>
        <w:rPr>
          <w:rFonts w:hint="eastAsia" w:asciiTheme="minorEastAsia" w:hAnsiTheme="minorEastAsia" w:eastAsiaTheme="minorEastAsia" w:cstheme="minorEastAsia"/>
          <w:b/>
          <w:color w:val="000000" w:themeColor="text1"/>
          <w:sz w:val="30"/>
          <w:szCs w:val="72"/>
          <w:highlight w:val="none"/>
          <w:lang w:eastAsia="zh-CN"/>
          <w14:textFill>
            <w14:solidFill>
              <w14:schemeClr w14:val="tx1"/>
            </w14:solidFill>
          </w14:textFill>
        </w:rPr>
        <w:t>桂林市民政局</w:t>
      </w:r>
    </w:p>
    <w:p>
      <w:pPr>
        <w:snapToGrid w:val="0"/>
        <w:spacing w:beforeLines="50" w:line="360" w:lineRule="auto"/>
        <w:ind w:firstLine="602" w:firstLineChars="200"/>
        <w:rPr>
          <w:rFonts w:hint="eastAsia" w:asciiTheme="minorEastAsia" w:hAnsiTheme="minorEastAsia" w:eastAsiaTheme="minorEastAsia" w:cstheme="minorEastAsia"/>
          <w:b/>
          <w:color w:val="000000" w:themeColor="text1"/>
          <w:sz w:val="30"/>
          <w:szCs w:val="7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72"/>
          <w:highlight w:val="none"/>
          <w14:textFill>
            <w14:solidFill>
              <w14:schemeClr w14:val="tx1"/>
            </w14:solidFill>
          </w14:textFill>
        </w:rPr>
        <w:t>采购代理机构：</w:t>
      </w:r>
      <w:r>
        <w:rPr>
          <w:rFonts w:hint="eastAsia" w:asciiTheme="minorEastAsia" w:hAnsiTheme="minorEastAsia" w:eastAsiaTheme="minorEastAsia" w:cstheme="minorEastAsia"/>
          <w:b/>
          <w:color w:val="000000" w:themeColor="text1"/>
          <w:sz w:val="30"/>
          <w:szCs w:val="72"/>
          <w:highlight w:val="none"/>
          <w:lang w:eastAsia="zh-CN"/>
          <w14:textFill>
            <w14:solidFill>
              <w14:schemeClr w14:val="tx1"/>
            </w14:solidFill>
          </w14:textFill>
        </w:rPr>
        <w:t>亿诚建设项目管理有限公司</w:t>
      </w:r>
    </w:p>
    <w:p>
      <w:pPr>
        <w:snapToGrid w:val="0"/>
        <w:spacing w:beforeLines="50" w:line="360" w:lineRule="auto"/>
        <w:ind w:firstLine="2560" w:firstLineChars="850"/>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0"/>
          <w:szCs w:val="72"/>
          <w:highlight w:val="none"/>
          <w14:textFill>
            <w14:solidFill>
              <w14:schemeClr w14:val="tx1"/>
            </w14:solidFill>
          </w14:textFill>
        </w:rPr>
        <w:t xml:space="preserve">      202</w:t>
      </w:r>
      <w:r>
        <w:rPr>
          <w:rFonts w:hint="eastAsia" w:asciiTheme="minorEastAsia" w:hAnsiTheme="minorEastAsia" w:eastAsiaTheme="minorEastAsia" w:cstheme="minorEastAsia"/>
          <w:b/>
          <w:color w:val="000000" w:themeColor="text1"/>
          <w:sz w:val="30"/>
          <w:szCs w:val="72"/>
          <w:highlight w:val="none"/>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30"/>
          <w:szCs w:val="72"/>
          <w:highlight w:val="none"/>
          <w14:textFill>
            <w14:solidFill>
              <w14:schemeClr w14:val="tx1"/>
            </w14:solidFill>
          </w14:textFill>
        </w:rPr>
        <w:t>年</w:t>
      </w:r>
      <w:r>
        <w:rPr>
          <w:rFonts w:hint="eastAsia" w:asciiTheme="minorEastAsia" w:hAnsiTheme="minorEastAsia" w:eastAsiaTheme="minorEastAsia" w:cstheme="minorEastAsia"/>
          <w:b/>
          <w:color w:val="000000" w:themeColor="text1"/>
          <w:sz w:val="30"/>
          <w:szCs w:val="72"/>
          <w:highlight w:val="none"/>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30"/>
          <w:szCs w:val="72"/>
          <w:highlight w:val="none"/>
          <w14:textFill>
            <w14:solidFill>
              <w14:schemeClr w14:val="tx1"/>
            </w14:solidFill>
          </w14:textFill>
        </w:rPr>
        <w:t>月</w:t>
      </w:r>
    </w:p>
    <w:p>
      <w:pPr>
        <w:pStyle w:val="27"/>
        <w:pageBreakBefore/>
        <w:spacing w:before="120" w:after="120" w:line="360" w:lineRule="auto"/>
        <w:jc w:val="center"/>
        <w:rPr>
          <w:rFonts w:hint="eastAsia" w:asciiTheme="minorEastAsia" w:hAnsiTheme="minorEastAsia" w:eastAsiaTheme="minorEastAsia" w:cstheme="minorEastAsia"/>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color w:val="000000" w:themeColor="text1"/>
          <w:sz w:val="44"/>
          <w:szCs w:val="44"/>
          <w:highlight w:val="none"/>
          <w14:textFill>
            <w14:solidFill>
              <w14:schemeClr w14:val="tx1"/>
            </w14:solidFill>
          </w14:textFill>
        </w:rPr>
        <w:t>目  录</w:t>
      </w:r>
    </w:p>
    <w:p>
      <w:pPr>
        <w:spacing w:beforeLines="50" w:line="480" w:lineRule="auto"/>
        <w:ind w:firstLine="280" w:firstLineChars="10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第一章 公开招标公告……………………………………………2</w:t>
      </w:r>
    </w:p>
    <w:p>
      <w:pPr>
        <w:spacing w:beforeLines="50" w:line="480" w:lineRule="auto"/>
        <w:ind w:firstLine="280" w:firstLineChars="10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第二章 投标人须知………………………………………………5</w:t>
      </w:r>
    </w:p>
    <w:p>
      <w:pPr>
        <w:spacing w:beforeLines="50" w:line="480" w:lineRule="auto"/>
        <w:ind w:firstLine="280" w:firstLineChars="100"/>
        <w:jc w:val="left"/>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第三章 </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采购需求……………………………………………1</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9</w:t>
      </w:r>
    </w:p>
    <w:p>
      <w:pPr>
        <w:spacing w:beforeLines="50" w:line="480" w:lineRule="auto"/>
        <w:ind w:firstLine="280" w:firstLineChars="10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第四章 评标办法及评分标准……………………………………27</w:t>
      </w:r>
    </w:p>
    <w:p>
      <w:pPr>
        <w:spacing w:beforeLines="50" w:line="480" w:lineRule="auto"/>
        <w:ind w:firstLine="280" w:firstLineChars="100"/>
        <w:jc w:val="left"/>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第五章 合同主要条款格式………………………………………</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29</w:t>
      </w:r>
    </w:p>
    <w:p>
      <w:pPr>
        <w:spacing w:beforeLines="50" w:line="480" w:lineRule="auto"/>
        <w:ind w:firstLine="280" w:firstLineChars="100"/>
        <w:jc w:val="left"/>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第六章 投标文件格式……………………………………………4</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3</w:t>
      </w:r>
    </w:p>
    <w:p>
      <w:pPr>
        <w:spacing w:beforeLines="50" w:line="480" w:lineRule="exact"/>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spacing w:beforeLines="50" w:line="480" w:lineRule="exact"/>
        <w:rPr>
          <w:rFonts w:hint="eastAsia" w:asciiTheme="minorEastAsia" w:hAnsiTheme="minorEastAsia" w:eastAsiaTheme="minorEastAsia" w:cstheme="minorEastAsia"/>
          <w:color w:val="000000" w:themeColor="text1"/>
          <w:sz w:val="30"/>
          <w:highlight w:val="none"/>
          <w14:textFill>
            <w14:solidFill>
              <w14:schemeClr w14:val="tx1"/>
            </w14:solidFill>
          </w14:textFill>
        </w:rPr>
      </w:pPr>
    </w:p>
    <w:p>
      <w:pPr>
        <w:spacing w:beforeLines="50" w:line="480" w:lineRule="exact"/>
        <w:rPr>
          <w:rFonts w:hint="eastAsia" w:asciiTheme="minorEastAsia" w:hAnsiTheme="minorEastAsia" w:eastAsiaTheme="minorEastAsia" w:cstheme="minorEastAsia"/>
          <w:color w:val="000000" w:themeColor="text1"/>
          <w:sz w:val="30"/>
          <w:highlight w:val="none"/>
          <w14:textFill>
            <w14:solidFill>
              <w14:schemeClr w14:val="tx1"/>
            </w14:solidFill>
          </w14:textFill>
        </w:rPr>
      </w:pPr>
    </w:p>
    <w:p>
      <w:pPr>
        <w:spacing w:beforeLines="50" w:line="480" w:lineRule="exact"/>
        <w:rPr>
          <w:rFonts w:hint="eastAsia" w:asciiTheme="minorEastAsia" w:hAnsiTheme="minorEastAsia" w:eastAsiaTheme="minorEastAsia" w:cstheme="minorEastAsia"/>
          <w:color w:val="000000" w:themeColor="text1"/>
          <w:sz w:val="30"/>
          <w:highlight w:val="none"/>
          <w14:textFill>
            <w14:solidFill>
              <w14:schemeClr w14:val="tx1"/>
            </w14:solidFill>
          </w14:textFill>
        </w:rPr>
      </w:pPr>
    </w:p>
    <w:p>
      <w:pPr>
        <w:spacing w:beforeLines="50" w:line="480" w:lineRule="exact"/>
        <w:rPr>
          <w:rFonts w:hint="eastAsia" w:asciiTheme="minorEastAsia" w:hAnsiTheme="minorEastAsia" w:eastAsiaTheme="minorEastAsia" w:cstheme="minorEastAsia"/>
          <w:color w:val="000000" w:themeColor="text1"/>
          <w:sz w:val="30"/>
          <w:highlight w:val="none"/>
          <w14:textFill>
            <w14:solidFill>
              <w14:schemeClr w14:val="tx1"/>
            </w14:solidFill>
          </w14:textFill>
        </w:rPr>
      </w:pPr>
    </w:p>
    <w:p>
      <w:pPr>
        <w:spacing w:beforeLines="50" w:line="480" w:lineRule="exact"/>
        <w:rPr>
          <w:rFonts w:hint="eastAsia" w:asciiTheme="minorEastAsia" w:hAnsiTheme="minorEastAsia" w:eastAsiaTheme="minorEastAsia" w:cstheme="minorEastAsia"/>
          <w:color w:val="000000" w:themeColor="text1"/>
          <w:sz w:val="30"/>
          <w:highlight w:val="none"/>
          <w14:textFill>
            <w14:solidFill>
              <w14:schemeClr w14:val="tx1"/>
            </w14:solidFill>
          </w14:textFill>
        </w:rPr>
      </w:pPr>
    </w:p>
    <w:p>
      <w:pPr>
        <w:spacing w:beforeLines="50" w:line="480" w:lineRule="exact"/>
        <w:rPr>
          <w:rFonts w:hint="eastAsia" w:asciiTheme="minorEastAsia" w:hAnsiTheme="minorEastAsia" w:eastAsiaTheme="minorEastAsia" w:cstheme="minorEastAsia"/>
          <w:color w:val="000000" w:themeColor="text1"/>
          <w:sz w:val="30"/>
          <w:highlight w:val="none"/>
          <w14:textFill>
            <w14:solidFill>
              <w14:schemeClr w14:val="tx1"/>
            </w14:solidFill>
          </w14:textFill>
        </w:rPr>
      </w:pPr>
    </w:p>
    <w:p>
      <w:pPr>
        <w:pStyle w:val="27"/>
        <w:pageBreakBefore/>
        <w:numPr>
          <w:ilvl w:val="0"/>
          <w:numId w:val="2"/>
        </w:numPr>
        <w:snapToGrid w:val="0"/>
        <w:spacing w:before="120" w:after="120"/>
        <w:jc w:val="center"/>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公开招标公告</w:t>
      </w:r>
    </w:p>
    <w:p>
      <w:pPr>
        <w:pStyle w:val="15"/>
        <w:numPr>
          <w:ilvl w:val="0"/>
          <w:numId w:val="0"/>
        </w:numPr>
        <w:rPr>
          <w:rFonts w:hint="eastAsia" w:asciiTheme="minorEastAsia" w:hAnsiTheme="minorEastAsia" w:eastAsiaTheme="minorEastAsia" w:cstheme="minorEastAsia"/>
          <w:color w:val="000000" w:themeColor="text1"/>
          <w14:textFill>
            <w14:solidFill>
              <w14:schemeClr w14:val="tx1"/>
            </w14:solidFill>
          </w14:textFill>
        </w:rPr>
      </w:pPr>
    </w:p>
    <w:tbl>
      <w:tblPr>
        <w:tblStyle w:val="54"/>
        <w:tblW w:w="8632"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2" w:type="dxa"/>
          </w:tcPr>
          <w:p>
            <w:pPr>
              <w:snapToGrid w:val="0"/>
              <w:spacing w:line="40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项目概况</w:t>
            </w:r>
          </w:p>
          <w:p>
            <w:pPr>
              <w:snapToGrid w:val="0"/>
              <w:spacing w:line="400" w:lineRule="exact"/>
              <w:ind w:firstLine="420" w:firstLineChars="20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桂林市特殊困难老年人家庭适老化改造项目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招标项目的潜在投标人应在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"http://glggzy.org.cn）获取招标文件，并于2021年"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广西壮族自治区政府采购网（http://zfcg.gxzf.gov.cn/）或桂林市公共资源交易中心网（http://glggzy.org.cn）或桂林市政府采购网（http://gl.zfcg.zcygov.cn/）</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获取招标文件</w:t>
            </w:r>
            <w:r>
              <w:rPr>
                <w:rStyle w:val="60"/>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，并于</w:t>
            </w:r>
            <w:r>
              <w:rPr>
                <w:rStyle w:val="60"/>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202</w:t>
            </w:r>
            <w:r>
              <w:rPr>
                <w:rStyle w:val="60"/>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Style w:val="60"/>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年</w:t>
            </w:r>
            <w:r>
              <w:rPr>
                <w:rStyle w:val="60"/>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30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分（北京时间）前递交投标文件。</w:t>
            </w:r>
          </w:p>
        </w:tc>
      </w:tr>
    </w:tbl>
    <w:p>
      <w:pPr>
        <w:snapToGrid w:val="0"/>
        <w:spacing w:beforeLines="50" w:line="440" w:lineRule="exac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一、项目基本情况</w:t>
      </w:r>
    </w:p>
    <w:p>
      <w:pPr>
        <w:snapToGrid w:val="0"/>
        <w:spacing w:line="44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GLZC2022-G3-990436-YCJS</w:t>
      </w:r>
    </w:p>
    <w:p>
      <w:pPr>
        <w:snapToGrid w:val="0"/>
        <w:spacing w:line="44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桂林市特殊困难老年人家庭适老化改造项目</w:t>
      </w:r>
    </w:p>
    <w:p>
      <w:pPr>
        <w:snapToGrid w:val="0"/>
        <w:spacing w:line="44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预算金额（元）：2250000</w:t>
      </w:r>
    </w:p>
    <w:p>
      <w:pPr>
        <w:snapToGrid w:val="0"/>
        <w:spacing w:line="44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采购需求：</w:t>
      </w:r>
    </w:p>
    <w:p>
      <w:pPr>
        <w:spacing w:beforeLines="50" w:line="44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pPr>
        <w:spacing w:line="44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标项名称：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桂林市特殊困难老年人家庭适老化改造项目</w:t>
      </w:r>
    </w:p>
    <w:p>
      <w:pPr>
        <w:spacing w:line="44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数量：1</w:t>
      </w:r>
    </w:p>
    <w:p>
      <w:pPr>
        <w:spacing w:line="44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预算金额（元）：2250000</w:t>
      </w:r>
    </w:p>
    <w:p>
      <w:pPr>
        <w:spacing w:line="440" w:lineRule="exact"/>
        <w:ind w:firstLine="420" w:firstLineChars="200"/>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简要规格描述或项目基本概况介绍、用途：</w:t>
      </w:r>
      <w:r>
        <w:rPr>
          <w:rFonts w:hint="eastAsia" w:ascii="宋体" w:hAnsi="宋体" w:cs="宋体"/>
          <w:color w:val="000000" w:themeColor="text1"/>
          <w:sz w:val="21"/>
          <w:szCs w:val="21"/>
          <w14:textFill>
            <w14:solidFill>
              <w14:schemeClr w14:val="tx1"/>
            </w14:solidFill>
          </w14:textFill>
        </w:rPr>
        <w:t>（具体内容详见</w:t>
      </w:r>
      <w:r>
        <w:rPr>
          <w:rFonts w:hint="eastAsia" w:ascii="宋体" w:hAnsi="宋体" w:cs="宋体"/>
          <w:color w:val="000000" w:themeColor="text1"/>
          <w:sz w:val="21"/>
          <w:szCs w:val="21"/>
          <w:lang w:eastAsia="zh-CN"/>
          <w14:textFill>
            <w14:solidFill>
              <w14:schemeClr w14:val="tx1"/>
            </w14:solidFill>
          </w14:textFill>
        </w:rPr>
        <w:t>招标文件</w:t>
      </w:r>
      <w:r>
        <w:rPr>
          <w:rFonts w:hint="eastAsia" w:ascii="宋体" w:hAnsi="宋体" w:cs="宋体"/>
          <w:color w:val="000000" w:themeColor="text1"/>
          <w:sz w:val="21"/>
          <w:szCs w:val="21"/>
          <w14:textFill>
            <w14:solidFill>
              <w14:schemeClr w14:val="tx1"/>
            </w14:solidFill>
          </w14:textFill>
        </w:rPr>
        <w:t>的采购需求）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spacing w:line="44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最高限价（如有）：</w:t>
      </w:r>
      <w:r>
        <w:rPr>
          <w:rFonts w:hint="eastAsia" w:ascii="宋体" w:hAnsi="宋体" w:cs="宋体"/>
          <w:color w:val="000000" w:themeColor="text1"/>
          <w:sz w:val="21"/>
          <w:szCs w:val="21"/>
          <w14:textFill>
            <w14:solidFill>
              <w14:schemeClr w14:val="tx1"/>
            </w14:solidFill>
          </w14:textFill>
        </w:rPr>
        <w:t>2250000</w:t>
      </w:r>
    </w:p>
    <w:p>
      <w:pPr>
        <w:spacing w:line="44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合同履约期限：自签订合同之日起至合同履行完毕止。</w:t>
      </w:r>
    </w:p>
    <w:p>
      <w:pPr>
        <w:spacing w:line="44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本标项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接受联合体投标</w:t>
      </w:r>
    </w:p>
    <w:p>
      <w:pPr>
        <w:spacing w:line="44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snapToGrid w:val="0"/>
        <w:spacing w:beforeLines="50" w:line="440" w:lineRule="exac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二、申请人的资格要求：</w:t>
      </w:r>
    </w:p>
    <w:p>
      <w:pPr>
        <w:snapToGrid w:val="0"/>
        <w:spacing w:line="44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1.满足《中华人民共和国政府采购法》第二十二条规定；</w:t>
      </w:r>
    </w:p>
    <w:p>
      <w:pPr>
        <w:snapToGrid w:val="0"/>
        <w:spacing w:line="44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2.落实政府采购政策需满足的资格要求：</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提供本项目服务的供应商为中小微企业或监狱企业或残疾人企业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snapToGrid w:val="0"/>
        <w:spacing w:line="44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3.本项目的特定资格要求：</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snapToGrid w:val="0"/>
        <w:spacing w:beforeLines="50" w:line="440" w:lineRule="exact"/>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三、</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获取招标文件</w:t>
      </w:r>
    </w:p>
    <w:p>
      <w:pPr>
        <w:pStyle w:val="213"/>
        <w:spacing w:line="340" w:lineRule="exact"/>
        <w:ind w:firstLine="42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时间：202</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26</w:t>
      </w:r>
      <w:r>
        <w:rPr>
          <w:rFonts w:hint="eastAsia" w:ascii="宋体" w:hAnsi="宋体"/>
          <w:color w:val="000000" w:themeColor="text1"/>
          <w:sz w:val="21"/>
          <w:szCs w:val="21"/>
          <w14:textFill>
            <w14:solidFill>
              <w14:schemeClr w14:val="tx1"/>
            </w14:solidFill>
          </w14:textFill>
        </w:rPr>
        <w:t>日自发布公告之时至投标截止时间止；</w:t>
      </w:r>
    </w:p>
    <w:p>
      <w:pPr>
        <w:pStyle w:val="213"/>
        <w:spacing w:line="340" w:lineRule="exact"/>
        <w:ind w:firstLine="420"/>
        <w:rPr>
          <w:rFonts w:hint="eastAsia" w:ascii="宋体" w:hAnsi="宋体"/>
          <w:color w:val="000000" w:themeColor="text1"/>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地点（网址）：</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广西壮族自治区政府采购网（http://zfcg.gxzf.gov.cn/）或桂林市公共资源交易中心网（http://glggzy.org.cn）或桂林市政府采购网（http://gl.zfcg.zcygov.cn/）</w:t>
      </w:r>
      <w:r>
        <w:rPr>
          <w:rFonts w:hint="eastAsia" w:ascii="宋体" w:hAnsi="宋体"/>
          <w:color w:val="000000" w:themeColor="text1"/>
          <w:sz w:val="21"/>
          <w:szCs w:val="21"/>
          <w14:textFill>
            <w14:solidFill>
              <w14:schemeClr w14:val="tx1"/>
            </w14:solidFill>
          </w14:textFill>
        </w:rPr>
        <w:t>；</w:t>
      </w:r>
    </w:p>
    <w:p>
      <w:pPr>
        <w:pStyle w:val="213"/>
        <w:spacing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方式：登陆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广西壮族自治区政府采购网（http://zfcg.gxzf.gov.cn/）或桂林市公共资源交易中心网（http://glggzy.org.cn）或桂林市政府采购网（http://gl.zfcg.zcygov.cn/）</w:t>
      </w:r>
      <w:r>
        <w:rPr>
          <w:rFonts w:hint="eastAsia" w:ascii="宋体" w:hAnsi="宋体"/>
          <w:color w:val="000000" w:themeColor="text1"/>
          <w:szCs w:val="21"/>
          <w14:textFill>
            <w14:solidFill>
              <w14:schemeClr w14:val="tx1"/>
            </w14:solidFill>
          </w14:textFill>
        </w:rPr>
        <w:t>，从网上免费下载招标文件电子版；</w:t>
      </w:r>
    </w:p>
    <w:p>
      <w:pPr>
        <w:snapToGrid w:val="0"/>
        <w:spacing w:line="440" w:lineRule="exact"/>
        <w:ind w:firstLine="42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售价（元）：</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0。</w:t>
      </w:r>
    </w:p>
    <w:p>
      <w:pPr>
        <w:snapToGrid w:val="0"/>
        <w:spacing w:beforeLines="50"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四、提交投标文件截止时间、开标时间和地点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pStyle w:val="213"/>
        <w:spacing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提交投标文件截止时间：202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16</w:t>
      </w:r>
      <w:r>
        <w:rPr>
          <w:rFonts w:hint="eastAsia" w:ascii="宋体" w:hAnsi="宋体"/>
          <w:color w:val="000000" w:themeColor="text1"/>
          <w:szCs w:val="21"/>
          <w14:textFill>
            <w14:solidFill>
              <w14:schemeClr w14:val="tx1"/>
            </w14:solidFill>
          </w14:textFill>
        </w:rPr>
        <w:t>日上午9时30分（北京时间）。</w:t>
      </w:r>
    </w:p>
    <w:p>
      <w:pPr>
        <w:pStyle w:val="213"/>
        <w:spacing w:line="340" w:lineRule="exact"/>
        <w:ind w:firstLine="42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投标地点（网址）：通过政采云平台实行在线投标。</w:t>
      </w:r>
    </w:p>
    <w:p>
      <w:pPr>
        <w:pStyle w:val="213"/>
        <w:spacing w:line="340" w:lineRule="exact"/>
        <w:ind w:firstLine="42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开标时间： 202</w:t>
      </w:r>
      <w:r>
        <w:rPr>
          <w:rFonts w:hint="eastAsia" w:ascii="宋体" w:hAnsi="宋体" w:eastAsia="宋体"/>
          <w:color w:val="000000" w:themeColor="text1"/>
          <w:szCs w:val="21"/>
          <w:lang w:val="en-US" w:eastAsia="zh-CN"/>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16</w:t>
      </w:r>
      <w:r>
        <w:rPr>
          <w:rFonts w:hint="eastAsia" w:ascii="宋体" w:hAnsi="宋体" w:eastAsia="宋体"/>
          <w:color w:val="000000" w:themeColor="text1"/>
          <w:szCs w:val="21"/>
          <w14:textFill>
            <w14:solidFill>
              <w14:schemeClr w14:val="tx1"/>
            </w14:solidFill>
          </w14:textFill>
        </w:rPr>
        <w:t>日上午9时30分（北京时间）；</w:t>
      </w:r>
    </w:p>
    <w:p>
      <w:pPr>
        <w:pStyle w:val="213"/>
        <w:spacing w:line="340" w:lineRule="exact"/>
        <w:ind w:firstLine="42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开标地点（网址）：通过政采云平台实行在线投标。</w:t>
      </w:r>
    </w:p>
    <w:p>
      <w:pPr>
        <w:snapToGrid w:val="0"/>
        <w:spacing w:beforeLines="50" w:line="4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五、公共期限</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自本公告发布之日起5个工作日。</w:t>
      </w:r>
    </w:p>
    <w:p>
      <w:pPr>
        <w:snapToGrid w:val="0"/>
        <w:spacing w:beforeLines="50" w:line="440" w:lineRule="exac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六、其他补充事宜：</w:t>
      </w:r>
    </w:p>
    <w:p>
      <w:pPr>
        <w:pStyle w:val="213"/>
        <w:spacing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13"/>
        <w:spacing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pPr>
        <w:pStyle w:val="213"/>
        <w:spacing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3.本项目需要落实的政府采购政策：</w:t>
      </w:r>
    </w:p>
    <w:p>
      <w:pPr>
        <w:pStyle w:val="213"/>
        <w:spacing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3.1本项目专门面向中小微企业采购，《政府采购促进中小企业发展管理办法》（财库[2020]46号）。</w:t>
      </w:r>
    </w:p>
    <w:p>
      <w:pPr>
        <w:pStyle w:val="213"/>
        <w:spacing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3.2《关于政府采购支持监狱企业发展有关问题的通知》（财库[2014]68号）。 </w:t>
      </w:r>
    </w:p>
    <w:p>
      <w:pPr>
        <w:pStyle w:val="213"/>
        <w:spacing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3.3《关于促进残疾人就业政府采购政策的通知》（财库[2017]141号）。</w:t>
      </w:r>
    </w:p>
    <w:p>
      <w:pPr>
        <w:keepLines w:val="0"/>
        <w:pageBreakBefore w:val="0"/>
        <w:widowControl/>
        <w:numPr>
          <w:ilvl w:val="0"/>
          <w:numId w:val="0"/>
        </w:numPr>
        <w:kinsoku/>
        <w:wordWrap/>
        <w:overflowPunct/>
        <w:topLinePunct w:val="0"/>
        <w:autoSpaceDE/>
        <w:autoSpaceDN/>
        <w:bidi w:val="0"/>
        <w:adjustRightInd/>
        <w:snapToGrid/>
        <w:spacing w:before="0" w:after="0" w:line="240" w:lineRule="auto"/>
        <w:ind w:firstLine="420" w:firstLineChars="200"/>
        <w:textAlignment w:val="auto"/>
        <w:outlineLvl w:val="9"/>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信息公告发布媒体：</w:t>
      </w:r>
    </w:p>
    <w:p>
      <w:pPr>
        <w:keepLines w:val="0"/>
        <w:pageBreakBefore w:val="0"/>
        <w:widowControl/>
        <w:numPr>
          <w:ilvl w:val="0"/>
          <w:numId w:val="0"/>
        </w:numPr>
        <w:kinsoku/>
        <w:wordWrap/>
        <w:overflowPunct/>
        <w:topLinePunct w:val="0"/>
        <w:autoSpaceDE/>
        <w:autoSpaceDN/>
        <w:bidi w:val="0"/>
        <w:adjustRightInd/>
        <w:snapToGrid/>
        <w:spacing w:before="0" w:after="0" w:line="240" w:lineRule="auto"/>
        <w:ind w:firstLine="630" w:firstLineChars="300"/>
        <w:textAlignment w:val="auto"/>
        <w:outlineLvl w:val="9"/>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桂林市公共资源交易中心网（glggzy.org.cn）</w:t>
      </w:r>
    </w:p>
    <w:p>
      <w:pPr>
        <w:keepLines w:val="0"/>
        <w:pageBreakBefore w:val="0"/>
        <w:widowControl/>
        <w:kinsoku/>
        <w:wordWrap/>
        <w:overflowPunct/>
        <w:topLinePunct w:val="0"/>
        <w:autoSpaceDE/>
        <w:autoSpaceDN/>
        <w:bidi w:val="0"/>
        <w:adjustRightInd/>
        <w:snapToGrid/>
        <w:spacing w:before="0" w:after="0" w:line="240" w:lineRule="auto"/>
        <w:ind w:firstLine="630" w:firstLineChars="300"/>
        <w:textAlignment w:val="auto"/>
        <w:outlineLvl w:val="9"/>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桂林市政府采购网（zfcg.czj.guilin.gov.cn）</w:t>
      </w:r>
    </w:p>
    <w:p>
      <w:pPr>
        <w:keepLines w:val="0"/>
        <w:pageBreakBefore w:val="0"/>
        <w:widowControl/>
        <w:kinsoku/>
        <w:wordWrap/>
        <w:overflowPunct/>
        <w:topLinePunct w:val="0"/>
        <w:autoSpaceDE/>
        <w:autoSpaceDN/>
        <w:bidi w:val="0"/>
        <w:adjustRightInd/>
        <w:snapToGrid/>
        <w:spacing w:before="0" w:after="0" w:line="240" w:lineRule="auto"/>
        <w:ind w:firstLine="630" w:firstLineChars="300"/>
        <w:textAlignment w:val="auto"/>
        <w:outlineLvl w:val="9"/>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广西壮族自治区政府采购网（www.ccgp-guangxi.gov.cn）</w:t>
      </w:r>
    </w:p>
    <w:p>
      <w:pPr>
        <w:keepLines w:val="0"/>
        <w:pageBreakBefore w:val="0"/>
        <w:widowControl/>
        <w:kinsoku/>
        <w:wordWrap/>
        <w:overflowPunct/>
        <w:topLinePunct w:val="0"/>
        <w:autoSpaceDE/>
        <w:autoSpaceDN/>
        <w:bidi w:val="0"/>
        <w:adjustRightInd/>
        <w:snapToGrid/>
        <w:spacing w:before="0" w:after="0" w:line="240" w:lineRule="auto"/>
        <w:ind w:firstLine="630" w:firstLineChars="300"/>
        <w:textAlignment w:val="auto"/>
        <w:outlineLvl w:val="9"/>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中国政府采购网（www.ccgp.gov.cn）</w:t>
      </w:r>
    </w:p>
    <w:p>
      <w:pPr>
        <w:pStyle w:val="213"/>
        <w:spacing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投标文件解密时间：投标截止时间后30分钟内投标人可以登录政采云平台，用“项目采购-开标评标”功能进行解密投标文件。若投标人在规定时间内无法解密或解密失败，可以以电子备份投标文件作为依据【在接到无法解密或解密失败的通知后，投标人可根据自身实际情况按通知时要求的时间到桂林市公共资源交易中心</w:t>
      </w:r>
      <w:r>
        <w:rPr>
          <w:rFonts w:hint="eastAsia" w:ascii="宋体" w:hAnsi="宋体"/>
          <w:color w:val="000000" w:themeColor="text1"/>
          <w:szCs w:val="21"/>
          <w:u w:val="single"/>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号开标室现场提交或以电子邮件的形式（以通知时所告知的电子邮箱地址为准）提交电子备份投标文件】，若投标人在规定时间内无法解密或解密失败且未提供电子备份投标文件的（包含提供的电子备份文件无效或无法解密的情况），视为投标无效。</w:t>
      </w:r>
    </w:p>
    <w:p>
      <w:pPr>
        <w:pStyle w:val="213"/>
        <w:spacing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在线投标（电子投标）说明</w:t>
      </w:r>
    </w:p>
    <w:p>
      <w:pPr>
        <w:pStyle w:val="213"/>
        <w:spacing w:line="340" w:lineRule="exact"/>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本项目实行全流程电子化采购，投标人通过“政采云”平台参与在线响应（电子响应），并应做好以下相关准备工作：①在“政采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投标人尽快办理）；③下载“广西壮族自治区全流程电子招投标项目管理系统--投标人客户端”（操作方法详见广西壮族自治区政府采购网—办事服务—下载专区，以下称“政采云电子投标客户端”）并安装成功，投标人应当在提交投标文件截止时间前在“政采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在线响应（电子响应）或响应失败的，造成的一切后果，由投标人自行承担。</w:t>
      </w:r>
    </w:p>
    <w:p>
      <w:pPr>
        <w:snapToGrid w:val="0"/>
        <w:spacing w:line="440" w:lineRule="exact"/>
        <w:ind w:firstLine="42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6.2在线响应（电子响应）具体操作流程参考《政府采购项目电子交易管理操作指南-供应商》（详见桂林市政府采购网—采购资讯—重要通知）；如遇平台技术问题详询400-881-7190</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snapToGrid w:val="0"/>
        <w:spacing w:beforeLines="50" w:line="440" w:lineRule="exact"/>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七、对本次招标提出询问，请按以下方式联系：</w:t>
      </w:r>
    </w:p>
    <w:p>
      <w:pPr>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1.采购人信息</w:t>
      </w:r>
    </w:p>
    <w:p>
      <w:pPr>
        <w:snapToGrid w:val="0"/>
        <w:spacing w:line="440" w:lineRule="exact"/>
        <w:ind w:firstLine="720" w:firstLineChars="3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桂林市民政局</w:t>
      </w:r>
    </w:p>
    <w:p>
      <w:pPr>
        <w:snapToGrid w:val="0"/>
        <w:spacing w:line="440" w:lineRule="exact"/>
        <w:ind w:firstLine="720" w:firstLineChars="3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桂林市临桂区青莲路住建大厦北楼3-5层</w:t>
      </w:r>
    </w:p>
    <w:p>
      <w:pPr>
        <w:snapToGrid w:val="0"/>
        <w:spacing w:line="440" w:lineRule="exact"/>
        <w:ind w:firstLine="720" w:firstLineChars="300"/>
        <w:rPr>
          <w:rFonts w:hint="default" w:asciiTheme="minorEastAsia" w:hAnsiTheme="minorEastAsia" w:eastAsiaTheme="minorEastAsia" w:cstheme="minorEastAsia"/>
          <w:color w:val="000000" w:themeColor="text1"/>
          <w:sz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李俊</w:t>
      </w:r>
    </w:p>
    <w:p>
      <w:pPr>
        <w:snapToGrid w:val="0"/>
        <w:spacing w:line="440" w:lineRule="exact"/>
        <w:ind w:firstLine="720" w:firstLineChars="300"/>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项目联系方式：</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0773-</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2868886</w:t>
      </w:r>
    </w:p>
    <w:p>
      <w:pPr>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2.采购代理机构信息</w:t>
      </w:r>
    </w:p>
    <w:p>
      <w:pPr>
        <w:snapToGrid w:val="0"/>
        <w:spacing w:line="440" w:lineRule="exact"/>
        <w:ind w:firstLine="720" w:firstLineChars="3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亿诚建设项目管理有限公司</w:t>
      </w:r>
    </w:p>
    <w:p>
      <w:pPr>
        <w:snapToGrid w:val="0"/>
        <w:spacing w:line="440" w:lineRule="exact"/>
        <w:ind w:firstLine="720" w:firstLineChars="3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桂林市秀峰区琴潭道13号清华园A-3栋3号</w:t>
      </w:r>
    </w:p>
    <w:p>
      <w:pPr>
        <w:snapToGrid w:val="0"/>
        <w:spacing w:line="440" w:lineRule="exact"/>
        <w:ind w:firstLine="720" w:firstLineChars="3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秦工</w:t>
      </w:r>
    </w:p>
    <w:p>
      <w:pPr>
        <w:snapToGrid w:val="0"/>
        <w:spacing w:line="440" w:lineRule="exact"/>
        <w:ind w:firstLine="720" w:firstLineChars="3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项目联系方式：0773-</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8999431</w:t>
      </w:r>
    </w:p>
    <w:p>
      <w:pPr>
        <w:pStyle w:val="63"/>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p>
      <w:pPr>
        <w:pStyle w:val="63"/>
        <w:ind w:firstLine="4800" w:firstLineChars="20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p>
      <w:pPr>
        <w:pStyle w:val="63"/>
        <w:ind w:firstLine="6480" w:firstLineChars="27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hAnsi="宋体" w:cs="Arial"/>
          <w:color w:val="000000" w:themeColor="text1"/>
          <w:szCs w:val="21"/>
          <w:lang w:val="en-US" w:eastAsia="zh-CN"/>
          <w14:textFill>
            <w14:solidFill>
              <w14:schemeClr w14:val="tx1"/>
            </w14:solidFill>
          </w14:textFill>
        </w:rPr>
        <w:t xml:space="preserve"> </w:t>
      </w:r>
    </w:p>
    <w:p>
      <w:pPr>
        <w:pStyle w:val="63"/>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p>
      <w:pPr>
        <w:pStyle w:val="63"/>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p>
      <w:pPr>
        <w:pStyle w:val="63"/>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p>
      <w:pPr>
        <w:pStyle w:val="27"/>
        <w:pageBreakBefore/>
        <w:snapToGrid w:val="0"/>
        <w:spacing w:before="120" w:after="120"/>
        <w:jc w:val="center"/>
        <w:outlineLvl w:val="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第二章 投标人须知</w:t>
      </w:r>
    </w:p>
    <w:p>
      <w:pPr>
        <w:tabs>
          <w:tab w:val="left" w:pos="1065"/>
          <w:tab w:val="center" w:pos="4411"/>
        </w:tabs>
        <w:spacing w:line="440" w:lineRule="atLeas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 标 人 须 知 前 附 表</w:t>
      </w:r>
    </w:p>
    <w:tbl>
      <w:tblPr>
        <w:tblStyle w:val="53"/>
        <w:tblW w:w="8618"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992"/>
        <w:gridCol w:w="1418"/>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条款号</w:t>
            </w:r>
          </w:p>
        </w:tc>
        <w:tc>
          <w:tcPr>
            <w:tcW w:w="141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条款名称</w:t>
            </w:r>
          </w:p>
        </w:tc>
        <w:tc>
          <w:tcPr>
            <w:tcW w:w="570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41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项目名称及项目编号</w:t>
            </w:r>
          </w:p>
        </w:tc>
        <w:tc>
          <w:tcPr>
            <w:tcW w:w="5708" w:type="dxa"/>
            <w:noWrap w:val="0"/>
            <w:vAlign w:val="center"/>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lang w:eastAsia="zh-CN"/>
                <w14:textFill>
                  <w14:solidFill>
                    <w14:schemeClr w14:val="tx1"/>
                  </w14:solidFill>
                </w14:textFill>
              </w:rPr>
              <w:t>桂林市特殊困难老年人家庭适老化改造项目</w:t>
            </w:r>
            <w:r>
              <w:rPr>
                <w:rFonts w:hint="eastAsia" w:ascii="宋体" w:hAnsi="宋体"/>
                <w:color w:val="000000" w:themeColor="text1"/>
                <w:szCs w:val="21"/>
                <w14:textFill>
                  <w14:solidFill>
                    <w14:schemeClr w14:val="tx1"/>
                  </w14:solidFill>
                </w14:textFill>
              </w:rPr>
              <w:t xml:space="preserve">； </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GLZC2022-G3-990436-YCJS</w:t>
            </w: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41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投标人资格</w:t>
            </w:r>
          </w:p>
        </w:tc>
        <w:tc>
          <w:tcPr>
            <w:tcW w:w="5708" w:type="dxa"/>
            <w:noWrap w:val="0"/>
            <w:vAlign w:val="center"/>
          </w:tcPr>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5.1满足《中华人民共和国政府采购法》第二十二条规定；</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5.2落实政府采购政策需满足的资格要求：</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提供本项目服务的供应商为中小微企业或监狱企业或残疾人企业</w:t>
            </w:r>
            <w:r>
              <w:rPr>
                <w:rFonts w:hint="eastAsia" w:ascii="宋体" w:hAnsi="宋体"/>
                <w:color w:val="000000" w:themeColor="text1"/>
                <w:szCs w:val="21"/>
                <w14:textFill>
                  <w14:solidFill>
                    <w14:schemeClr w14:val="tx1"/>
                  </w14:solidFill>
                </w14:textFill>
              </w:rPr>
              <w:t>；</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5.3本项目的特定资格要求：</w:t>
            </w:r>
            <w:r>
              <w:rPr>
                <w:rFonts w:hint="eastAsia" w:ascii="宋体" w:hAnsi="宋体"/>
                <w:b/>
                <w:bCs/>
                <w:color w:val="000000" w:themeColor="text1"/>
                <w:szCs w:val="21"/>
                <w:lang w:eastAsia="zh-CN"/>
                <w14:textFill>
                  <w14:solidFill>
                    <w14:schemeClr w14:val="tx1"/>
                  </w14:solidFill>
                </w14:textFill>
              </w:rPr>
              <w:t>无</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418" w:type="dxa"/>
            <w:noWrap w:val="0"/>
            <w:vAlign w:val="center"/>
          </w:tcPr>
          <w:p>
            <w:pPr>
              <w:spacing w:line="340" w:lineRule="exact"/>
              <w:jc w:val="center"/>
              <w:rPr>
                <w:rFonts w:ascii="宋体" w:hAnsi="宋体"/>
                <w:color w:val="000000" w:themeColor="text1"/>
                <w:position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投标费用</w:t>
            </w:r>
          </w:p>
        </w:tc>
        <w:tc>
          <w:tcPr>
            <w:tcW w:w="5708" w:type="dxa"/>
            <w:noWrap w:val="0"/>
            <w:vAlign w:val="center"/>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本项目实行网上评审，采用电子投标文件；若投标人参与项目投标的，不论投标结果如何，均应自行承担所有与投标有关的全部费用。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992" w:type="dxa"/>
            <w:noWrap w:val="0"/>
            <w:vAlign w:val="center"/>
          </w:tcPr>
          <w:p>
            <w:pPr>
              <w:spacing w:line="340" w:lineRule="exact"/>
              <w:jc w:val="center"/>
              <w:rPr>
                <w:rFonts w:ascii="宋体" w:hAnsi="宋体"/>
                <w:color w:val="000000" w:themeColor="text1"/>
                <w:position w:val="-2"/>
                <w:szCs w:val="21"/>
                <w14:textFill>
                  <w14:solidFill>
                    <w14:schemeClr w14:val="tx1"/>
                  </w14:solidFill>
                </w14:textFill>
              </w:rPr>
            </w:pPr>
            <w:r>
              <w:rPr>
                <w:rFonts w:hint="eastAsia" w:ascii="宋体" w:hAnsi="宋体"/>
                <w:color w:val="000000" w:themeColor="text1"/>
                <w:position w:val="-2"/>
                <w:szCs w:val="21"/>
                <w14:textFill>
                  <w14:solidFill>
                    <w14:schemeClr w14:val="tx1"/>
                  </w14:solidFill>
                </w14:textFill>
              </w:rPr>
              <w:t>15</w:t>
            </w:r>
          </w:p>
        </w:tc>
        <w:tc>
          <w:tcPr>
            <w:tcW w:w="141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投标报价及采购预算金额</w:t>
            </w:r>
          </w:p>
        </w:tc>
        <w:tc>
          <w:tcPr>
            <w:tcW w:w="5708" w:type="dxa"/>
            <w:noWrap w:val="0"/>
            <w:vAlign w:val="center"/>
          </w:tcPr>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15.2投标人必须就“服务采购需求”中所投服务内容作完整唯一报价，否则，其投标将被拒绝；投标文件只允许有一个报价，有选择的或有条件的报价将不予接受。</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15.3本项目采购预算金额（人民币）：2250000</w:t>
            </w:r>
            <w:r>
              <w:rPr>
                <w:rFonts w:hint="eastAsia" w:ascii="宋体" w:hAnsi="宋体"/>
                <w:color w:val="000000" w:themeColor="text1"/>
                <w:szCs w:val="21"/>
                <w:lang w:val="en-US" w:eastAsia="zh-CN"/>
                <w14:textFill>
                  <w14:solidFill>
                    <w14:schemeClr w14:val="tx1"/>
                  </w14:solidFill>
                </w14:textFill>
              </w:rPr>
              <w:t>元</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投标报价</w:t>
            </w:r>
            <w:r>
              <w:rPr>
                <w:rFonts w:hint="eastAsia" w:ascii="宋体" w:hAnsi="宋体"/>
                <w:color w:val="000000" w:themeColor="text1"/>
                <w:szCs w:val="21"/>
                <w:lang w:eastAsia="zh-CN"/>
                <w14:textFill>
                  <w14:solidFill>
                    <w14:schemeClr w14:val="tx1"/>
                  </w14:solidFill>
                </w14:textFill>
              </w:rPr>
              <w:t>超</w:t>
            </w:r>
            <w:r>
              <w:rPr>
                <w:rFonts w:hint="eastAsia" w:ascii="宋体" w:hAnsi="宋体"/>
                <w:color w:val="000000" w:themeColor="text1"/>
                <w:szCs w:val="21"/>
                <w:lang w:val="en-US" w:eastAsia="zh-CN"/>
                <w14:textFill>
                  <w14:solidFill>
                    <w14:schemeClr w14:val="tx1"/>
                  </w14:solidFill>
                </w14:textFill>
              </w:rPr>
              <w:t>过采购预算</w:t>
            </w:r>
            <w:r>
              <w:rPr>
                <w:rFonts w:hint="eastAsia" w:ascii="宋体" w:hAnsi="宋体"/>
                <w:color w:val="000000" w:themeColor="text1"/>
                <w:szCs w:val="21"/>
                <w:lang w:eastAsia="zh-CN"/>
                <w14:textFill>
                  <w14:solidFill>
                    <w14:schemeClr w14:val="tx1"/>
                  </w14:solidFill>
                </w14:textFill>
              </w:rPr>
              <w:t>金额的将被视为无效投标</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评标委员会认为投标人的投标报价明显低于其他通过符合性审查投标人的投标报价，有可能影响产品质量或者不能诚信履约的，应当要求其在评标现场合理的时间内提供书面说明（线上提交），必要时提交相关证明材料；投标人不能证明其投标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w:t>
            </w:r>
          </w:p>
        </w:tc>
        <w:tc>
          <w:tcPr>
            <w:tcW w:w="141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5708" w:type="dxa"/>
            <w:noWrap w:val="0"/>
            <w:vAlign w:val="center"/>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投标截止时间之日起90天，有效期不足的投标文件将被拒绝</w:t>
            </w:r>
            <w:r>
              <w:rPr>
                <w:rFonts w:ascii="宋体" w:hAnsi="宋体" w:cs="Arial"/>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00" w:type="dxa"/>
            <w:noWrap w:val="0"/>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992" w:type="dxa"/>
            <w:noWrap w:val="0"/>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1418" w:type="dxa"/>
            <w:noWrap w:val="0"/>
            <w:vAlign w:val="center"/>
          </w:tcPr>
          <w:p>
            <w:pPr>
              <w:spacing w:line="340" w:lineRule="exact"/>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投标文件的制作</w:t>
            </w:r>
          </w:p>
        </w:tc>
        <w:tc>
          <w:tcPr>
            <w:tcW w:w="5708" w:type="dxa"/>
            <w:noWrap w:val="0"/>
            <w:vAlign w:val="center"/>
          </w:tcPr>
          <w:p>
            <w:pPr>
              <w:spacing w:line="340" w:lineRule="exac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17.1 电子投标文件中须加盖投标人公章部分均采用 CA 电子签章，并根据“政府采购项目电子交易管理操作指南-供应商” 及本招标文件规定的格式和顺序编制电子投标文件并进行关联定位，以便评标委员会在评审时，点击评审项可直接定位到该评审项内容。如对招标文件的某项要求，投标人的电子投标文件未能关联定位提供相应的内容与其对应，则评标委员会在评审时如做出对投标人不利的评审判断或结果由投标人自行承担。电子投标文件如内容不完整、编排混乱导致投标文件被误读、 漏读，或者在按招标文件规定的部位查找不到相关内容的，由投标人自行承担。</w:t>
            </w:r>
          </w:p>
          <w:p>
            <w:pPr>
              <w:spacing w:line="340" w:lineRule="exac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17.2 投标人的法定代表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40" w:lineRule="exac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17.3 投标文件不得涂改，若有修改错漏处，须由法定代表人（负责人）或授权委托人签字（或个人CA签章）。投标文件因字迹潦草或表达不清所引起的后果由投标人负责。</w:t>
            </w:r>
          </w:p>
          <w:p>
            <w:pPr>
              <w:spacing w:line="340" w:lineRule="exac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17.4特别说明：</w:t>
            </w:r>
          </w:p>
          <w:p>
            <w:pPr>
              <w:spacing w:line="340" w:lineRule="exac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17.4.1各投标人应在投标截止前确保成为政采云平台正式注册入库供应商，并完成CA数字证书申领。因未注册入库、未办理CA数字证书等原因造成无法投标或投标失败等后果由投标人自行承担。 </w:t>
            </w:r>
          </w:p>
          <w:p>
            <w:pPr>
              <w:spacing w:line="340" w:lineRule="exac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17.4.2投标人将政采云电子交易客户端下载、安装完成后，可通过账号密码或CA登录客户端进行投标文件制作。客户端请至网站下载专区查看，如有问题可拨打政采云客户服务热线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992" w:type="dxa"/>
            <w:noWrap w:val="0"/>
            <w:vAlign w:val="center"/>
          </w:tcPr>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w:t>
            </w:r>
          </w:p>
        </w:tc>
        <w:tc>
          <w:tcPr>
            <w:tcW w:w="1418" w:type="dxa"/>
            <w:noWrap w:val="0"/>
            <w:vAlign w:val="center"/>
          </w:tcPr>
          <w:p>
            <w:pPr>
              <w:spacing w:line="34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投标文件的补充、修改和撤回</w:t>
            </w:r>
          </w:p>
        </w:tc>
        <w:tc>
          <w:tcPr>
            <w:tcW w:w="5708" w:type="dxa"/>
            <w:noWrap w:val="0"/>
            <w:vAlign w:val="center"/>
          </w:tcPr>
          <w:p>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18.1投标文件递交截止时间前可以撤回电子投标文件。补充或者修改电子投标文件的，应当先行撤回原文件，补充、修改后重新上传递交，在投标文件递交截止时间前未完成传输的，视为撤回投标文件。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992" w:type="dxa"/>
            <w:noWrap w:val="0"/>
            <w:vAlign w:val="center"/>
          </w:tcPr>
          <w:p>
            <w:pPr>
              <w:spacing w:line="340" w:lineRule="exact"/>
              <w:jc w:val="center"/>
              <w:rPr>
                <w:rFonts w:ascii="宋体" w:hAnsi="宋体"/>
                <w:color w:val="000000" w:themeColor="text1"/>
                <w:position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19.1</w:t>
            </w:r>
          </w:p>
        </w:tc>
        <w:tc>
          <w:tcPr>
            <w:tcW w:w="1418" w:type="dxa"/>
            <w:noWrap w:val="0"/>
            <w:vAlign w:val="center"/>
          </w:tcPr>
          <w:p>
            <w:pPr>
              <w:spacing w:line="340" w:lineRule="exact"/>
              <w:jc w:val="center"/>
              <w:rPr>
                <w:rFonts w:ascii="宋体" w:hAnsi="宋体"/>
                <w:b/>
                <w:bCs/>
                <w:color w:val="000000" w:themeColor="text1"/>
                <w:position w:val="-2"/>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提交投标文件截止时间</w:t>
            </w:r>
          </w:p>
        </w:tc>
        <w:tc>
          <w:tcPr>
            <w:tcW w:w="5708" w:type="dxa"/>
            <w:noWrap w:val="0"/>
            <w:vAlign w:val="center"/>
          </w:tcPr>
          <w:p>
            <w:pPr>
              <w:tabs>
                <w:tab w:val="left" w:pos="7200"/>
              </w:tabs>
              <w:spacing w:line="340" w:lineRule="exac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提交投标文件截止时间：</w:t>
            </w:r>
            <w:r>
              <w:rPr>
                <w:rFonts w:hint="eastAsia" w:ascii="宋体" w:hAnsi="宋体"/>
                <w:b/>
                <w:bCs/>
                <w:color w:val="000000" w:themeColor="text1"/>
                <w:szCs w:val="21"/>
                <w:lang w:eastAsia="zh-CN"/>
                <w14:textFill>
                  <w14:solidFill>
                    <w14:schemeClr w14:val="tx1"/>
                  </w14:solidFill>
                </w14:textFill>
              </w:rPr>
              <w:t>2022年</w:t>
            </w:r>
            <w:r>
              <w:rPr>
                <w:rFonts w:hint="eastAsia" w:ascii="宋体" w:hAnsi="宋体"/>
                <w:b/>
                <w:bCs/>
                <w:color w:val="000000" w:themeColor="text1"/>
                <w:szCs w:val="21"/>
                <w:lang w:val="en-US" w:eastAsia="zh-CN"/>
                <w14:textFill>
                  <w14:solidFill>
                    <w14:schemeClr w14:val="tx1"/>
                  </w14:solidFill>
                </w14:textFill>
              </w:rPr>
              <w:t>9</w:t>
            </w:r>
            <w:r>
              <w:rPr>
                <w:rFonts w:hint="eastAsia" w:ascii="宋体" w:hAnsi="宋体"/>
                <w:b/>
                <w:bCs/>
                <w:color w:val="000000" w:themeColor="text1"/>
                <w:szCs w:val="21"/>
                <w:lang w:eastAsia="zh-CN"/>
                <w14:textFill>
                  <w14:solidFill>
                    <w14:schemeClr w14:val="tx1"/>
                  </w14:solidFill>
                </w14:textFill>
              </w:rPr>
              <w:t>月</w:t>
            </w:r>
            <w:r>
              <w:rPr>
                <w:rFonts w:hint="eastAsia" w:ascii="宋体" w:hAnsi="宋体"/>
                <w:b/>
                <w:bCs/>
                <w:color w:val="000000" w:themeColor="text1"/>
                <w:szCs w:val="21"/>
                <w:lang w:val="en-US" w:eastAsia="zh-CN"/>
                <w14:textFill>
                  <w14:solidFill>
                    <w14:schemeClr w14:val="tx1"/>
                  </w14:solidFill>
                </w14:textFill>
              </w:rPr>
              <w:t>16</w:t>
            </w:r>
            <w:r>
              <w:rPr>
                <w:rFonts w:hint="eastAsia" w:ascii="宋体" w:hAnsi="宋体"/>
                <w:b/>
                <w:bCs/>
                <w:color w:val="000000" w:themeColor="text1"/>
                <w:szCs w:val="21"/>
                <w:lang w:eastAsia="zh-CN"/>
                <w14:textFill>
                  <w14:solidFill>
                    <w14:schemeClr w14:val="tx1"/>
                  </w14:solidFill>
                </w14:textFill>
              </w:rPr>
              <w:t>日</w:t>
            </w:r>
            <w:r>
              <w:rPr>
                <w:rFonts w:hint="eastAsia" w:ascii="宋体" w:hAnsi="宋体"/>
                <w:b/>
                <w:bCs/>
                <w:color w:val="000000" w:themeColor="text1"/>
                <w:szCs w:val="21"/>
                <w14:textFill>
                  <w14:solidFill>
                    <w14:schemeClr w14:val="tx1"/>
                  </w14:solidFill>
                </w14:textFill>
              </w:rPr>
              <w:t>9时30分（北京时间）。</w:t>
            </w:r>
          </w:p>
          <w:p>
            <w:pPr>
              <w:widowControl/>
              <w:shd w:val="clear" w:color="auto" w:fill="FFFFFF"/>
              <w:tabs>
                <w:tab w:val="left" w:pos="7200"/>
              </w:tabs>
              <w:spacing w:line="340" w:lineRule="exact"/>
              <w:jc w:val="left"/>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投标人应于</w:t>
            </w:r>
            <w:r>
              <w:rPr>
                <w:rFonts w:hint="eastAsia" w:ascii="宋体" w:hAnsi="宋体" w:cs="宋体"/>
                <w:b/>
                <w:bCs/>
                <w:color w:val="000000" w:themeColor="text1"/>
                <w:szCs w:val="21"/>
                <w14:textFill>
                  <w14:solidFill>
                    <w14:schemeClr w14:val="tx1"/>
                  </w14:solidFill>
                </w14:textFill>
              </w:rPr>
              <w:t>于</w:t>
            </w:r>
            <w:r>
              <w:rPr>
                <w:rFonts w:hint="eastAsia" w:ascii="宋体" w:hAnsi="宋体"/>
                <w:b/>
                <w:bCs/>
                <w:color w:val="000000" w:themeColor="text1"/>
                <w:szCs w:val="21"/>
                <w:lang w:eastAsia="zh-CN"/>
                <w14:textFill>
                  <w14:solidFill>
                    <w14:schemeClr w14:val="tx1"/>
                  </w14:solidFill>
                </w14:textFill>
              </w:rPr>
              <w:t>2022年</w:t>
            </w:r>
            <w:r>
              <w:rPr>
                <w:rFonts w:hint="eastAsia" w:ascii="宋体" w:hAnsi="宋体"/>
                <w:b/>
                <w:bCs/>
                <w:color w:val="000000" w:themeColor="text1"/>
                <w:szCs w:val="21"/>
                <w:lang w:val="en-US" w:eastAsia="zh-CN"/>
                <w14:textFill>
                  <w14:solidFill>
                    <w14:schemeClr w14:val="tx1"/>
                  </w14:solidFill>
                </w14:textFill>
              </w:rPr>
              <w:t>9</w:t>
            </w:r>
            <w:r>
              <w:rPr>
                <w:rFonts w:hint="eastAsia" w:ascii="宋体" w:hAnsi="宋体"/>
                <w:b/>
                <w:bCs/>
                <w:color w:val="000000" w:themeColor="text1"/>
                <w:szCs w:val="21"/>
                <w:lang w:eastAsia="zh-CN"/>
                <w14:textFill>
                  <w14:solidFill>
                    <w14:schemeClr w14:val="tx1"/>
                  </w14:solidFill>
                </w14:textFill>
              </w:rPr>
              <w:t>月</w:t>
            </w:r>
            <w:r>
              <w:rPr>
                <w:rFonts w:hint="eastAsia" w:ascii="宋体" w:hAnsi="宋体"/>
                <w:b/>
                <w:bCs/>
                <w:color w:val="000000" w:themeColor="text1"/>
                <w:szCs w:val="21"/>
                <w:lang w:val="en-US" w:eastAsia="zh-CN"/>
                <w14:textFill>
                  <w14:solidFill>
                    <w14:schemeClr w14:val="tx1"/>
                  </w14:solidFill>
                </w14:textFill>
              </w:rPr>
              <w:t>16</w:t>
            </w:r>
            <w:r>
              <w:rPr>
                <w:rFonts w:hint="eastAsia" w:ascii="宋体" w:hAnsi="宋体"/>
                <w:b/>
                <w:bCs/>
                <w:color w:val="000000" w:themeColor="text1"/>
                <w:szCs w:val="21"/>
                <w:lang w:eastAsia="zh-CN"/>
                <w14:textFill>
                  <w14:solidFill>
                    <w14:schemeClr w14:val="tx1"/>
                  </w14:solidFill>
                </w14:textFill>
              </w:rPr>
              <w:t>日</w:t>
            </w:r>
            <w:r>
              <w:rPr>
                <w:rFonts w:hint="eastAsia" w:ascii="宋体" w:hAnsi="宋体" w:cs="宋体"/>
                <w:b/>
                <w:bCs/>
                <w:color w:val="000000" w:themeColor="text1"/>
                <w:szCs w:val="21"/>
                <w14:textFill>
                  <w14:solidFill>
                    <w14:schemeClr w14:val="tx1"/>
                  </w14:solidFill>
                </w14:textFill>
              </w:rPr>
              <w:t>9时30分</w:t>
            </w:r>
            <w:r>
              <w:rPr>
                <w:rFonts w:hint="eastAsia" w:ascii="宋体" w:hAnsi="宋体"/>
                <w:b/>
                <w:bCs/>
                <w:color w:val="000000" w:themeColor="text1"/>
                <w:szCs w:val="21"/>
                <w14:textFill>
                  <w14:solidFill>
                    <w14:schemeClr w14:val="tx1"/>
                  </w14:solidFill>
                </w14:textFill>
              </w:rPr>
              <w:t>（北京时间）</w:t>
            </w:r>
            <w:r>
              <w:rPr>
                <w:rFonts w:hint="eastAsia" w:ascii="宋体" w:hAnsi="宋体" w:cs="宋体"/>
                <w:b/>
                <w:bCs/>
                <w:color w:val="000000" w:themeColor="text1"/>
                <w:szCs w:val="21"/>
                <w14:textFill>
                  <w14:solidFill>
                    <w14:schemeClr w14:val="tx1"/>
                  </w14:solidFill>
                </w14:textFill>
              </w:rPr>
              <w:t>之前将电子投标文件上传到政采云平台，并按照本项目招标文件要求和政采云平台要求编制、制作、加密传输投标文件。投标人在使用系统进行投标的过程中遇到涉及平台使用的任何问题，可致电政采云平台技术支持热线咨询，联系方式：400-881-7190。投标截止时间后递交的电子投标文件，电子交易平台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992" w:type="dxa"/>
            <w:noWrap w:val="0"/>
            <w:vAlign w:val="center"/>
          </w:tcPr>
          <w:p>
            <w:pPr>
              <w:spacing w:line="340" w:lineRule="exact"/>
              <w:jc w:val="center"/>
              <w:rPr>
                <w:rFonts w:ascii="宋体" w:hAnsi="宋体"/>
                <w:color w:val="000000" w:themeColor="text1"/>
                <w:position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19.2</w:t>
            </w:r>
          </w:p>
        </w:tc>
        <w:tc>
          <w:tcPr>
            <w:tcW w:w="1418" w:type="dxa"/>
            <w:noWrap w:val="0"/>
            <w:vAlign w:val="center"/>
          </w:tcPr>
          <w:p>
            <w:pPr>
              <w:spacing w:line="34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投标文件递交地点</w:t>
            </w:r>
          </w:p>
        </w:tc>
        <w:tc>
          <w:tcPr>
            <w:tcW w:w="5708" w:type="dxa"/>
            <w:noWrap w:val="0"/>
            <w:vAlign w:val="center"/>
          </w:tcPr>
          <w:p>
            <w:pPr>
              <w:spacing w:line="3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通过政采云平台实行在线投标。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500" w:type="dxa"/>
            <w:noWrap w:val="0"/>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992" w:type="dxa"/>
            <w:noWrap w:val="0"/>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19.3</w:t>
            </w:r>
          </w:p>
        </w:tc>
        <w:tc>
          <w:tcPr>
            <w:tcW w:w="1418" w:type="dxa"/>
            <w:noWrap w:val="0"/>
            <w:vAlign w:val="center"/>
          </w:tcPr>
          <w:p>
            <w:pPr>
              <w:spacing w:line="340" w:lineRule="exact"/>
              <w:jc w:val="center"/>
              <w:rPr>
                <w:rFonts w:hint="eastAsia"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投标文件解密</w:t>
            </w:r>
          </w:p>
        </w:tc>
        <w:tc>
          <w:tcPr>
            <w:tcW w:w="5708" w:type="dxa"/>
            <w:noWrap w:val="0"/>
            <w:vAlign w:val="center"/>
          </w:tcPr>
          <w:p>
            <w:pPr>
              <w:pStyle w:val="213"/>
              <w:spacing w:line="340" w:lineRule="exact"/>
              <w:ind w:left="0" w:leftChars="0" w:firstLine="0" w:firstLineChars="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投标文件解密时间：投标截止时间后30分钟内（</w:t>
            </w:r>
            <w:r>
              <w:rPr>
                <w:rFonts w:hint="eastAsia" w:ascii="宋体" w:hAnsi="宋体"/>
                <w:b/>
                <w:bCs/>
                <w:color w:val="000000" w:themeColor="text1"/>
                <w:szCs w:val="21"/>
                <w:lang w:eastAsia="zh-CN"/>
                <w14:textFill>
                  <w14:solidFill>
                    <w14:schemeClr w14:val="tx1"/>
                  </w14:solidFill>
                </w14:textFill>
              </w:rPr>
              <w:t>2022年</w:t>
            </w:r>
            <w:r>
              <w:rPr>
                <w:rFonts w:hint="eastAsia" w:ascii="宋体" w:hAnsi="宋体"/>
                <w:b/>
                <w:bCs/>
                <w:color w:val="000000" w:themeColor="text1"/>
                <w:szCs w:val="21"/>
                <w:lang w:val="en-US" w:eastAsia="zh-CN"/>
                <w14:textFill>
                  <w14:solidFill>
                    <w14:schemeClr w14:val="tx1"/>
                  </w14:solidFill>
                </w14:textFill>
              </w:rPr>
              <w:t>9</w:t>
            </w:r>
            <w:r>
              <w:rPr>
                <w:rFonts w:hint="eastAsia" w:ascii="宋体" w:hAnsi="宋体"/>
                <w:b/>
                <w:bCs/>
                <w:color w:val="000000" w:themeColor="text1"/>
                <w:szCs w:val="21"/>
                <w:lang w:eastAsia="zh-CN"/>
                <w14:textFill>
                  <w14:solidFill>
                    <w14:schemeClr w14:val="tx1"/>
                  </w14:solidFill>
                </w14:textFill>
              </w:rPr>
              <w:t>月</w:t>
            </w:r>
            <w:r>
              <w:rPr>
                <w:rFonts w:hint="eastAsia" w:ascii="宋体" w:hAnsi="宋体"/>
                <w:b/>
                <w:bCs/>
                <w:color w:val="000000" w:themeColor="text1"/>
                <w:szCs w:val="21"/>
                <w:lang w:val="en-US" w:eastAsia="zh-CN"/>
                <w14:textFill>
                  <w14:solidFill>
                    <w14:schemeClr w14:val="tx1"/>
                  </w14:solidFill>
                </w14:textFill>
              </w:rPr>
              <w:t>16</w:t>
            </w:r>
            <w:r>
              <w:rPr>
                <w:rFonts w:hint="eastAsia" w:ascii="宋体" w:hAnsi="宋体"/>
                <w:b/>
                <w:bCs/>
                <w:color w:val="000000" w:themeColor="text1"/>
                <w:szCs w:val="21"/>
                <w:lang w:eastAsia="zh-CN"/>
                <w14:textFill>
                  <w14:solidFill>
                    <w14:schemeClr w14:val="tx1"/>
                  </w14:solidFill>
                </w14:textFill>
              </w:rPr>
              <w:t>日</w:t>
            </w:r>
            <w:r>
              <w:rPr>
                <w:rFonts w:hint="eastAsia" w:ascii="宋体" w:hAnsi="宋体"/>
                <w:b/>
                <w:bCs/>
                <w:color w:val="000000" w:themeColor="text1"/>
                <w:szCs w:val="21"/>
                <w14:textFill>
                  <w14:solidFill>
                    <w14:schemeClr w14:val="tx1"/>
                  </w14:solidFill>
                </w14:textFill>
              </w:rPr>
              <w:t>9时30分至10时00分）投标人可以登录政采云平台，用“项目采购-开标评标”功能进行解密投标文件。若投标人在规定时间内无法解密或解密失败，可以以电子备份投标文件作为依据【在接到无法解密或解密失败的通知后，投标人可根据自身实际情况按通知时要求的时间到桂林市公共资源交易中心</w:t>
            </w:r>
            <w:r>
              <w:rPr>
                <w:rFonts w:hint="eastAsia" w:ascii="宋体" w:hAnsi="宋体"/>
                <w:b/>
                <w:bCs/>
                <w:color w:val="000000" w:themeColor="text1"/>
                <w:szCs w:val="21"/>
                <w:u w:val="single"/>
                <w:lang w:val="en-US" w:eastAsia="zh-CN"/>
                <w14:textFill>
                  <w14:solidFill>
                    <w14:schemeClr w14:val="tx1"/>
                  </w14:solidFill>
                </w14:textFill>
              </w:rPr>
              <w:t>10</w:t>
            </w:r>
            <w:r>
              <w:rPr>
                <w:rFonts w:hint="eastAsia" w:ascii="宋体" w:hAnsi="宋体"/>
                <w:b/>
                <w:bCs/>
                <w:color w:val="000000" w:themeColor="text1"/>
                <w:szCs w:val="21"/>
                <w14:textFill>
                  <w14:solidFill>
                    <w14:schemeClr w14:val="tx1"/>
                  </w14:solidFill>
                </w14:textFill>
              </w:rPr>
              <w:t>号开标室现场提交或以电子邮件的形式（以通知时所告知的电子邮箱地址为准）提交电子备份投标文件】，若投标人在规定时间内无法解密或解密失败且未提供电子备份投标文件的（包含提供的电子备份文件无效或无法解密的情况），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w:t>
            </w:r>
          </w:p>
        </w:tc>
        <w:tc>
          <w:tcPr>
            <w:tcW w:w="141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开标时间及开标地点</w:t>
            </w:r>
          </w:p>
        </w:tc>
        <w:tc>
          <w:tcPr>
            <w:tcW w:w="5708" w:type="dxa"/>
            <w:noWrap w:val="0"/>
            <w:vAlign w:val="top"/>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开标时间：202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16</w:t>
            </w:r>
            <w:r>
              <w:rPr>
                <w:rFonts w:hint="eastAsia" w:ascii="宋体" w:hAnsi="宋体"/>
                <w:color w:val="000000" w:themeColor="text1"/>
                <w:szCs w:val="21"/>
                <w14:textFill>
                  <w14:solidFill>
                    <w14:schemeClr w14:val="tx1"/>
                  </w14:solidFill>
                </w14:textFill>
              </w:rPr>
              <w:t>日9时30分（北京时间）；</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开标地点：通过政采云平台实行在线投标</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p>
        </w:tc>
        <w:tc>
          <w:tcPr>
            <w:tcW w:w="1418" w:type="dxa"/>
            <w:noWrap w:val="0"/>
            <w:vAlign w:val="center"/>
          </w:tcPr>
          <w:p>
            <w:pPr>
              <w:pStyle w:val="27"/>
              <w:spacing w:line="340" w:lineRule="exact"/>
              <w:jc w:val="center"/>
              <w:rPr>
                <w:rFonts w:hAnsi="宋体" w:cs="Arial"/>
                <w:color w:val="000000" w:themeColor="text1"/>
                <w:kern w:val="0"/>
                <w:szCs w:val="21"/>
                <w14:textFill>
                  <w14:solidFill>
                    <w14:schemeClr w14:val="tx1"/>
                  </w14:solidFill>
                </w14:textFill>
              </w:rPr>
            </w:pPr>
            <w:r>
              <w:rPr>
                <w:rFonts w:hint="eastAsia" w:hAnsi="宋体" w:cs="Arial"/>
                <w:color w:val="000000" w:themeColor="text1"/>
                <w:kern w:val="0"/>
                <w:szCs w:val="21"/>
                <w14:textFill>
                  <w14:solidFill>
                    <w14:schemeClr w14:val="tx1"/>
                  </w14:solidFill>
                </w14:textFill>
              </w:rPr>
              <w:t>评标委员会组成</w:t>
            </w:r>
          </w:p>
        </w:tc>
        <w:tc>
          <w:tcPr>
            <w:tcW w:w="5708" w:type="dxa"/>
            <w:noWrap w:val="0"/>
            <w:vAlign w:val="center"/>
          </w:tcPr>
          <w:p>
            <w:pPr>
              <w:spacing w:line="3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评标委员会由采购人代表和评审专家组成，成员人数</w:t>
            </w:r>
            <w:r>
              <w:rPr>
                <w:rFonts w:hint="eastAsia" w:ascii="宋体" w:hAnsi="宋体"/>
                <w:color w:val="000000" w:themeColor="text1"/>
                <w:szCs w:val="21"/>
                <w14:textFill>
                  <w14:solidFill>
                    <w14:schemeClr w14:val="tx1"/>
                  </w14:solidFill>
                </w14:textFill>
              </w:rPr>
              <w:t>共</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24.1</w:t>
            </w:r>
          </w:p>
        </w:tc>
        <w:tc>
          <w:tcPr>
            <w:tcW w:w="141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评标办法</w:t>
            </w:r>
          </w:p>
        </w:tc>
        <w:tc>
          <w:tcPr>
            <w:tcW w:w="5708" w:type="dxa"/>
            <w:noWrap w:val="0"/>
            <w:vAlign w:val="center"/>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综合评分法，具体评标内容及标准详见第四章：评标办法。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00" w:type="dxa"/>
            <w:noWrap w:val="0"/>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992" w:type="dxa"/>
            <w:noWrap w:val="0"/>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w:t>
            </w:r>
          </w:p>
        </w:tc>
        <w:tc>
          <w:tcPr>
            <w:tcW w:w="1418" w:type="dxa"/>
            <w:noWrap w:val="0"/>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中标人信用信息查询</w:t>
            </w:r>
          </w:p>
        </w:tc>
        <w:tc>
          <w:tcPr>
            <w:tcW w:w="5708" w:type="dxa"/>
            <w:noWrap w:val="0"/>
            <w:vAlign w:val="center"/>
          </w:tcPr>
          <w:p>
            <w:pPr>
              <w:autoSpaceDE w:val="0"/>
              <w:autoSpaceDN w:val="0"/>
              <w:snapToGrid w:val="0"/>
              <w:spacing w:line="340" w:lineRule="exact"/>
              <w:textAlignment w:val="bottom"/>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根据《关于做好政府采购有关信用主体标识码登记及在政府采购活动中查询使用信用记录有关问题的通知》桂财采〔2016〕37号的通知，采购代理机构对中标人进行信用查询：</w:t>
            </w:r>
          </w:p>
          <w:p>
            <w:pPr>
              <w:autoSpaceDE w:val="0"/>
              <w:autoSpaceDN w:val="0"/>
              <w:snapToGrid w:val="0"/>
              <w:spacing w:line="340" w:lineRule="exact"/>
              <w:textAlignment w:val="bottom"/>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（1）查询渠道：“信用中国”网站（www.creditchina.gov.cn）、中国政府采购网（www.ccgp.gov.cn）等；</w:t>
            </w:r>
          </w:p>
          <w:p>
            <w:pPr>
              <w:autoSpaceDE w:val="0"/>
              <w:autoSpaceDN w:val="0"/>
              <w:snapToGrid w:val="0"/>
              <w:spacing w:line="340" w:lineRule="exact"/>
              <w:textAlignment w:val="bottom"/>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（2）查询截止时点：中标通知书发出前；</w:t>
            </w:r>
          </w:p>
          <w:p>
            <w:pPr>
              <w:autoSpaceDE w:val="0"/>
              <w:autoSpaceDN w:val="0"/>
              <w:snapToGrid w:val="0"/>
              <w:spacing w:line="340" w:lineRule="exact"/>
              <w:textAlignment w:val="bottom"/>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（3）信用信息查询记录和证据留存方式：在查询网站中直接打印查询记录，打印材料作为采购活动资料保存。</w:t>
            </w:r>
          </w:p>
          <w:p>
            <w:pPr>
              <w:spacing w:line="3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信用信息使用规则：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中标候选人资格。采购人依法按照评标报告中评标委员会推荐中标候选人排序表确定排名第二的中标候选人为中标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w:t>
            </w:r>
          </w:p>
        </w:tc>
        <w:tc>
          <w:tcPr>
            <w:tcW w:w="141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中标公告及中标通知书</w:t>
            </w:r>
          </w:p>
        </w:tc>
        <w:tc>
          <w:tcPr>
            <w:tcW w:w="5708" w:type="dxa"/>
            <w:noWrap w:val="0"/>
            <w:vAlign w:val="top"/>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32.1采购代理机构于评标结束后两个工作日内将评标报告送交采购人，采购人应当自收到评标报告五个工作日内在评标报告推荐的中标候选人中按顺序确定中标供应商，采购代理机构在中标供应商确定之日起两个工作日内发出中标通知书，并在指定媒体上公告中标信息，</w:t>
            </w:r>
            <w:r>
              <w:rPr>
                <w:rFonts w:ascii="宋体" w:hAnsi="宋体"/>
                <w:color w:val="000000" w:themeColor="text1"/>
                <w:szCs w:val="21"/>
                <w14:textFill>
                  <w14:solidFill>
                    <w14:schemeClr w14:val="tx1"/>
                  </w14:solidFill>
                </w14:textFill>
              </w:rPr>
              <w:t>中标公告期限为1个工作日</w:t>
            </w:r>
            <w:r>
              <w:rPr>
                <w:rFonts w:hint="eastAsia" w:ascii="宋体" w:hAnsi="宋体"/>
                <w:color w:val="000000" w:themeColor="text1"/>
                <w:szCs w:val="21"/>
                <w14:textFill>
                  <w14:solidFill>
                    <w14:schemeClr w14:val="tx1"/>
                  </w14:solidFill>
                </w14:textFill>
              </w:rPr>
              <w:t>。</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32.2中</w:t>
            </w:r>
            <w:r>
              <w:rPr>
                <w:rFonts w:ascii="宋体" w:hAnsi="宋体"/>
                <w:color w:val="000000" w:themeColor="text1"/>
                <w:szCs w:val="21"/>
                <w14:textFill>
                  <w14:solidFill>
                    <w14:schemeClr w14:val="tx1"/>
                  </w14:solidFill>
                </w14:textFill>
              </w:rPr>
              <w:t>标公告</w:t>
            </w:r>
            <w:r>
              <w:rPr>
                <w:rFonts w:hint="eastAsia" w:ascii="宋体" w:hAnsi="宋体"/>
                <w:color w:val="000000" w:themeColor="text1"/>
                <w:szCs w:val="21"/>
                <w14:textFill>
                  <w14:solidFill>
                    <w14:schemeClr w14:val="tx1"/>
                  </w14:solidFill>
                </w14:textFill>
              </w:rPr>
              <w:t>同时采购代理机构向中标供应商发出中标通知书。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 w:type="dxa"/>
            <w:noWrap w:val="0"/>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992" w:type="dxa"/>
            <w:noWrap w:val="0"/>
            <w:vAlign w:val="center"/>
          </w:tcPr>
          <w:p>
            <w:pPr>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w:t>
            </w:r>
          </w:p>
        </w:tc>
        <w:tc>
          <w:tcPr>
            <w:tcW w:w="141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tc>
        <w:tc>
          <w:tcPr>
            <w:tcW w:w="5708" w:type="dxa"/>
            <w:noWrap w:val="0"/>
            <w:vAlign w:val="top"/>
          </w:tcPr>
          <w:p>
            <w:pPr>
              <w:spacing w:line="340" w:lineRule="exact"/>
              <w:rPr>
                <w:rFonts w:ascii="Times New Roman" w:hAnsi="Times New Roman"/>
                <w:b/>
                <w:bCs/>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33.1</w:t>
            </w:r>
            <w:r>
              <w:rPr>
                <w:rFonts w:hint="eastAsia" w:ascii="宋体" w:hAnsi="宋体"/>
                <w:b/>
                <w:bCs/>
                <w:color w:val="000000" w:themeColor="text1"/>
                <w:szCs w:val="21"/>
                <w14:textFill>
                  <w14:solidFill>
                    <w14:schemeClr w14:val="tx1"/>
                  </w14:solidFill>
                </w14:textFill>
              </w:rPr>
              <w:t>免收履约保证金。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34.1</w:t>
            </w:r>
          </w:p>
        </w:tc>
        <w:tc>
          <w:tcPr>
            <w:tcW w:w="141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签订合同</w:t>
            </w:r>
          </w:p>
        </w:tc>
        <w:tc>
          <w:tcPr>
            <w:tcW w:w="5708" w:type="dxa"/>
            <w:noWrap w:val="0"/>
            <w:vAlign w:val="center"/>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中标通知书发出之日起25日内。中标供应商领取中标通知书后，应按规定与采购人签订合同。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34.3</w:t>
            </w:r>
          </w:p>
        </w:tc>
        <w:tc>
          <w:tcPr>
            <w:tcW w:w="141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合同备案存档</w:t>
            </w:r>
          </w:p>
        </w:tc>
        <w:tc>
          <w:tcPr>
            <w:tcW w:w="5708" w:type="dxa"/>
            <w:noWrap w:val="0"/>
            <w:vAlign w:val="center"/>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府采购合同双方自签订之日起1个工作日内将合同原件两份交采购代理机构。采购代理机构将政府采购合同在省级以上人民政府财政部门指定媒体上公告并于合同签订之日起7个工作日内将一份合同原件送桂林市财政局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w:t>
            </w:r>
          </w:p>
        </w:tc>
        <w:tc>
          <w:tcPr>
            <w:tcW w:w="141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招标代理服务费</w:t>
            </w:r>
          </w:p>
        </w:tc>
        <w:tc>
          <w:tcPr>
            <w:tcW w:w="5708" w:type="dxa"/>
            <w:noWrap w:val="0"/>
            <w:vAlign w:val="center"/>
          </w:tcPr>
          <w:p>
            <w:pPr>
              <w:spacing w:line="340" w:lineRule="exact"/>
              <w:rPr>
                <w:rFonts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本项目的采购代理服务费：参照计价格[2002]1980号《招标代理服务收费管理暂行办法》服务类收费标准计取。在领取中标通知书前，由中标</w:t>
            </w:r>
            <w:r>
              <w:rPr>
                <w:rFonts w:hint="eastAsia" w:ascii="宋体" w:hAnsi="宋体" w:cs="宋体"/>
                <w:color w:val="000000" w:themeColor="text1"/>
                <w:szCs w:val="21"/>
                <w:lang w:val="en-US"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向</w:t>
            </w:r>
            <w:r>
              <w:rPr>
                <w:rFonts w:hint="eastAsia" w:hAnsi="宋体"/>
                <w:color w:val="000000" w:themeColor="text1"/>
                <w:szCs w:val="21"/>
                <w:lang w:eastAsia="zh-CN"/>
                <w14:textFill>
                  <w14:solidFill>
                    <w14:schemeClr w14:val="tx1"/>
                  </w14:solidFill>
                </w14:textFill>
              </w:rPr>
              <w:t>亿诚建设项目管理有限公司</w:t>
            </w:r>
            <w:r>
              <w:rPr>
                <w:rFonts w:hint="eastAsia" w:ascii="宋体" w:hAnsi="宋体" w:cs="宋体"/>
                <w:color w:val="000000" w:themeColor="text1"/>
                <w:szCs w:val="21"/>
                <w14:textFill>
                  <w14:solidFill>
                    <w14:schemeClr w14:val="tx1"/>
                  </w14:solidFill>
                </w14:textFill>
              </w:rPr>
              <w:t>一次性</w:t>
            </w:r>
            <w:r>
              <w:rPr>
                <w:rFonts w:hint="eastAsia" w:ascii="宋体" w:hAnsi="宋体" w:cs="宋体"/>
                <w:color w:val="000000" w:themeColor="text1"/>
                <w:szCs w:val="21"/>
                <w:lang w:val="en-US" w:eastAsia="zh-CN"/>
                <w14:textFill>
                  <w14:solidFill>
                    <w14:schemeClr w14:val="tx1"/>
                  </w14:solidFill>
                </w14:textFill>
              </w:rPr>
              <w:t>支</w:t>
            </w:r>
            <w:r>
              <w:rPr>
                <w:rFonts w:hint="eastAsia" w:ascii="宋体" w:hAnsi="宋体" w:cs="宋体"/>
                <w:color w:val="000000" w:themeColor="text1"/>
                <w:szCs w:val="21"/>
                <w14:textFill>
                  <w14:solidFill>
                    <w14:schemeClr w14:val="tx1"/>
                  </w14:solidFill>
                </w14:textFill>
              </w:rPr>
              <w:t xml:space="preserve">付代理服务费。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37</w:t>
            </w:r>
          </w:p>
        </w:tc>
        <w:tc>
          <w:tcPr>
            <w:tcW w:w="1418"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解释权</w:t>
            </w:r>
          </w:p>
        </w:tc>
        <w:tc>
          <w:tcPr>
            <w:tcW w:w="5708" w:type="dxa"/>
            <w:noWrap w:val="0"/>
            <w:vAlign w:val="center"/>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本招标文件是根据《中华人民共和国政府采购法》、《中华人民共和国政府采购法实施条例》及</w:t>
            </w:r>
            <w:r>
              <w:rPr>
                <w:rStyle w:val="56"/>
                <w:rFonts w:ascii="宋体" w:hAnsi="宋体" w:cs="Arial"/>
                <w:b w:val="0"/>
                <w:color w:val="000000" w:themeColor="text1"/>
                <w:szCs w:val="21"/>
                <w14:textFill>
                  <w14:solidFill>
                    <w14:schemeClr w14:val="tx1"/>
                  </w14:solidFill>
                </w14:textFill>
              </w:rPr>
              <w:t>财政部令第87号</w:t>
            </w:r>
            <w:r>
              <w:rPr>
                <w:rFonts w:ascii="宋体" w:hAnsi="宋体" w:cs="Arial"/>
                <w:color w:val="000000" w:themeColor="text1"/>
                <w:szCs w:val="21"/>
                <w14:textFill>
                  <w14:solidFill>
                    <w14:schemeClr w14:val="tx1"/>
                  </w14:solidFill>
                </w14:textFill>
              </w:rPr>
              <w:t>《政府采购货物和服务招标投标管理办法》</w:t>
            </w:r>
            <w:r>
              <w:rPr>
                <w:rFonts w:hint="eastAsia" w:ascii="宋体" w:hAnsi="宋体"/>
                <w:color w:val="000000" w:themeColor="text1"/>
                <w:szCs w:val="21"/>
                <w14:textFill>
                  <w14:solidFill>
                    <w14:schemeClr w14:val="tx1"/>
                  </w14:solidFill>
                </w14:textFill>
              </w:rPr>
              <w:t>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00"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992" w:type="dxa"/>
            <w:noWrap w:val="0"/>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38</w:t>
            </w:r>
          </w:p>
        </w:tc>
        <w:tc>
          <w:tcPr>
            <w:tcW w:w="1418" w:type="dxa"/>
            <w:noWrap w:val="0"/>
            <w:vAlign w:val="center"/>
          </w:tcPr>
          <w:p>
            <w:pPr>
              <w:spacing w:line="340" w:lineRule="exact"/>
              <w:jc w:val="center"/>
              <w:rPr>
                <w:rFonts w:ascii="宋体" w:hAnsi="宋体"/>
                <w:color w:val="000000" w:themeColor="text1"/>
                <w:position w:val="1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监督管理机构</w:t>
            </w:r>
          </w:p>
        </w:tc>
        <w:tc>
          <w:tcPr>
            <w:tcW w:w="5708" w:type="dxa"/>
            <w:noWrap w:val="0"/>
            <w:vAlign w:val="center"/>
          </w:tcPr>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桂林市财政局</w:t>
            </w:r>
            <w:r>
              <w:rPr>
                <w:rFonts w:hint="eastAsia" w:ascii="宋体" w:hAnsi="宋体"/>
                <w:color w:val="000000" w:themeColor="text1"/>
                <w:szCs w:val="21"/>
                <w14:textFill>
                  <w14:solidFill>
                    <w14:schemeClr w14:val="tx1"/>
                  </w14:solidFill>
                </w14:textFill>
              </w:rPr>
              <w:t xml:space="preserve">      电话：0773-</w:t>
            </w:r>
            <w:r>
              <w:rPr>
                <w:rFonts w:hint="eastAsia" w:ascii="宋体" w:hAnsi="宋体"/>
                <w:color w:val="000000" w:themeColor="text1"/>
                <w:szCs w:val="21"/>
                <w:lang w:eastAsia="zh-CN"/>
                <w14:textFill>
                  <w14:solidFill>
                    <w14:schemeClr w14:val="tx1"/>
                  </w14:solidFill>
                </w14:textFill>
              </w:rPr>
              <w:t>2838596</w:t>
            </w:r>
            <w:r>
              <w:rPr>
                <w:rFonts w:hint="eastAsia" w:ascii="宋体" w:hAnsi="宋体"/>
                <w:color w:val="000000" w:themeColor="text1"/>
                <w:szCs w:val="21"/>
                <w14:textFill>
                  <w14:solidFill>
                    <w14:schemeClr w14:val="tx1"/>
                  </w14:solidFill>
                </w14:textFill>
              </w:rPr>
              <w:t>。</w:t>
            </w:r>
          </w:p>
        </w:tc>
      </w:tr>
    </w:tbl>
    <w:p>
      <w:pPr>
        <w:widowControl/>
        <w:jc w:val="left"/>
        <w:rPr>
          <w:rFonts w:ascii="宋体" w:hAnsi="宋体"/>
          <w:b/>
          <w:color w:val="000000" w:themeColor="text1"/>
          <w:sz w:val="28"/>
          <w:szCs w:val="28"/>
          <w14:textFill>
            <w14:solidFill>
              <w14:schemeClr w14:val="tx1"/>
            </w14:solidFill>
          </w14:textFill>
        </w:rPr>
      </w:pPr>
    </w:p>
    <w:p>
      <w:pPr>
        <w:pStyle w:val="4"/>
        <w:rPr>
          <w:rFonts w:ascii="宋体" w:hAnsi="宋体"/>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rPr>
          <w:rFonts w:ascii="宋体" w:hAnsi="宋体"/>
          <w:b/>
          <w:color w:val="000000" w:themeColor="text1"/>
          <w:sz w:val="28"/>
          <w:szCs w:val="28"/>
          <w14:textFill>
            <w14:solidFill>
              <w14:schemeClr w14:val="tx1"/>
            </w14:solidFill>
          </w14:textFill>
        </w:rPr>
      </w:pPr>
    </w:p>
    <w:p>
      <w:pPr>
        <w:pStyle w:val="201"/>
        <w:ind w:firstLine="480"/>
        <w:rPr>
          <w:rFonts w:hint="eastAsia" w:ascii="Times New Roman"/>
          <w:color w:val="000000" w:themeColor="text1"/>
          <w14:textFill>
            <w14:solidFill>
              <w14:schemeClr w14:val="tx1"/>
            </w14:solidFill>
          </w14:textFill>
        </w:rPr>
      </w:pPr>
    </w:p>
    <w:p>
      <w:pPr>
        <w:spacing w:line="400" w:lineRule="exact"/>
        <w:jc w:val="center"/>
        <w:outlineLvl w:val="0"/>
        <w:rPr>
          <w:rFonts w:hint="eastAsia" w:ascii="宋体" w:hAnsi="宋体"/>
          <w:b/>
          <w:color w:val="000000" w:themeColor="text1"/>
          <w:sz w:val="28"/>
          <w:szCs w:val="28"/>
          <w14:textFill>
            <w14:solidFill>
              <w14:schemeClr w14:val="tx1"/>
            </w14:solidFill>
          </w14:textFill>
        </w:rPr>
      </w:pPr>
    </w:p>
    <w:p>
      <w:pPr>
        <w:spacing w:line="400" w:lineRule="exact"/>
        <w:jc w:val="center"/>
        <w:outlineLvl w:val="0"/>
        <w:rPr>
          <w:rFonts w:hint="eastAsia" w:ascii="宋体" w:hAnsi="宋体"/>
          <w:b/>
          <w:color w:val="000000" w:themeColor="text1"/>
          <w:sz w:val="28"/>
          <w:szCs w:val="28"/>
          <w14:textFill>
            <w14:solidFill>
              <w14:schemeClr w14:val="tx1"/>
            </w14:solidFill>
          </w14:textFill>
        </w:rPr>
      </w:pPr>
    </w:p>
    <w:p>
      <w:pPr>
        <w:pStyle w:val="4"/>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spacing w:line="400" w:lineRule="exact"/>
        <w:jc w:val="center"/>
        <w:outlineLvl w:val="0"/>
        <w:rPr>
          <w:rFonts w:hint="eastAsia" w:ascii="宋体" w:hAnsi="宋体"/>
          <w:b/>
          <w:color w:val="000000" w:themeColor="text1"/>
          <w:sz w:val="28"/>
          <w:szCs w:val="28"/>
          <w14:textFill>
            <w14:solidFill>
              <w14:schemeClr w14:val="tx1"/>
            </w14:solidFill>
          </w14:textFill>
        </w:rPr>
      </w:pPr>
    </w:p>
    <w:p>
      <w:pPr>
        <w:spacing w:line="400" w:lineRule="exact"/>
        <w:jc w:val="center"/>
        <w:outlineLvl w:val="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一、总则</w:t>
      </w:r>
    </w:p>
    <w:p>
      <w:pPr>
        <w:spacing w:line="40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1、项目名称及项目编号</w:t>
      </w:r>
    </w:p>
    <w:p>
      <w:pPr>
        <w:spacing w:line="400" w:lineRule="exact"/>
        <w:ind w:firstLine="617" w:firstLineChars="29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lang w:eastAsia="zh-CN"/>
          <w14:textFill>
            <w14:solidFill>
              <w14:schemeClr w14:val="tx1"/>
            </w14:solidFill>
          </w14:textFill>
        </w:rPr>
        <w:t>桂林市特殊困难老年人家庭适老化改造项目</w:t>
      </w:r>
      <w:r>
        <w:rPr>
          <w:rFonts w:hint="eastAsia" w:ascii="宋体" w:hAnsi="宋体"/>
          <w:color w:val="000000" w:themeColor="text1"/>
          <w:szCs w:val="21"/>
          <w14:textFill>
            <w14:solidFill>
              <w14:schemeClr w14:val="tx1"/>
            </w14:solidFill>
          </w14:textFill>
        </w:rPr>
        <w:t>；</w:t>
      </w:r>
    </w:p>
    <w:p>
      <w:pPr>
        <w:spacing w:line="400" w:lineRule="exact"/>
        <w:ind w:firstLine="617" w:firstLineChars="294"/>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lang w:eastAsia="zh-CN"/>
          <w14:textFill>
            <w14:solidFill>
              <w14:schemeClr w14:val="tx1"/>
            </w14:solidFill>
          </w14:textFill>
        </w:rPr>
        <w:t>GLZC2022-G3-990436-YCJS</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40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2、适应范围</w:t>
      </w:r>
    </w:p>
    <w:p>
      <w:pPr>
        <w:spacing w:line="400" w:lineRule="exact"/>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本招标文件适用本招标采购项目的招标、投标、评标、合同履约、验收、付款等行为（法律、法规另有规定的，从其规定）。</w:t>
      </w:r>
    </w:p>
    <w:p>
      <w:pPr>
        <w:spacing w:line="400" w:lineRule="exact"/>
        <w:ind w:firstLine="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3、定义</w:t>
      </w:r>
    </w:p>
    <w:p>
      <w:pPr>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3.1“招标采购单位”是指组织本次招标的采购人和采购代理机构。</w:t>
      </w:r>
    </w:p>
    <w:p>
      <w:pPr>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3.2“投标人”是指向招标方提交投标文件的供应商或自然人或其他组织。</w:t>
      </w:r>
    </w:p>
    <w:p>
      <w:pPr>
        <w:spacing w:line="380" w:lineRule="exact"/>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3.3“货物”系指按招标文件规定，投标人须向采购人提供的一切设备、保险、税金、备品备件、工具、手册及其它有关技术资料和材料。</w:t>
      </w:r>
    </w:p>
    <w:p>
      <w:pPr>
        <w:spacing w:line="380" w:lineRule="exact"/>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3.4“服务”系指按招标文件规定，投标人须承担的市政排水设施维护服务、技术协助、技术指导以及其他类似的义务。</w:t>
      </w:r>
    </w:p>
    <w:p>
      <w:pPr>
        <w:spacing w:line="380" w:lineRule="exact"/>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3.5“项目”系指按招标文件规定向采购人提供的货物和服务。</w:t>
      </w:r>
    </w:p>
    <w:p>
      <w:pPr>
        <w:spacing w:line="380" w:lineRule="exact"/>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3.6“书面形式”包括信函、传真、电报等。</w:t>
      </w:r>
    </w:p>
    <w:p>
      <w:pPr>
        <w:spacing w:line="400" w:lineRule="exact"/>
        <w:ind w:firstLine="435"/>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3.7</w:t>
      </w:r>
      <w:r>
        <w:rPr>
          <w:rFonts w:hint="eastAsia" w:ascii="宋体" w:hAnsi="宋体"/>
          <w:b/>
          <w:color w:val="000000" w:themeColor="text1"/>
          <w:sz w:val="24"/>
          <w14:textFill>
            <w14:solidFill>
              <w14:schemeClr w14:val="tx1"/>
            </w14:solidFill>
          </w14:textFill>
        </w:rPr>
        <w:t>实质性要求：本项目招标文件中涉及“必须提供”、《服务采购需求》中全部内容均为实质性要求。</w:t>
      </w:r>
    </w:p>
    <w:p>
      <w:pPr>
        <w:spacing w:line="400" w:lineRule="exact"/>
        <w:ind w:firstLine="435"/>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4、招标方式</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评分办法</w:t>
      </w:r>
    </w:p>
    <w:p>
      <w:pPr>
        <w:spacing w:line="400" w:lineRule="exact"/>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公开招标</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综合评分法</w:t>
      </w:r>
      <w:r>
        <w:rPr>
          <w:rFonts w:hint="eastAsia" w:ascii="宋体" w:hAnsi="宋体"/>
          <w:color w:val="000000" w:themeColor="text1"/>
          <w:szCs w:val="21"/>
          <w14:textFill>
            <w14:solidFill>
              <w14:schemeClr w14:val="tx1"/>
            </w14:solidFill>
          </w14:textFill>
        </w:rPr>
        <w:t>。</w:t>
      </w:r>
    </w:p>
    <w:p>
      <w:pPr>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5、投标人资格</w:t>
      </w:r>
    </w:p>
    <w:p>
      <w:pPr>
        <w:spacing w:line="380" w:lineRule="exact"/>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详见《投标人须知前附表》第2条。</w:t>
      </w:r>
    </w:p>
    <w:p>
      <w:pPr>
        <w:spacing w:line="400" w:lineRule="exact"/>
        <w:ind w:firstLine="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6、投标费用</w:t>
      </w:r>
    </w:p>
    <w:p>
      <w:pPr>
        <w:spacing w:line="400" w:lineRule="exact"/>
        <w:ind w:firstLine="435"/>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本项目实行网上评审，采用电子投标文件；若投标人参与项目投标的，不论投标结果如何，均应自行承担所有与投标有关的全部费用。</w:t>
      </w:r>
    </w:p>
    <w:p>
      <w:pPr>
        <w:tabs>
          <w:tab w:val="left" w:pos="1635"/>
        </w:tabs>
        <w:spacing w:line="400" w:lineRule="exact"/>
        <w:ind w:firstLine="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7、联合体投标要求</w:t>
      </w:r>
    </w:p>
    <w:p>
      <w:pPr>
        <w:snapToGrid w:val="0"/>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本项目不接受联合体投标。</w:t>
      </w:r>
    </w:p>
    <w:p>
      <w:pPr>
        <w:tabs>
          <w:tab w:val="left" w:pos="1635"/>
        </w:tabs>
        <w:spacing w:line="400" w:lineRule="exact"/>
        <w:ind w:firstLine="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8、转包与分包</w:t>
      </w:r>
    </w:p>
    <w:p>
      <w:pPr>
        <w:tabs>
          <w:tab w:val="left" w:pos="1635"/>
        </w:tabs>
        <w:spacing w:line="400" w:lineRule="exact"/>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8.1本项目不允许转包。</w:t>
      </w:r>
    </w:p>
    <w:p>
      <w:pPr>
        <w:tabs>
          <w:tab w:val="left" w:pos="1635"/>
        </w:tabs>
        <w:spacing w:line="400" w:lineRule="exact"/>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8.2本项目不可以分包。</w:t>
      </w:r>
    </w:p>
    <w:p>
      <w:pPr>
        <w:tabs>
          <w:tab w:val="left" w:pos="1635"/>
        </w:tabs>
        <w:spacing w:line="400" w:lineRule="exact"/>
        <w:ind w:firstLine="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9、特别说明</w:t>
      </w:r>
    </w:p>
    <w:p>
      <w:pPr>
        <w:tabs>
          <w:tab w:val="left" w:pos="2190"/>
        </w:tabs>
        <w:spacing w:line="380" w:lineRule="exact"/>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9.1单位负责人为同一人或者存在直接控股、管理关系的，不得参加同一分标或未划分分标的同一项目的投标，否则，投标文件无效。</w:t>
      </w:r>
    </w:p>
    <w:p>
      <w:pPr>
        <w:tabs>
          <w:tab w:val="left" w:pos="2190"/>
        </w:tabs>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9.2除单一来源采购项目外，为本采购项目提供整体设计、规范编制或者项目管理、监理、检测等服务的供应商，不得再参加该采购项目的其他采购活动，否则投标文件无效。</w:t>
      </w:r>
    </w:p>
    <w:p>
      <w:pPr>
        <w:widowControl/>
        <w:spacing w:line="380" w:lineRule="exact"/>
        <w:ind w:firstLine="420" w:firstLineChars="200"/>
        <w:jc w:val="left"/>
        <w:rPr>
          <w:rFonts w:hint="eastAsia"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9.3本项目专门面向中小微企业采购，</w:t>
      </w:r>
      <w:r>
        <w:rPr>
          <w:rFonts w:hint="eastAsia" w:hAnsi="宋体"/>
          <w:color w:val="000000" w:themeColor="text1"/>
          <w:szCs w:val="21"/>
          <w14:textFill>
            <w14:solidFill>
              <w14:schemeClr w14:val="tx1"/>
            </w14:solidFill>
          </w14:textFill>
        </w:rPr>
        <w:t>按照《政府采购促进中小企业发展管理办法》（财库[2020]46号）规定，在服务采购项目中，服务由中小</w:t>
      </w:r>
      <w:r>
        <w:rPr>
          <w:rFonts w:hint="eastAsia" w:hAnsi="宋体"/>
          <w:color w:val="000000" w:themeColor="text1"/>
          <w:szCs w:val="21"/>
          <w:lang w:eastAsia="zh-CN"/>
          <w14:textFill>
            <w14:solidFill>
              <w14:schemeClr w14:val="tx1"/>
            </w14:solidFill>
          </w14:textFill>
        </w:rPr>
        <w:t>微</w:t>
      </w:r>
      <w:r>
        <w:rPr>
          <w:rFonts w:hint="eastAsia" w:hAnsi="宋体"/>
          <w:color w:val="000000" w:themeColor="text1"/>
          <w:szCs w:val="21"/>
          <w14:textFill>
            <w14:solidFill>
              <w14:schemeClr w14:val="tx1"/>
            </w14:solidFill>
          </w14:textFill>
        </w:rPr>
        <w:t>企业承接，即提供服务的人员为中小</w:t>
      </w:r>
      <w:r>
        <w:rPr>
          <w:rFonts w:hint="eastAsia" w:hAnsi="宋体"/>
          <w:color w:val="000000" w:themeColor="text1"/>
          <w:szCs w:val="21"/>
          <w:lang w:eastAsia="zh-CN"/>
          <w14:textFill>
            <w14:solidFill>
              <w14:schemeClr w14:val="tx1"/>
            </w14:solidFill>
          </w14:textFill>
        </w:rPr>
        <w:t>微</w:t>
      </w:r>
      <w:r>
        <w:rPr>
          <w:rFonts w:hint="eastAsia" w:hAnsi="宋体"/>
          <w:color w:val="000000" w:themeColor="text1"/>
          <w:szCs w:val="21"/>
          <w14:textFill>
            <w14:solidFill>
              <w14:schemeClr w14:val="tx1"/>
            </w14:solidFill>
          </w14:textFill>
        </w:rPr>
        <w:t>企业依照《中华人民共和国劳动合同法》订立劳动合同的从业人员</w:t>
      </w:r>
      <w:r>
        <w:rPr>
          <w:rFonts w:hint="eastAsia" w:ascii="宋体" w:hAnsi="宋体"/>
          <w:b/>
          <w:color w:val="000000" w:themeColor="text1"/>
          <w:szCs w:val="21"/>
          <w14:textFill>
            <w14:solidFill>
              <w14:schemeClr w14:val="tx1"/>
            </w14:solidFill>
          </w14:textFill>
        </w:rPr>
        <w:t>；</w:t>
      </w:r>
    </w:p>
    <w:p>
      <w:pPr>
        <w:widowControl/>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9.4根据财库〔2017〕141号《三部门联合发布关于促进残疾人就业政府采购政策的通知》第三条规定，在政府采购活动中，残疾人福利性单位视同小型、微型企业，享受预留份额</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向残疾人福利性单位采购的金额，计入面向</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中小微</w:t>
      </w:r>
      <w:r>
        <w:rPr>
          <w:rFonts w:hint="eastAsia" w:ascii="宋体" w:hAnsi="宋体"/>
          <w:color w:val="000000" w:themeColor="text1"/>
          <w:szCs w:val="21"/>
          <w14:textFill>
            <w14:solidFill>
              <w14:schemeClr w14:val="tx1"/>
            </w14:solidFill>
          </w14:textFill>
        </w:rPr>
        <w:t>企业采购的统计数据。</w:t>
      </w:r>
    </w:p>
    <w:p>
      <w:pPr>
        <w:widowControl/>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9.4.1符合条件的残疾人福利性单位在参加政府采购活动时，应当提供本通知规定的《残疾人福利性单位声明函》（见本招标文件第六章附件），并对声明的真实性负责。</w:t>
      </w:r>
    </w:p>
    <w:p>
      <w:pPr>
        <w:widowControl/>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9.4.2供应商提供的《残疾人福利性单位声明函》与事实不符的，依照《政府采购法》第七十七条第一款的规定追究法律责任。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9.4.3享受政府采购支持政策的残疾人福利性单位应当同时满足以下条件：</w:t>
      </w:r>
    </w:p>
    <w:p>
      <w:pPr>
        <w:widowControl/>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（2）依法与安置的每位残疾人签订了一年以上（含一年）的劳动合同或服务协议；</w:t>
      </w:r>
    </w:p>
    <w:p>
      <w:pPr>
        <w:widowControl/>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（4）通过银行等金融机构向安置的每位残疾人，按月支付了不低于单位所在区县适用的经省级人民政府批准的月最低工资标准的工资；</w:t>
      </w:r>
    </w:p>
    <w:p>
      <w:pPr>
        <w:widowControl/>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pPr>
        <w:widowControl/>
        <w:spacing w:line="380"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tabs>
          <w:tab w:val="left" w:pos="1635"/>
        </w:tabs>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9.5投标人应仔细阅读招标文件的所有内容，按照招标文件的要求提交投标文件，并对所提供的全部资料的真实性承担法律责任。</w:t>
      </w:r>
    </w:p>
    <w:p>
      <w:pPr>
        <w:tabs>
          <w:tab w:val="left" w:pos="1635"/>
        </w:tabs>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9.6投标人在投标活动中提供任何虚假材料，其投标无效，并报监管部门查处；中标后发现的，中标人须依照《中华人民共和国消费者权益保护法》赔偿采购人，且民事赔偿并不免除违法投标人的行政与刑事责任。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1635"/>
        </w:tabs>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9.7投标人投标所使用的资格、信誉、荣誉、业绩与企业认证必须为本法人（负责人、自然人）所拥有。</w:t>
      </w:r>
    </w:p>
    <w:p>
      <w:pPr>
        <w:tabs>
          <w:tab w:val="left" w:pos="1635"/>
        </w:tabs>
        <w:spacing w:line="38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10、询问、质疑和投诉</w:t>
      </w:r>
    </w:p>
    <w:p>
      <w:pPr>
        <w:tabs>
          <w:tab w:val="left" w:pos="1635"/>
        </w:tabs>
        <w:spacing w:line="380" w:lineRule="exact"/>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10.1投标人对政府采购活动事项有疑问的，可以向采购人、采购代理机构提出询问。</w:t>
      </w:r>
      <w:r>
        <w:rPr>
          <w:rFonts w:ascii="宋体" w:hAnsi="宋体"/>
          <w:color w:val="000000" w:themeColor="text1"/>
          <w:szCs w:val="21"/>
          <w14:textFill>
            <w14:solidFill>
              <w14:schemeClr w14:val="tx1"/>
            </w14:solidFill>
          </w14:textFill>
        </w:rPr>
        <w:tab/>
      </w:r>
    </w:p>
    <w:p>
      <w:pPr>
        <w:tabs>
          <w:tab w:val="left" w:pos="1635"/>
        </w:tabs>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10.2投标人认为招标文件使自己的合法权益受到损害的，应当在招标公告期限届满之日起7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采购代理机构应认真做好质疑处理工作。</w:t>
      </w:r>
    </w:p>
    <w:p>
      <w:pPr>
        <w:tabs>
          <w:tab w:val="left" w:pos="2190"/>
        </w:tabs>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10.3投标人对采购代理机构的答复不满意或者采购代理机构未在规定的时间内作出答复的，可以在答复期满后十五个工作日内向桂林市财政局投诉。</w:t>
      </w:r>
    </w:p>
    <w:p>
      <w:pPr>
        <w:tabs>
          <w:tab w:val="left" w:pos="2190"/>
        </w:tabs>
        <w:spacing w:line="38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10.4质疑、投诉应当采用书面形式，质疑书、投诉书实行实名制，均应明确阐述招标文件、招标过程或中标结果中使自己合法权益受到损害的实质性内容，提供相关事实、依据和证据及其来源或线索，必要的证明材料，便于有关单位调查、答复和处理。</w:t>
      </w:r>
      <w:r>
        <w:rPr>
          <w:rFonts w:hint="eastAsia" w:ascii="宋体" w:hAnsi="宋体"/>
          <w:b/>
          <w:color w:val="000000" w:themeColor="text1"/>
          <w:szCs w:val="21"/>
          <w14:textFill>
            <w14:solidFill>
              <w14:schemeClr w14:val="tx1"/>
            </w14:solidFill>
          </w14:textFill>
        </w:rPr>
        <w:t>质疑函格式详见附件。</w:t>
      </w:r>
    </w:p>
    <w:p>
      <w:pPr>
        <w:tabs>
          <w:tab w:val="left" w:pos="2190"/>
        </w:tabs>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10.5质疑</w:t>
      </w:r>
      <w:r>
        <w:rPr>
          <w:rFonts w:ascii="宋体" w:hAnsi="宋体"/>
          <w:color w:val="000000" w:themeColor="text1"/>
          <w:szCs w:val="21"/>
          <w14:textFill>
            <w14:solidFill>
              <w14:schemeClr w14:val="tx1"/>
            </w14:solidFill>
          </w14:textFill>
        </w:rPr>
        <w:t>联系部门</w:t>
      </w:r>
      <w:r>
        <w:rPr>
          <w:rFonts w:hint="eastAsia" w:ascii="宋体" w:hAnsi="宋体"/>
          <w:color w:val="000000" w:themeColor="text1"/>
          <w:szCs w:val="21"/>
          <w14:textFill>
            <w14:solidFill>
              <w14:schemeClr w14:val="tx1"/>
            </w14:solidFill>
          </w14:textFill>
        </w:rPr>
        <w:t>：</w:t>
      </w:r>
      <w:r>
        <w:rPr>
          <w:rFonts w:hint="eastAsia" w:hAnsi="宋体"/>
          <w:color w:val="000000" w:themeColor="text1"/>
          <w:szCs w:val="21"/>
          <w:lang w:eastAsia="zh-CN"/>
          <w14:textFill>
            <w14:solidFill>
              <w14:schemeClr w14:val="tx1"/>
            </w14:solidFill>
          </w14:textFill>
        </w:rPr>
        <w:t>亿诚建设项目管理有限公司</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联系电话</w:t>
      </w:r>
      <w:r>
        <w:rPr>
          <w:rFonts w:hint="eastAsia" w:ascii="宋体" w:hAnsi="宋体"/>
          <w:color w:val="000000" w:themeColor="text1"/>
          <w:szCs w:val="21"/>
          <w14:textFill>
            <w14:solidFill>
              <w14:schemeClr w14:val="tx1"/>
            </w14:solidFill>
          </w14:textFill>
        </w:rPr>
        <w:t>：0773-</w:t>
      </w:r>
      <w:r>
        <w:rPr>
          <w:rFonts w:hint="eastAsia" w:ascii="宋体" w:hAnsi="宋体"/>
          <w:color w:val="000000" w:themeColor="text1"/>
          <w:szCs w:val="21"/>
          <w:lang w:val="en-US" w:eastAsia="zh-CN"/>
          <w14:textFill>
            <w14:solidFill>
              <w14:schemeClr w14:val="tx1"/>
            </w14:solidFill>
          </w14:textFill>
        </w:rPr>
        <w:t>8999431</w:t>
      </w:r>
      <w:r>
        <w:rPr>
          <w:rFonts w:hint="eastAsia" w:ascii="宋体" w:hAnsi="宋体"/>
          <w:color w:val="000000" w:themeColor="text1"/>
          <w:szCs w:val="21"/>
          <w14:textFill>
            <w14:solidFill>
              <w14:schemeClr w14:val="tx1"/>
            </w14:solidFill>
          </w14:textFill>
        </w:rPr>
        <w:t>；</w:t>
      </w:r>
    </w:p>
    <w:p>
      <w:pPr>
        <w:tabs>
          <w:tab w:val="left" w:pos="2190"/>
        </w:tabs>
        <w:spacing w:line="380" w:lineRule="exact"/>
        <w:ind w:firstLine="43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10.6投诉联系部门：</w:t>
      </w:r>
      <w:r>
        <w:rPr>
          <w:rFonts w:hint="eastAsia" w:ascii="宋体" w:hAnsi="宋体"/>
          <w:color w:val="000000" w:themeColor="text1"/>
          <w:szCs w:val="21"/>
          <w:lang w:eastAsia="zh-CN"/>
          <w14:textFill>
            <w14:solidFill>
              <w14:schemeClr w14:val="tx1"/>
            </w14:solidFill>
          </w14:textFill>
        </w:rPr>
        <w:t>桂林市财政局</w:t>
      </w:r>
      <w:r>
        <w:rPr>
          <w:rFonts w:hint="eastAsia" w:ascii="宋体" w:hAnsi="宋体"/>
          <w:color w:val="000000" w:themeColor="text1"/>
          <w:szCs w:val="21"/>
          <w14:textFill>
            <w14:solidFill>
              <w14:schemeClr w14:val="tx1"/>
            </w14:solidFill>
          </w14:textFill>
        </w:rPr>
        <w:t>；联系电话：0773-</w:t>
      </w:r>
      <w:r>
        <w:rPr>
          <w:rFonts w:hint="eastAsia" w:ascii="宋体" w:hAnsi="宋体"/>
          <w:color w:val="000000" w:themeColor="text1"/>
          <w:szCs w:val="21"/>
          <w:lang w:eastAsia="zh-CN"/>
          <w14:textFill>
            <w14:solidFill>
              <w14:schemeClr w14:val="tx1"/>
            </w14:solidFill>
          </w14:textFill>
        </w:rPr>
        <w:t>2838596</w:t>
      </w:r>
      <w:r>
        <w:rPr>
          <w:rFonts w:hint="eastAsia" w:ascii="宋体" w:hAnsi="宋体"/>
          <w:color w:val="000000" w:themeColor="text1"/>
          <w:szCs w:val="21"/>
          <w14:textFill>
            <w14:solidFill>
              <w14:schemeClr w14:val="tx1"/>
            </w14:solidFill>
          </w14:textFill>
        </w:rPr>
        <w:t>；</w:t>
      </w:r>
    </w:p>
    <w:p>
      <w:pPr>
        <w:tabs>
          <w:tab w:val="left" w:pos="2190"/>
        </w:tabs>
        <w:spacing w:line="400" w:lineRule="exact"/>
        <w:ind w:firstLine="435"/>
        <w:jc w:val="center"/>
        <w:outlineLvl w:val="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二、招标文件</w:t>
      </w:r>
    </w:p>
    <w:p>
      <w:pPr>
        <w:tabs>
          <w:tab w:val="left" w:pos="2190"/>
        </w:tabs>
        <w:spacing w:line="400" w:lineRule="exact"/>
        <w:ind w:firstLine="437"/>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11、招标文件的构成</w:t>
      </w:r>
    </w:p>
    <w:p>
      <w:pPr>
        <w:tabs>
          <w:tab w:val="left" w:pos="2190"/>
        </w:tabs>
        <w:spacing w:line="400" w:lineRule="exact"/>
        <w:ind w:firstLine="43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（1）招标公告；</w:t>
      </w:r>
    </w:p>
    <w:p>
      <w:pPr>
        <w:tabs>
          <w:tab w:val="left" w:pos="2190"/>
        </w:tabs>
        <w:spacing w:line="400" w:lineRule="exact"/>
        <w:ind w:firstLine="43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（2）投标人须知；</w:t>
      </w:r>
    </w:p>
    <w:p>
      <w:pPr>
        <w:spacing w:line="400" w:lineRule="exact"/>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（3）服务采购需求</w:t>
      </w:r>
      <w:r>
        <w:rPr>
          <w:rFonts w:hint="eastAsia" w:ascii="宋体" w:hAnsi="宋体"/>
          <w:b/>
          <w:color w:val="000000" w:themeColor="text1"/>
          <w:szCs w:val="21"/>
          <w14:textFill>
            <w14:solidFill>
              <w14:schemeClr w14:val="tx1"/>
            </w14:solidFill>
          </w14:textFill>
        </w:rPr>
        <w:t>（“服务采购需求”中全部条款均为实质性要求）；</w:t>
      </w:r>
    </w:p>
    <w:p>
      <w:pPr>
        <w:tabs>
          <w:tab w:val="left" w:pos="2190"/>
        </w:tabs>
        <w:spacing w:line="400" w:lineRule="exact"/>
        <w:ind w:firstLine="43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（4）评标办法；</w:t>
      </w:r>
    </w:p>
    <w:p>
      <w:pPr>
        <w:tabs>
          <w:tab w:val="left" w:pos="2190"/>
        </w:tabs>
        <w:spacing w:line="400" w:lineRule="exact"/>
        <w:ind w:firstLine="43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（5）采购合同（合同主要条款及格式）；</w:t>
      </w:r>
    </w:p>
    <w:p>
      <w:pPr>
        <w:tabs>
          <w:tab w:val="left" w:pos="2190"/>
        </w:tabs>
        <w:spacing w:line="400" w:lineRule="exact"/>
        <w:ind w:firstLine="43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（6）投标文件格式。</w:t>
      </w:r>
    </w:p>
    <w:p>
      <w:pPr>
        <w:tabs>
          <w:tab w:val="left" w:pos="2190"/>
        </w:tabs>
        <w:spacing w:line="400" w:lineRule="exact"/>
        <w:ind w:firstLine="437"/>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12、招标文件的澄清与修改</w:t>
      </w:r>
    </w:p>
    <w:p>
      <w:pPr>
        <w:tabs>
          <w:tab w:val="left" w:pos="2190"/>
        </w:tabs>
        <w:spacing w:line="400" w:lineRule="exact"/>
        <w:ind w:firstLine="43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12.1投标人应认真阅读招标文件，发现其中有误或有不合理要求的，投标人必须在招标公告期限届满之日起7个工作日内以书面形式要求采购代理机构澄清。</w:t>
      </w:r>
    </w:p>
    <w:p>
      <w:pPr>
        <w:keepLines w:val="0"/>
        <w:pageBreakBefore w:val="0"/>
        <w:widowControl/>
        <w:kinsoku/>
        <w:wordWrap/>
        <w:overflowPunct/>
        <w:topLinePunct w:val="0"/>
        <w:autoSpaceDE/>
        <w:autoSpaceDN/>
        <w:bidi w:val="0"/>
        <w:adjustRightInd/>
        <w:snapToGrid/>
        <w:spacing w:before="0" w:after="0" w:line="240" w:lineRule="auto"/>
        <w:textAlignment w:val="auto"/>
        <w:outlineLvl w:val="9"/>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采购代理机构可以对已发出的招标文件进行必要澄清、修改。澄清或者修改的内容可能影响投标文件编制的，代理机构应当在投标截止时间至少十五日前在本招标项目招标公告发布的同一媒体上发布更正公告，投标人应自行登录招标公告发布的相关网站【</w:t>
      </w:r>
      <w:r>
        <w:rPr>
          <w:rFonts w:hint="eastAsia" w:ascii="宋体" w:hAnsi="宋体" w:eastAsia="宋体" w:cs="宋体"/>
          <w:b w:val="0"/>
          <w:color w:val="000000"/>
          <w:sz w:val="21"/>
          <w:szCs w:val="21"/>
          <w:highlight w:val="none"/>
        </w:rPr>
        <w:t>中国政府采购网（www.ccgp.gov.cn）</w:t>
      </w:r>
      <w:r>
        <w:rPr>
          <w:rFonts w:hint="eastAsia" w:ascii="宋体" w:hAnsi="宋体" w:cs="宋体"/>
          <w:b w:val="0"/>
          <w:color w:val="000000"/>
          <w:sz w:val="21"/>
          <w:szCs w:val="21"/>
          <w:highlight w:val="none"/>
          <w:lang w:val="en-US" w:eastAsia="zh-CN"/>
        </w:rPr>
        <w:t>或</w:t>
      </w:r>
      <w:bookmarkStart w:id="39" w:name="_GoBack"/>
      <w:bookmarkEnd w:id="39"/>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广西壮族自治区政府采购网（http://zfcg.gxzf.gov.cn/）或桂林市公共资源交易中心网（http://glggzy.org.cn）或桂林市政府采购网（http://gl.zfcg.zcygov.cn/）</w:t>
      </w:r>
      <w:r>
        <w:rPr>
          <w:rFonts w:hint="eastAsia" w:ascii="宋体" w:hAnsi="宋体"/>
          <w:color w:val="000000" w:themeColor="text1"/>
          <w:szCs w:val="21"/>
          <w14:textFill>
            <w14:solidFill>
              <w14:schemeClr w14:val="tx1"/>
            </w14:solidFill>
          </w14:textFill>
        </w:rPr>
        <w:t>】查询，不足十五日的，应当顺延首次投标文件递交截止时间。</w:t>
      </w:r>
    </w:p>
    <w:p>
      <w:pPr>
        <w:tabs>
          <w:tab w:val="left" w:pos="2190"/>
        </w:tabs>
        <w:spacing w:line="400" w:lineRule="exact"/>
        <w:ind w:firstLine="437"/>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采购代理机构在招标公告发布的相关网站发布更正公告的同时，视同投标人已知晓招标文件的澄清或者修改，投标人应将澄清或者修改的内容考虑在投标文件中。投标人在投标文件递交截止前未登录招标公告发布的相关网站查看澄清或者修改的，造成供应商的投标文件不符合招标文件要求或废标的，由投标人自行承担责任。</w:t>
      </w:r>
    </w:p>
    <w:p>
      <w:pPr>
        <w:tabs>
          <w:tab w:val="left" w:pos="2190"/>
        </w:tabs>
        <w:spacing w:line="400" w:lineRule="exact"/>
        <w:ind w:firstLine="437"/>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w:t>
      </w:r>
      <w:r>
        <w:rPr>
          <w:rFonts w:hint="eastAsia" w:ascii="宋体" w:hAnsi="宋体"/>
          <w:b/>
          <w:color w:val="000000" w:themeColor="text1"/>
          <w:szCs w:val="21"/>
          <w14:textFill>
            <w14:solidFill>
              <w14:schemeClr w14:val="tx1"/>
            </w14:solidFill>
          </w14:textFill>
        </w:rPr>
        <w:t>投标人应实时关注相关网站了解澄清、修改等与项目有关的内容，如因投标人未及时登录相关网站了解澄清、修改等与项目有关的内容，从而导致投标无效的，由投标人自行承担责任。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400" w:lineRule="exact"/>
        <w:ind w:firstLine="43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12.5澄清、答复、修改、补充的内容为招标文件的组成部分。当澄清、答复、修改、补充通知就同一内容的表述不一致时，以最后发出的文件为准。</w:t>
      </w:r>
    </w:p>
    <w:p>
      <w:pPr>
        <w:tabs>
          <w:tab w:val="left" w:pos="2190"/>
        </w:tabs>
        <w:spacing w:line="400" w:lineRule="exact"/>
        <w:ind w:firstLine="43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12.6招标文件的澄清、答复、修改或补充都应该通过本项目采购代理机构以法定形式发布，采购人非通过本机构，不得擅自澄清、答复、修改或补充招标文件。</w:t>
      </w:r>
    </w:p>
    <w:p>
      <w:pPr>
        <w:tabs>
          <w:tab w:val="left" w:pos="2190"/>
        </w:tabs>
        <w:spacing w:line="400" w:lineRule="exact"/>
        <w:ind w:firstLine="435"/>
        <w:jc w:val="center"/>
        <w:outlineLvl w:val="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三、投标文件的编制</w:t>
      </w:r>
    </w:p>
    <w:p>
      <w:pPr>
        <w:tabs>
          <w:tab w:val="left" w:pos="1305"/>
        </w:tabs>
        <w:spacing w:line="4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13、投标文件的组成及要求</w:t>
      </w:r>
    </w:p>
    <w:p>
      <w:pPr>
        <w:tabs>
          <w:tab w:val="left" w:pos="2190"/>
        </w:tabs>
        <w:spacing w:line="400" w:lineRule="exact"/>
        <w:ind w:firstLine="435"/>
        <w:rPr>
          <w:rFonts w:hint="eastAsia" w:ascii="宋体" w:hAnsi="宋体" w:cs="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13.1</w:t>
      </w:r>
      <w:r>
        <w:rPr>
          <w:rFonts w:hint="eastAsia" w:ascii="宋体" w:hAnsi="宋体" w:cs="宋体"/>
          <w:b/>
          <w:bCs/>
          <w:color w:val="000000" w:themeColor="text1"/>
          <w:szCs w:val="21"/>
          <w14:textFill>
            <w14:solidFill>
              <w14:schemeClr w14:val="tx1"/>
            </w14:solidFill>
          </w14:textFill>
        </w:rPr>
        <w:t>本项目实行电子投标，投标人应提交电子投标文件；电子投标文件应按照本招标文件要求及政采云平台要求编辑、制作、加密并递交。</w:t>
      </w:r>
    </w:p>
    <w:p>
      <w:pPr>
        <w:tabs>
          <w:tab w:val="left" w:pos="2190"/>
        </w:tabs>
        <w:spacing w:line="400" w:lineRule="exact"/>
        <w:ind w:firstLine="435"/>
        <w:rPr>
          <w:rFonts w:hint="eastAsia" w:ascii="宋体" w:hAnsi="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具体操作流程可参考《政府采购项目电子交易管理操作指南-供应商》指南可在 “http://www.ccgp-guangxi.gov.cn/PurchaseAdvisory/ImportantNotice/2866753.html”下载。</w:t>
      </w:r>
    </w:p>
    <w:p>
      <w:pPr>
        <w:tabs>
          <w:tab w:val="left" w:pos="2190"/>
        </w:tabs>
        <w:spacing w:line="400" w:lineRule="exact"/>
        <w:ind w:firstLine="435"/>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13.2投标文件的组成（格式见第六章投标文件格式）</w:t>
      </w:r>
    </w:p>
    <w:p>
      <w:pPr>
        <w:tabs>
          <w:tab w:val="left" w:pos="1305"/>
        </w:tabs>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13.2.</w:t>
      </w:r>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资格性响应证明材料：</w:t>
      </w:r>
    </w:p>
    <w:p>
      <w:pPr>
        <w:tabs>
          <w:tab w:val="left" w:pos="1305"/>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（1）投标人相应的法定代表人或负责人或自然人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w:t>
      </w:r>
      <w:r>
        <w:rPr>
          <w:rFonts w:hint="eastAsia" w:ascii="宋体" w:hAnsi="宋体"/>
          <w:b/>
          <w:color w:val="000000" w:themeColor="text1"/>
          <w:szCs w:val="2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w:t>
      </w:r>
    </w:p>
    <w:p>
      <w:pPr>
        <w:tabs>
          <w:tab w:val="left" w:pos="1305"/>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（2）投标人的授权委托书原件</w:t>
      </w:r>
      <w:r>
        <w:rPr>
          <w:rFonts w:hint="eastAsia" w:ascii="宋体" w:hAnsi="宋体"/>
          <w:b/>
          <w:color w:val="000000" w:themeColor="text1"/>
          <w:szCs w:val="21"/>
          <w14:textFill>
            <w14:solidFill>
              <w14:schemeClr w14:val="tx1"/>
            </w14:solidFill>
          </w14:textFill>
        </w:rPr>
        <w:t>（格式见附件）</w:t>
      </w:r>
      <w:r>
        <w:rPr>
          <w:rFonts w:hint="eastAsia" w:ascii="宋体" w:hAnsi="宋体"/>
          <w:color w:val="000000" w:themeColor="text1"/>
          <w:szCs w:val="21"/>
          <w14:textFill>
            <w14:solidFill>
              <w14:schemeClr w14:val="tx1"/>
            </w14:solidFill>
          </w14:textFill>
        </w:rPr>
        <w:t>、委托代理人</w:t>
      </w:r>
      <w:r>
        <w:rPr>
          <w:rFonts w:hint="eastAsia" w:ascii="宋体" w:hAnsi="宋体"/>
          <w:color w:val="000000" w:themeColor="text1"/>
          <w14:textFill>
            <w14:solidFill>
              <w14:schemeClr w14:val="tx1"/>
            </w14:solidFill>
          </w14:textFill>
        </w:rPr>
        <w:t>身份证正反面</w:t>
      </w:r>
      <w:r>
        <w:rPr>
          <w:rFonts w:hint="eastAsia" w:ascii="宋体" w:hAnsi="宋体"/>
          <w:color w:val="000000" w:themeColor="text1"/>
          <w:szCs w:val="21"/>
          <w14:textFill>
            <w14:solidFill>
              <w14:schemeClr w14:val="tx1"/>
            </w14:solidFill>
          </w14:textFill>
        </w:rPr>
        <w:t>复印件以及由县级以上（含县级）社会养老保险经办机构出具的投标人为委托代理人交纳的</w:t>
      </w:r>
      <w:r>
        <w:rPr>
          <w:rFonts w:hint="eastAsia" w:ascii="宋体" w:hAnsi="宋体"/>
          <w:b/>
          <w:bCs/>
          <w:color w:val="000000" w:themeColor="text1"/>
          <w:szCs w:val="21"/>
          <w14:textFill>
            <w14:solidFill>
              <w14:schemeClr w14:val="tx1"/>
            </w14:solidFill>
          </w14:textFill>
        </w:rPr>
        <w:t>投标截止之日前半年内投标人任意三个月社保证明复印件</w:t>
      </w:r>
      <w:r>
        <w:rPr>
          <w:rFonts w:hint="eastAsia" w:ascii="宋体" w:hAnsi="宋体"/>
          <w:color w:val="000000" w:themeColor="text1"/>
          <w:szCs w:val="21"/>
          <w14:textFill>
            <w14:solidFill>
              <w14:schemeClr w14:val="tx1"/>
            </w14:solidFill>
          </w14:textFill>
        </w:rPr>
        <w:t>【自然人投标的应提供由县级以上（含县级）社会养老保险经办机构出具的自然人本人及委托代理人所交纳的</w:t>
      </w:r>
      <w:r>
        <w:rPr>
          <w:rFonts w:hint="eastAsia" w:ascii="宋体" w:hAnsi="宋体" w:cs="宋体"/>
          <w:b/>
          <w:bCs/>
          <w:color w:val="000000" w:themeColor="text1"/>
          <w:szCs w:val="21"/>
          <w:highlight w:val="none"/>
          <w14:textFill>
            <w14:solidFill>
              <w14:schemeClr w14:val="tx1"/>
            </w14:solidFill>
          </w14:textFill>
        </w:rPr>
        <w:t>投标截止之日前半年内任意三个月</w:t>
      </w:r>
      <w:r>
        <w:rPr>
          <w:rFonts w:hint="eastAsia" w:ascii="宋体" w:hAnsi="宋体"/>
          <w:b/>
          <w:bCs/>
          <w:color w:val="000000" w:themeColor="text1"/>
          <w:szCs w:val="21"/>
          <w14:textFill>
            <w14:solidFill>
              <w14:schemeClr w14:val="tx1"/>
            </w14:solidFill>
          </w14:textFill>
        </w:rPr>
        <w:t>社保证明复印件</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（委托代理时必须提供；若为新成立的企业，请根据实际情况提供）</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（3）投标人的法人或者其他组织营业执照等证明文件复印件</w:t>
      </w:r>
      <w:r>
        <w:rPr>
          <w:rFonts w:hint="eastAsia" w:ascii="宋体" w:hAnsi="宋体"/>
          <w:b/>
          <w:color w:val="000000" w:themeColor="text1"/>
          <w:szCs w:val="21"/>
          <w14:textFill>
            <w14:solidFill>
              <w14:schemeClr w14:val="tx1"/>
            </w14:solidFill>
          </w14:textFill>
        </w:rPr>
        <w:t>（必须提供，自然人除外）</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2" w:firstLineChars="20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提供本项目服务的供应商为中小微企业或监狱企业或残疾人企业</w:t>
      </w:r>
      <w:r>
        <w:rPr>
          <w:rFonts w:hint="eastAsia" w:ascii="宋体" w:hAnsi="宋体"/>
          <w:b/>
          <w:color w:val="000000" w:themeColor="text1"/>
          <w:szCs w:val="21"/>
          <w14:textFill>
            <w14:solidFill>
              <w14:schemeClr w14:val="tx1"/>
            </w14:solidFill>
          </w14:textFill>
        </w:rPr>
        <w:t>（必须提供</w:t>
      </w:r>
      <w:r>
        <w:rPr>
          <w:rFonts w:hint="eastAsia" w:ascii="宋体" w:hAnsi="宋体"/>
          <w:b/>
          <w:color w:val="000000" w:themeColor="text1"/>
          <w:szCs w:val="21"/>
          <w:lang w:eastAsia="zh-CN"/>
          <w14:textFill>
            <w14:solidFill>
              <w14:schemeClr w14:val="tx1"/>
            </w14:solidFill>
          </w14:textFill>
        </w:rPr>
        <w:t>中小微</w:t>
      </w:r>
      <w:r>
        <w:rPr>
          <w:rFonts w:hint="eastAsia" w:ascii="宋体" w:hAnsi="宋体"/>
          <w:b/>
          <w:color w:val="000000" w:themeColor="text1"/>
          <w:szCs w:val="21"/>
          <w14:textFill>
            <w14:solidFill>
              <w14:schemeClr w14:val="tx1"/>
            </w14:solidFill>
          </w14:textFill>
        </w:rPr>
        <w:t>企业声明函或监狱企业的证明文件或残疾人福利性单位声明函的其中一项）</w:t>
      </w:r>
      <w:r>
        <w:rPr>
          <w:rFonts w:hint="eastAsia" w:ascii="宋体" w:hAnsi="宋体"/>
          <w:color w:val="000000" w:themeColor="text1"/>
          <w:szCs w:val="21"/>
          <w14:textFill>
            <w14:solidFill>
              <w14:schemeClr w14:val="tx1"/>
            </w14:solidFill>
          </w14:textFill>
        </w:rPr>
        <w:t>；</w:t>
      </w:r>
    </w:p>
    <w:p>
      <w:pPr>
        <w:tabs>
          <w:tab w:val="left" w:pos="1305"/>
        </w:tabs>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hint="eastAsia" w:ascii="宋体" w:hAnsi="宋体"/>
          <w:color w:val="000000" w:themeColor="text1"/>
          <w14:textFill>
            <w14:solidFill>
              <w14:schemeClr w14:val="tx1"/>
            </w14:solidFill>
          </w14:textFill>
        </w:rPr>
        <w:t>投标人参加政府采购活动前3年内在经营活动中没有重大违法记录及有关信用信息的书面声明</w:t>
      </w:r>
      <w:r>
        <w:rPr>
          <w:rFonts w:hint="eastAsia" w:ascii="宋体" w:hAnsi="宋体"/>
          <w:b/>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格式见附件，</w:t>
      </w:r>
      <w:r>
        <w:rPr>
          <w:rFonts w:hint="eastAsia" w:ascii="宋体" w:hAnsi="宋体"/>
          <w:b/>
          <w:color w:val="000000" w:themeColor="text1"/>
          <w14:textFill>
            <w14:solidFill>
              <w14:schemeClr w14:val="tx1"/>
            </w14:solidFill>
          </w14:textFill>
        </w:rPr>
        <w:t>必须提供）；</w:t>
      </w:r>
      <w:r>
        <w:rPr>
          <w:rFonts w:hint="eastAsia" w:ascii="宋体" w:hAnsi="宋体"/>
          <w:color w:val="000000" w:themeColor="text1"/>
          <w:szCs w:val="21"/>
          <w14:textFill>
            <w14:solidFill>
              <w14:schemeClr w14:val="tx1"/>
            </w14:solidFill>
          </w14:textFill>
        </w:rPr>
        <w:t xml:space="preserve"> </w:t>
      </w:r>
    </w:p>
    <w:p>
      <w:pPr>
        <w:tabs>
          <w:tab w:val="left" w:pos="1305"/>
        </w:tabs>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13.2.</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商务、技术性响应及其他证明材料：</w:t>
      </w:r>
    </w:p>
    <w:p>
      <w:pPr>
        <w:tabs>
          <w:tab w:val="left" w:pos="1305"/>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投标报价表</w:t>
      </w:r>
      <w:r>
        <w:rPr>
          <w:rFonts w:hint="eastAsia" w:ascii="宋体" w:hAnsi="宋体"/>
          <w:b/>
          <w:color w:val="000000" w:themeColor="text1"/>
          <w:szCs w:val="21"/>
          <w14:textFill>
            <w14:solidFill>
              <w14:schemeClr w14:val="tx1"/>
            </w14:solidFill>
          </w14:textFill>
        </w:rPr>
        <w:t>（格式见附件）（必须提供）；</w:t>
      </w:r>
    </w:p>
    <w:p>
      <w:pPr>
        <w:snapToGrid w:val="0"/>
        <w:spacing w:line="400" w:lineRule="exact"/>
        <w:ind w:firstLine="420" w:firstLineChars="200"/>
        <w:outlineLvl w:val="4"/>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采购需求及商务偏离情况说明表</w:t>
      </w:r>
      <w:r>
        <w:rPr>
          <w:rFonts w:hint="eastAsia" w:ascii="宋体" w:hAnsi="宋体"/>
          <w:b/>
          <w:color w:val="000000" w:themeColor="text1"/>
          <w14:textFill>
            <w14:solidFill>
              <w14:schemeClr w14:val="tx1"/>
            </w14:solidFill>
          </w14:textFill>
        </w:rPr>
        <w:t>（</w:t>
      </w:r>
      <w:r>
        <w:rPr>
          <w:rFonts w:hint="eastAsia" w:ascii="宋体" w:hAnsi="宋体"/>
          <w:b/>
          <w:color w:val="000000" w:themeColor="text1"/>
          <w:lang w:eastAsia="zh-CN"/>
          <w14:textFill>
            <w14:solidFill>
              <w14:schemeClr w14:val="tx1"/>
            </w14:solidFill>
          </w14:textFill>
        </w:rPr>
        <w:t>必须提供</w:t>
      </w:r>
      <w:r>
        <w:rPr>
          <w:rFonts w:hint="eastAsia" w:ascii="宋体" w:hAnsi="宋体"/>
          <w:b/>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投标人可结合本项目的评标办法视自身情况自行提交相关证明材料</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pStyle w:val="27"/>
        <w:spacing w:line="380" w:lineRule="exact"/>
        <w:ind w:firstLine="420"/>
        <w:rPr>
          <w:rFonts w:hint="eastAsia" w:hAnsi="宋体"/>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投标人提供的以上相关证明材料应真实有效，属于“必须提供”的文件必须于本项目截标前作为投标文件的一部分提交，并加盖投标人公章</w:t>
      </w:r>
      <w:r>
        <w:rPr>
          <w:rFonts w:hint="eastAsia" w:hAnsi="宋体" w:cs="宋体"/>
          <w:b/>
          <w:bCs/>
          <w:color w:val="000000" w:themeColor="text1"/>
          <w:sz w:val="24"/>
          <w:szCs w:val="24"/>
          <w14:textFill>
            <w14:solidFill>
              <w14:schemeClr w14:val="tx1"/>
            </w14:solidFill>
          </w14:textFill>
        </w:rPr>
        <w:t>（CA签章）/自然人签字或加盖个人CA签章</w:t>
      </w:r>
      <w:r>
        <w:rPr>
          <w:rFonts w:hint="eastAsia" w:hAnsi="宋体"/>
          <w:b/>
          <w:color w:val="000000" w:themeColor="text1"/>
          <w:sz w:val="24"/>
          <w:szCs w:val="24"/>
          <w14:textFill>
            <w14:solidFill>
              <w14:schemeClr w14:val="tx1"/>
            </w14:solidFill>
          </w14:textFill>
        </w:rPr>
        <w:t>，否则投标无效。</w:t>
      </w:r>
    </w:p>
    <w:p>
      <w:pPr>
        <w:pStyle w:val="27"/>
        <w:spacing w:line="360" w:lineRule="exact"/>
        <w:ind w:firstLine="420"/>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13.3</w:t>
      </w:r>
      <w:r>
        <w:rPr>
          <w:rFonts w:hint="eastAsia" w:hAnsi="宋体"/>
          <w:color w:val="000000" w:themeColor="text1"/>
          <w14:textFill>
            <w14:solidFill>
              <w14:schemeClr w14:val="tx1"/>
            </w14:solidFill>
          </w14:textFill>
        </w:rPr>
        <w:t>投标人应按招标文件第六章投标文件格式编制投标文件。</w:t>
      </w:r>
    </w:p>
    <w:p>
      <w:pPr>
        <w:pStyle w:val="27"/>
        <w:spacing w:line="380" w:lineRule="exact"/>
        <w:ind w:firstLine="42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13.4</w:t>
      </w:r>
      <w:r>
        <w:rPr>
          <w:rFonts w:hAnsi="宋体"/>
          <w:color w:val="000000" w:themeColor="text1"/>
          <w14:textFill>
            <w14:solidFill>
              <w14:schemeClr w14:val="tx1"/>
            </w14:solidFill>
          </w14:textFill>
        </w:rPr>
        <w:t>投标文件应当对招标文件提出的要求和条件</w:t>
      </w:r>
      <w:r>
        <w:rPr>
          <w:rFonts w:hint="eastAsia" w:hAnsi="宋体"/>
          <w:color w:val="000000" w:themeColor="text1"/>
          <w14:textFill>
            <w14:solidFill>
              <w14:schemeClr w14:val="tx1"/>
            </w14:solidFill>
          </w14:textFill>
        </w:rPr>
        <w:t>作</w:t>
      </w:r>
      <w:r>
        <w:rPr>
          <w:rFonts w:hAnsi="宋体"/>
          <w:color w:val="000000" w:themeColor="text1"/>
          <w14:textFill>
            <w14:solidFill>
              <w14:schemeClr w14:val="tx1"/>
            </w14:solidFill>
          </w14:textFill>
        </w:rPr>
        <w:t>出明确响应。</w:t>
      </w:r>
    </w:p>
    <w:p>
      <w:pPr>
        <w:spacing w:line="400" w:lineRule="exact"/>
        <w:ind w:firstLine="42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特别说明：</w:t>
      </w:r>
    </w:p>
    <w:p>
      <w:pPr>
        <w:tabs>
          <w:tab w:val="left" w:pos="1305"/>
        </w:tabs>
        <w:spacing w:line="400" w:lineRule="exact"/>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投标文件（电子投标文件）中须加盖投标人公章部分均采用CA电子签章。若投标文件中有专门标注的某关联点，并要求投标人在电子投标系统中作出投标响应，如投标人未对关联点进行响应或者在投标文件其它内容中进行描述，造成电子评审不能查询到的责任由投标人自行承担。</w:t>
      </w:r>
    </w:p>
    <w:p>
      <w:pPr>
        <w:tabs>
          <w:tab w:val="left" w:pos="1305"/>
        </w:tabs>
        <w:spacing w:line="400" w:lineRule="exact"/>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（2）招标文件中要求由法定代表人（负责人）或委托代理人签字的部分必须签字（然后扫描或者拍照做成PDF格式上传）或加盖个人CA签章，无签字或个人CA签章的，视为投标无效。</w:t>
      </w:r>
    </w:p>
    <w:p>
      <w:pPr>
        <w:pStyle w:val="27"/>
        <w:spacing w:line="380" w:lineRule="exact"/>
        <w:ind w:firstLine="42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14、投标文件的语言及计量</w:t>
      </w:r>
    </w:p>
    <w:p>
      <w:pPr>
        <w:pStyle w:val="27"/>
        <w:spacing w:line="36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pStyle w:val="27"/>
        <w:spacing w:line="36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14.2投标计量单位，招标文件已有明确规定的，使用招标文件规定的计量单位；招标文件没有规定的，应采用中华人民共和国法定计量单位（货币单位：人民币元），否则视同未响应。</w:t>
      </w:r>
    </w:p>
    <w:p>
      <w:pPr>
        <w:tabs>
          <w:tab w:val="left" w:pos="1305"/>
        </w:tabs>
        <w:spacing w:line="4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15、投标报价及采购预算金额</w:t>
      </w:r>
    </w:p>
    <w:p>
      <w:pPr>
        <w:pStyle w:val="27"/>
        <w:spacing w:line="36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15.1投标报价应按招标文件中第六章投标文件格式填写。</w:t>
      </w:r>
    </w:p>
    <w:p>
      <w:pPr>
        <w:pStyle w:val="27"/>
        <w:spacing w:line="36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15.2投标人必须就“服务采购需求” 中所有服务内容作完整唯一报价，否则，其投标将被拒绝。投标文件只允许有一个报价。</w:t>
      </w:r>
    </w:p>
    <w:p>
      <w:pPr>
        <w:pStyle w:val="27"/>
        <w:spacing w:line="36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15.3本项目采购预算金额：详见投标人须知前附表第4条。</w:t>
      </w:r>
    </w:p>
    <w:p>
      <w:pPr>
        <w:pStyle w:val="27"/>
        <w:spacing w:line="36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15.4投标报价指本次采购范围服务价款、服务人员费用（含工资、节假日补偿费、奖金、加班费、税费、补贴、津贴、管理费、按照国家要求发放的“五险”、 员工意外保险等一切费用）、管网维护所需清捞工具、机械、防汛用品、个人用具、安保设施及疏通工具等费用、劳保用品费、装卸、运输及处置清掏的淤泥及废渣费用、</w:t>
      </w:r>
      <w:r>
        <w:rPr>
          <w:rFonts w:hint="eastAsia"/>
          <w:color w:val="000000" w:themeColor="text1"/>
          <w14:textFill>
            <w14:solidFill>
              <w14:schemeClr w14:val="tx1"/>
            </w14:solidFill>
          </w14:textFill>
        </w:rPr>
        <w:t>提升</w:t>
      </w:r>
      <w:r>
        <w:rPr>
          <w:rFonts w:hint="eastAsia" w:hAnsi="宋体" w:cs="宋体"/>
          <w:color w:val="000000" w:themeColor="text1"/>
          <w14:textFill>
            <w14:solidFill>
              <w14:schemeClr w14:val="tx1"/>
            </w14:solidFill>
          </w14:textFill>
        </w:rPr>
        <w:t>业主单位指定其它市政道路路面井盖所需要的一切费用、</w:t>
      </w:r>
      <w:r>
        <w:rPr>
          <w:rFonts w:hint="eastAsia" w:hAnsi="宋体"/>
          <w:color w:val="000000" w:themeColor="text1"/>
          <w14:textFill>
            <w14:solidFill>
              <w14:schemeClr w14:val="tx1"/>
            </w14:solidFill>
          </w14:textFill>
        </w:rPr>
        <w:t>交通费、管理费、税金、利润、培训等全部费用，投标人综合考虑投标报价。</w:t>
      </w:r>
    </w:p>
    <w:p>
      <w:pPr>
        <w:tabs>
          <w:tab w:val="left" w:pos="1305"/>
        </w:tabs>
        <w:spacing w:line="4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16、投标有效期</w:t>
      </w:r>
    </w:p>
    <w:p>
      <w:pPr>
        <w:tabs>
          <w:tab w:val="left" w:pos="1305"/>
        </w:tabs>
        <w:spacing w:line="380" w:lineRule="exact"/>
        <w:ind w:firstLine="420" w:firstLineChars="200"/>
        <w:rPr>
          <w:rFonts w:hint="eastAsia" w:ascii="宋体" w:hAnsi="宋体" w:cs="Arial"/>
          <w:color w:val="000000" w:themeColor="text1"/>
          <w:sz w:val="22"/>
          <w:szCs w:val="22"/>
          <w14:textFill>
            <w14:solidFill>
              <w14:schemeClr w14:val="tx1"/>
            </w14:solidFill>
          </w14:textFill>
        </w:rPr>
      </w:pPr>
      <w:r>
        <w:rPr>
          <w:rFonts w:hint="eastAsia" w:ascii="宋体" w:hAnsi="宋体"/>
          <w:color w:val="000000" w:themeColor="text1"/>
          <w:szCs w:val="21"/>
          <w14:textFill>
            <w14:solidFill>
              <w14:schemeClr w14:val="tx1"/>
            </w14:solidFill>
          </w14:textFill>
        </w:rPr>
        <w:t>16.1投标有效期：</w:t>
      </w:r>
      <w:r>
        <w:rPr>
          <w:rFonts w:hint="eastAsia" w:ascii="宋体" w:hAnsi="宋体"/>
          <w:color w:val="000000" w:themeColor="text1"/>
          <w14:textFill>
            <w14:solidFill>
              <w14:schemeClr w14:val="tx1"/>
            </w14:solidFill>
          </w14:textFill>
        </w:rPr>
        <w:t>投标截止时间之日起9</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天，</w:t>
      </w:r>
      <w:r>
        <w:rPr>
          <w:rFonts w:hint="eastAsia" w:ascii="宋体" w:hAnsi="宋体" w:cs="Arial"/>
          <w:color w:val="000000" w:themeColor="text1"/>
          <w:sz w:val="22"/>
          <w:szCs w:val="22"/>
          <w14:textFill>
            <w14:solidFill>
              <w14:schemeClr w14:val="tx1"/>
            </w14:solidFill>
          </w14:textFill>
        </w:rPr>
        <w:t>有效期不足的投标文件将被拒绝。</w:t>
      </w:r>
    </w:p>
    <w:p>
      <w:pPr>
        <w:tabs>
          <w:tab w:val="left" w:pos="1305"/>
        </w:tabs>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16.2出现特殊情况下，需要延长投标有效期的，采购代理机构以书面形式通知所有投标人延长投标有效期。投标人同意延长的，投标文件为有效文件，但不能修改投标文件。投标人拒绝延长的，其投标无效。</w:t>
      </w:r>
    </w:p>
    <w:p>
      <w:pPr>
        <w:tabs>
          <w:tab w:val="left" w:pos="1305"/>
        </w:tabs>
        <w:spacing w:line="4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17、投标文件的制作</w:t>
      </w:r>
    </w:p>
    <w:p>
      <w:pPr>
        <w:spacing w:line="35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17.1 电子投标文件中须加盖投标人公章部分均采用 CA 电子签章，并根据“政府采购项目电子交易管理操作指南-供应商” 及本招标文件规定的格式和顺序编制电子投标文件并进行关联定位，以便评标委员会在评审时，点击评审项可直接定位到该评审项内容。如对招标文件的某项要求，投标人的电子投标文件未能关联定位提供相应的内容与其对应，则评标委员会在评审时如做出对投标人不利的评审判断或结果由投标人自行承担。电子投标文件如内容不完整、编排混乱导致投标文件被误读、 漏读，或者在按招标文件规定的部位查找不到相关内容的，由投标人自行承担。</w:t>
      </w:r>
    </w:p>
    <w:p>
      <w:pPr>
        <w:spacing w:line="35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17.2 投标人的法定代表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5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17.3 投标文件不得涂改，若有修改错漏处，须由法定代表人（负责人）或授权委托人签字（或个人CA签章）。投标文件因字迹潦草或表达不清所引起的后果由投标人负责。</w:t>
      </w:r>
    </w:p>
    <w:p>
      <w:pPr>
        <w:spacing w:line="350" w:lineRule="exact"/>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17.4特别说明：</w:t>
      </w:r>
    </w:p>
    <w:p>
      <w:pPr>
        <w:spacing w:line="35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17.4.1各投标人应在投标截止前确保成为政采云平台正式注册入库供应商，并完成CA数字证书申领。因未注册入库、未办理CA数字证书等原因造成无法投标或投标失败等后果由投标人自行承担。 </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17.4.2投标人将政采云电子交易客户端下载、安装完成后，可通过账号密码或CA登录客户端进行投标文件制作。客户端请至网站下载专区查看，如有问题可拨打政采云客户服务热线 400-881-7190 进行咨询。</w:t>
      </w:r>
    </w:p>
    <w:p>
      <w:pPr>
        <w:tabs>
          <w:tab w:val="left" w:pos="1305"/>
        </w:tabs>
        <w:spacing w:line="380" w:lineRule="exact"/>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18、投标文件的补充、修改和撤回</w:t>
      </w:r>
    </w:p>
    <w:p>
      <w:pPr>
        <w:spacing w:line="3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18.1</w:t>
      </w:r>
      <w:r>
        <w:rPr>
          <w:rFonts w:hint="eastAsia" w:ascii="宋体" w:hAnsi="宋体" w:cs="宋体"/>
          <w:color w:val="000000" w:themeColor="text1"/>
          <w:szCs w:val="21"/>
          <w14:textFill>
            <w14:solidFill>
              <w14:schemeClr w14:val="tx1"/>
            </w14:solidFill>
          </w14:textFill>
        </w:rPr>
        <w:t>投标文件递交截止时间前可以撤回电子投标文件。补充或者修改电子投标文件的，应当先行撤回原文件，补充、修改后重新上传递交，在投标文件递交截止时间前未完成传输的，视为撤回投标文件。</w:t>
      </w:r>
    </w:p>
    <w:p>
      <w:pPr>
        <w:spacing w:line="3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18.2在投标文件递交截止时间后的投标文件有效期内，供应商不得撤回其投标文件。</w:t>
      </w:r>
    </w:p>
    <w:p>
      <w:pPr>
        <w:tabs>
          <w:tab w:val="left" w:pos="1305"/>
        </w:tabs>
        <w:spacing w:line="4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19、投标文件的递交和解密</w:t>
      </w:r>
    </w:p>
    <w:p>
      <w:pPr>
        <w:tabs>
          <w:tab w:val="left" w:pos="7200"/>
        </w:tabs>
        <w:spacing w:line="35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19.1提交投标文件截止时间：详见《投标人须知前附表》第8条。</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19.2投标文件递交地点：详见《投标人须知前附表》第9条。</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19.3投标文件解密：详见《投标人须知前附表》第10条。</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19.4 除招标文件另有规定外，投标人所递交的投标文件不予退还。</w:t>
      </w:r>
    </w:p>
    <w:p>
      <w:pPr>
        <w:tabs>
          <w:tab w:val="left" w:pos="1305"/>
        </w:tabs>
        <w:spacing w:line="400" w:lineRule="exact"/>
        <w:ind w:firstLine="562" w:firstLineChars="200"/>
        <w:jc w:val="center"/>
        <w:outlineLvl w:val="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四、开标</w:t>
      </w:r>
    </w:p>
    <w:p>
      <w:pPr>
        <w:tabs>
          <w:tab w:val="left" w:pos="1305"/>
        </w:tabs>
        <w:spacing w:line="4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20、开标的时间和地点</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20.1开标时间：详见《投标人须知前附表》第</w:t>
      </w:r>
      <w:r>
        <w:rPr>
          <w:rFonts w:ascii="宋体" w:hAnsi="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条；</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20.2开标地点：通过政采云平台实行在线投标。</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本项目使用电子开标，并通过政采云平台实行在线解密开启。</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20.3投标人可以由法定代表人、负责人、自然人或其委托代理人出席开标会议。</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20.4投标人少于3家的，不得开标，采购人或者采购代理机构应当重新组织采购。</w:t>
      </w:r>
    </w:p>
    <w:p>
      <w:pPr>
        <w:tabs>
          <w:tab w:val="left" w:pos="1305"/>
        </w:tabs>
        <w:spacing w:line="4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21、开标程序</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21.1开标的准备工作由采购代理机构负责落实；</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21.2采购代理机构将按照招标文件规定的时间通过“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21.3开标程序</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21.3.1向各投标人发出电子加密投标文件【开始解密】通知，由投标人按招标文件规定的时间内自行对电子加密投标文件进行解密。投标人在规定的时间内无法完成已递交的“电子加密投标文件”解密的，如已按规定提交了电子备份投标文件的，将由采购代理机构按“政府采购云平台”操作规范将备份电子投标文件上传至“政府采购云平台”，上传成功后，“电子加密投标文件”自动失效。如未提供备份电子投标文件的，将不进行再次解密程序。无法在线解密视为投标人放弃投标，在线解密时间为30分钟。</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21.3.2投标文件解密结束后，开标活动组织人员在线开启投标文件。</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21.3.3开启投标人报价文件，投标人代表对各自报价进行确认，如果认为报价有误，可以当场提出异议。</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开标结束后，如发现开标结果与报价文件不一致者，由评标委员会根据报价文件内容进行修正。</w:t>
      </w:r>
    </w:p>
    <w:p>
      <w:pPr>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特别说明：如遇“政府采购云平台”电子化开标或评审程序调整的，按调整后程序执行。</w:t>
      </w:r>
    </w:p>
    <w:p>
      <w:pPr>
        <w:tabs>
          <w:tab w:val="left" w:pos="1305"/>
        </w:tabs>
        <w:spacing w:line="380" w:lineRule="exact"/>
        <w:ind w:firstLine="562" w:firstLineChars="200"/>
        <w:jc w:val="center"/>
        <w:outlineLvl w:val="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五、资格性审查</w:t>
      </w:r>
    </w:p>
    <w:p>
      <w:pPr>
        <w:tabs>
          <w:tab w:val="left" w:pos="1305"/>
        </w:tabs>
        <w:spacing w:line="380" w:lineRule="exact"/>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22、资格性审查</w:t>
      </w:r>
    </w:p>
    <w:p>
      <w:pPr>
        <w:pStyle w:val="27"/>
        <w:snapToGrid w:val="0"/>
        <w:spacing w:line="360" w:lineRule="exact"/>
        <w:ind w:firstLine="422" w:firstLineChars="200"/>
        <w:outlineLvl w:val="1"/>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22.1</w:t>
      </w:r>
      <w:r>
        <w:rPr>
          <w:rFonts w:hAnsi="宋体"/>
          <w:b/>
          <w:color w:val="000000" w:themeColor="text1"/>
          <w:szCs w:val="21"/>
          <w14:textFill>
            <w14:solidFill>
              <w14:schemeClr w14:val="tx1"/>
            </w14:solidFill>
          </w14:textFill>
        </w:rPr>
        <w:t>公开招标采购项目开标结束后，采购人</w:t>
      </w:r>
      <w:r>
        <w:rPr>
          <w:rFonts w:hint="eastAsia" w:hAnsi="宋体"/>
          <w:b/>
          <w:color w:val="000000" w:themeColor="text1"/>
          <w:szCs w:val="21"/>
          <w14:textFill>
            <w14:solidFill>
              <w14:schemeClr w14:val="tx1"/>
            </w14:solidFill>
          </w14:textFill>
        </w:rPr>
        <w:t>或者采购代理机构</w:t>
      </w:r>
      <w:r>
        <w:rPr>
          <w:rFonts w:hAnsi="宋体"/>
          <w:b/>
          <w:color w:val="000000" w:themeColor="text1"/>
          <w:szCs w:val="21"/>
          <w14:textFill>
            <w14:solidFill>
              <w14:schemeClr w14:val="tx1"/>
            </w14:solidFill>
          </w14:textFill>
        </w:rPr>
        <w:t>应当依法对投标人的资格进行审查。合格投标人不足3家的，不得评标。</w:t>
      </w:r>
    </w:p>
    <w:p>
      <w:pPr>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22.2采购人或</w:t>
      </w:r>
      <w:r>
        <w:rPr>
          <w:rFonts w:ascii="宋体" w:hAnsi="宋体"/>
          <w:b/>
          <w:color w:val="000000" w:themeColor="text1"/>
          <w:szCs w:val="21"/>
          <w14:textFill>
            <w14:solidFill>
              <w14:schemeClr w14:val="tx1"/>
            </w14:solidFill>
          </w14:textFill>
        </w:rPr>
        <w:t>采购代理机构</w:t>
      </w:r>
      <w:r>
        <w:rPr>
          <w:rFonts w:hint="eastAsia" w:ascii="宋体" w:hAnsi="宋体"/>
          <w:b/>
          <w:color w:val="000000" w:themeColor="text1"/>
          <w:szCs w:val="21"/>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查询渠道：《国家企业信用信息公示系统》（网址：</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HYPERLINK "http://www.gsxt.gov.cn/index.html" </w:instrText>
      </w:r>
      <w:r>
        <w:rPr>
          <w:rFonts w:ascii="宋体" w:hAnsi="宋体"/>
          <w:color w:val="000000" w:themeColor="text1"/>
          <w:szCs w:val="21"/>
          <w14:textFill>
            <w14:solidFill>
              <w14:schemeClr w14:val="tx1"/>
            </w14:solidFill>
          </w14:textFill>
        </w:rPr>
        <w:fldChar w:fldCharType="separate"/>
      </w:r>
      <w:r>
        <w:rPr>
          <w:rFonts w:ascii="宋体" w:hAnsi="宋体"/>
          <w:color w:val="000000" w:themeColor="text1"/>
          <w:szCs w:val="21"/>
          <w14:textFill>
            <w14:solidFill>
              <w14:schemeClr w14:val="tx1"/>
            </w14:solidFill>
          </w14:textFill>
        </w:rPr>
        <w:t>http://www.gsxt.gov.cn/index.html</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w:t>
      </w:r>
    </w:p>
    <w:p>
      <w:pPr>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审查流程：</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（1）进入《国家企业信用信息公示系统》（网址：</w:t>
      </w:r>
      <w:r>
        <w:rPr>
          <w:rFonts w:ascii="宋体" w:hAnsi="宋体"/>
          <w:color w:val="000000" w:themeColor="text1"/>
          <w:szCs w:val="21"/>
          <w14:textFill>
            <w14:solidFill>
              <w14:schemeClr w14:val="tx1"/>
            </w14:solidFill>
          </w14:textFill>
        </w:rPr>
        <w:t>http://www.gsxt.gov.cn/index.html</w:t>
      </w:r>
      <w:r>
        <w:rPr>
          <w:rFonts w:hint="eastAsia" w:ascii="宋体" w:hAnsi="宋体"/>
          <w:color w:val="000000" w:themeColor="text1"/>
          <w:szCs w:val="21"/>
          <w14:textFill>
            <w14:solidFill>
              <w14:schemeClr w14:val="tx1"/>
            </w14:solidFill>
          </w14:textFill>
        </w:rPr>
        <w:t>），输入企业名称，进入企业信息主页面；</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（2）查看主页“股东及出资信息”栏，或年报中的“股东及出资信息”栏信息；</w:t>
      </w:r>
    </w:p>
    <w:p>
      <w:pPr>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（3）将各投标人的股东及出资信息进行比对，得出审查结论；</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（4）将相关资料作为评审资料打印存档。</w:t>
      </w:r>
    </w:p>
    <w:p>
      <w:pPr>
        <w:pStyle w:val="27"/>
        <w:snapToGrid w:val="0"/>
        <w:spacing w:line="360" w:lineRule="exact"/>
        <w:ind w:firstLine="413" w:firstLineChars="196"/>
        <w:outlineLvl w:val="1"/>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22.3对未通过资格性审查的投标人，由采购人或者采购代理机构现场告知未通过资格性审查的投标人未通过资格性审查的原因（投标人在评标现场或能及时赶到评标现场的应书面形式通知并签字确认；投标人未在评标现场或不能及时赶到评标现场的应以电话通知，并做相应记录）。</w:t>
      </w:r>
    </w:p>
    <w:p>
      <w:pPr>
        <w:tabs>
          <w:tab w:val="center" w:pos="4411"/>
          <w:tab w:val="left" w:pos="5475"/>
        </w:tabs>
        <w:spacing w:line="400" w:lineRule="exact"/>
        <w:jc w:val="center"/>
        <w:outlineLvl w:val="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六、评标</w:t>
      </w:r>
    </w:p>
    <w:p>
      <w:pPr>
        <w:tabs>
          <w:tab w:val="center" w:pos="4411"/>
          <w:tab w:val="left" w:pos="5475"/>
        </w:tabs>
        <w:spacing w:line="340" w:lineRule="exact"/>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23、评标委员会组成</w:t>
      </w:r>
    </w:p>
    <w:p>
      <w:pPr>
        <w:tabs>
          <w:tab w:val="left" w:pos="1140"/>
        </w:tabs>
        <w:spacing w:line="340" w:lineRule="exact"/>
        <w:ind w:left="419" w:leftChars="172" w:hanging="58" w:hangingChars="28"/>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评标委员会由采购人代表</w:t>
      </w:r>
      <w:r>
        <w:rPr>
          <w:rFonts w:hint="eastAsia" w:ascii="宋体" w:hAnsi="宋体"/>
          <w:color w:val="000000" w:themeColor="text1"/>
          <w:szCs w:val="21"/>
          <w14:textFill>
            <w14:solidFill>
              <w14:schemeClr w14:val="tx1"/>
            </w14:solidFill>
          </w14:textFill>
        </w:rPr>
        <w:t>1人</w:t>
      </w:r>
      <w:r>
        <w:rPr>
          <w:rFonts w:ascii="宋体" w:hAnsi="宋体"/>
          <w:color w:val="000000" w:themeColor="text1"/>
          <w:szCs w:val="21"/>
          <w14:textFill>
            <w14:solidFill>
              <w14:schemeClr w14:val="tx1"/>
            </w14:solidFill>
          </w14:textFill>
        </w:rPr>
        <w:t>和评审专家</w:t>
      </w:r>
      <w:r>
        <w:rPr>
          <w:rFonts w:hint="eastAsia" w:ascii="宋体" w:hAnsi="宋体"/>
          <w:color w:val="000000" w:themeColor="text1"/>
          <w:szCs w:val="21"/>
          <w14:textFill>
            <w14:solidFill>
              <w14:schemeClr w14:val="tx1"/>
            </w14:solidFill>
          </w14:textFill>
        </w:rPr>
        <w:t>4人</w:t>
      </w:r>
      <w:r>
        <w:rPr>
          <w:rFonts w:ascii="宋体" w:hAnsi="宋体"/>
          <w:color w:val="000000" w:themeColor="text1"/>
          <w:szCs w:val="21"/>
          <w14:textFill>
            <w14:solidFill>
              <w14:schemeClr w14:val="tx1"/>
            </w14:solidFill>
          </w14:textFill>
        </w:rPr>
        <w:t>组成，成员人数</w:t>
      </w:r>
      <w:r>
        <w:rPr>
          <w:rFonts w:hint="eastAsia" w:ascii="宋体" w:hAnsi="宋体"/>
          <w:color w:val="000000" w:themeColor="text1"/>
          <w:szCs w:val="21"/>
          <w14:textFill>
            <w14:solidFill>
              <w14:schemeClr w14:val="tx1"/>
            </w14:solidFill>
          </w14:textFill>
        </w:rPr>
        <w:t>共5人。</w:t>
      </w:r>
    </w:p>
    <w:p>
      <w:pPr>
        <w:tabs>
          <w:tab w:val="left" w:pos="1140"/>
        </w:tabs>
        <w:spacing w:line="340" w:lineRule="exact"/>
        <w:ind w:left="420" w:leftChars="172" w:hanging="59" w:hangingChars="28"/>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24、评标办法</w:t>
      </w:r>
    </w:p>
    <w:p>
      <w:pPr>
        <w:tabs>
          <w:tab w:val="left" w:pos="1140"/>
        </w:tabs>
        <w:spacing w:line="3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24.1评标办法：综合评分法，具体评标内容及标准详见第四章。</w:t>
      </w:r>
    </w:p>
    <w:p>
      <w:pPr>
        <w:tabs>
          <w:tab w:val="left" w:pos="1140"/>
        </w:tabs>
        <w:spacing w:line="34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24.2评标委员会应按招标文件进行评标，不得擅自更改评标办法。</w:t>
      </w:r>
      <w:r>
        <w:rPr>
          <w:rFonts w:hint="eastAsia" w:ascii="宋体" w:hAnsi="宋体"/>
          <w:color w:val="000000" w:themeColor="text1"/>
          <w14:textFill>
            <w14:solidFill>
              <w14:schemeClr w14:val="tx1"/>
            </w14:solidFill>
          </w14:textFill>
        </w:rPr>
        <w:t>　　　　　　　　　　　　　　　　　　　　　　　　　　　　　　　　　　　　　　　　　　　　　　　　　　　　　　　　　　</w:t>
      </w:r>
    </w:p>
    <w:p>
      <w:pPr>
        <w:tabs>
          <w:tab w:val="left" w:pos="1140"/>
        </w:tabs>
        <w:spacing w:line="340" w:lineRule="exact"/>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25、评标</w:t>
      </w:r>
    </w:p>
    <w:p>
      <w:pPr>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25.1采购代理机构负责评标组织工作；评标委员会自行登录评标系统阅读评标工作职责与纪律，确认回避原则，</w:t>
      </w:r>
      <w:r>
        <w:rPr>
          <w:rFonts w:ascii="宋体" w:hAnsi="宋体"/>
          <w:color w:val="000000" w:themeColor="text1"/>
          <w:szCs w:val="21"/>
          <w14:textFill>
            <w14:solidFill>
              <w14:schemeClr w14:val="tx1"/>
            </w14:solidFill>
          </w14:textFill>
        </w:rPr>
        <w:t>评标委员会推选评标组长，采购人代表不得担任组长</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公布投标人名单；</w:t>
      </w:r>
      <w:r>
        <w:rPr>
          <w:rFonts w:hint="eastAsia" w:ascii="宋体" w:hAnsi="宋体"/>
          <w:color w:val="000000" w:themeColor="text1"/>
          <w:szCs w:val="21"/>
          <w14:textFill>
            <w14:solidFill>
              <w14:schemeClr w14:val="tx1"/>
            </w14:solidFill>
          </w14:textFill>
        </w:rPr>
        <w:t>在评标期间由桂林市公共资源交易中心采取必要的通讯管理措施并保证评标活动不受外界干扰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采购代理机构</w:t>
      </w:r>
      <w:r>
        <w:rPr>
          <w:rFonts w:ascii="宋体" w:hAnsi="宋体"/>
          <w:color w:val="000000" w:themeColor="text1"/>
          <w:szCs w:val="21"/>
          <w14:textFill>
            <w14:solidFill>
              <w14:schemeClr w14:val="tx1"/>
            </w14:solidFill>
          </w14:textFill>
        </w:rPr>
        <w:t>根据评标委员会的要求介绍政府采购相关政策法规、招标文件；维护评标秩序，监督评标委员会依照招标文件规定的评标程序、方法和标准进行独立评审，及时制止和纠正采购人代表、评</w:t>
      </w:r>
      <w:r>
        <w:rPr>
          <w:rFonts w:hint="eastAsia" w:ascii="宋体" w:hAnsi="宋体"/>
          <w:color w:val="000000" w:themeColor="text1"/>
          <w:szCs w:val="21"/>
          <w14:textFill>
            <w14:solidFill>
              <w14:schemeClr w14:val="tx1"/>
            </w14:solidFill>
          </w14:textFill>
        </w:rPr>
        <w:t>标</w:t>
      </w:r>
      <w:r>
        <w:rPr>
          <w:rFonts w:ascii="宋体" w:hAnsi="宋体"/>
          <w:color w:val="000000" w:themeColor="text1"/>
          <w:szCs w:val="21"/>
          <w14:textFill>
            <w14:solidFill>
              <w14:schemeClr w14:val="tx1"/>
            </w14:solidFill>
          </w14:textFill>
        </w:rPr>
        <w:t>专家的倾向性言论或者违法违规行为；核对评标结果，有</w:t>
      </w:r>
      <w:r>
        <w:rPr>
          <w:rFonts w:hint="eastAsia" w:ascii="宋体" w:hAnsi="宋体"/>
          <w:color w:val="000000" w:themeColor="text1"/>
          <w:szCs w:val="21"/>
          <w14:textFill>
            <w14:solidFill>
              <w14:schemeClr w14:val="tx1"/>
            </w14:solidFill>
          </w14:textFill>
        </w:rPr>
        <w:t>投标无效</w:t>
      </w:r>
      <w:r>
        <w:rPr>
          <w:rFonts w:ascii="宋体" w:hAnsi="宋体"/>
          <w:color w:val="000000" w:themeColor="text1"/>
          <w:szCs w:val="21"/>
          <w14:textFill>
            <w14:solidFill>
              <w14:schemeClr w14:val="tx1"/>
            </w14:solidFill>
          </w14:textFill>
        </w:rPr>
        <w:t>情形的，要求评标委员会复核或者书面说明理由，评标委员会拒绝的，应予记录并向本级财政部门报告；评</w:t>
      </w:r>
      <w:r>
        <w:rPr>
          <w:rFonts w:hint="eastAsia" w:ascii="宋体" w:hAnsi="宋体"/>
          <w:color w:val="000000" w:themeColor="text1"/>
          <w:szCs w:val="21"/>
          <w14:textFill>
            <w14:solidFill>
              <w14:schemeClr w14:val="tx1"/>
            </w14:solidFill>
          </w14:textFill>
        </w:rPr>
        <w:t>审</w:t>
      </w:r>
      <w:r>
        <w:rPr>
          <w:rFonts w:ascii="宋体" w:hAnsi="宋体"/>
          <w:color w:val="000000" w:themeColor="text1"/>
          <w:szCs w:val="21"/>
          <w14:textFill>
            <w14:solidFill>
              <w14:schemeClr w14:val="tx1"/>
            </w14:solidFill>
          </w14:textFill>
        </w:rPr>
        <w:t>工作完成后，按照规定向评</w:t>
      </w:r>
      <w:r>
        <w:rPr>
          <w:rFonts w:hint="eastAsia" w:ascii="宋体" w:hAnsi="宋体"/>
          <w:color w:val="000000" w:themeColor="text1"/>
          <w:szCs w:val="21"/>
          <w14:textFill>
            <w14:solidFill>
              <w14:schemeClr w14:val="tx1"/>
            </w14:solidFill>
          </w14:textFill>
        </w:rPr>
        <w:t>审</w:t>
      </w:r>
      <w:r>
        <w:rPr>
          <w:rFonts w:ascii="宋体" w:hAnsi="宋体"/>
          <w:color w:val="000000" w:themeColor="text1"/>
          <w:szCs w:val="21"/>
          <w14:textFill>
            <w14:solidFill>
              <w14:schemeClr w14:val="tx1"/>
            </w14:solidFill>
          </w14:textFill>
        </w:rPr>
        <w:t>专家支付劳务报酬和异地评审差旅费，不得向评</w:t>
      </w:r>
      <w:r>
        <w:rPr>
          <w:rFonts w:hint="eastAsia" w:ascii="宋体" w:hAnsi="宋体"/>
          <w:color w:val="000000" w:themeColor="text1"/>
          <w:szCs w:val="21"/>
          <w14:textFill>
            <w14:solidFill>
              <w14:schemeClr w14:val="tx1"/>
            </w14:solidFill>
          </w14:textFill>
        </w:rPr>
        <w:t>审</w:t>
      </w:r>
      <w:r>
        <w:rPr>
          <w:rFonts w:ascii="宋体" w:hAnsi="宋体"/>
          <w:color w:val="000000" w:themeColor="text1"/>
          <w:szCs w:val="21"/>
          <w14:textFill>
            <w14:solidFill>
              <w14:schemeClr w14:val="tx1"/>
            </w14:solidFill>
          </w14:textFill>
        </w:rPr>
        <w:t>专家以外的其他人员支付评审劳务报酬；</w:t>
      </w:r>
    </w:p>
    <w:p>
      <w:pPr>
        <w:pStyle w:val="47"/>
        <w:shd w:val="clear" w:color="auto" w:fill="FFFFFF"/>
        <w:spacing w:before="0" w:beforeAutospacing="0" w:after="0" w:afterAutospacing="0" w:line="360" w:lineRule="exact"/>
        <w:ind w:firstLine="420" w:firstLineChars="200"/>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25.2评标委员会负责具体评标事务；</w:t>
      </w:r>
      <w:r>
        <w:rPr>
          <w:color w:val="000000" w:themeColor="text1"/>
          <w:kern w:val="2"/>
          <w:sz w:val="21"/>
          <w:szCs w:val="21"/>
          <w14:textFill>
            <w14:solidFill>
              <w14:schemeClr w14:val="tx1"/>
            </w14:solidFill>
          </w14:textFill>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47"/>
        <w:shd w:val="clear" w:color="auto" w:fill="FFFFFF"/>
        <w:spacing w:before="0" w:beforeAutospacing="0" w:after="0" w:afterAutospacing="0" w:line="360" w:lineRule="exact"/>
        <w:ind w:firstLine="420" w:firstLineChars="20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25.3在评标过程中，评标委员会任何人不得对某个投标人发表任何倾向性意见，不得向其他专家评委明示或者暗示自己的评审意见。</w:t>
      </w:r>
    </w:p>
    <w:p>
      <w:pPr>
        <w:tabs>
          <w:tab w:val="left" w:pos="1140"/>
        </w:tabs>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25.4</w:t>
      </w:r>
      <w:r>
        <w:rPr>
          <w:rFonts w:ascii="宋体" w:hAnsi="宋体"/>
          <w:color w:val="000000" w:themeColor="text1"/>
          <w:szCs w:val="21"/>
          <w14:textFill>
            <w14:solidFill>
              <w14:schemeClr w14:val="tx1"/>
            </w14:solidFill>
          </w14:textFill>
        </w:rPr>
        <w:t>评标委员会应当对符合资格的投标人的投标文件进行符合性审查，以确定其是否满足招标文件的实质性要求。</w:t>
      </w:r>
    </w:p>
    <w:p>
      <w:pPr>
        <w:pStyle w:val="27"/>
        <w:snapToGrid w:val="0"/>
        <w:spacing w:line="360" w:lineRule="exact"/>
        <w:ind w:firstLine="413" w:firstLineChars="196"/>
        <w:outlineLvl w:val="1"/>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对未通过符合性审查的投标人，由评标委员会现场告知未通过符合性审查的投标人未通过资格性审查的原因（投标人在评标现场或能及时赶到评标现场的应书面形式通知并签字确认；投标人未在评标现场或不能及时赶到评标现场的应以电话通知，并做相应记录）。</w:t>
      </w:r>
    </w:p>
    <w:p>
      <w:pPr>
        <w:tabs>
          <w:tab w:val="left" w:pos="1140"/>
        </w:tabs>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25.5</w:t>
      </w:r>
      <w:r>
        <w:rPr>
          <w:rFonts w:ascii="宋体" w:hAnsi="宋体"/>
          <w:color w:val="000000" w:themeColor="text1"/>
          <w:szCs w:val="21"/>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tabs>
          <w:tab w:val="left" w:pos="1140"/>
        </w:tabs>
        <w:spacing w:line="36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投标人的澄清、说明或者补正应当采用书面形式，并加盖</w:t>
      </w:r>
      <w:r>
        <w:rPr>
          <w:rFonts w:hint="eastAsia" w:ascii="宋体" w:hAnsi="宋体"/>
          <w:color w:val="000000" w:themeColor="text1"/>
          <w:szCs w:val="21"/>
          <w14:textFill>
            <w14:solidFill>
              <w14:schemeClr w14:val="tx1"/>
            </w14:solidFill>
          </w14:textFill>
        </w:rPr>
        <w:t>投标人公章（CA签章）</w:t>
      </w:r>
      <w:r>
        <w:rPr>
          <w:rFonts w:ascii="宋体" w:hAnsi="宋体"/>
          <w:color w:val="000000" w:themeColor="text1"/>
          <w:szCs w:val="21"/>
          <w14:textFill>
            <w14:solidFill>
              <w14:schemeClr w14:val="tx1"/>
            </w14:solidFill>
          </w14:textFill>
        </w:rPr>
        <w:t>，或者由法定代表人或其授权的代表签字</w:t>
      </w:r>
      <w:r>
        <w:rPr>
          <w:rFonts w:hint="eastAsia" w:ascii="宋体" w:hAnsi="宋体"/>
          <w:color w:val="000000" w:themeColor="text1"/>
          <w:szCs w:val="21"/>
          <w14:textFill>
            <w14:solidFill>
              <w14:schemeClr w14:val="tx1"/>
            </w14:solidFill>
          </w14:textFill>
        </w:rPr>
        <w:t>或个人公章CA签章</w:t>
      </w:r>
      <w:r>
        <w:rPr>
          <w:rFonts w:ascii="宋体" w:hAnsi="宋体"/>
          <w:color w:val="000000" w:themeColor="text1"/>
          <w:szCs w:val="21"/>
          <w14:textFill>
            <w14:solidFill>
              <w14:schemeClr w14:val="tx1"/>
            </w14:solidFill>
          </w14:textFill>
        </w:rPr>
        <w:t>。投标人的澄清、说明或者补正不得超出投标文件的范围或者改变投标文件的实质性内容。</w:t>
      </w:r>
    </w:p>
    <w:p>
      <w:pPr>
        <w:pStyle w:val="27"/>
        <w:spacing w:line="360" w:lineRule="exact"/>
        <w:ind w:firstLine="411" w:firstLineChars="196"/>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25.6</w:t>
      </w:r>
      <w:r>
        <w:rPr>
          <w:rFonts w:hAnsi="宋体"/>
          <w:color w:val="000000" w:themeColor="text1"/>
          <w:szCs w:val="21"/>
          <w14:textFill>
            <w14:solidFill>
              <w14:schemeClr w14:val="tx1"/>
            </w14:solidFill>
          </w14:textFill>
        </w:rPr>
        <w:t>评标委员会应当按照招标文件中规定的评标方法和标准，对符合性审查合格的投标文件进行商务和技术评估，综合比较与评价。</w:t>
      </w:r>
    </w:p>
    <w:p>
      <w:pPr>
        <w:pStyle w:val="47"/>
        <w:shd w:val="clear" w:color="auto" w:fill="FFFFFF"/>
        <w:spacing w:before="0" w:beforeAutospacing="0" w:after="0" w:afterAutospacing="0" w:line="360" w:lineRule="exact"/>
        <w:ind w:firstLine="422" w:firstLineChars="200"/>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25.7</w:t>
      </w:r>
      <w:r>
        <w:rPr>
          <w:b/>
          <w:color w:val="000000" w:themeColor="text1"/>
          <w:kern w:val="2"/>
          <w:sz w:val="21"/>
          <w:szCs w:val="21"/>
          <w14:textFill>
            <w14:solidFill>
              <w14:schemeClr w14:val="tx1"/>
            </w14:solidFill>
          </w14:textFill>
        </w:rPr>
        <w:t>投标文件报价出现前后不一致的，除招标文件另有规定外，按照下列规定修正：</w:t>
      </w:r>
    </w:p>
    <w:p>
      <w:pPr>
        <w:pStyle w:val="47"/>
        <w:shd w:val="clear" w:color="auto" w:fill="FFFFFF"/>
        <w:spacing w:before="0" w:beforeAutospacing="0" w:after="0" w:afterAutospacing="0" w:line="360" w:lineRule="exact"/>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　　（</w:t>
      </w:r>
      <w:r>
        <w:rPr>
          <w:rFonts w:hint="eastAsia"/>
          <w:color w:val="000000" w:themeColor="text1"/>
          <w:kern w:val="2"/>
          <w:sz w:val="21"/>
          <w:szCs w:val="21"/>
          <w14:textFill>
            <w14:solidFill>
              <w14:schemeClr w14:val="tx1"/>
            </w14:solidFill>
          </w14:textFill>
        </w:rPr>
        <w:t>1</w:t>
      </w:r>
      <w:r>
        <w:rPr>
          <w:color w:val="000000" w:themeColor="text1"/>
          <w:kern w:val="2"/>
          <w:sz w:val="21"/>
          <w:szCs w:val="21"/>
          <w14:textFill>
            <w14:solidFill>
              <w14:schemeClr w14:val="tx1"/>
            </w14:solidFill>
          </w14:textFill>
        </w:rPr>
        <w:t>）投标文件中</w:t>
      </w:r>
      <w:r>
        <w:rPr>
          <w:rFonts w:hint="eastAsia"/>
          <w:color w:val="000000" w:themeColor="text1"/>
          <w:kern w:val="2"/>
          <w:sz w:val="21"/>
          <w:szCs w:val="21"/>
          <w14:textFill>
            <w14:solidFill>
              <w14:schemeClr w14:val="tx1"/>
            </w14:solidFill>
          </w14:textFill>
        </w:rPr>
        <w:t>投标报价表</w:t>
      </w:r>
      <w:r>
        <w:rPr>
          <w:color w:val="000000" w:themeColor="text1"/>
          <w:kern w:val="2"/>
          <w:sz w:val="21"/>
          <w:szCs w:val="21"/>
          <w14:textFill>
            <w14:solidFill>
              <w14:schemeClr w14:val="tx1"/>
            </w14:solidFill>
          </w14:textFill>
        </w:rPr>
        <w:t>内容与投标文件中相应内容不一致的，以</w:t>
      </w:r>
      <w:r>
        <w:rPr>
          <w:rFonts w:hint="eastAsia"/>
          <w:color w:val="000000" w:themeColor="text1"/>
          <w:kern w:val="2"/>
          <w:sz w:val="21"/>
          <w:szCs w:val="21"/>
          <w14:textFill>
            <w14:solidFill>
              <w14:schemeClr w14:val="tx1"/>
            </w14:solidFill>
          </w14:textFill>
        </w:rPr>
        <w:t>投标报价表</w:t>
      </w:r>
      <w:r>
        <w:rPr>
          <w:color w:val="000000" w:themeColor="text1"/>
          <w:kern w:val="2"/>
          <w:sz w:val="21"/>
          <w:szCs w:val="21"/>
          <w14:textFill>
            <w14:solidFill>
              <w14:schemeClr w14:val="tx1"/>
            </w14:solidFill>
          </w14:textFill>
        </w:rPr>
        <w:t>为准；</w:t>
      </w:r>
    </w:p>
    <w:p>
      <w:pPr>
        <w:pStyle w:val="47"/>
        <w:shd w:val="clear" w:color="auto" w:fill="FFFFFF"/>
        <w:spacing w:before="0" w:beforeAutospacing="0" w:after="0" w:afterAutospacing="0" w:line="360" w:lineRule="exact"/>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　　（</w:t>
      </w:r>
      <w:r>
        <w:rPr>
          <w:rFonts w:hint="eastAsia"/>
          <w:color w:val="000000" w:themeColor="text1"/>
          <w:kern w:val="2"/>
          <w:sz w:val="21"/>
          <w:szCs w:val="21"/>
          <w14:textFill>
            <w14:solidFill>
              <w14:schemeClr w14:val="tx1"/>
            </w14:solidFill>
          </w14:textFill>
        </w:rPr>
        <w:t>2</w:t>
      </w:r>
      <w:r>
        <w:rPr>
          <w:color w:val="000000" w:themeColor="text1"/>
          <w:kern w:val="2"/>
          <w:sz w:val="21"/>
          <w:szCs w:val="21"/>
          <w14:textFill>
            <w14:solidFill>
              <w14:schemeClr w14:val="tx1"/>
            </w14:solidFill>
          </w14:textFill>
        </w:rPr>
        <w:t>）大写金额和小写金额不一致的，以大写金额为准；</w:t>
      </w:r>
    </w:p>
    <w:p>
      <w:pPr>
        <w:pStyle w:val="47"/>
        <w:shd w:val="clear" w:color="auto" w:fill="FFFFFF"/>
        <w:spacing w:before="0" w:beforeAutospacing="0" w:after="0" w:afterAutospacing="0" w:line="360" w:lineRule="exact"/>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　　（</w:t>
      </w:r>
      <w:r>
        <w:rPr>
          <w:rFonts w:hint="eastAsia"/>
          <w:color w:val="000000" w:themeColor="text1"/>
          <w:kern w:val="2"/>
          <w:sz w:val="21"/>
          <w:szCs w:val="21"/>
          <w14:textFill>
            <w14:solidFill>
              <w14:schemeClr w14:val="tx1"/>
            </w14:solidFill>
          </w14:textFill>
        </w:rPr>
        <w:t>3</w:t>
      </w:r>
      <w:r>
        <w:rPr>
          <w:color w:val="000000" w:themeColor="text1"/>
          <w:kern w:val="2"/>
          <w:sz w:val="21"/>
          <w:szCs w:val="21"/>
          <w14:textFill>
            <w14:solidFill>
              <w14:schemeClr w14:val="tx1"/>
            </w14:solidFill>
          </w14:textFill>
        </w:rPr>
        <w:t>）单价金额小数点或者百分比有明显错位的，以</w:t>
      </w:r>
      <w:r>
        <w:rPr>
          <w:rFonts w:hint="eastAsia"/>
          <w:color w:val="000000" w:themeColor="text1"/>
          <w:kern w:val="2"/>
          <w:sz w:val="21"/>
          <w:szCs w:val="21"/>
          <w14:textFill>
            <w14:solidFill>
              <w14:schemeClr w14:val="tx1"/>
            </w14:solidFill>
          </w14:textFill>
        </w:rPr>
        <w:t>报价</w:t>
      </w:r>
      <w:r>
        <w:rPr>
          <w:color w:val="000000" w:themeColor="text1"/>
          <w:kern w:val="2"/>
          <w:sz w:val="21"/>
          <w:szCs w:val="21"/>
          <w14:textFill>
            <w14:solidFill>
              <w14:schemeClr w14:val="tx1"/>
            </w14:solidFill>
          </w14:textFill>
        </w:rPr>
        <w:t>表的总价为准，并修改单价；</w:t>
      </w:r>
    </w:p>
    <w:p>
      <w:pPr>
        <w:pStyle w:val="47"/>
        <w:shd w:val="clear" w:color="auto" w:fill="FFFFFF"/>
        <w:spacing w:before="0" w:beforeAutospacing="0" w:after="0" w:afterAutospacing="0" w:line="360" w:lineRule="exact"/>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　　（</w:t>
      </w:r>
      <w:r>
        <w:rPr>
          <w:rFonts w:hint="eastAsia"/>
          <w:color w:val="000000" w:themeColor="text1"/>
          <w:kern w:val="2"/>
          <w:sz w:val="21"/>
          <w:szCs w:val="21"/>
          <w14:textFill>
            <w14:solidFill>
              <w14:schemeClr w14:val="tx1"/>
            </w14:solidFill>
          </w14:textFill>
        </w:rPr>
        <w:t>4</w:t>
      </w:r>
      <w:r>
        <w:rPr>
          <w:color w:val="000000" w:themeColor="text1"/>
          <w:kern w:val="2"/>
          <w:sz w:val="21"/>
          <w:szCs w:val="21"/>
          <w14:textFill>
            <w14:solidFill>
              <w14:schemeClr w14:val="tx1"/>
            </w14:solidFill>
          </w14:textFill>
        </w:rPr>
        <w:t>）总价金额与按单价汇总金额不一致的，以单价金额计算结果为准。</w:t>
      </w:r>
    </w:p>
    <w:p>
      <w:pPr>
        <w:pStyle w:val="47"/>
        <w:shd w:val="clear" w:color="auto" w:fill="FFFFFF"/>
        <w:spacing w:before="0" w:beforeAutospacing="0" w:after="0" w:afterAutospacing="0" w:line="360" w:lineRule="exact"/>
        <w:rPr>
          <w:b/>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　　</w:t>
      </w:r>
      <w:r>
        <w:rPr>
          <w:b/>
          <w:color w:val="000000" w:themeColor="text1"/>
          <w:kern w:val="2"/>
          <w:sz w:val="21"/>
          <w:szCs w:val="21"/>
          <w14:textFill>
            <w14:solidFill>
              <w14:schemeClr w14:val="tx1"/>
            </w14:solidFill>
          </w14:textFill>
        </w:rPr>
        <w:t>同时出现两种以上不一致的，按照前款规定的顺序修正。修正后的报价</w:t>
      </w:r>
      <w:r>
        <w:rPr>
          <w:rFonts w:hint="eastAsia"/>
          <w:b/>
          <w:color w:val="000000" w:themeColor="text1"/>
          <w:kern w:val="2"/>
          <w:sz w:val="21"/>
          <w:szCs w:val="21"/>
          <w14:textFill>
            <w14:solidFill>
              <w14:schemeClr w14:val="tx1"/>
            </w14:solidFill>
          </w14:textFill>
        </w:rPr>
        <w:t>（</w:t>
      </w:r>
      <w:r>
        <w:rPr>
          <w:b/>
          <w:color w:val="000000" w:themeColor="text1"/>
          <w:kern w:val="2"/>
          <w:sz w:val="21"/>
          <w:szCs w:val="21"/>
          <w14:textFill>
            <w14:solidFill>
              <w14:schemeClr w14:val="tx1"/>
            </w14:solidFill>
          </w14:textFill>
        </w:rPr>
        <w:t>不得超出投标文件的范围或者改变投标文件的实质性内容</w:t>
      </w:r>
      <w:r>
        <w:rPr>
          <w:rFonts w:hint="eastAsia"/>
          <w:b/>
          <w:color w:val="000000" w:themeColor="text1"/>
          <w:kern w:val="2"/>
          <w:sz w:val="21"/>
          <w:szCs w:val="21"/>
          <w14:textFill>
            <w14:solidFill>
              <w14:schemeClr w14:val="tx1"/>
            </w14:solidFill>
          </w14:textFill>
        </w:rPr>
        <w:t>）</w:t>
      </w:r>
      <w:r>
        <w:rPr>
          <w:b/>
          <w:color w:val="000000" w:themeColor="text1"/>
          <w:kern w:val="2"/>
          <w:sz w:val="21"/>
          <w:szCs w:val="21"/>
          <w14:textFill>
            <w14:solidFill>
              <w14:schemeClr w14:val="tx1"/>
            </w14:solidFill>
          </w14:textFill>
        </w:rPr>
        <w:t>经投标人确认后产生约束力，投标人不确认的，其投标无效。</w:t>
      </w:r>
    </w:p>
    <w:p>
      <w:pPr>
        <w:pStyle w:val="27"/>
        <w:spacing w:line="360" w:lineRule="exact"/>
        <w:ind w:firstLine="413" w:firstLineChars="196"/>
        <w:rPr>
          <w:rFonts w:hint="eastAsia"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25.8</w:t>
      </w:r>
      <w:r>
        <w:rPr>
          <w:rFonts w:hAnsi="宋体"/>
          <w:b/>
          <w:color w:val="000000" w:themeColor="text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w:t>
      </w:r>
      <w:r>
        <w:rPr>
          <w:rFonts w:hint="eastAsia" w:hAnsi="宋体"/>
          <w:b/>
          <w:color w:val="000000" w:themeColor="text1"/>
          <w:szCs w:val="21"/>
          <w14:textFill>
            <w14:solidFill>
              <w14:schemeClr w14:val="tx1"/>
            </w14:solidFill>
          </w14:textFill>
        </w:rPr>
        <w:t>（线上提交</w:t>
      </w:r>
      <w:r>
        <w:rPr>
          <w:rFonts w:hAnsi="宋体"/>
          <w:b/>
          <w:color w:val="000000" w:themeColor="text1"/>
          <w:szCs w:val="21"/>
          <w14:textFill>
            <w14:solidFill>
              <w14:schemeClr w14:val="tx1"/>
            </w14:solidFill>
          </w14:textFill>
        </w:rPr>
        <w:t>），必要时提交相关证明材料；投标人不能证明其报价合理性的，评标委员会应当将其作为无效投标处理。</w:t>
      </w:r>
    </w:p>
    <w:p>
      <w:pPr>
        <w:pStyle w:val="27"/>
        <w:spacing w:line="360" w:lineRule="exact"/>
        <w:ind w:firstLine="411" w:firstLineChars="196"/>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25.9</w:t>
      </w:r>
      <w:r>
        <w:rPr>
          <w:rFonts w:hAnsi="宋体"/>
          <w:color w:val="000000" w:themeColor="text1"/>
          <w:szCs w:val="21"/>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25.10</w:t>
      </w:r>
      <w:r>
        <w:rPr>
          <w:rFonts w:ascii="宋体" w:hAnsi="宋体"/>
          <w:color w:val="000000" w:themeColor="text1"/>
          <w:szCs w:val="21"/>
          <w14:textFill>
            <w14:solidFill>
              <w14:schemeClr w14:val="tx1"/>
            </w14:solidFill>
          </w14:textFill>
        </w:rPr>
        <w:t>评标结果汇总完成后，除下列情形外，任何人不得修改评标结果：</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（一）分值汇总计算错误的；</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（二）分项评分超出评分标准范围的；</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（三）评标委员会成员对客观评审因素评分不一致的；</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（四）经评标委员会认定评分畸高、畸低的。</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pStyle w:val="27"/>
        <w:spacing w:line="360" w:lineRule="exact"/>
        <w:ind w:firstLine="411" w:firstLineChars="196"/>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25.11采购代理机构发现评标委员会有明显的违规倾向或歧视现象，或不按评标办法进行，或其他不正常行为的，应当及时制止。如制止无效，应及时向桂林市财政局报告。</w:t>
      </w:r>
    </w:p>
    <w:p>
      <w:pPr>
        <w:pStyle w:val="27"/>
        <w:tabs>
          <w:tab w:val="left" w:pos="4214"/>
        </w:tabs>
        <w:spacing w:line="340" w:lineRule="exact"/>
        <w:ind w:firstLine="422" w:firstLineChars="200"/>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26</w:t>
      </w:r>
      <w:r>
        <w:rPr>
          <w:rFonts w:hint="eastAsia" w:hAnsi="宋体"/>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推荐及确定中标候选供应商原则</w:t>
      </w:r>
    </w:p>
    <w:p>
      <w:pPr>
        <w:pStyle w:val="27"/>
        <w:tabs>
          <w:tab w:val="left" w:pos="4214"/>
        </w:tabs>
        <w:spacing w:line="340" w:lineRule="exact"/>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26.1评标委员会根据综合得分由高到低排列次序；若得分相同时，按评标价由低到高顺序排列；若得分相同且评标价相同时，按投标报价由低到高顺序排列；若相同的，则依次按服务实施方案分、履约能力得分由高到低的顺序排列并推荐中标候选供应商</w:t>
      </w:r>
      <w:r>
        <w:rPr>
          <w:rFonts w:hAnsi="宋体" w:cs="Arial"/>
          <w:color w:val="000000" w:themeColor="text1"/>
          <w:sz w:val="22"/>
          <w:szCs w:val="22"/>
          <w14:textFill>
            <w14:solidFill>
              <w14:schemeClr w14:val="tx1"/>
            </w14:solidFill>
          </w14:textFill>
        </w:rPr>
        <w:t>。</w:t>
      </w:r>
    </w:p>
    <w:p>
      <w:pPr>
        <w:pStyle w:val="27"/>
        <w:tabs>
          <w:tab w:val="left" w:pos="4214"/>
        </w:tabs>
        <w:spacing w:line="340" w:lineRule="exact"/>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26.2评标委员会可推荐前三名为中标候选人，采购人应当确定评标委员会推荐排名第一的中标候选人为中标人。</w:t>
      </w:r>
    </w:p>
    <w:p>
      <w:pPr>
        <w:pStyle w:val="27"/>
        <w:spacing w:line="340" w:lineRule="exact"/>
        <w:ind w:firstLine="447" w:firstLineChars="213"/>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26.3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或重新招标，并依此类推。</w:t>
      </w:r>
    </w:p>
    <w:p>
      <w:pPr>
        <w:snapToGrid w:val="0"/>
        <w:spacing w:line="340" w:lineRule="exact"/>
        <w:ind w:firstLine="422" w:firstLineChars="200"/>
        <w:outlineLvl w:val="4"/>
        <w:rPr>
          <w:rFonts w:hint="eastAsia"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27</w:t>
      </w:r>
      <w:r>
        <w:rPr>
          <w:rFonts w:hint="eastAsia" w:ascii="宋体" w:hAnsi="宋体"/>
          <w:b/>
          <w:color w:val="000000" w:themeColor="text1"/>
          <w14:textFill>
            <w14:solidFill>
              <w14:schemeClr w14:val="tx1"/>
            </w14:solidFill>
          </w14:textFill>
        </w:rPr>
        <w:t>、</w:t>
      </w:r>
      <w:r>
        <w:rPr>
          <w:rFonts w:hint="eastAsia" w:ascii="宋体" w:hAnsi="宋体"/>
          <w:b/>
          <w:color w:val="000000" w:themeColor="text1"/>
          <w:szCs w:val="21"/>
          <w14:textFill>
            <w14:solidFill>
              <w14:schemeClr w14:val="tx1"/>
            </w14:solidFill>
          </w14:textFill>
        </w:rPr>
        <w:t>属于下列情况之一者，投标无效：</w:t>
      </w:r>
    </w:p>
    <w:p>
      <w:pPr>
        <w:snapToGrid w:val="0"/>
        <w:spacing w:line="340" w:lineRule="exact"/>
        <w:ind w:firstLine="411" w:firstLineChars="196"/>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（1）未按照招标文件规定要求签字、盖章的；</w:t>
      </w:r>
    </w:p>
    <w:p>
      <w:pPr>
        <w:snapToGrid w:val="0"/>
        <w:spacing w:line="340" w:lineRule="exact"/>
        <w:ind w:firstLine="420" w:firstLineChars="20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报价超过招标文件中规定的预算金额的；</w:t>
      </w:r>
    </w:p>
    <w:p>
      <w:pPr>
        <w:snapToGrid w:val="0"/>
        <w:spacing w:line="340" w:lineRule="exact"/>
        <w:ind w:firstLine="411" w:firstLineChars="196"/>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（3）不具备招标文件中规定的资格要求的</w:t>
      </w:r>
      <w:r>
        <w:rPr>
          <w:rFonts w:hint="eastAsia" w:ascii="宋体" w:hAnsi="宋体"/>
          <w:color w:val="000000" w:themeColor="text1"/>
          <w14:textFill>
            <w14:solidFill>
              <w14:schemeClr w14:val="tx1"/>
            </w14:solidFill>
          </w14:textFill>
        </w:rPr>
        <w:t>；</w:t>
      </w:r>
    </w:p>
    <w:p>
      <w:pPr>
        <w:snapToGrid w:val="0"/>
        <w:spacing w:line="340" w:lineRule="exact"/>
        <w:ind w:firstLine="411" w:firstLineChars="196"/>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投标文件含有采购人不能接受的附加条件的</w:t>
      </w:r>
      <w:r>
        <w:rPr>
          <w:rFonts w:hint="eastAsia" w:ascii="宋体" w:hAnsi="宋体"/>
          <w:color w:val="000000" w:themeColor="text1"/>
          <w:szCs w:val="21"/>
          <w14:textFill>
            <w14:solidFill>
              <w14:schemeClr w14:val="tx1"/>
            </w14:solidFill>
          </w14:textFill>
        </w:rPr>
        <w:t>；</w:t>
      </w:r>
    </w:p>
    <w:p>
      <w:pPr>
        <w:snapToGrid w:val="0"/>
        <w:spacing w:line="340" w:lineRule="exact"/>
        <w:ind w:firstLine="411" w:firstLineChars="196"/>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（5）投标文件未按招标文件的内容和要求编制，或提供虚假或无效材料的；</w:t>
      </w:r>
    </w:p>
    <w:p>
      <w:pPr>
        <w:snapToGrid w:val="0"/>
        <w:spacing w:line="360" w:lineRule="exact"/>
        <w:ind w:firstLine="411" w:firstLineChars="196"/>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（6）投标文件有效期、服务期不能满足招标文件要求的；</w:t>
      </w:r>
    </w:p>
    <w:p>
      <w:pPr>
        <w:snapToGrid w:val="0"/>
        <w:spacing w:line="340" w:lineRule="exact"/>
        <w:ind w:firstLine="411" w:firstLineChars="196"/>
        <w:outlineLvl w:val="4"/>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（7）</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人未就“服务采购需求”中所投项目的所有服务内容作完整唯一报价的</w:t>
      </w:r>
      <w:r>
        <w:rPr>
          <w:rFonts w:hint="eastAsia" w:ascii="宋体" w:hAnsi="宋体"/>
          <w:color w:val="000000" w:themeColor="text1"/>
          <w14:textFill>
            <w14:solidFill>
              <w14:schemeClr w14:val="tx1"/>
            </w14:solidFill>
          </w14:textFill>
        </w:rPr>
        <w:t>；</w:t>
      </w:r>
    </w:p>
    <w:p>
      <w:pPr>
        <w:snapToGrid w:val="0"/>
        <w:spacing w:line="340" w:lineRule="exact"/>
        <w:ind w:firstLine="411" w:firstLineChars="196"/>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（8）未完全响应招标文件实质性要求的；</w:t>
      </w:r>
    </w:p>
    <w:p>
      <w:pPr>
        <w:pStyle w:val="27"/>
        <w:spacing w:line="340" w:lineRule="exact"/>
        <w:ind w:firstLine="420" w:firstLineChars="200"/>
        <w:rPr>
          <w:rFonts w:hint="eastAsia" w:hAnsi="宋体"/>
          <w:color w:val="000000" w:themeColor="text1"/>
          <w:szCs w:val="24"/>
          <w14:textFill>
            <w14:solidFill>
              <w14:schemeClr w14:val="tx1"/>
            </w14:solidFill>
          </w14:textFill>
        </w:rPr>
      </w:pPr>
      <w:r>
        <w:rPr>
          <w:rFonts w:hint="eastAsia" w:hAnsi="宋体"/>
          <w:color w:val="000000" w:themeColor="text1"/>
          <w:szCs w:val="21"/>
          <w14:textFill>
            <w14:solidFill>
              <w14:schemeClr w14:val="tx1"/>
            </w14:solidFill>
          </w14:textFill>
        </w:rPr>
        <w:t>（9）单位负责人为同一人或者存在直接控股、管理关系的不同投标人参加同一合同项下分标或未划分分标的同一合同项下的政府采购活动；</w:t>
      </w:r>
    </w:p>
    <w:p>
      <w:pPr>
        <w:pStyle w:val="27"/>
        <w:spacing w:line="340" w:lineRule="exact"/>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（10）</w:t>
      </w:r>
      <w:r>
        <w:rPr>
          <w:rFonts w:hAnsi="宋体"/>
          <w:color w:val="000000" w:themeColor="text1"/>
          <w:szCs w:val="21"/>
          <w14:textFill>
            <w14:solidFill>
              <w14:schemeClr w14:val="tx1"/>
            </w14:solidFill>
          </w14:textFill>
        </w:rPr>
        <w:t>法律、法规和招标文件规定的其他无效情形。</w:t>
      </w:r>
    </w:p>
    <w:p>
      <w:pPr>
        <w:snapToGrid w:val="0"/>
        <w:spacing w:line="340" w:lineRule="exact"/>
        <w:ind w:firstLine="527" w:firstLineChars="250"/>
        <w:outlineLvl w:val="4"/>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28、投标人有下列情形之一的，视为串通投标，投标文件将被视为无效：</w:t>
      </w:r>
    </w:p>
    <w:p>
      <w:pPr>
        <w:snapToGrid w:val="0"/>
        <w:spacing w:line="340" w:lineRule="exact"/>
        <w:ind w:left="355" w:leftChars="169" w:firstLine="102" w:firstLineChars="49"/>
        <w:outlineLvl w:val="4"/>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（1）不同投标人的投标文件由同一单位或者个人编制；或不同投标人报名的IP地址一致的；</w:t>
      </w:r>
    </w:p>
    <w:p>
      <w:pPr>
        <w:snapToGrid w:val="0"/>
        <w:spacing w:line="340" w:lineRule="exact"/>
        <w:ind w:left="355" w:leftChars="169" w:firstLine="102" w:firstLineChars="49"/>
        <w:outlineLvl w:val="4"/>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（2）不同投标人委托同一单位或者个人办理投标事宜；</w:t>
      </w:r>
    </w:p>
    <w:p>
      <w:pPr>
        <w:snapToGrid w:val="0"/>
        <w:spacing w:line="340" w:lineRule="exact"/>
        <w:ind w:left="355" w:leftChars="169" w:firstLine="102" w:firstLineChars="49"/>
        <w:outlineLvl w:val="4"/>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（3）不同的投标人的投标文件载明的项目管理员或者联系人员为同一个人；</w:t>
      </w:r>
    </w:p>
    <w:p>
      <w:pPr>
        <w:snapToGrid w:val="0"/>
        <w:spacing w:line="340" w:lineRule="exact"/>
        <w:ind w:left="355" w:leftChars="169" w:firstLine="102" w:firstLineChars="49"/>
        <w:outlineLvl w:val="4"/>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（4）不同投标人的投标文件异常一致或投标报价呈规律性差异； </w:t>
      </w:r>
    </w:p>
    <w:p>
      <w:pPr>
        <w:snapToGrid w:val="0"/>
        <w:spacing w:line="340" w:lineRule="exact"/>
        <w:ind w:left="355" w:leftChars="169" w:firstLine="102" w:firstLineChars="49"/>
        <w:outlineLvl w:val="4"/>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（5）不同投标人的投标文件相互混装。</w:t>
      </w:r>
    </w:p>
    <w:p>
      <w:pPr>
        <w:snapToGrid w:val="0"/>
        <w:spacing w:line="340" w:lineRule="exact"/>
        <w:ind w:firstLine="413" w:firstLineChars="196"/>
        <w:outlineLvl w:val="4"/>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29、属于</w:t>
      </w:r>
      <w:r>
        <w:rPr>
          <w:rFonts w:hint="eastAsia" w:ascii="宋体" w:hAnsi="宋体"/>
          <w:b/>
          <w:color w:val="000000" w:themeColor="text1"/>
          <w:szCs w:val="21"/>
          <w14:textFill>
            <w14:solidFill>
              <w14:schemeClr w14:val="tx1"/>
            </w14:solidFill>
          </w14:textFill>
        </w:rPr>
        <w:t>下列情形之一的，应予废标：</w:t>
      </w:r>
    </w:p>
    <w:p>
      <w:pPr>
        <w:tabs>
          <w:tab w:val="left" w:pos="840"/>
        </w:tabs>
        <w:snapToGrid w:val="0"/>
        <w:spacing w:line="340" w:lineRule="exact"/>
        <w:ind w:left="330" w:leftChars="157" w:firstLine="102" w:firstLineChars="49"/>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（1）符合专业条件的供应商或者对招标文件作实质响应的供应商不足3家的；</w:t>
      </w:r>
    </w:p>
    <w:p>
      <w:pPr>
        <w:tabs>
          <w:tab w:val="left" w:pos="840"/>
        </w:tabs>
        <w:snapToGrid w:val="0"/>
        <w:spacing w:line="340" w:lineRule="exact"/>
        <w:ind w:left="330" w:leftChars="157" w:firstLine="105" w:firstLineChars="50"/>
        <w:outlineLvl w:val="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（2）出现影响采购公正的违法、违规行为的；</w:t>
      </w:r>
    </w:p>
    <w:p>
      <w:pPr>
        <w:tabs>
          <w:tab w:val="left" w:pos="840"/>
        </w:tabs>
        <w:snapToGrid w:val="0"/>
        <w:spacing w:line="340" w:lineRule="exact"/>
        <w:ind w:left="330" w:leftChars="157" w:firstLine="105" w:firstLineChars="50"/>
        <w:outlineLvl w:val="4"/>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（3）采购文件内容违反国家有关强制性规定的；</w:t>
      </w:r>
    </w:p>
    <w:p>
      <w:pPr>
        <w:tabs>
          <w:tab w:val="left" w:pos="840"/>
        </w:tabs>
        <w:snapToGrid w:val="0"/>
        <w:spacing w:line="340" w:lineRule="exact"/>
        <w:ind w:left="330" w:leftChars="157" w:firstLine="105" w:firstLineChars="50"/>
        <w:outlineLvl w:val="4"/>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（4）因重大变故，采购任务取消的。</w:t>
      </w:r>
    </w:p>
    <w:p>
      <w:pPr>
        <w:pStyle w:val="27"/>
        <w:spacing w:line="340" w:lineRule="exact"/>
        <w:ind w:firstLine="413" w:firstLineChars="196"/>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30、开标、评标过程的监控</w:t>
      </w:r>
    </w:p>
    <w:p>
      <w:pPr>
        <w:pStyle w:val="27"/>
        <w:spacing w:line="340" w:lineRule="exact"/>
        <w:ind w:firstLine="411" w:firstLineChars="196"/>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本项目开标、评标过程实行全程录音、录像监控，投标人在评标过程中所进行的试图影响评标结果的不公正活动，可能导致其投标被拒绝。</w:t>
      </w:r>
    </w:p>
    <w:p>
      <w:pPr>
        <w:pStyle w:val="27"/>
        <w:spacing w:line="340" w:lineRule="exact"/>
        <w:ind w:firstLine="413" w:firstLineChars="196"/>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31、中标人信用信息查询</w:t>
      </w:r>
    </w:p>
    <w:p>
      <w:pPr>
        <w:pStyle w:val="27"/>
        <w:spacing w:line="340" w:lineRule="exact"/>
        <w:ind w:firstLine="411" w:firstLineChars="196"/>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根据《关于做好政府采购有关信用主体标识码登记及在政府采购活动中查询使用信用记录有关问题的通知》桂财采〔2016〕37号的通知，采购代理机构对中标人进行信用查询：</w:t>
      </w:r>
    </w:p>
    <w:p>
      <w:pPr>
        <w:pStyle w:val="27"/>
        <w:spacing w:line="340" w:lineRule="exact"/>
        <w:ind w:firstLine="411" w:firstLineChars="196"/>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（1）查询渠道：“信用中国”网站（www.creditchina.gov.cn）、中国政府采购网（www.ccgp.gov.cn）等；</w:t>
      </w:r>
    </w:p>
    <w:p>
      <w:pPr>
        <w:pStyle w:val="27"/>
        <w:spacing w:line="340" w:lineRule="exact"/>
        <w:ind w:firstLine="411" w:firstLineChars="196"/>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（2）查询截止时间：中标通知书发出前；</w:t>
      </w:r>
    </w:p>
    <w:p>
      <w:pPr>
        <w:pStyle w:val="27"/>
        <w:spacing w:line="340" w:lineRule="exact"/>
        <w:ind w:firstLine="411" w:firstLineChars="196"/>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（3）信用信息查询记录和证据留存方式：在查询网站中直接打印查询记录，打印材料作为采购活动资料保存；</w:t>
      </w:r>
    </w:p>
    <w:p>
      <w:pPr>
        <w:pStyle w:val="27"/>
        <w:spacing w:line="340" w:lineRule="exact"/>
        <w:ind w:firstLine="411" w:firstLineChars="196"/>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信用信息使用规则：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中标候选人资格。采购人依法按照评标报告中评标委员会推荐中标候选人排序表确定排名第二的中标候选人为中标供应商或者重新组织采购。</w:t>
      </w:r>
    </w:p>
    <w:p>
      <w:pPr>
        <w:pStyle w:val="27"/>
        <w:spacing w:line="340" w:lineRule="exact"/>
        <w:ind w:firstLine="413" w:firstLineChars="196"/>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32、 中标公告及中标通知书</w:t>
      </w:r>
    </w:p>
    <w:p>
      <w:pPr>
        <w:pStyle w:val="27"/>
        <w:tabs>
          <w:tab w:val="left" w:pos="455"/>
        </w:tabs>
        <w:spacing w:line="34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w:t>
      </w:r>
      <w:r>
        <w:rPr>
          <w:rFonts w:hAnsi="宋体"/>
          <w:color w:val="000000" w:themeColor="text1"/>
          <w:szCs w:val="21"/>
          <w14:textFill>
            <w14:solidFill>
              <w14:schemeClr w14:val="tx1"/>
            </w14:solidFill>
          </w14:textFill>
        </w:rPr>
        <w:t>中标公告期限为1个工作日</w:t>
      </w:r>
      <w:r>
        <w:rPr>
          <w:rFonts w:hint="eastAsia" w:hAnsi="宋体"/>
          <w:color w:val="000000" w:themeColor="text1"/>
          <w:szCs w:val="21"/>
          <w14:textFill>
            <w14:solidFill>
              <w14:schemeClr w14:val="tx1"/>
            </w14:solidFill>
          </w14:textFill>
        </w:rPr>
        <w:t>。</w:t>
      </w:r>
    </w:p>
    <w:p>
      <w:pPr>
        <w:pStyle w:val="27"/>
        <w:spacing w:line="34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32.2</w:t>
      </w:r>
      <w:r>
        <w:rPr>
          <w:rFonts w:hAnsi="宋体"/>
          <w:color w:val="000000" w:themeColor="text1"/>
          <w:szCs w:val="21"/>
          <w14:textFill>
            <w14:solidFill>
              <w14:schemeClr w14:val="tx1"/>
            </w14:solidFill>
          </w14:textFill>
        </w:rPr>
        <w:t>中标公告</w:t>
      </w:r>
      <w:r>
        <w:rPr>
          <w:rFonts w:hint="eastAsia" w:hAnsi="宋体"/>
          <w:color w:val="000000" w:themeColor="text1"/>
          <w:szCs w:val="21"/>
          <w14:textFill>
            <w14:solidFill>
              <w14:schemeClr w14:val="tx1"/>
            </w14:solidFill>
          </w14:textFill>
        </w:rPr>
        <w:t>同时采购代理机构向中标供应商发出中标通知书。</w:t>
      </w:r>
    </w:p>
    <w:p>
      <w:pPr>
        <w:tabs>
          <w:tab w:val="left" w:pos="1140"/>
        </w:tabs>
        <w:spacing w:line="360" w:lineRule="exact"/>
        <w:ind w:left="420" w:leftChars="200"/>
        <w:jc w:val="center"/>
        <w:outlineLvl w:val="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七、履约保证金及签订合同</w:t>
      </w:r>
    </w:p>
    <w:p>
      <w:pPr>
        <w:tabs>
          <w:tab w:val="left" w:pos="1305"/>
        </w:tabs>
        <w:spacing w:line="360" w:lineRule="exact"/>
        <w:ind w:firstLine="420" w:firstLineChars="199"/>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14:textFill>
            <w14:solidFill>
              <w14:schemeClr w14:val="tx1"/>
            </w14:solidFill>
          </w14:textFill>
        </w:rPr>
        <w:t>33</w:t>
      </w:r>
      <w:r>
        <w:rPr>
          <w:rFonts w:hint="eastAsia" w:ascii="宋体" w:hAnsi="宋体"/>
          <w:b/>
          <w:color w:val="000000" w:themeColor="text1"/>
          <w:szCs w:val="21"/>
          <w14:textFill>
            <w14:solidFill>
              <w14:schemeClr w14:val="tx1"/>
            </w14:solidFill>
          </w14:textFill>
        </w:rPr>
        <w:t>、履约保证金</w:t>
      </w:r>
    </w:p>
    <w:p>
      <w:pPr>
        <w:widowControl/>
        <w:spacing w:line="350" w:lineRule="exact"/>
        <w:ind w:firstLine="420"/>
        <w:jc w:val="left"/>
        <w:rPr>
          <w:rFonts w:hint="eastAsia" w:ascii="宋体" w:hAnsi="宋体"/>
          <w:b/>
          <w:bCs/>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33.1</w:t>
      </w:r>
      <w:r>
        <w:rPr>
          <w:rFonts w:hint="eastAsia" w:ascii="宋体" w:hAnsi="宋体"/>
          <w:b/>
          <w:bCs/>
          <w:color w:val="000000" w:themeColor="text1"/>
          <w:lang w:eastAsia="zh-CN"/>
          <w14:textFill>
            <w14:solidFill>
              <w14:schemeClr w14:val="tx1"/>
            </w14:solidFill>
          </w14:textFill>
        </w:rPr>
        <w:t>本项目</w:t>
      </w:r>
      <w:r>
        <w:rPr>
          <w:rFonts w:hint="eastAsia" w:ascii="宋体" w:hAnsi="宋体"/>
          <w:b/>
          <w:bCs/>
          <w:color w:val="000000" w:themeColor="text1"/>
          <w:szCs w:val="21"/>
          <w14:textFill>
            <w14:solidFill>
              <w14:schemeClr w14:val="tx1"/>
            </w14:solidFill>
          </w14:textFill>
        </w:rPr>
        <w:t>免收履约保证金。</w:t>
      </w:r>
    </w:p>
    <w:p>
      <w:pPr>
        <w:tabs>
          <w:tab w:val="left" w:pos="1140"/>
        </w:tabs>
        <w:spacing w:line="380" w:lineRule="exact"/>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34、签订合同</w:t>
      </w:r>
    </w:p>
    <w:p>
      <w:pPr>
        <w:pStyle w:val="27"/>
        <w:spacing w:line="380" w:lineRule="exact"/>
        <w:ind w:left="2" w:leftChars="1"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34.1签订合同时间：中标通知书发出之日起25日内。中标供应商领取中标通知书后，应按规定与采购人签订合同。</w:t>
      </w:r>
    </w:p>
    <w:p>
      <w:pPr>
        <w:pStyle w:val="27"/>
        <w:spacing w:line="380" w:lineRule="exact"/>
        <w:ind w:left="2" w:leftChars="1"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34.2如中标供应商有下列情形之一的，对其处以采购金额千分之五以上千分之十以下的罚款，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27"/>
        <w:spacing w:line="380" w:lineRule="exact"/>
        <w:ind w:firstLine="315" w:firstLineChars="15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（1）中标后不与采购人签订合同的（不可抗力除外）；</w:t>
      </w:r>
    </w:p>
    <w:p>
      <w:pPr>
        <w:pStyle w:val="27"/>
        <w:spacing w:line="380" w:lineRule="exact"/>
        <w:ind w:left="2" w:leftChars="1" w:firstLine="315" w:firstLineChars="15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（2）将中标项目转让给他人，或者在投标文件中未说明，且未经采购人同意，将中标项目分包给他人的；</w:t>
      </w:r>
    </w:p>
    <w:p>
      <w:pPr>
        <w:pStyle w:val="27"/>
        <w:spacing w:line="380" w:lineRule="exact"/>
        <w:ind w:firstLine="315" w:firstLineChars="15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（3）拒绝履行合同义务的。</w:t>
      </w:r>
    </w:p>
    <w:p>
      <w:pPr>
        <w:pStyle w:val="27"/>
        <w:spacing w:line="380" w:lineRule="exact"/>
        <w:ind w:left="2" w:leftChars="1"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34.3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桂林市财政局备案，一份由采购代理机构存档。</w:t>
      </w:r>
    </w:p>
    <w:p>
      <w:pPr>
        <w:pStyle w:val="27"/>
        <w:spacing w:line="400" w:lineRule="exact"/>
        <w:ind w:left="3"/>
        <w:jc w:val="center"/>
        <w:outlineLvl w:val="0"/>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八 、其他事项</w:t>
      </w:r>
    </w:p>
    <w:p>
      <w:pPr>
        <w:pStyle w:val="27"/>
        <w:spacing w:line="400" w:lineRule="exact"/>
        <w:ind w:firstLine="42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35</w:t>
      </w:r>
      <w:r>
        <w:rPr>
          <w:rFonts w:hint="eastAsia" w:hAnsi="宋体"/>
          <w:b/>
          <w:color w:val="000000" w:themeColor="text1"/>
          <w:szCs w:val="21"/>
          <w14:textFill>
            <w14:solidFill>
              <w14:schemeClr w14:val="tx1"/>
            </w14:solidFill>
          </w14:textFill>
        </w:rPr>
        <w:t>、</w:t>
      </w:r>
      <w:r>
        <w:rPr>
          <w:rFonts w:hint="eastAsia" w:hAnsi="宋体"/>
          <w:b/>
          <w:color w:val="000000" w:themeColor="text1"/>
          <w14:textFill>
            <w14:solidFill>
              <w14:schemeClr w14:val="tx1"/>
            </w14:solidFill>
          </w14:textFill>
        </w:rPr>
        <w:t>招标代理服务费</w:t>
      </w:r>
    </w:p>
    <w:p>
      <w:pPr>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本项目的采购代理服务费：参照计价格[2002]1980号《招标代理服务收费管理暂行办法》服务类收费标准计取。在领取中标通知书前，由中标</w:t>
      </w:r>
      <w:r>
        <w:rPr>
          <w:rFonts w:hint="eastAsia" w:ascii="宋体" w:hAnsi="宋体" w:cs="宋体"/>
          <w:color w:val="000000" w:themeColor="text1"/>
          <w:szCs w:val="21"/>
          <w:lang w:val="en-US"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向</w:t>
      </w:r>
      <w:r>
        <w:rPr>
          <w:rFonts w:hint="eastAsia" w:hAnsi="宋体"/>
          <w:color w:val="000000" w:themeColor="text1"/>
          <w:szCs w:val="21"/>
          <w:lang w:eastAsia="zh-CN"/>
          <w14:textFill>
            <w14:solidFill>
              <w14:schemeClr w14:val="tx1"/>
            </w14:solidFill>
          </w14:textFill>
        </w:rPr>
        <w:t>亿诚建设项目管理有限公司桂林分公司</w:t>
      </w:r>
      <w:r>
        <w:rPr>
          <w:rFonts w:hint="eastAsia" w:ascii="宋体" w:hAnsi="宋体" w:cs="宋体"/>
          <w:color w:val="000000" w:themeColor="text1"/>
          <w:szCs w:val="21"/>
          <w14:textFill>
            <w14:solidFill>
              <w14:schemeClr w14:val="tx1"/>
            </w14:solidFill>
          </w14:textFill>
        </w:rPr>
        <w:t>一次性</w:t>
      </w:r>
      <w:r>
        <w:rPr>
          <w:rFonts w:hint="eastAsia" w:ascii="宋体" w:hAnsi="宋体" w:cs="宋体"/>
          <w:color w:val="000000" w:themeColor="text1"/>
          <w:szCs w:val="21"/>
          <w:lang w:val="en-US" w:eastAsia="zh-CN"/>
          <w14:textFill>
            <w14:solidFill>
              <w14:schemeClr w14:val="tx1"/>
            </w14:solidFill>
          </w14:textFill>
        </w:rPr>
        <w:t>支</w:t>
      </w:r>
      <w:r>
        <w:rPr>
          <w:rFonts w:hint="eastAsia" w:ascii="宋体" w:hAnsi="宋体" w:cs="宋体"/>
          <w:color w:val="000000" w:themeColor="text1"/>
          <w:szCs w:val="21"/>
          <w14:textFill>
            <w14:solidFill>
              <w14:schemeClr w14:val="tx1"/>
            </w14:solidFill>
          </w14:textFill>
        </w:rPr>
        <w:t xml:space="preserve">付代理服务费。        </w:t>
      </w:r>
    </w:p>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招标代理服务收费标准</w:t>
      </w:r>
    </w:p>
    <w:tbl>
      <w:tblPr>
        <w:tblStyle w:val="5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pPr>
              <w:pStyle w:val="27"/>
              <w:spacing w:line="360" w:lineRule="exact"/>
              <w:ind w:left="25"/>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10795</wp:posOffset>
                      </wp:positionV>
                      <wp:extent cx="1781810" cy="295910"/>
                      <wp:effectExtent l="635" t="4445" r="8255" b="23495"/>
                      <wp:wrapNone/>
                      <wp:docPr id="3" name="直接连接符 3"/>
                      <wp:cNvGraphicFramePr/>
                      <a:graphic xmlns:a="http://schemas.openxmlformats.org/drawingml/2006/main">
                        <a:graphicData uri="http://schemas.microsoft.com/office/word/2010/wordprocessingShape">
                          <wps:wsp>
                            <wps:cNvCnPr/>
                            <wps:spPr>
                              <a:xfrm>
                                <a:off x="0" y="0"/>
                                <a:ext cx="1781810" cy="295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5pt;margin-top:0.85pt;height:23.3pt;width:140.3pt;z-index:251659264;mso-width-relative:page;mso-height-relative:page;" filled="f" stroked="t" coordsize="21600,21600" o:gfxdata="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eDnC7WAAAABwEAAA8AAAAAAAAAAQAgAAAAIgAAAGRycy9kb3ducmV2LnhtbFBL&#10;AQIUABQAAAAIAIdO4kCGJoJM+AEAAOkDAAAOAAAAAAAAAAEAIAAAACUBAABkcnMvZTJvRG9jLnht&#10;bFBLBQYAAAAABgAGAFkBAACPBQAAAAA=&#10;">
                      <v:fill on="f" focussize="0,0"/>
                      <v:stroke color="#000000" joinstyle="round"/>
                      <v:imagedata o:title=""/>
                      <o:lock v:ext="edit" aspectratio="f"/>
                    </v:line>
                  </w:pict>
                </mc:Fallback>
              </mc:AlternateContent>
            </w:r>
            <w:r>
              <w:rPr>
                <w:rFonts w:hint="eastAsia" w:hAnsi="宋体"/>
                <w:color w:val="000000" w:themeColor="text1"/>
                <w14:textFill>
                  <w14:solidFill>
                    <w14:schemeClr w14:val="tx1"/>
                  </w14:solidFill>
                </w14:textFill>
              </w:rPr>
              <w:t>折扣           服务类型</w:t>
            </w:r>
          </w:p>
          <w:p>
            <w:pPr>
              <w:pStyle w:val="27"/>
              <w:spacing w:line="360" w:lineRule="exact"/>
              <w:ind w:left="25"/>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4" name="直接连接符 4"/>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Dq9E1gAAAAgBAAAPAAAAAAAAAAEAIAAAACIAAABkcnMvZG93bnJldi54&#10;bWxQSwECFAAUAAAACACHTuJAoGpwzvwBAADpAwAADgAAAAAAAAABACAAAAAlAQAAZHJzL2Uyb0Rv&#10;Yy54bWxQSwUGAAAAAAYABgBZAQAAkwUAAAAA&#10;">
                      <v:fill on="f" focussize="0,0"/>
                      <v:stroke color="#000000" joinstyle="round"/>
                      <v:imagedata o:title=""/>
                      <o:lock v:ext="edit" aspectratio="f"/>
                    </v:line>
                  </w:pict>
                </mc:Fallback>
              </mc:AlternateContent>
            </w:r>
          </w:p>
          <w:p>
            <w:pPr>
              <w:pStyle w:val="27"/>
              <w:spacing w:line="360" w:lineRule="exact"/>
              <w:ind w:left="25"/>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中标金额（万元）</w:t>
            </w:r>
          </w:p>
        </w:tc>
        <w:tc>
          <w:tcPr>
            <w:tcW w:w="1841" w:type="dxa"/>
            <w:noWrap w:val="0"/>
            <w:vAlign w:val="center"/>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货物招标</w:t>
            </w:r>
          </w:p>
        </w:tc>
        <w:tc>
          <w:tcPr>
            <w:tcW w:w="1992" w:type="dxa"/>
            <w:noWrap w:val="0"/>
            <w:vAlign w:val="center"/>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服务招标</w:t>
            </w:r>
          </w:p>
        </w:tc>
        <w:tc>
          <w:tcPr>
            <w:tcW w:w="2293" w:type="dxa"/>
            <w:noWrap w:val="0"/>
            <w:vAlign w:val="center"/>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pPr>
              <w:pStyle w:val="27"/>
              <w:spacing w:line="360" w:lineRule="exact"/>
              <w:ind w:left="25"/>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100以下</w:t>
            </w:r>
          </w:p>
        </w:tc>
        <w:tc>
          <w:tcPr>
            <w:tcW w:w="1841"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w:t>
            </w:r>
          </w:p>
        </w:tc>
        <w:tc>
          <w:tcPr>
            <w:tcW w:w="1992"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1.5%</w:t>
            </w:r>
          </w:p>
        </w:tc>
        <w:tc>
          <w:tcPr>
            <w:tcW w:w="2293"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pPr>
              <w:pStyle w:val="27"/>
              <w:spacing w:line="360" w:lineRule="exact"/>
              <w:ind w:left="25"/>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100-500</w:t>
            </w:r>
          </w:p>
        </w:tc>
        <w:tc>
          <w:tcPr>
            <w:tcW w:w="1841"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w:t>
            </w:r>
          </w:p>
        </w:tc>
        <w:tc>
          <w:tcPr>
            <w:tcW w:w="1992"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0.8%</w:t>
            </w:r>
          </w:p>
        </w:tc>
        <w:tc>
          <w:tcPr>
            <w:tcW w:w="2293"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27"/>
              <w:spacing w:line="360" w:lineRule="exact"/>
              <w:ind w:left="25"/>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500-1000</w:t>
            </w:r>
          </w:p>
        </w:tc>
        <w:tc>
          <w:tcPr>
            <w:tcW w:w="1841"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0.8%</w:t>
            </w:r>
          </w:p>
        </w:tc>
        <w:tc>
          <w:tcPr>
            <w:tcW w:w="1992"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0.45%</w:t>
            </w:r>
          </w:p>
        </w:tc>
        <w:tc>
          <w:tcPr>
            <w:tcW w:w="2293"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27"/>
              <w:spacing w:line="360" w:lineRule="exact"/>
              <w:ind w:left="25"/>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1000-5000</w:t>
            </w:r>
          </w:p>
        </w:tc>
        <w:tc>
          <w:tcPr>
            <w:tcW w:w="1841"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0.5%</w:t>
            </w:r>
          </w:p>
        </w:tc>
        <w:tc>
          <w:tcPr>
            <w:tcW w:w="1992"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0.25%</w:t>
            </w:r>
          </w:p>
        </w:tc>
        <w:tc>
          <w:tcPr>
            <w:tcW w:w="2293"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27"/>
              <w:spacing w:line="360" w:lineRule="exact"/>
              <w:ind w:left="25"/>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5000-10000</w:t>
            </w:r>
          </w:p>
        </w:tc>
        <w:tc>
          <w:tcPr>
            <w:tcW w:w="1841"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0.25%</w:t>
            </w:r>
          </w:p>
        </w:tc>
        <w:tc>
          <w:tcPr>
            <w:tcW w:w="1992"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0.1%</w:t>
            </w:r>
          </w:p>
        </w:tc>
        <w:tc>
          <w:tcPr>
            <w:tcW w:w="2293" w:type="dxa"/>
            <w:noWrap w:val="0"/>
            <w:vAlign w:val="top"/>
          </w:tcPr>
          <w:p>
            <w:pPr>
              <w:pStyle w:val="27"/>
              <w:spacing w:line="360" w:lineRule="exact"/>
              <w:ind w:left="25"/>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0.2%</w:t>
            </w:r>
          </w:p>
        </w:tc>
      </w:tr>
    </w:tbl>
    <w:p>
      <w:pPr>
        <w:pStyle w:val="27"/>
        <w:spacing w:line="360" w:lineRule="exact"/>
        <w:ind w:left="25"/>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注：招标代理服务收费按差额定率累进法计算。</w:t>
      </w:r>
    </w:p>
    <w:p>
      <w:pPr>
        <w:spacing w:line="360" w:lineRule="exact"/>
        <w:ind w:firstLine="422" w:firstLineChars="200"/>
        <w:rPr>
          <w:rFonts w:hint="eastAsia" w:ascii="宋体" w:hAnsi="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36、代理服务费的缴纳账户：</w:t>
      </w:r>
    </w:p>
    <w:p>
      <w:pPr>
        <w:pStyle w:val="27"/>
        <w:spacing w:line="340" w:lineRule="exact"/>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账户名称：</w:t>
      </w:r>
      <w:r>
        <w:rPr>
          <w:rFonts w:hint="eastAsia" w:hAnsi="宋体"/>
          <w:color w:val="000000" w:themeColor="text1"/>
          <w:szCs w:val="21"/>
          <w:lang w:eastAsia="zh-CN"/>
          <w14:textFill>
            <w14:solidFill>
              <w14:schemeClr w14:val="tx1"/>
            </w14:solidFill>
          </w14:textFill>
        </w:rPr>
        <w:t>亿诚建设项目管理有限公司桂林分公司</w:t>
      </w:r>
    </w:p>
    <w:p>
      <w:pPr>
        <w:pStyle w:val="27"/>
        <w:spacing w:line="340" w:lineRule="exact"/>
        <w:ind w:firstLine="420" w:firstLineChars="200"/>
        <w:rPr>
          <w:rFonts w:hint="eastAsia" w:hAnsi="宋体" w:eastAsia="宋体"/>
          <w:color w:val="000000" w:themeColor="text1"/>
          <w:szCs w:val="21"/>
          <w:lang w:eastAsia="zh-CN"/>
          <w14:textFill>
            <w14:solidFill>
              <w14:schemeClr w14:val="tx1"/>
            </w14:solidFill>
          </w14:textFill>
        </w:rPr>
      </w:pPr>
      <w:r>
        <w:rPr>
          <w:rFonts w:hint="eastAsia" w:hAnsi="宋体"/>
          <w:color w:val="000000" w:themeColor="text1"/>
          <w:szCs w:val="21"/>
          <w14:textFill>
            <w14:solidFill>
              <w14:schemeClr w14:val="tx1"/>
            </w14:solidFill>
          </w14:textFill>
        </w:rPr>
        <w:t>开户银行：</w:t>
      </w:r>
      <w:r>
        <w:rPr>
          <w:rFonts w:hint="eastAsia" w:hAnsi="宋体"/>
          <w:color w:val="000000" w:themeColor="text1"/>
          <w:szCs w:val="21"/>
          <w:lang w:eastAsia="zh-CN"/>
          <w14:textFill>
            <w14:solidFill>
              <w14:schemeClr w14:val="tx1"/>
            </w14:solidFill>
          </w14:textFill>
        </w:rPr>
        <w:t>建设银行桂林穿山东路支行</w:t>
      </w:r>
    </w:p>
    <w:p>
      <w:pPr>
        <w:pStyle w:val="27"/>
        <w:spacing w:line="350" w:lineRule="exact"/>
        <w:ind w:firstLine="420" w:firstLineChars="200"/>
        <w:rPr>
          <w:rFonts w:hint="eastAsia" w:hAnsi="宋体" w:eastAsia="宋体" w:cs="宋体"/>
          <w:color w:val="000000" w:themeColor="text1"/>
          <w:szCs w:val="21"/>
          <w:lang w:eastAsia="zh-CN"/>
          <w14:textFill>
            <w14:solidFill>
              <w14:schemeClr w14:val="tx1"/>
            </w14:solidFill>
          </w14:textFill>
        </w:rPr>
      </w:pPr>
      <w:r>
        <w:rPr>
          <w:rFonts w:hint="eastAsia" w:hAnsi="宋体"/>
          <w:color w:val="000000" w:themeColor="text1"/>
          <w:szCs w:val="21"/>
          <w14:textFill>
            <w14:solidFill>
              <w14:schemeClr w14:val="tx1"/>
            </w14:solidFill>
          </w14:textFill>
        </w:rPr>
        <w:t>银行账号：</w:t>
      </w:r>
      <w:r>
        <w:rPr>
          <w:rFonts w:hint="eastAsia" w:hAnsi="宋体"/>
          <w:color w:val="000000" w:themeColor="text1"/>
          <w:szCs w:val="21"/>
          <w:lang w:eastAsia="zh-CN"/>
          <w14:textFill>
            <w14:solidFill>
              <w14:schemeClr w14:val="tx1"/>
            </w14:solidFill>
          </w14:textFill>
        </w:rPr>
        <w:t>45050163004300000043</w:t>
      </w:r>
    </w:p>
    <w:p>
      <w:pPr>
        <w:pStyle w:val="27"/>
        <w:snapToGrid w:val="0"/>
        <w:spacing w:line="340" w:lineRule="exact"/>
        <w:ind w:firstLine="422" w:firstLineChars="200"/>
        <w:rPr>
          <w:rFonts w:hAnsi="宋体"/>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37、</w:t>
      </w:r>
      <w:r>
        <w:rPr>
          <w:rFonts w:hint="eastAsia" w:hAnsi="宋体"/>
          <w:color w:val="000000" w:themeColor="text1"/>
          <w:szCs w:val="21"/>
          <w14:textFill>
            <w14:solidFill>
              <w14:schemeClr w14:val="tx1"/>
            </w14:solidFill>
          </w14:textFill>
        </w:rPr>
        <w:t>解释权：本招标文件是根据《中华人民共和国政府采购法》、《中华人民共和国政府采购法实施条例》、</w:t>
      </w:r>
      <w:r>
        <w:rPr>
          <w:rStyle w:val="56"/>
          <w:rFonts w:ascii="宋体" w:hAnsi="宋体" w:cs="Arial"/>
          <w:b w:val="0"/>
          <w:color w:val="000000" w:themeColor="text1"/>
          <w:szCs w:val="21"/>
          <w14:textFill>
            <w14:solidFill>
              <w14:schemeClr w14:val="tx1"/>
            </w14:solidFill>
          </w14:textFill>
        </w:rPr>
        <w:t>财政部令第87号</w:t>
      </w:r>
      <w:r>
        <w:rPr>
          <w:rFonts w:hAnsi="宋体" w:cs="Arial"/>
          <w:color w:val="000000" w:themeColor="text1"/>
          <w:szCs w:val="21"/>
          <w14:textFill>
            <w14:solidFill>
              <w14:schemeClr w14:val="tx1"/>
            </w14:solidFill>
          </w14:textFill>
        </w:rPr>
        <w:t>《政府采购货物和服务招标投标管理办法》</w:t>
      </w:r>
      <w:r>
        <w:rPr>
          <w:rFonts w:hint="eastAsia" w:hAnsi="宋体"/>
          <w:color w:val="000000" w:themeColor="text1"/>
          <w:szCs w:val="21"/>
          <w14:textFill>
            <w14:solidFill>
              <w14:schemeClr w14:val="tx1"/>
            </w14:solidFill>
          </w14:textFill>
        </w:rPr>
        <w:t>和政府采购管理有关规定编制，本招标文件的解释权属于采购代理机构。</w:t>
      </w:r>
    </w:p>
    <w:p>
      <w:pPr>
        <w:spacing w:line="440" w:lineRule="atLeast"/>
        <w:ind w:firstLine="413" w:firstLineChars="196"/>
        <w:rPr>
          <w:rFonts w:hint="eastAsia" w:hAnsi="宋体" w:eastAsia="宋体"/>
          <w:color w:val="000000" w:themeColor="text1"/>
          <w:szCs w:val="21"/>
          <w:lang w:eastAsia="zh-CN"/>
          <w14:textFill>
            <w14:solidFill>
              <w14:schemeClr w14:val="tx1"/>
            </w14:solidFill>
          </w14:textFill>
        </w:rPr>
      </w:pPr>
      <w:r>
        <w:rPr>
          <w:rFonts w:hint="eastAsia" w:hAnsi="宋体"/>
          <w:b/>
          <w:color w:val="000000" w:themeColor="text1"/>
          <w:szCs w:val="21"/>
          <w14:textFill>
            <w14:solidFill>
              <w14:schemeClr w14:val="tx1"/>
            </w14:solidFill>
          </w14:textFill>
        </w:rPr>
        <w:t>38、</w:t>
      </w:r>
      <w:r>
        <w:rPr>
          <w:rFonts w:hint="eastAsia" w:hAnsi="宋体"/>
          <w:color w:val="000000" w:themeColor="text1"/>
          <w:szCs w:val="21"/>
          <w14:textFill>
            <w14:solidFill>
              <w14:schemeClr w14:val="tx1"/>
            </w14:solidFill>
          </w14:textFill>
        </w:rPr>
        <w:t>监督管理机构：</w:t>
      </w:r>
      <w:r>
        <w:rPr>
          <w:rFonts w:hint="eastAsia" w:hAnsi="宋体"/>
          <w:color w:val="000000" w:themeColor="text1"/>
          <w:szCs w:val="21"/>
          <w:lang w:eastAsia="zh-CN"/>
          <w14:textFill>
            <w14:solidFill>
              <w14:schemeClr w14:val="tx1"/>
            </w14:solidFill>
          </w14:textFill>
        </w:rPr>
        <w:t>桂林市财政局</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电话：0773-</w:t>
      </w:r>
      <w:r>
        <w:rPr>
          <w:rFonts w:hint="eastAsia" w:hAnsi="宋体"/>
          <w:color w:val="000000" w:themeColor="text1"/>
          <w:szCs w:val="21"/>
          <w:lang w:eastAsia="zh-CN"/>
          <w14:textFill>
            <w14:solidFill>
              <w14:schemeClr w14:val="tx1"/>
            </w14:solidFill>
          </w14:textFill>
        </w:rPr>
        <w:t>2838596</w:t>
      </w:r>
    </w:p>
    <w:p>
      <w:pPr>
        <w:pStyle w:val="201"/>
        <w:rPr>
          <w:rFonts w:hAnsi="宋体"/>
          <w:color w:val="000000" w:themeColor="text1"/>
          <w:szCs w:val="21"/>
          <w14:textFill>
            <w14:solidFill>
              <w14:schemeClr w14:val="tx1"/>
            </w14:solidFill>
          </w14:textFill>
        </w:rPr>
      </w:pPr>
    </w:p>
    <w:p>
      <w:pPr>
        <w:rPr>
          <w:rFonts w:hAnsi="宋体"/>
          <w:color w:val="000000" w:themeColor="text1"/>
          <w:szCs w:val="21"/>
          <w14:textFill>
            <w14:solidFill>
              <w14:schemeClr w14:val="tx1"/>
            </w14:solidFill>
          </w14:textFill>
        </w:rPr>
      </w:pPr>
    </w:p>
    <w:p>
      <w:pPr>
        <w:pStyle w:val="201"/>
        <w:rPr>
          <w:rFonts w:hAnsi="宋体"/>
          <w:color w:val="000000" w:themeColor="text1"/>
          <w:szCs w:val="21"/>
          <w14:textFill>
            <w14:solidFill>
              <w14:schemeClr w14:val="tx1"/>
            </w14:solidFill>
          </w14:textFill>
        </w:rPr>
      </w:pPr>
    </w:p>
    <w:p>
      <w:pPr>
        <w:rPr>
          <w:rFonts w:hAnsi="宋体"/>
          <w:color w:val="000000" w:themeColor="text1"/>
          <w:szCs w:val="21"/>
          <w14:textFill>
            <w14:solidFill>
              <w14:schemeClr w14:val="tx1"/>
            </w14:solidFill>
          </w14:textFill>
        </w:rPr>
      </w:pPr>
    </w:p>
    <w:p>
      <w:pPr>
        <w:keepNext/>
        <w:keepLines/>
        <w:numPr>
          <w:ilvl w:val="0"/>
          <w:numId w:val="0"/>
        </w:numPr>
        <w:tabs>
          <w:tab w:val="left" w:pos="0"/>
        </w:tabs>
        <w:autoSpaceDE w:val="0"/>
        <w:autoSpaceDN w:val="0"/>
        <w:adjustRightInd w:val="0"/>
        <w:spacing w:line="360" w:lineRule="auto"/>
        <w:ind w:left="425" w:leftChars="0"/>
        <w:jc w:val="center"/>
        <w:outlineLvl w:val="0"/>
        <w:rPr>
          <w:rFonts w:hint="eastAsia" w:asciiTheme="minorEastAsia" w:hAnsiTheme="minorEastAsia" w:eastAsiaTheme="minorEastAsia" w:cstheme="minorEastAsia"/>
          <w:b/>
          <w:bCs/>
          <w:color w:val="000000" w:themeColor="text1"/>
          <w:kern w:val="44"/>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 xml:space="preserve">第三章 </w:t>
      </w:r>
      <w:r>
        <w:rPr>
          <w:rFonts w:hint="eastAsia" w:asciiTheme="minorEastAsia" w:hAnsiTheme="minorEastAsia" w:eastAsiaTheme="minorEastAsia" w:cstheme="minorEastAsia"/>
          <w:b/>
          <w:bCs/>
          <w:color w:val="000000" w:themeColor="text1"/>
          <w:kern w:val="44"/>
          <w:sz w:val="32"/>
          <w:szCs w:val="32"/>
          <w:highlight w:val="none"/>
          <w:lang w:eastAsia="zh-CN"/>
          <w14:textFill>
            <w14:solidFill>
              <w14:schemeClr w14:val="tx1"/>
            </w14:solidFill>
          </w14:textFill>
        </w:rPr>
        <w:t>服务</w:t>
      </w:r>
      <w:r>
        <w:rPr>
          <w:rFonts w:hint="eastAsia" w:asciiTheme="minorEastAsia" w:hAnsiTheme="minorEastAsia" w:eastAsiaTheme="minorEastAsia" w:cstheme="minorEastAsia"/>
          <w:b/>
          <w:bCs/>
          <w:color w:val="000000" w:themeColor="text1"/>
          <w:kern w:val="44"/>
          <w:sz w:val="32"/>
          <w:szCs w:val="32"/>
          <w:highlight w:val="none"/>
          <w14:textFill>
            <w14:solidFill>
              <w14:schemeClr w14:val="tx1"/>
            </w14:solidFill>
          </w14:textFill>
        </w:rPr>
        <w:t>采购需求</w:t>
      </w:r>
    </w:p>
    <w:p>
      <w:pPr>
        <w:keepNext w:val="0"/>
        <w:keepLines w:val="0"/>
        <w:pageBreakBefore w:val="0"/>
        <w:kinsoku/>
        <w:wordWrap/>
        <w:topLinePunct w:val="0"/>
        <w:autoSpaceDE/>
        <w:autoSpaceDN/>
        <w:bidi w:val="0"/>
        <w:spacing w:line="340" w:lineRule="exact"/>
        <w:jc w:val="left"/>
        <w:textAlignment w:val="auto"/>
        <w:rPr>
          <w:rFonts w:ascii="宋体" w:hAnsi="宋体" w:cs="宋体"/>
          <w:color w:val="000000" w:themeColor="text1"/>
          <w:szCs w:val="21"/>
          <w14:textFill>
            <w14:solidFill>
              <w14:schemeClr w14:val="tx1"/>
            </w14:solidFill>
          </w14:textFill>
        </w:rPr>
      </w:pPr>
      <w:bookmarkStart w:id="2" w:name="_Toc254970631"/>
      <w:bookmarkStart w:id="3" w:name="_Toc254970490"/>
      <w:r>
        <w:rPr>
          <w:rFonts w:hint="eastAsia" w:ascii="宋体" w:hAnsi="宋体" w:cs="宋体"/>
          <w:color w:val="000000" w:themeColor="text1"/>
          <w:szCs w:val="21"/>
          <w14:textFill>
            <w14:solidFill>
              <w14:schemeClr w14:val="tx1"/>
            </w14:solidFill>
          </w14:textFill>
        </w:rPr>
        <w:t>说明：</w:t>
      </w:r>
    </w:p>
    <w:p>
      <w:pPr>
        <w:keepNext w:val="0"/>
        <w:keepLines w:val="0"/>
        <w:pageBreakBefore w:val="0"/>
        <w:kinsoku/>
        <w:wordWrap/>
        <w:topLinePunct w:val="0"/>
        <w:autoSpaceDE/>
        <w:autoSpaceDN/>
        <w:bidi w:val="0"/>
        <w:spacing w:line="340" w:lineRule="exact"/>
        <w:ind w:firstLine="42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1.本项目采购需求内容均为实质性要求。</w:t>
      </w:r>
    </w:p>
    <w:p>
      <w:pPr>
        <w:keepNext w:val="0"/>
        <w:keepLines w:val="0"/>
        <w:pageBreakBefore w:val="0"/>
        <w:kinsoku/>
        <w:wordWrap/>
        <w:topLinePunct w:val="0"/>
        <w:autoSpaceDE/>
        <w:autoSpaceDN/>
        <w:bidi w:val="0"/>
        <w:spacing w:line="340" w:lineRule="exact"/>
        <w:ind w:firstLine="424" w:firstLineChars="202"/>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bookmarkStart w:id="4" w:name="_Hlk54774389"/>
      <w:r>
        <w:rPr>
          <w:rFonts w:hint="eastAsia" w:ascii="宋体" w:hAnsi="宋体" w:cs="宋体"/>
          <w:color w:val="000000" w:themeColor="text1"/>
          <w:szCs w:val="21"/>
          <w14:textFill>
            <w14:solidFill>
              <w14:schemeClr w14:val="tx1"/>
            </w14:solidFill>
          </w14:textFill>
        </w:rPr>
        <w:t>服务项目中伴随货物的，</w:t>
      </w:r>
      <w:bookmarkEnd w:id="4"/>
      <w:r>
        <w:rPr>
          <w:rFonts w:hint="eastAsia" w:ascii="宋体" w:hAnsi="宋体" w:cs="宋体"/>
          <w:color w:val="000000" w:themeColor="text1"/>
          <w:szCs w:val="21"/>
          <w14:textFill>
            <w14:solidFill>
              <w14:schemeClr w14:val="tx1"/>
            </w14:solidFill>
          </w14:textFill>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keepNext w:val="0"/>
        <w:keepLines w:val="0"/>
        <w:pageBreakBefore w:val="0"/>
        <w:kinsoku/>
        <w:wordWrap/>
        <w:topLinePunct w:val="0"/>
        <w:autoSpaceDE/>
        <w:autoSpaceDN/>
        <w:bidi w:val="0"/>
        <w:spacing w:line="340" w:lineRule="exact"/>
        <w:ind w:firstLine="424" w:firstLineChars="202"/>
        <w:jc w:val="left"/>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供应商必须自行为其投标产品侵犯他人的知识产权或者专利成果的行为承担相应法律责任。</w:t>
      </w:r>
    </w:p>
    <w:p>
      <w:pPr>
        <w:keepNext w:val="0"/>
        <w:keepLines w:val="0"/>
        <w:pageBreakBefore w:val="0"/>
        <w:kinsoku/>
        <w:wordWrap/>
        <w:topLinePunct w:val="0"/>
        <w:autoSpaceDE/>
        <w:autoSpaceDN/>
        <w:bidi w:val="0"/>
        <w:spacing w:line="340" w:lineRule="exact"/>
        <w:ind w:firstLine="424" w:firstLineChars="202"/>
        <w:jc w:val="left"/>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.采购内容所属行业：</w:t>
      </w:r>
      <w:r>
        <w:rPr>
          <w:rFonts w:hint="eastAsia" w:ascii="宋体" w:hAnsi="宋体" w:cs="宋体"/>
          <w:color w:val="000000" w:themeColor="text1"/>
          <w:u w:val="single"/>
          <w14:textFill>
            <w14:solidFill>
              <w14:schemeClr w14:val="tx1"/>
            </w14:solidFill>
          </w14:textFill>
        </w:rPr>
        <w:t>其它未列明行业</w:t>
      </w:r>
      <w:r>
        <w:rPr>
          <w:rFonts w:ascii="宋体" w:hAnsi="宋体" w:cs="宋体"/>
          <w:color w:val="000000" w:themeColor="text1"/>
          <w:u w:val="single"/>
          <w14:textFill>
            <w14:solidFill>
              <w14:schemeClr w14:val="tx1"/>
            </w14:solidFill>
          </w14:textFill>
        </w:rPr>
        <w:t>*。</w:t>
      </w:r>
    </w:p>
    <w:p>
      <w:pPr>
        <w:pStyle w:val="47"/>
        <w:keepNext w:val="0"/>
        <w:keepLines w:val="0"/>
        <w:pageBreakBefore w:val="0"/>
        <w:kinsoku/>
        <w:wordWrap/>
        <w:overflowPunct w:val="0"/>
        <w:topLinePunct w:val="0"/>
        <w:autoSpaceDE/>
        <w:autoSpaceDN/>
        <w:bidi w:val="0"/>
        <w:adjustRightInd w:val="0"/>
        <w:snapToGrid w:val="0"/>
        <w:spacing w:beforeAutospacing="0" w:afterAutospacing="0" w:line="340" w:lineRule="exact"/>
        <w:ind w:firstLine="420" w:firstLineChars="200"/>
        <w:jc w:val="both"/>
        <w:textAlignment w:val="auto"/>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为深入贯彻落实民政部等9部门《关于加快实施老年人居家适老化改造工程的指导意见》（民发〔2020〕86号）和民政部等4部门《关于推进“十四五”特殊困难老年人家庭适老化改造工作的通知》（民发〔2022〕9号）精神，进一步夯实居家养老基础地位，推动居家养老服务提质扩容，提高老年人家庭居家养老生活水平，完善养老服务体系建设，持续增加老年人获得感、幸福感、安全感，2022年桂林市特殊困难老年人家庭适老化改造项目实施方案如下：</w:t>
      </w:r>
    </w:p>
    <w:p>
      <w:pPr>
        <w:keepNext w:val="0"/>
        <w:keepLines w:val="0"/>
        <w:pageBreakBefore w:val="0"/>
        <w:widowControl/>
        <w:kinsoku/>
        <w:wordWrap/>
        <w:topLinePunct w:val="0"/>
        <w:autoSpaceDE/>
        <w:autoSpaceDN/>
        <w:bidi w:val="0"/>
        <w:adjustRightInd w:val="0"/>
        <w:snapToGrid w:val="0"/>
        <w:spacing w:line="340" w:lineRule="exact"/>
        <w:ind w:firstLine="420"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w:t>
      </w:r>
      <w:r>
        <w:rPr>
          <w:rFonts w:ascii="宋体" w:hAnsi="宋体" w:cs="宋体"/>
          <w:color w:val="000000" w:themeColor="text1"/>
          <w:szCs w:val="21"/>
          <w14:textFill>
            <w14:solidFill>
              <w14:schemeClr w14:val="tx1"/>
            </w14:solidFill>
          </w14:textFill>
        </w:rPr>
        <w:t>、项目概况</w:t>
      </w:r>
    </w:p>
    <w:p>
      <w:pPr>
        <w:keepNext w:val="0"/>
        <w:keepLines w:val="0"/>
        <w:pageBreakBefore w:val="0"/>
        <w:widowControl/>
        <w:kinsoku/>
        <w:wordWrap/>
        <w:topLinePunct w:val="0"/>
        <w:autoSpaceDE/>
        <w:autoSpaceDN/>
        <w:bidi w:val="0"/>
        <w:adjustRightInd w:val="0"/>
        <w:snapToGrid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针对桂林市城区户籍且符合条件的老年人家庭进行家庭适老化改造，改善老年人的家庭生活环境，缓解老年人因生理机能退化导致的生活不适应，有效提升老年人的幸福感、获得感和安全感。</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二、适老化改造惠及人群</w:t>
      </w:r>
    </w:p>
    <w:p>
      <w:pPr>
        <w:keepNext w:val="0"/>
        <w:keepLines w:val="0"/>
        <w:pageBreakBefore w:val="0"/>
        <w:kinsoku/>
        <w:wordWrap/>
        <w:topLinePunct w:val="0"/>
        <w:autoSpaceDE/>
        <w:autoSpaceDN/>
        <w:bidi w:val="0"/>
        <w:spacing w:line="340" w:lineRule="exact"/>
        <w:ind w:firstLine="420"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根据《桂林市特殊困难老年人家庭</w:t>
      </w:r>
      <w:r>
        <w:rPr>
          <w:rFonts w:ascii="宋体" w:hAnsi="宋体" w:cs="宋体"/>
          <w:color w:val="000000" w:themeColor="text1"/>
          <w:szCs w:val="21"/>
          <w14:textFill>
            <w14:solidFill>
              <w14:schemeClr w14:val="tx1"/>
            </w14:solidFill>
          </w14:textFill>
        </w:rPr>
        <w:t>适老化改造任务分解表</w:t>
      </w:r>
      <w:r>
        <w:rPr>
          <w:rFonts w:hint="eastAsia" w:ascii="宋体" w:hAnsi="宋体" w:cs="宋体"/>
          <w:color w:val="000000" w:themeColor="text1"/>
          <w:szCs w:val="21"/>
          <w14:textFill>
            <w14:solidFill>
              <w14:schemeClr w14:val="tx1"/>
            </w14:solidFill>
          </w14:textFill>
        </w:rPr>
        <w:t>》（附件1）</w:t>
      </w:r>
      <w:r>
        <w:rPr>
          <w:rFonts w:ascii="宋体" w:hAnsi="宋体" w:cs="宋体"/>
          <w:color w:val="000000" w:themeColor="text1"/>
          <w:szCs w:val="21"/>
          <w14:textFill>
            <w14:solidFill>
              <w14:schemeClr w14:val="tx1"/>
            </w14:solidFill>
          </w14:textFill>
        </w:rPr>
        <w:t>在</w:t>
      </w:r>
      <w:r>
        <w:rPr>
          <w:rFonts w:hint="eastAsia" w:ascii="宋体" w:hAnsi="宋体" w:cs="宋体"/>
          <w:color w:val="000000" w:themeColor="text1"/>
          <w:szCs w:val="21"/>
          <w14:textFill>
            <w14:solidFill>
              <w14:schemeClr w14:val="tx1"/>
            </w14:solidFill>
          </w14:textFill>
        </w:rPr>
        <w:t>各城区</w:t>
      </w:r>
      <w:r>
        <w:rPr>
          <w:rFonts w:ascii="宋体" w:hAnsi="宋体" w:cs="宋体"/>
          <w:color w:val="000000" w:themeColor="text1"/>
          <w:szCs w:val="21"/>
          <w14:textFill>
            <w14:solidFill>
              <w14:schemeClr w14:val="tx1"/>
            </w14:solidFill>
          </w14:textFill>
        </w:rPr>
        <w:t>纳入分散供养特困、低保、</w:t>
      </w:r>
      <w:r>
        <w:rPr>
          <w:rFonts w:hint="eastAsia" w:ascii="宋体" w:hAnsi="宋体" w:cs="宋体"/>
          <w:color w:val="000000" w:themeColor="text1"/>
          <w:szCs w:val="21"/>
          <w14:textFill>
            <w14:solidFill>
              <w14:schemeClr w14:val="tx1"/>
            </w14:solidFill>
          </w14:textFill>
        </w:rPr>
        <w:t>建档立卡低收入人员等经济困难人群中的</w:t>
      </w:r>
      <w:r>
        <w:rPr>
          <w:rFonts w:ascii="宋体" w:hAnsi="宋体" w:cs="宋体"/>
          <w:color w:val="000000" w:themeColor="text1"/>
          <w:szCs w:val="21"/>
          <w14:textFill>
            <w14:solidFill>
              <w14:schemeClr w14:val="tx1"/>
            </w14:solidFill>
          </w14:textFill>
        </w:rPr>
        <w:t>高龄</w:t>
      </w:r>
      <w:r>
        <w:rPr>
          <w:rFonts w:hint="eastAsia" w:ascii="宋体" w:hAnsi="宋体" w:cs="宋体"/>
          <w:color w:val="000000" w:themeColor="text1"/>
          <w:szCs w:val="21"/>
          <w14:textFill>
            <w14:solidFill>
              <w14:schemeClr w14:val="tx1"/>
            </w14:solidFill>
          </w14:textFill>
        </w:rPr>
        <w:t>、中度失能、重度残疾老年人家庭中</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遴选不低于</w:t>
      </w:r>
      <w:r>
        <w:rPr>
          <w:rFonts w:ascii="宋体" w:hAnsi="宋体" w:cs="宋体"/>
          <w:color w:val="000000" w:themeColor="text1"/>
          <w:szCs w:val="21"/>
          <w14:textFill>
            <w14:solidFill>
              <w14:schemeClr w14:val="tx1"/>
            </w14:solidFill>
          </w14:textFill>
        </w:rPr>
        <w:t>900户作为全市老年人</w:t>
      </w:r>
      <w:r>
        <w:rPr>
          <w:rFonts w:hint="eastAsia" w:ascii="宋体" w:hAnsi="宋体" w:cs="宋体"/>
          <w:color w:val="000000" w:themeColor="text1"/>
          <w:szCs w:val="21"/>
          <w14:textFill>
            <w14:solidFill>
              <w14:schemeClr w14:val="tx1"/>
            </w14:solidFill>
          </w14:textFill>
        </w:rPr>
        <w:t>家庭</w:t>
      </w:r>
      <w:r>
        <w:rPr>
          <w:rFonts w:ascii="宋体" w:hAnsi="宋体" w:cs="宋体"/>
          <w:color w:val="000000" w:themeColor="text1"/>
          <w:szCs w:val="21"/>
          <w14:textFill>
            <w14:solidFill>
              <w14:schemeClr w14:val="tx1"/>
            </w14:solidFill>
          </w14:textFill>
        </w:rPr>
        <w:t>适老化改造工作试点对象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给予改造补助。</w:t>
      </w:r>
    </w:p>
    <w:p>
      <w:pPr>
        <w:keepNext w:val="0"/>
        <w:keepLines w:val="0"/>
        <w:pageBreakBefore w:val="0"/>
        <w:widowControl/>
        <w:kinsoku/>
        <w:wordWrap/>
        <w:topLinePunct w:val="0"/>
        <w:autoSpaceDE/>
        <w:autoSpaceDN/>
        <w:bidi w:val="0"/>
        <w:adjustRightInd w:val="0"/>
        <w:snapToGrid w:val="0"/>
        <w:spacing w:line="340" w:lineRule="exact"/>
        <w:ind w:firstLine="420"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三、改造原则 </w:t>
      </w:r>
    </w:p>
    <w:p>
      <w:pPr>
        <w:keepNext w:val="0"/>
        <w:keepLines w:val="0"/>
        <w:pageBreakBefore w:val="0"/>
        <w:widowControl/>
        <w:kinsoku/>
        <w:wordWrap/>
        <w:topLinePunct w:val="0"/>
        <w:autoSpaceDE/>
        <w:autoSpaceDN/>
        <w:bidi w:val="0"/>
        <w:adjustRightInd w:val="0"/>
        <w:snapToGrid w:val="0"/>
        <w:spacing w:line="340" w:lineRule="exact"/>
        <w:ind w:firstLine="420" w:firstLineChars="20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（一）坚持自愿申请，全程参与</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适老化改造以自愿为前提，老年人及其监护人、老年人家庭成员必须自愿申请，改造方案须经老年人及其家庭成员同意后实施。改造期间，如申请适老化改造的老年人家庭需临时搬出过渡的，由其自行解决。</w:t>
      </w:r>
    </w:p>
    <w:p>
      <w:pPr>
        <w:keepNext w:val="0"/>
        <w:keepLines w:val="0"/>
        <w:pageBreakBefore w:val="0"/>
        <w:widowControl/>
        <w:kinsoku/>
        <w:wordWrap/>
        <w:topLinePunct w:val="0"/>
        <w:autoSpaceDE/>
        <w:autoSpaceDN/>
        <w:bidi w:val="0"/>
        <w:adjustRightInd w:val="0"/>
        <w:snapToGrid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（二）坚持需求导向，按户施策</w:t>
      </w:r>
    </w:p>
    <w:p>
      <w:pPr>
        <w:keepNext w:val="0"/>
        <w:keepLines w:val="0"/>
        <w:pageBreakBefore w:val="0"/>
        <w:widowControl/>
        <w:kinsoku/>
        <w:wordWrap/>
        <w:topLinePunct w:val="0"/>
        <w:autoSpaceDE/>
        <w:autoSpaceDN/>
        <w:bidi w:val="0"/>
        <w:adjustRightInd w:val="0"/>
        <w:snapToGrid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老化改造要根据老年人身体能力状况、住宅环境条件和生活实际需求等特点制定出切实可行、符合实际需要的改造方案，做到“一户一案、一户一档”，坚持“安全、方便和整洁”原则，提升老年人家庭养老质量，改善老年人居住环境的适宜度。</w:t>
      </w:r>
    </w:p>
    <w:p>
      <w:pPr>
        <w:keepNext w:val="0"/>
        <w:keepLines w:val="0"/>
        <w:pageBreakBefore w:val="0"/>
        <w:widowControl/>
        <w:kinsoku/>
        <w:wordWrap/>
        <w:topLinePunct w:val="0"/>
        <w:autoSpaceDE/>
        <w:autoSpaceDN/>
        <w:bidi w:val="0"/>
        <w:adjustRightInd w:val="0"/>
        <w:snapToGrid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（三）坚持公开规范，务求实效</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在适老化改造申请、评估审核、方案设计、项目实施等过程中，严格按照程序执行，实行改造家庭名单公示，严把改造质量，实行全程监督，防止改造偷工减料，确保改造项目方便实用，按时高效完成。</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四、改造完成时间</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年12月底前。</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五、项目要求</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1.改造内容：家庭</w:t>
      </w:r>
      <w:r>
        <w:rPr>
          <w:rFonts w:ascii="宋体" w:hAnsi="宋体" w:cs="宋体"/>
          <w:color w:val="000000" w:themeColor="text1"/>
          <w:szCs w:val="21"/>
          <w14:textFill>
            <w14:solidFill>
              <w14:schemeClr w14:val="tx1"/>
            </w14:solidFill>
          </w14:textFill>
        </w:rPr>
        <w:t>适老化改造</w:t>
      </w:r>
      <w:r>
        <w:rPr>
          <w:rFonts w:hint="eastAsia" w:ascii="宋体" w:hAnsi="宋体" w:cs="宋体"/>
          <w:color w:val="000000" w:themeColor="text1"/>
          <w:szCs w:val="21"/>
          <w14:textFill>
            <w14:solidFill>
              <w14:schemeClr w14:val="tx1"/>
            </w14:solidFill>
          </w14:textFill>
        </w:rPr>
        <w:t>根据《桂林市特殊困难老年人家庭</w:t>
      </w:r>
      <w:r>
        <w:rPr>
          <w:rFonts w:ascii="宋体" w:hAnsi="宋体" w:cs="宋体"/>
          <w:color w:val="000000" w:themeColor="text1"/>
          <w:szCs w:val="21"/>
          <w14:textFill>
            <w14:solidFill>
              <w14:schemeClr w14:val="tx1"/>
            </w14:solidFill>
          </w14:textFill>
        </w:rPr>
        <w:t>适老化改造项目清单</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(附件6</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所列</w:t>
      </w:r>
      <w:r>
        <w:rPr>
          <w:rFonts w:hint="eastAsia" w:ascii="宋体" w:hAnsi="宋体" w:cs="宋体"/>
          <w:color w:val="000000" w:themeColor="text1"/>
          <w:szCs w:val="21"/>
          <w14:textFill>
            <w14:solidFill>
              <w14:schemeClr w14:val="tx1"/>
            </w14:solidFill>
          </w14:textFill>
        </w:rPr>
        <w:t>六</w:t>
      </w:r>
      <w:r>
        <w:rPr>
          <w:rFonts w:ascii="宋体" w:hAnsi="宋体" w:cs="宋体"/>
          <w:color w:val="000000" w:themeColor="text1"/>
          <w:szCs w:val="21"/>
          <w14:textFill>
            <w14:solidFill>
              <w14:schemeClr w14:val="tx1"/>
            </w14:solidFill>
          </w14:textFill>
        </w:rPr>
        <w:t>个类别54个项目</w:t>
      </w:r>
      <w:r>
        <w:rPr>
          <w:rFonts w:hint="eastAsia" w:ascii="宋体" w:hAnsi="宋体" w:cs="宋体"/>
          <w:color w:val="000000" w:themeColor="text1"/>
          <w:szCs w:val="21"/>
          <w14:textFill>
            <w14:solidFill>
              <w14:schemeClr w14:val="tx1"/>
            </w14:solidFill>
          </w14:textFill>
        </w:rPr>
        <w:t>内容，</w:t>
      </w:r>
      <w:r>
        <w:rPr>
          <w:rFonts w:ascii="宋体" w:hAnsi="宋体" w:cs="宋体"/>
          <w:color w:val="000000" w:themeColor="text1"/>
          <w:szCs w:val="21"/>
          <w14:textFill>
            <w14:solidFill>
              <w14:schemeClr w14:val="tx1"/>
            </w14:solidFill>
          </w14:textFill>
        </w:rPr>
        <w:t>围绕施工改造、设施配备、老年用品配置等方面进行</w:t>
      </w:r>
      <w:r>
        <w:rPr>
          <w:rFonts w:hint="eastAsia" w:ascii="宋体" w:hAnsi="宋体" w:cs="宋体"/>
          <w:color w:val="000000" w:themeColor="text1"/>
          <w:szCs w:val="21"/>
          <w14:textFill>
            <w14:solidFill>
              <w14:schemeClr w14:val="tx1"/>
            </w14:solidFill>
          </w14:textFill>
        </w:rPr>
        <w:t>。</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2.改造质量：购置的适老化改造设施设备必须经过国家相关资质部门的安全认证，提供设施设备的厂商或提供改造服务的单位应当对改造项目按照相关规定提供质量保证。</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3.补贴标准：桂林市城区户籍政府养老扶助对象家庭，适老化改造</w:t>
      </w:r>
      <w:r>
        <w:rPr>
          <w:rFonts w:hint="eastAsia" w:ascii="宋体" w:hAnsi="宋体" w:cs="宋体"/>
          <w:color w:val="000000" w:themeColor="text1"/>
          <w:szCs w:val="21"/>
          <w:lang w:val="en-US" w:eastAsia="zh-CN"/>
          <w14:textFill>
            <w14:solidFill>
              <w14:schemeClr w14:val="tx1"/>
            </w14:solidFill>
          </w14:textFill>
        </w:rPr>
        <w:t>补贴标准</w:t>
      </w:r>
      <w:r>
        <w:rPr>
          <w:rFonts w:hint="eastAsia" w:ascii="宋体" w:hAnsi="宋体" w:cs="宋体"/>
          <w:color w:val="000000" w:themeColor="text1"/>
          <w:szCs w:val="21"/>
          <w14:textFill>
            <w14:solidFill>
              <w14:schemeClr w14:val="tx1"/>
            </w14:solidFill>
          </w14:textFill>
        </w:rPr>
        <w:t>每户平均</w:t>
      </w:r>
      <w:r>
        <w:rPr>
          <w:rFonts w:hint="eastAsia" w:ascii="宋体" w:hAnsi="宋体" w:cs="宋体"/>
          <w:color w:val="000000" w:themeColor="text1"/>
          <w:szCs w:val="21"/>
          <w:lang w:val="en-US" w:eastAsia="zh-CN"/>
          <w14:textFill>
            <w14:solidFill>
              <w14:schemeClr w14:val="tx1"/>
            </w14:solidFill>
          </w14:textFill>
        </w:rPr>
        <w:t>费用约为：中标总价的98%除以改造户数；根据每户实际情况及需求进行改造（每户最高改造费用不得超过平均费用的20%，所有户数改造汇总价不得超过中标价的98%），</w:t>
      </w:r>
      <w:r>
        <w:rPr>
          <w:rFonts w:hint="eastAsia" w:ascii="宋体" w:hAnsi="宋体" w:cs="宋体"/>
          <w:color w:val="000000" w:themeColor="text1"/>
          <w:szCs w:val="21"/>
          <w14:textFill>
            <w14:solidFill>
              <w14:schemeClr w14:val="tx1"/>
            </w14:solidFill>
          </w14:textFill>
        </w:rPr>
        <w:t>据实结算。</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4.工作规范</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（1）入户人员不得在入户开展适老化改造服务过程中向老人及家属推销任何保健品、P2P等违法违规的内容，否则采购人有权取消中标供应商资格，并追究法律责任。</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（2）入户人员要注意工作方式、方法和态度，不能与老人、家属、街道及社区工作人员发生矛盾。</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（3）确保在执行过程中老人、家属及工作人员的人身安全，执行过程中发生任何安全问题，由中标供应商自行负责，采购人不承担任何责任。</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（4）积极做好疫情防控工作，入户人员配备必要的消毒和防护设备，严格落实本地各项防疫措施，和工作陪同人员、老人及其家庭人员保持良好的沟通，确保顺利完成任务。</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六、实施流程</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老年人家庭适老化改造包括改造申请、选定服务商、评估及方案确认、改造实施、审核验收、抽查检查、信息化监管等流程。</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（一）改造申请</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老化改造按照自愿原则，以城区为单位，向老年人家庭宣传家庭适老化改造工作，并发放《桂林市特殊困难老年人家庭适老化改造申请表》（附件2），申请人可本人或委托家人、社区居民委员会代为提出申请。符合条件的，填写</w:t>
      </w:r>
      <w:r>
        <w:rPr>
          <w:rFonts w:ascii="宋体" w:hAnsi="宋体" w:cs="宋体"/>
          <w:color w:val="000000" w:themeColor="text1"/>
          <w:szCs w:val="21"/>
          <w14:textFill>
            <w14:solidFill>
              <w14:schemeClr w14:val="tx1"/>
            </w14:solidFill>
          </w14:textFill>
        </w:rPr>
        <w:t>老年人住所地址、身体</w:t>
      </w:r>
      <w:r>
        <w:rPr>
          <w:rFonts w:hint="eastAsia" w:ascii="宋体" w:hAnsi="宋体" w:cs="宋体"/>
          <w:color w:val="000000" w:themeColor="text1"/>
          <w:szCs w:val="21"/>
          <w14:textFill>
            <w14:solidFill>
              <w14:schemeClr w14:val="tx1"/>
            </w14:solidFill>
          </w14:textFill>
        </w:rPr>
        <w:t>能力</w:t>
      </w:r>
      <w:r>
        <w:rPr>
          <w:rFonts w:ascii="宋体" w:hAnsi="宋体" w:cs="宋体"/>
          <w:color w:val="000000" w:themeColor="text1"/>
          <w:szCs w:val="21"/>
          <w14:textFill>
            <w14:solidFill>
              <w14:schemeClr w14:val="tx1"/>
            </w14:solidFill>
          </w14:textFill>
        </w:rPr>
        <w:t>状况</w:t>
      </w:r>
      <w:r>
        <w:rPr>
          <w:rFonts w:hint="eastAsia" w:ascii="宋体" w:hAnsi="宋体" w:cs="宋体"/>
          <w:color w:val="000000" w:themeColor="text1"/>
          <w:szCs w:val="21"/>
          <w14:textFill>
            <w14:solidFill>
              <w14:schemeClr w14:val="tx1"/>
            </w14:solidFill>
          </w14:textFill>
        </w:rPr>
        <w:t>等</w:t>
      </w:r>
      <w:r>
        <w:rPr>
          <w:rFonts w:ascii="宋体" w:hAnsi="宋体" w:cs="宋体"/>
          <w:color w:val="000000" w:themeColor="text1"/>
          <w:szCs w:val="21"/>
          <w14:textFill>
            <w14:solidFill>
              <w14:schemeClr w14:val="tx1"/>
            </w14:solidFill>
          </w14:textFill>
        </w:rPr>
        <w:t>基本信息</w:t>
      </w:r>
      <w:r>
        <w:rPr>
          <w:rFonts w:hint="eastAsia" w:ascii="宋体" w:hAnsi="宋体" w:cs="宋体"/>
          <w:color w:val="000000" w:themeColor="text1"/>
          <w:szCs w:val="21"/>
          <w14:textFill>
            <w14:solidFill>
              <w14:schemeClr w14:val="tx1"/>
            </w14:solidFill>
          </w14:textFill>
        </w:rPr>
        <w:t>，申请表由街道提交各城区民政局收齐审核后提交市民政局。</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（二）评估及方案确认</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中标供应商在收到申请表信息后，</w:t>
      </w:r>
      <w:r>
        <w:rPr>
          <w:rFonts w:ascii="宋体" w:hAnsi="宋体" w:cs="宋体"/>
          <w:color w:val="000000" w:themeColor="text1"/>
          <w:szCs w:val="21"/>
          <w14:textFill>
            <w14:solidFill>
              <w14:schemeClr w14:val="tx1"/>
            </w14:solidFill>
          </w14:textFill>
        </w:rPr>
        <w:t>及时安排</w:t>
      </w:r>
      <w:r>
        <w:rPr>
          <w:rFonts w:hint="eastAsia" w:ascii="宋体" w:hAnsi="宋体" w:cs="宋体"/>
          <w:color w:val="000000" w:themeColor="text1"/>
          <w:szCs w:val="21"/>
          <w14:textFill>
            <w14:solidFill>
              <w14:schemeClr w14:val="tx1"/>
            </w14:solidFill>
          </w14:textFill>
        </w:rPr>
        <w:t>组织专业人员</w:t>
      </w:r>
      <w:r>
        <w:rPr>
          <w:rFonts w:ascii="宋体" w:hAnsi="宋体" w:cs="宋体"/>
          <w:color w:val="000000" w:themeColor="text1"/>
          <w:szCs w:val="21"/>
          <w14:textFill>
            <w14:solidFill>
              <w14:schemeClr w14:val="tx1"/>
            </w14:solidFill>
          </w14:textFill>
        </w:rPr>
        <w:t>入户</w:t>
      </w:r>
      <w:r>
        <w:rPr>
          <w:rFonts w:hint="eastAsia" w:ascii="宋体" w:hAnsi="宋体" w:cs="宋体"/>
          <w:color w:val="000000" w:themeColor="text1"/>
          <w:szCs w:val="21"/>
          <w14:textFill>
            <w14:solidFill>
              <w14:schemeClr w14:val="tx1"/>
            </w14:solidFill>
          </w14:textFill>
        </w:rPr>
        <w:t>进行</w:t>
      </w:r>
      <w:r>
        <w:rPr>
          <w:rFonts w:ascii="宋体" w:hAnsi="宋体" w:cs="宋体"/>
          <w:color w:val="000000" w:themeColor="text1"/>
          <w:szCs w:val="21"/>
          <w14:textFill>
            <w14:solidFill>
              <w14:schemeClr w14:val="tx1"/>
            </w14:solidFill>
          </w14:textFill>
        </w:rPr>
        <w:t>评估</w:t>
      </w:r>
      <w:r>
        <w:rPr>
          <w:rFonts w:hint="eastAsia" w:ascii="宋体" w:hAnsi="宋体" w:cs="宋体"/>
          <w:color w:val="000000" w:themeColor="text1"/>
          <w:szCs w:val="21"/>
          <w14:textFill>
            <w14:solidFill>
              <w14:schemeClr w14:val="tx1"/>
            </w14:solidFill>
          </w14:textFill>
        </w:rPr>
        <w:t>和方案制定，对</w:t>
      </w:r>
      <w:r>
        <w:rPr>
          <w:rFonts w:hint="eastAsia" w:ascii="宋体" w:hAnsi="宋体" w:cs="宋体"/>
          <w:color w:val="000000" w:themeColor="text1"/>
          <w:szCs w:val="21"/>
          <w:lang w:val="en-US" w:eastAsia="zh-CN"/>
          <w14:textFill>
            <w14:solidFill>
              <w14:schemeClr w14:val="tx1"/>
            </w14:solidFill>
          </w14:textFill>
        </w:rPr>
        <w:t>采购方提供的老</w:t>
      </w:r>
      <w:r>
        <w:rPr>
          <w:rFonts w:ascii="宋体" w:hAnsi="宋体" w:cs="宋体"/>
          <w:color w:val="000000" w:themeColor="text1"/>
          <w:szCs w:val="21"/>
          <w14:textFill>
            <w14:solidFill>
              <w14:schemeClr w14:val="tx1"/>
            </w14:solidFill>
          </w14:textFill>
        </w:rPr>
        <w:t>人的身份</w:t>
      </w:r>
      <w:r>
        <w:rPr>
          <w:rFonts w:hint="eastAsia" w:ascii="宋体" w:hAnsi="宋体" w:cs="宋体"/>
          <w:color w:val="000000" w:themeColor="text1"/>
          <w:szCs w:val="21"/>
          <w14:textFill>
            <w14:solidFill>
              <w14:schemeClr w14:val="tx1"/>
            </w14:solidFill>
          </w14:textFill>
        </w:rPr>
        <w:t>进行</w:t>
      </w:r>
      <w:r>
        <w:rPr>
          <w:rFonts w:ascii="宋体" w:hAnsi="宋体" w:cs="宋体"/>
          <w:color w:val="000000" w:themeColor="text1"/>
          <w:szCs w:val="21"/>
          <w14:textFill>
            <w14:solidFill>
              <w14:schemeClr w14:val="tx1"/>
            </w14:solidFill>
          </w14:textFill>
        </w:rPr>
        <w:t>认定和</w:t>
      </w:r>
      <w:r>
        <w:rPr>
          <w:rFonts w:hint="eastAsia" w:ascii="宋体" w:hAnsi="宋体" w:cs="宋体"/>
          <w:color w:val="000000" w:themeColor="text1"/>
          <w:szCs w:val="21"/>
          <w14:textFill>
            <w14:solidFill>
              <w14:schemeClr w14:val="tx1"/>
            </w14:solidFill>
          </w14:textFill>
        </w:rPr>
        <w:t>综合</w:t>
      </w:r>
      <w:r>
        <w:rPr>
          <w:rFonts w:ascii="宋体" w:hAnsi="宋体" w:cs="宋体"/>
          <w:color w:val="000000" w:themeColor="text1"/>
          <w:szCs w:val="21"/>
          <w14:textFill>
            <w14:solidFill>
              <w14:schemeClr w14:val="tx1"/>
            </w14:solidFill>
          </w14:textFill>
        </w:rPr>
        <w:t>评估</w:t>
      </w:r>
      <w:r>
        <w:rPr>
          <w:rFonts w:hint="eastAsia" w:ascii="宋体" w:hAnsi="宋体" w:cs="宋体"/>
          <w:color w:val="000000" w:themeColor="text1"/>
          <w:szCs w:val="21"/>
          <w14:textFill>
            <w14:solidFill>
              <w14:schemeClr w14:val="tx1"/>
            </w14:solidFill>
          </w14:textFill>
        </w:rPr>
        <w:t>，街道和社区积极参与陪同上门，</w:t>
      </w:r>
      <w:r>
        <w:rPr>
          <w:rFonts w:ascii="宋体" w:hAnsi="宋体" w:cs="宋体"/>
          <w:color w:val="000000" w:themeColor="text1"/>
          <w:szCs w:val="21"/>
          <w14:textFill>
            <w14:solidFill>
              <w14:schemeClr w14:val="tx1"/>
            </w14:solidFill>
          </w14:textFill>
        </w:rPr>
        <w:t>确定具体改造事项，建立改造工作清单</w:t>
      </w:r>
      <w:r>
        <w:rPr>
          <w:rFonts w:hint="eastAsia" w:ascii="宋体" w:hAnsi="宋体" w:cs="宋体"/>
          <w:color w:val="000000" w:themeColor="text1"/>
          <w:szCs w:val="21"/>
          <w14:textFill>
            <w14:solidFill>
              <w14:schemeClr w14:val="tx1"/>
            </w14:solidFill>
          </w14:textFill>
        </w:rPr>
        <w:t>，完善《桂林市特殊困难老年人家庭适老化改造方案及结果确认表》（附件</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）内容</w:t>
      </w:r>
      <w:r>
        <w:rPr>
          <w:rFonts w:ascii="宋体" w:hAnsi="宋体" w:cs="宋体"/>
          <w:color w:val="000000" w:themeColor="text1"/>
          <w:szCs w:val="21"/>
          <w14:textFill>
            <w14:solidFill>
              <w14:schemeClr w14:val="tx1"/>
            </w14:solidFill>
          </w14:textFill>
        </w:rPr>
        <w:t>，保存改造前的图片资料。</w:t>
      </w:r>
      <w:r>
        <w:rPr>
          <w:rFonts w:hint="eastAsia" w:ascii="宋体" w:hAnsi="宋体" w:cs="宋体"/>
          <w:color w:val="000000" w:themeColor="text1"/>
          <w:szCs w:val="21"/>
          <w14:textFill>
            <w14:solidFill>
              <w14:schemeClr w14:val="tx1"/>
            </w14:solidFill>
          </w14:textFill>
        </w:rPr>
        <w:t>申请表经老年人或家庭成员签字确认，交由城区民政局、市民政局审核确认后进行改造实施。</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（三）改造实施</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供应商根据评估方案，按进度和质量要求实施改造。改造完成后，中标供应商应建立完整的改造档案，保留完整的改造信息，包括完整清晰的改造前后图片等资料，并填写《桂林市特殊困难老年人家庭适老化改造验收表》（附件</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），经老人或家庭成员签字确认，中标供应商填写好《桂林市特殊困难老年人家庭适老化改造项目情况汇总表》（附件</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）后，将上述资料报送市民政局备案。</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（四）抽查验收</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改造过程中，各城区民政应当对家庭</w:t>
      </w:r>
      <w:r>
        <w:rPr>
          <w:rFonts w:ascii="宋体" w:hAnsi="宋体" w:cs="宋体"/>
          <w:color w:val="000000" w:themeColor="text1"/>
          <w:szCs w:val="21"/>
          <w14:textFill>
            <w14:solidFill>
              <w14:schemeClr w14:val="tx1"/>
            </w14:solidFill>
          </w14:textFill>
        </w:rPr>
        <w:t>适老化改造工作进度及质量</w:t>
      </w:r>
      <w:r>
        <w:rPr>
          <w:rFonts w:hint="eastAsia" w:ascii="宋体" w:hAnsi="宋体" w:cs="宋体"/>
          <w:color w:val="000000" w:themeColor="text1"/>
          <w:szCs w:val="21"/>
          <w14:textFill>
            <w14:solidFill>
              <w14:schemeClr w14:val="tx1"/>
            </w14:solidFill>
          </w14:textFill>
        </w:rPr>
        <w:t>加强</w:t>
      </w:r>
      <w:r>
        <w:rPr>
          <w:rFonts w:ascii="宋体" w:hAnsi="宋体" w:cs="宋体"/>
          <w:color w:val="000000" w:themeColor="text1"/>
          <w:szCs w:val="21"/>
          <w14:textFill>
            <w14:solidFill>
              <w14:schemeClr w14:val="tx1"/>
            </w14:solidFill>
          </w14:textFill>
        </w:rPr>
        <w:t>监督</w:t>
      </w:r>
      <w:r>
        <w:rPr>
          <w:rFonts w:hint="eastAsia" w:ascii="宋体" w:hAnsi="宋体" w:cs="宋体"/>
          <w:color w:val="000000" w:themeColor="text1"/>
          <w:szCs w:val="21"/>
          <w14:textFill>
            <w14:solidFill>
              <w14:schemeClr w14:val="tx1"/>
            </w14:solidFill>
          </w14:textFill>
        </w:rPr>
        <w:t>检查，及时掌握推进情况。</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改造结束后，中标供应商凭老人或其家人签字确认的《桂林市特殊困难老年人家庭适老化改造项目改造方案及结果确认表》、《桂林市特殊困难老年人家庭适老化改造验收表》，以及《桂林市特殊困难老年人家庭适老化改造项目情况汇总表》向市民政局申请抽查验收，</w:t>
      </w:r>
      <w:r>
        <w:rPr>
          <w:rFonts w:hint="eastAsia" w:ascii="宋体" w:hAnsi="宋体" w:cs="宋体"/>
          <w:color w:val="000000" w:themeColor="text1"/>
          <w:szCs w:val="21"/>
          <w:lang w:val="en-US" w:eastAsia="zh-CN"/>
          <w14:textFill>
            <w14:solidFill>
              <w14:schemeClr w14:val="tx1"/>
            </w14:solidFill>
          </w14:textFill>
        </w:rPr>
        <w:t>由</w:t>
      </w:r>
      <w:r>
        <w:rPr>
          <w:rFonts w:hint="eastAsia" w:ascii="宋体" w:hAnsi="宋体" w:cs="宋体"/>
          <w:color w:val="000000" w:themeColor="text1"/>
          <w:szCs w:val="21"/>
          <w14:textFill>
            <w14:solidFill>
              <w14:schemeClr w14:val="tx1"/>
            </w14:solidFill>
          </w14:textFill>
        </w:rPr>
        <w:t>市民政局委托有资质的第三方按总数不低于</w:t>
      </w:r>
      <w:r>
        <w:rPr>
          <w:rFonts w:ascii="宋体" w:hAnsi="宋体" w:cs="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%的比例组织对全市6城区的改造结果进行抽查，同步收集整理改造对象的意见和建议，抽查不通过的家庭，由中标供应商重新改造，抽查</w:t>
      </w:r>
      <w:r>
        <w:rPr>
          <w:rFonts w:ascii="宋体" w:hAnsi="宋体" w:cs="宋体"/>
          <w:color w:val="000000" w:themeColor="text1"/>
          <w:szCs w:val="21"/>
          <w14:textFill>
            <w14:solidFill>
              <w14:schemeClr w14:val="tx1"/>
            </w14:solidFill>
          </w14:textFill>
        </w:rPr>
        <w:t>评价结果作为</w:t>
      </w:r>
      <w:r>
        <w:rPr>
          <w:rFonts w:hint="eastAsia" w:ascii="宋体" w:hAnsi="宋体" w:cs="宋体"/>
          <w:color w:val="000000" w:themeColor="text1"/>
          <w:szCs w:val="21"/>
          <w14:textFill>
            <w14:solidFill>
              <w14:schemeClr w14:val="tx1"/>
            </w14:solidFill>
          </w14:textFill>
        </w:rPr>
        <w:t>服务商</w:t>
      </w:r>
      <w:r>
        <w:rPr>
          <w:rFonts w:ascii="宋体" w:hAnsi="宋体" w:cs="宋体"/>
          <w:color w:val="000000" w:themeColor="text1"/>
          <w:szCs w:val="21"/>
          <w14:textFill>
            <w14:solidFill>
              <w14:schemeClr w14:val="tx1"/>
            </w14:solidFill>
          </w14:textFill>
        </w:rPr>
        <w:t>费用结算</w:t>
      </w:r>
      <w:r>
        <w:rPr>
          <w:rFonts w:hint="eastAsia" w:ascii="宋体" w:hAnsi="宋体" w:cs="宋体"/>
          <w:color w:val="000000" w:themeColor="text1"/>
          <w:szCs w:val="21"/>
          <w14:textFill>
            <w14:solidFill>
              <w14:schemeClr w14:val="tx1"/>
            </w14:solidFill>
          </w14:textFill>
        </w:rPr>
        <w:t>的</w:t>
      </w:r>
      <w:r>
        <w:rPr>
          <w:rFonts w:ascii="宋体" w:hAnsi="宋体" w:cs="宋体"/>
          <w:color w:val="000000" w:themeColor="text1"/>
          <w:szCs w:val="21"/>
          <w14:textFill>
            <w14:solidFill>
              <w14:schemeClr w14:val="tx1"/>
            </w14:solidFill>
          </w14:textFill>
        </w:rPr>
        <w:t>参考依据</w:t>
      </w:r>
      <w:r>
        <w:rPr>
          <w:rFonts w:hint="eastAsia" w:ascii="宋体" w:hAnsi="宋体" w:cs="宋体"/>
          <w:color w:val="000000" w:themeColor="text1"/>
          <w:szCs w:val="21"/>
          <w14:textFill>
            <w14:solidFill>
              <w14:schemeClr w14:val="tx1"/>
            </w14:solidFill>
          </w14:textFill>
        </w:rPr>
        <w:t>。</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（五）信息化监管</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适老化改造全流程以信息化方式进行留档备查，中标供应商应将家庭</w:t>
      </w:r>
      <w:r>
        <w:rPr>
          <w:rFonts w:ascii="宋体" w:hAnsi="宋体" w:cs="宋体"/>
          <w:color w:val="000000" w:themeColor="text1"/>
          <w:szCs w:val="21"/>
          <w14:textFill>
            <w14:solidFill>
              <w14:schemeClr w14:val="tx1"/>
            </w14:solidFill>
          </w14:textFill>
        </w:rPr>
        <w:t>适老化改造申请表单、改造事项清单、过程监督记录、完工验收记录、改造前后图片对比等资料，按照</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一户一档</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的原则进行归档整理</w:t>
      </w:r>
      <w:r>
        <w:rPr>
          <w:rFonts w:hint="eastAsia" w:ascii="宋体" w:hAnsi="宋体" w:cs="宋体"/>
          <w:color w:val="000000" w:themeColor="text1"/>
          <w:szCs w:val="21"/>
          <w14:textFill>
            <w14:solidFill>
              <w14:schemeClr w14:val="tx1"/>
            </w14:solidFill>
          </w14:textFill>
        </w:rPr>
        <w:t>，确保适老化改造服务质量的可追溯。</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七、采购预算</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最终按市民政局审核后的验收确认资料，以实际发生量结算，补贴总预算金额不超过</w:t>
      </w:r>
      <w:r>
        <w:rPr>
          <w:rFonts w:hint="eastAsia" w:ascii="宋体" w:hAnsi="宋体" w:cs="宋体"/>
          <w:color w:val="000000" w:themeColor="text1"/>
          <w:szCs w:val="21"/>
          <w:lang w:val="en-US" w:eastAsia="zh-CN"/>
          <w14:textFill>
            <w14:solidFill>
              <w14:schemeClr w14:val="tx1"/>
            </w14:solidFill>
          </w14:textFill>
        </w:rPr>
        <w:t>中标价</w:t>
      </w:r>
      <w:r>
        <w:rPr>
          <w:rFonts w:hint="eastAsia" w:ascii="宋体" w:hAnsi="宋体" w:cs="宋体"/>
          <w:color w:val="000000" w:themeColor="text1"/>
          <w:szCs w:val="21"/>
          <w14:textFill>
            <w14:solidFill>
              <w14:schemeClr w14:val="tx1"/>
            </w14:solidFill>
          </w14:textFill>
        </w:rPr>
        <w:t>，含设备采购和安装调试费、失能评估费、服务费、审计费以及相关费用；验收费和审计费合计按项目实际结算的2%</w:t>
      </w:r>
      <w:r>
        <w:rPr>
          <w:rFonts w:hint="eastAsia" w:ascii="宋体" w:hAnsi="宋体" w:cs="宋体"/>
          <w:color w:val="000000" w:themeColor="text1"/>
          <w:szCs w:val="21"/>
          <w:lang w:val="en-US" w:eastAsia="zh-CN"/>
          <w14:textFill>
            <w14:solidFill>
              <w14:schemeClr w14:val="tx1"/>
            </w14:solidFill>
          </w14:textFill>
        </w:rPr>
        <w:t>由中标方向采购方指定的负责验收、审计的第三方机构</w:t>
      </w:r>
      <w:r>
        <w:rPr>
          <w:rFonts w:hint="eastAsia" w:ascii="宋体" w:hAnsi="宋体" w:cs="宋体"/>
          <w:color w:val="000000" w:themeColor="text1"/>
          <w:szCs w:val="21"/>
          <w14:textFill>
            <w14:solidFill>
              <w14:schemeClr w14:val="tx1"/>
            </w14:solidFill>
          </w14:textFill>
        </w:rPr>
        <w:t>支付，项目以实际产生服务并经组织核算后的金额结算。</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八、付款方式</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合同签订后</w:t>
      </w:r>
      <w:r>
        <w:rPr>
          <w:rFonts w:hint="eastAsia" w:ascii="宋体" w:hAnsi="宋体" w:cs="宋体"/>
          <w:color w:val="000000" w:themeColor="text1"/>
          <w:szCs w:val="21"/>
          <w:lang w:val="en-US" w:eastAsia="zh-CN"/>
          <w14:textFill>
            <w14:solidFill>
              <w14:schemeClr w14:val="tx1"/>
            </w14:solidFill>
          </w14:textFill>
        </w:rPr>
        <w:t>10个工作</w:t>
      </w:r>
      <w:r>
        <w:rPr>
          <w:rFonts w:hint="eastAsia" w:ascii="宋体" w:hAnsi="宋体" w:cs="宋体"/>
          <w:color w:val="000000" w:themeColor="text1"/>
          <w:szCs w:val="21"/>
          <w14:textFill>
            <w14:solidFill>
              <w14:schemeClr w14:val="tx1"/>
            </w14:solidFill>
          </w14:textFill>
        </w:rPr>
        <w:t>日内，支付合同总额的40%作为项目预付款，完成并验收合格后支付项目结算余款，</w:t>
      </w:r>
      <w:r>
        <w:rPr>
          <w:rFonts w:hint="eastAsia" w:ascii="宋体" w:hAnsi="宋体" w:cs="宋体"/>
          <w:color w:val="000000" w:themeColor="text1"/>
          <w:szCs w:val="21"/>
          <w:lang w:val="en-US" w:eastAsia="zh-CN"/>
          <w14:textFill>
            <w14:solidFill>
              <w14:schemeClr w14:val="tx1"/>
            </w14:solidFill>
          </w14:textFill>
        </w:rPr>
        <w:t>中标方收到结算款后3个工作日内支付2%的验收费和审计费。</w:t>
      </w:r>
      <w:r>
        <w:rPr>
          <w:rFonts w:hint="eastAsia" w:ascii="宋体" w:hAnsi="宋体" w:cs="宋体"/>
          <w:color w:val="000000" w:themeColor="text1"/>
          <w:szCs w:val="21"/>
          <w14:textFill>
            <w14:solidFill>
              <w14:schemeClr w14:val="tx1"/>
            </w14:solidFill>
          </w14:textFill>
        </w:rPr>
        <w:t xml:space="preserve"> </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九、工作要求 </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中标供应商须通过信息化管理等方式，检查监督服务人员的服务质量，向服务对象进行服务信息回访，具备强化养老政府监管和服务调度能力，实现并提升养老数据的交换、挖掘、行为分析和精准推送水平，提高服务效率。</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（二）建立服务对象信息数据库和服务台账。 </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（三）制定完善的管理制度和保障机制，做到管理正规化、服务规范化，落实相关安全管理要求，确保服务过程中服务对象及服务人员的人身安全。</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（四）加强对所属服务人员的管理和职业道德教育，定期组织培训，不断提高服务人员的服务技能。</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（五）投标供应商应承诺具备相应工作能力；承诺从业人员均符合工作岗位要求的健康状况和工作能力，且服务时统一着装、并佩戴工作证。</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（六）整合志愿者、社工、农村赋闲人员、第三方服务组织和机构等社会养老服务资源和力量，激发全市养老服务积极性，实现多元化共赢。</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服务开始后的第二个自然月起，每月5日前，中标人向采购人或采购人指定的第三方提交上一月中标人根据采购合同约定开展服务的进展、服务对象及其联系方式、具体服务方式、服务效果、服务费用、服务存在问题说明等符合采购需求和中标人服务承诺的统计报表和相应证据，以便采购人或采购人指定的第三方进行评价审核和核定服务。改造完成后，中标供应商认真做好台账资料，将申请材料、评估、验收资料和改造前后图片及文档等有关资料提交市民政局，按照“一户一档”原则做好档案保管。</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1、《桂林市特殊困难老年人家庭适老化改造任务分解表》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参考</w:t>
      </w:r>
      <w:r>
        <w:rPr>
          <w:rFonts w:hint="eastAsia" w:ascii="宋体" w:hAnsi="宋体" w:cs="宋体"/>
          <w:color w:val="000000" w:themeColor="text1"/>
          <w:szCs w:val="21"/>
          <w:lang w:eastAsia="zh-CN"/>
          <w14:textFill>
            <w14:solidFill>
              <w14:schemeClr w14:val="tx1"/>
            </w14:solidFill>
          </w14:textFill>
        </w:rPr>
        <w:t>）</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2、《桂林市特殊困难老年人家庭适老化改造申请表》</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3、《桂林市特殊困难老年人家庭适老化改造项目改造方案及结果确认表》</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、《桂林市特殊困难老年人家庭适老化改造项目改造验收表》</w:t>
      </w:r>
    </w:p>
    <w:p>
      <w:pPr>
        <w:keepNext w:val="0"/>
        <w:keepLines w:val="0"/>
        <w:pageBreakBefore w:val="0"/>
        <w:kinsoku/>
        <w:wordWrap/>
        <w:topLinePunct w:val="0"/>
        <w:autoSpaceDE/>
        <w:autoSpaceDN/>
        <w:bidi w:val="0"/>
        <w:spacing w:line="340" w:lineRule="exact"/>
        <w:ind w:firstLine="420" w:firstLineChars="200"/>
        <w:textAlignment w:val="auto"/>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、《桂林市特殊困难老年人家庭适老化改造项目情况汇总表》</w:t>
      </w:r>
    </w:p>
    <w:p>
      <w:pPr>
        <w:keepNext w:val="0"/>
        <w:keepLines w:val="0"/>
        <w:pageBreakBefore w:val="0"/>
        <w:kinsoku/>
        <w:wordWrap/>
        <w:topLinePunct w:val="0"/>
        <w:autoSpaceDE/>
        <w:autoSpaceDN/>
        <w:bidi w:val="0"/>
        <w:spacing w:line="340" w:lineRule="exact"/>
        <w:ind w:firstLine="420" w:firstLineChars="200"/>
        <w:textAlignment w:val="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、《桂林市特殊困难老年人家庭适老化改造项目清单》</w:t>
      </w:r>
    </w:p>
    <w:p>
      <w:pPr>
        <w:spacing w:line="560" w:lineRule="exact"/>
        <w:rPr>
          <w:rFonts w:ascii="宋体" w:hAnsi="宋体" w:cs="宋体"/>
          <w:color w:val="000000" w:themeColor="text1"/>
          <w:szCs w:val="21"/>
          <w14:textFill>
            <w14:solidFill>
              <w14:schemeClr w14:val="tx1"/>
            </w14:solidFill>
          </w14:textFill>
        </w:rPr>
      </w:pPr>
    </w:p>
    <w:p>
      <w:pPr>
        <w:spacing w:line="560" w:lineRule="exact"/>
        <w:rPr>
          <w:rFonts w:hint="eastAsia" w:ascii="黑体" w:hAnsi="黑体" w:eastAsia="黑体" w:cs="黑体"/>
          <w:color w:val="000000" w:themeColor="text1"/>
          <w:sz w:val="24"/>
          <w14:textFill>
            <w14:solidFill>
              <w14:schemeClr w14:val="tx1"/>
            </w14:solidFill>
          </w14:textFill>
        </w:rPr>
      </w:pPr>
    </w:p>
    <w:p>
      <w:pPr>
        <w:spacing w:line="560" w:lineRule="exac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附件1</w:t>
      </w:r>
    </w:p>
    <w:p>
      <w:pPr>
        <w:spacing w:line="6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桂林市特殊困难老年人家庭</w:t>
      </w:r>
      <w:r>
        <w:rPr>
          <w:rFonts w:ascii="黑体" w:hAnsi="黑体" w:eastAsia="黑体"/>
          <w:color w:val="000000" w:themeColor="text1"/>
          <w:sz w:val="24"/>
          <w14:textFill>
            <w14:solidFill>
              <w14:schemeClr w14:val="tx1"/>
            </w14:solidFill>
          </w14:textFill>
        </w:rPr>
        <w:t>适老化改造任务分解表</w:t>
      </w:r>
    </w:p>
    <w:p>
      <w:pPr>
        <w:spacing w:line="600" w:lineRule="exact"/>
        <w:jc w:val="center"/>
        <w:rPr>
          <w:rFonts w:ascii="黑体" w:hAnsi="黑体" w:eastAsia="黑体"/>
          <w:color w:val="000000" w:themeColor="text1"/>
          <w:sz w:val="24"/>
          <w14:textFill>
            <w14:solidFill>
              <w14:schemeClr w14:val="tx1"/>
            </w14:solidFill>
          </w14:textFill>
        </w:rPr>
      </w:pPr>
    </w:p>
    <w:tbl>
      <w:tblPr>
        <w:tblStyle w:val="5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843"/>
        <w:gridCol w:w="2552"/>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263" w:type="dxa"/>
            <w:vAlign w:val="center"/>
          </w:tcPr>
          <w:p>
            <w:pPr>
              <w:spacing w:line="576" w:lineRule="auto"/>
              <w:jc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区</w:t>
            </w:r>
          </w:p>
        </w:tc>
        <w:tc>
          <w:tcPr>
            <w:tcW w:w="1843" w:type="dxa"/>
            <w:vAlign w:val="center"/>
          </w:tcPr>
          <w:p>
            <w:pPr>
              <w:spacing w:line="5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任务数（户）</w:t>
            </w:r>
          </w:p>
        </w:tc>
        <w:tc>
          <w:tcPr>
            <w:tcW w:w="2552" w:type="dxa"/>
            <w:vAlign w:val="center"/>
          </w:tcPr>
          <w:p>
            <w:pPr>
              <w:spacing w:line="576" w:lineRule="auto"/>
              <w:jc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区</w:t>
            </w:r>
          </w:p>
        </w:tc>
        <w:tc>
          <w:tcPr>
            <w:tcW w:w="1864" w:type="dxa"/>
            <w:vAlign w:val="center"/>
          </w:tcPr>
          <w:p>
            <w:pPr>
              <w:spacing w:line="5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任务数（户）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263" w:type="dxa"/>
            <w:vAlign w:val="center"/>
          </w:tcPr>
          <w:p>
            <w:pPr>
              <w:spacing w:line="5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秀峰区</w:t>
            </w:r>
          </w:p>
        </w:tc>
        <w:tc>
          <w:tcPr>
            <w:tcW w:w="1843" w:type="dxa"/>
            <w:vAlign w:val="center"/>
          </w:tcPr>
          <w:p>
            <w:pPr>
              <w:spacing w:line="5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230</w:t>
            </w:r>
          </w:p>
        </w:tc>
        <w:tc>
          <w:tcPr>
            <w:tcW w:w="2552" w:type="dxa"/>
            <w:vAlign w:val="center"/>
          </w:tcPr>
          <w:p>
            <w:pPr>
              <w:spacing w:line="5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象山区</w:t>
            </w:r>
          </w:p>
        </w:tc>
        <w:tc>
          <w:tcPr>
            <w:tcW w:w="1864" w:type="dxa"/>
            <w:vAlign w:val="center"/>
          </w:tcPr>
          <w:p>
            <w:pPr>
              <w:widowControl/>
              <w:spacing w:line="576"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Align w:val="center"/>
          </w:tcPr>
          <w:p>
            <w:pPr>
              <w:spacing w:line="5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叠彩区</w:t>
            </w:r>
          </w:p>
        </w:tc>
        <w:tc>
          <w:tcPr>
            <w:tcW w:w="1843" w:type="dxa"/>
            <w:vAlign w:val="center"/>
          </w:tcPr>
          <w:p>
            <w:pPr>
              <w:spacing w:line="5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170</w:t>
            </w:r>
          </w:p>
        </w:tc>
        <w:tc>
          <w:tcPr>
            <w:tcW w:w="2552" w:type="dxa"/>
            <w:vAlign w:val="center"/>
          </w:tcPr>
          <w:p>
            <w:pPr>
              <w:spacing w:line="5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七星区</w:t>
            </w:r>
          </w:p>
        </w:tc>
        <w:tc>
          <w:tcPr>
            <w:tcW w:w="1864" w:type="dxa"/>
            <w:vAlign w:val="center"/>
          </w:tcPr>
          <w:p>
            <w:pPr>
              <w:widowControl/>
              <w:spacing w:line="576" w:lineRule="auto"/>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Align w:val="center"/>
          </w:tcPr>
          <w:p>
            <w:pPr>
              <w:spacing w:line="5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雁山区</w:t>
            </w:r>
          </w:p>
        </w:tc>
        <w:tc>
          <w:tcPr>
            <w:tcW w:w="1843" w:type="dxa"/>
            <w:vAlign w:val="center"/>
          </w:tcPr>
          <w:p>
            <w:pPr>
              <w:spacing w:line="576"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50</w:t>
            </w:r>
          </w:p>
        </w:tc>
        <w:tc>
          <w:tcPr>
            <w:tcW w:w="2552" w:type="dxa"/>
            <w:vAlign w:val="center"/>
          </w:tcPr>
          <w:p>
            <w:pPr>
              <w:spacing w:line="576" w:lineRule="auto"/>
              <w:jc w:val="center"/>
              <w:rPr>
                <w:rFonts w:ascii="仿宋" w:hAnsi="仿宋" w:eastAsia="仿宋" w:cs="仿宋"/>
                <w:color w:val="000000" w:themeColor="text1"/>
                <w:sz w:val="24"/>
                <w14:textFill>
                  <w14:solidFill>
                    <w14:schemeClr w14:val="tx1"/>
                  </w14:solidFill>
                </w14:textFill>
              </w:rPr>
            </w:pPr>
          </w:p>
        </w:tc>
        <w:tc>
          <w:tcPr>
            <w:tcW w:w="1864" w:type="dxa"/>
            <w:vAlign w:val="center"/>
          </w:tcPr>
          <w:p>
            <w:pPr>
              <w:widowControl/>
              <w:spacing w:line="576" w:lineRule="auto"/>
              <w:jc w:val="center"/>
              <w:textAlignment w:val="center"/>
              <w:rPr>
                <w:rFonts w:ascii="仿宋" w:hAnsi="仿宋" w:eastAsia="仿宋" w:cs="仿宋"/>
                <w:color w:val="000000" w:themeColor="text1"/>
                <w:sz w:val="24"/>
                <w14:textFill>
                  <w14:solidFill>
                    <w14:schemeClr w14:val="tx1"/>
                  </w14:solidFill>
                </w14:textFill>
              </w:rPr>
            </w:pPr>
          </w:p>
        </w:tc>
      </w:tr>
    </w:tbl>
    <w:p>
      <w:pPr>
        <w:spacing w:line="560" w:lineRule="exact"/>
        <w:rPr>
          <w:rFonts w:ascii="黑体" w:hAnsi="黑体" w:eastAsia="黑体" w:cs="黑体"/>
          <w:color w:val="000000" w:themeColor="text1"/>
          <w:sz w:val="24"/>
          <w14:textFill>
            <w14:solidFill>
              <w14:schemeClr w14:val="tx1"/>
            </w14:solidFill>
          </w14:textFill>
        </w:rPr>
        <w:sectPr>
          <w:footerReference r:id="rId3" w:type="default"/>
          <w:pgSz w:w="11906" w:h="16838"/>
          <w:pgMar w:top="1587" w:right="1587" w:bottom="1587" w:left="1587" w:header="851" w:footer="992" w:gutter="0"/>
          <w:pgNumType w:fmt="numberInDash"/>
          <w:cols w:space="720" w:num="1"/>
          <w:docGrid w:type="lines" w:linePitch="323" w:charSpace="0"/>
        </w:sectPr>
      </w:pPr>
    </w:p>
    <w:p>
      <w:pPr>
        <w:spacing w:line="560" w:lineRule="exac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附件2</w:t>
      </w:r>
    </w:p>
    <w:p>
      <w:pPr>
        <w:jc w:val="center"/>
        <w:rPr>
          <w:rFonts w:ascii="黑体" w:hAnsi="黑体" w:eastAsia="黑体" w:cs="黑体"/>
          <w:color w:val="000000" w:themeColor="text1"/>
          <w:sz w:val="24"/>
          <w:u w:val="single"/>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桂林市特殊困难老年人家庭适老化改造申请表</w:t>
      </w:r>
    </w:p>
    <w:p>
      <w:pP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区</w:t>
      </w: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街道（镇）</w:t>
      </w: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居（村）委会</w:t>
      </w:r>
    </w:p>
    <w:tbl>
      <w:tblPr>
        <w:tblStyle w:val="53"/>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528"/>
        <w:gridCol w:w="842"/>
        <w:gridCol w:w="217"/>
        <w:gridCol w:w="1298"/>
        <w:gridCol w:w="195"/>
        <w:gridCol w:w="821"/>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老人姓名</w:t>
            </w: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0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w:t>
            </w:r>
          </w:p>
        </w:tc>
        <w:tc>
          <w:tcPr>
            <w:tcW w:w="706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户籍地址</w:t>
            </w:r>
          </w:p>
        </w:tc>
        <w:tc>
          <w:tcPr>
            <w:tcW w:w="7066"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申请改造住址</w:t>
            </w:r>
          </w:p>
        </w:tc>
        <w:tc>
          <w:tcPr>
            <w:tcW w:w="7066"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家庭联系人姓名（签字）</w:t>
            </w:r>
          </w:p>
        </w:tc>
        <w:tc>
          <w:tcPr>
            <w:tcW w:w="25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29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身份特征</w:t>
            </w:r>
          </w:p>
        </w:tc>
        <w:tc>
          <w:tcPr>
            <w:tcW w:w="7066" w:type="dxa"/>
            <w:gridSpan w:val="7"/>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□分散供养特困人员中的高龄、中度失能、重度残疾老年人</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□城乡低保的高龄、中度失能、重度残疾老年人</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□建档立卡低收入中的高龄、中度失能、重度残疾老年人</w:t>
            </w:r>
          </w:p>
          <w:p>
            <w:pPr>
              <w:tabs>
                <w:tab w:val="left" w:pos="42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（在所选项后□内划“√”，并附相关证明材料）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能力评估</w:t>
            </w:r>
          </w:p>
        </w:tc>
        <w:tc>
          <w:tcPr>
            <w:tcW w:w="7066" w:type="dxa"/>
            <w:gridSpan w:val="7"/>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□自理    □中度失能   □重度残疾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exact"/>
          <w:jc w:val="center"/>
        </w:trPr>
        <w:tc>
          <w:tcPr>
            <w:tcW w:w="18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申请人</w:t>
            </w:r>
          </w:p>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确认</w:t>
            </w:r>
          </w:p>
        </w:tc>
        <w:tc>
          <w:tcPr>
            <w:tcW w:w="706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承诺：本人提供的申请材料真实有效，如有虚假，愿意承担一切法律后果。</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申请人（亲属）签字：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exact"/>
          <w:jc w:val="center"/>
        </w:trPr>
        <w:tc>
          <w:tcPr>
            <w:tcW w:w="18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区民政局</w:t>
            </w:r>
          </w:p>
          <w:p>
            <w:pPr>
              <w:spacing w:line="5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意见</w:t>
            </w:r>
          </w:p>
        </w:tc>
        <w:tc>
          <w:tcPr>
            <w:tcW w:w="7066"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经审核，该同志户口在我区，符合享受老年人适老化条件,报市民政局登记备案。</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审核人签字：            审核单位（盖章）：</w:t>
            </w:r>
          </w:p>
          <w:p>
            <w:pPr>
              <w:spacing w:line="440" w:lineRule="exact"/>
              <w:ind w:firstLine="5760" w:firstLineChars="2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pPr>
              <w:spacing w:line="440" w:lineRule="exact"/>
              <w:ind w:firstLine="1560" w:firstLineChars="65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exact"/>
          <w:jc w:val="center"/>
        </w:trPr>
        <w:tc>
          <w:tcPr>
            <w:tcW w:w="18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市民政局</w:t>
            </w:r>
          </w:p>
          <w:p>
            <w:pPr>
              <w:spacing w:line="5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意见</w:t>
            </w:r>
          </w:p>
        </w:tc>
        <w:tc>
          <w:tcPr>
            <w:tcW w:w="7066"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审核单位（盖章）：</w:t>
            </w:r>
          </w:p>
          <w:p>
            <w:pPr>
              <w:spacing w:line="440" w:lineRule="exact"/>
              <w:ind w:firstLine="5760" w:firstLineChars="2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bl>
    <w:p>
      <w:pPr>
        <w:rPr>
          <w:rFonts w:hAnsi="方正小标宋简体" w:eastAsia="方正小标宋简体"/>
          <w:bCs/>
          <w:color w:val="000000" w:themeColor="text1"/>
          <w:kern w:val="44"/>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提供的申请材料包括不限于：1、老年人本人和家庭成员的身份证和户籍信息；2、拟进行适老化改造的住房信息（如房产证等）；3、相关身份特征及经济条件证明。</w:t>
      </w:r>
    </w:p>
    <w:p>
      <w:pPr>
        <w:tabs>
          <w:tab w:val="left" w:pos="1439"/>
        </w:tabs>
        <w:spacing w:before="240" w:after="240" w:line="560" w:lineRule="exact"/>
        <w:outlineLvl w:val="0"/>
        <w:rPr>
          <w:rFonts w:ascii="黑体" w:hAnsi="黑体" w:eastAsia="黑体" w:cs="黑体"/>
          <w:b/>
          <w:color w:val="000000" w:themeColor="text1"/>
          <w:kern w:val="0"/>
          <w:sz w:val="24"/>
          <w14:textFill>
            <w14:solidFill>
              <w14:schemeClr w14:val="tx1"/>
            </w14:solidFill>
          </w14:textFill>
        </w:rPr>
        <w:sectPr>
          <w:pgSz w:w="11906" w:h="16838"/>
          <w:pgMar w:top="1701" w:right="1587" w:bottom="1701" w:left="1587" w:header="851" w:footer="992" w:gutter="0"/>
          <w:pgNumType w:fmt="numberInDash"/>
          <w:cols w:space="720" w:num="1"/>
          <w:docGrid w:type="lines" w:linePitch="323" w:charSpace="0"/>
        </w:sectPr>
      </w:pPr>
    </w:p>
    <w:p>
      <w:pPr>
        <w:tabs>
          <w:tab w:val="left" w:pos="1439"/>
        </w:tabs>
        <w:spacing w:before="240" w:after="240" w:line="560" w:lineRule="exact"/>
        <w:jc w:val="left"/>
        <w:outlineLvl w:val="0"/>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附件3</w:t>
      </w:r>
    </w:p>
    <w:p>
      <w:pPr>
        <w:spacing w:line="6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桂林市特殊困难老年人家庭适老化改造方案及结果确认表</w:t>
      </w:r>
    </w:p>
    <w:p>
      <w:pPr>
        <w:spacing w:line="600" w:lineRule="exact"/>
        <w:jc w:val="center"/>
        <w:rPr>
          <w:rFonts w:ascii="黑体" w:hAnsi="黑体" w:eastAsia="黑体"/>
          <w:color w:val="000000" w:themeColor="text1"/>
          <w:sz w:val="24"/>
          <w14:textFill>
            <w14:solidFill>
              <w14:schemeClr w14:val="tx1"/>
            </w14:solidFill>
          </w14:textFill>
        </w:rPr>
      </w:pPr>
    </w:p>
    <w:p>
      <w:pPr>
        <w:spacing w:line="20" w:lineRule="exact"/>
        <w:rPr>
          <w:color w:val="000000" w:themeColor="text1"/>
          <w:sz w:val="24"/>
          <w14:textFill>
            <w14:solidFill>
              <w14:schemeClr w14:val="tx1"/>
            </w14:solidFill>
          </w14:textFill>
        </w:rPr>
      </w:pPr>
    </w:p>
    <w:tbl>
      <w:tblPr>
        <w:tblStyle w:val="53"/>
        <w:tblW w:w="89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31"/>
        <w:gridCol w:w="1956"/>
        <w:gridCol w:w="1386"/>
        <w:gridCol w:w="1073"/>
        <w:gridCol w:w="904"/>
        <w:gridCol w:w="2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老年人姓名</w:t>
            </w:r>
          </w:p>
        </w:tc>
        <w:tc>
          <w:tcPr>
            <w:tcW w:w="1956"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1386"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1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445"/>
              </w:tabs>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性</w:t>
            </w:r>
            <w:r>
              <w:rPr>
                <w:rFonts w:hAnsi="宋体"/>
                <w:color w:val="000000" w:themeColor="text1"/>
                <w:kern w:val="0"/>
                <w:sz w:val="24"/>
                <w:lang w:val="zh-CN" w:bidi="zh-CN"/>
                <w14:textFill>
                  <w14:solidFill>
                    <w14:schemeClr w14:val="tx1"/>
                  </w14:solidFill>
                </w14:textFill>
              </w:rPr>
              <w:t xml:space="preserve">  </w:t>
            </w:r>
            <w:r>
              <w:rPr>
                <w:rFonts w:hint="eastAsia" w:hAnsi="宋体"/>
                <w:color w:val="000000" w:themeColor="text1"/>
                <w:kern w:val="0"/>
                <w:sz w:val="24"/>
                <w:lang w:val="zh-CN" w:bidi="zh-CN"/>
                <w14:textFill>
                  <w14:solidFill>
                    <w14:schemeClr w14:val="tx1"/>
                  </w14:solidFill>
                </w14:textFill>
              </w:rPr>
              <w:t>别</w:t>
            </w:r>
          </w:p>
        </w:tc>
        <w:tc>
          <w:tcPr>
            <w:tcW w:w="2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center"/>
              <w:rPr>
                <w:color w:val="000000" w:themeColor="text1"/>
                <w:kern w:val="0"/>
                <w:sz w:val="24"/>
                <w:lang w:val="zh-CN" w:bidi="zh-CN"/>
                <w14:textFill>
                  <w14:solidFill>
                    <w14:schemeClr w14:val="tx1"/>
                  </w14:solidFill>
                </w14:textFill>
              </w:rPr>
            </w:pPr>
          </w:p>
          <w:p>
            <w:pPr>
              <w:autoSpaceDE w:val="0"/>
              <w:autoSpaceDN w:val="0"/>
              <w:spacing w:line="240" w:lineRule="exact"/>
              <w:jc w:val="center"/>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身份证号码</w:t>
            </w:r>
          </w:p>
        </w:tc>
        <w:tc>
          <w:tcPr>
            <w:tcW w:w="1956"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tcPr>
          <w:p>
            <w:pPr>
              <w:autoSpaceDE w:val="0"/>
              <w:autoSpaceDN w:val="0"/>
              <w:spacing w:line="240" w:lineRule="exact"/>
              <w:jc w:val="center"/>
              <w:rPr>
                <w:color w:val="000000" w:themeColor="text1"/>
                <w:kern w:val="0"/>
                <w:sz w:val="24"/>
                <w:lang w:val="zh-CN" w:bidi="zh-CN"/>
                <w14:textFill>
                  <w14:solidFill>
                    <w14:schemeClr w14:val="tx1"/>
                  </w14:solidFill>
                </w14:textFill>
              </w:rPr>
            </w:pPr>
          </w:p>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1386"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19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联系方式</w:t>
            </w:r>
          </w:p>
        </w:tc>
        <w:tc>
          <w:tcPr>
            <w:tcW w:w="2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改造住址</w:t>
            </w:r>
          </w:p>
        </w:tc>
        <w:tc>
          <w:tcPr>
            <w:tcW w:w="1956"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5368" w:type="dxa"/>
            <w:gridSpan w:val="4"/>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631"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改造方案设计</w:t>
            </w: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改造内容</w:t>
            </w: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bidi="zh-CN"/>
                <w14:textFill>
                  <w14:solidFill>
                    <w14:schemeClr w14:val="tx1"/>
                  </w14:solidFill>
                </w14:textFill>
              </w:rPr>
              <w:t>数量</w:t>
            </w: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预算费用</w:t>
            </w:r>
          </w:p>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0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290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631" w:type="dxa"/>
            <w:vMerge w:val="continue"/>
            <w:tcBorders>
              <w:left w:val="single" w:color="000000" w:sz="6" w:space="0"/>
              <w:bottom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1956" w:type="dxa"/>
            <w:tcBorders>
              <w:top w:val="single" w:color="000000" w:sz="6" w:space="0"/>
              <w:left w:val="single" w:color="000000" w:sz="6" w:space="0"/>
              <w:bottom w:val="single" w:color="000000" w:sz="6" w:space="0"/>
              <w:right w:val="single" w:color="000000" w:sz="6" w:space="0"/>
            </w:tcBorders>
            <w:vAlign w:val="center"/>
          </w:tcPr>
          <w:p>
            <w:pPr>
              <w:widowControl/>
              <w:jc w:val="center"/>
              <w:rPr>
                <w:color w:val="000000" w:themeColor="text1"/>
                <w:kern w:val="0"/>
                <w:sz w:val="24"/>
                <w:lang w:val="zh-CN" w:bidi="zh-CN"/>
                <w14:textFill>
                  <w14:solidFill>
                    <w14:schemeClr w14:val="tx1"/>
                  </w14:solidFill>
                </w14:textFill>
              </w:rPr>
            </w:pPr>
            <w:r>
              <w:rPr>
                <w:rFonts w:hint="eastAsia"/>
                <w:color w:val="000000" w:themeColor="text1"/>
                <w:kern w:val="0"/>
                <w:sz w:val="24"/>
                <w:lang w:val="zh-CN" w:bidi="zh-CN"/>
                <w14:textFill>
                  <w14:solidFill>
                    <w14:schemeClr w14:val="tx1"/>
                  </w14:solidFill>
                </w14:textFill>
              </w:rPr>
              <w:t>合计</w:t>
            </w:r>
          </w:p>
        </w:tc>
        <w:tc>
          <w:tcPr>
            <w:tcW w:w="5368" w:type="dxa"/>
            <w:gridSpan w:val="4"/>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360" w:lineRule="auto"/>
              <w:jc w:val="center"/>
              <w:rPr>
                <w:color w:val="000000" w:themeColor="text1"/>
                <w:kern w:val="0"/>
                <w:sz w:val="24"/>
                <w:lang w:val="zh-CN" w:bidi="zh-CN"/>
                <w14:textFill>
                  <w14:solidFill>
                    <w14:schemeClr w14:val="tx1"/>
                  </w14:solidFill>
                </w14:textFill>
              </w:rPr>
            </w:pPr>
            <w:r>
              <w:rPr>
                <w:rFonts w:hint="eastAsia"/>
                <w:color w:val="000000" w:themeColor="text1"/>
                <w:kern w:val="0"/>
                <w:sz w:val="24"/>
                <w:lang w:bidi="zh-CN"/>
                <w14:textFill>
                  <w14:solidFill>
                    <w14:schemeClr w14:val="tx1"/>
                  </w14:solidFill>
                </w14:textFill>
              </w:rPr>
              <w:t xml:space="preserve">              </w:t>
            </w:r>
            <w:r>
              <w:rPr>
                <w:rFonts w:hint="eastAsia"/>
                <w:color w:val="000000" w:themeColor="text1"/>
                <w:kern w:val="0"/>
                <w:sz w:val="24"/>
                <w:lang w:val="zh-CN" w:bidi="zh-CN"/>
                <w14:textFill>
                  <w14:solidFill>
                    <w14:schemeClr w14:val="tx1"/>
                  </w14:solidFill>
                </w14:textFill>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5" w:hRule="atLeast"/>
          <w:jc w:val="center"/>
        </w:trPr>
        <w:tc>
          <w:tcPr>
            <w:tcW w:w="1631"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结果确认</w:t>
            </w:r>
          </w:p>
        </w:tc>
        <w:tc>
          <w:tcPr>
            <w:tcW w:w="7324"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ind w:firstLine="420"/>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本人及本组织承诺对以上评估结果负责，愿意承担因评估不当产生的一切不良后果。</w:t>
            </w:r>
          </w:p>
          <w:p>
            <w:pPr>
              <w:autoSpaceDE w:val="0"/>
              <w:autoSpaceDN w:val="0"/>
              <w:spacing w:line="240" w:lineRule="exact"/>
              <w:rPr>
                <w:b/>
                <w:color w:val="000000" w:themeColor="text1"/>
                <w:kern w:val="0"/>
                <w:sz w:val="24"/>
                <w:lang w:val="zh-CN" w:bidi="zh-CN"/>
                <w14:textFill>
                  <w14:solidFill>
                    <w14:schemeClr w14:val="tx1"/>
                  </w14:solidFill>
                </w14:textFill>
              </w:rPr>
            </w:pPr>
          </w:p>
          <w:p>
            <w:pPr>
              <w:tabs>
                <w:tab w:val="left" w:pos="2944"/>
              </w:tabs>
              <w:autoSpaceDE w:val="0"/>
              <w:autoSpaceDN w:val="0"/>
              <w:spacing w:line="240" w:lineRule="exact"/>
              <w:rPr>
                <w:rFonts w:hAnsi="宋体"/>
                <w:color w:val="000000" w:themeColor="text1"/>
                <w:kern w:val="0"/>
                <w:sz w:val="24"/>
                <w:lang w:val="zh-CN" w:bidi="zh-CN"/>
                <w14:textFill>
                  <w14:solidFill>
                    <w14:schemeClr w14:val="tx1"/>
                  </w14:solidFill>
                </w14:textFill>
              </w:rPr>
            </w:pPr>
          </w:p>
          <w:p>
            <w:pPr>
              <w:tabs>
                <w:tab w:val="left" w:pos="2944"/>
              </w:tabs>
              <w:autoSpaceDE w:val="0"/>
              <w:autoSpaceDN w:val="0"/>
              <w:spacing w:line="240" w:lineRule="exact"/>
              <w:rPr>
                <w:rFonts w:hAnsi="宋体"/>
                <w:color w:val="000000" w:themeColor="text1"/>
                <w:kern w:val="0"/>
                <w:sz w:val="24"/>
                <w:lang w:val="zh-CN" w:bidi="zh-CN"/>
                <w14:textFill>
                  <w14:solidFill>
                    <w14:schemeClr w14:val="tx1"/>
                  </w14:solidFill>
                </w14:textFill>
              </w:rPr>
            </w:pPr>
          </w:p>
          <w:p>
            <w:pPr>
              <w:tabs>
                <w:tab w:val="left" w:pos="2944"/>
              </w:tabs>
              <w:autoSpaceDE w:val="0"/>
              <w:autoSpaceDN w:val="0"/>
              <w:spacing w:line="240" w:lineRule="exact"/>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评</w:t>
            </w:r>
            <w:r>
              <w:rPr>
                <w:color w:val="000000" w:themeColor="text1"/>
                <w:kern w:val="0"/>
                <w:sz w:val="24"/>
                <w:lang w:val="zh-CN" w:bidi="zh-CN"/>
                <w14:textFill>
                  <w14:solidFill>
                    <w14:schemeClr w14:val="tx1"/>
                  </w14:solidFill>
                </w14:textFill>
              </w:rPr>
              <w:t xml:space="preserve"> </w:t>
            </w:r>
            <w:r>
              <w:rPr>
                <w:rFonts w:hint="eastAsia" w:hAnsi="宋体"/>
                <w:color w:val="000000" w:themeColor="text1"/>
                <w:kern w:val="0"/>
                <w:sz w:val="24"/>
                <w:lang w:val="zh-CN" w:bidi="zh-CN"/>
                <w14:textFill>
                  <w14:solidFill>
                    <w14:schemeClr w14:val="tx1"/>
                  </w14:solidFill>
                </w14:textFill>
              </w:rPr>
              <w:t>估</w:t>
            </w:r>
            <w:r>
              <w:rPr>
                <w:color w:val="000000" w:themeColor="text1"/>
                <w:kern w:val="0"/>
                <w:sz w:val="24"/>
                <w:lang w:val="zh-CN" w:bidi="zh-CN"/>
                <w14:textFill>
                  <w14:solidFill>
                    <w14:schemeClr w14:val="tx1"/>
                  </w14:solidFill>
                </w14:textFill>
              </w:rPr>
              <w:t xml:space="preserve"> </w:t>
            </w:r>
            <w:r>
              <w:rPr>
                <w:rFonts w:hint="eastAsia" w:hAnsi="宋体"/>
                <w:color w:val="000000" w:themeColor="text1"/>
                <w:kern w:val="0"/>
                <w:sz w:val="24"/>
                <w:lang w:val="zh-CN" w:bidi="zh-CN"/>
                <w14:textFill>
                  <w14:solidFill>
                    <w14:schemeClr w14:val="tx1"/>
                  </w14:solidFill>
                </w14:textFill>
              </w:rPr>
              <w:t>人：</w:t>
            </w:r>
            <w:r>
              <w:rPr>
                <w:rFonts w:hint="eastAsia" w:hAnsi="宋体"/>
                <w:color w:val="000000" w:themeColor="text1"/>
                <w:kern w:val="0"/>
                <w:sz w:val="24"/>
                <w:lang w:bidi="zh-CN"/>
                <w14:textFill>
                  <w14:solidFill>
                    <w14:schemeClr w14:val="tx1"/>
                  </w14:solidFill>
                </w14:textFill>
              </w:rPr>
              <w:t xml:space="preserve">               </w:t>
            </w:r>
            <w:r>
              <w:rPr>
                <w:rFonts w:hint="eastAsia" w:hAnsi="宋体"/>
                <w:color w:val="000000" w:themeColor="text1"/>
                <w:kern w:val="0"/>
                <w:sz w:val="24"/>
                <w:lang w:val="zh-CN" w:bidi="zh-CN"/>
                <w14:textFill>
                  <w14:solidFill>
                    <w14:schemeClr w14:val="tx1"/>
                  </w14:solidFill>
                </w14:textFill>
              </w:rPr>
              <w:t>（签字）</w:t>
            </w:r>
          </w:p>
          <w:p>
            <w:pPr>
              <w:tabs>
                <w:tab w:val="left" w:pos="2944"/>
                <w:tab w:val="left" w:pos="4309"/>
                <w:tab w:val="left" w:pos="4834"/>
                <w:tab w:val="left" w:pos="5358"/>
              </w:tabs>
              <w:autoSpaceDE w:val="0"/>
              <w:autoSpaceDN w:val="0"/>
              <w:spacing w:line="240" w:lineRule="exact"/>
              <w:rPr>
                <w:rFonts w:hAnsi="宋体"/>
                <w:color w:val="000000" w:themeColor="text1"/>
                <w:kern w:val="0"/>
                <w:sz w:val="24"/>
                <w:lang w:val="zh-CN" w:bidi="zh-CN"/>
                <w14:textFill>
                  <w14:solidFill>
                    <w14:schemeClr w14:val="tx1"/>
                  </w14:solidFill>
                </w14:textFill>
              </w:rPr>
            </w:pPr>
          </w:p>
          <w:p>
            <w:pPr>
              <w:tabs>
                <w:tab w:val="left" w:pos="2944"/>
                <w:tab w:val="left" w:pos="4309"/>
                <w:tab w:val="left" w:pos="4834"/>
                <w:tab w:val="left" w:pos="5358"/>
              </w:tabs>
              <w:autoSpaceDE w:val="0"/>
              <w:autoSpaceDN w:val="0"/>
              <w:spacing w:line="240" w:lineRule="exact"/>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评估组织：</w:t>
            </w:r>
            <w:r>
              <w:rPr>
                <w:rFonts w:hint="eastAsia" w:hAnsi="宋体"/>
                <w:color w:val="000000" w:themeColor="text1"/>
                <w:kern w:val="0"/>
                <w:sz w:val="24"/>
                <w:lang w:bidi="zh-CN"/>
                <w14:textFill>
                  <w14:solidFill>
                    <w14:schemeClr w14:val="tx1"/>
                  </w14:solidFill>
                </w14:textFill>
              </w:rPr>
              <w:t xml:space="preserve">               </w:t>
            </w:r>
            <w:r>
              <w:rPr>
                <w:rFonts w:hint="eastAsia" w:hAnsi="宋体"/>
                <w:color w:val="000000" w:themeColor="text1"/>
                <w:kern w:val="0"/>
                <w:sz w:val="24"/>
                <w:lang w:val="zh-CN" w:bidi="zh-CN"/>
                <w14:textFill>
                  <w14:solidFill>
                    <w14:schemeClr w14:val="tx1"/>
                  </w14:solidFill>
                </w14:textFill>
              </w:rPr>
              <w:t>（盖章）</w:t>
            </w:r>
            <w:r>
              <w:rPr>
                <w:color w:val="000000" w:themeColor="text1"/>
                <w:kern w:val="0"/>
                <w:sz w:val="24"/>
                <w:lang w:val="zh-CN" w:bidi="zh-CN"/>
                <w14:textFill>
                  <w14:solidFill>
                    <w14:schemeClr w14:val="tx1"/>
                  </w14:solidFill>
                </w14:textFill>
              </w:rPr>
              <w:tab/>
            </w:r>
            <w:r>
              <w:rPr>
                <w:rFonts w:hint="eastAsia"/>
                <w:color w:val="000000" w:themeColor="text1"/>
                <w:kern w:val="0"/>
                <w:sz w:val="24"/>
                <w:lang w:bidi="zh-CN"/>
                <w14:textFill>
                  <w14:solidFill>
                    <w14:schemeClr w14:val="tx1"/>
                  </w14:solidFill>
                </w14:textFill>
              </w:rPr>
              <w:t xml:space="preserve">    </w:t>
            </w:r>
            <w:r>
              <w:rPr>
                <w:rFonts w:hint="eastAsia" w:ascii="宋体" w:hAnsi="宋体" w:cs="宋体"/>
                <w:color w:val="000000" w:themeColor="text1"/>
                <w:kern w:val="0"/>
                <w:sz w:val="24"/>
                <w:lang w:bidi="ar"/>
                <w14:textFill>
                  <w14:solidFill>
                    <w14:schemeClr w14:val="tx1"/>
                  </w14:solidFill>
                </w14:textFill>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5" w:hRule="atLeast"/>
          <w:jc w:val="center"/>
        </w:trPr>
        <w:tc>
          <w:tcPr>
            <w:tcW w:w="16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color w:val="000000" w:themeColor="text1"/>
                <w:kern w:val="0"/>
                <w:sz w:val="24"/>
                <w:lang w:val="zh-CN" w:bidi="zh-CN"/>
                <w14:textFill>
                  <w14:solidFill>
                    <w14:schemeClr w14:val="tx1"/>
                  </w14:solidFill>
                </w14:textFill>
              </w:rPr>
            </w:pPr>
          </w:p>
        </w:tc>
        <w:tc>
          <w:tcPr>
            <w:tcW w:w="7324"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ind w:firstLine="420"/>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本人（</w:t>
            </w:r>
            <w:r>
              <w:rPr>
                <w:rFonts w:hint="eastAsia" w:ascii="宋体" w:hAnsi="宋体"/>
                <w:color w:val="000000" w:themeColor="text1"/>
                <w:kern w:val="0"/>
                <w:sz w:val="24"/>
                <w:lang w:val="zh-CN" w:bidi="zh-CN"/>
                <w14:textFill>
                  <w14:solidFill>
                    <w14:schemeClr w14:val="tx1"/>
                  </w14:solidFill>
                </w14:textFill>
              </w:rPr>
              <w:t>是□ /否□）认同</w:t>
            </w:r>
            <w:r>
              <w:rPr>
                <w:rFonts w:hint="eastAsia" w:hAnsi="宋体"/>
                <w:color w:val="000000" w:themeColor="text1"/>
                <w:kern w:val="0"/>
                <w:sz w:val="24"/>
                <w:lang w:val="zh-CN" w:bidi="zh-CN"/>
                <w14:textFill>
                  <w14:solidFill>
                    <w14:schemeClr w14:val="tx1"/>
                  </w14:solidFill>
                </w14:textFill>
              </w:rPr>
              <w:t>上述评估结果，确认按评估结果进行施工改造，愿意承担因施工改造产生的影响。</w:t>
            </w:r>
          </w:p>
          <w:p>
            <w:pPr>
              <w:autoSpaceDE w:val="0"/>
              <w:autoSpaceDN w:val="0"/>
              <w:spacing w:line="240" w:lineRule="exact"/>
              <w:rPr>
                <w:b/>
                <w:color w:val="000000" w:themeColor="text1"/>
                <w:kern w:val="0"/>
                <w:sz w:val="24"/>
                <w:lang w:val="zh-CN" w:bidi="zh-CN"/>
                <w14:textFill>
                  <w14:solidFill>
                    <w14:schemeClr w14:val="tx1"/>
                  </w14:solidFill>
                </w14:textFill>
              </w:rPr>
            </w:pPr>
          </w:p>
          <w:p>
            <w:pPr>
              <w:tabs>
                <w:tab w:val="left" w:pos="3784"/>
                <w:tab w:val="left" w:pos="5149"/>
                <w:tab w:val="left" w:pos="5675"/>
                <w:tab w:val="left" w:pos="6200"/>
              </w:tabs>
              <w:autoSpaceDE w:val="0"/>
              <w:autoSpaceDN w:val="0"/>
              <w:spacing w:line="240" w:lineRule="exact"/>
              <w:rPr>
                <w:rFonts w:hAnsi="宋体"/>
                <w:color w:val="000000" w:themeColor="text1"/>
                <w:kern w:val="0"/>
                <w:sz w:val="24"/>
                <w:lang w:val="zh-CN" w:bidi="zh-CN"/>
                <w14:textFill>
                  <w14:solidFill>
                    <w14:schemeClr w14:val="tx1"/>
                  </w14:solidFill>
                </w14:textFill>
              </w:rPr>
            </w:pPr>
          </w:p>
          <w:p>
            <w:pPr>
              <w:tabs>
                <w:tab w:val="left" w:pos="3784"/>
                <w:tab w:val="left" w:pos="5149"/>
                <w:tab w:val="left" w:pos="5675"/>
                <w:tab w:val="left" w:pos="6200"/>
              </w:tabs>
              <w:autoSpaceDE w:val="0"/>
              <w:autoSpaceDN w:val="0"/>
              <w:spacing w:line="240" w:lineRule="exact"/>
              <w:rPr>
                <w:rFonts w:hAnsi="宋体"/>
                <w:color w:val="000000" w:themeColor="text1"/>
                <w:kern w:val="0"/>
                <w:sz w:val="24"/>
                <w:lang w:val="zh-CN" w:bidi="zh-CN"/>
                <w14:textFill>
                  <w14:solidFill>
                    <w14:schemeClr w14:val="tx1"/>
                  </w14:solidFill>
                </w14:textFill>
              </w:rPr>
            </w:pPr>
          </w:p>
          <w:p>
            <w:pPr>
              <w:tabs>
                <w:tab w:val="left" w:pos="3784"/>
                <w:tab w:val="left" w:pos="5149"/>
                <w:tab w:val="left" w:pos="5675"/>
                <w:tab w:val="left" w:pos="6200"/>
              </w:tabs>
              <w:autoSpaceDE w:val="0"/>
              <w:autoSpaceDN w:val="0"/>
              <w:spacing w:line="240" w:lineRule="exact"/>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老年人（</w:t>
            </w:r>
            <w:r>
              <w:rPr>
                <w:rFonts w:hint="eastAsia" w:hAnsi="宋体"/>
                <w:color w:val="000000" w:themeColor="text1"/>
                <w:kern w:val="0"/>
                <w:sz w:val="24"/>
                <w:lang w:bidi="zh-CN"/>
                <w14:textFill>
                  <w14:solidFill>
                    <w14:schemeClr w14:val="tx1"/>
                  </w14:solidFill>
                </w14:textFill>
              </w:rPr>
              <w:t>或家人</w:t>
            </w:r>
            <w:r>
              <w:rPr>
                <w:rFonts w:hint="eastAsia" w:hAnsi="宋体"/>
                <w:color w:val="000000" w:themeColor="text1"/>
                <w:kern w:val="0"/>
                <w:sz w:val="24"/>
                <w:lang w:val="zh-CN" w:bidi="zh-CN"/>
                <w14:textFill>
                  <w14:solidFill>
                    <w14:schemeClr w14:val="tx1"/>
                  </w14:solidFill>
                </w14:textFill>
              </w:rPr>
              <w:t>）：</w:t>
            </w:r>
            <w:r>
              <w:rPr>
                <w:color w:val="000000" w:themeColor="text1"/>
                <w:kern w:val="0"/>
                <w:sz w:val="24"/>
                <w:lang w:val="zh-CN" w:bidi="zh-CN"/>
                <w14:textFill>
                  <w14:solidFill>
                    <w14:schemeClr w14:val="tx1"/>
                  </w14:solidFill>
                </w14:textFill>
              </w:rPr>
              <w:tab/>
            </w:r>
            <w:r>
              <w:rPr>
                <w:rFonts w:hint="eastAsia" w:hAnsi="宋体"/>
                <w:color w:val="000000" w:themeColor="text1"/>
                <w:kern w:val="0"/>
                <w:sz w:val="24"/>
                <w:lang w:val="zh-CN" w:bidi="zh-CN"/>
                <w14:textFill>
                  <w14:solidFill>
                    <w14:schemeClr w14:val="tx1"/>
                  </w14:solidFill>
                </w14:textFill>
              </w:rPr>
              <w:t>（签字）</w:t>
            </w:r>
            <w:r>
              <w:rPr>
                <w:rFonts w:hint="eastAsia" w:hAnsi="宋体"/>
                <w:color w:val="000000" w:themeColor="text1"/>
                <w:kern w:val="0"/>
                <w:sz w:val="24"/>
                <w:lang w:bidi="zh-CN"/>
                <w14:textFill>
                  <w14:solidFill>
                    <w14:schemeClr w14:val="tx1"/>
                  </w14:solidFill>
                </w14:textFill>
              </w:rPr>
              <w:t xml:space="preserve">    </w:t>
            </w:r>
            <w:r>
              <w:rPr>
                <w:rFonts w:hint="eastAsia" w:ascii="宋体" w:hAnsi="宋体" w:cs="宋体"/>
                <w:color w:val="000000" w:themeColor="text1"/>
                <w:kern w:val="0"/>
                <w:sz w:val="24"/>
                <w:lang w:bidi="ar"/>
                <w14:textFill>
                  <w14:solidFill>
                    <w14:schemeClr w14:val="tx1"/>
                  </w14:solidFill>
                </w14:textFill>
              </w:rPr>
              <w:t>年    月    日</w:t>
            </w:r>
          </w:p>
          <w:p>
            <w:pPr>
              <w:tabs>
                <w:tab w:val="left" w:pos="3784"/>
                <w:tab w:val="left" w:pos="5148"/>
                <w:tab w:val="left" w:pos="5673"/>
                <w:tab w:val="left" w:pos="6197"/>
              </w:tabs>
              <w:autoSpaceDE w:val="0"/>
              <w:autoSpaceDN w:val="0"/>
              <w:spacing w:line="240" w:lineRule="exact"/>
              <w:rPr>
                <w:rFonts w:hAnsi="宋体"/>
                <w:color w:val="000000" w:themeColor="text1"/>
                <w:kern w:val="0"/>
                <w:sz w:val="24"/>
                <w:lang w:val="zh-CN" w:bidi="zh-CN"/>
                <w14:textFill>
                  <w14:solidFill>
                    <w14:schemeClr w14:val="tx1"/>
                  </w14:solidFill>
                </w14:textFill>
              </w:rPr>
            </w:pPr>
          </w:p>
          <w:p>
            <w:pPr>
              <w:tabs>
                <w:tab w:val="left" w:pos="3784"/>
                <w:tab w:val="left" w:pos="5148"/>
                <w:tab w:val="left" w:pos="5673"/>
                <w:tab w:val="left" w:pos="6197"/>
              </w:tabs>
              <w:autoSpaceDE w:val="0"/>
              <w:autoSpaceDN w:val="0"/>
              <w:spacing w:line="240" w:lineRule="exac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9" w:hRule="atLeast"/>
          <w:jc w:val="center"/>
        </w:trPr>
        <w:tc>
          <w:tcPr>
            <w:tcW w:w="1631" w:type="dxa"/>
            <w:tcBorders>
              <w:top w:val="single" w:color="000000" w:sz="6" w:space="0"/>
              <w:left w:val="single" w:color="000000" w:sz="6" w:space="0"/>
              <w:bottom w:val="single" w:color="auto" w:sz="4" w:space="0"/>
              <w:right w:val="single" w:color="000000" w:sz="6"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区民政</w:t>
            </w:r>
          </w:p>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审核意见</w:t>
            </w:r>
          </w:p>
        </w:tc>
        <w:tc>
          <w:tcPr>
            <w:tcW w:w="7324" w:type="dxa"/>
            <w:gridSpan w:val="5"/>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区意见：            </w:t>
            </w:r>
          </w:p>
          <w:p>
            <w:pPr>
              <w:widowControl/>
              <w:jc w:val="left"/>
              <w:textAlignment w:val="center"/>
              <w:rPr>
                <w:rFonts w:ascii="宋体" w:hAnsi="宋体" w:cs="宋体"/>
                <w:color w:val="000000" w:themeColor="text1"/>
                <w:kern w:val="0"/>
                <w:sz w:val="24"/>
                <w:lang w:bidi="ar"/>
                <w14:textFill>
                  <w14:solidFill>
                    <w14:schemeClr w14:val="tx1"/>
                  </w14:solidFill>
                </w14:textFill>
              </w:rPr>
            </w:pP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签字（章）：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3" w:hRule="atLeast"/>
          <w:jc w:val="center"/>
        </w:trPr>
        <w:tc>
          <w:tcPr>
            <w:tcW w:w="1631" w:type="dxa"/>
            <w:tcBorders>
              <w:top w:val="single" w:color="auto" w:sz="4" w:space="0"/>
              <w:left w:val="single" w:color="000000" w:sz="6" w:space="0"/>
              <w:bottom w:val="single" w:color="auto" w:sz="4" w:space="0"/>
              <w:right w:val="single" w:color="000000" w:sz="6"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市民政</w:t>
            </w:r>
          </w:p>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审核意见</w:t>
            </w:r>
          </w:p>
        </w:tc>
        <w:tc>
          <w:tcPr>
            <w:tcW w:w="7324" w:type="dxa"/>
            <w:gridSpan w:val="5"/>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textAlignment w:val="center"/>
              <w:rPr>
                <w:rFonts w:ascii="宋体" w:hAnsi="宋体" w:cs="宋体"/>
                <w:color w:val="000000" w:themeColor="text1"/>
                <w:kern w:val="0"/>
                <w:sz w:val="24"/>
                <w:lang w:bidi="ar"/>
                <w14:textFill>
                  <w14:solidFill>
                    <w14:schemeClr w14:val="tx1"/>
                  </w14:solidFill>
                </w14:textFill>
              </w:rPr>
            </w:pPr>
          </w:p>
          <w:p>
            <w:pPr>
              <w:widowControl/>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市意见：</w:t>
            </w:r>
          </w:p>
          <w:p>
            <w:pPr>
              <w:widowControl/>
              <w:textAlignment w:val="center"/>
              <w:rPr>
                <w:rFonts w:ascii="宋体" w:hAnsi="宋体" w:cs="宋体"/>
                <w:color w:val="000000" w:themeColor="text1"/>
                <w:kern w:val="0"/>
                <w:sz w:val="24"/>
                <w:lang w:bidi="ar"/>
                <w14:textFill>
                  <w14:solidFill>
                    <w14:schemeClr w14:val="tx1"/>
                  </w14:solidFill>
                </w14:textFill>
              </w:rPr>
            </w:pPr>
          </w:p>
          <w:p>
            <w:pPr>
              <w:widowControl/>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签字（章）：                                    年    月    日</w:t>
            </w:r>
          </w:p>
        </w:tc>
      </w:tr>
    </w:tbl>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p>
    <w:p>
      <w:pPr>
        <w:spacing w:line="600" w:lineRule="exact"/>
        <w:jc w:val="lef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附件4</w:t>
      </w:r>
    </w:p>
    <w:p>
      <w:pPr>
        <w:spacing w:line="60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桂林市特殊困难老年人家庭适老化改造验收表</w:t>
      </w:r>
    </w:p>
    <w:tbl>
      <w:tblPr>
        <w:tblStyle w:val="53"/>
        <w:tblW w:w="89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31"/>
        <w:gridCol w:w="1956"/>
        <w:gridCol w:w="1386"/>
        <w:gridCol w:w="1977"/>
        <w:gridCol w:w="407"/>
        <w:gridCol w:w="15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老年人姓名</w:t>
            </w: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197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445"/>
              </w:tabs>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性</w:t>
            </w:r>
            <w:r>
              <w:rPr>
                <w:rFonts w:hAnsi="宋体"/>
                <w:color w:val="000000" w:themeColor="text1"/>
                <w:kern w:val="0"/>
                <w:sz w:val="24"/>
                <w:lang w:val="zh-CN" w:bidi="zh-CN"/>
                <w14:textFill>
                  <w14:solidFill>
                    <w14:schemeClr w14:val="tx1"/>
                  </w14:solidFill>
                </w14:textFill>
              </w:rPr>
              <w:t xml:space="preserve">  </w:t>
            </w:r>
            <w:r>
              <w:rPr>
                <w:rFonts w:hint="eastAsia" w:hAnsi="宋体"/>
                <w:color w:val="000000" w:themeColor="text1"/>
                <w:kern w:val="0"/>
                <w:sz w:val="24"/>
                <w:lang w:val="zh-CN" w:bidi="zh-CN"/>
                <w14:textFill>
                  <w14:solidFill>
                    <w14:schemeClr w14:val="tx1"/>
                  </w14:solidFill>
                </w14:textFill>
              </w:rPr>
              <w:t>别</w:t>
            </w:r>
          </w:p>
        </w:tc>
        <w:tc>
          <w:tcPr>
            <w:tcW w:w="2005"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center"/>
              <w:rPr>
                <w:color w:val="000000" w:themeColor="text1"/>
                <w:kern w:val="0"/>
                <w:sz w:val="24"/>
                <w:lang w:val="zh-CN" w:bidi="zh-CN"/>
                <w14:textFill>
                  <w14:solidFill>
                    <w14:schemeClr w14:val="tx1"/>
                  </w14:solidFill>
                </w14:textFill>
              </w:rPr>
            </w:pPr>
          </w:p>
          <w:p>
            <w:pPr>
              <w:autoSpaceDE w:val="0"/>
              <w:autoSpaceDN w:val="0"/>
              <w:spacing w:line="240" w:lineRule="exact"/>
              <w:jc w:val="center"/>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身份证号码</w:t>
            </w:r>
          </w:p>
        </w:tc>
        <w:tc>
          <w:tcPr>
            <w:tcW w:w="3342"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center"/>
              <w:rPr>
                <w:color w:val="000000" w:themeColor="text1"/>
                <w:kern w:val="0"/>
                <w:sz w:val="24"/>
                <w:lang w:val="zh-CN" w:bidi="zh-CN"/>
                <w14:textFill>
                  <w14:solidFill>
                    <w14:schemeClr w14:val="tx1"/>
                  </w14:solidFill>
                </w14:textFill>
              </w:rPr>
            </w:pPr>
          </w:p>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197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联系方式</w:t>
            </w:r>
          </w:p>
        </w:tc>
        <w:tc>
          <w:tcPr>
            <w:tcW w:w="2005"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改造住址</w:t>
            </w:r>
          </w:p>
        </w:tc>
        <w:tc>
          <w:tcPr>
            <w:tcW w:w="7324"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3587" w:type="dxa"/>
            <w:gridSpan w:val="2"/>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color w:val="000000" w:themeColor="text1"/>
                <w:kern w:val="0"/>
                <w:sz w:val="24"/>
                <w:lang w:bidi="zh-CN"/>
                <w14:textFill>
                  <w14:solidFill>
                    <w14:schemeClr w14:val="tx1"/>
                  </w14:solidFill>
                </w14:textFill>
              </w:rPr>
              <w:t>改造项目</w:t>
            </w:r>
          </w:p>
        </w:tc>
        <w:tc>
          <w:tcPr>
            <w:tcW w:w="377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bidi="zh-CN"/>
                <w14:textFill>
                  <w14:solidFill>
                    <w14:schemeClr w14:val="tx1"/>
                  </w14:solidFill>
                </w14:textFill>
              </w:rPr>
            </w:pPr>
            <w:r>
              <w:rPr>
                <w:rFonts w:hint="eastAsia" w:hAnsi="宋体"/>
                <w:color w:val="000000" w:themeColor="text1"/>
                <w:kern w:val="0"/>
                <w:sz w:val="24"/>
                <w:lang w:bidi="zh-CN"/>
                <w14:textFill>
                  <w14:solidFill>
                    <w14:schemeClr w14:val="tx1"/>
                  </w14:solidFill>
                </w14:textFill>
              </w:rPr>
              <w:t xml:space="preserve">数量 </w:t>
            </w:r>
          </w:p>
        </w:tc>
        <w:tc>
          <w:tcPr>
            <w:tcW w:w="15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bidi="zh-CN"/>
                <w14:textFill>
                  <w14:solidFill>
                    <w14:schemeClr w14:val="tx1"/>
                  </w14:solidFill>
                </w14:textFill>
              </w:rPr>
            </w:pPr>
            <w:r>
              <w:rPr>
                <w:rFonts w:hint="eastAsia"/>
                <w:color w:val="000000" w:themeColor="text1"/>
                <w:kern w:val="0"/>
                <w:sz w:val="24"/>
                <w:lang w:bidi="zh-CN"/>
                <w14:textFill>
                  <w14:solidFill>
                    <w14:schemeClr w14:val="tx1"/>
                  </w14:solidFill>
                </w14:textFill>
              </w:rPr>
              <w:t>施工人员签字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3587" w:type="dxa"/>
            <w:gridSpan w:val="2"/>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377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5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3587" w:type="dxa"/>
            <w:gridSpan w:val="2"/>
            <w:tcBorders>
              <w:left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377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5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3587" w:type="dxa"/>
            <w:gridSpan w:val="2"/>
            <w:tcBorders>
              <w:left w:val="single" w:color="000000" w:sz="6" w:space="0"/>
              <w:right w:val="single" w:color="000000" w:sz="6" w:space="0"/>
            </w:tcBorders>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377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5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3587" w:type="dxa"/>
            <w:gridSpan w:val="2"/>
            <w:tcBorders>
              <w:left w:val="single" w:color="000000" w:sz="6" w:space="0"/>
              <w:right w:val="single" w:color="000000" w:sz="6" w:space="0"/>
            </w:tcBorders>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377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5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3587" w:type="dxa"/>
            <w:gridSpan w:val="2"/>
            <w:tcBorders>
              <w:left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377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5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3587" w:type="dxa"/>
            <w:gridSpan w:val="2"/>
            <w:tcBorders>
              <w:left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377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5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3587" w:type="dxa"/>
            <w:gridSpan w:val="2"/>
            <w:tcBorders>
              <w:left w:val="single" w:color="000000" w:sz="6" w:space="0"/>
              <w:right w:val="single" w:color="000000" w:sz="6" w:space="0"/>
            </w:tcBorders>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377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5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3587" w:type="dxa"/>
            <w:gridSpan w:val="2"/>
            <w:tcBorders>
              <w:left w:val="single" w:color="000000" w:sz="6" w:space="0"/>
              <w:right w:val="single" w:color="000000" w:sz="6" w:space="0"/>
            </w:tcBorders>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p>
        </w:tc>
        <w:tc>
          <w:tcPr>
            <w:tcW w:w="3770"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c>
          <w:tcPr>
            <w:tcW w:w="15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E w:val="0"/>
              <w:autoSpaceDN w:val="0"/>
              <w:spacing w:line="240" w:lineRule="exact"/>
              <w:jc w:val="left"/>
              <w:rPr>
                <w:color w:val="000000" w:themeColor="text1"/>
                <w:kern w:val="0"/>
                <w:sz w:val="24"/>
                <w:lang w:val="zh-CN" w:bidi="zh-CN"/>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5" w:hRule="atLeast"/>
          <w:jc w:val="center"/>
        </w:trPr>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hAnsi="宋体"/>
                <w:color w:val="000000" w:themeColor="text1"/>
                <w:kern w:val="0"/>
                <w:sz w:val="24"/>
                <w:lang w:val="zh-CN" w:bidi="zh-CN"/>
                <w14:textFill>
                  <w14:solidFill>
                    <w14:schemeClr w14:val="tx1"/>
                  </w14:solidFill>
                </w14:textFill>
              </w:rPr>
              <w:t>结果确认</w:t>
            </w:r>
          </w:p>
        </w:tc>
        <w:tc>
          <w:tcPr>
            <w:tcW w:w="7324"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本人（是</w:t>
            </w:r>
            <w:r>
              <w:rPr>
                <w:rFonts w:hint="eastAsia" w:ascii="宋体" w:hAnsi="宋体" w:cs="宋体"/>
                <w:color w:val="000000" w:themeColor="text1"/>
                <w:spacing w:val="-24"/>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/否</w:t>
            </w:r>
            <w:r>
              <w:rPr>
                <w:rFonts w:hint="eastAsia" w:ascii="宋体" w:hAnsi="宋体" w:cs="宋体"/>
                <w:color w:val="000000" w:themeColor="text1"/>
                <w:spacing w:val="-24"/>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）认同上述施工改造结果及满意度，确认按评估结果完成施工改造。</w:t>
            </w:r>
          </w:p>
          <w:p>
            <w:pPr>
              <w:widowControl/>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老年人（或家人）签字：                         </w:t>
            </w:r>
          </w:p>
          <w:p>
            <w:pPr>
              <w:tabs>
                <w:tab w:val="left" w:pos="2944"/>
                <w:tab w:val="left" w:pos="4309"/>
                <w:tab w:val="left" w:pos="4834"/>
                <w:tab w:val="left" w:pos="5358"/>
              </w:tabs>
              <w:autoSpaceDE w:val="0"/>
              <w:autoSpaceDN w:val="0"/>
              <w:spacing w:line="240" w:lineRule="exact"/>
              <w:jc w:val="center"/>
              <w:rPr>
                <w:color w:val="000000" w:themeColor="text1"/>
                <w:kern w:val="0"/>
                <w:sz w:val="24"/>
                <w:lang w:val="zh-CN" w:bidi="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9" w:hRule="atLeast"/>
          <w:jc w:val="center"/>
        </w:trPr>
        <w:tc>
          <w:tcPr>
            <w:tcW w:w="1631" w:type="dxa"/>
            <w:tcBorders>
              <w:top w:val="single" w:color="000000" w:sz="6" w:space="0"/>
              <w:left w:val="single" w:color="000000" w:sz="6" w:space="0"/>
              <w:bottom w:val="single" w:color="auto" w:sz="4" w:space="0"/>
              <w:right w:val="single" w:color="000000" w:sz="6"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区民政</w:t>
            </w:r>
          </w:p>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审核意见</w:t>
            </w:r>
          </w:p>
        </w:tc>
        <w:tc>
          <w:tcPr>
            <w:tcW w:w="7324" w:type="dxa"/>
            <w:gridSpan w:val="5"/>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区意见：            </w:t>
            </w:r>
          </w:p>
          <w:p>
            <w:pPr>
              <w:widowControl/>
              <w:jc w:val="left"/>
              <w:textAlignment w:val="center"/>
              <w:rPr>
                <w:rFonts w:ascii="宋体" w:hAnsi="宋体" w:cs="宋体"/>
                <w:color w:val="000000" w:themeColor="text1"/>
                <w:kern w:val="0"/>
                <w:sz w:val="24"/>
                <w:lang w:bidi="ar"/>
                <w14:textFill>
                  <w14:solidFill>
                    <w14:schemeClr w14:val="tx1"/>
                  </w14:solidFill>
                </w14:textFill>
              </w:rPr>
            </w:pP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签字（章）：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3" w:hRule="atLeast"/>
          <w:jc w:val="center"/>
        </w:trPr>
        <w:tc>
          <w:tcPr>
            <w:tcW w:w="1631" w:type="dxa"/>
            <w:tcBorders>
              <w:top w:val="single" w:color="auto" w:sz="4" w:space="0"/>
              <w:left w:val="single" w:color="000000" w:sz="6" w:space="0"/>
              <w:bottom w:val="single" w:color="auto" w:sz="4" w:space="0"/>
              <w:right w:val="single" w:color="000000" w:sz="6"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市民政</w:t>
            </w:r>
          </w:p>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审核意见</w:t>
            </w:r>
          </w:p>
        </w:tc>
        <w:tc>
          <w:tcPr>
            <w:tcW w:w="7324" w:type="dxa"/>
            <w:gridSpan w:val="5"/>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textAlignment w:val="center"/>
              <w:rPr>
                <w:rFonts w:ascii="宋体" w:hAnsi="宋体" w:cs="宋体"/>
                <w:color w:val="000000" w:themeColor="text1"/>
                <w:kern w:val="0"/>
                <w:sz w:val="24"/>
                <w:lang w:bidi="ar"/>
                <w14:textFill>
                  <w14:solidFill>
                    <w14:schemeClr w14:val="tx1"/>
                  </w14:solidFill>
                </w14:textFill>
              </w:rPr>
            </w:pPr>
          </w:p>
          <w:p>
            <w:pPr>
              <w:widowControl/>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市意见：</w:t>
            </w:r>
          </w:p>
          <w:p>
            <w:pPr>
              <w:widowControl/>
              <w:textAlignment w:val="center"/>
              <w:rPr>
                <w:rFonts w:ascii="宋体" w:hAnsi="宋体" w:cs="宋体"/>
                <w:color w:val="000000" w:themeColor="text1"/>
                <w:kern w:val="0"/>
                <w:sz w:val="24"/>
                <w:lang w:bidi="ar"/>
                <w14:textFill>
                  <w14:solidFill>
                    <w14:schemeClr w14:val="tx1"/>
                  </w14:solidFill>
                </w14:textFill>
              </w:rPr>
            </w:pPr>
          </w:p>
          <w:p>
            <w:pPr>
              <w:widowControl/>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签字（章）：                                    年    月    日</w:t>
            </w:r>
          </w:p>
        </w:tc>
      </w:tr>
    </w:tbl>
    <w:p>
      <w:pPr>
        <w:rPr>
          <w:rFonts w:ascii="黑体" w:hAnsi="黑体" w:eastAsia="黑体" w:cs="黑体"/>
          <w:color w:val="000000" w:themeColor="text1"/>
          <w:sz w:val="24"/>
          <w14:textFill>
            <w14:solidFill>
              <w14:schemeClr w14:val="tx1"/>
            </w14:solidFill>
          </w14:textFill>
        </w:rPr>
        <w:sectPr>
          <w:pgSz w:w="11906" w:h="16838"/>
          <w:pgMar w:top="1701" w:right="1587" w:bottom="1701" w:left="1587" w:header="851" w:footer="992" w:gutter="0"/>
          <w:pgNumType w:fmt="numberInDash"/>
          <w:cols w:space="720" w:num="1"/>
          <w:docGrid w:type="lines" w:linePitch="323" w:charSpace="0"/>
        </w:sectPr>
      </w:pPr>
    </w:p>
    <w:p>
      <w:pP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附件5</w:t>
      </w:r>
    </w:p>
    <w:p>
      <w:pPr>
        <w:widowControl/>
        <w:spacing w:line="600" w:lineRule="exact"/>
        <w:jc w:val="center"/>
        <w:textAlignment w:val="center"/>
        <w:rPr>
          <w:rFonts w:ascii="黑体" w:hAnsi="黑体" w:eastAsia="黑体" w:cs="方正小标宋简体"/>
          <w:color w:val="000000" w:themeColor="text1"/>
          <w:kern w:val="0"/>
          <w:sz w:val="24"/>
          <w:lang w:bidi="ar"/>
          <w14:textFill>
            <w14:solidFill>
              <w14:schemeClr w14:val="tx1"/>
            </w14:solidFill>
          </w14:textFill>
        </w:rPr>
      </w:pPr>
      <w:r>
        <w:rPr>
          <w:rFonts w:hint="eastAsia" w:ascii="黑体" w:hAnsi="黑体" w:eastAsia="黑体" w:cs="方正小标宋简体"/>
          <w:color w:val="000000" w:themeColor="text1"/>
          <w:kern w:val="0"/>
          <w:sz w:val="24"/>
          <w:lang w:bidi="ar"/>
          <w14:textFill>
            <w14:solidFill>
              <w14:schemeClr w14:val="tx1"/>
            </w14:solidFill>
          </w14:textFill>
        </w:rPr>
        <w:t>桂林市特殊困难老年人家庭适老化改造项目情况汇总表</w:t>
      </w:r>
    </w:p>
    <w:p>
      <w:pPr>
        <w:widowControl/>
        <w:spacing w:line="600" w:lineRule="exact"/>
        <w:jc w:val="center"/>
        <w:textAlignment w:val="center"/>
        <w:rPr>
          <w:rFonts w:ascii="方正小标宋简体" w:hAnsi="方正小标宋简体" w:eastAsia="方正小标宋简体" w:cs="方正小标宋简体"/>
          <w:color w:val="000000" w:themeColor="text1"/>
          <w:kern w:val="0"/>
          <w:sz w:val="24"/>
          <w:lang w:bidi="ar"/>
          <w14:textFill>
            <w14:solidFill>
              <w14:schemeClr w14:val="tx1"/>
            </w14:solidFill>
          </w14:textFill>
        </w:rPr>
      </w:pPr>
      <w:r>
        <w:rPr>
          <w:rFonts w:hint="eastAsia" w:eastAsia="仿宋_GB2312"/>
          <w:color w:val="000000" w:themeColor="text1"/>
          <w:spacing w:val="-20"/>
          <w:kern w:val="0"/>
          <w:sz w:val="24"/>
          <w14:textFill>
            <w14:solidFill>
              <w14:schemeClr w14:val="tx1"/>
            </w14:solidFill>
          </w14:textFill>
        </w:rPr>
        <w:t>改造</w:t>
      </w:r>
      <w:r>
        <w:rPr>
          <w:rFonts w:eastAsia="仿宋_GB2312"/>
          <w:color w:val="000000" w:themeColor="text1"/>
          <w:spacing w:val="-20"/>
          <w:kern w:val="0"/>
          <w:sz w:val="24"/>
          <w14:textFill>
            <w14:solidFill>
              <w14:schemeClr w14:val="tx1"/>
            </w14:solidFill>
          </w14:textFill>
        </w:rPr>
        <w:t>单位（公章）：</w:t>
      </w:r>
      <w:r>
        <w:rPr>
          <w:rFonts w:hint="eastAsia" w:eastAsia="仿宋_GB2312"/>
          <w:color w:val="000000" w:themeColor="text1"/>
          <w:spacing w:val="-20"/>
          <w:kern w:val="0"/>
          <w:sz w:val="24"/>
          <w14:textFill>
            <w14:solidFill>
              <w14:schemeClr w14:val="tx1"/>
            </w14:solidFill>
          </w14:textFill>
        </w:rPr>
        <w:t xml:space="preserve">          镇街民政办</w:t>
      </w:r>
      <w:r>
        <w:rPr>
          <w:rFonts w:eastAsia="仿宋_GB2312"/>
          <w:color w:val="000000" w:themeColor="text1"/>
          <w:spacing w:val="-20"/>
          <w:kern w:val="0"/>
          <w:sz w:val="24"/>
          <w14:textFill>
            <w14:solidFill>
              <w14:schemeClr w14:val="tx1"/>
            </w14:solidFill>
          </w14:textFill>
        </w:rPr>
        <w:t>（公章）：</w:t>
      </w:r>
      <w:r>
        <w:rPr>
          <w:rFonts w:hint="eastAsia" w:eastAsia="仿宋_GB2312"/>
          <w:color w:val="000000" w:themeColor="text1"/>
          <w:spacing w:val="-20"/>
          <w:kern w:val="0"/>
          <w:sz w:val="24"/>
          <w14:textFill>
            <w14:solidFill>
              <w14:schemeClr w14:val="tx1"/>
            </w14:solidFill>
          </w14:textFill>
        </w:rPr>
        <w:t xml:space="preserve">         验收单位（公章）：              </w:t>
      </w:r>
      <w:r>
        <w:rPr>
          <w:rFonts w:eastAsia="仿宋_GB2312"/>
          <w:color w:val="000000" w:themeColor="text1"/>
          <w:kern w:val="0"/>
          <w:sz w:val="24"/>
          <w14:textFill>
            <w14:solidFill>
              <w14:schemeClr w14:val="tx1"/>
            </w14:solidFill>
          </w14:textFill>
        </w:rPr>
        <w:t>填报时间：</w:t>
      </w:r>
    </w:p>
    <w:tbl>
      <w:tblPr>
        <w:tblStyle w:val="53"/>
        <w:tblW w:w="13382" w:type="dxa"/>
        <w:tblInd w:w="-401" w:type="dxa"/>
        <w:tblLayout w:type="fixed"/>
        <w:tblCellMar>
          <w:top w:w="0" w:type="dxa"/>
          <w:left w:w="0" w:type="dxa"/>
          <w:bottom w:w="0" w:type="dxa"/>
          <w:right w:w="0" w:type="dxa"/>
        </w:tblCellMar>
      </w:tblPr>
      <w:tblGrid>
        <w:gridCol w:w="600"/>
        <w:gridCol w:w="590"/>
        <w:gridCol w:w="660"/>
        <w:gridCol w:w="860"/>
        <w:gridCol w:w="620"/>
        <w:gridCol w:w="967"/>
        <w:gridCol w:w="1202"/>
        <w:gridCol w:w="993"/>
        <w:gridCol w:w="1155"/>
        <w:gridCol w:w="10"/>
        <w:gridCol w:w="604"/>
        <w:gridCol w:w="510"/>
        <w:gridCol w:w="585"/>
        <w:gridCol w:w="583"/>
        <w:gridCol w:w="923"/>
        <w:gridCol w:w="780"/>
        <w:gridCol w:w="840"/>
        <w:gridCol w:w="900"/>
      </w:tblGrid>
      <w:tr>
        <w:tblPrEx>
          <w:tblCellMar>
            <w:top w:w="0" w:type="dxa"/>
            <w:left w:w="0" w:type="dxa"/>
            <w:bottom w:w="0" w:type="dxa"/>
            <w:right w:w="0" w:type="dxa"/>
          </w:tblCellMar>
        </w:tblPrEx>
        <w:trPr>
          <w:trHeight w:val="510" w:hRule="atLeast"/>
        </w:trPr>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姓名</w:t>
            </w:r>
          </w:p>
        </w:tc>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性别</w:t>
            </w:r>
          </w:p>
        </w:tc>
        <w:tc>
          <w:tcPr>
            <w:tcW w:w="8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身份证号码</w:t>
            </w:r>
          </w:p>
        </w:tc>
        <w:tc>
          <w:tcPr>
            <w:tcW w:w="6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年龄</w:t>
            </w:r>
          </w:p>
        </w:tc>
        <w:tc>
          <w:tcPr>
            <w:tcW w:w="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适老化改造家庭联系人及联系电话</w:t>
            </w:r>
          </w:p>
        </w:tc>
        <w:tc>
          <w:tcPr>
            <w:tcW w:w="3360" w:type="dxa"/>
            <w:gridSpan w:val="4"/>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人员类别</w:t>
            </w:r>
          </w:p>
        </w:tc>
        <w:tc>
          <w:tcPr>
            <w:tcW w:w="169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能力评估情况</w:t>
            </w:r>
          </w:p>
        </w:tc>
        <w:tc>
          <w:tcPr>
            <w:tcW w:w="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户籍地址</w:t>
            </w: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适老化改造地址</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每户改造资金</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政府补贴资金</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家庭自愿承担资金</w:t>
            </w:r>
          </w:p>
        </w:tc>
      </w:tr>
      <w:tr>
        <w:tblPrEx>
          <w:tblCellMar>
            <w:top w:w="0" w:type="dxa"/>
            <w:left w:w="0" w:type="dxa"/>
            <w:bottom w:w="0" w:type="dxa"/>
            <w:right w:w="0" w:type="dxa"/>
          </w:tblCellMar>
        </w:tblPrEx>
        <w:trPr>
          <w:trHeight w:val="2222" w:hRule="atLeast"/>
        </w:trPr>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分散供养特困人员中的高龄、中度失能、重度残疾老年人家庭</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城乡低保对象中的高龄、中度失能、重度残疾老年人家庭</w:t>
            </w:r>
          </w:p>
        </w:tc>
        <w:tc>
          <w:tcPr>
            <w:tcW w:w="115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建档立卡低收入人员中的高龄、中度失能、重度残疾老年人家庭</w:t>
            </w:r>
          </w:p>
        </w:tc>
        <w:tc>
          <w:tcPr>
            <w:tcW w:w="614"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高龄</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中度失能</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重度残疾</w:t>
            </w:r>
          </w:p>
        </w:tc>
        <w:tc>
          <w:tcPr>
            <w:tcW w:w="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265" w:hRule="atLeast"/>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265" w:hRule="atLeast"/>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265" w:hRule="atLeast"/>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265" w:hRule="atLeast"/>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265" w:hRule="atLeast"/>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265" w:hRule="atLeast"/>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6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themeColor="text1"/>
                <w:sz w:val="24"/>
                <w14:textFill>
                  <w14:solidFill>
                    <w14:schemeClr w14:val="tx1"/>
                  </w14:solidFill>
                </w14:textFill>
              </w:rPr>
            </w:pPr>
          </w:p>
        </w:tc>
      </w:tr>
    </w:tbl>
    <w:p>
      <w:pPr>
        <w:rPr>
          <w:rFonts w:ascii="黑体" w:hAnsi="黑体" w:eastAsia="黑体" w:cs="黑体"/>
          <w:color w:val="000000" w:themeColor="text1"/>
          <w:kern w:val="44"/>
          <w:sz w:val="24"/>
          <w14:textFill>
            <w14:solidFill>
              <w14:schemeClr w14:val="tx1"/>
            </w14:solidFill>
          </w14:textFill>
        </w:rPr>
      </w:pPr>
    </w:p>
    <w:p>
      <w:pPr>
        <w:rPr>
          <w:rFonts w:ascii="黑体" w:hAnsi="黑体" w:eastAsia="黑体" w:cs="黑体"/>
          <w:color w:val="000000" w:themeColor="text1"/>
          <w:sz w:val="24"/>
          <w14:textFill>
            <w14:solidFill>
              <w14:schemeClr w14:val="tx1"/>
            </w14:solidFill>
          </w14:textFill>
        </w:rPr>
      </w:pPr>
    </w:p>
    <w:p>
      <w:pPr>
        <w:pStyle w:val="63"/>
        <w:rPr>
          <w:rFonts w:ascii="黑体" w:hAnsi="黑体" w:eastAsia="黑体" w:cs="黑体"/>
          <w:color w:val="000000" w:themeColor="text1"/>
          <w14:textFill>
            <w14:solidFill>
              <w14:schemeClr w14:val="tx1"/>
            </w14:solidFill>
          </w14:textFill>
        </w:rPr>
      </w:pPr>
    </w:p>
    <w:p>
      <w:pPr>
        <w:pStyle w:val="63"/>
        <w:rPr>
          <w:rFonts w:ascii="黑体" w:hAnsi="黑体" w:eastAsia="黑体" w:cs="黑体"/>
          <w:color w:val="000000" w:themeColor="text1"/>
          <w14:textFill>
            <w14:solidFill>
              <w14:schemeClr w14:val="tx1"/>
            </w14:solidFill>
          </w14:textFill>
        </w:rPr>
      </w:pPr>
    </w:p>
    <w:p>
      <w:pPr>
        <w:pStyle w:val="63"/>
        <w:rPr>
          <w:rFonts w:ascii="黑体" w:hAnsi="黑体" w:eastAsia="黑体" w:cs="黑体"/>
          <w:color w:val="000000" w:themeColor="text1"/>
          <w14:textFill>
            <w14:solidFill>
              <w14:schemeClr w14:val="tx1"/>
            </w14:solidFill>
          </w14:textFill>
        </w:rPr>
      </w:pPr>
    </w:p>
    <w:p>
      <w:pPr>
        <w:pStyle w:val="63"/>
        <w:rPr>
          <w:rFonts w:ascii="黑体" w:hAnsi="黑体" w:eastAsia="黑体" w:cs="黑体"/>
          <w:color w:val="000000" w:themeColor="text1"/>
          <w14:textFill>
            <w14:solidFill>
              <w14:schemeClr w14:val="tx1"/>
            </w14:solidFill>
          </w14:textFill>
        </w:rPr>
      </w:pPr>
    </w:p>
    <w:p>
      <w:pPr>
        <w:pStyle w:val="63"/>
        <w:rPr>
          <w:rFonts w:ascii="黑体" w:hAnsi="黑体" w:eastAsia="黑体" w:cs="黑体"/>
          <w:color w:val="000000" w:themeColor="text1"/>
          <w14:textFill>
            <w14:solidFill>
              <w14:schemeClr w14:val="tx1"/>
            </w14:solidFill>
          </w14:textFill>
        </w:rPr>
      </w:pPr>
    </w:p>
    <w:p>
      <w:pPr>
        <w:pStyle w:val="63"/>
        <w:rPr>
          <w:rFonts w:ascii="黑体" w:hAnsi="黑体" w:eastAsia="黑体" w:cs="黑体"/>
          <w:color w:val="000000" w:themeColor="text1"/>
          <w14:textFill>
            <w14:solidFill>
              <w14:schemeClr w14:val="tx1"/>
            </w14:solidFill>
          </w14:textFill>
        </w:rPr>
      </w:pPr>
    </w:p>
    <w:p>
      <w:pPr>
        <w:pStyle w:val="63"/>
        <w:rPr>
          <w:rFonts w:ascii="黑体" w:hAnsi="黑体" w:eastAsia="黑体" w:cs="黑体"/>
          <w:color w:val="000000" w:themeColor="text1"/>
          <w14:textFill>
            <w14:solidFill>
              <w14:schemeClr w14:val="tx1"/>
            </w14:solidFill>
          </w14:textFill>
        </w:rPr>
      </w:pPr>
    </w:p>
    <w:bookmarkEnd w:id="2"/>
    <w:bookmarkEnd w:id="3"/>
    <w:p>
      <w:pPr>
        <w:pStyle w:val="4"/>
        <w:tabs>
          <w:tab w:val="left" w:pos="567"/>
        </w:tabs>
        <w:rPr>
          <w:rFonts w:ascii="仿宋" w:hAnsi="仿宋" w:eastAsia="仿宋" w:cs="仿宋"/>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附件</w:t>
      </w:r>
      <w:r>
        <w:rPr>
          <w:rFonts w:ascii="黑体" w:hAnsi="黑体" w:eastAsia="黑体" w:cs="黑体"/>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 xml:space="preserve">        </w:t>
      </w:r>
    </w:p>
    <w:p>
      <w:pPr>
        <w:pStyle w:val="63"/>
        <w:jc w:val="center"/>
        <w:rPr>
          <w:color w:val="000000" w:themeColor="text1"/>
          <w:sz w:val="28"/>
          <w:szCs w:val="28"/>
          <w14:textFill>
            <w14:solidFill>
              <w14:schemeClr w14:val="tx1"/>
            </w14:solidFill>
          </w14:textFill>
        </w:rPr>
      </w:pPr>
      <w:r>
        <w:rPr>
          <w:rFonts w:hint="eastAsia" w:ascii="黑体" w:hAnsi="黑体" w:eastAsia="黑体" w:cs="方正小标宋简体"/>
          <w:color w:val="000000" w:themeColor="text1"/>
          <w:sz w:val="28"/>
          <w:szCs w:val="28"/>
          <w:highlight w:val="none"/>
          <w:lang w:bidi="ar"/>
          <w14:textFill>
            <w14:solidFill>
              <w14:schemeClr w14:val="tx1"/>
            </w14:solidFill>
          </w14:textFill>
        </w:rPr>
        <w:t>桂林市特殊困难老年人家庭适老化改造项目清单</w:t>
      </w:r>
    </w:p>
    <w:p>
      <w:pPr>
        <w:pStyle w:val="63"/>
        <w:rPr>
          <w:color w:val="000000" w:themeColor="text1"/>
          <w14:textFill>
            <w14:solidFill>
              <w14:schemeClr w14:val="tx1"/>
            </w14:solidFill>
          </w14:textFill>
        </w:rPr>
      </w:pPr>
    </w:p>
    <w:tbl>
      <w:tblPr>
        <w:tblStyle w:val="53"/>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55"/>
        <w:gridCol w:w="1063"/>
        <w:gridCol w:w="616"/>
        <w:gridCol w:w="1116"/>
        <w:gridCol w:w="3532"/>
        <w:gridCol w:w="2991"/>
        <w:gridCol w:w="695"/>
        <w:gridCol w:w="65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38" w:type="dxa"/>
            <w:vAlign w:val="center"/>
          </w:tcPr>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655" w:type="dxa"/>
            <w:vAlign w:val="center"/>
          </w:tcPr>
          <w:p>
            <w:pPr>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分类</w:t>
            </w:r>
          </w:p>
        </w:tc>
        <w:tc>
          <w:tcPr>
            <w:tcW w:w="2795" w:type="dxa"/>
            <w:gridSpan w:val="3"/>
            <w:vAlign w:val="center"/>
          </w:tcPr>
          <w:p>
            <w:pPr>
              <w:spacing w:line="360" w:lineRule="auto"/>
              <w:ind w:firstLine="210" w:firstLineChars="100"/>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内 </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容</w:t>
            </w:r>
          </w:p>
        </w:tc>
        <w:tc>
          <w:tcPr>
            <w:tcW w:w="3532" w:type="dxa"/>
            <w:vAlign w:val="center"/>
          </w:tcPr>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基本功能参数</w:t>
            </w:r>
          </w:p>
        </w:tc>
        <w:tc>
          <w:tcPr>
            <w:tcW w:w="2991" w:type="dxa"/>
            <w:vAlign w:val="center"/>
          </w:tcPr>
          <w:p>
            <w:pPr>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作用说明</w:t>
            </w:r>
          </w:p>
        </w:tc>
        <w:tc>
          <w:tcPr>
            <w:tcW w:w="695" w:type="dxa"/>
            <w:vAlign w:val="center"/>
          </w:tcPr>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数量</w:t>
            </w:r>
          </w:p>
        </w:tc>
        <w:tc>
          <w:tcPr>
            <w:tcW w:w="655" w:type="dxa"/>
            <w:vAlign w:val="center"/>
          </w:tcPr>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单位</w:t>
            </w:r>
          </w:p>
        </w:tc>
        <w:tc>
          <w:tcPr>
            <w:tcW w:w="1075" w:type="dxa"/>
            <w:vAlign w:val="center"/>
          </w:tcPr>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参考单价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防滑处理</w:t>
            </w:r>
          </w:p>
        </w:tc>
        <w:tc>
          <w:tcPr>
            <w:tcW w:w="1063"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防滑地垫</w:t>
            </w:r>
          </w:p>
        </w:tc>
        <w:tc>
          <w:tcPr>
            <w:tcW w:w="1732" w:type="dxa"/>
            <w:gridSpan w:val="2"/>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普通型防滑地垫</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材质：PVC</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吸附力强，透水快</w:t>
            </w:r>
          </w:p>
        </w:tc>
        <w:tc>
          <w:tcPr>
            <w:tcW w:w="2991"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防止老人洗澡时滑倒。</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块</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3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p>
        </w:tc>
        <w:tc>
          <w:tcPr>
            <w:tcW w:w="1063"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可拼接防滑地垫</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材质：PVC</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防水防滑，耐磨使用，方便拆卸清洗</w:t>
            </w:r>
          </w:p>
        </w:tc>
        <w:tc>
          <w:tcPr>
            <w:tcW w:w="299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片</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65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障</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碍</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改</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造</w:t>
            </w:r>
          </w:p>
        </w:tc>
        <w:tc>
          <w:tcPr>
            <w:tcW w:w="1063"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地面高差处理</w:t>
            </w: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橡胶坡道</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材质：天然橡胶</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耐水防滑；</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表面凹凸条纹防滑设计，防滑性强。</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高低差处理，无高差障碍，避免老年人行走发生磕碰跌倒，方便轮椅进出。</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olor w:val="000000" w:themeColor="text1"/>
                <w:szCs w:val="21"/>
                <w14:textFill>
                  <w14:solidFill>
                    <w14:schemeClr w14:val="tx1"/>
                  </w14:solidFill>
                </w14:textFill>
              </w:rPr>
            </w:pPr>
          </w:p>
        </w:tc>
        <w:tc>
          <w:tcPr>
            <w:tcW w:w="1063"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olor w:val="000000" w:themeColor="text1"/>
                <w:szCs w:val="21"/>
                <w14:textFill>
                  <w14:solidFill>
                    <w14:schemeClr w14:val="tx1"/>
                  </w14:solidFill>
                </w14:textFill>
              </w:rPr>
            </w:pP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水泥坡道</w:t>
            </w:r>
          </w:p>
        </w:tc>
        <w:tc>
          <w:tcPr>
            <w:tcW w:w="6523"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台阶改坡道，铺设水泥坡道，坡道可采用带防滑纹水泥为材料，增加地面摩擦系数。</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平方</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olor w:val="000000" w:themeColor="text1"/>
                <w:szCs w:val="21"/>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门槛移除</w:t>
            </w:r>
          </w:p>
        </w:tc>
        <w:tc>
          <w:tcPr>
            <w:tcW w:w="6523"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拆除原有门槛并清理原水泥层，安装新门槛石与地面瓷砖水平。</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平整硬化</w:t>
            </w:r>
          </w:p>
        </w:tc>
        <w:tc>
          <w:tcPr>
            <w:tcW w:w="6523"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住所内地面水泥平整硬化，住所外便道水泥平整硬化，方便老年人行走或轮椅进出。</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平方</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3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65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设施改造</w:t>
            </w: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蹲便器改坐便器</w:t>
            </w:r>
          </w:p>
        </w:tc>
        <w:tc>
          <w:tcPr>
            <w:tcW w:w="6523"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减轻蹲姿造成的腿部压力，减轻老年人如厕下蹲、站立困难。方便乘轮椅老年人使用。</w:t>
            </w:r>
            <w:r>
              <w:rPr>
                <w:rFonts w:hint="eastAsia" w:ascii="宋体" w:hAnsi="宋体" w:cs="宋体"/>
                <w:color w:val="000000" w:themeColor="text1"/>
                <w:szCs w:val="21"/>
                <w:highlight w:val="none"/>
                <w14:textFill>
                  <w14:solidFill>
                    <w14:schemeClr w14:val="tx1"/>
                  </w14:solidFill>
                </w14:textFill>
              </w:rPr>
              <w:t>（不含马桶）</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浴缸/淋浴房改造</w:t>
            </w:r>
          </w:p>
        </w:tc>
        <w:tc>
          <w:tcPr>
            <w:tcW w:w="6523"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方便照护人员辅助老年人洗浴，以及意外跌倒后的搀扶。</w:t>
            </w:r>
            <w:r>
              <w:rPr>
                <w:rFonts w:hint="eastAsia" w:ascii="宋体" w:hAnsi="宋体" w:cs="宋体"/>
                <w:color w:val="000000" w:themeColor="text1"/>
                <w:szCs w:val="21"/>
                <w:highlight w:val="none"/>
                <w:shd w:val="clear"/>
                <w14:textFill>
                  <w14:solidFill>
                    <w14:schemeClr w14:val="tx1"/>
                  </w14:solidFill>
                </w14:textFill>
              </w:rPr>
              <w:t>（不含花洒）</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655"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加装扶手</w:t>
            </w:r>
          </w:p>
        </w:tc>
        <w:tc>
          <w:tcPr>
            <w:tcW w:w="167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如厕 扶手</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U型上翻马桶扶手</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外径≥38MM；握杆外层为弹性TPE，扶手防转动、符合人体工学环状凹凸握手纹设计，皮纹表层，安全防滑</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握杆环保标准、抗老化、耐腐蚀弹性材料</w:t>
            </w:r>
          </w:p>
        </w:tc>
        <w:tc>
          <w:tcPr>
            <w:tcW w:w="2991"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在坐（蹲）便器旁安装，辅助老年人起身、站立、转身和坐（蹲）下。</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55"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szCs w:val="21"/>
                <w14:textFill>
                  <w14:solidFill>
                    <w14:schemeClr w14:val="tx1"/>
                  </w14:solidFill>
                </w14:textFill>
              </w:rPr>
            </w:pPr>
          </w:p>
        </w:tc>
        <w:tc>
          <w:tcPr>
            <w:tcW w:w="1679" w:type="dxa"/>
            <w:gridSpan w:val="2"/>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szCs w:val="21"/>
                <w14:textFill>
                  <w14:solidFill>
                    <w14:schemeClr w14:val="tx1"/>
                  </w14:solidFill>
                </w14:textFill>
              </w:rPr>
            </w:pPr>
          </w:p>
        </w:tc>
        <w:tc>
          <w:tcPr>
            <w:tcW w:w="1116"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“一字”扶手</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外径≥38MM；握杆外层为弹性TPE，扶手防转动、符合人体工学环状凹凸握手纹设计，皮纹表层，安全防滑；扶手握杆使用环保标准、抗老化、耐腐蚀弹性材料</w:t>
            </w:r>
          </w:p>
        </w:tc>
        <w:tc>
          <w:tcPr>
            <w:tcW w:w="2991"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szCs w:val="21"/>
                <w14:textFill>
                  <w14:solidFill>
                    <w14:schemeClr w14:val="tx1"/>
                  </w14:solidFill>
                </w14:textFill>
              </w:rPr>
            </w:pP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655"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szCs w:val="21"/>
                <w14:textFill>
                  <w14:solidFill>
                    <w14:schemeClr w14:val="tx1"/>
                  </w14:solidFill>
                </w14:textFill>
              </w:rPr>
            </w:pPr>
          </w:p>
        </w:tc>
        <w:tc>
          <w:tcPr>
            <w:tcW w:w="1679" w:type="dxa"/>
            <w:gridSpan w:val="2"/>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szCs w:val="21"/>
                <w14:textFill>
                  <w14:solidFill>
                    <w14:schemeClr w14:val="tx1"/>
                  </w14:solidFill>
                </w14:textFill>
              </w:rPr>
            </w:pPr>
          </w:p>
        </w:tc>
        <w:tc>
          <w:tcPr>
            <w:tcW w:w="1116"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移动马桶扶手架</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碳素钢管</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结构坚固耐用，宽度和高度可调节</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移动式设计，适用较窄的空间，辅助老人如厕。</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655"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szCs w:val="21"/>
                <w14:textFill>
                  <w14:solidFill>
                    <w14:schemeClr w14:val="tx1"/>
                  </w14:solidFill>
                </w14:textFill>
              </w:rPr>
            </w:pPr>
          </w:p>
        </w:tc>
        <w:tc>
          <w:tcPr>
            <w:tcW w:w="1679" w:type="dxa"/>
            <w:gridSpan w:val="2"/>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szCs w:val="21"/>
                <w14:textFill>
                  <w14:solidFill>
                    <w14:schemeClr w14:val="tx1"/>
                  </w14:solidFill>
                </w14:textFill>
              </w:rPr>
            </w:pPr>
          </w:p>
        </w:tc>
        <w:tc>
          <w:tcPr>
            <w:tcW w:w="1116"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一体式马桶扶手</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材质：PP+碳钢+TPE</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适配马桶缸体座高370~440mm；</w:t>
            </w:r>
            <w:r>
              <w:rPr>
                <w:rFonts w:ascii="宋体" w:hAnsi="宋体" w:cs="宋体"/>
                <w:color w:val="000000" w:themeColor="text1"/>
                <w:szCs w:val="21"/>
                <w14:textFill>
                  <w14:solidFill>
                    <w14:schemeClr w14:val="tx1"/>
                  </w14:solidFill>
                </w14:textFill>
              </w:rPr>
              <w:t>可上翻</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方便起身、移位，</w:t>
            </w:r>
            <w:r>
              <w:rPr>
                <w:rFonts w:hint="eastAsia" w:ascii="宋体" w:hAnsi="宋体" w:cs="宋体"/>
                <w:color w:val="000000" w:themeColor="text1"/>
                <w:szCs w:val="21"/>
                <w14:textFill>
                  <w14:solidFill>
                    <w14:schemeClr w14:val="tx1"/>
                  </w14:solidFill>
                </w14:textFill>
              </w:rPr>
              <w:t>采用</w:t>
            </w:r>
            <w:r>
              <w:rPr>
                <w:rFonts w:ascii="宋体" w:hAnsi="宋体" w:cs="宋体"/>
                <w:color w:val="000000" w:themeColor="text1"/>
                <w:szCs w:val="21"/>
                <w14:textFill>
                  <w14:solidFill>
                    <w14:schemeClr w14:val="tx1"/>
                  </w14:solidFill>
                </w14:textFill>
              </w:rPr>
              <w:t>柔性防滑材质，提升舒适度</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无需打孔安装，产品直接安装在坐便器与盖板之间</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highlight w:val="yellow"/>
                <w14:textFill>
                  <w14:solidFill>
                    <w14:schemeClr w14:val="tx1"/>
                  </w14:solidFill>
                </w14:textFill>
              </w:rPr>
            </w:pPr>
            <w:r>
              <w:rPr>
                <w:rFonts w:ascii="宋体" w:hAnsi="宋体" w:cs="宋体"/>
                <w:color w:val="000000" w:themeColor="text1"/>
                <w:szCs w:val="21"/>
                <w14:textFill>
                  <w14:solidFill>
                    <w14:schemeClr w14:val="tx1"/>
                  </w14:solidFill>
                </w14:textFill>
              </w:rPr>
              <w:t>如厕辅助，适用于家庭、养老机构、公共场所等环境。</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3</w:t>
            </w:r>
          </w:p>
        </w:tc>
        <w:tc>
          <w:tcPr>
            <w:tcW w:w="655"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szCs w:val="21"/>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床边护栏</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可折叠，不锈钢，适用大于5</w:t>
            </w:r>
            <w:r>
              <w:rPr>
                <w:rFonts w:ascii="宋体" w:hAnsi="宋体" w:cs="宋体"/>
                <w:color w:val="000000" w:themeColor="text1"/>
                <w:szCs w:val="21"/>
                <w14:textFill>
                  <w14:solidFill>
                    <w14:schemeClr w14:val="tx1"/>
                  </w14:solidFill>
                </w14:textFill>
              </w:rPr>
              <w:t>cm</w:t>
            </w:r>
            <w:r>
              <w:rPr>
                <w:rFonts w:hint="eastAsia" w:ascii="宋体" w:hAnsi="宋体" w:cs="宋体"/>
                <w:color w:val="000000" w:themeColor="text1"/>
                <w:szCs w:val="21"/>
                <w14:textFill>
                  <w14:solidFill>
                    <w14:schemeClr w14:val="tx1"/>
                  </w14:solidFill>
                </w14:textFill>
              </w:rPr>
              <w:t>厚度以上床垫，</w:t>
            </w:r>
            <w:r>
              <w:rPr>
                <w:rFonts w:ascii="宋体" w:hAnsi="宋体" w:cs="宋体"/>
                <w:color w:val="000000" w:themeColor="text1"/>
                <w:szCs w:val="21"/>
                <w14:textFill>
                  <w14:solidFill>
                    <w14:schemeClr w14:val="tx1"/>
                  </w14:solidFill>
                </w14:textFill>
              </w:rPr>
              <w:t xml:space="preserve"> </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可置固定床边方便老人起身、躺卧</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w:t>
            </w:r>
          </w:p>
        </w:tc>
        <w:tc>
          <w:tcPr>
            <w:tcW w:w="655"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szCs w:val="21"/>
                <w14:textFill>
                  <w14:solidFill>
                    <w14:schemeClr w14:val="tx1"/>
                  </w14:solidFill>
                </w14:textFill>
              </w:rPr>
            </w:pPr>
          </w:p>
        </w:tc>
        <w:tc>
          <w:tcPr>
            <w:tcW w:w="2795" w:type="dxa"/>
            <w:gridSpan w:val="3"/>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床边扶手</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防侧翻、无凉感，整体表面采用无凉感磨砂材质，底座采用稳固钢板材料， 材料：扶手采用钢管材质，扶手套采用高密度橡塑NBR海绵套管。</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可置放在床边、沙发边，方便老人起身、躺卧</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p>
        </w:tc>
        <w:tc>
          <w:tcPr>
            <w:tcW w:w="6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10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655"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szCs w:val="21"/>
                <w14:textFill>
                  <w14:solidFill>
                    <w14:schemeClr w14:val="tx1"/>
                  </w14:solidFill>
                </w14:textFill>
              </w:rPr>
            </w:pPr>
          </w:p>
        </w:tc>
        <w:tc>
          <w:tcPr>
            <w:tcW w:w="1679" w:type="dxa"/>
            <w:gridSpan w:val="2"/>
            <w:vMerge w:val="restart"/>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淋浴区扶手</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L型扶手</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外径≥38MM；握杆外层为弹性TPE，扶手防转动、符合人体工学环状凹凸握手纹设计，皮纹表层，安全防滑；握杆使用环保标准、抗老化、耐腐蚀弹性材料。</w:t>
            </w:r>
          </w:p>
        </w:tc>
        <w:tc>
          <w:tcPr>
            <w:tcW w:w="2991"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辅助老年人站立支撑，转身和坐（蹲）下。</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6</w:t>
            </w:r>
          </w:p>
        </w:tc>
        <w:tc>
          <w:tcPr>
            <w:tcW w:w="655"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szCs w:val="21"/>
                <w14:textFill>
                  <w14:solidFill>
                    <w14:schemeClr w14:val="tx1"/>
                  </w14:solidFill>
                </w14:textFill>
              </w:rPr>
            </w:pPr>
          </w:p>
        </w:tc>
        <w:tc>
          <w:tcPr>
            <w:tcW w:w="1679" w:type="dxa"/>
            <w:gridSpan w:val="2"/>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szCs w:val="21"/>
                <w14:textFill>
                  <w14:solidFill>
                    <w14:schemeClr w14:val="tx1"/>
                  </w14:solidFill>
                </w14:textFill>
              </w:rPr>
            </w:pPr>
          </w:p>
        </w:tc>
        <w:tc>
          <w:tcPr>
            <w:tcW w:w="1116"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135</w:t>
            </w:r>
            <w:r>
              <w:rPr>
                <w:rFonts w:hint="eastAsia" w:ascii="宋体" w:hAnsi="宋体" w:cs="宋体"/>
                <w:color w:val="000000" w:themeColor="text1"/>
                <w:szCs w:val="21"/>
                <w14:textFill>
                  <w14:solidFill>
                    <w14:schemeClr w14:val="tx1"/>
                  </w14:solidFill>
                </w14:textFill>
              </w:rPr>
              <w:t>度扶手</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外径≥38MM；握杆外层为弹性TPE，扶手防转动、符合人体工学环状凹凸握手纹设计，皮纹表层，安全防滑</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握杆使用环保标准、抗老化、耐腐蚀弹性材料</w:t>
            </w:r>
          </w:p>
        </w:tc>
        <w:tc>
          <w:tcPr>
            <w:tcW w:w="2991"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szCs w:val="21"/>
                <w14:textFill>
                  <w14:solidFill>
                    <w14:schemeClr w14:val="tx1"/>
                  </w14:solidFill>
                </w14:textFill>
              </w:rPr>
            </w:pP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szCs w:val="21"/>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走廊扶手</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材质：高分子PVC木纹扶手超强实木感</w:t>
            </w:r>
          </w:p>
        </w:tc>
        <w:tc>
          <w:tcPr>
            <w:tcW w:w="2991"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安装于高差变化处，方便老年人通过时撑扶。</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米</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w:t>
            </w:r>
          </w:p>
        </w:tc>
        <w:tc>
          <w:tcPr>
            <w:tcW w:w="65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设施改造</w:t>
            </w:r>
          </w:p>
        </w:tc>
        <w:tc>
          <w:tcPr>
            <w:tcW w:w="2795" w:type="dxa"/>
            <w:gridSpan w:val="3"/>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下压式门把手改造</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拆除原有锁具，安装下压式门把手；面板把手材质铝合金，锁芯铝铜</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可用单手手掌或手指轻松操作，增加摩擦力和稳定性，方便乘轮椅老年人或者手部力量较弱的老年人</w:t>
            </w:r>
            <w:r>
              <w:rPr>
                <w:rFonts w:ascii="宋体" w:hAnsi="宋体" w:cs="宋体"/>
                <w:color w:val="000000" w:themeColor="text1"/>
                <w:szCs w:val="21"/>
                <w14:textFill>
                  <w14:solidFill>
                    <w14:schemeClr w14:val="tx1"/>
                  </w14:solidFill>
                </w14:textFill>
              </w:rPr>
              <w:t>开</w:t>
            </w:r>
            <w:r>
              <w:rPr>
                <w:rFonts w:hint="eastAsia" w:ascii="宋体" w:hAnsi="宋体" w:cs="宋体"/>
                <w:color w:val="000000" w:themeColor="text1"/>
                <w:szCs w:val="21"/>
                <w14:textFill>
                  <w14:solidFill>
                    <w14:schemeClr w14:val="tx1"/>
                  </w14:solidFill>
                </w14:textFill>
              </w:rPr>
              <w:t>门</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szCs w:val="21"/>
                <w14:textFill>
                  <w14:solidFill>
                    <w14:schemeClr w14:val="tx1"/>
                  </w14:solidFill>
                </w14:textFill>
              </w:rPr>
            </w:pPr>
          </w:p>
        </w:tc>
        <w:tc>
          <w:tcPr>
            <w:tcW w:w="6327" w:type="dxa"/>
            <w:gridSpan w:val="4"/>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台面高度改造</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降低灶具、洗菜池、面盆等台面高度，方便乘轮椅老年人或身高较矮的老年人操作。</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638"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679"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水龙头改造</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抽拉式水龙头</w:t>
            </w:r>
          </w:p>
        </w:tc>
        <w:tc>
          <w:tcPr>
            <w:tcW w:w="6523"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龙头具备可抽拉功能，采用食品级304不锈钢材质，拉丝工艺，易擦拭不留痕；冷热双控设计，可随意调节；阀芯耐高温、耐磨损、抗老化、寿命长，50万次依然精准控制出水柔和，无飞溅，节水30%。单孔台盆可装</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38"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679"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p>
        </w:tc>
        <w:tc>
          <w:tcPr>
            <w:tcW w:w="1116"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感应式水龙头</w:t>
            </w:r>
          </w:p>
        </w:tc>
        <w:tc>
          <w:tcPr>
            <w:tcW w:w="3532"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拆除原有龙头，安装感应水龙头阀芯：全铜阀芯且能抽拉</w:t>
            </w:r>
          </w:p>
        </w:tc>
        <w:tc>
          <w:tcPr>
            <w:tcW w:w="2991"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改装感应水龙头，方便乘轮椅老年人或者手部力量较弱的老年人开关水阀，避免忘关水阀</w:t>
            </w:r>
          </w:p>
        </w:tc>
        <w:tc>
          <w:tcPr>
            <w:tcW w:w="69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679"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p>
        </w:tc>
        <w:tc>
          <w:tcPr>
            <w:tcW w:w="1116"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p>
        </w:tc>
        <w:tc>
          <w:tcPr>
            <w:tcW w:w="3532"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p>
        </w:tc>
        <w:tc>
          <w:tcPr>
            <w:tcW w:w="299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p>
        </w:tc>
        <w:tc>
          <w:tcPr>
            <w:tcW w:w="69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p>
        </w:tc>
        <w:tc>
          <w:tcPr>
            <w:tcW w:w="107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22</w:t>
            </w:r>
          </w:p>
        </w:tc>
        <w:tc>
          <w:tcPr>
            <w:tcW w:w="65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设施改造</w:t>
            </w: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加设中部柜</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材质：采用优质实木颗粒板</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设置开敞式中部柜、中部架，放置方便老年人取放的位置。</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23</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679"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更换或新增灯具</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吸顶灯</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材质：亚克力</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更改或新增节能型灯具，避免直射光源、强刺激性光源，确保光线柔和，改善照明环境。</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24</w:t>
            </w:r>
          </w:p>
        </w:tc>
        <w:tc>
          <w:tcPr>
            <w:tcW w:w="65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设施改造</w:t>
            </w:r>
          </w:p>
        </w:tc>
        <w:tc>
          <w:tcPr>
            <w:tcW w:w="1679" w:type="dxa"/>
            <w:gridSpan w:val="2"/>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安装感应夜灯（地灯）</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小夜灯</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材质：ABS，暖光</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在老年人卧室安装贴近地面的红外感应小夜灯，方便老年人起夜照明。</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25</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063"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安装防撞护角/防撞条</w:t>
            </w: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防撞条</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材质：pvc      双面胶/免钉胶</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防火阻燃，经久耐用，不含甲醛</w:t>
            </w:r>
          </w:p>
        </w:tc>
        <w:tc>
          <w:tcPr>
            <w:tcW w:w="2991"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安装在墙角或家具尖角处，防止磕碰，防止因跌倒等意外受到二次伤害。</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米</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26</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063"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防撞角</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材质：NBR，防水耐油</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加厚，无残留，不伤家具</w:t>
            </w:r>
          </w:p>
        </w:tc>
        <w:tc>
          <w:tcPr>
            <w:tcW w:w="2991"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27</w:t>
            </w:r>
          </w:p>
        </w:tc>
        <w:tc>
          <w:tcPr>
            <w:tcW w:w="655"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智能安全保护改造</w:t>
            </w: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网络接入</w:t>
            </w:r>
          </w:p>
        </w:tc>
        <w:tc>
          <w:tcPr>
            <w:tcW w:w="7873" w:type="dxa"/>
            <w:gridSpan w:val="4"/>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保证智能安全保护改造设备数据网络实时传输。</w:t>
            </w:r>
          </w:p>
        </w:tc>
        <w:tc>
          <w:tcPr>
            <w:tcW w:w="10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w:t>
            </w:r>
          </w:p>
        </w:tc>
        <w:tc>
          <w:tcPr>
            <w:tcW w:w="655"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p>
        </w:tc>
        <w:tc>
          <w:tcPr>
            <w:tcW w:w="2795" w:type="dxa"/>
            <w:gridSpan w:val="3"/>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SOS</w:t>
            </w:r>
            <w:r>
              <w:rPr>
                <w:rFonts w:hint="eastAsia" w:ascii="宋体" w:hAnsi="宋体" w:cs="宋体"/>
                <w:color w:val="000000" w:themeColor="text1"/>
                <w:kern w:val="0"/>
                <w:szCs w:val="21"/>
                <w:lang w:bidi="ar"/>
                <w14:textFill>
                  <w14:solidFill>
                    <w14:schemeClr w14:val="tx1"/>
                  </w14:solidFill>
                </w14:textFill>
              </w:rPr>
              <w:t>呼叫报警器</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工作电源：DC3.0V</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无线传输方式：NB-IoT（电信、移动、联通）</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待机时间：2年（每天不超过5次信号传输的情况下）</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支持电池电量和信号值数据上传；支持低电量和信号弱报警</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安装于卫生间，当老人出现紧急情况时，可以一键呼叫。坐姿和站姿可按动面板触控按键，摔倒时可拉动拉绳按键。呼叫信息实时推送至子女手机</w:t>
            </w:r>
            <w:r>
              <w:rPr>
                <w:rFonts w:hint="eastAsia" w:ascii="宋体" w:hAnsi="宋体" w:cs="宋体"/>
                <w:color w:val="000000" w:themeColor="text1"/>
                <w:kern w:val="0"/>
                <w:szCs w:val="21"/>
                <w:lang w:val="en-US" w:eastAsia="zh-CN" w:bidi="ar"/>
                <w14:textFill>
                  <w14:solidFill>
                    <w14:schemeClr w14:val="tx1"/>
                  </w14:solidFill>
                </w14:textFill>
              </w:rPr>
              <w:t>等处</w:t>
            </w:r>
            <w:r>
              <w:rPr>
                <w:rFonts w:hint="eastAsia" w:ascii="宋体" w:hAnsi="宋体" w:cs="宋体"/>
                <w:color w:val="000000" w:themeColor="text1"/>
                <w:kern w:val="0"/>
                <w:szCs w:val="21"/>
                <w:lang w:bidi="ar"/>
                <w14:textFill>
                  <w14:solidFill>
                    <w14:schemeClr w14:val="tx1"/>
                  </w14:solidFill>
                </w14:textFill>
              </w:rPr>
              <w:t>，起到应急响应的作用</w:t>
            </w:r>
            <w:r>
              <w:rPr>
                <w:rFonts w:hint="eastAsia" w:ascii="宋体" w:hAnsi="宋体" w:cs="宋体"/>
                <w:color w:val="000000" w:themeColor="text1"/>
                <w:kern w:val="0"/>
                <w:szCs w:val="21"/>
                <w:lang w:eastAsia="zh-CN" w:bidi="ar"/>
                <w14:textFill>
                  <w14:solidFill>
                    <w14:schemeClr w14:val="tx1"/>
                  </w14:solidFill>
                </w14:textFill>
              </w:rPr>
              <w:t>。</w:t>
            </w:r>
          </w:p>
        </w:tc>
        <w:tc>
          <w:tcPr>
            <w:tcW w:w="6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29</w:t>
            </w:r>
          </w:p>
        </w:tc>
        <w:tc>
          <w:tcPr>
            <w:tcW w:w="655"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p>
        </w:tc>
        <w:tc>
          <w:tcPr>
            <w:tcW w:w="2795" w:type="dxa"/>
            <w:gridSpan w:val="3"/>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人体感应探测器</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支持三大运营商网络</w:t>
            </w:r>
          </w:p>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电池容量：DC3.7V   850mAh</w:t>
            </w:r>
          </w:p>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待机时间：充满电可使用3-6个月（可充电）</w:t>
            </w:r>
          </w:p>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支持电池电量和信号值数据上传；支持低电量和信号弱报警</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安装于室内必经通道，起到防盗（防恶意闯入）以及记录老人活动轨迹的作用。当监测到有人经过（或长时间无人经过）时，信息实时推送至子女手机</w:t>
            </w:r>
            <w:r>
              <w:rPr>
                <w:rFonts w:hint="eastAsia" w:ascii="宋体" w:hAnsi="宋体" w:cs="宋体"/>
                <w:color w:val="000000" w:themeColor="text1"/>
                <w:kern w:val="0"/>
                <w:szCs w:val="21"/>
                <w:lang w:val="en-US" w:eastAsia="zh-CN" w:bidi="ar"/>
                <w14:textFill>
                  <w14:solidFill>
                    <w14:schemeClr w14:val="tx1"/>
                  </w14:solidFill>
                </w14:textFill>
              </w:rPr>
              <w:t>等人（机构），</w:t>
            </w:r>
            <w:r>
              <w:rPr>
                <w:rFonts w:hint="eastAsia" w:ascii="宋体" w:hAnsi="宋体" w:cs="宋体"/>
                <w:color w:val="000000" w:themeColor="text1"/>
                <w:kern w:val="0"/>
                <w:szCs w:val="21"/>
                <w:lang w:bidi="ar"/>
                <w14:textFill>
                  <w14:solidFill>
                    <w14:schemeClr w14:val="tx1"/>
                  </w14:solidFill>
                </w14:textFill>
              </w:rPr>
              <w:t>起到应急响应的作用</w:t>
            </w:r>
            <w:r>
              <w:rPr>
                <w:rFonts w:hint="eastAsia" w:ascii="宋体" w:hAnsi="宋体" w:cs="宋体"/>
                <w:color w:val="000000" w:themeColor="text1"/>
                <w:kern w:val="0"/>
                <w:szCs w:val="21"/>
                <w:lang w:eastAsia="zh-CN" w:bidi="ar"/>
                <w14:textFill>
                  <w14:solidFill>
                    <w14:schemeClr w14:val="tx1"/>
                  </w14:solidFill>
                </w14:textFill>
              </w:rPr>
              <w:t>。</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门磁感应器</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支持三大运营商网络</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安装间隔距离：小于1.5CM；无线传输方式：NB-IoT；支持电池电量和信号值数据上传；支持低电量和信号弱报警</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安装于进出主门，起到防盗（防恶意闯入）以及记录老人活动轨迹的作用。当监测到门打开时，信息实时推送至子女手机</w:t>
            </w:r>
            <w:r>
              <w:rPr>
                <w:rFonts w:hint="eastAsia" w:ascii="宋体" w:hAnsi="宋体" w:cs="宋体"/>
                <w:color w:val="000000" w:themeColor="text1"/>
                <w:kern w:val="0"/>
                <w:szCs w:val="21"/>
                <w:lang w:val="en-US" w:eastAsia="zh-CN" w:bidi="ar"/>
                <w14:textFill>
                  <w14:solidFill>
                    <w14:schemeClr w14:val="tx1"/>
                  </w14:solidFill>
                </w14:textFill>
              </w:rPr>
              <w:t>等人（机构）</w:t>
            </w:r>
            <w:r>
              <w:rPr>
                <w:rFonts w:hint="eastAsia" w:ascii="宋体" w:hAnsi="宋体" w:cs="宋体"/>
                <w:color w:val="000000" w:themeColor="text1"/>
                <w:kern w:val="0"/>
                <w:szCs w:val="21"/>
                <w:lang w:bidi="ar"/>
                <w14:textFill>
                  <w14:solidFill>
                    <w14:schemeClr w14:val="tx1"/>
                  </w14:solidFill>
                </w14:textFill>
              </w:rPr>
              <w:t>，起到应急响应的作用。</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1</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燃气泄漏报警器</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支持三大运营商网络</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探测气体：天然气（CH4）；传感器寿命：3年</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无线传输方式：NB-IoT </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支持周期上报，间隔小于24小时 ；支持NB-IoT信号值上传，信号低提示 </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可安装于厨房，监测火灾造成的空气中的可燃气体（天然气和液化气）的浓度。一旦触发后，设备本地蜂鸣报警。信息实时推送至子女手机</w:t>
            </w:r>
            <w:r>
              <w:rPr>
                <w:rFonts w:hint="eastAsia" w:ascii="宋体" w:hAnsi="宋体" w:cs="宋体"/>
                <w:color w:val="000000" w:themeColor="text1"/>
                <w:kern w:val="0"/>
                <w:szCs w:val="21"/>
                <w:lang w:val="en-US" w:eastAsia="zh-CN" w:bidi="ar"/>
                <w14:textFill>
                  <w14:solidFill>
                    <w14:schemeClr w14:val="tx1"/>
                  </w14:solidFill>
                </w14:textFill>
              </w:rPr>
              <w:t>等人（机构）</w:t>
            </w:r>
            <w:r>
              <w:rPr>
                <w:rFonts w:hint="eastAsia" w:ascii="宋体" w:hAnsi="宋体" w:cs="宋体"/>
                <w:color w:val="000000" w:themeColor="text1"/>
                <w:kern w:val="0"/>
                <w:szCs w:val="21"/>
                <w:lang w:bidi="ar"/>
                <w14:textFill>
                  <w14:solidFill>
                    <w14:schemeClr w14:val="tx1"/>
                  </w14:solidFill>
                </w14:textFill>
              </w:rPr>
              <w:t>，起到应急响应的作用。</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2</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溢水报警器</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工作电源：DC3.0V</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无线传输方式：NB-IoT（电信、移动、联通）</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待机时间：3年（每天不超过5次信号传输的情况下）；心跳时间：1次/天</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电池电量：锂锰电池 </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低电量报警：支持</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支持电池电量和信号值数据上传；支持低电量和信号弱报警</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可安装于厨房、卫生间，监测地面积水的情况。一旦触发后，设备本地蜂鸣报警。信息实时推送至子女手机</w:t>
            </w:r>
            <w:r>
              <w:rPr>
                <w:rFonts w:hint="eastAsia" w:ascii="宋体" w:hAnsi="宋体" w:cs="宋体"/>
                <w:color w:val="000000" w:themeColor="text1"/>
                <w:kern w:val="0"/>
                <w:szCs w:val="21"/>
                <w:lang w:val="en-US" w:eastAsia="zh-CN" w:bidi="ar"/>
                <w14:textFill>
                  <w14:solidFill>
                    <w14:schemeClr w14:val="tx1"/>
                  </w14:solidFill>
                </w14:textFill>
              </w:rPr>
              <w:t>等人（机构）</w:t>
            </w:r>
            <w:r>
              <w:rPr>
                <w:rFonts w:hint="eastAsia" w:ascii="宋体" w:hAnsi="宋体" w:cs="宋体"/>
                <w:color w:val="000000" w:themeColor="text1"/>
                <w:kern w:val="0"/>
                <w:szCs w:val="21"/>
                <w:lang w:bidi="ar"/>
                <w14:textFill>
                  <w14:solidFill>
                    <w14:schemeClr w14:val="tx1"/>
                  </w14:solidFill>
                </w14:textFill>
              </w:rPr>
              <w:t>，起到应急响应的作用。</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33</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烟雾报警器</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支持三大运营商网络</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探测类型：光电式感烟火灾探测；</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报警类型：烟感报警；电池低压报警，故障报警，防拆报警，测试报警；  </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通信指标 无线传输方式：NB-IoT    </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电池使用寿命3年 </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发生火灾及时报警，方便老人及时撤离</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1、安装简单不用布线，电池寿命长达1年；</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2、具有国家消防强制性产品认证证书，探测器灵敏度高；</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3、一旦发现烟雾，可立即报警；</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34</w:t>
            </w:r>
          </w:p>
        </w:tc>
        <w:tc>
          <w:tcPr>
            <w:tcW w:w="655"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辅具配备</w:t>
            </w:r>
          </w:p>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063"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助行拐杖</w:t>
            </w:r>
          </w:p>
        </w:tc>
        <w:tc>
          <w:tcPr>
            <w:tcW w:w="1732" w:type="dxa"/>
            <w:gridSpan w:val="2"/>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手杖</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材质：环保塑胶、铝合金</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助行走，助力，单脚底座</w:t>
            </w:r>
          </w:p>
        </w:tc>
        <w:tc>
          <w:tcPr>
            <w:tcW w:w="6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5</w:t>
            </w:r>
          </w:p>
        </w:tc>
        <w:tc>
          <w:tcPr>
            <w:tcW w:w="655"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063"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p>
        </w:tc>
        <w:tc>
          <w:tcPr>
            <w:tcW w:w="1732" w:type="dxa"/>
            <w:gridSpan w:val="2"/>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四脚拐杖</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材质：环保塑胶、铝合金</w:t>
            </w:r>
          </w:p>
        </w:tc>
        <w:tc>
          <w:tcPr>
            <w:tcW w:w="2991"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辅助腿脚不便的老人日常步行</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1、高度可调，满足不同身高老人的需求；</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2、四脚底座，更稳更安全</w:t>
            </w:r>
          </w:p>
        </w:tc>
        <w:tc>
          <w:tcPr>
            <w:tcW w:w="6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6</w:t>
            </w:r>
          </w:p>
        </w:tc>
        <w:tc>
          <w:tcPr>
            <w:tcW w:w="655"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063"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带凳</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拐杖</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1、座板：PVC材质</w:t>
            </w:r>
          </w:p>
        </w:tc>
        <w:tc>
          <w:tcPr>
            <w:tcW w:w="2991"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助力行走打开后可以坐立方便休息</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7</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助行器</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1、铝合金材质，永不生锈；</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2、腿部高度可调，适合不同身高；</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3、把手采用高密度PVC材质，防滑不断裂；</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4、双把手设计，适用不同环境使用</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5、天然橡胶脚垫，更耐用、更防滑，内藏金属垫片，更加强其耐用性；</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6、折叠方便，占地面积小；橡胶脚垫</w:t>
            </w:r>
          </w:p>
        </w:tc>
        <w:tc>
          <w:tcPr>
            <w:tcW w:w="2991"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方便老人出行。</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38</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063"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轮椅</w:t>
            </w: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手动轮椅</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1、产品符合GB/T 13800-2009《手动轮椅车》国家标准；</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2、具体参数如下：</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1）车架为钢管材料，波浪式手推圈手驱动后轮，可折叠，双支撑架，安全结构好，表面喷涂处理，美观耐用；</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2）固定扶手，活动脚踏板，高度可调；</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3）驻车装置制动后低于座面,刹车为带钢制的驻立刹车，安全可靠，轮椅车配备安全带G。</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方便老人出行。</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辆</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9</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063"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助浴椅</w:t>
            </w: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可折叠助浴椅</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高强度铝合金，喷粉处理；坐板吹塑件，材质HDPE；扶手PP材质；坐垫、靠背EVA材质；防霉防滑EOE材质脚垫；座板高度六档调节：</w:t>
            </w:r>
            <w:r>
              <w:rPr>
                <w:rFonts w:ascii="宋体" w:hAnsi="宋体" w:cs="宋体"/>
                <w:color w:val="000000" w:themeColor="text1"/>
                <w:kern w:val="0"/>
                <w:szCs w:val="21"/>
                <w:lang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承重：≥100KG；</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符合SGS环保要求的高弹性EVA座垫。</w:t>
            </w:r>
          </w:p>
        </w:tc>
        <w:tc>
          <w:tcPr>
            <w:tcW w:w="2991"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辅助老年人洗澡用，避免老年人滑倒，提高安全性。</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063"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固定式助浴椅</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免工具安装式设计；</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加大吸盘脚垫防滑设计</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靠背拉力、扶手承重、防滑性、静电荷测试。</w:t>
            </w:r>
          </w:p>
        </w:tc>
        <w:tc>
          <w:tcPr>
            <w:tcW w:w="2991"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41</w:t>
            </w:r>
          </w:p>
        </w:tc>
        <w:tc>
          <w:tcPr>
            <w:tcW w:w="65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辅具配备</w:t>
            </w:r>
          </w:p>
        </w:tc>
        <w:tc>
          <w:tcPr>
            <w:tcW w:w="1063"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防褥疮系列</w:t>
            </w: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坐垫</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材质：优质PVC材质；多孔设计，更加透气；</w:t>
            </w:r>
          </w:p>
        </w:tc>
        <w:tc>
          <w:tcPr>
            <w:tcW w:w="2991"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防止长期卧床老人生褥疮</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r>
              <w:rPr>
                <w:rFonts w:ascii="宋体" w:hAnsi="宋体" w:cs="宋体"/>
                <w:color w:val="000000" w:themeColor="text1"/>
                <w:kern w:val="0"/>
                <w:szCs w:val="21"/>
                <w:lang w:bidi="ar"/>
                <w14:textFill>
                  <w14:solidFill>
                    <w14:schemeClr w14:val="tx1"/>
                  </w14:solidFill>
                </w14:textFill>
              </w:rPr>
              <w:t>2</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063"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床垫</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材质：PVC</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1.条形波动，带有微型喷气孔。</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2.交替充气。</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3.低噪音设计。</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4.气条可单独拆卸，方便更换。</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5.微电脑控制气囊换气</w:t>
            </w:r>
          </w:p>
        </w:tc>
        <w:tc>
          <w:tcPr>
            <w:tcW w:w="2991"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张</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r>
              <w:rPr>
                <w:rFonts w:ascii="宋体" w:hAnsi="宋体" w:cs="宋体"/>
                <w:color w:val="000000" w:themeColor="text1"/>
                <w:kern w:val="0"/>
                <w:szCs w:val="21"/>
                <w:lang w:bidi="ar"/>
                <w14:textFill>
                  <w14:solidFill>
                    <w14:schemeClr w14:val="tx1"/>
                  </w14:solidFill>
                </w14:textFill>
              </w:rPr>
              <w:t>3</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坐便椅</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材质：高碳钢</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把手材质：PE吹塑。</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坐便椅（带便桶）方便体弱或行动不方便的老年人就近如厕，一般放于卧室。</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r>
              <w:rPr>
                <w:rFonts w:ascii="宋体" w:hAnsi="宋体" w:cs="宋体"/>
                <w:color w:val="000000" w:themeColor="text1"/>
                <w:kern w:val="0"/>
                <w:szCs w:val="21"/>
                <w:lang w:bidi="ar"/>
                <w14:textFill>
                  <w14:solidFill>
                    <w14:schemeClr w14:val="tx1"/>
                  </w14:solidFill>
                </w14:textFill>
              </w:rPr>
              <w:t>4</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接尿器</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医用乳胶材质</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男士专用</w:t>
            </w:r>
          </w:p>
        </w:tc>
        <w:tc>
          <w:tcPr>
            <w:tcW w:w="2991"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辅助老人如厕</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45</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便盆</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pp材质</w:t>
            </w:r>
          </w:p>
        </w:tc>
        <w:tc>
          <w:tcPr>
            <w:tcW w:w="2991"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46</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279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助听器</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全数字信号处理，专业噪音过滤系统4通道、8频段数字处理技术；                                                   内置高保真反馈抑制系统，有效防止啸叫，使用更舒适                              </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4个调节程序，满足不同的听力补偿需求 。                                                            </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帮助老年人听清声音来源，增加与周围的交流，改善心理健康状况； 适用范围：中、重度听力残疾老年人听清声音来源。</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47</w:t>
            </w:r>
          </w:p>
        </w:tc>
        <w:tc>
          <w:tcPr>
            <w:tcW w:w="65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辅具配备</w:t>
            </w:r>
          </w:p>
        </w:tc>
        <w:tc>
          <w:tcPr>
            <w:tcW w:w="2795" w:type="dxa"/>
            <w:gridSpan w:val="3"/>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放大镜指甲剪</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材质：碳钢+ABS+PP</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指甲钳和放大镜均为大尺寸，使用更加舒适，便捷；焦距可上下前后调节，适合各种年龄的人群使用；塑料壳防止使用时指甲飞溅，剪完后抽出指甲剪倒掉指甲屑，干净卫生。</w:t>
            </w:r>
          </w:p>
        </w:tc>
        <w:tc>
          <w:tcPr>
            <w:tcW w:w="2991"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方便视力不佳的老年人修剪指甲，方便家居生活。</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r>
              <w:rPr>
                <w:rFonts w:ascii="宋体" w:hAnsi="宋体" w:cs="宋体"/>
                <w:color w:val="000000" w:themeColor="text1"/>
                <w:kern w:val="0"/>
                <w:szCs w:val="21"/>
                <w:lang w:bidi="ar"/>
                <w14:textFill>
                  <w14:solidFill>
                    <w14:schemeClr w14:val="tx1"/>
                  </w14:solidFill>
                </w14:textFill>
              </w:rPr>
              <w:t>8</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2795" w:type="dxa"/>
            <w:gridSpan w:val="3"/>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助食餐具</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助食筷可帮助一些手部僵硬、中风、挛缩的病人，自主进食。                   助食勺和助食叉能在水平140°、轴向旋转360°的空间范围内任意调整及锁定位置，并保持其状态。</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碗体为食品级PP塑料，吸盘为无毒级硅胶。</w:t>
            </w:r>
          </w:p>
        </w:tc>
        <w:tc>
          <w:tcPr>
            <w:tcW w:w="2991"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辅助手部活动不便的老人自主进食</w:t>
            </w:r>
          </w:p>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1、材质均采用食品级，更安全健康；</w:t>
            </w:r>
          </w:p>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2、助食勺、叉均可任意调整锁定位置；</w:t>
            </w:r>
          </w:p>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3、助食碗底部有吸盘，防止碗滑动倾倒</w:t>
            </w:r>
          </w:p>
        </w:tc>
        <w:tc>
          <w:tcPr>
            <w:tcW w:w="6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套</w:t>
            </w:r>
          </w:p>
        </w:tc>
        <w:tc>
          <w:tcPr>
            <w:tcW w:w="10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49</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2795" w:type="dxa"/>
            <w:gridSpan w:val="3"/>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门铃</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材质：ABS材料</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音量调节：四级音量/带静音功能                                 发射距离：&gt;200m </w:t>
            </w:r>
          </w:p>
        </w:tc>
        <w:tc>
          <w:tcPr>
            <w:tcW w:w="2991"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辅助听力减退老年人，或高龄独居老人生活便利</w:t>
            </w:r>
          </w:p>
        </w:tc>
        <w:tc>
          <w:tcPr>
            <w:tcW w:w="6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65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c>
          <w:tcPr>
            <w:tcW w:w="107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50</w:t>
            </w:r>
          </w:p>
        </w:tc>
        <w:tc>
          <w:tcPr>
            <w:tcW w:w="65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辅具</w:t>
            </w:r>
          </w:p>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配备</w:t>
            </w:r>
          </w:p>
        </w:tc>
        <w:tc>
          <w:tcPr>
            <w:tcW w:w="1063"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适老家具配置</w:t>
            </w: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适老</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餐桌</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采用优质实木，具有较良好的总体强度性能，良好的抗震力；                                 </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台面：实木多层板贴水曲柳实木木皮，设计安全角，无缝拼接边角处采用倒圆工艺。                                                                                                               </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油漆采用国内品牌油漆，成品纹理清晰、表层饱满、光泽润亮。涂装无桔皮、发白、流挂、泪油现象。</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四角圆弧处理，更好的保护老人</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51</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063"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适老椅</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框架弯曲木， 靠背外框+扶手+前后脚为一个完整件，无榫接、胶粘等组装方式，具有较良好的强度性能和抗震力。</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海绵采用阻燃、高密度、高弹海绵，可有效防止褥疮。</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面料采用具有耐磨防水、抗菌防霉、防火阻燃、耐医疗消毒剂特性的PU皮；</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油漆：采用品牌油漆，成品纹理清晰、表层饱满、光泽润亮。</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适老化设计，增加舒适性和安全性。坐垫易清洗和消毒。防褥疮材质。方便老人进出坐椅，方便老人移动。</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2</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p>
        </w:tc>
        <w:tc>
          <w:tcPr>
            <w:tcW w:w="1063"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换鞋凳</w:t>
            </w:r>
          </w:p>
        </w:tc>
        <w:tc>
          <w:tcPr>
            <w:tcW w:w="3532"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框架采用优质橡胶木更加耐用，腿部使用橡胶实木，耐用美观</w:t>
            </w:r>
          </w:p>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环保油漆，成品纹理清晰、表层饱满、光泽润亮。涂装要求无桔皮、发白、流挂、泪油现象。软包优质油蜡皮。</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方便老人坐下换鞋，减少安全隐患</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个</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53</w:t>
            </w:r>
          </w:p>
        </w:tc>
        <w:tc>
          <w:tcPr>
            <w:tcW w:w="655"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辅具配备</w:t>
            </w:r>
          </w:p>
        </w:tc>
        <w:tc>
          <w:tcPr>
            <w:tcW w:w="1063"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适老家具配置</w:t>
            </w:r>
          </w:p>
        </w:tc>
        <w:tc>
          <w:tcPr>
            <w:tcW w:w="173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手摇护理床</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床面板采用优质钢网焊接而成，段与段之间留有间隙槽，透气防湿，有效预防压疮；双侧可插式护栏,床头尾实现快速拆卸，满足临床急救需求。床垫与床尺寸配套 。</w:t>
            </w:r>
          </w:p>
        </w:tc>
        <w:tc>
          <w:tcPr>
            <w:tcW w:w="2991"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方便老年人在床上进行日常活动，以便提供更好的护理体验。</w:t>
            </w:r>
          </w:p>
        </w:tc>
        <w:tc>
          <w:tcPr>
            <w:tcW w:w="69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38"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54</w:t>
            </w:r>
          </w:p>
        </w:tc>
        <w:tc>
          <w:tcPr>
            <w:tcW w:w="655"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p>
        </w:tc>
        <w:tc>
          <w:tcPr>
            <w:tcW w:w="1063"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p>
        </w:tc>
        <w:tc>
          <w:tcPr>
            <w:tcW w:w="1732" w:type="dxa"/>
            <w:gridSpan w:val="2"/>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床边桌</w:t>
            </w:r>
          </w:p>
        </w:tc>
        <w:tc>
          <w:tcPr>
            <w:tcW w:w="3532" w:type="dxa"/>
            <w:vAlign w:val="center"/>
          </w:tcPr>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铝、塑、木混合材质</w:t>
            </w:r>
          </w:p>
          <w:p>
            <w:pPr>
              <w:keepNext w:val="0"/>
              <w:keepLines w:val="0"/>
              <w:pageBreakBefore w:val="0"/>
              <w:kinsoku/>
              <w:wordWrap/>
              <w:overflowPunct/>
              <w:topLinePunct w:val="0"/>
              <w:autoSpaceDE/>
              <w:autoSpaceDN/>
              <w:bidi w:val="0"/>
              <w:adjustRightInd/>
              <w:snapToGrid/>
              <w:spacing w:line="340" w:lineRule="exact"/>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桌架立柱采用铝型材焊接而成，表面静电喷塑，自然时效后氧化处理；桌架底盘采用冷轧钢板冲压成型，表面除锈，静电喷涂，抗老化不生锈；注塑封边桌面，桌面凹型设计，方便老人或者病人进餐；四脚采用全制动双轴承橡胶脚轮，转动灵活，带刹车、控制在确定位置；升降装置采用优质可调阻尼器调节高度。</w:t>
            </w:r>
          </w:p>
        </w:tc>
        <w:tc>
          <w:tcPr>
            <w:tcW w:w="2991"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实现卧床老人进食、阅读、写字等需求</w:t>
            </w:r>
          </w:p>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1、采用安全环保材质，带脚轮，方便移动；</w:t>
            </w:r>
          </w:p>
          <w:p>
            <w:pPr>
              <w:keepNext w:val="0"/>
              <w:keepLines w:val="0"/>
              <w:pageBreakBefore w:val="0"/>
              <w:kinsoku/>
              <w:wordWrap/>
              <w:overflowPunct/>
              <w:topLinePunct w:val="0"/>
              <w:autoSpaceDE/>
              <w:autoSpaceDN/>
              <w:bidi w:val="0"/>
              <w:adjustRightInd/>
              <w:snapToGrid/>
              <w:spacing w:line="340" w:lineRule="exact"/>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2、桌面可升降，匹配不同老人对高度的需求。</w:t>
            </w:r>
          </w:p>
        </w:tc>
        <w:tc>
          <w:tcPr>
            <w:tcW w:w="69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65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张</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3036" w:type="dxa"/>
            <w:gridSpan w:val="1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default" w:ascii="宋体" w:hAnsi="宋体" w:eastAsia="宋体" w:cs="宋体"/>
                <w:b/>
                <w:bCs/>
                <w:color w:val="000000" w:themeColor="text1"/>
                <w:kern w:val="0"/>
                <w:sz w:val="22"/>
                <w:szCs w:val="22"/>
                <w:lang w:val="en-US" w:eastAsia="zh-CN" w:bidi="ar"/>
                <w14:textFill>
                  <w14:solidFill>
                    <w14:schemeClr w14:val="tx1"/>
                  </w14:solidFill>
                </w14:textFill>
              </w:rPr>
            </w:pPr>
            <w:r>
              <w:rPr>
                <w:rFonts w:hint="eastAsia" w:ascii="宋体" w:hAnsi="宋体" w:cs="宋体"/>
                <w:b/>
                <w:bCs/>
                <w:color w:val="000000" w:themeColor="text1"/>
                <w:kern w:val="0"/>
                <w:sz w:val="22"/>
                <w:szCs w:val="22"/>
                <w:lang w:val="en-US" w:eastAsia="zh-CN" w:bidi="ar"/>
                <w14:textFill>
                  <w14:solidFill>
                    <w14:schemeClr w14:val="tx1"/>
                  </w14:solidFill>
                </w14:textFill>
              </w:rPr>
              <w:t>备注：参考单价仅作参考，中标方提供的《桂林市特殊困难老年人家庭适老化改造方案及结果确认表》必须经采购方确认方可实施。</w:t>
            </w:r>
          </w:p>
        </w:tc>
      </w:tr>
    </w:tbl>
    <w:p>
      <w:pPr>
        <w:jc w:val="left"/>
        <w:rPr>
          <w:rFonts w:ascii="宋体" w:hAnsi="宋体" w:cs="宋体"/>
          <w:color w:val="000000" w:themeColor="text1"/>
          <w:kern w:val="0"/>
          <w:szCs w:val="21"/>
          <w:lang w:bidi="ar"/>
          <w14:textFill>
            <w14:solidFill>
              <w14:schemeClr w14:val="tx1"/>
            </w14:solidFill>
          </w14:textFill>
        </w:rPr>
      </w:pPr>
    </w:p>
    <w:p>
      <w:pPr>
        <w:pStyle w:val="63"/>
        <w:rPr>
          <w:color w:val="000000" w:themeColor="text1"/>
          <w:highlight w:val="none"/>
          <w14:textFill>
            <w14:solidFill>
              <w14:schemeClr w14:val="tx1"/>
            </w14:solidFill>
          </w14:textFill>
        </w:rPr>
        <w:sectPr>
          <w:headerReference r:id="rId4" w:type="default"/>
          <w:footerReference r:id="rId5" w:type="default"/>
          <w:pgSz w:w="16838" w:h="11906" w:orient="landscape"/>
          <w:pgMar w:top="1080" w:right="1440" w:bottom="1080" w:left="1440" w:header="851" w:footer="992" w:gutter="0"/>
          <w:pgNumType w:start="1"/>
          <w:cols w:space="720" w:num="1"/>
          <w:docGrid w:type="linesAndChars" w:linePitch="312" w:charSpace="0"/>
        </w:sectPr>
      </w:pPr>
    </w:p>
    <w:p>
      <w:pPr>
        <w:pStyle w:val="27"/>
        <w:pageBreakBefore/>
        <w:snapToGrid w:val="0"/>
        <w:spacing w:before="120" w:after="120"/>
        <w:jc w:val="both"/>
        <w:outlineLvl w:val="0"/>
        <w:rPr>
          <w:rFonts w:hint="eastAsia" w:eastAsia="宋体" w:asciiTheme="minorEastAsia" w:hAnsiTheme="minorEastAsia" w:cstheme="minorEastAsia"/>
          <w:b/>
          <w:color w:val="000000" w:themeColor="text1"/>
          <w:sz w:val="44"/>
          <w:szCs w:val="44"/>
          <w:highlight w:val="none"/>
          <w:lang w:eastAsia="zh-CN"/>
          <w14:textFill>
            <w14:solidFill>
              <w14:schemeClr w14:val="tx1"/>
            </w14:solidFill>
          </w14:textFill>
        </w:rPr>
      </w:pPr>
      <w:bookmarkStart w:id="5" w:name="_Toc254970690"/>
      <w:bookmarkStart w:id="6" w:name="_Toc254970549"/>
      <w:r>
        <w:rPr>
          <w:color w:val="000000" w:themeColor="text1"/>
          <w:highlight w:val="none"/>
          <w14:textFill>
            <w14:solidFill>
              <w14:schemeClr w14:val="tx1"/>
            </w14:solidFill>
          </w14:textFill>
        </w:rPr>
        <w:t>说明：</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1.采购人有权因项目实际情况需要书面通知增加或者取消部分项目，供应商不得拒绝或借机调整价格，否则视为单方违约，并赔偿由此造成的全部损失。</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2.供应商的投标报价中应包含了本项目的实施以及质量保证期的全部费用。</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3.投标报价是本采购文件所包含确定的全部工作内容及本采购文件未说明但完成该项目必须包含的所有费用的价格体现。投标报价应包含全部货物、设备制造、材料费、人工、机械、包装费、运输费（含运输保险费）、仓储、保险、卸力费、安装费、调试费、检测费、验收费、维护人员培训费、技术文件费（如果有的话）、售后服务费、管理费、税费、利润、政策风险、质保期内保证系统正常运行及维护所必需的备品备件和专用工具费；完成本项目发生的所有含税费用、支付给员工的工资和国家强制缴纳的各种社会保障资金，以及供应商认为需要的其他费用等。同时，投标报价须含基础施工（含拆除）等。</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4.投标供应商的任何错漏、优惠、竞争性报价不得作为减轻责任、减少服务、增加收费、降低质量的理由。</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5.包装要求及费用承担：按供应商的标准包装，但应考虑到防漏、防潮、防震、防盗和可能会发生的野蛮装卸等内陆运输及多次装卸之需要。费用包含在投标最终报价中，由成交供应商承担</w:t>
      </w:r>
      <w:r>
        <w:rPr>
          <w:rFonts w:hint="eastAsia"/>
          <w:color w:val="000000" w:themeColor="text1"/>
          <w:highlight w:val="none"/>
          <w:lang w:eastAsia="zh-CN"/>
          <w14:textFill>
            <w14:solidFill>
              <w14:schemeClr w14:val="tx1"/>
            </w14:solidFill>
          </w14:textFill>
        </w:rPr>
        <w:t>。</w:t>
      </w:r>
    </w:p>
    <w:p>
      <w:pPr>
        <w:pStyle w:val="27"/>
        <w:pageBreakBefore/>
        <w:snapToGrid w:val="0"/>
        <w:spacing w:before="120" w:after="120"/>
        <w:jc w:val="center"/>
        <w:outlineLvl w:val="0"/>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t>第四章 评标办法</w:t>
      </w:r>
    </w:p>
    <w:p>
      <w:pPr>
        <w:spacing w:line="312" w:lineRule="auto"/>
        <w:ind w:firstLine="482" w:firstLineChars="200"/>
        <w:jc w:val="left"/>
        <w:outlineLvl w:val="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一、投标文件评审（初步评审）：</w:t>
      </w:r>
    </w:p>
    <w:p>
      <w:pPr>
        <w:tabs>
          <w:tab w:val="left" w:pos="1140"/>
        </w:tabs>
        <w:spacing w:line="312"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1、采购人依据法律法规和招标文件的规定，对投标文件中的资格证明进行资格性审查，以确定投标供应商是否具备投标资格。</w:t>
      </w:r>
    </w:p>
    <w:p>
      <w:pPr>
        <w:tabs>
          <w:tab w:val="left" w:pos="1140"/>
        </w:tabs>
        <w:spacing w:line="312"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2、评标委员会依据招标文件的规定，</w:t>
      </w:r>
      <w:r>
        <w:rPr>
          <w:rFonts w:hint="eastAsia" w:ascii="宋体" w:hAnsi="宋体" w:cs="宋体"/>
          <w:color w:val="000000" w:themeColor="text1"/>
          <w:szCs w:val="21"/>
          <w14:textFill>
            <w14:solidFill>
              <w14:schemeClr w14:val="tx1"/>
            </w14:solidFill>
          </w14:textFill>
        </w:rPr>
        <w:t>对符合资格的投标人的投标文件进行符合性审查</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以确定其是否满足招标文件的实质性要求</w:t>
      </w:r>
      <w:r>
        <w:rPr>
          <w:rFonts w:hint="eastAsia" w:ascii="宋体" w:hAnsi="宋体"/>
          <w:color w:val="000000" w:themeColor="text1"/>
          <w:szCs w:val="21"/>
          <w14:textFill>
            <w14:solidFill>
              <w14:schemeClr w14:val="tx1"/>
            </w14:solidFill>
          </w14:textFill>
        </w:rPr>
        <w:t>。</w:t>
      </w:r>
    </w:p>
    <w:p>
      <w:pPr>
        <w:pStyle w:val="27"/>
        <w:spacing w:line="312" w:lineRule="auto"/>
        <w:ind w:firstLine="422" w:firstLineChars="200"/>
        <w:rPr>
          <w:rFonts w:hint="eastAsia" w:hAnsi="宋体"/>
          <w:b/>
          <w:bCs/>
          <w:color w:val="000000" w:themeColor="text1"/>
          <w:sz w:val="24"/>
          <w14:textFill>
            <w14:solidFill>
              <w14:schemeClr w14:val="tx1"/>
            </w14:solidFill>
          </w14:textFill>
        </w:rPr>
      </w:pPr>
      <w:r>
        <w:rPr>
          <w:rFonts w:hint="eastAsia" w:hAnsi="宋体"/>
          <w:b/>
          <w:color w:val="000000" w:themeColor="text1"/>
          <w:szCs w:val="21"/>
          <w14:textFill>
            <w14:solidFill>
              <w14:schemeClr w14:val="tx1"/>
            </w14:solidFill>
          </w14:textFill>
        </w:rPr>
        <w:t>二、</w:t>
      </w:r>
      <w:r>
        <w:rPr>
          <w:rFonts w:hint="eastAsia" w:hAnsi="宋体"/>
          <w:b/>
          <w:bCs/>
          <w:color w:val="000000" w:themeColor="text1"/>
          <w:sz w:val="24"/>
          <w14:textFill>
            <w14:solidFill>
              <w14:schemeClr w14:val="tx1"/>
            </w14:solidFill>
          </w14:textFill>
        </w:rPr>
        <w:t>投标文件评审（详细评审）</w:t>
      </w:r>
    </w:p>
    <w:p>
      <w:pPr>
        <w:pStyle w:val="27"/>
        <w:spacing w:line="312" w:lineRule="auto"/>
        <w:ind w:firstLine="420" w:firstLineChars="200"/>
        <w:rPr>
          <w:rFonts w:hint="eastAsia" w:hAnsi="宋体"/>
          <w:b/>
          <w:bCs/>
          <w:color w:val="000000" w:themeColor="text1"/>
          <w:sz w:val="24"/>
          <w14:textFill>
            <w14:solidFill>
              <w14:schemeClr w14:val="tx1"/>
            </w14:solidFill>
          </w14:textFill>
        </w:rPr>
      </w:pPr>
      <w:r>
        <w:rPr>
          <w:rFonts w:hint="eastAsia" w:hAnsi="宋体"/>
          <w:color w:val="000000" w:themeColor="text1"/>
          <w:szCs w:val="21"/>
          <w14:textFill>
            <w14:solidFill>
              <w14:schemeClr w14:val="tx1"/>
            </w14:solidFill>
          </w14:textFill>
        </w:rPr>
        <w:t>（一）评标依据：评标委员会以招标文件和投标文件为评标依据，对投标人的投标报价、</w:t>
      </w:r>
      <w:r>
        <w:rPr>
          <w:rFonts w:hint="eastAsia" w:hAnsi="宋体"/>
          <w:color w:val="000000" w:themeColor="text1"/>
          <w14:textFill>
            <w14:solidFill>
              <w14:schemeClr w14:val="tx1"/>
            </w14:solidFill>
          </w14:textFill>
        </w:rPr>
        <w:t>服务实施方案、履约能力、服务承诺</w:t>
      </w:r>
      <w:r>
        <w:rPr>
          <w:rFonts w:hint="eastAsia" w:hAnsi="宋体"/>
          <w:color w:val="000000" w:themeColor="text1"/>
          <w:szCs w:val="21"/>
          <w14:textFill>
            <w14:solidFill>
              <w14:schemeClr w14:val="tx1"/>
            </w14:solidFill>
          </w14:textFill>
        </w:rPr>
        <w:t>等方面内容按百分制打分。</w:t>
      </w:r>
    </w:p>
    <w:p>
      <w:pPr>
        <w:pStyle w:val="27"/>
        <w:spacing w:line="312" w:lineRule="auto"/>
        <w:ind w:firstLine="420" w:firstLineChars="200"/>
        <w:rPr>
          <w:rFonts w:hint="eastAsia" w:hAnsi="宋体"/>
          <w:b/>
          <w:bCs/>
          <w:color w:val="000000" w:themeColor="text1"/>
          <w:sz w:val="24"/>
          <w14:textFill>
            <w14:solidFill>
              <w14:schemeClr w14:val="tx1"/>
            </w14:solidFill>
          </w14:textFill>
        </w:rPr>
      </w:pPr>
      <w:r>
        <w:rPr>
          <w:rFonts w:hint="eastAsia" w:hAnsi="宋体"/>
          <w:color w:val="000000" w:themeColor="text1"/>
          <w:szCs w:val="21"/>
          <w14:textFill>
            <w14:solidFill>
              <w14:schemeClr w14:val="tx1"/>
            </w14:solidFill>
          </w14:textFill>
        </w:rPr>
        <w:t>（二）评标方式：以封闭方式进行评标。</w:t>
      </w:r>
    </w:p>
    <w:p>
      <w:pPr>
        <w:pStyle w:val="27"/>
        <w:spacing w:line="312"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（三）根据财库〔2012〕69号文规定，采购人和采购代理机构、评标委员会成员要严格遵守政府采购相关法律制度，依法履行各自职责，公正、客观、审慎地组织和参与评审工作。</w:t>
      </w:r>
    </w:p>
    <w:p>
      <w:pPr>
        <w:pStyle w:val="27"/>
        <w:spacing w:line="312" w:lineRule="auto"/>
        <w:ind w:firstLine="420" w:firstLineChars="20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（四）评标方法：</w:t>
      </w:r>
      <w:r>
        <w:rPr>
          <w:rFonts w:hint="eastAsia" w:hAnsi="宋体"/>
          <w:color w:val="000000" w:themeColor="text1"/>
          <w:szCs w:val="21"/>
          <w14:textFill>
            <w14:solidFill>
              <w14:schemeClr w14:val="tx1"/>
            </w14:solidFill>
          </w14:textFill>
        </w:rPr>
        <w:t>对进入详评的，采用百分制综合评分法。</w:t>
      </w:r>
    </w:p>
    <w:p>
      <w:pPr>
        <w:pStyle w:val="27"/>
        <w:spacing w:line="312" w:lineRule="auto"/>
        <w:ind w:firstLine="420" w:firstLineChars="200"/>
        <w:outlineLvl w:val="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（五）计分办法（</w:t>
      </w:r>
      <w:r>
        <w:rPr>
          <w:rFonts w:hint="eastAsia" w:hAnsi="宋体"/>
          <w:bCs/>
          <w:color w:val="000000" w:themeColor="text1"/>
          <w:szCs w:val="21"/>
          <w14:textFill>
            <w14:solidFill>
              <w14:schemeClr w14:val="tx1"/>
            </w14:solidFill>
          </w14:textFill>
        </w:rPr>
        <w:t>按四舍五入取至小数点后二位</w:t>
      </w:r>
      <w:r>
        <w:rPr>
          <w:rFonts w:hint="eastAsia" w:hAnsi="宋体"/>
          <w:color w:val="000000" w:themeColor="text1"/>
          <w:szCs w:val="21"/>
          <w14:textFill>
            <w14:solidFill>
              <w14:schemeClr w14:val="tx1"/>
            </w14:solidFill>
          </w14:textFill>
        </w:rPr>
        <w:t>）：</w:t>
      </w:r>
    </w:p>
    <w:tbl>
      <w:tblPr>
        <w:tblStyle w:val="53"/>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134"/>
        <w:gridCol w:w="7500"/>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jc w:val="center"/>
        </w:trPr>
        <w:tc>
          <w:tcPr>
            <w:tcW w:w="423"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autoSpaceDE w:val="0"/>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序号</w:t>
            </w:r>
          </w:p>
        </w:tc>
        <w:tc>
          <w:tcPr>
            <w:tcW w:w="1134" w:type="dxa"/>
            <w:tcBorders>
              <w:top w:val="single" w:color="auto" w:sz="4" w:space="0"/>
              <w:left w:val="nil"/>
              <w:bottom w:val="single" w:color="auto" w:sz="4" w:space="0"/>
              <w:right w:val="single" w:color="auto" w:sz="4" w:space="0"/>
            </w:tcBorders>
            <w:shd w:val="clear" w:color="auto" w:fill="8DB3E2"/>
            <w:vAlign w:val="center"/>
          </w:tcPr>
          <w:p>
            <w:pPr>
              <w:widowControl/>
              <w:autoSpaceDE w:val="0"/>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评审因素</w:t>
            </w:r>
          </w:p>
        </w:tc>
        <w:tc>
          <w:tcPr>
            <w:tcW w:w="7500" w:type="dxa"/>
            <w:tcBorders>
              <w:top w:val="single" w:color="auto" w:sz="4" w:space="0"/>
              <w:left w:val="nil"/>
              <w:bottom w:val="single" w:color="auto" w:sz="4" w:space="0"/>
              <w:right w:val="single" w:color="auto" w:sz="4" w:space="0"/>
            </w:tcBorders>
            <w:shd w:val="clear" w:color="auto" w:fill="8DB3E2"/>
            <w:vAlign w:val="center"/>
          </w:tcPr>
          <w:p>
            <w:pPr>
              <w:widowControl/>
              <w:autoSpaceDE w:val="0"/>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评审因素具体内容</w:t>
            </w:r>
          </w:p>
        </w:tc>
        <w:tc>
          <w:tcPr>
            <w:tcW w:w="728" w:type="dxa"/>
            <w:tcBorders>
              <w:top w:val="single" w:color="auto" w:sz="4" w:space="0"/>
              <w:left w:val="nil"/>
              <w:bottom w:val="single" w:color="auto" w:sz="4" w:space="0"/>
              <w:right w:val="single" w:color="auto" w:sz="4" w:space="0"/>
            </w:tcBorders>
            <w:shd w:val="clear" w:color="auto" w:fill="8DB3E2"/>
            <w:vAlign w:val="center"/>
          </w:tcPr>
          <w:p>
            <w:pPr>
              <w:widowControl/>
              <w:autoSpaceDE w:val="0"/>
              <w:jc w:val="center"/>
              <w:rPr>
                <w:rFonts w:ascii="宋体" w:hAnsi="宋体"/>
                <w:b/>
                <w:bCs/>
                <w:color w:val="000000" w:themeColor="text1"/>
                <w:kern w:val="0"/>
                <w14:textFill>
                  <w14:solidFill>
                    <w14:schemeClr w14:val="tx1"/>
                  </w14:solidFill>
                </w14:textFill>
              </w:rPr>
            </w:pPr>
            <w:r>
              <w:rPr>
                <w:rFonts w:hint="eastAsia" w:ascii="宋体" w:hAnsi="宋体"/>
                <w:b/>
                <w:bCs/>
                <w:color w:val="000000" w:themeColor="text1"/>
                <w:kern w:val="0"/>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pPr>
              <w:widowControl/>
              <w:autoSpaceDE w:val="0"/>
              <w:spacing w:before="156" w:beforeLines="50"/>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w:t>
            </w:r>
          </w:p>
        </w:tc>
        <w:tc>
          <w:tcPr>
            <w:tcW w:w="1134" w:type="dxa"/>
            <w:tcBorders>
              <w:top w:val="single" w:color="auto" w:sz="4" w:space="0"/>
              <w:left w:val="nil"/>
              <w:bottom w:val="single" w:color="auto" w:sz="4" w:space="0"/>
              <w:right w:val="single" w:color="auto" w:sz="4" w:space="0"/>
            </w:tcBorders>
            <w:vAlign w:val="center"/>
          </w:tcPr>
          <w:p>
            <w:pPr>
              <w:widowControl/>
              <w:autoSpaceDE w:val="0"/>
              <w:spacing w:before="156" w:beforeLines="50"/>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价格分</w:t>
            </w:r>
          </w:p>
        </w:tc>
        <w:tc>
          <w:tcPr>
            <w:tcW w:w="7500"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1、以进入比较与评价环节的最低的评审价为基准价，基准价得分为30分。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2、价格分计算公式：</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bCs/>
                <w:color w:val="000000" w:themeColor="text1"/>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报价得分=（基准价/评审价）×30分</w:t>
            </w:r>
          </w:p>
        </w:tc>
        <w:tc>
          <w:tcPr>
            <w:tcW w:w="728"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pPr>
              <w:widowControl/>
              <w:autoSpaceDE w:val="0"/>
              <w:spacing w:before="156" w:beforeLines="50"/>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w:t>
            </w:r>
          </w:p>
        </w:tc>
        <w:tc>
          <w:tcPr>
            <w:tcW w:w="1134"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入户需求调查评估方案</w:t>
            </w:r>
          </w:p>
        </w:tc>
        <w:tc>
          <w:tcPr>
            <w:tcW w:w="7500"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根据投标人提供的前期入户需求调查评估方案（内容包括但不限于入户调查、工作流程、评估质量保障措施、台账管理等）内容进行综合评审：</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一档：入户需求调查评估方案内容简单不全面、可行性不强、针对性及合理性一般的，得1分；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二档：入户需求调查评估方案内容较详细全面、有可行性、针对性及合理性较好的，得3分；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三档：入户需求调查评估方案内容详细全面、可行性强、针对性及合理性好的，得5分；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不提供的不得分。</w:t>
            </w:r>
          </w:p>
        </w:tc>
        <w:tc>
          <w:tcPr>
            <w:tcW w:w="728"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before="156" w:beforeLines="50"/>
              <w:ind w:left="-105" w:leftChars="-50" w:right="-105" w:rightChars="-50"/>
              <w:jc w:val="center"/>
              <w:textAlignment w:val="baseline"/>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3</w:t>
            </w:r>
          </w:p>
        </w:tc>
        <w:tc>
          <w:tcPr>
            <w:tcW w:w="1134"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改造服务方案</w:t>
            </w:r>
          </w:p>
        </w:tc>
        <w:tc>
          <w:tcPr>
            <w:tcW w:w="7500"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根据投标人提供的改造服务方案（内容包括但不限于卫生间改造、厨房改造和智能安全监护；质量控制措施、改造过程安全文明施工等）进行综合评审：</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一档：内容简单，有一定改造内容及安装方法方式，质量控制措施简单，得5分；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二档：内容较充实合理，改造内容及安装方法方式包括卫生间改造、厨房改造和智能安全监护，质量控制措施良好，其他内容基本可行，得10分；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三档：内容完整合理，完全满足或优于采购需求。改造内容及安装方法方式包括卫生间改造、厨房改造和智能安全监护，此外包括其他可选项目改造。方案质量控制措施优秀，有具体的安全文明施工措施，其他内容合理可行，得15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不提供方案不得分。</w:t>
            </w:r>
          </w:p>
        </w:tc>
        <w:tc>
          <w:tcPr>
            <w:tcW w:w="72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color w:val="000000" w:themeColor="text1"/>
                <w:szCs w:val="20"/>
                <w14:textFill>
                  <w14:solidFill>
                    <w14:schemeClr w14:val="tx1"/>
                  </w14:solidFill>
                </w14:textFill>
              </w:rPr>
            </w:pPr>
            <w:r>
              <w:rPr>
                <w:rFonts w:hint="eastAsia" w:ascii="宋体" w:hAnsi="宋体"/>
                <w:color w:val="000000" w:themeColor="text1"/>
                <w:kern w:val="0"/>
                <w:lang w:val="en-US" w:eastAsia="zh-CN"/>
                <w14:textFill>
                  <w14:solidFill>
                    <w14:schemeClr w14:val="tx1"/>
                  </w14:solidFill>
                </w14:textFill>
              </w:rPr>
              <w:t>15</w:t>
            </w:r>
            <w:r>
              <w:rPr>
                <w:rFonts w:hint="eastAsia" w:ascii="宋体" w:hAnsi="宋体"/>
                <w:color w:val="000000" w:themeColor="text1"/>
                <w:kern w:val="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before="156" w:beforeLines="50"/>
              <w:ind w:left="-105" w:leftChars="-50" w:right="-105" w:rightChars="-50"/>
              <w:jc w:val="center"/>
              <w:textAlignment w:val="baseline"/>
              <w:rPr>
                <w:rFonts w:ascii="宋体" w:hAnsi="宋体"/>
                <w:bCs/>
                <w:color w:val="000000" w:themeColor="text1"/>
                <w:kern w:val="0"/>
                <w14:textFill>
                  <w14:solidFill>
                    <w14:schemeClr w14:val="tx1"/>
                  </w14:solidFill>
                </w14:textFill>
              </w:rPr>
            </w:pPr>
            <w:r>
              <w:rPr>
                <w:rFonts w:hint="eastAsia" w:ascii="宋体" w:hAnsi="宋体"/>
                <w:bCs/>
                <w:color w:val="000000" w:themeColor="text1"/>
                <w:kern w:val="0"/>
                <w14:textFill>
                  <w14:solidFill>
                    <w14:schemeClr w14:val="tx1"/>
                  </w14:solidFill>
                </w14:textFill>
              </w:rPr>
              <w:t>4</w:t>
            </w:r>
          </w:p>
        </w:tc>
        <w:tc>
          <w:tcPr>
            <w:tcW w:w="1134"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进度计划及进度保障措施</w:t>
            </w:r>
          </w:p>
        </w:tc>
        <w:tc>
          <w:tcPr>
            <w:tcW w:w="7500"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根据投标人提供的进度计划、进度保障措施（内容包含但不限于人员安排计划、管理流程优化、实时监管跟进等）的合理性进行综合评审：</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一档：内容简单，有简单的改造进度计划与进度保障措施，得5分；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二档：内容较充实合理，有较具体的进度计划、进度保障措施较合理，内容包含人员安排计划、进度保障措施，得10分；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三档：内容完整合理，针对性可行性优秀。有具体的进度计划、进度保障措施较合理，内容包含人员安排计划、管理流程优化、实时监管跟进等，进度保障措施可行合理，得15分；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不提供方案不得分。</w:t>
            </w:r>
          </w:p>
        </w:tc>
        <w:tc>
          <w:tcPr>
            <w:tcW w:w="72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15</w:t>
            </w:r>
            <w:r>
              <w:rPr>
                <w:rFonts w:hint="eastAsia" w:ascii="宋体" w:hAnsi="宋体" w:cs="宋体"/>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before="156" w:beforeLines="50"/>
              <w:ind w:left="-105" w:leftChars="-50" w:right="-105" w:rightChars="-50"/>
              <w:jc w:val="center"/>
              <w:textAlignment w:val="baseline"/>
              <w:rPr>
                <w:rFonts w:hint="eastAsia" w:ascii="宋体" w:hAnsi="宋体" w:eastAsia="宋体"/>
                <w:bCs/>
                <w:color w:val="000000" w:themeColor="text1"/>
                <w:kern w:val="0"/>
                <w:lang w:val="en-US" w:eastAsia="zh-CN"/>
                <w14:textFill>
                  <w14:solidFill>
                    <w14:schemeClr w14:val="tx1"/>
                  </w14:solidFill>
                </w14:textFill>
              </w:rPr>
            </w:pPr>
            <w:r>
              <w:rPr>
                <w:rFonts w:hint="eastAsia" w:ascii="宋体" w:hAnsi="宋体"/>
                <w:bCs/>
                <w:color w:val="000000" w:themeColor="text1"/>
                <w:kern w:val="0"/>
                <w:lang w:val="en-US" w:eastAsia="zh-CN"/>
                <w14:textFill>
                  <w14:solidFill>
                    <w14:schemeClr w14:val="tx1"/>
                  </w14:solidFill>
                </w14:textFill>
              </w:rPr>
              <w:t>5</w:t>
            </w:r>
          </w:p>
        </w:tc>
        <w:tc>
          <w:tcPr>
            <w:tcW w:w="1134"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信息化管理服务方案</w:t>
            </w:r>
          </w:p>
        </w:tc>
        <w:tc>
          <w:tcPr>
            <w:tcW w:w="7500"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提供信息化系统管理方案，对适老化改造全过程进行管理，内容包括但不限于能实现适老化改造对象基本信息、评估报告、施工管理、数据汇总和下载、智能化安监设备物联管理等内容，且具有可行的操作性进行综合评审：</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一档：信息化系统管理方案内容不全面，针对性、合理性及全面性一般的，得5分；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二档：信息化系统管理方案内容较详细全面，针对性及合理性较好的，得10分；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三档：为本项目建立了信息化管理服务数字平台，平台功能内容完整（提供模块截图），并提供信息化系统管理方案内容详细全面、可行性强、针对性及合理性好的，得15分；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没有提供不得分。</w:t>
            </w:r>
          </w:p>
        </w:tc>
        <w:tc>
          <w:tcPr>
            <w:tcW w:w="728"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before="156" w:beforeLines="50"/>
              <w:ind w:left="-105" w:leftChars="-50" w:right="-105" w:rightChars="-50"/>
              <w:jc w:val="center"/>
              <w:textAlignment w:val="baseline"/>
              <w:rPr>
                <w:rFonts w:hint="eastAsia" w:ascii="宋体" w:hAnsi="宋体" w:eastAsia="宋体"/>
                <w:bCs/>
                <w:color w:val="000000" w:themeColor="text1"/>
                <w:kern w:val="0"/>
                <w:lang w:val="en-US" w:eastAsia="zh-CN"/>
                <w14:textFill>
                  <w14:solidFill>
                    <w14:schemeClr w14:val="tx1"/>
                  </w14:solidFill>
                </w14:textFill>
              </w:rPr>
            </w:pPr>
            <w:r>
              <w:rPr>
                <w:rFonts w:hint="eastAsia" w:ascii="宋体" w:hAnsi="宋体"/>
                <w:bCs/>
                <w:color w:val="000000" w:themeColor="text1"/>
                <w:kern w:val="0"/>
                <w:lang w:val="en-US" w:eastAsia="zh-CN"/>
                <w14:textFill>
                  <w14:solidFill>
                    <w14:schemeClr w14:val="tx1"/>
                  </w14:solidFill>
                </w14:textFill>
              </w:rPr>
              <w:t>6</w:t>
            </w:r>
          </w:p>
        </w:tc>
        <w:tc>
          <w:tcPr>
            <w:tcW w:w="1134"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应急及售后服务方案</w:t>
            </w:r>
          </w:p>
        </w:tc>
        <w:tc>
          <w:tcPr>
            <w:tcW w:w="7500"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根据投标人提供的应急及售后服务方案（包括但不限于供应商现场服务支持能力、突发事件处理、售后巡检、质量保证期限及范围）进行综合评审</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一档：应急及售后服务方案简单，没有针对性，较片面，得1分。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二档：应急及售后服务方案较充实合理，有针对性、可行性和可操作性，得3分。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三档：应急及售后服务方案完整合理，针对性可行性优秀。突出突发事件的应急能力与具体措施，包括改造过程应急、使用过程突发事件应急，内容全面详细、可操作性高、科学合理，得5分；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不提供方案不得分。</w:t>
            </w:r>
          </w:p>
        </w:tc>
        <w:tc>
          <w:tcPr>
            <w:tcW w:w="728"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lang w:val="en-US" w:eastAsia="zh-CN"/>
                <w14:textFill>
                  <w14:solidFill>
                    <w14:schemeClr w14:val="tx1"/>
                  </w14:solidFill>
                </w14:textFill>
              </w:rPr>
              <w:t>5</w:t>
            </w:r>
            <w:r>
              <w:rPr>
                <w:rFonts w:hint="eastAsia" w:ascii="宋体" w:hAnsi="宋体" w:cs="宋体"/>
                <w:color w:val="000000" w:themeColor="text1"/>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before="156" w:beforeLines="50"/>
              <w:ind w:left="-105" w:leftChars="-50" w:right="-105" w:rightChars="-50"/>
              <w:jc w:val="center"/>
              <w:textAlignment w:val="baseline"/>
              <w:rPr>
                <w:rFonts w:hint="default" w:ascii="宋体" w:hAnsi="宋体" w:eastAsia="宋体"/>
                <w:bCs/>
                <w:color w:val="000000" w:themeColor="text1"/>
                <w:kern w:val="0"/>
                <w:lang w:val="en-US" w:eastAsia="zh-CN"/>
                <w14:textFill>
                  <w14:solidFill>
                    <w14:schemeClr w14:val="tx1"/>
                  </w14:solidFill>
                </w14:textFill>
              </w:rPr>
            </w:pPr>
            <w:r>
              <w:rPr>
                <w:rFonts w:hint="eastAsia" w:ascii="宋体" w:hAnsi="宋体"/>
                <w:bCs/>
                <w:color w:val="000000" w:themeColor="text1"/>
                <w:kern w:val="0"/>
                <w:lang w:val="en-US" w:eastAsia="zh-CN"/>
                <w14:textFill>
                  <w14:solidFill>
                    <w14:schemeClr w14:val="tx1"/>
                  </w14:solidFill>
                </w14:textFill>
              </w:rPr>
              <w:t>7</w:t>
            </w:r>
          </w:p>
        </w:tc>
        <w:tc>
          <w:tcPr>
            <w:tcW w:w="1134"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人员及业绩</w:t>
            </w:r>
          </w:p>
        </w:tc>
        <w:tc>
          <w:tcPr>
            <w:tcW w:w="7500"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投标人2019年1月1 日以来有同类项目业绩，每提供1个项目得1分，满分4分（无不良记录，以签订的合同为准，并能清晰反映所完成项目的名称、金额（或规模）等相关内容，否则不予计分）。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项目组成员中，包含心理咨询师、社区居家养老评估员、辅助技术工程师（肢体方向）、社会工作师的，每人得2分，满分8分。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注：需提供拟投入团队成员相关证书复印件；拟投入团队成员需提供县级以上（含县级）社会养老保险经办机构出具的供应商为委托代理人交纳的响应文件递交截止时间前半年内任意连续三个月社保证明复印件或劳动合同，退休返聘的还需提供退休证和返聘协议。没有提供或者提供不全该项不得分。</w:t>
            </w:r>
          </w:p>
        </w:tc>
        <w:tc>
          <w:tcPr>
            <w:tcW w:w="728"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423" w:type="dxa"/>
            <w:tcBorders>
              <w:top w:val="single" w:color="auto" w:sz="4" w:space="0"/>
              <w:left w:val="single" w:color="auto" w:sz="4" w:space="0"/>
              <w:bottom w:val="single" w:color="auto" w:sz="4" w:space="0"/>
              <w:right w:val="single" w:color="auto" w:sz="4" w:space="0"/>
            </w:tcBorders>
            <w:vAlign w:val="center"/>
          </w:tcPr>
          <w:p>
            <w:pPr>
              <w:autoSpaceDE w:val="0"/>
              <w:adjustRightInd w:val="0"/>
              <w:spacing w:before="156" w:beforeLines="50"/>
              <w:ind w:left="-105" w:leftChars="-50" w:right="-105" w:rightChars="-50"/>
              <w:jc w:val="center"/>
              <w:textAlignment w:val="baseline"/>
              <w:rPr>
                <w:rFonts w:hint="default" w:ascii="宋体" w:hAnsi="宋体" w:eastAsia="宋体"/>
                <w:bCs/>
                <w:color w:val="000000" w:themeColor="text1"/>
                <w:kern w:val="0"/>
                <w:lang w:val="en-US" w:eastAsia="zh-CN"/>
                <w14:textFill>
                  <w14:solidFill>
                    <w14:schemeClr w14:val="tx1"/>
                  </w14:solidFill>
                </w14:textFill>
              </w:rPr>
            </w:pPr>
            <w:r>
              <w:rPr>
                <w:rFonts w:hint="eastAsia" w:ascii="宋体" w:hAnsi="宋体"/>
                <w:bCs/>
                <w:color w:val="000000" w:themeColor="text1"/>
                <w:kern w:val="0"/>
                <w:lang w:val="en-US" w:eastAsia="zh-CN"/>
                <w14:textFill>
                  <w14:solidFill>
                    <w14:schemeClr w14:val="tx1"/>
                  </w14:solidFill>
                </w14:textFill>
              </w:rPr>
              <w:t>8</w:t>
            </w:r>
          </w:p>
        </w:tc>
        <w:tc>
          <w:tcPr>
            <w:tcW w:w="1134"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企业资信</w:t>
            </w:r>
          </w:p>
        </w:tc>
        <w:tc>
          <w:tcPr>
            <w:tcW w:w="7500"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投标人具有质量管理体系认证证书、环境管理体系认证证书、职业健康安全管理体系认证证书的每提供一个得1分，满分3分。</w:t>
            </w:r>
          </w:p>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需提供相关证书复印件</w:t>
            </w:r>
          </w:p>
        </w:tc>
        <w:tc>
          <w:tcPr>
            <w:tcW w:w="728" w:type="dxa"/>
            <w:tcBorders>
              <w:top w:val="single" w:color="auto" w:sz="4" w:space="0"/>
              <w:left w:val="nil"/>
              <w:bottom w:val="single" w:color="auto" w:sz="4" w:space="0"/>
              <w:right w:val="single" w:color="auto" w:sz="4" w:space="0"/>
            </w:tcBorders>
            <w:vAlign w:val="center"/>
          </w:tcPr>
          <w:p>
            <w:pPr>
              <w:pStyle w:val="2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785" w:type="dxa"/>
            <w:gridSpan w:val="4"/>
            <w:tcBorders>
              <w:top w:val="single" w:color="auto" w:sz="4" w:space="0"/>
              <w:left w:val="single" w:color="auto" w:sz="4" w:space="0"/>
              <w:bottom w:val="single" w:color="auto" w:sz="4" w:space="0"/>
              <w:right w:val="single" w:color="auto" w:sz="4" w:space="0"/>
            </w:tcBorders>
          </w:tcPr>
          <w:p>
            <w:pPr>
              <w:pStyle w:val="27"/>
              <w:autoSpaceDE w:val="0"/>
              <w:spacing w:before="156" w:beforeLines="50"/>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合计总分：1+2+3+4+5+6+7+8</w:t>
            </w:r>
          </w:p>
        </w:tc>
      </w:tr>
    </w:tbl>
    <w:p>
      <w:pPr>
        <w:spacing w:line="440" w:lineRule="exact"/>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四、中标候选人推荐原则</w:t>
      </w:r>
    </w:p>
    <w:p>
      <w:pPr>
        <w:spacing w:line="440" w:lineRule="exact"/>
        <w:ind w:firstLine="480" w:firstLineChars="200"/>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评标委员会将根据得分由高到低排列次序（得分相同时，以投标报价由低到高顺序排列；得分相同且投标报价相同的，按技术指标优劣顺序排列）并推荐不多于三名中标候选人。采购单位应当确定评审委员会推荐排名第一的中标候选人为中标人。排名第一的中标候选人放弃中标、因不可抗力提出不能履行合同，或者招标文件规定应当提交履约保证金而在规定的期限内未能提交的，采购单位可以确定排名第二的中标候选人为中标人。排名第二的中标候选人因前款规定的同样原因不能签订合同的，采购单位可以确定排名第三的中标候选人为中标人。</w:t>
      </w:r>
      <w:bookmarkEnd w:id="0"/>
      <w:bookmarkEnd w:id="1"/>
      <w:bookmarkEnd w:id="5"/>
      <w:bookmarkEnd w:id="6"/>
    </w:p>
    <w:p>
      <w:pPr>
        <w:pStyle w:val="27"/>
        <w:pageBreakBefore/>
        <w:spacing w:before="120" w:after="120" w:line="500" w:lineRule="exact"/>
        <w:jc w:val="center"/>
        <w:outlineLvl w:val="0"/>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t>第五章 合同主要条款格式</w:t>
      </w:r>
    </w:p>
    <w:p>
      <w:pPr>
        <w:spacing w:line="400" w:lineRule="exact"/>
        <w:rPr>
          <w:rFonts w:ascii="宋体" w:hAnsi="宋体"/>
          <w:color w:val="000000" w:themeColor="text1"/>
          <w14:textFill>
            <w14:solidFill>
              <w14:schemeClr w14:val="tx1"/>
            </w14:solidFill>
          </w14:textFill>
        </w:rPr>
      </w:pPr>
      <w:bookmarkStart w:id="7" w:name="_Toc7002"/>
      <w:bookmarkStart w:id="8" w:name="_Toc22368"/>
      <w:r>
        <w:rPr>
          <w:rFonts w:hint="eastAsia" w:ascii="宋体" w:hAnsi="宋体"/>
          <w:color w:val="000000" w:themeColor="text1"/>
          <w14:textFill>
            <w14:solidFill>
              <w14:schemeClr w14:val="tx1"/>
            </w14:solidFill>
          </w14:textFill>
        </w:rPr>
        <w:t>甲方：</w:t>
      </w:r>
      <w:r>
        <w:rPr>
          <w:rFonts w:hint="eastAsia" w:ascii="宋体" w:hAnsi="宋体"/>
          <w:color w:val="000000" w:themeColor="text1"/>
          <w:u w:val="single"/>
          <w14:textFill>
            <w14:solidFill>
              <w14:schemeClr w14:val="tx1"/>
            </w14:solidFill>
          </w14:textFill>
        </w:rPr>
        <w:t xml:space="preserve">桂林市民政局   </w:t>
      </w:r>
      <w:r>
        <w:rPr>
          <w:rFonts w:hint="eastAsia" w:ascii="宋体" w:hAnsi="宋体"/>
          <w:color w:val="000000" w:themeColor="text1"/>
          <w14:textFill>
            <w14:solidFill>
              <w14:schemeClr w14:val="tx1"/>
            </w14:solidFill>
          </w14:textFill>
        </w:rPr>
        <w:t>（采购人，以下简称甲方）</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（成交供应商，以下简称乙方）</w:t>
      </w:r>
    </w:p>
    <w:p>
      <w:pPr>
        <w:spacing w:line="400" w:lineRule="exact"/>
        <w:rPr>
          <w:rFonts w:ascii="宋体" w:hAnsi="宋体"/>
          <w:color w:val="000000" w:themeColor="text1"/>
          <w14:textFill>
            <w14:solidFill>
              <w14:schemeClr w14:val="tx1"/>
            </w14:solidFill>
          </w14:textFill>
        </w:rPr>
      </w:pP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根据《中华人民共和国政府采购法》、《中华人民共和国政府采购法实施条例》、</w:t>
      </w:r>
      <w:r>
        <w:rPr>
          <w:rFonts w:hint="eastAsia" w:ascii="宋体" w:hAnsi="宋体"/>
          <w:color w:val="000000" w:themeColor="text1"/>
          <w:lang w:eastAsia="zh-CN"/>
          <w14:textFill>
            <w14:solidFill>
              <w14:schemeClr w14:val="tx1"/>
            </w14:solidFill>
          </w14:textFill>
        </w:rPr>
        <w:t>《中华人民共和国财政部令第87号--政府采购货物和服务招标投标管理办法</w:t>
      </w:r>
      <w:r>
        <w:rPr>
          <w:rFonts w:hint="eastAsia" w:ascii="宋体" w:hAnsi="宋体"/>
          <w:color w:val="000000" w:themeColor="text1"/>
          <w14:textFill>
            <w14:solidFill>
              <w14:schemeClr w14:val="tx1"/>
            </w14:solidFill>
          </w14:textFill>
        </w:rPr>
        <w:t>》、《中华人民共和国民法典》等有关法律、法规规定，按照</w:t>
      </w:r>
      <w:r>
        <w:rPr>
          <w:rFonts w:hint="eastAsia" w:ascii="宋体" w:hAnsi="宋体"/>
          <w:color w:val="000000" w:themeColor="text1"/>
          <w:lang w:eastAsia="zh-CN"/>
          <w14:textFill>
            <w14:solidFill>
              <w14:schemeClr w14:val="tx1"/>
            </w14:solidFill>
          </w14:textFill>
        </w:rPr>
        <w:t>招标文件</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投标</w:t>
      </w:r>
      <w:r>
        <w:rPr>
          <w:rFonts w:hint="eastAsia" w:ascii="宋体" w:hAnsi="宋体"/>
          <w:color w:val="000000" w:themeColor="text1"/>
          <w14:textFill>
            <w14:solidFill>
              <w14:schemeClr w14:val="tx1"/>
            </w14:solidFill>
          </w14:textFill>
        </w:rPr>
        <w:t>文件规定条款和成交供应商的承诺，甲乙双方签订本采购合同。</w:t>
      </w:r>
    </w:p>
    <w:p>
      <w:pPr>
        <w:numPr>
          <w:ilvl w:val="0"/>
          <w:numId w:val="3"/>
        </w:num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合同标的及合同金额</w:t>
      </w:r>
    </w:p>
    <w:p>
      <w:pPr>
        <w:pStyle w:val="185"/>
        <w:spacing w:line="360" w:lineRule="auto"/>
        <w:ind w:firstLine="411" w:firstLineChars="196"/>
        <w:rPr>
          <w:rFonts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根据《</w:t>
      </w:r>
      <w:r>
        <w:rPr>
          <w:rFonts w:hint="eastAsia" w:hAnsi="宋体"/>
          <w:color w:val="000000" w:themeColor="text1"/>
          <w:szCs w:val="21"/>
          <w:lang w:eastAsia="zh-CN"/>
          <w14:textFill>
            <w14:solidFill>
              <w14:schemeClr w14:val="tx1"/>
            </w14:solidFill>
          </w14:textFill>
        </w:rPr>
        <w:t>中标</w:t>
      </w:r>
      <w:r>
        <w:rPr>
          <w:rFonts w:hint="eastAsia" w:hAnsi="宋体"/>
          <w:color w:val="000000" w:themeColor="text1"/>
          <w:szCs w:val="21"/>
          <w14:textFill>
            <w14:solidFill>
              <w14:schemeClr w14:val="tx1"/>
            </w14:solidFill>
          </w14:textFill>
        </w:rPr>
        <w:t>通知书》的</w:t>
      </w:r>
      <w:r>
        <w:rPr>
          <w:rFonts w:hint="eastAsia" w:hAnsi="宋体"/>
          <w:color w:val="000000" w:themeColor="text1"/>
          <w:szCs w:val="21"/>
          <w:lang w:eastAsia="zh-CN"/>
          <w14:textFill>
            <w14:solidFill>
              <w14:schemeClr w14:val="tx1"/>
            </w14:solidFill>
          </w14:textFill>
        </w:rPr>
        <w:t>中标</w:t>
      </w:r>
      <w:r>
        <w:rPr>
          <w:rFonts w:hint="eastAsia" w:hAnsi="宋体"/>
          <w:color w:val="000000" w:themeColor="text1"/>
          <w:szCs w:val="21"/>
          <w14:textFill>
            <w14:solidFill>
              <w14:schemeClr w14:val="tx1"/>
            </w14:solidFill>
          </w14:textFill>
        </w:rPr>
        <w:t>内容，合同的总金额为人民币：</w:t>
      </w:r>
      <w:r>
        <w:rPr>
          <w:rFonts w:hint="eastAsia" w:hAnsi="宋体"/>
          <w:b/>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元），合同价格包括本项目采购范围内一切服务价款，含服务费、策划、设计、人员、材料、运输、管理费、购置费、税金、后续服务及其他所有成本费用的总和</w:t>
      </w:r>
      <w:r>
        <w:rPr>
          <w:rFonts w:hint="eastAsia" w:hAnsi="宋体" w:cs="Courier New"/>
          <w:color w:val="000000" w:themeColor="text1"/>
          <w:szCs w:val="21"/>
          <w14:textFill>
            <w14:solidFill>
              <w14:schemeClr w14:val="tx1"/>
            </w14:solidFill>
          </w14:textFill>
        </w:rPr>
        <w:t>。</w:t>
      </w:r>
    </w:p>
    <w:p>
      <w:pPr>
        <w:spacing w:line="360" w:lineRule="auto"/>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第二条  质量保证</w:t>
      </w:r>
    </w:p>
    <w:p>
      <w:pPr>
        <w:widowControl/>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乙方应</w:t>
      </w:r>
      <w:r>
        <w:rPr>
          <w:rFonts w:ascii="宋体" w:hAnsi="宋体"/>
          <w:color w:val="000000" w:themeColor="text1"/>
          <w:szCs w:val="21"/>
          <w14:textFill>
            <w14:solidFill>
              <w14:schemeClr w14:val="tx1"/>
            </w14:solidFill>
          </w14:textFill>
        </w:rPr>
        <w:t>按照</w:t>
      </w:r>
      <w:r>
        <w:rPr>
          <w:rFonts w:hint="eastAsia" w:ascii="宋体" w:hAnsi="宋体"/>
          <w:color w:val="000000" w:themeColor="text1"/>
          <w:szCs w:val="21"/>
          <w:lang w:eastAsia="zh-CN"/>
          <w14:textFill>
            <w14:solidFill>
              <w14:schemeClr w14:val="tx1"/>
            </w14:solidFill>
          </w14:textFill>
        </w:rPr>
        <w:t>招标文件</w:t>
      </w:r>
      <w:r>
        <w:rPr>
          <w:rFonts w:ascii="宋体" w:hAnsi="宋体"/>
          <w:color w:val="000000" w:themeColor="text1"/>
          <w:szCs w:val="21"/>
          <w14:textFill>
            <w14:solidFill>
              <w14:schemeClr w14:val="tx1"/>
            </w14:solidFill>
          </w14:textFill>
        </w:rPr>
        <w:t>规定、</w:t>
      </w:r>
      <w:r>
        <w:rPr>
          <w:rFonts w:hint="eastAsia" w:ascii="宋体" w:hAnsi="宋体"/>
          <w:color w:val="000000" w:themeColor="text1"/>
          <w:szCs w:val="21"/>
          <w14:textFill>
            <w14:solidFill>
              <w14:schemeClr w14:val="tx1"/>
            </w14:solidFill>
          </w14:textFill>
        </w:rPr>
        <w:t>响应</w:t>
      </w:r>
      <w:r>
        <w:rPr>
          <w:rFonts w:ascii="宋体" w:hAnsi="宋体"/>
          <w:color w:val="000000" w:themeColor="text1"/>
          <w:szCs w:val="21"/>
          <w14:textFill>
            <w14:solidFill>
              <w14:schemeClr w14:val="tx1"/>
            </w14:solidFill>
          </w14:textFill>
        </w:rPr>
        <w:t>文件承诺以及合同条款等</w:t>
      </w:r>
      <w:r>
        <w:rPr>
          <w:rFonts w:hint="eastAsia" w:ascii="宋体" w:hAnsi="宋体"/>
          <w:color w:val="000000" w:themeColor="text1"/>
          <w:szCs w:val="21"/>
          <w14:textFill>
            <w14:solidFill>
              <w14:schemeClr w14:val="tx1"/>
            </w14:solidFill>
          </w14:textFill>
        </w:rPr>
        <w:t>内容</w:t>
      </w:r>
      <w:r>
        <w:rPr>
          <w:rFonts w:ascii="宋体" w:hAnsi="宋体"/>
          <w:color w:val="000000" w:themeColor="text1"/>
          <w:szCs w:val="21"/>
          <w14:textFill>
            <w14:solidFill>
              <w14:schemeClr w14:val="tx1"/>
            </w14:solidFill>
          </w14:textFill>
        </w:rPr>
        <w:t>提供</w:t>
      </w:r>
      <w:r>
        <w:rPr>
          <w:rFonts w:hint="eastAsia" w:ascii="宋体" w:hAnsi="宋体"/>
          <w:color w:val="000000" w:themeColor="text1"/>
          <w:szCs w:val="21"/>
          <w14:textFill>
            <w14:solidFill>
              <w14:schemeClr w14:val="tx1"/>
            </w14:solidFill>
          </w14:textFill>
        </w:rPr>
        <w:t>服务和提交服务</w:t>
      </w:r>
      <w:r>
        <w:rPr>
          <w:rFonts w:ascii="宋体" w:hAnsi="宋体"/>
          <w:color w:val="000000" w:themeColor="text1"/>
          <w:szCs w:val="21"/>
          <w14:textFill>
            <w14:solidFill>
              <w14:schemeClr w14:val="tx1"/>
            </w14:solidFill>
          </w14:textFill>
        </w:rPr>
        <w:t>成果</w:t>
      </w:r>
      <w:r>
        <w:rPr>
          <w:rFonts w:hint="eastAsia" w:ascii="宋体" w:hAnsi="宋体"/>
          <w:color w:val="000000" w:themeColor="text1"/>
          <w:szCs w:val="21"/>
          <w14:textFill>
            <w14:solidFill>
              <w14:schemeClr w14:val="tx1"/>
            </w14:solidFill>
          </w14:textFill>
        </w:rPr>
        <w:t>，并确保服务成果</w:t>
      </w:r>
      <w:r>
        <w:rPr>
          <w:rFonts w:ascii="宋体" w:hAnsi="宋体"/>
          <w:color w:val="000000" w:themeColor="text1"/>
          <w:szCs w:val="21"/>
          <w14:textFill>
            <w14:solidFill>
              <w14:schemeClr w14:val="tx1"/>
            </w14:solidFill>
          </w14:textFill>
        </w:rPr>
        <w:t>能</w:t>
      </w:r>
      <w:r>
        <w:rPr>
          <w:rFonts w:hint="eastAsia" w:ascii="宋体" w:hAnsi="宋体"/>
          <w:color w:val="000000" w:themeColor="text1"/>
          <w14:textFill>
            <w14:solidFill>
              <w14:schemeClr w14:val="tx1"/>
            </w14:solidFill>
          </w14:textFill>
        </w:rPr>
        <w:t>通过甲方验收合格</w:t>
      </w:r>
      <w:r>
        <w:rPr>
          <w:rFonts w:hint="eastAsia" w:ascii="宋体" w:hAnsi="宋体"/>
          <w:color w:val="000000" w:themeColor="text1"/>
          <w:szCs w:val="21"/>
          <w14:textFill>
            <w14:solidFill>
              <w14:schemeClr w14:val="tx1"/>
            </w14:solidFill>
          </w14:textFill>
        </w:rPr>
        <w:t>。</w:t>
      </w:r>
    </w:p>
    <w:p>
      <w:pPr>
        <w:spacing w:line="36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第三条  权力保证</w:t>
      </w:r>
    </w:p>
    <w:p>
      <w:pPr>
        <w:spacing w:line="36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1、乙方应保证所提供服务不会侵犯任何第三方的专利权、商标权、设计权或其他权利。</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2、乙方应按</w:t>
      </w:r>
      <w:r>
        <w:rPr>
          <w:rFonts w:hint="eastAsia" w:ascii="宋体" w:hAnsi="宋体"/>
          <w:color w:val="000000" w:themeColor="text1"/>
          <w:szCs w:val="21"/>
          <w:lang w:eastAsia="zh-CN"/>
          <w14:textFill>
            <w14:solidFill>
              <w14:schemeClr w14:val="tx1"/>
            </w14:solidFill>
          </w14:textFill>
        </w:rPr>
        <w:t>招标</w:t>
      </w:r>
      <w:r>
        <w:rPr>
          <w:rFonts w:hint="eastAsia" w:ascii="宋体" w:hAnsi="宋体"/>
          <w:color w:val="000000" w:themeColor="text1"/>
          <w:szCs w:val="21"/>
          <w14:textFill>
            <w14:solidFill>
              <w14:schemeClr w14:val="tx1"/>
            </w14:solidFill>
          </w14:textFill>
        </w:rPr>
        <w:t>文件规定的时间向甲方提供服务成果的有关技术资料。</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3、乙方保证所交付的服务成果的所有权完全属于乙方且无任何抵押、质押、查封等产权瑕疵。</w:t>
      </w:r>
    </w:p>
    <w:p>
      <w:pPr>
        <w:spacing w:line="38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第四条</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服务期</w:t>
      </w:r>
    </w:p>
    <w:p>
      <w:pPr>
        <w:spacing w:line="38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highlight w:val="none"/>
          <w14:textFill>
            <w14:solidFill>
              <w14:schemeClr w14:val="tx1"/>
            </w14:solidFill>
          </w14:textFill>
        </w:rPr>
        <w:t>服务期：</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月底前完成所有服务</w:t>
      </w:r>
      <w:r>
        <w:rPr>
          <w:rFonts w:ascii="宋体" w:hAnsi="宋体"/>
          <w:color w:val="000000" w:themeColor="text1"/>
          <w:highlight w:val="none"/>
          <w14:textFill>
            <w14:solidFill>
              <w14:schemeClr w14:val="tx1"/>
            </w14:solidFill>
          </w14:textFill>
        </w:rPr>
        <w:t>。</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2.乙方提供不符合</w:t>
      </w:r>
      <w:r>
        <w:rPr>
          <w:rFonts w:hint="eastAsia" w:ascii="宋体" w:hAnsi="宋体"/>
          <w:color w:val="000000" w:themeColor="text1"/>
          <w:szCs w:val="21"/>
          <w:lang w:eastAsia="zh-CN"/>
          <w14:textFill>
            <w14:solidFill>
              <w14:schemeClr w14:val="tx1"/>
            </w14:solidFill>
          </w14:textFill>
        </w:rPr>
        <w:t>招标</w:t>
      </w:r>
      <w:r>
        <w:rPr>
          <w:rFonts w:hint="eastAsia" w:ascii="宋体" w:hAnsi="宋体"/>
          <w:color w:val="000000" w:themeColor="text1"/>
          <w:szCs w:val="21"/>
          <w14:textFill>
            <w14:solidFill>
              <w14:schemeClr w14:val="tx1"/>
            </w14:solidFill>
          </w14:textFill>
        </w:rPr>
        <w:t>文件、</w:t>
      </w:r>
      <w:r>
        <w:rPr>
          <w:rFonts w:hint="eastAsia" w:ascii="宋体" w:hAnsi="宋体"/>
          <w:color w:val="000000" w:themeColor="text1"/>
          <w:szCs w:val="21"/>
          <w:lang w:eastAsia="zh-CN"/>
          <w14:textFill>
            <w14:solidFill>
              <w14:schemeClr w14:val="tx1"/>
            </w14:solidFill>
          </w14:textFill>
        </w:rPr>
        <w:t>投标</w:t>
      </w:r>
      <w:r>
        <w:rPr>
          <w:rFonts w:hint="eastAsia" w:ascii="宋体" w:hAnsi="宋体"/>
          <w:color w:val="000000" w:themeColor="text1"/>
          <w:szCs w:val="21"/>
          <w14:textFill>
            <w14:solidFill>
              <w14:schemeClr w14:val="tx1"/>
            </w14:solidFill>
          </w14:textFill>
        </w:rPr>
        <w:t>文件和本合同规定的服务成果，甲方有权拒绝接受。</w:t>
      </w:r>
    </w:p>
    <w:p>
      <w:pPr>
        <w:spacing w:line="380" w:lineRule="exact"/>
        <w:ind w:firstLine="42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第五条  验收</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验收标准：根据《关于印发广西壮族自治区政府采购项目履约验收管理办法的通知》【桂财采〔2015〕22号】规定的验收程序，按照</w:t>
      </w:r>
      <w:r>
        <w:rPr>
          <w:rFonts w:hint="eastAsia" w:ascii="宋体" w:hAnsi="宋体"/>
          <w:color w:val="000000" w:themeColor="text1"/>
          <w:szCs w:val="21"/>
          <w:lang w:eastAsia="zh-CN"/>
          <w14:textFill>
            <w14:solidFill>
              <w14:schemeClr w14:val="tx1"/>
            </w14:solidFill>
          </w14:textFill>
        </w:rPr>
        <w:t>招标</w:t>
      </w:r>
      <w:r>
        <w:rPr>
          <w:rFonts w:hint="eastAsia" w:ascii="宋体" w:hAnsi="宋体"/>
          <w:color w:val="000000" w:themeColor="text1"/>
          <w:szCs w:val="21"/>
          <w14:textFill>
            <w14:solidFill>
              <w14:schemeClr w14:val="tx1"/>
            </w14:solidFill>
          </w14:textFill>
        </w:rPr>
        <w:t>文件采购要求及响应文件承诺，由甲方组织验收，验收合格后付清合同全款。</w:t>
      </w:r>
    </w:p>
    <w:p>
      <w:pPr>
        <w:spacing w:line="38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第六条  服务要求</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乙方应按照国家有关法律规定以及响应文件，为甲方提供服务。</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在本合同履行过程中发生的技术问题等，乙方应在接到甲方通知后在</w:t>
      </w:r>
      <w:r>
        <w:rPr>
          <w:rFonts w:hint="eastAsia" w:ascii="宋体" w:hAnsi="宋体"/>
          <w:color w:val="000000" w:themeColor="text1"/>
          <w:szCs w:val="21"/>
          <w:u w:val="single"/>
          <w14:textFill>
            <w14:solidFill>
              <w14:schemeClr w14:val="tx1"/>
            </w14:solidFill>
          </w14:textFill>
        </w:rPr>
        <w:t xml:space="preserve"> 2小时</w:t>
      </w:r>
      <w:r>
        <w:rPr>
          <w:rFonts w:hint="eastAsia" w:ascii="宋体" w:hAnsi="宋体"/>
          <w:color w:val="000000" w:themeColor="text1"/>
          <w:szCs w:val="21"/>
          <w14:textFill>
            <w14:solidFill>
              <w14:schemeClr w14:val="tx1"/>
            </w14:solidFill>
          </w14:textFill>
        </w:rPr>
        <w:t>内进行答复。</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乙方应对服务成果出现的技术及相关问题负责处理解决并承担一切费用。</w:t>
      </w:r>
    </w:p>
    <w:p>
      <w:pPr>
        <w:spacing w:line="38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第七条  税费</w:t>
      </w:r>
    </w:p>
    <w:p>
      <w:pPr>
        <w:spacing w:line="38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本合同执行中相关的一切税费均由乙方负担。</w:t>
      </w:r>
    </w:p>
    <w:p>
      <w:pPr>
        <w:spacing w:line="38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第八条  付款方式</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合同签订后</w:t>
      </w:r>
      <w:r>
        <w:rPr>
          <w:rFonts w:hint="eastAsia" w:ascii="宋体" w:hAnsi="宋体" w:cs="宋体"/>
          <w:color w:val="000000" w:themeColor="text1"/>
          <w:szCs w:val="21"/>
          <w:lang w:val="en-US" w:eastAsia="zh-CN"/>
          <w14:textFill>
            <w14:solidFill>
              <w14:schemeClr w14:val="tx1"/>
            </w14:solidFill>
          </w14:textFill>
        </w:rPr>
        <w:t>10个工作</w:t>
      </w:r>
      <w:r>
        <w:rPr>
          <w:rFonts w:hint="eastAsia" w:ascii="宋体" w:hAnsi="宋体" w:cs="宋体"/>
          <w:color w:val="000000" w:themeColor="text1"/>
          <w:szCs w:val="21"/>
          <w14:textFill>
            <w14:solidFill>
              <w14:schemeClr w14:val="tx1"/>
            </w14:solidFill>
          </w14:textFill>
        </w:rPr>
        <w:t>日内，支付合同总额的40%作为项目预付款，完成并验收合格后支付项目结算余款，</w:t>
      </w:r>
      <w:r>
        <w:rPr>
          <w:rFonts w:hint="eastAsia" w:ascii="宋体" w:hAnsi="宋体" w:cs="宋体"/>
          <w:color w:val="000000" w:themeColor="text1"/>
          <w:szCs w:val="21"/>
          <w:lang w:val="en-US" w:eastAsia="zh-CN"/>
          <w14:textFill>
            <w14:solidFill>
              <w14:schemeClr w14:val="tx1"/>
            </w14:solidFill>
          </w14:textFill>
        </w:rPr>
        <w:t>中标方收到结算款后3个工作日内支付2%的验收费和审计费</w:t>
      </w:r>
      <w:r>
        <w:rPr>
          <w:rFonts w:hint="eastAsia" w:ascii="宋体" w:hAnsi="宋体"/>
          <w:color w:val="000000" w:themeColor="text1"/>
          <w:szCs w:val="21"/>
          <w14:textFill>
            <w14:solidFill>
              <w14:schemeClr w14:val="tx1"/>
            </w14:solidFill>
          </w14:textFill>
        </w:rPr>
        <w:t>。</w:t>
      </w:r>
    </w:p>
    <w:p>
      <w:pPr>
        <w:spacing w:line="38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第九条  违约责任</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1.乙方所提供的服务质量或服务成果不合格的，应及时调整，调整不及时的按逾期完成处罚，乙方应向甲方支付合同金额</w:t>
      </w:r>
      <w:r>
        <w:rPr>
          <w:rFonts w:hint="eastAsia" w:ascii="宋体" w:hAnsi="宋体"/>
          <w:color w:val="000000" w:themeColor="text1"/>
          <w:szCs w:val="21"/>
          <w:u w:val="single"/>
          <w14:textFill>
            <w14:solidFill>
              <w14:schemeClr w14:val="tx1"/>
            </w14:solidFill>
          </w14:textFill>
        </w:rPr>
        <w:t xml:space="preserve">5 </w:t>
      </w:r>
      <w:r>
        <w:rPr>
          <w:rFonts w:hint="eastAsia" w:ascii="宋体" w:hAnsi="宋体"/>
          <w:color w:val="000000" w:themeColor="text1"/>
          <w:szCs w:val="21"/>
          <w14:textFill>
            <w14:solidFill>
              <w14:schemeClr w14:val="tx1"/>
            </w14:solidFill>
          </w14:textFill>
        </w:rPr>
        <w:t>%违约金并赔偿甲方经济损失。</w:t>
      </w:r>
    </w:p>
    <w:p>
      <w:pPr>
        <w:spacing w:line="360" w:lineRule="exact"/>
        <w:ind w:firstLine="359" w:firstLineChars="17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2.乙方提供的服务成果如果侵犯了第三方合法权益而引发的任何纠纷或诉讼，均由乙方负责交涉并承担全部责任。</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3.甲方无故延期接受成果、乙方逾期完成的，每天向对方偿付合同金额</w:t>
      </w:r>
      <w:r>
        <w:rPr>
          <w:rFonts w:hint="eastAsia" w:ascii="宋体" w:hAnsi="宋体"/>
          <w:color w:val="000000" w:themeColor="text1"/>
          <w:szCs w:val="21"/>
          <w:u w:val="single"/>
          <w14:textFill>
            <w14:solidFill>
              <w14:schemeClr w14:val="tx1"/>
            </w14:solidFill>
          </w14:textFill>
        </w:rPr>
        <w:t>3</w:t>
      </w:r>
      <w:r>
        <w:rPr>
          <w:rFonts w:hint="eastAsia" w:ascii="宋体" w:hAnsi="宋体"/>
          <w:color w:val="000000" w:themeColor="text1"/>
          <w:szCs w:val="21"/>
          <w14:textFill>
            <w14:solidFill>
              <w14:schemeClr w14:val="tx1"/>
            </w14:solidFill>
          </w14:textFill>
        </w:rPr>
        <w:t>‰违约金，但违约金额不得超过合同金额</w:t>
      </w:r>
      <w:r>
        <w:rPr>
          <w:rFonts w:hint="eastAsia" w:ascii="宋体" w:hAnsi="宋体"/>
          <w:color w:val="000000" w:themeColor="text1"/>
          <w:szCs w:val="21"/>
          <w:u w:val="single"/>
          <w14:textFill>
            <w14:solidFill>
              <w14:schemeClr w14:val="tx1"/>
            </w14:solidFill>
          </w14:textFill>
        </w:rPr>
        <w:t xml:space="preserve">5 </w:t>
      </w:r>
      <w:r>
        <w:rPr>
          <w:rFonts w:hint="eastAsia" w:ascii="宋体" w:hAnsi="宋体"/>
          <w:color w:val="000000" w:themeColor="text1"/>
          <w:szCs w:val="21"/>
          <w14:textFill>
            <w14:solidFill>
              <w14:schemeClr w14:val="tx1"/>
            </w14:solidFill>
          </w14:textFill>
        </w:rPr>
        <w:t>%，超过</w:t>
      </w:r>
      <w:r>
        <w:rPr>
          <w:rFonts w:hint="eastAsia" w:ascii="宋体" w:hAnsi="宋体"/>
          <w:color w:val="000000" w:themeColor="text1"/>
          <w:szCs w:val="21"/>
          <w:u w:val="single"/>
          <w14:textFill>
            <w14:solidFill>
              <w14:schemeClr w14:val="tx1"/>
            </w14:solidFill>
          </w14:textFill>
        </w:rPr>
        <w:t>10</w:t>
      </w:r>
      <w:r>
        <w:rPr>
          <w:rFonts w:hint="eastAsia" w:ascii="宋体" w:hAnsi="宋体"/>
          <w:color w:val="000000" w:themeColor="text1"/>
          <w:szCs w:val="21"/>
          <w14:textFill>
            <w14:solidFill>
              <w14:schemeClr w14:val="tx1"/>
            </w14:solidFill>
          </w14:textFill>
        </w:rPr>
        <w:t>天对方有权解除合同，违约方承担因此给对方造成的经济损失。</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4.乙方未按本合同和响应文件中规定的服务承诺提供服务的，乙方应按本合同合计金额</w:t>
      </w:r>
      <w:r>
        <w:rPr>
          <w:rFonts w:hint="eastAsia" w:ascii="宋体" w:hAnsi="宋体"/>
          <w:color w:val="000000" w:themeColor="text1"/>
          <w:szCs w:val="21"/>
          <w:u w:val="single"/>
          <w14:textFill>
            <w14:solidFill>
              <w14:schemeClr w14:val="tx1"/>
            </w14:solidFill>
          </w14:textFill>
        </w:rPr>
        <w:t>5</w:t>
      </w:r>
      <w:r>
        <w:rPr>
          <w:rFonts w:hint="eastAsia" w:ascii="宋体" w:hAnsi="宋体"/>
          <w:color w:val="000000" w:themeColor="text1"/>
          <w:szCs w:val="21"/>
          <w14:textFill>
            <w14:solidFill>
              <w14:schemeClr w14:val="tx1"/>
            </w14:solidFill>
          </w14:textFill>
        </w:rPr>
        <w:t>%向甲方支付违约金。</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5.乙方提供的服务成果因质量原因造成的问题，由乙方负责，费用由乙方自理。</w:t>
      </w:r>
    </w:p>
    <w:p>
      <w:pPr>
        <w:spacing w:line="36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6.其他违约行为按违约合同额</w:t>
      </w:r>
      <w:r>
        <w:rPr>
          <w:rFonts w:hint="eastAsia" w:ascii="宋体" w:hAnsi="宋体"/>
          <w:color w:val="000000" w:themeColor="text1"/>
          <w:szCs w:val="21"/>
          <w:u w:val="single"/>
          <w14:textFill>
            <w14:solidFill>
              <w14:schemeClr w14:val="tx1"/>
            </w14:solidFill>
          </w14:textFill>
        </w:rPr>
        <w:t>5</w:t>
      </w:r>
      <w:r>
        <w:rPr>
          <w:rFonts w:hint="eastAsia" w:ascii="宋体" w:hAnsi="宋体"/>
          <w:color w:val="000000" w:themeColor="text1"/>
          <w:szCs w:val="21"/>
          <w14:textFill>
            <w14:solidFill>
              <w14:schemeClr w14:val="tx1"/>
            </w14:solidFill>
          </w14:textFill>
        </w:rPr>
        <w:t>%收取违约金并赔偿经济损失。</w:t>
      </w:r>
    </w:p>
    <w:p>
      <w:pPr>
        <w:spacing w:line="38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第十条  不可抗力事件处理</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在合同有效期内，乙方因不可抗力事件导致不能履行合同，则合同履行期可延长，其延长期与不可抗力影响期相同。</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不可抗力事件发生后，应立即通知对方，并寄送有关权威机构出具的证明。</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不可抗力事件延续一百二十天以上，双方应通过友好协商，确定是否继续履行合同。</w:t>
      </w:r>
    </w:p>
    <w:p>
      <w:pPr>
        <w:spacing w:line="38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第十一条  合同争议解决</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因履行本合同引起的或与本合同有关的争议，甲乙双方应首先通过友好协商解决，如果协商不能解决，可向甲方住所地人民法院提起诉讼。</w:t>
      </w:r>
    </w:p>
    <w:p>
      <w:pPr>
        <w:spacing w:line="38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第十二条  合同生效及其它</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1.合同经甲乙双方法定代表人</w:t>
      </w:r>
      <w:r>
        <w:rPr>
          <w:rFonts w:hint="eastAsia" w:ascii="宋体" w:hAnsi="宋体"/>
          <w:bCs/>
          <w:color w:val="000000" w:themeColor="text1"/>
          <w:szCs w:val="21"/>
          <w14:textFill>
            <w14:solidFill>
              <w14:schemeClr w14:val="tx1"/>
            </w14:solidFill>
          </w14:textFill>
        </w:rPr>
        <w:t>（负责人）</w:t>
      </w:r>
      <w:r>
        <w:rPr>
          <w:rFonts w:hint="eastAsia" w:ascii="宋体" w:hAnsi="宋体"/>
          <w:color w:val="000000" w:themeColor="text1"/>
          <w:szCs w:val="21"/>
          <w14:textFill>
            <w14:solidFill>
              <w14:schemeClr w14:val="tx1"/>
            </w14:solidFill>
          </w14:textFill>
        </w:rPr>
        <w:t>或授权代表签字并加盖供应商公章后生效。</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2.合同执行中涉及采购资金和采购内容修改或补充的，需经桂林市财政部门审批，并签订书面补充协议报桂林市政府采购管理办公室备案，方可作为主合同不可分割的一部分。</w:t>
      </w:r>
    </w:p>
    <w:p>
      <w:pPr>
        <w:spacing w:line="380" w:lineRule="exact"/>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3.本合同未尽事宜，遵照《民法典》有关条文执行。</w:t>
      </w:r>
    </w:p>
    <w:p>
      <w:pPr>
        <w:spacing w:line="380" w:lineRule="exact"/>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第十三条  合同的变更、终止与转让</w:t>
      </w:r>
    </w:p>
    <w:p>
      <w:pPr>
        <w:spacing w:line="3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除《中华人民共和国政府采购法》第五十条规定的情形及合同约定的解除合同情形外，本合同一经签订，甲乙双方不得擅自变更，中止或终止。</w:t>
      </w:r>
    </w:p>
    <w:p>
      <w:pPr>
        <w:spacing w:line="38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乙方不得擅自转让其应履行的合同义务。</w:t>
      </w:r>
    </w:p>
    <w:p>
      <w:pPr>
        <w:spacing w:line="40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第十四条  签订本合同依据：</w:t>
      </w:r>
    </w:p>
    <w:p>
      <w:pPr>
        <w:spacing w:line="40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lang w:eastAsia="zh-CN"/>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w:t>
      </w:r>
    </w:p>
    <w:p>
      <w:pPr>
        <w:spacing w:line="40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乙方提供的</w:t>
      </w:r>
      <w:r>
        <w:rPr>
          <w:rFonts w:hint="eastAsia" w:ascii="宋体" w:hAnsi="宋体"/>
          <w:color w:val="000000" w:themeColor="text1"/>
          <w:szCs w:val="21"/>
          <w:lang w:eastAsia="zh-CN"/>
          <w14:textFill>
            <w14:solidFill>
              <w14:schemeClr w14:val="tx1"/>
            </w14:solidFill>
          </w14:textFill>
        </w:rPr>
        <w:t>投标</w:t>
      </w:r>
      <w:r>
        <w:rPr>
          <w:rFonts w:hint="eastAsia" w:ascii="宋体" w:hAnsi="宋体"/>
          <w:color w:val="000000" w:themeColor="text1"/>
          <w:szCs w:val="21"/>
          <w14:textFill>
            <w14:solidFill>
              <w14:schemeClr w14:val="tx1"/>
            </w14:solidFill>
          </w14:textFill>
        </w:rPr>
        <w:t>文件；</w:t>
      </w:r>
    </w:p>
    <w:p>
      <w:pPr>
        <w:spacing w:line="400" w:lineRule="exact"/>
        <w:ind w:lef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服务承诺书；</w:t>
      </w:r>
    </w:p>
    <w:p>
      <w:pPr>
        <w:spacing w:line="400" w:lineRule="exact"/>
        <w:ind w:left="225" w:leftChars="107"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eastAsia="zh-CN"/>
          <w14:textFill>
            <w14:solidFill>
              <w14:schemeClr w14:val="tx1"/>
            </w14:solidFill>
          </w14:textFill>
        </w:rPr>
        <w:t>中标</w:t>
      </w:r>
      <w:r>
        <w:rPr>
          <w:rFonts w:hint="eastAsia" w:ascii="宋体" w:hAnsi="宋体"/>
          <w:color w:val="000000" w:themeColor="text1"/>
          <w:szCs w:val="21"/>
          <w14:textFill>
            <w14:solidFill>
              <w14:schemeClr w14:val="tx1"/>
            </w14:solidFill>
          </w14:textFill>
        </w:rPr>
        <w:t>通知书。</w:t>
      </w:r>
    </w:p>
    <w:p>
      <w:pPr>
        <w:pStyle w:val="27"/>
        <w:spacing w:line="380" w:lineRule="exact"/>
        <w:ind w:left="2" w:leftChars="1"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合同甲乙双方签字盖章后生效，一式六份，具有同等法律效力，甲、乙双方各二份。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p>
      <w:pPr>
        <w:spacing w:line="360" w:lineRule="exact"/>
        <w:ind w:firstLine="420" w:firstLineChars="200"/>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tabs>
          <w:tab w:val="left" w:pos="4320"/>
          <w:tab w:val="left" w:pos="4500"/>
        </w:tabs>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甲方名称（公章）：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乙方名称（公章，自然人除外）：</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法定代表人签字或盖章：</w:t>
      </w:r>
      <w:r>
        <w:rPr>
          <w:rFonts w:hint="eastAsia" w:ascii="宋体" w:hAnsi="宋体"/>
          <w:color w:val="000000" w:themeColor="text1"/>
          <w:szCs w:val="21"/>
          <w:u w:val="single"/>
          <w14:textFill>
            <w14:solidFill>
              <w14:schemeClr w14:val="tx1"/>
            </w14:solidFill>
          </w14:textFill>
        </w:rPr>
        <w:t xml:space="preserve">                     .</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地址：</w:t>
      </w:r>
      <w:r>
        <w:rPr>
          <w:rFonts w:hint="eastAsia" w:ascii="宋体" w:hAnsi="宋体"/>
          <w:color w:val="000000" w:themeColor="text1"/>
          <w:szCs w:val="21"/>
          <w:u w:val="single"/>
          <w14:textFill>
            <w14:solidFill>
              <w14:schemeClr w14:val="tx1"/>
            </w14:solidFill>
          </w14:textFill>
        </w:rPr>
        <w:t xml:space="preserve">                                      .</w:t>
      </w:r>
    </w:p>
    <w:p>
      <w:pPr>
        <w:tabs>
          <w:tab w:val="left" w:pos="4680"/>
        </w:tabs>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委托代理人：</w:t>
      </w:r>
      <w:r>
        <w:rPr>
          <w:rFonts w:hint="eastAsia" w:ascii="宋体" w:hAnsi="宋体"/>
          <w:color w:val="000000" w:themeColor="text1"/>
          <w:szCs w:val="21"/>
          <w:u w:val="single"/>
          <w14:textFill>
            <w14:solidFill>
              <w14:schemeClr w14:val="tx1"/>
            </w14:solidFill>
          </w14:textFill>
        </w:rPr>
        <w:t xml:space="preserve">                                .</w:t>
      </w:r>
    </w:p>
    <w:p>
      <w:pPr>
        <w:tabs>
          <w:tab w:val="left" w:pos="5040"/>
        </w:tabs>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电   话： </w:t>
      </w:r>
      <w:r>
        <w:rPr>
          <w:rFonts w:hint="eastAsia" w:ascii="宋体" w:hAnsi="宋体"/>
          <w:color w:val="000000" w:themeColor="text1"/>
          <w:szCs w:val="21"/>
          <w:u w:val="single"/>
          <w14:textFill>
            <w14:solidFill>
              <w14:schemeClr w14:val="tx1"/>
            </w14:solidFill>
          </w14:textFill>
        </w:rPr>
        <w:t xml:space="preserve">                                  .</w:t>
      </w:r>
    </w:p>
    <w:p>
      <w:pPr>
        <w:tabs>
          <w:tab w:val="left" w:pos="5040"/>
        </w:tabs>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开户名称：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开户名称：</w:t>
      </w:r>
      <w:r>
        <w:rPr>
          <w:rFonts w:hint="eastAsia" w:ascii="宋体" w:hAnsi="宋体"/>
          <w:color w:val="000000" w:themeColor="text1"/>
          <w:szCs w:val="21"/>
          <w:u w:val="single"/>
          <w14:textFill>
            <w14:solidFill>
              <w14:schemeClr w14:val="tx1"/>
            </w14:solidFill>
          </w14:textFill>
        </w:rPr>
        <w:t xml:space="preserve">                                  .</w:t>
      </w:r>
    </w:p>
    <w:p>
      <w:pPr>
        <w:tabs>
          <w:tab w:val="left" w:pos="5040"/>
        </w:tabs>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开户银行：</w:t>
      </w:r>
      <w:r>
        <w:rPr>
          <w:rFonts w:hint="eastAsia" w:ascii="宋体" w:hAnsi="宋体"/>
          <w:color w:val="000000" w:themeColor="text1"/>
          <w:szCs w:val="21"/>
          <w:u w:val="single"/>
          <w14:textFill>
            <w14:solidFill>
              <w14:schemeClr w14:val="tx1"/>
            </w14:solidFill>
          </w14:textFill>
        </w:rPr>
        <w:t xml:space="preserve">                                  . </w:t>
      </w:r>
    </w:p>
    <w:p>
      <w:pPr>
        <w:tabs>
          <w:tab w:val="left" w:pos="5040"/>
        </w:tabs>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银行账号：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银行账号：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pPr>
        <w:tabs>
          <w:tab w:val="left" w:pos="5040"/>
        </w:tabs>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    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    期：</w:t>
      </w:r>
      <w:r>
        <w:rPr>
          <w:rFonts w:hint="eastAsia" w:ascii="宋体" w:hAnsi="宋体"/>
          <w:color w:val="000000" w:themeColor="text1"/>
          <w:szCs w:val="21"/>
          <w:u w:val="single"/>
          <w14:textFill>
            <w14:solidFill>
              <w14:schemeClr w14:val="tx1"/>
            </w14:solidFill>
          </w14:textFill>
        </w:rPr>
        <w:t xml:space="preserve">                                 .</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br w:type="page"/>
      </w:r>
    </w:p>
    <w:p>
      <w:pPr>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 同 附 件</w:t>
      </w:r>
    </w:p>
    <w:p>
      <w:pPr>
        <w:snapToGrid w:val="0"/>
        <w:spacing w:line="360" w:lineRule="auto"/>
        <w:rPr>
          <w:rFonts w:ascii="宋体" w:hAnsi="宋体"/>
          <w:color w:val="000000" w:themeColor="text1"/>
          <w:szCs w:val="21"/>
          <w14:textFill>
            <w14:solidFill>
              <w14:schemeClr w14:val="tx1"/>
            </w14:solidFill>
          </w14:textFill>
        </w:rPr>
      </w:pPr>
    </w:p>
    <w:tbl>
      <w:tblPr>
        <w:tblStyle w:val="53"/>
        <w:tblW w:w="8522" w:type="dxa"/>
        <w:jc w:val="center"/>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 服务具体事项：</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p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 其他具体事项：</w:t>
            </w:r>
          </w:p>
        </w:tc>
      </w:tr>
      <w:tr>
        <w:tblPrEx>
          <w:tblCellMar>
            <w:top w:w="0" w:type="dxa"/>
            <w:left w:w="108" w:type="dxa"/>
            <w:bottom w:w="0" w:type="dxa"/>
            <w:right w:w="108" w:type="dxa"/>
          </w:tblCellMar>
        </w:tblPrEx>
        <w:trPr>
          <w:trHeight w:val="1703" w:hRule="atLeast"/>
          <w:jc w:val="center"/>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甲方（章）</w:t>
            </w:r>
          </w:p>
          <w:p>
            <w:pPr>
              <w:snapToGrid w:val="0"/>
              <w:spacing w:line="360" w:lineRule="auto"/>
              <w:ind w:firstLine="422" w:firstLineChars="200"/>
              <w:rPr>
                <w:rFonts w:ascii="宋体" w:hAnsi="宋体"/>
                <w:b/>
                <w:color w:val="000000" w:themeColor="text1"/>
                <w:szCs w:val="21"/>
                <w14:textFill>
                  <w14:solidFill>
                    <w14:schemeClr w14:val="tx1"/>
                  </w14:solidFill>
                </w14:textFill>
              </w:rPr>
            </w:pPr>
          </w:p>
          <w:p>
            <w:pPr>
              <w:snapToGrid w:val="0"/>
              <w:spacing w:line="360" w:lineRule="auto"/>
              <w:rPr>
                <w:rFonts w:ascii="宋体" w:hAnsi="宋体"/>
                <w:b/>
                <w:color w:val="000000" w:themeColor="text1"/>
                <w:szCs w:val="21"/>
                <w14:textFill>
                  <w14:solidFill>
                    <w14:schemeClr w14:val="tx1"/>
                  </w14:solidFill>
                </w14:textFill>
              </w:rPr>
            </w:pPr>
          </w:p>
          <w:p>
            <w:p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乙方（章）</w:t>
            </w:r>
          </w:p>
          <w:p>
            <w:pPr>
              <w:snapToGrid w:val="0"/>
              <w:spacing w:line="360" w:lineRule="auto"/>
              <w:ind w:firstLine="422" w:firstLineChars="200"/>
              <w:rPr>
                <w:rFonts w:ascii="宋体" w:hAnsi="宋体"/>
                <w:b/>
                <w:color w:val="000000" w:themeColor="text1"/>
                <w:szCs w:val="21"/>
                <w14:textFill>
                  <w14:solidFill>
                    <w14:schemeClr w14:val="tx1"/>
                  </w14:solidFill>
                </w14:textFill>
              </w:rPr>
            </w:pPr>
          </w:p>
          <w:p>
            <w:pPr>
              <w:snapToGrid w:val="0"/>
              <w:spacing w:line="360" w:lineRule="auto"/>
              <w:rPr>
                <w:rFonts w:ascii="宋体" w:hAnsi="宋体"/>
                <w:b/>
                <w:color w:val="000000" w:themeColor="text1"/>
                <w:szCs w:val="21"/>
                <w14:textFill>
                  <w14:solidFill>
                    <w14:schemeClr w14:val="tx1"/>
                  </w14:solidFill>
                </w14:textFill>
              </w:rPr>
            </w:pPr>
          </w:p>
          <w:p>
            <w:pPr>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年   月   日</w:t>
            </w:r>
          </w:p>
        </w:tc>
      </w:tr>
    </w:tbl>
    <w:p>
      <w:pPr>
        <w:snapToGri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注：服务事项填不下时可另加附页</w:t>
      </w:r>
    </w:p>
    <w:p>
      <w:pPr>
        <w:rPr>
          <w:rFonts w:ascii="华文中宋" w:hAnsi="华文中宋" w:eastAsia="华文中宋" w:cs="华文中宋"/>
          <w:color w:val="000000" w:themeColor="text1"/>
          <w:sz w:val="24"/>
          <w14:textFill>
            <w14:solidFill>
              <w14:schemeClr w14:val="tx1"/>
            </w14:solidFill>
          </w14:textFill>
        </w:rPr>
      </w:pPr>
      <w:r>
        <w:rPr>
          <w:rFonts w:hint="eastAsia" w:ascii="华文中宋" w:hAnsi="华文中宋" w:eastAsia="华文中宋" w:cs="华文中宋"/>
          <w:color w:val="000000" w:themeColor="text1"/>
          <w:sz w:val="24"/>
          <w14:textFill>
            <w14:solidFill>
              <w14:schemeClr w14:val="tx1"/>
            </w14:solidFill>
          </w14:textFill>
        </w:rPr>
        <w:br w:type="page"/>
      </w:r>
    </w:p>
    <w:p>
      <w:pPr>
        <w:pStyle w:val="27"/>
        <w:snapToGrid w:val="0"/>
        <w:spacing w:before="120" w:after="120"/>
        <w:ind w:firstLine="480" w:firstLineChars="200"/>
        <w:outlineLvl w:val="1"/>
        <w:rPr>
          <w:rFonts w:ascii="华文中宋" w:hAnsi="华文中宋" w:eastAsia="华文中宋" w:cs="华文中宋"/>
          <w:color w:val="000000" w:themeColor="text1"/>
          <w:sz w:val="24"/>
          <w:szCs w:val="24"/>
          <w14:textFill>
            <w14:solidFill>
              <w14:schemeClr w14:val="tx1"/>
            </w14:solidFill>
          </w14:textFill>
        </w:rPr>
      </w:pPr>
      <w:bookmarkStart w:id="9" w:name="_Toc204"/>
      <w:r>
        <w:rPr>
          <w:rFonts w:hint="eastAsia" w:ascii="华文中宋" w:hAnsi="华文中宋" w:eastAsia="华文中宋" w:cs="华文中宋"/>
          <w:color w:val="000000" w:themeColor="text1"/>
          <w:sz w:val="24"/>
          <w:szCs w:val="24"/>
          <w14:textFill>
            <w14:solidFill>
              <w14:schemeClr w14:val="tx1"/>
            </w14:solidFill>
          </w14:textFill>
        </w:rPr>
        <w:t>附件1：</w:t>
      </w:r>
      <w:bookmarkEnd w:id="7"/>
      <w:bookmarkEnd w:id="8"/>
      <w:bookmarkEnd w:id="9"/>
    </w:p>
    <w:p>
      <w:pPr>
        <w:shd w:val="clear" w:color="auto" w:fill="FFFFFF"/>
        <w:spacing w:line="480" w:lineRule="atLeast"/>
        <w:jc w:val="center"/>
        <w:outlineLvl w:val="1"/>
        <w:rPr>
          <w:rFonts w:ascii="宋体" w:hAnsi="宋体" w:cs="宋体"/>
          <w:color w:val="000000" w:themeColor="text1"/>
          <w:kern w:val="0"/>
          <w:sz w:val="32"/>
          <w:szCs w:val="32"/>
          <w14:textFill>
            <w14:solidFill>
              <w14:schemeClr w14:val="tx1"/>
            </w14:solidFill>
          </w14:textFill>
        </w:rPr>
      </w:pPr>
      <w:bookmarkStart w:id="10" w:name="_Toc4435"/>
      <w:bookmarkStart w:id="11" w:name="_Toc15904"/>
      <w:bookmarkStart w:id="12" w:name="_Toc24231"/>
      <w:r>
        <w:rPr>
          <w:rFonts w:hint="eastAsia" w:ascii="宋体" w:hAnsi="宋体" w:cs="宋体"/>
          <w:color w:val="000000" w:themeColor="text1"/>
          <w:kern w:val="0"/>
          <w:sz w:val="32"/>
          <w:szCs w:val="32"/>
          <w14:textFill>
            <w14:solidFill>
              <w14:schemeClr w14:val="tx1"/>
            </w14:solidFill>
          </w14:textFill>
        </w:rPr>
        <w:t>桂林市政府采购项目合同验收书（参考格式）</w:t>
      </w:r>
      <w:bookmarkEnd w:id="10"/>
      <w:bookmarkEnd w:id="11"/>
      <w:bookmarkEnd w:id="12"/>
    </w:p>
    <w:p>
      <w:pPr>
        <w:shd w:val="clear" w:color="auto" w:fill="FFFFFF"/>
        <w:spacing w:line="480" w:lineRule="atLeast"/>
        <w:jc w:val="center"/>
        <w:rPr>
          <w:rFonts w:ascii="宋体" w:hAnsi="宋体" w:cs="宋体"/>
          <w:color w:val="000000" w:themeColor="text1"/>
          <w:kern w:val="0"/>
          <w:sz w:val="32"/>
          <w:szCs w:val="32"/>
          <w14:textFill>
            <w14:solidFill>
              <w14:schemeClr w14:val="tx1"/>
            </w14:solidFill>
          </w14:textFill>
        </w:rPr>
      </w:pPr>
    </w:p>
    <w:p>
      <w:pPr>
        <w:shd w:val="clear" w:color="auto" w:fill="FFFFFF"/>
        <w:snapToGrid w:val="0"/>
        <w:spacing w:line="320" w:lineRule="atLeast"/>
        <w:ind w:firstLine="48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根据政府采购项目（</w:t>
      </w:r>
      <w:r>
        <w:rPr>
          <w:rFonts w:hint="eastAsia" w:ascii="宋体" w:hAnsi="宋体" w:cs="宋体"/>
          <w:color w:val="000000" w:themeColor="text1"/>
          <w:kern w:val="0"/>
          <w:szCs w:val="21"/>
          <w:u w:val="single"/>
          <w14:textFill>
            <w14:solidFill>
              <w14:schemeClr w14:val="tx1"/>
            </w14:solidFill>
          </w14:textFill>
        </w:rPr>
        <w:t xml:space="preserve">采购合同编号：      </w:t>
      </w:r>
      <w:r>
        <w:rPr>
          <w:rFonts w:hint="eastAsia" w:ascii="宋体" w:hAnsi="宋体" w:cs="宋体"/>
          <w:color w:val="000000" w:themeColor="text1"/>
          <w:kern w:val="0"/>
          <w:szCs w:val="21"/>
          <w:u w:val="single"/>
          <w14:textFill>
            <w14:solidFill>
              <w14:schemeClr w14:val="tx1"/>
            </w14:solidFill>
          </w14:textFill>
        </w:rPr>
        <w:softHyphen/>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）的约定，我单位对（</w:t>
      </w:r>
      <w:r>
        <w:rPr>
          <w:rFonts w:hint="eastAsia" w:ascii="宋体" w:hAnsi="宋体" w:cs="宋体"/>
          <w:color w:val="000000" w:themeColor="text1"/>
          <w:kern w:val="0"/>
          <w:szCs w:val="21"/>
          <w:u w:val="single"/>
          <w14:textFill>
            <w14:solidFill>
              <w14:schemeClr w14:val="tx1"/>
            </w14:solidFill>
          </w14:textFill>
        </w:rPr>
        <w:t xml:space="preserve">项目名称：     </w:t>
      </w:r>
      <w:r>
        <w:rPr>
          <w:rFonts w:hint="eastAsia" w:ascii="宋体" w:hAnsi="宋体" w:cs="宋体"/>
          <w:color w:val="000000" w:themeColor="text1"/>
          <w:kern w:val="0"/>
          <w:szCs w:val="21"/>
          <w14:textFill>
            <w14:solidFill>
              <w14:schemeClr w14:val="tx1"/>
            </w14:solidFill>
          </w14:textFill>
        </w:rPr>
        <w:t>）政府采购项目中标（或者成交）供应商（</w:t>
      </w:r>
      <w:r>
        <w:rPr>
          <w:rFonts w:hint="eastAsia" w:ascii="宋体" w:hAnsi="宋体" w:cs="宋体"/>
          <w:color w:val="000000" w:themeColor="text1"/>
          <w:kern w:val="0"/>
          <w:szCs w:val="21"/>
          <w:u w:val="single"/>
          <w14:textFill>
            <w14:solidFill>
              <w14:schemeClr w14:val="tx1"/>
            </w14:solidFill>
          </w14:textFill>
        </w:rPr>
        <w:t xml:space="preserve">公司名称：          </w:t>
      </w:r>
      <w:r>
        <w:rPr>
          <w:rFonts w:hint="eastAsia" w:ascii="宋体" w:hAnsi="宋体" w:cs="宋体"/>
          <w:color w:val="000000" w:themeColor="text1"/>
          <w:kern w:val="0"/>
          <w:szCs w:val="21"/>
          <w14:textFill>
            <w14:solidFill>
              <w14:schemeClr w14:val="tx1"/>
            </w14:solidFill>
          </w14:textFill>
        </w:rPr>
        <w:t>）提供的货物（或者工程、服务）进行了验收，验收情况如下：</w:t>
      </w:r>
    </w:p>
    <w:tbl>
      <w:tblPr>
        <w:tblStyle w:val="5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验收方式：</w:t>
            </w:r>
          </w:p>
        </w:tc>
        <w:tc>
          <w:tcPr>
            <w:tcW w:w="6119" w:type="dxa"/>
            <w:gridSpan w:val="6"/>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atLeast"/>
              <w:ind w:firstLine="48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1921"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w:t>
            </w:r>
          </w:p>
        </w:tc>
        <w:tc>
          <w:tcPr>
            <w:tcW w:w="290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p>
        </w:tc>
        <w:tc>
          <w:tcPr>
            <w:tcW w:w="2354" w:type="dxa"/>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1921"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5"/>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354"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snapToGrid w:val="0"/>
              <w:spacing w:before="100" w:beforeAutospacing="1" w:after="100" w:afterAutospacing="1" w:line="320" w:lineRule="atLeast"/>
              <w:ind w:firstLine="2"/>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实际供货日期</w:t>
            </w: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pPr>
              <w:snapToGrid w:val="0"/>
              <w:spacing w:before="100" w:beforeAutospacing="1" w:after="100" w:afterAutospacing="1" w:line="320" w:lineRule="atLeast"/>
              <w:ind w:firstLine="46"/>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合同交货验收日期</w:t>
            </w: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71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c>
          <w:tcPr>
            <w:tcW w:w="3039"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应按采购合同、采购文件、投标文件及验收方案等进行验收；并核对中标或者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验收小组意见</w:t>
            </w: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jc w:val="left"/>
              <w:rPr>
                <w:rFonts w:ascii="宋体" w:hAnsi="宋体" w:cs="宋体"/>
                <w:color w:val="000000" w:themeColor="text1"/>
                <w:kern w:val="0"/>
                <w:szCs w:val="21"/>
                <w14:textFill>
                  <w14:solidFill>
                    <w14:schemeClr w14:val="tx1"/>
                  </w14:solidFill>
                </w14:textFill>
              </w:rPr>
            </w:pPr>
          </w:p>
        </w:tc>
        <w:tc>
          <w:tcPr>
            <w:tcW w:w="8040"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有异议的意见和说明理由：</w:t>
            </w:r>
          </w:p>
          <w:p>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监督人员或者其他相关人员签字：</w:t>
            </w:r>
          </w:p>
          <w:p>
            <w:pPr>
              <w:spacing w:before="100" w:beforeAutospacing="1" w:after="100" w:afterAutospacing="1" w:line="320" w:lineRule="atLeast"/>
              <w:ind w:firstLine="74"/>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中标或者成交人负责人签字或者盖章：</w:t>
            </w:r>
          </w:p>
          <w:p>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 年 月 日</w:t>
            </w:r>
          </w:p>
        </w:tc>
        <w:tc>
          <w:tcPr>
            <w:tcW w:w="5219"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采购人或者受托机构的意见（盖章）：</w:t>
            </w:r>
          </w:p>
          <w:p>
            <w:pPr>
              <w:spacing w:before="100" w:beforeAutospacing="1" w:after="100" w:afterAutospacing="1" w:line="32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 年 月 日</w:t>
            </w:r>
          </w:p>
        </w:tc>
      </w:tr>
    </w:tbl>
    <w:p>
      <w:pPr>
        <w:jc w:val="left"/>
        <w:outlineLvl w:val="1"/>
        <w:rPr>
          <w:rFonts w:ascii="华文中宋" w:hAnsi="华文中宋" w:eastAsia="华文中宋" w:cs="华文中宋"/>
          <w:color w:val="000000" w:themeColor="text1"/>
          <w:kern w:val="0"/>
          <w:sz w:val="24"/>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3" w:name="_Toc27903"/>
      <w:bookmarkStart w:id="14" w:name="_Toc10629"/>
      <w:bookmarkStart w:id="15" w:name="_Toc31418"/>
      <w:r>
        <w:rPr>
          <w:rFonts w:hint="eastAsia" w:ascii="华文中宋" w:hAnsi="华文中宋" w:eastAsia="华文中宋" w:cs="华文中宋"/>
          <w:color w:val="000000" w:themeColor="text1"/>
          <w:kern w:val="0"/>
          <w:sz w:val="24"/>
          <w14:textFill>
            <w14:solidFill>
              <w14:schemeClr w14:val="tx1"/>
            </w14:solidFill>
          </w14:textFill>
        </w:rPr>
        <w:t>附件2：</w:t>
      </w:r>
      <w:bookmarkEnd w:id="13"/>
      <w:bookmarkEnd w:id="14"/>
      <w:bookmarkEnd w:id="15"/>
    </w:p>
    <w:p>
      <w:pPr>
        <w:jc w:val="center"/>
        <w:outlineLvl w:val="1"/>
        <w:rPr>
          <w:rFonts w:ascii="宋体" w:hAnsi="宋体" w:cs="宋体"/>
          <w:color w:val="000000" w:themeColor="text1"/>
          <w:sz w:val="32"/>
          <w:szCs w:val="32"/>
          <w14:textFill>
            <w14:solidFill>
              <w14:schemeClr w14:val="tx1"/>
            </w14:solidFill>
          </w14:textFill>
        </w:rPr>
      </w:pPr>
      <w:bookmarkStart w:id="16" w:name="_Toc8075"/>
      <w:bookmarkStart w:id="17" w:name="_Toc6953"/>
      <w:bookmarkStart w:id="18" w:name="_Toc4426"/>
      <w:r>
        <w:rPr>
          <w:rFonts w:hint="eastAsia" w:ascii="宋体" w:hAnsi="宋体" w:cs="宋体"/>
          <w:color w:val="000000" w:themeColor="text1"/>
          <w:sz w:val="32"/>
          <w:szCs w:val="32"/>
          <w14:textFill>
            <w14:solidFill>
              <w14:schemeClr w14:val="tx1"/>
            </w14:solidFill>
          </w14:textFill>
        </w:rPr>
        <w:t>政府采购项目履约保证金退付意见书（参考格式）</w:t>
      </w:r>
      <w:bookmarkEnd w:id="16"/>
      <w:bookmarkEnd w:id="17"/>
      <w:bookmarkEnd w:id="18"/>
    </w:p>
    <w:p>
      <w:pPr>
        <w:jc w:val="center"/>
        <w:rPr>
          <w:rFonts w:ascii="宋体" w:hAnsi="宋体" w:cs="宋体"/>
          <w:color w:val="000000" w:themeColor="text1"/>
          <w:sz w:val="36"/>
          <w:szCs w:val="36"/>
          <w14:textFill>
            <w14:solidFill>
              <w14:schemeClr w14:val="tx1"/>
            </w14:solidFill>
          </w14:textFill>
        </w:rPr>
      </w:pPr>
    </w:p>
    <w:tbl>
      <w:tblPr>
        <w:tblStyle w:val="53"/>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应</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w:t>
            </w:r>
          </w:p>
        </w:tc>
        <w:tc>
          <w:tcPr>
            <w:tcW w:w="845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rFonts w:ascii="宋体" w:hAnsi="宋体" w:cs="宋体"/>
                <w:color w:val="000000" w:themeColor="text1"/>
                <w:sz w:val="24"/>
                <w14:textFill>
                  <w14:solidFill>
                    <w14:schemeClr w14:val="tx1"/>
                  </w14:solidFill>
                </w14:textFill>
              </w:rPr>
            </w:pPr>
          </w:p>
        </w:tc>
        <w:tc>
          <w:tcPr>
            <w:tcW w:w="8456"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rFonts w:ascii="宋体" w:hAnsi="宋体" w:cs="宋体"/>
                <w:color w:val="000000" w:themeColor="text1"/>
                <w:sz w:val="24"/>
                <w14:textFill>
                  <w14:solidFill>
                    <w14:schemeClr w14:val="tx1"/>
                  </w14:solidFill>
                </w14:textFill>
              </w:rPr>
            </w:pPr>
          </w:p>
        </w:tc>
        <w:tc>
          <w:tcPr>
            <w:tcW w:w="8456"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该项目已于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日验收并交付使用。根据合同规定，该项目的履约保证金期限于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日已满，请将履约保证金（大写）人民币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退付到达以下账户。</w:t>
            </w:r>
          </w:p>
          <w:p>
            <w:pPr>
              <w:spacing w:line="400" w:lineRule="exact"/>
              <w:ind w:firstLine="7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p>
          <w:p>
            <w:pPr>
              <w:spacing w:line="400" w:lineRule="exact"/>
              <w:ind w:firstLine="7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p>
            <w:pPr>
              <w:spacing w:line="400" w:lineRule="exact"/>
              <w:ind w:firstLine="7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   号：</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联系人及电话：</w:t>
            </w:r>
          </w:p>
          <w:p>
            <w:pPr>
              <w:spacing w:line="400" w:lineRule="exact"/>
              <w:rPr>
                <w:rFonts w:ascii="宋体" w:hAnsi="宋体" w:cs="宋体"/>
                <w:color w:val="000000" w:themeColor="text1"/>
                <w:sz w:val="24"/>
                <w14:textFill>
                  <w14:solidFill>
                    <w14:schemeClr w14:val="tx1"/>
                  </w14:solidFill>
                </w14:textFill>
              </w:rPr>
            </w:pPr>
          </w:p>
          <w:p>
            <w:pPr>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供应商签章：</w:t>
            </w:r>
          </w:p>
          <w:p>
            <w:pPr>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购</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意</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w:t>
            </w:r>
          </w:p>
        </w:tc>
        <w:tc>
          <w:tcPr>
            <w:tcW w:w="8456" w:type="dxa"/>
          </w:tcPr>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退付意见：（是否同意退付履约保证金及退付金额）</w:t>
            </w: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spacing w:line="5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联系人及电话：                         采购人签章</w:t>
            </w:r>
          </w:p>
          <w:p>
            <w:pPr>
              <w:spacing w:line="5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8456" w:type="dxa"/>
          </w:tcPr>
          <w:p>
            <w:pPr>
              <w:rPr>
                <w:rFonts w:ascii="宋体" w:hAnsi="宋体" w:cs="宋体"/>
                <w:color w:val="000000" w:themeColor="text1"/>
                <w:sz w:val="24"/>
                <w14:textFill>
                  <w14:solidFill>
                    <w14:schemeClr w14:val="tx1"/>
                  </w14:solidFill>
                </w14:textFill>
              </w:rPr>
            </w:pPr>
          </w:p>
        </w:tc>
      </w:tr>
    </w:tbl>
    <w:p>
      <w:pPr>
        <w:pStyle w:val="2"/>
        <w:ind w:left="420" w:leftChars="114" w:hanging="181" w:hangingChars="100"/>
        <w:rPr>
          <w:rFonts w:ascii="宋体" w:hAnsi="宋体" w:cs="宋体"/>
          <w:b/>
          <w:bCs/>
          <w:color w:val="000000" w:themeColor="text1"/>
          <w:sz w:val="18"/>
          <w14:textFill>
            <w14:solidFill>
              <w14:schemeClr w14:val="tx1"/>
            </w14:solidFill>
          </w14:textFill>
        </w:rPr>
      </w:pPr>
      <w:r>
        <w:rPr>
          <w:rFonts w:hint="eastAsia" w:ascii="宋体" w:hAnsi="宋体" w:cs="宋体"/>
          <w:b/>
          <w:bCs/>
          <w:color w:val="000000" w:themeColor="text1"/>
          <w:sz w:val="18"/>
          <w14:textFill>
            <w14:solidFill>
              <w14:schemeClr w14:val="tx1"/>
            </w14:solidFill>
          </w14:textFill>
        </w:rPr>
        <w:t>注：供应商凭经采购人审批的退付意见书到履约保证金收取单位办理履约保证金退付事宜。</w:t>
      </w:r>
    </w:p>
    <w:p>
      <w:pPr>
        <w:rPr>
          <w:rFonts w:ascii="宋体" w:hAnsi="宋体" w:cs="宋体"/>
          <w:b/>
          <w:bCs/>
          <w:color w:val="000000" w:themeColor="text1"/>
          <w:kern w:val="44"/>
          <w:sz w:val="32"/>
          <w:szCs w:val="32"/>
          <w14:textFill>
            <w14:solidFill>
              <w14:schemeClr w14:val="tx1"/>
            </w14:solidFill>
          </w14:textFill>
        </w:rPr>
      </w:pPr>
      <w:r>
        <w:rPr>
          <w:rFonts w:hint="eastAsia" w:ascii="宋体" w:hAnsi="宋体" w:cs="宋体"/>
          <w:b/>
          <w:bCs/>
          <w:color w:val="000000" w:themeColor="text1"/>
          <w:kern w:val="44"/>
          <w:sz w:val="32"/>
          <w:szCs w:val="32"/>
          <w14:textFill>
            <w14:solidFill>
              <w14:schemeClr w14:val="tx1"/>
            </w14:solidFill>
          </w14:textFill>
        </w:rPr>
        <w:br w:type="page"/>
      </w:r>
    </w:p>
    <w:p>
      <w:pPr>
        <w:snapToGrid w:val="0"/>
        <w:spacing w:before="120" w:after="120"/>
        <w:jc w:val="center"/>
        <w:outlineLvl w:val="0"/>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t>第六章　投标文件格式</w:t>
      </w:r>
    </w:p>
    <w:p>
      <w:pPr>
        <w:snapToGrid w:val="0"/>
        <w:spacing w:beforeLines="50" w:after="50" w:line="440" w:lineRule="exact"/>
        <w:outlineLvl w:val="1"/>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bookmarkStart w:id="19" w:name="_Toc254970697"/>
      <w:bookmarkStart w:id="20" w:name="_Toc254970556"/>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一、投标文件封面格式</w:t>
      </w:r>
      <w:bookmarkEnd w:id="19"/>
      <w:bookmarkEnd w:id="20"/>
    </w:p>
    <w:p>
      <w:pPr>
        <w:snapToGrid w:val="0"/>
        <w:spacing w:beforeLines="50" w:after="50" w:line="360" w:lineRule="exac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1.投标文件封面格式：</w:t>
      </w:r>
    </w:p>
    <w:p>
      <w:pPr>
        <w:snapToGrid w:val="0"/>
        <w:spacing w:beforeLines="50" w:after="50" w:line="36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Lines="50" w:after="50" w:line="240" w:lineRule="auto"/>
        <w:textAlignment w:val="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正本/或副本</w:t>
      </w:r>
    </w:p>
    <w:p>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Lines="50" w:after="50" w:line="240" w:lineRule="auto"/>
        <w:jc w:val="center"/>
        <w:textAlignment w:val="auto"/>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52"/>
          <w:szCs w:val="52"/>
          <w:highlight w:val="none"/>
          <w14:textFill>
            <w14:solidFill>
              <w14:schemeClr w14:val="tx1"/>
            </w14:solidFill>
          </w14:textFill>
        </w:rPr>
        <w:t>投标文件</w:t>
      </w:r>
    </w:p>
    <w:p>
      <w:pPr>
        <w:snapToGrid w:val="0"/>
        <w:spacing w:beforeLines="50" w:after="50" w:line="360" w:lineRule="exact"/>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p>
    <w:p>
      <w:pPr>
        <w:snapToGrid w:val="0"/>
        <w:spacing w:beforeLines="50" w:after="50" w:line="500" w:lineRule="exact"/>
        <w:ind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项目名称：</w:t>
      </w:r>
    </w:p>
    <w:p>
      <w:pPr>
        <w:snapToGrid w:val="0"/>
        <w:spacing w:beforeLines="50" w:after="50" w:line="500" w:lineRule="exact"/>
        <w:ind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项目编号：</w:t>
      </w:r>
    </w:p>
    <w:p>
      <w:pPr>
        <w:snapToGrid w:val="0"/>
        <w:spacing w:beforeLines="50" w:after="50" w:line="500" w:lineRule="exact"/>
        <w:ind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采购代理机构</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w:t>
      </w:r>
    </w:p>
    <w:p>
      <w:pPr>
        <w:snapToGrid w:val="0"/>
        <w:spacing w:before="50" w:after="50" w:line="500" w:lineRule="exact"/>
        <w:ind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bookmarkStart w:id="21" w:name="_Toc4932_WPSOffice_Level2"/>
      <w:bookmarkStart w:id="22" w:name="_Toc20319_WPSOffice_Level2"/>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 xml:space="preserve">投标人[公章(CA签章)、自然人除外]：                       </w:t>
      </w:r>
      <w:bookmarkEnd w:id="21"/>
      <w:bookmarkEnd w:id="22"/>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 xml:space="preserve">       </w:t>
      </w:r>
    </w:p>
    <w:p>
      <w:pPr>
        <w:snapToGrid w:val="0"/>
        <w:spacing w:before="50" w:after="50" w:line="500" w:lineRule="exact"/>
        <w:ind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bookmarkStart w:id="23" w:name="_Toc9622_WPSOffice_Level2"/>
      <w:bookmarkStart w:id="24" w:name="_Toc32056_WPSOffice_Level2"/>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法定代表人、负责人、自然人或相应的委托代理人签字[或盖章(CA签章)]</w:t>
      </w:r>
    </w:p>
    <w:p>
      <w:pPr>
        <w:snapToGrid w:val="0"/>
        <w:spacing w:before="50" w:after="50" w:line="500" w:lineRule="exact"/>
        <w:ind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 xml:space="preserve">（属自然人的应在签名处加盖大拇指指印或个人CA签章）：              </w:t>
      </w:r>
    </w:p>
    <w:p>
      <w:pPr>
        <w:snapToGrid w:val="0"/>
        <w:spacing w:before="50" w:after="50" w:line="500" w:lineRule="exact"/>
        <w:ind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联系电话：</w:t>
      </w:r>
      <w:bookmarkEnd w:id="23"/>
      <w:bookmarkEnd w:id="24"/>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 xml:space="preserve">                                                </w:t>
      </w:r>
    </w:p>
    <w:p>
      <w:pPr>
        <w:snapToGrid w:val="0"/>
        <w:spacing w:beforeLines="50" w:after="50" w:line="500" w:lineRule="exact"/>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    月   日</w:t>
      </w:r>
    </w:p>
    <w:p>
      <w:pPr>
        <w:snapToGrid w:val="0"/>
        <w:spacing w:beforeLines="50" w:after="50" w:line="500" w:lineRule="exact"/>
        <w:jc w:val="center"/>
        <w:outlineLvl w:val="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napToGrid w:val="0"/>
        <w:spacing w:beforeLines="50" w:after="50" w:line="440" w:lineRule="exact"/>
        <w:jc w:val="center"/>
        <w:outlineLvl w:val="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napToGrid w:val="0"/>
        <w:spacing w:beforeLines="50" w:after="50" w:line="440" w:lineRule="exact"/>
        <w:jc w:val="center"/>
        <w:outlineLvl w:val="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napToGrid w:val="0"/>
        <w:spacing w:beforeLines="50" w:after="50" w:line="440" w:lineRule="exact"/>
        <w:jc w:val="center"/>
        <w:outlineLvl w:val="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napToGrid w:val="0"/>
        <w:spacing w:beforeLines="50" w:after="50" w:line="440" w:lineRule="exact"/>
        <w:jc w:val="center"/>
        <w:outlineLvl w:val="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napToGrid w:val="0"/>
        <w:spacing w:beforeLines="50" w:after="50" w:line="440" w:lineRule="exact"/>
        <w:jc w:val="center"/>
        <w:outlineLvl w:val="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napToGrid w:val="0"/>
        <w:spacing w:beforeLines="50" w:after="50" w:line="440" w:lineRule="exact"/>
        <w:jc w:val="center"/>
        <w:outlineLvl w:val="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napToGrid w:val="0"/>
        <w:spacing w:beforeLines="50" w:after="50" w:line="440" w:lineRule="exact"/>
        <w:jc w:val="center"/>
        <w:outlineLvl w:val="1"/>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napToGrid w:val="0"/>
        <w:spacing w:before="50" w:after="50" w:line="400" w:lineRule="exact"/>
        <w:ind w:firstLine="118" w:firstLineChars="49"/>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资格文件目录</w:t>
      </w:r>
    </w:p>
    <w:p>
      <w:pPr>
        <w:keepNext w:val="0"/>
        <w:keepLines w:val="0"/>
        <w:pageBreakBefore w:val="0"/>
        <w:widowControl w:val="0"/>
        <w:kinsoku/>
        <w:wordWrap/>
        <w:overflowPunct/>
        <w:topLinePunct w:val="0"/>
        <w:autoSpaceDE/>
        <w:autoSpaceDN/>
        <w:bidi w:val="0"/>
        <w:adjustRightInd/>
        <w:snapToGrid w:val="0"/>
        <w:spacing w:beforeLines="50" w:line="360" w:lineRule="exact"/>
        <w:ind w:firstLine="472" w:firstLineChars="196"/>
        <w:jc w:val="left"/>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一、资格性响应证明材</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材料</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315" w:firstLineChars="15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（1）投标人相应的法定代表人、负责人、自然人身份证正反面复印件（必须提供）；</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315" w:firstLineChars="15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的授权委托书原件（格式见附件）、委托代理人身份证正反面复印件以及由县级以上（含县级）社会养老保险经办机构出具的投标人为委托代理人交纳的投标截止之日前半年内投标人任意三个月社保证明复印件【自然人投标的应提供由县级以上（含县级）社会养老保险经办机构出具的自然人本人及委托代理人所交纳的投标截止之日前半年内任意三个月社保证明复印件】（委托代理时必须提供；若为新成立的企业，请根据实际情况提供）；</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315" w:firstLineChars="15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（3）投标人的法人或者其他组织营业执照等证明文件复印件（必须提供，自然人除外）；</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315" w:firstLineChars="15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315" w:firstLineChars="15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提供本项目服务的供应商为中小微企业或监狱企业或残疾人企业</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中小微企业声明函或监狱企业的证明文件或残疾人福利性单位声明函的其中一项）</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315" w:firstLineChars="15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（5）投标人参加政府采购活动前3年内在经营活动中没有重大违法记录及有关信用信息的书面声明（格式见附件，必须提供）；</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22" w:firstLineChars="150"/>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二、商务、技术性响应及其他证明材料：</w:t>
      </w:r>
    </w:p>
    <w:p>
      <w:pPr>
        <w:tabs>
          <w:tab w:val="left" w:pos="1305"/>
        </w:tabs>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投标报价表</w:t>
      </w:r>
      <w:r>
        <w:rPr>
          <w:rFonts w:hint="eastAsia" w:ascii="宋体" w:hAnsi="宋体"/>
          <w:b/>
          <w:color w:val="000000" w:themeColor="text1"/>
          <w:szCs w:val="21"/>
          <w14:textFill>
            <w14:solidFill>
              <w14:schemeClr w14:val="tx1"/>
            </w14:solidFill>
          </w14:textFill>
        </w:rPr>
        <w:t>（格式见附件）（必须提供）；</w:t>
      </w:r>
    </w:p>
    <w:p>
      <w:pPr>
        <w:snapToGrid w:val="0"/>
        <w:spacing w:line="400" w:lineRule="exact"/>
        <w:ind w:firstLine="420" w:firstLineChars="200"/>
        <w:outlineLvl w:val="4"/>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采购需求及商务偏离情况说明表</w:t>
      </w:r>
      <w:r>
        <w:rPr>
          <w:rFonts w:hint="eastAsia" w:ascii="宋体" w:hAnsi="宋体"/>
          <w:b/>
          <w:color w:val="000000" w:themeColor="text1"/>
          <w14:textFill>
            <w14:solidFill>
              <w14:schemeClr w14:val="tx1"/>
            </w14:solidFill>
          </w14:textFill>
        </w:rPr>
        <w:t>（</w:t>
      </w:r>
      <w:r>
        <w:rPr>
          <w:rFonts w:hint="eastAsia" w:ascii="宋体" w:hAnsi="宋体"/>
          <w:b/>
          <w:color w:val="000000" w:themeColor="text1"/>
          <w:lang w:eastAsia="zh-CN"/>
          <w14:textFill>
            <w14:solidFill>
              <w14:schemeClr w14:val="tx1"/>
            </w14:solidFill>
          </w14:textFill>
        </w:rPr>
        <w:t>必须提供</w:t>
      </w:r>
      <w:r>
        <w:rPr>
          <w:rFonts w:hint="eastAsia" w:ascii="宋体" w:hAnsi="宋体"/>
          <w:b/>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p>
    <w:p>
      <w:pPr>
        <w:tabs>
          <w:tab w:val="left" w:pos="1305"/>
        </w:tabs>
        <w:spacing w:line="38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投标人可结合本项目的评标办法视自身情况自行提交相关证明材料</w:t>
      </w:r>
      <w:r>
        <w:rPr>
          <w:rFonts w:hint="eastAsia" w:ascii="宋体" w:hAnsi="宋体"/>
          <w:b/>
          <w:color w:val="000000" w:themeColor="text1"/>
          <w14:textFill>
            <w14:solidFill>
              <w14:schemeClr w14:val="tx1"/>
            </w14:solidFill>
          </w14:textFill>
        </w:rPr>
        <w:t>（如有，请提供）</w:t>
      </w:r>
      <w:r>
        <w:rPr>
          <w:rFonts w:hint="eastAsia" w:ascii="宋体" w:hAnsi="宋体"/>
          <w:color w:val="000000" w:themeColor="text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beforeLines="50" w:line="360" w:lineRule="exact"/>
        <w:ind w:firstLine="422" w:firstLineChars="200"/>
        <w:jc w:val="left"/>
        <w:textAlignment w:val="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1"/>
          <w:highlight w:val="none"/>
          <w14:textFill>
            <w14:solidFill>
              <w14:schemeClr w14:val="tx1"/>
            </w14:solidFill>
          </w14:textFill>
        </w:rPr>
        <w:t>投标人提供的以上相关证明材料应真实有效，属于“必须提供”的文件必须于本项目截标前作为投标文件的一部分提交，并加盖投标人公章（CA签章）/自然人签字或加盖个人CA签章，否则投标无效。</w:t>
      </w:r>
    </w:p>
    <w:p>
      <w:pPr>
        <w:snapToGrid w:val="0"/>
        <w:spacing w:beforeLines="50" w:line="420" w:lineRule="exact"/>
        <w:jc w:val="left"/>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pPr>
    </w:p>
    <w:p>
      <w:pPr>
        <w:rPr>
          <w:rFonts w:hint="eastAsia" w:ascii="宋体" w:hAnsi="宋体" w:eastAsia="宋体" w:cs="宋体"/>
          <w:b/>
          <w:bCs/>
          <w:color w:val="000000" w:themeColor="text1"/>
          <w:sz w:val="32"/>
          <w:szCs w:val="32"/>
          <w:highlight w:val="none"/>
          <w14:textFill>
            <w14:solidFill>
              <w14:schemeClr w14:val="tx1"/>
            </w14:solidFill>
          </w14:textFill>
        </w:rPr>
      </w:pPr>
      <w:bookmarkStart w:id="25" w:name="_Toc27290"/>
      <w:bookmarkStart w:id="26" w:name="_Toc495841787"/>
      <w:r>
        <w:rPr>
          <w:rFonts w:hint="eastAsia" w:ascii="宋体" w:hAnsi="宋体" w:eastAsia="宋体" w:cs="宋体"/>
          <w:b/>
          <w:color w:val="000000" w:themeColor="text1"/>
          <w:sz w:val="32"/>
          <w:szCs w:val="32"/>
          <w:highlight w:val="none"/>
          <w14:textFill>
            <w14:solidFill>
              <w14:schemeClr w14:val="tx1"/>
            </w14:solidFill>
          </w14:textFill>
        </w:rPr>
        <w:t>一</w:t>
      </w:r>
      <w:r>
        <w:rPr>
          <w:rFonts w:hint="eastAsia" w:ascii="宋体" w:hAnsi="宋体" w:eastAsia="宋体" w:cs="宋体"/>
          <w:b/>
          <w:bCs/>
          <w:color w:val="000000" w:themeColor="text1"/>
          <w:sz w:val="32"/>
          <w:szCs w:val="32"/>
          <w:highlight w:val="none"/>
          <w14:textFill>
            <w14:solidFill>
              <w14:schemeClr w14:val="tx1"/>
            </w14:solidFill>
          </w14:textFill>
        </w:rPr>
        <w:t>、资格性响应证明材料（格式）</w:t>
      </w:r>
      <w:bookmarkEnd w:id="25"/>
      <w:bookmarkEnd w:id="26"/>
    </w:p>
    <w:p>
      <w:pPr>
        <w:rPr>
          <w:rFonts w:hint="eastAsia" w:ascii="宋体" w:hAnsi="宋体" w:eastAsia="宋体" w:cs="宋体"/>
          <w:b/>
          <w:bCs/>
          <w:color w:val="000000" w:themeColor="text1"/>
          <w:sz w:val="32"/>
          <w:szCs w:val="32"/>
          <w:highlight w:val="none"/>
          <w14:textFill>
            <w14:solidFill>
              <w14:schemeClr w14:val="tx1"/>
            </w14:solidFill>
          </w14:textFill>
        </w:rPr>
      </w:pPr>
    </w:p>
    <w:p>
      <w:pPr>
        <w:rPr>
          <w:rFonts w:hint="eastAsia" w:ascii="宋体" w:hAnsi="宋体" w:eastAsia="宋体" w:cs="宋体"/>
          <w:b/>
          <w:bCs/>
          <w:color w:val="000000" w:themeColor="text1"/>
          <w:sz w:val="32"/>
          <w:szCs w:val="32"/>
          <w:highlight w:val="none"/>
          <w14:textFill>
            <w14:solidFill>
              <w14:schemeClr w14:val="tx1"/>
            </w14:solidFill>
          </w14:textFill>
        </w:rPr>
      </w:pPr>
      <w:bookmarkStart w:id="27" w:name="_Toc495841788"/>
      <w:bookmarkStart w:id="28" w:name="_Toc11828"/>
      <w:bookmarkStart w:id="29" w:name="_Toc495841794"/>
      <w:r>
        <w:rPr>
          <w:rFonts w:hint="eastAsia" w:ascii="宋体" w:hAnsi="宋体" w:eastAsia="宋体" w:cs="宋体"/>
          <w:b/>
          <w:bCs/>
          <w:color w:val="000000" w:themeColor="text1"/>
          <w:sz w:val="32"/>
          <w:szCs w:val="32"/>
          <w:highlight w:val="none"/>
          <w14:textFill>
            <w14:solidFill>
              <w14:schemeClr w14:val="tx1"/>
            </w14:solidFill>
          </w14:textFill>
        </w:rPr>
        <w:t>1.投标人相应的法定代表人、负责人、自然人身份证正反面复印件（必须提供）</w:t>
      </w:r>
      <w:bookmarkEnd w:id="27"/>
      <w:bookmarkEnd w:id="28"/>
    </w:p>
    <w:p>
      <w:pPr>
        <w:rPr>
          <w:rFonts w:hint="eastAsia" w:ascii="宋体" w:hAnsi="宋体" w:eastAsia="宋体" w:cs="宋体"/>
          <w:b/>
          <w:bCs/>
          <w:color w:val="000000" w:themeColor="text1"/>
          <w:sz w:val="32"/>
          <w:szCs w:val="32"/>
          <w:highlight w:val="none"/>
          <w14:textFill>
            <w14:solidFill>
              <w14:schemeClr w14:val="tx1"/>
            </w14:solidFill>
          </w14:textFill>
        </w:rPr>
      </w:pPr>
    </w:p>
    <w:p>
      <w:pPr>
        <w:rPr>
          <w:rFonts w:hint="eastAsia" w:ascii="宋体" w:hAnsi="宋体" w:eastAsia="宋体" w:cs="宋体"/>
          <w:b/>
          <w:bCs/>
          <w:color w:val="000000" w:themeColor="text1"/>
          <w:sz w:val="32"/>
          <w:szCs w:val="32"/>
          <w:highlight w:val="none"/>
          <w14:textFill>
            <w14:solidFill>
              <w14:schemeClr w14:val="tx1"/>
            </w14:solidFill>
          </w14:textFill>
        </w:rPr>
      </w:pPr>
    </w:p>
    <w:p>
      <w:pPr>
        <w:pStyle w:val="4"/>
        <w:rPr>
          <w:rFonts w:hint="eastAsia"/>
          <w:color w:val="000000" w:themeColor="text1"/>
          <w14:textFill>
            <w14:solidFill>
              <w14:schemeClr w14:val="tx1"/>
            </w14:solidFill>
          </w14:textFill>
        </w:rPr>
      </w:pPr>
    </w:p>
    <w:p>
      <w:pPr>
        <w:pStyle w:val="2"/>
        <w:ind w:firstLine="643" w:firstLineChars="200"/>
        <w:rPr>
          <w:rFonts w:hint="eastAsia" w:ascii="宋体" w:hAnsi="宋体" w:eastAsia="宋体" w:cs="宋体"/>
          <w:color w:val="000000" w:themeColor="text1"/>
          <w:highlight w:val="none"/>
          <w14:textFill>
            <w14:solidFill>
              <w14:schemeClr w14:val="tx1"/>
            </w14:solidFill>
          </w14:textFill>
        </w:rPr>
      </w:pPr>
      <w:bookmarkStart w:id="30" w:name="_Toc11623"/>
      <w:bookmarkStart w:id="31" w:name="_Toc495841789"/>
      <w:r>
        <w:rPr>
          <w:rFonts w:hint="eastAsia" w:ascii="宋体" w:hAnsi="宋体" w:eastAsia="宋体" w:cs="宋体"/>
          <w:b/>
          <w:bCs/>
          <w:color w:val="000000" w:themeColor="text1"/>
          <w:sz w:val="32"/>
          <w:szCs w:val="32"/>
          <w:highlight w:val="none"/>
          <w14:textFill>
            <w14:solidFill>
              <w14:schemeClr w14:val="tx1"/>
            </w14:solidFill>
          </w14:textFill>
        </w:rPr>
        <w:t>2.</w:t>
      </w:r>
      <w:bookmarkEnd w:id="30"/>
      <w:bookmarkEnd w:id="31"/>
      <w:r>
        <w:rPr>
          <w:rFonts w:hint="eastAsia" w:ascii="宋体" w:hAnsi="宋体" w:eastAsia="宋体" w:cs="宋体"/>
          <w:b/>
          <w:bCs/>
          <w:color w:val="000000" w:themeColor="text1"/>
          <w:sz w:val="32"/>
          <w:szCs w:val="32"/>
          <w:highlight w:val="none"/>
          <w14:textFill>
            <w14:solidFill>
              <w14:schemeClr w14:val="tx1"/>
            </w14:solidFill>
          </w14:textFill>
        </w:rPr>
        <w:t>投标人的授权委托书原件（格式见附件）、委托代理人身份证正反面复印件以及由县级以上（含县级）社会养老保险经办机构出具的投标人为委托代理人交纳的投标截止之日前半年内投标人任意三个月社保证明复印件【自然人投标的应提供由县级以上（含县级）社会养老保险经办机构出具的自然人本人及委托代理人所交纳的投标截止之日前半年内投标人任意三个月社保证明复印件】（委托代理时必须提供；若为新成立的企业，请根据实际情况提供）；</w:t>
      </w:r>
    </w:p>
    <w:p>
      <w:pPr>
        <w:pStyle w:val="63"/>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b/>
          <w:color w:val="000000" w:themeColor="text1"/>
          <w:sz w:val="32"/>
          <w:highlight w:val="none"/>
          <w14:textFill>
            <w14:solidFill>
              <w14:schemeClr w14:val="tx1"/>
            </w14:solidFill>
          </w14:textFill>
        </w:rPr>
      </w:pPr>
      <w:bookmarkStart w:id="32" w:name="_Toc12280"/>
      <w:bookmarkStart w:id="33" w:name="_Toc495841790"/>
      <w:r>
        <w:rPr>
          <w:rFonts w:hint="eastAsia" w:ascii="宋体" w:hAnsi="宋体" w:eastAsia="宋体" w:cs="宋体"/>
          <w:b/>
          <w:color w:val="000000" w:themeColor="text1"/>
          <w:sz w:val="32"/>
          <w:highlight w:val="none"/>
          <w14:textFill>
            <w14:solidFill>
              <w14:schemeClr w14:val="tx1"/>
            </w14:solidFill>
          </w14:textFill>
        </w:rPr>
        <w:t>授权委托书（格式一）</w:t>
      </w:r>
    </w:p>
    <w:p>
      <w:pPr>
        <w:snapToGrid w:val="0"/>
        <w:spacing w:line="40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u w:val="single"/>
          <w:lang w:eastAsia="zh-CN"/>
          <w14:textFill>
            <w14:solidFill>
              <w14:schemeClr w14:val="tx1"/>
            </w14:solidFill>
          </w14:textFill>
        </w:rPr>
        <w:t>亿诚建设项目管理有限公司</w:t>
      </w:r>
    </w:p>
    <w:p>
      <w:pPr>
        <w:spacing w:line="400" w:lineRule="exact"/>
        <w:ind w:firstLine="525"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（投标人名称）的法定代表人（负责人），现授权委托本单位在职职工</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（姓名），身份证号码：</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以我公司名义参加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项目的投标活动，并代表我方全权办理针对上述项目的投标、开标、评标、签约等具体事务和签署相关文件。</w:t>
      </w:r>
    </w:p>
    <w:p>
      <w:pPr>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我方对被授权人的签字事项负全部责任。</w:t>
      </w:r>
    </w:p>
    <w:p>
      <w:pPr>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授权委托代理期限：自即日起至该项目政府采购活动结束。</w:t>
      </w:r>
    </w:p>
    <w:p>
      <w:pPr>
        <w:spacing w:line="40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pPr>
        <w:snapToGrid w:val="0"/>
        <w:spacing w:line="400" w:lineRule="exact"/>
        <w:ind w:firstLine="525"/>
        <w:rPr>
          <w:rFonts w:hint="eastAsia" w:ascii="宋体" w:hAnsi="宋体" w:eastAsia="宋体" w:cs="宋体"/>
          <w:color w:val="000000" w:themeColor="text1"/>
          <w:szCs w:val="21"/>
          <w:highlight w:val="none"/>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投标人[公章（CA签章）]：</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法定代表人（负责人）签字（或个人CA签章）：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eastAsia="zh-CN"/>
          <w14:textFill>
            <w14:solidFill>
              <w14:schemeClr w14:val="tx1"/>
            </w14:solidFill>
          </w14:textFill>
        </w:rPr>
        <w:t>日</w:t>
      </w:r>
    </w:p>
    <w:p>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pPr>
        <w:spacing w:line="400" w:lineRule="exact"/>
        <w:ind w:firstLine="602" w:firstLineChars="250"/>
        <w:rPr>
          <w:rFonts w:hint="eastAsia" w:ascii="宋体" w:hAnsi="宋体" w:eastAsia="宋体" w:cs="宋体"/>
          <w:b/>
          <w:color w:val="000000" w:themeColor="text1"/>
          <w:sz w:val="24"/>
          <w:highlight w:val="none"/>
          <w14:textFill>
            <w14:solidFill>
              <w14:schemeClr w14:val="tx1"/>
            </w14:solidFill>
          </w14:textFill>
        </w:rPr>
      </w:pPr>
    </w:p>
    <w:p>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3.投标人的法人或者其他组织营业执照等证明文件复印件（必须提供，自然人除外）</w:t>
      </w:r>
      <w:bookmarkEnd w:id="32"/>
      <w:bookmarkEnd w:id="33"/>
    </w:p>
    <w:p>
      <w:pPr>
        <w:tabs>
          <w:tab w:val="left" w:pos="1305"/>
        </w:tabs>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rPr>
          <w:rFonts w:hint="eastAsia" w:ascii="宋体" w:hAnsi="宋体" w:eastAsia="宋体" w:cs="宋体"/>
          <w:b/>
          <w:color w:val="000000" w:themeColor="text1"/>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color w:val="000000" w:themeColor="text1"/>
          <w14:textFill>
            <w14:solidFill>
              <w14:schemeClr w14:val="tx1"/>
            </w14:solidFill>
          </w14:textFill>
        </w:rPr>
      </w:pPr>
    </w:p>
    <w:p>
      <w:pPr>
        <w:pStyle w:val="63"/>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4.</w:t>
      </w:r>
      <w:r>
        <w:rPr>
          <w:rFonts w:hint="eastAsia" w:hAnsi="宋体" w:cs="宋体"/>
          <w:b/>
          <w:bCs/>
          <w:color w:val="000000" w:themeColor="text1"/>
          <w:kern w:val="2"/>
          <w:sz w:val="32"/>
          <w:szCs w:val="32"/>
          <w:highlight w:val="none"/>
          <w:lang w:val="en-US" w:eastAsia="zh-CN" w:bidi="ar-SA"/>
          <w14:textFill>
            <w14:solidFill>
              <w14:schemeClr w14:val="tx1"/>
            </w14:solidFill>
          </w14:textFill>
        </w:rPr>
        <w:t>提供本项目服务的供应商为中小微企业或监狱企业或残疾人企业</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（中小微企业声明函或监狱企业的证明文件或残疾人福利性单位声明函的其中一项）</w:t>
      </w:r>
    </w:p>
    <w:p>
      <w:pPr>
        <w:pStyle w:val="63"/>
        <w:rPr>
          <w:rFonts w:hint="eastAsia" w:ascii="宋体" w:hAnsi="宋体" w:eastAsia="宋体" w:cs="宋体"/>
          <w:color w:val="000000" w:themeColor="text1"/>
          <w:highlight w:val="none"/>
          <w14:textFill>
            <w14:solidFill>
              <w14:schemeClr w14:val="tx1"/>
            </w14:solidFill>
          </w14:textFill>
        </w:rPr>
      </w:pPr>
    </w:p>
    <w:p>
      <w:pPr>
        <w:pStyle w:val="6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4.1</w:t>
      </w:r>
      <w:r>
        <w:rPr>
          <w:rFonts w:hint="eastAsia" w:ascii="宋体" w:hAnsi="宋体" w:eastAsia="宋体" w:cs="宋体"/>
          <w:b/>
          <w:bCs/>
          <w:color w:val="000000" w:themeColor="text1"/>
          <w:sz w:val="32"/>
          <w:szCs w:val="32"/>
          <w:highlight w:val="none"/>
          <w14:textFill>
            <w14:solidFill>
              <w14:schemeClr w14:val="tx1"/>
            </w14:solidFill>
          </w14:textFill>
        </w:rPr>
        <w:t>中小微企业声明函【如投标人为小型、微型企业（中小微型企业划分标准按照《政府采购促进中小企业发展管理办法》（财库〔2020〕46号）执行），投标人应如实声明并对出具声明函的真实性负责。中标、成交结果将同时公告该企业《中小微企业声明函》，接受社会监督。格式见附件】（如有，请提供）；</w:t>
      </w:r>
    </w:p>
    <w:p>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附件</w:t>
      </w:r>
    </w:p>
    <w:p>
      <w:pPr>
        <w:keepNext w:val="0"/>
        <w:keepLines w:val="0"/>
        <w:widowControl/>
        <w:suppressLineNumbers w:val="0"/>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bidi="ar"/>
          <w14:textFill>
            <w14:solidFill>
              <w14:schemeClr w14:val="tx1"/>
            </w14:solidFill>
          </w14:textFill>
        </w:rPr>
        <w:t>中小微企业声明函</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本公司（联合体）郑重声明，根据《政府采购促进中小企业发展管理办法》（财库〔2020〕46号）的规定，本公司 （联合体）参加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釆购活动,服务全部由符合政策要求的中小微企业承接。相关企业（含联合体中的中小微企业、签订分包意向协议的中小微企业）的具体情况如下</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（标的名称）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其他未列明行业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；承接企业为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企业名称（盖章）：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日 期：</w:t>
      </w:r>
    </w:p>
    <w:p>
      <w:pPr>
        <w:pStyle w:val="209"/>
        <w:spacing w:after="0" w:line="400" w:lineRule="exact"/>
        <w:rPr>
          <w:rFonts w:hint="eastAsia" w:ascii="宋体" w:hAnsi="宋体" w:eastAsia="宋体" w:cs="宋体"/>
          <w:color w:val="000000" w:themeColor="text1"/>
          <w:sz w:val="24"/>
          <w:szCs w:val="24"/>
          <w:highlight w:val="none"/>
          <w14:textFill>
            <w14:solidFill>
              <w14:schemeClr w14:val="tx1"/>
            </w14:solidFill>
          </w14:textFill>
        </w:rPr>
      </w:pPr>
    </w:p>
    <w:p>
      <w:pPr>
        <w:pStyle w:val="209"/>
        <w:adjustRightInd w:val="0"/>
        <w:snapToGrid w:val="0"/>
        <w:spacing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pPr>
        <w:spacing w:line="460" w:lineRule="exac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pStyle w:val="27"/>
        <w:adjustRightInd w:val="0"/>
        <w:spacing w:line="390" w:lineRule="exact"/>
        <w:contextualSpacing/>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pPr>
        <w:pStyle w:val="27"/>
        <w:adjustRightInd w:val="0"/>
        <w:spacing w:line="390" w:lineRule="exact"/>
        <w:contextualSpacing/>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pPr>
        <w:pStyle w:val="27"/>
        <w:adjustRightInd w:val="0"/>
        <w:spacing w:line="390" w:lineRule="exact"/>
        <w:contextualSpacing/>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pPr>
        <w:pStyle w:val="27"/>
        <w:adjustRightInd w:val="0"/>
        <w:spacing w:line="390" w:lineRule="exact"/>
        <w:contextualSpacing/>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pPr>
        <w:pStyle w:val="27"/>
        <w:adjustRightInd w:val="0"/>
        <w:spacing w:line="390" w:lineRule="exact"/>
        <w:contextualSpacing/>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pPr>
        <w:pStyle w:val="27"/>
        <w:adjustRightInd w:val="0"/>
        <w:spacing w:line="390" w:lineRule="exact"/>
        <w:contextualSpacing/>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pPr>
        <w:pStyle w:val="27"/>
        <w:adjustRightInd w:val="0"/>
        <w:spacing w:line="390" w:lineRule="exact"/>
        <w:contextualSpacing/>
        <w:rPr>
          <w:rFonts w:hint="eastAsia" w:asciiTheme="minorEastAsia" w:hAnsiTheme="minorEastAsia" w:eastAsiaTheme="minorEastAsia" w:cstheme="minorEastAsia"/>
          <w:b/>
          <w:bCs/>
          <w:color w:val="000000" w:themeColor="text1"/>
          <w:highlight w:val="none"/>
          <w14:textFill>
            <w14:solidFill>
              <w14:schemeClr w14:val="tx1"/>
            </w14:solidFill>
          </w14:textFill>
        </w:rPr>
      </w:pPr>
    </w:p>
    <w:p>
      <w:pPr>
        <w:pStyle w:val="27"/>
        <w:adjustRightInd w:val="0"/>
        <w:spacing w:line="390" w:lineRule="exact"/>
        <w:contextualSpacing/>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附表</w:t>
      </w:r>
    </w:p>
    <w:p>
      <w:pPr>
        <w:widowControl/>
        <w:spacing w:line="400" w:lineRule="exact"/>
        <w:jc w:val="cente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统计上大中小微型企业划分标准</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1446"/>
        <w:gridCol w:w="827"/>
        <w:gridCol w:w="1108"/>
        <w:gridCol w:w="1797"/>
        <w:gridCol w:w="150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trPr>
        <w:tc>
          <w:tcPr>
            <w:tcW w:w="1120" w:type="pct"/>
            <w:shd w:val="clear" w:color="auto" w:fill="8DB3E2"/>
            <w:vAlign w:val="center"/>
          </w:tcPr>
          <w:p>
            <w:pPr>
              <w:widowControl/>
              <w:spacing w:line="240" w:lineRule="exact"/>
              <w:jc w:val="center"/>
              <w:rPr>
                <w:rFonts w:hint="eastAsia" w:asciiTheme="minorEastAsia" w:hAnsiTheme="minorEastAsia" w:eastAsiaTheme="minorEastAsia" w:cstheme="minorEastAsia"/>
                <w:b/>
                <w:bCs/>
                <w:color w:val="000000" w:themeColor="text1"/>
                <w:kern w:val="0"/>
                <w:sz w:val="18"/>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21"/>
                <w:highlight w:val="none"/>
                <w14:textFill>
                  <w14:solidFill>
                    <w14:schemeClr w14:val="tx1"/>
                  </w14:solidFill>
                </w14:textFill>
              </w:rPr>
              <w:t>行业名称</w:t>
            </w:r>
          </w:p>
        </w:tc>
        <w:tc>
          <w:tcPr>
            <w:tcW w:w="726" w:type="pct"/>
            <w:shd w:val="clear" w:color="auto" w:fill="8DB3E2"/>
            <w:vAlign w:val="center"/>
          </w:tcPr>
          <w:p>
            <w:pPr>
              <w:widowControl/>
              <w:spacing w:line="240" w:lineRule="exact"/>
              <w:jc w:val="cente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t>指标名称</w:t>
            </w:r>
          </w:p>
        </w:tc>
        <w:tc>
          <w:tcPr>
            <w:tcW w:w="415" w:type="pct"/>
            <w:shd w:val="clear" w:color="auto" w:fill="8DB3E2"/>
            <w:vAlign w:val="center"/>
          </w:tcPr>
          <w:p>
            <w:pPr>
              <w:widowControl/>
              <w:spacing w:line="240" w:lineRule="exact"/>
              <w:jc w:val="cente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t>计量</w:t>
            </w:r>
            <w: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br w:type="textWrapping"/>
            </w:r>
            <w: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t>单位</w:t>
            </w:r>
          </w:p>
        </w:tc>
        <w:tc>
          <w:tcPr>
            <w:tcW w:w="556" w:type="pct"/>
            <w:shd w:val="clear" w:color="auto" w:fill="8DB3E2"/>
            <w:vAlign w:val="center"/>
          </w:tcPr>
          <w:p>
            <w:pPr>
              <w:widowControl/>
              <w:spacing w:line="240" w:lineRule="exact"/>
              <w:jc w:val="cente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t>大型</w:t>
            </w:r>
          </w:p>
        </w:tc>
        <w:tc>
          <w:tcPr>
            <w:tcW w:w="902" w:type="pct"/>
            <w:shd w:val="clear" w:color="auto" w:fill="8DB3E2"/>
            <w:vAlign w:val="center"/>
          </w:tcPr>
          <w:p>
            <w:pPr>
              <w:widowControl/>
              <w:spacing w:line="240" w:lineRule="exact"/>
              <w:jc w:val="cente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t>中型</w:t>
            </w:r>
          </w:p>
        </w:tc>
        <w:tc>
          <w:tcPr>
            <w:tcW w:w="756" w:type="pct"/>
            <w:shd w:val="clear" w:color="auto" w:fill="8DB3E2"/>
            <w:vAlign w:val="center"/>
          </w:tcPr>
          <w:p>
            <w:pPr>
              <w:widowControl/>
              <w:spacing w:line="240" w:lineRule="exact"/>
              <w:jc w:val="cente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t>小型</w:t>
            </w:r>
          </w:p>
        </w:tc>
        <w:tc>
          <w:tcPr>
            <w:tcW w:w="525" w:type="pct"/>
            <w:shd w:val="clear" w:color="auto" w:fill="8DB3E2"/>
            <w:vAlign w:val="center"/>
          </w:tcPr>
          <w:p>
            <w:pPr>
              <w:widowControl/>
              <w:spacing w:line="240" w:lineRule="exact"/>
              <w:jc w:val="cente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highlight w:val="none"/>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农、林、牧、渔业</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Y≥20000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500≤Y＜20000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50≤Y＜500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工业 *</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从业人员(X)</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人</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X≥1000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300≤X＜1000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20≤X＜300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Y≥40000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2000≤Y＜40000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300≤Y＜2000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建筑业</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Y≥80000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6000≤Y＜80000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300≤Y＜6000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资产总额(Z)</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Z≥80000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5000≤Z＜80000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300≤Z＜5000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批发业</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从业人员(X)</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人</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X≥200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20≤X＜200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5≤X＜20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Y≥40000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5000≤Y＜40000</w:t>
            </w:r>
          </w:p>
        </w:tc>
        <w:tc>
          <w:tcPr>
            <w:tcW w:w="756" w:type="pct"/>
            <w:vAlign w:val="center"/>
          </w:tcPr>
          <w:p>
            <w:pPr>
              <w:widowControl/>
              <w:spacing w:line="240" w:lineRule="exact"/>
              <w:ind w:left="-1" w:leftChars="-1" w:hanging="1"/>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1000≤Y＜5000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零售业</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从业人员(X)</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人</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X≥300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50≤X＜300</w:t>
            </w:r>
          </w:p>
        </w:tc>
        <w:tc>
          <w:tcPr>
            <w:tcW w:w="756" w:type="pct"/>
            <w:vAlign w:val="center"/>
          </w:tcPr>
          <w:p>
            <w:pPr>
              <w:widowControl/>
              <w:spacing w:line="240" w:lineRule="exact"/>
              <w:ind w:left="-1" w:leftChars="-1" w:hanging="1"/>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 xml:space="preserve">10≤X＜50 </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Y≥20000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500≤Y＜20000</w:t>
            </w:r>
          </w:p>
        </w:tc>
        <w:tc>
          <w:tcPr>
            <w:tcW w:w="756" w:type="pct"/>
            <w:vAlign w:val="center"/>
          </w:tcPr>
          <w:p>
            <w:pPr>
              <w:widowControl/>
              <w:spacing w:line="240" w:lineRule="exact"/>
              <w:ind w:left="-1" w:leftChars="-1" w:hanging="1"/>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100≤Y＜500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交通运输业 *</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从业人员(X)</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人</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X≥1000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300≤X＜1000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20≤X＜300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Y≥30000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3000≤Y＜30000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200≤Y＜3000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仓储业*</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从业人员(X)</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人</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X≥200</w:t>
            </w:r>
          </w:p>
        </w:tc>
        <w:tc>
          <w:tcPr>
            <w:tcW w:w="902" w:type="pct"/>
            <w:vAlign w:val="center"/>
          </w:tcPr>
          <w:p>
            <w:pPr>
              <w:widowControl/>
              <w:spacing w:line="240" w:lineRule="exact"/>
              <w:ind w:left="1" w:leftChars="-51" w:hanging="108" w:hangingChars="60"/>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100≤X＜200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20≤X＜100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Y≥30000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1000≤Y＜30000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100≤Y＜1000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邮政业</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从业人员(X)</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人</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X≥1000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300≤X＜1000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20≤X＜300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Y≥30000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2000≤Y＜30000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100≤Y＜2000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住宿业</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从业人员(X)</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人</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X≥300</w:t>
            </w:r>
          </w:p>
        </w:tc>
        <w:tc>
          <w:tcPr>
            <w:tcW w:w="902" w:type="pct"/>
            <w:vAlign w:val="center"/>
          </w:tcPr>
          <w:p>
            <w:pPr>
              <w:widowControl/>
              <w:spacing w:line="240" w:lineRule="exact"/>
              <w:ind w:left="1" w:leftChars="-51" w:hanging="108" w:hangingChars="60"/>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100≤X＜300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10≤X＜100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Y≥10000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2000≤Y＜10000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100≤Y＜2000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餐饮业</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从业人员(X)</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人</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X≥300</w:t>
            </w:r>
          </w:p>
        </w:tc>
        <w:tc>
          <w:tcPr>
            <w:tcW w:w="902" w:type="pct"/>
            <w:vAlign w:val="center"/>
          </w:tcPr>
          <w:p>
            <w:pPr>
              <w:widowControl/>
              <w:spacing w:line="240" w:lineRule="exact"/>
              <w:ind w:left="1" w:leftChars="-51" w:hanging="108" w:hangingChars="60"/>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 xml:space="preserve">100≤X＜300 </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10≤X＜100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Y≥10000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2000≤Y＜10000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100≤Y＜2000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信息传输业 *</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从业人员(X)</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人</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X≥2000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100≤X＜2000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10≤X＜100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Y≥100000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1000≤Y＜100000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100≤Y＜1000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spacing w:val="-12"/>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kern w:val="0"/>
                <w:sz w:val="18"/>
                <w:szCs w:val="18"/>
                <w:highlight w:val="none"/>
                <w14:textFill>
                  <w14:solidFill>
                    <w14:schemeClr w14:val="tx1"/>
                  </w14:solidFill>
                </w14:textFill>
              </w:rPr>
              <w:t>软件和信息技术服</w:t>
            </w: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务业</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从业人员(X)</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人</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X≥300</w:t>
            </w:r>
          </w:p>
        </w:tc>
        <w:tc>
          <w:tcPr>
            <w:tcW w:w="902" w:type="pct"/>
            <w:vAlign w:val="center"/>
          </w:tcPr>
          <w:p>
            <w:pPr>
              <w:widowControl/>
              <w:spacing w:line="240" w:lineRule="exact"/>
              <w:ind w:left="1" w:leftChars="-51" w:hanging="108" w:hangingChars="60"/>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 xml:space="preserve">100≤X＜300 </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10≤X＜100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spacing w:val="-12"/>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Y≥10000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1000≤Y＜10000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50≤Y＜1000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房地产开发经营</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Y≥200000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1000≤Y＜200000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100≤Y＜1000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资产总额(Z)</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Z≥10000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5000≤Z＜10000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2000≤Z＜5000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物业管理</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从业人员(X)</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人</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X≥1000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300≤X＜1000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100≤X＜300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营业收入(Y)</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Y≥5000</w:t>
            </w:r>
          </w:p>
        </w:tc>
        <w:tc>
          <w:tcPr>
            <w:tcW w:w="902" w:type="pct"/>
            <w:vAlign w:val="center"/>
          </w:tcPr>
          <w:p>
            <w:pPr>
              <w:widowControl/>
              <w:spacing w:line="240" w:lineRule="exact"/>
              <w:ind w:left="1" w:leftChars="-51" w:hanging="108" w:hangingChars="60"/>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1000≤Y＜5000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500≤Y＜1000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exact"/>
        </w:trPr>
        <w:tc>
          <w:tcPr>
            <w:tcW w:w="1120" w:type="pct"/>
            <w:vMerge w:val="restar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租赁和商务服务业</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从业人员(X)</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人</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X≥300</w:t>
            </w:r>
          </w:p>
        </w:tc>
        <w:tc>
          <w:tcPr>
            <w:tcW w:w="902" w:type="pct"/>
            <w:vAlign w:val="center"/>
          </w:tcPr>
          <w:p>
            <w:pPr>
              <w:widowControl/>
              <w:spacing w:line="240" w:lineRule="exact"/>
              <w:ind w:left="1" w:leftChars="-51" w:hanging="108" w:hangingChars="60"/>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100≤X＜300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10≤X＜100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exact"/>
        </w:trPr>
        <w:tc>
          <w:tcPr>
            <w:tcW w:w="1120" w:type="pct"/>
            <w:vMerge w:val="continue"/>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资产总额(Z)</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万元</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Z≥120000</w:t>
            </w:r>
          </w:p>
        </w:tc>
        <w:tc>
          <w:tcPr>
            <w:tcW w:w="902"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8000≤Z＜120000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100≤Z＜8000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1120" w:type="pct"/>
            <w:vAlign w:val="center"/>
          </w:tcPr>
          <w:p>
            <w:pPr>
              <w:widowControl/>
              <w:spacing w:line="240" w:lineRule="exact"/>
              <w:jc w:val="left"/>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其他未列明行业 *</w:t>
            </w:r>
          </w:p>
        </w:tc>
        <w:tc>
          <w:tcPr>
            <w:tcW w:w="72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从业人员(X)</w:t>
            </w:r>
          </w:p>
        </w:tc>
        <w:tc>
          <w:tcPr>
            <w:tcW w:w="41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人</w:t>
            </w:r>
          </w:p>
        </w:tc>
        <w:tc>
          <w:tcPr>
            <w:tcW w:w="5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X≥300</w:t>
            </w:r>
          </w:p>
        </w:tc>
        <w:tc>
          <w:tcPr>
            <w:tcW w:w="902" w:type="pct"/>
            <w:vAlign w:val="center"/>
          </w:tcPr>
          <w:p>
            <w:pPr>
              <w:widowControl/>
              <w:spacing w:line="240" w:lineRule="exact"/>
              <w:ind w:left="1" w:leftChars="-51" w:hanging="108" w:hangingChars="60"/>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100≤X＜300</w:t>
            </w:r>
          </w:p>
        </w:tc>
        <w:tc>
          <w:tcPr>
            <w:tcW w:w="756"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10≤X＜100</w:t>
            </w:r>
          </w:p>
        </w:tc>
        <w:tc>
          <w:tcPr>
            <w:tcW w:w="525" w:type="pct"/>
            <w:vAlign w:val="center"/>
          </w:tcPr>
          <w:p>
            <w:pPr>
              <w:widowControl/>
              <w:spacing w:line="240" w:lineRule="exact"/>
              <w:jc w:val="cente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highlight w:val="none"/>
                <w14:textFill>
                  <w14:solidFill>
                    <w14:schemeClr w14:val="tx1"/>
                  </w14:solidFill>
                </w14:textFill>
              </w:rPr>
              <w:t>X＜10</w:t>
            </w:r>
          </w:p>
        </w:tc>
      </w:tr>
    </w:tbl>
    <w:p>
      <w:pPr>
        <w:widowControl/>
        <w:spacing w:line="240" w:lineRule="exact"/>
        <w:rPr>
          <w:rFonts w:hint="eastAsia" w:asciiTheme="minorEastAsia" w:hAnsiTheme="minorEastAsia" w:eastAsiaTheme="minorEastAsia" w:cstheme="minorEastAsia"/>
          <w:color w:val="000000" w:themeColor="text1"/>
          <w:spacing w:val="8"/>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kern w:val="0"/>
          <w:szCs w:val="21"/>
          <w:highlight w:val="none"/>
          <w14:textFill>
            <w14:solidFill>
              <w14:schemeClr w14:val="tx1"/>
            </w14:solidFill>
          </w14:textFill>
        </w:rPr>
        <w:t>说明：</w:t>
      </w:r>
    </w:p>
    <w:p>
      <w:pPr>
        <w:pStyle w:val="27"/>
        <w:adjustRightInd w:val="0"/>
        <w:spacing w:line="240" w:lineRule="exact"/>
        <w:ind w:firstLine="452" w:firstLineChars="200"/>
        <w:contextualSpacing/>
        <w:rPr>
          <w:rFonts w:hint="eastAsia" w:asciiTheme="minorEastAsia" w:hAnsiTheme="minorEastAsia" w:eastAsiaTheme="minorEastAsia" w:cstheme="minorEastAsia"/>
          <w:color w:val="000000" w:themeColor="text1"/>
          <w:spacing w:val="8"/>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kern w:val="0"/>
          <w:szCs w:val="21"/>
          <w:highlight w:val="none"/>
          <w14:textFill>
            <w14:solidFill>
              <w14:schemeClr w14:val="tx1"/>
            </w14:solidFill>
          </w14:textFill>
        </w:rPr>
        <w:t>1.大型、中型和小型企业须同时满足所列指标的下限，否则下划一档；微型企业只须满足所列指标中的一项即可。</w:t>
      </w:r>
    </w:p>
    <w:p>
      <w:pPr>
        <w:pStyle w:val="27"/>
        <w:adjustRightInd w:val="0"/>
        <w:spacing w:line="240" w:lineRule="exact"/>
        <w:ind w:firstLine="452" w:firstLineChars="200"/>
        <w:contextualSpacing/>
        <w:rPr>
          <w:rFonts w:hint="eastAsia" w:asciiTheme="minorEastAsia" w:hAnsiTheme="minorEastAsia" w:eastAsiaTheme="minorEastAsia" w:cstheme="minorEastAsia"/>
          <w:color w:val="000000" w:themeColor="text1"/>
          <w:spacing w:val="8"/>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kern w:val="0"/>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27"/>
        <w:adjustRightInd w:val="0"/>
        <w:spacing w:line="240" w:lineRule="exact"/>
        <w:ind w:firstLine="452" w:firstLineChars="200"/>
        <w:contextualSpacing/>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kern w:val="0"/>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4.2</w:t>
      </w:r>
      <w:r>
        <w:rPr>
          <w:rFonts w:hint="eastAsia" w:ascii="宋体" w:hAnsi="宋体" w:eastAsia="宋体" w:cs="宋体"/>
          <w:b/>
          <w:bCs/>
          <w:color w:val="000000" w:themeColor="text1"/>
          <w:sz w:val="32"/>
          <w:szCs w:val="32"/>
          <w:highlight w:val="none"/>
          <w14:textFill>
            <w14:solidFill>
              <w14:schemeClr w14:val="tx1"/>
            </w14:solidFill>
          </w14:textFill>
        </w:rPr>
        <w:t>监狱企业的证明文件【属于监狱企业的，以提供由省级以上监狱管理局、戒毒管理局（含新疆生产建设兵团）出具的属于监狱企业的证明文件为准】（如有，请提供）；</w:t>
      </w:r>
    </w:p>
    <w:p>
      <w:pPr>
        <w:pStyle w:val="63"/>
        <w:rPr>
          <w:rFonts w:hint="eastAsia" w:ascii="宋体" w:hAnsi="宋体" w:eastAsia="宋体" w:cs="宋体"/>
          <w:color w:val="000000" w:themeColor="text1"/>
          <w:highlight w:val="none"/>
          <w14:textFill>
            <w14:solidFill>
              <w14:schemeClr w14:val="tx1"/>
            </w14:solidFill>
          </w14:textFill>
        </w:rPr>
      </w:pPr>
    </w:p>
    <w:p>
      <w:pPr>
        <w:pStyle w:val="63"/>
        <w:rPr>
          <w:rFonts w:hint="eastAsia" w:ascii="宋体" w:hAnsi="宋体" w:eastAsia="宋体" w:cs="宋体"/>
          <w:color w:val="000000" w:themeColor="text1"/>
          <w:highlight w:val="none"/>
          <w14:textFill>
            <w14:solidFill>
              <w14:schemeClr w14:val="tx1"/>
            </w14:solidFill>
          </w14:textFill>
        </w:rPr>
      </w:pPr>
    </w:p>
    <w:p>
      <w:pPr>
        <w:pStyle w:val="63"/>
        <w:rPr>
          <w:rFonts w:hint="eastAsia" w:ascii="宋体" w:hAnsi="宋体" w:eastAsia="宋体" w:cs="宋体"/>
          <w:color w:val="000000" w:themeColor="text1"/>
          <w:highlight w:val="none"/>
          <w14:textFill>
            <w14:solidFill>
              <w14:schemeClr w14:val="tx1"/>
            </w14:solidFill>
          </w14:textFill>
        </w:rPr>
      </w:pPr>
    </w:p>
    <w:p>
      <w:pPr>
        <w:pStyle w:val="6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4.3</w:t>
      </w:r>
      <w:r>
        <w:rPr>
          <w:rFonts w:hint="eastAsia" w:ascii="宋体" w:hAnsi="宋体" w:eastAsia="宋体" w:cs="宋体"/>
          <w:b/>
          <w:bCs/>
          <w:color w:val="000000" w:themeColor="text1"/>
          <w:sz w:val="32"/>
          <w:szCs w:val="32"/>
          <w:highlight w:val="none"/>
          <w14:textFill>
            <w14:solidFill>
              <w14:schemeClr w14:val="tx1"/>
            </w14:solidFill>
          </w14:textFill>
        </w:rPr>
        <w:t>残疾人福利性单位声明函（如投标人为残疾人福利性单位的，采购人或者其委托的采购代理机构应当随中标、成交结果同时公告企业《残疾人福利性单位声明函》，接受社会监督。）（如有，请提供）；</w:t>
      </w:r>
    </w:p>
    <w:p>
      <w:pPr>
        <w:pStyle w:val="2"/>
        <w:rPr>
          <w:rFonts w:hint="eastAsia" w:ascii="宋体" w:hAnsi="宋体" w:eastAsia="宋体" w:cs="宋体"/>
          <w:color w:val="000000" w:themeColor="text1"/>
          <w:highlight w:val="none"/>
          <w14:textFill>
            <w14:solidFill>
              <w14:schemeClr w14:val="tx1"/>
            </w14:solidFill>
          </w14:textFill>
        </w:rPr>
      </w:pPr>
    </w:p>
    <w:p>
      <w:pPr>
        <w:spacing w:line="588" w:lineRule="exact"/>
        <w:jc w:val="center"/>
        <w:rPr>
          <w:rFonts w:hint="eastAsia" w:ascii="宋体" w:hAnsi="宋体" w:eastAsia="宋体" w:cs="宋体"/>
          <w:b/>
          <w:color w:val="000000" w:themeColor="text1"/>
          <w:spacing w:val="6"/>
          <w:sz w:val="30"/>
          <w:szCs w:val="30"/>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p>
      <w:pPr>
        <w:spacing w:line="588" w:lineRule="exact"/>
        <w:ind w:firstLine="624" w:firstLineChars="200"/>
        <w:rPr>
          <w:rFonts w:hint="eastAsia" w:ascii="宋体" w:hAnsi="宋体" w:eastAsia="宋体" w:cs="宋体"/>
          <w:color w:val="000000" w:themeColor="text1"/>
          <w:spacing w:val="6"/>
          <w:sz w:val="30"/>
          <w:szCs w:val="30"/>
          <w:highlight w:val="none"/>
          <w14:textFill>
            <w14:solidFill>
              <w14:schemeClr w14:val="tx1"/>
            </w14:solidFill>
          </w14:textFill>
        </w:rPr>
      </w:pPr>
      <w:r>
        <w:rPr>
          <w:rFonts w:hint="eastAsia" w:ascii="宋体" w:hAnsi="宋体" w:eastAsia="宋体" w:cs="宋体"/>
          <w:color w:val="000000" w:themeColor="text1"/>
          <w:spacing w:val="6"/>
          <w:sz w:val="30"/>
          <w:szCs w:val="30"/>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hint="eastAsia" w:ascii="宋体" w:hAnsi="宋体" w:eastAsia="宋体" w:cs="宋体"/>
          <w:color w:val="000000" w:themeColor="text1"/>
          <w:spacing w:val="6"/>
          <w:sz w:val="30"/>
          <w:szCs w:val="30"/>
          <w:highlight w:val="none"/>
          <w14:textFill>
            <w14:solidFill>
              <w14:schemeClr w14:val="tx1"/>
            </w14:solidFill>
          </w14:textFill>
        </w:rPr>
      </w:pPr>
      <w:r>
        <w:rPr>
          <w:rFonts w:hint="eastAsia" w:ascii="宋体" w:hAnsi="宋体" w:eastAsia="宋体" w:cs="宋体"/>
          <w:color w:val="000000" w:themeColor="text1"/>
          <w:spacing w:val="6"/>
          <w:sz w:val="30"/>
          <w:szCs w:val="30"/>
          <w:highlight w:val="none"/>
          <w14:textFill>
            <w14:solidFill>
              <w14:schemeClr w14:val="tx1"/>
            </w14:solidFill>
          </w14:textFill>
        </w:rPr>
        <w:t>本单位对上述声明的真实性负责。如有虚假，将依法承担相应责任。</w:t>
      </w:r>
    </w:p>
    <w:p>
      <w:pPr>
        <w:spacing w:line="588" w:lineRule="exact"/>
        <w:rPr>
          <w:rFonts w:hint="eastAsia" w:ascii="宋体" w:hAnsi="宋体" w:eastAsia="宋体" w:cs="宋体"/>
          <w:color w:val="000000" w:themeColor="text1"/>
          <w:spacing w:val="6"/>
          <w:sz w:val="30"/>
          <w:szCs w:val="30"/>
          <w:highlight w:val="none"/>
          <w14:textFill>
            <w14:solidFill>
              <w14:schemeClr w14:val="tx1"/>
            </w14:solidFill>
          </w14:textFill>
        </w:rPr>
      </w:pPr>
    </w:p>
    <w:p>
      <w:pPr>
        <w:spacing w:line="588" w:lineRule="exact"/>
        <w:ind w:firstLine="624" w:firstLineChars="200"/>
        <w:rPr>
          <w:rFonts w:hint="eastAsia" w:ascii="宋体" w:hAnsi="宋体" w:eastAsia="宋体" w:cs="宋体"/>
          <w:color w:val="000000" w:themeColor="text1"/>
          <w:spacing w:val="6"/>
          <w:sz w:val="30"/>
          <w:szCs w:val="30"/>
          <w:highlight w:val="none"/>
          <w14:textFill>
            <w14:solidFill>
              <w14:schemeClr w14:val="tx1"/>
            </w14:solidFill>
          </w14:textFill>
        </w:rPr>
      </w:pPr>
      <w:r>
        <w:rPr>
          <w:rFonts w:hint="eastAsia" w:ascii="宋体" w:hAnsi="宋体" w:eastAsia="宋体" w:cs="宋体"/>
          <w:color w:val="000000" w:themeColor="text1"/>
          <w:spacing w:val="6"/>
          <w:sz w:val="30"/>
          <w:szCs w:val="30"/>
          <w:highlight w:val="none"/>
          <w14:textFill>
            <w14:solidFill>
              <w14:schemeClr w14:val="tx1"/>
            </w14:solidFill>
          </w14:textFill>
        </w:rPr>
        <w:t xml:space="preserve"> </w:t>
      </w:r>
    </w:p>
    <w:p>
      <w:pPr>
        <w:tabs>
          <w:tab w:val="left" w:pos="4860"/>
        </w:tabs>
        <w:spacing w:line="588" w:lineRule="exact"/>
        <w:ind w:right="1560" w:firstLine="624" w:firstLineChars="200"/>
        <w:jc w:val="center"/>
        <w:rPr>
          <w:rFonts w:hint="eastAsia" w:ascii="宋体" w:hAnsi="宋体" w:eastAsia="宋体" w:cs="宋体"/>
          <w:color w:val="000000" w:themeColor="text1"/>
          <w:spacing w:val="6"/>
          <w:sz w:val="30"/>
          <w:szCs w:val="30"/>
          <w:highlight w:val="none"/>
          <w14:textFill>
            <w14:solidFill>
              <w14:schemeClr w14:val="tx1"/>
            </w14:solidFill>
          </w14:textFill>
        </w:rPr>
      </w:pPr>
      <w:r>
        <w:rPr>
          <w:rFonts w:hint="eastAsia" w:ascii="宋体" w:hAnsi="宋体" w:eastAsia="宋体" w:cs="宋体"/>
          <w:color w:val="000000" w:themeColor="text1"/>
          <w:spacing w:val="6"/>
          <w:sz w:val="30"/>
          <w:szCs w:val="30"/>
          <w:highlight w:val="none"/>
          <w14:textFill>
            <w14:solidFill>
              <w14:schemeClr w14:val="tx1"/>
            </w14:solidFill>
          </w14:textFill>
        </w:rPr>
        <w:t xml:space="preserve">       单位名称[盖公章(CA签章)]：</w:t>
      </w:r>
    </w:p>
    <w:p>
      <w:pPr>
        <w:tabs>
          <w:tab w:val="left" w:pos="4860"/>
        </w:tabs>
        <w:spacing w:line="588" w:lineRule="exact"/>
        <w:ind w:right="1560" w:firstLine="624" w:firstLineChars="200"/>
        <w:jc w:val="center"/>
        <w:rPr>
          <w:rFonts w:hint="eastAsia" w:ascii="宋体" w:hAnsi="宋体" w:eastAsia="宋体" w:cs="宋体"/>
          <w:color w:val="000000" w:themeColor="text1"/>
          <w:spacing w:val="6"/>
          <w:sz w:val="30"/>
          <w:szCs w:val="30"/>
          <w:highlight w:val="none"/>
          <w14:textFill>
            <w14:solidFill>
              <w14:schemeClr w14:val="tx1"/>
            </w14:solidFill>
          </w14:textFill>
        </w:rPr>
      </w:pPr>
    </w:p>
    <w:p>
      <w:pPr>
        <w:tabs>
          <w:tab w:val="left" w:pos="4860"/>
        </w:tabs>
        <w:spacing w:line="588" w:lineRule="exact"/>
        <w:ind w:right="1560" w:firstLine="624"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pacing w:val="6"/>
          <w:sz w:val="30"/>
          <w:szCs w:val="30"/>
          <w:highlight w:val="none"/>
          <w14:textFill>
            <w14:solidFill>
              <w14:schemeClr w14:val="tx1"/>
            </w14:solidFill>
          </w14:textFill>
        </w:rPr>
        <w:t xml:space="preserve">                         日  期：</w:t>
      </w:r>
    </w:p>
    <w:p>
      <w:pPr>
        <w:pStyle w:val="63"/>
        <w:rPr>
          <w:rFonts w:hint="eastAsia" w:ascii="宋体" w:hAnsi="宋体" w:eastAsia="宋体" w:cs="宋体"/>
          <w:color w:val="000000" w:themeColor="text1"/>
          <w:highlight w:val="none"/>
          <w:lang w:eastAsia="zh-CN"/>
          <w14:textFill>
            <w14:solidFill>
              <w14:schemeClr w14:val="tx1"/>
            </w14:solidFill>
          </w14:textFill>
        </w:rPr>
      </w:pPr>
    </w:p>
    <w:p>
      <w:pPr>
        <w:pStyle w:val="63"/>
        <w:rPr>
          <w:rFonts w:hint="eastAsia" w:ascii="宋体" w:hAnsi="宋体" w:eastAsia="宋体" w:cs="宋体"/>
          <w:color w:val="000000" w:themeColor="text1"/>
          <w:highlight w:val="none"/>
          <w14:textFill>
            <w14:solidFill>
              <w14:schemeClr w14:val="tx1"/>
            </w14:solidFill>
          </w14:textFill>
        </w:rPr>
      </w:pPr>
    </w:p>
    <w:p>
      <w:pPr>
        <w:pStyle w:val="63"/>
        <w:rPr>
          <w:rFonts w:hint="eastAsia" w:ascii="宋体" w:hAnsi="宋体" w:eastAsia="宋体" w:cs="宋体"/>
          <w:color w:val="000000" w:themeColor="text1"/>
          <w:highlight w:val="none"/>
          <w14:textFill>
            <w14:solidFill>
              <w14:schemeClr w14:val="tx1"/>
            </w14:solidFill>
          </w14:textFill>
        </w:rPr>
      </w:pPr>
    </w:p>
    <w:p>
      <w:pPr>
        <w:pStyle w:val="63"/>
        <w:rPr>
          <w:rFonts w:hint="eastAsia" w:ascii="宋体" w:hAnsi="宋体" w:eastAsia="宋体" w:cs="宋体"/>
          <w:color w:val="000000" w:themeColor="text1"/>
          <w:highlight w:val="none"/>
          <w14:textFill>
            <w14:solidFill>
              <w14:schemeClr w14:val="tx1"/>
            </w14:solidFill>
          </w14:textFill>
        </w:rPr>
      </w:pPr>
    </w:p>
    <w:p>
      <w:pPr>
        <w:pStyle w:val="63"/>
        <w:rPr>
          <w:rFonts w:hint="eastAsia" w:ascii="宋体" w:hAnsi="宋体" w:eastAsia="宋体" w:cs="宋体"/>
          <w:color w:val="000000" w:themeColor="text1"/>
          <w:highlight w:val="none"/>
          <w14:textFill>
            <w14:solidFill>
              <w14:schemeClr w14:val="tx1"/>
            </w14:solidFill>
          </w14:textFill>
        </w:rPr>
      </w:pPr>
    </w:p>
    <w:p>
      <w:pPr>
        <w:pStyle w:val="63"/>
        <w:rPr>
          <w:rFonts w:hint="eastAsia" w:ascii="宋体" w:hAnsi="宋体" w:eastAsia="宋体" w:cs="宋体"/>
          <w:color w:val="000000" w:themeColor="text1"/>
          <w:highlight w:val="none"/>
          <w14:textFill>
            <w14:solidFill>
              <w14:schemeClr w14:val="tx1"/>
            </w14:solidFill>
          </w14:textFill>
        </w:rPr>
      </w:pPr>
    </w:p>
    <w:p>
      <w:pPr>
        <w:pStyle w:val="6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5</w:t>
      </w:r>
      <w:r>
        <w:rPr>
          <w:rFonts w:hint="eastAsia" w:ascii="宋体" w:hAnsi="宋体" w:eastAsia="宋体" w:cs="宋体"/>
          <w:b/>
          <w:bCs/>
          <w:color w:val="000000" w:themeColor="text1"/>
          <w:sz w:val="32"/>
          <w:szCs w:val="32"/>
          <w:highlight w:val="none"/>
          <w14:textFill>
            <w14:solidFill>
              <w14:schemeClr w14:val="tx1"/>
            </w14:solidFill>
          </w14:textFill>
        </w:rPr>
        <w:t>.</w:t>
      </w:r>
      <w:bookmarkStart w:id="34" w:name="_Toc495841793"/>
      <w:bookmarkStart w:id="35" w:name="_Toc26950"/>
      <w:r>
        <w:rPr>
          <w:rFonts w:hint="eastAsia" w:ascii="宋体" w:hAnsi="宋体" w:eastAsia="宋体" w:cs="宋体"/>
          <w:b/>
          <w:bCs/>
          <w:color w:val="000000" w:themeColor="text1"/>
          <w:sz w:val="32"/>
          <w:szCs w:val="32"/>
          <w:highlight w:val="none"/>
          <w14:textFill>
            <w14:solidFill>
              <w14:schemeClr w14:val="tx1"/>
            </w14:solidFill>
          </w14:textFill>
        </w:rPr>
        <w:t>投标人参加政府采购活动前3年内在经营活动中没有重大违法记录及有关信用信息的书面声明（必须提供）</w:t>
      </w:r>
      <w:bookmarkEnd w:id="34"/>
      <w:bookmarkEnd w:id="35"/>
    </w:p>
    <w:p>
      <w:pPr>
        <w:pStyle w:val="213"/>
        <w:ind w:firstLine="643"/>
        <w:rPr>
          <w:rFonts w:hint="eastAsia" w:ascii="宋体" w:hAnsi="宋体" w:eastAsia="宋体" w:cs="宋体"/>
          <w:b/>
          <w:bCs/>
          <w:color w:val="000000" w:themeColor="text1"/>
          <w:sz w:val="32"/>
          <w:szCs w:val="32"/>
          <w:highlight w:val="none"/>
          <w14:textFill>
            <w14:solidFill>
              <w14:schemeClr w14:val="tx1"/>
            </w14:solidFill>
          </w14:textFill>
        </w:rPr>
      </w:pPr>
    </w:p>
    <w:p>
      <w:pPr>
        <w:pStyle w:val="213"/>
        <w:ind w:firstLine="643"/>
        <w:rPr>
          <w:rFonts w:hint="eastAsia" w:ascii="宋体" w:hAnsi="宋体" w:eastAsia="宋体" w:cs="宋体"/>
          <w:b/>
          <w:bCs/>
          <w:color w:val="000000" w:themeColor="text1"/>
          <w:sz w:val="32"/>
          <w:szCs w:val="32"/>
          <w:highlight w:val="none"/>
          <w14:textFill>
            <w14:solidFill>
              <w14:schemeClr w14:val="tx1"/>
            </w14:solidFill>
          </w14:textFill>
        </w:rPr>
      </w:pPr>
    </w:p>
    <w:p>
      <w:pPr>
        <w:spacing w:line="40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声   明</w:t>
      </w:r>
    </w:p>
    <w:p>
      <w:pPr>
        <w:snapToGrid w:val="0"/>
        <w:spacing w:line="40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u w:val="single"/>
          <w:lang w:eastAsia="zh-CN"/>
          <w14:textFill>
            <w14:solidFill>
              <w14:schemeClr w14:val="tx1"/>
            </w14:solidFill>
          </w14:textFill>
        </w:rPr>
        <w:t>亿诚建设项目管理有限公司</w:t>
      </w:r>
    </w:p>
    <w:p>
      <w:pPr>
        <w:snapToGrid w:val="0"/>
        <w:spacing w:line="400" w:lineRule="exact"/>
        <w:rPr>
          <w:rFonts w:hint="eastAsia" w:ascii="宋体" w:hAnsi="宋体" w:eastAsia="宋体" w:cs="宋体"/>
          <w:color w:val="000000" w:themeColor="text1"/>
          <w:szCs w:val="21"/>
          <w:highlight w:val="none"/>
          <w:u w:val="single"/>
          <w14:textFill>
            <w14:solidFill>
              <w14:schemeClr w14:val="tx1"/>
            </w14:solidFill>
          </w14:textFill>
        </w:rPr>
      </w:pPr>
    </w:p>
    <w:p>
      <w:pPr>
        <w:pStyle w:val="27"/>
        <w:spacing w:line="38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hint="eastAsia" w:ascii="宋体" w:hAnsi="宋体" w:eastAsia="宋体" w:cs="宋体"/>
          <w:color w:val="000000" w:themeColor="text1"/>
          <w:szCs w:val="21"/>
          <w:highlight w:val="none"/>
          <w14:textFill>
            <w14:solidFill>
              <w14:schemeClr w14:val="tx1"/>
            </w14:solidFill>
          </w14:textFill>
        </w:rPr>
      </w:pPr>
    </w:p>
    <w:p>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投标人[公章(CA签章)，自然人签字或个人CA签章]：</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napToGrid w:val="0"/>
        <w:spacing w:line="400" w:lineRule="exact"/>
        <w:ind w:firstLine="1890" w:firstLineChars="9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napToGrid w:val="0"/>
        <w:spacing w:line="400" w:lineRule="exact"/>
        <w:ind w:firstLine="2730" w:firstLineChars="13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pStyle w:val="2"/>
        <w:rPr>
          <w:rFonts w:hint="eastAsia" w:ascii="宋体" w:hAnsi="宋体" w:eastAsia="宋体" w:cs="宋体"/>
          <w:color w:val="000000" w:themeColor="text1"/>
          <w:highlight w:val="none"/>
          <w:u w:val="single"/>
          <w14:textFill>
            <w14:solidFill>
              <w14:schemeClr w14:val="tx1"/>
            </w14:solidFill>
          </w14:textFill>
        </w:rPr>
      </w:pPr>
    </w:p>
    <w:p>
      <w:pPr>
        <w:pStyle w:val="2"/>
        <w:rPr>
          <w:rFonts w:hint="eastAsia" w:ascii="宋体" w:hAnsi="宋体" w:eastAsia="宋体" w:cs="宋体"/>
          <w:color w:val="000000" w:themeColor="text1"/>
          <w:highlight w:val="none"/>
          <w:u w:val="single"/>
          <w14:textFill>
            <w14:solidFill>
              <w14:schemeClr w14:val="tx1"/>
            </w14:solidFill>
          </w14:textFill>
        </w:rPr>
      </w:pPr>
    </w:p>
    <w:p>
      <w:pPr>
        <w:pStyle w:val="2"/>
        <w:rPr>
          <w:rFonts w:hint="eastAsia" w:ascii="宋体" w:hAnsi="宋体" w:eastAsia="宋体" w:cs="宋体"/>
          <w:color w:val="000000" w:themeColor="text1"/>
          <w:highlight w:val="none"/>
          <w:u w:val="single"/>
          <w14:textFill>
            <w14:solidFill>
              <w14:schemeClr w14:val="tx1"/>
            </w14:solidFill>
          </w14:textFill>
        </w:rPr>
      </w:pPr>
    </w:p>
    <w:p>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bookmarkStart w:id="36" w:name="_Toc26652"/>
      <w:r>
        <w:rPr>
          <w:rFonts w:hint="eastAsia" w:ascii="宋体" w:hAnsi="宋体" w:eastAsia="宋体" w:cs="宋体"/>
          <w:b/>
          <w:bCs/>
          <w:color w:val="000000" w:themeColor="text1"/>
          <w:sz w:val="32"/>
          <w:szCs w:val="32"/>
          <w:highlight w:val="none"/>
          <w14:textFill>
            <w14:solidFill>
              <w14:schemeClr w14:val="tx1"/>
            </w14:solidFill>
          </w14:textFill>
        </w:rPr>
        <w:t>二、商务、技术性响应及其他有效证明材料（格式）</w:t>
      </w:r>
      <w:bookmarkEnd w:id="29"/>
      <w:bookmarkEnd w:id="36"/>
    </w:p>
    <w:p>
      <w:pPr>
        <w:pStyle w:val="27"/>
        <w:spacing w:line="480" w:lineRule="exact"/>
        <w:jc w:val="left"/>
        <w:rPr>
          <w:rFonts w:hint="eastAsia" w:ascii="宋体" w:hAnsi="宋体" w:eastAsia="宋体" w:cs="宋体"/>
          <w:b/>
          <w:bCs/>
          <w:color w:val="000000" w:themeColor="text1"/>
          <w:sz w:val="32"/>
          <w:szCs w:val="32"/>
          <w:highlight w:val="none"/>
          <w14:textFill>
            <w14:solidFill>
              <w14:schemeClr w14:val="tx1"/>
            </w14:solidFill>
          </w14:textFill>
        </w:rPr>
      </w:pPr>
      <w:bookmarkStart w:id="37" w:name="_Toc495841795"/>
      <w:bookmarkStart w:id="38" w:name="_Toc2409"/>
    </w:p>
    <w:p>
      <w:pPr>
        <w:pStyle w:val="27"/>
        <w:spacing w:line="480" w:lineRule="exact"/>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1.投标报价表（</w:t>
      </w:r>
      <w:r>
        <w:rPr>
          <w:rFonts w:hint="eastAsia" w:hAnsi="宋体" w:cs="宋体"/>
          <w:b/>
          <w:color w:val="000000" w:themeColor="text1"/>
          <w:sz w:val="30"/>
          <w:szCs w:val="30"/>
          <w14:textFill>
            <w14:solidFill>
              <w14:schemeClr w14:val="tx1"/>
            </w14:solidFill>
          </w14:textFill>
        </w:rPr>
        <w:t>格式仅供参考，实际以政采云为准</w:t>
      </w:r>
      <w:r>
        <w:rPr>
          <w:rFonts w:hint="eastAsia" w:ascii="宋体" w:hAnsi="宋体" w:eastAsia="宋体" w:cs="宋体"/>
          <w:b/>
          <w:bCs/>
          <w:color w:val="000000" w:themeColor="text1"/>
          <w:sz w:val="32"/>
          <w:szCs w:val="32"/>
          <w:highlight w:val="none"/>
          <w14:textFill>
            <w14:solidFill>
              <w14:schemeClr w14:val="tx1"/>
            </w14:solidFill>
          </w14:textFill>
        </w:rPr>
        <w:t>）（必须提供）；</w:t>
      </w:r>
    </w:p>
    <w:p>
      <w:pPr>
        <w:pStyle w:val="15"/>
        <w:ind w:left="0"/>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附件：</w:t>
      </w:r>
    </w:p>
    <w:p>
      <w:pPr>
        <w:rPr>
          <w:rFonts w:hint="eastAsia"/>
          <w:color w:val="000000" w:themeColor="text1"/>
          <w14:textFill>
            <w14:solidFill>
              <w14:schemeClr w14:val="tx1"/>
            </w14:solidFill>
          </w14:textFill>
        </w:rPr>
      </w:pPr>
    </w:p>
    <w:p>
      <w:pPr>
        <w:pStyle w:val="27"/>
        <w:spacing w:line="480" w:lineRule="exact"/>
        <w:ind w:left="42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投标报价表（格式仅供参考，实际以政采云为准）</w:t>
      </w:r>
    </w:p>
    <w:tbl>
      <w:tblPr>
        <w:tblStyle w:val="53"/>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56"/>
        <w:gridCol w:w="1712"/>
        <w:gridCol w:w="1813"/>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3" w:hRule="atLeast"/>
          <w:jc w:val="center"/>
        </w:trPr>
        <w:tc>
          <w:tcPr>
            <w:tcW w:w="856" w:type="dxa"/>
            <w:shd w:val="clear" w:color="auto" w:fill="8DB3E2" w:themeFill="text2" w:themeFillTint="66"/>
            <w:vAlign w:val="center"/>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1712" w:type="dxa"/>
            <w:shd w:val="clear" w:color="auto" w:fill="8DB3E2" w:themeFill="text2" w:themeFillTint="66"/>
            <w:vAlign w:val="center"/>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项目名称</w:t>
            </w:r>
          </w:p>
        </w:tc>
        <w:tc>
          <w:tcPr>
            <w:tcW w:w="1813" w:type="dxa"/>
            <w:shd w:val="clear" w:color="auto" w:fill="8DB3E2" w:themeFill="text2" w:themeFillTint="66"/>
            <w:vAlign w:val="center"/>
          </w:tcPr>
          <w:p>
            <w:pPr>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服务内容</w:t>
            </w:r>
          </w:p>
        </w:tc>
        <w:tc>
          <w:tcPr>
            <w:tcW w:w="5140" w:type="dxa"/>
            <w:shd w:val="clear" w:color="auto" w:fill="8DB3E2" w:themeFill="text2" w:themeFillTint="66"/>
            <w:vAlign w:val="center"/>
          </w:tcPr>
          <w:p>
            <w:pPr>
              <w:spacing w:line="400" w:lineRule="exact"/>
              <w:ind w:firstLine="42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85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12"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桂林市特殊困难老年人家庭适老化改造项目</w:t>
            </w:r>
          </w:p>
        </w:tc>
        <w:tc>
          <w:tcPr>
            <w:tcW w:w="1813"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《采购需求》中要求完成的所有内容</w:t>
            </w:r>
          </w:p>
        </w:tc>
        <w:tc>
          <w:tcPr>
            <w:tcW w:w="5140" w:type="dxa"/>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0"/>
                <w14:textFill>
                  <w14:solidFill>
                    <w14:schemeClr w14:val="tx1"/>
                  </w14:solidFill>
                </w14:textFill>
              </w:rPr>
              <w:t>（大写）</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人民币(￥</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521" w:type="dxa"/>
            <w:gridSpan w:val="4"/>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服务期限：</w:t>
            </w:r>
            <w:r>
              <w:rPr>
                <w:rFonts w:hint="eastAsia" w:ascii="宋体" w:hAnsi="宋体" w:cs="宋体"/>
                <w:color w:val="000000" w:themeColor="text1"/>
                <w:kern w:val="0"/>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521" w:type="dxa"/>
            <w:gridSpan w:val="4"/>
            <w:vAlign w:val="center"/>
          </w:tcPr>
          <w:p>
            <w:pPr>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说明：</w:t>
            </w:r>
            <w:r>
              <w:rPr>
                <w:rFonts w:hint="eastAsia" w:ascii="宋体" w:hAnsi="宋体" w:cs="宋体"/>
                <w:color w:val="000000" w:themeColor="text1"/>
                <w:szCs w:val="21"/>
                <w14:textFill>
                  <w14:solidFill>
                    <w14:schemeClr w14:val="tx1"/>
                  </w14:solidFill>
                </w14:textFill>
              </w:rPr>
              <w:t>报价应包括本次采购范围内服务价款，同时包括服务过程中所需货物价款及随配标准附件、包装、运输、装卸、保险、税金、货到位以及调试、检验、售后服务、培训、保修及其他所有成本费用的总和；供应商综合考虑在报价中。</w:t>
            </w:r>
          </w:p>
        </w:tc>
      </w:tr>
    </w:tbl>
    <w:p>
      <w:pPr>
        <w:spacing w:line="340" w:lineRule="exact"/>
        <w:rPr>
          <w:rFonts w:hint="eastAsia" w:ascii="宋体" w:hAnsi="宋体" w:eastAsia="宋体" w:cs="宋体"/>
          <w:color w:val="000000" w:themeColor="text1"/>
          <w:szCs w:val="21"/>
          <w:highlight w:val="none"/>
          <w14:textFill>
            <w14:solidFill>
              <w14:schemeClr w14:val="tx1"/>
            </w14:solidFill>
          </w14:textFill>
        </w:rPr>
      </w:pPr>
    </w:p>
    <w:p>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投标人（CA签章，自然人除外）：</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法定代表人、负责人、自然人或相应的委托代理人签字或个人CA签章（属自然人的应在签名处加盖食指指印或个人CA签章）：</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tabs>
          <w:tab w:val="left" w:pos="1305"/>
        </w:tabs>
        <w:spacing w:line="340" w:lineRule="exact"/>
        <w:rPr>
          <w:rFonts w:hint="eastAsia" w:ascii="宋体" w:hAnsi="宋体" w:eastAsia="宋体" w:cs="宋体"/>
          <w:bCs/>
          <w:color w:val="000000" w:themeColor="text1"/>
          <w:szCs w:val="21"/>
          <w:highlight w:val="none"/>
          <w14:textFill>
            <w14:solidFill>
              <w14:schemeClr w14:val="tx1"/>
            </w14:solidFill>
          </w14:textFill>
        </w:rPr>
      </w:pPr>
    </w:p>
    <w:p>
      <w:pPr>
        <w:tabs>
          <w:tab w:val="left" w:pos="1305"/>
        </w:tabs>
        <w:spacing w:line="340" w:lineRule="exac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1.各投标人</w:t>
      </w:r>
      <w:r>
        <w:rPr>
          <w:rFonts w:hint="eastAsia" w:ascii="宋体" w:hAnsi="宋体" w:eastAsia="宋体" w:cs="宋体"/>
          <w:color w:val="000000" w:themeColor="text1"/>
          <w:szCs w:val="21"/>
          <w:highlight w:val="none"/>
          <w14:textFill>
            <w14:solidFill>
              <w14:schemeClr w14:val="tx1"/>
            </w14:solidFill>
          </w14:textFill>
        </w:rPr>
        <w:t>必须就“服务采购需求”中所投标</w:t>
      </w:r>
      <w:r>
        <w:rPr>
          <w:rFonts w:hint="eastAsia" w:ascii="宋体" w:hAnsi="宋体" w:eastAsia="宋体" w:cs="宋体"/>
          <w:color w:val="000000" w:themeColor="text1"/>
          <w:szCs w:val="21"/>
          <w:highlight w:val="none"/>
          <w:lang w:eastAsia="zh-CN"/>
          <w14:textFill>
            <w14:solidFill>
              <w14:schemeClr w14:val="tx1"/>
            </w14:solidFill>
          </w14:textFill>
        </w:rPr>
        <w:t>项</w:t>
      </w:r>
      <w:r>
        <w:rPr>
          <w:rFonts w:hint="eastAsia" w:ascii="宋体" w:hAnsi="宋体" w:eastAsia="宋体" w:cs="宋体"/>
          <w:color w:val="000000" w:themeColor="text1"/>
          <w:szCs w:val="21"/>
          <w:highlight w:val="none"/>
          <w14:textFill>
            <w14:solidFill>
              <w14:schemeClr w14:val="tx1"/>
            </w14:solidFill>
          </w14:textFill>
        </w:rPr>
        <w:t>的所有内容作完整唯一报价，否则，其投标将被拒绝。投标文件只允许有一个报价。</w:t>
      </w:r>
    </w:p>
    <w:p>
      <w:pPr>
        <w:pStyle w:val="27"/>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2.投标人应根据所投项目如实填写投标报价表</w:t>
      </w:r>
      <w:r>
        <w:rPr>
          <w:rFonts w:hint="eastAsia" w:ascii="宋体" w:hAnsi="宋体" w:eastAsia="宋体" w:cs="宋体"/>
          <w:bCs/>
          <w:color w:val="000000" w:themeColor="text1"/>
          <w:szCs w:val="21"/>
          <w:highlight w:val="none"/>
          <w14:textFill>
            <w14:solidFill>
              <w14:schemeClr w14:val="tx1"/>
            </w14:solidFill>
          </w14:textFill>
        </w:rPr>
        <w:t>的各项内容。</w:t>
      </w:r>
    </w:p>
    <w:p>
      <w:pPr>
        <w:ind w:firstLine="420" w:firstLineChars="200"/>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投标报价表须由法定代表人负责人、自然人或相应的委托代理人签字或个人CA签章（属自然人的应在签名处加盖食指指印或个人CA签章）并加盖投标人CA签章（自然人除外）。</w:t>
      </w:r>
      <w:r>
        <w:rPr>
          <w:rFonts w:hint="eastAsia" w:ascii="宋体" w:hAnsi="宋体" w:eastAsia="宋体" w:cs="宋体"/>
          <w:b/>
          <w:color w:val="000000" w:themeColor="text1"/>
          <w:highlight w:val="none"/>
          <w14:textFill>
            <w14:solidFill>
              <w14:schemeClr w14:val="tx1"/>
            </w14:solidFill>
          </w14:textFill>
        </w:rPr>
        <w:t>当本表由多页构成时，需逐页加盖投标人公章（属自然人的须逐页签字或个人CA签章</w:t>
      </w:r>
      <w:r>
        <w:rPr>
          <w:rFonts w:hint="eastAsia" w:ascii="宋体" w:hAnsi="宋体" w:eastAsia="宋体" w:cs="宋体"/>
          <w:b/>
          <w:color w:val="000000" w:themeColor="text1"/>
          <w:highlight w:val="none"/>
          <w:lang w:eastAsia="zh-CN"/>
          <w14:textFill>
            <w14:solidFill>
              <w14:schemeClr w14:val="tx1"/>
            </w14:solidFill>
          </w14:textFill>
        </w:rPr>
        <w:t>）</w:t>
      </w:r>
    </w:p>
    <w:p>
      <w:pPr>
        <w:ind w:firstLine="422" w:firstLineChars="200"/>
        <w:rPr>
          <w:rFonts w:hint="eastAsia" w:ascii="宋体" w:hAnsi="宋体" w:eastAsia="宋体" w:cs="宋体"/>
          <w:b/>
          <w:color w:val="000000" w:themeColor="text1"/>
          <w:highlight w:val="none"/>
          <w14:textFill>
            <w14:solidFill>
              <w14:schemeClr w14:val="tx1"/>
            </w14:solidFill>
          </w14:textFill>
        </w:rPr>
      </w:pPr>
    </w:p>
    <w:p>
      <w:pPr>
        <w:pStyle w:val="4"/>
        <w:rPr>
          <w:rFonts w:hint="eastAsia" w:ascii="宋体" w:hAnsi="宋体" w:eastAsia="宋体" w:cs="宋体"/>
          <w:b/>
          <w:color w:val="000000" w:themeColor="text1"/>
          <w:highlight w:val="none"/>
          <w14:textFill>
            <w14:solidFill>
              <w14:schemeClr w14:val="tx1"/>
            </w14:solidFill>
          </w14:textFill>
        </w:rPr>
      </w:pPr>
    </w:p>
    <w:p>
      <w:pPr>
        <w:rPr>
          <w:rFonts w:hint="eastAsia"/>
          <w:color w:val="000000" w:themeColor="text1"/>
          <w14:textFill>
            <w14:solidFill>
              <w14:schemeClr w14:val="tx1"/>
            </w14:solidFill>
          </w14:textFill>
        </w:rPr>
      </w:pPr>
    </w:p>
    <w:p>
      <w:pPr>
        <w:ind w:firstLine="422" w:firstLineChars="200"/>
        <w:rPr>
          <w:rFonts w:hint="eastAsia" w:ascii="宋体" w:hAnsi="宋体" w:eastAsia="宋体" w:cs="宋体"/>
          <w:b/>
          <w:color w:val="000000" w:themeColor="text1"/>
          <w:highlight w:val="none"/>
          <w14:textFill>
            <w14:solidFill>
              <w14:schemeClr w14:val="tx1"/>
            </w14:solidFill>
          </w14:textFill>
        </w:rPr>
      </w:pPr>
    </w:p>
    <w:p>
      <w:pPr>
        <w:pStyle w:val="4"/>
        <w:rPr>
          <w:rFonts w:hint="eastAsia" w:ascii="宋体" w:hAnsi="宋体" w:eastAsia="宋体" w:cs="宋体"/>
          <w:b/>
          <w:color w:val="000000" w:themeColor="text1"/>
          <w:highlight w:val="none"/>
          <w14:textFill>
            <w14:solidFill>
              <w14:schemeClr w14:val="tx1"/>
            </w14:solidFill>
          </w14:textFill>
        </w:rPr>
      </w:pPr>
    </w:p>
    <w:p>
      <w:pPr>
        <w:rPr>
          <w:rFonts w:hint="eastAsia" w:ascii="宋体" w:hAnsi="宋体" w:eastAsia="宋体" w:cs="宋体"/>
          <w:b/>
          <w:color w:val="000000" w:themeColor="text1"/>
          <w:highlight w:val="none"/>
          <w14:textFill>
            <w14:solidFill>
              <w14:schemeClr w14:val="tx1"/>
            </w14:solidFill>
          </w14:textFill>
        </w:rPr>
      </w:pPr>
    </w:p>
    <w:p>
      <w:pPr>
        <w:pStyle w:val="27"/>
        <w:spacing w:line="340" w:lineRule="exact"/>
        <w:outlineLvl w:val="2"/>
        <w:rPr>
          <w:rFonts w:hint="eastAsia" w:hAnsi="宋体" w:cs="宋体"/>
          <w:b/>
          <w:color w:val="000000" w:themeColor="text1"/>
          <w:sz w:val="28"/>
          <w:szCs w:val="28"/>
          <w14:textFill>
            <w14:solidFill>
              <w14:schemeClr w14:val="tx1"/>
            </w14:solidFill>
          </w14:textFill>
        </w:rPr>
      </w:pPr>
    </w:p>
    <w:p>
      <w:pPr>
        <w:pStyle w:val="27"/>
        <w:spacing w:line="340" w:lineRule="exact"/>
        <w:outlineLvl w:val="2"/>
        <w:rPr>
          <w:rFonts w:hint="eastAsia" w:hAnsi="宋体" w:cs="宋体"/>
          <w:b/>
          <w:color w:val="000000" w:themeColor="text1"/>
          <w:sz w:val="28"/>
          <w:szCs w:val="28"/>
          <w14:textFill>
            <w14:solidFill>
              <w14:schemeClr w14:val="tx1"/>
            </w14:solidFill>
          </w14:textFill>
        </w:rPr>
      </w:pPr>
    </w:p>
    <w:p>
      <w:pPr>
        <w:pStyle w:val="27"/>
        <w:spacing w:line="340" w:lineRule="exact"/>
        <w:outlineLvl w:val="2"/>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lang w:val="en-US" w:eastAsia="zh-CN"/>
          <w14:textFill>
            <w14:solidFill>
              <w14:schemeClr w14:val="tx1"/>
            </w14:solidFill>
          </w14:textFill>
        </w:rPr>
        <w:t>2.</w:t>
      </w:r>
      <w:r>
        <w:rPr>
          <w:rFonts w:hint="eastAsia" w:hAnsi="宋体" w:cs="宋体"/>
          <w:b/>
          <w:color w:val="000000" w:themeColor="text1"/>
          <w:sz w:val="28"/>
          <w:szCs w:val="28"/>
          <w:lang w:eastAsia="zh-CN"/>
          <w14:textFill>
            <w14:solidFill>
              <w14:schemeClr w14:val="tx1"/>
            </w14:solidFill>
          </w14:textFill>
        </w:rPr>
        <w:t>采购需求及商务偏离情况说明表</w:t>
      </w:r>
      <w:r>
        <w:rPr>
          <w:rFonts w:hint="eastAsia" w:hAnsi="宋体" w:cs="宋体"/>
          <w:b/>
          <w:color w:val="000000" w:themeColor="text1"/>
          <w:sz w:val="28"/>
          <w:szCs w:val="28"/>
          <w14:textFill>
            <w14:solidFill>
              <w14:schemeClr w14:val="tx1"/>
            </w14:solidFill>
          </w14:textFill>
        </w:rPr>
        <w:t>（格式见附件）(必须提供)；</w:t>
      </w:r>
    </w:p>
    <w:p>
      <w:pPr>
        <w:rPr>
          <w:rFonts w:ascii="宋体" w:hAnsi="宋体" w:cs="宋体"/>
          <w:color w:val="000000" w:themeColor="text1"/>
          <w14:textFill>
            <w14:solidFill>
              <w14:schemeClr w14:val="tx1"/>
            </w14:solidFill>
          </w14:textFill>
        </w:rPr>
      </w:pPr>
    </w:p>
    <w:p>
      <w:pPr>
        <w:pStyle w:val="27"/>
        <w:spacing w:line="340" w:lineRule="exact"/>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附件：</w:t>
      </w:r>
    </w:p>
    <w:p>
      <w:pPr>
        <w:spacing w:line="5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采购需求及商务偏离情况说明表</w:t>
      </w:r>
      <w:r>
        <w:rPr>
          <w:rFonts w:hint="eastAsia" w:ascii="宋体" w:hAnsi="宋体" w:cs="宋体"/>
          <w:b/>
          <w:color w:val="000000" w:themeColor="text1"/>
          <w:sz w:val="28"/>
          <w:szCs w:val="28"/>
          <w14:textFill>
            <w14:solidFill>
              <w14:schemeClr w14:val="tx1"/>
            </w14:solidFill>
          </w14:textFill>
        </w:rPr>
        <w:t>（</w:t>
      </w:r>
      <w:r>
        <w:rPr>
          <w:rFonts w:hint="eastAsia" w:hAnsi="宋体" w:cs="宋体"/>
          <w:b/>
          <w:color w:val="000000" w:themeColor="text1"/>
          <w:sz w:val="30"/>
          <w:szCs w:val="30"/>
          <w14:textFill>
            <w14:solidFill>
              <w14:schemeClr w14:val="tx1"/>
            </w14:solidFill>
          </w14:textFill>
        </w:rPr>
        <w:t>格式仅供参考，可根据自身情况自行编辑</w:t>
      </w:r>
      <w:r>
        <w:rPr>
          <w:rFonts w:hint="eastAsia" w:ascii="宋体" w:hAnsi="宋体" w:cs="宋体"/>
          <w:b/>
          <w:color w:val="000000" w:themeColor="text1"/>
          <w:sz w:val="28"/>
          <w:szCs w:val="28"/>
          <w14:textFill>
            <w14:solidFill>
              <w14:schemeClr w14:val="tx1"/>
            </w14:solidFill>
          </w14:textFill>
        </w:rPr>
        <w:t>）</w:t>
      </w:r>
    </w:p>
    <w:p>
      <w:pPr>
        <w:spacing w:line="50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p>
    <w:p>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tbl>
      <w:tblPr>
        <w:tblStyle w:val="53"/>
        <w:tblW w:w="9715" w:type="dxa"/>
        <w:tblInd w:w="1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3"/>
        <w:gridCol w:w="2968"/>
        <w:gridCol w:w="2969"/>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4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服务内容</w:t>
            </w:r>
          </w:p>
        </w:tc>
        <w:tc>
          <w:tcPr>
            <w:tcW w:w="2968"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lang w:eastAsia="zh-CN"/>
                <w14:textFill>
                  <w14:solidFill>
                    <w14:schemeClr w14:val="tx1"/>
                  </w14:solidFill>
                </w14:textFill>
              </w:rPr>
              <w:t>招标</w:t>
            </w:r>
            <w:r>
              <w:rPr>
                <w:rFonts w:hint="eastAsia" w:ascii="宋体" w:hAnsi="宋体" w:cs="宋体"/>
                <w:b/>
                <w:bCs/>
                <w:color w:val="000000" w:themeColor="text1"/>
                <w:szCs w:val="21"/>
                <w14:textFill>
                  <w14:solidFill>
                    <w14:schemeClr w14:val="tx1"/>
                  </w14:solidFill>
                </w14:textFill>
              </w:rPr>
              <w:t>文件</w:t>
            </w:r>
            <w:r>
              <w:rPr>
                <w:rFonts w:hint="eastAsia" w:ascii="宋体" w:hAnsi="宋体" w:cs="宋体"/>
                <w:b/>
                <w:bCs/>
                <w:color w:val="000000" w:themeColor="text1"/>
                <w:szCs w:val="21"/>
                <w:lang w:eastAsia="zh-CN"/>
                <w14:textFill>
                  <w14:solidFill>
                    <w14:schemeClr w14:val="tx1"/>
                  </w14:solidFill>
                </w14:textFill>
              </w:rPr>
              <w:t>的要求</w:t>
            </w:r>
          </w:p>
        </w:tc>
        <w:tc>
          <w:tcPr>
            <w:tcW w:w="2969"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供应商的承诺</w:t>
            </w:r>
          </w:p>
        </w:tc>
        <w:tc>
          <w:tcPr>
            <w:tcW w:w="2035"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74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jc w:val="center"/>
              <w:rPr>
                <w:rFonts w:ascii="宋体" w:hAnsi="宋体" w:cs="宋体"/>
                <w:color w:val="000000" w:themeColor="text1"/>
                <w:szCs w:val="21"/>
                <w14:textFill>
                  <w14:solidFill>
                    <w14:schemeClr w14:val="tx1"/>
                  </w14:solidFill>
                </w14:textFill>
              </w:rPr>
            </w:pP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themeColor="text1"/>
                <w:szCs w:val="21"/>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themeColor="text1"/>
                <w:szCs w:val="21"/>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74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jc w:val="center"/>
              <w:rPr>
                <w:rFonts w:ascii="宋体" w:hAnsi="宋体" w:cs="宋体"/>
                <w:color w:val="000000" w:themeColor="text1"/>
                <w:szCs w:val="21"/>
                <w14:textFill>
                  <w14:solidFill>
                    <w14:schemeClr w14:val="tx1"/>
                  </w14:solidFill>
                </w14:textFill>
              </w:rPr>
            </w:pP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themeColor="text1"/>
                <w:szCs w:val="21"/>
                <w:u w:val="single"/>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43"/>
              <w:jc w:val="center"/>
              <w:rPr>
                <w:rFonts w:ascii="宋体" w:hAnsi="宋体" w:cs="宋体"/>
                <w:color w:val="000000" w:themeColor="text1"/>
                <w:szCs w:val="21"/>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43"/>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7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themeColor="text1"/>
                <w:szCs w:val="21"/>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themeColor="text1"/>
                <w:szCs w:val="21"/>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96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themeColor="text1"/>
                <w:szCs w:val="21"/>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themeColor="text1"/>
                <w:szCs w:val="21"/>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themeColor="text1"/>
                <w:szCs w:val="21"/>
                <w14:textFill>
                  <w14:solidFill>
                    <w14:schemeClr w14:val="tx1"/>
                  </w14:solidFill>
                </w14:textFill>
              </w:rPr>
            </w:pPr>
          </w:p>
        </w:tc>
      </w:tr>
    </w:tbl>
    <w:p>
      <w:pPr>
        <w:snapToGrid w:val="0"/>
        <w:spacing w:line="400" w:lineRule="exact"/>
        <w:ind w:firstLine="1890" w:firstLineChars="9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供应商[公章(CA签章)，自然人签字或个人CA签章]：</w:t>
      </w:r>
      <w:r>
        <w:rPr>
          <w:rFonts w:hint="eastAsia" w:ascii="宋体" w:hAnsi="宋体" w:cs="宋体"/>
          <w:color w:val="000000" w:themeColor="text1"/>
          <w:szCs w:val="21"/>
          <w:u w:val="single"/>
          <w14:textFill>
            <w14:solidFill>
              <w14:schemeClr w14:val="tx1"/>
            </w14:solidFill>
          </w14:textFill>
        </w:rPr>
        <w:t xml:space="preserve">                        </w:t>
      </w:r>
    </w:p>
    <w:p>
      <w:pPr>
        <w:snapToGrid w:val="0"/>
        <w:spacing w:line="400" w:lineRule="exact"/>
        <w:ind w:firstLine="1890" w:firstLineChars="9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日          </w:t>
      </w:r>
      <w:r>
        <w:rPr>
          <w:rFonts w:hint="eastAsia" w:ascii="宋体" w:hAnsi="宋体" w:cs="宋体"/>
          <w:color w:val="000000" w:themeColor="text1"/>
          <w14:textFill>
            <w14:solidFill>
              <w14:schemeClr w14:val="tx1"/>
            </w14:solidFill>
          </w14:textFill>
        </w:rPr>
        <w:t>期：</w:t>
      </w:r>
      <w:r>
        <w:rPr>
          <w:rFonts w:hint="eastAsia" w:ascii="宋体" w:hAnsi="宋体" w:cs="宋体"/>
          <w:color w:val="000000" w:themeColor="text1"/>
          <w:u w:val="single"/>
          <w14:textFill>
            <w14:solidFill>
              <w14:schemeClr w14:val="tx1"/>
            </w14:solidFill>
          </w14:textFill>
        </w:rPr>
        <w:t xml:space="preserve">                                                   </w:t>
      </w:r>
    </w:p>
    <w:p>
      <w:pPr>
        <w:ind w:firstLine="1890" w:firstLineChars="900"/>
        <w:rPr>
          <w:rFonts w:ascii="宋体" w:hAnsi="宋体" w:cs="宋体"/>
          <w:color w:val="000000" w:themeColor="text1"/>
          <w:u w:val="single"/>
          <w14:textFill>
            <w14:solidFill>
              <w14:schemeClr w14:val="tx1"/>
            </w14:solidFill>
          </w14:textFill>
        </w:rPr>
      </w:pPr>
    </w:p>
    <w:p>
      <w:pPr>
        <w:spacing w:line="400" w:lineRule="exac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w:t>
      </w:r>
    </w:p>
    <w:p>
      <w:pPr>
        <w:spacing w:line="400" w:lineRule="exact"/>
        <w:ind w:firstLine="632" w:firstLineChars="3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1.应对照</w:t>
      </w:r>
      <w:r>
        <w:rPr>
          <w:rFonts w:hint="eastAsia" w:ascii="宋体" w:hAnsi="宋体" w:cs="宋体"/>
          <w:b/>
          <w:color w:val="000000" w:themeColor="text1"/>
          <w:szCs w:val="21"/>
          <w:lang w:eastAsia="zh-CN"/>
          <w14:textFill>
            <w14:solidFill>
              <w14:schemeClr w14:val="tx1"/>
            </w14:solidFill>
          </w14:textFill>
        </w:rPr>
        <w:t>招标</w:t>
      </w:r>
      <w:r>
        <w:rPr>
          <w:rFonts w:hint="eastAsia" w:ascii="宋体" w:hAnsi="宋体" w:cs="宋体"/>
          <w:b/>
          <w:color w:val="000000" w:themeColor="text1"/>
          <w:szCs w:val="21"/>
          <w14:textFill>
            <w14:solidFill>
              <w14:schemeClr w14:val="tx1"/>
            </w14:solidFill>
          </w14:textFill>
        </w:rPr>
        <w:t>文件“采购需求”中的</w:t>
      </w:r>
      <w:r>
        <w:rPr>
          <w:rFonts w:hint="eastAsia" w:ascii="宋体" w:hAnsi="宋体" w:cs="宋体"/>
          <w:b/>
          <w:color w:val="000000" w:themeColor="text1"/>
          <w:szCs w:val="21"/>
          <w:lang w:eastAsia="zh-CN"/>
          <w14:textFill>
            <w14:solidFill>
              <w14:schemeClr w14:val="tx1"/>
            </w14:solidFill>
          </w14:textFill>
        </w:rPr>
        <w:t>采购需求要求及</w:t>
      </w:r>
      <w:r>
        <w:rPr>
          <w:rFonts w:hint="eastAsia" w:ascii="宋体" w:hAnsi="宋体" w:cs="宋体"/>
          <w:b/>
          <w:color w:val="000000" w:themeColor="text1"/>
          <w:szCs w:val="21"/>
          <w14:textFill>
            <w14:solidFill>
              <w14:schemeClr w14:val="tx1"/>
            </w14:solidFill>
          </w14:textFill>
        </w:rPr>
        <w:t>商务条款逐条实质性响应，并作出偏离说明。</w:t>
      </w:r>
    </w:p>
    <w:p>
      <w:pPr>
        <w:spacing w:line="400" w:lineRule="exact"/>
        <w:ind w:firstLine="632" w:firstLineChars="3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2.供应商应根据自身的承诺，对照</w:t>
      </w:r>
      <w:r>
        <w:rPr>
          <w:rFonts w:hint="eastAsia" w:ascii="宋体" w:hAnsi="宋体" w:cs="宋体"/>
          <w:b/>
          <w:color w:val="000000" w:themeColor="text1"/>
          <w:szCs w:val="21"/>
          <w:lang w:eastAsia="zh-CN"/>
          <w14:textFill>
            <w14:solidFill>
              <w14:schemeClr w14:val="tx1"/>
            </w14:solidFill>
          </w14:textFill>
        </w:rPr>
        <w:t>招标</w:t>
      </w:r>
      <w:r>
        <w:rPr>
          <w:rFonts w:hint="eastAsia" w:ascii="宋体" w:hAnsi="宋体" w:cs="宋体"/>
          <w:b/>
          <w:color w:val="000000" w:themeColor="text1"/>
          <w:szCs w:val="21"/>
          <w14:textFill>
            <w14:solidFill>
              <w14:schemeClr w14:val="tx1"/>
            </w14:solidFill>
          </w14:textFill>
        </w:rPr>
        <w:t>文件要求在“偏离说明”中注明“正偏离”、“负偏离”或者“无偏离”。既不属于“正偏离”也不属于“负偏离”即为“无偏离”。</w:t>
      </w:r>
    </w:p>
    <w:p>
      <w:pPr>
        <w:spacing w:line="400" w:lineRule="exact"/>
        <w:ind w:firstLine="632" w:firstLineChars="300"/>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3.当本表由多页构成时，需逐页加盖</w:t>
      </w:r>
      <w:r>
        <w:rPr>
          <w:rFonts w:hint="eastAsia" w:ascii="宋体" w:hAnsi="宋体" w:cs="宋体"/>
          <w:b/>
          <w:color w:val="000000" w:themeColor="text1"/>
          <w:szCs w:val="21"/>
          <w:lang w:eastAsia="zh-CN"/>
          <w14:textFill>
            <w14:solidFill>
              <w14:schemeClr w14:val="tx1"/>
            </w14:solidFill>
          </w14:textFill>
        </w:rPr>
        <w:t>投标</w:t>
      </w:r>
      <w:r>
        <w:rPr>
          <w:rFonts w:hint="eastAsia" w:ascii="宋体" w:hAnsi="宋体" w:cs="宋体"/>
          <w:b/>
          <w:color w:val="000000" w:themeColor="text1"/>
          <w:szCs w:val="21"/>
          <w14:textFill>
            <w14:solidFill>
              <w14:schemeClr w14:val="tx1"/>
            </w14:solidFill>
          </w14:textFill>
        </w:rPr>
        <w:t>供应商公章（CA签章）（属自然人的须逐页签字或个人CA签章）。</w:t>
      </w:r>
    </w:p>
    <w:p>
      <w:pPr>
        <w:pStyle w:val="4"/>
        <w:rPr>
          <w:rFonts w:hint="eastAsia"/>
          <w:color w:val="000000" w:themeColor="text1"/>
          <w14:textFill>
            <w14:solidFill>
              <w14:schemeClr w14:val="tx1"/>
            </w14:solidFill>
          </w14:textFill>
        </w:rPr>
      </w:pPr>
    </w:p>
    <w:p>
      <w:pPr>
        <w:rPr>
          <w:rFonts w:hint="eastAsia" w:ascii="宋体" w:hAnsi="宋体" w:eastAsia="宋体" w:cs="宋体"/>
          <w:b/>
          <w:bCs/>
          <w:color w:val="000000" w:themeColor="text1"/>
          <w:sz w:val="32"/>
          <w:szCs w:val="32"/>
          <w:highlight w:val="none"/>
          <w14:textFill>
            <w14:solidFill>
              <w14:schemeClr w14:val="tx1"/>
            </w14:solidFill>
          </w14:textFill>
        </w:rPr>
      </w:pPr>
    </w:p>
    <w:bookmarkEnd w:id="37"/>
    <w:bookmarkEnd w:id="38"/>
    <w:p>
      <w:pPr>
        <w:pStyle w:val="49"/>
        <w:rPr>
          <w:rFonts w:hint="eastAsia" w:ascii="宋体" w:hAnsi="宋体" w:eastAsia="宋体" w:cs="宋体"/>
          <w:color w:val="000000" w:themeColor="text1"/>
          <w:highlight w:val="none"/>
          <w14:textFill>
            <w14:solidFill>
              <w14:schemeClr w14:val="tx1"/>
            </w14:solidFill>
          </w14:textFill>
        </w:rPr>
      </w:pPr>
    </w:p>
    <w:p>
      <w:pPr>
        <w:pStyle w:val="63"/>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hAnsi="宋体" w:cs="宋体"/>
          <w:b/>
          <w:bCs/>
          <w:color w:val="000000" w:themeColor="text1"/>
          <w:sz w:val="32"/>
          <w:szCs w:val="32"/>
          <w:highlight w:val="none"/>
          <w:lang w:val="en-US" w:eastAsia="zh-CN"/>
          <w14:textFill>
            <w14:solidFill>
              <w14:schemeClr w14:val="tx1"/>
            </w14:solidFill>
          </w14:textFill>
        </w:rPr>
        <w:t>3</w:t>
      </w:r>
      <w:r>
        <w:rPr>
          <w:rFonts w:hint="eastAsia" w:ascii="宋体" w:hAnsi="宋体" w:eastAsia="宋体" w:cs="宋体"/>
          <w:b/>
          <w:bCs/>
          <w:color w:val="000000" w:themeColor="text1"/>
          <w:sz w:val="32"/>
          <w:szCs w:val="32"/>
          <w:highlight w:val="none"/>
          <w14:textFill>
            <w14:solidFill>
              <w14:schemeClr w14:val="tx1"/>
            </w14:solidFill>
          </w14:textFill>
        </w:rPr>
        <w:t>.投标人可结合本项目的评标办法视自身情况自行提交相关证明材料（如有，请提供）</w:t>
      </w:r>
      <w:r>
        <w:rPr>
          <w:rFonts w:hint="eastAsia" w:ascii="宋体" w:hAnsi="宋体" w:eastAsia="宋体" w:cs="宋体"/>
          <w:color w:val="000000" w:themeColor="text1"/>
          <w:highlight w:val="none"/>
          <w14:textFill>
            <w14:solidFill>
              <w14:schemeClr w14:val="tx1"/>
            </w14:solidFill>
          </w14:textFill>
        </w:rPr>
        <w:t>。</w:t>
      </w:r>
    </w:p>
    <w:p>
      <w:pPr>
        <w:pStyle w:val="63"/>
        <w:rPr>
          <w:rFonts w:hint="eastAsia" w:ascii="宋体" w:hAnsi="宋体" w:eastAsia="宋体" w:cs="宋体"/>
          <w:color w:val="000000" w:themeColor="text1"/>
          <w:highlight w:val="none"/>
          <w14:textFill>
            <w14:solidFill>
              <w14:schemeClr w14:val="tx1"/>
            </w14:solidFill>
          </w14:textFill>
        </w:rPr>
      </w:pPr>
    </w:p>
    <w:p>
      <w:pPr>
        <w:snapToGrid w:val="0"/>
        <w:spacing w:before="50" w:after="5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sectPr>
      <w:footerReference r:id="rId8" w:type="first"/>
      <w:headerReference r:id="rId6" w:type="default"/>
      <w:footerReference r:id="rId7" w:type="default"/>
      <w:pgSz w:w="11906" w:h="16838"/>
      <w:pgMar w:top="1440" w:right="1080" w:bottom="1440" w:left="1080" w:header="851" w:footer="992" w:gutter="0"/>
      <w:pgNumType w:start="5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9251E9-DFDB-4407-B42A-FCEFB7B87BCB}"/>
  </w:font>
  <w:font w:name="Courier New">
    <w:panose1 w:val="02070309020205020404"/>
    <w:charset w:val="01"/>
    <w:family w:val="modern"/>
    <w:pitch w:val="default"/>
    <w:sig w:usb0="E0002EFF" w:usb1="C0007843" w:usb2="00000009" w:usb3="00000000" w:csb0="400001FF" w:csb1="FFFF0000"/>
    <w:embedRegular r:id="rId2" w:fontKey="{8B12ED27-ECBD-456B-83B6-5D0AF2E78CF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FAA83A10-2AF9-416B-B695-761864F65564}"/>
  </w:font>
  <w:font w:name="仿宋">
    <w:panose1 w:val="02010609060101010101"/>
    <w:charset w:val="86"/>
    <w:family w:val="auto"/>
    <w:pitch w:val="default"/>
    <w:sig w:usb0="800002BF" w:usb1="38CF7CFA" w:usb2="00000016" w:usb3="00000000" w:csb0="00040001" w:csb1="00000000"/>
    <w:embedRegular r:id="rId4" w:fontKey="{945A3760-6FFE-4A69-B22D-D02BA2265571}"/>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5" w:fontKey="{66E0331E-052B-4E4B-85A8-64C038A679ED}"/>
  </w:font>
  <w:font w:name="华文中宋">
    <w:panose1 w:val="02010600040101010101"/>
    <w:charset w:val="86"/>
    <w:family w:val="auto"/>
    <w:pitch w:val="default"/>
    <w:sig w:usb0="00000287" w:usb1="080F0000" w:usb2="00000000" w:usb3="00000000" w:csb0="0004009F" w:csb1="DFD70000"/>
    <w:embedRegular r:id="rId6" w:fontKey="{3E339822-E05E-4FDF-8ABB-EF1683F83F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ascii="宋体" w:hAnsi="宋体"/>
        <w:sz w:val="24"/>
        <w:szCs w:val="24"/>
      </w:rPr>
    </w:pPr>
    <w:r>
      <w:rPr>
        <w:rStyle w:val="57"/>
        <w:rFonts w:ascii="宋体" w:hAnsi="宋体"/>
        <w:sz w:val="24"/>
        <w:szCs w:val="24"/>
      </w:rPr>
      <w:fldChar w:fldCharType="begin"/>
    </w:r>
    <w:r>
      <w:rPr>
        <w:rStyle w:val="57"/>
        <w:rFonts w:ascii="宋体" w:hAnsi="宋体"/>
        <w:sz w:val="24"/>
        <w:szCs w:val="24"/>
      </w:rPr>
      <w:instrText xml:space="preserve"> PAGE </w:instrText>
    </w:r>
    <w:r>
      <w:rPr>
        <w:rStyle w:val="57"/>
        <w:rFonts w:ascii="宋体" w:hAnsi="宋体"/>
        <w:sz w:val="24"/>
        <w:szCs w:val="24"/>
      </w:rPr>
      <w:fldChar w:fldCharType="separate"/>
    </w:r>
    <w:r>
      <w:rPr>
        <w:rStyle w:val="57"/>
        <w:rFonts w:ascii="宋体" w:hAnsi="宋体"/>
        <w:sz w:val="24"/>
        <w:szCs w:val="24"/>
      </w:rPr>
      <w:t>- 38 -</w:t>
    </w:r>
    <w:r>
      <w:rPr>
        <w:rStyle w:val="57"/>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rPr>
        <w:rStyle w:val="57"/>
      </w:rPr>
      <w:instrText xml:space="preserve"> PAGE </w:instrText>
    </w:r>
    <w:r>
      <w:fldChar w:fldCharType="separate"/>
    </w:r>
    <w:r>
      <w:rPr>
        <w:rStyle w:val="57"/>
      </w:rPr>
      <w:t>59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pPr>
    <w:r>
      <w:rPr>
        <w:rFonts w:hint="eastAsia"/>
      </w:rPr>
      <w:t>52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3"/>
      <w:numFmt w:val="japaneseCounting"/>
      <w:pStyle w:val="88"/>
      <w:lvlText w:val="第%1章"/>
      <w:lvlJc w:val="left"/>
      <w:pPr>
        <w:tabs>
          <w:tab w:val="left" w:pos="855"/>
        </w:tabs>
        <w:ind w:left="855" w:hanging="85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8"/>
      <w:lvlText w:val="%6."/>
      <w:lvlJc w:val="right"/>
      <w:pPr>
        <w:tabs>
          <w:tab w:val="left" w:pos="2520"/>
        </w:tabs>
        <w:ind w:left="2520" w:hanging="420"/>
      </w:pPr>
      <w:rPr>
        <w:rFonts w:cs="Times New Roman"/>
      </w:rPr>
    </w:lvl>
    <w:lvl w:ilvl="6" w:tentative="0">
      <w:start w:val="1"/>
      <w:numFmt w:val="decimal"/>
      <w:pStyle w:val="10"/>
      <w:lvlText w:val="%7."/>
      <w:lvlJc w:val="left"/>
      <w:pPr>
        <w:tabs>
          <w:tab w:val="left" w:pos="2940"/>
        </w:tabs>
        <w:ind w:left="2940" w:hanging="420"/>
      </w:pPr>
      <w:rPr>
        <w:rFonts w:cs="Times New Roman"/>
      </w:rPr>
    </w:lvl>
    <w:lvl w:ilvl="7" w:tentative="0">
      <w:start w:val="1"/>
      <w:numFmt w:val="lowerLetter"/>
      <w:pStyle w:val="11"/>
      <w:lvlText w:val="%8)"/>
      <w:lvlJc w:val="left"/>
      <w:pPr>
        <w:tabs>
          <w:tab w:val="left" w:pos="3360"/>
        </w:tabs>
        <w:ind w:left="3360" w:hanging="420"/>
      </w:pPr>
      <w:rPr>
        <w:rFonts w:cs="Times New Roman"/>
      </w:rPr>
    </w:lvl>
    <w:lvl w:ilvl="8" w:tentative="0">
      <w:start w:val="1"/>
      <w:numFmt w:val="lowerRoman"/>
      <w:pStyle w:val="12"/>
      <w:lvlText w:val="%9."/>
      <w:lvlJc w:val="right"/>
      <w:pPr>
        <w:tabs>
          <w:tab w:val="left" w:pos="3780"/>
        </w:tabs>
        <w:ind w:left="3780" w:hanging="420"/>
      </w:pPr>
      <w:rPr>
        <w:rFonts w:cs="Times New Roman"/>
      </w:rPr>
    </w:lvl>
  </w:abstractNum>
  <w:abstractNum w:abstractNumId="1">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2">
    <w:nsid w:val="27F5E291"/>
    <w:multiLevelType w:val="singleLevel"/>
    <w:tmpl w:val="27F5E291"/>
    <w:lvl w:ilvl="0" w:tentative="0">
      <w:start w:val="1"/>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TVkNmQ1OWNlMzAwMjI3NmQyYjhlMzk3NDY2YTcifQ=="/>
  </w:docVars>
  <w:rsids>
    <w:rsidRoot w:val="00172A27"/>
    <w:rsid w:val="00004801"/>
    <w:rsid w:val="00004CBE"/>
    <w:rsid w:val="00011CE0"/>
    <w:rsid w:val="00012BFD"/>
    <w:rsid w:val="000143BC"/>
    <w:rsid w:val="000155FC"/>
    <w:rsid w:val="000179BC"/>
    <w:rsid w:val="00017CD1"/>
    <w:rsid w:val="000213C7"/>
    <w:rsid w:val="0002208C"/>
    <w:rsid w:val="000220AD"/>
    <w:rsid w:val="00023F5E"/>
    <w:rsid w:val="0003207C"/>
    <w:rsid w:val="00034DC5"/>
    <w:rsid w:val="00037562"/>
    <w:rsid w:val="000377E1"/>
    <w:rsid w:val="000400AF"/>
    <w:rsid w:val="0004412F"/>
    <w:rsid w:val="0004725D"/>
    <w:rsid w:val="000474FD"/>
    <w:rsid w:val="0005207A"/>
    <w:rsid w:val="0005255D"/>
    <w:rsid w:val="00054EA6"/>
    <w:rsid w:val="00056E86"/>
    <w:rsid w:val="00056F1E"/>
    <w:rsid w:val="00057967"/>
    <w:rsid w:val="00060243"/>
    <w:rsid w:val="0006294E"/>
    <w:rsid w:val="00063600"/>
    <w:rsid w:val="00065785"/>
    <w:rsid w:val="0006603C"/>
    <w:rsid w:val="00066BC7"/>
    <w:rsid w:val="00070DE1"/>
    <w:rsid w:val="0007275B"/>
    <w:rsid w:val="0007323B"/>
    <w:rsid w:val="00073598"/>
    <w:rsid w:val="00074298"/>
    <w:rsid w:val="0007431A"/>
    <w:rsid w:val="00074FA4"/>
    <w:rsid w:val="00076DED"/>
    <w:rsid w:val="000807CF"/>
    <w:rsid w:val="00080C23"/>
    <w:rsid w:val="000822B1"/>
    <w:rsid w:val="0008294B"/>
    <w:rsid w:val="00083D10"/>
    <w:rsid w:val="00083F65"/>
    <w:rsid w:val="000840AE"/>
    <w:rsid w:val="000856F1"/>
    <w:rsid w:val="00086FCA"/>
    <w:rsid w:val="00091411"/>
    <w:rsid w:val="0009192E"/>
    <w:rsid w:val="000938C9"/>
    <w:rsid w:val="000A01C5"/>
    <w:rsid w:val="000A0B51"/>
    <w:rsid w:val="000A1497"/>
    <w:rsid w:val="000A2E7D"/>
    <w:rsid w:val="000A2F9C"/>
    <w:rsid w:val="000A4ADE"/>
    <w:rsid w:val="000A54C1"/>
    <w:rsid w:val="000A6DE3"/>
    <w:rsid w:val="000A7094"/>
    <w:rsid w:val="000B0016"/>
    <w:rsid w:val="000B13BB"/>
    <w:rsid w:val="000B2017"/>
    <w:rsid w:val="000B4853"/>
    <w:rsid w:val="000B7E26"/>
    <w:rsid w:val="000C0CDC"/>
    <w:rsid w:val="000C28FB"/>
    <w:rsid w:val="000C2AF0"/>
    <w:rsid w:val="000C327B"/>
    <w:rsid w:val="000C439E"/>
    <w:rsid w:val="000C46A0"/>
    <w:rsid w:val="000C4AAE"/>
    <w:rsid w:val="000C4FC9"/>
    <w:rsid w:val="000D0CD9"/>
    <w:rsid w:val="000D11C1"/>
    <w:rsid w:val="000D202E"/>
    <w:rsid w:val="000D3631"/>
    <w:rsid w:val="000D373D"/>
    <w:rsid w:val="000D7AC6"/>
    <w:rsid w:val="000E179D"/>
    <w:rsid w:val="000E19F2"/>
    <w:rsid w:val="000E21ED"/>
    <w:rsid w:val="000E30D9"/>
    <w:rsid w:val="000E5276"/>
    <w:rsid w:val="000E5EB5"/>
    <w:rsid w:val="000E6B93"/>
    <w:rsid w:val="000E713E"/>
    <w:rsid w:val="000E7428"/>
    <w:rsid w:val="000F07AE"/>
    <w:rsid w:val="000F0EE7"/>
    <w:rsid w:val="000F145D"/>
    <w:rsid w:val="000F3777"/>
    <w:rsid w:val="0010141C"/>
    <w:rsid w:val="00101F36"/>
    <w:rsid w:val="0010381F"/>
    <w:rsid w:val="001050A0"/>
    <w:rsid w:val="0010740F"/>
    <w:rsid w:val="00107BC6"/>
    <w:rsid w:val="00107E69"/>
    <w:rsid w:val="0011159F"/>
    <w:rsid w:val="00111AD2"/>
    <w:rsid w:val="001129B2"/>
    <w:rsid w:val="001130D3"/>
    <w:rsid w:val="00123466"/>
    <w:rsid w:val="001247D5"/>
    <w:rsid w:val="00124E0F"/>
    <w:rsid w:val="00125C6D"/>
    <w:rsid w:val="00125D12"/>
    <w:rsid w:val="00126AD9"/>
    <w:rsid w:val="00127118"/>
    <w:rsid w:val="00130995"/>
    <w:rsid w:val="0013139E"/>
    <w:rsid w:val="00131737"/>
    <w:rsid w:val="00132B24"/>
    <w:rsid w:val="00141264"/>
    <w:rsid w:val="00141E46"/>
    <w:rsid w:val="001425E6"/>
    <w:rsid w:val="001426BA"/>
    <w:rsid w:val="00143FF2"/>
    <w:rsid w:val="00144079"/>
    <w:rsid w:val="00144AA8"/>
    <w:rsid w:val="00145E6C"/>
    <w:rsid w:val="00147158"/>
    <w:rsid w:val="00150702"/>
    <w:rsid w:val="00150F8A"/>
    <w:rsid w:val="00151528"/>
    <w:rsid w:val="00160692"/>
    <w:rsid w:val="00167473"/>
    <w:rsid w:val="00167CB5"/>
    <w:rsid w:val="001702C5"/>
    <w:rsid w:val="001710D2"/>
    <w:rsid w:val="00172A27"/>
    <w:rsid w:val="0017349F"/>
    <w:rsid w:val="001759C2"/>
    <w:rsid w:val="00176589"/>
    <w:rsid w:val="001810E6"/>
    <w:rsid w:val="0018209A"/>
    <w:rsid w:val="001826F2"/>
    <w:rsid w:val="00182AFE"/>
    <w:rsid w:val="00185EAB"/>
    <w:rsid w:val="00187210"/>
    <w:rsid w:val="001902BC"/>
    <w:rsid w:val="00190BE4"/>
    <w:rsid w:val="00191FEF"/>
    <w:rsid w:val="001923D4"/>
    <w:rsid w:val="001943C8"/>
    <w:rsid w:val="00195A86"/>
    <w:rsid w:val="00197C60"/>
    <w:rsid w:val="001A18D0"/>
    <w:rsid w:val="001A255F"/>
    <w:rsid w:val="001A32B8"/>
    <w:rsid w:val="001A3A37"/>
    <w:rsid w:val="001A4222"/>
    <w:rsid w:val="001A5907"/>
    <w:rsid w:val="001A75B3"/>
    <w:rsid w:val="001A765D"/>
    <w:rsid w:val="001A7E4B"/>
    <w:rsid w:val="001B2278"/>
    <w:rsid w:val="001B36E0"/>
    <w:rsid w:val="001B4B43"/>
    <w:rsid w:val="001B7CD5"/>
    <w:rsid w:val="001B7EDE"/>
    <w:rsid w:val="001C1F69"/>
    <w:rsid w:val="001C2A96"/>
    <w:rsid w:val="001C3E12"/>
    <w:rsid w:val="001C5C6C"/>
    <w:rsid w:val="001D0C4D"/>
    <w:rsid w:val="001D218E"/>
    <w:rsid w:val="001D6910"/>
    <w:rsid w:val="001E01DD"/>
    <w:rsid w:val="001E0998"/>
    <w:rsid w:val="001E106D"/>
    <w:rsid w:val="001E3A3D"/>
    <w:rsid w:val="001E3DF0"/>
    <w:rsid w:val="001E7092"/>
    <w:rsid w:val="001E7598"/>
    <w:rsid w:val="001E794E"/>
    <w:rsid w:val="001F11A7"/>
    <w:rsid w:val="001F16EC"/>
    <w:rsid w:val="001F3283"/>
    <w:rsid w:val="001F3D83"/>
    <w:rsid w:val="001F4045"/>
    <w:rsid w:val="00203BFA"/>
    <w:rsid w:val="00204E9B"/>
    <w:rsid w:val="00207920"/>
    <w:rsid w:val="00207EA8"/>
    <w:rsid w:val="00211D7A"/>
    <w:rsid w:val="002138EB"/>
    <w:rsid w:val="00216532"/>
    <w:rsid w:val="002218D9"/>
    <w:rsid w:val="0022332E"/>
    <w:rsid w:val="00223335"/>
    <w:rsid w:val="00223AAA"/>
    <w:rsid w:val="0022492E"/>
    <w:rsid w:val="00226276"/>
    <w:rsid w:val="00227D2D"/>
    <w:rsid w:val="0023207E"/>
    <w:rsid w:val="0023437E"/>
    <w:rsid w:val="002365FF"/>
    <w:rsid w:val="002368F6"/>
    <w:rsid w:val="002378DC"/>
    <w:rsid w:val="0024325B"/>
    <w:rsid w:val="00243AC0"/>
    <w:rsid w:val="002448A8"/>
    <w:rsid w:val="00246A29"/>
    <w:rsid w:val="002472F6"/>
    <w:rsid w:val="002532D1"/>
    <w:rsid w:val="00254E94"/>
    <w:rsid w:val="00254F37"/>
    <w:rsid w:val="0026028D"/>
    <w:rsid w:val="00260EF8"/>
    <w:rsid w:val="002619DB"/>
    <w:rsid w:val="002646C9"/>
    <w:rsid w:val="00265057"/>
    <w:rsid w:val="00265A04"/>
    <w:rsid w:val="00266717"/>
    <w:rsid w:val="002669F5"/>
    <w:rsid w:val="002702BD"/>
    <w:rsid w:val="0027070A"/>
    <w:rsid w:val="00272BE7"/>
    <w:rsid w:val="00272F01"/>
    <w:rsid w:val="002740D1"/>
    <w:rsid w:val="0027412D"/>
    <w:rsid w:val="002752D1"/>
    <w:rsid w:val="0028024A"/>
    <w:rsid w:val="00280F0D"/>
    <w:rsid w:val="002819BA"/>
    <w:rsid w:val="00282674"/>
    <w:rsid w:val="00283A3E"/>
    <w:rsid w:val="002856E3"/>
    <w:rsid w:val="00290716"/>
    <w:rsid w:val="00291620"/>
    <w:rsid w:val="002916C6"/>
    <w:rsid w:val="00293589"/>
    <w:rsid w:val="00294053"/>
    <w:rsid w:val="0029405E"/>
    <w:rsid w:val="00294661"/>
    <w:rsid w:val="00295B0C"/>
    <w:rsid w:val="00297DE9"/>
    <w:rsid w:val="002A0015"/>
    <w:rsid w:val="002A49A5"/>
    <w:rsid w:val="002A4C18"/>
    <w:rsid w:val="002A4EE0"/>
    <w:rsid w:val="002A5B43"/>
    <w:rsid w:val="002B0647"/>
    <w:rsid w:val="002B105B"/>
    <w:rsid w:val="002B27B0"/>
    <w:rsid w:val="002B3066"/>
    <w:rsid w:val="002B48C3"/>
    <w:rsid w:val="002B4C35"/>
    <w:rsid w:val="002B4CCD"/>
    <w:rsid w:val="002B5416"/>
    <w:rsid w:val="002B64FB"/>
    <w:rsid w:val="002C12F5"/>
    <w:rsid w:val="002C273A"/>
    <w:rsid w:val="002C2DB5"/>
    <w:rsid w:val="002C379E"/>
    <w:rsid w:val="002D22A5"/>
    <w:rsid w:val="002D2C01"/>
    <w:rsid w:val="002D321D"/>
    <w:rsid w:val="002D41B6"/>
    <w:rsid w:val="002D45C9"/>
    <w:rsid w:val="002D62C0"/>
    <w:rsid w:val="002D7735"/>
    <w:rsid w:val="002D77BF"/>
    <w:rsid w:val="002D7FCF"/>
    <w:rsid w:val="002E03BE"/>
    <w:rsid w:val="002E1C12"/>
    <w:rsid w:val="002E7575"/>
    <w:rsid w:val="002F33F0"/>
    <w:rsid w:val="002F51A3"/>
    <w:rsid w:val="00302865"/>
    <w:rsid w:val="003042E6"/>
    <w:rsid w:val="00305F27"/>
    <w:rsid w:val="00305FBE"/>
    <w:rsid w:val="00306B88"/>
    <w:rsid w:val="00312370"/>
    <w:rsid w:val="003123F3"/>
    <w:rsid w:val="003179EE"/>
    <w:rsid w:val="0032248A"/>
    <w:rsid w:val="00322BD4"/>
    <w:rsid w:val="00324FD3"/>
    <w:rsid w:val="00326BBF"/>
    <w:rsid w:val="003274AF"/>
    <w:rsid w:val="00331AAC"/>
    <w:rsid w:val="0033359A"/>
    <w:rsid w:val="00333B3C"/>
    <w:rsid w:val="00333CF1"/>
    <w:rsid w:val="0033443D"/>
    <w:rsid w:val="00334A04"/>
    <w:rsid w:val="00335E06"/>
    <w:rsid w:val="003371FC"/>
    <w:rsid w:val="003376C2"/>
    <w:rsid w:val="0034046D"/>
    <w:rsid w:val="00342254"/>
    <w:rsid w:val="003429F3"/>
    <w:rsid w:val="003465EC"/>
    <w:rsid w:val="00350B1A"/>
    <w:rsid w:val="00353128"/>
    <w:rsid w:val="00353673"/>
    <w:rsid w:val="00354BA6"/>
    <w:rsid w:val="00355CDC"/>
    <w:rsid w:val="0035673C"/>
    <w:rsid w:val="00357302"/>
    <w:rsid w:val="0035794E"/>
    <w:rsid w:val="003629F4"/>
    <w:rsid w:val="003650B3"/>
    <w:rsid w:val="0036685F"/>
    <w:rsid w:val="00371729"/>
    <w:rsid w:val="00371E17"/>
    <w:rsid w:val="00372A9F"/>
    <w:rsid w:val="003741B8"/>
    <w:rsid w:val="00374242"/>
    <w:rsid w:val="00376E1A"/>
    <w:rsid w:val="0038104E"/>
    <w:rsid w:val="00382274"/>
    <w:rsid w:val="00386CBC"/>
    <w:rsid w:val="00387CB3"/>
    <w:rsid w:val="003910EE"/>
    <w:rsid w:val="003974E8"/>
    <w:rsid w:val="00397BBC"/>
    <w:rsid w:val="003A18D2"/>
    <w:rsid w:val="003A1DC8"/>
    <w:rsid w:val="003A3B38"/>
    <w:rsid w:val="003A4639"/>
    <w:rsid w:val="003A666B"/>
    <w:rsid w:val="003A7F40"/>
    <w:rsid w:val="003B1EDE"/>
    <w:rsid w:val="003B2871"/>
    <w:rsid w:val="003B3C56"/>
    <w:rsid w:val="003B58DF"/>
    <w:rsid w:val="003B65F4"/>
    <w:rsid w:val="003B66E8"/>
    <w:rsid w:val="003C3F70"/>
    <w:rsid w:val="003C6812"/>
    <w:rsid w:val="003C68A9"/>
    <w:rsid w:val="003C71B0"/>
    <w:rsid w:val="003C748E"/>
    <w:rsid w:val="003D15A2"/>
    <w:rsid w:val="003D29F2"/>
    <w:rsid w:val="003D2C7D"/>
    <w:rsid w:val="003D3AE9"/>
    <w:rsid w:val="003D44F9"/>
    <w:rsid w:val="003D46AD"/>
    <w:rsid w:val="003D6D1C"/>
    <w:rsid w:val="003D7BFA"/>
    <w:rsid w:val="003E009B"/>
    <w:rsid w:val="003E13DB"/>
    <w:rsid w:val="003F0C56"/>
    <w:rsid w:val="003F1EE7"/>
    <w:rsid w:val="003F2A6C"/>
    <w:rsid w:val="003F77F7"/>
    <w:rsid w:val="003F7E80"/>
    <w:rsid w:val="00401723"/>
    <w:rsid w:val="00401C23"/>
    <w:rsid w:val="00405F9B"/>
    <w:rsid w:val="00406511"/>
    <w:rsid w:val="00407CC7"/>
    <w:rsid w:val="0041014E"/>
    <w:rsid w:val="00411371"/>
    <w:rsid w:val="004117A4"/>
    <w:rsid w:val="00411B34"/>
    <w:rsid w:val="00412413"/>
    <w:rsid w:val="0041421D"/>
    <w:rsid w:val="0041427C"/>
    <w:rsid w:val="0041448F"/>
    <w:rsid w:val="00414A7D"/>
    <w:rsid w:val="00414FCA"/>
    <w:rsid w:val="004161A5"/>
    <w:rsid w:val="004173CB"/>
    <w:rsid w:val="00424F1F"/>
    <w:rsid w:val="00426D1A"/>
    <w:rsid w:val="00430471"/>
    <w:rsid w:val="00432166"/>
    <w:rsid w:val="0043358D"/>
    <w:rsid w:val="00434D3F"/>
    <w:rsid w:val="00435827"/>
    <w:rsid w:val="00436720"/>
    <w:rsid w:val="00436B4D"/>
    <w:rsid w:val="00440841"/>
    <w:rsid w:val="004415E2"/>
    <w:rsid w:val="00442DB1"/>
    <w:rsid w:val="004439FB"/>
    <w:rsid w:val="00443BAA"/>
    <w:rsid w:val="00443C95"/>
    <w:rsid w:val="00444DD9"/>
    <w:rsid w:val="00447FD8"/>
    <w:rsid w:val="0045237E"/>
    <w:rsid w:val="004532BF"/>
    <w:rsid w:val="00455B66"/>
    <w:rsid w:val="00457529"/>
    <w:rsid w:val="00463379"/>
    <w:rsid w:val="00463F7D"/>
    <w:rsid w:val="0046447E"/>
    <w:rsid w:val="0046607C"/>
    <w:rsid w:val="00466B2F"/>
    <w:rsid w:val="00470B6F"/>
    <w:rsid w:val="00472598"/>
    <w:rsid w:val="00473379"/>
    <w:rsid w:val="004737E1"/>
    <w:rsid w:val="004740E5"/>
    <w:rsid w:val="00474991"/>
    <w:rsid w:val="00475BF1"/>
    <w:rsid w:val="00477FC0"/>
    <w:rsid w:val="00481A87"/>
    <w:rsid w:val="00484808"/>
    <w:rsid w:val="00485398"/>
    <w:rsid w:val="00486110"/>
    <w:rsid w:val="00486EFB"/>
    <w:rsid w:val="00487A87"/>
    <w:rsid w:val="00494B60"/>
    <w:rsid w:val="00494D73"/>
    <w:rsid w:val="00494F77"/>
    <w:rsid w:val="004957F8"/>
    <w:rsid w:val="00497291"/>
    <w:rsid w:val="00497802"/>
    <w:rsid w:val="00497E51"/>
    <w:rsid w:val="004A0803"/>
    <w:rsid w:val="004A110B"/>
    <w:rsid w:val="004A2E0F"/>
    <w:rsid w:val="004A34DF"/>
    <w:rsid w:val="004A4861"/>
    <w:rsid w:val="004A5219"/>
    <w:rsid w:val="004A56C0"/>
    <w:rsid w:val="004A64F2"/>
    <w:rsid w:val="004B175E"/>
    <w:rsid w:val="004B2D78"/>
    <w:rsid w:val="004B3F92"/>
    <w:rsid w:val="004B434D"/>
    <w:rsid w:val="004B4834"/>
    <w:rsid w:val="004B679D"/>
    <w:rsid w:val="004C1C40"/>
    <w:rsid w:val="004C2CAC"/>
    <w:rsid w:val="004C343F"/>
    <w:rsid w:val="004C35E1"/>
    <w:rsid w:val="004C3F9E"/>
    <w:rsid w:val="004C4B19"/>
    <w:rsid w:val="004C4F94"/>
    <w:rsid w:val="004C61DD"/>
    <w:rsid w:val="004C668B"/>
    <w:rsid w:val="004C6D69"/>
    <w:rsid w:val="004D117C"/>
    <w:rsid w:val="004D162C"/>
    <w:rsid w:val="004D1BC8"/>
    <w:rsid w:val="004D247C"/>
    <w:rsid w:val="004D45D0"/>
    <w:rsid w:val="004D7404"/>
    <w:rsid w:val="004E6379"/>
    <w:rsid w:val="004E66E3"/>
    <w:rsid w:val="004F04BB"/>
    <w:rsid w:val="004F05EF"/>
    <w:rsid w:val="004F1F15"/>
    <w:rsid w:val="004F35C1"/>
    <w:rsid w:val="004F5AAB"/>
    <w:rsid w:val="004F6137"/>
    <w:rsid w:val="004F62A5"/>
    <w:rsid w:val="004F6C3C"/>
    <w:rsid w:val="004F7F83"/>
    <w:rsid w:val="00500DF1"/>
    <w:rsid w:val="00501E11"/>
    <w:rsid w:val="0050331C"/>
    <w:rsid w:val="005116A9"/>
    <w:rsid w:val="00511765"/>
    <w:rsid w:val="00511FDF"/>
    <w:rsid w:val="0051346D"/>
    <w:rsid w:val="00513FF0"/>
    <w:rsid w:val="00514DC7"/>
    <w:rsid w:val="00516272"/>
    <w:rsid w:val="00520205"/>
    <w:rsid w:val="00520D56"/>
    <w:rsid w:val="0052116B"/>
    <w:rsid w:val="00521739"/>
    <w:rsid w:val="005218F6"/>
    <w:rsid w:val="00522307"/>
    <w:rsid w:val="00522956"/>
    <w:rsid w:val="0052404D"/>
    <w:rsid w:val="0052620B"/>
    <w:rsid w:val="00526ECD"/>
    <w:rsid w:val="00527B4B"/>
    <w:rsid w:val="00527E26"/>
    <w:rsid w:val="005301D4"/>
    <w:rsid w:val="00530372"/>
    <w:rsid w:val="00531290"/>
    <w:rsid w:val="005316AA"/>
    <w:rsid w:val="00536888"/>
    <w:rsid w:val="005407A8"/>
    <w:rsid w:val="00542933"/>
    <w:rsid w:val="00546EF3"/>
    <w:rsid w:val="00550E23"/>
    <w:rsid w:val="005527F2"/>
    <w:rsid w:val="00552E06"/>
    <w:rsid w:val="00554C65"/>
    <w:rsid w:val="00557B0A"/>
    <w:rsid w:val="00561C85"/>
    <w:rsid w:val="00561E1F"/>
    <w:rsid w:val="00563F0B"/>
    <w:rsid w:val="005649E8"/>
    <w:rsid w:val="00565882"/>
    <w:rsid w:val="00565A28"/>
    <w:rsid w:val="005715E7"/>
    <w:rsid w:val="0057394B"/>
    <w:rsid w:val="00580F48"/>
    <w:rsid w:val="005829F0"/>
    <w:rsid w:val="00582B2F"/>
    <w:rsid w:val="005837FF"/>
    <w:rsid w:val="00584107"/>
    <w:rsid w:val="00584F86"/>
    <w:rsid w:val="0058786D"/>
    <w:rsid w:val="005911A1"/>
    <w:rsid w:val="005926FB"/>
    <w:rsid w:val="00596AA5"/>
    <w:rsid w:val="005975F7"/>
    <w:rsid w:val="00597EE2"/>
    <w:rsid w:val="005A1BFD"/>
    <w:rsid w:val="005A218E"/>
    <w:rsid w:val="005A2291"/>
    <w:rsid w:val="005A593A"/>
    <w:rsid w:val="005A6F17"/>
    <w:rsid w:val="005A7261"/>
    <w:rsid w:val="005B206C"/>
    <w:rsid w:val="005B2203"/>
    <w:rsid w:val="005B2D2D"/>
    <w:rsid w:val="005B2E67"/>
    <w:rsid w:val="005B6548"/>
    <w:rsid w:val="005C0D77"/>
    <w:rsid w:val="005C1262"/>
    <w:rsid w:val="005C5F26"/>
    <w:rsid w:val="005C6563"/>
    <w:rsid w:val="005D1A2F"/>
    <w:rsid w:val="005D4F13"/>
    <w:rsid w:val="005E0701"/>
    <w:rsid w:val="005E0752"/>
    <w:rsid w:val="005E0E1E"/>
    <w:rsid w:val="005E22EB"/>
    <w:rsid w:val="005F1635"/>
    <w:rsid w:val="005F16C1"/>
    <w:rsid w:val="005F3019"/>
    <w:rsid w:val="005F4477"/>
    <w:rsid w:val="005F5202"/>
    <w:rsid w:val="00600E30"/>
    <w:rsid w:val="00602588"/>
    <w:rsid w:val="00603587"/>
    <w:rsid w:val="00603A32"/>
    <w:rsid w:val="00613F19"/>
    <w:rsid w:val="00614370"/>
    <w:rsid w:val="006146CD"/>
    <w:rsid w:val="00616926"/>
    <w:rsid w:val="0061733A"/>
    <w:rsid w:val="00617680"/>
    <w:rsid w:val="0062142C"/>
    <w:rsid w:val="0062457D"/>
    <w:rsid w:val="00626454"/>
    <w:rsid w:val="006266C8"/>
    <w:rsid w:val="00626B54"/>
    <w:rsid w:val="00626BDC"/>
    <w:rsid w:val="0063020A"/>
    <w:rsid w:val="00634692"/>
    <w:rsid w:val="00634A3B"/>
    <w:rsid w:val="006370FB"/>
    <w:rsid w:val="00641BF1"/>
    <w:rsid w:val="0064290F"/>
    <w:rsid w:val="006431BE"/>
    <w:rsid w:val="00643D49"/>
    <w:rsid w:val="0064652E"/>
    <w:rsid w:val="0064709C"/>
    <w:rsid w:val="00652B10"/>
    <w:rsid w:val="00653DD3"/>
    <w:rsid w:val="006543D3"/>
    <w:rsid w:val="0065584E"/>
    <w:rsid w:val="00656382"/>
    <w:rsid w:val="0065682C"/>
    <w:rsid w:val="00661206"/>
    <w:rsid w:val="00661F08"/>
    <w:rsid w:val="006645F5"/>
    <w:rsid w:val="00664BEC"/>
    <w:rsid w:val="00667481"/>
    <w:rsid w:val="0066769F"/>
    <w:rsid w:val="00667AB0"/>
    <w:rsid w:val="00670CA2"/>
    <w:rsid w:val="00671098"/>
    <w:rsid w:val="00671751"/>
    <w:rsid w:val="006728AE"/>
    <w:rsid w:val="00674483"/>
    <w:rsid w:val="00682334"/>
    <w:rsid w:val="0068382D"/>
    <w:rsid w:val="00685DC3"/>
    <w:rsid w:val="00690084"/>
    <w:rsid w:val="006901D5"/>
    <w:rsid w:val="00693AB5"/>
    <w:rsid w:val="00694A21"/>
    <w:rsid w:val="00695163"/>
    <w:rsid w:val="00696D07"/>
    <w:rsid w:val="006A0A4A"/>
    <w:rsid w:val="006A129E"/>
    <w:rsid w:val="006A1369"/>
    <w:rsid w:val="006A2BD1"/>
    <w:rsid w:val="006A5E48"/>
    <w:rsid w:val="006A7FEA"/>
    <w:rsid w:val="006B006E"/>
    <w:rsid w:val="006B071A"/>
    <w:rsid w:val="006B757D"/>
    <w:rsid w:val="006C084F"/>
    <w:rsid w:val="006C3579"/>
    <w:rsid w:val="006C5C17"/>
    <w:rsid w:val="006D122D"/>
    <w:rsid w:val="006D27E6"/>
    <w:rsid w:val="006D2C73"/>
    <w:rsid w:val="006D393D"/>
    <w:rsid w:val="006E0B58"/>
    <w:rsid w:val="006E1EEC"/>
    <w:rsid w:val="006E25D9"/>
    <w:rsid w:val="006E4020"/>
    <w:rsid w:val="006E41A6"/>
    <w:rsid w:val="006E62CE"/>
    <w:rsid w:val="006E7F0F"/>
    <w:rsid w:val="006F1819"/>
    <w:rsid w:val="006F1DD8"/>
    <w:rsid w:val="006F21C2"/>
    <w:rsid w:val="006F4D85"/>
    <w:rsid w:val="006F5A53"/>
    <w:rsid w:val="00703274"/>
    <w:rsid w:val="00710BE6"/>
    <w:rsid w:val="00712C31"/>
    <w:rsid w:val="007133C4"/>
    <w:rsid w:val="00713DBF"/>
    <w:rsid w:val="00716AA1"/>
    <w:rsid w:val="007201F5"/>
    <w:rsid w:val="00722339"/>
    <w:rsid w:val="007225D7"/>
    <w:rsid w:val="0072356B"/>
    <w:rsid w:val="007235A4"/>
    <w:rsid w:val="00725C4D"/>
    <w:rsid w:val="007271F9"/>
    <w:rsid w:val="00727778"/>
    <w:rsid w:val="0072779F"/>
    <w:rsid w:val="00735061"/>
    <w:rsid w:val="007431F0"/>
    <w:rsid w:val="0074328F"/>
    <w:rsid w:val="007439B6"/>
    <w:rsid w:val="00747430"/>
    <w:rsid w:val="00751A33"/>
    <w:rsid w:val="00752400"/>
    <w:rsid w:val="0076396A"/>
    <w:rsid w:val="00771218"/>
    <w:rsid w:val="00771974"/>
    <w:rsid w:val="007725E4"/>
    <w:rsid w:val="00773AFC"/>
    <w:rsid w:val="0077586A"/>
    <w:rsid w:val="007854E3"/>
    <w:rsid w:val="007861A2"/>
    <w:rsid w:val="007863D4"/>
    <w:rsid w:val="00786D88"/>
    <w:rsid w:val="0078714C"/>
    <w:rsid w:val="00792215"/>
    <w:rsid w:val="007930BA"/>
    <w:rsid w:val="00793989"/>
    <w:rsid w:val="00794F48"/>
    <w:rsid w:val="00797C28"/>
    <w:rsid w:val="007A0737"/>
    <w:rsid w:val="007A189C"/>
    <w:rsid w:val="007A256B"/>
    <w:rsid w:val="007A3348"/>
    <w:rsid w:val="007A33D9"/>
    <w:rsid w:val="007A5451"/>
    <w:rsid w:val="007B090C"/>
    <w:rsid w:val="007B0A70"/>
    <w:rsid w:val="007B1EC1"/>
    <w:rsid w:val="007B30E7"/>
    <w:rsid w:val="007B6166"/>
    <w:rsid w:val="007B6678"/>
    <w:rsid w:val="007B6B04"/>
    <w:rsid w:val="007C4A9F"/>
    <w:rsid w:val="007C6D38"/>
    <w:rsid w:val="007C7A57"/>
    <w:rsid w:val="007D2B6F"/>
    <w:rsid w:val="007D6354"/>
    <w:rsid w:val="007E0423"/>
    <w:rsid w:val="007E3FD2"/>
    <w:rsid w:val="007F0EE3"/>
    <w:rsid w:val="007F205B"/>
    <w:rsid w:val="007F2FD5"/>
    <w:rsid w:val="007F47C2"/>
    <w:rsid w:val="007F48B4"/>
    <w:rsid w:val="007F55C7"/>
    <w:rsid w:val="007F5850"/>
    <w:rsid w:val="007F67CC"/>
    <w:rsid w:val="007F78C3"/>
    <w:rsid w:val="007F7CD6"/>
    <w:rsid w:val="00800A92"/>
    <w:rsid w:val="00803B95"/>
    <w:rsid w:val="0080570D"/>
    <w:rsid w:val="008067FD"/>
    <w:rsid w:val="0081176D"/>
    <w:rsid w:val="008129C7"/>
    <w:rsid w:val="0081366A"/>
    <w:rsid w:val="0081449B"/>
    <w:rsid w:val="0082144C"/>
    <w:rsid w:val="00821DAF"/>
    <w:rsid w:val="00821FA9"/>
    <w:rsid w:val="0082215C"/>
    <w:rsid w:val="00822BFB"/>
    <w:rsid w:val="00830484"/>
    <w:rsid w:val="00830C90"/>
    <w:rsid w:val="008310F7"/>
    <w:rsid w:val="0083201B"/>
    <w:rsid w:val="008349F9"/>
    <w:rsid w:val="00834B9E"/>
    <w:rsid w:val="008363DF"/>
    <w:rsid w:val="00836809"/>
    <w:rsid w:val="00843A6A"/>
    <w:rsid w:val="008462DC"/>
    <w:rsid w:val="00853D69"/>
    <w:rsid w:val="0086286C"/>
    <w:rsid w:val="00864F7A"/>
    <w:rsid w:val="008655E1"/>
    <w:rsid w:val="00866D0A"/>
    <w:rsid w:val="0086774C"/>
    <w:rsid w:val="00870240"/>
    <w:rsid w:val="00872839"/>
    <w:rsid w:val="00872B8A"/>
    <w:rsid w:val="00877BA0"/>
    <w:rsid w:val="00880643"/>
    <w:rsid w:val="008819CF"/>
    <w:rsid w:val="00881A43"/>
    <w:rsid w:val="00885C92"/>
    <w:rsid w:val="008868CB"/>
    <w:rsid w:val="00887D87"/>
    <w:rsid w:val="00887ED3"/>
    <w:rsid w:val="00890F15"/>
    <w:rsid w:val="00891DAD"/>
    <w:rsid w:val="00893ACD"/>
    <w:rsid w:val="00895318"/>
    <w:rsid w:val="00895F30"/>
    <w:rsid w:val="008A0AF1"/>
    <w:rsid w:val="008A2F28"/>
    <w:rsid w:val="008A484D"/>
    <w:rsid w:val="008A4ED9"/>
    <w:rsid w:val="008A5036"/>
    <w:rsid w:val="008A5E36"/>
    <w:rsid w:val="008A749A"/>
    <w:rsid w:val="008A7AF9"/>
    <w:rsid w:val="008B3AFA"/>
    <w:rsid w:val="008B55E5"/>
    <w:rsid w:val="008B5C3A"/>
    <w:rsid w:val="008B6152"/>
    <w:rsid w:val="008B7A38"/>
    <w:rsid w:val="008B7D15"/>
    <w:rsid w:val="008C5931"/>
    <w:rsid w:val="008C6127"/>
    <w:rsid w:val="008D24ED"/>
    <w:rsid w:val="008D3A05"/>
    <w:rsid w:val="008D68C0"/>
    <w:rsid w:val="008D6A9A"/>
    <w:rsid w:val="008D71A1"/>
    <w:rsid w:val="008E067C"/>
    <w:rsid w:val="008E2F5B"/>
    <w:rsid w:val="008E4439"/>
    <w:rsid w:val="008E5BBA"/>
    <w:rsid w:val="008E7677"/>
    <w:rsid w:val="008F0526"/>
    <w:rsid w:val="008F19EB"/>
    <w:rsid w:val="008F3CD9"/>
    <w:rsid w:val="008F4254"/>
    <w:rsid w:val="008F6074"/>
    <w:rsid w:val="008F7E71"/>
    <w:rsid w:val="00903CFA"/>
    <w:rsid w:val="0090461C"/>
    <w:rsid w:val="009056C7"/>
    <w:rsid w:val="009063ED"/>
    <w:rsid w:val="0091243E"/>
    <w:rsid w:val="0091257D"/>
    <w:rsid w:val="009140D6"/>
    <w:rsid w:val="009148CD"/>
    <w:rsid w:val="00914D98"/>
    <w:rsid w:val="009151B8"/>
    <w:rsid w:val="00920255"/>
    <w:rsid w:val="009212EA"/>
    <w:rsid w:val="00923AA7"/>
    <w:rsid w:val="00925197"/>
    <w:rsid w:val="00931410"/>
    <w:rsid w:val="00931DF6"/>
    <w:rsid w:val="009334D8"/>
    <w:rsid w:val="00941321"/>
    <w:rsid w:val="00941E2F"/>
    <w:rsid w:val="00944E08"/>
    <w:rsid w:val="00944E0D"/>
    <w:rsid w:val="00945E27"/>
    <w:rsid w:val="009471FD"/>
    <w:rsid w:val="00951A2B"/>
    <w:rsid w:val="00952967"/>
    <w:rsid w:val="009531A2"/>
    <w:rsid w:val="009560BB"/>
    <w:rsid w:val="00956537"/>
    <w:rsid w:val="0095730C"/>
    <w:rsid w:val="0096003F"/>
    <w:rsid w:val="00963600"/>
    <w:rsid w:val="0096474A"/>
    <w:rsid w:val="009647E5"/>
    <w:rsid w:val="00964F38"/>
    <w:rsid w:val="009651AD"/>
    <w:rsid w:val="00965750"/>
    <w:rsid w:val="00965C70"/>
    <w:rsid w:val="00966072"/>
    <w:rsid w:val="009705E3"/>
    <w:rsid w:val="009709C6"/>
    <w:rsid w:val="009742ED"/>
    <w:rsid w:val="0097587A"/>
    <w:rsid w:val="00980F4F"/>
    <w:rsid w:val="0098250A"/>
    <w:rsid w:val="009833B9"/>
    <w:rsid w:val="009876E8"/>
    <w:rsid w:val="009906B4"/>
    <w:rsid w:val="00993090"/>
    <w:rsid w:val="0099336E"/>
    <w:rsid w:val="00996397"/>
    <w:rsid w:val="009A0B7E"/>
    <w:rsid w:val="009A0D32"/>
    <w:rsid w:val="009A167D"/>
    <w:rsid w:val="009A17AA"/>
    <w:rsid w:val="009A3206"/>
    <w:rsid w:val="009A44A2"/>
    <w:rsid w:val="009B1A4B"/>
    <w:rsid w:val="009B2301"/>
    <w:rsid w:val="009B39F7"/>
    <w:rsid w:val="009B5278"/>
    <w:rsid w:val="009C03C4"/>
    <w:rsid w:val="009C0424"/>
    <w:rsid w:val="009C1593"/>
    <w:rsid w:val="009C16C6"/>
    <w:rsid w:val="009C1C4E"/>
    <w:rsid w:val="009C3DAD"/>
    <w:rsid w:val="009C5997"/>
    <w:rsid w:val="009D0080"/>
    <w:rsid w:val="009D0408"/>
    <w:rsid w:val="009D15AD"/>
    <w:rsid w:val="009D15DE"/>
    <w:rsid w:val="009D40AC"/>
    <w:rsid w:val="009D5C43"/>
    <w:rsid w:val="009D641C"/>
    <w:rsid w:val="009D7014"/>
    <w:rsid w:val="009D70D7"/>
    <w:rsid w:val="009E0127"/>
    <w:rsid w:val="009E20AA"/>
    <w:rsid w:val="009E7FE6"/>
    <w:rsid w:val="009F3B58"/>
    <w:rsid w:val="00A0110C"/>
    <w:rsid w:val="00A06D7D"/>
    <w:rsid w:val="00A07F71"/>
    <w:rsid w:val="00A119F7"/>
    <w:rsid w:val="00A13CDE"/>
    <w:rsid w:val="00A14AD2"/>
    <w:rsid w:val="00A14D35"/>
    <w:rsid w:val="00A15A10"/>
    <w:rsid w:val="00A170BC"/>
    <w:rsid w:val="00A179AB"/>
    <w:rsid w:val="00A20880"/>
    <w:rsid w:val="00A21C31"/>
    <w:rsid w:val="00A22F59"/>
    <w:rsid w:val="00A245C1"/>
    <w:rsid w:val="00A27357"/>
    <w:rsid w:val="00A27CD6"/>
    <w:rsid w:val="00A30F96"/>
    <w:rsid w:val="00A31961"/>
    <w:rsid w:val="00A333D8"/>
    <w:rsid w:val="00A34E37"/>
    <w:rsid w:val="00A376E9"/>
    <w:rsid w:val="00A417FE"/>
    <w:rsid w:val="00A43AD2"/>
    <w:rsid w:val="00A44CDF"/>
    <w:rsid w:val="00A44DF7"/>
    <w:rsid w:val="00A4691D"/>
    <w:rsid w:val="00A46AF9"/>
    <w:rsid w:val="00A5289D"/>
    <w:rsid w:val="00A52C93"/>
    <w:rsid w:val="00A54437"/>
    <w:rsid w:val="00A54DA8"/>
    <w:rsid w:val="00A55829"/>
    <w:rsid w:val="00A60805"/>
    <w:rsid w:val="00A6091F"/>
    <w:rsid w:val="00A62948"/>
    <w:rsid w:val="00A630BF"/>
    <w:rsid w:val="00A63B49"/>
    <w:rsid w:val="00A6544A"/>
    <w:rsid w:val="00A655A8"/>
    <w:rsid w:val="00A66DF3"/>
    <w:rsid w:val="00A67357"/>
    <w:rsid w:val="00A723E1"/>
    <w:rsid w:val="00A72798"/>
    <w:rsid w:val="00A72C4D"/>
    <w:rsid w:val="00A73773"/>
    <w:rsid w:val="00A75F2A"/>
    <w:rsid w:val="00A76374"/>
    <w:rsid w:val="00A83F81"/>
    <w:rsid w:val="00A8592A"/>
    <w:rsid w:val="00A86B57"/>
    <w:rsid w:val="00A877E2"/>
    <w:rsid w:val="00A87D5C"/>
    <w:rsid w:val="00A92082"/>
    <w:rsid w:val="00A94365"/>
    <w:rsid w:val="00A94FBF"/>
    <w:rsid w:val="00A96AB9"/>
    <w:rsid w:val="00AA5D18"/>
    <w:rsid w:val="00AB231E"/>
    <w:rsid w:val="00AB26E3"/>
    <w:rsid w:val="00AB2CCA"/>
    <w:rsid w:val="00AB363D"/>
    <w:rsid w:val="00AB43A7"/>
    <w:rsid w:val="00AB5A1D"/>
    <w:rsid w:val="00AB5FDD"/>
    <w:rsid w:val="00AC01CA"/>
    <w:rsid w:val="00AC5404"/>
    <w:rsid w:val="00AC5CE1"/>
    <w:rsid w:val="00AC64D0"/>
    <w:rsid w:val="00AC6FAD"/>
    <w:rsid w:val="00AC73A4"/>
    <w:rsid w:val="00AD0BB4"/>
    <w:rsid w:val="00AD0CA4"/>
    <w:rsid w:val="00AD39B8"/>
    <w:rsid w:val="00AD5088"/>
    <w:rsid w:val="00AD5886"/>
    <w:rsid w:val="00AD7782"/>
    <w:rsid w:val="00AE1DAA"/>
    <w:rsid w:val="00AE44DE"/>
    <w:rsid w:val="00AE4741"/>
    <w:rsid w:val="00AE4D3E"/>
    <w:rsid w:val="00AF2111"/>
    <w:rsid w:val="00AF40A9"/>
    <w:rsid w:val="00AF49F4"/>
    <w:rsid w:val="00AF7741"/>
    <w:rsid w:val="00B02A3D"/>
    <w:rsid w:val="00B05702"/>
    <w:rsid w:val="00B05881"/>
    <w:rsid w:val="00B10321"/>
    <w:rsid w:val="00B10429"/>
    <w:rsid w:val="00B11995"/>
    <w:rsid w:val="00B12304"/>
    <w:rsid w:val="00B13EFF"/>
    <w:rsid w:val="00B22CAA"/>
    <w:rsid w:val="00B235F1"/>
    <w:rsid w:val="00B2419D"/>
    <w:rsid w:val="00B24608"/>
    <w:rsid w:val="00B276BD"/>
    <w:rsid w:val="00B278AE"/>
    <w:rsid w:val="00B31FEB"/>
    <w:rsid w:val="00B32F90"/>
    <w:rsid w:val="00B342B8"/>
    <w:rsid w:val="00B34398"/>
    <w:rsid w:val="00B347DA"/>
    <w:rsid w:val="00B34C5D"/>
    <w:rsid w:val="00B36CEF"/>
    <w:rsid w:val="00B37507"/>
    <w:rsid w:val="00B40B33"/>
    <w:rsid w:val="00B4125F"/>
    <w:rsid w:val="00B444B3"/>
    <w:rsid w:val="00B510A0"/>
    <w:rsid w:val="00B539C3"/>
    <w:rsid w:val="00B5473C"/>
    <w:rsid w:val="00B548FE"/>
    <w:rsid w:val="00B549D0"/>
    <w:rsid w:val="00B54F97"/>
    <w:rsid w:val="00B56AFE"/>
    <w:rsid w:val="00B60038"/>
    <w:rsid w:val="00B60125"/>
    <w:rsid w:val="00B6064C"/>
    <w:rsid w:val="00B60BB8"/>
    <w:rsid w:val="00B61E62"/>
    <w:rsid w:val="00B62A7C"/>
    <w:rsid w:val="00B636DB"/>
    <w:rsid w:val="00B66D2D"/>
    <w:rsid w:val="00B73731"/>
    <w:rsid w:val="00B73C21"/>
    <w:rsid w:val="00B7468B"/>
    <w:rsid w:val="00B74802"/>
    <w:rsid w:val="00B76C58"/>
    <w:rsid w:val="00B76E5E"/>
    <w:rsid w:val="00B80453"/>
    <w:rsid w:val="00B80E8E"/>
    <w:rsid w:val="00B811C6"/>
    <w:rsid w:val="00B81669"/>
    <w:rsid w:val="00B82FAB"/>
    <w:rsid w:val="00B83CE1"/>
    <w:rsid w:val="00B90330"/>
    <w:rsid w:val="00B92FA1"/>
    <w:rsid w:val="00B95711"/>
    <w:rsid w:val="00B95D44"/>
    <w:rsid w:val="00B95FE0"/>
    <w:rsid w:val="00B97D6E"/>
    <w:rsid w:val="00BA06DF"/>
    <w:rsid w:val="00BA2ACF"/>
    <w:rsid w:val="00BA2DB4"/>
    <w:rsid w:val="00BA30BC"/>
    <w:rsid w:val="00BA51A9"/>
    <w:rsid w:val="00BA6233"/>
    <w:rsid w:val="00BA77A6"/>
    <w:rsid w:val="00BB07E8"/>
    <w:rsid w:val="00BB1274"/>
    <w:rsid w:val="00BB2158"/>
    <w:rsid w:val="00BB474F"/>
    <w:rsid w:val="00BC1B40"/>
    <w:rsid w:val="00BC2F25"/>
    <w:rsid w:val="00BC473E"/>
    <w:rsid w:val="00BC532B"/>
    <w:rsid w:val="00BC6EA4"/>
    <w:rsid w:val="00BC7A35"/>
    <w:rsid w:val="00BD1125"/>
    <w:rsid w:val="00BD5E5B"/>
    <w:rsid w:val="00BD7902"/>
    <w:rsid w:val="00BE0673"/>
    <w:rsid w:val="00BE19D4"/>
    <w:rsid w:val="00BE1C2A"/>
    <w:rsid w:val="00BE292A"/>
    <w:rsid w:val="00BE4153"/>
    <w:rsid w:val="00BE52AB"/>
    <w:rsid w:val="00BE5B95"/>
    <w:rsid w:val="00BE5CE5"/>
    <w:rsid w:val="00BE7D3A"/>
    <w:rsid w:val="00BF0EB8"/>
    <w:rsid w:val="00BF3082"/>
    <w:rsid w:val="00BF3A02"/>
    <w:rsid w:val="00BF56A6"/>
    <w:rsid w:val="00BF5C52"/>
    <w:rsid w:val="00C01BF2"/>
    <w:rsid w:val="00C02391"/>
    <w:rsid w:val="00C0315F"/>
    <w:rsid w:val="00C05BC5"/>
    <w:rsid w:val="00C0688D"/>
    <w:rsid w:val="00C07C69"/>
    <w:rsid w:val="00C10A19"/>
    <w:rsid w:val="00C11AC6"/>
    <w:rsid w:val="00C121B6"/>
    <w:rsid w:val="00C1234D"/>
    <w:rsid w:val="00C136AB"/>
    <w:rsid w:val="00C13DFD"/>
    <w:rsid w:val="00C14DAC"/>
    <w:rsid w:val="00C152FE"/>
    <w:rsid w:val="00C15772"/>
    <w:rsid w:val="00C16CC9"/>
    <w:rsid w:val="00C1722E"/>
    <w:rsid w:val="00C264B5"/>
    <w:rsid w:val="00C26570"/>
    <w:rsid w:val="00C26959"/>
    <w:rsid w:val="00C27242"/>
    <w:rsid w:val="00C31E97"/>
    <w:rsid w:val="00C32454"/>
    <w:rsid w:val="00C33426"/>
    <w:rsid w:val="00C33A6A"/>
    <w:rsid w:val="00C33D74"/>
    <w:rsid w:val="00C3797B"/>
    <w:rsid w:val="00C44444"/>
    <w:rsid w:val="00C45764"/>
    <w:rsid w:val="00C4650E"/>
    <w:rsid w:val="00C46FFF"/>
    <w:rsid w:val="00C5013B"/>
    <w:rsid w:val="00C50E55"/>
    <w:rsid w:val="00C51F54"/>
    <w:rsid w:val="00C52192"/>
    <w:rsid w:val="00C55F42"/>
    <w:rsid w:val="00C567EF"/>
    <w:rsid w:val="00C573EA"/>
    <w:rsid w:val="00C642B6"/>
    <w:rsid w:val="00C65DE9"/>
    <w:rsid w:val="00C66209"/>
    <w:rsid w:val="00C66C8B"/>
    <w:rsid w:val="00C67EB0"/>
    <w:rsid w:val="00C70A20"/>
    <w:rsid w:val="00C71B1C"/>
    <w:rsid w:val="00C7290E"/>
    <w:rsid w:val="00C729B9"/>
    <w:rsid w:val="00C736FD"/>
    <w:rsid w:val="00C74523"/>
    <w:rsid w:val="00C74E4A"/>
    <w:rsid w:val="00C75135"/>
    <w:rsid w:val="00C75942"/>
    <w:rsid w:val="00C76D3A"/>
    <w:rsid w:val="00C83B0A"/>
    <w:rsid w:val="00C83DD6"/>
    <w:rsid w:val="00C8778B"/>
    <w:rsid w:val="00C906D2"/>
    <w:rsid w:val="00C92086"/>
    <w:rsid w:val="00C94C7A"/>
    <w:rsid w:val="00C960F4"/>
    <w:rsid w:val="00C96D84"/>
    <w:rsid w:val="00C974F2"/>
    <w:rsid w:val="00C97DFC"/>
    <w:rsid w:val="00CA0223"/>
    <w:rsid w:val="00CA3D29"/>
    <w:rsid w:val="00CA465F"/>
    <w:rsid w:val="00CA60E3"/>
    <w:rsid w:val="00CA61C4"/>
    <w:rsid w:val="00CA6429"/>
    <w:rsid w:val="00CA6BAF"/>
    <w:rsid w:val="00CA7F81"/>
    <w:rsid w:val="00CB23C1"/>
    <w:rsid w:val="00CB529F"/>
    <w:rsid w:val="00CB6AFA"/>
    <w:rsid w:val="00CB6E11"/>
    <w:rsid w:val="00CC0DA0"/>
    <w:rsid w:val="00CC139D"/>
    <w:rsid w:val="00CC1535"/>
    <w:rsid w:val="00CC2318"/>
    <w:rsid w:val="00CC278A"/>
    <w:rsid w:val="00CC3D86"/>
    <w:rsid w:val="00CC4B38"/>
    <w:rsid w:val="00CC5A05"/>
    <w:rsid w:val="00CD0587"/>
    <w:rsid w:val="00CD0ABE"/>
    <w:rsid w:val="00CD25D4"/>
    <w:rsid w:val="00CD27A2"/>
    <w:rsid w:val="00CD2A53"/>
    <w:rsid w:val="00CD3333"/>
    <w:rsid w:val="00CD44E8"/>
    <w:rsid w:val="00CE0F73"/>
    <w:rsid w:val="00CE13D1"/>
    <w:rsid w:val="00CE265E"/>
    <w:rsid w:val="00CE3233"/>
    <w:rsid w:val="00CE35A5"/>
    <w:rsid w:val="00CE41E4"/>
    <w:rsid w:val="00CE423B"/>
    <w:rsid w:val="00CE64FB"/>
    <w:rsid w:val="00CE6F6D"/>
    <w:rsid w:val="00CF0036"/>
    <w:rsid w:val="00CF0CAA"/>
    <w:rsid w:val="00CF15AC"/>
    <w:rsid w:val="00CF1AEF"/>
    <w:rsid w:val="00CF32A2"/>
    <w:rsid w:val="00CF417E"/>
    <w:rsid w:val="00CF4517"/>
    <w:rsid w:val="00CF6125"/>
    <w:rsid w:val="00D05C84"/>
    <w:rsid w:val="00D07F2E"/>
    <w:rsid w:val="00D103B2"/>
    <w:rsid w:val="00D12BD3"/>
    <w:rsid w:val="00D1354C"/>
    <w:rsid w:val="00D13D33"/>
    <w:rsid w:val="00D161D7"/>
    <w:rsid w:val="00D175D5"/>
    <w:rsid w:val="00D21B18"/>
    <w:rsid w:val="00D24D7A"/>
    <w:rsid w:val="00D24E2D"/>
    <w:rsid w:val="00D30034"/>
    <w:rsid w:val="00D32FE3"/>
    <w:rsid w:val="00D3401A"/>
    <w:rsid w:val="00D35E0F"/>
    <w:rsid w:val="00D3616B"/>
    <w:rsid w:val="00D375E3"/>
    <w:rsid w:val="00D415A9"/>
    <w:rsid w:val="00D42CF6"/>
    <w:rsid w:val="00D44299"/>
    <w:rsid w:val="00D44591"/>
    <w:rsid w:val="00D4553A"/>
    <w:rsid w:val="00D459FA"/>
    <w:rsid w:val="00D46785"/>
    <w:rsid w:val="00D473D8"/>
    <w:rsid w:val="00D5255E"/>
    <w:rsid w:val="00D54E0A"/>
    <w:rsid w:val="00D556BB"/>
    <w:rsid w:val="00D559F7"/>
    <w:rsid w:val="00D61BC0"/>
    <w:rsid w:val="00D627D5"/>
    <w:rsid w:val="00D6338B"/>
    <w:rsid w:val="00D633DE"/>
    <w:rsid w:val="00D642B4"/>
    <w:rsid w:val="00D6468E"/>
    <w:rsid w:val="00D70908"/>
    <w:rsid w:val="00D7224C"/>
    <w:rsid w:val="00D7309E"/>
    <w:rsid w:val="00D74FF3"/>
    <w:rsid w:val="00D75182"/>
    <w:rsid w:val="00D757DE"/>
    <w:rsid w:val="00D7619F"/>
    <w:rsid w:val="00D76245"/>
    <w:rsid w:val="00D81469"/>
    <w:rsid w:val="00D817E7"/>
    <w:rsid w:val="00D81DD1"/>
    <w:rsid w:val="00D820AE"/>
    <w:rsid w:val="00D826FA"/>
    <w:rsid w:val="00D82879"/>
    <w:rsid w:val="00D8349C"/>
    <w:rsid w:val="00D86887"/>
    <w:rsid w:val="00D93E16"/>
    <w:rsid w:val="00D949EC"/>
    <w:rsid w:val="00D95215"/>
    <w:rsid w:val="00D97AF5"/>
    <w:rsid w:val="00DA1672"/>
    <w:rsid w:val="00DA2723"/>
    <w:rsid w:val="00DA2FCB"/>
    <w:rsid w:val="00DA4D2A"/>
    <w:rsid w:val="00DA69B6"/>
    <w:rsid w:val="00DA6A9F"/>
    <w:rsid w:val="00DA6D3C"/>
    <w:rsid w:val="00DA7A62"/>
    <w:rsid w:val="00DB01A4"/>
    <w:rsid w:val="00DB1CB2"/>
    <w:rsid w:val="00DB248F"/>
    <w:rsid w:val="00DB3713"/>
    <w:rsid w:val="00DB68D0"/>
    <w:rsid w:val="00DB7CF9"/>
    <w:rsid w:val="00DC0C3F"/>
    <w:rsid w:val="00DC4CDC"/>
    <w:rsid w:val="00DC4ED8"/>
    <w:rsid w:val="00DC565D"/>
    <w:rsid w:val="00DC576F"/>
    <w:rsid w:val="00DC6A17"/>
    <w:rsid w:val="00DC6CDA"/>
    <w:rsid w:val="00DD05CC"/>
    <w:rsid w:val="00DD0769"/>
    <w:rsid w:val="00DD1EA5"/>
    <w:rsid w:val="00DD20FD"/>
    <w:rsid w:val="00DD2659"/>
    <w:rsid w:val="00DD2EEA"/>
    <w:rsid w:val="00DD3B09"/>
    <w:rsid w:val="00DD453F"/>
    <w:rsid w:val="00DD51B0"/>
    <w:rsid w:val="00DD6BA2"/>
    <w:rsid w:val="00DE144D"/>
    <w:rsid w:val="00DE28D9"/>
    <w:rsid w:val="00DE2D7C"/>
    <w:rsid w:val="00DE2F7F"/>
    <w:rsid w:val="00DE4CE7"/>
    <w:rsid w:val="00DE65BA"/>
    <w:rsid w:val="00DE7F8C"/>
    <w:rsid w:val="00DF148D"/>
    <w:rsid w:val="00DF44F2"/>
    <w:rsid w:val="00DF5601"/>
    <w:rsid w:val="00DF62D5"/>
    <w:rsid w:val="00DF7684"/>
    <w:rsid w:val="00E0103A"/>
    <w:rsid w:val="00E01A33"/>
    <w:rsid w:val="00E04489"/>
    <w:rsid w:val="00E04545"/>
    <w:rsid w:val="00E04F2D"/>
    <w:rsid w:val="00E056A7"/>
    <w:rsid w:val="00E05EC4"/>
    <w:rsid w:val="00E069E6"/>
    <w:rsid w:val="00E10673"/>
    <w:rsid w:val="00E1076D"/>
    <w:rsid w:val="00E125A4"/>
    <w:rsid w:val="00E12BA8"/>
    <w:rsid w:val="00E137C9"/>
    <w:rsid w:val="00E14F3B"/>
    <w:rsid w:val="00E1515D"/>
    <w:rsid w:val="00E16D01"/>
    <w:rsid w:val="00E17419"/>
    <w:rsid w:val="00E2014C"/>
    <w:rsid w:val="00E20490"/>
    <w:rsid w:val="00E2218D"/>
    <w:rsid w:val="00E226B1"/>
    <w:rsid w:val="00E25EF1"/>
    <w:rsid w:val="00E3035A"/>
    <w:rsid w:val="00E30870"/>
    <w:rsid w:val="00E3135B"/>
    <w:rsid w:val="00E31A6D"/>
    <w:rsid w:val="00E35D84"/>
    <w:rsid w:val="00E36EF6"/>
    <w:rsid w:val="00E41775"/>
    <w:rsid w:val="00E44ED8"/>
    <w:rsid w:val="00E465C1"/>
    <w:rsid w:val="00E478EB"/>
    <w:rsid w:val="00E540EF"/>
    <w:rsid w:val="00E54A6F"/>
    <w:rsid w:val="00E5797D"/>
    <w:rsid w:val="00E60610"/>
    <w:rsid w:val="00E625C4"/>
    <w:rsid w:val="00E6430A"/>
    <w:rsid w:val="00E64D6A"/>
    <w:rsid w:val="00E6566A"/>
    <w:rsid w:val="00E658E7"/>
    <w:rsid w:val="00E661DC"/>
    <w:rsid w:val="00E6667D"/>
    <w:rsid w:val="00E666C5"/>
    <w:rsid w:val="00E66C6E"/>
    <w:rsid w:val="00E671BA"/>
    <w:rsid w:val="00E70C96"/>
    <w:rsid w:val="00E72875"/>
    <w:rsid w:val="00E81749"/>
    <w:rsid w:val="00E81F04"/>
    <w:rsid w:val="00E8579F"/>
    <w:rsid w:val="00E8620A"/>
    <w:rsid w:val="00E877C1"/>
    <w:rsid w:val="00E901CD"/>
    <w:rsid w:val="00E90A1E"/>
    <w:rsid w:val="00E921B5"/>
    <w:rsid w:val="00E9332D"/>
    <w:rsid w:val="00E94FF7"/>
    <w:rsid w:val="00E9526C"/>
    <w:rsid w:val="00E97E35"/>
    <w:rsid w:val="00EA2BAB"/>
    <w:rsid w:val="00EA4C47"/>
    <w:rsid w:val="00EA78A2"/>
    <w:rsid w:val="00EA79B4"/>
    <w:rsid w:val="00EA7C8E"/>
    <w:rsid w:val="00EB041B"/>
    <w:rsid w:val="00EB19D8"/>
    <w:rsid w:val="00EB35E7"/>
    <w:rsid w:val="00EB3A1E"/>
    <w:rsid w:val="00EB3FCF"/>
    <w:rsid w:val="00EB56D8"/>
    <w:rsid w:val="00EB7E64"/>
    <w:rsid w:val="00EC2D96"/>
    <w:rsid w:val="00EC348C"/>
    <w:rsid w:val="00EC3C54"/>
    <w:rsid w:val="00EC54CB"/>
    <w:rsid w:val="00EC72DC"/>
    <w:rsid w:val="00EC7586"/>
    <w:rsid w:val="00ED0202"/>
    <w:rsid w:val="00ED2C40"/>
    <w:rsid w:val="00ED545E"/>
    <w:rsid w:val="00ED7295"/>
    <w:rsid w:val="00EE29CD"/>
    <w:rsid w:val="00EF155C"/>
    <w:rsid w:val="00EF47A1"/>
    <w:rsid w:val="00F021AB"/>
    <w:rsid w:val="00F02896"/>
    <w:rsid w:val="00F02A89"/>
    <w:rsid w:val="00F0359B"/>
    <w:rsid w:val="00F03A8C"/>
    <w:rsid w:val="00F071D4"/>
    <w:rsid w:val="00F1185C"/>
    <w:rsid w:val="00F1274D"/>
    <w:rsid w:val="00F14979"/>
    <w:rsid w:val="00F155E9"/>
    <w:rsid w:val="00F16404"/>
    <w:rsid w:val="00F16C5D"/>
    <w:rsid w:val="00F21013"/>
    <w:rsid w:val="00F24BCE"/>
    <w:rsid w:val="00F26C78"/>
    <w:rsid w:val="00F2748A"/>
    <w:rsid w:val="00F31976"/>
    <w:rsid w:val="00F31CEF"/>
    <w:rsid w:val="00F36BE9"/>
    <w:rsid w:val="00F3751B"/>
    <w:rsid w:val="00F40AF1"/>
    <w:rsid w:val="00F41CB1"/>
    <w:rsid w:val="00F4268E"/>
    <w:rsid w:val="00F428A5"/>
    <w:rsid w:val="00F42ACC"/>
    <w:rsid w:val="00F46751"/>
    <w:rsid w:val="00F47047"/>
    <w:rsid w:val="00F47AB7"/>
    <w:rsid w:val="00F501B8"/>
    <w:rsid w:val="00F50873"/>
    <w:rsid w:val="00F511C4"/>
    <w:rsid w:val="00F512B7"/>
    <w:rsid w:val="00F52C1C"/>
    <w:rsid w:val="00F530E8"/>
    <w:rsid w:val="00F53E77"/>
    <w:rsid w:val="00F5568B"/>
    <w:rsid w:val="00F560F6"/>
    <w:rsid w:val="00F61552"/>
    <w:rsid w:val="00F627B7"/>
    <w:rsid w:val="00F6655A"/>
    <w:rsid w:val="00F70A5C"/>
    <w:rsid w:val="00F734DD"/>
    <w:rsid w:val="00F74AE9"/>
    <w:rsid w:val="00F81FA4"/>
    <w:rsid w:val="00F87000"/>
    <w:rsid w:val="00F87ABC"/>
    <w:rsid w:val="00F906B9"/>
    <w:rsid w:val="00F9216B"/>
    <w:rsid w:val="00F92706"/>
    <w:rsid w:val="00F93FC0"/>
    <w:rsid w:val="00F947E3"/>
    <w:rsid w:val="00F95A11"/>
    <w:rsid w:val="00F95BF7"/>
    <w:rsid w:val="00FA0BE9"/>
    <w:rsid w:val="00FA0E1E"/>
    <w:rsid w:val="00FA2643"/>
    <w:rsid w:val="00FA2886"/>
    <w:rsid w:val="00FA4951"/>
    <w:rsid w:val="00FA6408"/>
    <w:rsid w:val="00FC0887"/>
    <w:rsid w:val="00FC254C"/>
    <w:rsid w:val="00FC2CD7"/>
    <w:rsid w:val="00FC42C6"/>
    <w:rsid w:val="00FC460F"/>
    <w:rsid w:val="00FD058E"/>
    <w:rsid w:val="00FD3720"/>
    <w:rsid w:val="00FD3A34"/>
    <w:rsid w:val="00FD7CD7"/>
    <w:rsid w:val="00FE01A2"/>
    <w:rsid w:val="00FE11A3"/>
    <w:rsid w:val="00FE17EB"/>
    <w:rsid w:val="00FE1F0F"/>
    <w:rsid w:val="00FE2294"/>
    <w:rsid w:val="00FE4269"/>
    <w:rsid w:val="00FE778A"/>
    <w:rsid w:val="00FF4245"/>
    <w:rsid w:val="00FF450F"/>
    <w:rsid w:val="00FF6F88"/>
    <w:rsid w:val="00FF7E17"/>
    <w:rsid w:val="015D05B3"/>
    <w:rsid w:val="029767A6"/>
    <w:rsid w:val="031F0039"/>
    <w:rsid w:val="04397548"/>
    <w:rsid w:val="04436472"/>
    <w:rsid w:val="04A32788"/>
    <w:rsid w:val="059732EA"/>
    <w:rsid w:val="06A36911"/>
    <w:rsid w:val="07D449CE"/>
    <w:rsid w:val="080B38D3"/>
    <w:rsid w:val="089B628C"/>
    <w:rsid w:val="08C11029"/>
    <w:rsid w:val="094469B9"/>
    <w:rsid w:val="09615308"/>
    <w:rsid w:val="09D930BE"/>
    <w:rsid w:val="0A3350CA"/>
    <w:rsid w:val="0A48240A"/>
    <w:rsid w:val="0A512EB1"/>
    <w:rsid w:val="0AA45F9D"/>
    <w:rsid w:val="0B1C2BAC"/>
    <w:rsid w:val="0B4725C9"/>
    <w:rsid w:val="0BE96247"/>
    <w:rsid w:val="0BF8456E"/>
    <w:rsid w:val="0D0D7153"/>
    <w:rsid w:val="0D3A2E80"/>
    <w:rsid w:val="0D985BC8"/>
    <w:rsid w:val="0E69005F"/>
    <w:rsid w:val="0EA05744"/>
    <w:rsid w:val="0EA2225E"/>
    <w:rsid w:val="0EB95893"/>
    <w:rsid w:val="0F671182"/>
    <w:rsid w:val="0F935EC1"/>
    <w:rsid w:val="0FAD2469"/>
    <w:rsid w:val="0FFD6AD8"/>
    <w:rsid w:val="101142C0"/>
    <w:rsid w:val="116715AE"/>
    <w:rsid w:val="119C142F"/>
    <w:rsid w:val="12A559A2"/>
    <w:rsid w:val="12E8723D"/>
    <w:rsid w:val="13542072"/>
    <w:rsid w:val="13D645ED"/>
    <w:rsid w:val="141C7779"/>
    <w:rsid w:val="144A676A"/>
    <w:rsid w:val="152754B3"/>
    <w:rsid w:val="15E76477"/>
    <w:rsid w:val="16146177"/>
    <w:rsid w:val="171C5520"/>
    <w:rsid w:val="173E7958"/>
    <w:rsid w:val="17C055B4"/>
    <w:rsid w:val="17F40D37"/>
    <w:rsid w:val="18171012"/>
    <w:rsid w:val="181A4457"/>
    <w:rsid w:val="189A437F"/>
    <w:rsid w:val="1A0568A3"/>
    <w:rsid w:val="1AE16BCF"/>
    <w:rsid w:val="1B753850"/>
    <w:rsid w:val="1B8C2293"/>
    <w:rsid w:val="1C4D2DFC"/>
    <w:rsid w:val="1C951951"/>
    <w:rsid w:val="1D0425D8"/>
    <w:rsid w:val="1D052F51"/>
    <w:rsid w:val="1D0779BE"/>
    <w:rsid w:val="1DB72B0B"/>
    <w:rsid w:val="1DC71961"/>
    <w:rsid w:val="1DDC6C86"/>
    <w:rsid w:val="1E1E6BC6"/>
    <w:rsid w:val="1F316D5B"/>
    <w:rsid w:val="20BB2B7C"/>
    <w:rsid w:val="20EA6E3D"/>
    <w:rsid w:val="21372465"/>
    <w:rsid w:val="219C520C"/>
    <w:rsid w:val="21C609C5"/>
    <w:rsid w:val="22246AF2"/>
    <w:rsid w:val="229B62C2"/>
    <w:rsid w:val="22BE27BA"/>
    <w:rsid w:val="234A5F41"/>
    <w:rsid w:val="24003BEF"/>
    <w:rsid w:val="24930343"/>
    <w:rsid w:val="24960B5B"/>
    <w:rsid w:val="24C73A9E"/>
    <w:rsid w:val="24CB40B8"/>
    <w:rsid w:val="250C5494"/>
    <w:rsid w:val="25972DFB"/>
    <w:rsid w:val="25AA3574"/>
    <w:rsid w:val="26C9274E"/>
    <w:rsid w:val="27617356"/>
    <w:rsid w:val="27BE5BFE"/>
    <w:rsid w:val="27CC3C36"/>
    <w:rsid w:val="2853300E"/>
    <w:rsid w:val="287247CE"/>
    <w:rsid w:val="28983BA0"/>
    <w:rsid w:val="28A1407E"/>
    <w:rsid w:val="28D008FA"/>
    <w:rsid w:val="290D04B3"/>
    <w:rsid w:val="291D7D7D"/>
    <w:rsid w:val="2A0925EB"/>
    <w:rsid w:val="2A4371CD"/>
    <w:rsid w:val="2A7E635E"/>
    <w:rsid w:val="2A867674"/>
    <w:rsid w:val="2A8D5EEE"/>
    <w:rsid w:val="2AED5EB5"/>
    <w:rsid w:val="2B6C27BD"/>
    <w:rsid w:val="2C4D2E3A"/>
    <w:rsid w:val="2C5D1AC1"/>
    <w:rsid w:val="2CDA12C1"/>
    <w:rsid w:val="2D226770"/>
    <w:rsid w:val="2D9C6103"/>
    <w:rsid w:val="2DE563E2"/>
    <w:rsid w:val="2E633C26"/>
    <w:rsid w:val="2E895C80"/>
    <w:rsid w:val="2EB5661A"/>
    <w:rsid w:val="2EB8130A"/>
    <w:rsid w:val="2EEF48FB"/>
    <w:rsid w:val="2F216169"/>
    <w:rsid w:val="2F282280"/>
    <w:rsid w:val="2F3D61FC"/>
    <w:rsid w:val="2F4D5564"/>
    <w:rsid w:val="2F7F51B2"/>
    <w:rsid w:val="2FD56D38"/>
    <w:rsid w:val="2FED2E04"/>
    <w:rsid w:val="307C6FCF"/>
    <w:rsid w:val="30F55009"/>
    <w:rsid w:val="310740D4"/>
    <w:rsid w:val="329569C6"/>
    <w:rsid w:val="330C4F21"/>
    <w:rsid w:val="33267F6D"/>
    <w:rsid w:val="33387208"/>
    <w:rsid w:val="345508BD"/>
    <w:rsid w:val="34704D8D"/>
    <w:rsid w:val="35906E2F"/>
    <w:rsid w:val="366909B3"/>
    <w:rsid w:val="367B2874"/>
    <w:rsid w:val="37621D81"/>
    <w:rsid w:val="37AF0894"/>
    <w:rsid w:val="387065BE"/>
    <w:rsid w:val="39041841"/>
    <w:rsid w:val="39337F74"/>
    <w:rsid w:val="3A6F2F8E"/>
    <w:rsid w:val="3A9922C2"/>
    <w:rsid w:val="3AE62866"/>
    <w:rsid w:val="3B287E0E"/>
    <w:rsid w:val="3B3A47A1"/>
    <w:rsid w:val="3B811356"/>
    <w:rsid w:val="3B8D24AA"/>
    <w:rsid w:val="3BBC357E"/>
    <w:rsid w:val="3BEE24AD"/>
    <w:rsid w:val="3BFB7C9F"/>
    <w:rsid w:val="3C546F8B"/>
    <w:rsid w:val="3E1C107E"/>
    <w:rsid w:val="3E6A1B00"/>
    <w:rsid w:val="3F0D4E6A"/>
    <w:rsid w:val="3F3A4926"/>
    <w:rsid w:val="3FDB798F"/>
    <w:rsid w:val="41E354C2"/>
    <w:rsid w:val="426541C1"/>
    <w:rsid w:val="42A514C4"/>
    <w:rsid w:val="42B876E1"/>
    <w:rsid w:val="42FE1131"/>
    <w:rsid w:val="43087A90"/>
    <w:rsid w:val="438B2675"/>
    <w:rsid w:val="438E1FE6"/>
    <w:rsid w:val="44107566"/>
    <w:rsid w:val="44905386"/>
    <w:rsid w:val="45BE52AA"/>
    <w:rsid w:val="46BD3224"/>
    <w:rsid w:val="47050AE9"/>
    <w:rsid w:val="47A43DE3"/>
    <w:rsid w:val="481B290A"/>
    <w:rsid w:val="48390A7E"/>
    <w:rsid w:val="48771703"/>
    <w:rsid w:val="495F65F9"/>
    <w:rsid w:val="49D0335E"/>
    <w:rsid w:val="4A7356C1"/>
    <w:rsid w:val="4ADB14BB"/>
    <w:rsid w:val="4C15499A"/>
    <w:rsid w:val="4C3105DC"/>
    <w:rsid w:val="4C9F13C1"/>
    <w:rsid w:val="4CE161C5"/>
    <w:rsid w:val="4CF53AEF"/>
    <w:rsid w:val="4D1D07D6"/>
    <w:rsid w:val="4DF4769B"/>
    <w:rsid w:val="4DFC4A28"/>
    <w:rsid w:val="4F244D0C"/>
    <w:rsid w:val="4F3452C1"/>
    <w:rsid w:val="4FA87383"/>
    <w:rsid w:val="51206E01"/>
    <w:rsid w:val="516E225A"/>
    <w:rsid w:val="51794CFC"/>
    <w:rsid w:val="51F7038E"/>
    <w:rsid w:val="531714EC"/>
    <w:rsid w:val="533D34E6"/>
    <w:rsid w:val="555D74DF"/>
    <w:rsid w:val="557168A1"/>
    <w:rsid w:val="55AC7B02"/>
    <w:rsid w:val="564C54F5"/>
    <w:rsid w:val="56FD3434"/>
    <w:rsid w:val="57AC2086"/>
    <w:rsid w:val="5844200F"/>
    <w:rsid w:val="58727938"/>
    <w:rsid w:val="5A585BA5"/>
    <w:rsid w:val="5AFE1D8F"/>
    <w:rsid w:val="5B2766D0"/>
    <w:rsid w:val="5BAB345A"/>
    <w:rsid w:val="5BFD2794"/>
    <w:rsid w:val="5C603F5E"/>
    <w:rsid w:val="5CB56DC2"/>
    <w:rsid w:val="5D5A63DB"/>
    <w:rsid w:val="5D983F46"/>
    <w:rsid w:val="5D9F1A5B"/>
    <w:rsid w:val="5DBD65D8"/>
    <w:rsid w:val="5E6B530E"/>
    <w:rsid w:val="5E85455B"/>
    <w:rsid w:val="5EF26719"/>
    <w:rsid w:val="5FD0741A"/>
    <w:rsid w:val="604854CA"/>
    <w:rsid w:val="60603E4A"/>
    <w:rsid w:val="61924EAF"/>
    <w:rsid w:val="61D9660B"/>
    <w:rsid w:val="628E626F"/>
    <w:rsid w:val="62F562CD"/>
    <w:rsid w:val="630319B0"/>
    <w:rsid w:val="636B6B50"/>
    <w:rsid w:val="642F4DB7"/>
    <w:rsid w:val="649015CE"/>
    <w:rsid w:val="649B0945"/>
    <w:rsid w:val="65950BD9"/>
    <w:rsid w:val="66094F62"/>
    <w:rsid w:val="667C4B0C"/>
    <w:rsid w:val="66AC1012"/>
    <w:rsid w:val="66E12C2A"/>
    <w:rsid w:val="671421E5"/>
    <w:rsid w:val="6715762F"/>
    <w:rsid w:val="672D5384"/>
    <w:rsid w:val="67B13D35"/>
    <w:rsid w:val="67CC5551"/>
    <w:rsid w:val="67EA26CB"/>
    <w:rsid w:val="68402631"/>
    <w:rsid w:val="68A56255"/>
    <w:rsid w:val="692405FE"/>
    <w:rsid w:val="6A2829D5"/>
    <w:rsid w:val="6A624A85"/>
    <w:rsid w:val="6A6C4A7A"/>
    <w:rsid w:val="6BCE3A0D"/>
    <w:rsid w:val="6C676DE4"/>
    <w:rsid w:val="6C693616"/>
    <w:rsid w:val="6C9A54BC"/>
    <w:rsid w:val="6CD933D2"/>
    <w:rsid w:val="6D2336E5"/>
    <w:rsid w:val="6D7102A3"/>
    <w:rsid w:val="6EEC2407"/>
    <w:rsid w:val="6F3C151E"/>
    <w:rsid w:val="6F554B4F"/>
    <w:rsid w:val="6FEC66FE"/>
    <w:rsid w:val="700576C6"/>
    <w:rsid w:val="71C92825"/>
    <w:rsid w:val="725B6C4F"/>
    <w:rsid w:val="72686D66"/>
    <w:rsid w:val="728F7049"/>
    <w:rsid w:val="72BF4AFE"/>
    <w:rsid w:val="72C9287B"/>
    <w:rsid w:val="73FF10C0"/>
    <w:rsid w:val="752F3A00"/>
    <w:rsid w:val="764D1B7C"/>
    <w:rsid w:val="76DD133E"/>
    <w:rsid w:val="77783095"/>
    <w:rsid w:val="779E42D6"/>
    <w:rsid w:val="789F1572"/>
    <w:rsid w:val="78CE7780"/>
    <w:rsid w:val="79570BE0"/>
    <w:rsid w:val="79E82CD7"/>
    <w:rsid w:val="7A4548C5"/>
    <w:rsid w:val="7A9121CF"/>
    <w:rsid w:val="7A9467B6"/>
    <w:rsid w:val="7BFC0CEF"/>
    <w:rsid w:val="7CB46147"/>
    <w:rsid w:val="7D6372BA"/>
    <w:rsid w:val="7DFA25B5"/>
    <w:rsid w:val="7E01328B"/>
    <w:rsid w:val="7E5C3F6D"/>
    <w:rsid w:val="7FCF36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6"/>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68"/>
    <w:qFormat/>
    <w:uiPriority w:val="0"/>
    <w:pPr>
      <w:keepNext/>
      <w:keepLines/>
      <w:spacing w:before="260" w:after="260" w:line="415" w:lineRule="auto"/>
      <w:outlineLvl w:val="2"/>
    </w:pPr>
    <w:rPr>
      <w:b/>
      <w:bCs/>
      <w:sz w:val="32"/>
      <w:szCs w:val="32"/>
    </w:rPr>
  </w:style>
  <w:style w:type="paragraph" w:styleId="6">
    <w:name w:val="heading 4"/>
    <w:basedOn w:val="1"/>
    <w:next w:val="1"/>
    <w:link w:val="99"/>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70"/>
    <w:qFormat/>
    <w:uiPriority w:val="0"/>
    <w:pPr>
      <w:keepNext/>
      <w:keepLines/>
      <w:spacing w:before="280" w:after="290" w:line="374" w:lineRule="auto"/>
      <w:outlineLvl w:val="4"/>
    </w:pPr>
    <w:rPr>
      <w:b/>
      <w:bCs/>
      <w:sz w:val="28"/>
      <w:szCs w:val="28"/>
    </w:rPr>
  </w:style>
  <w:style w:type="paragraph" w:styleId="8">
    <w:name w:val="heading 6"/>
    <w:basedOn w:val="1"/>
    <w:next w:val="9"/>
    <w:link w:val="100"/>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9"/>
    <w:link w:val="101"/>
    <w:qFormat/>
    <w:uiPriority w:val="0"/>
    <w:pPr>
      <w:keepNext/>
      <w:keepLines/>
      <w:numPr>
        <w:ilvl w:val="6"/>
        <w:numId w:val="1"/>
      </w:numPr>
      <w:spacing w:before="240" w:after="64" w:line="320" w:lineRule="auto"/>
      <w:outlineLvl w:val="6"/>
    </w:pPr>
    <w:rPr>
      <w:b/>
      <w:sz w:val="24"/>
    </w:rPr>
  </w:style>
  <w:style w:type="paragraph" w:styleId="11">
    <w:name w:val="heading 8"/>
    <w:basedOn w:val="1"/>
    <w:next w:val="9"/>
    <w:link w:val="10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9"/>
    <w:link w:val="103"/>
    <w:qFormat/>
    <w:uiPriority w:val="0"/>
    <w:pPr>
      <w:keepNext/>
      <w:keepLines/>
      <w:numPr>
        <w:ilvl w:val="8"/>
        <w:numId w:val="1"/>
      </w:numPr>
      <w:spacing w:before="240" w:after="64" w:line="320"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0"/>
    <w:pPr>
      <w:spacing w:line="380" w:lineRule="exact"/>
    </w:pPr>
    <w:rPr>
      <w:sz w:val="24"/>
    </w:rPr>
  </w:style>
  <w:style w:type="paragraph" w:styleId="9">
    <w:name w:val="Normal Indent"/>
    <w:basedOn w:val="1"/>
    <w:link w:val="69"/>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semiHidden/>
    <w:qFormat/>
    <w:uiPriority w:val="0"/>
    <w:pPr>
      <w:tabs>
        <w:tab w:val="right" w:leader="dot" w:pos="9185"/>
      </w:tabs>
      <w:adjustRightInd w:val="0"/>
      <w:spacing w:line="312" w:lineRule="atLeast"/>
      <w:ind w:left="2520"/>
      <w:textAlignment w:val="baseline"/>
    </w:pPr>
    <w:rPr>
      <w:kern w:val="0"/>
      <w:szCs w:val="20"/>
    </w:rPr>
  </w:style>
  <w:style w:type="paragraph" w:styleId="15">
    <w:name w:val="index 8"/>
    <w:basedOn w:val="1"/>
    <w:next w:val="1"/>
    <w:qFormat/>
    <w:uiPriority w:val="0"/>
    <w:pPr>
      <w:ind w:left="2940"/>
    </w:pPr>
  </w:style>
  <w:style w:type="paragraph" w:styleId="16">
    <w:name w:val="List Number"/>
    <w:basedOn w:val="1"/>
    <w:qFormat/>
    <w:uiPriority w:val="0"/>
    <w:pPr>
      <w:tabs>
        <w:tab w:val="left" w:pos="360"/>
      </w:tabs>
      <w:ind w:left="360" w:hanging="360"/>
    </w:p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132"/>
    <w:semiHidden/>
    <w:qFormat/>
    <w:uiPriority w:val="0"/>
    <w:pPr>
      <w:shd w:val="clear" w:color="auto" w:fill="000080"/>
      <w:adjustRightInd w:val="0"/>
      <w:spacing w:line="312" w:lineRule="atLeast"/>
      <w:textAlignment w:val="baseline"/>
    </w:pPr>
    <w:rPr>
      <w:kern w:val="0"/>
      <w:szCs w:val="20"/>
    </w:rPr>
  </w:style>
  <w:style w:type="paragraph" w:styleId="19">
    <w:name w:val="annotation text"/>
    <w:basedOn w:val="1"/>
    <w:link w:val="82"/>
    <w:qFormat/>
    <w:uiPriority w:val="0"/>
    <w:pPr>
      <w:jc w:val="left"/>
    </w:pPr>
  </w:style>
  <w:style w:type="paragraph" w:styleId="20">
    <w:name w:val="Body Text 3"/>
    <w:basedOn w:val="1"/>
    <w:link w:val="135"/>
    <w:qFormat/>
    <w:uiPriority w:val="0"/>
    <w:pPr>
      <w:spacing w:line="500" w:lineRule="exact"/>
    </w:pPr>
    <w:rPr>
      <w:b/>
      <w:bCs/>
      <w:sz w:val="24"/>
    </w:rPr>
  </w:style>
  <w:style w:type="paragraph" w:styleId="21">
    <w:name w:val="Body Text Indent"/>
    <w:basedOn w:val="1"/>
    <w:link w:val="75"/>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semiHidden/>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semiHidden/>
    <w:qFormat/>
    <w:uiPriority w:val="0"/>
    <w:pPr>
      <w:ind w:left="840" w:leftChars="400"/>
    </w:pPr>
  </w:style>
  <w:style w:type="paragraph" w:styleId="27">
    <w:name w:val="Plain Text"/>
    <w:basedOn w:val="1"/>
    <w:next w:val="1"/>
    <w:link w:val="73"/>
    <w:qFormat/>
    <w:uiPriority w:val="0"/>
    <w:rPr>
      <w:rFonts w:ascii="宋体" w:hAnsi="Courier New"/>
      <w:szCs w:val="20"/>
    </w:rPr>
  </w:style>
  <w:style w:type="paragraph" w:styleId="28">
    <w:name w:val="toc 8"/>
    <w:basedOn w:val="1"/>
    <w:next w:val="1"/>
    <w:semiHidden/>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72"/>
    <w:qFormat/>
    <w:uiPriority w:val="0"/>
    <w:pPr>
      <w:ind w:left="100" w:leftChars="2500"/>
    </w:pPr>
  </w:style>
  <w:style w:type="paragraph" w:styleId="30">
    <w:name w:val="Body Text Indent 2"/>
    <w:basedOn w:val="1"/>
    <w:link w:val="137"/>
    <w:qFormat/>
    <w:uiPriority w:val="0"/>
    <w:pPr>
      <w:ind w:firstLine="630"/>
    </w:pPr>
    <w:rPr>
      <w:sz w:val="32"/>
      <w:szCs w:val="20"/>
    </w:rPr>
  </w:style>
  <w:style w:type="paragraph" w:styleId="31">
    <w:name w:val="Balloon Text"/>
    <w:basedOn w:val="1"/>
    <w:link w:val="64"/>
    <w:qFormat/>
    <w:uiPriority w:val="0"/>
    <w:rPr>
      <w:sz w:val="18"/>
      <w:szCs w:val="18"/>
    </w:rPr>
  </w:style>
  <w:style w:type="paragraph" w:styleId="32">
    <w:name w:val="footer"/>
    <w:basedOn w:val="1"/>
    <w:link w:val="66"/>
    <w:qFormat/>
    <w:uiPriority w:val="0"/>
    <w:pPr>
      <w:tabs>
        <w:tab w:val="center" w:pos="4153"/>
        <w:tab w:val="right" w:pos="8306"/>
      </w:tabs>
      <w:snapToGrid w:val="0"/>
      <w:jc w:val="left"/>
    </w:pPr>
    <w:rPr>
      <w:sz w:val="18"/>
      <w:szCs w:val="18"/>
    </w:rPr>
  </w:style>
  <w:style w:type="paragraph" w:styleId="33">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semiHidden/>
    <w:qFormat/>
    <w:uiPriority w:val="0"/>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semiHidden/>
    <w:qFormat/>
    <w:uiPriority w:val="0"/>
    <w:pPr>
      <w:tabs>
        <w:tab w:val="right" w:leader="dot" w:pos="9185"/>
      </w:tabs>
      <w:adjustRightInd w:val="0"/>
      <w:spacing w:line="312" w:lineRule="atLeast"/>
      <w:ind w:left="1260"/>
      <w:textAlignment w:val="baseline"/>
    </w:pPr>
    <w:rPr>
      <w:kern w:val="0"/>
      <w:szCs w:val="20"/>
    </w:rPr>
  </w:style>
  <w:style w:type="paragraph" w:styleId="3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 w:val="28"/>
    </w:rPr>
  </w:style>
  <w:style w:type="paragraph" w:styleId="38">
    <w:name w:val="toc 6"/>
    <w:basedOn w:val="1"/>
    <w:next w:val="1"/>
    <w:semiHidden/>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133"/>
    <w:qFormat/>
    <w:uiPriority w:val="0"/>
    <w:pPr>
      <w:spacing w:after="120"/>
      <w:ind w:left="420" w:leftChars="200"/>
    </w:pPr>
    <w:rPr>
      <w:sz w:val="16"/>
      <w:szCs w:val="16"/>
    </w:rPr>
  </w:style>
  <w:style w:type="paragraph" w:styleId="41">
    <w:name w:val="toc 2"/>
    <w:basedOn w:val="1"/>
    <w:next w:val="1"/>
    <w:semiHidden/>
    <w:qFormat/>
    <w:uiPriority w:val="0"/>
    <w:pPr>
      <w:ind w:left="420" w:leftChars="200"/>
    </w:pPr>
  </w:style>
  <w:style w:type="paragraph" w:styleId="42">
    <w:name w:val="toc 9"/>
    <w:basedOn w:val="1"/>
    <w:next w:val="1"/>
    <w:semiHidden/>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80"/>
    <w:qFormat/>
    <w:uiPriority w:val="0"/>
    <w:pPr>
      <w:spacing w:after="120" w:line="480" w:lineRule="auto"/>
    </w:pPr>
  </w:style>
  <w:style w:type="paragraph" w:styleId="44">
    <w:name w:val="List 4"/>
    <w:basedOn w:val="1"/>
    <w:qFormat/>
    <w:uiPriority w:val="0"/>
    <w:pPr>
      <w:ind w:left="100" w:leftChars="600" w:hanging="200" w:hangingChars="200"/>
    </w:pPr>
  </w:style>
  <w:style w:type="paragraph" w:styleId="45">
    <w:name w:val="List Continue 2"/>
    <w:basedOn w:val="1"/>
    <w:qFormat/>
    <w:uiPriority w:val="0"/>
    <w:pPr>
      <w:spacing w:after="120"/>
      <w:ind w:left="840" w:leftChars="400"/>
    </w:pPr>
  </w:style>
  <w:style w:type="paragraph" w:styleId="46">
    <w:name w:val="HTML Preformatted"/>
    <w:basedOn w:val="1"/>
    <w:link w:val="13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semiHidden/>
    <w:qFormat/>
    <w:uiPriority w:val="0"/>
    <w:pPr>
      <w:spacing w:line="400" w:lineRule="exact"/>
      <w:ind w:firstLine="420" w:firstLineChars="200"/>
    </w:pPr>
    <w:rPr>
      <w:rFonts w:ascii="宋体" w:hAnsi="Courier New"/>
      <w:b/>
      <w:szCs w:val="20"/>
    </w:rPr>
  </w:style>
  <w:style w:type="paragraph" w:styleId="49">
    <w:name w:val="Title"/>
    <w:basedOn w:val="1"/>
    <w:next w:val="1"/>
    <w:link w:val="134"/>
    <w:qFormat/>
    <w:uiPriority w:val="0"/>
    <w:pPr>
      <w:jc w:val="center"/>
    </w:pPr>
    <w:rPr>
      <w:sz w:val="30"/>
    </w:rPr>
  </w:style>
  <w:style w:type="paragraph" w:styleId="50">
    <w:name w:val="annotation subject"/>
    <w:basedOn w:val="19"/>
    <w:next w:val="19"/>
    <w:link w:val="74"/>
    <w:qFormat/>
    <w:uiPriority w:val="0"/>
    <w:rPr>
      <w:b/>
      <w:bCs/>
    </w:rPr>
  </w:style>
  <w:style w:type="paragraph" w:styleId="51">
    <w:name w:val="Body Text First Indent"/>
    <w:basedOn w:val="2"/>
    <w:link w:val="136"/>
    <w:qFormat/>
    <w:uiPriority w:val="0"/>
    <w:pPr>
      <w:spacing w:after="120" w:line="240" w:lineRule="auto"/>
      <w:ind w:firstLine="420" w:firstLineChars="100"/>
    </w:pPr>
    <w:rPr>
      <w:sz w:val="21"/>
    </w:rPr>
  </w:style>
  <w:style w:type="paragraph" w:styleId="52">
    <w:name w:val="Body Text First Indent 2"/>
    <w:basedOn w:val="21"/>
    <w:link w:val="139"/>
    <w:qFormat/>
    <w:uiPriority w:val="0"/>
    <w:pPr>
      <w:spacing w:after="120"/>
      <w:ind w:left="420" w:leftChars="200" w:firstLine="420" w:firstLineChars="200"/>
    </w:pPr>
    <w:rPr>
      <w:rFonts w:ascii="Times New Roman" w:eastAsia="宋体"/>
      <w:sz w:val="21"/>
      <w:szCs w:val="24"/>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i/>
      <w:iCs/>
    </w:rPr>
  </w:style>
  <w:style w:type="character" w:styleId="60">
    <w:name w:val="Hyperlink"/>
    <w:qFormat/>
    <w:uiPriority w:val="0"/>
    <w:rPr>
      <w:color w:val="0000FF"/>
      <w:u w:val="single"/>
    </w:rPr>
  </w:style>
  <w:style w:type="character" w:styleId="61">
    <w:name w:val="HTML Code"/>
    <w:qFormat/>
    <w:uiPriority w:val="0"/>
    <w:rPr>
      <w:rFonts w:ascii="宋体" w:hAnsi="宋体" w:eastAsia="宋体" w:cs="宋体"/>
      <w:sz w:val="24"/>
      <w:szCs w:val="24"/>
    </w:rPr>
  </w:style>
  <w:style w:type="character" w:styleId="62">
    <w:name w:val="annotation reference"/>
    <w:qFormat/>
    <w:uiPriority w:val="0"/>
    <w:rPr>
      <w:sz w:val="21"/>
      <w:szCs w:val="21"/>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4">
    <w:name w:val="批注框文本 Char"/>
    <w:link w:val="31"/>
    <w:qFormat/>
    <w:uiPriority w:val="0"/>
    <w:rPr>
      <w:rFonts w:eastAsia="宋体"/>
      <w:kern w:val="2"/>
      <w:sz w:val="18"/>
      <w:szCs w:val="18"/>
      <w:lang w:val="en-US" w:eastAsia="zh-CN" w:bidi="ar-SA"/>
    </w:rPr>
  </w:style>
  <w:style w:type="character" w:customStyle="1" w:styleId="65">
    <w:name w:val="fo Char"/>
    <w:qFormat/>
    <w:uiPriority w:val="0"/>
    <w:rPr>
      <w:rFonts w:eastAsia="宋体"/>
      <w:kern w:val="2"/>
      <w:sz w:val="18"/>
      <w:szCs w:val="18"/>
      <w:lang w:val="en-US" w:eastAsia="zh-CN" w:bidi="ar-SA"/>
    </w:rPr>
  </w:style>
  <w:style w:type="character" w:customStyle="1" w:styleId="66">
    <w:name w:val="页脚 Char"/>
    <w:link w:val="32"/>
    <w:qFormat/>
    <w:uiPriority w:val="0"/>
    <w:rPr>
      <w:rFonts w:eastAsia="宋体"/>
      <w:kern w:val="2"/>
      <w:sz w:val="18"/>
      <w:szCs w:val="18"/>
      <w:lang w:val="en-US" w:eastAsia="zh-CN" w:bidi="ar-SA"/>
    </w:rPr>
  </w:style>
  <w:style w:type="character" w:customStyle="1" w:styleId="67">
    <w:name w:val="h Char"/>
    <w:qFormat/>
    <w:uiPriority w:val="0"/>
    <w:rPr>
      <w:rFonts w:eastAsia="宋体"/>
      <w:kern w:val="2"/>
      <w:sz w:val="18"/>
      <w:szCs w:val="18"/>
      <w:lang w:val="en-US" w:eastAsia="zh-CN" w:bidi="ar-SA"/>
    </w:rPr>
  </w:style>
  <w:style w:type="character" w:customStyle="1" w:styleId="68">
    <w:name w:val="标题 3 Char"/>
    <w:link w:val="5"/>
    <w:qFormat/>
    <w:uiPriority w:val="0"/>
    <w:rPr>
      <w:rFonts w:eastAsia="宋体"/>
      <w:b/>
      <w:bCs/>
      <w:kern w:val="2"/>
      <w:sz w:val="32"/>
      <w:szCs w:val="32"/>
      <w:lang w:val="en-US" w:eastAsia="zh-CN" w:bidi="ar-SA"/>
    </w:rPr>
  </w:style>
  <w:style w:type="character" w:customStyle="1" w:styleId="69">
    <w:name w:val="正文缩进 Char"/>
    <w:link w:val="9"/>
    <w:qFormat/>
    <w:uiPriority w:val="0"/>
    <w:rPr>
      <w:rFonts w:eastAsia="宋体"/>
      <w:kern w:val="2"/>
      <w:sz w:val="21"/>
      <w:lang w:val="en-US" w:eastAsia="zh-CN" w:bidi="ar-SA"/>
    </w:rPr>
  </w:style>
  <w:style w:type="character" w:customStyle="1" w:styleId="70">
    <w:name w:val="标题 5 Char"/>
    <w:link w:val="7"/>
    <w:qFormat/>
    <w:uiPriority w:val="0"/>
    <w:rPr>
      <w:rFonts w:eastAsia="宋体"/>
      <w:b/>
      <w:bCs/>
      <w:kern w:val="2"/>
      <w:sz w:val="28"/>
      <w:szCs w:val="28"/>
      <w:lang w:val="en-US" w:eastAsia="zh-CN" w:bidi="ar-SA"/>
    </w:rPr>
  </w:style>
  <w:style w:type="character" w:customStyle="1" w:styleId="71">
    <w:name w:val="正文文本 Char"/>
    <w:link w:val="2"/>
    <w:qFormat/>
    <w:uiPriority w:val="0"/>
    <w:rPr>
      <w:rFonts w:eastAsia="宋体"/>
      <w:kern w:val="2"/>
      <w:sz w:val="24"/>
      <w:szCs w:val="24"/>
      <w:lang w:val="en-US" w:eastAsia="zh-CN" w:bidi="ar-SA"/>
    </w:rPr>
  </w:style>
  <w:style w:type="character" w:customStyle="1" w:styleId="72">
    <w:name w:val="日期 Char"/>
    <w:link w:val="29"/>
    <w:qFormat/>
    <w:uiPriority w:val="0"/>
    <w:rPr>
      <w:rFonts w:eastAsia="宋体"/>
      <w:kern w:val="2"/>
      <w:sz w:val="21"/>
      <w:szCs w:val="24"/>
      <w:lang w:val="en-US" w:eastAsia="zh-CN" w:bidi="ar-SA"/>
    </w:rPr>
  </w:style>
  <w:style w:type="character" w:customStyle="1" w:styleId="73">
    <w:name w:val="纯文本 Char"/>
    <w:link w:val="27"/>
    <w:qFormat/>
    <w:uiPriority w:val="99"/>
    <w:rPr>
      <w:rFonts w:ascii="宋体" w:hAnsi="Courier New" w:eastAsia="宋体"/>
      <w:kern w:val="2"/>
      <w:sz w:val="21"/>
      <w:lang w:val="en-US" w:eastAsia="zh-CN" w:bidi="ar-SA"/>
    </w:rPr>
  </w:style>
  <w:style w:type="character" w:customStyle="1" w:styleId="74">
    <w:name w:val="批注主题 Char"/>
    <w:link w:val="50"/>
    <w:qFormat/>
    <w:uiPriority w:val="0"/>
    <w:rPr>
      <w:rFonts w:eastAsia="宋体"/>
      <w:b/>
      <w:bCs/>
      <w:kern w:val="2"/>
      <w:sz w:val="21"/>
      <w:szCs w:val="24"/>
      <w:lang w:val="en-US" w:eastAsia="zh-CN" w:bidi="ar-SA"/>
    </w:rPr>
  </w:style>
  <w:style w:type="character" w:customStyle="1" w:styleId="75">
    <w:name w:val="正文文本缩进 Char"/>
    <w:link w:val="21"/>
    <w:qFormat/>
    <w:uiPriority w:val="0"/>
    <w:rPr>
      <w:rFonts w:ascii="仿宋_GB2312" w:eastAsia="仿宋_GB2312"/>
      <w:kern w:val="2"/>
      <w:sz w:val="32"/>
      <w:lang w:val="en-US" w:eastAsia="zh-CN" w:bidi="ar-SA"/>
    </w:rPr>
  </w:style>
  <w:style w:type="character" w:customStyle="1" w:styleId="76">
    <w:name w:val="b"/>
    <w:basedOn w:val="55"/>
    <w:qFormat/>
    <w:uiPriority w:val="0"/>
  </w:style>
  <w:style w:type="character" w:customStyle="1" w:styleId="77">
    <w:name w:val="标题 1 Char"/>
    <w:qFormat/>
    <w:uiPriority w:val="0"/>
    <w:rPr>
      <w:rFonts w:ascii="Times New Roman" w:hAnsi="Times New Roman" w:eastAsia="宋体" w:cs="Times New Roman"/>
      <w:b/>
      <w:bCs/>
      <w:kern w:val="44"/>
      <w:sz w:val="44"/>
      <w:szCs w:val="44"/>
    </w:rPr>
  </w:style>
  <w:style w:type="character" w:customStyle="1" w:styleId="78">
    <w:name w:val="手改 Char Char"/>
    <w:qFormat/>
    <w:uiPriority w:val="0"/>
    <w:rPr>
      <w:rFonts w:eastAsia="宋体"/>
      <w:kern w:val="2"/>
      <w:sz w:val="24"/>
      <w:szCs w:val="24"/>
      <w:lang w:val="en-US" w:eastAsia="zh-CN" w:bidi="ar-SA"/>
    </w:rPr>
  </w:style>
  <w:style w:type="character" w:customStyle="1" w:styleId="79">
    <w:name w:val="页眉 Char"/>
    <w:link w:val="33"/>
    <w:qFormat/>
    <w:uiPriority w:val="0"/>
    <w:rPr>
      <w:rFonts w:eastAsia="宋体"/>
      <w:kern w:val="2"/>
      <w:sz w:val="18"/>
      <w:szCs w:val="18"/>
      <w:lang w:val="en-US" w:eastAsia="zh-CN" w:bidi="ar-SA"/>
    </w:rPr>
  </w:style>
  <w:style w:type="character" w:customStyle="1" w:styleId="80">
    <w:name w:val="正文文本 2 Char"/>
    <w:link w:val="43"/>
    <w:qFormat/>
    <w:uiPriority w:val="0"/>
    <w:rPr>
      <w:rFonts w:eastAsia="宋体"/>
      <w:kern w:val="2"/>
      <w:sz w:val="21"/>
      <w:szCs w:val="24"/>
      <w:lang w:val="en-US" w:eastAsia="zh-CN" w:bidi="ar-SA"/>
    </w:rPr>
  </w:style>
  <w:style w:type="character" w:customStyle="1" w:styleId="81">
    <w:name w:val="mark13"/>
    <w:basedOn w:val="55"/>
    <w:qFormat/>
    <w:uiPriority w:val="0"/>
  </w:style>
  <w:style w:type="character" w:customStyle="1" w:styleId="82">
    <w:name w:val="批注文字 Char1"/>
    <w:link w:val="19"/>
    <w:qFormat/>
    <w:uiPriority w:val="0"/>
    <w:rPr>
      <w:rFonts w:eastAsia="宋体"/>
      <w:kern w:val="2"/>
      <w:sz w:val="21"/>
      <w:szCs w:val="24"/>
      <w:lang w:val="en-US" w:eastAsia="zh-CN" w:bidi="ar-SA"/>
    </w:rPr>
  </w:style>
  <w:style w:type="paragraph" w:customStyle="1" w:styleId="83">
    <w:name w:val="Char1 Char Char Char Char Char Char"/>
    <w:basedOn w:val="1"/>
    <w:qFormat/>
    <w:uiPriority w:val="0"/>
    <w:rPr>
      <w:rFonts w:ascii="Tahoma" w:hAnsi="Tahoma"/>
      <w:sz w:val="24"/>
      <w:szCs w:val="20"/>
    </w:rPr>
  </w:style>
  <w:style w:type="paragraph" w:customStyle="1" w:styleId="84">
    <w:name w:val="表内文字"/>
    <w:basedOn w:val="1"/>
    <w:qFormat/>
    <w:uiPriority w:val="0"/>
    <w:pPr>
      <w:pageBreakBefore/>
      <w:snapToGrid w:val="0"/>
      <w:spacing w:before="50" w:after="50"/>
      <w:jc w:val="center"/>
    </w:pPr>
    <w:rPr>
      <w:rFonts w:ascii="仿宋_GB2312" w:hAnsi="宋体" w:eastAsia="仿宋_GB2312"/>
      <w:b/>
      <w:color w:val="000000"/>
      <w:sz w:val="32"/>
      <w:szCs w:val="32"/>
    </w:rPr>
  </w:style>
  <w:style w:type="paragraph" w:customStyle="1" w:styleId="85">
    <w:name w:val="列出段落1"/>
    <w:basedOn w:val="1"/>
    <w:qFormat/>
    <w:uiPriority w:val="0"/>
    <w:pPr>
      <w:ind w:firstLine="420" w:firstLineChars="200"/>
    </w:pPr>
    <w:rPr>
      <w:sz w:val="24"/>
    </w:rPr>
  </w:style>
  <w:style w:type="paragraph" w:customStyle="1" w:styleId="86">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汇视源正文"/>
    <w:qFormat/>
    <w:uiPriority w:val="0"/>
    <w:pPr>
      <w:widowControl w:val="0"/>
      <w:spacing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88">
    <w:name w:val="三角"/>
    <w:basedOn w:val="1"/>
    <w:qFormat/>
    <w:uiPriority w:val="0"/>
    <w:pPr>
      <w:numPr>
        <w:ilvl w:val="0"/>
        <w:numId w:val="1"/>
      </w:numPr>
      <w:tabs>
        <w:tab w:val="left" w:pos="1089"/>
        <w:tab w:val="clear" w:pos="855"/>
      </w:tabs>
      <w:spacing w:before="40" w:after="40" w:line="240" w:lineRule="exact"/>
    </w:pPr>
    <w:rPr>
      <w:rFonts w:eastAsia="幼圆"/>
      <w:sz w:val="15"/>
      <w:szCs w:val="20"/>
    </w:rPr>
  </w:style>
  <w:style w:type="paragraph" w:customStyle="1" w:styleId="89">
    <w:name w:val="无间隔1"/>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p0"/>
    <w:basedOn w:val="1"/>
    <w:qFormat/>
    <w:uiPriority w:val="0"/>
    <w:pPr>
      <w:widowControl/>
    </w:pPr>
    <w:rPr>
      <w:kern w:val="0"/>
      <w:szCs w:val="21"/>
    </w:rPr>
  </w:style>
  <w:style w:type="paragraph" w:customStyle="1" w:styleId="91">
    <w:name w:val="列出段落2"/>
    <w:basedOn w:val="1"/>
    <w:qFormat/>
    <w:uiPriority w:val="0"/>
    <w:pPr>
      <w:ind w:firstLine="420" w:firstLineChars="200"/>
    </w:pPr>
    <w:rPr>
      <w:rFonts w:ascii="Calibri" w:hAnsi="Calibri"/>
      <w:szCs w:val="22"/>
    </w:rPr>
  </w:style>
  <w:style w:type="paragraph" w:customStyle="1" w:styleId="92">
    <w:name w:val="样式"/>
    <w:basedOn w:val="1"/>
    <w:qFormat/>
    <w:uiPriority w:val="0"/>
    <w:pPr>
      <w:ind w:firstLine="420" w:firstLineChars="200"/>
    </w:pPr>
    <w:rPr>
      <w:rFonts w:ascii="Calibri" w:hAnsi="Calibri"/>
      <w:szCs w:val="22"/>
    </w:rPr>
  </w:style>
  <w:style w:type="paragraph" w:customStyle="1" w:styleId="93">
    <w:name w:val="修订1"/>
    <w:qFormat/>
    <w:uiPriority w:val="0"/>
    <w:rPr>
      <w:rFonts w:ascii="Times New Roman" w:hAnsi="Times New Roman" w:eastAsia="宋体" w:cs="Times New Roman"/>
      <w:kern w:val="2"/>
      <w:sz w:val="21"/>
      <w:szCs w:val="24"/>
      <w:lang w:val="en-US" w:eastAsia="zh-CN" w:bidi="ar-SA"/>
    </w:rPr>
  </w:style>
  <w:style w:type="paragraph" w:customStyle="1" w:styleId="94">
    <w:name w:val="Char Char1"/>
    <w:basedOn w:val="1"/>
    <w:qFormat/>
    <w:uiPriority w:val="0"/>
    <w:pPr>
      <w:widowControl/>
      <w:spacing w:after="160" w:line="240" w:lineRule="exact"/>
      <w:jc w:val="left"/>
    </w:pPr>
  </w:style>
  <w:style w:type="paragraph" w:customStyle="1" w:styleId="9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6">
    <w:name w:val="列出段落3"/>
    <w:basedOn w:val="1"/>
    <w:unhideWhenUsed/>
    <w:qFormat/>
    <w:uiPriority w:val="99"/>
    <w:pPr>
      <w:ind w:firstLine="420" w:firstLineChars="200"/>
    </w:pPr>
  </w:style>
  <w:style w:type="character" w:customStyle="1" w:styleId="97">
    <w:name w:val="unnamed3"/>
    <w:basedOn w:val="55"/>
    <w:qFormat/>
    <w:uiPriority w:val="0"/>
  </w:style>
  <w:style w:type="character" w:customStyle="1" w:styleId="98">
    <w:name w:val="标题 1 Char1"/>
    <w:basedOn w:val="55"/>
    <w:link w:val="3"/>
    <w:qFormat/>
    <w:uiPriority w:val="0"/>
    <w:rPr>
      <w:b/>
      <w:bCs/>
      <w:kern w:val="44"/>
      <w:sz w:val="44"/>
      <w:szCs w:val="44"/>
    </w:rPr>
  </w:style>
  <w:style w:type="character" w:customStyle="1" w:styleId="99">
    <w:name w:val="标题 4 Char"/>
    <w:basedOn w:val="55"/>
    <w:link w:val="6"/>
    <w:qFormat/>
    <w:uiPriority w:val="0"/>
    <w:rPr>
      <w:rFonts w:ascii="Arial" w:hAnsi="Arial" w:eastAsia="黑体"/>
      <w:sz w:val="28"/>
    </w:rPr>
  </w:style>
  <w:style w:type="character" w:customStyle="1" w:styleId="100">
    <w:name w:val="标题 6 Char"/>
    <w:basedOn w:val="55"/>
    <w:link w:val="8"/>
    <w:qFormat/>
    <w:uiPriority w:val="0"/>
    <w:rPr>
      <w:rFonts w:ascii="Arial" w:hAnsi="Arial" w:eastAsia="黑体"/>
      <w:b/>
      <w:kern w:val="2"/>
      <w:sz w:val="24"/>
      <w:szCs w:val="24"/>
    </w:rPr>
  </w:style>
  <w:style w:type="character" w:customStyle="1" w:styleId="101">
    <w:name w:val="标题 7 Char"/>
    <w:basedOn w:val="55"/>
    <w:link w:val="10"/>
    <w:qFormat/>
    <w:uiPriority w:val="0"/>
    <w:rPr>
      <w:b/>
      <w:kern w:val="2"/>
      <w:sz w:val="24"/>
      <w:szCs w:val="24"/>
    </w:rPr>
  </w:style>
  <w:style w:type="character" w:customStyle="1" w:styleId="102">
    <w:name w:val="标题 8 Char"/>
    <w:basedOn w:val="55"/>
    <w:link w:val="11"/>
    <w:qFormat/>
    <w:uiPriority w:val="0"/>
    <w:rPr>
      <w:rFonts w:ascii="Arial" w:hAnsi="Arial" w:eastAsia="黑体"/>
      <w:kern w:val="2"/>
      <w:sz w:val="24"/>
      <w:szCs w:val="24"/>
    </w:rPr>
  </w:style>
  <w:style w:type="character" w:customStyle="1" w:styleId="103">
    <w:name w:val="标题 9 Char"/>
    <w:basedOn w:val="55"/>
    <w:link w:val="12"/>
    <w:qFormat/>
    <w:uiPriority w:val="0"/>
    <w:rPr>
      <w:rFonts w:ascii="Arial" w:hAnsi="Arial" w:eastAsia="黑体"/>
      <w:kern w:val="2"/>
      <w:sz w:val="21"/>
      <w:szCs w:val="24"/>
    </w:rPr>
  </w:style>
  <w:style w:type="character" w:customStyle="1" w:styleId="104">
    <w:name w:val="case31"/>
    <w:qFormat/>
    <w:uiPriority w:val="0"/>
    <w:rPr>
      <w:rFonts w:hint="default"/>
      <w:sz w:val="21"/>
      <w:szCs w:val="21"/>
    </w:rPr>
  </w:style>
  <w:style w:type="character" w:customStyle="1" w:styleId="105">
    <w:name w:val="apple-style-span"/>
    <w:basedOn w:val="55"/>
    <w:qFormat/>
    <w:uiPriority w:val="0"/>
  </w:style>
  <w:style w:type="character" w:customStyle="1" w:styleId="106">
    <w:name w:val="gray12"/>
    <w:basedOn w:val="55"/>
    <w:qFormat/>
    <w:uiPriority w:val="0"/>
  </w:style>
  <w:style w:type="character" w:customStyle="1" w:styleId="107">
    <w:name w:val="font01"/>
    <w:qFormat/>
    <w:uiPriority w:val="0"/>
    <w:rPr>
      <w:rFonts w:hint="eastAsia" w:ascii="宋体" w:hAnsi="宋体" w:eastAsia="宋体" w:cs="宋体"/>
      <w:color w:val="000000"/>
      <w:sz w:val="20"/>
      <w:szCs w:val="20"/>
      <w:u w:val="none"/>
    </w:rPr>
  </w:style>
  <w:style w:type="character" w:customStyle="1" w:styleId="108">
    <w:name w:val="1051"/>
    <w:qFormat/>
    <w:uiPriority w:val="0"/>
    <w:rPr>
      <w:sz w:val="21"/>
      <w:szCs w:val="21"/>
    </w:rPr>
  </w:style>
  <w:style w:type="character" w:customStyle="1" w:styleId="109">
    <w:name w:val="1ji Char"/>
    <w:link w:val="110"/>
    <w:qFormat/>
    <w:uiPriority w:val="0"/>
    <w:rPr>
      <w:rFonts w:ascii="宋体" w:hAnsi="宋体"/>
      <w:b/>
      <w:bCs/>
      <w:kern w:val="44"/>
      <w:sz w:val="36"/>
      <w:szCs w:val="44"/>
    </w:rPr>
  </w:style>
  <w:style w:type="paragraph" w:customStyle="1" w:styleId="110">
    <w:name w:val="1ji"/>
    <w:basedOn w:val="3"/>
    <w:link w:val="109"/>
    <w:qFormat/>
    <w:uiPriority w:val="0"/>
    <w:pPr>
      <w:keepLines w:val="0"/>
      <w:widowControl/>
      <w:spacing w:before="0" w:after="0" w:line="240" w:lineRule="auto"/>
      <w:jc w:val="center"/>
    </w:pPr>
    <w:rPr>
      <w:rFonts w:ascii="宋体" w:hAnsi="宋体"/>
      <w:sz w:val="36"/>
    </w:rPr>
  </w:style>
  <w:style w:type="character" w:customStyle="1" w:styleId="111">
    <w:name w:val="content2"/>
    <w:basedOn w:val="55"/>
    <w:qFormat/>
    <w:uiPriority w:val="0"/>
  </w:style>
  <w:style w:type="character" w:customStyle="1" w:styleId="112">
    <w:name w:val="text11"/>
    <w:qFormat/>
    <w:uiPriority w:val="0"/>
    <w:rPr>
      <w:rFonts w:hint="default" w:ascii="Verdana" w:hAnsi="Verdana"/>
      <w:color w:val="4E4E4E"/>
      <w:sz w:val="18"/>
      <w:szCs w:val="18"/>
    </w:rPr>
  </w:style>
  <w:style w:type="character" w:customStyle="1" w:styleId="113">
    <w:name w:val="style11"/>
    <w:qFormat/>
    <w:uiPriority w:val="0"/>
    <w:rPr>
      <w:rFonts w:hint="default" w:ascii="Arial" w:hAnsi="Arial" w:cs="Arial"/>
    </w:rPr>
  </w:style>
  <w:style w:type="character" w:customStyle="1" w:styleId="114">
    <w:name w:val="普通文字 Char Char3"/>
    <w:qFormat/>
    <w:uiPriority w:val="0"/>
    <w:rPr>
      <w:rFonts w:ascii="宋体" w:hAnsi="Courier New" w:eastAsia="宋体" w:cs="Courier New"/>
      <w:kern w:val="2"/>
      <w:sz w:val="21"/>
      <w:szCs w:val="21"/>
      <w:lang w:val="en-US" w:eastAsia="zh-CN" w:bidi="ar-SA"/>
    </w:rPr>
  </w:style>
  <w:style w:type="character" w:customStyle="1" w:styleId="115">
    <w:name w:val="st"/>
    <w:basedOn w:val="55"/>
    <w:qFormat/>
    <w:uiPriority w:val="0"/>
  </w:style>
  <w:style w:type="character" w:customStyle="1" w:styleId="116">
    <w:name w:val="标题 2 Char"/>
    <w:link w:val="4"/>
    <w:qFormat/>
    <w:uiPriority w:val="0"/>
    <w:rPr>
      <w:rFonts w:ascii="Cambria" w:hAnsi="Cambria"/>
      <w:b/>
      <w:bCs/>
      <w:kern w:val="2"/>
      <w:sz w:val="32"/>
      <w:szCs w:val="32"/>
    </w:rPr>
  </w:style>
  <w:style w:type="character" w:customStyle="1" w:styleId="117">
    <w:name w:val="Char Char3"/>
    <w:qFormat/>
    <w:locked/>
    <w:uiPriority w:val="0"/>
    <w:rPr>
      <w:rFonts w:ascii="宋体" w:hAnsi="Courier New"/>
      <w:kern w:val="2"/>
      <w:sz w:val="21"/>
    </w:rPr>
  </w:style>
  <w:style w:type="character" w:customStyle="1" w:styleId="118">
    <w:name w:val="Arial Char"/>
    <w:link w:val="119"/>
    <w:qFormat/>
    <w:locked/>
    <w:uiPriority w:val="0"/>
    <w:rPr>
      <w:rFonts w:ascii="Arial" w:hAnsi="Arial"/>
      <w:kern w:val="2"/>
      <w:sz w:val="24"/>
      <w:szCs w:val="24"/>
    </w:rPr>
  </w:style>
  <w:style w:type="paragraph" w:customStyle="1" w:styleId="119">
    <w:name w:val="Arial"/>
    <w:basedOn w:val="1"/>
    <w:link w:val="118"/>
    <w:qFormat/>
    <w:uiPriority w:val="0"/>
    <w:pPr>
      <w:tabs>
        <w:tab w:val="left" w:pos="360"/>
      </w:tabs>
      <w:spacing w:line="400" w:lineRule="exact"/>
      <w:ind w:left="360" w:hanging="360"/>
    </w:pPr>
    <w:rPr>
      <w:rFonts w:ascii="Arial" w:hAnsi="Arial"/>
      <w:sz w:val="24"/>
    </w:rPr>
  </w:style>
  <w:style w:type="character" w:customStyle="1" w:styleId="120">
    <w:name w:val="mark8"/>
    <w:qFormat/>
    <w:uiPriority w:val="0"/>
    <w:rPr>
      <w:b/>
      <w:bCs/>
      <w:sz w:val="21"/>
      <w:szCs w:val="21"/>
    </w:rPr>
  </w:style>
  <w:style w:type="character" w:customStyle="1" w:styleId="121">
    <w:name w:val="small"/>
    <w:basedOn w:val="55"/>
    <w:qFormat/>
    <w:uiPriority w:val="0"/>
  </w:style>
  <w:style w:type="character" w:customStyle="1" w:styleId="122">
    <w:name w:val="white"/>
    <w:basedOn w:val="55"/>
    <w:qFormat/>
    <w:uiPriority w:val="0"/>
  </w:style>
  <w:style w:type="character" w:customStyle="1" w:styleId="123">
    <w:name w:val="f151"/>
    <w:qFormat/>
    <w:uiPriority w:val="0"/>
    <w:rPr>
      <w:sz w:val="23"/>
      <w:szCs w:val="23"/>
    </w:rPr>
  </w:style>
  <w:style w:type="character" w:customStyle="1" w:styleId="124">
    <w:name w:val="列出段落 Char"/>
    <w:link w:val="125"/>
    <w:qFormat/>
    <w:uiPriority w:val="0"/>
    <w:rPr>
      <w:rFonts w:ascii="Calibri" w:hAnsi="Calibri"/>
      <w:kern w:val="2"/>
      <w:sz w:val="21"/>
      <w:szCs w:val="22"/>
    </w:rPr>
  </w:style>
  <w:style w:type="paragraph" w:styleId="125">
    <w:name w:val="List Paragraph"/>
    <w:basedOn w:val="1"/>
    <w:link w:val="124"/>
    <w:qFormat/>
    <w:uiPriority w:val="34"/>
    <w:pPr>
      <w:ind w:firstLine="420" w:firstLineChars="200"/>
    </w:pPr>
    <w:rPr>
      <w:rFonts w:ascii="Calibri" w:hAnsi="Calibri"/>
      <w:szCs w:val="22"/>
    </w:rPr>
  </w:style>
  <w:style w:type="character" w:customStyle="1" w:styleId="126">
    <w:name w:val="apple-converted-space"/>
    <w:basedOn w:val="55"/>
    <w:qFormat/>
    <w:uiPriority w:val="0"/>
  </w:style>
  <w:style w:type="character" w:customStyle="1" w:styleId="127">
    <w:name w:val="062"/>
    <w:qFormat/>
    <w:uiPriority w:val="0"/>
    <w:rPr>
      <w:rFonts w:ascii="宋体" w:hAnsi="宋体"/>
      <w:b/>
      <w:bCs/>
      <w:sz w:val="32"/>
    </w:rPr>
  </w:style>
  <w:style w:type="character" w:customStyle="1" w:styleId="128">
    <w:name w:val="Char Char2"/>
    <w:qFormat/>
    <w:uiPriority w:val="0"/>
    <w:rPr>
      <w:rFonts w:ascii="宋体" w:hAnsi="Courier New" w:eastAsia="宋体" w:cs="Courier New"/>
      <w:kern w:val="2"/>
      <w:sz w:val="21"/>
      <w:szCs w:val="21"/>
      <w:lang w:val="en-US" w:eastAsia="zh-CN" w:bidi="ar-SA"/>
    </w:rPr>
  </w:style>
  <w:style w:type="character" w:customStyle="1" w:styleId="129">
    <w:name w:val="text"/>
    <w:basedOn w:val="55"/>
    <w:qFormat/>
    <w:uiPriority w:val="0"/>
  </w:style>
  <w:style w:type="character" w:customStyle="1" w:styleId="130">
    <w:name w:val="graytext1"/>
    <w:qFormat/>
    <w:uiPriority w:val="0"/>
    <w:rPr>
      <w:color w:val="666666"/>
    </w:rPr>
  </w:style>
  <w:style w:type="character" w:customStyle="1" w:styleId="131">
    <w:name w:val="style21"/>
    <w:qFormat/>
    <w:uiPriority w:val="0"/>
    <w:rPr>
      <w:sz w:val="17"/>
      <w:szCs w:val="17"/>
    </w:rPr>
  </w:style>
  <w:style w:type="character" w:customStyle="1" w:styleId="132">
    <w:name w:val="文档结构图 Char"/>
    <w:basedOn w:val="55"/>
    <w:link w:val="18"/>
    <w:semiHidden/>
    <w:qFormat/>
    <w:uiPriority w:val="0"/>
    <w:rPr>
      <w:sz w:val="21"/>
      <w:shd w:val="clear" w:color="auto" w:fill="000080"/>
    </w:rPr>
  </w:style>
  <w:style w:type="character" w:customStyle="1" w:styleId="133">
    <w:name w:val="正文文本缩进 3 Char"/>
    <w:basedOn w:val="55"/>
    <w:link w:val="40"/>
    <w:qFormat/>
    <w:uiPriority w:val="0"/>
    <w:rPr>
      <w:kern w:val="2"/>
      <w:sz w:val="16"/>
      <w:szCs w:val="16"/>
    </w:rPr>
  </w:style>
  <w:style w:type="character" w:customStyle="1" w:styleId="134">
    <w:name w:val="标题 Char"/>
    <w:basedOn w:val="55"/>
    <w:link w:val="49"/>
    <w:qFormat/>
    <w:uiPriority w:val="0"/>
    <w:rPr>
      <w:kern w:val="2"/>
      <w:sz w:val="30"/>
      <w:szCs w:val="24"/>
    </w:rPr>
  </w:style>
  <w:style w:type="character" w:customStyle="1" w:styleId="135">
    <w:name w:val="正文文本 3 Char"/>
    <w:basedOn w:val="55"/>
    <w:link w:val="20"/>
    <w:qFormat/>
    <w:uiPriority w:val="0"/>
    <w:rPr>
      <w:b/>
      <w:bCs/>
      <w:kern w:val="2"/>
      <w:sz w:val="24"/>
      <w:szCs w:val="24"/>
    </w:rPr>
  </w:style>
  <w:style w:type="character" w:customStyle="1" w:styleId="136">
    <w:name w:val="正文首行缩进 Char"/>
    <w:basedOn w:val="71"/>
    <w:link w:val="51"/>
    <w:qFormat/>
    <w:uiPriority w:val="0"/>
    <w:rPr>
      <w:rFonts w:eastAsia="宋体"/>
      <w:kern w:val="2"/>
      <w:sz w:val="21"/>
      <w:szCs w:val="24"/>
      <w:lang w:val="en-US" w:eastAsia="zh-CN" w:bidi="ar-SA"/>
    </w:rPr>
  </w:style>
  <w:style w:type="character" w:customStyle="1" w:styleId="137">
    <w:name w:val="正文文本缩进 2 Char"/>
    <w:basedOn w:val="55"/>
    <w:link w:val="30"/>
    <w:qFormat/>
    <w:uiPriority w:val="0"/>
    <w:rPr>
      <w:kern w:val="2"/>
      <w:sz w:val="32"/>
    </w:rPr>
  </w:style>
  <w:style w:type="character" w:customStyle="1" w:styleId="138">
    <w:name w:val="HTML 预设格式 Char"/>
    <w:basedOn w:val="55"/>
    <w:link w:val="46"/>
    <w:qFormat/>
    <w:uiPriority w:val="0"/>
    <w:rPr>
      <w:rFonts w:ascii="黑体" w:hAnsi="Courier New" w:eastAsia="黑体" w:cs="Courier New"/>
    </w:rPr>
  </w:style>
  <w:style w:type="character" w:customStyle="1" w:styleId="139">
    <w:name w:val="正文首行缩进 2 Char"/>
    <w:basedOn w:val="75"/>
    <w:link w:val="52"/>
    <w:qFormat/>
    <w:uiPriority w:val="0"/>
    <w:rPr>
      <w:rFonts w:ascii="仿宋_GB2312" w:eastAsia="仿宋_GB2312"/>
      <w:kern w:val="2"/>
      <w:sz w:val="21"/>
      <w:szCs w:val="24"/>
      <w:lang w:val="en-US" w:eastAsia="zh-CN" w:bidi="ar-SA"/>
    </w:rPr>
  </w:style>
  <w:style w:type="paragraph" w:customStyle="1" w:styleId="140">
    <w:name w:val="列出段落4"/>
    <w:basedOn w:val="1"/>
    <w:qFormat/>
    <w:uiPriority w:val="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141">
    <w:name w:val="表格"/>
    <w:basedOn w:val="1"/>
    <w:qFormat/>
    <w:uiPriority w:val="0"/>
    <w:pPr>
      <w:spacing w:line="400" w:lineRule="exact"/>
    </w:pPr>
    <w:rPr>
      <w:sz w:val="24"/>
    </w:rPr>
  </w:style>
  <w:style w:type="paragraph" w:customStyle="1" w:styleId="142">
    <w:name w:val="2-2ji"/>
    <w:basedOn w:val="4"/>
    <w:qFormat/>
    <w:uiPriority w:val="0"/>
    <w:pPr>
      <w:adjustRightInd w:val="0"/>
      <w:spacing w:before="0" w:after="0" w:line="360" w:lineRule="auto"/>
      <w:jc w:val="center"/>
      <w:textAlignment w:val="baseline"/>
    </w:pPr>
    <w:rPr>
      <w:rFonts w:ascii="宋体" w:hAnsi="宋体"/>
      <w:bCs w:val="0"/>
      <w:kern w:val="0"/>
      <w:sz w:val="36"/>
    </w:rPr>
  </w:style>
  <w:style w:type="paragraph" w:customStyle="1" w:styleId="143">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6">
    <w:name w:val="表 数值 王"/>
    <w:basedOn w:val="1"/>
    <w:qFormat/>
    <w:uiPriority w:val="0"/>
    <w:pPr>
      <w:spacing w:line="288" w:lineRule="auto"/>
      <w:jc w:val="right"/>
    </w:pPr>
    <w:rPr>
      <w:rFonts w:hAnsi="宋体"/>
      <w:szCs w:val="21"/>
    </w:rPr>
  </w:style>
  <w:style w:type="paragraph" w:customStyle="1" w:styleId="147">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148">
    <w:name w:val="F2"/>
    <w:basedOn w:val="1"/>
    <w:qFormat/>
    <w:uiPriority w:val="0"/>
    <w:pPr>
      <w:autoSpaceDE w:val="0"/>
      <w:autoSpaceDN w:val="0"/>
      <w:adjustRightInd w:val="0"/>
      <w:ind w:firstLine="601"/>
      <w:textAlignment w:val="baseline"/>
    </w:pPr>
    <w:rPr>
      <w:kern w:val="0"/>
      <w:sz w:val="24"/>
      <w:szCs w:val="20"/>
    </w:rPr>
  </w:style>
  <w:style w:type="paragraph" w:customStyle="1" w:styleId="14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0">
    <w:name w:val="默认段落字体 Para Char"/>
    <w:basedOn w:val="1"/>
    <w:qFormat/>
    <w:uiPriority w:val="0"/>
    <w:pPr>
      <w:adjustRightInd w:val="0"/>
      <w:spacing w:line="360" w:lineRule="auto"/>
    </w:pPr>
    <w:rPr>
      <w:kern w:val="0"/>
      <w:sz w:val="24"/>
      <w:szCs w:val="20"/>
    </w:rPr>
  </w:style>
  <w:style w:type="paragraph" w:customStyle="1" w:styleId="15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52">
    <w:name w:val="style8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3">
    <w:name w:val="Char1 Char Char Char Char Char Char1"/>
    <w:basedOn w:val="1"/>
    <w:qFormat/>
    <w:uiPriority w:val="0"/>
    <w:rPr>
      <w:rFonts w:ascii="Tahoma" w:hAnsi="Tahoma"/>
      <w:sz w:val="24"/>
      <w:szCs w:val="20"/>
    </w:rPr>
  </w:style>
  <w:style w:type="paragraph" w:customStyle="1" w:styleId="154">
    <w:name w:val="次小点说明 Char"/>
    <w:basedOn w:val="9"/>
    <w:qFormat/>
    <w:uiPriority w:val="0"/>
    <w:pPr>
      <w:ind w:firstLine="0"/>
    </w:pPr>
    <w:rPr>
      <w:sz w:val="24"/>
      <w:szCs w:val="24"/>
    </w:rPr>
  </w:style>
  <w:style w:type="paragraph" w:customStyle="1" w:styleId="155">
    <w:name w:val="默认段落字体 Para Char Char Char Char Char Char Char Char Char1 Char Char Char Char"/>
    <w:basedOn w:val="1"/>
    <w:qFormat/>
    <w:uiPriority w:val="0"/>
    <w:rPr>
      <w:rFonts w:ascii="Tahoma" w:hAnsi="Tahoma"/>
      <w:sz w:val="24"/>
      <w:szCs w:val="20"/>
    </w:rPr>
  </w:style>
  <w:style w:type="paragraph" w:customStyle="1" w:styleId="156">
    <w:name w:val="Char3"/>
    <w:basedOn w:val="1"/>
    <w:qFormat/>
    <w:uiPriority w:val="0"/>
    <w:pPr>
      <w:tabs>
        <w:tab w:val="left" w:pos="360"/>
      </w:tabs>
      <w:ind w:left="252" w:hanging="252" w:hangingChars="140"/>
    </w:pPr>
    <w:rPr>
      <w:rFonts w:ascii="宋体"/>
      <w:sz w:val="18"/>
      <w:szCs w:val="18"/>
    </w:rPr>
  </w:style>
  <w:style w:type="paragraph" w:customStyle="1" w:styleId="15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61">
    <w:name w:val="_Style 4"/>
    <w:basedOn w:val="1"/>
    <w:qFormat/>
    <w:uiPriority w:val="34"/>
    <w:pPr>
      <w:ind w:firstLine="420" w:firstLineChars="200"/>
    </w:pPr>
    <w:rPr>
      <w:rFonts w:ascii="Calibri" w:hAnsi="Calibri"/>
      <w:szCs w:val="22"/>
    </w:rPr>
  </w:style>
  <w:style w:type="paragraph" w:customStyle="1" w:styleId="16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64">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66">
    <w:name w:val="_Style 10"/>
    <w:basedOn w:val="1"/>
    <w:qFormat/>
    <w:uiPriority w:val="0"/>
  </w:style>
  <w:style w:type="paragraph" w:customStyle="1" w:styleId="167">
    <w:name w:val="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68">
    <w:name w:val="Char Char Char Char Char Char Char Char Char Char Char Char Char"/>
    <w:basedOn w:val="18"/>
    <w:qFormat/>
    <w:uiPriority w:val="0"/>
    <w:pPr>
      <w:adjustRightInd/>
      <w:spacing w:line="240" w:lineRule="auto"/>
      <w:textAlignment w:val="auto"/>
    </w:pPr>
    <w:rPr>
      <w:rFonts w:ascii="Tahoma" w:hAnsi="Tahoma"/>
      <w:kern w:val="2"/>
      <w:sz w:val="24"/>
      <w:szCs w:val="24"/>
    </w:rPr>
  </w:style>
  <w:style w:type="paragraph" w:customStyle="1" w:styleId="169">
    <w:name w:val="Char Char Char"/>
    <w:basedOn w:val="18"/>
    <w:qFormat/>
    <w:uiPriority w:val="0"/>
    <w:pPr>
      <w:adjustRightInd/>
      <w:spacing w:line="240" w:lineRule="auto"/>
      <w:textAlignment w:val="auto"/>
    </w:pPr>
    <w:rPr>
      <w:rFonts w:ascii="Tahoma" w:hAnsi="Tahoma"/>
      <w:kern w:val="2"/>
      <w:sz w:val="24"/>
      <w:szCs w:val="24"/>
    </w:rPr>
  </w:style>
  <w:style w:type="paragraph" w:customStyle="1" w:styleId="17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7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2">
    <w:name w:val="Char Char Char2"/>
    <w:basedOn w:val="1"/>
    <w:qFormat/>
    <w:uiPriority w:val="0"/>
    <w:rPr>
      <w:rFonts w:ascii="Tahoma" w:hAnsi="Tahoma"/>
      <w:sz w:val="24"/>
      <w:szCs w:val="20"/>
    </w:rPr>
  </w:style>
  <w:style w:type="paragraph" w:customStyle="1" w:styleId="173">
    <w:name w:val="Char Char Char Char Char Char1 Char"/>
    <w:basedOn w:val="18"/>
    <w:qFormat/>
    <w:uiPriority w:val="0"/>
    <w:pPr>
      <w:adjustRightInd/>
      <w:spacing w:line="240" w:lineRule="auto"/>
      <w:textAlignment w:val="auto"/>
    </w:pPr>
    <w:rPr>
      <w:rFonts w:ascii="Tahoma" w:hAnsi="Tahoma"/>
      <w:kern w:val="2"/>
      <w:sz w:val="24"/>
      <w:szCs w:val="24"/>
    </w:rPr>
  </w:style>
  <w:style w:type="paragraph" w:customStyle="1" w:styleId="174">
    <w:name w:val="Char1 Char Char Char"/>
    <w:basedOn w:val="1"/>
    <w:qFormat/>
    <w:uiPriority w:val="0"/>
    <w:rPr>
      <w:rFonts w:ascii="Tahoma" w:hAnsi="Tahoma"/>
      <w:sz w:val="24"/>
      <w:szCs w:val="20"/>
    </w:rPr>
  </w:style>
  <w:style w:type="paragraph" w:customStyle="1" w:styleId="175">
    <w:name w:val="Char Char Char1"/>
    <w:basedOn w:val="18"/>
    <w:qFormat/>
    <w:uiPriority w:val="0"/>
    <w:pPr>
      <w:adjustRightInd/>
      <w:spacing w:line="240" w:lineRule="auto"/>
      <w:textAlignment w:val="auto"/>
    </w:pPr>
    <w:rPr>
      <w:rFonts w:ascii="Tahoma" w:hAnsi="Tahoma"/>
      <w:kern w:val="2"/>
      <w:sz w:val="24"/>
      <w:szCs w:val="24"/>
    </w:rPr>
  </w:style>
  <w:style w:type="paragraph" w:customStyle="1" w:styleId="176">
    <w:name w:val="正文段"/>
    <w:basedOn w:val="1"/>
    <w:qFormat/>
    <w:uiPriority w:val="0"/>
    <w:pPr>
      <w:widowControl/>
      <w:snapToGrid w:val="0"/>
      <w:spacing w:afterLines="50"/>
      <w:ind w:firstLine="200" w:firstLineChars="200"/>
    </w:pPr>
    <w:rPr>
      <w:kern w:val="0"/>
      <w:sz w:val="24"/>
      <w:szCs w:val="20"/>
    </w:rPr>
  </w:style>
  <w:style w:type="paragraph" w:customStyle="1" w:styleId="17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78">
    <w:name w:val="444"/>
    <w:basedOn w:val="1"/>
    <w:qFormat/>
    <w:uiPriority w:val="0"/>
    <w:pPr>
      <w:adjustRightInd w:val="0"/>
      <w:spacing w:line="312" w:lineRule="atLeast"/>
      <w:jc w:val="center"/>
      <w:textAlignment w:val="baseline"/>
    </w:pPr>
    <w:rPr>
      <w:b/>
      <w:kern w:val="0"/>
      <w:sz w:val="36"/>
      <w:szCs w:val="36"/>
    </w:rPr>
  </w:style>
  <w:style w:type="paragraph" w:customStyle="1" w:styleId="179">
    <w:name w:val="缺省文本"/>
    <w:basedOn w:val="1"/>
    <w:qFormat/>
    <w:uiPriority w:val="0"/>
    <w:pPr>
      <w:autoSpaceDE w:val="0"/>
      <w:autoSpaceDN w:val="0"/>
      <w:adjustRightInd w:val="0"/>
      <w:spacing w:line="360" w:lineRule="auto"/>
      <w:jc w:val="left"/>
    </w:pPr>
    <w:rPr>
      <w:kern w:val="0"/>
      <w:sz w:val="24"/>
      <w:szCs w:val="20"/>
    </w:rPr>
  </w:style>
  <w:style w:type="paragraph" w:customStyle="1" w:styleId="180">
    <w:name w:val="Char Char Char Char Char Char1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1">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3">
    <w:name w:val="2ji"/>
    <w:basedOn w:val="4"/>
    <w:qFormat/>
    <w:uiPriority w:val="0"/>
    <w:pPr>
      <w:adjustRightInd w:val="0"/>
      <w:spacing w:before="0" w:after="0" w:line="360" w:lineRule="auto"/>
      <w:textAlignment w:val="baseline"/>
    </w:pPr>
    <w:rPr>
      <w:rFonts w:ascii="宋体" w:hAnsi="宋体"/>
      <w:kern w:val="0"/>
      <w:sz w:val="21"/>
      <w:szCs w:val="21"/>
    </w:rPr>
  </w:style>
  <w:style w:type="paragraph" w:customStyle="1" w:styleId="184">
    <w:name w:val="tgt1"/>
    <w:basedOn w:val="1"/>
    <w:qFormat/>
    <w:uiPriority w:val="0"/>
    <w:pPr>
      <w:widowControl/>
      <w:spacing w:after="150"/>
      <w:jc w:val="left"/>
    </w:pPr>
    <w:rPr>
      <w:rFonts w:ascii="宋体" w:hAnsi="宋体" w:cs="宋体"/>
      <w:kern w:val="0"/>
      <w:sz w:val="24"/>
    </w:rPr>
  </w:style>
  <w:style w:type="paragraph" w:customStyle="1" w:styleId="185">
    <w:name w:val="1"/>
    <w:basedOn w:val="1"/>
    <w:next w:val="27"/>
    <w:qFormat/>
    <w:uiPriority w:val="0"/>
    <w:rPr>
      <w:rFonts w:ascii="宋体" w:hAnsi="Courier New"/>
      <w:szCs w:val="20"/>
    </w:rPr>
  </w:style>
  <w:style w:type="paragraph" w:customStyle="1" w:styleId="186">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8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88">
    <w:name w:val="Char Char1 Char Char Char Char"/>
    <w:basedOn w:val="18"/>
    <w:qFormat/>
    <w:uiPriority w:val="0"/>
    <w:pPr>
      <w:adjustRightInd/>
      <w:spacing w:line="240" w:lineRule="auto"/>
      <w:textAlignment w:val="auto"/>
    </w:pPr>
    <w:rPr>
      <w:rFonts w:ascii="Tahoma" w:hAnsi="Tahoma"/>
      <w:kern w:val="2"/>
      <w:sz w:val="24"/>
      <w:szCs w:val="24"/>
    </w:rPr>
  </w:style>
  <w:style w:type="paragraph" w:customStyle="1" w:styleId="189">
    <w:name w:val="样式1"/>
    <w:basedOn w:val="1"/>
    <w:qFormat/>
    <w:uiPriority w:val="0"/>
    <w:pPr>
      <w:spacing w:before="120" w:after="120" w:line="300" w:lineRule="auto"/>
    </w:pPr>
    <w:rPr>
      <w:rFonts w:ascii="宋体" w:hAnsi="宋体"/>
      <w:b/>
      <w:sz w:val="24"/>
      <w:szCs w:val="20"/>
    </w:rPr>
  </w:style>
  <w:style w:type="paragraph" w:customStyle="1" w:styleId="190">
    <w:name w:val="Char4"/>
    <w:basedOn w:val="1"/>
    <w:qFormat/>
    <w:uiPriority w:val="0"/>
    <w:pPr>
      <w:tabs>
        <w:tab w:val="left" w:pos="360"/>
      </w:tabs>
      <w:ind w:left="252" w:hanging="252" w:hangingChars="140"/>
    </w:pPr>
    <w:rPr>
      <w:rFonts w:ascii="宋体"/>
      <w:sz w:val="18"/>
      <w:szCs w:val="18"/>
    </w:rPr>
  </w:style>
  <w:style w:type="paragraph" w:customStyle="1" w:styleId="191">
    <w:name w:val="五号正文（标准）"/>
    <w:basedOn w:val="1"/>
    <w:qFormat/>
    <w:uiPriority w:val="0"/>
    <w:pPr>
      <w:spacing w:line="360" w:lineRule="auto"/>
      <w:ind w:right="55" w:firstLine="560" w:firstLineChars="200"/>
    </w:pPr>
    <w:rPr>
      <w:rFonts w:eastAsia="仿宋_GB2312"/>
      <w:sz w:val="28"/>
      <w:szCs w:val="20"/>
    </w:rPr>
  </w:style>
  <w:style w:type="paragraph" w:customStyle="1" w:styleId="192">
    <w:name w:val="Char1"/>
    <w:basedOn w:val="1"/>
    <w:qFormat/>
    <w:uiPriority w:val="0"/>
    <w:rPr>
      <w:szCs w:val="21"/>
    </w:rPr>
  </w:style>
  <w:style w:type="paragraph" w:customStyle="1" w:styleId="193">
    <w:name w:val="样式 首行缩进:  2 字符"/>
    <w:basedOn w:val="1"/>
    <w:qFormat/>
    <w:uiPriority w:val="0"/>
    <w:pPr>
      <w:spacing w:line="400" w:lineRule="exact"/>
      <w:ind w:firstLine="200" w:firstLineChars="200"/>
    </w:pPr>
    <w:rPr>
      <w:rFonts w:cs="宋体"/>
      <w:sz w:val="24"/>
    </w:rPr>
  </w:style>
  <w:style w:type="paragraph" w:customStyle="1" w:styleId="194">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 Char Char Char Char Char Char Char Char Char Char Char Char1"/>
    <w:basedOn w:val="18"/>
    <w:qFormat/>
    <w:uiPriority w:val="0"/>
    <w:pPr>
      <w:adjustRightInd/>
      <w:spacing w:line="240" w:lineRule="auto"/>
      <w:textAlignment w:val="auto"/>
    </w:pPr>
    <w:rPr>
      <w:rFonts w:ascii="Tahoma" w:hAnsi="Tahoma"/>
      <w:kern w:val="2"/>
      <w:sz w:val="24"/>
      <w:szCs w:val="24"/>
    </w:rPr>
  </w:style>
  <w:style w:type="paragraph" w:customStyle="1" w:styleId="196">
    <w:name w:val="表 正文 王"/>
    <w:basedOn w:val="1"/>
    <w:qFormat/>
    <w:uiPriority w:val="0"/>
    <w:pPr>
      <w:spacing w:line="300" w:lineRule="auto"/>
    </w:pPr>
    <w:rPr>
      <w:rFonts w:hAnsi="宋体"/>
      <w:kern w:val="0"/>
      <w:sz w:val="20"/>
      <w:szCs w:val="21"/>
    </w:rPr>
  </w:style>
  <w:style w:type="paragraph" w:customStyle="1" w:styleId="197">
    <w:name w:val="Char Char Char Char Char Char1 Char1"/>
    <w:basedOn w:val="18"/>
    <w:qFormat/>
    <w:uiPriority w:val="0"/>
    <w:pPr>
      <w:adjustRightInd/>
      <w:spacing w:line="240" w:lineRule="auto"/>
      <w:textAlignment w:val="auto"/>
    </w:pPr>
    <w:rPr>
      <w:rFonts w:ascii="Tahoma" w:hAnsi="Tahoma"/>
      <w:kern w:val="2"/>
      <w:sz w:val="24"/>
      <w:szCs w:val="24"/>
    </w:rPr>
  </w:style>
  <w:style w:type="paragraph" w:customStyle="1" w:styleId="198">
    <w:name w:val="Char Char Char Char Char Char Char2"/>
    <w:basedOn w:val="1"/>
    <w:qFormat/>
    <w:uiPriority w:val="0"/>
  </w:style>
  <w:style w:type="paragraph" w:customStyle="1" w:styleId="199">
    <w:name w:val="正文首行缩进两字符"/>
    <w:basedOn w:val="1"/>
    <w:qFormat/>
    <w:uiPriority w:val="0"/>
    <w:pPr>
      <w:spacing w:line="360" w:lineRule="auto"/>
      <w:ind w:firstLine="200" w:firstLineChars="200"/>
    </w:pPr>
  </w:style>
  <w:style w:type="paragraph" w:customStyle="1" w:styleId="200">
    <w:name w:val="List Paragraph1"/>
    <w:basedOn w:val="1"/>
    <w:qFormat/>
    <w:uiPriority w:val="0"/>
    <w:pPr>
      <w:ind w:firstLine="420" w:firstLineChars="200"/>
    </w:pPr>
  </w:style>
  <w:style w:type="paragraph" w:customStyle="1" w:styleId="20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02">
    <w:name w:val="font11"/>
    <w:basedOn w:val="55"/>
    <w:qFormat/>
    <w:uiPriority w:val="0"/>
    <w:rPr>
      <w:rFonts w:hint="eastAsia" w:ascii="宋体" w:hAnsi="宋体" w:eastAsia="宋体" w:cs="宋体"/>
      <w:color w:val="000000"/>
      <w:sz w:val="28"/>
      <w:szCs w:val="28"/>
      <w:u w:val="none"/>
    </w:rPr>
  </w:style>
  <w:style w:type="paragraph" w:customStyle="1" w:styleId="203">
    <w:name w:val="Table Paragraph"/>
    <w:basedOn w:val="1"/>
    <w:qFormat/>
    <w:uiPriority w:val="1"/>
    <w:pPr>
      <w:jc w:val="left"/>
    </w:pPr>
    <w:rPr>
      <w:kern w:val="0"/>
      <w:sz w:val="22"/>
      <w:lang w:eastAsia="en-US"/>
    </w:rPr>
  </w:style>
  <w:style w:type="character" w:customStyle="1" w:styleId="204">
    <w:name w:val="HTML 预设格式 字符1"/>
    <w:qFormat/>
    <w:uiPriority w:val="99"/>
    <w:rPr>
      <w:rFonts w:ascii="宋体" w:hAnsi="宋体" w:eastAsia="宋体" w:cs="宋体"/>
      <w:sz w:val="24"/>
      <w:szCs w:val="24"/>
    </w:rPr>
  </w:style>
  <w:style w:type="paragraph" w:customStyle="1" w:styleId="205">
    <w:name w:val="2"/>
    <w:basedOn w:val="1"/>
    <w:next w:val="125"/>
    <w:qFormat/>
    <w:uiPriority w:val="0"/>
    <w:pPr>
      <w:widowControl/>
      <w:spacing w:after="160" w:line="259" w:lineRule="auto"/>
      <w:ind w:left="720"/>
      <w:contextualSpacing/>
      <w:jc w:val="left"/>
    </w:pPr>
    <w:rPr>
      <w:rFonts w:ascii="Calibri" w:hAnsi="Calibri" w:eastAsia="等线"/>
      <w:kern w:val="0"/>
      <w:sz w:val="22"/>
      <w:szCs w:val="22"/>
    </w:rPr>
  </w:style>
  <w:style w:type="character" w:customStyle="1" w:styleId="206">
    <w:name w:val="批注文字 Char"/>
    <w:qFormat/>
    <w:uiPriority w:val="0"/>
    <w:rPr>
      <w:kern w:val="2"/>
      <w:sz w:val="21"/>
      <w:szCs w:val="24"/>
    </w:rPr>
  </w:style>
  <w:style w:type="paragraph" w:customStyle="1" w:styleId="207">
    <w:name w:val="Revision"/>
    <w:hidden/>
    <w:semiHidden/>
    <w:qFormat/>
    <w:uiPriority w:val="99"/>
    <w:rPr>
      <w:rFonts w:ascii="Times New Roman" w:hAnsi="Times New Roman" w:eastAsia="宋体" w:cs="Times New Roman"/>
      <w:kern w:val="2"/>
      <w:sz w:val="21"/>
      <w:szCs w:val="24"/>
      <w:lang w:val="en-US" w:eastAsia="zh-CN" w:bidi="ar-SA"/>
    </w:rPr>
  </w:style>
  <w:style w:type="character" w:styleId="208">
    <w:name w:val="Placeholder Text"/>
    <w:basedOn w:val="55"/>
    <w:semiHidden/>
    <w:qFormat/>
    <w:uiPriority w:val="99"/>
    <w:rPr>
      <w:color w:val="808080"/>
    </w:rPr>
  </w:style>
  <w:style w:type="paragraph" w:customStyle="1" w:styleId="209">
    <w:name w:val="Body text|3"/>
    <w:basedOn w:val="1"/>
    <w:qFormat/>
    <w:uiPriority w:val="0"/>
    <w:pPr>
      <w:spacing w:after="460"/>
      <w:jc w:val="center"/>
    </w:pPr>
    <w:rPr>
      <w:rFonts w:ascii="宋体" w:hAnsi="宋体" w:cs="宋体"/>
      <w:kern w:val="0"/>
      <w:sz w:val="34"/>
      <w:szCs w:val="34"/>
    </w:rPr>
  </w:style>
  <w:style w:type="paragraph" w:customStyle="1" w:styleId="210">
    <w:name w:val="Body text|1"/>
    <w:basedOn w:val="1"/>
    <w:qFormat/>
    <w:uiPriority w:val="0"/>
    <w:pPr>
      <w:spacing w:line="350" w:lineRule="auto"/>
      <w:ind w:firstLine="400"/>
      <w:jc w:val="left"/>
    </w:pPr>
    <w:rPr>
      <w:rFonts w:ascii="宋体" w:hAnsi="宋体" w:cs="宋体"/>
      <w:kern w:val="0"/>
      <w:sz w:val="30"/>
      <w:szCs w:val="30"/>
    </w:rPr>
  </w:style>
  <w:style w:type="character" w:customStyle="1" w:styleId="211">
    <w:name w:val="纯文本 字符3"/>
    <w:qFormat/>
    <w:uiPriority w:val="0"/>
    <w:rPr>
      <w:rFonts w:ascii="宋体" w:hAnsi="Courier New" w:eastAsia="宋体"/>
      <w:kern w:val="2"/>
      <w:sz w:val="21"/>
      <w:szCs w:val="20"/>
      <w:lang w:val="en-US" w:eastAsia="zh-CN" w:bidi="ar-SA"/>
    </w:rPr>
  </w:style>
  <w:style w:type="paragraph" w:customStyle="1" w:styleId="212">
    <w:name w:val="_Style 2"/>
    <w:basedOn w:val="1"/>
    <w:qFormat/>
    <w:uiPriority w:val="0"/>
    <w:pPr>
      <w:ind w:firstLine="420"/>
    </w:pPr>
    <w:rPr>
      <w:rFonts w:ascii="Arial" w:hAnsi="Arial"/>
      <w:sz w:val="22"/>
      <w:szCs w:val="20"/>
    </w:rPr>
  </w:style>
  <w:style w:type="paragraph" w:customStyle="1" w:styleId="213">
    <w:name w:val="首行缩进"/>
    <w:basedOn w:val="1"/>
    <w:qFormat/>
    <w:uiPriority w:val="0"/>
    <w:pPr>
      <w:ind w:firstLine="480" w:firstLineChars="200"/>
    </w:pPr>
    <w:rPr>
      <w:rFonts w:ascii="Times New Roman" w:hAnsi="Times New Roman" w:eastAsia="宋体" w:cs="Times New Roman"/>
    </w:rPr>
  </w:style>
  <w:style w:type="paragraph" w:customStyle="1" w:styleId="214">
    <w:name w:val="Other|1"/>
    <w:basedOn w:val="1"/>
    <w:qFormat/>
    <w:uiPriority w:val="0"/>
    <w:pPr>
      <w:spacing w:line="388" w:lineRule="exact"/>
    </w:pPr>
    <w:rPr>
      <w:rFonts w:ascii="宋体" w:hAnsi="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10024-0F74-4337-9570-20D2A9C7FBB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35539</Words>
  <Characters>38141</Characters>
  <Lines>285</Lines>
  <Paragraphs>80</Paragraphs>
  <TotalTime>0</TotalTime>
  <ScaleCrop>false</ScaleCrop>
  <LinksUpToDate>false</LinksUpToDate>
  <CharactersWithSpaces>41049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2021-11-25T12:32:00Z</dcterms:created>
  <dc:creator>微软用户</dc:creator>
  <cp:lastModifiedBy>李翔</cp:lastModifiedBy>
  <cp:lastPrinted>2022-02-22T07:28:00Z</cp:lastPrinted>
  <dcterms:modified xsi:type="dcterms:W3CDTF">2022-08-26T07:36:28Z</dcterms:modified>
  <dc:title>医疗设备采购</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AAD1BDC21F6544BD8BE23D7ECA67B447</vt:lpwstr>
  </property>
</Properties>
</file>