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6"/>
        <w:ind w:right="214"/>
        <w:jc w:val="center"/>
        <w:rPr>
          <w:rFonts w:hint="eastAsia" w:ascii="宋体" w:hAnsi="宋体" w:eastAsia="宋体" w:cs="宋体"/>
          <w:b/>
          <w:bCs/>
          <w:spacing w:val="-6"/>
          <w:sz w:val="36"/>
          <w:szCs w:val="36"/>
          <w:lang w:eastAsia="zh-CN"/>
        </w:rPr>
      </w:pPr>
      <w:r>
        <w:rPr>
          <w:rFonts w:hint="eastAsia" w:ascii="宋体" w:hAnsi="宋体" w:eastAsia="宋体" w:cs="宋体"/>
          <w:b/>
          <w:bCs/>
          <w:spacing w:val="-6"/>
          <w:sz w:val="36"/>
          <w:szCs w:val="36"/>
          <w:lang w:eastAsia="zh-CN"/>
        </w:rPr>
        <w:t>2023年度温岭市石塘镇松材线虫病除治服务采购项目（重新招标）</w:t>
      </w:r>
    </w:p>
    <w:p>
      <w:pPr>
        <w:spacing w:before="35"/>
        <w:ind w:left="0" w:right="209" w:firstLine="0"/>
        <w:jc w:val="center"/>
        <w:rPr>
          <w:rFonts w:hint="eastAsia" w:ascii="宋体" w:hAnsi="宋体" w:eastAsia="宋体" w:cs="宋体"/>
          <w:sz w:val="32"/>
        </w:rPr>
      </w:pPr>
    </w:p>
    <w:p>
      <w:pPr>
        <w:spacing w:before="35"/>
        <w:ind w:left="0" w:right="209" w:firstLine="0"/>
        <w:jc w:val="center"/>
        <w:rPr>
          <w:rFonts w:hint="eastAsia" w:ascii="宋体" w:hAnsi="宋体" w:eastAsia="宋体" w:cs="宋体"/>
          <w:sz w:val="32"/>
          <w:lang w:val="en-US" w:eastAsia="zh-CN"/>
        </w:rPr>
      </w:pPr>
      <w:r>
        <w:rPr>
          <w:rFonts w:hint="eastAsia" w:ascii="宋体" w:hAnsi="宋体" w:eastAsia="宋体" w:cs="宋体"/>
          <w:sz w:val="32"/>
        </w:rPr>
        <w:t>项目编号：</w:t>
      </w:r>
      <w:r>
        <w:rPr>
          <w:rFonts w:hint="eastAsia" w:ascii="宋体" w:hAnsi="宋体" w:eastAsia="宋体" w:cs="宋体"/>
          <w:sz w:val="32"/>
          <w:lang w:eastAsia="zh-CN"/>
        </w:rPr>
        <w:t xml:space="preserve"> WLCG-LC-2022-004</w:t>
      </w:r>
    </w:p>
    <w:p>
      <w:pPr>
        <w:pStyle w:val="8"/>
        <w:rPr>
          <w:rFonts w:hint="eastAsia" w:ascii="宋体" w:hAnsi="宋体" w:eastAsia="宋体" w:cs="宋体"/>
          <w:sz w:val="42"/>
        </w:rPr>
      </w:pPr>
    </w:p>
    <w:p>
      <w:pPr>
        <w:pStyle w:val="8"/>
        <w:spacing w:before="13"/>
        <w:rPr>
          <w:rFonts w:hint="eastAsia" w:ascii="宋体" w:hAnsi="宋体" w:eastAsia="宋体" w:cs="宋体"/>
          <w:sz w:val="47"/>
        </w:rPr>
      </w:pPr>
    </w:p>
    <w:p>
      <w:pPr>
        <w:spacing w:before="0"/>
        <w:ind w:left="0" w:right="249" w:firstLine="0"/>
        <w:jc w:val="center"/>
        <w:rPr>
          <w:rFonts w:hint="eastAsia" w:ascii="宋体" w:hAnsi="宋体" w:eastAsia="宋体" w:cs="宋体"/>
          <w:b/>
          <w:sz w:val="24"/>
          <w:szCs w:val="24"/>
        </w:rPr>
      </w:pPr>
    </w:p>
    <w:p>
      <w:pPr>
        <w:pStyle w:val="14"/>
        <w:rPr>
          <w:rFonts w:hint="eastAsia" w:ascii="宋体" w:hAnsi="宋体" w:eastAsia="宋体" w:cs="宋体"/>
          <w:b/>
          <w:sz w:val="24"/>
          <w:szCs w:val="24"/>
        </w:rPr>
      </w:pPr>
    </w:p>
    <w:p>
      <w:pPr>
        <w:pStyle w:val="12"/>
        <w:rPr>
          <w:rFonts w:hint="eastAsia"/>
        </w:rPr>
      </w:pPr>
    </w:p>
    <w:p>
      <w:pPr>
        <w:spacing w:before="0"/>
        <w:ind w:left="0" w:right="249" w:firstLine="0"/>
        <w:jc w:val="center"/>
        <w:rPr>
          <w:rFonts w:hint="eastAsia" w:ascii="宋体" w:hAnsi="宋体" w:eastAsia="宋体" w:cs="宋体"/>
          <w:b/>
          <w:sz w:val="72"/>
        </w:rPr>
      </w:pPr>
    </w:p>
    <w:p>
      <w:pPr>
        <w:spacing w:before="0"/>
        <w:ind w:left="0" w:right="249" w:firstLine="0"/>
        <w:jc w:val="center"/>
        <w:rPr>
          <w:rFonts w:hint="eastAsia" w:ascii="宋体" w:hAnsi="宋体" w:eastAsia="宋体" w:cs="宋体"/>
          <w:b/>
          <w:sz w:val="72"/>
        </w:rPr>
      </w:pPr>
      <w:r>
        <w:rPr>
          <w:rFonts w:hint="eastAsia" w:ascii="宋体" w:hAnsi="宋体" w:eastAsia="宋体" w:cs="宋体"/>
          <w:b/>
          <w:sz w:val="72"/>
        </w:rPr>
        <w:t>竞争性谈判文件</w:t>
      </w:r>
    </w:p>
    <w:p>
      <w:pPr>
        <w:pStyle w:val="8"/>
        <w:rPr>
          <w:rFonts w:hint="eastAsia" w:ascii="宋体" w:hAnsi="宋体" w:eastAsia="宋体" w:cs="宋体"/>
          <w:b/>
          <w:sz w:val="94"/>
        </w:rPr>
      </w:pPr>
    </w:p>
    <w:p>
      <w:pPr>
        <w:spacing w:before="1"/>
        <w:ind w:right="0"/>
        <w:jc w:val="both"/>
        <w:rPr>
          <w:rFonts w:hint="eastAsia" w:ascii="宋体" w:hAnsi="宋体" w:eastAsia="宋体" w:cs="宋体"/>
          <w:spacing w:val="-3"/>
          <w:sz w:val="28"/>
        </w:rPr>
      </w:pPr>
    </w:p>
    <w:p>
      <w:pPr>
        <w:spacing w:before="1"/>
        <w:ind w:right="0" w:firstLine="2192" w:firstLineChars="800"/>
        <w:jc w:val="both"/>
        <w:rPr>
          <w:rFonts w:hint="eastAsia" w:ascii="宋体" w:hAnsi="宋体" w:eastAsia="宋体" w:cs="宋体"/>
          <w:spacing w:val="-3"/>
          <w:sz w:val="28"/>
        </w:rPr>
      </w:pPr>
    </w:p>
    <w:p>
      <w:pPr>
        <w:spacing w:before="1"/>
        <w:ind w:right="0"/>
        <w:jc w:val="both"/>
        <w:rPr>
          <w:rFonts w:hint="eastAsia" w:ascii="宋体" w:hAnsi="宋体" w:eastAsia="宋体" w:cs="宋体"/>
          <w:spacing w:val="-3"/>
          <w:sz w:val="28"/>
        </w:rPr>
      </w:pPr>
    </w:p>
    <w:p>
      <w:pPr>
        <w:pStyle w:val="14"/>
        <w:rPr>
          <w:rFonts w:hint="eastAsia"/>
        </w:rPr>
      </w:pPr>
    </w:p>
    <w:p>
      <w:pPr>
        <w:keepNext w:val="0"/>
        <w:keepLines w:val="0"/>
        <w:pageBreakBefore w:val="0"/>
        <w:widowControl w:val="0"/>
        <w:kinsoku/>
        <w:wordWrap/>
        <w:overflowPunct/>
        <w:topLinePunct w:val="0"/>
        <w:autoSpaceDE w:val="0"/>
        <w:autoSpaceDN w:val="0"/>
        <w:bidi w:val="0"/>
        <w:adjustRightInd/>
        <w:snapToGrid/>
        <w:spacing w:before="0"/>
        <w:ind w:right="0" w:firstLine="1096" w:firstLineChars="400"/>
        <w:jc w:val="left"/>
        <w:textAlignment w:val="auto"/>
        <w:rPr>
          <w:rFonts w:hint="eastAsia" w:ascii="宋体" w:hAnsi="宋体" w:eastAsia="宋体" w:cs="宋体"/>
          <w:spacing w:val="-3"/>
          <w:sz w:val="28"/>
        </w:rPr>
      </w:pPr>
    </w:p>
    <w:p>
      <w:pPr>
        <w:keepNext w:val="0"/>
        <w:keepLines w:val="0"/>
        <w:pageBreakBefore w:val="0"/>
        <w:widowControl w:val="0"/>
        <w:kinsoku/>
        <w:wordWrap/>
        <w:overflowPunct/>
        <w:topLinePunct w:val="0"/>
        <w:autoSpaceDE w:val="0"/>
        <w:autoSpaceDN w:val="0"/>
        <w:bidi w:val="0"/>
        <w:adjustRightInd/>
        <w:snapToGrid/>
        <w:spacing w:before="0"/>
        <w:ind w:right="0" w:firstLine="1096" w:firstLineChars="400"/>
        <w:jc w:val="left"/>
        <w:textAlignment w:val="auto"/>
        <w:rPr>
          <w:rFonts w:hint="eastAsia" w:ascii="宋体" w:hAnsi="宋体" w:eastAsia="宋体" w:cs="宋体"/>
          <w:spacing w:val="-3"/>
          <w:sz w:val="28"/>
          <w:lang w:eastAsia="zh-CN"/>
        </w:rPr>
      </w:pPr>
      <w:r>
        <w:rPr>
          <w:rFonts w:hint="eastAsia" w:ascii="宋体" w:hAnsi="宋体" w:eastAsia="宋体" w:cs="宋体"/>
          <w:spacing w:val="-3"/>
          <w:sz w:val="28"/>
        </w:rPr>
        <w:t xml:space="preserve">采购人： </w:t>
      </w:r>
      <w:r>
        <w:rPr>
          <w:rFonts w:hint="eastAsia" w:ascii="宋体" w:hAnsi="宋体" w:eastAsia="宋体" w:cs="宋体"/>
          <w:spacing w:val="-3"/>
          <w:sz w:val="28"/>
          <w:lang w:eastAsia="zh-CN"/>
        </w:rPr>
        <w:t>温岭市石塘镇人民政府</w:t>
      </w:r>
    </w:p>
    <w:p>
      <w:pPr>
        <w:keepNext w:val="0"/>
        <w:keepLines w:val="0"/>
        <w:pageBreakBefore w:val="0"/>
        <w:widowControl w:val="0"/>
        <w:kinsoku/>
        <w:wordWrap/>
        <w:overflowPunct/>
        <w:topLinePunct w:val="0"/>
        <w:autoSpaceDE w:val="0"/>
        <w:autoSpaceDN w:val="0"/>
        <w:bidi w:val="0"/>
        <w:adjustRightInd/>
        <w:snapToGrid/>
        <w:spacing w:before="0"/>
        <w:ind w:right="0" w:firstLine="1120" w:firstLineChars="400"/>
        <w:jc w:val="left"/>
        <w:textAlignment w:val="auto"/>
        <w:rPr>
          <w:rFonts w:hint="eastAsia" w:ascii="宋体" w:hAnsi="宋体" w:eastAsia="宋体" w:cs="宋体"/>
          <w:sz w:val="28"/>
          <w:lang w:eastAsia="zh-CN"/>
        </w:rPr>
      </w:pPr>
      <w:r>
        <w:rPr>
          <w:rFonts w:hint="eastAsia" w:ascii="宋体" w:hAnsi="宋体" w:eastAsia="宋体" w:cs="宋体"/>
          <w:sz w:val="28"/>
        </w:rPr>
        <w:t>采购代理机构：</w:t>
      </w:r>
      <w:r>
        <w:rPr>
          <w:rFonts w:hint="eastAsia" w:ascii="宋体" w:hAnsi="宋体" w:eastAsia="宋体" w:cs="宋体"/>
          <w:sz w:val="28"/>
          <w:lang w:eastAsia="zh-CN"/>
        </w:rPr>
        <w:t>温岭市利驰工程管理有限公司</w:t>
      </w:r>
    </w:p>
    <w:p>
      <w:pPr>
        <w:keepNext w:val="0"/>
        <w:keepLines w:val="0"/>
        <w:pageBreakBefore w:val="0"/>
        <w:widowControl w:val="0"/>
        <w:kinsoku/>
        <w:wordWrap/>
        <w:overflowPunct/>
        <w:topLinePunct w:val="0"/>
        <w:autoSpaceDE w:val="0"/>
        <w:autoSpaceDN w:val="0"/>
        <w:bidi w:val="0"/>
        <w:adjustRightInd/>
        <w:snapToGrid/>
        <w:spacing w:before="0"/>
        <w:ind w:right="0" w:firstLine="1120" w:firstLineChars="400"/>
        <w:jc w:val="left"/>
        <w:textAlignment w:val="auto"/>
        <w:rPr>
          <w:rFonts w:hint="eastAsia" w:ascii="宋体" w:hAnsi="宋体" w:eastAsia="宋体" w:cs="宋体"/>
          <w:sz w:val="28"/>
        </w:rPr>
      </w:pPr>
      <w:r>
        <w:rPr>
          <w:rFonts w:hint="eastAsia" w:ascii="宋体" w:hAnsi="宋体" w:eastAsia="宋体" w:cs="宋体"/>
          <w:sz w:val="28"/>
        </w:rPr>
        <w:t>备 案 单 位 ：温岭市财政局政府采购监管科</w:t>
      </w:r>
    </w:p>
    <w:p>
      <w:pPr>
        <w:spacing w:before="0" w:line="516" w:lineRule="exact"/>
        <w:ind w:right="0"/>
        <w:jc w:val="center"/>
        <w:rPr>
          <w:rFonts w:hint="eastAsia" w:ascii="宋体" w:hAnsi="宋体" w:eastAsia="宋体" w:cs="宋体"/>
          <w:sz w:val="28"/>
        </w:rPr>
      </w:pPr>
      <w:r>
        <w:rPr>
          <w:rFonts w:hint="eastAsia" w:ascii="宋体" w:hAnsi="宋体" w:eastAsia="宋体" w:cs="宋体"/>
          <w:sz w:val="28"/>
        </w:rPr>
        <w:t>202</w:t>
      </w:r>
      <w:r>
        <w:rPr>
          <w:rFonts w:hint="eastAsia" w:ascii="宋体" w:hAnsi="宋体" w:eastAsia="宋体" w:cs="宋体"/>
          <w:sz w:val="28"/>
          <w:lang w:val="en-US" w:eastAsia="zh-CN"/>
        </w:rPr>
        <w:t>2</w:t>
      </w:r>
      <w:r>
        <w:rPr>
          <w:rFonts w:hint="eastAsia" w:ascii="宋体" w:hAnsi="宋体" w:eastAsia="宋体" w:cs="宋体"/>
          <w:sz w:val="28"/>
        </w:rPr>
        <w:t>年</w:t>
      </w:r>
      <w:r>
        <w:rPr>
          <w:rFonts w:hint="eastAsia" w:ascii="宋体" w:hAnsi="宋体" w:eastAsia="宋体" w:cs="宋体"/>
          <w:sz w:val="28"/>
          <w:lang w:val="en-US" w:eastAsia="zh-CN"/>
        </w:rPr>
        <w:t>12</w:t>
      </w:r>
      <w:r>
        <w:rPr>
          <w:rFonts w:hint="eastAsia" w:ascii="宋体" w:hAnsi="宋体" w:eastAsia="宋体" w:cs="宋体"/>
          <w:sz w:val="28"/>
        </w:rPr>
        <w:t>月</w:t>
      </w:r>
    </w:p>
    <w:p>
      <w:pPr>
        <w:rPr>
          <w:b/>
          <w:sz w:val="48"/>
        </w:rPr>
      </w:pPr>
      <w:r>
        <w:rPr>
          <w:b/>
          <w:sz w:val="48"/>
        </w:rPr>
        <w:br w:type="page"/>
      </w:r>
    </w:p>
    <w:p>
      <w:pPr>
        <w:tabs>
          <w:tab w:val="left" w:pos="1439"/>
        </w:tabs>
        <w:spacing w:before="0" w:line="860" w:lineRule="exact"/>
        <w:ind w:left="0" w:right="219" w:firstLine="0"/>
        <w:jc w:val="center"/>
        <w:rPr>
          <w:b/>
          <w:sz w:val="48"/>
        </w:rPr>
      </w:pPr>
      <w:r>
        <w:rPr>
          <w:rFonts w:hint="eastAsia" w:ascii="宋体" w:hAnsi="宋体" w:eastAsia="宋体" w:cs="宋体"/>
          <w:b/>
          <w:sz w:val="48"/>
        </w:rPr>
        <w:t>目</w:t>
      </w:r>
      <w:r>
        <w:rPr>
          <w:rFonts w:hint="eastAsia" w:ascii="宋体" w:hAnsi="宋体" w:eastAsia="宋体" w:cs="宋体"/>
          <w:b/>
          <w:sz w:val="48"/>
        </w:rPr>
        <w:tab/>
      </w:r>
      <w:r>
        <w:rPr>
          <w:rFonts w:hint="eastAsia" w:ascii="宋体" w:hAnsi="宋体" w:eastAsia="宋体" w:cs="宋体"/>
          <w:b/>
          <w:sz w:val="48"/>
        </w:rPr>
        <w:t>录</w:t>
      </w:r>
    </w:p>
    <w:p>
      <w:pPr>
        <w:pStyle w:val="8"/>
        <w:spacing w:before="14"/>
        <w:rPr>
          <w:b/>
          <w:sz w:val="61"/>
        </w:rPr>
      </w:pP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一</w:t>
      </w:r>
      <w:r>
        <w:rPr>
          <w:rFonts w:hint="eastAsia" w:ascii="宋体" w:hAnsi="宋体" w:eastAsia="宋体" w:cs="宋体"/>
          <w:sz w:val="28"/>
        </w:rPr>
        <w:t>章</w:t>
      </w:r>
      <w:r>
        <w:rPr>
          <w:rFonts w:hint="eastAsia" w:ascii="宋体" w:hAnsi="宋体" w:eastAsia="宋体" w:cs="宋体"/>
          <w:sz w:val="28"/>
          <w:lang w:val="en-US" w:eastAsia="zh-CN"/>
        </w:rPr>
        <w:t xml:space="preserve">   </w:t>
      </w:r>
      <w:r>
        <w:rPr>
          <w:rFonts w:hint="eastAsia" w:ascii="宋体" w:hAnsi="宋体" w:eastAsia="宋体" w:cs="宋体"/>
          <w:sz w:val="28"/>
        </w:rPr>
        <w:t>谈判公告</w:t>
      </w: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二</w:t>
      </w:r>
      <w:r>
        <w:rPr>
          <w:rFonts w:hint="eastAsia" w:ascii="宋体" w:hAnsi="宋体" w:eastAsia="宋体" w:cs="宋体"/>
          <w:sz w:val="28"/>
        </w:rPr>
        <w:t>章</w:t>
      </w:r>
      <w:r>
        <w:rPr>
          <w:rFonts w:hint="eastAsia" w:ascii="宋体" w:hAnsi="宋体" w:eastAsia="宋体" w:cs="宋体"/>
          <w:sz w:val="28"/>
          <w:lang w:val="en-US" w:eastAsia="zh-CN"/>
        </w:rPr>
        <w:t xml:space="preserve">   </w:t>
      </w:r>
      <w:r>
        <w:rPr>
          <w:rFonts w:hint="eastAsia" w:ascii="宋体" w:hAnsi="宋体" w:eastAsia="宋体" w:cs="宋体"/>
          <w:spacing w:val="-3"/>
          <w:sz w:val="28"/>
        </w:rPr>
        <w:t>供应</w:t>
      </w:r>
      <w:r>
        <w:rPr>
          <w:rFonts w:hint="eastAsia" w:ascii="宋体" w:hAnsi="宋体" w:eastAsia="宋体" w:cs="宋体"/>
          <w:sz w:val="28"/>
        </w:rPr>
        <w:t>商</w:t>
      </w:r>
      <w:r>
        <w:rPr>
          <w:rFonts w:hint="eastAsia" w:ascii="宋体" w:hAnsi="宋体" w:eastAsia="宋体" w:cs="宋体"/>
          <w:spacing w:val="-3"/>
          <w:sz w:val="28"/>
        </w:rPr>
        <w:t>须</w:t>
      </w:r>
      <w:r>
        <w:rPr>
          <w:rFonts w:hint="eastAsia" w:ascii="宋体" w:hAnsi="宋体" w:eastAsia="宋体" w:cs="宋体"/>
          <w:spacing w:val="-15"/>
          <w:sz w:val="28"/>
        </w:rPr>
        <w:t>知</w:t>
      </w: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pacing w:val="-14"/>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三</w:t>
      </w:r>
      <w:r>
        <w:rPr>
          <w:rFonts w:hint="eastAsia" w:ascii="宋体" w:hAnsi="宋体" w:eastAsia="宋体" w:cs="宋体"/>
          <w:sz w:val="28"/>
        </w:rPr>
        <w:t>章</w:t>
      </w:r>
      <w:r>
        <w:rPr>
          <w:rFonts w:hint="eastAsia" w:ascii="宋体" w:hAnsi="宋体" w:eastAsia="宋体" w:cs="宋体"/>
          <w:sz w:val="28"/>
          <w:lang w:val="en-US" w:eastAsia="zh-CN"/>
        </w:rPr>
        <w:t xml:space="preserve">   </w:t>
      </w:r>
      <w:r>
        <w:rPr>
          <w:rFonts w:hint="eastAsia" w:ascii="宋体" w:hAnsi="宋体" w:eastAsia="宋体" w:cs="宋体"/>
          <w:spacing w:val="-3"/>
          <w:sz w:val="28"/>
        </w:rPr>
        <w:t>评标</w:t>
      </w:r>
      <w:r>
        <w:rPr>
          <w:rFonts w:hint="eastAsia" w:ascii="宋体" w:hAnsi="宋体" w:eastAsia="宋体" w:cs="宋体"/>
          <w:sz w:val="28"/>
        </w:rPr>
        <w:t>办</w:t>
      </w:r>
      <w:r>
        <w:rPr>
          <w:rFonts w:hint="eastAsia" w:ascii="宋体" w:hAnsi="宋体" w:eastAsia="宋体" w:cs="宋体"/>
          <w:spacing w:val="-3"/>
          <w:sz w:val="28"/>
        </w:rPr>
        <w:t>法及</w:t>
      </w:r>
      <w:r>
        <w:rPr>
          <w:rFonts w:hint="eastAsia" w:ascii="宋体" w:hAnsi="宋体" w:eastAsia="宋体" w:cs="宋体"/>
          <w:spacing w:val="-3"/>
          <w:sz w:val="28"/>
          <w:lang w:eastAsia="zh-CN"/>
        </w:rPr>
        <w:t>评分</w:t>
      </w:r>
      <w:r>
        <w:rPr>
          <w:rFonts w:hint="eastAsia" w:ascii="宋体" w:hAnsi="宋体" w:eastAsia="宋体" w:cs="宋体"/>
          <w:spacing w:val="-3"/>
          <w:sz w:val="28"/>
        </w:rPr>
        <w:t>标</w:t>
      </w:r>
      <w:r>
        <w:rPr>
          <w:rFonts w:hint="eastAsia" w:ascii="宋体" w:hAnsi="宋体" w:eastAsia="宋体" w:cs="宋体"/>
          <w:spacing w:val="-14"/>
          <w:sz w:val="28"/>
        </w:rPr>
        <w:t>准</w:t>
      </w:r>
    </w:p>
    <w:p>
      <w:pPr>
        <w:keepNext w:val="0"/>
        <w:keepLines w:val="0"/>
        <w:pageBreakBefore w:val="0"/>
        <w:widowControl w:val="0"/>
        <w:numPr>
          <w:ilvl w:val="0"/>
          <w:numId w:val="0"/>
        </w:numPr>
        <w:tabs>
          <w:tab w:val="left" w:pos="2342"/>
        </w:tabs>
        <w:kinsoku/>
        <w:wordWrap/>
        <w:overflowPunct/>
        <w:topLinePunct w:val="0"/>
        <w:autoSpaceDE w:val="0"/>
        <w:autoSpaceDN w:val="0"/>
        <w:bidi w:val="0"/>
        <w:adjustRightInd/>
        <w:snapToGrid/>
        <w:spacing w:before="0" w:line="271" w:lineRule="auto"/>
        <w:ind w:leftChars="0" w:right="0" w:rightChars="0"/>
        <w:jc w:val="left"/>
        <w:textAlignment w:val="auto"/>
        <w:rPr>
          <w:rFonts w:hint="eastAsia" w:ascii="宋体" w:hAnsi="宋体" w:eastAsia="宋体" w:cs="宋体"/>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四</w:t>
      </w:r>
      <w:r>
        <w:rPr>
          <w:rFonts w:hint="eastAsia" w:ascii="宋体" w:hAnsi="宋体" w:eastAsia="宋体" w:cs="宋体"/>
          <w:sz w:val="28"/>
        </w:rPr>
        <w:t>章</w:t>
      </w:r>
      <w:r>
        <w:rPr>
          <w:rFonts w:hint="eastAsia" w:ascii="宋体" w:hAnsi="宋体" w:eastAsia="宋体" w:cs="宋体"/>
          <w:sz w:val="28"/>
          <w:lang w:val="en-US" w:eastAsia="zh-CN"/>
        </w:rPr>
        <w:t xml:space="preserve">   </w:t>
      </w:r>
      <w:r>
        <w:rPr>
          <w:rFonts w:hint="eastAsia" w:ascii="宋体" w:hAnsi="宋体" w:eastAsia="宋体" w:cs="宋体"/>
          <w:spacing w:val="-3"/>
          <w:sz w:val="28"/>
        </w:rPr>
        <w:t>采购</w:t>
      </w:r>
      <w:r>
        <w:rPr>
          <w:rFonts w:hint="eastAsia" w:ascii="宋体" w:hAnsi="宋体" w:eastAsia="宋体" w:cs="宋体"/>
          <w:sz w:val="28"/>
        </w:rPr>
        <w:t>需求</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eastAsia" w:ascii="宋体" w:hAnsi="宋体" w:eastAsia="宋体" w:cs="宋体"/>
          <w:spacing w:val="-12"/>
          <w:sz w:val="28"/>
        </w:rPr>
      </w:pPr>
      <w:r>
        <w:rPr>
          <w:rFonts w:hint="eastAsia" w:ascii="宋体" w:hAnsi="宋体" w:eastAsia="宋体" w:cs="宋体"/>
          <w:spacing w:val="-3"/>
          <w:sz w:val="28"/>
        </w:rPr>
        <w:t>第</w:t>
      </w:r>
      <w:r>
        <w:rPr>
          <w:rFonts w:hint="eastAsia" w:ascii="宋体" w:hAnsi="宋体" w:eastAsia="宋体" w:cs="宋体"/>
          <w:spacing w:val="-3"/>
          <w:sz w:val="28"/>
          <w:lang w:eastAsia="zh-CN"/>
        </w:rPr>
        <w:t>五</w:t>
      </w:r>
      <w:r>
        <w:rPr>
          <w:rFonts w:hint="eastAsia" w:ascii="宋体" w:hAnsi="宋体" w:eastAsia="宋体" w:cs="宋体"/>
          <w:sz w:val="28"/>
        </w:rPr>
        <w:t>章</w:t>
      </w:r>
      <w:r>
        <w:rPr>
          <w:rFonts w:hint="eastAsia" w:ascii="宋体" w:hAnsi="宋体" w:eastAsia="宋体" w:cs="宋体"/>
          <w:sz w:val="28"/>
        </w:rPr>
        <w:tab/>
      </w:r>
      <w:r>
        <w:rPr>
          <w:rFonts w:hint="eastAsia" w:ascii="宋体" w:hAnsi="宋体" w:eastAsia="宋体" w:cs="宋体"/>
          <w:sz w:val="28"/>
          <w:lang w:val="en-US" w:eastAsia="zh-CN"/>
        </w:rPr>
        <w:t xml:space="preserve">   </w:t>
      </w:r>
      <w:r>
        <w:rPr>
          <w:rFonts w:hint="eastAsia" w:ascii="宋体" w:hAnsi="宋体" w:eastAsia="宋体" w:cs="宋体"/>
          <w:spacing w:val="-3"/>
          <w:sz w:val="28"/>
        </w:rPr>
        <w:t>政府</w:t>
      </w:r>
      <w:r>
        <w:rPr>
          <w:rFonts w:hint="eastAsia" w:ascii="宋体" w:hAnsi="宋体" w:eastAsia="宋体" w:cs="宋体"/>
          <w:sz w:val="28"/>
        </w:rPr>
        <w:t>采</w:t>
      </w:r>
      <w:r>
        <w:rPr>
          <w:rFonts w:hint="eastAsia" w:ascii="宋体" w:hAnsi="宋体" w:eastAsia="宋体" w:cs="宋体"/>
          <w:spacing w:val="-3"/>
          <w:sz w:val="28"/>
        </w:rPr>
        <w:t>购合</w:t>
      </w:r>
      <w:r>
        <w:rPr>
          <w:rFonts w:hint="eastAsia" w:ascii="宋体" w:hAnsi="宋体" w:eastAsia="宋体" w:cs="宋体"/>
          <w:sz w:val="28"/>
        </w:rPr>
        <w:t>同</w:t>
      </w:r>
      <w:r>
        <w:rPr>
          <w:rFonts w:hint="eastAsia" w:ascii="宋体" w:hAnsi="宋体" w:eastAsia="宋体" w:cs="宋体"/>
          <w:spacing w:val="-3"/>
          <w:sz w:val="28"/>
        </w:rPr>
        <w:t>主</w:t>
      </w:r>
      <w:r>
        <w:rPr>
          <w:rFonts w:hint="eastAsia" w:ascii="宋体" w:hAnsi="宋体" w:eastAsia="宋体" w:cs="宋体"/>
          <w:spacing w:val="-5"/>
          <w:sz w:val="28"/>
        </w:rPr>
        <w:t>要</w:t>
      </w:r>
      <w:r>
        <w:rPr>
          <w:rFonts w:hint="eastAsia" w:ascii="宋体" w:hAnsi="宋体" w:eastAsia="宋体" w:cs="宋体"/>
          <w:sz w:val="28"/>
        </w:rPr>
        <w:t>条款</w:t>
      </w:r>
      <w:r>
        <w:rPr>
          <w:rFonts w:hint="eastAsia" w:ascii="宋体" w:hAnsi="宋体" w:eastAsia="宋体" w:cs="宋体"/>
          <w:spacing w:val="-5"/>
          <w:sz w:val="28"/>
        </w:rPr>
        <w:t>指</w:t>
      </w:r>
      <w:r>
        <w:rPr>
          <w:rFonts w:hint="eastAsia" w:ascii="宋体" w:hAnsi="宋体" w:eastAsia="宋体" w:cs="宋体"/>
          <w:spacing w:val="-12"/>
          <w:sz w:val="28"/>
        </w:rPr>
        <w:t>引</w:t>
      </w:r>
    </w:p>
    <w:p>
      <w:pPr>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textAlignment w:val="auto"/>
        <w:rPr>
          <w:rFonts w:hint="eastAsia" w:ascii="宋体" w:hAnsi="宋体" w:eastAsia="宋体" w:cs="宋体"/>
          <w:sz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3"/>
          <w:sz w:val="28"/>
        </w:rPr>
        <w:t>第六</w:t>
      </w:r>
      <w:r>
        <w:rPr>
          <w:rFonts w:hint="eastAsia" w:ascii="宋体" w:hAnsi="宋体" w:eastAsia="宋体" w:cs="宋体"/>
          <w:sz w:val="28"/>
        </w:rPr>
        <w:t>章</w:t>
      </w:r>
      <w:r>
        <w:rPr>
          <w:rFonts w:hint="eastAsia" w:ascii="宋体" w:hAnsi="宋体" w:eastAsia="宋体" w:cs="宋体"/>
          <w:sz w:val="28"/>
        </w:rPr>
        <w:tab/>
      </w:r>
      <w:r>
        <w:rPr>
          <w:rFonts w:hint="eastAsia" w:ascii="宋体" w:hAnsi="宋体" w:eastAsia="宋体" w:cs="宋体"/>
          <w:sz w:val="28"/>
          <w:lang w:val="en-US" w:eastAsia="zh-CN"/>
        </w:rPr>
        <w:t xml:space="preserve">   </w:t>
      </w:r>
      <w:r>
        <w:rPr>
          <w:rFonts w:hint="eastAsia" w:ascii="宋体" w:hAnsi="宋体" w:eastAsia="宋体" w:cs="宋体"/>
          <w:spacing w:val="-3"/>
          <w:sz w:val="28"/>
        </w:rPr>
        <w:t>谈判</w:t>
      </w:r>
      <w:r>
        <w:rPr>
          <w:rFonts w:hint="eastAsia" w:ascii="宋体" w:hAnsi="宋体" w:eastAsia="宋体" w:cs="宋体"/>
          <w:sz w:val="28"/>
        </w:rPr>
        <w:t>响</w:t>
      </w:r>
      <w:r>
        <w:rPr>
          <w:rFonts w:hint="eastAsia" w:ascii="宋体" w:hAnsi="宋体" w:eastAsia="宋体" w:cs="宋体"/>
          <w:spacing w:val="-3"/>
          <w:sz w:val="28"/>
        </w:rPr>
        <w:t>应文</w:t>
      </w:r>
      <w:r>
        <w:rPr>
          <w:rFonts w:hint="eastAsia" w:ascii="宋体" w:hAnsi="宋体" w:eastAsia="宋体" w:cs="宋体"/>
          <w:sz w:val="28"/>
        </w:rPr>
        <w:t>件</w:t>
      </w:r>
      <w:r>
        <w:rPr>
          <w:rFonts w:hint="eastAsia" w:ascii="宋体" w:hAnsi="宋体" w:eastAsia="宋体" w:cs="宋体"/>
          <w:spacing w:val="-3"/>
          <w:sz w:val="28"/>
        </w:rPr>
        <w:t>格</w:t>
      </w:r>
      <w:r>
        <w:rPr>
          <w:rFonts w:hint="eastAsia" w:ascii="宋体" w:hAnsi="宋体" w:eastAsia="宋体" w:cs="宋体"/>
          <w:spacing w:val="-5"/>
          <w:sz w:val="28"/>
        </w:rPr>
        <w:t>式</w:t>
      </w:r>
      <w:r>
        <w:rPr>
          <w:rFonts w:hint="eastAsia" w:ascii="宋体" w:hAnsi="宋体" w:eastAsia="宋体" w:cs="宋体"/>
          <w:sz w:val="28"/>
        </w:rPr>
        <w:t>附件</w:t>
      </w:r>
    </w:p>
    <w:p>
      <w:pPr>
        <w:spacing w:before="0" w:line="650" w:lineRule="exact"/>
        <w:ind w:left="0" w:right="238" w:firstLine="0"/>
        <w:jc w:val="center"/>
        <w:rPr>
          <w:b/>
          <w:sz w:val="36"/>
        </w:rPr>
      </w:pPr>
      <w:r>
        <w:rPr>
          <w:b/>
          <w:sz w:val="36"/>
        </w:rPr>
        <w:t>第一章 竞争性谈判公告</w:t>
      </w:r>
    </w:p>
    <w:tbl>
      <w:tblPr>
        <w:tblStyle w:val="16"/>
        <w:tblW w:w="9096"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tcPr>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left"/>
              <w:textAlignment w:val="auto"/>
              <w:rPr>
                <w:rFonts w:hint="eastAsia" w:ascii="宋体" w:hAnsi="宋体" w:eastAsia="宋体" w:cs="宋体"/>
                <w:b/>
                <w:sz w:val="24"/>
                <w:szCs w:val="24"/>
              </w:rPr>
            </w:pPr>
            <w:r>
              <w:rPr>
                <w:rFonts w:hint="eastAsia" w:ascii="宋体" w:hAnsi="宋体" w:eastAsia="宋体" w:cs="宋体"/>
                <w:b/>
                <w:sz w:val="24"/>
                <w:szCs w:val="24"/>
              </w:rPr>
              <w:t>项目概况：</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jc w:val="both"/>
              <w:textAlignment w:val="auto"/>
              <w:rPr>
                <w:rFonts w:hint="eastAsia" w:ascii="宋体" w:hAnsi="宋体" w:eastAsia="宋体" w:cs="宋体"/>
                <w:b/>
                <w:sz w:val="24"/>
                <w:szCs w:val="24"/>
                <w:vertAlign w:val="baseline"/>
              </w:rPr>
            </w:pPr>
            <w:r>
              <w:rPr>
                <w:rFonts w:hint="eastAsia" w:ascii="宋体" w:hAnsi="宋体" w:eastAsia="宋体" w:cs="宋体"/>
                <w:sz w:val="24"/>
                <w:szCs w:val="24"/>
                <w:u w:val="single"/>
                <w:lang w:eastAsia="zh-CN"/>
              </w:rPr>
              <w:t>2023年度温岭市石塘镇松材线虫病除治服务采购项目（重新招标）</w:t>
            </w:r>
            <w:r>
              <w:rPr>
                <w:rFonts w:hint="eastAsia" w:ascii="宋体" w:hAnsi="宋体" w:eastAsia="宋体" w:cs="宋体"/>
                <w:sz w:val="24"/>
                <w:szCs w:val="24"/>
              </w:rPr>
              <w:t>的潜在</w:t>
            </w:r>
            <w:r>
              <w:rPr>
                <w:rFonts w:hint="eastAsia" w:ascii="宋体" w:hAnsi="宋体" w:eastAsia="宋体" w:cs="宋体"/>
                <w:sz w:val="24"/>
                <w:szCs w:val="24"/>
                <w:lang w:eastAsia="zh-CN"/>
              </w:rPr>
              <w:t>供应商</w:t>
            </w:r>
            <w:r>
              <w:rPr>
                <w:rFonts w:hint="eastAsia" w:ascii="宋体" w:hAnsi="宋体" w:eastAsia="宋体" w:cs="宋体"/>
                <w:sz w:val="24"/>
                <w:szCs w:val="24"/>
              </w:rPr>
              <w:t>应在</w:t>
            </w:r>
            <w:r>
              <w:rPr>
                <w:rFonts w:hint="eastAsia" w:ascii="宋体" w:hAnsi="宋体" w:eastAsia="宋体" w:cs="宋体"/>
                <w:b/>
                <w:bCs/>
                <w:sz w:val="24"/>
                <w:szCs w:val="24"/>
                <w:u w:val="single"/>
              </w:rPr>
              <w:t>“政府采购云平台”</w:t>
            </w:r>
            <w:r>
              <w:rPr>
                <w:rFonts w:hint="eastAsia" w:ascii="宋体" w:hAnsi="宋体" w:eastAsia="宋体" w:cs="宋体"/>
                <w:sz w:val="24"/>
                <w:szCs w:val="24"/>
              </w:rPr>
              <w:t>获取</w:t>
            </w:r>
            <w:r>
              <w:rPr>
                <w:rFonts w:hint="eastAsia" w:ascii="宋体" w:hAnsi="宋体" w:eastAsia="宋体" w:cs="宋体"/>
                <w:sz w:val="24"/>
                <w:szCs w:val="24"/>
                <w:lang w:eastAsia="zh-CN"/>
              </w:rPr>
              <w:t>谈判文件</w:t>
            </w:r>
            <w:r>
              <w:rPr>
                <w:rFonts w:hint="eastAsia" w:ascii="宋体" w:hAnsi="宋体" w:eastAsia="宋体" w:cs="宋体"/>
                <w:sz w:val="24"/>
                <w:szCs w:val="24"/>
              </w:rPr>
              <w:t>，并于</w:t>
            </w:r>
            <w:r>
              <w:rPr>
                <w:rFonts w:hint="eastAsia" w:ascii="宋体" w:hAnsi="宋体" w:eastAsia="宋体" w:cs="宋体"/>
                <w:sz w:val="24"/>
                <w:szCs w:val="24"/>
                <w:lang w:val="en-US" w:eastAsia="zh-CN"/>
              </w:rPr>
              <w:t>2022年12月23日14点00分</w:t>
            </w:r>
            <w:r>
              <w:rPr>
                <w:rFonts w:hint="eastAsia" w:ascii="宋体" w:hAnsi="宋体" w:eastAsia="宋体" w:cs="宋体"/>
                <w:sz w:val="24"/>
                <w:szCs w:val="24"/>
              </w:rPr>
              <w:t>（北京时间）前递交谈判文件。本项目为竞争性谈判项目。</w:t>
            </w:r>
          </w:p>
        </w:tc>
      </w:tr>
    </w:tbl>
    <w:p>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textAlignment w:val="auto"/>
        <w:rPr>
          <w:rFonts w:hint="eastAsia" w:ascii="宋体" w:hAnsi="宋体" w:eastAsia="宋体" w:cs="宋体"/>
          <w:sz w:val="24"/>
          <w:szCs w:val="24"/>
        </w:rPr>
      </w:pPr>
      <w:bookmarkStart w:id="0" w:name="一、项目基本情况："/>
      <w:bookmarkEnd w:id="0"/>
      <w:r>
        <w:rPr>
          <w:rFonts w:hint="eastAsia" w:ascii="宋体" w:hAnsi="宋体" w:eastAsia="宋体" w:cs="宋体"/>
          <w:sz w:val="24"/>
          <w:szCs w:val="24"/>
        </w:rPr>
        <w:t>一、项目基本情况：</w:t>
      </w:r>
    </w:p>
    <w:p>
      <w:pPr>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 xml:space="preserve"> WLCG-LC-2022-004</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2023年度温岭市石塘镇松材线虫病除治服务采购项目（重新招标）</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50</w:t>
      </w:r>
      <w:r>
        <w:rPr>
          <w:rFonts w:hint="eastAsia" w:ascii="宋体" w:hAnsi="宋体" w:eastAsia="宋体" w:cs="宋体"/>
          <w:sz w:val="24"/>
          <w:szCs w:val="24"/>
        </w:rPr>
        <w:t>万元</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采购需求：具体详见采购需求。</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合同履行期限：详见合同条款。</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u w:val="single"/>
        </w:rPr>
        <w:t>不接受</w:t>
      </w:r>
      <w:r>
        <w:rPr>
          <w:rFonts w:hint="eastAsia" w:ascii="宋体" w:hAnsi="宋体" w:eastAsia="宋体" w:cs="宋体"/>
          <w:sz w:val="24"/>
          <w:szCs w:val="24"/>
        </w:rPr>
        <w:t>联合体</w:t>
      </w:r>
      <w:r>
        <w:rPr>
          <w:rFonts w:hint="eastAsia" w:ascii="宋体" w:hAnsi="宋体" w:eastAsia="宋体" w:cs="宋体"/>
          <w:sz w:val="24"/>
          <w:szCs w:val="24"/>
          <w:lang w:eastAsia="zh-CN"/>
        </w:rPr>
        <w:t>谈判响应</w:t>
      </w:r>
      <w:r>
        <w:rPr>
          <w:rFonts w:hint="eastAsia" w:ascii="宋体" w:hAnsi="宋体" w:eastAsia="宋体" w:cs="宋体"/>
          <w:sz w:val="24"/>
          <w:szCs w:val="24"/>
        </w:rPr>
        <w:t>。</w:t>
      </w:r>
    </w:p>
    <w:p>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textAlignment w:val="auto"/>
        <w:rPr>
          <w:rFonts w:hint="eastAsia" w:ascii="宋体" w:hAnsi="宋体" w:eastAsia="宋体" w:cs="宋体"/>
          <w:sz w:val="24"/>
          <w:szCs w:val="24"/>
        </w:rPr>
      </w:pPr>
      <w:bookmarkStart w:id="1" w:name="二、申请人的资格要求："/>
      <w:bookmarkEnd w:id="1"/>
      <w:r>
        <w:rPr>
          <w:rFonts w:hint="eastAsia" w:ascii="宋体" w:hAnsi="宋体" w:eastAsia="宋体" w:cs="宋体"/>
          <w:sz w:val="24"/>
          <w:szCs w:val="24"/>
        </w:rPr>
        <w:t>二、申请人的资格要求：</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pacing w:val="-6"/>
          <w:sz w:val="24"/>
          <w:szCs w:val="24"/>
        </w:rPr>
      </w:pPr>
      <w:r>
        <w:rPr>
          <w:rFonts w:hint="eastAsia" w:ascii="宋体" w:hAnsi="宋体" w:eastAsia="宋体" w:cs="宋体"/>
          <w:sz w:val="24"/>
          <w:szCs w:val="24"/>
        </w:rPr>
        <w:t>（一）</w:t>
      </w:r>
      <w:r>
        <w:rPr>
          <w:rFonts w:hint="eastAsia" w:ascii="宋体" w:hAnsi="宋体" w:eastAsia="宋体" w:cs="宋体"/>
          <w:spacing w:val="-6"/>
          <w:sz w:val="24"/>
          <w:szCs w:val="24"/>
        </w:rPr>
        <w:t>符合《中华人民共和国政府采购法》第二十二条规定的</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资格条件。</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具有良好的商业信誉和健全的财务会计制度；</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具有履行合同所必需的设备和专业技术能力；</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有依法缴纳税收和社会保障资金的良好记录；</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参加政府采购活动前三年内，在经营活动中没有重大违法记录；</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法律、行政法规规定的其他条件。</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落实政府采购政策需满足的资格要求：</w:t>
      </w:r>
      <w:r>
        <w:rPr>
          <w:rFonts w:hint="eastAsia" w:ascii="宋体" w:hAnsi="宋体" w:eastAsia="宋体" w:cs="宋体"/>
          <w:sz w:val="24"/>
          <w:szCs w:val="24"/>
          <w:lang w:eastAsia="zh-CN"/>
        </w:rPr>
        <w:t>本项目整体专门面向中小企业采购（本项目服务由符合政策要求的中小企业承接）；监狱企业、残疾人福利性单位视同小型、微型企业。</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本项目的特定资格条件：无。</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）截止</w:t>
      </w:r>
      <w:r>
        <w:rPr>
          <w:rFonts w:hint="eastAsia" w:ascii="宋体" w:hAnsi="宋体" w:eastAsia="宋体" w:cs="宋体"/>
          <w:sz w:val="24"/>
          <w:szCs w:val="24"/>
          <w:lang w:eastAsia="zh-CN"/>
        </w:rPr>
        <w:t>谈判响应</w:t>
      </w:r>
      <w:r>
        <w:rPr>
          <w:rFonts w:hint="eastAsia" w:ascii="宋体" w:hAnsi="宋体" w:eastAsia="宋体" w:cs="宋体"/>
          <w:sz w:val="24"/>
          <w:szCs w:val="24"/>
        </w:rPr>
        <w:t>截止时间前（北京时间），</w:t>
      </w:r>
      <w:r>
        <w:rPr>
          <w:rFonts w:hint="eastAsia" w:ascii="宋体" w:hAnsi="宋体" w:eastAsia="宋体" w:cs="宋体"/>
          <w:sz w:val="24"/>
          <w:szCs w:val="24"/>
          <w:lang w:eastAsia="zh-CN"/>
        </w:rPr>
        <w:t>供应商</w:t>
      </w:r>
      <w:r>
        <w:rPr>
          <w:rFonts w:hint="eastAsia" w:ascii="宋体" w:hAnsi="宋体" w:eastAsia="宋体" w:cs="宋体"/>
          <w:sz w:val="24"/>
          <w:szCs w:val="24"/>
        </w:rPr>
        <w:t>未被“信用中国”</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\h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\h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）列入失信被执行人、重大税收违法</w:t>
      </w:r>
      <w:r>
        <w:rPr>
          <w:rFonts w:hint="eastAsia" w:ascii="宋体" w:hAnsi="宋体" w:eastAsia="宋体" w:cs="宋体"/>
          <w:sz w:val="24"/>
          <w:szCs w:val="24"/>
          <w:lang w:val="en-US" w:eastAsia="zh-CN"/>
        </w:rPr>
        <w:t>失信主体</w:t>
      </w:r>
      <w:r>
        <w:rPr>
          <w:rFonts w:hint="eastAsia" w:ascii="宋体" w:hAnsi="宋体" w:eastAsia="宋体" w:cs="宋体"/>
          <w:sz w:val="24"/>
          <w:szCs w:val="24"/>
        </w:rPr>
        <w:t>、政府采购严重违法失信行为记录名单。</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）单位负责人为同一人或者存在直接控股、管理关系的不同供应商，不得参加同一合同项下的政府采购活动。</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）为采购项目提供整体设计、规范编制或者项目管理、监理、检测等服务的供应商，不得再参加该采购项目的其他采购活动。</w:t>
      </w:r>
    </w:p>
    <w:p>
      <w:pPr>
        <w:pStyle w:val="8"/>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）公益一类事业单位不属于政府购买服务的承接主体，不得参与承接政府购买服务。</w:t>
      </w:r>
    </w:p>
    <w:p>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textAlignment w:val="auto"/>
        <w:rPr>
          <w:rFonts w:hint="eastAsia" w:ascii="宋体" w:hAnsi="宋体" w:eastAsia="宋体" w:cs="宋体"/>
          <w:sz w:val="24"/>
          <w:szCs w:val="24"/>
        </w:rPr>
      </w:pPr>
      <w:bookmarkStart w:id="2" w:name="三、获取招标文件："/>
      <w:bookmarkEnd w:id="2"/>
      <w:r>
        <w:rPr>
          <w:rFonts w:hint="eastAsia" w:ascii="宋体" w:hAnsi="宋体" w:eastAsia="宋体" w:cs="宋体"/>
          <w:sz w:val="24"/>
          <w:szCs w:val="24"/>
        </w:rPr>
        <w:t>三、获取</w:t>
      </w:r>
      <w:r>
        <w:rPr>
          <w:rFonts w:hint="eastAsia" w:ascii="宋体" w:hAnsi="宋体" w:eastAsia="宋体" w:cs="宋体"/>
          <w:sz w:val="24"/>
          <w:szCs w:val="24"/>
          <w:lang w:eastAsia="zh-CN"/>
        </w:rPr>
        <w:t>谈判文件的时间、地址及方式</w:t>
      </w:r>
      <w:r>
        <w:rPr>
          <w:rFonts w:hint="eastAsia" w:ascii="宋体" w:hAnsi="宋体" w:eastAsia="宋体" w:cs="宋体"/>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（一）获取时间：</w:t>
      </w:r>
      <w:r>
        <w:rPr>
          <w:rFonts w:ascii="宋体" w:hAnsi="宋体" w:eastAsia="宋体" w:cs="宋体"/>
          <w:sz w:val="24"/>
          <w:szCs w:val="24"/>
        </w:rPr>
        <w:t>谈判开始时间前</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（二）获取地址：浙江政府采购网</w:t>
      </w:r>
      <w:r>
        <w:rPr>
          <w:rFonts w:hint="eastAsia" w:ascii="宋体" w:hAnsi="宋体" w:eastAsia="宋体" w:cs="宋体"/>
          <w:sz w:val="24"/>
          <w:szCs w:val="24"/>
          <w:lang w:val="en-US" w:eastAsia="zh-CN"/>
        </w:rPr>
        <w:t>“政府采购云平台”</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（三）获取方式：</w:t>
      </w:r>
    </w:p>
    <w:p>
      <w:pPr>
        <w:pStyle w:val="19"/>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尚未注册浙江政府采购网正式供应商的应先进行注册申请，注册流程详见“浙江政府采购网—网上办事指南—供应商注册申请”，注册申请免费。</w:t>
      </w:r>
    </w:p>
    <w:p>
      <w:pPr>
        <w:pStyle w:val="19"/>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32" w:firstLineChars="200"/>
        <w:jc w:val="both"/>
        <w:textAlignment w:val="auto"/>
        <w:rPr>
          <w:rFonts w:hint="eastAsia" w:ascii="宋体" w:hAnsi="宋体" w:eastAsia="宋体" w:cs="宋体"/>
          <w:sz w:val="24"/>
          <w:szCs w:val="24"/>
        </w:rPr>
      </w:pPr>
      <w:r>
        <w:rPr>
          <w:rFonts w:hint="eastAsia" w:ascii="宋体" w:hAnsi="宋体" w:eastAsia="宋体" w:cs="宋体"/>
          <w:spacing w:val="-12"/>
          <w:sz w:val="24"/>
          <w:szCs w:val="24"/>
          <w:lang w:val="en-US" w:eastAsia="zh-CN"/>
        </w:rPr>
        <w:t>2.</w:t>
      </w:r>
      <w:r>
        <w:rPr>
          <w:rFonts w:hint="eastAsia" w:ascii="宋体" w:hAnsi="宋体" w:eastAsia="宋体" w:cs="宋体"/>
          <w:spacing w:val="-12"/>
          <w:sz w:val="24"/>
          <w:szCs w:val="24"/>
        </w:rPr>
        <w:t>供应商注册成功后，登录“政采云”平台进入“项目采购”应用模块，点击菜单的“申请</w:t>
      </w:r>
      <w:r>
        <w:rPr>
          <w:rFonts w:hint="eastAsia" w:ascii="宋体" w:hAnsi="宋体" w:eastAsia="宋体" w:cs="宋体"/>
          <w:spacing w:val="-13"/>
          <w:sz w:val="24"/>
          <w:szCs w:val="24"/>
        </w:rPr>
        <w:t>获取</w:t>
      </w:r>
      <w:r>
        <w:rPr>
          <w:rFonts w:hint="eastAsia" w:ascii="宋体" w:hAnsi="宋体" w:eastAsia="宋体" w:cs="宋体"/>
          <w:spacing w:val="-13"/>
          <w:sz w:val="24"/>
          <w:szCs w:val="24"/>
          <w:lang w:eastAsia="zh-CN"/>
        </w:rPr>
        <w:t>谈判文件</w:t>
      </w:r>
      <w:r>
        <w:rPr>
          <w:rFonts w:hint="eastAsia" w:ascii="宋体" w:hAnsi="宋体" w:eastAsia="宋体" w:cs="宋体"/>
          <w:spacing w:val="-13"/>
          <w:sz w:val="24"/>
          <w:szCs w:val="24"/>
        </w:rPr>
        <w:t>”，填写获取</w:t>
      </w:r>
      <w:r>
        <w:rPr>
          <w:rFonts w:hint="eastAsia" w:ascii="宋体" w:hAnsi="宋体" w:eastAsia="宋体" w:cs="宋体"/>
          <w:spacing w:val="-13"/>
          <w:sz w:val="24"/>
          <w:szCs w:val="24"/>
          <w:lang w:eastAsia="zh-CN"/>
        </w:rPr>
        <w:t>谈判文件</w:t>
      </w:r>
      <w:r>
        <w:rPr>
          <w:rFonts w:hint="eastAsia" w:ascii="宋体" w:hAnsi="宋体" w:eastAsia="宋体" w:cs="宋体"/>
          <w:spacing w:val="-13"/>
          <w:sz w:val="24"/>
          <w:szCs w:val="24"/>
        </w:rPr>
        <w:t>的申请信息。点击“下载</w:t>
      </w:r>
      <w:r>
        <w:rPr>
          <w:rFonts w:hint="eastAsia" w:ascii="宋体" w:hAnsi="宋体" w:eastAsia="宋体" w:cs="宋体"/>
          <w:spacing w:val="-13"/>
          <w:sz w:val="24"/>
          <w:szCs w:val="24"/>
          <w:lang w:eastAsia="zh-CN"/>
        </w:rPr>
        <w:t>谈判文件</w:t>
      </w:r>
      <w:r>
        <w:rPr>
          <w:rFonts w:hint="eastAsia" w:ascii="宋体" w:hAnsi="宋体" w:eastAsia="宋体" w:cs="宋体"/>
          <w:spacing w:val="-13"/>
          <w:sz w:val="24"/>
          <w:szCs w:val="24"/>
        </w:rPr>
        <w:t>”即可获取</w:t>
      </w:r>
      <w:r>
        <w:rPr>
          <w:rFonts w:hint="eastAsia" w:ascii="宋体" w:hAnsi="宋体" w:eastAsia="宋体" w:cs="宋体"/>
          <w:spacing w:val="-13"/>
          <w:sz w:val="24"/>
          <w:szCs w:val="24"/>
          <w:lang w:eastAsia="zh-CN"/>
        </w:rPr>
        <w:t>谈判文件</w:t>
      </w:r>
      <w:r>
        <w:rPr>
          <w:rFonts w:hint="eastAsia" w:ascii="宋体" w:hAnsi="宋体" w:eastAsia="宋体" w:cs="宋体"/>
          <w:spacing w:val="-13"/>
          <w:sz w:val="24"/>
          <w:szCs w:val="24"/>
        </w:rPr>
        <w:t>。</w:t>
      </w:r>
    </w:p>
    <w:p>
      <w:pPr>
        <w:pStyle w:val="19"/>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采购公告上附件里的</w:t>
      </w:r>
      <w:r>
        <w:rPr>
          <w:rFonts w:hint="eastAsia" w:ascii="宋体" w:hAnsi="宋体" w:eastAsia="宋体" w:cs="宋体"/>
          <w:sz w:val="24"/>
          <w:szCs w:val="24"/>
          <w:lang w:eastAsia="zh-CN"/>
        </w:rPr>
        <w:t>谈判文件</w:t>
      </w:r>
      <w:r>
        <w:rPr>
          <w:rFonts w:hint="eastAsia" w:ascii="宋体" w:hAnsi="宋体" w:eastAsia="宋体" w:cs="宋体"/>
          <w:sz w:val="24"/>
          <w:szCs w:val="24"/>
        </w:rPr>
        <w:t>仅供阅览使用，供应商应当在“政采云”平台注册登记后再获取</w:t>
      </w:r>
      <w:r>
        <w:rPr>
          <w:rFonts w:hint="eastAsia" w:ascii="宋体" w:hAnsi="宋体" w:eastAsia="宋体" w:cs="宋体"/>
          <w:sz w:val="24"/>
          <w:szCs w:val="24"/>
          <w:lang w:eastAsia="zh-CN"/>
        </w:rPr>
        <w:t>谈判文件</w:t>
      </w:r>
      <w:r>
        <w:rPr>
          <w:rFonts w:hint="eastAsia" w:ascii="宋体" w:hAnsi="宋体" w:eastAsia="宋体" w:cs="宋体"/>
          <w:sz w:val="24"/>
          <w:szCs w:val="24"/>
        </w:rPr>
        <w:t>，没有通过注册登记而获取</w:t>
      </w:r>
      <w:r>
        <w:rPr>
          <w:rFonts w:hint="eastAsia" w:ascii="宋体" w:hAnsi="宋体" w:eastAsia="宋体" w:cs="宋体"/>
          <w:sz w:val="24"/>
          <w:szCs w:val="24"/>
          <w:lang w:eastAsia="zh-CN"/>
        </w:rPr>
        <w:t>谈判文件</w:t>
      </w:r>
      <w:r>
        <w:rPr>
          <w:rFonts w:hint="eastAsia" w:ascii="宋体" w:hAnsi="宋体" w:eastAsia="宋体" w:cs="宋体"/>
          <w:sz w:val="24"/>
          <w:szCs w:val="24"/>
        </w:rPr>
        <w:t>的潜在供应商，对</w:t>
      </w:r>
      <w:r>
        <w:rPr>
          <w:rFonts w:hint="eastAsia" w:ascii="宋体" w:hAnsi="宋体" w:eastAsia="宋体" w:cs="宋体"/>
          <w:sz w:val="24"/>
          <w:szCs w:val="24"/>
          <w:lang w:eastAsia="zh-CN"/>
        </w:rPr>
        <w:t>谈判文件</w:t>
      </w:r>
      <w:r>
        <w:rPr>
          <w:rFonts w:hint="eastAsia" w:ascii="宋体" w:hAnsi="宋体" w:eastAsia="宋体" w:cs="宋体"/>
          <w:sz w:val="24"/>
          <w:szCs w:val="24"/>
        </w:rPr>
        <w:t>提起质疑投诉的，不予受理。</w:t>
      </w:r>
    </w:p>
    <w:p>
      <w:pPr>
        <w:pStyle w:val="19"/>
        <w:keepNext w:val="0"/>
        <w:keepLines w:val="0"/>
        <w:pageBreakBefore w:val="0"/>
        <w:widowControl w:val="0"/>
        <w:numPr>
          <w:ilvl w:val="0"/>
          <w:numId w:val="0"/>
        </w:numPr>
        <w:tabs>
          <w:tab w:val="left" w:pos="1335"/>
        </w:tabs>
        <w:kinsoku/>
        <w:wordWrap/>
        <w:overflowPunct/>
        <w:topLinePunct w:val="0"/>
        <w:autoSpaceDE w:val="0"/>
        <w:autoSpaceDN w:val="0"/>
        <w:bidi w:val="0"/>
        <w:adjustRightInd/>
        <w:snapToGrid/>
        <w:spacing w:before="0" w:after="0" w:line="336" w:lineRule="exact"/>
        <w:ind w:left="0" w:leftChars="0" w:right="0" w:rightChars="0" w:firstLine="480" w:firstLineChars="200"/>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pacing w:val="-11"/>
          <w:sz w:val="24"/>
          <w:szCs w:val="24"/>
          <w:lang w:val="en-US" w:eastAsia="zh-CN"/>
        </w:rPr>
        <w:t>采购代理机构将拒绝接受非通过以上方式获取谈判文件的供应商谈判响应文件。</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default" w:ascii="宋体" w:hAnsi="宋体" w:eastAsia="宋体" w:cs="宋体"/>
          <w:sz w:val="24"/>
          <w:szCs w:val="24"/>
          <w:lang w:val="en-US" w:eastAsia="zh-CN"/>
        </w:rPr>
      </w:pPr>
      <w:bookmarkStart w:id="3" w:name="四、提交投标文件截止时间、开标时间和地点"/>
      <w:bookmarkEnd w:id="3"/>
      <w:r>
        <w:rPr>
          <w:rFonts w:hint="eastAsia" w:ascii="宋体" w:hAnsi="宋体" w:eastAsia="宋体" w:cs="宋体"/>
          <w:sz w:val="24"/>
          <w:szCs w:val="24"/>
          <w:lang w:eastAsia="zh-CN"/>
        </w:rPr>
        <w:t>（四）售价：</w:t>
      </w:r>
      <w:r>
        <w:rPr>
          <w:rFonts w:hint="eastAsia" w:ascii="宋体" w:hAnsi="宋体" w:eastAsia="宋体" w:cs="宋体"/>
          <w:sz w:val="24"/>
          <w:szCs w:val="24"/>
          <w:lang w:val="en-US" w:eastAsia="zh-CN"/>
        </w:rPr>
        <w:t>0元</w:t>
      </w:r>
    </w:p>
    <w:p>
      <w:pPr>
        <w:pStyle w:val="6"/>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sz w:val="24"/>
          <w:szCs w:val="24"/>
          <w:u w:val="single"/>
          <w:lang w:val="zh-CN" w:eastAsia="zh-CN"/>
        </w:rPr>
      </w:pPr>
      <w:r>
        <w:rPr>
          <w:rFonts w:hint="eastAsia" w:ascii="宋体" w:hAnsi="宋体" w:eastAsia="宋体" w:cs="宋体"/>
          <w:sz w:val="24"/>
          <w:szCs w:val="24"/>
        </w:rPr>
        <w:t>四、</w:t>
      </w:r>
      <w:r>
        <w:rPr>
          <w:rFonts w:hint="eastAsia" w:ascii="宋体" w:hAnsi="宋体" w:eastAsia="宋体" w:cs="宋体"/>
          <w:sz w:val="24"/>
          <w:szCs w:val="24"/>
          <w:lang w:eastAsia="zh-CN"/>
        </w:rPr>
        <w:t>谈判响应</w:t>
      </w:r>
      <w:r>
        <w:rPr>
          <w:rFonts w:hint="eastAsia" w:ascii="宋体" w:hAnsi="宋体" w:eastAsia="宋体" w:cs="宋体"/>
          <w:sz w:val="24"/>
          <w:szCs w:val="24"/>
        </w:rPr>
        <w:t>文件</w:t>
      </w:r>
      <w:r>
        <w:rPr>
          <w:rFonts w:hint="eastAsia" w:ascii="宋体" w:hAnsi="宋体" w:eastAsia="宋体" w:cs="宋体"/>
          <w:sz w:val="24"/>
          <w:szCs w:val="24"/>
          <w:lang w:eastAsia="zh-CN"/>
        </w:rPr>
        <w:t>递交</w:t>
      </w:r>
      <w:r>
        <w:rPr>
          <w:rFonts w:hint="eastAsia" w:ascii="宋体" w:hAnsi="宋体" w:eastAsia="宋体" w:cs="宋体"/>
          <w:sz w:val="24"/>
          <w:szCs w:val="24"/>
        </w:rPr>
        <w:t>截止时间</w:t>
      </w:r>
      <w:r>
        <w:rPr>
          <w:rFonts w:hint="eastAsia" w:ascii="宋体" w:hAnsi="宋体" w:eastAsia="宋体" w:cs="宋体"/>
          <w:sz w:val="24"/>
          <w:szCs w:val="24"/>
          <w:lang w:eastAsia="zh-CN"/>
        </w:rPr>
        <w:t>：</w:t>
      </w:r>
      <w:r>
        <w:rPr>
          <w:rFonts w:hint="eastAsia" w:ascii="宋体" w:hAnsi="宋体" w:eastAsia="宋体" w:cs="宋体"/>
          <w:sz w:val="24"/>
          <w:szCs w:val="24"/>
          <w:u w:val="thick"/>
          <w:lang w:val="en-US" w:eastAsia="zh-CN"/>
        </w:rPr>
        <w:t>2022年12月23日14点00分</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2" w:firstLineChars="20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bidi="zh-CN"/>
        </w:rPr>
        <w:t>五、谈判响应文件递交地点：</w:t>
      </w:r>
      <w:r>
        <w:rPr>
          <w:rFonts w:hint="eastAsia" w:ascii="宋体" w:hAnsi="宋体" w:eastAsia="宋体" w:cs="宋体"/>
          <w:sz w:val="24"/>
          <w:szCs w:val="24"/>
          <w:lang w:val="zh-CN" w:eastAsia="zh-CN"/>
        </w:rPr>
        <w:t>供应商应于谈判响应截止时间之前将电子谈判响应文件上传到“政府采购云平台”</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2" w:firstLineChars="20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bidi="zh-CN"/>
        </w:rPr>
        <w:t>六、谈判开始时间：</w:t>
      </w:r>
      <w:r>
        <w:rPr>
          <w:rFonts w:hint="eastAsia" w:ascii="宋体" w:hAnsi="宋体" w:eastAsia="宋体" w:cs="宋体"/>
          <w:b/>
          <w:bCs/>
          <w:sz w:val="24"/>
          <w:szCs w:val="24"/>
          <w:u w:val="thick"/>
          <w:lang w:val="en-US" w:eastAsia="zh-CN"/>
        </w:rPr>
        <w:t>2022年12月23日14点00分</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开标时间后 30 分钟内，供应商须登录“政采云”平台，用“项目采购-开标评标”功能解密电子谈判响应文件。</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val="zh-CN" w:eastAsia="zh-CN"/>
        </w:rPr>
        <w:t>谈判地址：</w:t>
      </w:r>
      <w:r>
        <w:rPr>
          <w:rFonts w:hint="eastAsia" w:ascii="宋体" w:hAnsi="宋体" w:eastAsia="宋体" w:cs="宋体"/>
          <w:sz w:val="24"/>
          <w:szCs w:val="24"/>
          <w:lang w:val="zh-CN" w:eastAsia="zh-CN"/>
        </w:rPr>
        <w:t>“政府采购云平台”线上谈判。</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en-US" w:eastAsia="zh-CN"/>
        </w:rPr>
        <w:t>八、谈判保证金：</w:t>
      </w:r>
      <w:r>
        <w:rPr>
          <w:rFonts w:hint="eastAsia" w:ascii="宋体" w:hAnsi="宋体" w:eastAsia="宋体" w:cs="宋体"/>
          <w:b w:val="0"/>
          <w:bCs w:val="0"/>
          <w:sz w:val="24"/>
          <w:szCs w:val="24"/>
          <w:lang w:val="en-US" w:eastAsia="zh-CN"/>
        </w:rPr>
        <w:t>不收取</w:t>
      </w:r>
    </w:p>
    <w:p>
      <w:pPr>
        <w:keepNext w:val="0"/>
        <w:keepLines w:val="0"/>
        <w:pageBreakBefore w:val="0"/>
        <w:widowControl w:val="0"/>
        <w:kinsoku/>
        <w:wordWrap/>
        <w:overflowPunct/>
        <w:topLinePunct w:val="0"/>
        <w:autoSpaceDE w:val="0"/>
        <w:autoSpaceDN w:val="0"/>
        <w:bidi w:val="0"/>
        <w:adjustRightInd/>
        <w:snapToGrid/>
        <w:spacing w:before="0" w:line="336" w:lineRule="exact"/>
        <w:ind w:right="0" w:firstLine="482" w:firstLineChars="200"/>
        <w:jc w:val="both"/>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bCs/>
          <w:sz w:val="24"/>
          <w:szCs w:val="24"/>
          <w:lang w:val="zh-CN" w:eastAsia="zh-CN" w:bidi="zh-CN"/>
        </w:rPr>
        <w:t>九、公告期限：</w:t>
      </w:r>
      <w:r>
        <w:rPr>
          <w:rFonts w:hint="eastAsia" w:ascii="宋体" w:hAnsi="宋体" w:eastAsia="宋体" w:cs="宋体"/>
          <w:b w:val="0"/>
          <w:bCs w:val="0"/>
          <w:sz w:val="24"/>
          <w:szCs w:val="24"/>
          <w:lang w:val="zh-CN" w:eastAsia="zh-CN" w:bidi="zh-CN"/>
        </w:rPr>
        <w:t>自本公告发布之日起</w:t>
      </w:r>
      <w:r>
        <w:rPr>
          <w:rFonts w:hint="eastAsia" w:ascii="宋体" w:hAnsi="宋体" w:eastAsia="宋体" w:cs="宋体"/>
          <w:b w:val="0"/>
          <w:bCs w:val="0"/>
          <w:sz w:val="24"/>
          <w:szCs w:val="24"/>
          <w:lang w:val="en-US" w:eastAsia="zh-CN" w:bidi="zh-CN"/>
        </w:rPr>
        <w:t>3</w:t>
      </w:r>
      <w:r>
        <w:rPr>
          <w:rFonts w:hint="eastAsia" w:ascii="宋体" w:hAnsi="宋体" w:eastAsia="宋体" w:cs="宋体"/>
          <w:b w:val="0"/>
          <w:bCs w:val="0"/>
          <w:sz w:val="24"/>
          <w:szCs w:val="24"/>
          <w:lang w:val="zh-CN" w:eastAsia="zh-CN" w:bidi="zh-CN"/>
        </w:rPr>
        <w:t>个工作日。</w:t>
      </w:r>
    </w:p>
    <w:p>
      <w:pPr>
        <w:keepNext w:val="0"/>
        <w:keepLines w:val="0"/>
        <w:pageBreakBefore w:val="0"/>
        <w:widowControl w:val="0"/>
        <w:kinsoku/>
        <w:wordWrap/>
        <w:overflowPunct/>
        <w:topLinePunct w:val="0"/>
        <w:autoSpaceDE w:val="0"/>
        <w:autoSpaceDN w:val="0"/>
        <w:bidi w:val="0"/>
        <w:adjustRightInd/>
        <w:snapToGrid/>
        <w:spacing w:before="0" w:line="336" w:lineRule="exact"/>
        <w:ind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zh-CN" w:eastAsia="zh-CN" w:bidi="zh-CN"/>
        </w:rPr>
        <w:t>十、电子招标其他补充事宜：</w:t>
      </w:r>
      <w:bookmarkStart w:id="4" w:name="（一）电子招投标相关事宜："/>
      <w:bookmarkEnd w:id="4"/>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1、供应商注册：</w:t>
      </w:r>
      <w:r>
        <w:rPr>
          <w:rFonts w:hint="eastAsia" w:ascii="宋体" w:hAnsi="宋体" w:eastAsia="宋体" w:cs="宋体"/>
          <w:sz w:val="24"/>
          <w:szCs w:val="24"/>
          <w:lang w:eastAsia="zh-CN"/>
        </w:rPr>
        <w:t>供应商</w:t>
      </w:r>
      <w:r>
        <w:rPr>
          <w:rFonts w:hint="eastAsia" w:ascii="宋体" w:hAnsi="宋体" w:eastAsia="宋体" w:cs="宋体"/>
          <w:sz w:val="24"/>
          <w:szCs w:val="24"/>
        </w:rPr>
        <w:t>应为浙江政府采购注册供应商，如尚未注册，务必在</w:t>
      </w:r>
      <w:r>
        <w:rPr>
          <w:rFonts w:hint="eastAsia" w:ascii="宋体" w:hAnsi="宋体" w:eastAsia="宋体" w:cs="宋体"/>
          <w:sz w:val="24"/>
          <w:szCs w:val="24"/>
          <w:lang w:eastAsia="zh-CN"/>
        </w:rPr>
        <w:t>谈判响应</w:t>
      </w:r>
      <w:r>
        <w:rPr>
          <w:rFonts w:hint="eastAsia" w:ascii="宋体" w:hAnsi="宋体" w:eastAsia="宋体" w:cs="宋体"/>
          <w:sz w:val="24"/>
          <w:szCs w:val="24"/>
        </w:rPr>
        <w:t>截止时间前登陆浙江政府采购网进行注册。</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2、本项目采取电子招</w:t>
      </w:r>
      <w:r>
        <w:rPr>
          <w:rFonts w:hint="eastAsia" w:ascii="宋体" w:hAnsi="宋体" w:eastAsia="宋体" w:cs="宋体"/>
          <w:sz w:val="24"/>
          <w:szCs w:val="24"/>
          <w:lang w:eastAsia="zh-CN"/>
        </w:rPr>
        <w:t>谈判响应</w:t>
      </w:r>
      <w:r>
        <w:rPr>
          <w:rFonts w:hint="eastAsia" w:ascii="宋体" w:hAnsi="宋体" w:eastAsia="宋体" w:cs="宋体"/>
          <w:sz w:val="24"/>
          <w:szCs w:val="24"/>
        </w:rPr>
        <w:t>，电子招</w:t>
      </w:r>
      <w:r>
        <w:rPr>
          <w:rFonts w:hint="eastAsia" w:ascii="宋体" w:hAnsi="宋体" w:eastAsia="宋体" w:cs="宋体"/>
          <w:sz w:val="24"/>
          <w:szCs w:val="24"/>
          <w:lang w:eastAsia="zh-CN"/>
        </w:rPr>
        <w:t>谈判响应</w:t>
      </w:r>
      <w:r>
        <w:rPr>
          <w:rFonts w:hint="eastAsia" w:ascii="宋体" w:hAnsi="宋体" w:eastAsia="宋体" w:cs="宋体"/>
          <w:sz w:val="24"/>
          <w:szCs w:val="24"/>
        </w:rPr>
        <w:t>有关事项说明如下：</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36" w:lineRule="exact"/>
        <w:ind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"http://www.zcygov.cn/" \h </w:instrText>
      </w:r>
      <w:r>
        <w:rPr>
          <w:rFonts w:hint="eastAsia" w:ascii="宋体" w:hAnsi="宋体" w:eastAsia="宋体" w:cs="宋体"/>
          <w:sz w:val="24"/>
          <w:szCs w:val="24"/>
        </w:rPr>
        <w:fldChar w:fldCharType="separate"/>
      </w:r>
      <w:r>
        <w:rPr>
          <w:rFonts w:hint="eastAsia" w:ascii="宋体" w:hAnsi="宋体" w:eastAsia="宋体" w:cs="宋体"/>
          <w:sz w:val="24"/>
          <w:szCs w:val="24"/>
        </w:rPr>
        <w:t>本项目通过“政府采购云平台（www.zcygov.cn</w:t>
      </w:r>
      <w:r>
        <w:rPr>
          <w:rFonts w:hint="eastAsia" w:ascii="宋体" w:hAnsi="宋体" w:eastAsia="宋体" w:cs="宋体"/>
          <w:sz w:val="24"/>
          <w:szCs w:val="24"/>
        </w:rPr>
        <w:fldChar w:fldCharType="end"/>
      </w:r>
      <w:r>
        <w:rPr>
          <w:rFonts w:hint="eastAsia" w:ascii="宋体" w:hAnsi="宋体" w:eastAsia="宋体" w:cs="宋体"/>
          <w:sz w:val="24"/>
          <w:szCs w:val="24"/>
        </w:rPr>
        <w:t>）”实行电子</w:t>
      </w:r>
      <w:r>
        <w:rPr>
          <w:rFonts w:hint="eastAsia" w:ascii="宋体" w:hAnsi="宋体" w:eastAsia="宋体" w:cs="宋体"/>
          <w:sz w:val="24"/>
          <w:szCs w:val="24"/>
          <w:lang w:eastAsia="zh-CN"/>
        </w:rPr>
        <w:t>谈判响应</w:t>
      </w:r>
      <w:r>
        <w:rPr>
          <w:rFonts w:hint="eastAsia" w:ascii="宋体" w:hAnsi="宋体" w:eastAsia="宋体" w:cs="宋体"/>
          <w:sz w:val="24"/>
          <w:szCs w:val="24"/>
        </w:rPr>
        <w:t>，供应商须安装客户端软件，并按照</w:t>
      </w:r>
      <w:r>
        <w:rPr>
          <w:rFonts w:hint="eastAsia" w:ascii="宋体" w:hAnsi="宋体" w:eastAsia="宋体" w:cs="宋体"/>
          <w:sz w:val="24"/>
          <w:szCs w:val="24"/>
          <w:lang w:eastAsia="zh-CN"/>
        </w:rPr>
        <w:t>谈判文件</w:t>
      </w:r>
      <w:r>
        <w:rPr>
          <w:rFonts w:hint="eastAsia" w:ascii="宋体" w:hAnsi="宋体" w:eastAsia="宋体" w:cs="宋体"/>
          <w:sz w:val="24"/>
          <w:szCs w:val="24"/>
        </w:rPr>
        <w:t>和电子交易平台的要求编制并加密</w:t>
      </w:r>
      <w:r>
        <w:rPr>
          <w:rFonts w:hint="eastAsia" w:ascii="宋体" w:hAnsi="宋体" w:eastAsia="宋体" w:cs="宋体"/>
          <w:sz w:val="24"/>
          <w:szCs w:val="24"/>
          <w:lang w:eastAsia="zh-CN"/>
        </w:rPr>
        <w:t>谈判响应</w:t>
      </w:r>
      <w:r>
        <w:rPr>
          <w:rFonts w:hint="eastAsia" w:ascii="宋体" w:hAnsi="宋体" w:eastAsia="宋体" w:cs="宋体"/>
          <w:sz w:val="24"/>
          <w:szCs w:val="24"/>
        </w:rPr>
        <w:t>、响应文件。供应商未按规定加密的</w:t>
      </w:r>
      <w:r>
        <w:rPr>
          <w:rFonts w:hint="eastAsia" w:ascii="宋体" w:hAnsi="宋体" w:eastAsia="宋体" w:cs="宋体"/>
          <w:sz w:val="24"/>
          <w:szCs w:val="24"/>
          <w:lang w:eastAsia="zh-CN"/>
        </w:rPr>
        <w:t>谈判响应</w:t>
      </w:r>
      <w:r>
        <w:rPr>
          <w:rFonts w:hint="eastAsia" w:ascii="宋体" w:hAnsi="宋体" w:eastAsia="宋体" w:cs="宋体"/>
          <w:sz w:val="24"/>
          <w:szCs w:val="24"/>
        </w:rPr>
        <w:t>、响应文件，电子交易平台将拒收并提示。</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客户端软件下载方式：供应商可通过“浙江政府采购网-下载专区-电子交易客户端”进行下载。</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336" w:lineRule="exact"/>
        <w:ind w:leftChars="0" w:right="0" w:rightChars="0" w:firstLine="464" w:firstLineChars="200"/>
        <w:jc w:val="left"/>
        <w:textAlignment w:val="auto"/>
        <w:rPr>
          <w:rFonts w:hint="eastAsia" w:ascii="宋体" w:hAnsi="宋体" w:eastAsia="宋体" w:cs="宋体"/>
          <w:spacing w:val="-11"/>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hint="eastAsia" w:ascii="宋体" w:hAnsi="宋体" w:eastAsia="宋体" w:cs="宋体"/>
          <w:spacing w:val="-11"/>
          <w:sz w:val="24"/>
          <w:szCs w:val="24"/>
        </w:rPr>
        <w:t>供应商须申领 CA，并在政采云平台完成绑定方可进行</w:t>
      </w:r>
      <w:r>
        <w:rPr>
          <w:rFonts w:hint="eastAsia" w:ascii="宋体" w:hAnsi="宋体" w:eastAsia="宋体" w:cs="宋体"/>
          <w:spacing w:val="-11"/>
          <w:sz w:val="24"/>
          <w:szCs w:val="24"/>
          <w:lang w:eastAsia="zh-CN"/>
        </w:rPr>
        <w:t>谈判响应</w:t>
      </w:r>
      <w:r>
        <w:rPr>
          <w:rFonts w:hint="eastAsia" w:ascii="宋体" w:hAnsi="宋体" w:eastAsia="宋体" w:cs="宋体"/>
          <w:spacing w:val="-11"/>
          <w:sz w:val="24"/>
          <w:szCs w:val="24"/>
        </w:rPr>
        <w:t>文件的编制，CA 相关操作可参考“浙江政府采购网-下载专区-电子交易客户端-CA 驱动和申领流程”。</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供应商在进行上述操作时，如遇技术问题可致电 400-881-7190 进行咨询。</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sz w:val="24"/>
          <w:szCs w:val="24"/>
        </w:rPr>
      </w:pPr>
      <w:bookmarkStart w:id="5" w:name="（三）质疑和投诉："/>
      <w:bookmarkEnd w:id="5"/>
      <w:r>
        <w:rPr>
          <w:rFonts w:hint="eastAsia" w:ascii="宋体" w:hAnsi="宋体" w:eastAsia="宋体" w:cs="宋体"/>
          <w:b/>
          <w:bCs/>
          <w:sz w:val="24"/>
          <w:szCs w:val="24"/>
          <w:lang w:val="zh-CN" w:eastAsia="zh-CN" w:bidi="zh-CN"/>
        </w:rPr>
        <w:t>十一、质疑和投诉：</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1、供应商认为</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2、质疑函范本、投诉书范本请到浙江政府采购网下载专区下载。</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3、书面质疑受理地点：</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汪颖轩</w:t>
      </w:r>
      <w:r>
        <w:rPr>
          <w:rFonts w:hint="eastAsia" w:ascii="宋体" w:hAnsi="宋体" w:eastAsia="宋体" w:cs="宋体"/>
          <w:kern w:val="0"/>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86666819</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浙江省温岭市阳光大道157号科创大厦20楼</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十二、公告发布媒体：</w:t>
      </w:r>
    </w:p>
    <w:p>
      <w:pPr>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浙江省政府采购网（ http://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"http://www.zjzfcg.gov.cn/" \h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www.zjzfcg.gov.cn </w:t>
      </w:r>
      <w:r>
        <w:rPr>
          <w:rFonts w:hint="eastAsia" w:ascii="宋体" w:hAnsi="宋体" w:eastAsia="宋体" w:cs="宋体"/>
          <w:sz w:val="24"/>
          <w:szCs w:val="24"/>
        </w:rPr>
        <w:fldChar w:fldCharType="end"/>
      </w:r>
      <w:r>
        <w:rPr>
          <w:rFonts w:hint="eastAsia" w:ascii="宋体" w:hAnsi="宋体" w:eastAsia="宋体" w:cs="宋体"/>
          <w:sz w:val="24"/>
          <w:szCs w:val="24"/>
        </w:rPr>
        <w:t>） 和温岭市公共资源交易中心网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"http://new.wl.gov.cn/col/col1402172/index.html" \h </w:instrText>
      </w:r>
      <w:r>
        <w:rPr>
          <w:rFonts w:hint="eastAsia" w:ascii="宋体" w:hAnsi="宋体" w:eastAsia="宋体" w:cs="宋体"/>
          <w:sz w:val="24"/>
          <w:szCs w:val="24"/>
        </w:rPr>
        <w:fldChar w:fldCharType="separate"/>
      </w:r>
      <w:r>
        <w:rPr>
          <w:rFonts w:hint="eastAsia" w:ascii="宋体" w:hAnsi="宋体" w:eastAsia="宋体" w:cs="宋体"/>
          <w:sz w:val="24"/>
          <w:szCs w:val="24"/>
        </w:rPr>
        <w:t>（http://new.wl.gov.cn/col/col1402172/index.html</w:t>
      </w:r>
      <w:r>
        <w:rPr>
          <w:rFonts w:hint="eastAsia" w:ascii="宋体" w:hAnsi="宋体" w:eastAsia="宋体" w:cs="宋体"/>
          <w:sz w:val="24"/>
          <w:szCs w:val="24"/>
        </w:rPr>
        <w:fldChar w:fldCharType="end"/>
      </w:r>
      <w:r>
        <w:rPr>
          <w:rFonts w:hint="eastAsia" w:ascii="宋体" w:hAnsi="宋体" w:eastAsia="宋体" w:cs="宋体"/>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2" w:firstLineChars="200"/>
        <w:textAlignment w:val="auto"/>
        <w:rPr>
          <w:rFonts w:hint="eastAsia" w:ascii="宋体" w:hAnsi="宋体" w:eastAsia="宋体" w:cs="宋体"/>
          <w:b/>
          <w:bCs/>
          <w:sz w:val="24"/>
          <w:szCs w:val="24"/>
          <w:lang w:val="zh-CN" w:eastAsia="zh-CN" w:bidi="zh-CN"/>
        </w:rPr>
      </w:pPr>
      <w:bookmarkStart w:id="6" w:name="（五）其他事项："/>
      <w:bookmarkEnd w:id="6"/>
      <w:r>
        <w:rPr>
          <w:rFonts w:hint="eastAsia" w:ascii="宋体" w:hAnsi="宋体" w:eastAsia="宋体" w:cs="宋体"/>
          <w:b/>
          <w:bCs/>
          <w:sz w:val="24"/>
          <w:szCs w:val="24"/>
          <w:lang w:val="zh-CN" w:eastAsia="zh-CN" w:bidi="zh-CN"/>
        </w:rPr>
        <w:t>十三、政采贷相关说明：</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为优化政府采购营商环境，缓解供应商资金难题，政采云平台已推广应用“政采贷”、“政采保”服务，中标供应商如有融资需求，可使用以下金融、保险机构的“政采贷”、“政采保”服务。</w:t>
      </w:r>
    </w:p>
    <w:p>
      <w:pPr>
        <w:pStyle w:val="8"/>
        <w:keepNext w:val="0"/>
        <w:keepLines w:val="0"/>
        <w:pageBreakBefore w:val="0"/>
        <w:widowControl w:val="0"/>
        <w:kinsoku/>
        <w:wordWrap/>
        <w:overflowPunct/>
        <w:topLinePunct w:val="0"/>
        <w:autoSpaceDE w:val="0"/>
        <w:autoSpaceDN w:val="0"/>
        <w:bidi w:val="0"/>
        <w:adjustRightInd/>
        <w:snapToGrid/>
        <w:spacing w:before="0" w:line="336" w:lineRule="exact"/>
        <w:ind w:right="0"/>
        <w:textAlignment w:val="auto"/>
        <w:rPr>
          <w:rFonts w:hint="eastAsia" w:ascii="宋体" w:hAnsi="宋体" w:eastAsia="宋体" w:cs="宋体"/>
          <w:sz w:val="24"/>
          <w:szCs w:val="24"/>
        </w:rPr>
      </w:pPr>
      <w:r>
        <w:rPr>
          <w:rFonts w:hint="eastAsia" w:ascii="宋体" w:hAnsi="宋体" w:eastAsia="宋体" w:cs="宋体"/>
          <w:sz w:val="24"/>
          <w:szCs w:val="24"/>
        </w:rPr>
        <w:t>政采贷联系方式：</w:t>
      </w:r>
    </w:p>
    <w:tbl>
      <w:tblPr>
        <w:tblStyle w:val="15"/>
        <w:tblW w:w="9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8"/>
        <w:gridCol w:w="2236"/>
        <w:gridCol w:w="2140"/>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20"/>
              <w:keepNext w:val="0"/>
              <w:keepLines w:val="0"/>
              <w:pageBreakBefore w:val="0"/>
              <w:widowControl w:val="0"/>
              <w:tabs>
                <w:tab w:val="left" w:pos="419"/>
              </w:tabs>
              <w:kinsoku/>
              <w:wordWrap/>
              <w:overflowPunct/>
              <w:topLinePunct w:val="0"/>
              <w:autoSpaceDE w:val="0"/>
              <w:autoSpaceDN w:val="0"/>
              <w:bidi w:val="0"/>
              <w:adjustRightInd/>
              <w:snapToGrid/>
              <w:spacing w:before="84" w:line="336" w:lineRule="exact"/>
              <w:ind w:right="217"/>
              <w:jc w:val="center"/>
              <w:textAlignment w:val="auto"/>
              <w:rPr>
                <w:rFonts w:hint="eastAsia" w:ascii="宋体" w:hAnsi="宋体" w:eastAsia="宋体" w:cs="宋体"/>
                <w:sz w:val="24"/>
                <w:szCs w:val="24"/>
              </w:rPr>
            </w:pPr>
            <w:r>
              <w:rPr>
                <w:rFonts w:hint="eastAsia" w:ascii="宋体" w:hAnsi="宋体" w:eastAsia="宋体" w:cs="宋体"/>
                <w:sz w:val="24"/>
                <w:szCs w:val="24"/>
              </w:rPr>
              <w:t>银</w:t>
            </w:r>
            <w:r>
              <w:rPr>
                <w:rFonts w:hint="eastAsia" w:ascii="宋体" w:hAnsi="宋体" w:eastAsia="宋体" w:cs="宋体"/>
                <w:sz w:val="24"/>
                <w:szCs w:val="24"/>
              </w:rPr>
              <w:tab/>
            </w:r>
            <w:r>
              <w:rPr>
                <w:rFonts w:hint="eastAsia" w:ascii="宋体" w:hAnsi="宋体" w:eastAsia="宋体" w:cs="宋体"/>
                <w:sz w:val="24"/>
                <w:szCs w:val="24"/>
              </w:rPr>
              <w:t>行</w:t>
            </w:r>
          </w:p>
        </w:tc>
        <w:tc>
          <w:tcPr>
            <w:tcW w:w="2236"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贷款年利率</w:t>
            </w:r>
          </w:p>
        </w:tc>
        <w:tc>
          <w:tcPr>
            <w:tcW w:w="2140"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2464"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中国农业银行</w:t>
            </w:r>
          </w:p>
        </w:tc>
        <w:tc>
          <w:tcPr>
            <w:tcW w:w="2236"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3.8%起</w:t>
            </w:r>
          </w:p>
        </w:tc>
        <w:tc>
          <w:tcPr>
            <w:tcW w:w="2140"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赵莉鹏</w:t>
            </w:r>
          </w:p>
        </w:tc>
        <w:tc>
          <w:tcPr>
            <w:tcW w:w="2464"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15267630808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20"/>
              <w:keepNext w:val="0"/>
              <w:keepLines w:val="0"/>
              <w:pageBreakBefore w:val="0"/>
              <w:widowControl w:val="0"/>
              <w:kinsoku/>
              <w:wordWrap/>
              <w:overflowPunct/>
              <w:topLinePunct w:val="0"/>
              <w:autoSpaceDE w:val="0"/>
              <w:autoSpaceDN w:val="0"/>
              <w:bidi w:val="0"/>
              <w:adjustRightInd/>
              <w:snapToGrid/>
              <w:spacing w:before="85"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中国交通银行</w:t>
            </w:r>
          </w:p>
        </w:tc>
        <w:tc>
          <w:tcPr>
            <w:tcW w:w="2236" w:type="dxa"/>
          </w:tcPr>
          <w:p>
            <w:pPr>
              <w:pStyle w:val="20"/>
              <w:keepNext w:val="0"/>
              <w:keepLines w:val="0"/>
              <w:pageBreakBefore w:val="0"/>
              <w:widowControl w:val="0"/>
              <w:kinsoku/>
              <w:wordWrap/>
              <w:overflowPunct/>
              <w:topLinePunct w:val="0"/>
              <w:autoSpaceDE w:val="0"/>
              <w:autoSpaceDN w:val="0"/>
              <w:bidi w:val="0"/>
              <w:adjustRightInd/>
              <w:snapToGrid/>
              <w:spacing w:before="85"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3.8%起</w:t>
            </w:r>
          </w:p>
        </w:tc>
        <w:tc>
          <w:tcPr>
            <w:tcW w:w="2140" w:type="dxa"/>
          </w:tcPr>
          <w:p>
            <w:pPr>
              <w:pStyle w:val="20"/>
              <w:keepNext w:val="0"/>
              <w:keepLines w:val="0"/>
              <w:pageBreakBefore w:val="0"/>
              <w:widowControl w:val="0"/>
              <w:kinsoku/>
              <w:wordWrap/>
              <w:overflowPunct/>
              <w:topLinePunct w:val="0"/>
              <w:autoSpaceDE w:val="0"/>
              <w:autoSpaceDN w:val="0"/>
              <w:bidi w:val="0"/>
              <w:adjustRightInd/>
              <w:snapToGrid/>
              <w:spacing w:before="85"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王培洁</w:t>
            </w:r>
          </w:p>
        </w:tc>
        <w:tc>
          <w:tcPr>
            <w:tcW w:w="2464" w:type="dxa"/>
          </w:tcPr>
          <w:p>
            <w:pPr>
              <w:pStyle w:val="20"/>
              <w:keepNext w:val="0"/>
              <w:keepLines w:val="0"/>
              <w:pageBreakBefore w:val="0"/>
              <w:widowControl w:val="0"/>
              <w:kinsoku/>
              <w:wordWrap/>
              <w:overflowPunct/>
              <w:topLinePunct w:val="0"/>
              <w:autoSpaceDE w:val="0"/>
              <w:autoSpaceDN w:val="0"/>
              <w:bidi w:val="0"/>
              <w:adjustRightInd/>
              <w:snapToGrid/>
              <w:spacing w:before="85" w:line="336"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13819666299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20"/>
              <w:keepNext w:val="0"/>
              <w:keepLines w:val="0"/>
              <w:pageBreakBefore w:val="0"/>
              <w:widowControl w:val="0"/>
              <w:kinsoku/>
              <w:wordWrap/>
              <w:overflowPunct/>
              <w:topLinePunct w:val="0"/>
              <w:autoSpaceDE w:val="0"/>
              <w:autoSpaceDN w:val="0"/>
              <w:bidi w:val="0"/>
              <w:adjustRightInd/>
              <w:snapToGrid/>
              <w:spacing w:before="83"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中国建设银行</w:t>
            </w:r>
          </w:p>
        </w:tc>
        <w:tc>
          <w:tcPr>
            <w:tcW w:w="2236" w:type="dxa"/>
          </w:tcPr>
          <w:p>
            <w:pPr>
              <w:pStyle w:val="20"/>
              <w:keepNext w:val="0"/>
              <w:keepLines w:val="0"/>
              <w:pageBreakBefore w:val="0"/>
              <w:widowControl w:val="0"/>
              <w:kinsoku/>
              <w:wordWrap/>
              <w:overflowPunct/>
              <w:topLinePunct w:val="0"/>
              <w:autoSpaceDE w:val="0"/>
              <w:autoSpaceDN w:val="0"/>
              <w:bidi w:val="0"/>
              <w:adjustRightInd/>
              <w:snapToGrid/>
              <w:spacing w:before="83"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基准利率</w:t>
            </w:r>
          </w:p>
        </w:tc>
        <w:tc>
          <w:tcPr>
            <w:tcW w:w="2140" w:type="dxa"/>
          </w:tcPr>
          <w:p>
            <w:pPr>
              <w:pStyle w:val="20"/>
              <w:keepNext w:val="0"/>
              <w:keepLines w:val="0"/>
              <w:pageBreakBefore w:val="0"/>
              <w:widowControl w:val="0"/>
              <w:tabs>
                <w:tab w:val="left" w:pos="859"/>
              </w:tabs>
              <w:kinsoku/>
              <w:wordWrap/>
              <w:overflowPunct/>
              <w:topLinePunct w:val="0"/>
              <w:autoSpaceDE w:val="0"/>
              <w:autoSpaceDN w:val="0"/>
              <w:bidi w:val="0"/>
              <w:adjustRightInd/>
              <w:snapToGrid/>
              <w:spacing w:before="83"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范</w:t>
            </w:r>
            <w:r>
              <w:rPr>
                <w:rFonts w:hint="eastAsia" w:ascii="宋体" w:hAnsi="宋体" w:eastAsia="宋体" w:cs="宋体"/>
                <w:sz w:val="24"/>
                <w:szCs w:val="24"/>
              </w:rPr>
              <w:tab/>
            </w:r>
            <w:r>
              <w:rPr>
                <w:rFonts w:hint="eastAsia" w:ascii="宋体" w:hAnsi="宋体" w:eastAsia="宋体" w:cs="宋体"/>
                <w:sz w:val="24"/>
                <w:szCs w:val="24"/>
              </w:rPr>
              <w:t>融</w:t>
            </w:r>
          </w:p>
        </w:tc>
        <w:tc>
          <w:tcPr>
            <w:tcW w:w="2464" w:type="dxa"/>
          </w:tcPr>
          <w:p>
            <w:pPr>
              <w:pStyle w:val="20"/>
              <w:keepNext w:val="0"/>
              <w:keepLines w:val="0"/>
              <w:pageBreakBefore w:val="0"/>
              <w:widowControl w:val="0"/>
              <w:kinsoku/>
              <w:wordWrap/>
              <w:overflowPunct/>
              <w:topLinePunct w:val="0"/>
              <w:autoSpaceDE w:val="0"/>
              <w:autoSpaceDN w:val="0"/>
              <w:bidi w:val="0"/>
              <w:adjustRightInd/>
              <w:snapToGrid/>
              <w:spacing w:before="83" w:line="336"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13958680866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20"/>
              <w:keepNext w:val="0"/>
              <w:keepLines w:val="0"/>
              <w:pageBreakBefore w:val="0"/>
              <w:widowControl w:val="0"/>
              <w:kinsoku/>
              <w:wordWrap/>
              <w:overflowPunct/>
              <w:topLinePunct w:val="0"/>
              <w:autoSpaceDE w:val="0"/>
              <w:autoSpaceDN w:val="0"/>
              <w:bidi w:val="0"/>
              <w:adjustRightInd/>
              <w:snapToGrid/>
              <w:spacing w:before="85"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中国工商银行</w:t>
            </w:r>
          </w:p>
        </w:tc>
        <w:tc>
          <w:tcPr>
            <w:tcW w:w="2236" w:type="dxa"/>
          </w:tcPr>
          <w:p>
            <w:pPr>
              <w:pStyle w:val="20"/>
              <w:keepNext w:val="0"/>
              <w:keepLines w:val="0"/>
              <w:pageBreakBefore w:val="0"/>
              <w:widowControl w:val="0"/>
              <w:kinsoku/>
              <w:wordWrap/>
              <w:overflowPunct/>
              <w:topLinePunct w:val="0"/>
              <w:autoSpaceDE w:val="0"/>
              <w:autoSpaceDN w:val="0"/>
              <w:bidi w:val="0"/>
              <w:adjustRightInd/>
              <w:snapToGrid/>
              <w:spacing w:before="85"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3.8%起</w:t>
            </w:r>
          </w:p>
        </w:tc>
        <w:tc>
          <w:tcPr>
            <w:tcW w:w="2140" w:type="dxa"/>
          </w:tcPr>
          <w:p>
            <w:pPr>
              <w:pStyle w:val="20"/>
              <w:keepNext w:val="0"/>
              <w:keepLines w:val="0"/>
              <w:pageBreakBefore w:val="0"/>
              <w:widowControl w:val="0"/>
              <w:kinsoku/>
              <w:wordWrap/>
              <w:overflowPunct/>
              <w:topLinePunct w:val="0"/>
              <w:autoSpaceDE w:val="0"/>
              <w:autoSpaceDN w:val="0"/>
              <w:bidi w:val="0"/>
              <w:adjustRightInd/>
              <w:snapToGrid/>
              <w:spacing w:before="85"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王晨晓</w:t>
            </w:r>
          </w:p>
        </w:tc>
        <w:tc>
          <w:tcPr>
            <w:tcW w:w="2464" w:type="dxa"/>
          </w:tcPr>
          <w:p>
            <w:pPr>
              <w:pStyle w:val="20"/>
              <w:keepNext w:val="0"/>
              <w:keepLines w:val="0"/>
              <w:pageBreakBefore w:val="0"/>
              <w:widowControl w:val="0"/>
              <w:kinsoku/>
              <w:wordWrap/>
              <w:overflowPunct/>
              <w:topLinePunct w:val="0"/>
              <w:autoSpaceDE w:val="0"/>
              <w:autoSpaceDN w:val="0"/>
              <w:bidi w:val="0"/>
              <w:adjustRightInd/>
              <w:snapToGrid/>
              <w:spacing w:before="85" w:line="336"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18858658025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中国银行</w:t>
            </w:r>
          </w:p>
        </w:tc>
        <w:tc>
          <w:tcPr>
            <w:tcW w:w="2236"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3.85%起</w:t>
            </w:r>
          </w:p>
        </w:tc>
        <w:tc>
          <w:tcPr>
            <w:tcW w:w="2140" w:type="dxa"/>
          </w:tcPr>
          <w:p>
            <w:pPr>
              <w:pStyle w:val="20"/>
              <w:keepNext w:val="0"/>
              <w:keepLines w:val="0"/>
              <w:pageBreakBefore w:val="0"/>
              <w:widowControl w:val="0"/>
              <w:tabs>
                <w:tab w:val="left" w:pos="859"/>
              </w:tabs>
              <w:kinsoku/>
              <w:wordWrap/>
              <w:overflowPunct/>
              <w:topLinePunct w:val="0"/>
              <w:autoSpaceDE w:val="0"/>
              <w:autoSpaceDN w:val="0"/>
              <w:bidi w:val="0"/>
              <w:adjustRightInd/>
              <w:snapToGrid/>
              <w:spacing w:before="8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朱</w:t>
            </w:r>
            <w:r>
              <w:rPr>
                <w:rFonts w:hint="eastAsia" w:ascii="宋体" w:hAnsi="宋体" w:eastAsia="宋体" w:cs="宋体"/>
                <w:sz w:val="24"/>
                <w:szCs w:val="24"/>
              </w:rPr>
              <w:tab/>
            </w:r>
            <w:r>
              <w:rPr>
                <w:rFonts w:hint="eastAsia" w:ascii="宋体" w:hAnsi="宋体" w:eastAsia="宋体" w:cs="宋体"/>
                <w:sz w:val="24"/>
                <w:szCs w:val="24"/>
              </w:rPr>
              <w:t>虹</w:t>
            </w:r>
          </w:p>
        </w:tc>
        <w:tc>
          <w:tcPr>
            <w:tcW w:w="2464" w:type="dxa"/>
          </w:tcPr>
          <w:p>
            <w:pPr>
              <w:pStyle w:val="20"/>
              <w:keepNext w:val="0"/>
              <w:keepLines w:val="0"/>
              <w:pageBreakBefore w:val="0"/>
              <w:widowControl w:val="0"/>
              <w:kinsoku/>
              <w:wordWrap/>
              <w:overflowPunct/>
              <w:topLinePunct w:val="0"/>
              <w:autoSpaceDE w:val="0"/>
              <w:autoSpaceDN w:val="0"/>
              <w:bidi w:val="0"/>
              <w:adjustRightInd/>
              <w:snapToGrid/>
              <w:spacing w:before="84" w:line="336"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13806588208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578" w:type="dxa"/>
          </w:tcPr>
          <w:p>
            <w:pPr>
              <w:pStyle w:val="20"/>
              <w:keepNext w:val="0"/>
              <w:keepLines w:val="0"/>
              <w:pageBreakBefore w:val="0"/>
              <w:widowControl w:val="0"/>
              <w:kinsoku/>
              <w:wordWrap/>
              <w:overflowPunct/>
              <w:topLinePunct w:val="0"/>
              <w:autoSpaceDE w:val="0"/>
              <w:autoSpaceDN w:val="0"/>
              <w:bidi w:val="0"/>
              <w:adjustRightInd/>
              <w:snapToGrid/>
              <w:spacing w:before="9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中国邮政储蓄银行</w:t>
            </w:r>
          </w:p>
        </w:tc>
        <w:tc>
          <w:tcPr>
            <w:tcW w:w="2236" w:type="dxa"/>
          </w:tcPr>
          <w:p>
            <w:pPr>
              <w:pStyle w:val="20"/>
              <w:keepNext w:val="0"/>
              <w:keepLines w:val="0"/>
              <w:pageBreakBefore w:val="0"/>
              <w:widowControl w:val="0"/>
              <w:kinsoku/>
              <w:wordWrap/>
              <w:overflowPunct/>
              <w:topLinePunct w:val="0"/>
              <w:autoSpaceDE w:val="0"/>
              <w:autoSpaceDN w:val="0"/>
              <w:bidi w:val="0"/>
              <w:adjustRightInd/>
              <w:snapToGrid/>
              <w:spacing w:before="9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3.85%起</w:t>
            </w:r>
          </w:p>
        </w:tc>
        <w:tc>
          <w:tcPr>
            <w:tcW w:w="2140" w:type="dxa"/>
          </w:tcPr>
          <w:p>
            <w:pPr>
              <w:pStyle w:val="20"/>
              <w:keepNext w:val="0"/>
              <w:keepLines w:val="0"/>
              <w:pageBreakBefore w:val="0"/>
              <w:widowControl w:val="0"/>
              <w:kinsoku/>
              <w:wordWrap/>
              <w:overflowPunct/>
              <w:topLinePunct w:val="0"/>
              <w:autoSpaceDE w:val="0"/>
              <w:autoSpaceDN w:val="0"/>
              <w:bidi w:val="0"/>
              <w:adjustRightInd/>
              <w:snapToGrid/>
              <w:spacing w:before="94" w:line="336" w:lineRule="exact"/>
              <w:ind w:left="439"/>
              <w:textAlignment w:val="auto"/>
              <w:rPr>
                <w:rFonts w:hint="eastAsia" w:ascii="宋体" w:hAnsi="宋体" w:eastAsia="宋体" w:cs="宋体"/>
                <w:sz w:val="24"/>
                <w:szCs w:val="24"/>
              </w:rPr>
            </w:pPr>
            <w:r>
              <w:rPr>
                <w:rFonts w:hint="eastAsia" w:ascii="宋体" w:hAnsi="宋体" w:eastAsia="宋体" w:cs="宋体"/>
                <w:sz w:val="24"/>
                <w:szCs w:val="24"/>
              </w:rPr>
              <w:t>王彬彬</w:t>
            </w:r>
          </w:p>
        </w:tc>
        <w:tc>
          <w:tcPr>
            <w:tcW w:w="2464" w:type="dxa"/>
          </w:tcPr>
          <w:p>
            <w:pPr>
              <w:pStyle w:val="20"/>
              <w:keepNext w:val="0"/>
              <w:keepLines w:val="0"/>
              <w:pageBreakBefore w:val="0"/>
              <w:widowControl w:val="0"/>
              <w:kinsoku/>
              <w:wordWrap/>
              <w:overflowPunct/>
              <w:topLinePunct w:val="0"/>
              <w:autoSpaceDE w:val="0"/>
              <w:autoSpaceDN w:val="0"/>
              <w:bidi w:val="0"/>
              <w:adjustRightInd/>
              <w:snapToGrid/>
              <w:spacing w:before="94" w:line="336" w:lineRule="exact"/>
              <w:ind w:left="438"/>
              <w:textAlignment w:val="auto"/>
              <w:rPr>
                <w:rFonts w:hint="eastAsia" w:ascii="宋体" w:hAnsi="宋体" w:eastAsia="宋体" w:cs="宋体"/>
                <w:sz w:val="24"/>
                <w:szCs w:val="24"/>
              </w:rPr>
            </w:pPr>
            <w:r>
              <w:rPr>
                <w:rFonts w:hint="eastAsia" w:ascii="宋体" w:hAnsi="宋体" w:eastAsia="宋体" w:cs="宋体"/>
                <w:sz w:val="24"/>
                <w:szCs w:val="24"/>
              </w:rPr>
              <w:t>13173718881</w:t>
            </w:r>
          </w:p>
        </w:tc>
      </w:tr>
    </w:tbl>
    <w:p>
      <w:pPr>
        <w:pStyle w:val="8"/>
        <w:keepNext w:val="0"/>
        <w:keepLines w:val="0"/>
        <w:pageBreakBefore w:val="0"/>
        <w:widowControl w:val="0"/>
        <w:kinsoku/>
        <w:wordWrap/>
        <w:overflowPunct/>
        <w:topLinePunct w:val="0"/>
        <w:autoSpaceDE w:val="0"/>
        <w:autoSpaceDN w:val="0"/>
        <w:bidi w:val="0"/>
        <w:adjustRightInd/>
        <w:snapToGrid/>
        <w:spacing w:before="0" w:line="336" w:lineRule="exact"/>
        <w:textAlignment w:val="auto"/>
        <w:rPr>
          <w:rFonts w:hint="eastAsia" w:ascii="宋体" w:hAnsi="宋体" w:eastAsia="宋体" w:cs="宋体"/>
          <w:sz w:val="24"/>
          <w:szCs w:val="24"/>
        </w:rPr>
      </w:pPr>
      <w:r>
        <w:rPr>
          <w:rFonts w:hint="eastAsia" w:ascii="宋体" w:hAnsi="宋体" w:eastAsia="宋体" w:cs="宋体"/>
          <w:sz w:val="24"/>
          <w:szCs w:val="24"/>
        </w:rPr>
        <w:t>“政采保”联系方式：</w:t>
      </w:r>
    </w:p>
    <w:tbl>
      <w:tblPr>
        <w:tblStyle w:val="15"/>
        <w:tblW w:w="9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1"/>
        <w:gridCol w:w="1980"/>
        <w:gridCol w:w="1020"/>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931"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保险公司</w:t>
            </w:r>
          </w:p>
        </w:tc>
        <w:tc>
          <w:tcPr>
            <w:tcW w:w="198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年费率</w:t>
            </w:r>
          </w:p>
        </w:tc>
        <w:tc>
          <w:tcPr>
            <w:tcW w:w="1020" w:type="dxa"/>
            <w:tcBorders>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1487" w:type="dxa"/>
            <w:tcBorders>
              <w:lef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931"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中国人民财产保险股份有限公司温岭市支公司</w:t>
            </w:r>
          </w:p>
        </w:tc>
        <w:tc>
          <w:tcPr>
            <w:tcW w:w="1980" w:type="dxa"/>
            <w:vMerge w:val="restart"/>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合同（质量）履约按履约保证金年费率1%（1.5%），每单保函最低保险费为500（300元）</w:t>
            </w:r>
          </w:p>
        </w:tc>
        <w:tc>
          <w:tcPr>
            <w:tcW w:w="1020" w:type="dxa"/>
            <w:tcBorders>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李微微</w:t>
            </w:r>
          </w:p>
        </w:tc>
        <w:tc>
          <w:tcPr>
            <w:tcW w:w="1487" w:type="dxa"/>
            <w:tcBorders>
              <w:lef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13605861319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931"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中国平安财产保险股份有限公司温岭支公司</w:t>
            </w:r>
          </w:p>
        </w:tc>
        <w:tc>
          <w:tcPr>
            <w:tcW w:w="1980" w:type="dxa"/>
            <w:vMerge w:val="continue"/>
            <w:tcBorders>
              <w:top w:val="nil"/>
            </w:tcBorders>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left"/>
              <w:textAlignment w:val="auto"/>
              <w:rPr>
                <w:rFonts w:hint="eastAsia" w:ascii="宋体" w:hAnsi="宋体" w:eastAsia="宋体" w:cs="宋体"/>
                <w:sz w:val="24"/>
                <w:szCs w:val="24"/>
              </w:rPr>
            </w:pPr>
          </w:p>
        </w:tc>
        <w:tc>
          <w:tcPr>
            <w:tcW w:w="1020" w:type="dxa"/>
            <w:tcBorders>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郑海珍</w:t>
            </w:r>
          </w:p>
        </w:tc>
        <w:tc>
          <w:tcPr>
            <w:tcW w:w="1487" w:type="dxa"/>
            <w:tcBorders>
              <w:lef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13906560678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931"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阳光财产保险股份有限公司温岭支公司</w:t>
            </w:r>
          </w:p>
        </w:tc>
        <w:tc>
          <w:tcPr>
            <w:tcW w:w="1980" w:type="dxa"/>
            <w:vMerge w:val="continue"/>
            <w:tcBorders>
              <w:top w:val="nil"/>
            </w:tcBorders>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left"/>
              <w:textAlignment w:val="auto"/>
              <w:rPr>
                <w:rFonts w:hint="eastAsia" w:ascii="宋体" w:hAnsi="宋体" w:eastAsia="宋体" w:cs="宋体"/>
                <w:sz w:val="24"/>
                <w:szCs w:val="24"/>
              </w:rPr>
            </w:pPr>
          </w:p>
        </w:tc>
        <w:tc>
          <w:tcPr>
            <w:tcW w:w="1020" w:type="dxa"/>
            <w:tcBorders>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王巧萍</w:t>
            </w:r>
          </w:p>
        </w:tc>
        <w:tc>
          <w:tcPr>
            <w:tcW w:w="1487" w:type="dxa"/>
            <w:tcBorders>
              <w:lef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36"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13967691616</w:t>
            </w:r>
          </w:p>
        </w:tc>
      </w:tr>
    </w:tbl>
    <w:p>
      <w:pPr>
        <w:pStyle w:val="8"/>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336" w:lineRule="exact"/>
        <w:ind w:leftChars="0" w:right="0" w:rightChars="0" w:firstLine="482" w:firstLineChars="200"/>
        <w:textAlignment w:val="auto"/>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十四、联系方式：</w:t>
      </w:r>
    </w:p>
    <w:p>
      <w:pPr>
        <w:pStyle w:val="8"/>
        <w:keepNext w:val="0"/>
        <w:keepLines w:val="0"/>
        <w:pageBreakBefore w:val="0"/>
        <w:widowControl w:val="0"/>
        <w:numPr>
          <w:ilvl w:val="0"/>
          <w:numId w:val="0"/>
        </w:numPr>
        <w:tabs>
          <w:tab w:val="left" w:pos="2066"/>
        </w:tabs>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1.采购人信息</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eastAsia="zh-CN"/>
        </w:rPr>
        <w:t>名称</w:t>
      </w:r>
      <w:r>
        <w:rPr>
          <w:rFonts w:hint="eastAsia" w:ascii="宋体" w:hAnsi="宋体" w:eastAsia="宋体" w:cs="宋体"/>
          <w:sz w:val="24"/>
          <w:szCs w:val="24"/>
        </w:rPr>
        <w:t>：</w:t>
      </w:r>
      <w:r>
        <w:rPr>
          <w:rFonts w:hint="eastAsia" w:ascii="宋体" w:hAnsi="宋体" w:eastAsia="宋体" w:cs="宋体"/>
          <w:sz w:val="24"/>
          <w:szCs w:val="24"/>
          <w:lang w:eastAsia="zh-CN"/>
        </w:rPr>
        <w:t>温岭市石塘镇人民政府</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项目</w:t>
      </w:r>
      <w:r>
        <w:rPr>
          <w:rFonts w:hint="eastAsia" w:ascii="宋体" w:hAnsi="宋体" w:eastAsia="宋体" w:cs="宋体"/>
          <w:sz w:val="24"/>
          <w:szCs w:val="24"/>
        </w:rPr>
        <w:t>联系人</w:t>
      </w:r>
      <w:r>
        <w:rPr>
          <w:rFonts w:hint="eastAsia" w:ascii="宋体" w:hAnsi="宋体" w:eastAsia="宋体" w:cs="宋体"/>
          <w:sz w:val="24"/>
          <w:szCs w:val="24"/>
          <w:lang w:val="en-US" w:eastAsia="zh-CN"/>
        </w:rPr>
        <w:t>:林先生</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w:t>
      </w:r>
      <w:r>
        <w:rPr>
          <w:rFonts w:hint="eastAsia" w:ascii="宋体" w:hAnsi="宋体" w:eastAsia="宋体" w:cs="宋体"/>
          <w:sz w:val="24"/>
          <w:szCs w:val="24"/>
        </w:rPr>
        <w:t>联系方式</w:t>
      </w:r>
      <w:r>
        <w:rPr>
          <w:rFonts w:hint="eastAsia" w:ascii="宋体" w:hAnsi="宋体" w:eastAsia="宋体" w:cs="宋体"/>
          <w:sz w:val="24"/>
          <w:szCs w:val="24"/>
          <w:lang w:val="en-US" w:eastAsia="zh-CN"/>
        </w:rPr>
        <w:t xml:space="preserve">:13486868899   </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2.采购代理机构信息</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eastAsia="zh-CN"/>
        </w:rPr>
        <w:t>名称：温岭市利驰工程管理有限公司</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浙江省温岭市阳光大道157号科创大厦20楼</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w:t>
      </w:r>
      <w:r>
        <w:rPr>
          <w:rFonts w:hint="eastAsia" w:ascii="宋体" w:hAnsi="宋体" w:eastAsia="宋体" w:cs="宋体"/>
          <w:sz w:val="24"/>
          <w:szCs w:val="24"/>
        </w:rPr>
        <w:t>联系人：</w:t>
      </w:r>
      <w:r>
        <w:rPr>
          <w:rFonts w:hint="eastAsia" w:ascii="宋体" w:hAnsi="宋体" w:eastAsia="宋体" w:cs="宋体"/>
          <w:sz w:val="24"/>
          <w:szCs w:val="24"/>
          <w:lang w:eastAsia="zh-CN"/>
        </w:rPr>
        <w:t>方思茜、吴茜茜</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项目</w:t>
      </w:r>
      <w:r>
        <w:rPr>
          <w:rFonts w:hint="eastAsia" w:ascii="宋体" w:hAnsi="宋体" w:eastAsia="宋体" w:cs="宋体"/>
          <w:sz w:val="24"/>
          <w:szCs w:val="24"/>
        </w:rPr>
        <w:t>联系电话：</w:t>
      </w:r>
      <w:r>
        <w:rPr>
          <w:rFonts w:hint="eastAsia" w:ascii="宋体" w:hAnsi="宋体" w:eastAsia="宋体" w:cs="宋体"/>
          <w:sz w:val="24"/>
          <w:szCs w:val="24"/>
          <w:lang w:val="en-US" w:eastAsia="zh-CN"/>
        </w:rPr>
        <w:t>13456436408、18958626201</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同级政府采购监督管理部门</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名称：温岭市财政局</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联系人 ：温岭市财政局政府采购监管科</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监督投诉电话：0576-8608651</w:t>
      </w:r>
    </w:p>
    <w:p>
      <w:pPr>
        <w:pStyle w:val="8"/>
        <w:keepNext w:val="0"/>
        <w:keepLines w:val="0"/>
        <w:pageBreakBefore w:val="0"/>
        <w:widowControl w:val="0"/>
        <w:tabs>
          <w:tab w:val="left" w:pos="2066"/>
        </w:tabs>
        <w:kinsoku/>
        <w:wordWrap/>
        <w:overflowPunct/>
        <w:topLinePunct w:val="0"/>
        <w:autoSpaceDE w:val="0"/>
        <w:autoSpaceDN w:val="0"/>
        <w:bidi w:val="0"/>
        <w:adjustRightInd/>
        <w:snapToGrid/>
        <w:spacing w:before="0" w:line="340" w:lineRule="exact"/>
        <w:ind w:leftChars="0" w:firstLine="480" w:firstLineChars="200"/>
        <w:textAlignment w:val="auto"/>
      </w:pPr>
      <w:r>
        <w:rPr>
          <w:rFonts w:hint="eastAsia" w:ascii="宋体" w:hAnsi="宋体" w:eastAsia="宋体" w:cs="宋体"/>
          <w:sz w:val="24"/>
          <w:szCs w:val="24"/>
          <w:lang w:val="zh-CN" w:eastAsia="zh-CN"/>
        </w:rPr>
        <w:t>地址：浙江省温岭市太平街道中华路 29 号</w:t>
      </w:r>
    </w:p>
    <w:p>
      <w:pPr>
        <w:pStyle w:val="4"/>
        <w:spacing w:line="643" w:lineRule="exact"/>
        <w:jc w:val="center"/>
        <w:rPr>
          <w:rFonts w:hint="eastAsia" w:ascii="宋体" w:hAnsi="宋体" w:eastAsia="宋体" w:cs="宋体"/>
          <w:b/>
          <w:bCs w:val="0"/>
          <w:sz w:val="48"/>
          <w:szCs w:val="22"/>
          <w:lang w:val="zh-CN" w:eastAsia="zh-CN" w:bidi="zh-CN"/>
        </w:rPr>
      </w:pPr>
      <w:r>
        <w:rPr>
          <w:rFonts w:hint="eastAsia" w:ascii="微软雅黑" w:hAnsi="微软雅黑" w:eastAsia="微软雅黑" w:cs="微软雅黑"/>
          <w:b/>
          <w:bCs w:val="0"/>
          <w:sz w:val="36"/>
          <w:szCs w:val="22"/>
          <w:lang w:val="zh-CN" w:eastAsia="zh-CN" w:bidi="zh-CN"/>
        </w:rPr>
        <w:t xml:space="preserve">第二章 </w:t>
      </w:r>
      <w:r>
        <w:rPr>
          <w:rFonts w:hint="eastAsia" w:cs="微软雅黑"/>
          <w:b/>
          <w:bCs w:val="0"/>
          <w:sz w:val="36"/>
          <w:szCs w:val="22"/>
          <w:lang w:val="zh-CN" w:eastAsia="zh-CN" w:bidi="zh-CN"/>
        </w:rPr>
        <w:t>供应商</w:t>
      </w:r>
      <w:r>
        <w:rPr>
          <w:rFonts w:hint="eastAsia" w:ascii="微软雅黑" w:hAnsi="微软雅黑" w:eastAsia="微软雅黑" w:cs="微软雅黑"/>
          <w:b/>
          <w:bCs w:val="0"/>
          <w:sz w:val="36"/>
          <w:szCs w:val="22"/>
          <w:lang w:val="zh-CN" w:eastAsia="zh-CN" w:bidi="zh-CN"/>
        </w:rPr>
        <w:t>须知</w:t>
      </w:r>
    </w:p>
    <w:p>
      <w:pPr>
        <w:spacing w:before="0" w:after="35" w:line="513" w:lineRule="exact"/>
        <w:ind w:left="0" w:right="219" w:firstLine="0"/>
        <w:jc w:val="center"/>
        <w:rPr>
          <w:rFonts w:hint="eastAsia" w:ascii="宋体" w:hAnsi="宋体" w:eastAsia="宋体" w:cs="宋体"/>
          <w:b/>
          <w:bCs w:val="0"/>
          <w:sz w:val="48"/>
          <w:szCs w:val="22"/>
          <w:lang w:val="zh-CN" w:eastAsia="zh-CN" w:bidi="zh-CN"/>
        </w:rPr>
      </w:pPr>
      <w:r>
        <w:rPr>
          <w:rFonts w:hint="eastAsia" w:ascii="宋体" w:hAnsi="宋体" w:eastAsia="宋体" w:cs="宋体"/>
          <w:b/>
          <w:bCs w:val="0"/>
          <w:sz w:val="32"/>
          <w:szCs w:val="32"/>
          <w:lang w:val="zh-CN" w:eastAsia="zh-CN" w:bidi="zh-CN"/>
        </w:rPr>
        <w:t>前附表</w:t>
      </w:r>
    </w:p>
    <w:tbl>
      <w:tblPr>
        <w:tblStyle w:val="16"/>
        <w:tblW w:w="9648"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716"/>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14"/>
              <w:keepNext w:val="0"/>
              <w:keepLines w:val="0"/>
              <w:pageBreakBefore w:val="0"/>
              <w:kinsoku/>
              <w:wordWrap/>
              <w:overflowPunct/>
              <w:topLinePunct w:val="0"/>
              <w:autoSpaceDE w:val="0"/>
              <w:autoSpaceDN w:val="0"/>
              <w:bidi w:val="0"/>
              <w:adjustRightInd/>
              <w:snapToGrid/>
              <w:spacing w:before="0" w:line="270" w:lineRule="exact"/>
              <w:ind w:left="0" w:leftChars="0" w:right="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716" w:type="dxa"/>
            <w:vAlign w:val="center"/>
          </w:tcPr>
          <w:p>
            <w:pPr>
              <w:pStyle w:val="14"/>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目</w:t>
            </w:r>
          </w:p>
        </w:tc>
        <w:tc>
          <w:tcPr>
            <w:tcW w:w="7224" w:type="dxa"/>
            <w:vAlign w:val="center"/>
          </w:tcPr>
          <w:p>
            <w:pPr>
              <w:pStyle w:val="14"/>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内</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1</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采购项目</w:t>
            </w:r>
          </w:p>
        </w:tc>
        <w:tc>
          <w:tcPr>
            <w:tcW w:w="7224" w:type="dxa"/>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2023年度温岭市石塘镇松材线虫病除治服务采购项目（重新招标）</w:t>
            </w: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项目编号： WLCG-LC-2022-004</w:t>
            </w: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项目内容：详见第</w:t>
            </w:r>
            <w:r>
              <w:rPr>
                <w:rFonts w:hint="eastAsia" w:ascii="宋体" w:hAnsi="宋体" w:eastAsia="宋体" w:cs="宋体"/>
                <w:sz w:val="24"/>
                <w:szCs w:val="24"/>
                <w:lang w:eastAsia="zh-CN"/>
              </w:rPr>
              <w:t>四</w:t>
            </w:r>
            <w:r>
              <w:rPr>
                <w:rFonts w:hint="eastAsia" w:ascii="宋体" w:hAnsi="宋体" w:eastAsia="宋体" w:cs="宋体"/>
                <w:sz w:val="24"/>
                <w:szCs w:val="24"/>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2</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采购方式</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leftChars="0" w:right="0" w:rightChars="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3</w:t>
            </w:r>
          </w:p>
        </w:tc>
        <w:tc>
          <w:tcPr>
            <w:tcW w:w="1716"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谈判响应文件形式</w:t>
            </w:r>
          </w:p>
        </w:tc>
        <w:tc>
          <w:tcPr>
            <w:tcW w:w="7224" w:type="dxa"/>
            <w:vAlign w:val="top"/>
          </w:tcPr>
          <w:p>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电子</w:t>
            </w:r>
            <w:r>
              <w:rPr>
                <w:rFonts w:hint="eastAsia" w:ascii="宋体" w:hAnsi="宋体" w:eastAsia="宋体" w:cs="宋体"/>
                <w:spacing w:val="-5"/>
                <w:sz w:val="24"/>
                <w:szCs w:val="24"/>
                <w:lang w:eastAsia="zh-CN"/>
              </w:rPr>
              <w:t>谈判响应</w:t>
            </w:r>
            <w:r>
              <w:rPr>
                <w:rFonts w:hint="eastAsia" w:ascii="宋体" w:hAnsi="宋体" w:eastAsia="宋体" w:cs="宋体"/>
                <w:spacing w:val="-5"/>
                <w:sz w:val="24"/>
                <w:szCs w:val="24"/>
              </w:rPr>
              <w:t>文件包括“电子加密谈判响应文件”和“备份谈判响应文件”</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在谈判响应文件编制完成后同时生成。</w:t>
            </w:r>
          </w:p>
          <w:p>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rPr>
              <w:t>“电子加密谈判响应文件”是指通过“政采云电子交易客户端”完成谈判响应文件编制后生成并加密的数据电文形式的谈判响应文件。</w:t>
            </w:r>
          </w:p>
          <w:p>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sz w:val="24"/>
                <w:szCs w:val="24"/>
                <w:vertAlign w:val="baseline"/>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“备份谈判响应文件”是指与“电子加密谈判响应文件”同时生成的数据电文形式的电子文件（备份标书，用于供应商标书解密异常时应急使用），其他方式编制的备份谈判响应文件视为无效备份谈判响应文件。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4</w:t>
            </w:r>
          </w:p>
        </w:tc>
        <w:tc>
          <w:tcPr>
            <w:tcW w:w="1716"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谈判响应文件份数</w:t>
            </w:r>
          </w:p>
        </w:tc>
        <w:tc>
          <w:tcPr>
            <w:tcW w:w="7224" w:type="dxa"/>
            <w:vAlign w:val="top"/>
          </w:tcPr>
          <w:p>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1.一份电子加密标书（后缀格式为.jmbs），一份备份标书文件（后缀格式为.bfbs）。</w:t>
            </w:r>
          </w:p>
          <w:p>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2.每份电子谈判响应文件应包括资格证明文件、商务技术文件及报价文件三部分内容。</w:t>
            </w:r>
          </w:p>
          <w:p>
            <w:pPr>
              <w:pStyle w:val="20"/>
              <w:keepNext w:val="0"/>
              <w:keepLines w:val="0"/>
              <w:pageBreakBefore w:val="0"/>
              <w:widowControl w:val="0"/>
              <w:numPr>
                <w:ilvl w:val="0"/>
                <w:numId w:val="0"/>
              </w:numPr>
              <w:tabs>
                <w:tab w:val="left" w:pos="390"/>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sz w:val="24"/>
                <w:szCs w:val="24"/>
                <w:vertAlign w:val="baseline"/>
              </w:rPr>
            </w:pPr>
            <w:r>
              <w:rPr>
                <w:rFonts w:hint="eastAsia" w:ascii="宋体" w:hAnsi="宋体" w:eastAsia="宋体" w:cs="宋体"/>
                <w:spacing w:val="-5"/>
                <w:sz w:val="24"/>
                <w:szCs w:val="24"/>
                <w:lang w:val="en-US" w:eastAsia="zh-CN"/>
              </w:rPr>
              <w:t>3.如中标，中标人需根据采购人要求提供纸质谈判响应文件至少一份，采用胶装，不建议采用活页夹等可随时拆换的方式装订。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5</w:t>
            </w:r>
          </w:p>
        </w:tc>
        <w:tc>
          <w:tcPr>
            <w:tcW w:w="1716"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电子加密谈判响应文件</w:t>
            </w:r>
          </w:p>
        </w:tc>
        <w:tc>
          <w:tcPr>
            <w:tcW w:w="7224" w:type="dxa"/>
            <w:vAlign w:val="top"/>
          </w:tcPr>
          <w:p>
            <w:pPr>
              <w:pStyle w:val="20"/>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电子加密谈判响应文件：谈判响应文件制作完成并生成加密标书，在</w:t>
            </w:r>
            <w:r>
              <w:rPr>
                <w:rFonts w:hint="eastAsia" w:ascii="宋体" w:hAnsi="宋体" w:eastAsia="宋体" w:cs="宋体"/>
                <w:sz w:val="24"/>
                <w:szCs w:val="24"/>
                <w:lang w:eastAsia="zh-CN"/>
              </w:rPr>
              <w:t>谈判响应</w:t>
            </w:r>
            <w:r>
              <w:rPr>
                <w:rFonts w:hint="eastAsia" w:ascii="宋体" w:hAnsi="宋体" w:eastAsia="宋体" w:cs="宋体"/>
                <w:sz w:val="24"/>
                <w:szCs w:val="24"/>
              </w:rPr>
              <w:t>截止时间前，供应商需将加密的谈判响应文件上传至政采云平台，在开标时间开始后30分钟内，解密谈判响应文件。</w:t>
            </w:r>
          </w:p>
          <w:p>
            <w:pPr>
              <w:keepNext w:val="0"/>
              <w:keepLines w:val="0"/>
              <w:pageBreakBefore w:val="0"/>
              <w:widowControl/>
              <w:suppressLineNumbers w:val="0"/>
              <w:kinsoku/>
              <w:wordWrap/>
              <w:overflowPunct/>
              <w:topLinePunct w:val="0"/>
              <w:autoSpaceDE w:val="0"/>
              <w:autoSpaceDN w:val="0"/>
              <w:bidi w:val="0"/>
              <w:adjustRightInd/>
              <w:snapToGrid/>
              <w:spacing w:before="0" w:line="270" w:lineRule="exact"/>
              <w:ind w:left="0" w:right="0"/>
              <w:jc w:val="left"/>
              <w:textAlignment w:val="auto"/>
              <w:rPr>
                <w:rFonts w:hint="eastAsia" w:ascii="宋体" w:hAnsi="宋体" w:eastAsia="宋体" w:cs="宋体"/>
                <w:sz w:val="24"/>
                <w:szCs w:val="24"/>
                <w:lang w:val="zh-CN" w:eastAsia="zh-CN" w:bidi="zh-CN"/>
              </w:rPr>
            </w:pPr>
            <w:r>
              <w:rPr>
                <w:rFonts w:hint="eastAsia" w:ascii="宋体" w:hAnsi="宋体" w:eastAsia="宋体" w:cs="宋体"/>
                <w:b/>
                <w:bCs/>
                <w:sz w:val="24"/>
                <w:szCs w:val="24"/>
                <w:lang w:val="en-US" w:eastAsia="zh-CN"/>
              </w:rPr>
              <w:t>a</w:t>
            </w:r>
            <w:r>
              <w:rPr>
                <w:rFonts w:hint="eastAsia" w:ascii="宋体" w:hAnsi="宋体" w:eastAsia="宋体" w:cs="宋体"/>
                <w:b/>
                <w:bCs/>
                <w:sz w:val="24"/>
                <w:szCs w:val="24"/>
                <w:lang w:val="en-US" w:eastAsia="zh-CN" w:bidi="zh-CN"/>
              </w:rPr>
              <w:t>.供应商未能在谈判响应截止时间前成功上传电子加密谈判响应文件的谈判响应无效。</w:t>
            </w:r>
          </w:p>
          <w:p>
            <w:pPr>
              <w:pStyle w:val="20"/>
              <w:keepNext w:val="0"/>
              <w:keepLines w:val="0"/>
              <w:pageBreakBefore w:val="0"/>
              <w:widowControl w:val="0"/>
              <w:numPr>
                <w:ilvl w:val="0"/>
                <w:numId w:val="0"/>
              </w:numPr>
              <w:tabs>
                <w:tab w:val="left" w:pos="297"/>
              </w:tabs>
              <w:kinsoku/>
              <w:wordWrap/>
              <w:overflowPunct/>
              <w:topLinePunct w:val="0"/>
              <w:autoSpaceDE w:val="0"/>
              <w:autoSpaceDN w:val="0"/>
              <w:bidi w:val="0"/>
              <w:adjustRightInd/>
              <w:snapToGrid/>
              <w:spacing w:before="0" w:after="0" w:line="270" w:lineRule="exact"/>
              <w:ind w:left="0" w:leftChars="0" w:right="0" w:right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b.</w:t>
            </w:r>
            <w:r>
              <w:rPr>
                <w:rFonts w:hint="eastAsia" w:ascii="宋体" w:hAnsi="宋体" w:eastAsia="宋体" w:cs="宋体"/>
                <w:sz w:val="24"/>
                <w:szCs w:val="24"/>
              </w:rPr>
              <w:t>供应商成功上传电子加密谈判响应文件后，可自行打印谈判响应文件接收回执。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6</w:t>
            </w:r>
          </w:p>
        </w:tc>
        <w:tc>
          <w:tcPr>
            <w:tcW w:w="1716"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备份谈判响应文件</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备份谈判响应文件： 供应商确保在</w:t>
            </w:r>
            <w:r>
              <w:rPr>
                <w:rFonts w:hint="eastAsia" w:ascii="宋体" w:hAnsi="宋体" w:eastAsia="宋体" w:cs="宋体"/>
                <w:sz w:val="24"/>
                <w:szCs w:val="24"/>
                <w:lang w:eastAsia="zh-CN"/>
              </w:rPr>
              <w:t>谈判响应</w:t>
            </w:r>
            <w:r>
              <w:rPr>
                <w:rFonts w:hint="eastAsia" w:ascii="宋体" w:hAnsi="宋体" w:eastAsia="宋体" w:cs="宋体"/>
                <w:sz w:val="24"/>
                <w:szCs w:val="24"/>
              </w:rPr>
              <w:t>截止时间前，将备份谈判响应文件通过快递形式寄达采购代理机构处，以便标书解密异常时应急使用（邮寄地址：</w:t>
            </w:r>
            <w:r>
              <w:rPr>
                <w:rFonts w:hint="eastAsia" w:ascii="宋体" w:hAnsi="宋体" w:eastAsia="宋体" w:cs="宋体"/>
                <w:sz w:val="24"/>
                <w:szCs w:val="24"/>
                <w:lang w:eastAsia="zh-CN"/>
              </w:rPr>
              <w:t>浙江省温岭市阳光大道157号科创大厦20楼</w:t>
            </w:r>
            <w:r>
              <w:rPr>
                <w:rFonts w:hint="eastAsia" w:ascii="宋体" w:hAnsi="宋体" w:eastAsia="宋体" w:cs="宋体"/>
                <w:sz w:val="24"/>
                <w:szCs w:val="24"/>
              </w:rPr>
              <w:t>，接收人：</w:t>
            </w:r>
            <w:r>
              <w:rPr>
                <w:rFonts w:hint="eastAsia" w:ascii="宋体" w:hAnsi="宋体" w:eastAsia="宋体" w:cs="宋体"/>
                <w:sz w:val="24"/>
                <w:szCs w:val="24"/>
                <w:lang w:val="en-US" w:eastAsia="zh-CN"/>
              </w:rPr>
              <w:t xml:space="preserve">方思茜  </w:t>
            </w:r>
            <w:r>
              <w:rPr>
                <w:rFonts w:hint="eastAsia" w:ascii="宋体" w:hAnsi="宋体" w:eastAsia="宋体" w:cs="宋体"/>
                <w:sz w:val="24"/>
                <w:szCs w:val="24"/>
              </w:rPr>
              <w:t>，电话：</w:t>
            </w:r>
            <w:r>
              <w:rPr>
                <w:rFonts w:hint="eastAsia" w:ascii="宋体" w:hAnsi="宋体" w:eastAsia="宋体" w:cs="宋体"/>
                <w:sz w:val="24"/>
                <w:szCs w:val="24"/>
                <w:lang w:val="en-US" w:eastAsia="zh-CN"/>
              </w:rPr>
              <w:t xml:space="preserve">86666819 </w:t>
            </w:r>
            <w:r>
              <w:rPr>
                <w:rFonts w:hint="eastAsia" w:ascii="宋体" w:hAnsi="宋体" w:eastAsia="宋体" w:cs="宋体"/>
                <w:sz w:val="24"/>
                <w:szCs w:val="24"/>
              </w:rPr>
              <w:t>）。</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备份谈判响应文件递交要求：供应商须将备份谈判响应文件以光盘或 U 盘形式放在密封袋中，密封后并在密封袋上注明</w:t>
            </w:r>
            <w:r>
              <w:rPr>
                <w:rFonts w:hint="eastAsia" w:ascii="宋体" w:hAnsi="宋体" w:eastAsia="宋体" w:cs="宋体"/>
                <w:sz w:val="24"/>
                <w:szCs w:val="24"/>
                <w:lang w:eastAsia="zh-CN"/>
              </w:rPr>
              <w:t>谈判响应</w:t>
            </w:r>
            <w:r>
              <w:rPr>
                <w:rFonts w:hint="eastAsia" w:ascii="宋体" w:hAnsi="宋体" w:eastAsia="宋体" w:cs="宋体"/>
                <w:sz w:val="24"/>
                <w:szCs w:val="24"/>
              </w:rPr>
              <w:t>项目名称、</w:t>
            </w:r>
            <w:r>
              <w:rPr>
                <w:rFonts w:hint="eastAsia" w:ascii="宋体" w:hAnsi="宋体" w:eastAsia="宋体" w:cs="宋体"/>
                <w:sz w:val="24"/>
                <w:szCs w:val="24"/>
                <w:lang w:eastAsia="zh-CN"/>
              </w:rPr>
              <w:t>谈判响应</w:t>
            </w:r>
            <w:r>
              <w:rPr>
                <w:rFonts w:hint="eastAsia" w:ascii="宋体" w:hAnsi="宋体" w:eastAsia="宋体" w:cs="宋体"/>
                <w:sz w:val="24"/>
                <w:szCs w:val="24"/>
              </w:rPr>
              <w:t>单位名称并加盖公章。未密封包装或者逾期邮寄送达的“备份谈判响应文件”将不予接收。</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b.</w:t>
            </w:r>
            <w:r>
              <w:rPr>
                <w:rFonts w:hint="eastAsia" w:ascii="宋体" w:hAnsi="宋体" w:eastAsia="宋体" w:cs="宋体"/>
                <w:sz w:val="24"/>
                <w:szCs w:val="24"/>
              </w:rPr>
              <w:t>通过“政府采购云平台”成功上传递交的“电子加密谈判响应文件”已按时解密的，“备份谈判响应文件”自动失效。</w:t>
            </w:r>
            <w:r>
              <w:rPr>
                <w:rFonts w:hint="eastAsia" w:ascii="宋体" w:hAnsi="宋体" w:eastAsia="宋体" w:cs="宋体"/>
                <w:b/>
                <w:bCs/>
                <w:sz w:val="24"/>
                <w:szCs w:val="24"/>
                <w:lang w:eastAsia="zh-CN"/>
              </w:rPr>
              <w:t>谈判响应</w:t>
            </w:r>
            <w:r>
              <w:rPr>
                <w:rFonts w:hint="eastAsia" w:ascii="宋体" w:hAnsi="宋体" w:eastAsia="宋体" w:cs="宋体"/>
                <w:b/>
                <w:bCs/>
                <w:sz w:val="24"/>
                <w:szCs w:val="24"/>
              </w:rPr>
              <w:t>截止时间前，</w:t>
            </w:r>
            <w:r>
              <w:rPr>
                <w:rFonts w:hint="eastAsia" w:ascii="宋体" w:hAnsi="宋体" w:eastAsia="宋体" w:cs="宋体"/>
                <w:b/>
                <w:bCs/>
                <w:sz w:val="24"/>
                <w:szCs w:val="24"/>
                <w:lang w:eastAsia="zh-CN"/>
              </w:rPr>
              <w:t>谈判响应</w:t>
            </w:r>
            <w:r>
              <w:rPr>
                <w:rFonts w:hint="eastAsia" w:ascii="宋体" w:hAnsi="宋体" w:eastAsia="宋体" w:cs="宋体"/>
                <w:b/>
                <w:bCs/>
                <w:sz w:val="24"/>
                <w:szCs w:val="24"/>
              </w:rPr>
              <w:t>供应商仅递交了“备份谈判响应文件”而未将“电子加密谈判响应文件”成功上传至“政府采购云平台”的，</w:t>
            </w:r>
            <w:r>
              <w:rPr>
                <w:rFonts w:hint="eastAsia" w:ascii="宋体" w:hAnsi="宋体" w:eastAsia="宋体" w:cs="宋体"/>
                <w:b/>
                <w:bCs/>
                <w:sz w:val="24"/>
                <w:szCs w:val="24"/>
                <w:lang w:eastAsia="zh-CN"/>
              </w:rPr>
              <w:t>谈判响应</w:t>
            </w:r>
            <w:r>
              <w:rPr>
                <w:rFonts w:hint="eastAsia" w:ascii="宋体" w:hAnsi="宋体" w:eastAsia="宋体" w:cs="宋体"/>
                <w:b/>
                <w:bCs/>
                <w:sz w:val="24"/>
                <w:szCs w:val="24"/>
              </w:rPr>
              <w:t>无效</w:t>
            </w:r>
            <w:r>
              <w:rPr>
                <w:rFonts w:hint="eastAsia" w:ascii="宋体" w:hAnsi="宋体" w:eastAsia="宋体" w:cs="宋体"/>
                <w:spacing w:val="1"/>
                <w:w w:val="95"/>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w w:val="95"/>
                <w:sz w:val="24"/>
                <w:szCs w:val="24"/>
              </w:rPr>
              <w:t>7</w:t>
            </w:r>
          </w:p>
        </w:tc>
        <w:tc>
          <w:tcPr>
            <w:tcW w:w="1716" w:type="dxa"/>
            <w:vAlign w:val="center"/>
          </w:tcPr>
          <w:p>
            <w:pPr>
              <w:pStyle w:val="14"/>
              <w:keepNext w:val="0"/>
              <w:keepLines w:val="0"/>
              <w:pageBreakBefore w:val="0"/>
              <w:widowControl w:val="0"/>
              <w:kinsoku/>
              <w:wordWrap/>
              <w:overflowPunct/>
              <w:topLinePunct w:val="0"/>
              <w:autoSpaceDE w:val="0"/>
              <w:autoSpaceDN w:val="0"/>
              <w:bidi w:val="0"/>
              <w:adjustRightInd/>
              <w:snapToGrid/>
              <w:spacing w:before="0" w:line="270" w:lineRule="exact"/>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电子加密谈判响应文件的解密和异常情况处理</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电子加密谈判响应文件的解密和异常情况处理：</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开标后，各</w:t>
            </w:r>
            <w:r>
              <w:rPr>
                <w:rFonts w:hint="eastAsia" w:ascii="宋体" w:hAnsi="宋体" w:eastAsia="宋体" w:cs="宋体"/>
                <w:sz w:val="24"/>
                <w:szCs w:val="24"/>
                <w:lang w:eastAsia="zh-CN"/>
              </w:rPr>
              <w:t>谈判响应</w:t>
            </w:r>
            <w:r>
              <w:rPr>
                <w:rFonts w:hint="eastAsia" w:ascii="宋体" w:hAnsi="宋体" w:eastAsia="宋体" w:cs="宋体"/>
                <w:sz w:val="24"/>
                <w:szCs w:val="24"/>
              </w:rPr>
              <w:t>供应商代表应当在限定时间内自行完成“电子加密谈判响应文件”的在线解密。</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通过“政府采购云平台”成功上传递交的“电子加密谈判响应文件”无法按时解</w:t>
            </w:r>
            <w:r>
              <w:rPr>
                <w:rFonts w:hint="eastAsia" w:ascii="宋体" w:hAnsi="宋体" w:eastAsia="宋体" w:cs="宋体"/>
                <w:spacing w:val="-7"/>
                <w:w w:val="90"/>
                <w:sz w:val="24"/>
                <w:szCs w:val="24"/>
              </w:rPr>
              <w:t>密，</w:t>
            </w:r>
            <w:r>
              <w:rPr>
                <w:rFonts w:hint="eastAsia" w:ascii="宋体" w:hAnsi="宋体" w:eastAsia="宋体" w:cs="宋体"/>
                <w:sz w:val="24"/>
                <w:szCs w:val="24"/>
                <w:lang w:eastAsia="zh-CN"/>
              </w:rPr>
              <w:t>谈判响应</w:t>
            </w:r>
            <w:r>
              <w:rPr>
                <w:rFonts w:hint="eastAsia" w:ascii="宋体" w:hAnsi="宋体" w:eastAsia="宋体" w:cs="宋体"/>
                <w:sz w:val="24"/>
                <w:szCs w:val="24"/>
              </w:rPr>
              <w:t>供应商如按规定递交了“备份谈判响应文件”的，以“备份谈判响应文件”为依据（由采购组织机构按“政府采购云平台”操作规范将“备份谈判响应文件”上传至“政府采购云平台”，上传成功后，“电子加密谈判响应文件”自动失效），否则视为谈判响应文件撤回。</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vertAlign w:val="baseline"/>
              </w:rPr>
            </w:pPr>
            <w:r>
              <w:rPr>
                <w:rFonts w:hint="eastAsia" w:ascii="宋体" w:hAnsi="宋体" w:eastAsia="宋体" w:cs="宋体"/>
                <w:b/>
                <w:bCs/>
                <w:sz w:val="24"/>
                <w:szCs w:val="24"/>
              </w:rPr>
              <w:t>c.</w:t>
            </w:r>
            <w:r>
              <w:rPr>
                <w:rFonts w:hint="eastAsia" w:ascii="宋体" w:hAnsi="宋体" w:eastAsia="宋体" w:cs="宋体"/>
                <w:b/>
                <w:bCs/>
                <w:spacing w:val="-6"/>
                <w:sz w:val="24"/>
                <w:szCs w:val="24"/>
                <w:lang w:eastAsia="zh-CN"/>
              </w:rPr>
              <w:t>谈判响应</w:t>
            </w:r>
            <w:r>
              <w:rPr>
                <w:rFonts w:hint="eastAsia" w:ascii="宋体" w:hAnsi="宋体" w:eastAsia="宋体" w:cs="宋体"/>
                <w:b/>
                <w:bCs/>
                <w:spacing w:val="-6"/>
                <w:sz w:val="24"/>
                <w:szCs w:val="24"/>
              </w:rPr>
              <w:t>截止时间前，</w:t>
            </w:r>
            <w:r>
              <w:rPr>
                <w:rFonts w:hint="eastAsia" w:ascii="宋体" w:hAnsi="宋体" w:eastAsia="宋体" w:cs="宋体"/>
                <w:b/>
                <w:bCs/>
                <w:spacing w:val="-6"/>
                <w:sz w:val="24"/>
                <w:szCs w:val="24"/>
                <w:lang w:eastAsia="zh-CN"/>
              </w:rPr>
              <w:t>谈判响应</w:t>
            </w:r>
            <w:r>
              <w:rPr>
                <w:rFonts w:hint="eastAsia" w:ascii="宋体" w:hAnsi="宋体" w:eastAsia="宋体" w:cs="宋体"/>
                <w:b/>
                <w:bCs/>
                <w:spacing w:val="-6"/>
                <w:sz w:val="24"/>
                <w:szCs w:val="24"/>
              </w:rPr>
              <w:t>供应商仅递交了“备份谈判响应文件”而未将电子加密谈判响应文件上传至“政府采购云平台”的，</w:t>
            </w:r>
            <w:r>
              <w:rPr>
                <w:rFonts w:hint="eastAsia" w:ascii="宋体" w:hAnsi="宋体" w:eastAsia="宋体" w:cs="宋体"/>
                <w:b/>
                <w:bCs/>
                <w:spacing w:val="-6"/>
                <w:sz w:val="24"/>
                <w:szCs w:val="24"/>
                <w:lang w:eastAsia="zh-CN"/>
              </w:rPr>
              <w:t>谈判响应</w:t>
            </w:r>
            <w:r>
              <w:rPr>
                <w:rFonts w:hint="eastAsia" w:ascii="宋体" w:hAnsi="宋体" w:eastAsia="宋体" w:cs="宋体"/>
                <w:b/>
                <w:bCs/>
                <w:spacing w:val="-6"/>
                <w:sz w:val="24"/>
                <w:szCs w:val="24"/>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8</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谈判响应文 件、流程文件签章</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电子谈判响应文件必须有电子签章；</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开标后，相关信息记录确认、澄清说明、回复等内容，电子签章、或者签章后上传相关文件，均认可；</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9</w:t>
            </w:r>
          </w:p>
        </w:tc>
        <w:tc>
          <w:tcPr>
            <w:tcW w:w="1716" w:type="dxa"/>
            <w:vAlign w:val="top"/>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谈判程序</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谈判开始后，采购代理机构点击【开始解密】，供应商应在30分钟内完成解密。供应商在规定的时间内都已完成解密，则系统自动结束解密；供应商超过解密时限，默认自动放弃；</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解密不成功时，如</w:t>
            </w:r>
            <w:r>
              <w:rPr>
                <w:rFonts w:hint="eastAsia" w:ascii="宋体" w:hAnsi="宋体" w:eastAsia="宋体" w:cs="宋体"/>
                <w:sz w:val="24"/>
                <w:szCs w:val="24"/>
                <w:lang w:eastAsia="zh-CN"/>
              </w:rPr>
              <w:t>谈判响应</w:t>
            </w:r>
            <w:r>
              <w:rPr>
                <w:rFonts w:hint="eastAsia" w:ascii="宋体" w:hAnsi="宋体" w:eastAsia="宋体" w:cs="宋体"/>
                <w:sz w:val="24"/>
                <w:szCs w:val="24"/>
              </w:rPr>
              <w:t>供应商已按规定递交了“备份谈判响应文件”的，采购代理机构通过【异常处理】端口对备份谈判响应文件上传、解密；</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b/>
                <w:bCs/>
                <w:sz w:val="24"/>
                <w:szCs w:val="24"/>
              </w:rPr>
              <w:t>结束解密后，供应商通过邮件形式将经授权代表签署的《政府采购活动现场确认声明书》（格式见</w:t>
            </w:r>
            <w:r>
              <w:rPr>
                <w:rFonts w:hint="eastAsia" w:ascii="宋体" w:hAnsi="宋体" w:eastAsia="宋体" w:cs="宋体"/>
                <w:b/>
                <w:bCs/>
                <w:sz w:val="24"/>
                <w:szCs w:val="24"/>
                <w:lang w:eastAsia="zh-CN"/>
              </w:rPr>
              <w:t>谈判文件</w:t>
            </w:r>
            <w:r>
              <w:rPr>
                <w:rFonts w:hint="eastAsia" w:ascii="宋体" w:hAnsi="宋体" w:eastAsia="宋体" w:cs="宋体"/>
                <w:b/>
                <w:bCs/>
                <w:sz w:val="24"/>
                <w:szCs w:val="24"/>
              </w:rPr>
              <w:t>最后一页内容） 扫描件发至代理机构经办人邮箱（ 邮箱地址：</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"mailto:360745117@qq.com"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1436648507</w:t>
            </w:r>
            <w:r>
              <w:rPr>
                <w:rFonts w:hint="eastAsia" w:ascii="宋体" w:hAnsi="宋体" w:eastAsia="宋体" w:cs="宋体"/>
                <w:b/>
                <w:bCs/>
                <w:sz w:val="24"/>
                <w:szCs w:val="24"/>
              </w:rPr>
              <w:t xml:space="preserve">@qq.com </w:t>
            </w:r>
            <w:r>
              <w:rPr>
                <w:rFonts w:hint="eastAsia" w:ascii="宋体" w:hAnsi="宋体" w:eastAsia="宋体" w:cs="宋体"/>
                <w:b/>
                <w:bCs/>
                <w:sz w:val="24"/>
                <w:szCs w:val="24"/>
              </w:rPr>
              <w:fldChar w:fldCharType="end"/>
            </w:r>
            <w:r>
              <w:rPr>
                <w:rFonts w:hint="eastAsia" w:ascii="宋体" w:hAnsi="宋体" w:eastAsia="宋体" w:cs="宋体"/>
                <w:b/>
                <w:bCs/>
                <w:sz w:val="24"/>
                <w:szCs w:val="24"/>
              </w:rPr>
              <w:t>，联系人：</w:t>
            </w:r>
            <w:r>
              <w:rPr>
                <w:rFonts w:hint="eastAsia" w:ascii="宋体" w:hAnsi="宋体" w:eastAsia="宋体" w:cs="宋体"/>
                <w:b/>
                <w:bCs/>
                <w:sz w:val="24"/>
                <w:szCs w:val="24"/>
                <w:lang w:val="en-US" w:eastAsia="zh-CN"/>
              </w:rPr>
              <w:t>汪颖轩</w:t>
            </w:r>
            <w:r>
              <w:rPr>
                <w:rFonts w:hint="eastAsia" w:ascii="宋体" w:hAnsi="宋体" w:eastAsia="宋体" w:cs="宋体"/>
                <w:b/>
                <w:bCs/>
                <w:sz w:val="24"/>
                <w:szCs w:val="24"/>
              </w:rPr>
              <w:t>，电话：</w:t>
            </w:r>
            <w:r>
              <w:rPr>
                <w:rFonts w:hint="eastAsia" w:ascii="宋体" w:hAnsi="宋体" w:eastAsia="宋体" w:cs="宋体"/>
                <w:b/>
                <w:bCs/>
                <w:sz w:val="24"/>
                <w:szCs w:val="24"/>
                <w:lang w:val="en-US" w:eastAsia="zh-CN"/>
              </w:rPr>
              <w:t>18257668620</w:t>
            </w:r>
            <w:r>
              <w:rPr>
                <w:rFonts w:hint="eastAsia" w:ascii="宋体" w:hAnsi="宋体" w:eastAsia="宋体" w:cs="宋体"/>
                <w:b/>
                <w:bCs/>
                <w:sz w:val="24"/>
                <w:szCs w:val="24"/>
              </w:rPr>
              <w:t>）</w:t>
            </w:r>
            <w:r>
              <w:rPr>
                <w:rFonts w:hint="eastAsia" w:ascii="宋体" w:hAnsi="宋体" w:eastAsia="宋体" w:cs="宋体"/>
                <w:sz w:val="24"/>
                <w:szCs w:val="24"/>
              </w:rPr>
              <w:t>；</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pacing w:val="-6"/>
                <w:sz w:val="24"/>
                <w:szCs w:val="24"/>
              </w:rPr>
              <w:t>采购组织机构点击【开启标书信息】，开启标书成功后进入开标流程。</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10</w:t>
            </w:r>
          </w:p>
        </w:tc>
        <w:tc>
          <w:tcPr>
            <w:tcW w:w="1716" w:type="dxa"/>
            <w:vAlign w:val="top"/>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评审程序</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资格审查：由采购人或采购代理机构代表根据</w:t>
            </w:r>
            <w:r>
              <w:rPr>
                <w:rFonts w:hint="eastAsia" w:ascii="宋体" w:hAnsi="宋体" w:eastAsia="宋体" w:cs="宋体"/>
                <w:sz w:val="24"/>
                <w:szCs w:val="24"/>
                <w:lang w:eastAsia="zh-CN"/>
              </w:rPr>
              <w:t>谈判文件</w:t>
            </w:r>
            <w:r>
              <w:rPr>
                <w:rFonts w:hint="eastAsia" w:ascii="宋体" w:hAnsi="宋体" w:eastAsia="宋体" w:cs="宋体"/>
                <w:sz w:val="24"/>
                <w:szCs w:val="24"/>
              </w:rPr>
              <w:t>的规定对供</w:t>
            </w:r>
            <w:r>
              <w:rPr>
                <w:rFonts w:hint="eastAsia" w:ascii="宋体" w:hAnsi="宋体" w:eastAsia="宋体" w:cs="宋体"/>
                <w:spacing w:val="-6"/>
                <w:sz w:val="24"/>
                <w:szCs w:val="24"/>
              </w:rPr>
              <w:t>应商进行资格审查，资格审查不合格的供应商，其</w:t>
            </w:r>
            <w:r>
              <w:rPr>
                <w:rFonts w:hint="eastAsia" w:ascii="宋体" w:hAnsi="宋体" w:eastAsia="宋体" w:cs="宋体"/>
                <w:spacing w:val="-6"/>
                <w:sz w:val="24"/>
                <w:szCs w:val="24"/>
                <w:lang w:eastAsia="zh-CN"/>
              </w:rPr>
              <w:t>谈判响应</w:t>
            </w:r>
            <w:r>
              <w:rPr>
                <w:rFonts w:hint="eastAsia" w:ascii="宋体" w:hAnsi="宋体" w:eastAsia="宋体" w:cs="宋体"/>
                <w:spacing w:val="-6"/>
                <w:sz w:val="24"/>
                <w:szCs w:val="24"/>
              </w:rPr>
              <w:t>作无效标处理。</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符合性评审：依据</w:t>
            </w:r>
            <w:r>
              <w:rPr>
                <w:rFonts w:hint="eastAsia" w:ascii="宋体" w:hAnsi="宋体" w:eastAsia="宋体" w:cs="宋体"/>
                <w:sz w:val="24"/>
                <w:szCs w:val="24"/>
                <w:lang w:eastAsia="zh-CN"/>
              </w:rPr>
              <w:t>谈判文件</w:t>
            </w:r>
            <w:r>
              <w:rPr>
                <w:rFonts w:hint="eastAsia" w:ascii="宋体" w:hAnsi="宋体" w:eastAsia="宋体" w:cs="宋体"/>
                <w:sz w:val="24"/>
                <w:szCs w:val="24"/>
              </w:rPr>
              <w:t>的规定，从谈判响应文件的有效性、完整性和对</w:t>
            </w:r>
            <w:r>
              <w:rPr>
                <w:rFonts w:hint="eastAsia" w:ascii="宋体" w:hAnsi="宋体" w:eastAsia="宋体" w:cs="宋体"/>
                <w:sz w:val="24"/>
                <w:szCs w:val="24"/>
                <w:lang w:eastAsia="zh-CN"/>
              </w:rPr>
              <w:t>谈判文件</w:t>
            </w:r>
            <w:r>
              <w:rPr>
                <w:rFonts w:hint="eastAsia" w:ascii="宋体" w:hAnsi="宋体" w:eastAsia="宋体" w:cs="宋体"/>
                <w:sz w:val="24"/>
                <w:szCs w:val="24"/>
              </w:rPr>
              <w:t>的响应程度进行审查，以确定是否对</w:t>
            </w:r>
            <w:r>
              <w:rPr>
                <w:rFonts w:hint="eastAsia" w:ascii="宋体" w:hAnsi="宋体" w:eastAsia="宋体" w:cs="宋体"/>
                <w:sz w:val="24"/>
                <w:szCs w:val="24"/>
                <w:lang w:eastAsia="zh-CN"/>
              </w:rPr>
              <w:t>谈判文件</w:t>
            </w:r>
            <w:r>
              <w:rPr>
                <w:rFonts w:hint="eastAsia" w:ascii="宋体" w:hAnsi="宋体" w:eastAsia="宋体" w:cs="宋体"/>
                <w:sz w:val="24"/>
                <w:szCs w:val="24"/>
              </w:rPr>
              <w:t>的实质性要求作出响应。</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商务技术评审：由评标委员会对供应商的技术商务充分审核、讨论及评议。商务技术结果公布；代理机构公布符合性审查、商务技术评审无效供应商名称及理由；公布经商务技术评审后有效</w:t>
            </w:r>
            <w:r>
              <w:rPr>
                <w:rFonts w:hint="eastAsia" w:ascii="宋体" w:hAnsi="宋体" w:eastAsia="宋体" w:cs="宋体"/>
                <w:sz w:val="24"/>
                <w:szCs w:val="24"/>
                <w:lang w:eastAsia="zh-CN"/>
              </w:rPr>
              <w:t>谈判响应</w:t>
            </w:r>
            <w:r>
              <w:rPr>
                <w:rFonts w:hint="eastAsia" w:ascii="宋体" w:hAnsi="宋体" w:eastAsia="宋体" w:cs="宋体"/>
                <w:sz w:val="24"/>
                <w:szCs w:val="24"/>
              </w:rPr>
              <w:t>供应商的名单。</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开启报价响应文件：采购代理机构成功开启报价响应文件后，方可查看供应商报价况。代理机构公布报价一览表有关内容，供应商签字确认《开标记录》后通过邮件形式发送回代理机构（不予确认的应说明理由，否则视为无异议）。</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报价评审：由评标委员会对报价的合理性、准确性等进行审查核实。结果公布：供应商可通过在线平台查看评审结果。</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注：除邮件交互外，如政采云平台提供信息发布、澄清说明、数据交换等操作方式的，或者政采云系统平台有新的操作流程的，按其规定。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top"/>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11</w:t>
            </w:r>
          </w:p>
        </w:tc>
        <w:tc>
          <w:tcPr>
            <w:tcW w:w="1716" w:type="dxa"/>
            <w:vAlign w:val="top"/>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询标澄清</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在评审过程中，如评审小组对谈判响应文件有疑问，由评审组长将问题汇总后发起询标澄清函，供应商应在规定截止时间前回复相关内容并经签章后提交。逾期答复的，供应商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12</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both"/>
              <w:textAlignment w:val="auto"/>
              <w:rPr>
                <w:rFonts w:hint="eastAsia" w:ascii="宋体" w:hAnsi="宋体" w:eastAsia="宋体" w:cs="宋体"/>
                <w:sz w:val="24"/>
                <w:szCs w:val="24"/>
                <w:lang w:val="zh-CN" w:eastAsia="zh-CN" w:bidi="zh-CN"/>
              </w:rPr>
            </w:pPr>
            <w:r>
              <w:rPr>
                <w:rFonts w:hint="eastAsia" w:ascii="宋体" w:hAnsi="宋体" w:eastAsia="宋体" w:cs="宋体"/>
                <w:spacing w:val="-17"/>
                <w:sz w:val="24"/>
                <w:szCs w:val="24"/>
                <w:lang w:val="zh-CN" w:eastAsia="zh-CN" w:bidi="zh-CN"/>
              </w:rPr>
              <w:t>谈判响应有效期</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lang w:eastAsia="zh-CN"/>
              </w:rPr>
              <w:t>谈判响应</w:t>
            </w:r>
            <w:r>
              <w:rPr>
                <w:rFonts w:hint="eastAsia" w:ascii="宋体" w:hAnsi="宋体" w:eastAsia="宋体" w:cs="宋体"/>
                <w:sz w:val="24"/>
                <w:szCs w:val="24"/>
              </w:rPr>
              <w:t>截止日起 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13</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谈判响应报价</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w:t>
            </w:r>
            <w:r>
              <w:rPr>
                <w:rFonts w:hint="eastAsia" w:ascii="宋体" w:hAnsi="宋体" w:eastAsia="宋体" w:cs="宋体"/>
                <w:sz w:val="24"/>
                <w:szCs w:val="24"/>
                <w:lang w:eastAsia="zh-CN"/>
              </w:rPr>
              <w:t>谈判响应</w:t>
            </w:r>
            <w:r>
              <w:rPr>
                <w:rFonts w:hint="eastAsia" w:ascii="宋体" w:hAnsi="宋体" w:eastAsia="宋体" w:cs="宋体"/>
                <w:sz w:val="24"/>
                <w:szCs w:val="24"/>
              </w:rPr>
              <w:t>应以</w:t>
            </w:r>
            <w:r>
              <w:rPr>
                <w:rFonts w:hint="eastAsia" w:ascii="宋体" w:hAnsi="宋体" w:eastAsia="宋体" w:cs="宋体"/>
                <w:sz w:val="24"/>
                <w:szCs w:val="24"/>
                <w:lang w:val="en-US" w:eastAsia="zh-CN"/>
              </w:rPr>
              <w:t>结算率</w:t>
            </w:r>
            <w:r>
              <w:rPr>
                <w:rFonts w:hint="eastAsia" w:ascii="宋体" w:hAnsi="宋体" w:eastAsia="宋体" w:cs="宋体"/>
                <w:sz w:val="24"/>
                <w:szCs w:val="24"/>
              </w:rPr>
              <w:t>报价；</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不论</w:t>
            </w:r>
            <w:r>
              <w:rPr>
                <w:rFonts w:hint="eastAsia" w:ascii="宋体" w:hAnsi="宋体" w:eastAsia="宋体" w:cs="宋体"/>
                <w:sz w:val="24"/>
                <w:szCs w:val="24"/>
                <w:lang w:eastAsia="zh-CN"/>
              </w:rPr>
              <w:t>谈判响应</w:t>
            </w:r>
            <w:r>
              <w:rPr>
                <w:rFonts w:hint="eastAsia" w:ascii="宋体" w:hAnsi="宋体" w:eastAsia="宋体" w:cs="宋体"/>
                <w:sz w:val="24"/>
                <w:szCs w:val="24"/>
              </w:rPr>
              <w:t>结果如何，供应商均应自行承担所有与</w:t>
            </w:r>
            <w:r>
              <w:rPr>
                <w:rFonts w:hint="eastAsia" w:ascii="宋体" w:hAnsi="宋体" w:eastAsia="宋体" w:cs="宋体"/>
                <w:sz w:val="24"/>
                <w:szCs w:val="24"/>
                <w:lang w:eastAsia="zh-CN"/>
              </w:rPr>
              <w:t>谈判响应</w:t>
            </w:r>
            <w:r>
              <w:rPr>
                <w:rFonts w:hint="eastAsia" w:ascii="宋体" w:hAnsi="宋体" w:eastAsia="宋体" w:cs="宋体"/>
                <w:sz w:val="24"/>
                <w:szCs w:val="24"/>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w w:val="95"/>
                <w:sz w:val="24"/>
                <w:szCs w:val="24"/>
              </w:rPr>
              <w:t>14</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踏勘现场</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组织（详细内容）</w:t>
            </w:r>
            <w:r>
              <w:rPr>
                <w:rFonts w:hint="eastAsia" w:ascii="宋体" w:hAnsi="宋体" w:eastAsia="宋体" w:cs="宋体"/>
                <w:sz w:val="24"/>
                <w:szCs w:val="24"/>
              </w:rPr>
              <w:tab/>
            </w:r>
            <w:r>
              <w:rPr>
                <w:rFonts w:hint="eastAsia" w:ascii="宋体" w:hAnsi="宋体" w:eastAsia="宋体" w:cs="宋体"/>
                <w:sz w:val="24"/>
                <w:szCs w:val="24"/>
              </w:rPr>
              <w:t>☑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15</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样品</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提供，具体详见</w:t>
            </w:r>
            <w:r>
              <w:rPr>
                <w:rFonts w:hint="eastAsia" w:ascii="宋体" w:hAnsi="宋体" w:eastAsia="宋体" w:cs="宋体"/>
                <w:sz w:val="24"/>
                <w:szCs w:val="24"/>
                <w:lang w:eastAsia="zh-CN"/>
              </w:rPr>
              <w:t>谈判文件</w:t>
            </w:r>
            <w:r>
              <w:rPr>
                <w:rFonts w:hint="eastAsia" w:ascii="宋体" w:hAnsi="宋体" w:eastAsia="宋体" w:cs="宋体"/>
                <w:sz w:val="24"/>
                <w:szCs w:val="24"/>
              </w:rPr>
              <w:t>，中标人提供的样品将由采购人保管、封存并作为履约验收的参考</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16</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演示</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要求，具体详见</w:t>
            </w:r>
            <w:r>
              <w:rPr>
                <w:rFonts w:hint="eastAsia" w:ascii="宋体" w:hAnsi="宋体" w:eastAsia="宋体" w:cs="宋体"/>
                <w:sz w:val="24"/>
                <w:szCs w:val="24"/>
                <w:lang w:eastAsia="zh-CN"/>
              </w:rPr>
              <w:t>谈判文件</w:t>
            </w:r>
            <w:r>
              <w:rPr>
                <w:rFonts w:hint="eastAsia" w:ascii="宋体" w:hAnsi="宋体" w:eastAsia="宋体" w:cs="宋体"/>
                <w:sz w:val="24"/>
                <w:szCs w:val="24"/>
              </w:rPr>
              <w:tab/>
            </w:r>
            <w:r>
              <w:rPr>
                <w:rFonts w:hint="eastAsia" w:ascii="宋体" w:hAnsi="宋体" w:eastAsia="宋体" w:cs="宋体"/>
                <w:sz w:val="24"/>
                <w:szCs w:val="24"/>
              </w:rPr>
              <w:t>☑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17</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评标办法</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综合评分法</w:t>
            </w:r>
            <w:r>
              <w:rPr>
                <w:rFonts w:hint="eastAsia" w:ascii="宋体" w:hAnsi="宋体" w:eastAsia="宋体" w:cs="宋体"/>
                <w:sz w:val="24"/>
                <w:szCs w:val="24"/>
              </w:rPr>
              <w:tab/>
            </w:r>
            <w:r>
              <w:rPr>
                <w:rFonts w:hint="eastAsia" w:ascii="宋体" w:hAnsi="宋体" w:eastAsia="宋体" w:cs="宋体"/>
                <w:sz w:val="24"/>
                <w:szCs w:val="24"/>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18</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是否进口</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允许进口</w:t>
            </w:r>
            <w:r>
              <w:rPr>
                <w:rFonts w:hint="eastAsia" w:ascii="宋体" w:hAnsi="宋体" w:eastAsia="宋体" w:cs="宋体"/>
                <w:sz w:val="24"/>
                <w:szCs w:val="24"/>
              </w:rPr>
              <w:tab/>
            </w:r>
            <w:r>
              <w:rPr>
                <w:rFonts w:hint="eastAsia" w:ascii="宋体" w:hAnsi="宋体" w:eastAsia="宋体" w:cs="宋体"/>
                <w:sz w:val="24"/>
                <w:szCs w:val="24"/>
              </w:rPr>
              <w:t>☑ 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19</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节能产品</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强制采购节能产品</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 xml:space="preserve"> 优先采购节能产品</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20</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环境标志产品</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优先采购环境标志产品</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21</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促进小微企业</w:t>
            </w: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发展</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本项目为执行促进中小企业发展政策，监狱企业、残疾人福利性单位视同小型、微型企业。</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22</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合同签订</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采购人与中标人应当在《中标通知书》发出之日起 30 日内签订政府采购合同。同时，采购代理机构对合同内容进行审查，如发现与采购结果和</w:t>
            </w:r>
            <w:r>
              <w:rPr>
                <w:rFonts w:hint="eastAsia" w:ascii="宋体" w:hAnsi="宋体" w:eastAsia="宋体" w:cs="宋体"/>
                <w:sz w:val="24"/>
                <w:szCs w:val="24"/>
                <w:lang w:eastAsia="zh-CN"/>
              </w:rPr>
              <w:t>谈判响应</w:t>
            </w:r>
            <w:bookmarkStart w:id="32" w:name="_GoBack"/>
            <w:bookmarkEnd w:id="32"/>
            <w:r>
              <w:rPr>
                <w:rFonts w:hint="eastAsia" w:ascii="宋体" w:hAnsi="宋体" w:eastAsia="宋体" w:cs="宋体"/>
                <w:sz w:val="24"/>
                <w:szCs w:val="24"/>
              </w:rPr>
              <w:t>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23</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供</w:t>
            </w:r>
            <w:r>
              <w:rPr>
                <w:rFonts w:hint="eastAsia" w:ascii="宋体" w:hAnsi="宋体" w:eastAsia="宋体" w:cs="宋体"/>
                <w:sz w:val="24"/>
                <w:szCs w:val="24"/>
              </w:rPr>
              <w:t>应商注册</w:t>
            </w: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事项</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根据《浙江省政府采购供应商注册及诚信管理暂行办法》</w:t>
            </w:r>
            <w:r>
              <w:rPr>
                <w:rFonts w:hint="eastAsia" w:ascii="宋体" w:hAnsi="宋体" w:eastAsia="宋体" w:cs="宋体"/>
                <w:sz w:val="24"/>
                <w:szCs w:val="24"/>
                <w:lang w:eastAsia="zh-CN"/>
              </w:rPr>
              <w:t>（</w:t>
            </w:r>
            <w:r>
              <w:rPr>
                <w:rFonts w:hint="eastAsia" w:ascii="宋体" w:hAnsi="宋体" w:eastAsia="宋体" w:cs="宋体"/>
                <w:sz w:val="24"/>
                <w:szCs w:val="24"/>
              </w:rPr>
              <w:t>浙财采监字〔2009〕28号）</w:t>
            </w:r>
            <w:r>
              <w:rPr>
                <w:rFonts w:hint="eastAsia" w:ascii="宋体" w:hAnsi="宋体" w:eastAsia="宋体" w:cs="宋体"/>
                <w:sz w:val="24"/>
                <w:szCs w:val="24"/>
                <w:lang w:eastAsia="zh-CN"/>
              </w:rPr>
              <w:t>，</w:t>
            </w:r>
            <w:r>
              <w:rPr>
                <w:rFonts w:hint="eastAsia" w:ascii="宋体" w:hAnsi="宋体" w:eastAsia="宋体" w:cs="宋体"/>
                <w:sz w:val="24"/>
                <w:szCs w:val="24"/>
              </w:rPr>
              <w:t>供应商中标后必须注册成为浙江政府采购网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"http://www.zjzfcg.gov.cn/" \h </w:instrText>
            </w:r>
            <w:r>
              <w:rPr>
                <w:rFonts w:hint="eastAsia" w:ascii="宋体" w:hAnsi="宋体" w:eastAsia="宋体" w:cs="宋体"/>
                <w:sz w:val="24"/>
                <w:szCs w:val="24"/>
              </w:rPr>
              <w:fldChar w:fldCharType="separate"/>
            </w:r>
            <w:r>
              <w:rPr>
                <w:rFonts w:hint="eastAsia" w:ascii="宋体" w:hAnsi="宋体" w:eastAsia="宋体" w:cs="宋体"/>
                <w:sz w:val="24"/>
                <w:szCs w:val="24"/>
              </w:rPr>
              <w:t>（ http://www.zjzfcg.gov.cn/</w:t>
            </w:r>
            <w:r>
              <w:rPr>
                <w:rFonts w:hint="eastAsia" w:ascii="宋体" w:hAnsi="宋体" w:eastAsia="宋体" w:cs="宋体"/>
                <w:sz w:val="24"/>
                <w:szCs w:val="24"/>
              </w:rPr>
              <w:fldChar w:fldCharType="end"/>
            </w:r>
            <w:r>
              <w:rPr>
                <w:rFonts w:hint="eastAsia" w:ascii="宋体" w:hAnsi="宋体" w:eastAsia="宋体" w:cs="宋体"/>
                <w:sz w:val="24"/>
                <w:szCs w:val="24"/>
              </w:rPr>
              <w:t>） 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24</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履约保证金</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金额</w:t>
            </w:r>
            <w:r>
              <w:rPr>
                <w:rFonts w:hint="eastAsia" w:ascii="宋体" w:hAnsi="宋体" w:eastAsia="宋体" w:cs="宋体"/>
                <w:sz w:val="24"/>
                <w:szCs w:val="24"/>
                <w:lang w:eastAsia="zh-CN"/>
              </w:rPr>
              <w:t>：合同价的1%</w:t>
            </w:r>
            <w:r>
              <w:rPr>
                <w:rFonts w:hint="eastAsia" w:ascii="宋体" w:hAnsi="宋体" w:eastAsia="宋体" w:cs="宋体"/>
                <w:sz w:val="24"/>
                <w:szCs w:val="24"/>
              </w:rPr>
              <w:t>；</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收取方式：网银、汇票、电汇、转账支付等非现金方式或银行、保险公司出具的保函形式；</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履约保证金在合同签订前交至采购人处，退还条件详见合同条款；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25</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代理服务费</w:t>
            </w:r>
          </w:p>
        </w:tc>
        <w:tc>
          <w:tcPr>
            <w:tcW w:w="7224" w:type="dxa"/>
            <w:vAlign w:val="top"/>
          </w:tcPr>
          <w:p>
            <w:pPr>
              <w:keepNext w:val="0"/>
              <w:keepLines w:val="0"/>
              <w:pageBreakBefore w:val="0"/>
              <w:widowControl/>
              <w:suppressLineNumbers w:val="0"/>
              <w:kinsoku/>
              <w:wordWrap/>
              <w:overflowPunct/>
              <w:topLinePunct w:val="0"/>
              <w:autoSpaceDE w:val="0"/>
              <w:autoSpaceDN w:val="0"/>
              <w:bidi w:val="0"/>
              <w:adjustRightInd/>
              <w:snapToGrid/>
              <w:spacing w:before="0" w:line="270" w:lineRule="exact"/>
              <w:ind w:left="0" w:right="0"/>
              <w:jc w:val="left"/>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rPr>
              <w:t>1.</w:t>
            </w:r>
            <w:bookmarkStart w:id="7" w:name="OLE_LINK1"/>
            <w:r>
              <w:rPr>
                <w:rFonts w:hint="eastAsia" w:ascii="宋体" w:hAnsi="宋体" w:eastAsia="宋体" w:cs="宋体"/>
                <w:sz w:val="24"/>
                <w:szCs w:val="24"/>
                <w:lang w:val="en-US" w:eastAsia="zh-CN" w:bidi="zh-CN"/>
              </w:rPr>
              <w:t>本项目代理服务费以中标金额为基数，参考发改价格【2011】534号文件中的费率表计算的基准价格的8折计收，不足8000元的，按8000元收取</w:t>
            </w:r>
            <w:bookmarkEnd w:id="7"/>
            <w:r>
              <w:rPr>
                <w:rFonts w:hint="eastAsia" w:ascii="宋体" w:hAnsi="宋体" w:eastAsia="宋体" w:cs="宋体"/>
                <w:sz w:val="24"/>
                <w:szCs w:val="24"/>
                <w:lang w:val="en-US" w:eastAsia="zh-CN" w:bidi="zh-CN"/>
              </w:rPr>
              <w:t>。</w:t>
            </w:r>
          </w:p>
          <w:p>
            <w:pPr>
              <w:keepNext w:val="0"/>
              <w:keepLines w:val="0"/>
              <w:pageBreakBefore w:val="0"/>
              <w:widowControl/>
              <w:suppressLineNumbers w:val="0"/>
              <w:kinsoku/>
              <w:wordWrap/>
              <w:overflowPunct/>
              <w:topLinePunct w:val="0"/>
              <w:autoSpaceDE w:val="0"/>
              <w:autoSpaceDN w:val="0"/>
              <w:bidi w:val="0"/>
              <w:adjustRightInd/>
              <w:snapToGrid/>
              <w:spacing w:before="0" w:line="270" w:lineRule="exact"/>
              <w:ind w:left="0" w:right="0"/>
              <w:jc w:val="lef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bidi="zh-CN"/>
              </w:rPr>
              <w:t>2.收取方式：由代理机构向中标单位收取，中标单位在中标公告发布后5个工作日内支付至招标代理机构处。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26</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现场组织实施</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根据浙江省财政厅文件浙财采监〔2015〕13 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27</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解释权</w:t>
            </w:r>
          </w:p>
        </w:tc>
        <w:tc>
          <w:tcPr>
            <w:tcW w:w="72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谈判文件</w:t>
            </w:r>
            <w:r>
              <w:rPr>
                <w:rFonts w:hint="eastAsia" w:ascii="宋体" w:hAnsi="宋体" w:eastAsia="宋体" w:cs="宋体"/>
                <w:sz w:val="24"/>
                <w:szCs w:val="24"/>
              </w:rPr>
              <w:t>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28</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其他说明</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根据《浙江省财政厅关于规范政府采购供应商资格设定及资格审查的通知》浙财采监〔2013〕24号文件，金融、保险、通讯等特定行业的全国性企业所设立的区域性分支机构</w:t>
            </w:r>
            <w:r>
              <w:rPr>
                <w:rFonts w:hint="eastAsia" w:ascii="宋体" w:hAnsi="宋体" w:eastAsia="宋体" w:cs="宋体"/>
                <w:sz w:val="24"/>
                <w:szCs w:val="24"/>
                <w:lang w:eastAsia="zh-CN"/>
              </w:rPr>
              <w:t>谈判响应</w:t>
            </w:r>
            <w:r>
              <w:rPr>
                <w:rFonts w:hint="eastAsia" w:ascii="宋体" w:hAnsi="宋体" w:eastAsia="宋体" w:cs="宋体"/>
                <w:sz w:val="24"/>
                <w:szCs w:val="24"/>
              </w:rPr>
              <w:t>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w w:val="95"/>
                <w:sz w:val="24"/>
                <w:szCs w:val="24"/>
              </w:rPr>
            </w:pPr>
            <w:r>
              <w:rPr>
                <w:rFonts w:hint="eastAsia" w:ascii="宋体" w:hAnsi="宋体" w:eastAsia="宋体" w:cs="宋体"/>
                <w:sz w:val="24"/>
                <w:szCs w:val="24"/>
              </w:rPr>
              <w:t>29</w:t>
            </w:r>
          </w:p>
        </w:tc>
        <w:tc>
          <w:tcPr>
            <w:tcW w:w="1716" w:type="dxa"/>
            <w:vAlign w:val="center"/>
          </w:tcPr>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right="0"/>
              <w:jc w:val="center"/>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val="0"/>
              <w:autoSpaceDN w:val="0"/>
              <w:bidi w:val="0"/>
              <w:adjustRightInd/>
              <w:snapToGrid/>
              <w:spacing w:before="0" w:line="270" w:lineRule="exact"/>
              <w:ind w:left="0" w:leftChars="0" w:right="0" w:rightChars="0"/>
              <w:jc w:val="center"/>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注意事项</w:t>
            </w:r>
          </w:p>
        </w:tc>
        <w:tc>
          <w:tcPr>
            <w:tcW w:w="7224"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应严格按照</w:t>
            </w:r>
            <w:r>
              <w:rPr>
                <w:rFonts w:hint="eastAsia" w:ascii="宋体" w:hAnsi="宋体" w:eastAsia="宋体" w:cs="宋体"/>
                <w:sz w:val="24"/>
                <w:szCs w:val="24"/>
                <w:lang w:eastAsia="zh-CN"/>
              </w:rPr>
              <w:t>谈判文件</w:t>
            </w:r>
            <w:r>
              <w:rPr>
                <w:rFonts w:hint="eastAsia" w:ascii="宋体" w:hAnsi="宋体" w:eastAsia="宋体" w:cs="宋体"/>
                <w:sz w:val="24"/>
                <w:szCs w:val="24"/>
              </w:rPr>
              <w:t>及补充文件的规定和要求编制</w:t>
            </w:r>
            <w:r>
              <w:rPr>
                <w:rFonts w:hint="eastAsia" w:ascii="宋体" w:hAnsi="宋体" w:eastAsia="宋体" w:cs="宋体"/>
                <w:sz w:val="24"/>
                <w:szCs w:val="24"/>
                <w:lang w:eastAsia="zh-CN"/>
              </w:rPr>
              <w:t>谈判响应</w:t>
            </w:r>
            <w:r>
              <w:rPr>
                <w:rFonts w:hint="eastAsia" w:ascii="宋体" w:hAnsi="宋体" w:eastAsia="宋体" w:cs="宋体"/>
                <w:sz w:val="24"/>
                <w:szCs w:val="24"/>
              </w:rPr>
              <w:t>文件。在编制</w:t>
            </w:r>
            <w:r>
              <w:rPr>
                <w:rFonts w:hint="eastAsia" w:ascii="宋体" w:hAnsi="宋体" w:eastAsia="宋体" w:cs="宋体"/>
                <w:sz w:val="24"/>
                <w:szCs w:val="24"/>
                <w:lang w:eastAsia="zh-CN"/>
              </w:rPr>
              <w:t>谈判响应</w:t>
            </w:r>
            <w:r>
              <w:rPr>
                <w:rFonts w:hint="eastAsia" w:ascii="宋体" w:hAnsi="宋体" w:eastAsia="宋体" w:cs="宋体"/>
                <w:sz w:val="24"/>
                <w:szCs w:val="24"/>
              </w:rPr>
              <w:t>文过  程中,应严格遵循实事求是、诚信</w:t>
            </w:r>
            <w:r>
              <w:rPr>
                <w:rFonts w:hint="eastAsia" w:ascii="宋体" w:hAnsi="宋体" w:eastAsia="宋体" w:cs="宋体"/>
                <w:sz w:val="24"/>
                <w:szCs w:val="24"/>
                <w:lang w:eastAsia="zh-CN"/>
              </w:rPr>
              <w:t>谈判响应</w:t>
            </w:r>
            <w:r>
              <w:rPr>
                <w:rFonts w:hint="eastAsia" w:ascii="宋体" w:hAnsi="宋体" w:eastAsia="宋体" w:cs="宋体"/>
                <w:sz w:val="24"/>
                <w:szCs w:val="24"/>
              </w:rPr>
              <w:t>的原则,如有偏离,应如实填写响应偏离。如果发现本</w:t>
            </w:r>
            <w:r>
              <w:rPr>
                <w:rFonts w:hint="eastAsia" w:ascii="宋体" w:hAnsi="宋体" w:eastAsia="宋体" w:cs="宋体"/>
                <w:sz w:val="24"/>
                <w:szCs w:val="24"/>
                <w:lang w:eastAsia="zh-CN"/>
              </w:rPr>
              <w:t>谈判文件</w:t>
            </w:r>
            <w:r>
              <w:rPr>
                <w:rFonts w:hint="eastAsia" w:ascii="宋体" w:hAnsi="宋体" w:eastAsia="宋体" w:cs="宋体"/>
                <w:sz w:val="24"/>
                <w:szCs w:val="24"/>
              </w:rPr>
              <w:t>中存在歧视性不公正条款或违法违规等内容时,请</w:t>
            </w:r>
            <w:r>
              <w:rPr>
                <w:rFonts w:hint="eastAsia" w:ascii="宋体" w:hAnsi="宋体" w:eastAsia="宋体" w:cs="宋体"/>
                <w:sz w:val="24"/>
                <w:szCs w:val="24"/>
                <w:lang w:eastAsia="zh-CN"/>
              </w:rPr>
              <w:t>供应商</w:t>
            </w:r>
            <w:r>
              <w:rPr>
                <w:rFonts w:hint="eastAsia" w:ascii="宋体" w:hAnsi="宋体" w:eastAsia="宋体" w:cs="宋体"/>
                <w:sz w:val="24"/>
                <w:szCs w:val="24"/>
              </w:rPr>
              <w:t>在获取</w:t>
            </w:r>
            <w:r>
              <w:rPr>
                <w:rFonts w:hint="eastAsia" w:ascii="宋体" w:hAnsi="宋体" w:eastAsia="宋体" w:cs="宋体"/>
                <w:sz w:val="24"/>
                <w:szCs w:val="24"/>
                <w:lang w:eastAsia="zh-CN"/>
              </w:rPr>
              <w:t>谈判文件</w:t>
            </w:r>
            <w:r>
              <w:rPr>
                <w:rFonts w:hint="eastAsia" w:ascii="宋体" w:hAnsi="宋体" w:eastAsia="宋体" w:cs="宋体"/>
                <w:sz w:val="24"/>
                <w:szCs w:val="24"/>
              </w:rPr>
              <w:t>后,在</w:t>
            </w:r>
            <w:r>
              <w:rPr>
                <w:rFonts w:hint="eastAsia" w:ascii="宋体" w:hAnsi="宋体" w:eastAsia="宋体" w:cs="宋体"/>
                <w:sz w:val="24"/>
                <w:szCs w:val="24"/>
                <w:lang w:eastAsia="zh-CN"/>
              </w:rPr>
              <w:t>谈判文件</w:t>
            </w:r>
            <w:r>
              <w:rPr>
                <w:rFonts w:hint="eastAsia" w:ascii="宋体" w:hAnsi="宋体" w:eastAsia="宋体" w:cs="宋体"/>
                <w:sz w:val="24"/>
                <w:szCs w:val="24"/>
              </w:rPr>
              <w:t>的质疑有效期内及时书面提出。</w:t>
            </w:r>
          </w:p>
          <w:p>
            <w:pPr>
              <w:pStyle w:val="20"/>
              <w:keepNext w:val="0"/>
              <w:keepLines w:val="0"/>
              <w:pageBreakBefore w:val="0"/>
              <w:widowControl w:val="0"/>
              <w:kinsoku/>
              <w:wordWrap/>
              <w:overflowPunct/>
              <w:topLinePunct w:val="0"/>
              <w:autoSpaceDE w:val="0"/>
              <w:autoSpaceDN w:val="0"/>
              <w:bidi w:val="0"/>
              <w:adjustRightInd/>
              <w:snapToGrid/>
              <w:spacing w:before="0" w:line="27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采购结果公告期间,</w:t>
            </w:r>
            <w:r>
              <w:rPr>
                <w:rFonts w:hint="eastAsia" w:ascii="宋体" w:hAnsi="宋体" w:eastAsia="宋体" w:cs="宋体"/>
                <w:sz w:val="24"/>
                <w:szCs w:val="24"/>
                <w:lang w:eastAsia="zh-CN"/>
              </w:rPr>
              <w:t>供应商</w:t>
            </w:r>
            <w:r>
              <w:rPr>
                <w:rFonts w:hint="eastAsia" w:ascii="宋体" w:hAnsi="宋体" w:eastAsia="宋体" w:cs="宋体"/>
                <w:sz w:val="24"/>
                <w:szCs w:val="24"/>
              </w:rPr>
              <w:t>不得通过非正当途径获取法律法规规定评标委员会(包括其他相关人员)应当保密的相关内容。</w:t>
            </w:r>
          </w:p>
        </w:tc>
      </w:tr>
    </w:tbl>
    <w:p>
      <w:pPr>
        <w:pStyle w:val="14"/>
        <w:sectPr>
          <w:pgSz w:w="11906" w:h="16838"/>
          <w:pgMar w:top="1440" w:right="1800" w:bottom="1440" w:left="1800" w:header="851" w:footer="992" w:gutter="0"/>
          <w:cols w:space="425" w:num="1"/>
          <w:docGrid w:type="lines" w:linePitch="312" w:charSpace="0"/>
        </w:sectPr>
      </w:pPr>
    </w:p>
    <w:p>
      <w:pPr>
        <w:pStyle w:val="8"/>
        <w:numPr>
          <w:ilvl w:val="0"/>
          <w:numId w:val="1"/>
        </w:numPr>
        <w:spacing w:line="346" w:lineRule="exact"/>
        <w:ind w:left="1132"/>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总则</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leftChars="0" w:right="0" w:rightChars="0" w:firstLine="482" w:firstLineChars="200"/>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eastAsia="zh-CN"/>
        </w:rPr>
        <w:t>（一）适用范围</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w:t>
      </w:r>
      <w:r>
        <w:rPr>
          <w:rFonts w:hint="eastAsia" w:ascii="宋体" w:hAnsi="宋体" w:eastAsia="宋体" w:cs="宋体"/>
          <w:spacing w:val="0"/>
          <w:sz w:val="24"/>
          <w:szCs w:val="24"/>
          <w:lang w:val="en-US" w:eastAsia="zh-CN"/>
        </w:rPr>
        <w:t>竞争性谈判文件</w:t>
      </w:r>
      <w:r>
        <w:rPr>
          <w:rFonts w:hint="eastAsia" w:ascii="宋体" w:hAnsi="宋体" w:eastAsia="宋体" w:cs="宋体"/>
          <w:spacing w:val="0"/>
          <w:sz w:val="24"/>
          <w:szCs w:val="24"/>
        </w:rPr>
        <w:t>适用于本次项目的招标、</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、评标、定标、验收、合同履约、付款等行为（法律、法规另有规定的，从其规定）。</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lang w:val="zh-CN" w:eastAsia="zh-CN" w:bidi="zh-CN"/>
        </w:rPr>
      </w:pPr>
      <w:bookmarkStart w:id="8" w:name="（二）定义"/>
      <w:bookmarkEnd w:id="8"/>
      <w:r>
        <w:rPr>
          <w:rFonts w:hint="eastAsia" w:ascii="宋体" w:hAnsi="宋体" w:eastAsia="宋体" w:cs="宋体"/>
          <w:b/>
          <w:bCs/>
          <w:spacing w:val="0"/>
          <w:sz w:val="24"/>
          <w:szCs w:val="24"/>
        </w:rPr>
        <w:t>（</w:t>
      </w:r>
      <w:r>
        <w:rPr>
          <w:rFonts w:hint="eastAsia" w:ascii="宋体" w:hAnsi="宋体" w:eastAsia="宋体" w:cs="宋体"/>
          <w:b/>
          <w:bCs/>
          <w:spacing w:val="0"/>
          <w:sz w:val="24"/>
          <w:szCs w:val="24"/>
          <w:lang w:val="zh-CN" w:eastAsia="zh-CN" w:bidi="zh-CN"/>
        </w:rPr>
        <w:t>二）定义</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1、采购代理机构：是指受采购人委托，在委托的范围内办理政府采购事宜的机构。</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2、采购人：是指依法进行政府采购的国家机关、事业单位和团体组织。</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3、供应商：是指参加本政府采购项目</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的供应商。</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4、货物：是指各种形态和种类的物品，包括原材料、燃料、设备、产品等。</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5、服务：是指除货物和工程以外的其他政府采购对象，包括各类专业服务、信息网络开发服务、金融保险服务、运输服务，以及维修与维护服务等。</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6、“书面形式”包括信函、传真等。</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7、“▲”系指实质性要求条款。</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bookmarkStart w:id="9" w:name="（三）投标费用"/>
      <w:bookmarkEnd w:id="9"/>
      <w:r>
        <w:rPr>
          <w:rFonts w:hint="eastAsia" w:ascii="宋体" w:hAnsi="宋体" w:eastAsia="宋体" w:cs="宋体"/>
          <w:b/>
          <w:bCs/>
          <w:spacing w:val="0"/>
          <w:sz w:val="24"/>
          <w:szCs w:val="24"/>
        </w:rPr>
        <w:t>（三）</w:t>
      </w:r>
      <w:r>
        <w:rPr>
          <w:rFonts w:hint="eastAsia" w:ascii="宋体" w:hAnsi="宋体" w:eastAsia="宋体" w:cs="宋体"/>
          <w:b/>
          <w:bCs/>
          <w:spacing w:val="0"/>
          <w:sz w:val="24"/>
          <w:szCs w:val="24"/>
          <w:lang w:eastAsia="zh-CN"/>
        </w:rPr>
        <w:t>谈判响应</w:t>
      </w:r>
      <w:r>
        <w:rPr>
          <w:rFonts w:hint="eastAsia" w:ascii="宋体" w:hAnsi="宋体" w:eastAsia="宋体" w:cs="宋体"/>
          <w:b/>
          <w:bCs/>
          <w:spacing w:val="0"/>
          <w:sz w:val="24"/>
          <w:szCs w:val="24"/>
        </w:rPr>
        <w:t>费用</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不论</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结果如何，供应商均应自行承担所有与</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有关的全部费用（</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有相关规定除外）。</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2、收取方式：</w:t>
      </w:r>
      <w:r>
        <w:rPr>
          <w:rFonts w:hint="eastAsia" w:ascii="宋体" w:hAnsi="宋体" w:eastAsia="宋体" w:cs="宋体"/>
          <w:sz w:val="24"/>
          <w:szCs w:val="24"/>
          <w:lang w:val="en-US" w:eastAsia="zh-CN" w:bidi="zh-CN"/>
        </w:rPr>
        <w:t>本项目代理服务费以中标金额为基数，参考发改价格【2011】534号文件中的费率表计算的基准价格的8折计收，不足8000元的，按8000元收取</w:t>
      </w:r>
      <w:r>
        <w:rPr>
          <w:rFonts w:hint="eastAsia" w:ascii="宋体" w:hAnsi="宋体" w:eastAsia="宋体" w:cs="宋体"/>
          <w:spacing w:val="0"/>
          <w:sz w:val="24"/>
          <w:szCs w:val="24"/>
          <w:lang w:val="en-US" w:eastAsia="zh-CN"/>
        </w:rPr>
        <w:t>，由代理机构向成交单位收取，成交单位在成交结果公告发布之日起5个工作日内支付至招标代理机构处。</w:t>
      </w:r>
    </w:p>
    <w:p>
      <w:pPr>
        <w:pStyle w:val="14"/>
        <w:jc w:val="center"/>
        <w:rPr>
          <w:rFonts w:hint="eastAsia" w:ascii="宋体" w:hAnsi="宋体" w:eastAsia="宋体" w:cs="宋体"/>
          <w:b/>
          <w:bCs/>
          <w:spacing w:val="0"/>
          <w:sz w:val="24"/>
          <w:szCs w:val="24"/>
          <w:lang w:val="zh-CN" w:eastAsia="zh-CN" w:bidi="zh-CN"/>
        </w:rPr>
      </w:pPr>
      <w:r>
        <w:rPr>
          <w:rFonts w:hint="eastAsia" w:ascii="宋体" w:hAnsi="宋体" w:eastAsia="宋体" w:cs="宋体"/>
          <w:b/>
          <w:bCs/>
          <w:spacing w:val="0"/>
          <w:sz w:val="24"/>
          <w:szCs w:val="24"/>
          <w:lang w:val="zh-CN" w:eastAsia="zh-CN" w:bidi="zh-CN"/>
        </w:rPr>
        <w:t>附表：招标代理服务收费标准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156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694" w:type="dxa"/>
            <mc:AlternateContent>
              <mc:Choice Requires="wpsCustomData">
                <wpsCustomData:diagonals>
                  <wpsCustomData:diagonal from="30000" to="7500">
                    <wpsCustomData:border w:val="single" w:color="auto" w:sz="4" w:space="0"/>
                  </wpsCustomData:diagonal>
                  <wpsCustomData:diagonal from="30000" to="13000">
                    <wpsCustomData:border w:val="single" w:color="auto" w:sz="4" w:space="0"/>
                  </wpsCustomData:diagonal>
                </wpsCustomData:diagonals>
              </mc:Choice>
            </mc:AlternateContent>
          </w:tcPr>
          <w:p>
            <w:pPr>
              <w:pStyle w:val="12"/>
              <w:keepNext w:val="0"/>
              <w:keepLines w:val="0"/>
              <w:pageBreakBefore w:val="0"/>
              <w:widowControl w:val="0"/>
              <w:tabs>
                <w:tab w:val="left" w:pos="1290"/>
              </w:tabs>
              <w:kinsoku/>
              <w:wordWrap/>
              <w:overflowPunct/>
              <w:topLinePunct w:val="0"/>
              <w:autoSpaceDE w:val="0"/>
              <w:autoSpaceDN w:val="0"/>
              <w:bidi w:val="0"/>
              <w:adjustRightInd/>
              <w:snapToGrid w:val="0"/>
              <w:ind w:left="0" w:leftChars="0"/>
              <w:textAlignment w:val="auto"/>
              <w:rPr>
                <w:rFonts w:hint="eastAsia" w:ascii="宋体" w:hAnsi="宋体" w:eastAsia="宋体" w:cs="宋体"/>
                <w:sz w:val="21"/>
                <w:szCs w:val="21"/>
                <w:vertAlign w:val="baseline"/>
                <w:lang w:val="zh-CN" w:eastAsia="zh-CN"/>
              </w:rPr>
            </w:pPr>
          </w:p>
          <w:p>
            <w:pPr>
              <w:pStyle w:val="12"/>
              <w:keepNext w:val="0"/>
              <w:keepLines w:val="0"/>
              <w:pageBreakBefore w:val="0"/>
              <w:widowControl w:val="0"/>
              <w:tabs>
                <w:tab w:val="left" w:pos="1290"/>
              </w:tabs>
              <w:kinsoku/>
              <w:wordWrap/>
              <w:overflowPunct/>
              <w:topLinePunct w:val="0"/>
              <w:autoSpaceDE w:val="0"/>
              <w:autoSpaceDN w:val="0"/>
              <w:bidi w:val="0"/>
              <w:adjustRightInd/>
              <w:snapToGrid w:val="0"/>
              <w:ind w:left="0" w:leftChars="0"/>
              <w:textAlignment w:val="auto"/>
              <mc:AlternateContent>
                <mc:Choice Requires="wpsCustomData">
                  <wpsCustomData:diagonalParaType/>
                </mc:Choice>
              </mc:AlternateContent>
              <w:rPr>
                <w:rFonts w:hint="eastAsia" w:ascii="宋体" w:hAnsi="宋体" w:eastAsia="宋体" w:cs="宋体"/>
                <w:sz w:val="21"/>
                <w:szCs w:val="21"/>
                <w:vertAlign w:val="baseline"/>
                <w:lang w:val="zh-CN" w:eastAsia="zh-CN"/>
              </w:rPr>
            </w:pPr>
            <w:r>
              <w:rPr>
                <w:rFonts w:hint="eastAsia" w:ascii="宋体" w:hAnsi="宋体" w:eastAsia="宋体" w:cs="宋体"/>
                <w:sz w:val="21"/>
                <w:szCs w:val="21"/>
                <w:vertAlign w:val="baseline"/>
                <w:lang w:val="zh-CN" w:eastAsia="zh-CN"/>
              </w:rPr>
              <w:t>中标金额</w:t>
            </w:r>
          </w:p>
          <w:p>
            <w:pPr>
              <w:pStyle w:val="12"/>
              <w:keepNext w:val="0"/>
              <w:keepLines w:val="0"/>
              <w:pageBreakBefore w:val="0"/>
              <w:widowControl w:val="0"/>
              <w:tabs>
                <w:tab w:val="left" w:pos="1290"/>
              </w:tabs>
              <w:kinsoku/>
              <w:wordWrap/>
              <w:overflowPunct/>
              <w:topLinePunct w:val="0"/>
              <w:autoSpaceDE w:val="0"/>
              <w:autoSpaceDN w:val="0"/>
              <w:bidi w:val="0"/>
              <w:adjustRightInd/>
              <w:snapToGrid w:val="0"/>
              <w:ind w:left="0" w:leftChars="0" w:firstLine="210" w:firstLineChars="100"/>
              <w:textAlignment w:val="auto"/>
              <mc:AlternateContent>
                <mc:Choice Requires="wpsCustomData">
                  <wpsCustomData:diagonalParaType/>
                </mc:Choice>
              </mc:AlternateContent>
              <w:rPr>
                <w:rFonts w:hint="eastAsia" w:ascii="宋体" w:hAnsi="宋体" w:eastAsia="宋体" w:cs="宋体"/>
                <w:sz w:val="21"/>
                <w:szCs w:val="21"/>
                <w:vertAlign w:val="baseline"/>
                <w:lang w:val="zh-CN" w:eastAsia="zh-CN"/>
              </w:rPr>
            </w:pPr>
            <w:r>
              <w:rPr>
                <w:rFonts w:hint="eastAsia" w:ascii="宋体" w:hAnsi="宋体" w:eastAsia="宋体" w:cs="宋体"/>
                <w:sz w:val="21"/>
                <w:szCs w:val="21"/>
                <w:vertAlign w:val="baseline"/>
                <w:lang w:val="zh-CN" w:eastAsia="zh-CN"/>
              </w:rPr>
              <w:t>费率</w:t>
            </w:r>
          </w:p>
          <w:p>
            <w:pPr>
              <w:pStyle w:val="12"/>
              <w:keepNext w:val="0"/>
              <w:keepLines w:val="0"/>
              <w:pageBreakBefore w:val="0"/>
              <w:widowControl w:val="0"/>
              <w:tabs>
                <w:tab w:val="left" w:pos="1290"/>
              </w:tabs>
              <w:kinsoku/>
              <w:wordWrap/>
              <w:overflowPunct/>
              <w:topLinePunct w:val="0"/>
              <w:autoSpaceDE w:val="0"/>
              <w:autoSpaceDN w:val="0"/>
              <w:bidi w:val="0"/>
              <w:adjustRightInd/>
              <w:snapToGrid/>
              <w:ind w:left="0" w:leftChars="0"/>
              <w:textAlignment w:val="auto"/>
              <w:rPr>
                <w:rFonts w:hint="eastAsia" w:ascii="宋体" w:hAnsi="宋体" w:eastAsia="宋体" w:cs="宋体"/>
                <w:sz w:val="21"/>
                <w:szCs w:val="21"/>
                <w:vertAlign w:val="baseline"/>
                <w:lang w:val="zh-CN" w:eastAsia="zh-CN"/>
              </w:rPr>
            </w:pPr>
            <w:r>
              <w:rPr>
                <w:rFonts w:hint="eastAsia" w:ascii="宋体" w:hAnsi="宋体" w:eastAsia="宋体" w:cs="宋体"/>
                <w:sz w:val="21"/>
                <w:szCs w:val="21"/>
                <w:vertAlign w:val="baseline"/>
                <w:lang w:val="zh-CN" w:eastAsia="zh-CN"/>
              </w:rPr>
              <w:t>服务类型</w:t>
            </w:r>
          </w:p>
        </w:tc>
        <w:tc>
          <w:tcPr>
            <w:tcW w:w="1566"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sz w:val="21"/>
                <w:szCs w:val="21"/>
                <w:vertAlign w:val="baseline"/>
                <w:lang w:val="zh-CN" w:eastAsia="zh-CN"/>
              </w:rPr>
            </w:pPr>
            <w:r>
              <w:rPr>
                <w:rFonts w:hint="eastAsia" w:ascii="宋体" w:hAnsi="宋体" w:eastAsia="宋体" w:cs="宋体"/>
                <w:sz w:val="21"/>
                <w:szCs w:val="21"/>
                <w:vertAlign w:val="baseline"/>
                <w:lang w:val="zh-CN" w:eastAsia="zh-CN"/>
              </w:rPr>
              <w:t>货物招标</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sz w:val="21"/>
                <w:szCs w:val="21"/>
                <w:vertAlign w:val="baseline"/>
                <w:lang w:val="zh-CN" w:eastAsia="zh-CN"/>
              </w:rPr>
            </w:pPr>
            <w:r>
              <w:rPr>
                <w:rFonts w:hint="eastAsia" w:ascii="宋体" w:hAnsi="宋体" w:eastAsia="宋体" w:cs="宋体"/>
                <w:sz w:val="21"/>
                <w:szCs w:val="21"/>
                <w:vertAlign w:val="baseline"/>
                <w:lang w:val="zh-CN" w:eastAsia="zh-CN"/>
              </w:rPr>
              <w:t>服务招标</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sz w:val="21"/>
                <w:szCs w:val="21"/>
                <w:vertAlign w:val="baseline"/>
                <w:lang w:val="zh-CN" w:eastAsia="zh-CN"/>
              </w:rPr>
            </w:pPr>
            <w:r>
              <w:rPr>
                <w:rFonts w:hint="eastAsia" w:ascii="宋体" w:hAnsi="宋体" w:eastAsia="宋体" w:cs="宋体"/>
                <w:sz w:val="21"/>
                <w:szCs w:val="21"/>
                <w:vertAlign w:val="baseline"/>
                <w:lang w:val="zh-CN"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100以下</w:t>
            </w:r>
          </w:p>
        </w:tc>
        <w:tc>
          <w:tcPr>
            <w:tcW w:w="1566"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100-500</w:t>
            </w:r>
          </w:p>
        </w:tc>
        <w:tc>
          <w:tcPr>
            <w:tcW w:w="1566"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0.8%</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500-1000</w:t>
            </w:r>
          </w:p>
        </w:tc>
        <w:tc>
          <w:tcPr>
            <w:tcW w:w="1566"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0.8%</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0.45%</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1000-5000</w:t>
            </w:r>
          </w:p>
        </w:tc>
        <w:tc>
          <w:tcPr>
            <w:tcW w:w="1566"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0.5%</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0.25%</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5000-10000</w:t>
            </w:r>
          </w:p>
        </w:tc>
        <w:tc>
          <w:tcPr>
            <w:tcW w:w="1566"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0.25%</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10000-50000</w:t>
            </w:r>
          </w:p>
        </w:tc>
        <w:tc>
          <w:tcPr>
            <w:tcW w:w="1566"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0.05%</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0.05%</w:t>
            </w:r>
          </w:p>
        </w:tc>
        <w:tc>
          <w:tcPr>
            <w:tcW w:w="2131" w:type="dxa"/>
            <w:vAlign w:val="center"/>
          </w:tcPr>
          <w:p>
            <w:pPr>
              <w:pStyle w:val="12"/>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0.05%</w:t>
            </w:r>
          </w:p>
        </w:tc>
      </w:tr>
    </w:tbl>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bookmarkStart w:id="10" w:name="（四）特别说明"/>
      <w:bookmarkEnd w:id="10"/>
      <w:r>
        <w:rPr>
          <w:rFonts w:hint="eastAsia" w:ascii="宋体" w:hAnsi="宋体" w:eastAsia="宋体" w:cs="宋体"/>
          <w:b/>
          <w:bCs/>
          <w:spacing w:val="0"/>
          <w:sz w:val="24"/>
          <w:szCs w:val="24"/>
        </w:rPr>
        <w:t>（四）特别说明</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1、供应商</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所使用的资格、信誉、荣誉、业绩与企业认证必须为本法人所拥有。供应商</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所使用的采购项目实施人员必须为本法人员工（指本法人或控股公司正式员工）。</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供应商所投产品除</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中明确规定要求“提供官网截图或相应检测报告的证明材料”以外，所有技术参数描述均以谈判响应文件为准，</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供应商需在谈判响应文件中说明本次</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产品的技术参数是否与官网上公开的技术参数一致，如不一致，明确哪些参数不一致，不一致的原因以及使用何种技术可以达到</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产品参数。</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供应商对所投产品技术参数的真实性承担法律责任。项目招标结束后、质疑期限内，如有质疑供应商认为中标供应商所投产品、谈判响应文件技术参数与招标需求存在重大偏离、错误、甚至造假的情况， 应提供具体有效的证明材料。</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3、供应商在</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活动中提供任何虚假材料,其</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 构成犯罪的，依法追究刑事责任。</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4、供应商不得相互串通</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报价，不得妨碍其他供应商的公平竞争，不得损害采购人或其他供应商的合法权益，供应商不得以向采购人、评标委员会成员行贿或者采取其他不正当手段谋取中标。</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5、谈判响应文件格式中的表格式样可以根据项目差别做适当调整,但应当保持表格样式基本形态不变。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00" w:lineRule="exact"/>
        <w:ind w:left="0" w:leftChars="0" w:right="0" w:rightChars="0" w:firstLine="480" w:firstLineChars="20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6、本项目不允许分包</w:t>
      </w:r>
      <w:r>
        <w:rPr>
          <w:rFonts w:hint="eastAsia" w:ascii="宋体" w:hAnsi="宋体" w:eastAsia="宋体" w:cs="宋体"/>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eastAsia="微软雅黑"/>
          <w:b/>
          <w:sz w:val="28"/>
          <w:lang w:eastAsia="zh-CN"/>
        </w:rPr>
      </w:pPr>
      <w:r>
        <w:rPr>
          <w:b/>
          <w:sz w:val="28"/>
        </w:rPr>
        <w:t>二、</w:t>
      </w:r>
      <w:r>
        <w:rPr>
          <w:rFonts w:hint="eastAsia"/>
          <w:b/>
          <w:sz w:val="28"/>
          <w:lang w:eastAsia="zh-CN"/>
        </w:rPr>
        <w:t>竞争性谈判文件</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rPr>
      </w:pPr>
      <w:r>
        <w:rPr>
          <w:rFonts w:hint="eastAsia" w:ascii="宋体" w:hAnsi="宋体" w:eastAsia="宋体" w:cs="宋体"/>
          <w:spacing w:val="0"/>
          <w:sz w:val="24"/>
        </w:rPr>
        <w:t>（一）</w:t>
      </w:r>
      <w:r>
        <w:rPr>
          <w:rFonts w:hint="eastAsia" w:ascii="宋体" w:hAnsi="宋体" w:eastAsia="宋体" w:cs="宋体"/>
          <w:spacing w:val="0"/>
          <w:sz w:val="24"/>
          <w:lang w:eastAsia="zh-CN"/>
        </w:rPr>
        <w:t>竞争性谈判文件</w:t>
      </w:r>
      <w:r>
        <w:rPr>
          <w:rFonts w:hint="eastAsia" w:ascii="宋体" w:hAnsi="宋体" w:eastAsia="宋体" w:cs="宋体"/>
          <w:spacing w:val="0"/>
          <w:sz w:val="24"/>
        </w:rPr>
        <w:t>由</w:t>
      </w:r>
      <w:r>
        <w:rPr>
          <w:rFonts w:hint="eastAsia" w:ascii="宋体" w:hAnsi="宋体" w:eastAsia="宋体" w:cs="宋体"/>
          <w:spacing w:val="0"/>
          <w:sz w:val="24"/>
          <w:lang w:eastAsia="zh-CN"/>
        </w:rPr>
        <w:t>竞争性谈判文件</w:t>
      </w:r>
      <w:r>
        <w:rPr>
          <w:rFonts w:hint="eastAsia" w:ascii="宋体" w:hAnsi="宋体" w:eastAsia="宋体" w:cs="宋体"/>
          <w:spacing w:val="0"/>
          <w:sz w:val="24"/>
        </w:rPr>
        <w:t>总目录所列内容组成。</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rPr>
      </w:pPr>
      <w:r>
        <w:rPr>
          <w:rFonts w:hint="eastAsia" w:ascii="宋体" w:hAnsi="宋体" w:eastAsia="宋体" w:cs="宋体"/>
          <w:spacing w:val="0"/>
          <w:sz w:val="24"/>
        </w:rPr>
        <w:t>（二）</w:t>
      </w:r>
      <w:r>
        <w:rPr>
          <w:rFonts w:hint="eastAsia" w:ascii="宋体" w:hAnsi="宋体" w:eastAsia="宋体" w:cs="宋体"/>
          <w:spacing w:val="0"/>
          <w:sz w:val="24"/>
          <w:lang w:eastAsia="zh-CN"/>
        </w:rPr>
        <w:t>竞争性谈判文件</w:t>
      </w:r>
      <w:r>
        <w:rPr>
          <w:rFonts w:hint="eastAsia" w:ascii="宋体" w:hAnsi="宋体" w:eastAsia="宋体" w:cs="宋体"/>
          <w:spacing w:val="0"/>
          <w:sz w:val="24"/>
        </w:rPr>
        <w:t>的澄清或修改</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1、</w:t>
      </w:r>
      <w:r>
        <w:rPr>
          <w:rFonts w:hint="eastAsia" w:ascii="宋体" w:hAnsi="宋体" w:eastAsia="宋体" w:cs="宋体"/>
          <w:spacing w:val="0"/>
          <w:sz w:val="24"/>
          <w:szCs w:val="24"/>
          <w:lang w:val="en-US" w:eastAsia="zh-CN" w:bidi="zh-CN"/>
        </w:rPr>
        <w:t>提交首次响应文件截止之日前，</w:t>
      </w:r>
      <w:r>
        <w:rPr>
          <w:rFonts w:hint="eastAsia" w:ascii="宋体" w:hAnsi="宋体" w:eastAsia="宋体" w:cs="宋体"/>
          <w:spacing w:val="0"/>
          <w:sz w:val="24"/>
          <w:szCs w:val="24"/>
          <w:lang w:val="zh-CN" w:eastAsia="zh-CN" w:bidi="zh-CN"/>
        </w:rPr>
        <w:t>采购人或采购代理机构可以对已发出的谈判文件进行必要的澄清或者修改，</w:t>
      </w:r>
      <w:r>
        <w:rPr>
          <w:rFonts w:hint="eastAsia" w:ascii="宋体" w:hAnsi="宋体" w:eastAsia="宋体" w:cs="宋体"/>
          <w:spacing w:val="0"/>
          <w:sz w:val="24"/>
          <w:szCs w:val="24"/>
          <w:lang w:val="en-US" w:eastAsia="zh-CN" w:bidi="zh-CN"/>
        </w:rPr>
        <w:t>但不得改变采购标的和资格条件。澄清或者修改应当在原公告发布媒体上发布澄清公告。</w:t>
      </w:r>
      <w:r>
        <w:rPr>
          <w:rFonts w:hint="eastAsia" w:ascii="宋体" w:hAnsi="宋体" w:eastAsia="宋体" w:cs="宋体"/>
          <w:spacing w:val="0"/>
          <w:sz w:val="24"/>
          <w:szCs w:val="24"/>
          <w:lang w:val="zh-CN" w:eastAsia="zh-CN" w:bidi="zh-CN"/>
        </w:rPr>
        <w:t>澄清或者修改的内容为谈判文件的组成部分。</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2、澄清或者修改的内容可能影响响应文件编制的，采购人</w:t>
      </w:r>
      <w:r>
        <w:rPr>
          <w:rFonts w:hint="eastAsia" w:ascii="宋体" w:hAnsi="宋体" w:eastAsia="宋体" w:cs="宋体"/>
          <w:spacing w:val="0"/>
          <w:sz w:val="24"/>
          <w:szCs w:val="24"/>
          <w:lang w:val="zh-CN" w:eastAsia="zh-CN" w:bidi="zh-CN"/>
        </w:rPr>
        <w:t>或</w:t>
      </w:r>
      <w:r>
        <w:rPr>
          <w:rFonts w:hint="eastAsia" w:ascii="宋体" w:hAnsi="宋体" w:eastAsia="宋体" w:cs="宋体"/>
          <w:spacing w:val="0"/>
          <w:sz w:val="24"/>
          <w:szCs w:val="24"/>
          <w:lang w:val="en-US" w:eastAsia="zh-CN" w:bidi="zh-CN"/>
        </w:rPr>
        <w:t>采购代理机构应当在提交首次响应文件截止时间至少5日前，以书面形式通知所有获取谈判文件的供应商；不足5日的，采购人或采购代理机构应当顺延提交首次响应文件截止时间。</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spacing w:val="0"/>
          <w:sz w:val="24"/>
        </w:rPr>
      </w:pPr>
      <w:r>
        <w:rPr>
          <w:rFonts w:hint="eastAsia" w:ascii="宋体" w:hAnsi="宋体" w:eastAsia="宋体" w:cs="宋体"/>
          <w:spacing w:val="0"/>
          <w:sz w:val="24"/>
          <w:lang w:val="en-US" w:eastAsia="zh-CN"/>
        </w:rPr>
        <w:t>3</w:t>
      </w:r>
      <w:r>
        <w:rPr>
          <w:rFonts w:hint="eastAsia" w:ascii="宋体" w:hAnsi="宋体" w:eastAsia="宋体" w:cs="宋体"/>
          <w:spacing w:val="0"/>
          <w:sz w:val="24"/>
          <w:lang w:eastAsia="zh-CN"/>
        </w:rPr>
        <w:t>、</w:t>
      </w:r>
      <w:r>
        <w:rPr>
          <w:rFonts w:hint="eastAsia" w:ascii="宋体" w:hAnsi="宋体" w:eastAsia="宋体" w:cs="宋体"/>
          <w:spacing w:val="0"/>
          <w:sz w:val="24"/>
        </w:rPr>
        <w:t>供应商在规定的时间内未对</w:t>
      </w:r>
      <w:r>
        <w:rPr>
          <w:rFonts w:hint="eastAsia" w:ascii="宋体" w:hAnsi="宋体" w:eastAsia="宋体" w:cs="宋体"/>
          <w:spacing w:val="0"/>
          <w:sz w:val="24"/>
          <w:lang w:eastAsia="zh-CN"/>
        </w:rPr>
        <w:t>谈判文件</w:t>
      </w:r>
      <w:r>
        <w:rPr>
          <w:rFonts w:hint="eastAsia" w:ascii="宋体" w:hAnsi="宋体" w:eastAsia="宋体" w:cs="宋体"/>
          <w:spacing w:val="0"/>
          <w:sz w:val="24"/>
        </w:rPr>
        <w:t>提出疑问、质疑或要求澄清的，将视其为无异议。对</w:t>
      </w:r>
      <w:r>
        <w:rPr>
          <w:rFonts w:hint="eastAsia" w:ascii="宋体" w:hAnsi="宋体" w:eastAsia="宋体" w:cs="宋体"/>
          <w:spacing w:val="0"/>
          <w:sz w:val="24"/>
          <w:lang w:eastAsia="zh-CN"/>
        </w:rPr>
        <w:t>谈判文件</w:t>
      </w:r>
      <w:r>
        <w:rPr>
          <w:rFonts w:hint="eastAsia" w:ascii="宋体" w:hAnsi="宋体" w:eastAsia="宋体" w:cs="宋体"/>
          <w:spacing w:val="0"/>
          <w:sz w:val="24"/>
        </w:rPr>
        <w:t>中描述有歧义或前后不一致的地方，评标委员会有权进行评判，但对同一条款的评判应适用于每个供应商。</w:t>
      </w:r>
    </w:p>
    <w:p>
      <w:pPr>
        <w:pStyle w:val="14"/>
        <w:keepNext w:val="0"/>
        <w:keepLines w:val="0"/>
        <w:pageBreakBefore w:val="0"/>
        <w:widowControl w:val="0"/>
        <w:kinsoku/>
        <w:wordWrap/>
        <w:overflowPunct/>
        <w:topLinePunct w:val="0"/>
        <w:autoSpaceDE w:val="0"/>
        <w:autoSpaceDN w:val="0"/>
        <w:bidi w:val="0"/>
        <w:adjustRightInd/>
        <w:snapToGrid/>
        <w:spacing w:line="400" w:lineRule="exact"/>
        <w:ind w:leftChars="0" w:firstLine="560" w:firstLineChars="200"/>
        <w:jc w:val="center"/>
        <w:textAlignment w:val="auto"/>
        <w:rPr>
          <w:b/>
          <w:sz w:val="28"/>
        </w:rPr>
      </w:pPr>
      <w:r>
        <w:rPr>
          <w:b/>
          <w:sz w:val="28"/>
        </w:rPr>
        <w:t>三、谈判响应文件</w:t>
      </w:r>
    </w:p>
    <w:p>
      <w:pPr>
        <w:pStyle w:val="12"/>
        <w:keepNext w:val="0"/>
        <w:keepLines w:val="0"/>
        <w:pageBreakBefore w:val="0"/>
        <w:widowControl w:val="0"/>
        <w:kinsoku/>
        <w:wordWrap/>
        <w:overflowPunct/>
        <w:topLinePunct w:val="0"/>
        <w:autoSpaceDE w:val="0"/>
        <w:autoSpaceDN w:val="0"/>
        <w:bidi w:val="0"/>
        <w:adjustRightInd/>
        <w:snapToGrid/>
        <w:spacing w:line="400" w:lineRule="exact"/>
        <w:ind w:left="0" w:leftChars="0" w:firstLine="482" w:firstLineChars="200"/>
        <w:textAlignment w:val="auto"/>
        <w:rPr>
          <w:rFonts w:hint="eastAsia" w:ascii="宋体" w:hAnsi="宋体" w:eastAsia="宋体" w:cs="宋体"/>
          <w:b/>
          <w:bCs/>
          <w:spacing w:val="0"/>
          <w:sz w:val="24"/>
          <w:szCs w:val="24"/>
          <w:lang w:val="zh-CN" w:eastAsia="zh-CN" w:bidi="zh-CN"/>
        </w:rPr>
      </w:pPr>
      <w:r>
        <w:rPr>
          <w:rFonts w:hint="eastAsia" w:ascii="宋体" w:hAnsi="宋体" w:eastAsia="宋体" w:cs="宋体"/>
          <w:b/>
          <w:bCs/>
          <w:spacing w:val="0"/>
          <w:sz w:val="24"/>
          <w:szCs w:val="24"/>
          <w:lang w:val="zh-CN" w:eastAsia="zh-CN" w:bidi="zh-CN"/>
        </w:rPr>
        <w:t>（一）谈判响应文件的组成</w:t>
      </w:r>
    </w:p>
    <w:p>
      <w:pPr>
        <w:keepNext w:val="0"/>
        <w:keepLines w:val="0"/>
        <w:pageBreakBefore w:val="0"/>
        <w:widowControl w:val="0"/>
        <w:kinsoku/>
        <w:wordWrap/>
        <w:overflowPunct/>
        <w:topLinePunct w:val="0"/>
        <w:autoSpaceDE w:val="0"/>
        <w:autoSpaceDN w:val="0"/>
        <w:bidi w:val="0"/>
        <w:adjustRightInd/>
        <w:snapToGrid/>
        <w:spacing w:line="400" w:lineRule="exact"/>
        <w:ind w:leftChars="0" w:firstLine="480" w:firstLineChars="200"/>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供应商获取谈判文件后，按照谈判文件的要求提供：资格证明文件、商务技术文件和报</w:t>
      </w:r>
      <w:bookmarkStart w:id="11" w:name="价文件。以下为应包含的内容："/>
      <w:bookmarkEnd w:id="11"/>
      <w:r>
        <w:rPr>
          <w:rFonts w:hint="eastAsia" w:ascii="宋体" w:hAnsi="宋体" w:eastAsia="宋体" w:cs="宋体"/>
          <w:spacing w:val="0"/>
          <w:sz w:val="24"/>
          <w:szCs w:val="24"/>
          <w:lang w:val="zh-CN" w:eastAsia="zh-CN" w:bidi="zh-CN"/>
        </w:rPr>
        <w:t>价文件。</w:t>
      </w:r>
    </w:p>
    <w:p>
      <w:pPr>
        <w:pStyle w:val="14"/>
        <w:keepNext w:val="0"/>
        <w:keepLines w:val="0"/>
        <w:pageBreakBefore w:val="0"/>
        <w:numPr>
          <w:ilvl w:val="0"/>
          <w:numId w:val="0"/>
        </w:numPr>
        <w:kinsoku/>
        <w:wordWrap/>
        <w:overflowPunct/>
        <w:topLinePunct w:val="0"/>
        <w:autoSpaceDE w:val="0"/>
        <w:autoSpaceDN w:val="0"/>
        <w:bidi w:val="0"/>
        <w:adjustRightInd/>
        <w:snapToGrid/>
        <w:spacing w:line="400" w:lineRule="exact"/>
        <w:ind w:leftChars="0" w:right="0" w:rightChars="0" w:firstLine="480" w:firstLineChars="200"/>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资格证明文件的组成：</w:t>
      </w:r>
    </w:p>
    <w:tbl>
      <w:tblPr>
        <w:tblStyle w:val="16"/>
        <w:tblW w:w="9852"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216"/>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w w:val="100"/>
                <w:sz w:val="24"/>
                <w:szCs w:val="24"/>
                <w:lang w:val="zh-CN" w:eastAsia="zh-CN" w:bidi="zh-CN"/>
              </w:rPr>
            </w:pPr>
            <w:r>
              <w:rPr>
                <w:rFonts w:hint="eastAsia" w:ascii="宋体" w:hAnsi="宋体" w:eastAsia="宋体" w:cs="宋体"/>
                <w:w w:val="100"/>
                <w:sz w:val="24"/>
                <w:szCs w:val="24"/>
                <w:lang w:val="zh-CN" w:eastAsia="zh-CN" w:bidi="zh-CN"/>
              </w:rPr>
              <w:t>序号</w:t>
            </w:r>
          </w:p>
        </w:tc>
        <w:tc>
          <w:tcPr>
            <w:tcW w:w="6216" w:type="dxa"/>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w w:val="100"/>
                <w:sz w:val="24"/>
                <w:szCs w:val="24"/>
                <w:lang w:val="zh-CN" w:eastAsia="zh-CN" w:bidi="zh-CN"/>
              </w:rPr>
            </w:pPr>
            <w:r>
              <w:rPr>
                <w:rFonts w:hint="eastAsia" w:ascii="宋体" w:hAnsi="宋体" w:eastAsia="宋体" w:cs="宋体"/>
                <w:w w:val="100"/>
                <w:sz w:val="24"/>
                <w:szCs w:val="24"/>
                <w:lang w:val="zh-CN" w:eastAsia="zh-CN" w:bidi="zh-CN"/>
              </w:rPr>
              <w:t>内容</w:t>
            </w:r>
          </w:p>
        </w:tc>
        <w:tc>
          <w:tcPr>
            <w:tcW w:w="2916" w:type="dxa"/>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right="0" w:rightChars="0"/>
              <w:jc w:val="center"/>
              <w:textAlignment w:val="auto"/>
              <w:rPr>
                <w:rFonts w:hint="eastAsia" w:ascii="宋体" w:hAnsi="宋体" w:eastAsia="宋体" w:cs="宋体"/>
                <w:w w:val="100"/>
                <w:sz w:val="24"/>
                <w:szCs w:val="24"/>
                <w:lang w:val="zh-CN" w:eastAsia="zh-CN" w:bidi="zh-CN"/>
              </w:rPr>
            </w:pPr>
            <w:r>
              <w:rPr>
                <w:rFonts w:hint="eastAsia" w:ascii="宋体" w:hAnsi="宋体" w:eastAsia="宋体" w:cs="宋体"/>
                <w:w w:val="100"/>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lang w:val="en-US" w:eastAsia="zh-CN"/>
              </w:rPr>
              <w:t>1</w:t>
            </w:r>
          </w:p>
        </w:tc>
        <w:tc>
          <w:tcPr>
            <w:tcW w:w="62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lang w:eastAsia="zh-CN"/>
              </w:rPr>
              <w:t>谈判响应</w:t>
            </w:r>
            <w:r>
              <w:rPr>
                <w:rFonts w:hint="eastAsia" w:ascii="宋体" w:hAnsi="宋体" w:eastAsia="宋体" w:cs="宋体"/>
                <w:sz w:val="24"/>
                <w:szCs w:val="24"/>
              </w:rPr>
              <w:t>声明书</w:t>
            </w:r>
          </w:p>
        </w:tc>
        <w:tc>
          <w:tcPr>
            <w:tcW w:w="29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sz w:val="24"/>
                <w:szCs w:val="24"/>
                <w:lang w:val="en-US" w:eastAsia="zh-CN"/>
              </w:rPr>
              <w:t>2</w:t>
            </w:r>
          </w:p>
        </w:tc>
        <w:tc>
          <w:tcPr>
            <w:tcW w:w="6216"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color w:val="000000"/>
                <w:kern w:val="0"/>
                <w:sz w:val="24"/>
                <w:szCs w:val="24"/>
                <w:lang w:val="en-US" w:eastAsia="zh-CN" w:bidi="ar"/>
              </w:rPr>
              <w:t>法定代表人资格证明书</w:t>
            </w:r>
          </w:p>
        </w:tc>
        <w:tc>
          <w:tcPr>
            <w:tcW w:w="29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lang w:val="en-US" w:eastAsia="zh-CN"/>
              </w:rPr>
              <w:t>3</w:t>
            </w:r>
          </w:p>
        </w:tc>
        <w:tc>
          <w:tcPr>
            <w:tcW w:w="62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授权委托书</w:t>
            </w:r>
          </w:p>
        </w:tc>
        <w:tc>
          <w:tcPr>
            <w:tcW w:w="29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如授权委托代理人的则需提供该项，格式附后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lang w:val="en-US" w:eastAsia="zh-CN"/>
              </w:rPr>
              <w:t>4</w:t>
            </w:r>
          </w:p>
        </w:tc>
        <w:tc>
          <w:tcPr>
            <w:tcW w:w="62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法人或者其他组织的营业执照等复印件</w:t>
            </w:r>
          </w:p>
        </w:tc>
        <w:tc>
          <w:tcPr>
            <w:tcW w:w="29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lang w:val="en-US" w:eastAsia="zh-CN"/>
              </w:rPr>
              <w:t>5</w:t>
            </w:r>
          </w:p>
        </w:tc>
        <w:tc>
          <w:tcPr>
            <w:tcW w:w="62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rPr>
              <w:t>财务状况报告，依法缴纳税收和社会保障资金的相关材料</w:t>
            </w:r>
            <w:r>
              <w:rPr>
                <w:rFonts w:hint="eastAsia" w:ascii="宋体" w:hAnsi="宋体" w:eastAsia="宋体" w:cs="宋体"/>
                <w:sz w:val="24"/>
                <w:szCs w:val="24"/>
                <w:lang w:val="en-US" w:eastAsia="zh-CN"/>
              </w:rPr>
              <w:t>或承诺函</w:t>
            </w:r>
          </w:p>
        </w:tc>
        <w:tc>
          <w:tcPr>
            <w:tcW w:w="29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b/>
                <w:sz w:val="24"/>
                <w:szCs w:val="24"/>
              </w:rPr>
              <w:t>▲</w:t>
            </w:r>
            <w:r>
              <w:rPr>
                <w:rFonts w:hint="eastAsia" w:ascii="宋体" w:hAnsi="宋体" w:eastAsia="宋体" w:cs="宋体"/>
                <w:sz w:val="24"/>
                <w:szCs w:val="24"/>
                <w:lang w:val="en-US" w:eastAsia="zh-CN"/>
              </w:rPr>
              <w:t>6</w:t>
            </w:r>
          </w:p>
        </w:tc>
        <w:tc>
          <w:tcPr>
            <w:tcW w:w="62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具备履行合同所必需的设备和专业技术能力的证明材料</w:t>
            </w:r>
            <w:r>
              <w:rPr>
                <w:rFonts w:hint="eastAsia" w:ascii="宋体" w:hAnsi="宋体" w:eastAsia="宋体" w:cs="宋体"/>
                <w:sz w:val="24"/>
                <w:szCs w:val="24"/>
                <w:lang w:val="en-US" w:eastAsia="zh-CN"/>
              </w:rPr>
              <w:t>或承诺函</w:t>
            </w:r>
            <w:r>
              <w:rPr>
                <w:rFonts w:hint="eastAsia" w:ascii="宋体" w:hAnsi="宋体" w:eastAsia="宋体" w:cs="宋体"/>
                <w:sz w:val="24"/>
                <w:szCs w:val="24"/>
              </w:rPr>
              <w:t>(根据项目性质提供，该项内容不得写“无”)</w:t>
            </w:r>
          </w:p>
        </w:tc>
        <w:tc>
          <w:tcPr>
            <w:tcW w:w="29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b/>
                <w:sz w:val="24"/>
                <w:szCs w:val="24"/>
                <w:lang w:val="en-US" w:eastAsia="zh-CN"/>
              </w:rPr>
            </w:pPr>
            <w:r>
              <w:rPr>
                <w:rFonts w:hint="eastAsia" w:ascii="宋体" w:hAnsi="宋体" w:eastAsia="宋体" w:cs="宋体"/>
                <w:w w:val="100"/>
                <w:sz w:val="24"/>
                <w:szCs w:val="24"/>
                <w:lang w:val="en-US" w:eastAsia="zh-CN"/>
              </w:rPr>
              <w:t>7</w:t>
            </w:r>
          </w:p>
        </w:tc>
        <w:tc>
          <w:tcPr>
            <w:tcW w:w="62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ascii="宋体" w:hAnsi="宋体" w:eastAsia="宋体" w:cs="宋体"/>
                <w:sz w:val="24"/>
                <w:szCs w:val="24"/>
              </w:rPr>
            </w:pPr>
            <w:r>
              <w:rPr>
                <w:rFonts w:ascii="宋体" w:hAnsi="宋体" w:eastAsia="宋体" w:cs="宋体"/>
                <w:sz w:val="24"/>
                <w:szCs w:val="24"/>
              </w:rPr>
              <w:t xml:space="preserve">中小企业声明函（若属于中小企业） </w:t>
            </w:r>
          </w:p>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ascii="宋体" w:hAnsi="宋体" w:eastAsia="宋体" w:cs="宋体"/>
                <w:sz w:val="24"/>
                <w:szCs w:val="24"/>
              </w:rPr>
            </w:pPr>
            <w:r>
              <w:rPr>
                <w:rFonts w:ascii="宋体" w:hAnsi="宋体" w:eastAsia="宋体" w:cs="宋体"/>
                <w:sz w:val="24"/>
                <w:szCs w:val="24"/>
              </w:rPr>
              <w:t xml:space="preserve">残疾人福利性单位声明函（若属于残疾人福利性单位） </w:t>
            </w:r>
          </w:p>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right="0"/>
              <w:jc w:val="both"/>
              <w:textAlignment w:val="auto"/>
              <w:rPr>
                <w:rFonts w:hint="eastAsia" w:ascii="宋体" w:hAnsi="宋体" w:eastAsia="宋体" w:cs="宋体"/>
                <w:sz w:val="24"/>
                <w:szCs w:val="24"/>
              </w:rPr>
            </w:pPr>
            <w:r>
              <w:rPr>
                <w:rFonts w:ascii="宋体" w:hAnsi="宋体" w:eastAsia="宋体" w:cs="宋体"/>
                <w:sz w:val="24"/>
                <w:szCs w:val="24"/>
              </w:rPr>
              <w:t>省级以上监狱管理局、戒毒管理局（含新疆生产建设兵团）开具的属于监狱企业的证明文件（若属于监狱企业）</w:t>
            </w:r>
          </w:p>
        </w:tc>
        <w:tc>
          <w:tcPr>
            <w:tcW w:w="29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供应商为中小企业提供《中小企业声明函》（格式见附件）；供应商若为残疾人福利性单位提《残疾人福利性单位声明函》（格式见附件）；供应商若为监狱企业提供监狱企业证明文件（由省级以上监狱管理局、戒毒管理局（含新疆生产建设兵团）出具的属于监狱企业证明文件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w w:val="100"/>
                <w:sz w:val="24"/>
                <w:szCs w:val="24"/>
                <w:lang w:val="en-US" w:eastAsia="zh-CN"/>
              </w:rPr>
              <w:t>8</w:t>
            </w:r>
          </w:p>
        </w:tc>
        <w:tc>
          <w:tcPr>
            <w:tcW w:w="62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both"/>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供应商认为需要提供的其它文件和资料</w:t>
            </w:r>
          </w:p>
        </w:tc>
        <w:tc>
          <w:tcPr>
            <w:tcW w:w="291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rPr>
                <w:rFonts w:hint="eastAsia" w:ascii="宋体" w:hAnsi="宋体" w:eastAsia="宋体" w:cs="宋体"/>
                <w:sz w:val="24"/>
                <w:szCs w:val="24"/>
                <w:vertAlign w:val="baseline"/>
                <w:lang w:val="zh-CN" w:eastAsia="zh-CN"/>
              </w:rPr>
            </w:pPr>
            <w:r>
              <w:rPr>
                <w:rFonts w:hint="eastAsia" w:ascii="宋体" w:hAnsi="宋体" w:eastAsia="宋体" w:cs="宋体"/>
                <w:sz w:val="24"/>
                <w:szCs w:val="24"/>
              </w:rPr>
              <w:t>内容自拟（可选择性提供）</w:t>
            </w:r>
          </w:p>
        </w:tc>
      </w:tr>
    </w:tbl>
    <w:p>
      <w:pPr>
        <w:pStyle w:val="12"/>
        <w:numPr>
          <w:ilvl w:val="0"/>
          <w:numId w:val="0"/>
        </w:numPr>
        <w:ind w:leftChars="100" w:right="0" w:rightChars="0"/>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en-US" w:eastAsia="zh-CN" w:bidi="zh-CN"/>
        </w:rPr>
        <w:t>2、</w:t>
      </w:r>
      <w:r>
        <w:rPr>
          <w:rFonts w:hint="eastAsia" w:ascii="宋体" w:hAnsi="宋体" w:eastAsia="宋体" w:cs="宋体"/>
          <w:spacing w:val="0"/>
          <w:sz w:val="24"/>
          <w:szCs w:val="24"/>
          <w:lang w:val="zh-CN" w:eastAsia="zh-CN" w:bidi="zh-CN"/>
        </w:rPr>
        <w:t>商务技术文件的组成：</w:t>
      </w:r>
    </w:p>
    <w:tbl>
      <w:tblPr>
        <w:tblStyle w:val="16"/>
        <w:tblW w:w="9840"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28"/>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序号</w:t>
            </w:r>
          </w:p>
        </w:tc>
        <w:tc>
          <w:tcPr>
            <w:tcW w:w="6228" w:type="dxa"/>
            <w:vAlign w:val="top"/>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内容</w:t>
            </w:r>
          </w:p>
        </w:tc>
        <w:tc>
          <w:tcPr>
            <w:tcW w:w="2916" w:type="dxa"/>
            <w:vAlign w:val="top"/>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1</w:t>
            </w:r>
          </w:p>
        </w:tc>
        <w:tc>
          <w:tcPr>
            <w:tcW w:w="6228" w:type="dxa"/>
            <w:vAlign w:val="center"/>
          </w:tcPr>
          <w:p>
            <w:pPr>
              <w:pStyle w:val="20"/>
              <w:spacing w:before="17" w:line="387" w:lineRule="exact"/>
              <w:ind w:left="110"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封面</w:t>
            </w:r>
          </w:p>
        </w:tc>
        <w:tc>
          <w:tcPr>
            <w:tcW w:w="2916" w:type="dxa"/>
            <w:vAlign w:val="center"/>
          </w:tcPr>
          <w:p>
            <w:pPr>
              <w:pStyle w:val="20"/>
              <w:spacing w:before="17" w:line="387" w:lineRule="exact"/>
              <w:ind w:left="112"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2</w:t>
            </w:r>
          </w:p>
        </w:tc>
        <w:tc>
          <w:tcPr>
            <w:tcW w:w="6228" w:type="dxa"/>
            <w:vAlign w:val="center"/>
          </w:tcPr>
          <w:p>
            <w:pPr>
              <w:pStyle w:val="20"/>
              <w:spacing w:before="18" w:line="386" w:lineRule="exact"/>
              <w:ind w:left="110"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目录</w:t>
            </w:r>
          </w:p>
        </w:tc>
        <w:tc>
          <w:tcPr>
            <w:tcW w:w="2916" w:type="dxa"/>
            <w:vAlign w:val="center"/>
          </w:tcPr>
          <w:p>
            <w:pPr>
              <w:pStyle w:val="20"/>
              <w:spacing w:before="18" w:line="386" w:lineRule="exact"/>
              <w:ind w:left="112"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3</w:t>
            </w:r>
          </w:p>
        </w:tc>
        <w:tc>
          <w:tcPr>
            <w:tcW w:w="6228" w:type="dxa"/>
            <w:vAlign w:val="center"/>
          </w:tcPr>
          <w:p>
            <w:pPr>
              <w:pStyle w:val="20"/>
              <w:spacing w:before="20" w:line="383" w:lineRule="exact"/>
              <w:ind w:left="110"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供应商基本情况表</w:t>
            </w:r>
          </w:p>
        </w:tc>
        <w:tc>
          <w:tcPr>
            <w:tcW w:w="2916" w:type="dxa"/>
            <w:vAlign w:val="center"/>
          </w:tcPr>
          <w:p>
            <w:pPr>
              <w:pStyle w:val="20"/>
              <w:spacing w:before="20" w:line="383" w:lineRule="exact"/>
              <w:ind w:left="112"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before="37" w:line="369" w:lineRule="exact"/>
              <w:ind w:left="17" w:leftChars="0" w:right="0" w:rightChars="0"/>
              <w:jc w:val="center"/>
              <w:rPr>
                <w:rFonts w:hint="eastAsia" w:ascii="宋体" w:hAnsi="宋体" w:eastAsia="宋体" w:cs="宋体"/>
                <w:w w:val="100"/>
                <w:sz w:val="24"/>
                <w:szCs w:val="24"/>
                <w:lang w:val="en-US" w:eastAsia="zh-CN"/>
              </w:rPr>
            </w:pPr>
            <w:r>
              <w:rPr>
                <w:rFonts w:hint="eastAsia" w:ascii="宋体" w:hAnsi="宋体" w:eastAsia="宋体" w:cs="宋体"/>
                <w:w w:val="100"/>
                <w:sz w:val="24"/>
                <w:szCs w:val="24"/>
              </w:rPr>
              <w:t>4</w:t>
            </w:r>
          </w:p>
        </w:tc>
        <w:tc>
          <w:tcPr>
            <w:tcW w:w="6228" w:type="dxa"/>
            <w:vAlign w:val="center"/>
          </w:tcPr>
          <w:p>
            <w:pPr>
              <w:pStyle w:val="20"/>
              <w:spacing w:before="18" w:line="387"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项目实施人员一览表</w:t>
            </w:r>
          </w:p>
        </w:tc>
        <w:tc>
          <w:tcPr>
            <w:tcW w:w="2916" w:type="dxa"/>
            <w:vAlign w:val="center"/>
          </w:tcPr>
          <w:p>
            <w:pPr>
              <w:pStyle w:val="20"/>
              <w:spacing w:before="18" w:line="387"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before="37" w:line="369"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5</w:t>
            </w:r>
          </w:p>
        </w:tc>
        <w:tc>
          <w:tcPr>
            <w:tcW w:w="6228" w:type="dxa"/>
            <w:vAlign w:val="center"/>
          </w:tcPr>
          <w:p>
            <w:pPr>
              <w:pStyle w:val="20"/>
              <w:spacing w:before="18" w:line="388"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项目负责人资格情况表</w:t>
            </w:r>
          </w:p>
        </w:tc>
        <w:tc>
          <w:tcPr>
            <w:tcW w:w="2916" w:type="dxa"/>
            <w:vAlign w:val="center"/>
          </w:tcPr>
          <w:p>
            <w:pPr>
              <w:pStyle w:val="20"/>
              <w:spacing w:before="18" w:line="388"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before="38" w:line="367"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6</w:t>
            </w:r>
          </w:p>
        </w:tc>
        <w:tc>
          <w:tcPr>
            <w:tcW w:w="6228" w:type="dxa"/>
            <w:vAlign w:val="center"/>
          </w:tcPr>
          <w:p>
            <w:pPr>
              <w:pStyle w:val="20"/>
              <w:spacing w:before="18" w:line="386"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技术、商务偏离表</w:t>
            </w:r>
          </w:p>
        </w:tc>
        <w:tc>
          <w:tcPr>
            <w:tcW w:w="2916" w:type="dxa"/>
            <w:vAlign w:val="center"/>
          </w:tcPr>
          <w:p>
            <w:pPr>
              <w:pStyle w:val="20"/>
              <w:spacing w:before="18" w:line="386"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line="351"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7</w:t>
            </w:r>
          </w:p>
        </w:tc>
        <w:tc>
          <w:tcPr>
            <w:tcW w:w="6228" w:type="dxa"/>
            <w:vAlign w:val="center"/>
          </w:tcPr>
          <w:p>
            <w:pPr>
              <w:pStyle w:val="20"/>
              <w:spacing w:line="351"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服务承诺、实施方案等详细内容</w:t>
            </w:r>
          </w:p>
        </w:tc>
        <w:tc>
          <w:tcPr>
            <w:tcW w:w="2916" w:type="dxa"/>
            <w:vAlign w:val="center"/>
          </w:tcPr>
          <w:p>
            <w:pPr>
              <w:pStyle w:val="20"/>
              <w:spacing w:line="351" w:lineRule="exact"/>
              <w:ind w:left="113"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before="50" w:line="348" w:lineRule="exact"/>
              <w:ind w:left="17"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8</w:t>
            </w:r>
          </w:p>
        </w:tc>
        <w:tc>
          <w:tcPr>
            <w:tcW w:w="6228" w:type="dxa"/>
            <w:vAlign w:val="center"/>
          </w:tcPr>
          <w:p>
            <w:pPr>
              <w:pStyle w:val="20"/>
              <w:spacing w:before="18" w:line="379" w:lineRule="exact"/>
              <w:ind w:left="111" w:leftChars="0" w:right="0"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认为需要提供的其它文件和资料</w:t>
            </w:r>
          </w:p>
        </w:tc>
        <w:tc>
          <w:tcPr>
            <w:tcW w:w="2916" w:type="dxa"/>
            <w:vAlign w:val="center"/>
          </w:tcPr>
          <w:p>
            <w:pPr>
              <w:pStyle w:val="20"/>
              <w:spacing w:before="18" w:line="379" w:lineRule="exact"/>
              <w:ind w:right="0" w:right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内容自拟（可选择性提供）</w:t>
            </w:r>
          </w:p>
        </w:tc>
      </w:tr>
    </w:tbl>
    <w:p>
      <w:pPr>
        <w:numPr>
          <w:ilvl w:val="0"/>
          <w:numId w:val="2"/>
        </w:numPr>
        <w:ind w:leftChars="100" w:right="0" w:rightChars="0"/>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报价文件的组成：</w:t>
      </w:r>
    </w:p>
    <w:tbl>
      <w:tblPr>
        <w:tblStyle w:val="16"/>
        <w:tblW w:w="9876"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524"/>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top"/>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序号</w:t>
            </w:r>
          </w:p>
        </w:tc>
        <w:tc>
          <w:tcPr>
            <w:tcW w:w="4524" w:type="dxa"/>
            <w:vAlign w:val="top"/>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内容</w:t>
            </w:r>
          </w:p>
        </w:tc>
        <w:tc>
          <w:tcPr>
            <w:tcW w:w="4656" w:type="dxa"/>
            <w:vAlign w:val="top"/>
          </w:tcPr>
          <w:p>
            <w:pPr>
              <w:pStyle w:val="12"/>
              <w:keepNext w:val="0"/>
              <w:keepLines w:val="0"/>
              <w:pageBreakBefore w:val="0"/>
              <w:widowControl w:val="0"/>
              <w:numPr>
                <w:ilvl w:val="0"/>
                <w:numId w:val="0"/>
              </w:numPr>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rPr>
                <w:rFonts w:hint="default"/>
                <w:vertAlign w:val="baseline"/>
                <w:lang w:val="en-US" w:eastAsia="zh-CN"/>
              </w:rPr>
            </w:pPr>
            <w:r>
              <w:rPr>
                <w:rFonts w:hint="eastAsia" w:ascii="宋体" w:hAnsi="宋体" w:eastAsia="宋体" w:cs="宋体"/>
                <w:w w:val="100"/>
                <w:sz w:val="24"/>
                <w:szCs w:val="24"/>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line="30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1</w:t>
            </w:r>
          </w:p>
        </w:tc>
        <w:tc>
          <w:tcPr>
            <w:tcW w:w="45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封面</w:t>
            </w:r>
          </w:p>
        </w:tc>
        <w:tc>
          <w:tcPr>
            <w:tcW w:w="4656"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line="32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2</w:t>
            </w:r>
          </w:p>
        </w:tc>
        <w:tc>
          <w:tcPr>
            <w:tcW w:w="45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目录</w:t>
            </w:r>
          </w:p>
        </w:tc>
        <w:tc>
          <w:tcPr>
            <w:tcW w:w="4656"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line="30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3</w:t>
            </w:r>
          </w:p>
        </w:tc>
        <w:tc>
          <w:tcPr>
            <w:tcW w:w="45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谈判响应函</w:t>
            </w:r>
          </w:p>
        </w:tc>
        <w:tc>
          <w:tcPr>
            <w:tcW w:w="4656"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line="30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rPr>
              <w:t>4</w:t>
            </w:r>
          </w:p>
        </w:tc>
        <w:tc>
          <w:tcPr>
            <w:tcW w:w="45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报价一览表（第一次报价）</w:t>
            </w:r>
          </w:p>
        </w:tc>
        <w:tc>
          <w:tcPr>
            <w:tcW w:w="4656"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20"/>
              <w:spacing w:line="320" w:lineRule="exact"/>
              <w:ind w:left="21" w:leftChars="0" w:right="0" w:rightChars="0"/>
              <w:jc w:val="center"/>
              <w:rPr>
                <w:rFonts w:hint="eastAsia" w:ascii="宋体" w:hAnsi="宋体" w:eastAsia="宋体" w:cs="宋体"/>
                <w:sz w:val="24"/>
                <w:szCs w:val="24"/>
                <w:vertAlign w:val="baseline"/>
                <w:lang w:val="en-US" w:eastAsia="zh-CN"/>
              </w:rPr>
            </w:pPr>
            <w:r>
              <w:rPr>
                <w:rFonts w:hint="eastAsia" w:ascii="宋体" w:hAnsi="宋体" w:eastAsia="宋体" w:cs="宋体"/>
                <w:w w:val="100"/>
                <w:sz w:val="24"/>
                <w:szCs w:val="24"/>
                <w:lang w:val="en-US" w:eastAsia="zh-CN"/>
              </w:rPr>
              <w:t>5</w:t>
            </w:r>
          </w:p>
        </w:tc>
        <w:tc>
          <w:tcPr>
            <w:tcW w:w="4524"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认为需要提供的其它文件和资料</w:t>
            </w:r>
          </w:p>
        </w:tc>
        <w:tc>
          <w:tcPr>
            <w:tcW w:w="4656" w:type="dxa"/>
            <w:vAlign w:val="top"/>
          </w:tcPr>
          <w:p>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内容自拟（可选择性提供）</w:t>
            </w:r>
          </w:p>
        </w:tc>
      </w:tr>
    </w:tbl>
    <w:p>
      <w:pPr>
        <w:pStyle w:val="8"/>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firstLine="482" w:firstLineChars="200"/>
        <w:textAlignment w:val="auto"/>
        <w:rPr>
          <w:rFonts w:hint="eastAsia" w:ascii="宋体" w:hAnsi="宋体" w:eastAsia="宋体" w:cs="宋体"/>
          <w:b/>
          <w:bCs/>
        </w:rPr>
      </w:pPr>
      <w:r>
        <w:rPr>
          <w:rFonts w:hint="eastAsia" w:ascii="宋体" w:hAnsi="宋体" w:eastAsia="宋体" w:cs="宋体"/>
          <w:b/>
          <w:bCs/>
        </w:rPr>
        <w:t>谈判响应文件的制作、封装及递交要求</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firstLine="482" w:firstLineChars="200"/>
        <w:textAlignment w:val="auto"/>
        <w:rPr>
          <w:rFonts w:hint="eastAsia" w:ascii="宋体" w:hAnsi="宋体" w:eastAsia="宋体" w:cs="宋体"/>
          <w:b/>
          <w:bCs/>
          <w:spacing w:val="0"/>
        </w:rPr>
      </w:pPr>
      <w:r>
        <w:rPr>
          <w:rFonts w:hint="eastAsia" w:ascii="宋体" w:hAnsi="宋体" w:eastAsia="宋体" w:cs="宋体"/>
          <w:b/>
          <w:bCs/>
          <w:spacing w:val="0"/>
        </w:rPr>
        <w:t>1、谈判响应文件的制作要求</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1</w:t>
      </w:r>
      <w:r>
        <w:rPr>
          <w:rFonts w:hint="eastAsia" w:ascii="宋体" w:hAnsi="宋体" w:eastAsia="宋体" w:cs="宋体"/>
          <w:spacing w:val="0"/>
          <w:sz w:val="24"/>
          <w:lang w:eastAsia="zh-CN"/>
        </w:rPr>
        <w:t>）</w:t>
      </w:r>
      <w:r>
        <w:rPr>
          <w:rFonts w:hint="eastAsia" w:ascii="宋体" w:hAnsi="宋体" w:eastAsia="宋体" w:cs="宋体"/>
          <w:spacing w:val="0"/>
          <w:sz w:val="24"/>
        </w:rPr>
        <w:t>供应商应按照谈判响应文件组成内容及项目需求制作谈判响应文件，不按</w:t>
      </w:r>
      <w:r>
        <w:rPr>
          <w:rFonts w:hint="eastAsia" w:ascii="宋体" w:hAnsi="宋体" w:eastAsia="宋体" w:cs="宋体"/>
          <w:spacing w:val="0"/>
          <w:sz w:val="24"/>
          <w:lang w:eastAsia="zh-CN"/>
        </w:rPr>
        <w:t>谈判文件</w:t>
      </w:r>
      <w:r>
        <w:rPr>
          <w:rFonts w:hint="eastAsia" w:ascii="宋体" w:hAnsi="宋体" w:eastAsia="宋体" w:cs="宋体"/>
          <w:spacing w:val="0"/>
          <w:sz w:val="24"/>
        </w:rPr>
        <w:t>要求制作谈判响应文件的将视情处理，责任由供应商自行承担。</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2</w:t>
      </w:r>
      <w:r>
        <w:rPr>
          <w:rFonts w:hint="eastAsia" w:ascii="宋体" w:hAnsi="宋体" w:eastAsia="宋体" w:cs="宋体"/>
          <w:spacing w:val="0"/>
          <w:sz w:val="24"/>
          <w:lang w:eastAsia="zh-CN"/>
        </w:rPr>
        <w:t>）</w:t>
      </w:r>
      <w:r>
        <w:rPr>
          <w:rFonts w:hint="eastAsia" w:ascii="宋体" w:hAnsi="宋体" w:eastAsia="宋体" w:cs="宋体"/>
          <w:spacing w:val="0"/>
          <w:sz w:val="24"/>
        </w:rPr>
        <w:t>供应商应对所提供的全部资料的真实性承担法律责任，谈判响应文件内容中有要求盖章或签字的地方，必须加盖供应商的公章以及法定代表人或授权代理人的签字或盖章。</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3</w:t>
      </w:r>
      <w:r>
        <w:rPr>
          <w:rFonts w:hint="eastAsia" w:ascii="宋体" w:hAnsi="宋体" w:eastAsia="宋体" w:cs="宋体"/>
          <w:spacing w:val="0"/>
          <w:sz w:val="24"/>
          <w:lang w:eastAsia="zh-CN"/>
        </w:rPr>
        <w:t>）</w:t>
      </w:r>
      <w:r>
        <w:rPr>
          <w:rFonts w:hint="eastAsia" w:ascii="宋体" w:hAnsi="宋体" w:eastAsia="宋体" w:cs="宋体"/>
          <w:spacing w:val="0"/>
          <w:sz w:val="24"/>
        </w:rPr>
        <w:t>谈判响应文件以及供应商与采购代理机构就有关</w:t>
      </w:r>
      <w:r>
        <w:rPr>
          <w:rFonts w:hint="eastAsia" w:ascii="宋体" w:hAnsi="宋体" w:eastAsia="宋体" w:cs="宋体"/>
          <w:spacing w:val="0"/>
          <w:sz w:val="24"/>
          <w:lang w:eastAsia="zh-CN"/>
        </w:rPr>
        <w:t>谈判响应</w:t>
      </w:r>
      <w:r>
        <w:rPr>
          <w:rFonts w:hint="eastAsia" w:ascii="宋体" w:hAnsi="宋体" w:eastAsia="宋体" w:cs="宋体"/>
          <w:spacing w:val="0"/>
          <w:sz w:val="24"/>
        </w:rPr>
        <w:t>事宜的所有来往函电，均应以中文汉语书写。除签字、盖章、专用名称等特殊情形外，以中文汉语以外的文字表述的谈判响应文件视同未提供。</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4</w:t>
      </w:r>
      <w:r>
        <w:rPr>
          <w:rFonts w:hint="eastAsia" w:ascii="宋体" w:hAnsi="宋体" w:eastAsia="宋体" w:cs="宋体"/>
          <w:spacing w:val="0"/>
          <w:sz w:val="24"/>
          <w:lang w:eastAsia="zh-CN"/>
        </w:rPr>
        <w:t>）谈判响应</w:t>
      </w:r>
      <w:r>
        <w:rPr>
          <w:rFonts w:hint="eastAsia" w:ascii="宋体" w:hAnsi="宋体" w:eastAsia="宋体" w:cs="宋体"/>
          <w:spacing w:val="0"/>
          <w:sz w:val="24"/>
        </w:rPr>
        <w:t>计量单位，</w:t>
      </w:r>
      <w:r>
        <w:rPr>
          <w:rFonts w:hint="eastAsia" w:ascii="宋体" w:hAnsi="宋体" w:eastAsia="宋体" w:cs="宋体"/>
          <w:spacing w:val="0"/>
          <w:sz w:val="24"/>
          <w:lang w:eastAsia="zh-CN"/>
        </w:rPr>
        <w:t>谈判文件</w:t>
      </w:r>
      <w:r>
        <w:rPr>
          <w:rFonts w:hint="eastAsia" w:ascii="宋体" w:hAnsi="宋体" w:eastAsia="宋体" w:cs="宋体"/>
          <w:spacing w:val="0"/>
          <w:sz w:val="24"/>
        </w:rPr>
        <w:t>已有明确规定的，使用</w:t>
      </w:r>
      <w:r>
        <w:rPr>
          <w:rFonts w:hint="eastAsia" w:ascii="宋体" w:hAnsi="宋体" w:eastAsia="宋体" w:cs="宋体"/>
          <w:spacing w:val="0"/>
          <w:sz w:val="24"/>
          <w:lang w:eastAsia="zh-CN"/>
        </w:rPr>
        <w:t>谈判文件</w:t>
      </w:r>
      <w:r>
        <w:rPr>
          <w:rFonts w:hint="eastAsia" w:ascii="宋体" w:hAnsi="宋体" w:eastAsia="宋体" w:cs="宋体"/>
          <w:spacing w:val="0"/>
          <w:sz w:val="24"/>
        </w:rPr>
        <w:t>规定的计量单位；</w:t>
      </w:r>
      <w:r>
        <w:rPr>
          <w:rFonts w:hint="eastAsia" w:ascii="宋体" w:hAnsi="宋体" w:eastAsia="宋体" w:cs="宋体"/>
          <w:spacing w:val="0"/>
          <w:sz w:val="24"/>
          <w:lang w:eastAsia="zh-CN"/>
        </w:rPr>
        <w:t>谈判文件</w:t>
      </w:r>
      <w:r>
        <w:rPr>
          <w:rFonts w:hint="eastAsia" w:ascii="宋体" w:hAnsi="宋体" w:eastAsia="宋体" w:cs="宋体"/>
          <w:spacing w:val="0"/>
          <w:sz w:val="24"/>
        </w:rPr>
        <w:t>没有规定的，应采用中华人民共和国法定计量单位（货币单位：人民币元）。</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5</w:t>
      </w:r>
      <w:r>
        <w:rPr>
          <w:rFonts w:hint="eastAsia" w:ascii="宋体" w:hAnsi="宋体" w:eastAsia="宋体" w:cs="宋体"/>
          <w:spacing w:val="0"/>
          <w:sz w:val="24"/>
          <w:lang w:eastAsia="zh-CN"/>
        </w:rPr>
        <w:t>）</w:t>
      </w:r>
      <w:r>
        <w:rPr>
          <w:rFonts w:hint="eastAsia" w:ascii="宋体" w:hAnsi="宋体" w:eastAsia="宋体" w:cs="宋体"/>
          <w:spacing w:val="0"/>
          <w:sz w:val="24"/>
        </w:rPr>
        <w:t>若供应商不按</w:t>
      </w:r>
      <w:r>
        <w:rPr>
          <w:rFonts w:hint="eastAsia" w:ascii="宋体" w:hAnsi="宋体" w:eastAsia="宋体" w:cs="宋体"/>
          <w:spacing w:val="0"/>
          <w:sz w:val="24"/>
          <w:lang w:eastAsia="zh-CN"/>
        </w:rPr>
        <w:t>谈判文件</w:t>
      </w:r>
      <w:r>
        <w:rPr>
          <w:rFonts w:hint="eastAsia" w:ascii="宋体" w:hAnsi="宋体" w:eastAsia="宋体" w:cs="宋体"/>
          <w:spacing w:val="0"/>
          <w:sz w:val="24"/>
        </w:rPr>
        <w:t>的要求提供资格审查材料，其责任由供应商自行承担。</w:t>
      </w:r>
      <w:bookmarkStart w:id="12" w:name="2、谈判响应文件的式样"/>
      <w:bookmarkEnd w:id="12"/>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2" w:firstLineChars="200"/>
        <w:jc w:val="left"/>
        <w:textAlignment w:val="auto"/>
        <w:rPr>
          <w:rFonts w:hint="eastAsia" w:ascii="宋体" w:hAnsi="宋体" w:eastAsia="宋体" w:cs="宋体"/>
          <w:b/>
          <w:bCs/>
          <w:spacing w:val="0"/>
          <w:sz w:val="24"/>
        </w:rPr>
      </w:pPr>
      <w:r>
        <w:rPr>
          <w:rFonts w:hint="eastAsia" w:ascii="宋体" w:hAnsi="宋体" w:eastAsia="宋体" w:cs="宋体"/>
          <w:b/>
          <w:bCs/>
          <w:spacing w:val="0"/>
          <w:sz w:val="24"/>
        </w:rPr>
        <w:t>2、谈判响应文件的式样</w:t>
      </w:r>
    </w:p>
    <w:p>
      <w:pPr>
        <w:pStyle w:val="19"/>
        <w:keepNext w:val="0"/>
        <w:keepLines w:val="0"/>
        <w:pageBreakBefore w:val="0"/>
        <w:widowControl w:val="0"/>
        <w:numPr>
          <w:ilvl w:val="0"/>
          <w:numId w:val="0"/>
        </w:numPr>
        <w:tabs>
          <w:tab w:val="left" w:pos="187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1</w:t>
      </w:r>
      <w:r>
        <w:rPr>
          <w:rFonts w:hint="eastAsia" w:ascii="宋体" w:hAnsi="宋体" w:eastAsia="宋体" w:cs="宋体"/>
          <w:spacing w:val="0"/>
          <w:sz w:val="24"/>
          <w:lang w:eastAsia="zh-CN"/>
        </w:rPr>
        <w:t>）</w:t>
      </w:r>
      <w:r>
        <w:rPr>
          <w:rFonts w:hint="eastAsia" w:ascii="宋体" w:hAnsi="宋体" w:eastAsia="宋体" w:cs="宋体"/>
          <w:spacing w:val="0"/>
          <w:sz w:val="24"/>
        </w:rPr>
        <w:t>供应商通过“政采云”平台制作电子谈判响应文件，谈判响应文件制作详见“供</w:t>
      </w:r>
      <w:r>
        <w:rPr>
          <w:rFonts w:hint="eastAsia" w:ascii="宋体" w:hAnsi="宋体" w:eastAsia="宋体" w:cs="宋体"/>
          <w:spacing w:val="0"/>
        </w:rPr>
        <w:t>应商-政府采购项目电子交易操作指南”</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0" w:rightChars="0" w:firstLine="480" w:firstLineChars="200"/>
        <w:textAlignment w:val="auto"/>
        <w:rPr>
          <w:rFonts w:hint="eastAsia" w:ascii="宋体" w:hAnsi="宋体" w:eastAsia="宋体" w:cs="宋体"/>
          <w:spacing w:val="0"/>
          <w:sz w:val="24"/>
          <w:lang w:eastAsia="zh-CN"/>
        </w:rPr>
      </w:pPr>
      <w:r>
        <w:rPr>
          <w:rFonts w:hint="eastAsia" w:ascii="宋体" w:hAnsi="宋体" w:eastAsia="宋体" w:cs="宋体"/>
          <w:spacing w:val="0"/>
          <w:sz w:val="24"/>
          <w:lang w:eastAsia="zh-CN"/>
        </w:rPr>
        <w:t>（</w:t>
      </w:r>
      <w:r>
        <w:rPr>
          <w:rFonts w:hint="eastAsia" w:ascii="宋体" w:hAnsi="宋体" w:eastAsia="宋体" w:cs="宋体"/>
          <w:spacing w:val="0"/>
          <w:sz w:val="24"/>
          <w:lang w:val="en-US" w:eastAsia="zh-CN"/>
        </w:rPr>
        <w:t>2</w:t>
      </w:r>
      <w:r>
        <w:rPr>
          <w:rFonts w:hint="eastAsia" w:ascii="宋体" w:hAnsi="宋体" w:eastAsia="宋体" w:cs="宋体"/>
          <w:spacing w:val="0"/>
          <w:sz w:val="24"/>
          <w:lang w:eastAsia="zh-CN"/>
        </w:rPr>
        <w:t>）</w:t>
      </w:r>
      <w:r>
        <w:rPr>
          <w:rFonts w:hint="eastAsia" w:ascii="宋体" w:hAnsi="宋体" w:eastAsia="宋体" w:cs="宋体"/>
          <w:spacing w:val="0"/>
          <w:sz w:val="24"/>
        </w:rPr>
        <w:t>谈判响应文件是电子谈判响应文件，包括“电子加密谈判响应文件”和“备份谈判响应文件”，在谈判响应文件编制完成后同时生成</w:t>
      </w:r>
      <w:r>
        <w:rPr>
          <w:rFonts w:hint="eastAsia" w:ascii="宋体" w:hAnsi="宋体" w:eastAsia="宋体" w:cs="宋体"/>
          <w:spacing w:val="0"/>
          <w:sz w:val="24"/>
          <w:lang w:eastAsia="zh-CN"/>
        </w:rPr>
        <w:t>。</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“电子加密谈判响应文件”是指通过“政采云电子交易客户端”完成谈判响应文件编制后生成并加密的数据电文形式的谈判响应文件。</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“备份谈判响应文件”是指与“电子加密谈判响应文件”同时生成的数据电文形式的电子文件（备份标书，用于供应商标书解密异常时应急使用），其他方式编制的备份谈判响应文件视为无效备份谈判响应文件。</w:t>
      </w:r>
    </w:p>
    <w:p>
      <w:pPr>
        <w:pStyle w:val="19"/>
        <w:keepNext w:val="0"/>
        <w:keepLines w:val="0"/>
        <w:pageBreakBefore w:val="0"/>
        <w:widowControl w:val="0"/>
        <w:numPr>
          <w:ilvl w:val="0"/>
          <w:numId w:val="0"/>
        </w:numPr>
        <w:tabs>
          <w:tab w:val="left" w:pos="1995"/>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一份电子加密标书（后缀格式为.jmbs），一份备份标书文件（后缀格式为.bfbs）</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每份电子谈判响应文件应包括资格响应文件、商务技术响应文件、报价响应文件三部分内容。</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bookmarkStart w:id="13" w:name="（3）谈判响应文件中投标声明书、授权委托书的格式、签字、盖章及内容均应符合采购文"/>
      <w:bookmarkEnd w:id="13"/>
      <w:bookmarkStart w:id="14" w:name="（3）谈判响应文件中投标声明书、授权委托书的格式、签字、盖章及内容均应符合采购文"/>
      <w:bookmarkEnd w:id="14"/>
      <w:r>
        <w:rPr>
          <w:rFonts w:hint="eastAsia" w:ascii="宋体" w:hAnsi="宋体" w:eastAsia="宋体" w:cs="宋体"/>
          <w:spacing w:val="0"/>
          <w:sz w:val="24"/>
          <w:szCs w:val="24"/>
          <w:lang w:val="en-US" w:eastAsia="zh-CN"/>
        </w:rPr>
        <w:t>（3）谈判响应文件中谈判响应声明书、授权委托书的格式、签字、盖章及内容均应符合谈判文件格式要求。</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供应商应根据“政采云供应商项目采购-电子招谈判响应操作指南”及本谈判文件规定编制电子谈判响应文件。如对谈判文件的某项要求，供应商的谈判响应响应文件未能提供相应的内容与其对应，则评标委员会在评审时会提示供应商未对此项招标要求提供相应内容。由此产生的影响由供应商自行承担。</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谈判响应文件内容不完整、编排混乱导致谈判响应文件被误读、漏读，或者在按谈判文件规定的部分查找不到相关内容的，是供应商的责任。</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bookmarkStart w:id="15" w:name="3、谈判响应文件的递交要求"/>
      <w:bookmarkEnd w:id="15"/>
      <w:r>
        <w:rPr>
          <w:rFonts w:hint="eastAsia" w:ascii="宋体" w:hAnsi="宋体" w:eastAsia="宋体" w:cs="宋体"/>
          <w:b/>
          <w:bCs/>
          <w:spacing w:val="0"/>
          <w:sz w:val="24"/>
          <w:szCs w:val="24"/>
        </w:rPr>
        <w:t>3、谈判响应文件的递交要求</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（1）电子加密谈判响应文件：谈判响应文件制作完成并生成加密标书，在谈判响应截止时间前，供应商需将加密的谈判响应文件上传至政采云平台，到达开标时间后，解密谈判响应文件。</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6"/>
          <w:sz w:val="24"/>
          <w:szCs w:val="24"/>
          <w:lang w:val="en-US" w:eastAsia="zh-CN"/>
        </w:rPr>
      </w:pPr>
      <w:r>
        <w:rPr>
          <w:rFonts w:hint="eastAsia" w:ascii="宋体" w:hAnsi="宋体" w:eastAsia="宋体" w:cs="宋体"/>
          <w:spacing w:val="0"/>
          <w:sz w:val="24"/>
          <w:szCs w:val="24"/>
          <w:lang w:val="en-US" w:eastAsia="zh-CN"/>
        </w:rPr>
        <w:t>a.</w:t>
      </w:r>
      <w:r>
        <w:rPr>
          <w:rFonts w:hint="eastAsia" w:ascii="宋体" w:hAnsi="宋体" w:eastAsia="宋体" w:cs="宋体"/>
          <w:spacing w:val="-6"/>
          <w:sz w:val="24"/>
          <w:szCs w:val="24"/>
          <w:lang w:val="en-US" w:eastAsia="zh-CN"/>
        </w:rPr>
        <w:t>供应商未能在谈判响应截止时间前成功上传电子加密谈判响应文件的谈判响应无效。</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0"/>
          <w:sz w:val="24"/>
          <w:szCs w:val="24"/>
          <w:lang w:val="en-US" w:eastAsia="zh-CN"/>
        </w:rPr>
        <w:t>b.</w:t>
      </w:r>
      <w:r>
        <w:rPr>
          <w:rFonts w:hint="eastAsia" w:ascii="宋体" w:hAnsi="宋体" w:eastAsia="宋体" w:cs="宋体"/>
          <w:spacing w:val="-11"/>
          <w:sz w:val="24"/>
          <w:szCs w:val="24"/>
          <w:lang w:val="en-US" w:eastAsia="zh-CN"/>
        </w:rPr>
        <w:t>供应商成功上传电子加密谈判响应文件后，可自行打印谈判响应文件接收回执。</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（2）备份谈判响应文件：供应商确保在谈判响应截止时间前，将备份谈判响应文件通过快递形式寄达采购代理机构处，以便标书解密异常时应急使用。</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a.备份谈判响应文件递交要求：供应商须将备份谈判响应文件以光盘或 U 盘形式放在密封袋中，密封后并在密封袋上注明谈判响应项目名称、谈判响应单位名称并加盖公章。未密封包装或者逾期邮寄送达的“备份谈判响应文件”将不予接收。</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b.供应商仅提交备份谈判响应文件的，谈判响应无效。</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spacing w:val="0"/>
          <w:sz w:val="24"/>
          <w:szCs w:val="24"/>
        </w:rPr>
      </w:pPr>
      <w:r>
        <w:rPr>
          <w:rFonts w:hint="eastAsia" w:ascii="宋体" w:hAnsi="宋体" w:eastAsia="宋体" w:cs="宋体"/>
          <w:b/>
          <w:bCs/>
          <w:spacing w:val="0"/>
          <w:sz w:val="24"/>
          <w:szCs w:val="24"/>
        </w:rPr>
        <w:t>4、谈判响应文件的补充、修改和撤回</w:t>
      </w:r>
    </w:p>
    <w:p>
      <w:pPr>
        <w:pStyle w:val="19"/>
        <w:keepNext w:val="0"/>
        <w:keepLines w:val="0"/>
        <w:pageBreakBefore w:val="0"/>
        <w:widowControl w:val="0"/>
        <w:numPr>
          <w:ilvl w:val="0"/>
          <w:numId w:val="0"/>
        </w:numPr>
        <w:tabs>
          <w:tab w:val="left" w:pos="1266"/>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供应商在递交谈判响应文件后，在规定的</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截止时间前，可以补充、修改或者撤回电子交易文件。补充或者修改电子交易文件的，应当先行撤回原文件，补充、修改后重新传输递交。</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截止时间前未完成传输的，视为谈判响应文件撤回，</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无效。</w:t>
      </w:r>
    </w:p>
    <w:p>
      <w:pPr>
        <w:pStyle w:val="19"/>
        <w:keepNext w:val="0"/>
        <w:keepLines w:val="0"/>
        <w:pageBreakBefore w:val="0"/>
        <w:widowControl w:val="0"/>
        <w:numPr>
          <w:ilvl w:val="0"/>
          <w:numId w:val="0"/>
        </w:numPr>
        <w:tabs>
          <w:tab w:val="left" w:pos="1221"/>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bookmarkStart w:id="16" w:name="（2）在投标截止期之后，供应商不得对其投标作任何修改。"/>
      <w:bookmarkEnd w:id="16"/>
      <w:bookmarkStart w:id="17" w:name="（2）在投标截止期之后，供应商不得对其投标作任何修改。"/>
      <w:bookmarkEnd w:id="17"/>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在</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截止期之后，供应商不得对其</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作任何修改。</w:t>
      </w:r>
    </w:p>
    <w:p>
      <w:pPr>
        <w:pStyle w:val="19"/>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从</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截止期至供应商在</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函格式中确定的</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有效期期满这段时间内，供应商不得撤回其</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bookmarkStart w:id="18" w:name="（三）谈判响应文件的有效期"/>
      <w:bookmarkEnd w:id="18"/>
      <w:r>
        <w:rPr>
          <w:rFonts w:hint="eastAsia" w:ascii="宋体" w:hAnsi="宋体" w:eastAsia="宋体" w:cs="宋体"/>
          <w:b/>
          <w:bCs/>
          <w:spacing w:val="0"/>
          <w:sz w:val="24"/>
          <w:szCs w:val="24"/>
        </w:rPr>
        <w:t>（三）谈判响应文件的有效期</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1、自</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截止日起 90 天谈判响应文件应保持有效。有效期不足的谈判响应文件将被拒绝。</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2、在特殊情况下，采购人可与供应商协商延长谈判响应文件的有效期，这种要求和答复均以书面形式进行。</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3、中标人的谈判响应文件自开标之日起至合同履行完毕均应保持有效。</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四、谈判</w:t>
      </w:r>
    </w:p>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（一）谈判事项</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1、采购人将于</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规定的时间和地点公开开标。若采购人通过修改</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更改了开标时间和地点的，以后者为准。</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2、评审期间，供应商代表应在线操作，并关注政采云有关信息公布、澄清等情况。供应商代表不参加谈判程序的，事后不得对采购相关人员、评审过程和评审结果提出异议。</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3、谈判程序</w:t>
      </w:r>
    </w:p>
    <w:p>
      <w:pPr>
        <w:pStyle w:val="19"/>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400" w:lineRule="exact"/>
        <w:ind w:leftChars="0" w:right="0" w:rightChars="0" w:firstLine="482" w:firstLineChars="200"/>
        <w:jc w:val="left"/>
        <w:textAlignment w:val="auto"/>
        <w:rPr>
          <w:rFonts w:hint="eastAsia" w:ascii="宋体" w:hAnsi="宋体" w:eastAsia="宋体" w:cs="宋体"/>
          <w:b/>
          <w:bCs/>
          <w:spacing w:val="0"/>
          <w:sz w:val="24"/>
          <w:szCs w:val="24"/>
        </w:rPr>
      </w:pPr>
      <w:bookmarkStart w:id="19" w:name="3.1谈判第一阶段"/>
      <w:bookmarkEnd w:id="19"/>
      <w:bookmarkStart w:id="20" w:name="3.1谈判第一阶段"/>
      <w:bookmarkEnd w:id="20"/>
      <w:r>
        <w:rPr>
          <w:rFonts w:hint="eastAsia" w:ascii="宋体" w:hAnsi="宋体" w:eastAsia="宋体" w:cs="宋体"/>
          <w:b/>
          <w:bCs/>
          <w:spacing w:val="0"/>
          <w:sz w:val="24"/>
          <w:szCs w:val="24"/>
          <w:lang w:val="en-US" w:eastAsia="zh-CN"/>
        </w:rPr>
        <w:t>3.1</w:t>
      </w:r>
      <w:r>
        <w:rPr>
          <w:rFonts w:hint="eastAsia" w:ascii="宋体" w:hAnsi="宋体" w:eastAsia="宋体" w:cs="宋体"/>
          <w:b/>
          <w:bCs/>
          <w:spacing w:val="0"/>
          <w:sz w:val="24"/>
          <w:szCs w:val="24"/>
        </w:rPr>
        <w:t>谈判第一阶段</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向各供应商发出电子加密谈判响应文件【开始解密】通知，由供应商按谈判文件规定的时间内自行进行谈判响应文件解密。供应商在规定的时间内无法完成已递交的“电子加密谈判响应文件”解密的，如已按规定递交了备份谈判响应文件的，将由采购组织机构按“ 政府采购云平台”操作规范将备份谈判响应文件上传至“政府采购云平台”，上传成功后，“ 电子加密谈判响应文件”自动失效；</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2</w:t>
      </w:r>
      <w:r>
        <w:rPr>
          <w:rFonts w:hint="eastAsia" w:ascii="宋体" w:hAnsi="宋体" w:eastAsia="宋体" w:cs="宋体"/>
          <w:spacing w:val="0"/>
          <w:sz w:val="24"/>
          <w:szCs w:val="24"/>
          <w:lang w:val="zh-CN" w:eastAsia="zh-CN" w:bidi="zh-CN"/>
        </w:rPr>
        <w:t>）谈判响应文件解密结束，各供应商组织签署《政府采购活动现场确认声明书》</w:t>
      </w:r>
      <w:r>
        <w:rPr>
          <w:rFonts w:hint="eastAsia" w:ascii="宋体" w:hAnsi="宋体" w:eastAsia="宋体" w:cs="宋体"/>
          <w:b/>
          <w:bCs/>
          <w:spacing w:val="0"/>
          <w:sz w:val="24"/>
          <w:szCs w:val="24"/>
          <w:lang w:val="en-US" w:eastAsia="zh-CN" w:bidi="zh-CN"/>
        </w:rPr>
        <w:t>（格式见采购文件最后一页内容）的扫描件或（图片）发送至代理机构经办人邮箱（邮箱地址1436648507@qq.com）</w:t>
      </w:r>
      <w:r>
        <w:rPr>
          <w:rFonts w:hint="eastAsia" w:ascii="宋体" w:hAnsi="宋体" w:eastAsia="宋体" w:cs="宋体"/>
          <w:spacing w:val="0"/>
          <w:sz w:val="24"/>
          <w:szCs w:val="24"/>
          <w:lang w:val="zh-CN" w:eastAsia="zh-CN" w:bidi="zh-CN"/>
        </w:rPr>
        <w:t>；</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3</w:t>
      </w:r>
      <w:r>
        <w:rPr>
          <w:rFonts w:hint="eastAsia" w:ascii="宋体" w:hAnsi="宋体" w:eastAsia="宋体" w:cs="宋体"/>
          <w:spacing w:val="0"/>
          <w:sz w:val="24"/>
          <w:szCs w:val="24"/>
          <w:lang w:val="zh-CN" w:eastAsia="zh-CN" w:bidi="zh-CN"/>
        </w:rPr>
        <w:t>）开启谈判响应文件，进入资格审查；</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4</w:t>
      </w:r>
      <w:r>
        <w:rPr>
          <w:rFonts w:hint="eastAsia" w:ascii="宋体" w:hAnsi="宋体" w:eastAsia="宋体" w:cs="宋体"/>
          <w:spacing w:val="0"/>
          <w:sz w:val="24"/>
          <w:szCs w:val="24"/>
          <w:lang w:val="zh-CN" w:eastAsia="zh-CN" w:bidi="zh-CN"/>
        </w:rPr>
        <w:t>）开启资格审查通过的谈判响应供应商的商务技术文件进入符合性审查、商务技术评审；</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5</w:t>
      </w:r>
      <w:r>
        <w:rPr>
          <w:rFonts w:hint="eastAsia" w:ascii="宋体" w:hAnsi="宋体" w:eastAsia="宋体" w:cs="宋体"/>
          <w:spacing w:val="0"/>
          <w:sz w:val="24"/>
          <w:szCs w:val="24"/>
          <w:lang w:val="zh-CN" w:eastAsia="zh-CN" w:bidi="zh-CN"/>
        </w:rPr>
        <w:t>）第一阶段开标结束。</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56" w:firstLineChars="200"/>
        <w:textAlignment w:val="auto"/>
        <w:rPr>
          <w:rFonts w:hint="eastAsia" w:ascii="宋体" w:hAnsi="宋体" w:eastAsia="宋体" w:cs="宋体"/>
          <w:spacing w:val="-6"/>
          <w:sz w:val="24"/>
          <w:szCs w:val="24"/>
          <w:lang w:val="zh-CN" w:eastAsia="zh-CN" w:bidi="zh-CN"/>
        </w:rPr>
      </w:pPr>
      <w:r>
        <w:rPr>
          <w:rFonts w:hint="eastAsia" w:ascii="宋体" w:hAnsi="宋体" w:eastAsia="宋体" w:cs="宋体"/>
          <w:spacing w:val="-6"/>
          <w:sz w:val="24"/>
          <w:szCs w:val="24"/>
          <w:lang w:val="zh-CN" w:eastAsia="zh-CN" w:bidi="zh-CN"/>
        </w:rPr>
        <w:t>备注：开标程序的第一阶段结束后，采购人或采购代理机构将对依法对谈判响应供应商的资格进行审查，资格审查结束后进入符合性审查和商务技术的评审工作。</w:t>
      </w:r>
    </w:p>
    <w:p>
      <w:pPr>
        <w:pStyle w:val="19"/>
        <w:keepNext w:val="0"/>
        <w:keepLines w:val="0"/>
        <w:pageBreakBefore w:val="0"/>
        <w:widowControl w:val="0"/>
        <w:numPr>
          <w:ilvl w:val="0"/>
          <w:numId w:val="0"/>
        </w:numPr>
        <w:tabs>
          <w:tab w:val="left" w:pos="1472"/>
        </w:tabs>
        <w:kinsoku/>
        <w:wordWrap/>
        <w:overflowPunct/>
        <w:topLinePunct w:val="0"/>
        <w:autoSpaceDE w:val="0"/>
        <w:autoSpaceDN w:val="0"/>
        <w:bidi w:val="0"/>
        <w:adjustRightInd/>
        <w:snapToGrid/>
        <w:spacing w:before="0" w:after="0" w:line="400" w:lineRule="exact"/>
        <w:ind w:leftChars="0" w:right="0" w:rightChars="0" w:firstLine="482" w:firstLineChars="200"/>
        <w:jc w:val="left"/>
        <w:textAlignment w:val="auto"/>
        <w:rPr>
          <w:rFonts w:hint="eastAsia" w:ascii="宋体" w:hAnsi="宋体" w:eastAsia="宋体" w:cs="宋体"/>
          <w:b/>
          <w:bCs/>
          <w:spacing w:val="0"/>
          <w:sz w:val="24"/>
          <w:szCs w:val="24"/>
        </w:rPr>
      </w:pPr>
      <w:bookmarkStart w:id="21" w:name="3.2谈判第二阶段"/>
      <w:bookmarkEnd w:id="21"/>
      <w:bookmarkStart w:id="22" w:name="3.2谈判第二阶段"/>
      <w:bookmarkEnd w:id="22"/>
      <w:r>
        <w:rPr>
          <w:rFonts w:hint="eastAsia" w:ascii="宋体" w:hAnsi="宋体" w:eastAsia="宋体" w:cs="宋体"/>
          <w:b/>
          <w:bCs/>
          <w:spacing w:val="0"/>
          <w:sz w:val="24"/>
          <w:szCs w:val="24"/>
          <w:lang w:val="en-US" w:eastAsia="zh-CN"/>
        </w:rPr>
        <w:t>3.2</w:t>
      </w:r>
      <w:r>
        <w:rPr>
          <w:rFonts w:hint="eastAsia" w:ascii="宋体" w:hAnsi="宋体" w:eastAsia="宋体" w:cs="宋体"/>
          <w:b/>
          <w:bCs/>
          <w:spacing w:val="0"/>
          <w:sz w:val="24"/>
          <w:szCs w:val="24"/>
        </w:rPr>
        <w:t>谈判第二阶段</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rPr>
        <w:t>商务技术评审结束后，举行开标程序第二阶段会议。首先公布符合性审查、商务技术评审无效供应商名称及理由；公布经商务技术评审后有效供应商的名单，同时公布其商务技术部分情况。</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6"/>
          <w:sz w:val="24"/>
          <w:szCs w:val="24"/>
        </w:rPr>
        <w:t>开启符合性审查、商务技术评审有效供应商的《报价响应文件》后，公布报价一览表有关内容，同时当场制作开标记录表，供应商确认（不予确认的应说明理由，否则视为无异议）。评标委员会对报价的合理性、准确性等进行审查核实。</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评审结束后，公布中标（成交）候选供应商名单，及采购人最终确定中标或成交供应商名单的时间和公告方式等。</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如遇“政府采购云平台”电子化开标或评审程序调整的，或者政采云系统提供数据电文交互功能的，按其规定执行。</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五、评审</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spacing w:val="0"/>
          <w:sz w:val="24"/>
          <w:szCs w:val="24"/>
        </w:rPr>
      </w:pPr>
      <w:bookmarkStart w:id="23" w:name="（一）组建评标委员会"/>
      <w:bookmarkEnd w:id="23"/>
      <w:r>
        <w:rPr>
          <w:rFonts w:hint="eastAsia" w:ascii="宋体" w:hAnsi="宋体" w:eastAsia="宋体" w:cs="宋体"/>
          <w:b/>
          <w:bCs/>
          <w:spacing w:val="0"/>
          <w:sz w:val="24"/>
          <w:szCs w:val="24"/>
        </w:rPr>
        <w:t>（一）组建评标委员会</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评标委员会由采购人依法组建。</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bookmarkStart w:id="24" w:name="（二）评标程序"/>
      <w:bookmarkEnd w:id="24"/>
      <w:r>
        <w:rPr>
          <w:rFonts w:hint="eastAsia" w:ascii="宋体" w:hAnsi="宋体" w:eastAsia="宋体" w:cs="宋体"/>
          <w:b/>
          <w:bCs/>
          <w:spacing w:val="0"/>
          <w:sz w:val="24"/>
          <w:szCs w:val="24"/>
        </w:rPr>
        <w:t>（二）评标程序</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1、谈判响应文件初审。初审分为资格性检查和符合性检查。</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2" w:firstLineChars="200"/>
        <w:jc w:val="left"/>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eastAsia="zh-CN"/>
        </w:rPr>
        <w:t>（</w:t>
      </w:r>
      <w:r>
        <w:rPr>
          <w:rFonts w:hint="eastAsia" w:ascii="宋体" w:hAnsi="宋体" w:eastAsia="宋体" w:cs="宋体"/>
          <w:b/>
          <w:bCs/>
          <w:spacing w:val="0"/>
          <w:sz w:val="24"/>
          <w:szCs w:val="24"/>
          <w:lang w:val="en-US" w:eastAsia="zh-CN"/>
        </w:rPr>
        <w:t>1</w:t>
      </w:r>
      <w:r>
        <w:rPr>
          <w:rFonts w:hint="eastAsia" w:ascii="宋体" w:hAnsi="宋体" w:eastAsia="宋体" w:cs="宋体"/>
          <w:b/>
          <w:bCs/>
          <w:spacing w:val="0"/>
          <w:sz w:val="24"/>
          <w:szCs w:val="24"/>
          <w:lang w:eastAsia="zh-CN"/>
        </w:rPr>
        <w:t>）</w:t>
      </w:r>
      <w:r>
        <w:rPr>
          <w:rFonts w:hint="eastAsia" w:ascii="宋体" w:hAnsi="宋体" w:eastAsia="宋体" w:cs="宋体"/>
          <w:b/>
          <w:bCs/>
          <w:spacing w:val="0"/>
          <w:sz w:val="24"/>
          <w:szCs w:val="24"/>
        </w:rPr>
        <w:t>资格性检查。</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谈判开始后，采购人或采购代理机构将对供应商的基本资格条件、特定资格条件进行审查。</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56" w:firstLineChars="200"/>
        <w:jc w:val="left"/>
        <w:textAlignment w:val="auto"/>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供应商未按照谈判文件要求提供与基本资格条件、特定资格条件相应的有效资格证明材料的，视为供应商不具备谈判文件中规定的资格要求，其资格审查不通过。</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6"/>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b/>
          <w:bCs/>
          <w:spacing w:val="-6"/>
          <w:sz w:val="24"/>
          <w:szCs w:val="24"/>
          <w:lang w:eastAsia="zh-CN"/>
        </w:rPr>
        <w:t>符合性检查。</w:t>
      </w:r>
      <w:r>
        <w:rPr>
          <w:rFonts w:hint="eastAsia" w:ascii="宋体" w:hAnsi="宋体" w:eastAsia="宋体" w:cs="宋体"/>
          <w:spacing w:val="-6"/>
          <w:sz w:val="24"/>
          <w:szCs w:val="24"/>
          <w:lang w:eastAsia="zh-CN"/>
        </w:rPr>
        <w:t>依据谈判文件的规定，从谈判响应文件的有效性、完整性和对谈判文件的响应程度进行审查，以确定是否对谈判文件的实质性要求作出响应。</w:t>
      </w:r>
    </w:p>
    <w:p>
      <w:pPr>
        <w:pStyle w:val="19"/>
        <w:keepNext w:val="0"/>
        <w:keepLines w:val="0"/>
        <w:pageBreakBefore w:val="0"/>
        <w:widowControl w:val="0"/>
        <w:numPr>
          <w:ilvl w:val="0"/>
          <w:numId w:val="0"/>
        </w:numPr>
        <w:tabs>
          <w:tab w:val="left" w:pos="17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评标委员会决定谈判响应文件的响应性只根据谈判响应文件本身的内容，而不寻求外部证据。</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如果谈判响应文件没有实质上响应</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的要求，评标委员会将判定无效，供应商不得通过修改或撤销不合要求的偏离或保留而使其</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成为实质性响应的</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0"/>
          <w:sz w:val="24"/>
          <w:szCs w:val="24"/>
        </w:rPr>
        <w:t>2、澄清有关问题。在评标期间，对谈判响应文件中含义不明确、同类问题表述不一致或者有明显文字和计算错误的内容，评标委员会可以书面形式（或有效电子数据电文）要求供应商作出必要的澄清、说明或者纠正。供应商的澄清、</w:t>
      </w:r>
      <w:r>
        <w:rPr>
          <w:rFonts w:hint="eastAsia" w:ascii="宋体" w:hAnsi="宋体" w:eastAsia="宋体" w:cs="宋体"/>
          <w:spacing w:val="-6"/>
          <w:sz w:val="24"/>
          <w:szCs w:val="24"/>
        </w:rPr>
        <w:t>说明或者补正不得超出谈判响应文件的范围或者改变谈判响应文件的实质性内容。</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供应商的澄清、说明或者补正应当由法定代表人或其授权的代表签字（或加盖公章）后扫描上传提交。</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授权代表对澄清、说明或者补正内容未签字确认的，将自行承担由此可能导致的对其不利的评审结果，评标委员会按少数服从多数原则对相关内容进行评判。</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除邮件交互外，如政采云平台提供信息发布、澄清说明、数据交换等操作方式的，或者政采云系统平台有新的操作流程的，按其规定。</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3、修正原则</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谈判响应文件报价出现前后不一致的，按照下列规定修正：</w:t>
      </w:r>
    </w:p>
    <w:p>
      <w:pPr>
        <w:pStyle w:val="19"/>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1</w:t>
      </w:r>
      <w:r>
        <w:rPr>
          <w:rFonts w:hint="eastAsia" w:ascii="宋体" w:hAnsi="宋体" w:eastAsia="宋体" w:cs="宋体"/>
          <w:spacing w:val="0"/>
          <w:sz w:val="24"/>
          <w:szCs w:val="24"/>
          <w:lang w:val="zh-CN" w:eastAsia="zh-CN" w:bidi="zh-CN"/>
        </w:rPr>
        <w:t>）谈判响应文件中报价一览表(报价表)内容与谈判响应文件中相应内容不一致的，以报价一览表(报价表)为准；</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spacing w:val="0"/>
          <w:sz w:val="24"/>
          <w:szCs w:val="24"/>
          <w:lang w:val="zh-CN" w:eastAsia="zh-CN" w:bidi="zh-CN"/>
        </w:rPr>
      </w:pPr>
      <w:r>
        <w:rPr>
          <w:rFonts w:hint="eastAsia" w:ascii="宋体" w:hAnsi="宋体" w:eastAsia="宋体" w:cs="宋体"/>
          <w:spacing w:val="0"/>
          <w:sz w:val="24"/>
          <w:szCs w:val="24"/>
          <w:lang w:val="zh-CN" w:eastAsia="zh-CN" w:bidi="zh-CN"/>
        </w:rPr>
        <w:t>（</w:t>
      </w:r>
      <w:r>
        <w:rPr>
          <w:rFonts w:hint="eastAsia" w:ascii="宋体" w:hAnsi="宋体" w:eastAsia="宋体" w:cs="宋体"/>
          <w:spacing w:val="0"/>
          <w:sz w:val="24"/>
          <w:szCs w:val="24"/>
          <w:lang w:val="en-US" w:eastAsia="zh-CN" w:bidi="zh-CN"/>
        </w:rPr>
        <w:t>2</w:t>
      </w:r>
      <w:r>
        <w:rPr>
          <w:rFonts w:hint="eastAsia" w:ascii="宋体" w:hAnsi="宋体" w:eastAsia="宋体" w:cs="宋体"/>
          <w:spacing w:val="0"/>
          <w:sz w:val="24"/>
          <w:szCs w:val="24"/>
          <w:lang w:val="zh-CN" w:eastAsia="zh-CN" w:bidi="zh-CN"/>
        </w:rPr>
        <w:t>）大写金额和小写金额不一致的，以大写金额为准；</w:t>
      </w:r>
    </w:p>
    <w:p>
      <w:pPr>
        <w:pStyle w:val="19"/>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单价金额小数点或者百分比有明显错位的，以报价一览表的总价为准，并修改单价；</w:t>
      </w:r>
    </w:p>
    <w:p>
      <w:pPr>
        <w:pStyle w:val="19"/>
        <w:keepNext w:val="0"/>
        <w:keepLines w:val="0"/>
        <w:pageBreakBefore w:val="0"/>
        <w:widowControl w:val="0"/>
        <w:numPr>
          <w:ilvl w:val="0"/>
          <w:numId w:val="0"/>
        </w:numPr>
        <w:tabs>
          <w:tab w:val="left" w:pos="1704"/>
        </w:tabs>
        <w:kinsoku/>
        <w:wordWrap/>
        <w:overflowPunct/>
        <w:topLinePunct w:val="0"/>
        <w:autoSpaceDE w:val="0"/>
        <w:autoSpaceDN w:val="0"/>
        <w:bidi w:val="0"/>
        <w:adjustRightInd/>
        <w:snapToGrid/>
        <w:spacing w:before="0" w:after="0" w:line="400" w:lineRule="exact"/>
        <w:ind w:left="0"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总价金额与按单价汇总金额不一致的，以单价金额计算结果为准。</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同时出现两种以上不一致的，按照前款规定的顺序修正。修正后的报价按照财政部公布第87号令《政府采购货物和服务招标</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管理办法》第五十一条第二款的规定经供应商确认后产生约束力，供应商不确认的，其</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无效。</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4、比较与评价。</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按</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中规定的评标方法和标准，对资格性检查和符合性检查合格的谈判响应文件进行商务和技术评估，综合比较与评价。</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5、按</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中规定的评标方法和标准，对供应商进行排序，并推荐中标（成交）候选人。</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b/>
          <w:spacing w:val="0"/>
          <w:sz w:val="24"/>
          <w:szCs w:val="24"/>
        </w:rPr>
      </w:pPr>
      <w:r>
        <w:rPr>
          <w:rFonts w:hint="eastAsia" w:ascii="宋体" w:hAnsi="宋体" w:eastAsia="宋体" w:cs="宋体"/>
          <w:spacing w:val="0"/>
          <w:sz w:val="24"/>
          <w:szCs w:val="24"/>
        </w:rPr>
        <w:t>6、编写评标报告</w:t>
      </w:r>
      <w:r>
        <w:rPr>
          <w:rFonts w:hint="eastAsia" w:ascii="宋体" w:hAnsi="宋体" w:eastAsia="宋体" w:cs="宋体"/>
          <w:b/>
          <w:spacing w:val="0"/>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7、评价</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采购代理机构对评标委员会评审专家进行评价。</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（三）供应商存在下列情况之一的，</w:t>
      </w:r>
      <w:r>
        <w:rPr>
          <w:rFonts w:hint="eastAsia" w:ascii="宋体" w:hAnsi="宋体" w:eastAsia="宋体" w:cs="宋体"/>
          <w:b/>
          <w:bCs/>
          <w:spacing w:val="0"/>
          <w:sz w:val="24"/>
          <w:szCs w:val="24"/>
          <w:lang w:eastAsia="zh-CN"/>
        </w:rPr>
        <w:t>投标</w:t>
      </w:r>
      <w:r>
        <w:rPr>
          <w:rFonts w:hint="eastAsia" w:ascii="宋体" w:hAnsi="宋体" w:eastAsia="宋体" w:cs="宋体"/>
          <w:b/>
          <w:bCs/>
          <w:spacing w:val="0"/>
          <w:sz w:val="24"/>
          <w:szCs w:val="24"/>
        </w:rPr>
        <w:t>无效</w:t>
      </w:r>
    </w:p>
    <w:p>
      <w:pPr>
        <w:pStyle w:val="19"/>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rPr>
        <w:t>未按时上传电子</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文件的；</w:t>
      </w:r>
    </w:p>
    <w:p>
      <w:pPr>
        <w:pStyle w:val="19"/>
        <w:keepNext w:val="0"/>
        <w:keepLines w:val="0"/>
        <w:pageBreakBefore w:val="0"/>
        <w:widowControl w:val="0"/>
        <w:numPr>
          <w:ilvl w:val="0"/>
          <w:numId w:val="0"/>
        </w:numPr>
        <w:tabs>
          <w:tab w:val="left" w:pos="1457"/>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未按时解密电子</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文件的且未提供备份</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文件或未按时解密电子</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文件的且提供的备份</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文件无法打开的；</w:t>
      </w:r>
    </w:p>
    <w:p>
      <w:pPr>
        <w:pStyle w:val="19"/>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在资格证明文件或商务技术文件中出现</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报价的；</w:t>
      </w:r>
    </w:p>
    <w:p>
      <w:pPr>
        <w:pStyle w:val="19"/>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报价文件中报价的货物跟商务技术文件中的</w:t>
      </w:r>
      <w:r>
        <w:rPr>
          <w:rFonts w:hint="eastAsia" w:ascii="宋体" w:hAnsi="宋体" w:eastAsia="宋体" w:cs="宋体"/>
          <w:spacing w:val="0"/>
          <w:sz w:val="24"/>
          <w:szCs w:val="24"/>
          <w:lang w:eastAsia="zh-CN"/>
        </w:rPr>
        <w:t>投标</w:t>
      </w:r>
      <w:r>
        <w:rPr>
          <w:rFonts w:hint="eastAsia" w:ascii="宋体" w:hAnsi="宋体" w:eastAsia="宋体" w:cs="宋体"/>
          <w:spacing w:val="0"/>
          <w:sz w:val="24"/>
          <w:szCs w:val="24"/>
        </w:rPr>
        <w:t>货物出现重大偏差的；</w:t>
      </w:r>
    </w:p>
    <w:p>
      <w:pPr>
        <w:pStyle w:val="19"/>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不具备</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中规定的资格要求的或资格证明文件提供不齐全的；</w:t>
      </w:r>
    </w:p>
    <w:p>
      <w:pPr>
        <w:pStyle w:val="19"/>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文件未按</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规定的要求提交资料或签署、盖章的；</w:t>
      </w:r>
    </w:p>
    <w:p>
      <w:pPr>
        <w:pStyle w:val="19"/>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文件含有采购人不能接受的附加条件的；</w:t>
      </w:r>
    </w:p>
    <w:p>
      <w:pPr>
        <w:pStyle w:val="19"/>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处理；</w:t>
      </w:r>
    </w:p>
    <w:p>
      <w:pPr>
        <w:pStyle w:val="19"/>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报价超过</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中规定的预算金额或最高限价；</w:t>
      </w:r>
    </w:p>
    <w:p>
      <w:pPr>
        <w:pStyle w:val="19"/>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10.</w:t>
      </w:r>
      <w:r>
        <w:rPr>
          <w:rFonts w:hint="eastAsia" w:ascii="宋体" w:hAnsi="宋体" w:eastAsia="宋体" w:cs="宋体"/>
          <w:spacing w:val="0"/>
          <w:sz w:val="24"/>
          <w:szCs w:val="24"/>
        </w:rPr>
        <w:t>未实质性响应</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要求或者</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文件有采购人不能接受的附加条件的或者明显不符合</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要求的技术参数、质量标准，或者与</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中的技术指标、主要功能项目发生实质性偏离的；</w:t>
      </w:r>
    </w:p>
    <w:p>
      <w:pPr>
        <w:pStyle w:val="19"/>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11.</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文件提供虚假材料的；</w:t>
      </w:r>
    </w:p>
    <w:p>
      <w:pPr>
        <w:pStyle w:val="19"/>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before="0" w:after="0" w:line="40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w:t>
      </w:r>
      <w:r>
        <w:rPr>
          <w:rFonts w:hint="eastAsia" w:ascii="宋体" w:hAnsi="宋体" w:eastAsia="宋体" w:cs="宋体"/>
          <w:spacing w:val="0"/>
          <w:sz w:val="24"/>
          <w:szCs w:val="24"/>
        </w:rPr>
        <w:t>符合中华人民共和国财政部令第87号《政府采购货物和服务招标</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管理办法》第三十七条情形之一的，视为供应商串通</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，其</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无效，并移送采购监管部门：</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文件由同一单位或者个人编制；</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不同供应商委托同一单位或者个人办理</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事宜；</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6"/>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6"/>
          <w:sz w:val="24"/>
          <w:szCs w:val="24"/>
        </w:rPr>
        <w:t>不同供应商的</w:t>
      </w:r>
      <w:r>
        <w:rPr>
          <w:rFonts w:hint="eastAsia" w:ascii="宋体" w:hAnsi="宋体" w:eastAsia="宋体" w:cs="宋体"/>
          <w:spacing w:val="-6"/>
          <w:sz w:val="24"/>
          <w:szCs w:val="24"/>
          <w:lang w:eastAsia="zh-CN"/>
        </w:rPr>
        <w:t>谈判响应</w:t>
      </w:r>
      <w:r>
        <w:rPr>
          <w:rFonts w:hint="eastAsia" w:ascii="宋体" w:hAnsi="宋体" w:eastAsia="宋体" w:cs="宋体"/>
          <w:spacing w:val="-6"/>
          <w:sz w:val="24"/>
          <w:szCs w:val="24"/>
        </w:rPr>
        <w:t>文件载明的项目管理成员或者联系人员为同一人；</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文件异常一致或者</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报价呈规律性差异；</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不同供应商的</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文件相互混装；</w:t>
      </w:r>
    </w:p>
    <w:p>
      <w:pPr>
        <w:pStyle w:val="19"/>
        <w:keepNext w:val="0"/>
        <w:keepLines w:val="0"/>
        <w:pageBreakBefore w:val="0"/>
        <w:widowControl w:val="0"/>
        <w:numPr>
          <w:ilvl w:val="0"/>
          <w:numId w:val="0"/>
        </w:numPr>
        <w:tabs>
          <w:tab w:val="left" w:pos="1596"/>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13.</w:t>
      </w:r>
      <w:r>
        <w:rPr>
          <w:rFonts w:hint="eastAsia" w:ascii="宋体" w:hAnsi="宋体" w:eastAsia="宋体" w:cs="宋体"/>
          <w:spacing w:val="0"/>
          <w:sz w:val="24"/>
          <w:szCs w:val="24"/>
        </w:rPr>
        <w:t>不符合法律、法规和</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中规定的其他实质性要求的（</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中打“▲”内容及被拒绝的条款）。</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（四）有下列情况之一的，本次招标作为废标处理</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1、符合专业条件的供应商或者对</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作实质响应的供应商不足</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家的；</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2、出现影响采购公正的违法、违规行为的；</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3、因重大变故，采购任务取消的；</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4、法律、法规和</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规定的其他导致评标结果无效的。</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spacing w:val="0"/>
          <w:sz w:val="24"/>
          <w:szCs w:val="24"/>
        </w:rPr>
      </w:pPr>
      <w:r>
        <w:rPr>
          <w:rFonts w:hint="eastAsia" w:ascii="宋体" w:hAnsi="宋体" w:eastAsia="宋体" w:cs="宋体"/>
          <w:b/>
          <w:bCs/>
          <w:spacing w:val="0"/>
          <w:sz w:val="24"/>
          <w:szCs w:val="24"/>
        </w:rPr>
        <w:t>（五）采购过程中出现以下情形，导致电子交易平台无法正常运行，或者无法保证电子交易的公平、公正和安全时，采购组织机构可中止电子交易活动：</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电子交易平台发生故障而无法登录访问的；</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电子交易平台应用或数据库出现错误，不能进行正常操作的；</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电子交易平台发现严重安全漏洞，有潜在泄密危险的；</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病毒发作导致不能进行正常操作的；</w:t>
      </w:r>
    </w:p>
    <w:p>
      <w:pPr>
        <w:pStyle w:val="19"/>
        <w:keepNext w:val="0"/>
        <w:keepLines w:val="0"/>
        <w:pageBreakBefore w:val="0"/>
        <w:widowControl w:val="0"/>
        <w:numPr>
          <w:ilvl w:val="0"/>
          <w:numId w:val="0"/>
        </w:numPr>
        <w:tabs>
          <w:tab w:val="left" w:pos="1755"/>
        </w:tabs>
        <w:kinsoku/>
        <w:wordWrap/>
        <w:overflowPunct/>
        <w:topLinePunct w:val="0"/>
        <w:autoSpaceDE w:val="0"/>
        <w:autoSpaceDN w:val="0"/>
        <w:bidi w:val="0"/>
        <w:adjustRightInd/>
        <w:snapToGrid/>
        <w:spacing w:before="0" w:after="0" w:line="40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其他无法保证电子交易的公平、公正和安全的情况。</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废标后，采购人应当将废标理由通知所有供应商并重新组织招标；或者经主管部门批准， 采取其他方式组织采购。</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bookmarkStart w:id="25" w:name="（六）评标原则和评标办法"/>
      <w:bookmarkEnd w:id="25"/>
      <w:r>
        <w:rPr>
          <w:rFonts w:hint="eastAsia" w:ascii="宋体" w:hAnsi="宋体" w:eastAsia="宋体" w:cs="宋体"/>
          <w:b/>
          <w:bCs/>
          <w:spacing w:val="0"/>
          <w:sz w:val="24"/>
          <w:szCs w:val="24"/>
        </w:rPr>
        <w:t>（六）评标原则和评标办法</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2、评标委员会发现</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存在歧义、重大缺陷导致评标工作无法进行，或者</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内容违反国家有关强制性规定的，应当停止评标工作，与采购人或者采购代理机构沟通并作书面记录。采购人或者采购代理机构确认后，应当修改</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，重新组织采购活动。</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3、评标办法。具体评标内容及标准等详见《第三章：评标方法及</w:t>
      </w:r>
      <w:r>
        <w:rPr>
          <w:rFonts w:hint="eastAsia" w:ascii="宋体" w:hAnsi="宋体" w:eastAsia="宋体" w:cs="宋体"/>
          <w:spacing w:val="0"/>
          <w:sz w:val="24"/>
          <w:szCs w:val="24"/>
          <w:lang w:eastAsia="zh-CN"/>
        </w:rPr>
        <w:t>评标</w:t>
      </w:r>
      <w:r>
        <w:rPr>
          <w:rFonts w:hint="eastAsia" w:ascii="宋体" w:hAnsi="宋体" w:eastAsia="宋体" w:cs="宋体"/>
          <w:spacing w:val="0"/>
          <w:sz w:val="24"/>
          <w:szCs w:val="24"/>
        </w:rPr>
        <w:t>标准》。</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bookmarkStart w:id="26" w:name="（七）评标过程的监控"/>
      <w:bookmarkEnd w:id="26"/>
      <w:r>
        <w:rPr>
          <w:rFonts w:hint="eastAsia" w:ascii="宋体" w:hAnsi="宋体" w:eastAsia="宋体" w:cs="宋体"/>
          <w:b/>
          <w:bCs/>
          <w:spacing w:val="0"/>
          <w:sz w:val="24"/>
          <w:szCs w:val="24"/>
        </w:rPr>
        <w:t>（七）评标过程的监控</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本项目评标过程实行全程录音、录像监控，政府采购监管部门视情进行现场监督，供应商在评标过程中所进行的试图影响评标结果的不公正活动，可能导致其</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被拒绝。</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六、定标</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2、发布中标结果公告。采购代理机构应当自中标人确定之日起2个工作日内，在省级以上财政部门指定的媒体及相关网站上公告中标结果。</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3、发出中标通知书。采购代理机构在发布中标结果的同时，向中标人发出中标通知书</w:t>
      </w:r>
      <w:r>
        <w:rPr>
          <w:rFonts w:hint="eastAsia" w:ascii="宋体" w:hAnsi="宋体" w:eastAsia="宋体" w:cs="宋体"/>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七、合同签订及公告</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（一）签订合同</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pPr>
      <w:r>
        <w:rPr>
          <w:rFonts w:hint="eastAsia" w:ascii="宋体" w:hAnsi="宋体" w:eastAsia="宋体" w:cs="宋体"/>
          <w:color w:val="000000"/>
          <w:kern w:val="0"/>
          <w:sz w:val="24"/>
          <w:szCs w:val="24"/>
          <w:lang w:val="en-US" w:eastAsia="zh-CN" w:bidi="ar"/>
        </w:rPr>
        <w:t>1、采购人应当自中标通知书发出之日起30日内，按照采购文件和中标人谈判响应文件的规定，与中标人签订书面合同。所签订的合同不得对采购文件确定的事项和中标人谈判响应文件作实质性修改。</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2、采购人不得向中标人提出任何不合理的要求作为签订合同的条件。 </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3、中标供应商无正当理由拖延、拒签合同的,按《政府采购法》及等有关规 </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定进行处理处罚。</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、询问或者质疑事项可能影响中标结果的，采购人应当暂停签订合同，已经签订合同的，应当中止履行合同（中标结果的质疑期为中标结果公告期限届满之日起七个工作日）。</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2" w:firstLineChars="200"/>
        <w:textAlignment w:val="auto"/>
        <w:rPr>
          <w:rFonts w:hint="eastAsia" w:ascii="宋体" w:hAnsi="宋体" w:eastAsia="宋体" w:cs="宋体"/>
          <w:b/>
          <w:bCs/>
          <w:spacing w:val="0"/>
          <w:sz w:val="24"/>
          <w:szCs w:val="24"/>
        </w:rPr>
      </w:pPr>
      <w:bookmarkStart w:id="27" w:name="（二）合同公告及备案"/>
      <w:bookmarkEnd w:id="27"/>
      <w:r>
        <w:rPr>
          <w:rFonts w:hint="eastAsia" w:ascii="宋体" w:hAnsi="宋体" w:eastAsia="宋体" w:cs="宋体"/>
          <w:b/>
          <w:bCs/>
          <w:spacing w:val="0"/>
          <w:sz w:val="24"/>
          <w:szCs w:val="24"/>
        </w:rPr>
        <w:t>（二）合同公告及备案</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1、采购人应当自政府采购合同签订之日起 2 个工作日内，在省级以上财政部门指定的政府采购信息发布媒体及相关网站上公告。</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400" w:lineRule="exact"/>
        <w:ind w:left="0"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2、采购人应当自政府采购合同签订之日起 7 个工作日内，将政府采购合同副本报同级人民政府财政部门备案以及采购代理机构存档。</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en-US" w:eastAsia="zh-CN" w:bidi="zh-CN"/>
        </w:rPr>
        <w:t>八、其他</w:t>
      </w:r>
    </w:p>
    <w:p>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采购过程中出现以下情形，导致电子交易平台无法正常运行，或者无法保证电子交易的公平、公正和安全时，采购代理机构可中止电子交易活动： </w:t>
      </w:r>
    </w:p>
    <w:p>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1、电子交易平台发生故障而无法登录访问的； </w:t>
      </w:r>
    </w:p>
    <w:p>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2、电子交易平台应用或数据库出现错误，不能进行正常操作的； </w:t>
      </w:r>
    </w:p>
    <w:p>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3、电子交易平台发现严重安全漏洞，有潜在泄密危险的； </w:t>
      </w:r>
    </w:p>
    <w:p>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pPr>
      <w:r>
        <w:rPr>
          <w:rFonts w:hint="eastAsia" w:ascii="宋体" w:hAnsi="宋体" w:eastAsia="宋体" w:cs="宋体"/>
          <w:color w:val="000000"/>
          <w:kern w:val="0"/>
          <w:sz w:val="24"/>
          <w:szCs w:val="24"/>
          <w:lang w:val="en-US" w:eastAsia="zh-CN" w:bidi="ar"/>
        </w:rPr>
        <w:t xml:space="preserve">4、病毒发作导致不能进行正常操作的； </w:t>
      </w:r>
    </w:p>
    <w:p>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5、其他无法保证电子交易的公平、公正和安全的情况。 </w:t>
      </w:r>
    </w:p>
    <w:p>
      <w:pPr>
        <w:keepNext w:val="0"/>
        <w:keepLines w:val="0"/>
        <w:pageBreakBefore w:val="0"/>
        <w:widowControl/>
        <w:suppressLineNumbers w:val="0"/>
        <w:kinsoku/>
        <w:wordWrap/>
        <w:overflowPunct/>
        <w:topLinePunct w:val="0"/>
        <w:autoSpaceDE w:val="0"/>
        <w:autoSpaceDN w:val="0"/>
        <w:bidi w:val="0"/>
        <w:adjustRightInd/>
        <w:snapToGrid/>
        <w:spacing w:line="380" w:lineRule="exact"/>
        <w:ind w:firstLine="480" w:firstLineChars="200"/>
        <w:jc w:val="left"/>
        <w:textAlignment w:val="auto"/>
      </w:pPr>
      <w:r>
        <w:rPr>
          <w:rFonts w:hint="eastAsia" w:ascii="宋体" w:hAnsi="宋体" w:eastAsia="宋体" w:cs="宋体"/>
          <w:color w:val="000000"/>
          <w:kern w:val="0"/>
          <w:sz w:val="24"/>
          <w:szCs w:val="24"/>
          <w:lang w:val="en-US" w:eastAsia="zh-CN" w:bidi="ar"/>
        </w:rPr>
        <w:t>出现前款规定情形，不影响采购公平、公正性的，采购代理机构可以待上述情形消除后继续组织电子交易活动；影响或可能影响采购公平、公正性的，应当重新开展采购活动。</w:t>
      </w:r>
    </w:p>
    <w:p>
      <w:pPr>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560" w:firstLineChars="200"/>
        <w:jc w:val="center"/>
        <w:textAlignment w:val="auto"/>
        <w:rPr>
          <w:rFonts w:hint="eastAsia" w:ascii="微软雅黑" w:hAnsi="微软雅黑" w:eastAsia="微软雅黑" w:cs="微软雅黑"/>
          <w:b/>
          <w:sz w:val="28"/>
          <w:szCs w:val="24"/>
          <w:lang w:val="zh-CN" w:eastAsia="zh-CN" w:bidi="zh-CN"/>
        </w:rPr>
      </w:pPr>
      <w:r>
        <w:rPr>
          <w:rFonts w:hint="eastAsia" w:ascii="微软雅黑" w:hAnsi="微软雅黑" w:eastAsia="微软雅黑" w:cs="微软雅黑"/>
          <w:b/>
          <w:sz w:val="28"/>
          <w:szCs w:val="24"/>
          <w:lang w:val="zh-CN" w:eastAsia="zh-CN" w:bidi="zh-CN"/>
        </w:rPr>
        <w:t>第三章 评标办法及评分标准</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为公正、公平、科学地选择成交人，根据有关法律法规的规定，并结合本项目的实际，制定本办法。</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宋体" w:hAnsi="宋体" w:eastAsia="宋体" w:cs="宋体"/>
          <w:b/>
          <w:bCs/>
          <w:spacing w:val="0"/>
          <w:sz w:val="24"/>
          <w:szCs w:val="24"/>
        </w:rPr>
      </w:pPr>
      <w:bookmarkStart w:id="28" w:name="一、总则"/>
      <w:bookmarkEnd w:id="28"/>
      <w:r>
        <w:rPr>
          <w:rFonts w:hint="eastAsia" w:ascii="宋体" w:hAnsi="宋体" w:eastAsia="宋体" w:cs="宋体"/>
          <w:b/>
          <w:bCs/>
          <w:spacing w:val="0"/>
          <w:sz w:val="24"/>
          <w:szCs w:val="24"/>
          <w:lang w:val="en-US" w:eastAsia="zh-CN"/>
        </w:rPr>
        <w:t>1、</w:t>
      </w:r>
      <w:r>
        <w:rPr>
          <w:rFonts w:hint="eastAsia" w:ascii="宋体" w:hAnsi="宋体" w:eastAsia="宋体" w:cs="宋体"/>
          <w:b/>
          <w:bCs/>
          <w:spacing w:val="0"/>
          <w:sz w:val="24"/>
          <w:szCs w:val="24"/>
        </w:rPr>
        <w:t>总则</w:t>
      </w:r>
    </w:p>
    <w:p>
      <w:pPr>
        <w:pStyle w:val="19"/>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1.1</w:t>
      </w:r>
      <w:r>
        <w:rPr>
          <w:rFonts w:hint="eastAsia" w:ascii="宋体" w:hAnsi="宋体" w:eastAsia="宋体" w:cs="宋体"/>
          <w:spacing w:val="0"/>
          <w:sz w:val="24"/>
          <w:szCs w:val="24"/>
        </w:rPr>
        <w:t>本项目成交方法如下：本项目以报价排名，</w:t>
      </w:r>
      <w:r>
        <w:rPr>
          <w:rFonts w:hint="eastAsia" w:ascii="宋体" w:hAnsi="宋体" w:eastAsia="宋体" w:cs="宋体"/>
          <w:spacing w:val="0"/>
          <w:sz w:val="24"/>
          <w:szCs w:val="24"/>
          <w:u w:val="single"/>
        </w:rPr>
        <w:t>从质量和服务均能满足</w:t>
      </w:r>
      <w:r>
        <w:rPr>
          <w:rFonts w:hint="eastAsia" w:ascii="宋体" w:hAnsi="宋体" w:eastAsia="宋体" w:cs="宋体"/>
          <w:spacing w:val="0"/>
          <w:sz w:val="24"/>
          <w:szCs w:val="24"/>
          <w:u w:val="single"/>
          <w:lang w:eastAsia="zh-CN"/>
        </w:rPr>
        <w:t>谈判文件</w:t>
      </w:r>
      <w:r>
        <w:rPr>
          <w:rFonts w:hint="eastAsia" w:ascii="宋体" w:hAnsi="宋体" w:eastAsia="宋体" w:cs="宋体"/>
          <w:spacing w:val="0"/>
          <w:sz w:val="24"/>
          <w:szCs w:val="24"/>
          <w:u w:val="single"/>
        </w:rPr>
        <w:t>实质性响应要求的供应商中，以评审的最终报价从低到高顺序排列取成交候选人，取评审价的值最小的为第1成交（中标候选人）</w:t>
      </w:r>
      <w:r>
        <w:rPr>
          <w:rFonts w:hint="eastAsia" w:ascii="宋体" w:hAnsi="宋体" w:eastAsia="宋体" w:cs="宋体"/>
          <w:spacing w:val="0"/>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评审后的最终报价相同的则由采购人现场抽签确定排序。</w:t>
      </w:r>
    </w:p>
    <w:p>
      <w:pPr>
        <w:pStyle w:val="19"/>
        <w:keepNext w:val="0"/>
        <w:keepLines w:val="0"/>
        <w:pageBreakBefore w:val="0"/>
        <w:widowControl w:val="0"/>
        <w:numPr>
          <w:ilvl w:val="0"/>
          <w:numId w:val="0"/>
        </w:numPr>
        <w:tabs>
          <w:tab w:val="left" w:pos="1753"/>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1.2</w:t>
      </w:r>
      <w:r>
        <w:rPr>
          <w:rFonts w:hint="eastAsia" w:ascii="宋体" w:hAnsi="宋体" w:eastAsia="宋体" w:cs="宋体"/>
          <w:spacing w:val="0"/>
          <w:sz w:val="24"/>
          <w:szCs w:val="24"/>
        </w:rPr>
        <w:t>第1成交候选人若放弃成交，因不可抗力提出不能履行合同，不按照谈判文件要求提交履约保证金，或者被查实存在影响成交结果的违法行为等情形，不符合成交条件的，本次采购失败，采购人将重新依法组织采购。</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成交候选人因不可抗力之外的原因放弃成交权给采购人造成损失的，由放弃成交权的成交候选人承担。有关行政监督部门应将其放弃成交权的情况记入其信用档案。所有成交候选人放弃成交权或被取消成交资格的，采购人将重新依法组织采购。</w:t>
      </w:r>
    </w:p>
    <w:p>
      <w:pPr>
        <w:pStyle w:val="19"/>
        <w:keepNext w:val="0"/>
        <w:keepLines w:val="0"/>
        <w:pageBreakBefore w:val="0"/>
        <w:widowControl w:val="0"/>
        <w:numPr>
          <w:ilvl w:val="0"/>
          <w:numId w:val="0"/>
        </w:numPr>
        <w:tabs>
          <w:tab w:val="left" w:pos="1889"/>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1.3</w:t>
      </w:r>
      <w:r>
        <w:rPr>
          <w:rFonts w:hint="eastAsia" w:ascii="宋体" w:hAnsi="宋体" w:eastAsia="宋体" w:cs="宋体"/>
          <w:spacing w:val="0"/>
          <w:sz w:val="24"/>
          <w:szCs w:val="24"/>
        </w:rPr>
        <w:t>评审过程计算均采用四舍五入法，并保留小数 2 位。</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1.4</w:t>
      </w:r>
      <w:r>
        <w:rPr>
          <w:rFonts w:hint="eastAsia" w:ascii="宋体" w:hAnsi="宋体" w:eastAsia="宋体" w:cs="宋体"/>
          <w:spacing w:val="0"/>
          <w:sz w:val="24"/>
          <w:szCs w:val="24"/>
        </w:rPr>
        <w:t>由谈判小组专家与谈判响应方就该项目的价格等进行商谈，与谈判响应方商谈的次数根据谈判当时的情况确定。当谈判结束后，再统一报价口径，由谈</w:t>
      </w:r>
      <w:r>
        <w:rPr>
          <w:rFonts w:hint="eastAsia" w:ascii="宋体" w:hAnsi="宋体" w:eastAsia="宋体" w:cs="宋体"/>
          <w:spacing w:val="-6"/>
          <w:sz w:val="24"/>
          <w:szCs w:val="24"/>
        </w:rPr>
        <w:t>判响应方在规定时间内提交最终报价，超过规定时间提交的报价应当作为无效处理。</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在谈判期间，谈判响应方不得向谈判小组成员询问谈判情况，不得进行旨在影响谈判结果的活动。否则将废除其谈判资格。在谈判过程中，谈判小组成员不得与谈判响应方私下交换意见。在谈判工作结束后，凡与谈判情况有接触的任何人不得将谈判情况扩散出谈判小组成员之外。谈判小组不向落选方解释落选原因。</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宋体" w:hAnsi="宋体" w:eastAsia="宋体" w:cs="宋体"/>
          <w:b/>
          <w:bCs/>
          <w:spacing w:val="0"/>
          <w:sz w:val="24"/>
          <w:szCs w:val="24"/>
        </w:rPr>
      </w:pPr>
      <w:bookmarkStart w:id="29" w:name="二、谈判程序"/>
      <w:bookmarkEnd w:id="29"/>
      <w:r>
        <w:rPr>
          <w:rFonts w:hint="eastAsia" w:ascii="宋体" w:hAnsi="宋体" w:eastAsia="宋体" w:cs="宋体"/>
          <w:b/>
          <w:bCs/>
          <w:spacing w:val="0"/>
          <w:sz w:val="24"/>
          <w:szCs w:val="24"/>
          <w:lang w:val="en-US" w:eastAsia="zh-CN"/>
        </w:rPr>
        <w:t>2、</w:t>
      </w:r>
      <w:r>
        <w:rPr>
          <w:rFonts w:hint="eastAsia" w:ascii="宋体" w:hAnsi="宋体" w:eastAsia="宋体" w:cs="宋体"/>
          <w:b/>
          <w:bCs/>
          <w:spacing w:val="0"/>
          <w:sz w:val="24"/>
          <w:szCs w:val="24"/>
        </w:rPr>
        <w:t>谈判程序</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2.1</w:t>
      </w:r>
      <w:r>
        <w:rPr>
          <w:rFonts w:hint="eastAsia" w:ascii="宋体" w:hAnsi="宋体" w:eastAsia="宋体" w:cs="宋体"/>
          <w:spacing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9"/>
        <w:keepNext w:val="0"/>
        <w:keepLines w:val="0"/>
        <w:pageBreakBefore w:val="0"/>
        <w:widowControl w:val="0"/>
        <w:numPr>
          <w:ilvl w:val="0"/>
          <w:numId w:val="0"/>
        </w:numPr>
        <w:tabs>
          <w:tab w:val="left" w:pos="1760"/>
        </w:tabs>
        <w:kinsoku/>
        <w:wordWrap/>
        <w:overflowPunct/>
        <w:topLinePunct w:val="0"/>
        <w:autoSpaceDE w:val="0"/>
        <w:autoSpaceDN w:val="0"/>
        <w:bidi w:val="0"/>
        <w:adjustRightInd/>
        <w:snapToGrid/>
        <w:spacing w:before="0" w:after="0" w:line="340" w:lineRule="exact"/>
        <w:ind w:leftChars="0" w:right="0" w:rightChars="0" w:firstLine="480" w:firstLineChars="20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2.2</w:t>
      </w:r>
      <w:r>
        <w:rPr>
          <w:rFonts w:hint="eastAsia" w:ascii="宋体" w:hAnsi="宋体" w:eastAsia="宋体" w:cs="宋体"/>
          <w:spacing w:val="0"/>
          <w:sz w:val="24"/>
          <w:szCs w:val="24"/>
        </w:rPr>
        <w:t>谈判小组所有成员应当集中与单一供应商分别进行谈判，并给予所有参加谈判的供应商平等的谈判机会。</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2.3</w:t>
      </w:r>
      <w:r>
        <w:rPr>
          <w:rFonts w:hint="eastAsia" w:ascii="宋体" w:hAnsi="宋体" w:eastAsia="宋体" w:cs="宋体"/>
          <w:spacing w:val="0"/>
          <w:sz w:val="24"/>
          <w:szCs w:val="24"/>
        </w:rPr>
        <w:t>在谈判过程中，谈判小组可以根据谈判文件和谈判情况实质性变动采购需求中的技术、服务要求以及合同草案条款，但不得变动谈判文件中的其他内容。实质性变动的内容， 须经采购人代表确认。</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对谈判文件作出的实质性变动是谈判文件的有效组成部分，谈判小组应当及时以书面形式同时通知所有参加谈判的供应商。</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2.4谈判文件能够详细列明采购标的的技术、服务要求的，谈判结束后，谈判小组应当要求所有继续参加谈判的供应商在规定时间内提交最后报价，提交最后报价的供应商不得少于 2 家。</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2.5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最后报价是供应商响应文件的有效组成部分。</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2.6已提交响应文件的供应商，在提交最后报价之前，可以根据谈判情况退出谈判。</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2.7谈判小组应当从质量和服务均能满足谈判文件实质性响应要求的供应商中，按照最后报价由低到高的顺序提出 成交候选人，并编写评审报告。</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6"/>
          <w:sz w:val="24"/>
          <w:szCs w:val="24"/>
          <w:lang w:val="en-US" w:eastAsia="zh-CN"/>
        </w:rPr>
      </w:pPr>
      <w:r>
        <w:rPr>
          <w:rFonts w:hint="eastAsia" w:ascii="宋体" w:hAnsi="宋体" w:eastAsia="宋体" w:cs="宋体"/>
          <w:spacing w:val="0"/>
          <w:sz w:val="24"/>
          <w:szCs w:val="24"/>
          <w:lang w:val="en-US" w:eastAsia="zh-CN"/>
        </w:rPr>
        <w:t>2.8</w:t>
      </w:r>
      <w:r>
        <w:rPr>
          <w:rFonts w:hint="eastAsia" w:ascii="宋体" w:hAnsi="宋体" w:eastAsia="宋体" w:cs="宋体"/>
          <w:spacing w:val="-6"/>
          <w:sz w:val="24"/>
          <w:szCs w:val="24"/>
          <w:lang w:val="en-US" w:eastAsia="zh-CN"/>
        </w:rPr>
        <w:t>采购代理机构应当在评审结束后 2 个工作日内将评审报告送采购人确认。</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2.9采购人应当在收到评审报告后 5 个工作日内，从评审报告提出的成交候选人中，根据质量和服务均能满足谈判文件实质性响应要求且最后报价最低的原则确定成交供应商， 也可以书面授权谈判小组直接确定成交供应商。采购人逾期未确定成交供应商且不提出异议的， 视为确定评审报告提出的最后报价最低的供应商为成交供应商。</w:t>
      </w:r>
    </w:p>
    <w:p>
      <w:pPr>
        <w:pStyle w:val="19"/>
        <w:keepNext w:val="0"/>
        <w:keepLines w:val="0"/>
        <w:pageBreakBefore w:val="0"/>
        <w:widowControl w:val="0"/>
        <w:numPr>
          <w:ilvl w:val="0"/>
          <w:numId w:val="0"/>
        </w:numPr>
        <w:tabs>
          <w:tab w:val="left" w:pos="1762"/>
        </w:tabs>
        <w:kinsoku/>
        <w:wordWrap/>
        <w:overflowPunct/>
        <w:topLinePunct w:val="0"/>
        <w:autoSpaceDE w:val="0"/>
        <w:autoSpaceDN w:val="0"/>
        <w:bidi w:val="0"/>
        <w:adjustRightInd/>
        <w:snapToGrid/>
        <w:spacing w:before="0" w:after="0" w:line="340" w:lineRule="exact"/>
        <w:ind w:leftChars="0" w:right="0" w:rightChars="0" w:firstLine="480" w:firstLineChars="200"/>
        <w:jc w:val="both"/>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2.10出现下列情形之一的，采购人或者采购代理机构应当终止竞争性谈判采购活动，发布项目终止公告并说明原因，重新开展采购活动：</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（一）因情况变化，不再符合规定的竞争性谈判采购方式适用情形的；</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（二）出现影响采购公正的违法、违规行为的；</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bookmarkStart w:id="30" w:name="（三）在采购过程中符合竞争要求的供应商或者报价未超过采购预算的供应商不足 2 家"/>
      <w:bookmarkEnd w:id="30"/>
      <w:r>
        <w:rPr>
          <w:rFonts w:hint="eastAsia" w:ascii="宋体" w:hAnsi="宋体" w:eastAsia="宋体" w:cs="宋体"/>
          <w:spacing w:val="0"/>
          <w:sz w:val="24"/>
          <w:szCs w:val="24"/>
        </w:rPr>
        <w:t>（三）在采购过程中符合竞争要求的供应商或者报价未超过采购预算的供应商不足 2 家的。</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right="0"/>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3、其他</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spacing w:val="0"/>
          <w:sz w:val="24"/>
          <w:szCs w:val="24"/>
        </w:rPr>
      </w:pPr>
      <w:r>
        <w:rPr>
          <w:rFonts w:hint="eastAsia" w:ascii="宋体" w:hAnsi="宋体" w:eastAsia="宋体" w:cs="宋体"/>
          <w:b/>
          <w:bCs/>
          <w:sz w:val="24"/>
          <w:szCs w:val="24"/>
          <w:lang w:eastAsia="zh-CN"/>
        </w:rPr>
        <w:t>（一）</w:t>
      </w:r>
      <w:r>
        <w:rPr>
          <w:rFonts w:ascii="宋体" w:hAnsi="宋体" w:eastAsia="宋体" w:cs="宋体"/>
          <w:b/>
          <w:bCs/>
          <w:sz w:val="24"/>
          <w:szCs w:val="24"/>
        </w:rPr>
        <w:t>政府采购政策</w:t>
      </w:r>
      <w:r>
        <w:rPr>
          <w:rFonts w:hint="eastAsia" w:ascii="宋体" w:hAnsi="宋体" w:eastAsia="宋体" w:cs="宋体"/>
          <w:spacing w:val="0"/>
          <w:sz w:val="24"/>
          <w:szCs w:val="24"/>
        </w:rPr>
        <w:t>：</w:t>
      </w:r>
    </w:p>
    <w:p>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投标人未提供以上资料或者经评标委员会核查不符的，将不能享受相应的小微企业优惠政策； </w:t>
      </w:r>
    </w:p>
    <w:p>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监狱企业参加政府采购活动时，应当提供由省级以上监狱管理局、戒毒管理局（含新疆生产建设兵团）出具的属于监狱企业的证明文件，视同小型、微型企业，享受小微企业政府采购优惠政策； </w:t>
      </w:r>
    </w:p>
    <w:p>
      <w:pPr>
        <w:pStyle w:val="8"/>
        <w:keepNext w:val="0"/>
        <w:keepLines w:val="0"/>
        <w:pageBreakBefore w:val="0"/>
        <w:widowControl w:val="0"/>
        <w:numPr>
          <w:ilvl w:val="0"/>
          <w:numId w:val="4"/>
        </w:numPr>
        <w:kinsoku/>
        <w:wordWrap/>
        <w:overflowPunct/>
        <w:topLinePunct w:val="0"/>
        <w:autoSpaceDE w:val="0"/>
        <w:autoSpaceDN w:val="0"/>
        <w:bidi w:val="0"/>
        <w:adjustRightInd/>
        <w:snapToGrid/>
        <w:spacing w:before="0" w:line="340" w:lineRule="exact"/>
        <w:ind w:leftChars="0" w:right="0" w:rightChars="0" w:firstLine="480" w:firstLineChars="200"/>
        <w:textAlignment w:val="auto"/>
        <w:rPr>
          <w:rFonts w:ascii="宋体" w:hAnsi="宋体" w:eastAsia="宋体" w:cs="宋体"/>
          <w:sz w:val="24"/>
          <w:szCs w:val="24"/>
        </w:rPr>
      </w:pPr>
      <w:r>
        <w:rPr>
          <w:rFonts w:ascii="宋体" w:hAnsi="宋体" w:eastAsia="宋体" w:cs="宋体"/>
          <w:sz w:val="24"/>
          <w:szCs w:val="24"/>
        </w:rPr>
        <w:t>残疾人福利性单位在参加政府采购活动时，应提供《残疾人福利性单位声明函》</w:t>
      </w:r>
      <w:r>
        <w:rPr>
          <w:rFonts w:hint="eastAsia" w:ascii="宋体" w:hAnsi="宋体" w:eastAsia="宋体" w:cs="宋体"/>
          <w:sz w:val="24"/>
          <w:szCs w:val="24"/>
          <w:lang w:eastAsia="zh-CN"/>
        </w:rPr>
        <w:t>，</w:t>
      </w:r>
      <w:r>
        <w:rPr>
          <w:rFonts w:ascii="宋体" w:hAnsi="宋体" w:eastAsia="宋体" w:cs="宋体"/>
          <w:sz w:val="24"/>
          <w:szCs w:val="24"/>
        </w:rPr>
        <w:t>视同小型、微型企业，享受小微企业政府采购优惠政策。</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ascii="宋体" w:hAnsi="宋体" w:eastAsia="宋体" w:cs="宋体"/>
          <w:b/>
          <w:bCs/>
          <w:sz w:val="24"/>
          <w:szCs w:val="24"/>
        </w:rPr>
      </w:pPr>
      <w:r>
        <w:rPr>
          <w:rFonts w:ascii="宋体" w:hAnsi="宋体" w:eastAsia="宋体" w:cs="宋体"/>
          <w:b/>
          <w:bCs/>
          <w:sz w:val="24"/>
          <w:szCs w:val="24"/>
        </w:rPr>
        <w:t>（二）政府采购政策优惠措施：</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2" w:firstLineChars="200"/>
        <w:textAlignment w:val="auto"/>
        <w:rPr>
          <w:rFonts w:hint="eastAsia" w:ascii="宋体" w:hAnsi="宋体" w:eastAsia="宋体" w:cs="宋体"/>
          <w:spacing w:val="0"/>
          <w:sz w:val="24"/>
          <w:szCs w:val="24"/>
        </w:rPr>
      </w:pPr>
      <w:r>
        <w:rPr>
          <w:rFonts w:ascii="宋体" w:hAnsi="宋体" w:eastAsia="宋体" w:cs="宋体"/>
          <w:b/>
          <w:bCs/>
          <w:sz w:val="24"/>
          <w:szCs w:val="24"/>
        </w:rPr>
        <w:t>本项目整体专门面向中小企业采购，价格评审时小微企业的投标报价不再执行评审优惠的扶持政策。</w:t>
      </w:r>
    </w:p>
    <w:p>
      <w:pPr>
        <w:pStyle w:val="8"/>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注：得分以系统计算为准，保留2位小数。</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0"/>
          <w:sz w:val="24"/>
          <w:szCs w:val="24"/>
        </w:rPr>
        <w:t>评审委员会不向未成交单位解释落标具体原因，不退还谈判响应文件。</w:t>
      </w:r>
    </w:p>
    <w:p>
      <w:pPr>
        <w:pStyle w:val="4"/>
        <w:spacing w:before="90"/>
        <w:ind w:right="692"/>
        <w:rPr>
          <w:rFonts w:ascii="宋体" w:hAnsi="宋体" w:eastAsia="宋体" w:cs="宋体"/>
          <w:color w:val="auto"/>
          <w:highlight w:val="none"/>
        </w:rPr>
      </w:pPr>
      <w:r>
        <w:rPr>
          <w:rFonts w:ascii="宋体" w:hAnsi="宋体" w:eastAsia="宋体" w:cs="宋体"/>
          <w:color w:val="auto"/>
          <w:highlight w:val="none"/>
        </w:rPr>
        <w:t>第四章 采购需求</w:t>
      </w:r>
    </w:p>
    <w:p>
      <w:pPr>
        <w:pStyle w:val="7"/>
        <w:numPr>
          <w:ilvl w:val="0"/>
          <w:numId w:val="0"/>
        </w:numPr>
        <w:ind w:right="0" w:rightChars="0"/>
        <w:jc w:val="left"/>
        <w:rPr>
          <w:color w:val="auto"/>
        </w:rPr>
      </w:pPr>
      <w:r>
        <w:rPr>
          <w:color w:val="auto"/>
        </w:rPr>
        <w:t>一、项目概况：</w:t>
      </w:r>
    </w:p>
    <w:tbl>
      <w:tblPr>
        <w:tblStyle w:val="15"/>
        <w:tblpPr w:leftFromText="180" w:rightFromText="180" w:vertAnchor="text" w:horzAnchor="margin" w:tblpXSpec="center" w:tblpY="247"/>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145"/>
        <w:gridCol w:w="1478"/>
        <w:gridCol w:w="1478"/>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59" w:type="dxa"/>
            <w:noWrap w:val="0"/>
            <w:vAlign w:val="center"/>
          </w:tcPr>
          <w:p>
            <w:pPr>
              <w:spacing w:line="360" w:lineRule="auto"/>
              <w:jc w:val="center"/>
              <w:rPr>
                <w:rFonts w:ascii="宋体" w:cs="宋体"/>
                <w:color w:val="auto"/>
              </w:rPr>
            </w:pPr>
            <w:r>
              <w:rPr>
                <w:rFonts w:hint="eastAsia" w:ascii="宋体" w:hAnsi="宋体" w:cs="宋体"/>
                <w:color w:val="auto"/>
              </w:rPr>
              <w:t>序号</w:t>
            </w:r>
          </w:p>
        </w:tc>
        <w:tc>
          <w:tcPr>
            <w:tcW w:w="3145" w:type="dxa"/>
            <w:noWrap w:val="0"/>
            <w:vAlign w:val="center"/>
          </w:tcPr>
          <w:p>
            <w:pPr>
              <w:snapToGrid w:val="0"/>
              <w:spacing w:line="440" w:lineRule="exact"/>
              <w:jc w:val="center"/>
              <w:rPr>
                <w:rFonts w:ascii="宋体" w:cs="宋体"/>
                <w:color w:val="auto"/>
              </w:rPr>
            </w:pPr>
            <w:r>
              <w:rPr>
                <w:rFonts w:hint="eastAsia" w:ascii="宋体" w:hAnsi="宋体" w:cs="宋体"/>
                <w:color w:val="auto"/>
              </w:rPr>
              <w:t>项目名称</w:t>
            </w:r>
          </w:p>
        </w:tc>
        <w:tc>
          <w:tcPr>
            <w:tcW w:w="1478" w:type="dxa"/>
            <w:noWrap w:val="0"/>
            <w:vAlign w:val="center"/>
          </w:tcPr>
          <w:p>
            <w:pPr>
              <w:widowControl/>
              <w:snapToGrid w:val="0"/>
              <w:spacing w:line="440" w:lineRule="exact"/>
              <w:jc w:val="center"/>
              <w:rPr>
                <w:rFonts w:ascii="宋体" w:cs="宋体"/>
                <w:color w:val="auto"/>
              </w:rPr>
            </w:pPr>
            <w:r>
              <w:rPr>
                <w:rFonts w:hint="eastAsia" w:ascii="宋体" w:cs="宋体"/>
                <w:color w:val="auto"/>
              </w:rPr>
              <w:t>单位</w:t>
            </w:r>
          </w:p>
        </w:tc>
        <w:tc>
          <w:tcPr>
            <w:tcW w:w="1478" w:type="dxa"/>
            <w:noWrap w:val="0"/>
            <w:vAlign w:val="center"/>
          </w:tcPr>
          <w:p>
            <w:pPr>
              <w:widowControl/>
              <w:snapToGrid w:val="0"/>
              <w:spacing w:line="440" w:lineRule="exact"/>
              <w:jc w:val="center"/>
              <w:rPr>
                <w:rFonts w:hint="eastAsia" w:ascii="宋体" w:eastAsia="宋体" w:cs="宋体"/>
                <w:color w:val="auto"/>
                <w:lang w:val="en-US" w:eastAsia="zh-CN"/>
              </w:rPr>
            </w:pPr>
            <w:r>
              <w:rPr>
                <w:rFonts w:hint="eastAsia"/>
                <w:color w:val="auto"/>
                <w:lang w:val="en-US" w:eastAsia="zh-CN"/>
              </w:rPr>
              <w:t>数量</w:t>
            </w:r>
          </w:p>
        </w:tc>
        <w:tc>
          <w:tcPr>
            <w:tcW w:w="1657" w:type="dxa"/>
            <w:noWrap w:val="0"/>
            <w:vAlign w:val="center"/>
          </w:tcPr>
          <w:p>
            <w:pPr>
              <w:widowControl/>
              <w:snapToGrid w:val="0"/>
              <w:spacing w:line="440" w:lineRule="exact"/>
              <w:jc w:val="center"/>
              <w:rPr>
                <w:rFonts w:hint="eastAsia" w:ascii="宋体" w:hAnsi="宋体"/>
                <w:color w:val="auto"/>
                <w:lang w:eastAsia="zh-CN"/>
              </w:rPr>
            </w:pPr>
            <w:r>
              <w:rPr>
                <w:rFonts w:hint="eastAsia" w:ascii="宋体" w:hAnsi="宋体" w:cs="宋体"/>
                <w:color w:val="auto"/>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159" w:type="dxa"/>
            <w:noWrap w:val="0"/>
            <w:vAlign w:val="center"/>
          </w:tcPr>
          <w:p>
            <w:pPr>
              <w:widowControl/>
              <w:snapToGrid w:val="0"/>
              <w:spacing w:line="440" w:lineRule="exact"/>
              <w:jc w:val="center"/>
              <w:rPr>
                <w:rFonts w:ascii="宋体"/>
                <w:color w:val="auto"/>
              </w:rPr>
            </w:pPr>
            <w:r>
              <w:rPr>
                <w:rFonts w:hint="eastAsia" w:ascii="宋体" w:hAnsi="宋体"/>
                <w:color w:val="auto"/>
              </w:rPr>
              <w:t>一</w:t>
            </w:r>
          </w:p>
        </w:tc>
        <w:tc>
          <w:tcPr>
            <w:tcW w:w="3145" w:type="dxa"/>
            <w:noWrap w:val="0"/>
            <w:vAlign w:val="center"/>
          </w:tcPr>
          <w:p>
            <w:pPr>
              <w:widowControl/>
              <w:snapToGrid w:val="0"/>
              <w:spacing w:line="440" w:lineRule="exact"/>
              <w:jc w:val="center"/>
              <w:rPr>
                <w:rFonts w:hint="eastAsia" w:ascii="宋体"/>
                <w:color w:val="auto"/>
                <w:lang w:eastAsia="zh-CN"/>
              </w:rPr>
            </w:pPr>
            <w:r>
              <w:rPr>
                <w:rFonts w:hint="eastAsia" w:cs="宋体"/>
                <w:color w:val="auto"/>
                <w:lang w:eastAsia="zh-CN"/>
              </w:rPr>
              <w:t>2023年度温岭市石塘镇松材线虫病除治服务采购项目务采购项目（</w:t>
            </w:r>
            <w:r>
              <w:rPr>
                <w:rFonts w:hint="eastAsia" w:cs="宋体"/>
                <w:color w:val="auto"/>
                <w:lang w:val="en-US" w:eastAsia="zh-CN"/>
              </w:rPr>
              <w:t>重新招标</w:t>
            </w:r>
            <w:r>
              <w:rPr>
                <w:rFonts w:hint="eastAsia" w:cs="宋体"/>
                <w:color w:val="auto"/>
                <w:lang w:eastAsia="zh-CN"/>
              </w:rPr>
              <w:t>）</w:t>
            </w:r>
          </w:p>
        </w:tc>
        <w:tc>
          <w:tcPr>
            <w:tcW w:w="1478" w:type="dxa"/>
            <w:noWrap w:val="0"/>
            <w:vAlign w:val="center"/>
          </w:tcPr>
          <w:p>
            <w:pPr>
              <w:widowControl/>
              <w:snapToGrid w:val="0"/>
              <w:spacing w:line="440" w:lineRule="exact"/>
              <w:jc w:val="center"/>
              <w:rPr>
                <w:rFonts w:hint="default" w:ascii="宋体" w:cs="宋体"/>
                <w:color w:val="auto"/>
                <w:lang w:val="en-US" w:eastAsia="zh-CN"/>
              </w:rPr>
            </w:pPr>
            <w:r>
              <w:rPr>
                <w:rFonts w:hint="eastAsia" w:ascii="宋体" w:cs="宋体"/>
                <w:color w:val="auto"/>
                <w:lang w:val="en-US" w:eastAsia="zh-CN"/>
              </w:rPr>
              <w:t>吨</w:t>
            </w:r>
          </w:p>
        </w:tc>
        <w:tc>
          <w:tcPr>
            <w:tcW w:w="1478" w:type="dxa"/>
            <w:noWrap w:val="0"/>
            <w:vAlign w:val="center"/>
          </w:tcPr>
          <w:p>
            <w:pPr>
              <w:widowControl/>
              <w:snapToGrid w:val="0"/>
              <w:spacing w:line="440" w:lineRule="exact"/>
              <w:jc w:val="center"/>
              <w:rPr>
                <w:rFonts w:hint="default" w:ascii="宋体" w:cs="宋体"/>
                <w:color w:val="auto"/>
                <w:lang w:val="en-US" w:eastAsia="zh-CN"/>
              </w:rPr>
            </w:pPr>
            <w:r>
              <w:rPr>
                <w:rFonts w:hint="eastAsia" w:cs="宋体"/>
                <w:color w:val="auto"/>
                <w:lang w:val="en-US" w:eastAsia="zh-CN"/>
              </w:rPr>
              <w:t>490</w:t>
            </w:r>
          </w:p>
        </w:tc>
        <w:tc>
          <w:tcPr>
            <w:tcW w:w="1657" w:type="dxa"/>
            <w:noWrap w:val="0"/>
            <w:vAlign w:val="center"/>
          </w:tcPr>
          <w:p>
            <w:pPr>
              <w:widowControl/>
              <w:snapToGrid w:val="0"/>
              <w:spacing w:line="440" w:lineRule="exact"/>
              <w:jc w:val="center"/>
              <w:rPr>
                <w:rFonts w:hint="eastAsia" w:ascii="宋体" w:hAnsi="宋体" w:eastAsia="宋体"/>
                <w:color w:val="auto"/>
                <w:lang w:val="en-US" w:eastAsia="zh-CN"/>
              </w:rPr>
            </w:pPr>
            <w:r>
              <w:rPr>
                <w:rFonts w:hint="eastAsia" w:cs="宋体"/>
                <w:color w:val="auto"/>
                <w:szCs w:val="24"/>
                <w:lang w:val="en-US" w:eastAsia="zh-CN"/>
              </w:rPr>
              <w:t>50万元</w:t>
            </w:r>
          </w:p>
        </w:tc>
      </w:tr>
    </w:tbl>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bookmarkStart w:id="31" w:name="_bookmark4"/>
      <w:bookmarkEnd w:id="31"/>
      <w:r>
        <w:rPr>
          <w:rFonts w:ascii="宋体" w:hAnsi="宋体" w:eastAsia="宋体" w:cs="宋体"/>
          <w:color w:val="auto"/>
          <w:highlight w:val="none"/>
        </w:rPr>
        <w:t>根据《温岭市 202</w:t>
      </w:r>
      <w:r>
        <w:rPr>
          <w:rFonts w:hint="eastAsia" w:ascii="宋体" w:hAnsi="宋体" w:eastAsia="宋体" w:cs="宋体"/>
          <w:color w:val="auto"/>
          <w:highlight w:val="none"/>
          <w:lang w:val="en-US" w:eastAsia="zh-CN"/>
        </w:rPr>
        <w:t>2</w:t>
      </w:r>
      <w:r>
        <w:rPr>
          <w:rFonts w:ascii="宋体" w:hAnsi="宋体" w:eastAsia="宋体" w:cs="宋体"/>
          <w:color w:val="auto"/>
          <w:highlight w:val="none"/>
        </w:rPr>
        <w:t xml:space="preserve"> 年度松材线虫病除治实施方案》等相关文件精神，为有效降低松材线虫病危害程度和蔓延速度，提高森林质量效益，促进森林资源可持续发展，保护温岭市森林生态安全，特对温岭市</w:t>
      </w:r>
      <w:r>
        <w:rPr>
          <w:rFonts w:hint="eastAsia" w:ascii="宋体" w:hAnsi="宋体" w:eastAsia="宋体" w:cs="宋体"/>
          <w:color w:val="auto"/>
          <w:highlight w:val="none"/>
          <w:lang w:val="en-US" w:eastAsia="zh-CN"/>
        </w:rPr>
        <w:t>石塘镇</w:t>
      </w:r>
      <w:r>
        <w:rPr>
          <w:rFonts w:ascii="宋体" w:hAnsi="宋体" w:eastAsia="宋体" w:cs="宋体"/>
          <w:color w:val="auto"/>
          <w:highlight w:val="none"/>
        </w:rPr>
        <w:t>行政区域范围内指定的</w:t>
      </w:r>
      <w:r>
        <w:rPr>
          <w:rFonts w:hint="eastAsia" w:ascii="宋体" w:hAnsi="宋体" w:eastAsia="宋体" w:cs="宋体"/>
          <w:color w:val="auto"/>
          <w:highlight w:val="none"/>
          <w:lang w:val="en-US" w:eastAsia="zh-CN"/>
        </w:rPr>
        <w:t>8145</w:t>
      </w:r>
      <w:r>
        <w:rPr>
          <w:rFonts w:ascii="宋体" w:hAnsi="宋体" w:eastAsia="宋体" w:cs="宋体"/>
          <w:color w:val="auto"/>
          <w:highlight w:val="none"/>
        </w:rPr>
        <w:t>亩（全域清理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海岛除外</w:t>
      </w:r>
      <w:r>
        <w:rPr>
          <w:rFonts w:ascii="宋体" w:hAnsi="宋体" w:eastAsia="宋体" w:cs="宋体"/>
          <w:color w:val="auto"/>
          <w:highlight w:val="none"/>
        </w:rPr>
        <w:t>）松林林区的病死（枯死、濒死）的松树进行清理除治</w:t>
      </w:r>
      <w:r>
        <w:rPr>
          <w:rFonts w:hint="eastAsia" w:ascii="宋体" w:hAnsi="宋体" w:eastAsia="宋体" w:cs="宋体"/>
          <w:color w:val="auto"/>
          <w:highlight w:val="none"/>
          <w:lang w:eastAsia="zh-CN"/>
        </w:rPr>
        <w:t>。</w:t>
      </w:r>
    </w:p>
    <w:p>
      <w:pPr>
        <w:pStyle w:val="7"/>
        <w:numPr>
          <w:ilvl w:val="0"/>
          <w:numId w:val="0"/>
        </w:numPr>
        <w:ind w:right="0" w:rightChars="0"/>
        <w:jc w:val="left"/>
        <w:rPr>
          <w:rFonts w:hint="eastAsia" w:ascii="宋体" w:hAnsi="宋体" w:eastAsia="宋体" w:cs="宋体"/>
          <w:color w:val="auto"/>
          <w:lang w:eastAsia="zh-CN"/>
        </w:rPr>
      </w:pPr>
      <w:r>
        <w:rPr>
          <w:rFonts w:ascii="宋体" w:hAnsi="宋体" w:eastAsia="宋体" w:cs="宋体"/>
          <w:color w:val="auto"/>
        </w:rPr>
        <w:t>二、</w:t>
      </w:r>
      <w:r>
        <w:rPr>
          <w:rFonts w:hint="eastAsia" w:ascii="宋体" w:hAnsi="宋体" w:eastAsia="宋体" w:cs="宋体"/>
          <w:color w:val="auto"/>
          <w:lang w:eastAsia="zh-CN"/>
        </w:rPr>
        <w:t>项目内容</w:t>
      </w:r>
    </w:p>
    <w:p>
      <w:pPr>
        <w:pStyle w:val="8"/>
        <w:spacing w:before="144" w:line="242" w:lineRule="auto"/>
        <w:ind w:right="907" w:firstLine="480" w:firstLineChars="200"/>
        <w:jc w:val="both"/>
        <w:rPr>
          <w:rFonts w:ascii="宋体" w:hAnsi="宋体" w:eastAsia="宋体" w:cs="宋体"/>
          <w:color w:val="auto"/>
          <w:highlight w:val="none"/>
        </w:rPr>
      </w:pPr>
      <w:r>
        <w:rPr>
          <w:rFonts w:ascii="宋体" w:hAnsi="宋体" w:eastAsia="宋体" w:cs="宋体"/>
          <w:color w:val="auto"/>
          <w:highlight w:val="none"/>
        </w:rPr>
        <w:t>项目实施地:</w:t>
      </w:r>
      <w:r>
        <w:rPr>
          <w:rFonts w:hint="eastAsia" w:ascii="宋体" w:hAnsi="宋体" w:eastAsia="宋体" w:cs="宋体"/>
          <w:color w:val="auto"/>
          <w:highlight w:val="none"/>
          <w:lang w:val="en-US" w:eastAsia="zh-CN"/>
        </w:rPr>
        <w:t>温岭市石塘镇行政区域范围内指定的8145</w:t>
      </w:r>
      <w:r>
        <w:rPr>
          <w:rFonts w:ascii="宋体" w:hAnsi="宋体" w:eastAsia="宋体" w:cs="宋体"/>
          <w:color w:val="auto"/>
          <w:highlight w:val="none"/>
        </w:rPr>
        <w:t>亩松林</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全域清理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海岛除外</w:t>
      </w:r>
      <w:r>
        <w:rPr>
          <w:rFonts w:hint="eastAsia" w:ascii="宋体" w:hAnsi="宋体" w:eastAsia="宋体" w:cs="宋体"/>
          <w:color w:val="auto"/>
          <w:highlight w:val="none"/>
          <w:lang w:eastAsia="zh-CN"/>
        </w:rPr>
        <w:t>）。</w:t>
      </w:r>
    </w:p>
    <w:p>
      <w:pPr>
        <w:pStyle w:val="8"/>
        <w:spacing w:before="144" w:line="242" w:lineRule="auto"/>
        <w:ind w:right="907" w:firstLine="480" w:firstLineChars="200"/>
        <w:jc w:val="both"/>
        <w:rPr>
          <w:rFonts w:ascii="宋体" w:hAnsi="宋体" w:eastAsia="宋体" w:cs="宋体"/>
          <w:color w:val="auto"/>
          <w:highlight w:val="none"/>
        </w:rPr>
      </w:pPr>
      <w:r>
        <w:rPr>
          <w:rFonts w:ascii="宋体" w:hAnsi="宋体" w:eastAsia="宋体" w:cs="宋体"/>
          <w:color w:val="auto"/>
          <w:highlight w:val="none"/>
        </w:rPr>
        <w:t>项目内容:在实施地范围内对所有病死(枯死、濒死)松树采用择伐的方式,进行伐除,并对伐除的松木和清理的枝桠进行管理、处理。</w:t>
      </w:r>
    </w:p>
    <w:p>
      <w:pPr>
        <w:pStyle w:val="8"/>
        <w:spacing w:before="144" w:line="242" w:lineRule="auto"/>
        <w:ind w:right="907" w:firstLine="480" w:firstLineChars="200"/>
        <w:jc w:val="both"/>
        <w:rPr>
          <w:rFonts w:ascii="宋体" w:hAnsi="宋体" w:eastAsia="宋体" w:cs="宋体"/>
          <w:color w:val="auto"/>
          <w:highlight w:val="none"/>
        </w:rPr>
      </w:pPr>
      <w:r>
        <w:rPr>
          <w:rFonts w:ascii="宋体" w:hAnsi="宋体" w:eastAsia="宋体" w:cs="宋体"/>
          <w:color w:val="auto"/>
          <w:highlight w:val="none"/>
        </w:rPr>
        <w:t>计划清理：</w:t>
      </w:r>
      <w:r>
        <w:rPr>
          <w:rFonts w:hint="eastAsia" w:ascii="宋体" w:hAnsi="宋体" w:eastAsia="宋体" w:cs="宋体"/>
          <w:color w:val="auto"/>
          <w:highlight w:val="none"/>
          <w:lang w:val="en-US" w:eastAsia="zh-CN"/>
        </w:rPr>
        <w:t>490</w:t>
      </w:r>
      <w:r>
        <w:rPr>
          <w:rFonts w:ascii="宋体" w:hAnsi="宋体" w:eastAsia="宋体" w:cs="宋体"/>
          <w:color w:val="auto"/>
          <w:highlight w:val="none"/>
        </w:rPr>
        <w:t>吨。</w:t>
      </w:r>
    </w:p>
    <w:p>
      <w:pPr>
        <w:pStyle w:val="8"/>
        <w:spacing w:before="144" w:line="242" w:lineRule="auto"/>
        <w:ind w:right="907" w:firstLine="480" w:firstLineChars="200"/>
        <w:jc w:val="both"/>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auto"/>
          <w:highlight w:val="none"/>
          <w:lang w:val="zh-CN" w:eastAsia="zh-CN"/>
        </w:rPr>
        <w:t>综合单价上限价：</w:t>
      </w:r>
      <w:r>
        <w:rPr>
          <w:rFonts w:hint="eastAsia" w:ascii="宋体" w:hAnsi="宋体" w:eastAsia="宋体" w:cs="宋体"/>
          <w:color w:val="000000" w:themeColor="text1"/>
          <w:highlight w:val="none"/>
          <w:lang w:val="en-US" w:eastAsia="zh-CN"/>
          <w14:textFill>
            <w14:solidFill>
              <w14:schemeClr w14:val="tx1"/>
            </w14:solidFill>
          </w14:textFill>
        </w:rPr>
        <w:t>集中除治</w:t>
      </w:r>
      <w:r>
        <w:rPr>
          <w:rFonts w:ascii="宋体" w:hAnsi="宋体" w:eastAsia="宋体" w:cs="宋体"/>
          <w:color w:val="000000" w:themeColor="text1"/>
          <w:highlight w:val="none"/>
          <w:lang w:val="zh-CN"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78</w:t>
      </w:r>
      <w:r>
        <w:rPr>
          <w:rFonts w:ascii="宋体" w:hAnsi="宋体" w:eastAsia="宋体" w:cs="宋体"/>
          <w:color w:val="000000" w:themeColor="text1"/>
          <w:highlight w:val="none"/>
          <w:lang w:val="zh-CN" w:eastAsia="zh-CN"/>
          <w14:textFill>
            <w14:solidFill>
              <w14:schemeClr w14:val="tx1"/>
            </w14:solidFill>
          </w14:textFill>
        </w:rPr>
        <w:t xml:space="preserve"> 元/斤</w:t>
      </w:r>
      <w:r>
        <w:rPr>
          <w:rFonts w:hint="eastAsia" w:ascii="宋体" w:hAnsi="宋体" w:eastAsia="宋体" w:cs="宋体"/>
          <w:color w:val="000000" w:themeColor="text1"/>
          <w:highlight w:val="none"/>
          <w:lang w:val="zh-CN" w:eastAsia="zh-CN"/>
          <w14:textFill>
            <w14:solidFill>
              <w14:schemeClr w14:val="tx1"/>
            </w14:solidFill>
          </w14:textFill>
        </w:rPr>
        <w:t>、现砍现烧</w:t>
      </w:r>
      <w:r>
        <w:rPr>
          <w:rFonts w:hint="eastAsia" w:ascii="宋体" w:hAnsi="宋体" w:eastAsia="宋体" w:cs="宋体"/>
          <w:color w:val="000000" w:themeColor="text1"/>
          <w:highlight w:val="none"/>
          <w:lang w:val="en-US" w:eastAsia="zh-CN"/>
          <w14:textFill>
            <w14:solidFill>
              <w14:schemeClr w14:val="tx1"/>
            </w14:solidFill>
          </w14:textFill>
        </w:rPr>
        <w:t>0.37/斤、钢丝网罩0.37/斤。（合同签订时乘以投标时承诺的结算率结算）</w:t>
      </w:r>
    </w:p>
    <w:p>
      <w:pPr>
        <w:pStyle w:val="8"/>
        <w:spacing w:before="144" w:line="242" w:lineRule="auto"/>
        <w:ind w:right="907" w:firstLine="480" w:firstLineChars="200"/>
        <w:jc w:val="both"/>
        <w:rPr>
          <w:rFonts w:ascii="宋体" w:hAnsi="宋体" w:eastAsia="宋体" w:cs="宋体"/>
          <w:color w:val="auto"/>
          <w:highlight w:val="none"/>
        </w:rPr>
      </w:pPr>
      <w:r>
        <w:rPr>
          <w:rFonts w:ascii="宋体" w:hAnsi="宋体" w:eastAsia="宋体" w:cs="宋体"/>
          <w:color w:val="auto"/>
          <w:highlight w:val="none"/>
        </w:rPr>
        <w:t>项目实施技术质量要求：</w:t>
      </w:r>
    </w:p>
    <w:p>
      <w:pPr>
        <w:pStyle w:val="8"/>
        <w:spacing w:before="144" w:line="242" w:lineRule="auto"/>
        <w:ind w:right="907" w:firstLine="480" w:firstLineChars="200"/>
        <w:jc w:val="both"/>
        <w:rPr>
          <w:rFonts w:ascii="宋体" w:hAnsi="宋体" w:eastAsia="宋体" w:cs="宋体"/>
          <w:color w:val="auto"/>
          <w:highlight w:val="none"/>
        </w:rPr>
      </w:pPr>
      <w:r>
        <w:rPr>
          <w:rFonts w:ascii="宋体" w:hAnsi="宋体" w:eastAsia="宋体" w:cs="宋体"/>
          <w:color w:val="auto"/>
          <w:highlight w:val="none"/>
        </w:rPr>
        <w:t>1、伐桩:对疫木伐除后,伐桩上坡度面的高度不得超过 5cm，</w:t>
      </w:r>
      <w:r>
        <w:rPr>
          <w:rFonts w:hint="eastAsia" w:ascii="宋体" w:hAnsi="宋体" w:eastAsia="宋体" w:cs="宋体"/>
          <w:color w:val="auto"/>
          <w:highlight w:val="none"/>
        </w:rPr>
        <w:t>伐断面要平整并对伐桩进行剥皮处理。</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ascii="宋体" w:hAnsi="宋体" w:eastAsia="宋体" w:cs="宋体"/>
          <w:color w:val="auto"/>
          <w:highlight w:val="none"/>
        </w:rPr>
        <w:t>枝桠处理:除治松林范围内,清理收集所有直径大于 1cm 的枯死松树枝桠。</w:t>
      </w:r>
    </w:p>
    <w:p>
      <w:pPr>
        <w:pStyle w:val="8"/>
        <w:spacing w:before="144" w:line="242" w:lineRule="auto"/>
        <w:ind w:right="907" w:firstLine="480" w:firstLineChars="2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3.按要求运用“数字森防”上传除治数据。</w:t>
      </w:r>
    </w:p>
    <w:p>
      <w:pPr>
        <w:pStyle w:val="8"/>
        <w:spacing w:before="144" w:line="242" w:lineRule="auto"/>
        <w:ind w:right="907" w:firstLine="480" w:firstLineChars="200"/>
        <w:jc w:val="both"/>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ascii="宋体" w:hAnsi="宋体" w:eastAsia="宋体" w:cs="宋体"/>
          <w:color w:val="auto"/>
          <w:highlight w:val="none"/>
        </w:rPr>
        <w:t>、伐除的松木应及时运到指定的疫木定点企业进行安全处理,或按规定集中烧毁处理，未运至指定地点之前要加强对松木的监管。</w:t>
      </w:r>
    </w:p>
    <w:p>
      <w:pPr>
        <w:pStyle w:val="7"/>
        <w:numPr>
          <w:ilvl w:val="0"/>
          <w:numId w:val="0"/>
        </w:numPr>
        <w:ind w:right="0" w:rightChars="0" w:firstLine="281" w:firstLineChars="100"/>
        <w:jc w:val="left"/>
        <w:rPr>
          <w:rFonts w:ascii="宋体" w:hAnsi="宋体" w:eastAsia="宋体" w:cs="宋体"/>
          <w:color w:val="auto"/>
          <w:highlight w:val="none"/>
        </w:rPr>
      </w:pPr>
      <w:r>
        <w:rPr>
          <w:rFonts w:ascii="宋体" w:hAnsi="宋体" w:eastAsia="宋体" w:cs="宋体"/>
          <w:color w:val="auto"/>
        </w:rPr>
        <w:t>三、疫木除治适用方式和时间</w:t>
      </w:r>
    </w:p>
    <w:p>
      <w:pPr>
        <w:pStyle w:val="8"/>
        <w:spacing w:before="144" w:line="242" w:lineRule="auto"/>
        <w:ind w:right="907" w:firstLine="480" w:firstLineChars="200"/>
        <w:jc w:val="both"/>
        <w:rPr>
          <w:rFonts w:ascii="宋体" w:hAnsi="宋体" w:eastAsia="宋体" w:cs="宋体"/>
          <w:color w:val="auto"/>
          <w:highlight w:val="none"/>
        </w:rPr>
      </w:pPr>
      <w:r>
        <w:rPr>
          <w:rFonts w:ascii="宋体" w:hAnsi="宋体" w:eastAsia="宋体" w:cs="宋体"/>
          <w:color w:val="auto"/>
          <w:highlight w:val="none"/>
        </w:rPr>
        <w:t>疫木是指松材线虫病疫区内未经除害处理的松科植物及其制品或者疫区外染疫的松科植物及其制品。除治性采伐，也称为疫木清理，是指根据松材线虫病防治需要，按照有关规定对松材线虫病疫情发生小班及其周边松林的松树进行采伐的措施。除治性采伐以择伐为主。对疫情发生小班内的病死（濒死、枯死等）松树必须进行全面采伐。</w:t>
      </w:r>
    </w:p>
    <w:p>
      <w:pPr>
        <w:pStyle w:val="8"/>
        <w:spacing w:before="144" w:line="242" w:lineRule="auto"/>
        <w:ind w:right="907"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施工时间：集中除治阶段：2022年11月1日至2023年</w:t>
      </w:r>
      <w:r>
        <w:rPr>
          <w:rFonts w:ascii="宋体" w:hAnsi="宋体" w:eastAsia="宋体" w:cs="宋体"/>
          <w:color w:val="auto"/>
          <w:highlight w:val="none"/>
        </w:rPr>
        <w:t>3</w:t>
      </w:r>
      <w:r>
        <w:rPr>
          <w:rFonts w:hint="eastAsia" w:ascii="宋体" w:hAnsi="宋体" w:eastAsia="宋体" w:cs="宋体"/>
          <w:color w:val="auto"/>
          <w:highlight w:val="none"/>
        </w:rPr>
        <w:t>月</w:t>
      </w:r>
      <w:r>
        <w:rPr>
          <w:rFonts w:ascii="宋体" w:hAnsi="宋体" w:eastAsia="宋体" w:cs="宋体"/>
          <w:color w:val="auto"/>
          <w:highlight w:val="none"/>
        </w:rPr>
        <w:t>31</w:t>
      </w:r>
      <w:r>
        <w:rPr>
          <w:rFonts w:hint="eastAsia" w:ascii="宋体" w:hAnsi="宋体" w:eastAsia="宋体" w:cs="宋体"/>
          <w:color w:val="auto"/>
          <w:highlight w:val="none"/>
        </w:rPr>
        <w:t>日。</w:t>
      </w:r>
    </w:p>
    <w:p>
      <w:pPr>
        <w:pStyle w:val="8"/>
        <w:keepNext w:val="0"/>
        <w:keepLines w:val="0"/>
        <w:pageBreakBefore w:val="0"/>
        <w:widowControl w:val="0"/>
        <w:kinsoku/>
        <w:wordWrap/>
        <w:overflowPunct/>
        <w:topLinePunct w:val="0"/>
        <w:autoSpaceDE w:val="0"/>
        <w:autoSpaceDN w:val="0"/>
        <w:bidi w:val="0"/>
        <w:adjustRightInd/>
        <w:snapToGrid/>
        <w:spacing w:line="480" w:lineRule="auto"/>
        <w:ind w:right="808" w:firstLine="480" w:firstLineChars="200"/>
        <w:jc w:val="left"/>
        <w:textAlignment w:val="auto"/>
        <w:outlineLvl w:val="9"/>
        <w:rPr>
          <w:rFonts w:ascii="宋体" w:hAnsi="宋体" w:eastAsia="宋体" w:cs="宋体"/>
          <w:color w:val="auto"/>
          <w:highlight w:val="none"/>
        </w:rPr>
      </w:pPr>
      <w:r>
        <w:rPr>
          <w:rFonts w:hint="eastAsia" w:ascii="宋体" w:hAnsi="宋体" w:eastAsia="宋体" w:cs="宋体"/>
          <w:color w:val="auto"/>
          <w:highlight w:val="none"/>
        </w:rPr>
        <w:t>即现即清阶段：2023年5月</w:t>
      </w:r>
      <w:r>
        <w:rPr>
          <w:rFonts w:ascii="宋体" w:hAnsi="宋体" w:eastAsia="宋体" w:cs="宋体"/>
          <w:color w:val="auto"/>
          <w:highlight w:val="none"/>
        </w:rPr>
        <w:t>1</w:t>
      </w:r>
      <w:r>
        <w:rPr>
          <w:rFonts w:hint="eastAsia" w:ascii="宋体" w:hAnsi="宋体" w:eastAsia="宋体" w:cs="宋体"/>
          <w:color w:val="auto"/>
          <w:highlight w:val="none"/>
        </w:rPr>
        <w:t>日至2023年9月30日。</w:t>
      </w:r>
    </w:p>
    <w:p>
      <w:pPr>
        <w:pStyle w:val="7"/>
        <w:numPr>
          <w:ilvl w:val="0"/>
          <w:numId w:val="0"/>
        </w:numPr>
        <w:ind w:right="0" w:rightChars="0" w:firstLine="281" w:firstLineChars="100"/>
        <w:jc w:val="left"/>
        <w:rPr>
          <w:rFonts w:hint="eastAsia" w:ascii="宋体" w:hAnsi="宋体" w:eastAsia="宋体" w:cs="宋体"/>
          <w:color w:val="auto"/>
          <w:lang w:eastAsia="zh-CN"/>
        </w:rPr>
      </w:pPr>
      <w:r>
        <w:rPr>
          <w:rFonts w:hint="eastAsia" w:ascii="宋体" w:hAnsi="宋体" w:eastAsia="宋体" w:cs="宋体"/>
          <w:color w:val="auto"/>
          <w:lang w:eastAsia="zh-CN"/>
        </w:rPr>
        <w:t>四、</w:t>
      </w:r>
      <w:r>
        <w:rPr>
          <w:rFonts w:ascii="宋体" w:hAnsi="宋体" w:eastAsia="宋体" w:cs="宋体"/>
          <w:color w:val="auto"/>
        </w:rPr>
        <w:t>项目实施主要依据</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1、《国家林业局关于印发森林抚育作业设计规定的通知》（林造发〔2012〕191 号）；</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2、《森林资源规划设计调查技术规程》（GB/T26424）；</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3、中华人民共和国国家标准《森林抚育规程》（GB/T 15781-2015）；</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4、《松材线虫病疫木清理技术规范》（LY/T1865-2009）；</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 浙江省林业厅《浙江省森林抚育试点工作方案》（2010）；</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6、《森林采伐作业规程》(LY/T1646-2005)；</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7、《生态公益林建设技术规程》(GB/T18337.3-2001)；</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8、《森林抚育作业设计规定》(2014)；</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 《浙江省阔叶林发展工程建设技术规程（试行）》；</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10、《低效林改造技术规程》(LY/T 1690-2007)；</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11、《生态公益林建设导则》（GB/T 18337.1-2001）；</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12、《温岭市 2021 年度松材线虫病除治实施方案》（温林疫防发[2020]1 号）</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13、《浙江省松材线虫病防治条例》</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14、《松材线虫病疫区和疫木管理办法》（林生发【2018】117 号）等文件</w:t>
      </w:r>
    </w:p>
    <w:p>
      <w:pPr>
        <w:pStyle w:val="7"/>
        <w:numPr>
          <w:ilvl w:val="0"/>
          <w:numId w:val="0"/>
        </w:numPr>
        <w:ind w:right="0" w:rightChars="0" w:firstLine="281" w:firstLineChars="100"/>
        <w:jc w:val="left"/>
        <w:rPr>
          <w:rFonts w:hint="eastAsia" w:ascii="宋体" w:hAnsi="宋体" w:eastAsia="宋体" w:cs="宋体"/>
          <w:color w:val="auto"/>
          <w:lang w:eastAsia="zh-CN"/>
        </w:rPr>
      </w:pPr>
      <w:r>
        <w:rPr>
          <w:rFonts w:hint="eastAsia" w:ascii="宋体" w:hAnsi="宋体" w:eastAsia="宋体" w:cs="宋体"/>
          <w:color w:val="auto"/>
          <w:lang w:eastAsia="zh-CN"/>
        </w:rPr>
        <w:t>五、验收标准</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项目清理结束后，由甲方对清理质量进行初步验收并填写验收申请表。在市重大林业疫情防控指挥部验收前，应先组织力量进行自查验收，对验收不合格的，要及时整改，采取补救措施，使质量达到验收标准。</w:t>
      </w:r>
    </w:p>
    <w:p>
      <w:pPr>
        <w:pStyle w:val="7"/>
        <w:numPr>
          <w:ilvl w:val="0"/>
          <w:numId w:val="0"/>
        </w:numPr>
        <w:ind w:right="0" w:rightChars="0" w:firstLine="281" w:firstLineChars="100"/>
        <w:jc w:val="left"/>
        <w:rPr>
          <w:rFonts w:ascii="宋体" w:hAnsi="宋体" w:eastAsia="宋体" w:cs="宋体"/>
          <w:color w:val="auto"/>
        </w:rPr>
      </w:pPr>
      <w:r>
        <w:rPr>
          <w:rFonts w:ascii="宋体" w:hAnsi="宋体" w:eastAsia="宋体" w:cs="宋体"/>
          <w:color w:val="auto"/>
        </w:rPr>
        <w:t>六、付款方式</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结算方式：本项目实施范围内的枯死松树计划清理490吨，预算金额50万元。结算重量以实际送定点加工企业的枯死松木过磅重量为准（提供企业过磅单据），按中标综合单价按实结算（不得超过暂估合同总价的10%）。</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注：本项目采伐疫木需按规定进行处置，疫木回收产生收益中的 0.06元/斤，归中标人所有，不计入本次预算价中。</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在报价过程中充分考虑项目风险，综合报价。</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付款方式：合同签订后七天内支付预付款20%，验收合格后 10 个工作日内支付至项目结算价款的 100%。</w:t>
      </w:r>
    </w:p>
    <w:p>
      <w:pPr>
        <w:pStyle w:val="7"/>
        <w:spacing w:before="1"/>
        <w:ind w:left="0" w:leftChars="0" w:firstLine="281" w:firstLineChars="100"/>
        <w:jc w:val="left"/>
        <w:rPr>
          <w:color w:val="auto"/>
        </w:rPr>
      </w:pPr>
      <w:r>
        <w:rPr>
          <w:color w:val="auto"/>
        </w:rPr>
        <w:t>七、对项目转包、分包要求</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1、该项目不允许转包、分包。</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2、采购人发现成交供应商进行转包、分包的，有权单方解除合同，取消成交供应商实施项目资格。成交供应商除赔偿损失外，还须向采购人支付项目合同总价款 5% 的违约金。</w:t>
      </w:r>
    </w:p>
    <w:p>
      <w:pPr>
        <w:pStyle w:val="7"/>
        <w:spacing w:before="129"/>
        <w:ind w:left="0" w:leftChars="0" w:firstLine="281" w:firstLineChars="100"/>
        <w:jc w:val="left"/>
        <w:rPr>
          <w:color w:val="auto"/>
        </w:rPr>
      </w:pPr>
      <w:r>
        <w:rPr>
          <w:color w:val="auto"/>
        </w:rPr>
        <w:t>八、其他要求</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1、中标单位需在开工前办理清理病死松树所需的林木采伐许可证；</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2、清理、采伐下来的枯死松树送至指定的疫木定点企业进行安全除害处理（严禁流失、不送运）。</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3、严禁借疫木采伐之名过度采伐，禁止疫区开展除治性采伐以外的其他疫木采伐活动；</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4、中标供应商必须在项目实施前落实安全保障措施，项目人员一律参加工伤保险，未参加工伤保险的不得进场施工。</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5、中标供应商在进场前，要把清理队伍人员和要进入的松林告知采购人，经采购人同意，才可进场清理。清理完工后，由中标供应商自检合格后提出验收的申请， 采购人组织相关人员按验收标准及时进行验收。</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6、中标供应商要做好施工档案记载，施工照片（施工前、施工中、施工后，同一地点为佳），施工记录，疫木的流向、数量（双签字、双称重）等。</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森林防火：森林消防本着“预防为主，科学防控”的方针，建立健全森林消防组织机构，严格执行森林消防规章制度，配备专门的管护人员，配置消防器械设备。加强消防巡查管护，提高防火意识，做到早预防、早发现、早扑灭，完善防火系统。一旦发现森林火灾，管护人员应尽快向县森林消防指挥部报告，并及时组织人员上山扑救，确保造林成效。同时，要采取合理的环境保护措施，在地被物处理作业时，未经林业主管部门批准，严禁以炼山的方式处理地被物，也不准采用全垦整地造林，以免造成新的水土流失。</w:t>
      </w:r>
    </w:p>
    <w:p>
      <w:pPr>
        <w:pStyle w:val="8"/>
        <w:spacing w:before="144" w:line="242" w:lineRule="auto"/>
        <w:ind w:right="907"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投标报价：投标报价应为投标人完成本项目全部内容所需费用的含税价，包括但不限于实地勘察调查费、人工费、管理费、利润、民工保险、各类税费及采购合同包含的所有风险、责任等在合同实施过程中应预见或不可预见费用等。</w:t>
      </w:r>
    </w:p>
    <w:p>
      <w:pPr>
        <w:jc w:val="left"/>
        <w:rPr>
          <w:rFonts w:hint="eastAsia" w:ascii="黑体" w:hAnsi="黑体" w:eastAsia="黑体"/>
          <w:color w:val="auto"/>
          <w:sz w:val="32"/>
          <w:szCs w:val="32"/>
        </w:rPr>
      </w:pPr>
      <w:r>
        <w:rPr>
          <w:rFonts w:hint="eastAsia" w:ascii="黑体" w:hAnsi="黑体" w:eastAsia="黑体"/>
          <w:color w:val="auto"/>
          <w:sz w:val="32"/>
          <w:szCs w:val="32"/>
        </w:rPr>
        <w:br w:type="page"/>
      </w:r>
    </w:p>
    <w:p>
      <w:pPr>
        <w:keepNext w:val="0"/>
        <w:keepLines w:val="0"/>
        <w:pageBreakBefore w:val="0"/>
        <w:widowControl w:val="0"/>
        <w:kinsoku/>
        <w:wordWrap/>
        <w:overflowPunct/>
        <w:topLinePunct w:val="0"/>
        <w:autoSpaceDE w:val="0"/>
        <w:autoSpaceDN w:val="0"/>
        <w:bidi w:val="0"/>
        <w:adjustRightInd/>
        <w:snapToGrid/>
        <w:spacing w:line="360" w:lineRule="exact"/>
        <w:ind w:left="160" w:right="-161" w:rightChars="-73" w:hanging="160" w:hangingChars="50"/>
        <w:jc w:val="left"/>
        <w:textAlignment w:val="auto"/>
        <w:rPr>
          <w:rFonts w:hint="eastAsia" w:ascii="方正小标宋简体" w:hAnsi="??" w:eastAsia="方正小标宋简体"/>
          <w:color w:val="auto"/>
          <w:sz w:val="44"/>
          <w:szCs w:val="44"/>
        </w:rPr>
      </w:pPr>
      <w:r>
        <w:rPr>
          <w:rFonts w:hint="eastAsia" w:ascii="黑体" w:hAnsi="黑体" w:eastAsia="黑体"/>
          <w:color w:val="auto"/>
          <w:sz w:val="32"/>
          <w:szCs w:val="32"/>
        </w:rPr>
        <w:t>附件1</w:t>
      </w:r>
    </w:p>
    <w:p>
      <w:pPr>
        <w:keepNext w:val="0"/>
        <w:keepLines w:val="0"/>
        <w:pageBreakBefore w:val="0"/>
        <w:widowControl w:val="0"/>
        <w:kinsoku/>
        <w:wordWrap/>
        <w:overflowPunct/>
        <w:topLinePunct w:val="0"/>
        <w:autoSpaceDE w:val="0"/>
        <w:autoSpaceDN w:val="0"/>
        <w:bidi w:val="0"/>
        <w:adjustRightInd/>
        <w:snapToGrid/>
        <w:spacing w:line="360" w:lineRule="exact"/>
        <w:ind w:left="1540" w:right="-161" w:rightChars="-73" w:hanging="1260" w:hangingChars="350"/>
        <w:jc w:val="center"/>
        <w:textAlignment w:val="auto"/>
        <w:rPr>
          <w:rFonts w:ascii="方正小标宋简体" w:hAnsi="??" w:eastAsia="方正小标宋简体"/>
          <w:color w:val="auto"/>
          <w:sz w:val="36"/>
          <w:szCs w:val="36"/>
        </w:rPr>
      </w:pPr>
      <w:r>
        <w:rPr>
          <w:rFonts w:hint="eastAsia" w:ascii="方正小标宋简体" w:hAnsi="??" w:eastAsia="方正小标宋简体"/>
          <w:color w:val="auto"/>
          <w:sz w:val="36"/>
          <w:szCs w:val="36"/>
        </w:rPr>
        <w:t>温岭市枯死松</w:t>
      </w:r>
      <w:r>
        <w:rPr>
          <w:rFonts w:hint="eastAsia" w:ascii="方正小标宋简体" w:hAnsi="宋体" w:eastAsia="方正小标宋简体" w:cs="宋体"/>
          <w:color w:val="auto"/>
          <w:sz w:val="36"/>
          <w:szCs w:val="36"/>
        </w:rPr>
        <w:t>树</w:t>
      </w:r>
      <w:r>
        <w:rPr>
          <w:rFonts w:hint="eastAsia" w:ascii="方正小标宋简体" w:hAnsi="??" w:eastAsia="方正小标宋简体"/>
          <w:color w:val="auto"/>
          <w:sz w:val="36"/>
          <w:szCs w:val="36"/>
        </w:rPr>
        <w:t>清理工程</w:t>
      </w:r>
      <w:r>
        <w:rPr>
          <w:rFonts w:hint="eastAsia" w:ascii="方正小标宋简体" w:hAnsi="宋体" w:eastAsia="方正小标宋简体" w:cs="宋体"/>
          <w:color w:val="auto"/>
          <w:sz w:val="36"/>
          <w:szCs w:val="36"/>
        </w:rPr>
        <w:t>质</w:t>
      </w:r>
      <w:r>
        <w:rPr>
          <w:rFonts w:hint="eastAsia" w:ascii="方正小标宋简体" w:hAnsi="??" w:eastAsia="方正小标宋简体"/>
          <w:color w:val="auto"/>
          <w:sz w:val="36"/>
          <w:szCs w:val="36"/>
        </w:rPr>
        <w:t>量</w:t>
      </w:r>
      <w:r>
        <w:rPr>
          <w:rFonts w:hint="eastAsia" w:ascii="方正小标宋简体" w:hAnsi="宋体" w:eastAsia="方正小标宋简体" w:cs="宋体"/>
          <w:color w:val="auto"/>
          <w:sz w:val="36"/>
          <w:szCs w:val="36"/>
        </w:rPr>
        <w:t>检查验</w:t>
      </w:r>
      <w:r>
        <w:rPr>
          <w:rFonts w:hint="eastAsia" w:ascii="方正小标宋简体" w:hAnsi="??" w:eastAsia="方正小标宋简体"/>
          <w:color w:val="auto"/>
          <w:sz w:val="36"/>
          <w:szCs w:val="36"/>
        </w:rPr>
        <w:t>收</w:t>
      </w:r>
      <w:r>
        <w:rPr>
          <w:rFonts w:hint="eastAsia" w:ascii="方正小标宋简体" w:hAnsi="宋体" w:eastAsia="方正小标宋简体" w:cs="宋体"/>
          <w:color w:val="auto"/>
          <w:sz w:val="36"/>
          <w:szCs w:val="36"/>
        </w:rPr>
        <w:t>办</w:t>
      </w:r>
      <w:r>
        <w:rPr>
          <w:rFonts w:hint="eastAsia" w:ascii="方正小标宋简体" w:hAnsi="??" w:eastAsia="方正小标宋简体"/>
          <w:color w:val="auto"/>
          <w:sz w:val="36"/>
          <w:szCs w:val="36"/>
        </w:rPr>
        <w:t>法(试行)</w:t>
      </w:r>
    </w:p>
    <w:p>
      <w:pPr>
        <w:jc w:val="left"/>
        <w:rPr>
          <w:rFonts w:ascii="仿宋_GB2312" w:hAnsi="??" w:eastAsia="仿宋_GB2312"/>
          <w:color w:val="auto"/>
          <w:sz w:val="32"/>
          <w:szCs w:val="32"/>
        </w:rPr>
      </w:pPr>
    </w:p>
    <w:p>
      <w:pPr>
        <w:adjustRightInd w:val="0"/>
        <w:ind w:firstLine="480" w:firstLineChars="200"/>
        <w:jc w:val="left"/>
        <w:rPr>
          <w:rFonts w:ascii="仿宋_GB2312" w:eastAsia="仿宋_GB2312"/>
          <w:color w:val="auto"/>
          <w:sz w:val="24"/>
          <w:szCs w:val="24"/>
        </w:rPr>
      </w:pPr>
      <w:r>
        <w:rPr>
          <w:rFonts w:hint="eastAsia" w:ascii="仿宋_GB2312" w:eastAsia="仿宋_GB2312"/>
          <w:color w:val="auto"/>
          <w:sz w:val="24"/>
          <w:szCs w:val="24"/>
        </w:rPr>
        <w:t>为切实抓好全市枯死松树清理工程质量，根据国家林业和草原局《松材线虫病防治技术方案（</w:t>
      </w:r>
      <w:r>
        <w:rPr>
          <w:rFonts w:ascii="仿宋_GB2312" w:eastAsia="仿宋_GB2312"/>
          <w:color w:val="auto"/>
          <w:sz w:val="24"/>
          <w:szCs w:val="24"/>
        </w:rPr>
        <w:t>2021</w:t>
      </w:r>
      <w:r>
        <w:rPr>
          <w:rFonts w:hint="eastAsia" w:ascii="仿宋_GB2312" w:eastAsia="仿宋_GB2312"/>
          <w:color w:val="auto"/>
          <w:sz w:val="24"/>
          <w:szCs w:val="24"/>
        </w:rPr>
        <w:t>年版）》和《浙江省松材线虫病山场除治技术规范</w:t>
      </w:r>
      <w:r>
        <w:rPr>
          <w:rFonts w:ascii="仿宋_GB2312" w:eastAsia="仿宋_GB2312"/>
          <w:color w:val="auto"/>
          <w:sz w:val="24"/>
          <w:szCs w:val="24"/>
        </w:rPr>
        <w:t>(</w:t>
      </w:r>
      <w:r>
        <w:rPr>
          <w:rFonts w:hint="eastAsia" w:ascii="仿宋_GB2312" w:eastAsia="仿宋_GB2312"/>
          <w:color w:val="auto"/>
          <w:sz w:val="24"/>
          <w:szCs w:val="24"/>
        </w:rPr>
        <w:t>试行</w:t>
      </w:r>
      <w:r>
        <w:rPr>
          <w:rFonts w:ascii="仿宋_GB2312" w:eastAsia="仿宋_GB2312"/>
          <w:color w:val="auto"/>
          <w:sz w:val="24"/>
          <w:szCs w:val="24"/>
        </w:rPr>
        <w:t>)</w:t>
      </w:r>
      <w:r>
        <w:rPr>
          <w:rFonts w:hint="eastAsia" w:ascii="仿宋_GB2312" w:eastAsia="仿宋_GB2312"/>
          <w:color w:val="auto"/>
          <w:sz w:val="24"/>
          <w:szCs w:val="24"/>
        </w:rPr>
        <w:t>》等有关规定，结合实际，制定本办法。</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1</w:t>
      </w:r>
      <w:r>
        <w:rPr>
          <w:rFonts w:hint="eastAsia" w:ascii="仿宋_GB2312" w:eastAsia="仿宋_GB2312"/>
          <w:color w:val="auto"/>
          <w:sz w:val="24"/>
          <w:szCs w:val="24"/>
        </w:rPr>
        <w:t>．本办法适用于松材线虫病或松褐天牛危害引起松树枯死的清理工程质量验收。</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2</w:t>
      </w:r>
      <w:r>
        <w:rPr>
          <w:rFonts w:hint="eastAsia" w:ascii="仿宋_GB2312" w:eastAsia="仿宋_GB2312"/>
          <w:color w:val="auto"/>
          <w:sz w:val="24"/>
          <w:szCs w:val="24"/>
        </w:rPr>
        <w:t>．本办法所称枯死松树清理是指松材线虫病或松褐天牛发生区域内的枯死松树及其枝桠的清理。</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3</w:t>
      </w:r>
      <w:r>
        <w:rPr>
          <w:rFonts w:hint="eastAsia" w:ascii="仿宋_GB2312" w:eastAsia="仿宋_GB2312"/>
          <w:color w:val="auto"/>
          <w:sz w:val="24"/>
          <w:szCs w:val="24"/>
        </w:rPr>
        <w:t>．质量验收先由工程施工单位提供完工报告并提出验收申请。再由建设单位（镇、街道）组织有关人员进行验收</w:t>
      </w:r>
      <w:r>
        <w:rPr>
          <w:rFonts w:ascii="仿宋_GB2312" w:eastAsia="仿宋_GB2312"/>
          <w:color w:val="auto"/>
          <w:sz w:val="24"/>
          <w:szCs w:val="24"/>
        </w:rPr>
        <w:t>(</w:t>
      </w:r>
      <w:r>
        <w:rPr>
          <w:rFonts w:hint="eastAsia" w:ascii="仿宋_GB2312" w:eastAsia="仿宋_GB2312"/>
          <w:color w:val="auto"/>
          <w:sz w:val="24"/>
          <w:szCs w:val="24"/>
        </w:rPr>
        <w:t>见附表</w:t>
      </w:r>
      <w:r>
        <w:rPr>
          <w:rFonts w:ascii="仿宋_GB2312" w:eastAsia="仿宋_GB2312"/>
          <w:color w:val="auto"/>
          <w:sz w:val="24"/>
          <w:szCs w:val="24"/>
        </w:rPr>
        <w:t>)</w:t>
      </w:r>
      <w:r>
        <w:rPr>
          <w:rFonts w:hint="eastAsia" w:ascii="仿宋_GB2312" w:eastAsia="仿宋_GB2312"/>
          <w:color w:val="auto"/>
          <w:sz w:val="24"/>
          <w:szCs w:val="24"/>
        </w:rPr>
        <w:t>。</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4</w:t>
      </w:r>
      <w:r>
        <w:rPr>
          <w:rFonts w:hint="eastAsia" w:ascii="仿宋_GB2312" w:eastAsia="仿宋_GB2312"/>
          <w:color w:val="auto"/>
          <w:sz w:val="24"/>
          <w:szCs w:val="24"/>
        </w:rPr>
        <w:t>．质量验收方法</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 xml:space="preserve">4.1  </w:t>
      </w:r>
      <w:r>
        <w:rPr>
          <w:rFonts w:hint="eastAsia" w:ascii="仿宋_GB2312" w:eastAsia="仿宋_GB2312"/>
          <w:color w:val="auto"/>
          <w:sz w:val="24"/>
          <w:szCs w:val="24"/>
        </w:rPr>
        <w:t>抽查比例</w:t>
      </w:r>
      <w:r>
        <w:rPr>
          <w:rFonts w:ascii="仿宋_GB2312" w:eastAsia="仿宋_GB2312"/>
          <w:color w:val="auto"/>
          <w:sz w:val="24"/>
          <w:szCs w:val="24"/>
        </w:rPr>
        <w:t xml:space="preserve">  </w:t>
      </w:r>
      <w:r>
        <w:rPr>
          <w:rFonts w:hint="eastAsia" w:ascii="仿宋_GB2312" w:eastAsia="仿宋_GB2312"/>
          <w:color w:val="auto"/>
          <w:sz w:val="24"/>
          <w:szCs w:val="24"/>
        </w:rPr>
        <w:t>枯死松树清理施工区每</w:t>
      </w:r>
      <w:r>
        <w:rPr>
          <w:rFonts w:ascii="仿宋_GB2312" w:eastAsia="仿宋_GB2312"/>
          <w:color w:val="auto"/>
          <w:sz w:val="24"/>
          <w:szCs w:val="24"/>
        </w:rPr>
        <w:t>1000</w:t>
      </w:r>
      <w:r>
        <w:rPr>
          <w:rFonts w:hint="eastAsia" w:ascii="仿宋_GB2312" w:eastAsia="仿宋_GB2312"/>
          <w:color w:val="auto"/>
          <w:sz w:val="24"/>
          <w:szCs w:val="24"/>
        </w:rPr>
        <w:t>亩不小于</w:t>
      </w:r>
      <w:r>
        <w:rPr>
          <w:rFonts w:ascii="仿宋_GB2312" w:eastAsia="仿宋_GB2312"/>
          <w:color w:val="auto"/>
          <w:sz w:val="24"/>
          <w:szCs w:val="24"/>
        </w:rPr>
        <w:t>1</w:t>
      </w:r>
      <w:r>
        <w:rPr>
          <w:rFonts w:hint="eastAsia" w:ascii="仿宋_GB2312" w:eastAsia="仿宋_GB2312"/>
          <w:color w:val="auto"/>
          <w:sz w:val="24"/>
          <w:szCs w:val="24"/>
        </w:rPr>
        <w:t>个样地，施工面积小于</w:t>
      </w:r>
      <w:r>
        <w:rPr>
          <w:rFonts w:ascii="仿宋_GB2312" w:eastAsia="仿宋_GB2312"/>
          <w:color w:val="auto"/>
          <w:sz w:val="24"/>
          <w:szCs w:val="24"/>
        </w:rPr>
        <w:t>3000</w:t>
      </w:r>
      <w:r>
        <w:rPr>
          <w:rFonts w:hint="eastAsia" w:ascii="仿宋_GB2312" w:eastAsia="仿宋_GB2312"/>
          <w:color w:val="auto"/>
          <w:sz w:val="24"/>
          <w:szCs w:val="24"/>
        </w:rPr>
        <w:t>亩的至少抽取</w:t>
      </w:r>
      <w:r>
        <w:rPr>
          <w:rFonts w:ascii="仿宋_GB2312" w:eastAsia="仿宋_GB2312"/>
          <w:color w:val="auto"/>
          <w:sz w:val="24"/>
          <w:szCs w:val="24"/>
        </w:rPr>
        <w:t>3</w:t>
      </w:r>
      <w:r>
        <w:rPr>
          <w:rFonts w:hint="eastAsia" w:ascii="仿宋_GB2312" w:eastAsia="仿宋_GB2312"/>
          <w:color w:val="auto"/>
          <w:sz w:val="24"/>
          <w:szCs w:val="24"/>
        </w:rPr>
        <w:t>个样地。</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 xml:space="preserve">4.2  </w:t>
      </w:r>
      <w:r>
        <w:rPr>
          <w:rFonts w:hint="eastAsia" w:ascii="仿宋_GB2312" w:eastAsia="仿宋_GB2312"/>
          <w:color w:val="auto"/>
          <w:sz w:val="24"/>
          <w:szCs w:val="24"/>
        </w:rPr>
        <w:t>验收标准</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 xml:space="preserve">4.2.1  </w:t>
      </w:r>
      <w:r>
        <w:rPr>
          <w:rFonts w:hint="eastAsia" w:ascii="仿宋_GB2312" w:eastAsia="仿宋_GB2312"/>
          <w:color w:val="auto"/>
          <w:sz w:val="24"/>
          <w:szCs w:val="24"/>
        </w:rPr>
        <w:t>伐桩质量标准</w:t>
      </w:r>
      <w:r>
        <w:rPr>
          <w:rFonts w:ascii="仿宋_GB2312" w:eastAsia="仿宋_GB2312"/>
          <w:color w:val="auto"/>
          <w:sz w:val="24"/>
          <w:szCs w:val="24"/>
        </w:rPr>
        <w:t xml:space="preserve">  </w:t>
      </w:r>
      <w:r>
        <w:rPr>
          <w:rFonts w:hint="eastAsia" w:ascii="仿宋_GB2312" w:eastAsia="仿宋_GB2312"/>
          <w:color w:val="auto"/>
          <w:sz w:val="24"/>
          <w:szCs w:val="24"/>
        </w:rPr>
        <w:t>伐桩高度不得超过</w:t>
      </w:r>
      <w:r>
        <w:rPr>
          <w:rFonts w:ascii="仿宋_GB2312" w:eastAsia="仿宋_GB2312"/>
          <w:color w:val="auto"/>
          <w:sz w:val="24"/>
          <w:szCs w:val="24"/>
        </w:rPr>
        <w:t>5cm</w:t>
      </w:r>
      <w:r>
        <w:rPr>
          <w:rFonts w:hint="eastAsia" w:ascii="仿宋_GB2312" w:eastAsia="仿宋_GB2312"/>
          <w:color w:val="auto"/>
          <w:sz w:val="24"/>
          <w:szCs w:val="24"/>
        </w:rPr>
        <w:t>并剥皮，如规定要除害处理的，必须同时除害处理。</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 xml:space="preserve">4.2.2  </w:t>
      </w:r>
      <w:r>
        <w:rPr>
          <w:rFonts w:hint="eastAsia" w:ascii="仿宋_GB2312" w:eastAsia="仿宋_GB2312"/>
          <w:color w:val="auto"/>
          <w:sz w:val="24"/>
          <w:szCs w:val="24"/>
        </w:rPr>
        <w:t>林地质量标准</w:t>
      </w:r>
      <w:r>
        <w:rPr>
          <w:rFonts w:ascii="仿宋_GB2312" w:eastAsia="仿宋_GB2312"/>
          <w:color w:val="auto"/>
          <w:sz w:val="24"/>
          <w:szCs w:val="24"/>
        </w:rPr>
        <w:t xml:space="preserve">  </w:t>
      </w:r>
      <w:r>
        <w:rPr>
          <w:rFonts w:hint="eastAsia" w:ascii="仿宋_GB2312" w:eastAsia="仿宋_GB2312"/>
          <w:color w:val="auto"/>
          <w:sz w:val="24"/>
          <w:szCs w:val="24"/>
        </w:rPr>
        <w:t>清理枯死松树区域无枯死松树立木、伐倒木、枝梢和直径</w:t>
      </w:r>
      <w:r>
        <w:rPr>
          <w:rFonts w:ascii="仿宋_GB2312" w:eastAsia="仿宋_GB2312"/>
          <w:color w:val="auto"/>
          <w:sz w:val="24"/>
          <w:szCs w:val="24"/>
        </w:rPr>
        <w:t>1cm</w:t>
      </w:r>
      <w:r>
        <w:rPr>
          <w:rFonts w:hint="eastAsia" w:ascii="仿宋_GB2312" w:eastAsia="仿宋_GB2312"/>
          <w:color w:val="auto"/>
          <w:sz w:val="24"/>
          <w:szCs w:val="24"/>
        </w:rPr>
        <w:t>以上的枝桠。</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 xml:space="preserve">4.2.3  </w:t>
      </w:r>
      <w:r>
        <w:rPr>
          <w:rFonts w:hint="eastAsia" w:ascii="仿宋_GB2312" w:eastAsia="仿宋_GB2312"/>
          <w:color w:val="auto"/>
          <w:sz w:val="24"/>
          <w:szCs w:val="24"/>
        </w:rPr>
        <w:t>浙江数字森防上传质量标准  疫木除治上传浙江数字森防数据真实准确规范。</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 xml:space="preserve">4.2.4  </w:t>
      </w:r>
      <w:r>
        <w:rPr>
          <w:rFonts w:hint="eastAsia" w:ascii="仿宋_GB2312" w:eastAsia="仿宋_GB2312"/>
          <w:color w:val="auto"/>
          <w:sz w:val="24"/>
          <w:szCs w:val="24"/>
        </w:rPr>
        <w:t>质量评定标准</w:t>
      </w:r>
      <w:r>
        <w:rPr>
          <w:rFonts w:ascii="仿宋_GB2312" w:eastAsia="仿宋_GB2312"/>
          <w:color w:val="auto"/>
          <w:sz w:val="24"/>
          <w:szCs w:val="24"/>
        </w:rPr>
        <w:t xml:space="preserve">  </w:t>
      </w:r>
      <w:r>
        <w:rPr>
          <w:rFonts w:hint="eastAsia" w:ascii="仿宋_GB2312" w:eastAsia="仿宋_GB2312"/>
          <w:color w:val="auto"/>
          <w:sz w:val="24"/>
          <w:szCs w:val="24"/>
        </w:rPr>
        <w:t>标准样地含：清理伐桩</w:t>
      </w:r>
      <w:r>
        <w:rPr>
          <w:rFonts w:ascii="仿宋_GB2312" w:eastAsia="仿宋_GB2312"/>
          <w:color w:val="auto"/>
          <w:sz w:val="24"/>
          <w:szCs w:val="24"/>
        </w:rPr>
        <w:t>10</w:t>
      </w:r>
      <w:r>
        <w:rPr>
          <w:rFonts w:hint="eastAsia" w:ascii="仿宋_GB2312" w:eastAsia="仿宋_GB2312"/>
          <w:color w:val="auto"/>
          <w:sz w:val="24"/>
          <w:szCs w:val="24"/>
        </w:rPr>
        <w:t>只，枯死松树林地</w:t>
      </w:r>
      <w:r>
        <w:rPr>
          <w:rFonts w:ascii="仿宋_GB2312" w:eastAsia="仿宋_GB2312"/>
          <w:color w:val="auto"/>
          <w:sz w:val="24"/>
          <w:szCs w:val="24"/>
        </w:rPr>
        <w:t>50</w:t>
      </w:r>
      <w:r>
        <w:rPr>
          <w:rFonts w:hint="eastAsia" w:ascii="仿宋_GB2312" w:eastAsia="仿宋_GB2312"/>
          <w:color w:val="auto"/>
          <w:sz w:val="24"/>
          <w:szCs w:val="24"/>
        </w:rPr>
        <w:t>亩，枯死枝梢林地</w:t>
      </w:r>
      <w:r>
        <w:rPr>
          <w:rFonts w:ascii="仿宋_GB2312" w:eastAsia="仿宋_GB2312"/>
          <w:color w:val="auto"/>
          <w:sz w:val="24"/>
          <w:szCs w:val="24"/>
        </w:rPr>
        <w:t>50</w:t>
      </w:r>
      <w:r>
        <w:rPr>
          <w:rFonts w:hint="eastAsia" w:ascii="仿宋_GB2312" w:eastAsia="仿宋_GB2312"/>
          <w:color w:val="auto"/>
          <w:sz w:val="24"/>
          <w:szCs w:val="24"/>
        </w:rPr>
        <w:t>亩，枯死枝桠林地</w:t>
      </w:r>
      <w:r>
        <w:rPr>
          <w:rFonts w:ascii="仿宋_GB2312" w:eastAsia="仿宋_GB2312"/>
          <w:color w:val="auto"/>
          <w:sz w:val="24"/>
          <w:szCs w:val="24"/>
        </w:rPr>
        <w:t>50</w:t>
      </w:r>
      <w:r>
        <w:rPr>
          <w:rFonts w:hint="eastAsia" w:ascii="仿宋_GB2312" w:eastAsia="仿宋_GB2312"/>
          <w:color w:val="auto"/>
          <w:sz w:val="24"/>
          <w:szCs w:val="24"/>
        </w:rPr>
        <w:t>亩， 50亩林地中疫木除治上传浙江数字森防，完全达到上述质量要求得分为</w:t>
      </w:r>
      <w:r>
        <w:rPr>
          <w:rFonts w:ascii="仿宋_GB2312" w:eastAsia="仿宋_GB2312"/>
          <w:color w:val="auto"/>
          <w:sz w:val="24"/>
          <w:szCs w:val="24"/>
        </w:rPr>
        <w:t>100</w:t>
      </w:r>
      <w:r>
        <w:rPr>
          <w:rFonts w:hint="eastAsia" w:ascii="仿宋_GB2312" w:eastAsia="仿宋_GB2312"/>
          <w:color w:val="auto"/>
          <w:sz w:val="24"/>
          <w:szCs w:val="24"/>
        </w:rPr>
        <w:t>分，如未达到的按下列标准扣分：</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10</w:t>
      </w:r>
      <w:r>
        <w:rPr>
          <w:rFonts w:hint="eastAsia" w:ascii="仿宋_GB2312" w:eastAsia="仿宋_GB2312"/>
          <w:color w:val="auto"/>
          <w:sz w:val="24"/>
          <w:szCs w:val="24"/>
        </w:rPr>
        <w:t>只清理伐桩样本中不合格伐桩每只扣</w:t>
      </w:r>
      <w:r>
        <w:rPr>
          <w:rFonts w:ascii="仿宋_GB2312" w:eastAsia="仿宋_GB2312"/>
          <w:color w:val="auto"/>
          <w:sz w:val="24"/>
          <w:szCs w:val="24"/>
        </w:rPr>
        <w:t>2</w:t>
      </w:r>
      <w:r>
        <w:rPr>
          <w:rFonts w:hint="eastAsia" w:ascii="仿宋_GB2312" w:eastAsia="仿宋_GB2312"/>
          <w:color w:val="auto"/>
          <w:sz w:val="24"/>
          <w:szCs w:val="24"/>
        </w:rPr>
        <w:t>分；</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50</w:t>
      </w:r>
      <w:r>
        <w:rPr>
          <w:rFonts w:hint="eastAsia" w:ascii="仿宋_GB2312" w:eastAsia="仿宋_GB2312"/>
          <w:color w:val="auto"/>
          <w:sz w:val="24"/>
          <w:szCs w:val="24"/>
        </w:rPr>
        <w:t>亩林地中有枯死松树立木或伐倒木每株扣</w:t>
      </w:r>
      <w:r>
        <w:rPr>
          <w:rFonts w:ascii="仿宋_GB2312" w:eastAsia="仿宋_GB2312"/>
          <w:color w:val="auto"/>
          <w:sz w:val="24"/>
          <w:szCs w:val="24"/>
        </w:rPr>
        <w:t>5</w:t>
      </w:r>
      <w:r>
        <w:rPr>
          <w:rFonts w:hint="eastAsia" w:ascii="仿宋_GB2312" w:eastAsia="仿宋_GB2312"/>
          <w:color w:val="auto"/>
          <w:sz w:val="24"/>
          <w:szCs w:val="24"/>
        </w:rPr>
        <w:t>分；</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50</w:t>
      </w:r>
      <w:r>
        <w:rPr>
          <w:rFonts w:hint="eastAsia" w:ascii="仿宋_GB2312" w:eastAsia="仿宋_GB2312"/>
          <w:color w:val="auto"/>
          <w:sz w:val="24"/>
          <w:szCs w:val="24"/>
        </w:rPr>
        <w:t>亩林地中有枯死松树枝梢每段扣</w:t>
      </w:r>
      <w:r>
        <w:rPr>
          <w:rFonts w:ascii="仿宋_GB2312" w:eastAsia="仿宋_GB2312"/>
          <w:color w:val="auto"/>
          <w:sz w:val="24"/>
          <w:szCs w:val="24"/>
        </w:rPr>
        <w:t>3</w:t>
      </w:r>
      <w:r>
        <w:rPr>
          <w:rFonts w:hint="eastAsia" w:ascii="仿宋_GB2312" w:eastAsia="仿宋_GB2312"/>
          <w:color w:val="auto"/>
          <w:sz w:val="24"/>
          <w:szCs w:val="24"/>
        </w:rPr>
        <w:t>分；</w:t>
      </w:r>
    </w:p>
    <w:p>
      <w:pPr>
        <w:adjustRightInd w:val="0"/>
        <w:ind w:right="-350" w:rightChars="-159" w:firstLine="480" w:firstLineChars="200"/>
        <w:jc w:val="left"/>
        <w:rPr>
          <w:rFonts w:ascii="仿宋_GB2312" w:eastAsia="仿宋_GB2312"/>
          <w:color w:val="auto"/>
          <w:sz w:val="24"/>
          <w:szCs w:val="24"/>
        </w:rPr>
      </w:pPr>
      <w:r>
        <w:rPr>
          <w:rFonts w:ascii="仿宋_GB2312" w:eastAsia="仿宋_GB2312"/>
          <w:color w:val="auto"/>
          <w:sz w:val="24"/>
          <w:szCs w:val="24"/>
        </w:rPr>
        <w:t>50</w:t>
      </w:r>
      <w:r>
        <w:rPr>
          <w:rFonts w:hint="eastAsia" w:ascii="仿宋_GB2312" w:eastAsia="仿宋_GB2312"/>
          <w:color w:val="auto"/>
          <w:sz w:val="24"/>
          <w:szCs w:val="24"/>
        </w:rPr>
        <w:t>亩林地中有直径</w:t>
      </w:r>
      <w:r>
        <w:rPr>
          <w:rFonts w:ascii="仿宋_GB2312" w:eastAsia="仿宋_GB2312"/>
          <w:color w:val="auto"/>
          <w:sz w:val="24"/>
          <w:szCs w:val="24"/>
        </w:rPr>
        <w:t>1cm</w:t>
      </w:r>
      <w:r>
        <w:rPr>
          <w:rFonts w:hint="eastAsia" w:ascii="仿宋_GB2312" w:eastAsia="仿宋_GB2312"/>
          <w:color w:val="auto"/>
          <w:sz w:val="24"/>
          <w:szCs w:val="24"/>
        </w:rPr>
        <w:t>以上枯死枝桠每根扣</w:t>
      </w:r>
      <w:r>
        <w:rPr>
          <w:rFonts w:ascii="仿宋_GB2312" w:eastAsia="仿宋_GB2312"/>
          <w:color w:val="auto"/>
          <w:sz w:val="24"/>
          <w:szCs w:val="24"/>
        </w:rPr>
        <w:t>1</w:t>
      </w:r>
      <w:r>
        <w:rPr>
          <w:rFonts w:hint="eastAsia" w:ascii="仿宋_GB2312" w:eastAsia="仿宋_GB2312"/>
          <w:color w:val="auto"/>
          <w:sz w:val="24"/>
          <w:szCs w:val="24"/>
        </w:rPr>
        <w:t>分；</w:t>
      </w:r>
    </w:p>
    <w:p>
      <w:pPr>
        <w:adjustRightInd w:val="0"/>
        <w:ind w:right="-350" w:rightChars="-159" w:firstLine="480" w:firstLineChars="200"/>
        <w:jc w:val="left"/>
        <w:rPr>
          <w:rFonts w:ascii="仿宋_GB2312" w:eastAsia="仿宋_GB2312"/>
          <w:color w:val="auto"/>
          <w:sz w:val="24"/>
          <w:szCs w:val="24"/>
        </w:rPr>
      </w:pPr>
      <w:r>
        <w:rPr>
          <w:rFonts w:hint="eastAsia" w:ascii="仿宋_GB2312" w:eastAsia="仿宋_GB2312"/>
          <w:color w:val="auto"/>
          <w:sz w:val="24"/>
          <w:szCs w:val="24"/>
        </w:rPr>
        <w:t>50亩林地中疫木除治上传浙江数字森防多传、漏传或上传不规范每株扣0.5分。</w:t>
      </w:r>
    </w:p>
    <w:p>
      <w:pPr>
        <w:adjustRightInd w:val="0"/>
        <w:ind w:firstLine="480" w:firstLineChars="200"/>
        <w:jc w:val="left"/>
        <w:rPr>
          <w:rFonts w:ascii="仿宋_GB2312" w:eastAsia="仿宋_GB2312"/>
          <w:color w:val="auto"/>
          <w:sz w:val="24"/>
          <w:szCs w:val="24"/>
        </w:rPr>
      </w:pPr>
      <w:r>
        <w:rPr>
          <w:rFonts w:hint="eastAsia" w:ascii="仿宋_GB2312" w:eastAsia="仿宋_GB2312"/>
          <w:color w:val="auto"/>
          <w:sz w:val="24"/>
          <w:szCs w:val="24"/>
        </w:rPr>
        <w:t>样地质量合格标准为</w:t>
      </w:r>
      <w:r>
        <w:rPr>
          <w:rFonts w:ascii="仿宋_GB2312" w:eastAsia="仿宋_GB2312"/>
          <w:color w:val="auto"/>
          <w:sz w:val="24"/>
          <w:szCs w:val="24"/>
        </w:rPr>
        <w:t>90</w:t>
      </w:r>
      <w:r>
        <w:rPr>
          <w:rFonts w:hint="eastAsia" w:ascii="仿宋_GB2312" w:eastAsia="仿宋_GB2312"/>
          <w:color w:val="auto"/>
          <w:sz w:val="24"/>
          <w:szCs w:val="24"/>
        </w:rPr>
        <w:t>分（含）以上。</w:t>
      </w:r>
    </w:p>
    <w:p>
      <w:pPr>
        <w:adjustRightInd w:val="0"/>
        <w:ind w:firstLine="480" w:firstLineChars="200"/>
        <w:jc w:val="left"/>
        <w:rPr>
          <w:rFonts w:ascii="仿宋_GB2312" w:eastAsia="仿宋_GB2312"/>
          <w:color w:val="auto"/>
          <w:sz w:val="24"/>
          <w:szCs w:val="24"/>
        </w:rPr>
      </w:pPr>
      <w:r>
        <w:rPr>
          <w:rFonts w:hint="eastAsia" w:ascii="仿宋_GB2312" w:eastAsia="仿宋_GB2312"/>
          <w:color w:val="auto"/>
          <w:sz w:val="24"/>
          <w:szCs w:val="24"/>
        </w:rPr>
        <w:t>工程质量合格标准：所抽取样地得分均在</w:t>
      </w:r>
      <w:r>
        <w:rPr>
          <w:rFonts w:ascii="仿宋_GB2312" w:eastAsia="仿宋_GB2312"/>
          <w:color w:val="auto"/>
          <w:sz w:val="24"/>
          <w:szCs w:val="24"/>
        </w:rPr>
        <w:t>90</w:t>
      </w:r>
      <w:r>
        <w:rPr>
          <w:rFonts w:hint="eastAsia" w:ascii="仿宋_GB2312" w:eastAsia="仿宋_GB2312"/>
          <w:color w:val="auto"/>
          <w:sz w:val="24"/>
          <w:szCs w:val="24"/>
        </w:rPr>
        <w:t>分（含）以上。</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5</w:t>
      </w:r>
      <w:r>
        <w:rPr>
          <w:rFonts w:hint="eastAsia" w:ascii="仿宋_GB2312" w:eastAsia="仿宋_GB2312"/>
          <w:color w:val="auto"/>
          <w:sz w:val="24"/>
          <w:szCs w:val="24"/>
        </w:rPr>
        <w:t>．本办法由市自然资源和规划局负责解释。</w:t>
      </w:r>
    </w:p>
    <w:p>
      <w:pPr>
        <w:adjustRightInd w:val="0"/>
        <w:ind w:firstLine="480" w:firstLineChars="200"/>
        <w:jc w:val="left"/>
        <w:rPr>
          <w:rFonts w:ascii="仿宋_GB2312" w:eastAsia="仿宋_GB2312"/>
          <w:color w:val="auto"/>
          <w:sz w:val="24"/>
          <w:szCs w:val="24"/>
        </w:rPr>
      </w:pPr>
      <w:r>
        <w:rPr>
          <w:rFonts w:ascii="仿宋_GB2312" w:eastAsia="仿宋_GB2312"/>
          <w:color w:val="auto"/>
          <w:sz w:val="24"/>
          <w:szCs w:val="24"/>
        </w:rPr>
        <w:t>6</w:t>
      </w:r>
      <w:r>
        <w:rPr>
          <w:rFonts w:hint="eastAsia" w:ascii="仿宋_GB2312" w:eastAsia="仿宋_GB2312"/>
          <w:color w:val="auto"/>
          <w:sz w:val="24"/>
          <w:szCs w:val="24"/>
        </w:rPr>
        <w:t>．本办法自</w:t>
      </w:r>
      <w:r>
        <w:rPr>
          <w:rFonts w:ascii="仿宋_GB2312" w:eastAsia="仿宋_GB2312"/>
          <w:color w:val="auto"/>
          <w:sz w:val="24"/>
          <w:szCs w:val="24"/>
        </w:rPr>
        <w:t>2022</w:t>
      </w:r>
      <w:r>
        <w:rPr>
          <w:rFonts w:hint="eastAsia" w:ascii="仿宋_GB2312" w:eastAsia="仿宋_GB2312"/>
          <w:color w:val="auto"/>
          <w:sz w:val="24"/>
          <w:szCs w:val="24"/>
        </w:rPr>
        <w:t>年</w:t>
      </w:r>
      <w:r>
        <w:rPr>
          <w:rFonts w:ascii="仿宋_GB2312" w:eastAsia="仿宋_GB2312"/>
          <w:color w:val="auto"/>
          <w:sz w:val="24"/>
          <w:szCs w:val="24"/>
        </w:rPr>
        <w:t>10</w:t>
      </w:r>
      <w:r>
        <w:rPr>
          <w:rFonts w:hint="eastAsia" w:ascii="仿宋_GB2312" w:eastAsia="仿宋_GB2312"/>
          <w:color w:val="auto"/>
          <w:sz w:val="24"/>
          <w:szCs w:val="24"/>
        </w:rPr>
        <w:t>月</w:t>
      </w:r>
      <w:r>
        <w:rPr>
          <w:rFonts w:ascii="仿宋_GB2312" w:eastAsia="仿宋_GB2312"/>
          <w:color w:val="auto"/>
          <w:sz w:val="24"/>
          <w:szCs w:val="24"/>
        </w:rPr>
        <w:t>1</w:t>
      </w:r>
      <w:r>
        <w:rPr>
          <w:rFonts w:hint="eastAsia" w:ascii="仿宋_GB2312" w:eastAsia="仿宋_GB2312"/>
          <w:color w:val="auto"/>
          <w:sz w:val="24"/>
          <w:szCs w:val="24"/>
        </w:rPr>
        <w:t>日起执行。原温岭市农业林业局《关于印发〈温岭市枯死松树清理工程质量检查验收办法（试行）〉的通知》（温农林发〔</w:t>
      </w:r>
      <w:r>
        <w:rPr>
          <w:rFonts w:ascii="仿宋_GB2312" w:eastAsia="仿宋_GB2312"/>
          <w:color w:val="auto"/>
          <w:sz w:val="24"/>
          <w:szCs w:val="24"/>
        </w:rPr>
        <w:t>2014</w:t>
      </w:r>
      <w:r>
        <w:rPr>
          <w:rFonts w:hint="eastAsia" w:ascii="仿宋_GB2312" w:eastAsia="仿宋_GB2312"/>
          <w:color w:val="auto"/>
          <w:sz w:val="24"/>
          <w:szCs w:val="24"/>
        </w:rPr>
        <w:t>〕</w:t>
      </w:r>
      <w:r>
        <w:rPr>
          <w:rFonts w:ascii="仿宋_GB2312" w:eastAsia="仿宋_GB2312"/>
          <w:color w:val="auto"/>
          <w:sz w:val="24"/>
          <w:szCs w:val="24"/>
        </w:rPr>
        <w:t>69</w:t>
      </w:r>
      <w:r>
        <w:rPr>
          <w:rFonts w:hint="eastAsia" w:ascii="仿宋_GB2312" w:eastAsia="仿宋_GB2312"/>
          <w:color w:val="auto"/>
          <w:sz w:val="24"/>
          <w:szCs w:val="24"/>
        </w:rPr>
        <w:t>号）同时废止。</w:t>
      </w:r>
    </w:p>
    <w:p>
      <w:pPr>
        <w:spacing w:line="600" w:lineRule="exact"/>
        <w:ind w:right="216" w:rightChars="98"/>
        <w:jc w:val="left"/>
        <w:rPr>
          <w:rFonts w:ascii="黑体" w:hAnsi="黑体" w:eastAsia="黑体"/>
          <w:color w:val="auto"/>
          <w:sz w:val="24"/>
          <w:szCs w:val="24"/>
        </w:rPr>
      </w:pPr>
      <w:r>
        <w:rPr>
          <w:rFonts w:hint="eastAsia" w:ascii="黑体" w:hAnsi="黑体" w:eastAsia="黑体"/>
          <w:color w:val="auto"/>
          <w:sz w:val="24"/>
          <w:szCs w:val="24"/>
        </w:rPr>
        <w:br w:type="page"/>
      </w:r>
      <w:r>
        <w:rPr>
          <w:rFonts w:hint="eastAsia" w:ascii="黑体" w:hAnsi="黑体" w:eastAsia="黑体"/>
          <w:color w:val="auto"/>
          <w:sz w:val="24"/>
          <w:szCs w:val="24"/>
        </w:rPr>
        <w:t>附表：</w:t>
      </w:r>
    </w:p>
    <w:p>
      <w:pPr>
        <w:spacing w:line="600" w:lineRule="exact"/>
        <w:ind w:right="216" w:rightChars="98"/>
        <w:jc w:val="center"/>
        <w:rPr>
          <w:rFonts w:ascii="黑体" w:hAnsi="黑体" w:eastAsia="黑体"/>
          <w:color w:val="auto"/>
          <w:sz w:val="24"/>
          <w:szCs w:val="24"/>
        </w:rPr>
      </w:pPr>
      <w:r>
        <w:rPr>
          <w:rFonts w:hint="eastAsia" w:ascii="黑体" w:hAnsi="黑体" w:eastAsia="黑体"/>
          <w:color w:val="auto"/>
          <w:sz w:val="24"/>
          <w:szCs w:val="24"/>
        </w:rPr>
        <w:t>温岭市枯死松树清理工程质量验收样地记录表</w:t>
      </w:r>
    </w:p>
    <w:p>
      <w:pPr>
        <w:spacing w:line="600" w:lineRule="exact"/>
        <w:ind w:right="216" w:rightChars="98"/>
        <w:jc w:val="center"/>
        <w:rPr>
          <w:rFonts w:ascii="黑体" w:hAnsi="黑体" w:eastAsia="黑体"/>
          <w:color w:val="auto"/>
          <w:sz w:val="24"/>
          <w:szCs w:val="24"/>
        </w:rPr>
      </w:pPr>
    </w:p>
    <w:p>
      <w:pPr>
        <w:spacing w:beforeLines="50"/>
        <w:ind w:right="-350" w:rightChars="-159" w:firstLine="480" w:firstLineChars="200"/>
        <w:jc w:val="left"/>
        <w:rPr>
          <w:rFonts w:ascii="仿宋_GB2312" w:hAnsi="??" w:eastAsia="仿宋_GB2312"/>
          <w:color w:val="auto"/>
          <w:sz w:val="24"/>
          <w:szCs w:val="24"/>
          <w:u w:val="single"/>
        </w:rPr>
      </w:pPr>
      <w:r>
        <w:rPr>
          <w:rFonts w:hint="eastAsia" w:ascii="仿宋_GB2312" w:hAnsi="??" w:eastAsia="仿宋_GB2312"/>
          <w:color w:val="auto"/>
          <w:sz w:val="24"/>
          <w:szCs w:val="24"/>
        </w:rPr>
        <w:t>建设单位：</w:t>
      </w:r>
      <w:r>
        <w:rPr>
          <w:rFonts w:ascii="仿宋_GB2312" w:hAnsi="??" w:eastAsia="仿宋_GB2312"/>
          <w:color w:val="auto"/>
          <w:sz w:val="24"/>
          <w:szCs w:val="24"/>
          <w:u w:val="single"/>
        </w:rPr>
        <w:t xml:space="preserve">         </w:t>
      </w:r>
      <w:r>
        <w:rPr>
          <w:rFonts w:hint="eastAsia" w:ascii="仿宋_GB2312" w:hAnsi="??" w:eastAsia="仿宋_GB2312"/>
          <w:color w:val="auto"/>
          <w:sz w:val="24"/>
          <w:szCs w:val="24"/>
          <w:u w:val="single"/>
        </w:rPr>
        <w:t xml:space="preserve">    </w:t>
      </w:r>
      <w:r>
        <w:rPr>
          <w:rFonts w:ascii="仿宋_GB2312" w:hAnsi="??" w:eastAsia="仿宋_GB2312"/>
          <w:color w:val="auto"/>
          <w:sz w:val="24"/>
          <w:szCs w:val="24"/>
          <w:u w:val="single"/>
        </w:rPr>
        <w:t xml:space="preserve">  </w:t>
      </w:r>
      <w:r>
        <w:rPr>
          <w:rFonts w:ascii="仿宋_GB2312" w:hAnsi="??" w:eastAsia="仿宋_GB2312"/>
          <w:color w:val="auto"/>
          <w:sz w:val="24"/>
          <w:szCs w:val="24"/>
        </w:rPr>
        <w:t xml:space="preserve">  </w:t>
      </w:r>
      <w:r>
        <w:rPr>
          <w:rFonts w:hint="eastAsia" w:ascii="仿宋_GB2312" w:hAnsi="??" w:eastAsia="仿宋_GB2312"/>
          <w:color w:val="auto"/>
          <w:sz w:val="24"/>
          <w:szCs w:val="24"/>
        </w:rPr>
        <w:t>施工单位：</w:t>
      </w:r>
    </w:p>
    <w:p>
      <w:pPr>
        <w:spacing w:beforeLines="50"/>
        <w:ind w:right="-350" w:rightChars="-159" w:firstLine="480" w:firstLineChars="200"/>
        <w:jc w:val="left"/>
        <w:rPr>
          <w:rFonts w:ascii="仿宋_GB2312" w:hAnsi="??" w:eastAsia="仿宋_GB2312"/>
          <w:color w:val="auto"/>
          <w:sz w:val="24"/>
          <w:szCs w:val="24"/>
        </w:rPr>
      </w:pPr>
      <w:r>
        <w:rPr>
          <w:rFonts w:hint="eastAsia" w:ascii="仿宋_GB2312" w:hAnsi="??" w:eastAsia="仿宋_GB2312"/>
          <w:color w:val="auto"/>
          <w:sz w:val="24"/>
          <w:szCs w:val="24"/>
        </w:rPr>
        <w:t>抽样地点：</w:t>
      </w:r>
      <w:r>
        <w:rPr>
          <w:rFonts w:ascii="仿宋_GB2312" w:hAnsi="??" w:eastAsia="仿宋_GB2312"/>
          <w:color w:val="auto"/>
          <w:sz w:val="24"/>
          <w:szCs w:val="24"/>
          <w:u w:val="single"/>
        </w:rPr>
        <w:t xml:space="preserve">        </w:t>
      </w:r>
      <w:r>
        <w:rPr>
          <w:rFonts w:hint="eastAsia" w:ascii="仿宋_GB2312" w:hAnsi="??" w:eastAsia="仿宋_GB2312"/>
          <w:color w:val="auto"/>
          <w:sz w:val="24"/>
          <w:szCs w:val="24"/>
        </w:rPr>
        <w:t>镇（街道）</w:t>
      </w:r>
      <w:r>
        <w:rPr>
          <w:rFonts w:ascii="仿宋_GB2312" w:hAnsi="??" w:eastAsia="仿宋_GB2312"/>
          <w:color w:val="auto"/>
          <w:sz w:val="24"/>
          <w:szCs w:val="24"/>
          <w:u w:val="single"/>
        </w:rPr>
        <w:t xml:space="preserve">        </w:t>
      </w:r>
      <w:r>
        <w:rPr>
          <w:rFonts w:hint="eastAsia" w:ascii="仿宋_GB2312" w:hAnsi="??" w:eastAsia="仿宋_GB2312"/>
          <w:color w:val="auto"/>
          <w:sz w:val="24"/>
          <w:szCs w:val="24"/>
        </w:rPr>
        <w:t>村</w:t>
      </w:r>
      <w:r>
        <w:rPr>
          <w:rFonts w:ascii="仿宋_GB2312" w:hAnsi="??" w:eastAsia="仿宋_GB2312"/>
          <w:color w:val="auto"/>
          <w:sz w:val="24"/>
          <w:szCs w:val="24"/>
          <w:u w:val="single"/>
        </w:rPr>
        <w:t xml:space="preserve">          </w:t>
      </w:r>
      <w:r>
        <w:rPr>
          <w:rFonts w:hint="eastAsia" w:ascii="仿宋_GB2312" w:hAnsi="??" w:eastAsia="仿宋_GB2312"/>
          <w:color w:val="auto"/>
          <w:sz w:val="24"/>
          <w:szCs w:val="24"/>
        </w:rPr>
        <w:t>（小地名）</w:t>
      </w:r>
    </w:p>
    <w:p>
      <w:pPr>
        <w:spacing w:beforeLines="50"/>
        <w:ind w:right="73" w:rightChars="33" w:firstLine="480" w:firstLineChars="200"/>
        <w:jc w:val="left"/>
        <w:rPr>
          <w:rFonts w:ascii="仿宋_GB2312" w:hAnsi="??" w:eastAsia="仿宋_GB2312"/>
          <w:color w:val="auto"/>
          <w:sz w:val="24"/>
          <w:szCs w:val="24"/>
        </w:rPr>
      </w:pPr>
      <w:r>
        <w:rPr>
          <w:rFonts w:hint="eastAsia" w:ascii="仿宋_GB2312" w:hAnsi="??" w:eastAsia="仿宋_GB2312"/>
          <w:color w:val="auto"/>
          <w:sz w:val="24"/>
          <w:szCs w:val="24"/>
        </w:rPr>
        <w:t>小班号：</w:t>
      </w:r>
      <w:r>
        <w:rPr>
          <w:rFonts w:ascii="仿宋_GB2312" w:hAnsi="??" w:eastAsia="仿宋_GB2312"/>
          <w:color w:val="auto"/>
          <w:sz w:val="24"/>
          <w:szCs w:val="24"/>
          <w:u w:val="single"/>
        </w:rPr>
        <w:t xml:space="preserve">                </w:t>
      </w:r>
      <w:r>
        <w:rPr>
          <w:rFonts w:ascii="仿宋_GB2312" w:hAnsi="??" w:eastAsia="仿宋_GB2312"/>
          <w:color w:val="auto"/>
          <w:sz w:val="24"/>
          <w:szCs w:val="24"/>
        </w:rPr>
        <w:t xml:space="preserve">    </w:t>
      </w:r>
      <w:r>
        <w:rPr>
          <w:rFonts w:hint="eastAsia" w:ascii="仿宋_GB2312" w:hAnsi="??" w:eastAsia="仿宋_GB2312"/>
          <w:color w:val="auto"/>
          <w:sz w:val="24"/>
          <w:szCs w:val="24"/>
        </w:rPr>
        <w:t>面积：</w:t>
      </w:r>
      <w:r>
        <w:rPr>
          <w:rFonts w:ascii="仿宋_GB2312" w:hAnsi="??" w:eastAsia="仿宋_GB2312"/>
          <w:color w:val="auto"/>
          <w:sz w:val="24"/>
          <w:szCs w:val="24"/>
          <w:u w:val="single"/>
        </w:rPr>
        <w:t xml:space="preserve">                   </w:t>
      </w:r>
      <w:r>
        <w:rPr>
          <w:rFonts w:hint="eastAsia" w:ascii="仿宋_GB2312" w:hAnsi="??" w:eastAsia="仿宋_GB2312"/>
          <w:color w:val="auto"/>
          <w:sz w:val="24"/>
          <w:szCs w:val="24"/>
        </w:rPr>
        <w:t>（亩）</w:t>
      </w:r>
    </w:p>
    <w:tbl>
      <w:tblPr>
        <w:tblStyle w:val="15"/>
        <w:tblpPr w:leftFromText="180" w:rightFromText="180" w:vertAnchor="text" w:horzAnchor="page" w:tblpX="820"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862"/>
        <w:gridCol w:w="1663"/>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06"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抽样项目</w:t>
            </w:r>
          </w:p>
        </w:tc>
        <w:tc>
          <w:tcPr>
            <w:tcW w:w="1862"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抽取样本数</w:t>
            </w:r>
          </w:p>
        </w:tc>
        <w:tc>
          <w:tcPr>
            <w:tcW w:w="1663"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不合格数</w:t>
            </w:r>
          </w:p>
        </w:tc>
        <w:tc>
          <w:tcPr>
            <w:tcW w:w="2074"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扣分值</w:t>
            </w:r>
          </w:p>
        </w:tc>
        <w:tc>
          <w:tcPr>
            <w:tcW w:w="2074"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备</w:t>
            </w:r>
            <w:r>
              <w:rPr>
                <w:rFonts w:ascii="仿宋_GB2312" w:hAnsi="??" w:eastAsia="仿宋_GB2312"/>
                <w:color w:val="auto"/>
                <w:sz w:val="24"/>
                <w:szCs w:val="24"/>
              </w:rPr>
              <w:t xml:space="preserve">    </w:t>
            </w:r>
            <w:r>
              <w:rPr>
                <w:rFonts w:hint="eastAsia" w:ascii="仿宋_GB2312" w:hAnsi="??" w:eastAsia="仿宋_GB2312"/>
                <w:color w:val="auto"/>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06"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伐</w:t>
            </w:r>
            <w:r>
              <w:rPr>
                <w:rFonts w:ascii="仿宋_GB2312" w:hAnsi="??" w:eastAsia="仿宋_GB2312"/>
                <w:color w:val="auto"/>
                <w:sz w:val="24"/>
                <w:szCs w:val="24"/>
              </w:rPr>
              <w:t xml:space="preserve">    </w:t>
            </w:r>
            <w:r>
              <w:rPr>
                <w:rFonts w:hint="eastAsia" w:ascii="仿宋_GB2312" w:hAnsi="??" w:eastAsia="仿宋_GB2312"/>
                <w:color w:val="auto"/>
                <w:sz w:val="24"/>
                <w:szCs w:val="24"/>
              </w:rPr>
              <w:t>桩</w:t>
            </w:r>
          </w:p>
        </w:tc>
        <w:tc>
          <w:tcPr>
            <w:tcW w:w="1862" w:type="dxa"/>
            <w:noWrap w:val="0"/>
            <w:vAlign w:val="center"/>
          </w:tcPr>
          <w:p>
            <w:pPr>
              <w:wordWrap/>
              <w:ind w:right="105"/>
              <w:jc w:val="center"/>
              <w:rPr>
                <w:rFonts w:ascii="仿宋_GB2312" w:hAnsi="??" w:eastAsia="仿宋_GB2312"/>
                <w:color w:val="auto"/>
                <w:sz w:val="24"/>
                <w:szCs w:val="24"/>
              </w:rPr>
            </w:pPr>
            <w:r>
              <w:rPr>
                <w:rFonts w:ascii="仿宋_GB2312" w:hAnsi="??" w:eastAsia="仿宋_GB2312"/>
                <w:color w:val="auto"/>
                <w:sz w:val="24"/>
                <w:szCs w:val="24"/>
              </w:rPr>
              <w:t>10  (</w:t>
            </w:r>
            <w:r>
              <w:rPr>
                <w:rFonts w:hint="eastAsia" w:ascii="仿宋_GB2312" w:hAnsi="??" w:eastAsia="仿宋_GB2312"/>
                <w:color w:val="auto"/>
                <w:sz w:val="24"/>
                <w:szCs w:val="24"/>
              </w:rPr>
              <w:t>只</w:t>
            </w:r>
            <w:r>
              <w:rPr>
                <w:rFonts w:ascii="仿宋_GB2312" w:hAnsi="??" w:eastAsia="仿宋_GB2312"/>
                <w:color w:val="auto"/>
                <w:sz w:val="24"/>
                <w:szCs w:val="24"/>
              </w:rPr>
              <w:t>)</w:t>
            </w:r>
          </w:p>
        </w:tc>
        <w:tc>
          <w:tcPr>
            <w:tcW w:w="1663" w:type="dxa"/>
            <w:noWrap w:val="0"/>
            <w:vAlign w:val="center"/>
          </w:tcPr>
          <w:p>
            <w:pPr>
              <w:jc w:val="center"/>
              <w:rPr>
                <w:rFonts w:ascii="仿宋_GB2312" w:hAnsi="??" w:eastAsia="仿宋_GB2312"/>
                <w:color w:val="auto"/>
                <w:sz w:val="24"/>
                <w:szCs w:val="24"/>
              </w:rPr>
            </w:pPr>
            <w:r>
              <w:rPr>
                <w:rFonts w:ascii="仿宋_GB2312" w:hAnsi="??" w:eastAsia="仿宋_GB2312"/>
                <w:color w:val="auto"/>
                <w:sz w:val="24"/>
                <w:szCs w:val="24"/>
              </w:rPr>
              <w:t>(</w:t>
            </w:r>
            <w:r>
              <w:rPr>
                <w:rFonts w:hint="eastAsia" w:ascii="仿宋_GB2312" w:hAnsi="??" w:eastAsia="仿宋_GB2312"/>
                <w:color w:val="auto"/>
                <w:sz w:val="24"/>
                <w:szCs w:val="24"/>
              </w:rPr>
              <w:t>只</w:t>
            </w:r>
            <w:r>
              <w:rPr>
                <w:rFonts w:ascii="仿宋_GB2312" w:hAnsi="??" w:eastAsia="仿宋_GB2312"/>
                <w:color w:val="auto"/>
                <w:sz w:val="24"/>
                <w:szCs w:val="24"/>
              </w:rPr>
              <w:t>)</w:t>
            </w:r>
          </w:p>
        </w:tc>
        <w:tc>
          <w:tcPr>
            <w:tcW w:w="2074" w:type="dxa"/>
            <w:noWrap w:val="0"/>
            <w:vAlign w:val="center"/>
          </w:tcPr>
          <w:p>
            <w:pPr>
              <w:jc w:val="center"/>
              <w:rPr>
                <w:rFonts w:ascii="仿宋_GB2312" w:hAnsi="??" w:eastAsia="仿宋_GB2312"/>
                <w:color w:val="auto"/>
                <w:sz w:val="24"/>
                <w:szCs w:val="24"/>
              </w:rPr>
            </w:pPr>
          </w:p>
        </w:tc>
        <w:tc>
          <w:tcPr>
            <w:tcW w:w="2074" w:type="dxa"/>
            <w:noWrap w:val="0"/>
            <w:vAlign w:val="center"/>
          </w:tcPr>
          <w:p>
            <w:pPr>
              <w:ind w:left="840" w:hanging="960" w:hangingChars="400"/>
              <w:jc w:val="center"/>
              <w:rPr>
                <w:rFonts w:ascii="仿宋_GB2312" w:hAnsi="??"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06"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枯</w:t>
            </w:r>
            <w:r>
              <w:rPr>
                <w:rFonts w:ascii="仿宋_GB2312" w:hAnsi="??" w:eastAsia="仿宋_GB2312"/>
                <w:color w:val="auto"/>
                <w:sz w:val="24"/>
                <w:szCs w:val="24"/>
              </w:rPr>
              <w:t xml:space="preserve"> </w:t>
            </w:r>
            <w:r>
              <w:rPr>
                <w:rFonts w:hint="eastAsia" w:ascii="仿宋_GB2312" w:hAnsi="??" w:eastAsia="仿宋_GB2312"/>
                <w:color w:val="auto"/>
                <w:sz w:val="24"/>
                <w:szCs w:val="24"/>
              </w:rPr>
              <w:t>死</w:t>
            </w:r>
            <w:r>
              <w:rPr>
                <w:rFonts w:ascii="仿宋_GB2312" w:hAnsi="??" w:eastAsia="仿宋_GB2312"/>
                <w:color w:val="auto"/>
                <w:sz w:val="24"/>
                <w:szCs w:val="24"/>
              </w:rPr>
              <w:t xml:space="preserve"> </w:t>
            </w:r>
            <w:r>
              <w:rPr>
                <w:rFonts w:hint="eastAsia" w:ascii="仿宋_GB2312" w:hAnsi="??" w:eastAsia="仿宋_GB2312"/>
                <w:color w:val="auto"/>
                <w:sz w:val="24"/>
                <w:szCs w:val="24"/>
              </w:rPr>
              <w:t>木</w:t>
            </w:r>
          </w:p>
        </w:tc>
        <w:tc>
          <w:tcPr>
            <w:tcW w:w="1862" w:type="dxa"/>
            <w:noWrap w:val="0"/>
            <w:vAlign w:val="center"/>
          </w:tcPr>
          <w:p>
            <w:pPr>
              <w:wordWrap/>
              <w:jc w:val="center"/>
              <w:rPr>
                <w:rFonts w:ascii="仿宋_GB2312" w:hAnsi="??" w:eastAsia="仿宋_GB2312"/>
                <w:color w:val="auto"/>
                <w:sz w:val="24"/>
                <w:szCs w:val="24"/>
              </w:rPr>
            </w:pPr>
            <w:r>
              <w:rPr>
                <w:rFonts w:ascii="仿宋_GB2312" w:hAnsi="??" w:eastAsia="仿宋_GB2312"/>
                <w:color w:val="auto"/>
                <w:sz w:val="24"/>
                <w:szCs w:val="24"/>
              </w:rPr>
              <w:t>50  (</w:t>
            </w:r>
            <w:r>
              <w:rPr>
                <w:rFonts w:hint="eastAsia" w:ascii="仿宋_GB2312" w:hAnsi="??" w:eastAsia="仿宋_GB2312"/>
                <w:color w:val="auto"/>
                <w:sz w:val="24"/>
                <w:szCs w:val="24"/>
              </w:rPr>
              <w:t>亩</w:t>
            </w:r>
            <w:r>
              <w:rPr>
                <w:rFonts w:ascii="仿宋_GB2312" w:hAnsi="??" w:eastAsia="仿宋_GB2312"/>
                <w:color w:val="auto"/>
                <w:sz w:val="24"/>
                <w:szCs w:val="24"/>
              </w:rPr>
              <w:t>)</w:t>
            </w:r>
          </w:p>
        </w:tc>
        <w:tc>
          <w:tcPr>
            <w:tcW w:w="1663" w:type="dxa"/>
            <w:noWrap w:val="0"/>
            <w:vAlign w:val="center"/>
          </w:tcPr>
          <w:p>
            <w:pPr>
              <w:jc w:val="center"/>
              <w:rPr>
                <w:rFonts w:ascii="仿宋_GB2312" w:hAnsi="??" w:eastAsia="仿宋_GB2312"/>
                <w:color w:val="auto"/>
                <w:sz w:val="24"/>
                <w:szCs w:val="24"/>
              </w:rPr>
            </w:pPr>
            <w:r>
              <w:rPr>
                <w:rFonts w:ascii="仿宋_GB2312" w:hAnsi="??" w:eastAsia="仿宋_GB2312"/>
                <w:color w:val="auto"/>
                <w:sz w:val="24"/>
                <w:szCs w:val="24"/>
              </w:rPr>
              <w:t>(</w:t>
            </w:r>
            <w:r>
              <w:rPr>
                <w:rFonts w:hint="eastAsia" w:ascii="仿宋_GB2312" w:hAnsi="??" w:eastAsia="仿宋_GB2312"/>
                <w:color w:val="auto"/>
                <w:sz w:val="24"/>
                <w:szCs w:val="24"/>
              </w:rPr>
              <w:t>株</w:t>
            </w:r>
            <w:r>
              <w:rPr>
                <w:rFonts w:ascii="仿宋_GB2312" w:hAnsi="??" w:eastAsia="仿宋_GB2312"/>
                <w:color w:val="auto"/>
                <w:sz w:val="24"/>
                <w:szCs w:val="24"/>
              </w:rPr>
              <w:t>)</w:t>
            </w:r>
          </w:p>
        </w:tc>
        <w:tc>
          <w:tcPr>
            <w:tcW w:w="2074" w:type="dxa"/>
            <w:noWrap w:val="0"/>
            <w:vAlign w:val="center"/>
          </w:tcPr>
          <w:p>
            <w:pPr>
              <w:jc w:val="center"/>
              <w:rPr>
                <w:rFonts w:ascii="仿宋_GB2312" w:hAnsi="??" w:eastAsia="仿宋_GB2312"/>
                <w:color w:val="auto"/>
                <w:sz w:val="24"/>
                <w:szCs w:val="24"/>
              </w:rPr>
            </w:pPr>
          </w:p>
        </w:tc>
        <w:tc>
          <w:tcPr>
            <w:tcW w:w="2074" w:type="dxa"/>
            <w:noWrap w:val="0"/>
            <w:vAlign w:val="center"/>
          </w:tcPr>
          <w:p>
            <w:pPr>
              <w:ind w:left="840" w:hanging="960" w:hangingChars="400"/>
              <w:jc w:val="center"/>
              <w:rPr>
                <w:rFonts w:ascii="仿宋_GB2312" w:hAnsi="??"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06"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枯死枝梢</w:t>
            </w:r>
          </w:p>
        </w:tc>
        <w:tc>
          <w:tcPr>
            <w:tcW w:w="1862" w:type="dxa"/>
            <w:noWrap w:val="0"/>
            <w:vAlign w:val="center"/>
          </w:tcPr>
          <w:p>
            <w:pPr>
              <w:wordWrap/>
              <w:jc w:val="center"/>
              <w:rPr>
                <w:rFonts w:ascii="仿宋_GB2312" w:hAnsi="??" w:eastAsia="仿宋_GB2312"/>
                <w:color w:val="auto"/>
                <w:sz w:val="24"/>
                <w:szCs w:val="24"/>
              </w:rPr>
            </w:pPr>
            <w:r>
              <w:rPr>
                <w:rFonts w:ascii="仿宋_GB2312" w:hAnsi="??" w:eastAsia="仿宋_GB2312"/>
                <w:color w:val="auto"/>
                <w:sz w:val="24"/>
                <w:szCs w:val="24"/>
              </w:rPr>
              <w:t>50  (</w:t>
            </w:r>
            <w:r>
              <w:rPr>
                <w:rFonts w:hint="eastAsia" w:ascii="仿宋_GB2312" w:hAnsi="??" w:eastAsia="仿宋_GB2312"/>
                <w:color w:val="auto"/>
                <w:sz w:val="24"/>
                <w:szCs w:val="24"/>
              </w:rPr>
              <w:t>亩</w:t>
            </w:r>
            <w:r>
              <w:rPr>
                <w:rFonts w:ascii="仿宋_GB2312" w:hAnsi="??" w:eastAsia="仿宋_GB2312"/>
                <w:color w:val="auto"/>
                <w:sz w:val="24"/>
                <w:szCs w:val="24"/>
              </w:rPr>
              <w:t>)</w:t>
            </w:r>
          </w:p>
        </w:tc>
        <w:tc>
          <w:tcPr>
            <w:tcW w:w="1663" w:type="dxa"/>
            <w:noWrap w:val="0"/>
            <w:vAlign w:val="center"/>
          </w:tcPr>
          <w:p>
            <w:pPr>
              <w:jc w:val="center"/>
              <w:rPr>
                <w:rFonts w:ascii="仿宋_GB2312" w:hAnsi="??" w:eastAsia="仿宋_GB2312"/>
                <w:color w:val="auto"/>
                <w:sz w:val="24"/>
                <w:szCs w:val="24"/>
              </w:rPr>
            </w:pPr>
            <w:r>
              <w:rPr>
                <w:rFonts w:ascii="仿宋_GB2312" w:hAnsi="??" w:eastAsia="仿宋_GB2312"/>
                <w:color w:val="auto"/>
                <w:sz w:val="24"/>
                <w:szCs w:val="24"/>
              </w:rPr>
              <w:t>(</w:t>
            </w:r>
            <w:r>
              <w:rPr>
                <w:rFonts w:hint="eastAsia" w:ascii="仿宋_GB2312" w:hAnsi="??" w:eastAsia="仿宋_GB2312"/>
                <w:color w:val="auto"/>
                <w:sz w:val="24"/>
                <w:szCs w:val="24"/>
              </w:rPr>
              <w:t>段</w:t>
            </w:r>
            <w:r>
              <w:rPr>
                <w:rFonts w:ascii="仿宋_GB2312" w:hAnsi="??" w:eastAsia="仿宋_GB2312"/>
                <w:color w:val="auto"/>
                <w:sz w:val="24"/>
                <w:szCs w:val="24"/>
              </w:rPr>
              <w:t>)</w:t>
            </w:r>
          </w:p>
        </w:tc>
        <w:tc>
          <w:tcPr>
            <w:tcW w:w="2074" w:type="dxa"/>
            <w:noWrap w:val="0"/>
            <w:vAlign w:val="center"/>
          </w:tcPr>
          <w:p>
            <w:pPr>
              <w:jc w:val="center"/>
              <w:rPr>
                <w:rFonts w:ascii="仿宋_GB2312" w:hAnsi="??" w:eastAsia="仿宋_GB2312"/>
                <w:color w:val="auto"/>
                <w:sz w:val="24"/>
                <w:szCs w:val="24"/>
              </w:rPr>
            </w:pPr>
          </w:p>
        </w:tc>
        <w:tc>
          <w:tcPr>
            <w:tcW w:w="2074" w:type="dxa"/>
            <w:noWrap w:val="0"/>
            <w:vAlign w:val="center"/>
          </w:tcPr>
          <w:p>
            <w:pPr>
              <w:ind w:left="840" w:hanging="960" w:hangingChars="400"/>
              <w:jc w:val="center"/>
              <w:rPr>
                <w:rFonts w:ascii="仿宋_GB2312" w:hAnsi="??"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06"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枯死枝桠</w:t>
            </w:r>
          </w:p>
        </w:tc>
        <w:tc>
          <w:tcPr>
            <w:tcW w:w="1862" w:type="dxa"/>
            <w:noWrap w:val="0"/>
            <w:vAlign w:val="center"/>
          </w:tcPr>
          <w:p>
            <w:pPr>
              <w:wordWrap/>
              <w:jc w:val="center"/>
              <w:rPr>
                <w:rFonts w:ascii="仿宋_GB2312" w:hAnsi="??" w:eastAsia="仿宋_GB2312"/>
                <w:color w:val="auto"/>
                <w:sz w:val="24"/>
                <w:szCs w:val="24"/>
              </w:rPr>
            </w:pPr>
            <w:r>
              <w:rPr>
                <w:rFonts w:ascii="仿宋_GB2312" w:hAnsi="??" w:eastAsia="仿宋_GB2312"/>
                <w:color w:val="auto"/>
                <w:sz w:val="24"/>
                <w:szCs w:val="24"/>
              </w:rPr>
              <w:t>50  (</w:t>
            </w:r>
            <w:r>
              <w:rPr>
                <w:rFonts w:hint="eastAsia" w:ascii="仿宋_GB2312" w:hAnsi="??" w:eastAsia="仿宋_GB2312"/>
                <w:color w:val="auto"/>
                <w:sz w:val="24"/>
                <w:szCs w:val="24"/>
              </w:rPr>
              <w:t>亩</w:t>
            </w:r>
            <w:r>
              <w:rPr>
                <w:rFonts w:ascii="仿宋_GB2312" w:hAnsi="??" w:eastAsia="仿宋_GB2312"/>
                <w:color w:val="auto"/>
                <w:sz w:val="24"/>
                <w:szCs w:val="24"/>
              </w:rPr>
              <w:t>)</w:t>
            </w:r>
          </w:p>
        </w:tc>
        <w:tc>
          <w:tcPr>
            <w:tcW w:w="1663" w:type="dxa"/>
            <w:noWrap w:val="0"/>
            <w:vAlign w:val="center"/>
          </w:tcPr>
          <w:p>
            <w:pPr>
              <w:jc w:val="center"/>
              <w:rPr>
                <w:rFonts w:ascii="仿宋_GB2312" w:hAnsi="??" w:eastAsia="仿宋_GB2312"/>
                <w:color w:val="auto"/>
                <w:sz w:val="24"/>
                <w:szCs w:val="24"/>
              </w:rPr>
            </w:pPr>
            <w:r>
              <w:rPr>
                <w:rFonts w:ascii="仿宋_GB2312" w:hAnsi="??" w:eastAsia="仿宋_GB2312"/>
                <w:color w:val="auto"/>
                <w:sz w:val="24"/>
                <w:szCs w:val="24"/>
              </w:rPr>
              <w:t>(</w:t>
            </w:r>
            <w:r>
              <w:rPr>
                <w:rFonts w:hint="eastAsia" w:ascii="仿宋_GB2312" w:hAnsi="??" w:eastAsia="仿宋_GB2312"/>
                <w:color w:val="auto"/>
                <w:sz w:val="24"/>
                <w:szCs w:val="24"/>
              </w:rPr>
              <w:t>枝</w:t>
            </w:r>
            <w:r>
              <w:rPr>
                <w:rFonts w:ascii="仿宋_GB2312" w:hAnsi="??" w:eastAsia="仿宋_GB2312"/>
                <w:color w:val="auto"/>
                <w:sz w:val="24"/>
                <w:szCs w:val="24"/>
              </w:rPr>
              <w:t>)</w:t>
            </w:r>
          </w:p>
        </w:tc>
        <w:tc>
          <w:tcPr>
            <w:tcW w:w="2074" w:type="dxa"/>
            <w:noWrap w:val="0"/>
            <w:vAlign w:val="center"/>
          </w:tcPr>
          <w:p>
            <w:pPr>
              <w:jc w:val="center"/>
              <w:rPr>
                <w:rFonts w:ascii="仿宋_GB2312" w:hAnsi="??" w:eastAsia="仿宋_GB2312"/>
                <w:color w:val="auto"/>
                <w:sz w:val="24"/>
                <w:szCs w:val="24"/>
              </w:rPr>
            </w:pPr>
          </w:p>
        </w:tc>
        <w:tc>
          <w:tcPr>
            <w:tcW w:w="2074" w:type="dxa"/>
            <w:noWrap w:val="0"/>
            <w:vAlign w:val="center"/>
          </w:tcPr>
          <w:p>
            <w:pPr>
              <w:ind w:left="840" w:hanging="960" w:hangingChars="400"/>
              <w:jc w:val="center"/>
              <w:rPr>
                <w:rFonts w:ascii="仿宋_GB2312" w:hAnsi="??"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06"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浙江数字森防疫木除治上传</w:t>
            </w:r>
          </w:p>
        </w:tc>
        <w:tc>
          <w:tcPr>
            <w:tcW w:w="1862" w:type="dxa"/>
            <w:noWrap w:val="0"/>
            <w:vAlign w:val="center"/>
          </w:tcPr>
          <w:p>
            <w:pPr>
              <w:wordWrap/>
              <w:jc w:val="center"/>
              <w:rPr>
                <w:rFonts w:ascii="仿宋_GB2312" w:hAnsi="??" w:eastAsia="仿宋_GB2312"/>
                <w:color w:val="auto"/>
                <w:sz w:val="24"/>
                <w:szCs w:val="24"/>
              </w:rPr>
            </w:pPr>
            <w:r>
              <w:rPr>
                <w:rFonts w:ascii="仿宋_GB2312" w:hAnsi="??" w:eastAsia="仿宋_GB2312"/>
                <w:color w:val="auto"/>
                <w:sz w:val="24"/>
                <w:szCs w:val="24"/>
              </w:rPr>
              <w:t>50  (</w:t>
            </w:r>
            <w:r>
              <w:rPr>
                <w:rFonts w:hint="eastAsia" w:ascii="仿宋_GB2312" w:hAnsi="??" w:eastAsia="仿宋_GB2312"/>
                <w:color w:val="auto"/>
                <w:sz w:val="24"/>
                <w:szCs w:val="24"/>
              </w:rPr>
              <w:t>亩</w:t>
            </w:r>
            <w:r>
              <w:rPr>
                <w:rFonts w:ascii="仿宋_GB2312" w:hAnsi="??" w:eastAsia="仿宋_GB2312"/>
                <w:color w:val="auto"/>
                <w:sz w:val="24"/>
                <w:szCs w:val="24"/>
              </w:rPr>
              <w:t>)</w:t>
            </w:r>
          </w:p>
        </w:tc>
        <w:tc>
          <w:tcPr>
            <w:tcW w:w="1663" w:type="dxa"/>
            <w:noWrap w:val="0"/>
            <w:vAlign w:val="center"/>
          </w:tcPr>
          <w:p>
            <w:pPr>
              <w:jc w:val="center"/>
              <w:rPr>
                <w:rFonts w:ascii="仿宋_GB2312" w:hAnsi="??" w:eastAsia="仿宋_GB2312"/>
                <w:color w:val="auto"/>
                <w:sz w:val="24"/>
                <w:szCs w:val="24"/>
              </w:rPr>
            </w:pPr>
            <w:r>
              <w:rPr>
                <w:rFonts w:ascii="仿宋_GB2312" w:hAnsi="??" w:eastAsia="仿宋_GB2312"/>
                <w:color w:val="auto"/>
                <w:sz w:val="24"/>
                <w:szCs w:val="24"/>
              </w:rPr>
              <w:t>(</w:t>
            </w:r>
            <w:r>
              <w:rPr>
                <w:rFonts w:hint="eastAsia" w:ascii="仿宋_GB2312" w:hAnsi="??" w:eastAsia="仿宋_GB2312"/>
                <w:color w:val="auto"/>
                <w:sz w:val="24"/>
                <w:szCs w:val="24"/>
              </w:rPr>
              <w:t>株</w:t>
            </w:r>
            <w:r>
              <w:rPr>
                <w:rFonts w:ascii="仿宋_GB2312" w:hAnsi="??" w:eastAsia="仿宋_GB2312"/>
                <w:color w:val="auto"/>
                <w:sz w:val="24"/>
                <w:szCs w:val="24"/>
              </w:rPr>
              <w:t>)</w:t>
            </w:r>
          </w:p>
        </w:tc>
        <w:tc>
          <w:tcPr>
            <w:tcW w:w="2074" w:type="dxa"/>
            <w:noWrap w:val="0"/>
            <w:vAlign w:val="center"/>
          </w:tcPr>
          <w:p>
            <w:pPr>
              <w:jc w:val="center"/>
              <w:rPr>
                <w:rFonts w:ascii="仿宋_GB2312" w:hAnsi="??" w:eastAsia="仿宋_GB2312"/>
                <w:color w:val="auto"/>
                <w:sz w:val="24"/>
                <w:szCs w:val="24"/>
              </w:rPr>
            </w:pPr>
          </w:p>
        </w:tc>
        <w:tc>
          <w:tcPr>
            <w:tcW w:w="2074" w:type="dxa"/>
            <w:noWrap w:val="0"/>
            <w:vAlign w:val="center"/>
          </w:tcPr>
          <w:p>
            <w:pPr>
              <w:ind w:left="840" w:hanging="960" w:hangingChars="400"/>
              <w:jc w:val="center"/>
              <w:rPr>
                <w:rFonts w:ascii="仿宋_GB2312" w:hAnsi="??"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06"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样地得分</w:t>
            </w:r>
          </w:p>
        </w:tc>
        <w:tc>
          <w:tcPr>
            <w:tcW w:w="5599" w:type="dxa"/>
            <w:gridSpan w:val="3"/>
            <w:noWrap w:val="0"/>
            <w:vAlign w:val="center"/>
          </w:tcPr>
          <w:p>
            <w:pPr>
              <w:jc w:val="center"/>
              <w:rPr>
                <w:rFonts w:ascii="仿宋_GB2312" w:hAnsi="??" w:eastAsia="仿宋_GB2312"/>
                <w:color w:val="auto"/>
                <w:sz w:val="24"/>
                <w:szCs w:val="24"/>
              </w:rPr>
            </w:pPr>
          </w:p>
        </w:tc>
        <w:tc>
          <w:tcPr>
            <w:tcW w:w="2074"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样地得分＝</w:t>
            </w:r>
            <w:r>
              <w:rPr>
                <w:rFonts w:ascii="仿宋_GB2312" w:hAnsi="??" w:eastAsia="仿宋_GB2312"/>
                <w:color w:val="auto"/>
                <w:sz w:val="24"/>
                <w:szCs w:val="24"/>
              </w:rPr>
              <w:t>100</w:t>
            </w:r>
            <w:r>
              <w:rPr>
                <w:rFonts w:hint="eastAsia" w:ascii="仿宋_GB2312" w:hAnsi="??" w:eastAsia="仿宋_GB2312"/>
                <w:color w:val="auto"/>
                <w:sz w:val="24"/>
                <w:szCs w:val="24"/>
              </w:rPr>
              <w:t>－扣分总和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406"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样地质量评定</w:t>
            </w:r>
          </w:p>
        </w:tc>
        <w:tc>
          <w:tcPr>
            <w:tcW w:w="5599" w:type="dxa"/>
            <w:gridSpan w:val="3"/>
            <w:noWrap w:val="0"/>
            <w:vAlign w:val="center"/>
          </w:tcPr>
          <w:p>
            <w:pPr>
              <w:jc w:val="center"/>
              <w:rPr>
                <w:rFonts w:ascii="仿宋_GB2312" w:hAnsi="??" w:eastAsia="仿宋_GB2312"/>
                <w:color w:val="auto"/>
                <w:sz w:val="24"/>
                <w:szCs w:val="24"/>
              </w:rPr>
            </w:pPr>
          </w:p>
        </w:tc>
        <w:tc>
          <w:tcPr>
            <w:tcW w:w="2074" w:type="dxa"/>
            <w:noWrap w:val="0"/>
            <w:vAlign w:val="center"/>
          </w:tcPr>
          <w:p>
            <w:pPr>
              <w:jc w:val="center"/>
              <w:rPr>
                <w:rFonts w:ascii="仿宋_GB2312" w:hAnsi="??" w:eastAsia="仿宋_GB2312"/>
                <w:color w:val="auto"/>
                <w:sz w:val="24"/>
                <w:szCs w:val="24"/>
              </w:rPr>
            </w:pPr>
            <w:r>
              <w:rPr>
                <w:rFonts w:hint="eastAsia" w:ascii="仿宋_GB2312" w:hAnsi="??" w:eastAsia="仿宋_GB2312"/>
                <w:color w:val="auto"/>
                <w:sz w:val="24"/>
                <w:szCs w:val="24"/>
              </w:rPr>
              <w:t>≥</w:t>
            </w:r>
            <w:r>
              <w:rPr>
                <w:rFonts w:ascii="仿宋_GB2312" w:hAnsi="??" w:eastAsia="仿宋_GB2312"/>
                <w:color w:val="auto"/>
                <w:sz w:val="24"/>
                <w:szCs w:val="24"/>
              </w:rPr>
              <w:t>90</w:t>
            </w:r>
            <w:r>
              <w:rPr>
                <w:rFonts w:hint="eastAsia" w:ascii="仿宋_GB2312" w:hAnsi="??" w:eastAsia="仿宋_GB2312"/>
                <w:color w:val="auto"/>
                <w:sz w:val="24"/>
                <w:szCs w:val="24"/>
              </w:rPr>
              <w:t>分记合格</w:t>
            </w:r>
          </w:p>
          <w:p>
            <w:pPr>
              <w:jc w:val="center"/>
              <w:rPr>
                <w:rFonts w:ascii="仿宋_GB2312" w:hAnsi="??" w:eastAsia="仿宋_GB2312"/>
                <w:color w:val="auto"/>
                <w:sz w:val="24"/>
                <w:szCs w:val="24"/>
              </w:rPr>
            </w:pPr>
            <w:r>
              <w:rPr>
                <w:rFonts w:hint="eastAsia" w:ascii="仿宋_GB2312" w:hAnsi="??" w:eastAsia="仿宋_GB2312"/>
                <w:color w:val="auto"/>
                <w:sz w:val="24"/>
                <w:szCs w:val="24"/>
              </w:rPr>
              <w:t>＜</w:t>
            </w:r>
            <w:r>
              <w:rPr>
                <w:rFonts w:ascii="仿宋_GB2312" w:hAnsi="??" w:eastAsia="仿宋_GB2312"/>
                <w:color w:val="auto"/>
                <w:sz w:val="24"/>
                <w:szCs w:val="24"/>
              </w:rPr>
              <w:t>90</w:t>
            </w:r>
            <w:r>
              <w:rPr>
                <w:rFonts w:hint="eastAsia" w:ascii="仿宋_GB2312" w:hAnsi="??" w:eastAsia="仿宋_GB2312"/>
                <w:color w:val="auto"/>
                <w:sz w:val="24"/>
                <w:szCs w:val="24"/>
              </w:rPr>
              <w:t>分记不合格</w:t>
            </w:r>
          </w:p>
        </w:tc>
      </w:tr>
    </w:tbl>
    <w:p>
      <w:pPr>
        <w:snapToGrid w:val="0"/>
        <w:ind w:right="73" w:rightChars="33"/>
        <w:jc w:val="center"/>
        <w:rPr>
          <w:rFonts w:ascii="仿宋_GB2312" w:hAnsi="??" w:eastAsia="仿宋_GB2312"/>
          <w:color w:val="auto"/>
          <w:sz w:val="24"/>
          <w:szCs w:val="24"/>
        </w:rPr>
      </w:pPr>
    </w:p>
    <w:p>
      <w:pPr>
        <w:adjustRightInd w:val="0"/>
        <w:jc w:val="left"/>
        <w:rPr>
          <w:rFonts w:ascii="仿宋_GB2312" w:eastAsia="仿宋_GB2312"/>
          <w:color w:val="auto"/>
          <w:sz w:val="24"/>
          <w:szCs w:val="24"/>
        </w:rPr>
      </w:pPr>
      <w:r>
        <w:rPr>
          <w:rFonts w:hint="eastAsia" w:ascii="仿宋_GB2312" w:eastAsia="仿宋_GB2312"/>
          <w:color w:val="auto"/>
          <w:sz w:val="24"/>
          <w:szCs w:val="24"/>
        </w:rPr>
        <w:t>说明：</w:t>
      </w:r>
      <w:r>
        <w:rPr>
          <w:rFonts w:ascii="仿宋_GB2312" w:eastAsia="仿宋_GB2312"/>
          <w:color w:val="auto"/>
          <w:sz w:val="24"/>
          <w:szCs w:val="24"/>
        </w:rPr>
        <w:t>10</w:t>
      </w:r>
      <w:r>
        <w:rPr>
          <w:rFonts w:hint="eastAsia" w:ascii="仿宋_GB2312" w:eastAsia="仿宋_GB2312"/>
          <w:color w:val="auto"/>
          <w:sz w:val="24"/>
          <w:szCs w:val="24"/>
        </w:rPr>
        <w:t>只清理伐桩样本中不合格伐桩每只扣</w:t>
      </w:r>
      <w:r>
        <w:rPr>
          <w:rFonts w:ascii="仿宋_GB2312" w:eastAsia="仿宋_GB2312"/>
          <w:color w:val="auto"/>
          <w:sz w:val="24"/>
          <w:szCs w:val="24"/>
        </w:rPr>
        <w:t>2</w:t>
      </w:r>
      <w:r>
        <w:rPr>
          <w:rFonts w:hint="eastAsia" w:ascii="仿宋_GB2312" w:eastAsia="仿宋_GB2312"/>
          <w:color w:val="auto"/>
          <w:sz w:val="24"/>
          <w:szCs w:val="24"/>
        </w:rPr>
        <w:t>分；</w:t>
      </w:r>
    </w:p>
    <w:p>
      <w:pPr>
        <w:adjustRightInd w:val="0"/>
        <w:ind w:firstLine="720" w:firstLineChars="300"/>
        <w:jc w:val="left"/>
        <w:rPr>
          <w:rFonts w:ascii="仿宋_GB2312" w:eastAsia="仿宋_GB2312"/>
          <w:color w:val="auto"/>
          <w:sz w:val="24"/>
          <w:szCs w:val="24"/>
        </w:rPr>
      </w:pPr>
      <w:r>
        <w:rPr>
          <w:rFonts w:ascii="仿宋_GB2312" w:eastAsia="仿宋_GB2312"/>
          <w:color w:val="auto"/>
          <w:sz w:val="24"/>
          <w:szCs w:val="24"/>
        </w:rPr>
        <w:t>50</w:t>
      </w:r>
      <w:r>
        <w:rPr>
          <w:rFonts w:hint="eastAsia" w:ascii="仿宋_GB2312" w:eastAsia="仿宋_GB2312"/>
          <w:color w:val="auto"/>
          <w:sz w:val="24"/>
          <w:szCs w:val="24"/>
        </w:rPr>
        <w:t>亩林地中有枯死松树立木或伐倒木每株扣</w:t>
      </w:r>
      <w:r>
        <w:rPr>
          <w:rFonts w:ascii="仿宋_GB2312" w:eastAsia="仿宋_GB2312"/>
          <w:color w:val="auto"/>
          <w:sz w:val="24"/>
          <w:szCs w:val="24"/>
        </w:rPr>
        <w:t>5</w:t>
      </w:r>
      <w:r>
        <w:rPr>
          <w:rFonts w:hint="eastAsia" w:ascii="仿宋_GB2312" w:eastAsia="仿宋_GB2312"/>
          <w:color w:val="auto"/>
          <w:sz w:val="24"/>
          <w:szCs w:val="24"/>
        </w:rPr>
        <w:t>分；</w:t>
      </w:r>
    </w:p>
    <w:p>
      <w:pPr>
        <w:adjustRightInd w:val="0"/>
        <w:ind w:firstLine="720" w:firstLineChars="300"/>
        <w:jc w:val="left"/>
        <w:rPr>
          <w:rFonts w:ascii="仿宋_GB2312" w:eastAsia="仿宋_GB2312"/>
          <w:color w:val="auto"/>
          <w:sz w:val="24"/>
          <w:szCs w:val="24"/>
        </w:rPr>
      </w:pPr>
      <w:r>
        <w:rPr>
          <w:rFonts w:ascii="仿宋_GB2312" w:eastAsia="仿宋_GB2312"/>
          <w:color w:val="auto"/>
          <w:sz w:val="24"/>
          <w:szCs w:val="24"/>
        </w:rPr>
        <w:t>50</w:t>
      </w:r>
      <w:r>
        <w:rPr>
          <w:rFonts w:hint="eastAsia" w:ascii="仿宋_GB2312" w:eastAsia="仿宋_GB2312"/>
          <w:color w:val="auto"/>
          <w:sz w:val="24"/>
          <w:szCs w:val="24"/>
        </w:rPr>
        <w:t>亩林地中有枯死松树枝梢每段扣</w:t>
      </w:r>
      <w:r>
        <w:rPr>
          <w:rFonts w:ascii="仿宋_GB2312" w:eastAsia="仿宋_GB2312"/>
          <w:color w:val="auto"/>
          <w:sz w:val="24"/>
          <w:szCs w:val="24"/>
        </w:rPr>
        <w:t>3</w:t>
      </w:r>
      <w:r>
        <w:rPr>
          <w:rFonts w:hint="eastAsia" w:ascii="仿宋_GB2312" w:eastAsia="仿宋_GB2312"/>
          <w:color w:val="auto"/>
          <w:sz w:val="24"/>
          <w:szCs w:val="24"/>
        </w:rPr>
        <w:t>分；</w:t>
      </w:r>
    </w:p>
    <w:p>
      <w:pPr>
        <w:adjustRightInd w:val="0"/>
        <w:ind w:right="-350" w:rightChars="-159" w:firstLine="720" w:firstLineChars="300"/>
        <w:jc w:val="left"/>
        <w:rPr>
          <w:rFonts w:ascii="仿宋_GB2312" w:eastAsia="仿宋_GB2312"/>
          <w:color w:val="auto"/>
          <w:sz w:val="24"/>
          <w:szCs w:val="24"/>
        </w:rPr>
      </w:pPr>
      <w:r>
        <w:rPr>
          <w:rFonts w:ascii="仿宋_GB2312" w:eastAsia="仿宋_GB2312"/>
          <w:color w:val="auto"/>
          <w:sz w:val="24"/>
          <w:szCs w:val="24"/>
        </w:rPr>
        <w:t>50</w:t>
      </w:r>
      <w:r>
        <w:rPr>
          <w:rFonts w:hint="eastAsia" w:ascii="仿宋_GB2312" w:eastAsia="仿宋_GB2312"/>
          <w:color w:val="auto"/>
          <w:sz w:val="24"/>
          <w:szCs w:val="24"/>
        </w:rPr>
        <w:t>亩林地中有直径</w:t>
      </w:r>
      <w:r>
        <w:rPr>
          <w:rFonts w:ascii="仿宋_GB2312" w:eastAsia="仿宋_GB2312"/>
          <w:color w:val="auto"/>
          <w:sz w:val="24"/>
          <w:szCs w:val="24"/>
        </w:rPr>
        <w:t>1cm</w:t>
      </w:r>
      <w:r>
        <w:rPr>
          <w:rFonts w:hint="eastAsia" w:ascii="仿宋_GB2312" w:eastAsia="仿宋_GB2312"/>
          <w:color w:val="auto"/>
          <w:sz w:val="24"/>
          <w:szCs w:val="24"/>
        </w:rPr>
        <w:t>以上枯死枝桠每根扣</w:t>
      </w:r>
      <w:r>
        <w:rPr>
          <w:rFonts w:ascii="仿宋_GB2312" w:eastAsia="仿宋_GB2312"/>
          <w:color w:val="auto"/>
          <w:sz w:val="24"/>
          <w:szCs w:val="24"/>
        </w:rPr>
        <w:t>1</w:t>
      </w:r>
      <w:r>
        <w:rPr>
          <w:rFonts w:hint="eastAsia" w:ascii="仿宋_GB2312" w:eastAsia="仿宋_GB2312"/>
          <w:color w:val="auto"/>
          <w:sz w:val="24"/>
          <w:szCs w:val="24"/>
        </w:rPr>
        <w:t>分；</w:t>
      </w:r>
    </w:p>
    <w:p>
      <w:pPr>
        <w:adjustRightInd w:val="0"/>
        <w:ind w:right="-350" w:rightChars="-159" w:firstLine="720" w:firstLineChars="300"/>
        <w:jc w:val="left"/>
        <w:rPr>
          <w:rFonts w:ascii="仿宋_GB2312" w:eastAsia="仿宋_GB2312"/>
          <w:color w:val="auto"/>
          <w:sz w:val="24"/>
          <w:szCs w:val="24"/>
        </w:rPr>
      </w:pPr>
      <w:r>
        <w:rPr>
          <w:rFonts w:hint="eastAsia" w:ascii="仿宋_GB2312" w:eastAsia="仿宋_GB2312"/>
          <w:color w:val="auto"/>
          <w:sz w:val="24"/>
          <w:szCs w:val="24"/>
        </w:rPr>
        <w:t>50亩林地中疫木除治上传浙江数字森防多传、漏传或上传不规范每株扣0.5分。</w:t>
      </w:r>
    </w:p>
    <w:p>
      <w:pPr>
        <w:jc w:val="left"/>
        <w:rPr>
          <w:rFonts w:ascii="仿宋_GB2312" w:eastAsia="仿宋_GB2312"/>
          <w:color w:val="auto"/>
          <w:sz w:val="24"/>
          <w:szCs w:val="24"/>
        </w:rPr>
      </w:pPr>
    </w:p>
    <w:p>
      <w:pPr>
        <w:jc w:val="left"/>
        <w:rPr>
          <w:rFonts w:ascii="仿宋_GB2312" w:hAnsi="??" w:eastAsia="仿宋_GB2312" w:cs="??"/>
          <w:color w:val="auto"/>
          <w:sz w:val="24"/>
          <w:szCs w:val="24"/>
        </w:rPr>
      </w:pPr>
      <w:r>
        <w:rPr>
          <w:rFonts w:hint="eastAsia" w:ascii="仿宋_GB2312" w:eastAsia="仿宋_GB2312"/>
          <w:color w:val="auto"/>
          <w:sz w:val="24"/>
          <w:szCs w:val="24"/>
        </w:rPr>
        <w:t>验收人员</w:t>
      </w:r>
      <w:r>
        <w:rPr>
          <w:rFonts w:ascii="仿宋_GB2312" w:eastAsia="仿宋_GB2312"/>
          <w:color w:val="auto"/>
          <w:sz w:val="24"/>
          <w:szCs w:val="24"/>
        </w:rPr>
        <w:t>(</w:t>
      </w:r>
      <w:r>
        <w:rPr>
          <w:rFonts w:hint="eastAsia" w:ascii="仿宋_GB2312" w:eastAsia="仿宋_GB2312"/>
          <w:color w:val="auto"/>
          <w:sz w:val="24"/>
          <w:szCs w:val="24"/>
        </w:rPr>
        <w:t>签名</w:t>
      </w:r>
      <w:r>
        <w:rPr>
          <w:rFonts w:ascii="仿宋_GB2312" w:eastAsia="仿宋_GB2312"/>
          <w:color w:val="auto"/>
          <w:sz w:val="24"/>
          <w:szCs w:val="24"/>
        </w:rPr>
        <w:t>)</w:t>
      </w:r>
      <w:r>
        <w:rPr>
          <w:rFonts w:hint="eastAsia" w:ascii="仿宋_GB2312" w:eastAsia="仿宋_GB2312"/>
          <w:color w:val="auto"/>
          <w:sz w:val="24"/>
          <w:szCs w:val="24"/>
        </w:rPr>
        <w:t>：</w:t>
      </w:r>
    </w:p>
    <w:p>
      <w:pPr>
        <w:tabs>
          <w:tab w:val="left" w:pos="9000"/>
        </w:tabs>
        <w:ind w:right="73" w:rightChars="33"/>
        <w:jc w:val="center"/>
        <w:rPr>
          <w:rFonts w:ascii="仿宋_GB2312" w:eastAsia="仿宋_GB2312"/>
          <w:color w:val="auto"/>
          <w:sz w:val="24"/>
          <w:szCs w:val="24"/>
        </w:rPr>
      </w:pPr>
    </w:p>
    <w:p>
      <w:pPr>
        <w:ind w:right="-350" w:rightChars="-159" w:firstLine="7080" w:firstLineChars="2950"/>
        <w:jc w:val="left"/>
        <w:rPr>
          <w:rFonts w:eastAsia="宋体"/>
          <w:color w:val="auto"/>
          <w:sz w:val="24"/>
          <w:szCs w:val="24"/>
        </w:rPr>
      </w:pPr>
    </w:p>
    <w:p>
      <w:pPr>
        <w:ind w:right="-350" w:rightChars="-159" w:firstLine="7080" w:firstLineChars="2950"/>
        <w:jc w:val="left"/>
        <w:rPr>
          <w:rFonts w:eastAsia="宋体"/>
          <w:color w:val="auto"/>
          <w:sz w:val="24"/>
          <w:szCs w:val="24"/>
        </w:rPr>
      </w:pPr>
    </w:p>
    <w:p>
      <w:pPr>
        <w:pStyle w:val="8"/>
        <w:spacing w:before="2" w:line="364" w:lineRule="auto"/>
        <w:ind w:left="827" w:right="489" w:firstLine="480"/>
        <w:jc w:val="right"/>
        <w:rPr>
          <w:rFonts w:ascii="宋体" w:hAnsi="宋体" w:eastAsia="宋体"/>
          <w:color w:val="auto"/>
          <w:sz w:val="24"/>
          <w:szCs w:val="24"/>
          <w:highlight w:val="none"/>
        </w:rPr>
      </w:pPr>
      <w:r>
        <w:rPr>
          <w:rFonts w:hint="eastAsia" w:ascii="宋体" w:hAnsi="宋体" w:cs="宋体"/>
          <w:color w:val="auto"/>
          <w:sz w:val="24"/>
          <w:szCs w:val="24"/>
        </w:rPr>
        <w:t>年</w:t>
      </w:r>
      <w:r>
        <w:rPr>
          <w:rFonts w:eastAsia="Times New Roman"/>
          <w:color w:val="auto"/>
          <w:sz w:val="24"/>
          <w:szCs w:val="24"/>
        </w:rPr>
        <w:t xml:space="preserve">         </w:t>
      </w:r>
      <w:r>
        <w:rPr>
          <w:rFonts w:hint="eastAsia" w:ascii="宋体" w:hAnsi="宋体" w:cs="宋体"/>
          <w:color w:val="auto"/>
          <w:sz w:val="24"/>
          <w:szCs w:val="24"/>
        </w:rPr>
        <w:t>月</w:t>
      </w:r>
      <w:r>
        <w:rPr>
          <w:rFonts w:eastAsia="Times New Roman"/>
          <w:color w:val="auto"/>
          <w:sz w:val="24"/>
          <w:szCs w:val="24"/>
        </w:rPr>
        <w:t xml:space="preserve">        </w:t>
      </w:r>
      <w:r>
        <w:rPr>
          <w:rFonts w:hint="eastAsia" w:ascii="宋体" w:hAnsi="宋体" w:cs="宋体"/>
          <w:color w:val="auto"/>
          <w:sz w:val="24"/>
          <w:szCs w:val="24"/>
        </w:rPr>
        <w:t>日</w:t>
      </w:r>
    </w:p>
    <w:p>
      <w:pPr>
        <w:widowControl/>
        <w:jc w:val="both"/>
        <w:rPr>
          <w:rFonts w:ascii="宋体" w:hAnsi="宋体" w:eastAsia="宋体" w:cs="宋体"/>
          <w:color w:val="auto"/>
          <w:highlight w:val="none"/>
        </w:rPr>
      </w:pPr>
      <w:r>
        <w:rPr>
          <w:color w:val="auto"/>
          <w:highlight w:val="none"/>
        </w:rPr>
        <w:br w:type="page"/>
      </w:r>
      <w:r>
        <w:rPr>
          <w:rFonts w:hint="eastAsia"/>
          <w:color w:val="auto"/>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2"/>
          <w:sz w:val="36"/>
          <w:szCs w:val="36"/>
          <w:highlight w:val="none"/>
          <w:lang w:val="zh-CN" w:eastAsia="zh-CN" w:bidi="zh-CN"/>
        </w:rPr>
        <w:t>第五章</w:t>
      </w:r>
      <w:r>
        <w:rPr>
          <w:rFonts w:hint="eastAsia" w:ascii="宋体" w:hAnsi="宋体" w:eastAsia="宋体" w:cs="宋体"/>
          <w:b/>
          <w:bCs/>
          <w:color w:val="auto"/>
          <w:kern w:val="2"/>
          <w:sz w:val="36"/>
          <w:szCs w:val="36"/>
          <w:highlight w:val="none"/>
          <w:lang w:val="zh-CN" w:eastAsia="zh-CN" w:bidi="zh-CN"/>
        </w:rPr>
        <w:tab/>
      </w:r>
      <w:r>
        <w:rPr>
          <w:rFonts w:hint="eastAsia" w:ascii="宋体" w:hAnsi="宋体" w:eastAsia="宋体" w:cs="宋体"/>
          <w:b/>
          <w:bCs/>
          <w:color w:val="auto"/>
          <w:kern w:val="2"/>
          <w:sz w:val="36"/>
          <w:szCs w:val="36"/>
          <w:highlight w:val="none"/>
          <w:lang w:val="zh-CN" w:eastAsia="zh-CN" w:bidi="zh-CN"/>
        </w:rPr>
        <w:t>政府采购合同主要条款指引</w:t>
      </w:r>
    </w:p>
    <w:p>
      <w:pPr>
        <w:pStyle w:val="4"/>
        <w:spacing w:before="90"/>
        <w:ind w:right="692"/>
        <w:jc w:val="center"/>
        <w:rPr>
          <w:rFonts w:ascii="宋体" w:hAnsi="宋体" w:eastAsia="宋体" w:cs="宋体"/>
          <w:color w:val="auto"/>
          <w:highlight w:val="none"/>
        </w:rPr>
      </w:pPr>
      <w:r>
        <w:rPr>
          <w:rFonts w:hint="eastAsia" w:ascii="宋体" w:hAnsi="宋体" w:eastAsia="宋体" w:cs="宋体"/>
          <w:color w:val="auto"/>
          <w:highlight w:val="none"/>
        </w:rPr>
        <w:t>温岭市枯死树清理除治合同</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甲方：</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镇人民政府、街道办事处(以下简称甲方）</w:t>
      </w:r>
    </w:p>
    <w:p>
      <w:pPr>
        <w:spacing w:line="600" w:lineRule="exact"/>
        <w:ind w:firstLine="440" w:firstLineChars="200"/>
        <w:jc w:val="left"/>
        <w:rPr>
          <w:rFonts w:hint="eastAsia" w:ascii="宋体" w:hAnsi="宋体" w:eastAsia="宋体" w:cs="宋体"/>
          <w:color w:val="auto"/>
          <w:sz w:val="22"/>
          <w:szCs w:val="22"/>
          <w:u w:val="single"/>
        </w:rPr>
      </w:pPr>
      <w:r>
        <w:rPr>
          <w:rFonts w:hint="eastAsia" w:ascii="宋体" w:hAnsi="宋体" w:eastAsia="宋体" w:cs="宋体"/>
          <w:color w:val="auto"/>
          <w:sz w:val="22"/>
          <w:szCs w:val="22"/>
        </w:rPr>
        <w:t>乙方：</w:t>
      </w:r>
      <w:r>
        <w:rPr>
          <w:rFonts w:hint="eastAsia" w:ascii="宋体" w:hAnsi="宋体" w:eastAsia="宋体" w:cs="宋体"/>
          <w:color w:val="auto"/>
          <w:sz w:val="22"/>
          <w:szCs w:val="22"/>
          <w:u w:val="single"/>
        </w:rPr>
        <w:t xml:space="preserve">     作业单位                  </w:t>
      </w:r>
      <w:r>
        <w:rPr>
          <w:rFonts w:hint="eastAsia" w:ascii="宋体" w:hAnsi="宋体" w:eastAsia="宋体" w:cs="宋体"/>
          <w:color w:val="auto"/>
          <w:sz w:val="22"/>
          <w:szCs w:val="22"/>
        </w:rPr>
        <w:t>(以下简称乙方)</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为有效开展松材线虫病防治工作，根据《中华人民共和国民法典》《松材线虫病疫区和疫木管理办法》《松材线虫病防治技术方案（2022年版）》《浙江省松材线虫病防治条例》等有关规定，双方秉持自愿平等、公平守信原则，就松材线虫病枯死树除治工程施工有关事项协商一致，订立本合同，具体内容如下：</w:t>
      </w:r>
    </w:p>
    <w:p>
      <w:pPr>
        <w:spacing w:line="6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一、工程概况及履约保证金</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工程内容：采用择伐等方式，在规定期限对约定范围内所有病死（枯死、濒死）和因干旱、风折、雪压、火烧等死亡的松树进行除治，并对伐除的松木、清理的枝桠以及伐桩进行管理、处理。</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履约保证金（含质量保证金、农民工资保证金）:</w:t>
      </w:r>
    </w:p>
    <w:p>
      <w:pPr>
        <w:numPr>
          <w:ilvl w:val="0"/>
          <w:numId w:val="0"/>
        </w:numPr>
        <w:spacing w:line="600" w:lineRule="exact"/>
        <w:ind w:right="0" w:rightChars="0"/>
        <w:jc w:val="left"/>
        <w:rPr>
          <w:rFonts w:hint="eastAsia" w:ascii="宋体" w:hAnsi="宋体" w:eastAsia="宋体" w:cs="宋体"/>
          <w:color w:val="auto"/>
          <w:sz w:val="22"/>
          <w:szCs w:val="22"/>
        </w:rPr>
      </w:pPr>
      <w:r>
        <w:rPr>
          <w:rFonts w:hint="eastAsia" w:cs="宋体"/>
          <w:color w:val="auto"/>
          <w:sz w:val="22"/>
          <w:szCs w:val="22"/>
          <w:lang w:val="en-US" w:eastAsia="zh-CN"/>
        </w:rPr>
        <w:t>1.</w:t>
      </w:r>
      <w:r>
        <w:rPr>
          <w:rFonts w:hint="eastAsia" w:ascii="宋体" w:hAnsi="宋体" w:eastAsia="宋体" w:cs="宋体"/>
          <w:color w:val="auto"/>
          <w:sz w:val="22"/>
          <w:szCs w:val="22"/>
        </w:rPr>
        <w:t>乙方中标后，</w:t>
      </w:r>
      <w:r>
        <w:rPr>
          <w:rFonts w:hint="eastAsia" w:cs="宋体"/>
          <w:color w:val="auto"/>
          <w:sz w:val="22"/>
          <w:szCs w:val="22"/>
          <w:lang w:eastAsia="zh-CN"/>
        </w:rPr>
        <w:t>需缴纳合同价的</w:t>
      </w:r>
      <w:r>
        <w:rPr>
          <w:rFonts w:hint="eastAsia" w:cs="宋体"/>
          <w:color w:val="auto"/>
          <w:sz w:val="22"/>
          <w:szCs w:val="22"/>
          <w:lang w:val="en-US" w:eastAsia="zh-CN"/>
        </w:rPr>
        <w:t>1%，即</w:t>
      </w:r>
      <w:r>
        <w:rPr>
          <w:rFonts w:hint="eastAsia" w:cs="宋体"/>
          <w:color w:val="auto"/>
          <w:sz w:val="22"/>
          <w:szCs w:val="22"/>
          <w:lang w:eastAsia="zh-CN"/>
        </w:rPr>
        <w:t>人民币</w:t>
      </w:r>
      <w:r>
        <w:rPr>
          <w:rFonts w:hint="eastAsia" w:cs="宋体"/>
          <w:color w:val="auto"/>
          <w:sz w:val="22"/>
          <w:szCs w:val="22"/>
          <w:u w:val="single"/>
          <w:lang w:val="en-US" w:eastAsia="zh-CN"/>
        </w:rPr>
        <w:t xml:space="preserve">                元</w:t>
      </w:r>
      <w:r>
        <w:rPr>
          <w:rFonts w:hint="eastAsia" w:cs="宋体"/>
          <w:color w:val="auto"/>
          <w:sz w:val="22"/>
          <w:szCs w:val="22"/>
          <w:u w:val="none"/>
          <w:lang w:val="en-US" w:eastAsia="zh-CN"/>
        </w:rPr>
        <w:t>作为本合同的履约保证金</w:t>
      </w:r>
      <w:r>
        <w:rPr>
          <w:rFonts w:hint="eastAsia" w:ascii="宋体" w:hAnsi="宋体" w:eastAsia="宋体" w:cs="宋体"/>
          <w:color w:val="auto"/>
          <w:sz w:val="22"/>
          <w:szCs w:val="22"/>
        </w:rPr>
        <w:t>。中标人不按合同履约的，可没收其履约保证金，并赔偿损失。保证金不足以赔偿损失的，按实际损失追偿。</w:t>
      </w:r>
    </w:p>
    <w:p>
      <w:pPr>
        <w:numPr>
          <w:ilvl w:val="0"/>
          <w:numId w:val="0"/>
        </w:numPr>
        <w:spacing w:line="600" w:lineRule="exact"/>
        <w:ind w:right="0" w:rightChars="0"/>
        <w:jc w:val="left"/>
        <w:rPr>
          <w:rFonts w:hint="eastAsia" w:cs="宋体"/>
          <w:color w:val="auto"/>
          <w:sz w:val="22"/>
          <w:szCs w:val="22"/>
          <w:lang w:val="en-US" w:eastAsia="zh-CN"/>
        </w:rPr>
      </w:pPr>
      <w:r>
        <w:rPr>
          <w:rFonts w:hint="eastAsia" w:cs="宋体"/>
          <w:color w:val="auto"/>
          <w:sz w:val="22"/>
          <w:szCs w:val="22"/>
          <w:lang w:val="en-US" w:eastAsia="zh-CN"/>
        </w:rPr>
        <w:t>2.收取方式：网银、汇票、电汇、转账支付等非现金方式或银行、保险公司出具的保函形式；</w:t>
      </w:r>
    </w:p>
    <w:p>
      <w:pPr>
        <w:numPr>
          <w:ilvl w:val="0"/>
          <w:numId w:val="0"/>
        </w:numPr>
        <w:spacing w:line="600" w:lineRule="exact"/>
        <w:ind w:right="0" w:rightChars="0"/>
        <w:jc w:val="left"/>
        <w:rPr>
          <w:rFonts w:hint="eastAsia" w:ascii="宋体" w:hAnsi="宋体" w:eastAsia="宋体" w:cs="宋体"/>
          <w:color w:val="auto"/>
          <w:sz w:val="22"/>
          <w:szCs w:val="22"/>
        </w:rPr>
      </w:pPr>
      <w:r>
        <w:rPr>
          <w:rFonts w:hint="eastAsia" w:cs="宋体"/>
          <w:color w:val="auto"/>
          <w:sz w:val="22"/>
          <w:szCs w:val="22"/>
          <w:lang w:val="en-US" w:eastAsia="zh-CN"/>
        </w:rPr>
        <w:t>3.履约保证金交予甲方，在服务期满且无异议情况下30天无息退还。</w:t>
      </w:r>
      <w:r>
        <w:rPr>
          <w:rFonts w:hint="eastAsia" w:ascii="宋体" w:hAnsi="宋体" w:eastAsia="宋体" w:cs="宋体"/>
          <w:color w:val="auto"/>
          <w:sz w:val="22"/>
          <w:szCs w:val="22"/>
        </w:rPr>
        <w:cr/>
      </w:r>
      <w:r>
        <w:rPr>
          <w:rFonts w:hint="eastAsia" w:ascii="宋体" w:hAnsi="宋体" w:eastAsia="宋体" w:cs="宋体"/>
          <w:color w:val="auto"/>
          <w:sz w:val="22"/>
          <w:szCs w:val="22"/>
        </w:rPr>
        <w:t xml:space="preserve">    </w:t>
      </w:r>
      <w:r>
        <w:rPr>
          <w:rFonts w:hint="eastAsia" w:ascii="宋体" w:hAnsi="宋体" w:eastAsia="宋体" w:cs="宋体"/>
          <w:b/>
          <w:color w:val="auto"/>
          <w:sz w:val="22"/>
          <w:szCs w:val="22"/>
        </w:rPr>
        <w:t>二、施工范围、时间、合同价格及支付方式</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施工范围：</w:t>
      </w:r>
      <w:r>
        <w:rPr>
          <w:rFonts w:hint="eastAsia" w:ascii="宋体" w:hAnsi="宋体" w:eastAsia="宋体" w:cs="宋体"/>
          <w:color w:val="auto"/>
          <w:sz w:val="22"/>
          <w:szCs w:val="22"/>
          <w:u w:val="single"/>
        </w:rPr>
        <w:t xml:space="preserve">    </w:t>
      </w:r>
      <w:r>
        <w:rPr>
          <w:rFonts w:hint="eastAsia" w:cs="宋体"/>
          <w:color w:val="auto"/>
          <w:sz w:val="22"/>
          <w:szCs w:val="22"/>
          <w:u w:val="single"/>
          <w:lang w:val="en-US" w:eastAsia="zh-CN"/>
        </w:rPr>
        <w:t>石塘</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镇（街道）行政区域内全域范围</w:t>
      </w:r>
      <w:r>
        <w:rPr>
          <w:rFonts w:hint="eastAsia" w:cs="宋体"/>
          <w:color w:val="auto"/>
          <w:sz w:val="22"/>
          <w:szCs w:val="22"/>
          <w:lang w:eastAsia="zh-CN"/>
        </w:rPr>
        <w:t>，</w:t>
      </w:r>
      <w:r>
        <w:rPr>
          <w:rFonts w:hint="eastAsia" w:cs="宋体"/>
          <w:color w:val="auto"/>
          <w:sz w:val="22"/>
          <w:szCs w:val="22"/>
          <w:lang w:val="en-US" w:eastAsia="zh-CN"/>
        </w:rPr>
        <w:t>海岛除外</w:t>
      </w:r>
      <w:r>
        <w:rPr>
          <w:rFonts w:hint="eastAsia" w:ascii="宋体" w:hAnsi="宋体" w:eastAsia="宋体" w:cs="宋体"/>
          <w:color w:val="auto"/>
          <w:sz w:val="22"/>
          <w:szCs w:val="22"/>
        </w:rPr>
        <w:t>。</w:t>
      </w:r>
    </w:p>
    <w:p>
      <w:pPr>
        <w:spacing w:line="600" w:lineRule="exact"/>
        <w:ind w:firstLine="440" w:firstLineChars="200"/>
        <w:jc w:val="left"/>
        <w:rPr>
          <w:rFonts w:hint="eastAsia" w:ascii="宋体" w:hAnsi="宋体" w:eastAsia="宋体" w:cs="宋体"/>
          <w:color w:val="auto"/>
          <w:sz w:val="22"/>
          <w:szCs w:val="22"/>
          <w:u w:val="single"/>
        </w:rPr>
      </w:pPr>
      <w:r>
        <w:rPr>
          <w:rFonts w:hint="eastAsia" w:ascii="宋体" w:hAnsi="宋体" w:eastAsia="宋体" w:cs="宋体"/>
          <w:color w:val="auto"/>
          <w:sz w:val="22"/>
          <w:szCs w:val="22"/>
          <w:lang w:val="en-US" w:eastAsia="zh-CN"/>
        </w:rPr>
        <w:t>合同</w:t>
      </w:r>
      <w:r>
        <w:rPr>
          <w:rFonts w:hint="eastAsia" w:ascii="宋体" w:hAnsi="宋体" w:eastAsia="宋体" w:cs="宋体"/>
          <w:color w:val="auto"/>
          <w:sz w:val="22"/>
          <w:szCs w:val="22"/>
        </w:rPr>
        <w:t>面积：</w:t>
      </w:r>
      <w:r>
        <w:rPr>
          <w:rFonts w:hint="eastAsia" w:ascii="宋体" w:hAnsi="宋体" w:eastAsia="宋体" w:cs="宋体"/>
          <w:color w:val="auto"/>
          <w:sz w:val="22"/>
          <w:szCs w:val="22"/>
          <w:u w:val="single"/>
        </w:rPr>
        <w:t xml:space="preserve">   </w:t>
      </w:r>
      <w:r>
        <w:rPr>
          <w:rFonts w:hint="eastAsia" w:cs="宋体"/>
          <w:color w:val="auto"/>
          <w:sz w:val="22"/>
          <w:szCs w:val="22"/>
          <w:u w:val="single"/>
          <w:lang w:val="en-US" w:eastAsia="zh-CN"/>
        </w:rPr>
        <w:t>5682.15亩</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疫木除治方式：疫木安全利用总数</w:t>
      </w:r>
      <w:r>
        <w:rPr>
          <w:rFonts w:hint="eastAsia" w:ascii="宋体" w:hAnsi="宋体" w:eastAsia="宋体" w:cs="宋体"/>
          <w:color w:val="auto"/>
          <w:sz w:val="22"/>
          <w:szCs w:val="22"/>
          <w:lang w:val="en-US" w:eastAsia="zh-CN"/>
        </w:rPr>
        <w:t>达到</w:t>
      </w:r>
      <w:r>
        <w:rPr>
          <w:rFonts w:hint="eastAsia" w:ascii="宋体" w:hAnsi="宋体" w:eastAsia="宋体" w:cs="宋体"/>
          <w:color w:val="auto"/>
          <w:sz w:val="22"/>
          <w:szCs w:val="22"/>
        </w:rPr>
        <w:t>清理总量的</w:t>
      </w:r>
      <w:r>
        <w:rPr>
          <w:rFonts w:hint="eastAsia" w:eastAsia="宋体" w:cs="宋体"/>
          <w:color w:val="auto"/>
          <w:sz w:val="22"/>
          <w:szCs w:val="22"/>
          <w:lang w:val="en-US" w:eastAsia="zh-CN"/>
        </w:rPr>
        <w:t>100</w:t>
      </w:r>
      <w:r>
        <w:rPr>
          <w:rFonts w:hint="eastAsia" w:ascii="宋体" w:hAnsi="宋体" w:eastAsia="宋体" w:cs="宋体"/>
          <w:color w:val="auto"/>
          <w:sz w:val="22"/>
          <w:szCs w:val="22"/>
        </w:rPr>
        <w:t>%。</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施工时间：集中除治阶段：2022年11月1日至2023年3月31日。</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即现即清阶段：2023年5月1日至2023年9月30日。</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除治对象：集中除治阶段，施工范围内所有病死（病死、不明原因枯死、濒死）和其它原因（确认由干旱、风折、雪压、火烧、环剥等）的松树，除治其主干、枝桠和伐桩。</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即现即清阶段，集中除治结束后，施工范围内所有新发生病死（病死、不明原因枯死、濒死）等松树及其枝桠，对新发现的死树，在三天内完成除治。</w:t>
      </w:r>
    </w:p>
    <w:p>
      <w:pPr>
        <w:spacing w:line="600" w:lineRule="exact"/>
        <w:ind w:firstLine="440" w:firstLineChars="200"/>
        <w:jc w:val="left"/>
        <w:rPr>
          <w:rFonts w:hint="eastAsia" w:ascii="宋体" w:hAnsi="宋体" w:eastAsia="宋体" w:cs="宋体"/>
          <w:color w:val="auto"/>
          <w:sz w:val="22"/>
          <w:szCs w:val="22"/>
          <w:u w:val="single"/>
        </w:rPr>
      </w:pPr>
      <w:r>
        <w:rPr>
          <w:rFonts w:hint="eastAsia" w:ascii="宋体" w:hAnsi="宋体" w:eastAsia="宋体" w:cs="宋体"/>
          <w:color w:val="auto"/>
          <w:sz w:val="22"/>
          <w:szCs w:val="22"/>
        </w:rPr>
        <w:t>合同价格</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元（大写：</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元），最后结算价按实计算</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单价按上限价乘以投标时承诺的结算率结算，小数点后保留两位，四舍五入</w:t>
      </w:r>
      <w:r>
        <w:rPr>
          <w:rFonts w:hint="eastAsia" w:ascii="宋体" w:hAnsi="宋体" w:eastAsia="宋体" w:cs="宋体"/>
          <w:b w:val="0"/>
          <w:bCs w:val="0"/>
          <w:color w:val="auto"/>
          <w:sz w:val="22"/>
          <w:szCs w:val="22"/>
          <w:lang w:eastAsia="zh-CN"/>
        </w:rPr>
        <w:t>）</w:t>
      </w:r>
      <w:r>
        <w:rPr>
          <w:rFonts w:hint="eastAsia" w:ascii="宋体" w:hAnsi="宋体" w:eastAsia="宋体" w:cs="宋体"/>
          <w:color w:val="auto"/>
          <w:sz w:val="22"/>
          <w:szCs w:val="22"/>
        </w:rPr>
        <w:t>，包括工程按规定需要的照片拍摄费用、技术资料、调查费用、人员管理、保险费用、各类税费、履约保证金、农民工工资保证金等所有费用。</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□称重计量：根据砍伐下山的病死（枯死、濒死）松树总重量，按过磅确认重量计算实价;</w:t>
      </w:r>
      <w:r>
        <w:rPr>
          <w:rFonts w:hint="eastAsia" w:ascii="宋体" w:hAnsi="宋体" w:eastAsia="宋体" w:cs="宋体"/>
          <w:b/>
          <w:color w:val="auto"/>
          <w:sz w:val="22"/>
          <w:szCs w:val="22"/>
        </w:rPr>
        <w:t xml:space="preserve"> </w:t>
      </w:r>
      <w:r>
        <w:rPr>
          <w:rFonts w:hint="eastAsia" w:ascii="宋体" w:hAnsi="宋体" w:eastAsia="宋体" w:cs="宋体"/>
          <w:color w:val="auto"/>
          <w:sz w:val="22"/>
          <w:szCs w:val="22"/>
        </w:rPr>
        <w:t>山上现砍现烧（称重）计算总重量, 按重量计算实价：钢丝网罩（称重）计算总重量, 按重量计算实价。</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□其他承包方式：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支付方式：</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□按工作量支付：</w:t>
      </w:r>
    </w:p>
    <w:p>
      <w:pPr>
        <w:spacing w:line="600" w:lineRule="exact"/>
        <w:ind w:firstLine="436" w:firstLineChars="200"/>
        <w:jc w:val="left"/>
        <w:rPr>
          <w:rFonts w:hint="eastAsia" w:ascii="宋体" w:hAnsi="宋体" w:eastAsia="宋体" w:cs="宋体"/>
          <w:color w:val="auto"/>
          <w:sz w:val="22"/>
          <w:szCs w:val="22"/>
        </w:rPr>
      </w:pPr>
      <w:r>
        <w:rPr>
          <w:rFonts w:ascii="宋体" w:hAnsi="宋体" w:eastAsia="宋体" w:cs="宋体"/>
          <w:b w:val="0"/>
          <w:bCs w:val="0"/>
          <w:color w:val="auto"/>
          <w:spacing w:val="-1"/>
          <w:sz w:val="22"/>
          <w:szCs w:val="22"/>
          <w:lang w:val="zh-CN" w:eastAsia="zh-CN" w:bidi="zh-CN"/>
        </w:rPr>
        <w:t>合同总额的</w:t>
      </w:r>
      <w:r>
        <w:rPr>
          <w:rFonts w:hint="eastAsia" w:ascii="宋体" w:hAnsi="宋体" w:eastAsia="宋体" w:cs="宋体"/>
          <w:b w:val="0"/>
          <w:bCs w:val="0"/>
          <w:color w:val="auto"/>
          <w:spacing w:val="-1"/>
          <w:sz w:val="22"/>
          <w:szCs w:val="22"/>
          <w:lang w:val="en-US" w:eastAsia="zh-CN" w:bidi="zh-CN"/>
        </w:rPr>
        <w:t>2</w:t>
      </w:r>
      <w:r>
        <w:rPr>
          <w:rFonts w:ascii="宋体" w:hAnsi="宋体" w:eastAsia="宋体" w:cs="宋体"/>
          <w:b w:val="0"/>
          <w:bCs w:val="0"/>
          <w:color w:val="auto"/>
          <w:spacing w:val="-1"/>
          <w:sz w:val="22"/>
          <w:szCs w:val="22"/>
          <w:lang w:val="zh-CN" w:eastAsia="zh-CN" w:bidi="zh-CN"/>
        </w:rPr>
        <w:t>0%为预付款，预付款在合同</w:t>
      </w:r>
      <w:r>
        <w:rPr>
          <w:rFonts w:hint="eastAsia" w:ascii="宋体" w:hAnsi="宋体" w:eastAsia="宋体" w:cs="宋体"/>
          <w:b w:val="0"/>
          <w:bCs w:val="0"/>
          <w:color w:val="auto"/>
          <w:spacing w:val="-1"/>
          <w:sz w:val="22"/>
          <w:szCs w:val="22"/>
          <w:lang w:val="en-US" w:eastAsia="zh-CN" w:bidi="zh-CN"/>
        </w:rPr>
        <w:t>签订后7</w:t>
      </w:r>
      <w:r>
        <w:rPr>
          <w:rFonts w:ascii="宋体" w:hAnsi="宋体" w:eastAsia="宋体" w:cs="宋体"/>
          <w:b w:val="0"/>
          <w:bCs w:val="0"/>
          <w:color w:val="auto"/>
          <w:spacing w:val="-1"/>
          <w:sz w:val="22"/>
          <w:szCs w:val="22"/>
          <w:lang w:val="zh-CN" w:eastAsia="zh-CN" w:bidi="zh-CN"/>
        </w:rPr>
        <w:t>日内支付</w:t>
      </w:r>
      <w:r>
        <w:rPr>
          <w:rFonts w:hint="eastAsia" w:eastAsia="宋体" w:cs="宋体"/>
          <w:color w:val="auto"/>
          <w:sz w:val="22"/>
          <w:szCs w:val="22"/>
          <w:lang w:val="en-US" w:eastAsia="zh-CN"/>
        </w:rPr>
        <w:t>，</w:t>
      </w:r>
      <w:r>
        <w:rPr>
          <w:rFonts w:hint="eastAsia" w:ascii="宋体" w:hAnsi="宋体" w:eastAsia="宋体" w:cs="宋体"/>
          <w:color w:val="auto"/>
          <w:sz w:val="22"/>
          <w:szCs w:val="22"/>
        </w:rPr>
        <w:t>完成除治工作量的</w:t>
      </w:r>
      <w:r>
        <w:rPr>
          <w:rFonts w:hint="eastAsia" w:ascii="宋体" w:hAnsi="宋体" w:eastAsia="宋体" w:cs="宋体"/>
          <w:color w:val="auto"/>
          <w:sz w:val="22"/>
          <w:szCs w:val="22"/>
          <w:u w:val="single"/>
        </w:rPr>
        <w:t>50</w:t>
      </w:r>
      <w:r>
        <w:rPr>
          <w:rFonts w:hint="eastAsia" w:ascii="宋体" w:hAnsi="宋体" w:eastAsia="宋体" w:cs="宋体"/>
          <w:color w:val="auto"/>
          <w:sz w:val="22"/>
          <w:szCs w:val="22"/>
        </w:rPr>
        <w:t>%后，支付至项目</w:t>
      </w:r>
      <w:r>
        <w:rPr>
          <w:rFonts w:hint="eastAsia" w:cs="宋体"/>
          <w:color w:val="auto"/>
          <w:sz w:val="22"/>
          <w:szCs w:val="22"/>
          <w:lang w:val="en-US" w:eastAsia="zh-CN"/>
        </w:rPr>
        <w:t>合同</w:t>
      </w:r>
      <w:r>
        <w:rPr>
          <w:rFonts w:hint="eastAsia" w:ascii="宋体" w:hAnsi="宋体" w:eastAsia="宋体" w:cs="宋体"/>
          <w:color w:val="auto"/>
          <w:sz w:val="22"/>
          <w:szCs w:val="22"/>
        </w:rPr>
        <w:t>价的</w:t>
      </w:r>
      <w:r>
        <w:rPr>
          <w:rFonts w:hint="eastAsia" w:ascii="宋体" w:hAnsi="宋体" w:eastAsia="宋体" w:cs="宋体"/>
          <w:color w:val="auto"/>
          <w:sz w:val="22"/>
          <w:szCs w:val="22"/>
          <w:u w:val="single"/>
        </w:rPr>
        <w:t>30</w:t>
      </w:r>
      <w:r>
        <w:rPr>
          <w:rFonts w:hint="eastAsia" w:ascii="宋体" w:hAnsi="宋体" w:eastAsia="宋体" w:cs="宋体"/>
          <w:color w:val="auto"/>
          <w:sz w:val="22"/>
          <w:szCs w:val="22"/>
        </w:rPr>
        <w:t>%；完成除治工作量的</w:t>
      </w:r>
      <w:r>
        <w:rPr>
          <w:rFonts w:hint="eastAsia" w:ascii="宋体" w:hAnsi="宋体" w:eastAsia="宋体" w:cs="宋体"/>
          <w:color w:val="auto"/>
          <w:sz w:val="22"/>
          <w:szCs w:val="22"/>
          <w:u w:val="single"/>
        </w:rPr>
        <w:t>80</w:t>
      </w:r>
      <w:r>
        <w:rPr>
          <w:rFonts w:hint="eastAsia" w:ascii="宋体" w:hAnsi="宋体" w:eastAsia="宋体" w:cs="宋体"/>
          <w:color w:val="auto"/>
          <w:sz w:val="22"/>
          <w:szCs w:val="22"/>
        </w:rPr>
        <w:t>%后，支付至项目</w:t>
      </w:r>
      <w:r>
        <w:rPr>
          <w:rFonts w:hint="eastAsia" w:cs="宋体"/>
          <w:color w:val="auto"/>
          <w:sz w:val="22"/>
          <w:szCs w:val="22"/>
          <w:lang w:val="en-US" w:eastAsia="zh-CN"/>
        </w:rPr>
        <w:t>合同</w:t>
      </w:r>
      <w:r>
        <w:rPr>
          <w:rFonts w:hint="eastAsia" w:ascii="宋体" w:hAnsi="宋体" w:eastAsia="宋体" w:cs="宋体"/>
          <w:color w:val="auto"/>
          <w:sz w:val="22"/>
          <w:szCs w:val="22"/>
        </w:rPr>
        <w:t>价的</w:t>
      </w:r>
      <w:r>
        <w:rPr>
          <w:rFonts w:hint="eastAsia" w:ascii="宋体" w:hAnsi="宋体" w:eastAsia="宋体" w:cs="宋体"/>
          <w:color w:val="auto"/>
          <w:sz w:val="22"/>
          <w:szCs w:val="22"/>
          <w:u w:val="single"/>
        </w:rPr>
        <w:t>50</w:t>
      </w:r>
      <w:r>
        <w:rPr>
          <w:rFonts w:hint="eastAsia" w:ascii="宋体" w:hAnsi="宋体" w:eastAsia="宋体" w:cs="宋体"/>
          <w:color w:val="auto"/>
          <w:sz w:val="22"/>
          <w:szCs w:val="22"/>
        </w:rPr>
        <w:t>%；3月底完成集中除治工作，初步验收通过后，支付至项目</w:t>
      </w:r>
      <w:r>
        <w:rPr>
          <w:rFonts w:hint="eastAsia" w:cs="宋体"/>
          <w:color w:val="auto"/>
          <w:sz w:val="22"/>
          <w:szCs w:val="22"/>
          <w:lang w:val="en-US" w:eastAsia="zh-CN"/>
        </w:rPr>
        <w:t>合同</w:t>
      </w:r>
      <w:r>
        <w:rPr>
          <w:rFonts w:hint="eastAsia" w:ascii="宋体" w:hAnsi="宋体" w:eastAsia="宋体" w:cs="宋体"/>
          <w:color w:val="auto"/>
          <w:sz w:val="22"/>
          <w:szCs w:val="22"/>
        </w:rPr>
        <w:t>价的</w:t>
      </w:r>
      <w:r>
        <w:rPr>
          <w:rFonts w:hint="eastAsia" w:ascii="宋体" w:hAnsi="宋体" w:eastAsia="宋体" w:cs="宋体"/>
          <w:color w:val="auto"/>
          <w:sz w:val="22"/>
          <w:szCs w:val="22"/>
          <w:u w:val="single"/>
        </w:rPr>
        <w:t>60%</w:t>
      </w:r>
      <w:r>
        <w:rPr>
          <w:rFonts w:hint="eastAsia" w:ascii="宋体" w:hAnsi="宋体" w:eastAsia="宋体" w:cs="宋体"/>
          <w:color w:val="auto"/>
          <w:sz w:val="22"/>
          <w:szCs w:val="22"/>
        </w:rPr>
        <w:t>；4月-9月，完成即现即清除治工作，并经竣工验收通过后，11月30日前支付即现即清工程款的100%以及剩余集中除治工程款的40%。上述除治工作量均需经甲方或其委托的第三方确认后，15个工作日内予以支付。</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□按下山重量支付：每斤</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元（大写：</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□现砍现烧重量支付：每斤</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元（大写：</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□钢丝网罩重量支付：每斤</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元（大写：</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□其他支付方式：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pPr>
        <w:spacing w:line="6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三、合同工期</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开工日期：合同签订日期。</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竣工日期：2023年11月30日。</w:t>
      </w:r>
    </w:p>
    <w:p>
      <w:pPr>
        <w:spacing w:line="6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四、工程质量要求标准</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严格执行《松材线虫病防治技术方案（2022年版）》相关规定，并按要求运用“数字森防”上传除治数据。具体验收办法按照《温岭市枯死松树清理工程质量检查验收办法》（温自然资规发【2022】38号）执行。</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1.伐桩处理：对疫木伐除后，伐桩高度不得超过5cm；疫木伐除后，对伐桩进行剥皮处理，或按《松材线虫病防治技术方案（2022年版）》相关规定执行。</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枝桠处理：除治山场范围内，清理收集所有直径大于1cm的病死（病死、不明原因枯死、濒死）和其它原因（确认由干旱、风折、雪压、火烧、环剥等）致死的松树枝桠，随疫木主干运到指定的疫木定点加工企业进行除害处理，或就近采取粉碎、烧毁等除害措施。</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3.疫木处理：伐除的松木必须当天下山，运到指定的疫木定点企业进行安全除害处理，或就近采取粉碎、烧毁等除害措施。加强对疫木的监管，造成疫木人为流失的，按有关法律规定追究相关责任。</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4.其他：采伐过程中，严禁砍伐活立木；树干、枝桠须分别装车过磅。</w:t>
      </w:r>
    </w:p>
    <w:p>
      <w:pPr>
        <w:spacing w:line="600" w:lineRule="exact"/>
        <w:ind w:firstLine="442" w:firstLineChars="200"/>
        <w:jc w:val="left"/>
        <w:rPr>
          <w:rFonts w:hint="eastAsia" w:ascii="宋体" w:hAnsi="宋体" w:eastAsia="宋体" w:cs="宋体"/>
          <w:b/>
          <w:color w:val="auto"/>
          <w:sz w:val="22"/>
          <w:szCs w:val="22"/>
        </w:rPr>
      </w:pPr>
      <w:r>
        <w:rPr>
          <w:rFonts w:hint="eastAsia" w:ascii="宋体" w:hAnsi="宋体" w:eastAsia="宋体" w:cs="宋体"/>
          <w:b/>
          <w:color w:val="auto"/>
          <w:sz w:val="22"/>
          <w:szCs w:val="22"/>
        </w:rPr>
        <w:t>五、特殊条款及违约责任</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乙方应以村为单位进行逐个清理，顺序严格按照甲方指定路线且每次不超过3个村的范围依次清理（除特殊情况除外）。原则上其中一个村清理完毕，经甲方同意后才能转入下个村清理，以此类推。未按甲方要求顺序开展作业的，每发现一次，工程款扣罚5000元，连续发现三次（含）以上的，甲方有权解除合同。在以村为单位现砍现烧过程中，每发现漏烧一堆的，工程款扣罚2000元。</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2. 集中除治工程进度，首月（11月1日）开始，每月工作量（按重量计或按面积）完成数占总数（总重量或按总面积）少于20%的，工程款扣罚5000元，超过部分工程量计入下月任务数。工作量（按重量或按面积）完成数占总数（总重量或按总面积）连续两个月少于20%或出现转包、分包的，甲方有权解除合同，并追偿已支付的合同款项。</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3. 工程验收分初步验收和竣工验收两次开展。乙方申请初步验收的时间（不得早于2023年3月31日）迟于2023年4月30日书面提出的，工程款按3%扣减结算，每持续推迟满十天，加扣减工程款1%，以此类推，甲方收到验收申请的应在20天内组织验收。</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乙方申请竣工验收时间（不得早于2023年10月8日）迟于2023年11月8日书面提出的，工程款按3%标准扣减结算。每持续推迟满十天，加扣减工程款1%，以此类推，甲方收到验收申请的应在20天内组织验收。</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枯死松树清理工程由发包单位组织或者委托第三方机构组织验收。按照《温岭市枯死松树清理工程质量检查验收办法》抽查</w:t>
      </w:r>
      <w:r>
        <w:rPr>
          <w:rFonts w:hint="eastAsia" w:cs="宋体"/>
          <w:color w:val="auto"/>
          <w:sz w:val="22"/>
          <w:szCs w:val="22"/>
          <w:lang w:val="en-US" w:eastAsia="zh-CN"/>
        </w:rPr>
        <w:t>10</w:t>
      </w:r>
      <w:r>
        <w:rPr>
          <w:rFonts w:hint="eastAsia" w:eastAsia="宋体" w:cs="宋体"/>
          <w:color w:val="auto"/>
          <w:sz w:val="22"/>
          <w:szCs w:val="22"/>
          <w:lang w:val="en-US" w:eastAsia="zh-CN"/>
        </w:rPr>
        <w:t>个样地</w:t>
      </w:r>
      <w:r>
        <w:rPr>
          <w:rFonts w:hint="eastAsia" w:ascii="宋体" w:hAnsi="宋体" w:eastAsia="宋体" w:cs="宋体"/>
          <w:color w:val="auto"/>
          <w:sz w:val="22"/>
          <w:szCs w:val="22"/>
        </w:rPr>
        <w:t>组织验收。如果一个样地不合格，总工程款按实际结算款扣减</w:t>
      </w:r>
      <w:r>
        <w:rPr>
          <w:rFonts w:hint="eastAsia" w:eastAsia="宋体" w:cs="宋体"/>
          <w:color w:val="auto"/>
          <w:sz w:val="22"/>
          <w:szCs w:val="22"/>
          <w:lang w:val="en-US" w:eastAsia="zh-CN"/>
        </w:rPr>
        <w:t>2</w:t>
      </w:r>
      <w:r>
        <w:rPr>
          <w:rFonts w:hint="eastAsia" w:ascii="宋体" w:hAnsi="宋体" w:eastAsia="宋体" w:cs="宋体"/>
          <w:color w:val="auto"/>
          <w:sz w:val="22"/>
          <w:szCs w:val="22"/>
        </w:rPr>
        <w:t>%，如果二个样地不合格，总工程款按实际结算款扣减</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以此类推，初步验收和竣工验收合计最高扣减总工程款40%。初步验收和竣工验收不合格以后，乙方必须立即进场整改，在10天内整改到位，如复验在90分以下不合格，甲方有权邀请第三方进场整改，整改费用由乙方支付（甲方有权在总工程款中向乙方追偿）。</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在除治工作量验收、阶段性抽查、各级监理检查等按照《温岭市枯死松树清理工程质量检查验收办法》抽检小班评分在90分以下不合格的，乙方必须立即进场整改，在10天内整改到位，并且在下一轮抽检中扩大抽检比例，如复验在90分以下不合格的，甲方有权邀请第三方进场整改，整改费用由乙方支付（甲方有权在总工程款中向乙方追偿）。</w:t>
      </w:r>
    </w:p>
    <w:p>
      <w:pPr>
        <w:spacing w:line="600" w:lineRule="exact"/>
        <w:ind w:firstLine="440" w:firstLineChars="200"/>
        <w:jc w:val="left"/>
        <w:rPr>
          <w:rFonts w:hint="eastAsia" w:ascii="宋体" w:hAnsi="宋体" w:eastAsia="宋体" w:cs="宋体"/>
          <w:b/>
          <w:color w:val="auto"/>
          <w:sz w:val="22"/>
          <w:szCs w:val="22"/>
        </w:rPr>
      </w:pPr>
      <w:r>
        <w:rPr>
          <w:rFonts w:hint="eastAsia" w:ascii="宋体" w:hAnsi="宋体" w:eastAsia="宋体" w:cs="宋体"/>
          <w:color w:val="auto"/>
          <w:sz w:val="22"/>
          <w:szCs w:val="22"/>
        </w:rPr>
        <w:t>5.枯死松树需要现砍现烧的，一般安排在山场半山以上（枝桠除外）并经甲方同意。乙方一般应在该山场安全利用疫木先清理完毕，并报甲方同意后，再进行现砍现烧疫木堆数量验收，编制现砍现烧具体方案，明确清理地段、焚烧地点，上报主管部门批准后执行。确定为现砍现烧的疫木，下山重复利用计算重量的，每发现一起，工程款扣罚5万元。</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6.上传到浙江省数字森防系统中的照片及数据，要符合省林业局对浙江数字森防上传的要求，不符合的每起扣罚500元。</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7.乙方对除治的疫木负有监管责任，因乙方监管问题导致疫木流失，或未按要求运至指定疫木定点加工企业的，每发现一起，扣罚工程款1万元，并追究其他相关法律责任。</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8.乙方在每车装完出运前，及运至定点企业称重时应该分别拍照留底，并传给甲方指定人员归档保存，每张枯死松树过磅单必须经甲方代表签字确认。</w:t>
      </w:r>
    </w:p>
    <w:p>
      <w:pPr>
        <w:spacing w:line="6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9.山上采伐下来的枯死松树以每吨192元的价格运到甲方指定的疫木定点企业处理，产生的收益归乙方所有,纳入枯死松树清理成本，工程结算以甲方认可过磅站过磅为准。</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10.乙方按合同要求完成服务后，超出付款期，甲方每逾一天，应向乙方支付合同总价款的千分之三滞纳金。如遇特殊情况甲方要求推迟验收的，必须事先征得乙方的同意，否则应承担由此给乙方造成的损失。</w:t>
      </w:r>
    </w:p>
    <w:p>
      <w:pPr>
        <w:keepNext w:val="0"/>
        <w:keepLines w:val="0"/>
        <w:pageBreakBefore w:val="0"/>
        <w:widowControl w:val="0"/>
        <w:kinsoku/>
        <w:wordWrap/>
        <w:overflowPunct/>
        <w:topLinePunct w:val="0"/>
        <w:autoSpaceDE/>
        <w:autoSpaceDN/>
        <w:bidi w:val="0"/>
        <w:adjustRightInd/>
        <w:snapToGrid/>
        <w:spacing w:line="540" w:lineRule="exact"/>
        <w:ind w:firstLine="442" w:firstLineChars="200"/>
        <w:jc w:val="lef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六、其他事项</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1.甲方应维护乙方合法的权利，及时支付合同约定的款项。</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2.甲方应为乙方开展除治工作提供相应条件，做好政策处理等工作，因甲方原因导致工期延误，由甲方承担相应后果。</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3.乙方在履行合同义务期间，应遵守国家有关法律、法规，维护甲方的合法权益。确保安全生产，如因乙方违规操作造成的一切后果由乙方自行承担。</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乙方应组建能够满足本工程服务需要的队伍，并为所有施工、监管等除治工作相关人员进行投保；乙方需按照工程管理的有关规定，交足履约保证金、农民工工资保证金等。乙方不得以任何理由，拖欠支付农民工工资。</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5.乙方应按照除治工作范围和内容，按时完成所有与松材线虫病除治相关工作，并定期向甲方汇报除治工作进展。</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6.乙方在施工作业范围内应做好森林防火工作，在确保安全的情况下，方可采取烧毁的方式处理疫木主杆及其枝桠，并接受甲方对森林防火工作的检查指导。因操作不当导致火情，后果由乙方负责。</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7.乙方应接受甲方或其委托的第三方机构及森防部门对除治工作的核查指导。</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8.乙方应根据甲方要求，落实专人负责施工质量现场管理，并安装应用数字森防APP，对疫木采伐和运输过程实施拍照留痕，确保甲方能随时了解除治进程。</w:t>
      </w:r>
    </w:p>
    <w:p>
      <w:pPr>
        <w:keepNext w:val="0"/>
        <w:keepLines w:val="0"/>
        <w:pageBreakBefore w:val="0"/>
        <w:widowControl w:val="0"/>
        <w:kinsoku/>
        <w:wordWrap/>
        <w:overflowPunct/>
        <w:topLinePunct w:val="0"/>
        <w:autoSpaceDE/>
        <w:autoSpaceDN/>
        <w:bidi w:val="0"/>
        <w:adjustRightInd/>
        <w:snapToGrid/>
        <w:spacing w:line="540" w:lineRule="exact"/>
        <w:ind w:firstLine="442" w:firstLineChars="200"/>
        <w:jc w:val="lef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七、合同的生效</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本合同一式六份，在乙方提交履约保证金后，经甲、乙双方法定代表人或者委托代理人签字并加盖公章后即生效。合同执行中，若产生纠纷，由甲方所在地的法院进行管辖。</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甲方：（盖章）</w:t>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乙方：（盖章）</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法定代表人或者委托代理人</w:t>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cs="宋体"/>
          <w:color w:val="auto"/>
          <w:sz w:val="22"/>
          <w:szCs w:val="22"/>
          <w:lang w:val="en-US" w:eastAsia="zh-CN"/>
        </w:rPr>
        <w:t xml:space="preserve">               </w:t>
      </w:r>
      <w:r>
        <w:rPr>
          <w:rFonts w:hint="eastAsia" w:ascii="宋体" w:hAnsi="宋体" w:eastAsia="宋体" w:cs="宋体"/>
          <w:color w:val="auto"/>
          <w:sz w:val="22"/>
          <w:szCs w:val="22"/>
        </w:rPr>
        <w:t>法定代表人或者委托代理人</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（签字）</w:t>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（签字）</w:t>
      </w:r>
    </w:p>
    <w:p>
      <w:pPr>
        <w:pStyle w:val="8"/>
        <w:keepNext w:val="0"/>
        <w:keepLines w:val="0"/>
        <w:pageBreakBefore w:val="0"/>
        <w:widowControl w:val="0"/>
        <w:kinsoku/>
        <w:wordWrap/>
        <w:overflowPunct/>
        <w:topLinePunct w:val="0"/>
        <w:autoSpaceDE/>
        <w:autoSpaceDN/>
        <w:bidi w:val="0"/>
        <w:adjustRightInd/>
        <w:snapToGrid/>
        <w:spacing w:line="540" w:lineRule="exact"/>
        <w:ind w:right="919"/>
        <w:jc w:val="left"/>
        <w:textAlignment w:val="auto"/>
        <w:rPr>
          <w:color w:val="auto"/>
          <w:sz w:val="18"/>
          <w:szCs w:val="22"/>
          <w:highlight w:val="none"/>
        </w:rPr>
      </w:pPr>
      <w:r>
        <w:rPr>
          <w:rFonts w:hint="eastAsia" w:ascii="宋体" w:hAnsi="宋体" w:eastAsia="宋体" w:cs="宋体"/>
          <w:color w:val="auto"/>
          <w:sz w:val="22"/>
          <w:szCs w:val="22"/>
        </w:rPr>
        <w:t xml:space="preserve">签订日期：  年  月  日  </w:t>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ab/>
      </w:r>
      <w:r>
        <w:rPr>
          <w:rFonts w:hint="eastAsia" w:ascii="宋体" w:hAnsi="宋体" w:eastAsia="宋体" w:cs="宋体"/>
          <w:color w:val="auto"/>
          <w:sz w:val="22"/>
          <w:szCs w:val="22"/>
        </w:rPr>
        <w:t>年   月  日</w:t>
      </w:r>
    </w:p>
    <w:p>
      <w:pPr>
        <w:pStyle w:val="8"/>
        <w:ind w:right="919"/>
        <w:jc w:val="left"/>
        <w:rPr>
          <w:color w:val="auto"/>
          <w:sz w:val="20"/>
          <w:highlight w:val="none"/>
        </w:rPr>
      </w:pPr>
    </w:p>
    <w:p>
      <w:pPr>
        <w:pStyle w:val="8"/>
        <w:ind w:right="919"/>
        <w:jc w:val="left"/>
        <w:rPr>
          <w:color w:val="auto"/>
          <w:sz w:val="20"/>
          <w:highlight w:val="none"/>
        </w:rPr>
      </w:pP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r>
        <w:rPr>
          <w:rFonts w:hint="eastAsia" w:ascii="微软雅黑" w:hAnsi="微软雅黑" w:eastAsia="微软雅黑" w:cs="微软雅黑"/>
          <w:b/>
          <w:sz w:val="28"/>
          <w:szCs w:val="24"/>
          <w:lang w:val="en-US" w:eastAsia="zh-CN" w:bidi="zh-CN"/>
        </w:rPr>
        <w:t>第六章 谈判响应文件格式附件</w:t>
      </w:r>
    </w:p>
    <w:p>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附件1</w:t>
      </w:r>
    </w:p>
    <w:p>
      <w:pPr>
        <w:keepNext w:val="0"/>
        <w:keepLines w:val="0"/>
        <w:widowControl/>
        <w:suppressLineNumbers w:val="0"/>
        <w:jc w:val="center"/>
      </w:pPr>
      <w:r>
        <w:rPr>
          <w:rFonts w:hint="eastAsia" w:ascii="宋体" w:hAnsi="宋体" w:eastAsia="宋体" w:cs="宋体"/>
          <w:b/>
          <w:bCs/>
          <w:color w:val="000000"/>
          <w:kern w:val="0"/>
          <w:sz w:val="52"/>
          <w:szCs w:val="52"/>
          <w:lang w:val="en-US" w:eastAsia="zh-CN" w:bidi="ar"/>
        </w:rPr>
        <w:t>项目名称</w:t>
      </w: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项目编号：</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响</w:t>
      </w: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应</w:t>
      </w: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文</w:t>
      </w: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lang w:val="en-US" w:eastAsia="zh-CN"/>
        </w:rPr>
      </w:pPr>
      <w:r>
        <w:rPr>
          <w:rFonts w:hint="eastAsia" w:ascii="微软雅黑" w:hAnsi="微软雅黑" w:eastAsia="微软雅黑" w:cs="微软雅黑"/>
          <w:color w:val="000000"/>
          <w:kern w:val="0"/>
          <w:sz w:val="84"/>
          <w:szCs w:val="84"/>
          <w:lang w:val="en-US" w:eastAsia="zh-CN" w:bidi="ar"/>
        </w:rPr>
        <w:t>件</w:t>
      </w:r>
    </w:p>
    <w:p>
      <w:pPr>
        <w:keepNext w:val="0"/>
        <w:keepLines w:val="0"/>
        <w:widowControl/>
        <w:suppressLineNumbers w:val="0"/>
        <w:jc w:val="center"/>
        <w:rPr>
          <w:rFonts w:hint="eastAsia"/>
          <w:lang w:val="en-US" w:eastAsia="zh-CN"/>
        </w:rPr>
      </w:pPr>
      <w:r>
        <w:rPr>
          <w:rFonts w:hint="eastAsia" w:ascii="宋体" w:hAnsi="宋体" w:eastAsia="宋体" w:cs="宋体"/>
          <w:b/>
          <w:bCs/>
          <w:color w:val="000000"/>
          <w:kern w:val="0"/>
          <w:sz w:val="28"/>
          <w:szCs w:val="28"/>
          <w:lang w:val="en-US" w:eastAsia="zh-CN" w:bidi="ar"/>
        </w:rPr>
        <w:t>（资 格 证 明 文 件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ascii="微软雅黑" w:hAnsi="微软雅黑" w:eastAsia="微软雅黑" w:cs="微软雅黑"/>
          <w:color w:val="000000"/>
          <w:kern w:val="0"/>
          <w:sz w:val="36"/>
          <w:szCs w:val="36"/>
          <w:lang w:val="en-US" w:eastAsia="zh-CN" w:bidi="ar"/>
        </w:rPr>
        <w:t xml:space="preserve">供应商名称（盖公章）：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hint="eastAsia" w:ascii="微软雅黑" w:hAnsi="微软雅黑" w:eastAsia="微软雅黑" w:cs="微软雅黑"/>
          <w:color w:val="000000"/>
          <w:kern w:val="0"/>
          <w:sz w:val="36"/>
          <w:szCs w:val="36"/>
          <w:lang w:val="en-US" w:eastAsia="zh-CN" w:bidi="ar"/>
        </w:rPr>
        <w:t xml:space="preserve">地 址：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hint="eastAsia" w:ascii="微软雅黑" w:hAnsi="微软雅黑" w:eastAsia="微软雅黑" w:cs="微软雅黑"/>
          <w:color w:val="000000"/>
          <w:kern w:val="0"/>
          <w:sz w:val="36"/>
          <w:szCs w:val="36"/>
          <w:lang w:val="en-US" w:eastAsia="zh-CN" w:bidi="ar"/>
        </w:rPr>
        <w:t>时 间：</w:t>
      </w:r>
    </w:p>
    <w:p>
      <w:pPr>
        <w:keepNext w:val="0"/>
        <w:keepLines w:val="0"/>
        <w:pageBreakBefore w:val="0"/>
        <w:widowControl w:val="0"/>
        <w:kinsoku/>
        <w:wordWrap/>
        <w:overflowPunct/>
        <w:topLinePunct w:val="0"/>
        <w:autoSpaceDE w:val="0"/>
        <w:autoSpaceDN w:val="0"/>
        <w:bidi w:val="0"/>
        <w:adjustRightInd/>
        <w:snapToGrid/>
        <w:spacing w:before="6" w:line="360" w:lineRule="auto"/>
        <w:ind w:left="0" w:right="17" w:firstLine="0"/>
        <w:jc w:val="center"/>
        <w:textAlignment w:val="auto"/>
        <w:rPr>
          <w:rFonts w:hint="eastAsia" w:ascii="宋体" w:hAnsi="宋体" w:eastAsia="宋体" w:cs="宋体"/>
          <w:sz w:val="24"/>
          <w:szCs w:val="24"/>
        </w:rPr>
      </w:pPr>
      <w:r>
        <w:rPr>
          <w:rFonts w:hint="eastAsia" w:ascii="宋体" w:hAnsi="宋体" w:eastAsia="宋体" w:cs="宋体"/>
          <w:b/>
          <w:sz w:val="28"/>
          <w:szCs w:val="28"/>
        </w:rPr>
        <w:t>资格证明文件目录</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ascii="宋体" w:hAnsi="宋体" w:eastAsia="宋体" w:cs="宋体"/>
          <w:sz w:val="24"/>
          <w:szCs w:val="24"/>
        </w:rPr>
      </w:pPr>
      <w:r>
        <w:rPr>
          <w:rFonts w:ascii="宋体" w:hAnsi="宋体" w:eastAsia="宋体" w:cs="宋体"/>
          <w:sz w:val="24"/>
          <w:szCs w:val="24"/>
        </w:rPr>
        <w:t>（投标人根据投标文件内容自行编制）</w:t>
      </w:r>
    </w:p>
    <w:p>
      <w:pPr>
        <w:rPr>
          <w:rFonts w:ascii="宋体" w:hAnsi="宋体" w:eastAsia="宋体" w:cs="宋体"/>
          <w:sz w:val="24"/>
          <w:szCs w:val="24"/>
        </w:rPr>
      </w:pPr>
      <w:r>
        <w:rPr>
          <w:rFonts w:ascii="宋体" w:hAnsi="宋体" w:eastAsia="宋体" w:cs="宋体"/>
          <w:sz w:val="24"/>
          <w:szCs w:val="24"/>
        </w:rPr>
        <w:br w:type="page"/>
      </w:r>
    </w:p>
    <w:p>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附件2</w:t>
      </w:r>
    </w:p>
    <w:p>
      <w:pPr>
        <w:pStyle w:val="8"/>
        <w:spacing w:before="4"/>
        <w:jc w:val="center"/>
        <w:rPr>
          <w:rFonts w:hint="eastAsia" w:ascii="宋体" w:hAnsi="宋体" w:eastAsia="宋体" w:cs="宋体"/>
          <w:b/>
          <w:sz w:val="24"/>
          <w:szCs w:val="24"/>
        </w:rPr>
      </w:pPr>
      <w:r>
        <w:rPr>
          <w:rFonts w:hint="eastAsia" w:ascii="宋体" w:hAnsi="宋体" w:eastAsia="宋体" w:cs="宋体"/>
          <w:b/>
          <w:sz w:val="28"/>
          <w:szCs w:val="28"/>
          <w:lang w:eastAsia="zh-CN"/>
        </w:rPr>
        <w:t>谈判响应</w:t>
      </w:r>
      <w:r>
        <w:rPr>
          <w:rFonts w:hint="eastAsia" w:ascii="宋体" w:hAnsi="宋体" w:eastAsia="宋体" w:cs="宋体"/>
          <w:b/>
          <w:sz w:val="28"/>
          <w:szCs w:val="28"/>
        </w:rPr>
        <w:t>声明书</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lang w:eastAsia="zh-CN"/>
        </w:rPr>
        <w:t>温岭市利驰工程管理有限公司</w:t>
      </w:r>
      <w:r>
        <w:rPr>
          <w:rFonts w:hint="eastAsia" w:ascii="宋体" w:hAnsi="宋体" w:eastAsia="宋体" w:cs="宋体"/>
          <w:spacing w:val="0"/>
          <w:sz w:val="24"/>
          <w:szCs w:val="24"/>
        </w:rPr>
        <w:t>（采购代理机构名称）：</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w:t>
      </w:r>
      <w:r>
        <w:rPr>
          <w:rFonts w:hint="eastAsia" w:ascii="宋体" w:hAnsi="宋体" w:eastAsia="宋体" w:cs="宋体"/>
          <w:spacing w:val="0"/>
          <w:sz w:val="24"/>
          <w:szCs w:val="24"/>
          <w:lang w:eastAsia="zh-CN"/>
        </w:rPr>
        <w:t>供应商</w:t>
      </w:r>
      <w:r>
        <w:rPr>
          <w:rFonts w:hint="eastAsia" w:ascii="宋体" w:hAnsi="宋体" w:eastAsia="宋体" w:cs="宋体"/>
          <w:spacing w:val="0"/>
          <w:sz w:val="24"/>
          <w:szCs w:val="24"/>
        </w:rPr>
        <w:t>名称）系中华人民共和国合法企业，（经营地址）。</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我（</w:t>
      </w:r>
      <w:r>
        <w:rPr>
          <w:rFonts w:hint="eastAsia" w:ascii="宋体" w:hAnsi="宋体" w:eastAsia="宋体" w:cs="宋体"/>
          <w:spacing w:val="0"/>
          <w:sz w:val="24"/>
          <w:szCs w:val="24"/>
          <w:u w:val="single"/>
        </w:rPr>
        <w:t xml:space="preserve"> 姓名 </w:t>
      </w:r>
      <w:r>
        <w:rPr>
          <w:rFonts w:hint="eastAsia" w:ascii="宋体" w:hAnsi="宋体" w:eastAsia="宋体" w:cs="宋体"/>
          <w:spacing w:val="0"/>
          <w:sz w:val="24"/>
          <w:szCs w:val="24"/>
        </w:rPr>
        <w:t>）系（</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eastAsia="zh-CN"/>
        </w:rPr>
        <w:t>供应商</w:t>
      </w:r>
      <w:r>
        <w:rPr>
          <w:rFonts w:hint="eastAsia" w:ascii="宋体" w:hAnsi="宋体" w:eastAsia="宋体" w:cs="宋体"/>
          <w:spacing w:val="0"/>
          <w:sz w:val="24"/>
          <w:szCs w:val="24"/>
          <w:u w:val="single"/>
        </w:rPr>
        <w:t xml:space="preserve">名称 </w:t>
      </w:r>
      <w:r>
        <w:rPr>
          <w:rFonts w:hint="eastAsia" w:ascii="宋体" w:hAnsi="宋体" w:eastAsia="宋体" w:cs="宋体"/>
          <w:spacing w:val="0"/>
          <w:sz w:val="24"/>
          <w:szCs w:val="24"/>
        </w:rPr>
        <w:t>）的法定代表人，我公司自愿参加贵方组织的（</w:t>
      </w:r>
      <w:r>
        <w:rPr>
          <w:rFonts w:hint="eastAsia" w:ascii="宋体" w:hAnsi="宋体" w:eastAsia="宋体" w:cs="宋体"/>
          <w:spacing w:val="0"/>
          <w:sz w:val="24"/>
          <w:szCs w:val="24"/>
          <w:u w:val="single"/>
        </w:rPr>
        <w:t>招标项目名称</w:t>
      </w:r>
      <w:r>
        <w:rPr>
          <w:rFonts w:hint="eastAsia" w:ascii="宋体" w:hAnsi="宋体" w:eastAsia="宋体" w:cs="宋体"/>
          <w:spacing w:val="0"/>
          <w:sz w:val="24"/>
          <w:szCs w:val="24"/>
        </w:rPr>
        <w:t>）（编号为）的</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，为此，我公司就本次</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有关事项郑重声明如下：</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1、我公司声明截止</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时间近三年以来：在政府采购领域中的项目招标、</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和合同履约期间无任何不良行为记录；无重大违法记录（重大违法记录是指供应商因违法经营受到刑事处罚或者责令停产停业、吊销许可证或者执照、较大数额罚款等行政处罚）。</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2、截止投标响应截止时间前，未被“信用中国”（www.creditchina.gov.cn）、 “中国政府采购网”（www.ccgp.gov.cn）列入失信被执行人、重大税收违法案件当事人名单、政府采购严重违法失信行为记录名单。</w:t>
      </w:r>
      <w:r>
        <w:rPr>
          <w:rFonts w:hint="eastAsia" w:ascii="宋体" w:hAnsi="宋体" w:eastAsia="宋体" w:cs="宋体"/>
          <w:b/>
          <w:bCs/>
          <w:spacing w:val="0"/>
          <w:sz w:val="24"/>
          <w:szCs w:val="24"/>
          <w:lang w:val="en-US" w:eastAsia="zh-CN"/>
        </w:rPr>
        <w:t>（后附相关网页查询截图）</w:t>
      </w:r>
      <w:r>
        <w:rPr>
          <w:rFonts w:hint="eastAsia" w:ascii="宋体" w:hAnsi="宋体" w:eastAsia="宋体" w:cs="宋体"/>
          <w:spacing w:val="0"/>
          <w:sz w:val="24"/>
          <w:szCs w:val="24"/>
          <w:lang w:val="en-US"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、我公司在参与</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前已详细审查了</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和所有相关资料，我方完全明白并认为此</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没有倾向性，也没有存在排斥潜在</w:t>
      </w:r>
      <w:r>
        <w:rPr>
          <w:rFonts w:hint="eastAsia" w:ascii="宋体" w:hAnsi="宋体" w:eastAsia="宋体" w:cs="宋体"/>
          <w:spacing w:val="0"/>
          <w:sz w:val="24"/>
          <w:szCs w:val="24"/>
          <w:lang w:eastAsia="zh-CN"/>
        </w:rPr>
        <w:t>供应商</w:t>
      </w:r>
      <w:r>
        <w:rPr>
          <w:rFonts w:hint="eastAsia" w:ascii="宋体" w:hAnsi="宋体" w:eastAsia="宋体" w:cs="宋体"/>
          <w:spacing w:val="0"/>
          <w:sz w:val="24"/>
          <w:szCs w:val="24"/>
        </w:rPr>
        <w:t>的内容，我方同意</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的相关条款，放弃对</w:t>
      </w:r>
      <w:r>
        <w:rPr>
          <w:rFonts w:hint="eastAsia" w:ascii="宋体" w:hAnsi="宋体" w:eastAsia="宋体" w:cs="宋体"/>
          <w:spacing w:val="0"/>
          <w:sz w:val="24"/>
          <w:szCs w:val="24"/>
          <w:lang w:eastAsia="zh-CN"/>
        </w:rPr>
        <w:t>谈判文件</w:t>
      </w:r>
      <w:r>
        <w:rPr>
          <w:rFonts w:hint="eastAsia" w:ascii="宋体" w:hAnsi="宋体" w:eastAsia="宋体" w:cs="宋体"/>
          <w:spacing w:val="0"/>
          <w:sz w:val="24"/>
          <w:szCs w:val="24"/>
        </w:rPr>
        <w:t>提出误解和质疑的一切权利。</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、我公司不是采购人的附属机构；在获知本项目采购信息后，与采购人聘请的为此项目提供咨询服务的公司及其附属机构没有任何联系。</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、我公司保证，采购人在中华人民共和国境内使用我公司</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货物、资料、技术、服务或其任何一部分时，享有不受限制的无偿使用权，如有第三方向采购人提出侵犯其专利权、商标权或其它知识产权的主张，该责任由我方承担。我方的</w:t>
      </w:r>
      <w:r>
        <w:rPr>
          <w:rFonts w:hint="eastAsia" w:ascii="宋体" w:hAnsi="宋体" w:eastAsia="宋体" w:cs="宋体"/>
          <w:spacing w:val="0"/>
          <w:sz w:val="24"/>
          <w:szCs w:val="24"/>
          <w:lang w:eastAsia="zh-CN"/>
        </w:rPr>
        <w:t>谈判响应</w:t>
      </w:r>
      <w:r>
        <w:rPr>
          <w:rFonts w:hint="eastAsia" w:ascii="宋体" w:hAnsi="宋体" w:eastAsia="宋体" w:cs="宋体"/>
          <w:spacing w:val="0"/>
          <w:sz w:val="24"/>
          <w:szCs w:val="24"/>
        </w:rPr>
        <w:t>报价已包含所有应向所有权人支付的专利权、商标权或其它知识产权的一切相关费用。</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6</w:t>
      </w:r>
      <w:r>
        <w:rPr>
          <w:rFonts w:hint="eastAsia" w:ascii="宋体" w:hAnsi="宋体" w:eastAsia="宋体" w:cs="宋体"/>
          <w:spacing w:val="0"/>
          <w:sz w:val="24"/>
          <w:szCs w:val="24"/>
        </w:rPr>
        <w:t>、我公司严格履行政府采购合同，不降低合同约定的产品质量和服务，不擅自变更、中止、终止合同，或拒绝履行合同义务；</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、以上事项如有虚假或隐瞒，我公司愿意承担一切后果，并不再寻求任何旨在减轻或免除法律责任的辩解。</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80" w:firstLineChars="200"/>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名称(盖公章)：</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法定代表人或授权委托人(签字)：</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1850"/>
        <w:jc w:val="right"/>
        <w:textAlignment w:val="auto"/>
        <w:rPr>
          <w:rFonts w:hint="eastAsia" w:ascii="宋体" w:hAnsi="宋体" w:eastAsia="宋体" w:cs="宋体"/>
          <w:sz w:val="24"/>
          <w:szCs w:val="24"/>
        </w:rPr>
      </w:pPr>
      <w:r>
        <w:rPr>
          <w:rFonts w:hint="eastAsia" w:ascii="宋体" w:hAnsi="宋体" w:eastAsia="宋体" w:cs="宋体"/>
          <w:sz w:val="24"/>
          <w:szCs w:val="24"/>
        </w:rPr>
        <w:t>日期：</w:t>
      </w:r>
    </w:p>
    <w:p>
      <w:pPr>
        <w:spacing w:before="0"/>
        <w:ind w:right="0"/>
        <w:jc w:val="left"/>
        <w:rPr>
          <w:rFonts w:hint="eastAsia" w:ascii="宋体" w:hAnsi="宋体" w:eastAsia="宋体" w:cs="宋体"/>
          <w:b/>
          <w:sz w:val="24"/>
          <w:szCs w:val="24"/>
        </w:rPr>
      </w:pPr>
    </w:p>
    <w:p>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附件3</w:t>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法定代表人资格证明书</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lang w:val="en-US"/>
        </w:rPr>
      </w:pPr>
      <w:r>
        <w:rPr>
          <w:rFonts w:hint="eastAsia" w:ascii="宋体" w:hAnsi="宋体" w:eastAsia="宋体" w:cs="宋体"/>
          <w:color w:val="000000"/>
          <w:kern w:val="0"/>
          <w:sz w:val="24"/>
          <w:szCs w:val="24"/>
          <w:lang w:val="en-US" w:eastAsia="zh-CN" w:bidi="ar"/>
        </w:rPr>
        <w:t>单位名称：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地址：</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姓名：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性别： </w:t>
      </w:r>
      <w:r>
        <w:rPr>
          <w:rFonts w:hint="eastAsia" w:ascii="宋体" w:hAnsi="宋体" w:eastAsia="宋体" w:cs="宋体"/>
          <w:color w:val="000000"/>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年龄：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职务：</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身份证号码：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系 </w:t>
      </w:r>
      <w:r>
        <w:rPr>
          <w:rFonts w:hint="eastAsia" w:ascii="宋体" w:hAnsi="宋体" w:eastAsia="宋体" w:cs="宋体"/>
          <w:color w:val="000000"/>
          <w:kern w:val="0"/>
          <w:sz w:val="24"/>
          <w:szCs w:val="24"/>
          <w:u w:val="single"/>
          <w:lang w:val="en-US" w:eastAsia="zh-CN" w:bidi="ar"/>
        </w:rPr>
        <w:t xml:space="preserve">                          （投标人名称）               </w:t>
      </w:r>
      <w:r>
        <w:rPr>
          <w:rFonts w:hint="eastAsia" w:ascii="宋体" w:hAnsi="宋体" w:eastAsia="宋体" w:cs="宋体"/>
          <w:color w:val="000000"/>
          <w:kern w:val="0"/>
          <w:sz w:val="24"/>
          <w:szCs w:val="24"/>
          <w:lang w:val="en-US" w:eastAsia="zh-CN" w:bidi="ar"/>
        </w:rPr>
        <w:t xml:space="preserve">的法定代表人。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b/>
          <w:bCs/>
          <w:color w:val="000000"/>
          <w:kern w:val="0"/>
          <w:sz w:val="24"/>
          <w:szCs w:val="24"/>
          <w:lang w:val="en-US" w:eastAsia="zh-CN" w:bidi="ar"/>
        </w:rPr>
        <w:t xml:space="preserve">特此证明。 </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805180</wp:posOffset>
                </wp:positionH>
                <wp:positionV relativeFrom="paragraph">
                  <wp:posOffset>3175</wp:posOffset>
                </wp:positionV>
                <wp:extent cx="3672840" cy="2400300"/>
                <wp:effectExtent l="4445" t="4445" r="10795" b="18415"/>
                <wp:wrapNone/>
                <wp:docPr id="1" name="文本框 1"/>
                <wp:cNvGraphicFramePr/>
                <a:graphic xmlns:a="http://schemas.openxmlformats.org/drawingml/2006/main">
                  <a:graphicData uri="http://schemas.microsoft.com/office/word/2010/wordprocessingShape">
                    <wps:wsp>
                      <wps:cNvSpPr txBox="1"/>
                      <wps:spPr>
                        <a:xfrm>
                          <a:off x="1818640" y="4171315"/>
                          <a:ext cx="3672840" cy="2400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法定代表人身份证（正反面）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4pt;margin-top:0.25pt;height:189pt;width:289.2pt;z-index:251659264;mso-width-relative:page;mso-height-relative:page;" fillcolor="#FFFFFF [3201]" filled="t" stroked="t" coordsize="21600,21600" o:gfxdata="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vS0btUAAAAIAQAADwAAAAAAAAABACAAAAAiAAAAZHJzL2Rvd25yZXYueG1sUEsBAhQAFAAA&#10;AAgAh07iQNjou/tkAgAAxAQAAA4AAAAAAAAAAQAgAAAAJAEAAGRycy9lMm9Eb2MueG1sUEsFBgAA&#10;AAAGAAYAWQEAAPoFAAAAAA==&#10;">
                <v:fill on="t" focussize="0,0"/>
                <v:stroke weight="0.5pt" color="#000000 [3204]" joinstyle="round"/>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法定代表人身份证（正反面）</w:t>
                      </w:r>
                    </w:p>
                    <w:p/>
                  </w:txbxContent>
                </v:textbox>
              </v:shape>
            </w:pict>
          </mc:Fallback>
        </mc:AlternateConten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4347" w:right="438"/>
        <w:jc w:val="center"/>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名称(盖公章)：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lang w:eastAsia="zh-CN"/>
        </w:rPr>
        <w:t>或盖章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日期：</w:t>
      </w:r>
    </w:p>
    <w:p>
      <w:pPr>
        <w:rPr>
          <w:rFonts w:hint="eastAsia" w:ascii="宋体" w:hAnsi="宋体" w:eastAsia="宋体" w:cs="宋体"/>
          <w:b/>
          <w:sz w:val="28"/>
          <w:szCs w:val="28"/>
          <w:lang w:val="zh-CN" w:eastAsia="zh-CN" w:bidi="zh-CN"/>
        </w:rPr>
      </w:pPr>
      <w:r>
        <w:rPr>
          <w:rFonts w:hint="eastAsia" w:ascii="宋体" w:hAnsi="宋体" w:eastAsia="宋体" w:cs="宋体"/>
          <w:b/>
          <w:sz w:val="28"/>
          <w:szCs w:val="28"/>
          <w:lang w:val="zh-CN" w:eastAsia="zh-CN" w:bidi="zh-CN"/>
        </w:rPr>
        <w:br w:type="page"/>
      </w:r>
    </w:p>
    <w:p>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附件4</w:t>
      </w:r>
    </w:p>
    <w:p>
      <w:pPr>
        <w:pStyle w:val="14"/>
        <w:rPr>
          <w:rFonts w:hint="eastAsia"/>
          <w:lang w:val="zh-CN" w:eastAsia="zh-CN"/>
        </w:rPr>
      </w:pPr>
    </w:p>
    <w:p>
      <w:pPr>
        <w:pStyle w:val="14"/>
        <w:jc w:val="center"/>
        <w:rPr>
          <w:rFonts w:hint="eastAsia" w:ascii="宋体" w:hAnsi="宋体" w:eastAsia="宋体" w:cs="宋体"/>
          <w:b/>
          <w:sz w:val="28"/>
          <w:szCs w:val="28"/>
          <w:lang w:val="zh-CN" w:eastAsia="zh-CN" w:bidi="zh-CN"/>
        </w:rPr>
      </w:pPr>
      <w:r>
        <w:rPr>
          <w:rFonts w:hint="eastAsia" w:ascii="宋体" w:hAnsi="宋体" w:eastAsia="宋体" w:cs="宋体"/>
          <w:b/>
          <w:sz w:val="28"/>
          <w:szCs w:val="28"/>
          <w:lang w:val="zh-CN" w:eastAsia="zh-CN" w:bidi="zh-CN"/>
        </w:rPr>
        <w:t>授权委托书</w:t>
      </w:r>
    </w:p>
    <w:p>
      <w:pPr>
        <w:pStyle w:val="8"/>
        <w:keepNext w:val="0"/>
        <w:keepLines w:val="0"/>
        <w:pageBreakBefore w:val="0"/>
        <w:widowControl w:val="0"/>
        <w:tabs>
          <w:tab w:val="left" w:pos="2779"/>
        </w:tabs>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（填写采购人单位名称）</w:t>
      </w:r>
      <w:r>
        <w:rPr>
          <w:rFonts w:hint="eastAsia" w:ascii="宋体" w:hAnsi="宋体" w:eastAsia="宋体" w:cs="宋体"/>
          <w:sz w:val="24"/>
          <w:szCs w:val="24"/>
        </w:rPr>
        <w:t>：</w:t>
      </w:r>
    </w:p>
    <w:p>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我单位全权委托</w:t>
      </w:r>
      <w:r>
        <w:rPr>
          <w:rFonts w:hint="eastAsia" w:ascii="宋体" w:hAnsi="宋体" w:eastAsia="宋体" w:cs="宋体"/>
          <w:sz w:val="24"/>
          <w:szCs w:val="24"/>
        </w:rPr>
        <w:tab/>
      </w:r>
      <w:r>
        <w:rPr>
          <w:rFonts w:hint="eastAsia" w:ascii="宋体" w:hAnsi="宋体" w:eastAsia="宋体" w:cs="宋体"/>
          <w:sz w:val="24"/>
          <w:szCs w:val="24"/>
        </w:rPr>
        <w:t>（身份证号：</w:t>
      </w:r>
      <w:r>
        <w:rPr>
          <w:rFonts w:hint="eastAsia" w:ascii="宋体" w:hAnsi="宋体" w:eastAsia="宋体" w:cs="宋体"/>
          <w:sz w:val="24"/>
          <w:szCs w:val="24"/>
        </w:rPr>
        <w:tab/>
      </w:r>
      <w:r>
        <w:rPr>
          <w:rFonts w:hint="eastAsia" w:ascii="宋体" w:hAnsi="宋体" w:eastAsia="宋体" w:cs="宋体"/>
          <w:sz w:val="24"/>
          <w:szCs w:val="24"/>
        </w:rPr>
        <w:t>）作为我单位合法代理人，参加</w:t>
      </w:r>
      <w:r>
        <w:rPr>
          <w:rFonts w:hint="eastAsia" w:ascii="宋体" w:hAnsi="宋体" w:eastAsia="宋体" w:cs="宋体"/>
          <w:sz w:val="24"/>
          <w:szCs w:val="24"/>
        </w:rPr>
        <w:tab/>
      </w:r>
      <w:r>
        <w:rPr>
          <w:rFonts w:hint="eastAsia" w:ascii="宋体" w:hAnsi="宋体" w:eastAsia="宋体" w:cs="宋体"/>
          <w:spacing w:val="-5"/>
          <w:sz w:val="24"/>
          <w:szCs w:val="24"/>
        </w:rPr>
        <w:t>（</w:t>
      </w:r>
      <w:r>
        <w:rPr>
          <w:rFonts w:hint="eastAsia" w:ascii="宋体" w:hAnsi="宋体" w:eastAsia="宋体" w:cs="宋体"/>
          <w:sz w:val="24"/>
          <w:szCs w:val="24"/>
        </w:rPr>
        <w:t>填写采购项目名称及编号</w:t>
      </w:r>
      <w:r>
        <w:rPr>
          <w:rFonts w:hint="eastAsia" w:ascii="宋体" w:hAnsi="宋体" w:eastAsia="宋体" w:cs="宋体"/>
          <w:spacing w:val="-17"/>
          <w:sz w:val="24"/>
          <w:szCs w:val="24"/>
        </w:rPr>
        <w:t>）</w:t>
      </w:r>
      <w:r>
        <w:rPr>
          <w:rFonts w:hint="eastAsia" w:ascii="宋体" w:hAnsi="宋体" w:eastAsia="宋体" w:cs="宋体"/>
          <w:sz w:val="24"/>
          <w:szCs w:val="24"/>
          <w:lang w:eastAsia="zh-CN"/>
        </w:rPr>
        <w:t>谈判响应</w:t>
      </w:r>
      <w:r>
        <w:rPr>
          <w:rFonts w:hint="eastAsia" w:ascii="宋体" w:hAnsi="宋体" w:eastAsia="宋体" w:cs="宋体"/>
          <w:sz w:val="24"/>
          <w:szCs w:val="24"/>
        </w:rPr>
        <w:t>活动</w:t>
      </w:r>
      <w:r>
        <w:rPr>
          <w:rFonts w:hint="eastAsia" w:ascii="宋体" w:hAnsi="宋体" w:eastAsia="宋体" w:cs="宋体"/>
          <w:spacing w:val="-17"/>
          <w:sz w:val="24"/>
          <w:szCs w:val="24"/>
        </w:rPr>
        <w:t>，</w:t>
      </w:r>
      <w:r>
        <w:rPr>
          <w:rFonts w:hint="eastAsia" w:ascii="宋体" w:hAnsi="宋体" w:eastAsia="宋体" w:cs="宋体"/>
          <w:sz w:val="24"/>
          <w:szCs w:val="24"/>
        </w:rPr>
        <w:t>并办理上述</w:t>
      </w:r>
      <w:r>
        <w:rPr>
          <w:rFonts w:hint="eastAsia" w:ascii="宋体" w:hAnsi="宋体" w:eastAsia="宋体" w:cs="宋体"/>
          <w:spacing w:val="-16"/>
          <w:sz w:val="24"/>
          <w:szCs w:val="24"/>
        </w:rPr>
        <w:t>项</w:t>
      </w:r>
      <w:r>
        <w:rPr>
          <w:rFonts w:hint="eastAsia" w:ascii="宋体" w:hAnsi="宋体" w:eastAsia="宋体" w:cs="宋体"/>
          <w:sz w:val="24"/>
          <w:szCs w:val="24"/>
        </w:rPr>
        <w:t>目所涉的</w:t>
      </w:r>
      <w:r>
        <w:rPr>
          <w:rFonts w:hint="eastAsia" w:ascii="宋体" w:hAnsi="宋体" w:eastAsia="宋体" w:cs="宋体"/>
          <w:sz w:val="24"/>
          <w:szCs w:val="24"/>
          <w:lang w:eastAsia="zh-CN"/>
        </w:rPr>
        <w:t>谈判响应</w:t>
      </w:r>
      <w:r>
        <w:rPr>
          <w:rFonts w:hint="eastAsia" w:ascii="宋体" w:hAnsi="宋体" w:eastAsia="宋体" w:cs="宋体"/>
          <w:sz w:val="24"/>
          <w:szCs w:val="24"/>
        </w:rPr>
        <w:t>文件签署、合同签订及项目实施等与之相关的</w:t>
      </w:r>
      <w:r>
        <w:rPr>
          <w:rFonts w:hint="eastAsia" w:ascii="宋体" w:hAnsi="宋体" w:eastAsia="宋体" w:cs="宋体"/>
          <w:sz w:val="24"/>
          <w:szCs w:val="24"/>
          <w:lang w:eastAsia="zh-CN"/>
        </w:rPr>
        <w:t>谈判响应</w:t>
      </w:r>
      <w:r>
        <w:rPr>
          <w:rFonts w:hint="eastAsia" w:ascii="宋体" w:hAnsi="宋体" w:eastAsia="宋体" w:cs="宋体"/>
          <w:sz w:val="24"/>
          <w:szCs w:val="24"/>
        </w:rPr>
        <w:t>全程各事项。该代理人的上述行为，均代表本单位，与本单位的行为具有同等法律效力,本单位将承担该代理人行为的全部法律后果和法律责任。代理人无权转换委托权。</w:t>
      </w:r>
    </w:p>
    <w:p>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特此委托</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代理人姓名（签字）：            日期：  年  月  日</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法定代表人（签字或盖章）：            日期：  年  月  日</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widowControl/>
        <w:suppressLineNumbers w:val="0"/>
        <w:jc w:val="righ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（委托单位加盖公章）</w:t>
      </w: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pP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pPr>
      <w:r>
        <w:rPr>
          <w:rFonts w:hint="eastAsia" w:ascii="宋体" w:hAnsi="宋体" w:eastAsia="宋体" w:cs="宋体"/>
          <w:sz w:val="24"/>
          <w:szCs w:val="24"/>
          <w:lang w:val="en-US" w:eastAsia="zh-CN"/>
        </w:rPr>
        <w:t>附：1、代理人身份证正反面复印件（</w:t>
      </w:r>
      <w:r>
        <w:rPr>
          <w:rFonts w:hint="eastAsia" w:ascii="宋体" w:hAnsi="宋体" w:eastAsia="宋体" w:cs="宋体"/>
          <w:b/>
          <w:bCs/>
          <w:color w:val="000000"/>
          <w:kern w:val="0"/>
          <w:sz w:val="24"/>
          <w:szCs w:val="24"/>
          <w:lang w:val="en-US" w:eastAsia="zh-CN" w:bidi="ar"/>
        </w:rPr>
        <w:t>本人签名、日期，单位加盖公章</w:t>
      </w:r>
      <w:r>
        <w:rPr>
          <w:rFonts w:hint="eastAsia" w:ascii="宋体" w:hAnsi="宋体" w:eastAsia="宋体" w:cs="宋体"/>
          <w:color w:val="000000"/>
          <w:kern w:val="0"/>
          <w:sz w:val="24"/>
          <w:szCs w:val="24"/>
          <w:lang w:val="en-US" w:eastAsia="zh-CN" w:bidi="ar"/>
        </w:rPr>
        <w:t>）</w:t>
      </w:r>
    </w:p>
    <w:p>
      <w:pPr>
        <w:pStyle w:val="8"/>
        <w:keepNext w:val="0"/>
        <w:keepLines w:val="0"/>
        <w:pageBreakBefore w:val="0"/>
        <w:widowControl w:val="0"/>
        <w:tabs>
          <w:tab w:val="left" w:pos="4099"/>
          <w:tab w:val="left" w:pos="7219"/>
        </w:tabs>
        <w:kinsoku/>
        <w:wordWrap/>
        <w:overflowPunct/>
        <w:topLinePunct w:val="0"/>
        <w:autoSpaceDE w:val="0"/>
        <w:autoSpaceDN w:val="0"/>
        <w:bidi w:val="0"/>
        <w:adjustRightInd/>
        <w:snapToGrid/>
        <w:spacing w:before="0" w:line="417" w:lineRule="exact"/>
        <w:ind w:firstLine="480" w:firstLineChars="200"/>
        <w:jc w:val="both"/>
        <w:textAlignment w:val="auto"/>
        <w:rPr>
          <w:rFonts w:hint="eastAsia" w:ascii="宋体" w:hAnsi="宋体" w:eastAsia="宋体" w:cs="宋体"/>
          <w:sz w:val="24"/>
          <w:szCs w:val="24"/>
          <w:lang w:val="en-US" w:eastAsia="zh-CN"/>
        </w:rPr>
      </w:pPr>
    </w:p>
    <w:p>
      <w:pPr>
        <w:pStyle w:val="19"/>
        <w:keepNext w:val="0"/>
        <w:keepLines w:val="0"/>
        <w:pageBreakBefore w:val="0"/>
        <w:widowControl w:val="0"/>
        <w:numPr>
          <w:ilvl w:val="0"/>
          <w:numId w:val="0"/>
        </w:numPr>
        <w:tabs>
          <w:tab w:val="left" w:pos="1997"/>
        </w:tabs>
        <w:kinsoku/>
        <w:wordWrap/>
        <w:overflowPunct/>
        <w:topLinePunct w:val="0"/>
        <w:autoSpaceDE w:val="0"/>
        <w:autoSpaceDN w:val="0"/>
        <w:bidi w:val="0"/>
        <w:adjustRightInd/>
        <w:snapToGrid/>
        <w:spacing w:before="0" w:after="0" w:line="340" w:lineRule="exact"/>
        <w:ind w:left="0" w:leftChars="0" w:right="0" w:rightChars="0" w:firstLine="480" w:firstLineChars="200"/>
        <w:jc w:val="both"/>
        <w:textAlignment w:val="auto"/>
        <w:rPr>
          <w:rFonts w:hint="eastAsia" w:ascii="宋体" w:hAnsi="宋体" w:eastAsia="宋体" w:cs="宋体"/>
          <w:spacing w:val="0"/>
          <w:sz w:val="24"/>
          <w:szCs w:val="24"/>
          <w:lang w:val="en-US" w:eastAsia="zh-CN"/>
        </w:rPr>
        <w:sectPr>
          <w:footerReference r:id="rId5"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5</w:t>
      </w:r>
    </w:p>
    <w:p>
      <w:pPr>
        <w:pStyle w:val="8"/>
        <w:spacing w:before="17"/>
        <w:jc w:val="center"/>
        <w:rPr>
          <w:rFonts w:hint="eastAsia" w:ascii="宋体" w:hAnsi="宋体" w:eastAsia="宋体" w:cs="宋体"/>
          <w:b/>
          <w:sz w:val="28"/>
          <w:szCs w:val="28"/>
          <w:lang w:eastAsia="zh-CN"/>
        </w:rPr>
      </w:pPr>
      <w:r>
        <w:rPr>
          <w:rFonts w:hint="eastAsia" w:ascii="宋体" w:hAnsi="宋体" w:eastAsia="宋体" w:cs="宋体"/>
          <w:b/>
          <w:sz w:val="28"/>
          <w:szCs w:val="28"/>
        </w:rPr>
        <w:t>中小企业声明函</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服务</w:t>
      </w:r>
      <w:r>
        <w:rPr>
          <w:rFonts w:hint="eastAsia" w:ascii="宋体" w:hAnsi="宋体" w:eastAsia="宋体" w:cs="宋体"/>
          <w:b/>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本公司（联合体）郑重声明，根据《政府采购促进中小企业发展管理办法》（财库﹝2020﹞46号）的规定，本公司参加</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rPr>
        <w:t>采购活动，</w:t>
      </w:r>
      <w:r>
        <w:rPr>
          <w:rFonts w:ascii="宋体" w:hAnsi="宋体" w:eastAsia="宋体" w:cs="宋体"/>
          <w:sz w:val="24"/>
          <w:szCs w:val="24"/>
        </w:rPr>
        <w:t>提供的</w:t>
      </w:r>
      <w:r>
        <w:rPr>
          <w:rFonts w:hint="eastAsia" w:ascii="宋体" w:hAnsi="宋体" w:eastAsia="宋体" w:cs="宋体"/>
          <w:sz w:val="24"/>
          <w:szCs w:val="24"/>
          <w:lang w:eastAsia="zh-CN"/>
        </w:rPr>
        <w:t>服务</w:t>
      </w:r>
      <w:r>
        <w:rPr>
          <w:rFonts w:ascii="宋体" w:hAnsi="宋体" w:eastAsia="宋体" w:cs="宋体"/>
          <w:sz w:val="24"/>
          <w:szCs w:val="24"/>
        </w:rPr>
        <w:t>全部由符合政策要求的中小企业</w:t>
      </w:r>
      <w:r>
        <w:rPr>
          <w:rFonts w:hint="eastAsia" w:ascii="宋体" w:hAnsi="宋体" w:eastAsia="宋体" w:cs="宋体"/>
          <w:sz w:val="24"/>
          <w:szCs w:val="24"/>
          <w:lang w:eastAsia="zh-CN"/>
        </w:rPr>
        <w:t>提供</w:t>
      </w:r>
      <w:r>
        <w:rPr>
          <w:rFonts w:ascii="宋体" w:hAnsi="宋体" w:eastAsia="宋体" w:cs="宋体"/>
          <w:sz w:val="24"/>
          <w:szCs w:val="24"/>
        </w:rPr>
        <w:t>。相关企业的具体情况如下：</w:t>
      </w:r>
    </w:p>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pacing w:val="0"/>
          <w:sz w:val="24"/>
          <w:szCs w:val="24"/>
          <w:lang w:val="en-US" w:eastAsia="zh-CN" w:bidi="zh-CN"/>
        </w:rPr>
        <w:t xml:space="preserve">1. </w:t>
      </w:r>
      <w:r>
        <w:rPr>
          <w:rFonts w:hint="eastAsia" w:ascii="宋体" w:hAnsi="宋体" w:eastAsia="宋体" w:cs="宋体"/>
          <w:spacing w:val="0"/>
          <w:sz w:val="24"/>
          <w:szCs w:val="24"/>
          <w:u w:val="single"/>
          <w:lang w:val="en-US" w:eastAsia="zh-CN" w:bidi="zh-CN"/>
        </w:rPr>
        <w:t xml:space="preserve">标的名称        </w:t>
      </w:r>
      <w:r>
        <w:rPr>
          <w:rFonts w:hint="eastAsia" w:ascii="宋体" w:hAnsi="宋体" w:eastAsia="宋体" w:cs="宋体"/>
          <w:spacing w:val="0"/>
          <w:sz w:val="24"/>
          <w:szCs w:val="24"/>
          <w:lang w:val="en-US" w:eastAsia="zh-CN" w:bidi="zh-CN"/>
        </w:rPr>
        <w:t xml:space="preserve"> ，属于</w:t>
      </w:r>
      <w:r>
        <w:rPr>
          <w:rFonts w:hint="eastAsia" w:ascii="宋体" w:hAnsi="宋体" w:eastAsia="宋体" w:cs="宋体"/>
          <w:spacing w:val="0"/>
          <w:sz w:val="24"/>
          <w:szCs w:val="24"/>
          <w:u w:val="single"/>
          <w:lang w:val="en-US" w:eastAsia="zh-CN" w:bidi="zh-CN"/>
        </w:rPr>
        <w:t>（采购文件明确的所属行业：农、林、牧、渔业）</w:t>
      </w:r>
      <w:r>
        <w:rPr>
          <w:rFonts w:hint="eastAsia" w:ascii="宋体" w:hAnsi="宋体" w:eastAsia="宋体" w:cs="宋体"/>
          <w:spacing w:val="0"/>
          <w:sz w:val="24"/>
          <w:szCs w:val="24"/>
          <w:lang w:val="en-US" w:eastAsia="zh-CN" w:bidi="zh-CN"/>
        </w:rPr>
        <w:t>；服务企业为</w:t>
      </w:r>
      <w:r>
        <w:rPr>
          <w:rFonts w:hint="eastAsia" w:ascii="宋体" w:hAnsi="宋体" w:eastAsia="宋体" w:cs="宋体"/>
          <w:spacing w:val="0"/>
          <w:sz w:val="24"/>
          <w:szCs w:val="24"/>
          <w:u w:val="single"/>
          <w:lang w:val="en-US" w:eastAsia="zh-CN" w:bidi="zh-CN"/>
        </w:rPr>
        <w:t xml:space="preserve">（企业名称）        </w:t>
      </w:r>
      <w:r>
        <w:rPr>
          <w:rFonts w:hint="eastAsia" w:ascii="宋体" w:hAnsi="宋体" w:eastAsia="宋体" w:cs="宋体"/>
          <w:spacing w:val="0"/>
          <w:sz w:val="24"/>
          <w:szCs w:val="24"/>
          <w:lang w:val="en-US" w:eastAsia="zh-CN" w:bidi="zh-CN"/>
        </w:rPr>
        <w:t xml:space="preserve"> ，从业人员</w:t>
      </w:r>
      <w:r>
        <w:rPr>
          <w:rFonts w:hint="eastAsia" w:ascii="宋体" w:hAnsi="宋体" w:eastAsia="宋体" w:cs="宋体"/>
          <w:spacing w:val="0"/>
          <w:sz w:val="24"/>
          <w:szCs w:val="24"/>
          <w:u w:val="single"/>
          <w:lang w:val="en-US" w:eastAsia="zh-CN" w:bidi="zh-CN"/>
        </w:rPr>
        <w:t xml:space="preserve">        </w:t>
      </w:r>
      <w:r>
        <w:rPr>
          <w:rFonts w:hint="eastAsia" w:ascii="宋体" w:hAnsi="宋体" w:eastAsia="宋体" w:cs="宋体"/>
          <w:spacing w:val="0"/>
          <w:sz w:val="24"/>
          <w:szCs w:val="24"/>
          <w:lang w:val="en-US" w:eastAsia="zh-CN" w:bidi="zh-CN"/>
        </w:rPr>
        <w:t>人，营业收入为</w:t>
      </w:r>
      <w:r>
        <w:rPr>
          <w:rFonts w:hint="eastAsia" w:ascii="宋体" w:hAnsi="宋体" w:eastAsia="宋体" w:cs="宋体"/>
          <w:spacing w:val="0"/>
          <w:sz w:val="24"/>
          <w:szCs w:val="24"/>
          <w:u w:val="single"/>
          <w:lang w:val="en-US" w:eastAsia="zh-CN" w:bidi="zh-CN"/>
        </w:rPr>
        <w:t xml:space="preserve">     </w:t>
      </w:r>
      <w:r>
        <w:rPr>
          <w:rFonts w:hint="eastAsia" w:ascii="宋体" w:hAnsi="宋体" w:eastAsia="宋体" w:cs="宋体"/>
          <w:spacing w:val="0"/>
          <w:sz w:val="24"/>
          <w:szCs w:val="24"/>
          <w:lang w:val="en-US" w:eastAsia="zh-CN" w:bidi="zh-CN"/>
        </w:rPr>
        <w:t>万元，资产总额为</w:t>
      </w:r>
      <w:r>
        <w:rPr>
          <w:rFonts w:hint="eastAsia" w:ascii="宋体" w:hAnsi="宋体" w:eastAsia="宋体" w:cs="宋体"/>
          <w:spacing w:val="0"/>
          <w:sz w:val="24"/>
          <w:szCs w:val="24"/>
          <w:u w:val="single"/>
          <w:lang w:val="en-US" w:eastAsia="zh-CN" w:bidi="zh-CN"/>
        </w:rPr>
        <w:t xml:space="preserve">       </w:t>
      </w:r>
      <w:r>
        <w:rPr>
          <w:rFonts w:hint="eastAsia" w:ascii="宋体" w:hAnsi="宋体" w:eastAsia="宋体" w:cs="宋体"/>
          <w:spacing w:val="0"/>
          <w:sz w:val="24"/>
          <w:szCs w:val="24"/>
          <w:lang w:val="en-US" w:eastAsia="zh-CN" w:bidi="zh-CN"/>
        </w:rPr>
        <w:t>万元，属于</w:t>
      </w:r>
      <w:r>
        <w:rPr>
          <w:rFonts w:hint="eastAsia" w:ascii="宋体" w:hAnsi="宋体" w:eastAsia="宋体" w:cs="宋体"/>
          <w:spacing w:val="0"/>
          <w:sz w:val="24"/>
          <w:szCs w:val="24"/>
          <w:u w:val="single"/>
          <w:lang w:val="en-US" w:eastAsia="zh-CN" w:bidi="zh-CN"/>
        </w:rPr>
        <w:t xml:space="preserve">      （中型企业、小型企业、微型企业） </w:t>
      </w:r>
      <w:r>
        <w:rPr>
          <w:rFonts w:ascii="宋体" w:hAnsi="宋体" w:eastAsia="宋体" w:cs="宋体"/>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20" w:firstLineChars="200"/>
        <w:textAlignment w:val="auto"/>
        <w:rPr>
          <w:rFonts w:hint="eastAsia" w:ascii="宋体" w:hAnsi="宋体" w:eastAsia="宋体" w:cs="宋体"/>
          <w:sz w:val="24"/>
          <w:szCs w:val="24"/>
        </w:rPr>
      </w:pPr>
      <w:r>
        <w:rPr>
          <w:rFonts w:hint="eastAsia" w:ascii="宋体" w:hAnsi="宋体" w:eastAsia="宋体" w:cs="宋体"/>
          <w:spacing w:val="-15"/>
          <w:sz w:val="24"/>
          <w:szCs w:val="24"/>
        </w:rPr>
        <w:t>以上企业，不属于大企业的分支机构，不存在控股股东为大企业的情形，也不</w:t>
      </w:r>
      <w:r>
        <w:rPr>
          <w:rFonts w:hint="eastAsia" w:ascii="宋体" w:hAnsi="宋体" w:eastAsia="宋体" w:cs="宋体"/>
          <w:spacing w:val="-12"/>
          <w:sz w:val="24"/>
          <w:szCs w:val="24"/>
        </w:rPr>
        <w:t>存在与大企业的负责人为同一人的情形。</w:t>
      </w:r>
    </w:p>
    <w:p>
      <w:pPr>
        <w:pStyle w:val="14"/>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8"/>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right"/>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 xml:space="preserve">                </w:t>
      </w:r>
    </w:p>
    <w:p>
      <w:pPr>
        <w:pStyle w:val="8"/>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right"/>
        <w:textAlignment w:val="auto"/>
        <w:rPr>
          <w:rFonts w:hint="eastAsia" w:ascii="宋体" w:hAnsi="宋体" w:eastAsia="宋体" w:cs="宋体"/>
          <w:sz w:val="24"/>
          <w:szCs w:val="24"/>
        </w:rPr>
      </w:pPr>
      <w:r>
        <w:rPr>
          <w:rFonts w:hint="eastAsia" w:ascii="宋体" w:hAnsi="宋体" w:eastAsia="宋体" w:cs="宋体"/>
          <w:sz w:val="24"/>
          <w:szCs w:val="24"/>
          <w:lang w:val="zh-CN" w:eastAsia="zh-CN" w:bidi="zh-CN"/>
        </w:rPr>
        <w:t>企业名称（盖章：）</w:t>
      </w:r>
    </w:p>
    <w:p>
      <w:pPr>
        <w:pStyle w:val="12"/>
        <w:keepNext w:val="0"/>
        <w:keepLines w:val="0"/>
        <w:pageBreakBefore w:val="0"/>
        <w:widowControl w:val="0"/>
        <w:kinsoku/>
        <w:wordWrap/>
        <w:overflowPunct/>
        <w:topLinePunct w:val="0"/>
        <w:autoSpaceDE w:val="0"/>
        <w:autoSpaceDN w:val="0"/>
        <w:bidi w:val="0"/>
        <w:adjustRightInd/>
        <w:snapToGrid/>
        <w:spacing w:line="480" w:lineRule="auto"/>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p>
    <w:p>
      <w:pPr>
        <w:rPr>
          <w:rFonts w:hint="eastAsia" w:ascii="宋体" w:hAnsi="宋体" w:eastAsia="宋体" w:cs="宋体"/>
          <w:spacing w:val="-17"/>
          <w:sz w:val="24"/>
          <w:szCs w:val="24"/>
        </w:rPr>
      </w:pPr>
    </w:p>
    <w:p>
      <w:pPr>
        <w:rPr>
          <w:rFonts w:hint="eastAsia" w:ascii="宋体" w:hAnsi="宋体" w:eastAsia="宋体" w:cs="宋体"/>
          <w:spacing w:val="-17"/>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pacing w:val="0"/>
          <w:sz w:val="24"/>
          <w:szCs w:val="24"/>
        </w:rPr>
        <w:t>备注：从业人员、营业收入、资产总额填报上一年度数据，无上一年度数据的新成立企业可不填报。</w:t>
      </w:r>
    </w:p>
    <w:tbl>
      <w:tblPr>
        <w:tblStyle w:val="15"/>
        <w:tblW w:w="15031" w:type="dxa"/>
        <w:tblInd w:w="-407" w:type="dxa"/>
        <w:tblLayout w:type="fixed"/>
        <w:tblCellMar>
          <w:top w:w="0" w:type="dxa"/>
          <w:left w:w="108" w:type="dxa"/>
          <w:bottom w:w="0" w:type="dxa"/>
          <w:right w:w="108" w:type="dxa"/>
        </w:tblCellMar>
      </w:tblPr>
      <w:tblGrid>
        <w:gridCol w:w="2199"/>
        <w:gridCol w:w="1378"/>
        <w:gridCol w:w="1704"/>
        <w:gridCol w:w="1740"/>
        <w:gridCol w:w="1285"/>
        <w:gridCol w:w="1467"/>
        <w:gridCol w:w="1506"/>
        <w:gridCol w:w="1273"/>
        <w:gridCol w:w="1263"/>
        <w:gridCol w:w="1216"/>
      </w:tblGrid>
      <w:tr>
        <w:tblPrEx>
          <w:tblCellMar>
            <w:top w:w="0" w:type="dxa"/>
            <w:left w:w="108" w:type="dxa"/>
            <w:bottom w:w="0" w:type="dxa"/>
            <w:right w:w="108" w:type="dxa"/>
          </w:tblCellMar>
        </w:tblPrEx>
        <w:trPr>
          <w:trHeight w:val="23" w:hRule="atLeast"/>
        </w:trPr>
        <w:tc>
          <w:tcPr>
            <w:tcW w:w="15031" w:type="dxa"/>
            <w:gridSpan w:val="10"/>
            <w:tcBorders>
              <w:top w:val="nil"/>
              <w:left w:val="nil"/>
              <w:bottom w:val="nil"/>
              <w:right w:val="nil"/>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trHeight w:val="23" w:hRule="atLeast"/>
        </w:trPr>
        <w:tc>
          <w:tcPr>
            <w:tcW w:w="2199"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24"/>
              </w:rPr>
            </w:pPr>
            <w:r>
              <w:rPr>
                <w:rFonts w:hint="eastAsia" w:ascii="宋体" w:hAnsi="宋体" w:cs="宋体"/>
                <w:b/>
                <w:bCs/>
                <w:kern w:val="0"/>
                <w:sz w:val="24"/>
              </w:rPr>
              <w:t>行业</w:t>
            </w:r>
          </w:p>
        </w:tc>
        <w:tc>
          <w:tcPr>
            <w:tcW w:w="4822"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24"/>
              </w:rPr>
            </w:pPr>
            <w:r>
              <w:rPr>
                <w:rFonts w:hint="eastAsia" w:ascii="宋体" w:hAnsi="宋体" w:cs="宋体"/>
                <w:b/>
                <w:bCs/>
                <w:kern w:val="0"/>
                <w:sz w:val="24"/>
              </w:rPr>
              <w:t>中型企业</w:t>
            </w:r>
          </w:p>
        </w:tc>
        <w:tc>
          <w:tcPr>
            <w:tcW w:w="4258"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24"/>
              </w:rPr>
            </w:pPr>
            <w:r>
              <w:rPr>
                <w:rFonts w:hint="eastAsia" w:ascii="宋体" w:hAnsi="宋体" w:cs="宋体"/>
                <w:b/>
                <w:bCs/>
                <w:kern w:val="0"/>
                <w:sz w:val="24"/>
              </w:rPr>
              <w:t>小型企业</w:t>
            </w:r>
          </w:p>
        </w:tc>
        <w:tc>
          <w:tcPr>
            <w:tcW w:w="3752"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trHeight w:val="23" w:hRule="atLeast"/>
        </w:trPr>
        <w:tc>
          <w:tcPr>
            <w:tcW w:w="2199"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b/>
                <w:bCs/>
                <w:kern w:val="0"/>
                <w:sz w:val="24"/>
              </w:rPr>
            </w:pP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从业人员X（人）</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营业收入Y</w:t>
            </w:r>
          </w:p>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（万元）</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资产总额Z</w:t>
            </w:r>
          </w:p>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从业人员X（人）</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营业收入Y</w:t>
            </w:r>
          </w:p>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（万元）</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资产总额Z</w:t>
            </w:r>
          </w:p>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（万元）</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从业人员X（人）</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营业收入Y（万元）</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auto"/>
              <w:rPr>
                <w:rFonts w:hint="eastAsia"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1、农林牧渔业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500≤Y＜20000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50≤Y＜500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Y＜50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2、工业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300≤X＜1000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2000≤Y＜40000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20≤X＜300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300≤Y＜2000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X＜20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Y＜300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3、建筑业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　</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6000≤Y＜80000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5000≤Z＜80000</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　</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300≤Y＜6000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 xml:space="preserve"> 300≤Z＜5000</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　</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Y＜300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highlight w:val="none"/>
              </w:rPr>
            </w:pPr>
            <w:r>
              <w:rPr>
                <w:rFonts w:hint="eastAsia" w:ascii="宋体" w:hAnsi="宋体" w:cs="宋体"/>
                <w:kern w:val="0"/>
                <w:sz w:val="20"/>
                <w:highlight w:val="none"/>
              </w:rPr>
              <w:t>Z＜300</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4、批发业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20≤X＜200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5000≤Y＜40000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5≤X＜20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1000≤Y＜5000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X＜5</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5、零售业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50≤X＜300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500≤Y＜20000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10≤X＜50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100≤Y＜500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6、交通运输业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300≤X＜1000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3000≤Y＜30000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20≤X＜300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200≤Y＜3000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X＜20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V＜200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7、仓储业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100≤X＜200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1000≤Y＜30000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X＜20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8、邮政业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300≤X＜1000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2000≤Y＜30000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20≤X＜300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100≤Y＜2000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X＜20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9、住宿业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2000≤Y＜10000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100≤Y＜2000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10、餐饮业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2000≤Y＜10000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100≤Y＜2000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V＜100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11、信息传输业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100≤X＜2000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1000≤Y＜100000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12、软件和信息技术服务业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1000≤Y＜10000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50≤Y＜1000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Y＜50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13、房地产开发经营</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1000≤Y＜200000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5000≤Z＜10000</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2000≤Z＜5000</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14、物业管理</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300≤X＜1000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1000≤Y＜5000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500≤Y＜1000</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Y＜500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15、租赁和商务服务业</w:t>
            </w:r>
          </w:p>
        </w:tc>
        <w:tc>
          <w:tcPr>
            <w:tcW w:w="137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8000≤Z＜120000</w:t>
            </w:r>
          </w:p>
        </w:tc>
        <w:tc>
          <w:tcPr>
            <w:tcW w:w="128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50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xml:space="preserve"> 100≤Z＜8000</w:t>
            </w:r>
          </w:p>
        </w:tc>
        <w:tc>
          <w:tcPr>
            <w:tcW w:w="127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23" w:hRule="atLeast"/>
        </w:trPr>
        <w:tc>
          <w:tcPr>
            <w:tcW w:w="2199"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16、其他未列明行业</w:t>
            </w:r>
          </w:p>
        </w:tc>
        <w:tc>
          <w:tcPr>
            <w:tcW w:w="1378"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100≤X＜300</w:t>
            </w:r>
          </w:p>
        </w:tc>
        <w:tc>
          <w:tcPr>
            <w:tcW w:w="1704"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740"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10≤X＜100</w:t>
            </w:r>
          </w:p>
        </w:tc>
        <w:tc>
          <w:tcPr>
            <w:tcW w:w="1467"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506"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73"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X＜10</w:t>
            </w:r>
          </w:p>
        </w:tc>
        <w:tc>
          <w:tcPr>
            <w:tcW w:w="1263"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c>
          <w:tcPr>
            <w:tcW w:w="1216"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23" w:hRule="atLeast"/>
        </w:trPr>
        <w:tc>
          <w:tcPr>
            <w:tcW w:w="15031" w:type="dxa"/>
            <w:gridSpan w:val="10"/>
            <w:tcBorders>
              <w:top w:val="nil"/>
              <w:left w:val="nil"/>
              <w:bottom w:val="nil"/>
              <w:right w:val="nil"/>
            </w:tcBorders>
            <w:noWrap w:val="0"/>
            <w:vAlign w:val="bottom"/>
          </w:tcPr>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hint="eastAsia" w:ascii="宋体" w:hAnsi="宋体" w:eastAsia="宋体" w:cs="宋体"/>
                <w:kern w:val="0"/>
                <w:sz w:val="20"/>
              </w:rPr>
            </w:pPr>
            <w:r>
              <w:rPr>
                <w:rFonts w:hint="eastAsia" w:ascii="宋体" w:hAnsi="宋体" w:eastAsia="宋体" w:cs="宋体"/>
                <w:kern w:val="0"/>
                <w:sz w:val="20"/>
              </w:rPr>
              <w:t>说明　1、企业类型的划分以统计部门的统计数据为依据。</w:t>
            </w:r>
          </w:p>
          <w:p>
            <w:pPr>
              <w:keepNext w:val="0"/>
              <w:keepLines w:val="0"/>
              <w:pageBreakBefore w:val="0"/>
              <w:widowControl/>
              <w:kinsoku/>
              <w:wordWrap/>
              <w:overflowPunct/>
              <w:topLinePunct w:val="0"/>
              <w:autoSpaceDE w:val="0"/>
              <w:autoSpaceDN w:val="0"/>
              <w:bidi w:val="0"/>
              <w:adjustRightInd/>
              <w:snapToGrid/>
              <w:spacing w:line="300" w:lineRule="exact"/>
              <w:ind w:firstLine="600" w:firstLineChars="300"/>
              <w:jc w:val="left"/>
              <w:textAlignment w:val="auto"/>
              <w:rPr>
                <w:rFonts w:hint="eastAsia" w:ascii="宋体" w:hAnsi="宋体" w:eastAsia="宋体" w:cs="宋体"/>
                <w:kern w:val="0"/>
                <w:sz w:val="20"/>
              </w:rPr>
            </w:pPr>
            <w:r>
              <w:rPr>
                <w:rFonts w:hint="eastAsia" w:ascii="宋体" w:hAnsi="宋体" w:eastAsia="宋体" w:cs="宋体"/>
                <w:kern w:val="0"/>
                <w:sz w:val="20"/>
              </w:rPr>
              <w:t>2、个体工商户和本规定以外的行业，参照本规定进行划型。</w:t>
            </w:r>
          </w:p>
          <w:p>
            <w:pPr>
              <w:keepNext w:val="0"/>
              <w:keepLines w:val="0"/>
              <w:pageBreakBefore w:val="0"/>
              <w:widowControl/>
              <w:kinsoku/>
              <w:wordWrap/>
              <w:overflowPunct/>
              <w:topLinePunct w:val="0"/>
              <w:autoSpaceDE w:val="0"/>
              <w:autoSpaceDN w:val="0"/>
              <w:bidi w:val="0"/>
              <w:adjustRightInd/>
              <w:snapToGrid/>
              <w:spacing w:line="300" w:lineRule="exact"/>
              <w:ind w:firstLine="600" w:firstLineChars="300"/>
              <w:jc w:val="left"/>
              <w:textAlignment w:val="auto"/>
              <w:rPr>
                <w:rFonts w:hint="eastAsia" w:ascii="宋体" w:hAnsi="宋体" w:cs="宋体"/>
                <w:kern w:val="0"/>
                <w:sz w:val="20"/>
              </w:rPr>
            </w:pPr>
            <w:r>
              <w:rPr>
                <w:rFonts w:hint="eastAsia" w:ascii="宋体" w:hAnsi="宋体" w:eastAsia="宋体" w:cs="宋体"/>
                <w:kern w:val="0"/>
                <w:sz w:val="20"/>
              </w:rPr>
              <w:t>3、本规定的中型企业标准上限即为大型企业标准的下限</w:t>
            </w:r>
            <w:r>
              <w:rPr>
                <w:rFonts w:hint="eastAsia" w:ascii="宋体" w:hAnsi="宋体" w:cs="宋体"/>
                <w:kern w:val="0"/>
                <w:sz w:val="20"/>
              </w:rPr>
              <w:t>。</w:t>
            </w:r>
          </w:p>
        </w:tc>
      </w:tr>
    </w:tbl>
    <w:p>
      <w:pPr>
        <w:pStyle w:val="14"/>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jc w:val="left"/>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6</w:t>
      </w:r>
    </w:p>
    <w:p>
      <w:pPr>
        <w:spacing w:before="0"/>
        <w:ind w:right="0"/>
        <w:jc w:val="center"/>
        <w:rPr>
          <w:rFonts w:hint="eastAsia"/>
        </w:rPr>
      </w:pPr>
      <w:r>
        <w:rPr>
          <w:rFonts w:hint="eastAsia" w:ascii="宋体" w:hAnsi="宋体" w:eastAsia="宋体" w:cs="宋体"/>
          <w:b/>
          <w:sz w:val="28"/>
          <w:szCs w:val="28"/>
        </w:rPr>
        <w:t>残疾人福利性单位声明函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w:t>
      </w:r>
      <w:r>
        <w:rPr>
          <w:rFonts w:hint="eastAsia" w:ascii="宋体" w:hAnsi="宋体" w:eastAsia="宋体" w:cs="宋体"/>
          <w:spacing w:val="-2"/>
          <w:sz w:val="24"/>
          <w:szCs w:val="24"/>
        </w:rPr>
        <w:t>〕</w:t>
      </w:r>
      <w:r>
        <w:rPr>
          <w:rFonts w:hint="eastAsia" w:ascii="宋体" w:hAnsi="宋体" w:eastAsia="宋体" w:cs="宋体"/>
          <w:sz w:val="24"/>
          <w:szCs w:val="24"/>
        </w:rPr>
        <w:t>141</w:t>
      </w:r>
      <w:r>
        <w:rPr>
          <w:rFonts w:hint="eastAsia" w:ascii="宋体" w:hAnsi="宋体" w:eastAsia="宋体" w:cs="宋体"/>
          <w:spacing w:val="-1"/>
          <w:sz w:val="24"/>
          <w:szCs w:val="24"/>
        </w:rPr>
        <w:t xml:space="preserve"> 号</w:t>
      </w:r>
      <w:r>
        <w:rPr>
          <w:rFonts w:hint="eastAsia" w:ascii="宋体" w:hAnsi="宋体" w:eastAsia="宋体" w:cs="宋体"/>
          <w:sz w:val="24"/>
          <w:szCs w:val="24"/>
        </w:rPr>
        <w:t>）</w:t>
      </w:r>
      <w:r>
        <w:rPr>
          <w:rFonts w:hint="eastAsia" w:ascii="宋体" w:hAnsi="宋体" w:eastAsia="宋体" w:cs="宋体"/>
          <w:spacing w:val="-1"/>
          <w:sz w:val="24"/>
          <w:szCs w:val="24"/>
        </w:rPr>
        <w:t xml:space="preserve">的规定，本单位为符合条件的残疾人福利性单位， </w:t>
      </w:r>
      <w:r>
        <w:rPr>
          <w:rFonts w:hint="eastAsia" w:ascii="宋体" w:hAnsi="宋体" w:eastAsia="宋体" w:cs="宋体"/>
          <w:sz w:val="24"/>
          <w:szCs w:val="24"/>
        </w:rPr>
        <w:t>且本单位参加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单位</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本单位对上述声明的真实性负责。如有虚假，将依法承担相应责任。</w:t>
      </w:r>
    </w:p>
    <w:p>
      <w:pPr>
        <w:pStyle w:val="14"/>
        <w:rPr>
          <w:rFonts w:hint="default"/>
          <w:lang w:val="en-US" w:eastAsia="zh-CN"/>
        </w:rPr>
      </w:pPr>
    </w:p>
    <w:p>
      <w:pPr>
        <w:pStyle w:val="8"/>
        <w:keepNext w:val="0"/>
        <w:keepLines w:val="0"/>
        <w:pageBreakBefore w:val="0"/>
        <w:widowControl w:val="0"/>
        <w:kinsoku/>
        <w:wordWrap/>
        <w:overflowPunct/>
        <w:topLinePunct w:val="0"/>
        <w:autoSpaceDE w:val="0"/>
        <w:autoSpaceDN w:val="0"/>
        <w:bidi w:val="0"/>
        <w:adjustRightInd/>
        <w:snapToGrid/>
        <w:spacing w:line="480" w:lineRule="auto"/>
        <w:ind w:right="0"/>
        <w:jc w:val="right"/>
        <w:textAlignment w:val="auto"/>
        <w:rPr>
          <w:rFonts w:hint="eastAsia" w:ascii="宋体" w:hAnsi="宋体" w:eastAsia="宋体" w:cs="宋体"/>
          <w:sz w:val="24"/>
          <w:szCs w:val="24"/>
        </w:rPr>
      </w:pPr>
      <w:r>
        <w:rPr>
          <w:rFonts w:hint="eastAsia" w:ascii="宋体" w:hAnsi="宋体" w:eastAsia="宋体" w:cs="宋体"/>
          <w:sz w:val="24"/>
          <w:szCs w:val="24"/>
        </w:rPr>
        <w:t>投标人名称（盖公章）：</w:t>
      </w:r>
    </w:p>
    <w:p>
      <w:pPr>
        <w:rPr>
          <w:rFonts w:hint="eastAsia" w:ascii="宋体" w:hAnsi="宋体" w:eastAsia="宋体" w:cs="宋体"/>
          <w:b/>
          <w:bCs/>
          <w:color w:val="000000"/>
          <w:kern w:val="0"/>
          <w:sz w:val="52"/>
          <w:szCs w:val="52"/>
          <w:lang w:val="en-US" w:eastAsia="zh-CN" w:bidi="ar"/>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pacing w:val="12"/>
          <w:sz w:val="24"/>
          <w:szCs w:val="24"/>
        </w:rPr>
        <w:t>期</w:t>
      </w:r>
    </w:p>
    <w:p>
      <w:pPr>
        <w:rPr>
          <w:rFonts w:hint="eastAsia" w:ascii="宋体" w:hAnsi="宋体" w:eastAsia="宋体" w:cs="宋体"/>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br w:type="page"/>
      </w:r>
    </w:p>
    <w:p>
      <w:pPr>
        <w:keepNext w:val="0"/>
        <w:keepLines w:val="0"/>
        <w:widowControl/>
        <w:suppressLineNumbers w:val="0"/>
        <w:jc w:val="left"/>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7</w:t>
      </w:r>
    </w:p>
    <w:p>
      <w:pPr>
        <w:keepNext w:val="0"/>
        <w:keepLines w:val="0"/>
        <w:widowControl/>
        <w:suppressLineNumbers w:val="0"/>
        <w:jc w:val="center"/>
        <w:rPr>
          <w:rFonts w:ascii="微软雅黑" w:hAnsi="微软雅黑" w:eastAsia="微软雅黑" w:cs="微软雅黑"/>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t>项目名称</w:t>
      </w:r>
    </w:p>
    <w:p>
      <w:pPr>
        <w:pStyle w:val="14"/>
      </w:pP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r>
        <w:rPr>
          <w:rFonts w:hint="eastAsia" w:ascii="宋体" w:hAnsi="宋体" w:eastAsia="宋体" w:cs="宋体"/>
          <w:b/>
          <w:bCs/>
          <w:color w:val="000000"/>
          <w:kern w:val="0"/>
          <w:sz w:val="36"/>
          <w:szCs w:val="36"/>
          <w:lang w:val="en-US" w:eastAsia="zh-CN" w:bidi="ar"/>
        </w:rPr>
        <w:t>项目编号：</w:t>
      </w:r>
    </w:p>
    <w:p>
      <w:pPr>
        <w:pStyle w:val="12"/>
        <w:rPr>
          <w:rFonts w:hint="eastAsia"/>
          <w:lang w:val="en-US" w:eastAsia="zh-CN"/>
        </w:rPr>
      </w:pP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响</w:t>
      </w: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应</w:t>
      </w: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文</w:t>
      </w: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件</w:t>
      </w:r>
    </w:p>
    <w:p>
      <w:pPr>
        <w:keepNext w:val="0"/>
        <w:keepLines w:val="0"/>
        <w:widowControl/>
        <w:suppressLineNumbers w:val="0"/>
        <w:jc w:val="center"/>
        <w:rPr>
          <w:rFonts w:hint="eastAsia"/>
          <w:lang w:val="en-US" w:eastAsia="zh-CN"/>
        </w:rPr>
      </w:pPr>
      <w:r>
        <w:rPr>
          <w:rFonts w:hint="eastAsia" w:ascii="宋体" w:hAnsi="宋体" w:eastAsia="宋体" w:cs="宋体"/>
          <w:b/>
          <w:bCs/>
          <w:color w:val="000000"/>
          <w:kern w:val="0"/>
          <w:sz w:val="28"/>
          <w:szCs w:val="28"/>
          <w:lang w:val="en-US" w:eastAsia="zh-CN" w:bidi="ar"/>
        </w:rPr>
        <w:t>（商务技术文件）</w:t>
      </w:r>
    </w:p>
    <w:p>
      <w:pPr>
        <w:pStyle w:val="12"/>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ascii="微软雅黑" w:hAnsi="微软雅黑" w:eastAsia="微软雅黑" w:cs="微软雅黑"/>
          <w:color w:val="000000"/>
          <w:kern w:val="0"/>
          <w:sz w:val="36"/>
          <w:szCs w:val="36"/>
          <w:lang w:val="en-US" w:eastAsia="zh-CN" w:bidi="ar"/>
        </w:rPr>
        <w:t xml:space="preserve">供应商名称（盖公章）：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ascii="微软雅黑" w:hAnsi="微软雅黑" w:eastAsia="微软雅黑" w:cs="微软雅黑"/>
          <w:color w:val="000000"/>
          <w:kern w:val="0"/>
          <w:sz w:val="36"/>
          <w:szCs w:val="36"/>
          <w:lang w:val="en-US" w:eastAsia="zh-CN" w:bidi="ar"/>
        </w:rPr>
      </w:pPr>
      <w:r>
        <w:rPr>
          <w:rFonts w:hint="eastAsia" w:ascii="微软雅黑" w:hAnsi="微软雅黑" w:eastAsia="微软雅黑" w:cs="微软雅黑"/>
          <w:color w:val="000000"/>
          <w:kern w:val="0"/>
          <w:sz w:val="36"/>
          <w:szCs w:val="36"/>
          <w:lang w:val="en-US" w:eastAsia="zh-CN" w:bidi="ar"/>
        </w:rPr>
        <w:t xml:space="preserve">地 址：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000000"/>
          <w:kern w:val="0"/>
          <w:sz w:val="36"/>
          <w:szCs w:val="36"/>
          <w:lang w:val="en-US" w:eastAsia="zh-CN" w:bidi="ar"/>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000000"/>
          <w:kern w:val="0"/>
          <w:sz w:val="36"/>
          <w:szCs w:val="36"/>
          <w:lang w:val="en-US" w:eastAsia="zh-CN" w:bidi="ar"/>
        </w:rPr>
        <w:t>时 间：</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b/>
          <w:sz w:val="24"/>
          <w:szCs w:val="24"/>
        </w:rPr>
      </w:pPr>
      <w:r>
        <w:rPr>
          <w:rFonts w:hint="eastAsia" w:ascii="宋体" w:hAnsi="宋体" w:eastAsia="宋体" w:cs="宋体"/>
          <w:b/>
          <w:sz w:val="28"/>
          <w:szCs w:val="28"/>
        </w:rPr>
        <w:t>商务技术文件目录</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根据</w:t>
      </w:r>
      <w:r>
        <w:rPr>
          <w:rFonts w:hint="eastAsia" w:ascii="宋体" w:hAnsi="宋体" w:eastAsia="宋体" w:cs="宋体"/>
          <w:sz w:val="24"/>
          <w:szCs w:val="24"/>
          <w:lang w:eastAsia="zh-CN"/>
        </w:rPr>
        <w:t>谈判响应</w:t>
      </w:r>
      <w:r>
        <w:rPr>
          <w:rFonts w:hint="eastAsia" w:ascii="宋体" w:hAnsi="宋体" w:eastAsia="宋体" w:cs="宋体"/>
          <w:sz w:val="24"/>
          <w:szCs w:val="24"/>
        </w:rPr>
        <w:t>文件内容自行编制）</w:t>
      </w:r>
    </w:p>
    <w:p>
      <w:pPr>
        <w:pStyle w:val="14"/>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lang w:val="en-US"/>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8</w:t>
      </w:r>
    </w:p>
    <w:p>
      <w:pPr>
        <w:pStyle w:val="8"/>
        <w:spacing w:before="15"/>
        <w:jc w:val="center"/>
        <w:rPr>
          <w:rFonts w:hint="eastAsia" w:ascii="宋体" w:hAnsi="宋体" w:eastAsia="宋体" w:cs="宋体"/>
          <w:b/>
          <w:sz w:val="28"/>
          <w:szCs w:val="28"/>
        </w:rPr>
      </w:pPr>
      <w:r>
        <w:rPr>
          <w:rFonts w:hint="eastAsia" w:ascii="宋体" w:hAnsi="宋体" w:eastAsia="宋体" w:cs="宋体"/>
          <w:b/>
          <w:sz w:val="28"/>
          <w:szCs w:val="28"/>
        </w:rPr>
        <w:t>供应商基本情况表</w:t>
      </w:r>
    </w:p>
    <w:tbl>
      <w:tblPr>
        <w:tblStyle w:val="15"/>
        <w:tblW w:w="9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237"/>
        <w:gridCol w:w="1156"/>
        <w:gridCol w:w="242"/>
        <w:gridCol w:w="1263"/>
        <w:gridCol w:w="1507"/>
        <w:gridCol w:w="1337"/>
        <w:gridCol w:w="847"/>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187" w:type="dxa"/>
            <w:tcBorders>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企业名称</w:t>
            </w:r>
          </w:p>
        </w:tc>
        <w:tc>
          <w:tcPr>
            <w:tcW w:w="3898" w:type="dxa"/>
            <w:gridSpan w:val="4"/>
            <w:tcBorders>
              <w:lef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1507"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法人代表</w:t>
            </w:r>
          </w:p>
        </w:tc>
        <w:tc>
          <w:tcPr>
            <w:tcW w:w="3224" w:type="dxa"/>
            <w:gridSpan w:val="3"/>
          </w:tcPr>
          <w:p>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187" w:type="dxa"/>
            <w:tcBorders>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r>
              <w:rPr>
                <w:rFonts w:hint="eastAsia" w:ascii="宋体" w:hAnsi="宋体" w:eastAsia="宋体" w:cs="宋体"/>
                <w:sz w:val="24"/>
                <w:szCs w:val="24"/>
              </w:rPr>
              <w:t>地 址</w:t>
            </w:r>
          </w:p>
        </w:tc>
        <w:tc>
          <w:tcPr>
            <w:tcW w:w="3898" w:type="dxa"/>
            <w:gridSpan w:val="4"/>
            <w:tcBorders>
              <w:lef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1507"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企业性质</w:t>
            </w:r>
          </w:p>
        </w:tc>
        <w:tc>
          <w:tcPr>
            <w:tcW w:w="3224" w:type="dxa"/>
            <w:gridSpan w:val="3"/>
          </w:tcPr>
          <w:p>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tcBorders>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r>
              <w:rPr>
                <w:rFonts w:hint="eastAsia" w:ascii="宋体" w:hAnsi="宋体" w:eastAsia="宋体" w:cs="宋体"/>
                <w:sz w:val="24"/>
                <w:szCs w:val="24"/>
              </w:rPr>
              <w:t>股东姓名</w:t>
            </w:r>
          </w:p>
        </w:tc>
        <w:tc>
          <w:tcPr>
            <w:tcW w:w="1237" w:type="dxa"/>
            <w:tcBorders>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1156" w:type="dxa"/>
            <w:tcBorders>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r>
              <w:rPr>
                <w:rFonts w:hint="eastAsia" w:ascii="宋体" w:hAnsi="宋体" w:eastAsia="宋体" w:cs="宋体"/>
                <w:sz w:val="24"/>
                <w:szCs w:val="24"/>
              </w:rPr>
              <w:t>股权结构</w:t>
            </w:r>
          </w:p>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505" w:type="dxa"/>
            <w:gridSpan w:val="2"/>
            <w:tcBorders>
              <w:lef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1507"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股东关系</w:t>
            </w:r>
          </w:p>
        </w:tc>
        <w:tc>
          <w:tcPr>
            <w:tcW w:w="3224" w:type="dxa"/>
            <w:gridSpan w:val="3"/>
          </w:tcPr>
          <w:p>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pPr>
              <w:pStyle w:val="20"/>
              <w:keepNext w:val="0"/>
              <w:keepLines w:val="0"/>
              <w:pageBreakBefore w:val="0"/>
              <w:widowControl w:val="0"/>
              <w:kinsoku/>
              <w:wordWrap/>
              <w:overflowPunct/>
              <w:topLinePunct w:val="0"/>
              <w:autoSpaceDE w:val="0"/>
              <w:autoSpaceDN w:val="0"/>
              <w:bidi w:val="0"/>
              <w:adjustRightInd/>
              <w:snapToGrid/>
              <w:spacing w:before="16" w:line="160" w:lineRule="auto"/>
              <w:ind w:left="0" w:right="219"/>
              <w:jc w:val="center"/>
              <w:textAlignment w:val="auto"/>
              <w:rPr>
                <w:rFonts w:hint="eastAsia" w:ascii="宋体" w:hAnsi="宋体" w:eastAsia="宋体" w:cs="宋体"/>
                <w:sz w:val="24"/>
                <w:szCs w:val="24"/>
              </w:rPr>
            </w:pPr>
            <w:r>
              <w:rPr>
                <w:rFonts w:hint="eastAsia" w:ascii="宋体" w:hAnsi="宋体" w:eastAsia="宋体" w:cs="宋体"/>
                <w:sz w:val="24"/>
                <w:szCs w:val="24"/>
              </w:rPr>
              <w:t>联系人姓名</w:t>
            </w:r>
          </w:p>
        </w:tc>
        <w:tc>
          <w:tcPr>
            <w:tcW w:w="1237" w:type="dxa"/>
            <w:vMerge w:val="restart"/>
            <w:tcBorders>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1156" w:type="dxa"/>
            <w:tcBorders>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r>
              <w:rPr>
                <w:rFonts w:hint="eastAsia" w:ascii="宋体" w:hAnsi="宋体" w:eastAsia="宋体" w:cs="宋体"/>
                <w:sz w:val="24"/>
                <w:szCs w:val="24"/>
              </w:rPr>
              <w:t>固定电话</w:t>
            </w:r>
          </w:p>
        </w:tc>
        <w:tc>
          <w:tcPr>
            <w:tcW w:w="1505" w:type="dxa"/>
            <w:gridSpan w:val="2"/>
            <w:tcBorders>
              <w:left w:val="single" w:color="auto" w:sz="4" w:space="0"/>
              <w:bottom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1507" w:type="dxa"/>
            <w:vMerge w:val="restart"/>
            <w:vAlign w:val="center"/>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传真</w:t>
            </w:r>
          </w:p>
        </w:tc>
        <w:tc>
          <w:tcPr>
            <w:tcW w:w="3224" w:type="dxa"/>
            <w:gridSpan w:val="3"/>
            <w:vMerge w:val="restart"/>
          </w:tcPr>
          <w:p>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187" w:type="dxa"/>
            <w:vMerge w:val="continue"/>
          </w:tcPr>
          <w:p>
            <w:pPr>
              <w:pStyle w:val="20"/>
              <w:keepNext w:val="0"/>
              <w:keepLines w:val="0"/>
              <w:pageBreakBefore w:val="0"/>
              <w:widowControl w:val="0"/>
              <w:kinsoku/>
              <w:wordWrap/>
              <w:overflowPunct/>
              <w:topLinePunct w:val="0"/>
              <w:autoSpaceDE w:val="0"/>
              <w:autoSpaceDN w:val="0"/>
              <w:bidi w:val="0"/>
              <w:adjustRightInd/>
              <w:snapToGrid/>
              <w:spacing w:before="16" w:line="160" w:lineRule="auto"/>
              <w:ind w:left="0" w:right="219"/>
              <w:jc w:val="both"/>
              <w:textAlignment w:val="auto"/>
              <w:rPr>
                <w:rFonts w:hint="eastAsia" w:ascii="宋体" w:hAnsi="宋体" w:eastAsia="宋体" w:cs="宋体"/>
                <w:sz w:val="24"/>
                <w:szCs w:val="24"/>
              </w:rPr>
            </w:pPr>
          </w:p>
        </w:tc>
        <w:tc>
          <w:tcPr>
            <w:tcW w:w="1237" w:type="dxa"/>
            <w:vMerge w:val="continue"/>
            <w:tcBorders>
              <w:right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c>
          <w:tcPr>
            <w:tcW w:w="1156" w:type="dxa"/>
            <w:tcBorders>
              <w:top w:val="single" w:color="auto" w:sz="4" w:space="0"/>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r>
              <w:rPr>
                <w:rFonts w:hint="eastAsia" w:ascii="宋体" w:hAnsi="宋体" w:eastAsia="宋体" w:cs="宋体"/>
                <w:sz w:val="24"/>
                <w:szCs w:val="24"/>
              </w:rPr>
              <w:t>手 机</w:t>
            </w:r>
          </w:p>
        </w:tc>
        <w:tc>
          <w:tcPr>
            <w:tcW w:w="1505" w:type="dxa"/>
            <w:gridSpan w:val="2"/>
            <w:tcBorders>
              <w:top w:val="single" w:color="auto" w:sz="4" w:space="0"/>
              <w:left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c>
          <w:tcPr>
            <w:tcW w:w="1507" w:type="dxa"/>
            <w:vMerge w:val="continue"/>
          </w:tcPr>
          <w:p>
            <w:pPr>
              <w:pStyle w:val="20"/>
              <w:keepNext w:val="0"/>
              <w:keepLines w:val="0"/>
              <w:pageBreakBefore w:val="0"/>
              <w:widowControl w:val="0"/>
              <w:kinsoku/>
              <w:wordWrap/>
              <w:overflowPunct/>
              <w:topLinePunct w:val="0"/>
              <w:autoSpaceDE w:val="0"/>
              <w:autoSpaceDN w:val="0"/>
              <w:bidi w:val="0"/>
              <w:adjustRightInd/>
              <w:snapToGrid/>
              <w:spacing w:line="320" w:lineRule="exact"/>
              <w:ind w:left="0"/>
              <w:textAlignment w:val="auto"/>
              <w:rPr>
                <w:rFonts w:hint="eastAsia" w:ascii="宋体" w:hAnsi="宋体" w:eastAsia="宋体" w:cs="宋体"/>
                <w:sz w:val="24"/>
                <w:szCs w:val="24"/>
              </w:rPr>
            </w:pPr>
          </w:p>
        </w:tc>
        <w:tc>
          <w:tcPr>
            <w:tcW w:w="3224" w:type="dxa"/>
            <w:gridSpan w:val="3"/>
            <w:vMerge w:val="continue"/>
          </w:tcPr>
          <w:p>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pPr>
              <w:pStyle w:val="20"/>
              <w:keepNext w:val="0"/>
              <w:keepLines w:val="0"/>
              <w:pageBreakBefore w:val="0"/>
              <w:widowControl w:val="0"/>
              <w:kinsoku/>
              <w:wordWrap/>
              <w:overflowPunct/>
              <w:topLinePunct w:val="0"/>
              <w:autoSpaceDE w:val="0"/>
              <w:autoSpaceDN w:val="0"/>
              <w:bidi w:val="0"/>
              <w:adjustRightInd/>
              <w:snapToGrid/>
              <w:spacing w:line="321"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1.企业概况</w:t>
            </w:r>
          </w:p>
        </w:tc>
        <w:tc>
          <w:tcPr>
            <w:tcW w:w="123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职工人数</w:t>
            </w:r>
          </w:p>
        </w:tc>
        <w:tc>
          <w:tcPr>
            <w:tcW w:w="115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p>
        </w:tc>
        <w:tc>
          <w:tcPr>
            <w:tcW w:w="1505"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具备大专以上学历人数</w:t>
            </w:r>
          </w:p>
        </w:tc>
        <w:tc>
          <w:tcPr>
            <w:tcW w:w="1507" w:type="dxa"/>
            <w:tcBorders>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p>
        </w:tc>
        <w:tc>
          <w:tcPr>
            <w:tcW w:w="1337" w:type="dxa"/>
            <w:tcBorders>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国 家 授 予  技 术 职称人数</w:t>
            </w:r>
          </w:p>
        </w:tc>
        <w:tc>
          <w:tcPr>
            <w:tcW w:w="1887" w:type="dxa"/>
            <w:gridSpan w:val="2"/>
            <w:tcBorders>
              <w:left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123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占地面积</w:t>
            </w:r>
          </w:p>
        </w:tc>
        <w:tc>
          <w:tcPr>
            <w:tcW w:w="115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p>
        </w:tc>
        <w:tc>
          <w:tcPr>
            <w:tcW w:w="1505"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建筑面积</w:t>
            </w:r>
          </w:p>
        </w:tc>
        <w:tc>
          <w:tcPr>
            <w:tcW w:w="150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平方米</w:t>
            </w:r>
          </w:p>
          <w:p>
            <w:pPr>
              <w:pStyle w:val="20"/>
              <w:keepNext w:val="0"/>
              <w:keepLines w:val="0"/>
              <w:pageBreakBefore w:val="0"/>
              <w:widowControl w:val="0"/>
              <w:numPr>
                <w:ilvl w:val="0"/>
                <w:numId w:val="5"/>
              </w:numPr>
              <w:tabs>
                <w:tab w:val="left" w:pos="260"/>
              </w:tabs>
              <w:kinsoku/>
              <w:wordWrap/>
              <w:overflowPunct/>
              <w:topLinePunct w:val="0"/>
              <w:autoSpaceDE w:val="0"/>
              <w:autoSpaceDN w:val="0"/>
              <w:bidi w:val="0"/>
              <w:adjustRightInd/>
              <w:snapToGrid/>
              <w:spacing w:before="0" w:after="0" w:line="240" w:lineRule="auto"/>
              <w:ind w:left="0" w:right="0" w:hanging="153"/>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自有</w:t>
            </w:r>
          </w:p>
          <w:p>
            <w:pPr>
              <w:pStyle w:val="20"/>
              <w:keepNext w:val="0"/>
              <w:keepLines w:val="0"/>
              <w:pageBreakBefore w:val="0"/>
              <w:widowControl w:val="0"/>
              <w:numPr>
                <w:ilvl w:val="0"/>
                <w:numId w:val="5"/>
              </w:numPr>
              <w:tabs>
                <w:tab w:val="left" w:pos="260"/>
              </w:tabs>
              <w:kinsoku/>
              <w:wordWrap/>
              <w:overflowPunct/>
              <w:topLinePunct w:val="0"/>
              <w:autoSpaceDE w:val="0"/>
              <w:autoSpaceDN w:val="0"/>
              <w:bidi w:val="0"/>
              <w:adjustRightInd/>
              <w:snapToGrid/>
              <w:spacing w:before="0" w:after="0" w:line="240" w:lineRule="auto"/>
              <w:ind w:left="0" w:right="0" w:hanging="153"/>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租賃</w:t>
            </w:r>
          </w:p>
        </w:tc>
        <w:tc>
          <w:tcPr>
            <w:tcW w:w="133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生产经营场所及场所的设施与设备</w:t>
            </w:r>
          </w:p>
        </w:tc>
        <w:tc>
          <w:tcPr>
            <w:tcW w:w="1887"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123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注册资金</w:t>
            </w:r>
          </w:p>
        </w:tc>
        <w:tc>
          <w:tcPr>
            <w:tcW w:w="1156"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p>
        </w:tc>
        <w:tc>
          <w:tcPr>
            <w:tcW w:w="1505"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注册发证机关</w:t>
            </w:r>
          </w:p>
        </w:tc>
        <w:tc>
          <w:tcPr>
            <w:tcW w:w="150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p>
        </w:tc>
        <w:tc>
          <w:tcPr>
            <w:tcW w:w="133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22"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公司成立时间</w:t>
            </w:r>
          </w:p>
        </w:tc>
        <w:tc>
          <w:tcPr>
            <w:tcW w:w="1887" w:type="dxa"/>
            <w:gridSpan w:val="2"/>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123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核准经营范围</w:t>
            </w:r>
          </w:p>
        </w:tc>
        <w:tc>
          <w:tcPr>
            <w:tcW w:w="7392" w:type="dxa"/>
            <w:gridSpan w:val="7"/>
            <w:vAlign w:val="center"/>
          </w:tcPr>
          <w:p>
            <w:pPr>
              <w:pStyle w:val="20"/>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sz w:val="24"/>
                <w:szCs w:val="24"/>
              </w:rPr>
            </w:pPr>
          </w:p>
        </w:tc>
        <w:tc>
          <w:tcPr>
            <w:tcW w:w="8629" w:type="dxa"/>
            <w:gridSpan w:val="8"/>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发展历程及主要荣誉：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restart"/>
            <w:vAlign w:val="center"/>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2．企业有关资质获证情况</w:t>
            </w:r>
          </w:p>
        </w:tc>
        <w:tc>
          <w:tcPr>
            <w:tcW w:w="1237" w:type="dxa"/>
            <w:vMerge w:val="restart"/>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产品生产许可证情况（对 需 获得 生 产许 可证的 产品要填写此栏）</w:t>
            </w:r>
          </w:p>
        </w:tc>
        <w:tc>
          <w:tcPr>
            <w:tcW w:w="1398" w:type="dxa"/>
            <w:gridSpan w:val="2"/>
            <w:tcBorders>
              <w:bottom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产品名称</w:t>
            </w:r>
          </w:p>
        </w:tc>
        <w:tc>
          <w:tcPr>
            <w:tcW w:w="1263" w:type="dxa"/>
            <w:tcBorders>
              <w:bottom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发证机关</w:t>
            </w:r>
          </w:p>
        </w:tc>
        <w:tc>
          <w:tcPr>
            <w:tcW w:w="1507" w:type="dxa"/>
            <w:tcBorders>
              <w:bottom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编 号</w:t>
            </w:r>
          </w:p>
        </w:tc>
        <w:tc>
          <w:tcPr>
            <w:tcW w:w="2184" w:type="dxa"/>
            <w:gridSpan w:val="2"/>
            <w:tcBorders>
              <w:bottom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发证时间</w:t>
            </w:r>
          </w:p>
        </w:tc>
        <w:tc>
          <w:tcPr>
            <w:tcW w:w="1040" w:type="dxa"/>
            <w:tcBorders>
              <w:bottom w:val="single" w:color="auto"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期 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vAlign w:val="center"/>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jc w:val="center"/>
              <w:textAlignment w:val="auto"/>
              <w:rPr>
                <w:rFonts w:hint="eastAsia" w:ascii="宋体" w:hAnsi="宋体" w:eastAsia="宋体" w:cs="宋体"/>
                <w:sz w:val="24"/>
                <w:szCs w:val="24"/>
              </w:rPr>
            </w:pPr>
          </w:p>
        </w:tc>
        <w:tc>
          <w:tcPr>
            <w:tcW w:w="1237" w:type="dxa"/>
            <w:vMerge w:val="continue"/>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宋体" w:hAnsi="宋体" w:eastAsia="宋体" w:cs="宋体"/>
                <w:sz w:val="24"/>
                <w:szCs w:val="24"/>
              </w:rPr>
            </w:pPr>
          </w:p>
        </w:tc>
        <w:tc>
          <w:tcPr>
            <w:tcW w:w="1398" w:type="dxa"/>
            <w:gridSpan w:val="2"/>
            <w:tcBorders>
              <w:top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sz w:val="24"/>
                <w:szCs w:val="24"/>
              </w:rPr>
            </w:pPr>
          </w:p>
        </w:tc>
        <w:tc>
          <w:tcPr>
            <w:tcW w:w="1263" w:type="dxa"/>
            <w:tcBorders>
              <w:top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sz w:val="24"/>
                <w:szCs w:val="24"/>
              </w:rPr>
            </w:pPr>
          </w:p>
        </w:tc>
        <w:tc>
          <w:tcPr>
            <w:tcW w:w="1507" w:type="dxa"/>
            <w:tcBorders>
              <w:top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sz w:val="24"/>
                <w:szCs w:val="24"/>
              </w:rPr>
            </w:pPr>
          </w:p>
        </w:tc>
        <w:tc>
          <w:tcPr>
            <w:tcW w:w="2184" w:type="dxa"/>
            <w:gridSpan w:val="2"/>
            <w:tcBorders>
              <w:top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sz w:val="24"/>
                <w:szCs w:val="24"/>
              </w:rPr>
            </w:pPr>
          </w:p>
        </w:tc>
        <w:tc>
          <w:tcPr>
            <w:tcW w:w="1040" w:type="dxa"/>
            <w:tcBorders>
              <w:top w:val="single" w:color="auto" w:sz="4" w:space="0"/>
            </w:tcBorders>
          </w:tcPr>
          <w:p>
            <w:pPr>
              <w:pStyle w:val="20"/>
              <w:keepNext w:val="0"/>
              <w:keepLines w:val="0"/>
              <w:pageBreakBefore w:val="0"/>
              <w:widowControl w:val="0"/>
              <w:kinsoku/>
              <w:wordWrap/>
              <w:overflowPunct/>
              <w:topLinePunct w:val="0"/>
              <w:autoSpaceDE w:val="0"/>
              <w:autoSpaceDN w:val="0"/>
              <w:bidi w:val="0"/>
              <w:adjustRightInd/>
              <w:snapToGrid/>
              <w:spacing w:line="322" w:lineRule="exact"/>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c>
          <w:tcPr>
            <w:tcW w:w="123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企业通过质量</w:t>
            </w:r>
            <w:r>
              <w:rPr>
                <w:rFonts w:hint="eastAsia" w:ascii="宋体" w:hAnsi="宋体" w:eastAsia="宋体" w:cs="宋体"/>
                <w:sz w:val="24"/>
                <w:szCs w:val="24"/>
                <w:lang w:eastAsia="zh-CN"/>
              </w:rPr>
              <w:t>、</w:t>
            </w:r>
            <w:r>
              <w:rPr>
                <w:rFonts w:hint="eastAsia" w:ascii="宋体" w:hAnsi="宋体" w:eastAsia="宋体" w:cs="宋体"/>
                <w:sz w:val="24"/>
                <w:szCs w:val="24"/>
              </w:rPr>
              <w:t>体系、环保体系、计量等认证情况</w:t>
            </w:r>
          </w:p>
        </w:tc>
        <w:tc>
          <w:tcPr>
            <w:tcW w:w="7392" w:type="dxa"/>
            <w:gridSpan w:val="7"/>
          </w:tcPr>
          <w:p>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7"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c>
          <w:tcPr>
            <w:tcW w:w="1237" w:type="dxa"/>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161"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企业获得专利情况</w:t>
            </w:r>
          </w:p>
        </w:tc>
        <w:tc>
          <w:tcPr>
            <w:tcW w:w="7392" w:type="dxa"/>
            <w:gridSpan w:val="7"/>
          </w:tcPr>
          <w:p>
            <w:pPr>
              <w:pStyle w:val="20"/>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宋体" w:hAnsi="宋体" w:eastAsia="宋体" w:cs="宋体"/>
          <w:spacing w:val="-6"/>
          <w:sz w:val="24"/>
          <w:szCs w:val="24"/>
        </w:rPr>
      </w:pPr>
      <w:r>
        <w:rPr>
          <w:rFonts w:hint="eastAsia" w:ascii="宋体" w:hAnsi="宋体" w:eastAsia="宋体" w:cs="宋体"/>
          <w:b/>
          <w:sz w:val="24"/>
          <w:szCs w:val="24"/>
        </w:rPr>
        <w:t>要求：</w:t>
      </w:r>
      <w:r>
        <w:rPr>
          <w:rFonts w:hint="eastAsia" w:ascii="宋体" w:hAnsi="宋体" w:eastAsia="宋体" w:cs="宋体"/>
          <w:spacing w:val="-6"/>
          <w:sz w:val="24"/>
          <w:szCs w:val="24"/>
        </w:rPr>
        <w:t>姓名栏必须将所有股东都统计在内，若非股份公司此行（第三行）无需填写；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名称（盖公章）：</w:t>
      </w:r>
    </w:p>
    <w:p>
      <w:pPr>
        <w:pStyle w:val="8"/>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8"/>
        <w:keepNext w:val="0"/>
        <w:keepLines w:val="0"/>
        <w:pageBreakBefore w:val="0"/>
        <w:widowControl w:val="0"/>
        <w:tabs>
          <w:tab w:val="left" w:pos="2723"/>
        </w:tabs>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pStyle w:val="12"/>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9</w:t>
      </w:r>
    </w:p>
    <w:p>
      <w:pPr>
        <w:spacing w:before="36"/>
        <w:ind w:left="0" w:right="397" w:firstLine="0"/>
        <w:jc w:val="center"/>
        <w:rPr>
          <w:rFonts w:hint="eastAsia" w:ascii="宋体" w:hAnsi="宋体" w:eastAsia="宋体" w:cs="宋体"/>
          <w:b/>
          <w:sz w:val="28"/>
          <w:szCs w:val="28"/>
        </w:rPr>
      </w:pPr>
      <w:r>
        <w:rPr>
          <w:rFonts w:hint="eastAsia" w:ascii="宋体" w:hAnsi="宋体" w:eastAsia="宋体" w:cs="宋体"/>
          <w:b/>
          <w:w w:val="95"/>
          <w:sz w:val="28"/>
          <w:szCs w:val="28"/>
        </w:rPr>
        <w:t>项目实施人员一览表</w:t>
      </w:r>
    </w:p>
    <w:p>
      <w:pPr>
        <w:pStyle w:val="8"/>
        <w:spacing w:before="322"/>
        <w:jc w:val="center"/>
        <w:rPr>
          <w:rFonts w:hint="eastAsia" w:ascii="宋体" w:hAnsi="宋体" w:eastAsia="宋体" w:cs="宋体"/>
          <w:sz w:val="24"/>
          <w:szCs w:val="24"/>
        </w:rPr>
      </w:pPr>
      <w:r>
        <w:rPr>
          <w:rFonts w:hint="eastAsia" w:ascii="宋体" w:hAnsi="宋体" w:eastAsia="宋体" w:cs="宋体"/>
          <w:sz w:val="24"/>
          <w:szCs w:val="24"/>
        </w:rPr>
        <w:t>（主要从业人员及其技术资格）</w:t>
      </w:r>
    </w:p>
    <w:p>
      <w:pPr>
        <w:pStyle w:val="14"/>
        <w:rPr>
          <w:rFonts w:hint="eastAsia"/>
          <w:lang w:val="en-US" w:eastAsia="zh-CN"/>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780"/>
        <w:gridCol w:w="930"/>
        <w:gridCol w:w="960"/>
        <w:gridCol w:w="1560"/>
        <w:gridCol w:w="1230"/>
        <w:gridCol w:w="225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840" w:type="dxa"/>
          </w:tcPr>
          <w:p>
            <w:pPr>
              <w:pStyle w:val="20"/>
              <w:spacing w:before="93"/>
              <w:ind w:left="214"/>
              <w:rPr>
                <w:rFonts w:hint="eastAsia" w:ascii="宋体" w:hAnsi="宋体" w:eastAsia="宋体" w:cs="宋体"/>
                <w:b/>
                <w:sz w:val="24"/>
                <w:szCs w:val="24"/>
              </w:rPr>
            </w:pPr>
            <w:r>
              <w:rPr>
                <w:rFonts w:hint="eastAsia" w:ascii="宋体" w:hAnsi="宋体" w:eastAsia="宋体" w:cs="宋体"/>
                <w:b/>
                <w:sz w:val="24"/>
                <w:szCs w:val="24"/>
              </w:rPr>
              <w:t>序号</w:t>
            </w:r>
          </w:p>
        </w:tc>
        <w:tc>
          <w:tcPr>
            <w:tcW w:w="780" w:type="dxa"/>
          </w:tcPr>
          <w:p>
            <w:pPr>
              <w:pStyle w:val="20"/>
              <w:spacing w:before="93"/>
              <w:ind w:left="185"/>
              <w:rPr>
                <w:rFonts w:hint="eastAsia" w:ascii="宋体" w:hAnsi="宋体" w:eastAsia="宋体" w:cs="宋体"/>
                <w:b/>
                <w:sz w:val="24"/>
                <w:szCs w:val="24"/>
              </w:rPr>
            </w:pPr>
            <w:r>
              <w:rPr>
                <w:rFonts w:hint="eastAsia" w:ascii="宋体" w:hAnsi="宋体" w:eastAsia="宋体" w:cs="宋体"/>
                <w:b/>
                <w:sz w:val="24"/>
                <w:szCs w:val="24"/>
              </w:rPr>
              <w:t>姓名</w:t>
            </w:r>
          </w:p>
        </w:tc>
        <w:tc>
          <w:tcPr>
            <w:tcW w:w="930" w:type="dxa"/>
          </w:tcPr>
          <w:p>
            <w:pPr>
              <w:pStyle w:val="20"/>
              <w:spacing w:before="93"/>
              <w:ind w:left="259"/>
              <w:rPr>
                <w:rFonts w:hint="eastAsia" w:ascii="宋体" w:hAnsi="宋体" w:eastAsia="宋体" w:cs="宋体"/>
                <w:b/>
                <w:sz w:val="24"/>
                <w:szCs w:val="24"/>
              </w:rPr>
            </w:pPr>
            <w:r>
              <w:rPr>
                <w:rFonts w:hint="eastAsia" w:ascii="宋体" w:hAnsi="宋体" w:eastAsia="宋体" w:cs="宋体"/>
                <w:b/>
                <w:sz w:val="24"/>
                <w:szCs w:val="24"/>
              </w:rPr>
              <w:t>职务</w:t>
            </w:r>
          </w:p>
        </w:tc>
        <w:tc>
          <w:tcPr>
            <w:tcW w:w="960" w:type="dxa"/>
          </w:tcPr>
          <w:p>
            <w:pPr>
              <w:pStyle w:val="20"/>
              <w:spacing w:before="93"/>
              <w:ind w:left="275"/>
              <w:rPr>
                <w:rFonts w:hint="eastAsia" w:ascii="宋体" w:hAnsi="宋体" w:eastAsia="宋体" w:cs="宋体"/>
                <w:b/>
                <w:sz w:val="24"/>
                <w:szCs w:val="24"/>
              </w:rPr>
            </w:pPr>
            <w:r>
              <w:rPr>
                <w:rFonts w:hint="eastAsia" w:ascii="宋体" w:hAnsi="宋体" w:eastAsia="宋体" w:cs="宋体"/>
                <w:b/>
                <w:sz w:val="24"/>
                <w:szCs w:val="24"/>
              </w:rPr>
              <w:t>职责</w:t>
            </w:r>
          </w:p>
        </w:tc>
        <w:tc>
          <w:tcPr>
            <w:tcW w:w="1560" w:type="dxa"/>
          </w:tcPr>
          <w:p>
            <w:pPr>
              <w:pStyle w:val="20"/>
              <w:spacing w:before="93"/>
              <w:ind w:left="155"/>
              <w:jc w:val="center"/>
              <w:rPr>
                <w:rFonts w:hint="eastAsia" w:ascii="宋体" w:hAnsi="宋体" w:eastAsia="宋体" w:cs="宋体"/>
                <w:b/>
                <w:sz w:val="24"/>
                <w:szCs w:val="24"/>
              </w:rPr>
            </w:pPr>
            <w:r>
              <w:rPr>
                <w:rFonts w:hint="eastAsia" w:ascii="宋体" w:hAnsi="宋体" w:eastAsia="宋体" w:cs="宋体"/>
                <w:b/>
                <w:sz w:val="24"/>
                <w:szCs w:val="24"/>
              </w:rPr>
              <w:t>专业技术资格</w:t>
            </w:r>
          </w:p>
        </w:tc>
        <w:tc>
          <w:tcPr>
            <w:tcW w:w="1230" w:type="dxa"/>
          </w:tcPr>
          <w:p>
            <w:pPr>
              <w:pStyle w:val="20"/>
              <w:spacing w:before="93"/>
              <w:ind w:left="198"/>
              <w:rPr>
                <w:rFonts w:hint="eastAsia" w:ascii="宋体" w:hAnsi="宋体" w:eastAsia="宋体" w:cs="宋体"/>
                <w:b/>
                <w:sz w:val="24"/>
                <w:szCs w:val="24"/>
              </w:rPr>
            </w:pPr>
            <w:r>
              <w:rPr>
                <w:rFonts w:hint="eastAsia" w:ascii="宋体" w:hAnsi="宋体" w:eastAsia="宋体" w:cs="宋体"/>
                <w:b/>
                <w:sz w:val="24"/>
                <w:szCs w:val="24"/>
              </w:rPr>
              <w:t>证书编号</w:t>
            </w:r>
          </w:p>
        </w:tc>
        <w:tc>
          <w:tcPr>
            <w:tcW w:w="2250" w:type="dxa"/>
          </w:tcPr>
          <w:p>
            <w:pPr>
              <w:pStyle w:val="20"/>
              <w:spacing w:before="93"/>
              <w:ind w:left="185"/>
              <w:jc w:val="center"/>
              <w:rPr>
                <w:rFonts w:hint="eastAsia" w:ascii="宋体" w:hAnsi="宋体" w:eastAsia="宋体" w:cs="宋体"/>
                <w:b/>
                <w:sz w:val="24"/>
                <w:szCs w:val="24"/>
              </w:rPr>
            </w:pPr>
            <w:r>
              <w:rPr>
                <w:rFonts w:hint="eastAsia" w:ascii="宋体" w:hAnsi="宋体" w:eastAsia="宋体" w:cs="宋体"/>
                <w:b/>
                <w:sz w:val="24"/>
                <w:szCs w:val="24"/>
              </w:rPr>
              <w:t>参加本单位工作时间</w:t>
            </w:r>
          </w:p>
        </w:tc>
        <w:tc>
          <w:tcPr>
            <w:tcW w:w="1560" w:type="dxa"/>
          </w:tcPr>
          <w:p>
            <w:pPr>
              <w:pStyle w:val="20"/>
              <w:spacing w:before="93"/>
              <w:ind w:left="155"/>
              <w:jc w:val="center"/>
              <w:rPr>
                <w:rFonts w:hint="eastAsia" w:ascii="宋体" w:hAnsi="宋体" w:eastAsia="宋体" w:cs="宋体"/>
                <w:b/>
                <w:sz w:val="24"/>
                <w:szCs w:val="24"/>
              </w:rPr>
            </w:pPr>
            <w:r>
              <w:rPr>
                <w:rFonts w:hint="eastAsia" w:ascii="宋体" w:hAnsi="宋体" w:eastAsia="宋体" w:cs="宋体"/>
                <w:b/>
                <w:sz w:val="24"/>
                <w:szCs w:val="24"/>
              </w:rPr>
              <w:t>劳动合同编号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20"/>
              <w:rPr>
                <w:rFonts w:hint="eastAsia" w:ascii="宋体" w:hAnsi="宋体" w:eastAsia="宋体" w:cs="宋体"/>
                <w:sz w:val="24"/>
                <w:szCs w:val="24"/>
              </w:rPr>
            </w:pPr>
          </w:p>
        </w:tc>
        <w:tc>
          <w:tcPr>
            <w:tcW w:w="780" w:type="dxa"/>
          </w:tcPr>
          <w:p>
            <w:pPr>
              <w:pStyle w:val="20"/>
              <w:rPr>
                <w:rFonts w:hint="eastAsia" w:ascii="宋体" w:hAnsi="宋体" w:eastAsia="宋体" w:cs="宋体"/>
                <w:sz w:val="24"/>
                <w:szCs w:val="24"/>
              </w:rPr>
            </w:pPr>
          </w:p>
        </w:tc>
        <w:tc>
          <w:tcPr>
            <w:tcW w:w="930" w:type="dxa"/>
          </w:tcPr>
          <w:p>
            <w:pPr>
              <w:pStyle w:val="20"/>
              <w:rPr>
                <w:rFonts w:hint="eastAsia" w:ascii="宋体" w:hAnsi="宋体" w:eastAsia="宋体" w:cs="宋体"/>
                <w:sz w:val="24"/>
                <w:szCs w:val="24"/>
              </w:rPr>
            </w:pPr>
          </w:p>
        </w:tc>
        <w:tc>
          <w:tcPr>
            <w:tcW w:w="96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c>
          <w:tcPr>
            <w:tcW w:w="1230" w:type="dxa"/>
          </w:tcPr>
          <w:p>
            <w:pPr>
              <w:pStyle w:val="20"/>
              <w:rPr>
                <w:rFonts w:hint="eastAsia" w:ascii="宋体" w:hAnsi="宋体" w:eastAsia="宋体" w:cs="宋体"/>
                <w:sz w:val="24"/>
                <w:szCs w:val="24"/>
              </w:rPr>
            </w:pPr>
          </w:p>
        </w:tc>
        <w:tc>
          <w:tcPr>
            <w:tcW w:w="225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840" w:type="dxa"/>
          </w:tcPr>
          <w:p>
            <w:pPr>
              <w:pStyle w:val="20"/>
              <w:rPr>
                <w:rFonts w:hint="eastAsia" w:ascii="宋体" w:hAnsi="宋体" w:eastAsia="宋体" w:cs="宋体"/>
                <w:sz w:val="24"/>
                <w:szCs w:val="24"/>
              </w:rPr>
            </w:pPr>
          </w:p>
        </w:tc>
        <w:tc>
          <w:tcPr>
            <w:tcW w:w="780" w:type="dxa"/>
          </w:tcPr>
          <w:p>
            <w:pPr>
              <w:pStyle w:val="20"/>
              <w:rPr>
                <w:rFonts w:hint="eastAsia" w:ascii="宋体" w:hAnsi="宋体" w:eastAsia="宋体" w:cs="宋体"/>
                <w:sz w:val="24"/>
                <w:szCs w:val="24"/>
              </w:rPr>
            </w:pPr>
          </w:p>
        </w:tc>
        <w:tc>
          <w:tcPr>
            <w:tcW w:w="930" w:type="dxa"/>
          </w:tcPr>
          <w:p>
            <w:pPr>
              <w:pStyle w:val="20"/>
              <w:rPr>
                <w:rFonts w:hint="eastAsia" w:ascii="宋体" w:hAnsi="宋体" w:eastAsia="宋体" w:cs="宋体"/>
                <w:sz w:val="24"/>
                <w:szCs w:val="24"/>
              </w:rPr>
            </w:pPr>
          </w:p>
        </w:tc>
        <w:tc>
          <w:tcPr>
            <w:tcW w:w="96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c>
          <w:tcPr>
            <w:tcW w:w="1230" w:type="dxa"/>
          </w:tcPr>
          <w:p>
            <w:pPr>
              <w:pStyle w:val="20"/>
              <w:rPr>
                <w:rFonts w:hint="eastAsia" w:ascii="宋体" w:hAnsi="宋体" w:eastAsia="宋体" w:cs="宋体"/>
                <w:sz w:val="24"/>
                <w:szCs w:val="24"/>
              </w:rPr>
            </w:pPr>
          </w:p>
        </w:tc>
        <w:tc>
          <w:tcPr>
            <w:tcW w:w="225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20"/>
              <w:rPr>
                <w:rFonts w:hint="eastAsia" w:ascii="宋体" w:hAnsi="宋体" w:eastAsia="宋体" w:cs="宋体"/>
                <w:sz w:val="24"/>
                <w:szCs w:val="24"/>
              </w:rPr>
            </w:pPr>
          </w:p>
        </w:tc>
        <w:tc>
          <w:tcPr>
            <w:tcW w:w="780" w:type="dxa"/>
          </w:tcPr>
          <w:p>
            <w:pPr>
              <w:pStyle w:val="20"/>
              <w:rPr>
                <w:rFonts w:hint="eastAsia" w:ascii="宋体" w:hAnsi="宋体" w:eastAsia="宋体" w:cs="宋体"/>
                <w:sz w:val="24"/>
                <w:szCs w:val="24"/>
              </w:rPr>
            </w:pPr>
          </w:p>
        </w:tc>
        <w:tc>
          <w:tcPr>
            <w:tcW w:w="930" w:type="dxa"/>
          </w:tcPr>
          <w:p>
            <w:pPr>
              <w:pStyle w:val="20"/>
              <w:rPr>
                <w:rFonts w:hint="eastAsia" w:ascii="宋体" w:hAnsi="宋体" w:eastAsia="宋体" w:cs="宋体"/>
                <w:sz w:val="24"/>
                <w:szCs w:val="24"/>
              </w:rPr>
            </w:pPr>
          </w:p>
        </w:tc>
        <w:tc>
          <w:tcPr>
            <w:tcW w:w="96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c>
          <w:tcPr>
            <w:tcW w:w="1230" w:type="dxa"/>
          </w:tcPr>
          <w:p>
            <w:pPr>
              <w:pStyle w:val="20"/>
              <w:rPr>
                <w:rFonts w:hint="eastAsia" w:ascii="宋体" w:hAnsi="宋体" w:eastAsia="宋体" w:cs="宋体"/>
                <w:sz w:val="24"/>
                <w:szCs w:val="24"/>
              </w:rPr>
            </w:pPr>
          </w:p>
        </w:tc>
        <w:tc>
          <w:tcPr>
            <w:tcW w:w="225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20"/>
              <w:rPr>
                <w:rFonts w:hint="eastAsia" w:ascii="宋体" w:hAnsi="宋体" w:eastAsia="宋体" w:cs="宋体"/>
                <w:sz w:val="24"/>
                <w:szCs w:val="24"/>
              </w:rPr>
            </w:pPr>
          </w:p>
        </w:tc>
        <w:tc>
          <w:tcPr>
            <w:tcW w:w="780" w:type="dxa"/>
          </w:tcPr>
          <w:p>
            <w:pPr>
              <w:pStyle w:val="20"/>
              <w:rPr>
                <w:rFonts w:hint="eastAsia" w:ascii="宋体" w:hAnsi="宋体" w:eastAsia="宋体" w:cs="宋体"/>
                <w:sz w:val="24"/>
                <w:szCs w:val="24"/>
              </w:rPr>
            </w:pPr>
          </w:p>
        </w:tc>
        <w:tc>
          <w:tcPr>
            <w:tcW w:w="930" w:type="dxa"/>
          </w:tcPr>
          <w:p>
            <w:pPr>
              <w:pStyle w:val="20"/>
              <w:rPr>
                <w:rFonts w:hint="eastAsia" w:ascii="宋体" w:hAnsi="宋体" w:eastAsia="宋体" w:cs="宋体"/>
                <w:sz w:val="24"/>
                <w:szCs w:val="24"/>
              </w:rPr>
            </w:pPr>
          </w:p>
        </w:tc>
        <w:tc>
          <w:tcPr>
            <w:tcW w:w="96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c>
          <w:tcPr>
            <w:tcW w:w="1230" w:type="dxa"/>
          </w:tcPr>
          <w:p>
            <w:pPr>
              <w:pStyle w:val="20"/>
              <w:rPr>
                <w:rFonts w:hint="eastAsia" w:ascii="宋体" w:hAnsi="宋体" w:eastAsia="宋体" w:cs="宋体"/>
                <w:sz w:val="24"/>
                <w:szCs w:val="24"/>
              </w:rPr>
            </w:pPr>
          </w:p>
        </w:tc>
        <w:tc>
          <w:tcPr>
            <w:tcW w:w="225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840" w:type="dxa"/>
          </w:tcPr>
          <w:p>
            <w:pPr>
              <w:pStyle w:val="20"/>
              <w:rPr>
                <w:rFonts w:hint="eastAsia" w:ascii="宋体" w:hAnsi="宋体" w:eastAsia="宋体" w:cs="宋体"/>
                <w:sz w:val="24"/>
                <w:szCs w:val="24"/>
              </w:rPr>
            </w:pPr>
          </w:p>
        </w:tc>
        <w:tc>
          <w:tcPr>
            <w:tcW w:w="780" w:type="dxa"/>
          </w:tcPr>
          <w:p>
            <w:pPr>
              <w:pStyle w:val="20"/>
              <w:rPr>
                <w:rFonts w:hint="eastAsia" w:ascii="宋体" w:hAnsi="宋体" w:eastAsia="宋体" w:cs="宋体"/>
                <w:sz w:val="24"/>
                <w:szCs w:val="24"/>
              </w:rPr>
            </w:pPr>
          </w:p>
        </w:tc>
        <w:tc>
          <w:tcPr>
            <w:tcW w:w="930" w:type="dxa"/>
          </w:tcPr>
          <w:p>
            <w:pPr>
              <w:pStyle w:val="20"/>
              <w:rPr>
                <w:rFonts w:hint="eastAsia" w:ascii="宋体" w:hAnsi="宋体" w:eastAsia="宋体" w:cs="宋体"/>
                <w:sz w:val="24"/>
                <w:szCs w:val="24"/>
              </w:rPr>
            </w:pPr>
          </w:p>
        </w:tc>
        <w:tc>
          <w:tcPr>
            <w:tcW w:w="96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c>
          <w:tcPr>
            <w:tcW w:w="1230" w:type="dxa"/>
          </w:tcPr>
          <w:p>
            <w:pPr>
              <w:pStyle w:val="20"/>
              <w:rPr>
                <w:rFonts w:hint="eastAsia" w:ascii="宋体" w:hAnsi="宋体" w:eastAsia="宋体" w:cs="宋体"/>
                <w:sz w:val="24"/>
                <w:szCs w:val="24"/>
              </w:rPr>
            </w:pPr>
          </w:p>
        </w:tc>
        <w:tc>
          <w:tcPr>
            <w:tcW w:w="225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840" w:type="dxa"/>
          </w:tcPr>
          <w:p>
            <w:pPr>
              <w:pStyle w:val="20"/>
              <w:rPr>
                <w:rFonts w:hint="eastAsia" w:ascii="宋体" w:hAnsi="宋体" w:eastAsia="宋体" w:cs="宋体"/>
                <w:sz w:val="24"/>
                <w:szCs w:val="24"/>
              </w:rPr>
            </w:pPr>
          </w:p>
        </w:tc>
        <w:tc>
          <w:tcPr>
            <w:tcW w:w="780" w:type="dxa"/>
          </w:tcPr>
          <w:p>
            <w:pPr>
              <w:pStyle w:val="20"/>
              <w:rPr>
                <w:rFonts w:hint="eastAsia" w:ascii="宋体" w:hAnsi="宋体" w:eastAsia="宋体" w:cs="宋体"/>
                <w:sz w:val="24"/>
                <w:szCs w:val="24"/>
              </w:rPr>
            </w:pPr>
          </w:p>
        </w:tc>
        <w:tc>
          <w:tcPr>
            <w:tcW w:w="930" w:type="dxa"/>
          </w:tcPr>
          <w:p>
            <w:pPr>
              <w:pStyle w:val="20"/>
              <w:rPr>
                <w:rFonts w:hint="eastAsia" w:ascii="宋体" w:hAnsi="宋体" w:eastAsia="宋体" w:cs="宋体"/>
                <w:sz w:val="24"/>
                <w:szCs w:val="24"/>
              </w:rPr>
            </w:pPr>
          </w:p>
        </w:tc>
        <w:tc>
          <w:tcPr>
            <w:tcW w:w="96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c>
          <w:tcPr>
            <w:tcW w:w="1230" w:type="dxa"/>
          </w:tcPr>
          <w:p>
            <w:pPr>
              <w:pStyle w:val="20"/>
              <w:rPr>
                <w:rFonts w:hint="eastAsia" w:ascii="宋体" w:hAnsi="宋体" w:eastAsia="宋体" w:cs="宋体"/>
                <w:sz w:val="24"/>
                <w:szCs w:val="24"/>
              </w:rPr>
            </w:pPr>
          </w:p>
        </w:tc>
        <w:tc>
          <w:tcPr>
            <w:tcW w:w="2250" w:type="dxa"/>
          </w:tcPr>
          <w:p>
            <w:pPr>
              <w:pStyle w:val="20"/>
              <w:rPr>
                <w:rFonts w:hint="eastAsia" w:ascii="宋体" w:hAnsi="宋体" w:eastAsia="宋体" w:cs="宋体"/>
                <w:sz w:val="24"/>
                <w:szCs w:val="24"/>
              </w:rPr>
            </w:pPr>
          </w:p>
        </w:tc>
        <w:tc>
          <w:tcPr>
            <w:tcW w:w="1560" w:type="dxa"/>
          </w:tcPr>
          <w:p>
            <w:pPr>
              <w:pStyle w:val="20"/>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line="182" w:lineRule="auto"/>
        <w:ind w:left="0" w:right="0" w:hanging="636"/>
        <w:jc w:val="left"/>
        <w:textAlignment w:val="auto"/>
        <w:rPr>
          <w:rFonts w:hint="eastAsia" w:ascii="宋体" w:hAnsi="宋体" w:eastAsia="宋体" w:cs="宋体"/>
          <w:w w:val="90"/>
          <w:sz w:val="24"/>
          <w:szCs w:val="24"/>
        </w:rPr>
      </w:pPr>
      <w:r>
        <w:rPr>
          <w:rFonts w:hint="eastAsia" w:ascii="宋体" w:hAnsi="宋体" w:eastAsia="宋体" w:cs="宋体"/>
          <w:b/>
          <w:w w:val="90"/>
          <w:sz w:val="24"/>
          <w:szCs w:val="24"/>
        </w:rPr>
        <w:t>要求：</w:t>
      </w:r>
      <w:r>
        <w:rPr>
          <w:rFonts w:hint="eastAsia" w:ascii="宋体" w:hAnsi="宋体" w:eastAsia="宋体" w:cs="宋体"/>
          <w:sz w:val="24"/>
          <w:szCs w:val="24"/>
        </w:rPr>
        <w:t>1.在填写时，如本表格不适合</w:t>
      </w:r>
      <w:r>
        <w:rPr>
          <w:rFonts w:hint="eastAsia" w:ascii="宋体" w:hAnsi="宋体" w:eastAsia="宋体" w:cs="宋体"/>
          <w:sz w:val="24"/>
          <w:szCs w:val="24"/>
          <w:lang w:eastAsia="zh-CN"/>
        </w:rPr>
        <w:t>供应商</w:t>
      </w:r>
      <w:r>
        <w:rPr>
          <w:rFonts w:hint="eastAsia" w:ascii="宋体" w:hAnsi="宋体" w:eastAsia="宋体" w:cs="宋体"/>
          <w:sz w:val="24"/>
          <w:szCs w:val="24"/>
        </w:rPr>
        <w:t>的实际情况，可根据本表格式自行划表填写。</w:t>
      </w:r>
    </w:p>
    <w:p>
      <w:pPr>
        <w:keepNext w:val="0"/>
        <w:keepLines w:val="0"/>
        <w:pageBreakBefore w:val="0"/>
        <w:widowControl w:val="0"/>
        <w:kinsoku/>
        <w:wordWrap/>
        <w:overflowPunct/>
        <w:topLinePunct w:val="0"/>
        <w:autoSpaceDE w:val="0"/>
        <w:autoSpaceDN w:val="0"/>
        <w:bidi w:val="0"/>
        <w:adjustRightInd/>
        <w:snapToGrid/>
        <w:spacing w:before="0" w:line="348"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2.附人员证书复印件；</w:t>
      </w:r>
    </w:p>
    <w:p>
      <w:pPr>
        <w:keepNext w:val="0"/>
        <w:keepLines w:val="0"/>
        <w:pageBreakBefore w:val="0"/>
        <w:widowControl w:val="0"/>
        <w:kinsoku/>
        <w:wordWrap/>
        <w:overflowPunct/>
        <w:topLinePunct w:val="0"/>
        <w:autoSpaceDE w:val="0"/>
        <w:autoSpaceDN w:val="0"/>
        <w:bidi w:val="0"/>
        <w:adjustRightInd/>
        <w:snapToGrid/>
        <w:spacing w:before="0" w:line="348"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3.出具上述人员在本单位服务的外部证明，如：</w:t>
      </w:r>
      <w:r>
        <w:rPr>
          <w:rFonts w:hint="eastAsia" w:ascii="宋体" w:hAnsi="宋体" w:eastAsia="宋体" w:cs="宋体"/>
          <w:sz w:val="24"/>
          <w:szCs w:val="24"/>
          <w:lang w:eastAsia="zh-CN"/>
        </w:rPr>
        <w:t>谈判响应</w:t>
      </w:r>
      <w:r>
        <w:rPr>
          <w:rFonts w:hint="eastAsia" w:ascii="宋体" w:hAnsi="宋体" w:eastAsia="宋体" w:cs="宋体"/>
          <w:sz w:val="24"/>
          <w:szCs w:val="24"/>
        </w:rPr>
        <w:t>截止日之前</w:t>
      </w:r>
      <w:r>
        <w:rPr>
          <w:rFonts w:hint="eastAsia" w:ascii="宋体" w:hAnsi="宋体" w:eastAsia="宋体" w:cs="宋体"/>
          <w:sz w:val="24"/>
          <w:szCs w:val="24"/>
          <w:lang w:val="en-US" w:eastAsia="zh-CN"/>
        </w:rPr>
        <w:t>6</w:t>
      </w:r>
      <w:r>
        <w:rPr>
          <w:rFonts w:hint="eastAsia" w:ascii="宋体" w:hAnsi="宋体" w:eastAsia="宋体" w:cs="宋体"/>
          <w:sz w:val="24"/>
          <w:szCs w:val="24"/>
        </w:rPr>
        <w:t>月以内的代缴个税税单、参加社会保险的《投保单》或《社会保险参保人员证明》等。</w:t>
      </w:r>
    </w:p>
    <w:p>
      <w:pPr>
        <w:pStyle w:val="8"/>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名称（盖公章）：</w:t>
      </w:r>
    </w:p>
    <w:p>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w:t>
      </w:r>
    </w:p>
    <w:p>
      <w:pPr>
        <w:keepNext w:val="0"/>
        <w:keepLines w:val="0"/>
        <w:widowControl/>
        <w:suppressLineNumbers w:val="0"/>
        <w:jc w:val="left"/>
        <w:rPr>
          <w:rFonts w:hint="default"/>
          <w:lang w:val="en-US"/>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10</w:t>
      </w:r>
    </w:p>
    <w:p>
      <w:pPr>
        <w:pStyle w:val="14"/>
        <w:jc w:val="center"/>
        <w:rPr>
          <w:rFonts w:hint="eastAsia" w:ascii="宋体" w:hAnsi="宋体" w:eastAsia="宋体" w:cs="宋体"/>
          <w:b/>
          <w:sz w:val="28"/>
          <w:szCs w:val="28"/>
        </w:rPr>
      </w:pPr>
      <w:r>
        <w:rPr>
          <w:rFonts w:hint="eastAsia" w:ascii="宋体" w:hAnsi="宋体" w:eastAsia="宋体" w:cs="宋体"/>
          <w:b/>
          <w:sz w:val="28"/>
          <w:szCs w:val="28"/>
        </w:rPr>
        <w:t>项目负责人资格情况表</w:t>
      </w:r>
    </w:p>
    <w:p>
      <w:pPr>
        <w:tabs>
          <w:tab w:val="left" w:pos="6770"/>
        </w:tabs>
        <w:spacing w:before="44"/>
        <w:ind w:right="0"/>
        <w:jc w:val="left"/>
        <w:rPr>
          <w:rFonts w:hint="eastAsia" w:ascii="宋体" w:hAnsi="宋体" w:eastAsia="宋体" w:cs="宋体"/>
          <w:sz w:val="24"/>
          <w:szCs w:val="24"/>
        </w:rPr>
      </w:pPr>
      <w:r>
        <w:rPr>
          <w:rFonts w:hint="eastAsia" w:ascii="宋体" w:hAnsi="宋体" w:eastAsia="宋体" w:cs="宋体"/>
          <w:sz w:val="24"/>
          <w:szCs w:val="24"/>
        </w:rPr>
        <w:t>采购项目：</w:t>
      </w:r>
      <w:r>
        <w:rPr>
          <w:rFonts w:hint="eastAsia" w:ascii="宋体" w:hAnsi="宋体" w:eastAsia="宋体" w:cs="宋体"/>
          <w:sz w:val="24"/>
          <w:szCs w:val="24"/>
        </w:rPr>
        <w:tab/>
      </w:r>
      <w:r>
        <w:rPr>
          <w:rFonts w:hint="eastAsia" w:ascii="宋体" w:hAnsi="宋体" w:eastAsia="宋体" w:cs="宋体"/>
          <w:sz w:val="24"/>
          <w:szCs w:val="24"/>
        </w:rPr>
        <w:t>采购编号：</w:t>
      </w:r>
    </w:p>
    <w:tbl>
      <w:tblPr>
        <w:tblStyle w:val="15"/>
        <w:tblW w:w="944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74"/>
        <w:gridCol w:w="3319"/>
        <w:gridCol w:w="41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bottom w:val="single" w:color="000000" w:sz="4" w:space="0"/>
              <w:right w:val="single" w:color="000000" w:sz="4" w:space="0"/>
            </w:tcBorders>
          </w:tcPr>
          <w:p>
            <w:pPr>
              <w:pStyle w:val="20"/>
              <w:spacing w:before="135"/>
              <w:ind w:left="138" w:right="94"/>
              <w:jc w:val="center"/>
              <w:rPr>
                <w:rFonts w:hint="eastAsia" w:ascii="宋体" w:hAnsi="宋体" w:eastAsia="宋体" w:cs="宋体"/>
                <w:b/>
                <w:sz w:val="24"/>
                <w:szCs w:val="24"/>
              </w:rPr>
            </w:pPr>
            <w:r>
              <w:rPr>
                <w:rFonts w:hint="eastAsia" w:ascii="宋体" w:hAnsi="宋体" w:eastAsia="宋体" w:cs="宋体"/>
                <w:b/>
                <w:sz w:val="24"/>
                <w:szCs w:val="24"/>
              </w:rPr>
              <w:t>姓名</w:t>
            </w:r>
          </w:p>
        </w:tc>
        <w:tc>
          <w:tcPr>
            <w:tcW w:w="3319" w:type="dxa"/>
            <w:tcBorders>
              <w:left w:val="single" w:color="000000" w:sz="4" w:space="0"/>
              <w:bottom w:val="single" w:color="000000" w:sz="4" w:space="0"/>
              <w:right w:val="single" w:color="000000" w:sz="4" w:space="0"/>
            </w:tcBorders>
          </w:tcPr>
          <w:p>
            <w:pPr>
              <w:pStyle w:val="20"/>
              <w:rPr>
                <w:rFonts w:hint="eastAsia" w:ascii="宋体" w:hAnsi="宋体" w:eastAsia="宋体" w:cs="宋体"/>
                <w:sz w:val="24"/>
                <w:szCs w:val="24"/>
              </w:rPr>
            </w:pPr>
          </w:p>
        </w:tc>
        <w:tc>
          <w:tcPr>
            <w:tcW w:w="4155" w:type="dxa"/>
            <w:tcBorders>
              <w:left w:val="single" w:color="000000" w:sz="4" w:space="0"/>
              <w:bottom w:val="single" w:color="000000" w:sz="4" w:space="0"/>
            </w:tcBorders>
          </w:tcPr>
          <w:p>
            <w:pPr>
              <w:pStyle w:val="20"/>
              <w:spacing w:before="135"/>
              <w:ind w:left="1154"/>
              <w:rPr>
                <w:rFonts w:hint="eastAsia" w:ascii="宋体" w:hAnsi="宋体" w:eastAsia="宋体" w:cs="宋体"/>
                <w:b/>
                <w:sz w:val="24"/>
                <w:szCs w:val="24"/>
              </w:rPr>
            </w:pPr>
            <w:r>
              <w:rPr>
                <w:rFonts w:hint="eastAsia" w:ascii="宋体" w:hAnsi="宋体" w:eastAsia="宋体" w:cs="宋体"/>
                <w:b/>
                <w:sz w:val="24"/>
                <w:szCs w:val="24"/>
              </w:rPr>
              <w:t>近年来主要工作业绩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20"/>
              <w:spacing w:before="133"/>
              <w:ind w:left="138" w:right="94"/>
              <w:jc w:val="center"/>
              <w:rPr>
                <w:rFonts w:hint="eastAsia" w:ascii="宋体" w:hAnsi="宋体" w:eastAsia="宋体" w:cs="宋体"/>
                <w:b/>
                <w:sz w:val="24"/>
                <w:szCs w:val="24"/>
              </w:rPr>
            </w:pPr>
            <w:r>
              <w:rPr>
                <w:rFonts w:hint="eastAsia" w:ascii="宋体" w:hAnsi="宋体" w:eastAsia="宋体" w:cs="宋体"/>
                <w:b/>
                <w:sz w:val="24"/>
                <w:szCs w:val="24"/>
              </w:rPr>
              <w:t>性别</w:t>
            </w:r>
          </w:p>
        </w:tc>
        <w:tc>
          <w:tcPr>
            <w:tcW w:w="3319"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sz w:val="24"/>
                <w:szCs w:val="24"/>
              </w:rPr>
            </w:pPr>
          </w:p>
        </w:tc>
        <w:tc>
          <w:tcPr>
            <w:tcW w:w="4155" w:type="dxa"/>
            <w:vMerge w:val="restart"/>
            <w:tcBorders>
              <w:top w:val="single" w:color="000000" w:sz="4" w:space="0"/>
              <w:left w:val="single" w:color="000000" w:sz="4" w:space="0"/>
              <w:bottom w:val="single" w:color="000000" w:sz="4" w:space="0"/>
            </w:tcBorders>
          </w:tcPr>
          <w:p>
            <w:pPr>
              <w:pStyle w:val="20"/>
              <w:rPr>
                <w:rFonts w:hint="eastAsia" w:ascii="宋体" w:hAnsi="宋体" w:eastAsia="宋体" w:cs="宋体"/>
                <w:sz w:val="24"/>
                <w:szCs w:val="24"/>
              </w:rPr>
            </w:pPr>
          </w:p>
          <w:p>
            <w:pPr>
              <w:pStyle w:val="20"/>
              <w:rPr>
                <w:rFonts w:hint="eastAsia" w:ascii="宋体" w:hAnsi="宋体" w:eastAsia="宋体" w:cs="宋体"/>
                <w:sz w:val="24"/>
                <w:szCs w:val="24"/>
              </w:rPr>
            </w:pPr>
          </w:p>
          <w:p>
            <w:pPr>
              <w:pStyle w:val="20"/>
              <w:rPr>
                <w:rFonts w:hint="eastAsia" w:ascii="宋体" w:hAnsi="宋体" w:eastAsia="宋体" w:cs="宋体"/>
                <w:sz w:val="24"/>
                <w:szCs w:val="24"/>
              </w:rPr>
            </w:pPr>
          </w:p>
          <w:p>
            <w:pPr>
              <w:pStyle w:val="20"/>
              <w:spacing w:before="5"/>
              <w:rPr>
                <w:rFonts w:hint="eastAsia" w:ascii="宋体" w:hAnsi="宋体" w:eastAsia="宋体" w:cs="宋体"/>
                <w:sz w:val="24"/>
                <w:szCs w:val="24"/>
              </w:rPr>
            </w:pP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注：业绩证明应提供旁证材料</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（合同或中标通知书）。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jc w:val="center"/>
        </w:trPr>
        <w:tc>
          <w:tcPr>
            <w:tcW w:w="1974" w:type="dxa"/>
            <w:tcBorders>
              <w:top w:val="single" w:color="000000" w:sz="4" w:space="0"/>
              <w:bottom w:val="single" w:color="000000" w:sz="4" w:space="0"/>
              <w:right w:val="single" w:color="000000" w:sz="4" w:space="0"/>
            </w:tcBorders>
          </w:tcPr>
          <w:p>
            <w:pPr>
              <w:pStyle w:val="20"/>
              <w:spacing w:before="135"/>
              <w:ind w:left="138" w:right="94"/>
              <w:jc w:val="center"/>
              <w:rPr>
                <w:rFonts w:hint="eastAsia" w:ascii="宋体" w:hAnsi="宋体" w:eastAsia="宋体" w:cs="宋体"/>
                <w:b/>
                <w:sz w:val="24"/>
                <w:szCs w:val="24"/>
              </w:rPr>
            </w:pPr>
            <w:r>
              <w:rPr>
                <w:rFonts w:hint="eastAsia" w:ascii="宋体" w:hAnsi="宋体" w:eastAsia="宋体" w:cs="宋体"/>
                <w:b/>
                <w:sz w:val="24"/>
                <w:szCs w:val="24"/>
              </w:rPr>
              <w:t>年龄</w:t>
            </w:r>
          </w:p>
        </w:tc>
        <w:tc>
          <w:tcPr>
            <w:tcW w:w="3319"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jc w:val="center"/>
        </w:trPr>
        <w:tc>
          <w:tcPr>
            <w:tcW w:w="1974" w:type="dxa"/>
            <w:tcBorders>
              <w:top w:val="single" w:color="000000" w:sz="4" w:space="0"/>
              <w:bottom w:val="single" w:color="000000" w:sz="4" w:space="0"/>
              <w:right w:val="single" w:color="000000" w:sz="4" w:space="0"/>
            </w:tcBorders>
          </w:tcPr>
          <w:p>
            <w:pPr>
              <w:pStyle w:val="20"/>
              <w:spacing w:before="134"/>
              <w:ind w:left="138" w:right="94"/>
              <w:jc w:val="center"/>
              <w:rPr>
                <w:rFonts w:hint="eastAsia" w:ascii="宋体" w:hAnsi="宋体" w:eastAsia="宋体" w:cs="宋体"/>
                <w:b/>
                <w:sz w:val="24"/>
                <w:szCs w:val="24"/>
              </w:rPr>
            </w:pPr>
            <w:r>
              <w:rPr>
                <w:rFonts w:hint="eastAsia" w:ascii="宋体" w:hAnsi="宋体" w:eastAsia="宋体" w:cs="宋体"/>
                <w:b/>
                <w:sz w:val="24"/>
                <w:szCs w:val="24"/>
              </w:rPr>
              <w:t>职称</w:t>
            </w:r>
          </w:p>
        </w:tc>
        <w:tc>
          <w:tcPr>
            <w:tcW w:w="3319"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jc w:val="center"/>
        </w:trPr>
        <w:tc>
          <w:tcPr>
            <w:tcW w:w="1974" w:type="dxa"/>
            <w:tcBorders>
              <w:top w:val="single" w:color="000000" w:sz="4" w:space="0"/>
              <w:bottom w:val="single" w:color="000000" w:sz="4" w:space="0"/>
              <w:right w:val="single" w:color="000000" w:sz="4" w:space="0"/>
            </w:tcBorders>
          </w:tcPr>
          <w:p>
            <w:pPr>
              <w:pStyle w:val="20"/>
              <w:spacing w:before="134"/>
              <w:ind w:left="138" w:right="96"/>
              <w:jc w:val="center"/>
              <w:rPr>
                <w:rFonts w:hint="eastAsia" w:ascii="宋体" w:hAnsi="宋体" w:eastAsia="宋体" w:cs="宋体"/>
                <w:b/>
                <w:sz w:val="24"/>
                <w:szCs w:val="24"/>
              </w:rPr>
            </w:pPr>
            <w:r>
              <w:rPr>
                <w:rFonts w:hint="eastAsia" w:ascii="宋体" w:hAnsi="宋体" w:eastAsia="宋体" w:cs="宋体"/>
                <w:b/>
                <w:sz w:val="24"/>
                <w:szCs w:val="24"/>
              </w:rPr>
              <w:t>毕业时间</w:t>
            </w:r>
          </w:p>
        </w:tc>
        <w:tc>
          <w:tcPr>
            <w:tcW w:w="3319"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20"/>
              <w:spacing w:before="134"/>
              <w:ind w:left="138" w:right="96"/>
              <w:jc w:val="center"/>
              <w:rPr>
                <w:rFonts w:hint="eastAsia" w:ascii="宋体" w:hAnsi="宋体" w:eastAsia="宋体" w:cs="宋体"/>
                <w:b/>
                <w:sz w:val="24"/>
                <w:szCs w:val="24"/>
              </w:rPr>
            </w:pPr>
            <w:r>
              <w:rPr>
                <w:rFonts w:hint="eastAsia" w:ascii="宋体" w:hAnsi="宋体" w:eastAsia="宋体" w:cs="宋体"/>
                <w:b/>
                <w:sz w:val="24"/>
                <w:szCs w:val="24"/>
              </w:rPr>
              <w:t>学校专业</w:t>
            </w:r>
          </w:p>
        </w:tc>
        <w:tc>
          <w:tcPr>
            <w:tcW w:w="3319"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20"/>
              <w:spacing w:before="135"/>
              <w:ind w:left="138" w:right="96"/>
              <w:jc w:val="center"/>
              <w:rPr>
                <w:rFonts w:hint="eastAsia" w:ascii="宋体" w:hAnsi="宋体" w:eastAsia="宋体" w:cs="宋体"/>
                <w:b/>
                <w:sz w:val="24"/>
                <w:szCs w:val="24"/>
              </w:rPr>
            </w:pPr>
            <w:r>
              <w:rPr>
                <w:rFonts w:hint="eastAsia" w:ascii="宋体" w:hAnsi="宋体" w:eastAsia="宋体" w:cs="宋体"/>
                <w:b/>
                <w:sz w:val="24"/>
                <w:szCs w:val="24"/>
              </w:rPr>
              <w:t>联系电话</w:t>
            </w:r>
          </w:p>
        </w:tc>
        <w:tc>
          <w:tcPr>
            <w:tcW w:w="3319"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2" w:hRule="atLeast"/>
          <w:jc w:val="center"/>
        </w:trPr>
        <w:tc>
          <w:tcPr>
            <w:tcW w:w="1974" w:type="dxa"/>
            <w:tcBorders>
              <w:top w:val="single" w:color="000000" w:sz="4" w:space="0"/>
              <w:bottom w:val="single" w:color="000000" w:sz="4" w:space="0"/>
              <w:right w:val="single" w:color="000000" w:sz="4" w:space="0"/>
            </w:tcBorders>
          </w:tcPr>
          <w:p>
            <w:pPr>
              <w:pStyle w:val="20"/>
              <w:spacing w:before="133"/>
              <w:ind w:left="138" w:right="96"/>
              <w:jc w:val="center"/>
              <w:rPr>
                <w:rFonts w:hint="eastAsia" w:ascii="宋体" w:hAnsi="宋体" w:eastAsia="宋体" w:cs="宋体"/>
                <w:b/>
                <w:sz w:val="24"/>
                <w:szCs w:val="24"/>
              </w:rPr>
            </w:pPr>
            <w:r>
              <w:rPr>
                <w:rFonts w:hint="eastAsia" w:ascii="宋体" w:hAnsi="宋体" w:eastAsia="宋体" w:cs="宋体"/>
                <w:b/>
                <w:sz w:val="24"/>
                <w:szCs w:val="24"/>
              </w:rPr>
              <w:t>最近一年工作状况</w:t>
            </w:r>
          </w:p>
        </w:tc>
        <w:tc>
          <w:tcPr>
            <w:tcW w:w="3319"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sz w:val="24"/>
                <w:szCs w:val="24"/>
              </w:rPr>
            </w:pPr>
          </w:p>
        </w:tc>
        <w:tc>
          <w:tcPr>
            <w:tcW w:w="4155" w:type="dxa"/>
            <w:vMerge w:val="continue"/>
            <w:tcBorders>
              <w:top w:val="nil"/>
              <w:left w:val="single" w:color="000000" w:sz="4" w:space="0"/>
              <w:bottom w:val="single" w:color="000000" w:sz="4" w:space="0"/>
            </w:tcBorders>
          </w:tcPr>
          <w:p>
            <w:pPr>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jc w:val="center"/>
        </w:trPr>
        <w:tc>
          <w:tcPr>
            <w:tcW w:w="1974" w:type="dxa"/>
            <w:tcBorders>
              <w:top w:val="single" w:color="000000" w:sz="4" w:space="0"/>
              <w:right w:val="single" w:color="000000" w:sz="4" w:space="0"/>
            </w:tcBorders>
            <w:vAlign w:val="center"/>
          </w:tcPr>
          <w:p>
            <w:pPr>
              <w:pStyle w:val="20"/>
              <w:keepNext w:val="0"/>
              <w:keepLines w:val="0"/>
              <w:pageBreakBefore w:val="0"/>
              <w:widowControl w:val="0"/>
              <w:kinsoku/>
              <w:wordWrap/>
              <w:overflowPunct/>
              <w:topLinePunct w:val="0"/>
              <w:autoSpaceDE w:val="0"/>
              <w:autoSpaceDN w:val="0"/>
              <w:bidi w:val="0"/>
              <w:adjustRightInd/>
              <w:snapToGrid/>
              <w:spacing w:before="0" w:line="303" w:lineRule="auto"/>
              <w:ind w:left="420" w:right="0" w:hanging="420"/>
              <w:jc w:val="center"/>
              <w:textAlignment w:val="auto"/>
              <w:rPr>
                <w:rFonts w:hint="eastAsia" w:ascii="宋体" w:hAnsi="宋体" w:eastAsia="宋体" w:cs="宋体"/>
                <w:b/>
                <w:sz w:val="24"/>
                <w:szCs w:val="24"/>
              </w:rPr>
            </w:pPr>
            <w:r>
              <w:rPr>
                <w:rFonts w:hint="eastAsia" w:ascii="宋体" w:hAnsi="宋体" w:eastAsia="宋体" w:cs="宋体"/>
                <w:b/>
                <w:sz w:val="24"/>
                <w:szCs w:val="24"/>
              </w:rPr>
              <w:t>拟在本项目中担任主要工作</w:t>
            </w:r>
          </w:p>
        </w:tc>
        <w:tc>
          <w:tcPr>
            <w:tcW w:w="7474" w:type="dxa"/>
            <w:gridSpan w:val="2"/>
            <w:tcBorders>
              <w:top w:val="single" w:color="000000" w:sz="4" w:space="0"/>
              <w:left w:val="single" w:color="000000" w:sz="4" w:space="0"/>
            </w:tcBorders>
          </w:tcPr>
          <w:p>
            <w:pPr>
              <w:pStyle w:val="20"/>
              <w:rPr>
                <w:rFonts w:hint="eastAsia" w:ascii="宋体" w:hAnsi="宋体" w:eastAsia="宋体" w:cs="宋体"/>
                <w:sz w:val="24"/>
                <w:szCs w:val="24"/>
              </w:rPr>
            </w:pPr>
          </w:p>
        </w:tc>
      </w:tr>
    </w:tbl>
    <w:p>
      <w:pPr>
        <w:pStyle w:val="14"/>
        <w:rPr>
          <w:rFonts w:hint="eastAsia"/>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名称（盖公章）：</w:t>
      </w:r>
    </w:p>
    <w:p>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pStyle w:val="12"/>
        <w:rPr>
          <w:rFonts w:hint="eastAsia"/>
          <w:lang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lang w:val="en-US"/>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11</w:t>
      </w:r>
    </w:p>
    <w:p>
      <w:pPr>
        <w:pStyle w:val="8"/>
        <w:spacing w:before="15"/>
        <w:jc w:val="center"/>
        <w:rPr>
          <w:rFonts w:hint="eastAsia" w:ascii="宋体" w:hAnsi="宋体" w:eastAsia="宋体" w:cs="宋体"/>
          <w:b/>
          <w:sz w:val="28"/>
          <w:szCs w:val="28"/>
        </w:rPr>
      </w:pPr>
      <w:r>
        <w:rPr>
          <w:rFonts w:hint="eastAsia" w:ascii="宋体" w:hAnsi="宋体" w:eastAsia="宋体" w:cs="宋体"/>
          <w:b/>
          <w:sz w:val="28"/>
          <w:szCs w:val="28"/>
        </w:rPr>
        <w:t>技术、商务偏离表</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为了采购人评议的需要，</w:t>
      </w:r>
      <w:r>
        <w:rPr>
          <w:rFonts w:hint="eastAsia" w:ascii="宋体" w:hAnsi="宋体" w:eastAsia="宋体" w:cs="宋体"/>
          <w:sz w:val="24"/>
          <w:szCs w:val="24"/>
          <w:lang w:eastAsia="zh-CN"/>
        </w:rPr>
        <w:t>供应商</w:t>
      </w:r>
      <w:r>
        <w:rPr>
          <w:rFonts w:hint="eastAsia" w:ascii="宋体" w:hAnsi="宋体" w:eastAsia="宋体" w:cs="宋体"/>
          <w:sz w:val="24"/>
          <w:szCs w:val="24"/>
        </w:rPr>
        <w:t>若有偏离的应将偏离条款逐条提出或根据以下要求的格式提出偏差。</w:t>
      </w:r>
      <w:r>
        <w:rPr>
          <w:rFonts w:hint="eastAsia" w:ascii="宋体" w:hAnsi="宋体" w:eastAsia="宋体" w:cs="宋体"/>
          <w:sz w:val="24"/>
          <w:szCs w:val="24"/>
          <w:lang w:eastAsia="zh-CN"/>
        </w:rPr>
        <w:t>供应商</w:t>
      </w:r>
      <w:r>
        <w:rPr>
          <w:rFonts w:hint="eastAsia" w:ascii="宋体" w:hAnsi="宋体" w:eastAsia="宋体" w:cs="宋体"/>
          <w:sz w:val="24"/>
          <w:szCs w:val="24"/>
        </w:rPr>
        <w:t>应对照</w:t>
      </w:r>
      <w:r>
        <w:rPr>
          <w:rFonts w:hint="eastAsia" w:ascii="宋体" w:hAnsi="宋体" w:eastAsia="宋体" w:cs="宋体"/>
          <w:sz w:val="24"/>
          <w:szCs w:val="24"/>
          <w:lang w:eastAsia="zh-CN"/>
        </w:rPr>
        <w:t>谈判文件</w:t>
      </w:r>
      <w:r>
        <w:rPr>
          <w:rFonts w:hint="eastAsia" w:ascii="宋体" w:hAnsi="宋体" w:eastAsia="宋体" w:cs="宋体"/>
          <w:sz w:val="24"/>
          <w:szCs w:val="24"/>
        </w:rPr>
        <w:t>要求在“偏离情况”栏注明“正偏离”、“负偏离”。</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480" w:firstLineChars="200"/>
        <w:textAlignment w:val="auto"/>
        <w:rPr>
          <w:rFonts w:hint="eastAsia"/>
          <w:lang w:eastAsia="zh-CN"/>
        </w:rPr>
      </w:pP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无偏离的可不填写本偏离表或在本页上写“无”，视为完全响应本次</w:t>
      </w:r>
      <w:r>
        <w:rPr>
          <w:rFonts w:hint="eastAsia" w:ascii="宋体" w:hAnsi="宋体" w:eastAsia="宋体" w:cs="宋体"/>
          <w:sz w:val="24"/>
          <w:szCs w:val="24"/>
          <w:lang w:eastAsia="zh-CN"/>
        </w:rPr>
        <w:t>谈判文件</w:t>
      </w:r>
      <w:r>
        <w:rPr>
          <w:rFonts w:hint="eastAsia" w:ascii="宋体" w:hAnsi="宋体" w:eastAsia="宋体" w:cs="宋体"/>
          <w:sz w:val="24"/>
          <w:szCs w:val="24"/>
        </w:rPr>
        <w:t>。</w:t>
      </w:r>
    </w:p>
    <w:tbl>
      <w:tblPr>
        <w:tblStyle w:val="1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jc w:val="center"/>
        </w:trPr>
        <w:tc>
          <w:tcPr>
            <w:tcW w:w="759" w:type="dxa"/>
            <w:tcBorders>
              <w:bottom w:val="single" w:color="000000" w:sz="6" w:space="0"/>
              <w:right w:val="single" w:color="000000" w:sz="6" w:space="0"/>
            </w:tcBorders>
          </w:tcPr>
          <w:p>
            <w:pPr>
              <w:pStyle w:val="20"/>
              <w:spacing w:before="46"/>
              <w:ind w:left="130" w:right="85"/>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9" w:type="dxa"/>
            <w:tcBorders>
              <w:left w:val="single" w:color="000000" w:sz="6" w:space="0"/>
              <w:bottom w:val="single" w:color="000000" w:sz="6" w:space="0"/>
              <w:right w:val="single" w:color="000000" w:sz="6" w:space="0"/>
            </w:tcBorders>
          </w:tcPr>
          <w:p>
            <w:pPr>
              <w:pStyle w:val="20"/>
              <w:spacing w:before="46"/>
              <w:ind w:left="373"/>
              <w:rPr>
                <w:rFonts w:hint="eastAsia" w:ascii="宋体" w:hAnsi="宋体" w:eastAsia="宋体" w:cs="宋体"/>
                <w:sz w:val="24"/>
                <w:szCs w:val="24"/>
              </w:rPr>
            </w:pPr>
            <w:r>
              <w:rPr>
                <w:rFonts w:hint="eastAsia" w:ascii="宋体" w:hAnsi="宋体" w:eastAsia="宋体" w:cs="宋体"/>
                <w:sz w:val="24"/>
                <w:szCs w:val="24"/>
              </w:rPr>
              <w:t>内容</w:t>
            </w:r>
          </w:p>
        </w:tc>
        <w:tc>
          <w:tcPr>
            <w:tcW w:w="1978" w:type="dxa"/>
            <w:tcBorders>
              <w:left w:val="single" w:color="000000" w:sz="6" w:space="0"/>
              <w:bottom w:val="single" w:color="000000" w:sz="6" w:space="0"/>
              <w:right w:val="single" w:color="000000" w:sz="6" w:space="0"/>
            </w:tcBorders>
          </w:tcPr>
          <w:p>
            <w:pPr>
              <w:pStyle w:val="20"/>
              <w:spacing w:before="46"/>
              <w:ind w:left="286"/>
              <w:rPr>
                <w:rFonts w:hint="eastAsia" w:ascii="宋体" w:hAnsi="宋体" w:eastAsia="宋体" w:cs="宋体"/>
                <w:sz w:val="24"/>
                <w:szCs w:val="24"/>
              </w:rPr>
            </w:pPr>
            <w:r>
              <w:rPr>
                <w:rFonts w:hint="eastAsia" w:ascii="宋体" w:hAnsi="宋体" w:eastAsia="宋体" w:cs="宋体"/>
                <w:sz w:val="24"/>
                <w:szCs w:val="24"/>
                <w:lang w:eastAsia="zh-CN"/>
              </w:rPr>
              <w:t>谈判文件</w:t>
            </w:r>
            <w:r>
              <w:rPr>
                <w:rFonts w:hint="eastAsia" w:ascii="宋体" w:hAnsi="宋体" w:eastAsia="宋体" w:cs="宋体"/>
                <w:sz w:val="24"/>
                <w:szCs w:val="24"/>
              </w:rPr>
              <w:t>要求</w:t>
            </w:r>
          </w:p>
        </w:tc>
        <w:tc>
          <w:tcPr>
            <w:tcW w:w="2130" w:type="dxa"/>
            <w:tcBorders>
              <w:left w:val="single" w:color="000000" w:sz="6" w:space="0"/>
              <w:bottom w:val="single" w:color="000000" w:sz="6" w:space="0"/>
              <w:right w:val="single" w:color="000000" w:sz="6" w:space="0"/>
            </w:tcBorders>
          </w:tcPr>
          <w:p>
            <w:pPr>
              <w:pStyle w:val="20"/>
              <w:spacing w:before="46"/>
              <w:ind w:left="365"/>
              <w:rPr>
                <w:rFonts w:hint="eastAsia" w:ascii="宋体" w:hAnsi="宋体" w:eastAsia="宋体" w:cs="宋体"/>
                <w:sz w:val="24"/>
                <w:szCs w:val="24"/>
              </w:rPr>
            </w:pPr>
            <w:r>
              <w:rPr>
                <w:rFonts w:hint="eastAsia" w:ascii="宋体" w:hAnsi="宋体" w:eastAsia="宋体" w:cs="宋体"/>
                <w:sz w:val="24"/>
                <w:szCs w:val="24"/>
                <w:lang w:eastAsia="zh-CN"/>
              </w:rPr>
              <w:t>谈判响应</w:t>
            </w:r>
            <w:r>
              <w:rPr>
                <w:rFonts w:hint="eastAsia" w:ascii="宋体" w:hAnsi="宋体" w:eastAsia="宋体" w:cs="宋体"/>
                <w:sz w:val="24"/>
                <w:szCs w:val="24"/>
              </w:rPr>
              <w:t>文件响应</w:t>
            </w:r>
          </w:p>
        </w:tc>
        <w:tc>
          <w:tcPr>
            <w:tcW w:w="1468" w:type="dxa"/>
            <w:tcBorders>
              <w:left w:val="single" w:color="000000" w:sz="6" w:space="0"/>
              <w:bottom w:val="single" w:color="000000" w:sz="6" w:space="0"/>
              <w:right w:val="single" w:color="000000" w:sz="6" w:space="0"/>
            </w:tcBorders>
          </w:tcPr>
          <w:p>
            <w:pPr>
              <w:pStyle w:val="20"/>
              <w:spacing w:before="46"/>
              <w:ind w:left="275"/>
              <w:rPr>
                <w:rFonts w:hint="eastAsia" w:ascii="宋体" w:hAnsi="宋体" w:eastAsia="宋体" w:cs="宋体"/>
                <w:sz w:val="24"/>
                <w:szCs w:val="24"/>
              </w:rPr>
            </w:pPr>
            <w:r>
              <w:rPr>
                <w:rFonts w:hint="eastAsia" w:ascii="宋体" w:hAnsi="宋体" w:eastAsia="宋体" w:cs="宋体"/>
                <w:sz w:val="24"/>
                <w:szCs w:val="24"/>
              </w:rPr>
              <w:t>偏离情况</w:t>
            </w:r>
          </w:p>
        </w:tc>
        <w:tc>
          <w:tcPr>
            <w:tcW w:w="1683" w:type="dxa"/>
            <w:tcBorders>
              <w:left w:val="single" w:color="000000" w:sz="6" w:space="0"/>
              <w:bottom w:val="single" w:color="000000" w:sz="6" w:space="0"/>
            </w:tcBorders>
          </w:tcPr>
          <w:p>
            <w:pPr>
              <w:pStyle w:val="20"/>
              <w:spacing w:before="46"/>
              <w:ind w:left="601" w:right="539"/>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759" w:type="dxa"/>
            <w:tcBorders>
              <w:top w:val="single" w:color="000000" w:sz="6" w:space="0"/>
              <w:bottom w:val="single" w:color="000000" w:sz="6" w:space="0"/>
              <w:right w:val="single" w:color="000000" w:sz="6" w:space="0"/>
            </w:tcBorders>
          </w:tcPr>
          <w:p>
            <w:pPr>
              <w:pStyle w:val="20"/>
              <w:spacing w:before="18"/>
              <w:ind w:left="47"/>
              <w:jc w:val="center"/>
              <w:rPr>
                <w:rFonts w:hint="eastAsia" w:ascii="宋体" w:hAnsi="宋体" w:eastAsia="宋体" w:cs="宋体"/>
                <w:sz w:val="24"/>
                <w:szCs w:val="24"/>
              </w:rPr>
            </w:pPr>
            <w:r>
              <w:rPr>
                <w:rFonts w:hint="eastAsia" w:ascii="宋体" w:hAnsi="宋体" w:eastAsia="宋体" w:cs="宋体"/>
                <w:sz w:val="24"/>
                <w:szCs w:val="24"/>
              </w:rPr>
              <w:t>1</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0"/>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jc w:val="center"/>
        </w:trPr>
        <w:tc>
          <w:tcPr>
            <w:tcW w:w="759" w:type="dxa"/>
            <w:tcBorders>
              <w:top w:val="single" w:color="000000" w:sz="6" w:space="0"/>
              <w:bottom w:val="single" w:color="000000" w:sz="6" w:space="0"/>
              <w:right w:val="single" w:color="000000" w:sz="6" w:space="0"/>
            </w:tcBorders>
          </w:tcPr>
          <w:p>
            <w:pPr>
              <w:pStyle w:val="20"/>
              <w:spacing w:before="55"/>
              <w:ind w:left="47"/>
              <w:jc w:val="center"/>
              <w:rPr>
                <w:rFonts w:hint="eastAsia" w:ascii="宋体" w:hAnsi="宋体" w:eastAsia="宋体" w:cs="宋体"/>
                <w:sz w:val="24"/>
                <w:szCs w:val="24"/>
              </w:rPr>
            </w:pPr>
            <w:r>
              <w:rPr>
                <w:rFonts w:hint="eastAsia" w:ascii="宋体" w:hAnsi="宋体" w:eastAsia="宋体" w:cs="宋体"/>
                <w:sz w:val="24"/>
                <w:szCs w:val="24"/>
              </w:rPr>
              <w:t>2</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0"/>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759" w:type="dxa"/>
            <w:tcBorders>
              <w:top w:val="single" w:color="000000" w:sz="6" w:space="0"/>
              <w:bottom w:val="single" w:color="000000" w:sz="6" w:space="0"/>
              <w:right w:val="single" w:color="000000" w:sz="6" w:space="0"/>
            </w:tcBorders>
          </w:tcPr>
          <w:p>
            <w:pPr>
              <w:pStyle w:val="20"/>
              <w:spacing w:before="70"/>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0"/>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jc w:val="center"/>
        </w:trPr>
        <w:tc>
          <w:tcPr>
            <w:tcW w:w="759" w:type="dxa"/>
            <w:tcBorders>
              <w:top w:val="single" w:color="000000" w:sz="6" w:space="0"/>
              <w:bottom w:val="single" w:color="000000" w:sz="6" w:space="0"/>
              <w:right w:val="single" w:color="000000" w:sz="6" w:space="0"/>
            </w:tcBorders>
          </w:tcPr>
          <w:p>
            <w:pPr>
              <w:pStyle w:val="20"/>
              <w:spacing w:before="79"/>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0"/>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jc w:val="center"/>
        </w:trPr>
        <w:tc>
          <w:tcPr>
            <w:tcW w:w="759" w:type="dxa"/>
            <w:tcBorders>
              <w:top w:val="single" w:color="000000" w:sz="6" w:space="0"/>
              <w:bottom w:val="single" w:color="000000" w:sz="6" w:space="0"/>
              <w:right w:val="single" w:color="000000" w:sz="6" w:space="0"/>
            </w:tcBorders>
          </w:tcPr>
          <w:p>
            <w:pPr>
              <w:pStyle w:val="20"/>
              <w:spacing w:before="76"/>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0"/>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jc w:val="center"/>
        </w:trPr>
        <w:tc>
          <w:tcPr>
            <w:tcW w:w="759" w:type="dxa"/>
            <w:tcBorders>
              <w:top w:val="single" w:color="000000" w:sz="6" w:space="0"/>
              <w:bottom w:val="single" w:color="000000" w:sz="6" w:space="0"/>
              <w:right w:val="single" w:color="000000" w:sz="6" w:space="0"/>
            </w:tcBorders>
          </w:tcPr>
          <w:p>
            <w:pPr>
              <w:pStyle w:val="20"/>
              <w:spacing w:before="60"/>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0"/>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jc w:val="center"/>
        </w:trPr>
        <w:tc>
          <w:tcPr>
            <w:tcW w:w="759" w:type="dxa"/>
            <w:tcBorders>
              <w:top w:val="single" w:color="000000" w:sz="6" w:space="0"/>
              <w:bottom w:val="single" w:color="000000" w:sz="6" w:space="0"/>
              <w:right w:val="single" w:color="000000" w:sz="6" w:space="0"/>
            </w:tcBorders>
          </w:tcPr>
          <w:p>
            <w:pPr>
              <w:pStyle w:val="20"/>
              <w:spacing w:before="76"/>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hint="eastAsia" w:ascii="宋体" w:hAnsi="宋体" w:eastAsia="宋体" w:cs="宋体"/>
                <w:sz w:val="24"/>
                <w:szCs w:val="24"/>
              </w:rPr>
            </w:pPr>
          </w:p>
        </w:tc>
        <w:tc>
          <w:tcPr>
            <w:tcW w:w="1683" w:type="dxa"/>
            <w:tcBorders>
              <w:top w:val="single" w:color="000000" w:sz="6" w:space="0"/>
              <w:left w:val="single" w:color="000000" w:sz="6" w:space="0"/>
              <w:bottom w:val="single" w:color="000000" w:sz="6" w:space="0"/>
            </w:tcBorders>
          </w:tcPr>
          <w:p>
            <w:pPr>
              <w:pStyle w:val="20"/>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jc w:val="center"/>
        </w:trPr>
        <w:tc>
          <w:tcPr>
            <w:tcW w:w="759" w:type="dxa"/>
            <w:tcBorders>
              <w:top w:val="single" w:color="000000" w:sz="6" w:space="0"/>
              <w:right w:val="single" w:color="000000" w:sz="6" w:space="0"/>
            </w:tcBorders>
          </w:tcPr>
          <w:p>
            <w:pPr>
              <w:pStyle w:val="20"/>
              <w:spacing w:before="73"/>
              <w:ind w:left="48"/>
              <w:jc w:val="center"/>
              <w:rPr>
                <w:rFonts w:hint="eastAsia" w:ascii="宋体" w:hAnsi="宋体" w:eastAsia="宋体" w:cs="宋体"/>
                <w:sz w:val="24"/>
                <w:szCs w:val="24"/>
              </w:rPr>
            </w:pPr>
            <w:r>
              <w:rPr>
                <w:rFonts w:hint="eastAsia" w:ascii="宋体" w:hAnsi="宋体" w:eastAsia="宋体" w:cs="宋体"/>
                <w:sz w:val="24"/>
                <w:szCs w:val="24"/>
              </w:rPr>
              <w:t>…</w:t>
            </w:r>
          </w:p>
        </w:tc>
        <w:tc>
          <w:tcPr>
            <w:tcW w:w="1189" w:type="dxa"/>
            <w:tcBorders>
              <w:top w:val="single" w:color="000000" w:sz="6" w:space="0"/>
              <w:left w:val="single" w:color="000000" w:sz="6" w:space="0"/>
              <w:right w:val="single" w:color="000000" w:sz="6" w:space="0"/>
            </w:tcBorders>
          </w:tcPr>
          <w:p>
            <w:pPr>
              <w:pStyle w:val="20"/>
              <w:rPr>
                <w:rFonts w:hint="eastAsia" w:ascii="宋体" w:hAnsi="宋体" w:eastAsia="宋体" w:cs="宋体"/>
                <w:sz w:val="24"/>
                <w:szCs w:val="24"/>
              </w:rPr>
            </w:pPr>
          </w:p>
        </w:tc>
        <w:tc>
          <w:tcPr>
            <w:tcW w:w="1978" w:type="dxa"/>
            <w:tcBorders>
              <w:top w:val="single" w:color="000000" w:sz="6" w:space="0"/>
              <w:left w:val="single" w:color="000000" w:sz="6" w:space="0"/>
              <w:right w:val="single" w:color="000000" w:sz="6" w:space="0"/>
            </w:tcBorders>
          </w:tcPr>
          <w:p>
            <w:pPr>
              <w:pStyle w:val="20"/>
              <w:rPr>
                <w:rFonts w:hint="eastAsia" w:ascii="宋体" w:hAnsi="宋体" w:eastAsia="宋体" w:cs="宋体"/>
                <w:sz w:val="24"/>
                <w:szCs w:val="24"/>
              </w:rPr>
            </w:pPr>
          </w:p>
        </w:tc>
        <w:tc>
          <w:tcPr>
            <w:tcW w:w="2130" w:type="dxa"/>
            <w:tcBorders>
              <w:top w:val="single" w:color="000000" w:sz="6" w:space="0"/>
              <w:left w:val="single" w:color="000000" w:sz="6" w:space="0"/>
              <w:right w:val="single" w:color="000000" w:sz="6" w:space="0"/>
            </w:tcBorders>
          </w:tcPr>
          <w:p>
            <w:pPr>
              <w:pStyle w:val="20"/>
              <w:rPr>
                <w:rFonts w:hint="eastAsia" w:ascii="宋体" w:hAnsi="宋体" w:eastAsia="宋体" w:cs="宋体"/>
                <w:sz w:val="24"/>
                <w:szCs w:val="24"/>
              </w:rPr>
            </w:pPr>
          </w:p>
        </w:tc>
        <w:tc>
          <w:tcPr>
            <w:tcW w:w="1468" w:type="dxa"/>
            <w:tcBorders>
              <w:top w:val="single" w:color="000000" w:sz="6" w:space="0"/>
              <w:left w:val="single" w:color="000000" w:sz="6" w:space="0"/>
              <w:right w:val="single" w:color="000000" w:sz="6" w:space="0"/>
            </w:tcBorders>
          </w:tcPr>
          <w:p>
            <w:pPr>
              <w:pStyle w:val="20"/>
              <w:rPr>
                <w:rFonts w:hint="eastAsia" w:ascii="宋体" w:hAnsi="宋体" w:eastAsia="宋体" w:cs="宋体"/>
                <w:sz w:val="24"/>
                <w:szCs w:val="24"/>
              </w:rPr>
            </w:pPr>
          </w:p>
        </w:tc>
        <w:tc>
          <w:tcPr>
            <w:tcW w:w="1683" w:type="dxa"/>
            <w:tcBorders>
              <w:top w:val="single" w:color="000000" w:sz="6" w:space="0"/>
              <w:left w:val="single" w:color="000000" w:sz="6" w:space="0"/>
            </w:tcBorders>
          </w:tcPr>
          <w:p>
            <w:pPr>
              <w:pStyle w:val="20"/>
              <w:rPr>
                <w:rFonts w:hint="eastAsia" w:ascii="宋体" w:hAnsi="宋体" w:eastAsia="宋体" w:cs="宋体"/>
                <w:sz w:val="24"/>
                <w:szCs w:val="24"/>
              </w:rPr>
            </w:pPr>
          </w:p>
        </w:tc>
      </w:tr>
    </w:tbl>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名称（盖公章）：</w:t>
      </w:r>
    </w:p>
    <w:p>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keepNext w:val="0"/>
        <w:keepLines w:val="0"/>
        <w:widowControl/>
        <w:suppressLineNumbers w:val="0"/>
        <w:jc w:val="left"/>
        <w:rPr>
          <w:rFonts w:hint="default"/>
          <w:lang w:val="en-US"/>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12</w:t>
      </w:r>
    </w:p>
    <w:p>
      <w:pPr>
        <w:keepNext w:val="0"/>
        <w:keepLines w:val="0"/>
        <w:widowControl/>
        <w:suppressLineNumbers w:val="0"/>
        <w:jc w:val="center"/>
        <w:rPr>
          <w:rFonts w:ascii="微软雅黑" w:hAnsi="微软雅黑" w:eastAsia="微软雅黑" w:cs="微软雅黑"/>
          <w:b/>
          <w:bCs/>
          <w:color w:val="000000"/>
          <w:kern w:val="0"/>
          <w:sz w:val="52"/>
          <w:szCs w:val="52"/>
          <w:lang w:val="en-US" w:eastAsia="zh-CN" w:bidi="ar"/>
        </w:rPr>
      </w:pPr>
      <w:r>
        <w:rPr>
          <w:rFonts w:hint="eastAsia" w:ascii="宋体" w:hAnsi="宋体" w:eastAsia="宋体" w:cs="宋体"/>
          <w:b/>
          <w:bCs/>
          <w:color w:val="000000"/>
          <w:kern w:val="0"/>
          <w:sz w:val="52"/>
          <w:szCs w:val="52"/>
          <w:lang w:val="en-US" w:eastAsia="zh-CN" w:bidi="ar"/>
        </w:rPr>
        <w:t>项目名称</w:t>
      </w:r>
    </w:p>
    <w:p>
      <w:pPr>
        <w:pStyle w:val="14"/>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项目编号：</w:t>
      </w:r>
    </w:p>
    <w:p>
      <w:pPr>
        <w:keepNext w:val="0"/>
        <w:keepLines w:val="0"/>
        <w:widowControl/>
        <w:suppressLineNumbers w:val="0"/>
        <w:jc w:val="center"/>
        <w:rPr>
          <w:rFonts w:hint="eastAsia" w:ascii="微软雅黑" w:hAnsi="微软雅黑" w:eastAsia="微软雅黑" w:cs="微软雅黑"/>
          <w:b/>
          <w:sz w:val="28"/>
          <w:szCs w:val="24"/>
          <w:lang w:val="en-US" w:eastAsia="zh-CN" w:bidi="zh-CN"/>
        </w:rPr>
      </w:pP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响</w:t>
      </w: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应</w:t>
      </w: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文</w:t>
      </w:r>
    </w:p>
    <w:p>
      <w:pPr>
        <w:pStyle w:val="14"/>
        <w:keepNext w:val="0"/>
        <w:keepLines w:val="0"/>
        <w:pageBreakBefore w:val="0"/>
        <w:widowControl w:val="0"/>
        <w:kinsoku/>
        <w:wordWrap/>
        <w:overflowPunct/>
        <w:topLinePunct w:val="0"/>
        <w:autoSpaceDE w:val="0"/>
        <w:autoSpaceDN w:val="0"/>
        <w:bidi w:val="0"/>
        <w:adjustRightInd/>
        <w:snapToGrid/>
        <w:ind w:firstLine="3360" w:firstLineChars="400"/>
        <w:jc w:val="both"/>
        <w:textAlignment w:val="auto"/>
        <w:rPr>
          <w:rFonts w:hint="eastAsia" w:ascii="微软雅黑" w:hAnsi="微软雅黑" w:eastAsia="微软雅黑" w:cs="微软雅黑"/>
          <w:color w:val="000000"/>
          <w:kern w:val="0"/>
          <w:sz w:val="84"/>
          <w:szCs w:val="84"/>
          <w:lang w:val="en-US" w:eastAsia="zh-CN" w:bidi="ar"/>
        </w:rPr>
      </w:pPr>
      <w:r>
        <w:rPr>
          <w:rFonts w:hint="eastAsia" w:ascii="微软雅黑" w:hAnsi="微软雅黑" w:eastAsia="微软雅黑" w:cs="微软雅黑"/>
          <w:color w:val="000000"/>
          <w:kern w:val="0"/>
          <w:sz w:val="84"/>
          <w:szCs w:val="84"/>
          <w:lang w:val="en-US" w:eastAsia="zh-CN" w:bidi="ar"/>
        </w:rPr>
        <w:t>件</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（报价文件）</w:t>
      </w:r>
    </w:p>
    <w:p>
      <w:pPr>
        <w:pStyle w:val="12"/>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ascii="微软雅黑" w:hAnsi="微软雅黑" w:eastAsia="微软雅黑" w:cs="微软雅黑"/>
          <w:color w:val="000000"/>
          <w:kern w:val="0"/>
          <w:sz w:val="36"/>
          <w:szCs w:val="36"/>
          <w:lang w:val="en-US" w:eastAsia="zh-CN" w:bidi="ar"/>
        </w:rPr>
        <w:t xml:space="preserve">供应商名称（盖公章）：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pPr>
      <w:r>
        <w:rPr>
          <w:rFonts w:hint="eastAsia" w:ascii="微软雅黑" w:hAnsi="微软雅黑" w:eastAsia="微软雅黑" w:cs="微软雅黑"/>
          <w:color w:val="000000"/>
          <w:kern w:val="0"/>
          <w:sz w:val="36"/>
          <w:szCs w:val="36"/>
          <w:lang w:val="en-US" w:eastAsia="zh-CN" w:bidi="ar"/>
        </w:rPr>
        <w:t xml:space="preserve">地 址： </w:t>
      </w:r>
    </w:p>
    <w:p>
      <w:pPr>
        <w:keepNext w:val="0"/>
        <w:keepLines w:val="0"/>
        <w:pageBreakBefore w:val="0"/>
        <w:widowControl/>
        <w:suppressLineNumbers w:val="0"/>
        <w:kinsoku/>
        <w:wordWrap/>
        <w:overflowPunct/>
        <w:topLinePunct w:val="0"/>
        <w:autoSpaceDE w:val="0"/>
        <w:autoSpaceDN w:val="0"/>
        <w:bidi w:val="0"/>
        <w:adjustRightInd/>
        <w:snapToGrid/>
        <w:spacing w:line="720" w:lineRule="auto"/>
        <w:jc w:val="left"/>
        <w:textAlignment w:val="auto"/>
        <w:rPr>
          <w:rFonts w:hint="eastAsia" w:ascii="微软雅黑" w:hAnsi="微软雅黑" w:eastAsia="微软雅黑" w:cs="微软雅黑"/>
          <w:color w:val="000000"/>
          <w:kern w:val="0"/>
          <w:sz w:val="36"/>
          <w:szCs w:val="36"/>
          <w:lang w:val="en-US" w:eastAsia="zh-CN" w:bidi="ar"/>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000000"/>
          <w:kern w:val="0"/>
          <w:sz w:val="36"/>
          <w:szCs w:val="36"/>
          <w:lang w:val="en-US" w:eastAsia="zh-CN" w:bidi="ar"/>
        </w:rPr>
        <w:t>时 间：</w:t>
      </w:r>
    </w:p>
    <w:p>
      <w:pPr>
        <w:pStyle w:val="5"/>
        <w:spacing w:line="583" w:lineRule="exact"/>
        <w:ind w:left="1935" w:right="1850"/>
        <w:jc w:val="center"/>
        <w:rPr>
          <w:rFonts w:hint="eastAsia" w:ascii="宋体" w:hAnsi="宋体" w:eastAsia="宋体" w:cs="宋体"/>
          <w:sz w:val="24"/>
          <w:szCs w:val="24"/>
        </w:rPr>
      </w:pPr>
      <w:r>
        <w:rPr>
          <w:rFonts w:hint="eastAsia" w:ascii="宋体" w:hAnsi="宋体" w:eastAsia="宋体" w:cs="宋体"/>
          <w:sz w:val="24"/>
          <w:szCs w:val="24"/>
        </w:rPr>
        <w:t>报价文件目录</w:t>
      </w:r>
    </w:p>
    <w:p>
      <w:pPr>
        <w:pStyle w:val="8"/>
        <w:rPr>
          <w:rFonts w:hint="eastAsia" w:ascii="宋体" w:hAnsi="宋体" w:eastAsia="宋体" w:cs="宋体"/>
          <w:b/>
          <w:sz w:val="24"/>
          <w:szCs w:val="24"/>
        </w:rPr>
      </w:pPr>
    </w:p>
    <w:p>
      <w:pPr>
        <w:pStyle w:val="8"/>
        <w:rPr>
          <w:rFonts w:hint="eastAsia" w:ascii="宋体" w:hAnsi="宋体" w:eastAsia="宋体" w:cs="宋体"/>
          <w:b/>
          <w:sz w:val="24"/>
          <w:szCs w:val="24"/>
        </w:rPr>
      </w:pPr>
    </w:p>
    <w:p>
      <w:pPr>
        <w:pStyle w:val="8"/>
        <w:spacing w:before="5"/>
        <w:rPr>
          <w:rFonts w:hint="eastAsia" w:ascii="宋体" w:hAnsi="宋体" w:eastAsia="宋体" w:cs="宋体"/>
          <w:b/>
          <w:sz w:val="24"/>
          <w:szCs w:val="24"/>
        </w:rPr>
      </w:pP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5"/>
          <w:sz w:val="24"/>
          <w:szCs w:val="24"/>
        </w:rPr>
        <w:t>、谈判响应函；</w:t>
      </w:r>
    </w:p>
    <w:p>
      <w:pPr>
        <w:keepNext w:val="0"/>
        <w:keepLines w:val="0"/>
        <w:pageBreakBefore w:val="0"/>
        <w:widowControl w:val="0"/>
        <w:kinsoku/>
        <w:wordWrap/>
        <w:overflowPunct/>
        <w:topLinePunct w:val="0"/>
        <w:autoSpaceDE w:val="0"/>
        <w:autoSpaceDN w:val="0"/>
        <w:bidi w:val="0"/>
        <w:adjustRightInd/>
        <w:snapToGrid/>
        <w:spacing w:before="0" w:line="480" w:lineRule="auto"/>
        <w:ind w:left="0" w:right="0"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5"/>
          <w:sz w:val="24"/>
          <w:szCs w:val="24"/>
        </w:rPr>
        <w:t>、报价一览表</w:t>
      </w:r>
      <w:r>
        <w:rPr>
          <w:rFonts w:hint="eastAsia" w:ascii="宋体" w:hAnsi="宋体" w:eastAsia="宋体" w:cs="宋体"/>
          <w:spacing w:val="-5"/>
          <w:sz w:val="24"/>
          <w:szCs w:val="24"/>
          <w:lang w:eastAsia="zh-CN"/>
        </w:rPr>
        <w:t>（第一次报价）</w:t>
      </w:r>
      <w:r>
        <w:rPr>
          <w:rFonts w:hint="eastAsia" w:ascii="宋体" w:hAnsi="宋体" w:eastAsia="宋体" w:cs="宋体"/>
          <w:spacing w:val="-5"/>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480" w:lineRule="auto"/>
        <w:ind w:left="0" w:firstLine="480" w:firstLineChars="200"/>
        <w:textAlignment w:val="auto"/>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widowControl/>
        <w:suppressLineNumbers w:val="0"/>
        <w:jc w:val="left"/>
        <w:rPr>
          <w:rFonts w:hint="default"/>
          <w:lang w:val="en-US"/>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13</w:t>
      </w:r>
    </w:p>
    <w:p>
      <w:pPr>
        <w:spacing w:before="0"/>
        <w:ind w:left="1099" w:right="0" w:firstLine="0"/>
        <w:jc w:val="center"/>
        <w:rPr>
          <w:rFonts w:hint="eastAsia" w:ascii="宋体" w:hAnsi="宋体" w:eastAsia="宋体" w:cs="宋体"/>
          <w:b/>
          <w:sz w:val="28"/>
          <w:szCs w:val="28"/>
        </w:rPr>
      </w:pPr>
      <w:r>
        <w:rPr>
          <w:rFonts w:hint="eastAsia" w:ascii="宋体" w:hAnsi="宋体" w:eastAsia="宋体" w:cs="宋体"/>
          <w:b/>
          <w:sz w:val="28"/>
          <w:szCs w:val="28"/>
        </w:rPr>
        <w:t>谈判响应函</w:t>
      </w:r>
    </w:p>
    <w:p>
      <w:pPr>
        <w:pStyle w:val="14"/>
        <w:rPr>
          <w:rFonts w:hint="eastAsia"/>
        </w:rPr>
      </w:pP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right="0"/>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温岭市石塘镇人民政府</w:t>
      </w:r>
    </w:p>
    <w:p>
      <w:pPr>
        <w:pStyle w:val="8"/>
        <w:keepNext w:val="0"/>
        <w:keepLines w:val="0"/>
        <w:pageBreakBefore w:val="0"/>
        <w:widowControl w:val="0"/>
        <w:tabs>
          <w:tab w:val="left" w:pos="4099"/>
          <w:tab w:val="left" w:pos="6539"/>
          <w:tab w:val="left" w:pos="8114"/>
          <w:tab w:val="left" w:pos="9568"/>
        </w:tabs>
        <w:kinsoku/>
        <w:wordWrap/>
        <w:overflowPunct/>
        <w:topLinePunct w:val="0"/>
        <w:autoSpaceDE w:val="0"/>
        <w:autoSpaceDN w:val="0"/>
        <w:bidi w:val="0"/>
        <w:adjustRightInd/>
        <w:snapToGrid/>
        <w:spacing w:before="0" w:line="40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（供应商名称）授权</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pacing w:val="4"/>
          <w:sz w:val="24"/>
          <w:szCs w:val="24"/>
        </w:rPr>
        <w:t>（全权代表姓名</w:t>
      </w:r>
      <w:r>
        <w:rPr>
          <w:rFonts w:hint="eastAsia" w:ascii="宋体" w:hAnsi="宋体" w:eastAsia="宋体" w:cs="宋体"/>
          <w:sz w:val="24"/>
          <w:szCs w:val="24"/>
        </w:rPr>
        <w:t>、职务）为全权代表，参加贵单位组织的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7"/>
          <w:sz w:val="24"/>
          <w:szCs w:val="24"/>
        </w:rPr>
        <w:t>招</w:t>
      </w:r>
      <w:r>
        <w:rPr>
          <w:rFonts w:hint="eastAsia" w:ascii="宋体" w:hAnsi="宋体" w:eastAsia="宋体" w:cs="宋体"/>
          <w:sz w:val="24"/>
          <w:szCs w:val="24"/>
        </w:rPr>
        <w:t>标的有关活动，并进行</w:t>
      </w:r>
      <w:r>
        <w:rPr>
          <w:rFonts w:hint="eastAsia" w:ascii="宋体" w:hAnsi="宋体" w:eastAsia="宋体" w:cs="宋体"/>
          <w:sz w:val="24"/>
          <w:szCs w:val="24"/>
          <w:lang w:eastAsia="zh-CN"/>
        </w:rPr>
        <w:t>谈判响应</w:t>
      </w:r>
      <w:r>
        <w:rPr>
          <w:rFonts w:hint="eastAsia" w:ascii="宋体" w:hAnsi="宋体" w:eastAsia="宋体" w:cs="宋体"/>
          <w:sz w:val="24"/>
          <w:szCs w:val="24"/>
        </w:rPr>
        <w:t>。为此：</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l、提供供应商须知规定的全部谈判响应文件。</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2、我方的</w:t>
      </w:r>
      <w:r>
        <w:rPr>
          <w:rFonts w:hint="eastAsia" w:ascii="宋体" w:hAnsi="宋体" w:eastAsia="宋体" w:cs="宋体"/>
          <w:sz w:val="24"/>
          <w:szCs w:val="24"/>
          <w:lang w:eastAsia="zh-CN"/>
        </w:rPr>
        <w:t>谈判响应</w:t>
      </w:r>
      <w:r>
        <w:rPr>
          <w:rFonts w:hint="eastAsia" w:ascii="宋体" w:hAnsi="宋体" w:eastAsia="宋体" w:cs="宋体"/>
          <w:sz w:val="24"/>
          <w:szCs w:val="24"/>
        </w:rPr>
        <w:t>报价</w:t>
      </w:r>
      <w:r>
        <w:rPr>
          <w:rFonts w:hint="eastAsia" w:ascii="宋体" w:hAnsi="宋体" w:eastAsia="宋体" w:cs="宋体"/>
          <w:sz w:val="24"/>
          <w:szCs w:val="24"/>
          <w:u w:val="single"/>
        </w:rPr>
        <w:t>详见报价一览表</w:t>
      </w:r>
      <w:r>
        <w:rPr>
          <w:rFonts w:hint="eastAsia" w:ascii="宋体" w:hAnsi="宋体" w:eastAsia="宋体" w:cs="宋体"/>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10"/>
          <w:sz w:val="24"/>
          <w:szCs w:val="24"/>
        </w:rPr>
        <w:t>、我方已详细审查全部</w:t>
      </w:r>
      <w:r>
        <w:rPr>
          <w:rFonts w:hint="eastAsia" w:ascii="宋体" w:hAnsi="宋体" w:eastAsia="宋体" w:cs="宋体"/>
          <w:spacing w:val="-10"/>
          <w:sz w:val="24"/>
          <w:szCs w:val="24"/>
          <w:lang w:eastAsia="zh-CN"/>
        </w:rPr>
        <w:t>谈判文件</w:t>
      </w:r>
      <w:r>
        <w:rPr>
          <w:rFonts w:hint="eastAsia" w:ascii="宋体" w:hAnsi="宋体" w:eastAsia="宋体" w:cs="宋体"/>
          <w:spacing w:val="-10"/>
          <w:sz w:val="24"/>
          <w:szCs w:val="24"/>
        </w:rPr>
        <w:t>，完全同意</w:t>
      </w:r>
      <w:r>
        <w:rPr>
          <w:rFonts w:hint="eastAsia" w:ascii="宋体" w:hAnsi="宋体" w:eastAsia="宋体" w:cs="宋体"/>
          <w:spacing w:val="-10"/>
          <w:sz w:val="24"/>
          <w:szCs w:val="24"/>
          <w:lang w:eastAsia="zh-CN"/>
        </w:rPr>
        <w:t>谈判文件</w:t>
      </w:r>
      <w:r>
        <w:rPr>
          <w:rFonts w:hint="eastAsia" w:ascii="宋体" w:hAnsi="宋体" w:eastAsia="宋体" w:cs="宋体"/>
          <w:spacing w:val="-10"/>
          <w:sz w:val="24"/>
          <w:szCs w:val="24"/>
        </w:rPr>
        <w:t>中的各项要求，保证遵守</w:t>
      </w:r>
      <w:r>
        <w:rPr>
          <w:rFonts w:hint="eastAsia" w:ascii="宋体" w:hAnsi="宋体" w:eastAsia="宋体" w:cs="宋体"/>
          <w:spacing w:val="-10"/>
          <w:sz w:val="24"/>
          <w:szCs w:val="24"/>
          <w:lang w:eastAsia="zh-CN"/>
        </w:rPr>
        <w:t>谈判文件</w:t>
      </w:r>
      <w:r>
        <w:rPr>
          <w:rFonts w:hint="eastAsia" w:ascii="宋体" w:hAnsi="宋体" w:eastAsia="宋体" w:cs="宋体"/>
          <w:spacing w:val="-10"/>
          <w:sz w:val="24"/>
          <w:szCs w:val="24"/>
        </w:rPr>
        <w:t>中的有关规定和相关标准，对</w:t>
      </w:r>
      <w:r>
        <w:rPr>
          <w:rFonts w:hint="eastAsia" w:ascii="宋体" w:hAnsi="宋体" w:eastAsia="宋体" w:cs="宋体"/>
          <w:spacing w:val="-10"/>
          <w:sz w:val="24"/>
          <w:szCs w:val="24"/>
          <w:lang w:eastAsia="zh-CN"/>
        </w:rPr>
        <w:t>谈判文件</w:t>
      </w:r>
      <w:r>
        <w:rPr>
          <w:rFonts w:hint="eastAsia" w:ascii="宋体" w:hAnsi="宋体" w:eastAsia="宋体" w:cs="宋体"/>
          <w:spacing w:val="-10"/>
          <w:sz w:val="24"/>
          <w:szCs w:val="24"/>
        </w:rPr>
        <w:t>的合理性、合法性不再有异议。</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10"/>
          <w:sz w:val="24"/>
          <w:szCs w:val="24"/>
        </w:rPr>
        <w:t>、若中标，本谈判响应文件至本项目合同履行完毕止均保持有效，我方将按</w:t>
      </w:r>
      <w:r>
        <w:rPr>
          <w:rFonts w:hint="eastAsia" w:ascii="宋体" w:hAnsi="宋体" w:eastAsia="宋体" w:cs="宋体"/>
          <w:spacing w:val="-10"/>
          <w:sz w:val="24"/>
          <w:szCs w:val="24"/>
          <w:lang w:eastAsia="zh-CN"/>
        </w:rPr>
        <w:t>谈判文件</w:t>
      </w:r>
      <w:r>
        <w:rPr>
          <w:rFonts w:hint="eastAsia" w:ascii="宋体" w:hAnsi="宋体" w:eastAsia="宋体" w:cs="宋体"/>
          <w:spacing w:val="-10"/>
          <w:sz w:val="24"/>
          <w:szCs w:val="24"/>
        </w:rPr>
        <w:t>规定履行合同责任和义务。</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5、谈判响应文件自开标之日起有效期为 90 天。</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10"/>
          <w:sz w:val="24"/>
          <w:szCs w:val="24"/>
        </w:rPr>
        <w:t>、我方同意提供按照贵方可能要求的与本项</w:t>
      </w:r>
      <w:r>
        <w:rPr>
          <w:rFonts w:hint="eastAsia" w:ascii="宋体" w:hAnsi="宋体" w:eastAsia="宋体" w:cs="宋体"/>
          <w:spacing w:val="-10"/>
          <w:sz w:val="24"/>
          <w:szCs w:val="24"/>
          <w:lang w:eastAsia="zh-CN"/>
        </w:rPr>
        <w:t>谈判响应</w:t>
      </w:r>
      <w:r>
        <w:rPr>
          <w:rFonts w:hint="eastAsia" w:ascii="宋体" w:hAnsi="宋体" w:eastAsia="宋体" w:cs="宋体"/>
          <w:spacing w:val="-10"/>
          <w:sz w:val="24"/>
          <w:szCs w:val="24"/>
        </w:rPr>
        <w:t>有关的一切数据或资料，并保证其真实性、合法性。</w:t>
      </w:r>
    </w:p>
    <w:p>
      <w:pPr>
        <w:pStyle w:val="8"/>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pacing w:val="-17"/>
          <w:sz w:val="24"/>
          <w:szCs w:val="24"/>
        </w:rPr>
      </w:pPr>
      <w:r>
        <w:rPr>
          <w:rFonts w:hint="eastAsia" w:ascii="宋体" w:hAnsi="宋体" w:eastAsia="宋体" w:cs="宋体"/>
          <w:sz w:val="24"/>
          <w:szCs w:val="24"/>
        </w:rPr>
        <w:t>7、我方与本次</w:t>
      </w:r>
      <w:r>
        <w:rPr>
          <w:rFonts w:hint="eastAsia" w:ascii="宋体" w:hAnsi="宋体" w:eastAsia="宋体" w:cs="宋体"/>
          <w:sz w:val="24"/>
          <w:szCs w:val="24"/>
          <w:lang w:eastAsia="zh-CN"/>
        </w:rPr>
        <w:t>谈判响应</w:t>
      </w:r>
      <w:r>
        <w:rPr>
          <w:rFonts w:hint="eastAsia" w:ascii="宋体" w:hAnsi="宋体" w:eastAsia="宋体" w:cs="宋体"/>
          <w:sz w:val="24"/>
          <w:szCs w:val="24"/>
        </w:rPr>
        <w:t>有关的一切正式来往通讯请寄</w:t>
      </w:r>
      <w:r>
        <w:rPr>
          <w:rFonts w:hint="eastAsia" w:ascii="宋体" w:hAnsi="宋体" w:eastAsia="宋体" w:cs="宋体"/>
          <w:spacing w:val="-17"/>
          <w:sz w:val="24"/>
          <w:szCs w:val="24"/>
        </w:rPr>
        <w:t xml:space="preserve">： </w:t>
      </w:r>
    </w:p>
    <w:p>
      <w:pPr>
        <w:pStyle w:val="8"/>
        <w:keepNext w:val="0"/>
        <w:keepLines w:val="0"/>
        <w:pageBreakBefore w:val="0"/>
        <w:widowControl w:val="0"/>
        <w:tabs>
          <w:tab w:val="left" w:pos="4455"/>
        </w:tabs>
        <w:kinsoku/>
        <w:wordWrap/>
        <w:overflowPunct/>
        <w:topLinePunct w:val="0"/>
        <w:autoSpaceDE w:val="0"/>
        <w:autoSpaceDN w:val="0"/>
        <w:bidi w:val="0"/>
        <w:adjustRightInd/>
        <w:snapToGrid/>
        <w:spacing w:before="0" w:line="400" w:lineRule="exact"/>
        <w:ind w:left="0" w:right="0" w:firstLine="468" w:firstLineChars="200"/>
        <w:textAlignment w:val="auto"/>
        <w:rPr>
          <w:rFonts w:hint="default" w:ascii="宋体" w:hAnsi="宋体" w:eastAsia="宋体" w:cs="宋体"/>
          <w:sz w:val="24"/>
          <w:szCs w:val="24"/>
          <w:lang w:val="en-US" w:eastAsia="zh-CN"/>
        </w:rPr>
      </w:pPr>
      <w:r>
        <w:rPr>
          <w:rFonts w:hint="eastAsia" w:ascii="宋体" w:hAnsi="宋体" w:eastAsia="宋体" w:cs="宋体"/>
          <w:spacing w:val="-3"/>
          <w:sz w:val="24"/>
          <w:szCs w:val="24"/>
        </w:rPr>
        <w:t>联</w:t>
      </w:r>
      <w:r>
        <w:rPr>
          <w:rFonts w:hint="eastAsia" w:ascii="宋体" w:hAnsi="宋体" w:eastAsia="宋体" w:cs="宋体"/>
          <w:spacing w:val="-1"/>
          <w:sz w:val="24"/>
          <w:szCs w:val="24"/>
        </w:rPr>
        <w:t>系</w:t>
      </w:r>
      <w:r>
        <w:rPr>
          <w:rFonts w:hint="eastAsia" w:ascii="宋体" w:hAnsi="宋体" w:eastAsia="宋体" w:cs="宋体"/>
          <w:sz w:val="24"/>
          <w:szCs w:val="24"/>
        </w:rPr>
        <w:t>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pStyle w:val="8"/>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68" w:firstLineChars="200"/>
        <w:textAlignment w:val="auto"/>
        <w:rPr>
          <w:rFonts w:hint="eastAsia" w:ascii="宋体" w:hAnsi="宋体" w:eastAsia="宋体" w:cs="宋体"/>
          <w:sz w:val="24"/>
          <w:szCs w:val="24"/>
          <w:u w:val="single"/>
        </w:rPr>
      </w:pPr>
      <w:r>
        <w:rPr>
          <w:rFonts w:hint="eastAsia" w:ascii="宋体" w:hAnsi="宋体" w:eastAsia="宋体" w:cs="宋体"/>
          <w:spacing w:val="-3"/>
          <w:sz w:val="24"/>
          <w:szCs w:val="24"/>
        </w:rPr>
        <w:t>联</w:t>
      </w:r>
      <w:r>
        <w:rPr>
          <w:rFonts w:hint="eastAsia" w:ascii="宋体" w:hAnsi="宋体" w:eastAsia="宋体" w:cs="宋体"/>
          <w:spacing w:val="-1"/>
          <w:sz w:val="24"/>
          <w:szCs w:val="24"/>
        </w:rPr>
        <w:t>系</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8"/>
        <w:keepNext w:val="0"/>
        <w:keepLines w:val="0"/>
        <w:pageBreakBefore w:val="0"/>
        <w:widowControl w:val="0"/>
        <w:tabs>
          <w:tab w:val="left" w:pos="5895"/>
        </w:tabs>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供应商名称（单位公章）：</w:t>
      </w:r>
    </w:p>
    <w:p>
      <w:pPr>
        <w:pStyle w:val="8"/>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法定代表人或委托代理人（签字或盖章</w:t>
      </w:r>
      <w:r>
        <w:rPr>
          <w:rFonts w:hint="eastAsia" w:ascii="宋体" w:hAnsi="宋体" w:eastAsia="宋体" w:cs="宋体"/>
          <w:spacing w:val="-14"/>
          <w:sz w:val="24"/>
          <w:szCs w:val="24"/>
        </w:rPr>
        <w:t xml:space="preserve">）： </w:t>
      </w:r>
    </w:p>
    <w:p>
      <w:pPr>
        <w:pStyle w:val="8"/>
        <w:keepNext w:val="0"/>
        <w:keepLines w:val="0"/>
        <w:pageBreakBefore w:val="0"/>
        <w:widowControl w:val="0"/>
        <w:tabs>
          <w:tab w:val="left" w:pos="2539"/>
          <w:tab w:val="left" w:pos="3499"/>
          <w:tab w:val="left" w:pos="4459"/>
        </w:tabs>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12"/>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default"/>
          <w:lang w:val="en-US"/>
        </w:rPr>
      </w:pPr>
      <w:r>
        <w:rPr>
          <w:rFonts w:ascii="微软雅黑" w:hAnsi="微软雅黑" w:eastAsia="微软雅黑" w:cs="微软雅黑"/>
          <w:b/>
          <w:bCs/>
          <w:color w:val="000000"/>
          <w:kern w:val="0"/>
          <w:sz w:val="28"/>
          <w:szCs w:val="28"/>
          <w:lang w:val="en-US" w:eastAsia="zh-CN" w:bidi="ar"/>
        </w:rPr>
        <w:t>附件</w:t>
      </w:r>
      <w:r>
        <w:rPr>
          <w:rFonts w:hint="eastAsia" w:cs="微软雅黑"/>
          <w:b/>
          <w:bCs/>
          <w:color w:val="000000"/>
          <w:kern w:val="0"/>
          <w:sz w:val="28"/>
          <w:szCs w:val="28"/>
          <w:lang w:val="en-US" w:eastAsia="zh-CN" w:bidi="ar"/>
        </w:rPr>
        <w:t>14</w:t>
      </w:r>
    </w:p>
    <w:p>
      <w:pPr>
        <w:pStyle w:val="8"/>
        <w:rPr>
          <w:rFonts w:hint="eastAsia" w:ascii="宋体" w:hAnsi="宋体" w:eastAsia="宋体" w:cs="宋体"/>
          <w:b/>
          <w:sz w:val="24"/>
          <w:szCs w:val="24"/>
        </w:rPr>
      </w:pPr>
    </w:p>
    <w:p>
      <w:pPr>
        <w:pStyle w:val="8"/>
        <w:spacing w:before="17"/>
        <w:rPr>
          <w:rFonts w:hint="eastAsia" w:ascii="宋体" w:hAnsi="宋体" w:eastAsia="宋体" w:cs="宋体"/>
          <w:b/>
          <w:sz w:val="24"/>
          <w:szCs w:val="24"/>
        </w:rPr>
      </w:pPr>
    </w:p>
    <w:p>
      <w:pPr>
        <w:spacing w:before="16"/>
        <w:ind w:left="2262" w:right="1850" w:firstLine="0"/>
        <w:jc w:val="center"/>
        <w:rPr>
          <w:rFonts w:hint="eastAsia" w:ascii="宋体" w:hAnsi="宋体" w:eastAsia="宋体" w:cs="宋体"/>
          <w:b/>
          <w:sz w:val="28"/>
          <w:szCs w:val="28"/>
          <w:lang w:eastAsia="zh-CN"/>
        </w:rPr>
      </w:pPr>
      <w:r>
        <w:rPr>
          <w:rFonts w:hint="eastAsia" w:ascii="宋体" w:hAnsi="宋体" w:eastAsia="宋体" w:cs="宋体"/>
          <w:b/>
          <w:sz w:val="28"/>
          <w:szCs w:val="28"/>
        </w:rPr>
        <w:t>开标一览表</w:t>
      </w:r>
      <w:r>
        <w:rPr>
          <w:rFonts w:hint="eastAsia" w:ascii="宋体" w:hAnsi="宋体" w:eastAsia="宋体" w:cs="宋体"/>
          <w:b/>
          <w:sz w:val="28"/>
          <w:szCs w:val="28"/>
          <w:lang w:eastAsia="zh-CN"/>
        </w:rPr>
        <w:t>（第一次报价）</w:t>
      </w:r>
    </w:p>
    <w:p>
      <w:pPr>
        <w:pStyle w:val="8"/>
        <w:spacing w:before="14"/>
        <w:rPr>
          <w:rFonts w:hint="eastAsia" w:ascii="宋体" w:hAnsi="宋体" w:eastAsia="宋体" w:cs="宋体"/>
          <w:b/>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宋体" w:hAnsi="宋体" w:eastAsia="宋体" w:cs="宋体"/>
          <w:sz w:val="24"/>
          <w:szCs w:val="24"/>
        </w:rPr>
      </w:pPr>
      <w:r>
        <w:rPr>
          <w:rFonts w:hint="eastAsia" w:ascii="宋体" w:hAnsi="宋体" w:eastAsia="宋体" w:cs="宋体"/>
          <w:sz w:val="24"/>
          <w:szCs w:val="24"/>
        </w:rPr>
        <w:t>项目编号：</w:t>
      </w:r>
    </w:p>
    <w:p>
      <w:pPr>
        <w:pStyle w:val="8"/>
        <w:keepNext w:val="0"/>
        <w:keepLines w:val="0"/>
        <w:pageBreakBefore w:val="0"/>
        <w:widowControl w:val="0"/>
        <w:kinsoku/>
        <w:wordWrap/>
        <w:overflowPunct/>
        <w:topLinePunct w:val="0"/>
        <w:autoSpaceDE w:val="0"/>
        <w:autoSpaceDN w:val="0"/>
        <w:bidi w:val="0"/>
        <w:adjustRightInd/>
        <w:snapToGrid/>
        <w:spacing w:before="0"/>
        <w:ind w:left="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p>
    <w:tbl>
      <w:tblPr>
        <w:tblStyle w:val="15"/>
        <w:tblW w:w="53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6"/>
        <w:gridCol w:w="2548"/>
        <w:gridCol w:w="1461"/>
        <w:gridCol w:w="1232"/>
        <w:gridCol w:w="1540"/>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578" w:type="pct"/>
            <w:noWrap w:val="0"/>
            <w:vAlign w:val="top"/>
          </w:tcPr>
          <w:p>
            <w:pPr>
              <w:pStyle w:val="20"/>
              <w:spacing w:before="11"/>
              <w:rPr>
                <w:color w:val="auto"/>
                <w:sz w:val="20"/>
                <w:highlight w:val="none"/>
              </w:rPr>
            </w:pPr>
          </w:p>
          <w:p>
            <w:pPr>
              <w:pStyle w:val="20"/>
              <w:spacing w:before="1"/>
              <w:ind w:right="288"/>
              <w:jc w:val="both"/>
              <w:rPr>
                <w:b/>
                <w:color w:val="auto"/>
                <w:sz w:val="24"/>
                <w:highlight w:val="none"/>
              </w:rPr>
            </w:pPr>
            <w:r>
              <w:rPr>
                <w:b/>
                <w:color w:val="auto"/>
                <w:sz w:val="24"/>
                <w:highlight w:val="none"/>
              </w:rPr>
              <w:t>序号</w:t>
            </w:r>
          </w:p>
        </w:tc>
        <w:tc>
          <w:tcPr>
            <w:tcW w:w="1421" w:type="pct"/>
            <w:noWrap w:val="0"/>
            <w:vAlign w:val="top"/>
          </w:tcPr>
          <w:p>
            <w:pPr>
              <w:pStyle w:val="20"/>
              <w:spacing w:before="11"/>
              <w:rPr>
                <w:color w:val="auto"/>
                <w:sz w:val="20"/>
                <w:highlight w:val="none"/>
              </w:rPr>
            </w:pPr>
          </w:p>
          <w:p>
            <w:pPr>
              <w:pStyle w:val="20"/>
              <w:spacing w:before="1"/>
              <w:ind w:right="1101"/>
              <w:jc w:val="both"/>
              <w:rPr>
                <w:b/>
                <w:color w:val="auto"/>
                <w:sz w:val="24"/>
                <w:highlight w:val="none"/>
              </w:rPr>
            </w:pPr>
            <w:r>
              <w:rPr>
                <w:b/>
                <w:color w:val="auto"/>
                <w:sz w:val="24"/>
                <w:highlight w:val="none"/>
              </w:rPr>
              <w:t>标项</w:t>
            </w:r>
          </w:p>
        </w:tc>
        <w:tc>
          <w:tcPr>
            <w:tcW w:w="815" w:type="pct"/>
            <w:noWrap w:val="0"/>
            <w:vAlign w:val="center"/>
          </w:tcPr>
          <w:p>
            <w:pPr>
              <w:pStyle w:val="20"/>
              <w:spacing w:before="1"/>
              <w:ind w:right="294"/>
              <w:jc w:val="center"/>
              <w:rPr>
                <w:b/>
                <w:color w:val="auto"/>
                <w:sz w:val="24"/>
                <w:highlight w:val="none"/>
              </w:rPr>
            </w:pPr>
            <w:r>
              <w:rPr>
                <w:b/>
                <w:color w:val="auto"/>
                <w:w w:val="95"/>
                <w:sz w:val="24"/>
                <w:highlight w:val="none"/>
              </w:rPr>
              <w:t>数量</w:t>
            </w:r>
          </w:p>
        </w:tc>
        <w:tc>
          <w:tcPr>
            <w:tcW w:w="687" w:type="pct"/>
            <w:noWrap w:val="0"/>
            <w:vAlign w:val="center"/>
          </w:tcPr>
          <w:p>
            <w:pPr>
              <w:pStyle w:val="20"/>
              <w:spacing w:before="1"/>
              <w:ind w:left="51" w:right="39"/>
              <w:jc w:val="center"/>
              <w:rPr>
                <w:rFonts w:hint="eastAsia"/>
                <w:b/>
                <w:color w:val="auto"/>
                <w:sz w:val="24"/>
                <w:highlight w:val="none"/>
              </w:rPr>
            </w:pPr>
            <w:r>
              <w:rPr>
                <w:rFonts w:hint="eastAsia"/>
                <w:b/>
                <w:color w:val="auto"/>
                <w:sz w:val="24"/>
                <w:highlight w:val="none"/>
              </w:rPr>
              <w:t>单位</w:t>
            </w:r>
          </w:p>
        </w:tc>
        <w:tc>
          <w:tcPr>
            <w:tcW w:w="859" w:type="pct"/>
            <w:noWrap w:val="0"/>
            <w:vAlign w:val="center"/>
          </w:tcPr>
          <w:p>
            <w:pPr>
              <w:pStyle w:val="20"/>
              <w:spacing w:before="11"/>
              <w:jc w:val="center"/>
              <w:rPr>
                <w:color w:val="auto"/>
                <w:sz w:val="20"/>
                <w:highlight w:val="none"/>
              </w:rPr>
            </w:pPr>
          </w:p>
          <w:p>
            <w:pPr>
              <w:pStyle w:val="20"/>
              <w:spacing w:before="1"/>
              <w:ind w:left="62" w:right="56"/>
              <w:jc w:val="center"/>
              <w:rPr>
                <w:b/>
                <w:color w:val="auto"/>
                <w:sz w:val="24"/>
                <w:highlight w:val="none"/>
              </w:rPr>
            </w:pPr>
            <w:r>
              <w:rPr>
                <w:b/>
                <w:color w:val="auto"/>
                <w:sz w:val="24"/>
                <w:highlight w:val="none"/>
              </w:rPr>
              <w:t>报价</w:t>
            </w:r>
          </w:p>
          <w:p>
            <w:pPr>
              <w:pStyle w:val="20"/>
              <w:spacing w:before="1"/>
              <w:ind w:left="62" w:right="56"/>
              <w:jc w:val="center"/>
              <w:rPr>
                <w:rFonts w:hint="eastAsia" w:eastAsia="宋体"/>
                <w:b/>
                <w:color w:val="auto"/>
                <w:sz w:val="24"/>
                <w:highlight w:val="none"/>
                <w:lang w:eastAsia="zh-CN"/>
              </w:rPr>
            </w:pPr>
            <w:r>
              <w:rPr>
                <w:rFonts w:hint="eastAsia"/>
                <w:b/>
                <w:color w:val="auto"/>
                <w:sz w:val="24"/>
                <w:highlight w:val="none"/>
                <w:lang w:eastAsia="zh-CN"/>
              </w:rPr>
              <w:t>（</w:t>
            </w:r>
            <w:r>
              <w:rPr>
                <w:rFonts w:hint="eastAsia"/>
                <w:b/>
                <w:color w:val="auto"/>
                <w:sz w:val="24"/>
                <w:highlight w:val="none"/>
                <w:lang w:val="en-US" w:eastAsia="zh-CN"/>
              </w:rPr>
              <w:t>结算率</w:t>
            </w:r>
            <w:r>
              <w:rPr>
                <w:rFonts w:hint="eastAsia"/>
                <w:b/>
                <w:color w:val="auto"/>
                <w:sz w:val="24"/>
                <w:highlight w:val="none"/>
                <w:lang w:eastAsia="zh-CN"/>
              </w:rPr>
              <w:t>）</w:t>
            </w:r>
          </w:p>
        </w:tc>
        <w:tc>
          <w:tcPr>
            <w:tcW w:w="638" w:type="pct"/>
            <w:noWrap w:val="0"/>
            <w:vAlign w:val="center"/>
          </w:tcPr>
          <w:p>
            <w:pPr>
              <w:pStyle w:val="20"/>
              <w:spacing w:before="112" w:line="242" w:lineRule="auto"/>
              <w:ind w:left="448" w:right="196" w:hanging="240"/>
              <w:jc w:val="center"/>
              <w:rPr>
                <w:rFonts w:hint="eastAsia"/>
                <w:b/>
                <w:color w:val="auto"/>
                <w:sz w:val="24"/>
                <w:highlight w:val="none"/>
              </w:rPr>
            </w:pPr>
            <w:r>
              <w:rPr>
                <w:rFonts w:hint="eastAsia"/>
                <w:b/>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578" w:type="pct"/>
            <w:noWrap w:val="0"/>
            <w:vAlign w:val="top"/>
          </w:tcPr>
          <w:p>
            <w:pPr>
              <w:pStyle w:val="20"/>
              <w:spacing w:before="3"/>
              <w:rPr>
                <w:color w:val="auto"/>
                <w:sz w:val="25"/>
                <w:highlight w:val="none"/>
              </w:rPr>
            </w:pPr>
          </w:p>
          <w:p>
            <w:pPr>
              <w:pStyle w:val="20"/>
              <w:ind w:left="6"/>
              <w:jc w:val="center"/>
              <w:rPr>
                <w:b/>
                <w:color w:val="auto"/>
                <w:sz w:val="24"/>
                <w:highlight w:val="none"/>
              </w:rPr>
            </w:pPr>
            <w:r>
              <w:rPr>
                <w:b/>
                <w:color w:val="auto"/>
                <w:w w:val="99"/>
                <w:sz w:val="24"/>
                <w:highlight w:val="none"/>
              </w:rPr>
              <w:t>1</w:t>
            </w:r>
          </w:p>
        </w:tc>
        <w:tc>
          <w:tcPr>
            <w:tcW w:w="1421" w:type="pct"/>
            <w:noWrap w:val="0"/>
            <w:vAlign w:val="top"/>
          </w:tcPr>
          <w:p>
            <w:pPr>
              <w:pStyle w:val="20"/>
              <w:spacing w:before="160" w:line="297" w:lineRule="auto"/>
              <w:ind w:left="410" w:right="22" w:hanging="300"/>
              <w:jc w:val="left"/>
              <w:rPr>
                <w:rFonts w:hint="eastAsia" w:eastAsia="宋体"/>
                <w:b/>
                <w:color w:val="auto"/>
                <w:sz w:val="24"/>
                <w:highlight w:val="none"/>
                <w:lang w:eastAsia="zh-CN"/>
              </w:rPr>
            </w:pPr>
            <w:r>
              <w:rPr>
                <w:rFonts w:hint="eastAsia" w:eastAsia="宋体"/>
                <w:b/>
                <w:color w:val="auto"/>
                <w:sz w:val="24"/>
                <w:highlight w:val="none"/>
                <w:lang w:val="en-US" w:eastAsia="zh-CN"/>
              </w:rPr>
              <w:t>2023年度温岭市石塘镇松材线虫病除治服务采购项目（重新招标）</w:t>
            </w:r>
          </w:p>
        </w:tc>
        <w:tc>
          <w:tcPr>
            <w:tcW w:w="815" w:type="pct"/>
            <w:noWrap w:val="0"/>
            <w:vAlign w:val="center"/>
          </w:tcPr>
          <w:p>
            <w:pPr>
              <w:pStyle w:val="20"/>
              <w:ind w:right="349"/>
              <w:jc w:val="center"/>
              <w:rPr>
                <w:rFonts w:hint="eastAsia"/>
                <w:b/>
                <w:color w:val="auto"/>
                <w:sz w:val="24"/>
                <w:highlight w:val="none"/>
              </w:rPr>
            </w:pPr>
            <w:r>
              <w:rPr>
                <w:rFonts w:hint="eastAsia"/>
                <w:b/>
                <w:color w:val="auto"/>
                <w:w w:val="95"/>
                <w:sz w:val="24"/>
                <w:highlight w:val="none"/>
                <w:lang w:val="en-US"/>
              </w:rPr>
              <w:t>1</w:t>
            </w:r>
          </w:p>
        </w:tc>
        <w:tc>
          <w:tcPr>
            <w:tcW w:w="687" w:type="pct"/>
            <w:noWrap w:val="0"/>
            <w:vAlign w:val="center"/>
          </w:tcPr>
          <w:p>
            <w:pPr>
              <w:pStyle w:val="20"/>
              <w:tabs>
                <w:tab w:val="left" w:pos="600"/>
              </w:tabs>
              <w:ind w:right="39"/>
              <w:jc w:val="center"/>
              <w:rPr>
                <w:rFonts w:hint="eastAsia"/>
                <w:b/>
                <w:color w:val="auto"/>
                <w:sz w:val="24"/>
                <w:highlight w:val="none"/>
              </w:rPr>
            </w:pPr>
            <w:r>
              <w:rPr>
                <w:rFonts w:hint="eastAsia"/>
                <w:b/>
                <w:color w:val="auto"/>
                <w:sz w:val="24"/>
                <w:highlight w:val="none"/>
              </w:rPr>
              <w:t>项</w:t>
            </w:r>
          </w:p>
        </w:tc>
        <w:tc>
          <w:tcPr>
            <w:tcW w:w="859" w:type="pct"/>
            <w:noWrap w:val="0"/>
            <w:vAlign w:val="center"/>
          </w:tcPr>
          <w:p>
            <w:pPr>
              <w:pStyle w:val="20"/>
              <w:tabs>
                <w:tab w:val="left" w:pos="842"/>
              </w:tabs>
              <w:ind w:right="56"/>
              <w:jc w:val="center"/>
              <w:rPr>
                <w:rFonts w:hint="eastAsia" w:eastAsia="宋体"/>
                <w:b/>
                <w:color w:val="auto"/>
                <w:sz w:val="24"/>
                <w:highlight w:val="none"/>
                <w:lang w:eastAsia="zh-CN"/>
              </w:rPr>
            </w:pPr>
            <w:r>
              <w:rPr>
                <w:rFonts w:hint="eastAsia"/>
                <w:b/>
                <w:color w:val="auto"/>
                <w:sz w:val="24"/>
                <w:highlight w:val="none"/>
                <w:lang w:val="en-US"/>
              </w:rPr>
              <w:t xml:space="preserve"> </w:t>
            </w:r>
            <w:r>
              <w:rPr>
                <w:rFonts w:hint="eastAsia"/>
                <w:b/>
                <w:color w:val="auto"/>
                <w:sz w:val="24"/>
                <w:highlight w:val="none"/>
                <w:lang w:val="en-US" w:eastAsia="zh-CN"/>
              </w:rPr>
              <w:t xml:space="preserve">   %</w:t>
            </w:r>
          </w:p>
        </w:tc>
        <w:tc>
          <w:tcPr>
            <w:tcW w:w="638" w:type="pct"/>
            <w:noWrap w:val="0"/>
            <w:vAlign w:val="center"/>
          </w:tcPr>
          <w:p>
            <w:pPr>
              <w:pStyle w:val="20"/>
              <w:spacing w:before="3"/>
              <w:jc w:val="center"/>
              <w:rPr>
                <w:color w:val="auto"/>
                <w:sz w:val="25"/>
                <w:highlight w:val="none"/>
              </w:rPr>
            </w:pPr>
          </w:p>
          <w:p>
            <w:pPr>
              <w:pStyle w:val="20"/>
              <w:ind w:left="107"/>
              <w:jc w:val="center"/>
              <w:rPr>
                <w:b/>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5000" w:type="pct"/>
            <w:gridSpan w:val="6"/>
            <w:noWrap w:val="0"/>
            <w:vAlign w:val="top"/>
          </w:tcPr>
          <w:p>
            <w:pPr>
              <w:pStyle w:val="20"/>
              <w:spacing w:before="9"/>
              <w:rPr>
                <w:color w:val="auto"/>
                <w:sz w:val="18"/>
                <w:highlight w:val="none"/>
              </w:rPr>
            </w:pPr>
          </w:p>
          <w:p>
            <w:pPr>
              <w:pStyle w:val="20"/>
              <w:tabs>
                <w:tab w:val="left" w:pos="5638"/>
                <w:tab w:val="left" w:pos="7923"/>
              </w:tabs>
              <w:ind w:left="826"/>
              <w:rPr>
                <w:b/>
                <w:color w:val="auto"/>
                <w:sz w:val="24"/>
                <w:highlight w:val="none"/>
              </w:rPr>
            </w:pPr>
            <w:r>
              <w:rPr>
                <w:b/>
                <w:color w:val="auto"/>
                <w:sz w:val="24"/>
                <w:highlight w:val="none"/>
              </w:rPr>
              <w:t>投标报价：(大写)</w:t>
            </w:r>
            <w:r>
              <w:rPr>
                <w:rFonts w:hint="eastAsia"/>
                <w:b/>
                <w:color w:val="auto"/>
                <w:sz w:val="24"/>
                <w:highlight w:val="none"/>
                <w:u w:val="single"/>
                <w:lang w:val="en-US" w:eastAsia="zh-CN"/>
              </w:rPr>
              <w:t xml:space="preserve">百分之           </w:t>
            </w:r>
            <w:r>
              <w:rPr>
                <w:b/>
                <w:color w:val="auto"/>
                <w:spacing w:val="-1"/>
                <w:sz w:val="24"/>
                <w:highlight w:val="none"/>
                <w:u w:val="single"/>
              </w:rPr>
              <w:t xml:space="preserve"> </w:t>
            </w:r>
            <w:r>
              <w:rPr>
                <w:b/>
                <w:color w:val="auto"/>
                <w:sz w:val="24"/>
                <w:highlight w:val="none"/>
                <w:u w:val="single"/>
              </w:rPr>
              <w:t>（</w:t>
            </w:r>
            <w:r>
              <w:rPr>
                <w:rFonts w:hint="eastAsia"/>
                <w:b/>
                <w:color w:val="auto"/>
                <w:sz w:val="24"/>
                <w:highlight w:val="none"/>
                <w:u w:val="single"/>
                <w:lang w:val="en-US" w:eastAsia="zh-CN"/>
              </w:rPr>
              <w:t xml:space="preserve">  </w:t>
            </w:r>
            <w:r>
              <w:rPr>
                <w:b/>
                <w:color w:val="auto"/>
                <w:sz w:val="24"/>
                <w:highlight w:val="none"/>
                <w:u w:val="single"/>
              </w:rPr>
              <w:tab/>
            </w:r>
            <w:r>
              <w:rPr>
                <w:rFonts w:hint="eastAsia"/>
                <w:b/>
                <w:color w:val="auto"/>
                <w:sz w:val="24"/>
                <w:highlight w:val="none"/>
                <w:u w:val="single"/>
                <w:lang w:val="en-US" w:eastAsia="zh-CN"/>
              </w:rPr>
              <w:t>%</w:t>
            </w:r>
            <w:r>
              <w:rPr>
                <w:b/>
                <w:color w:val="auto"/>
                <w:sz w:val="24"/>
                <w:highlight w:val="none"/>
                <w:u w:val="single"/>
              </w:rPr>
              <w:t>）</w:t>
            </w:r>
          </w:p>
        </w:tc>
      </w:tr>
    </w:tbl>
    <w:p>
      <w:pPr>
        <w:pStyle w:val="6"/>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填报要求：</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w:t>
      </w:r>
      <w:r>
        <w:rPr>
          <w:rFonts w:hint="eastAsia" w:ascii="宋体" w:hAnsi="宋体" w:eastAsia="宋体" w:cs="宋体"/>
          <w:sz w:val="24"/>
          <w:szCs w:val="24"/>
        </w:rPr>
        <w:t>报价不得超过</w:t>
      </w:r>
      <w:r>
        <w:rPr>
          <w:rFonts w:hint="eastAsia" w:ascii="宋体" w:hAnsi="宋体" w:eastAsia="宋体" w:cs="宋体"/>
          <w:sz w:val="24"/>
          <w:szCs w:val="24"/>
          <w:lang w:val="en-US" w:eastAsia="zh-CN"/>
        </w:rPr>
        <w:t>最高结算率100%</w:t>
      </w:r>
      <w:r>
        <w:rPr>
          <w:rFonts w:hint="eastAsia" w:ascii="宋体" w:hAnsi="宋体" w:eastAsia="宋体" w:cs="宋体"/>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2、报价一经涂改，应在涂改处加盖单位公章，或者由法定代表人或授权代理人签名或盖章，否则其</w:t>
      </w:r>
      <w:r>
        <w:rPr>
          <w:rFonts w:hint="eastAsia" w:ascii="宋体" w:hAnsi="宋体" w:eastAsia="宋体" w:cs="宋体"/>
          <w:sz w:val="24"/>
          <w:szCs w:val="24"/>
          <w:lang w:eastAsia="zh-CN"/>
        </w:rPr>
        <w:t>谈判响应</w:t>
      </w:r>
      <w:r>
        <w:rPr>
          <w:rFonts w:hint="eastAsia" w:ascii="宋体" w:hAnsi="宋体" w:eastAsia="宋体" w:cs="宋体"/>
          <w:sz w:val="24"/>
          <w:szCs w:val="24"/>
        </w:rPr>
        <w:t>作无效标处理。</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投标总报价是履行本项目合同的所有费用包含了所有风险责任等各项费用及不可预见费等所需的全部费用。</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4、本次报价为竞争性谈判响应的初次报价，最终以谈判后的最终报价为准。</w:t>
      </w:r>
    </w:p>
    <w:p>
      <w:pPr>
        <w:pStyle w:val="14"/>
        <w:rPr>
          <w:rFonts w:hint="eastAsia" w:ascii="宋体" w:hAnsi="宋体" w:eastAsia="宋体" w:cs="宋体"/>
          <w:b/>
          <w:bCs/>
          <w:sz w:val="24"/>
          <w:szCs w:val="24"/>
          <w:lang w:val="en-US" w:eastAsia="zh-CN"/>
        </w:rPr>
      </w:pPr>
    </w:p>
    <w:p>
      <w:pPr>
        <w:pStyle w:val="12"/>
        <w:rPr>
          <w:rFonts w:hint="eastAsia"/>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名称（盖公章）：</w:t>
      </w:r>
    </w:p>
    <w:p>
      <w:pPr>
        <w:pStyle w:val="8"/>
        <w:keepNext w:val="0"/>
        <w:keepLines w:val="0"/>
        <w:pageBreakBefore w:val="0"/>
        <w:widowControl w:val="0"/>
        <w:tabs>
          <w:tab w:val="left" w:pos="2735"/>
        </w:tabs>
        <w:kinsoku/>
        <w:wordWrap/>
        <w:overflowPunct/>
        <w:topLinePunct w:val="0"/>
        <w:autoSpaceDE w:val="0"/>
        <w:autoSpaceDN w:val="0"/>
        <w:bidi w:val="0"/>
        <w:adjustRightInd/>
        <w:snapToGrid/>
        <w:spacing w:before="0" w:line="360" w:lineRule="auto"/>
        <w:ind w:left="0" w:right="0" w:hanging="12"/>
        <w:textAlignment w:val="auto"/>
        <w:rPr>
          <w:rFonts w:hint="eastAsia" w:ascii="宋体" w:hAnsi="宋体" w:eastAsia="宋体" w:cs="宋体"/>
          <w:spacing w:val="-14"/>
          <w:sz w:val="24"/>
          <w:szCs w:val="24"/>
        </w:rPr>
      </w:pPr>
      <w:r>
        <w:rPr>
          <w:rFonts w:hint="eastAsia" w:ascii="宋体" w:hAnsi="宋体" w:eastAsia="宋体" w:cs="宋体"/>
          <w:sz w:val="24"/>
          <w:szCs w:val="24"/>
        </w:rPr>
        <w:t>法定代表人或代理人（签字或盖章</w:t>
      </w:r>
      <w:r>
        <w:rPr>
          <w:rFonts w:hint="eastAsia" w:ascii="宋体" w:hAnsi="宋体" w:eastAsia="宋体" w:cs="宋体"/>
          <w:spacing w:val="-14"/>
          <w:sz w:val="24"/>
          <w:szCs w:val="24"/>
        </w:rPr>
        <w:t xml:space="preserve">）： </w:t>
      </w:r>
    </w:p>
    <w:p>
      <w:pPr>
        <w:pStyle w:val="12"/>
        <w:ind w:left="0" w:leftChars="0" w:firstLine="0" w:firstLineChars="0"/>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附件1</w:t>
      </w:r>
      <w:r>
        <w:rPr>
          <w:rFonts w:hint="eastAsia" w:cs="微软雅黑"/>
          <w:b/>
          <w:bCs/>
          <w:color w:val="000000"/>
          <w:kern w:val="0"/>
          <w:sz w:val="28"/>
          <w:szCs w:val="28"/>
          <w:lang w:val="en-US" w:eastAsia="zh-CN" w:bidi="ar"/>
        </w:rPr>
        <w:t>5</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2" w:firstLineChars="200"/>
        <w:jc w:val="both"/>
        <w:textAlignment w:val="auto"/>
        <w:rPr>
          <w:rFonts w:hint="eastAsia" w:ascii="宋体" w:eastAsia="宋体"/>
          <w:b/>
          <w:spacing w:val="0"/>
          <w:sz w:val="28"/>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2" w:firstLineChars="200"/>
        <w:jc w:val="both"/>
        <w:textAlignment w:val="auto"/>
        <w:rPr>
          <w:rFonts w:hint="eastAsia" w:ascii="宋体" w:eastAsia="宋体"/>
          <w:b/>
          <w:spacing w:val="0"/>
          <w:sz w:val="28"/>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562" w:firstLineChars="200"/>
        <w:jc w:val="both"/>
        <w:textAlignment w:val="auto"/>
        <w:rPr>
          <w:rFonts w:hint="eastAsia" w:ascii="宋体" w:eastAsia="宋体"/>
          <w:b/>
          <w:sz w:val="28"/>
        </w:rPr>
      </w:pPr>
      <w:r>
        <w:rPr>
          <w:rFonts w:hint="eastAsia" w:ascii="宋体" w:eastAsia="宋体"/>
          <w:b/>
          <w:spacing w:val="0"/>
          <w:sz w:val="28"/>
        </w:rPr>
        <w:t>说明：为确保采购项目顺利进行，已领取</w:t>
      </w:r>
      <w:r>
        <w:rPr>
          <w:rFonts w:hint="eastAsia" w:ascii="宋体" w:eastAsia="宋体"/>
          <w:b/>
          <w:spacing w:val="0"/>
          <w:sz w:val="28"/>
          <w:lang w:eastAsia="zh-CN"/>
        </w:rPr>
        <w:t>谈判文件</w:t>
      </w:r>
      <w:r>
        <w:rPr>
          <w:rFonts w:hint="eastAsia" w:ascii="宋体" w:eastAsia="宋体"/>
          <w:b/>
          <w:spacing w:val="0"/>
          <w:sz w:val="28"/>
        </w:rPr>
        <w:t>的供应商决定不参加本项目</w:t>
      </w:r>
      <w:r>
        <w:rPr>
          <w:rFonts w:hint="eastAsia" w:ascii="宋体" w:eastAsia="宋体"/>
          <w:b/>
          <w:spacing w:val="0"/>
          <w:sz w:val="28"/>
          <w:lang w:eastAsia="zh-CN"/>
        </w:rPr>
        <w:t>谈判响应</w:t>
      </w:r>
      <w:r>
        <w:rPr>
          <w:rFonts w:hint="eastAsia" w:ascii="宋体" w:eastAsia="宋体"/>
          <w:b/>
          <w:spacing w:val="0"/>
          <w:sz w:val="28"/>
        </w:rPr>
        <w:t>时，请于</w:t>
      </w:r>
      <w:r>
        <w:rPr>
          <w:rFonts w:hint="eastAsia" w:ascii="宋体" w:eastAsia="宋体"/>
          <w:b/>
          <w:spacing w:val="0"/>
          <w:sz w:val="28"/>
          <w:lang w:eastAsia="zh-CN"/>
        </w:rPr>
        <w:t>谈判响应</w:t>
      </w:r>
      <w:r>
        <w:rPr>
          <w:rFonts w:hint="eastAsia" w:ascii="宋体" w:eastAsia="宋体"/>
          <w:b/>
          <w:spacing w:val="0"/>
          <w:sz w:val="28"/>
        </w:rPr>
        <w:t>截止时间至少 1 个工作日前与我们书面确认（确认函格式如下），可将填写完整的确认函加盖公章后发送至</w:t>
      </w:r>
      <w:r>
        <w:rPr>
          <w:rFonts w:hint="eastAsia" w:ascii="宋体" w:eastAsia="宋体"/>
          <w:b/>
          <w:spacing w:val="0"/>
          <w:sz w:val="28"/>
          <w:lang w:eastAsia="zh-CN"/>
        </w:rPr>
        <w:t>温岭市利驰工程管理有限公司</w:t>
      </w:r>
      <w:r>
        <w:rPr>
          <w:rFonts w:hint="eastAsia" w:ascii="宋体" w:eastAsia="宋体"/>
          <w:b/>
          <w:spacing w:val="0"/>
          <w:sz w:val="28"/>
        </w:rPr>
        <w:t>QQ邮箱：</w:t>
      </w:r>
      <w:r>
        <w:rPr>
          <w:spacing w:val="0"/>
        </w:rPr>
        <w:fldChar w:fldCharType="begin"/>
      </w:r>
      <w:r>
        <w:rPr>
          <w:spacing w:val="0"/>
        </w:rPr>
        <w:instrText xml:space="preserve"> HYPERLINK "mailto:532194026@qq.com" \h </w:instrText>
      </w:r>
      <w:r>
        <w:rPr>
          <w:spacing w:val="0"/>
        </w:rPr>
        <w:fldChar w:fldCharType="separate"/>
      </w:r>
      <w:r>
        <w:rPr>
          <w:rFonts w:hint="eastAsia"/>
          <w:b/>
          <w:bCs/>
          <w:spacing w:val="0"/>
          <w:u w:val="single"/>
          <w:lang w:val="en-US" w:eastAsia="zh-CN"/>
        </w:rPr>
        <w:t>1436648507</w:t>
      </w:r>
      <w:r>
        <w:rPr>
          <w:rFonts w:hint="eastAsia" w:ascii="宋体" w:eastAsia="宋体"/>
          <w:b/>
          <w:spacing w:val="0"/>
          <w:sz w:val="28"/>
          <w:u w:val="single"/>
        </w:rPr>
        <w:t>@qq.com</w:t>
      </w:r>
      <w:r>
        <w:rPr>
          <w:rFonts w:hint="eastAsia" w:ascii="宋体" w:eastAsia="宋体"/>
          <w:b/>
          <w:spacing w:val="0"/>
          <w:sz w:val="28"/>
          <w:u w:val="single"/>
        </w:rPr>
        <w:fldChar w:fldCharType="end"/>
      </w:r>
      <w:r>
        <w:rPr>
          <w:rFonts w:hint="eastAsia" w:ascii="宋体" w:eastAsia="宋体"/>
          <w:b/>
          <w:spacing w:val="0"/>
          <w:sz w:val="28"/>
        </w:rPr>
        <w:t>。谢谢配合！</w:t>
      </w:r>
    </w:p>
    <w:p>
      <w:pPr>
        <w:pStyle w:val="8"/>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00" w:firstLineChars="200"/>
        <w:textAlignment w:val="auto"/>
        <w:rPr>
          <w:rFonts w:ascii="宋体"/>
          <w:b/>
          <w:sz w:val="20"/>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720" w:firstLineChars="200"/>
        <w:jc w:val="center"/>
        <w:textAlignment w:val="auto"/>
        <w:rPr>
          <w:sz w:val="36"/>
        </w:rPr>
      </w:pPr>
      <w:r>
        <w:rPr>
          <w:sz w:val="36"/>
        </w:rPr>
        <w:t>确认函</w:t>
      </w:r>
    </w:p>
    <w:p>
      <w:pPr>
        <w:pStyle w:val="8"/>
        <w:rPr>
          <w:sz w:val="48"/>
        </w:rPr>
      </w:pPr>
    </w:p>
    <w:p>
      <w:pPr>
        <w:pStyle w:val="8"/>
        <w:rPr>
          <w:sz w:val="28"/>
        </w:rPr>
      </w:pPr>
    </w:p>
    <w:p>
      <w:pPr>
        <w:keepNext w:val="0"/>
        <w:keepLines w:val="0"/>
        <w:pageBreakBefore w:val="0"/>
        <w:widowControl w:val="0"/>
        <w:kinsoku/>
        <w:wordWrap/>
        <w:overflowPunct/>
        <w:topLinePunct w:val="0"/>
        <w:autoSpaceDE w:val="0"/>
        <w:autoSpaceDN w:val="0"/>
        <w:bidi w:val="0"/>
        <w:adjustRightInd/>
        <w:snapToGrid/>
        <w:spacing w:before="0"/>
        <w:ind w:left="0" w:right="0" w:firstLine="0"/>
        <w:jc w:val="left"/>
        <w:textAlignment w:val="auto"/>
        <w:rPr>
          <w:rFonts w:hint="eastAsia" w:ascii="宋体" w:eastAsia="宋体"/>
          <w:sz w:val="28"/>
        </w:rPr>
      </w:pPr>
      <w:r>
        <w:rPr>
          <w:rFonts w:hint="eastAsia" w:ascii="宋体" w:eastAsia="宋体"/>
          <w:sz w:val="28"/>
          <w:lang w:eastAsia="zh-CN"/>
        </w:rPr>
        <w:t>温岭市利驰工程管理有限公司</w:t>
      </w:r>
      <w:r>
        <w:rPr>
          <w:rFonts w:hint="eastAsia" w:ascii="宋体" w:eastAsia="宋体"/>
          <w:sz w:val="28"/>
        </w:rPr>
        <w:t>：</w:t>
      </w:r>
    </w:p>
    <w:p>
      <w:pPr>
        <w:pStyle w:val="8"/>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ascii="宋体"/>
          <w:sz w:val="39"/>
        </w:rPr>
      </w:pPr>
    </w:p>
    <w:p>
      <w:pPr>
        <w:keepNext w:val="0"/>
        <w:keepLines w:val="0"/>
        <w:pageBreakBefore w:val="0"/>
        <w:widowControl w:val="0"/>
        <w:kinsoku/>
        <w:wordWrap/>
        <w:overflowPunct/>
        <w:topLinePunct w:val="0"/>
        <w:autoSpaceDE w:val="0"/>
        <w:autoSpaceDN w:val="0"/>
        <w:bidi w:val="0"/>
        <w:adjustRightInd/>
        <w:snapToGrid/>
        <w:spacing w:before="0" w:line="614" w:lineRule="auto"/>
        <w:ind w:left="0" w:right="0" w:firstLine="967"/>
        <w:jc w:val="left"/>
        <w:textAlignment w:val="auto"/>
        <w:rPr>
          <w:rFonts w:hint="eastAsia" w:ascii="宋体" w:eastAsia="宋体"/>
          <w:sz w:val="28"/>
        </w:rPr>
      </w:pPr>
      <w:r>
        <w:rPr>
          <w:rFonts w:hint="eastAsia" w:ascii="宋体" w:eastAsia="宋体"/>
          <w:sz w:val="28"/>
        </w:rPr>
        <w:t>我公司因原因，对于已获取</w:t>
      </w:r>
      <w:r>
        <w:rPr>
          <w:rFonts w:hint="eastAsia" w:ascii="宋体" w:eastAsia="宋体"/>
          <w:sz w:val="28"/>
          <w:lang w:eastAsia="zh-CN"/>
        </w:rPr>
        <w:t>谈判文件</w:t>
      </w:r>
      <w:r>
        <w:rPr>
          <w:rFonts w:hint="eastAsia" w:ascii="宋体" w:eastAsia="宋体"/>
          <w:sz w:val="28"/>
        </w:rPr>
        <w:t>的项目（项目编号），现决定自愿放弃参加</w:t>
      </w:r>
      <w:r>
        <w:rPr>
          <w:rFonts w:hint="eastAsia" w:ascii="宋体" w:eastAsia="宋体"/>
          <w:sz w:val="28"/>
          <w:lang w:eastAsia="zh-CN"/>
        </w:rPr>
        <w:t>谈判响应</w:t>
      </w:r>
      <w:r>
        <w:rPr>
          <w:rFonts w:hint="eastAsia" w:ascii="宋体" w:eastAsia="宋体"/>
          <w:sz w:val="28"/>
        </w:rPr>
        <w:t>活动。特发函向贵公司确认。</w:t>
      </w:r>
    </w:p>
    <w:p>
      <w:pPr>
        <w:pStyle w:val="8"/>
        <w:rPr>
          <w:rFonts w:ascii="宋体"/>
          <w:sz w:val="28"/>
        </w:rPr>
      </w:pPr>
    </w:p>
    <w:p>
      <w:pPr>
        <w:pStyle w:val="8"/>
        <w:rPr>
          <w:rFonts w:ascii="宋体"/>
          <w:sz w:val="28"/>
        </w:rPr>
      </w:pPr>
    </w:p>
    <w:p>
      <w:pPr>
        <w:pStyle w:val="8"/>
        <w:rPr>
          <w:rFonts w:ascii="宋体"/>
          <w:sz w:val="28"/>
        </w:rPr>
      </w:pPr>
    </w:p>
    <w:p>
      <w:pPr>
        <w:pStyle w:val="8"/>
        <w:rPr>
          <w:rFonts w:ascii="宋体"/>
          <w:sz w:val="28"/>
        </w:rPr>
      </w:pPr>
    </w:p>
    <w:p>
      <w:pPr>
        <w:pStyle w:val="8"/>
        <w:spacing w:before="4"/>
        <w:rPr>
          <w:rFonts w:ascii="宋体"/>
          <w:sz w:val="20"/>
        </w:rPr>
      </w:pPr>
    </w:p>
    <w:p>
      <w:pPr>
        <w:jc w:val="right"/>
        <w:rPr>
          <w:rFonts w:hint="eastAsia" w:ascii="宋体" w:eastAsia="宋体"/>
          <w:sz w:val="28"/>
        </w:rPr>
      </w:pPr>
      <w:r>
        <w:rPr>
          <w:rFonts w:hint="eastAsia" w:ascii="宋体" w:eastAsia="宋体"/>
          <w:sz w:val="28"/>
        </w:rPr>
        <w:t xml:space="preserve">企业名称（盖章）： </w:t>
      </w:r>
    </w:p>
    <w:p>
      <w:pPr>
        <w:jc w:val="center"/>
        <w:rPr>
          <w:rFonts w:hint="default"/>
          <w:lang w:val="en-US" w:eastAsia="zh-CN"/>
        </w:rPr>
      </w:pPr>
      <w:r>
        <w:rPr>
          <w:rFonts w:hint="eastAsia" w:ascii="宋体" w:eastAsia="宋体"/>
          <w:sz w:val="28"/>
          <w:lang w:val="en-US" w:eastAsia="zh-CN"/>
        </w:rPr>
        <w:t xml:space="preserve">                             </w:t>
      </w:r>
      <w:r>
        <w:rPr>
          <w:rFonts w:hint="eastAsia" w:ascii="宋体" w:eastAsia="宋体"/>
          <w:sz w:val="28"/>
        </w:rPr>
        <w:t>日期：</w:t>
      </w:r>
    </w:p>
    <w:p>
      <w:pPr>
        <w:pStyle w:val="6"/>
        <w:spacing w:before="12"/>
        <w:ind w:left="0" w:leftChars="0" w:firstLine="0" w:firstLineChars="0"/>
        <w:jc w:val="right"/>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eastAsia" w:ascii="微软雅黑" w:hAnsi="微软雅黑" w:eastAsia="微软雅黑" w:cs="微软雅黑"/>
          <w:b/>
          <w:bCs/>
          <w:color w:val="000000"/>
          <w:kern w:val="0"/>
          <w:sz w:val="28"/>
          <w:szCs w:val="28"/>
          <w:lang w:val="en-US" w:eastAsia="zh-CN" w:bidi="ar"/>
        </w:rPr>
      </w:pPr>
      <w:r>
        <w:rPr>
          <w:rFonts w:hint="eastAsia" w:ascii="微软雅黑" w:hAnsi="微软雅黑" w:eastAsia="微软雅黑" w:cs="微软雅黑"/>
          <w:b/>
          <w:bCs/>
          <w:color w:val="000000"/>
          <w:kern w:val="0"/>
          <w:sz w:val="28"/>
          <w:szCs w:val="28"/>
          <w:lang w:val="en-US" w:eastAsia="zh-CN" w:bidi="ar"/>
        </w:rPr>
        <w:t>附件1</w:t>
      </w:r>
      <w:r>
        <w:rPr>
          <w:rFonts w:hint="eastAsia" w:cs="微软雅黑"/>
          <w:b/>
          <w:bCs/>
          <w:color w:val="000000"/>
          <w:kern w:val="0"/>
          <w:sz w:val="28"/>
          <w:szCs w:val="28"/>
          <w:lang w:val="en-US" w:eastAsia="zh-CN" w:bidi="ar"/>
        </w:rPr>
        <w:t>6</w:t>
      </w:r>
    </w:p>
    <w:p>
      <w:pPr>
        <w:pStyle w:val="6"/>
        <w:spacing w:before="12"/>
        <w:ind w:left="0" w:leftChars="0" w:firstLine="0" w:firstLineChars="0"/>
        <w:rPr>
          <w:rFonts w:hint="default" w:ascii="宋体" w:hAnsi="宋体" w:eastAsia="宋体" w:cs="宋体"/>
          <w:sz w:val="24"/>
          <w:szCs w:val="24"/>
          <w:lang w:val="en-US" w:eastAsia="zh-CN"/>
        </w:rPr>
      </w:pPr>
    </w:p>
    <w:p>
      <w:pPr>
        <w:jc w:val="center"/>
        <w:rPr>
          <w:rFonts w:hint="default"/>
          <w:lang w:val="en-US" w:eastAsia="zh-CN"/>
        </w:rPr>
      </w:pPr>
      <w:r>
        <w:rPr>
          <w:rFonts w:hint="eastAsia" w:ascii="宋体" w:hAnsi="宋体" w:eastAsia="宋体" w:cs="宋体"/>
          <w:b/>
          <w:bCs/>
          <w:sz w:val="28"/>
          <w:szCs w:val="28"/>
        </w:rPr>
        <w:t>政府采购活动现场确认声明书</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温岭市利驰工程管理有限公司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（采购组织机构名称）：</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 xml:space="preserve">本人经由 </w:t>
      </w:r>
      <w:r>
        <w:rPr>
          <w:rFonts w:ascii="宋体" w:hAnsi="宋体" w:eastAsia="宋体" w:cs="宋体"/>
          <w:spacing w:val="0"/>
          <w:sz w:val="23"/>
          <w:szCs w:val="23"/>
          <w:u w:val="single" w:color="auto"/>
        </w:rPr>
        <w:t xml:space="preserve">                     </w:t>
      </w:r>
      <w:r>
        <w:rPr>
          <w:rFonts w:hint="eastAsia" w:ascii="宋体" w:hAnsi="宋体" w:eastAsia="宋体" w:cs="宋体"/>
          <w:spacing w:val="0"/>
          <w:sz w:val="23"/>
          <w:szCs w:val="23"/>
          <w:u w:val="single" w:color="auto"/>
          <w:lang w:val="en-US" w:eastAsia="zh-CN"/>
        </w:rPr>
        <w:t xml:space="preserve"> </w:t>
      </w:r>
      <w:r>
        <w:rPr>
          <w:rFonts w:ascii="宋体" w:hAnsi="宋体" w:eastAsia="宋体" w:cs="宋体"/>
          <w:spacing w:val="0"/>
          <w:sz w:val="23"/>
          <w:szCs w:val="23"/>
          <w:u w:val="single" w:color="auto"/>
        </w:rPr>
        <w:t xml:space="preserve"> (单位) </w:t>
      </w:r>
      <w:r>
        <w:rPr>
          <w:rFonts w:ascii="宋体" w:hAnsi="宋体" w:eastAsia="宋体" w:cs="宋体"/>
          <w:spacing w:val="0"/>
          <w:sz w:val="23"/>
          <w:szCs w:val="23"/>
        </w:rPr>
        <w:t xml:space="preserve">负责人 </w:t>
      </w:r>
      <w:r>
        <w:rPr>
          <w:rFonts w:ascii="宋体" w:hAnsi="宋体" w:eastAsia="宋体" w:cs="宋体"/>
          <w:spacing w:val="0"/>
          <w:sz w:val="23"/>
          <w:szCs w:val="23"/>
          <w:u w:val="single" w:color="auto"/>
        </w:rPr>
        <w:t xml:space="preserve">              (姓名) </w:t>
      </w:r>
      <w:r>
        <w:rPr>
          <w:rFonts w:ascii="宋体" w:hAnsi="宋体" w:eastAsia="宋体" w:cs="宋体"/>
          <w:spacing w:val="0"/>
          <w:sz w:val="23"/>
          <w:szCs w:val="23"/>
        </w:rPr>
        <w:t>合法授权参加</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项目 (项目编号：</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政府采购活动，经与本单位法人代表 (负责人) 联系确认，现就有关公平竞争事项郑重声明如下：</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0" w:right="0"/>
        <w:textAlignment w:val="auto"/>
        <w:rPr>
          <w:rFonts w:ascii="宋体" w:hAnsi="宋体" w:eastAsia="宋体" w:cs="宋体"/>
          <w:spacing w:val="0"/>
          <w:sz w:val="23"/>
          <w:szCs w:val="23"/>
        </w:rPr>
      </w:pPr>
      <w:r>
        <w:rPr>
          <w:rFonts w:ascii="宋体" w:hAnsi="宋体" w:eastAsia="宋体" w:cs="宋体"/>
          <w:spacing w:val="0"/>
          <w:sz w:val="23"/>
          <w:szCs w:val="23"/>
        </w:rPr>
        <w:t>本单位与采购人之间 □不存在利害关系 □存在下列利害关系</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A.投资关系    B.行政隶属关系    C.业务指导关系</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D.其他可能影响采购公正的利害关系</w:t>
      </w:r>
      <w:r>
        <w:rPr>
          <w:rFonts w:ascii="宋体" w:hAnsi="宋体" w:eastAsia="宋体" w:cs="宋体"/>
          <w:spacing w:val="0"/>
          <w:sz w:val="23"/>
          <w:szCs w:val="23"/>
          <w:u w:val="single" w:color="auto"/>
        </w:rPr>
        <w:t xml:space="preserve"> (如有，请如实说明)      </w:t>
      </w:r>
      <w:r>
        <w:rPr>
          <w:rFonts w:hint="eastAsia" w:ascii="宋体" w:hAnsi="宋体" w:eastAsia="宋体" w:cs="宋体"/>
          <w:spacing w:val="0"/>
          <w:sz w:val="23"/>
          <w:szCs w:val="23"/>
          <w:u w:val="single" w:color="auto"/>
          <w:lang w:val="en-US" w:eastAsia="zh-CN"/>
        </w:rPr>
        <w:t xml:space="preserve"> </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ascii="宋体" w:hAnsi="宋体" w:eastAsia="宋体" w:cs="宋体"/>
          <w:spacing w:val="0"/>
          <w:sz w:val="23"/>
          <w:szCs w:val="23"/>
        </w:rPr>
      </w:pPr>
      <w:r>
        <w:rPr>
          <w:rFonts w:ascii="宋体" w:hAnsi="宋体" w:eastAsia="宋体" w:cs="宋体"/>
          <w:spacing w:val="0"/>
          <w:sz w:val="23"/>
          <w:szCs w:val="23"/>
        </w:rPr>
        <w:t>二、现已清楚知道参加本项目采购活动的其他所有供应商名称，本单位□与其他所有供应商之间均不存在利害关系 □与</w:t>
      </w:r>
      <w:r>
        <w:rPr>
          <w:rFonts w:ascii="宋体" w:hAnsi="宋体" w:eastAsia="宋体" w:cs="宋体"/>
          <w:spacing w:val="0"/>
          <w:sz w:val="23"/>
          <w:szCs w:val="23"/>
          <w:u w:val="single" w:color="auto"/>
        </w:rPr>
        <w:t xml:space="preserve">          (供应商名称) </w:t>
      </w:r>
      <w:r>
        <w:rPr>
          <w:rFonts w:ascii="宋体" w:hAnsi="宋体" w:eastAsia="宋体" w:cs="宋体"/>
          <w:spacing w:val="0"/>
          <w:sz w:val="23"/>
          <w:szCs w:val="23"/>
        </w:rPr>
        <w:t>之间存在下列利害关系</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A.法定代表人或负责人或实际控制人是同一人</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B.法定代表人或负责人或实际控制人是夫妻关系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C.法定代表人或负责人或实际控制人是直系血亲关系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D.法定代表人或负责人或实际控制人存在三代以内旁系血亲关系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E.法定代表人或负责人或实际控制人存在近姻亲关系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F.法定代表人或负责人或实际控制人存在股份控制或实际控制关系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G.存在共同直接或间接投资设立子公司、联营企业和合营企业情况</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H.存在分级代理或代销关系、同一生产制造商关系、管理关系、重要业务 (占主营业务收 入 50%以上) 或重要财务往来关系 (如融资) 等其他实质性控制关系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60" w:firstLineChars="200"/>
        <w:textAlignment w:val="auto"/>
        <w:rPr>
          <w:rFonts w:ascii="宋体" w:hAnsi="宋体" w:eastAsia="宋体" w:cs="宋体"/>
          <w:spacing w:val="0"/>
          <w:sz w:val="23"/>
          <w:szCs w:val="23"/>
        </w:rPr>
      </w:pPr>
      <w:r>
        <w:rPr>
          <w:rFonts w:ascii="宋体" w:hAnsi="宋体" w:eastAsia="宋体" w:cs="宋体"/>
          <w:spacing w:val="0"/>
          <w:sz w:val="23"/>
          <w:szCs w:val="23"/>
        </w:rPr>
        <w:t>I.其他利害关系情况</w:t>
      </w:r>
      <w:r>
        <w:rPr>
          <w:rFonts w:ascii="宋体" w:hAnsi="宋体" w:eastAsia="宋体" w:cs="宋体"/>
          <w:spacing w:val="0"/>
          <w:sz w:val="23"/>
          <w:szCs w:val="23"/>
          <w:u w:val="single"/>
        </w:rPr>
        <w:t xml:space="preserve">         </w:t>
      </w:r>
      <w:r>
        <w:rPr>
          <w:rFonts w:hint="eastAsia" w:ascii="宋体" w:hAnsi="宋体" w:eastAsia="宋体" w:cs="宋体"/>
          <w:spacing w:val="0"/>
          <w:sz w:val="23"/>
          <w:szCs w:val="23"/>
          <w:u w:val="single"/>
          <w:lang w:val="en-US" w:eastAsia="zh-CN"/>
        </w:rPr>
        <w:t xml:space="preserve">     </w:t>
      </w:r>
      <w:r>
        <w:rPr>
          <w:rFonts w:ascii="宋体" w:hAnsi="宋体" w:eastAsia="宋体" w:cs="宋体"/>
          <w:spacing w:val="0"/>
          <w:sz w:val="23"/>
          <w:szCs w:val="23"/>
          <w:u w:val="single"/>
        </w:rPr>
        <w:t xml:space="preserve">                                    </w:t>
      </w:r>
      <w:r>
        <w:rPr>
          <w:rFonts w:ascii="宋体" w:hAnsi="宋体" w:eastAsia="宋体" w:cs="宋体"/>
          <w:spacing w:val="0"/>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rFonts w:ascii="宋体" w:hAnsi="宋体" w:eastAsia="宋体" w:cs="宋体"/>
          <w:spacing w:val="0"/>
          <w:sz w:val="23"/>
          <w:szCs w:val="23"/>
        </w:rPr>
      </w:pPr>
      <w:r>
        <w:rPr>
          <w:rFonts w:ascii="宋体" w:hAnsi="宋体" w:eastAsia="宋体" w:cs="宋体"/>
          <w:spacing w:val="0"/>
          <w:position w:val="1"/>
          <w:sz w:val="23"/>
          <w:szCs w:val="23"/>
        </w:rPr>
        <w:t>三、现已清楚知道并严格遵守政府采购法律法规和现场纪律。</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ascii="宋体" w:hAnsi="宋体" w:eastAsia="宋体" w:cs="宋体"/>
          <w:spacing w:val="17"/>
          <w:sz w:val="23"/>
          <w:szCs w:val="23"/>
        </w:rPr>
      </w:pPr>
      <w:r>
        <w:rPr>
          <w:rFonts w:ascii="宋体" w:hAnsi="宋体" w:eastAsia="宋体" w:cs="宋体"/>
          <w:spacing w:val="0"/>
          <w:sz w:val="23"/>
          <w:szCs w:val="23"/>
        </w:rPr>
        <w:t>四、我发现</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供应商之间存在或可能存在上述第二条第</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项利害关系。</w:t>
      </w:r>
    </w:p>
    <w:p>
      <w:pPr>
        <w:keepNext w:val="0"/>
        <w:keepLines w:val="0"/>
        <w:pageBreakBefore w:val="0"/>
        <w:widowControl w:val="0"/>
        <w:kinsoku/>
        <w:wordWrap/>
        <w:overflowPunct/>
        <w:topLinePunct w:val="0"/>
        <w:autoSpaceDE w:val="0"/>
        <w:autoSpaceDN w:val="0"/>
        <w:bidi w:val="0"/>
        <w:adjustRightInd/>
        <w:snapToGrid/>
        <w:spacing w:before="0" w:line="360" w:lineRule="auto"/>
        <w:jc w:val="right"/>
        <w:textAlignment w:val="auto"/>
        <w:rPr>
          <w:rFonts w:ascii="宋体" w:hAnsi="宋体" w:eastAsia="宋体" w:cs="宋体"/>
          <w:sz w:val="23"/>
          <w:szCs w:val="23"/>
        </w:rPr>
      </w:pPr>
      <w:r>
        <w:rPr>
          <w:rFonts w:ascii="宋体" w:hAnsi="宋体" w:eastAsia="宋体" w:cs="宋体"/>
          <w:spacing w:val="17"/>
          <w:sz w:val="23"/>
          <w:szCs w:val="23"/>
        </w:rPr>
        <w:t xml:space="preserve">(供应商代表签名) </w:t>
      </w:r>
      <w:r>
        <w:rPr>
          <w:rFonts w:ascii="宋体" w:hAnsi="宋体" w:eastAsia="宋体" w:cs="宋体"/>
          <w:spacing w:val="15"/>
          <w:sz w:val="23"/>
          <w:szCs w:val="23"/>
        </w:rPr>
        <w:t>：</w:t>
      </w:r>
    </w:p>
    <w:p>
      <w:pPr>
        <w:keepNext w:val="0"/>
        <w:keepLines w:val="0"/>
        <w:pageBreakBefore w:val="0"/>
        <w:widowControl w:val="0"/>
        <w:kinsoku/>
        <w:wordWrap/>
        <w:overflowPunct/>
        <w:topLinePunct w:val="0"/>
        <w:autoSpaceDE w:val="0"/>
        <w:autoSpaceDN w:val="0"/>
        <w:bidi w:val="0"/>
        <w:adjustRightInd/>
        <w:snapToGrid/>
        <w:spacing w:before="0" w:line="360" w:lineRule="auto"/>
        <w:jc w:val="right"/>
        <w:textAlignment w:val="auto"/>
        <w:rPr>
          <w:rFonts w:hint="eastAsia" w:ascii="宋体" w:hAnsi="宋体" w:eastAsia="宋体" w:cs="宋体"/>
          <w:spacing w:val="-1"/>
          <w:sz w:val="23"/>
          <w:szCs w:val="23"/>
          <w:lang w:val="en-US" w:eastAsia="zh-CN"/>
        </w:rPr>
      </w:pPr>
      <w:r>
        <w:rPr>
          <w:rFonts w:ascii="宋体" w:hAnsi="宋体" w:eastAsia="宋体" w:cs="宋体"/>
          <w:spacing w:val="-2"/>
          <w:sz w:val="23"/>
          <w:szCs w:val="23"/>
        </w:rPr>
        <w:t xml:space="preserve">日期： </w:t>
      </w:r>
      <w:r>
        <w:rPr>
          <w:rFonts w:ascii="宋体" w:hAnsi="宋体" w:eastAsia="宋体" w:cs="宋体"/>
          <w:spacing w:val="-1"/>
          <w:sz w:val="23"/>
          <w:szCs w:val="23"/>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0"/>
      <w:numFmt w:val="bullet"/>
      <w:lvlText w:val="□"/>
      <w:lvlJc w:val="left"/>
      <w:pPr>
        <w:ind w:left="259" w:hanging="152"/>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362" w:hanging="152"/>
      </w:pPr>
      <w:rPr>
        <w:rFonts w:hint="default"/>
        <w:lang w:val="zh-CN" w:eastAsia="zh-CN" w:bidi="zh-CN"/>
      </w:rPr>
    </w:lvl>
    <w:lvl w:ilvl="2" w:tentative="0">
      <w:start w:val="0"/>
      <w:numFmt w:val="bullet"/>
      <w:lvlText w:val="•"/>
      <w:lvlJc w:val="left"/>
      <w:pPr>
        <w:ind w:left="465" w:hanging="152"/>
      </w:pPr>
      <w:rPr>
        <w:rFonts w:hint="default"/>
        <w:lang w:val="zh-CN" w:eastAsia="zh-CN" w:bidi="zh-CN"/>
      </w:rPr>
    </w:lvl>
    <w:lvl w:ilvl="3" w:tentative="0">
      <w:start w:val="0"/>
      <w:numFmt w:val="bullet"/>
      <w:lvlText w:val="•"/>
      <w:lvlJc w:val="left"/>
      <w:pPr>
        <w:ind w:left="567" w:hanging="152"/>
      </w:pPr>
      <w:rPr>
        <w:rFonts w:hint="default"/>
        <w:lang w:val="zh-CN" w:eastAsia="zh-CN" w:bidi="zh-CN"/>
      </w:rPr>
    </w:lvl>
    <w:lvl w:ilvl="4" w:tentative="0">
      <w:start w:val="0"/>
      <w:numFmt w:val="bullet"/>
      <w:lvlText w:val="•"/>
      <w:lvlJc w:val="left"/>
      <w:pPr>
        <w:ind w:left="670" w:hanging="152"/>
      </w:pPr>
      <w:rPr>
        <w:rFonts w:hint="default"/>
        <w:lang w:val="zh-CN" w:eastAsia="zh-CN" w:bidi="zh-CN"/>
      </w:rPr>
    </w:lvl>
    <w:lvl w:ilvl="5" w:tentative="0">
      <w:start w:val="0"/>
      <w:numFmt w:val="bullet"/>
      <w:lvlText w:val="•"/>
      <w:lvlJc w:val="left"/>
      <w:pPr>
        <w:ind w:left="772" w:hanging="152"/>
      </w:pPr>
      <w:rPr>
        <w:rFonts w:hint="default"/>
        <w:lang w:val="zh-CN" w:eastAsia="zh-CN" w:bidi="zh-CN"/>
      </w:rPr>
    </w:lvl>
    <w:lvl w:ilvl="6" w:tentative="0">
      <w:start w:val="0"/>
      <w:numFmt w:val="bullet"/>
      <w:lvlText w:val="•"/>
      <w:lvlJc w:val="left"/>
      <w:pPr>
        <w:ind w:left="875" w:hanging="152"/>
      </w:pPr>
      <w:rPr>
        <w:rFonts w:hint="default"/>
        <w:lang w:val="zh-CN" w:eastAsia="zh-CN" w:bidi="zh-CN"/>
      </w:rPr>
    </w:lvl>
    <w:lvl w:ilvl="7" w:tentative="0">
      <w:start w:val="0"/>
      <w:numFmt w:val="bullet"/>
      <w:lvlText w:val="•"/>
      <w:lvlJc w:val="left"/>
      <w:pPr>
        <w:ind w:left="977" w:hanging="152"/>
      </w:pPr>
      <w:rPr>
        <w:rFonts w:hint="default"/>
        <w:lang w:val="zh-CN" w:eastAsia="zh-CN" w:bidi="zh-CN"/>
      </w:rPr>
    </w:lvl>
    <w:lvl w:ilvl="8" w:tentative="0">
      <w:start w:val="0"/>
      <w:numFmt w:val="bullet"/>
      <w:lvlText w:val="•"/>
      <w:lvlJc w:val="left"/>
      <w:pPr>
        <w:ind w:left="1080" w:hanging="152"/>
      </w:pPr>
      <w:rPr>
        <w:rFonts w:hint="default"/>
        <w:lang w:val="zh-CN" w:eastAsia="zh-CN" w:bidi="zh-CN"/>
      </w:rPr>
    </w:lvl>
  </w:abstractNum>
  <w:abstractNum w:abstractNumId="1">
    <w:nsid w:val="01BB6E73"/>
    <w:multiLevelType w:val="singleLevel"/>
    <w:tmpl w:val="01BB6E73"/>
    <w:lvl w:ilvl="0" w:tentative="0">
      <w:start w:val="1"/>
      <w:numFmt w:val="decimal"/>
      <w:lvlText w:val="%1."/>
      <w:lvlJc w:val="left"/>
      <w:pPr>
        <w:tabs>
          <w:tab w:val="left" w:pos="312"/>
        </w:tabs>
      </w:pPr>
    </w:lvl>
  </w:abstractNum>
  <w:abstractNum w:abstractNumId="2">
    <w:nsid w:val="0A180481"/>
    <w:multiLevelType w:val="singleLevel"/>
    <w:tmpl w:val="0A180481"/>
    <w:lvl w:ilvl="0" w:tentative="0">
      <w:start w:val="2"/>
      <w:numFmt w:val="chineseCounting"/>
      <w:suff w:val="nothing"/>
      <w:lvlText w:val="（%1）"/>
      <w:lvlJc w:val="left"/>
      <w:rPr>
        <w:rFonts w:hint="eastAsia"/>
      </w:rPr>
    </w:lvl>
  </w:abstractNum>
  <w:abstractNum w:abstractNumId="3">
    <w:nsid w:val="0F9CC7AC"/>
    <w:multiLevelType w:val="singleLevel"/>
    <w:tmpl w:val="0F9CC7AC"/>
    <w:lvl w:ilvl="0" w:tentative="0">
      <w:start w:val="3"/>
      <w:numFmt w:val="decimal"/>
      <w:suff w:val="nothing"/>
      <w:lvlText w:val="%1、"/>
      <w:lvlJc w:val="left"/>
    </w:lvl>
  </w:abstractNum>
  <w:abstractNum w:abstractNumId="4">
    <w:nsid w:val="6AA50D93"/>
    <w:multiLevelType w:val="singleLevel"/>
    <w:tmpl w:val="6AA50D93"/>
    <w:lvl w:ilvl="0" w:tentative="0">
      <w:start w:val="1"/>
      <w:numFmt w:val="chineseCounting"/>
      <w:suff w:val="nothing"/>
      <w:lvlText w:val="%1、"/>
      <w:lvlJc w:val="left"/>
      <w:rPr>
        <w:rFonts w:hint="eastAsia"/>
      </w:rPr>
    </w:lvl>
  </w:abstractNum>
  <w:abstractNum w:abstractNumId="5">
    <w:nsid w:val="7CE65CF4"/>
    <w:multiLevelType w:val="singleLevel"/>
    <w:tmpl w:val="7CE65CF4"/>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ZjhjYmYyMzdlMzZkM2VhY2I4ZDgzMTg0OWUxMjgifQ=="/>
  </w:docVars>
  <w:rsids>
    <w:rsidRoot w:val="00000000"/>
    <w:rsid w:val="013D63D7"/>
    <w:rsid w:val="02156C1C"/>
    <w:rsid w:val="024A5132"/>
    <w:rsid w:val="029579D0"/>
    <w:rsid w:val="03691DFA"/>
    <w:rsid w:val="036D7A7C"/>
    <w:rsid w:val="03710AF1"/>
    <w:rsid w:val="03D87D72"/>
    <w:rsid w:val="040C0819"/>
    <w:rsid w:val="04DE5CF7"/>
    <w:rsid w:val="05A63569"/>
    <w:rsid w:val="05F97E1E"/>
    <w:rsid w:val="06A273F7"/>
    <w:rsid w:val="06A760CE"/>
    <w:rsid w:val="06AB6CCC"/>
    <w:rsid w:val="08A54B35"/>
    <w:rsid w:val="08E56F08"/>
    <w:rsid w:val="09E7137F"/>
    <w:rsid w:val="0A84032F"/>
    <w:rsid w:val="0AE0030A"/>
    <w:rsid w:val="0B7D1945"/>
    <w:rsid w:val="0B9F6417"/>
    <w:rsid w:val="0BB05F2E"/>
    <w:rsid w:val="0BC77110"/>
    <w:rsid w:val="0C114183"/>
    <w:rsid w:val="0C517711"/>
    <w:rsid w:val="0D444548"/>
    <w:rsid w:val="0EC45B1A"/>
    <w:rsid w:val="0F1F1D92"/>
    <w:rsid w:val="0F2D614B"/>
    <w:rsid w:val="0FC05775"/>
    <w:rsid w:val="0FC85B1A"/>
    <w:rsid w:val="0FDA0FAE"/>
    <w:rsid w:val="10111B24"/>
    <w:rsid w:val="103069CC"/>
    <w:rsid w:val="10442618"/>
    <w:rsid w:val="106031B5"/>
    <w:rsid w:val="106353E7"/>
    <w:rsid w:val="117065EA"/>
    <w:rsid w:val="11873ABB"/>
    <w:rsid w:val="11887DFC"/>
    <w:rsid w:val="122D46DF"/>
    <w:rsid w:val="12C0114D"/>
    <w:rsid w:val="12CC7AF2"/>
    <w:rsid w:val="12F74B23"/>
    <w:rsid w:val="13897791"/>
    <w:rsid w:val="13DC3A1A"/>
    <w:rsid w:val="144B482A"/>
    <w:rsid w:val="15C401D1"/>
    <w:rsid w:val="15EA3467"/>
    <w:rsid w:val="173A5042"/>
    <w:rsid w:val="174D4F79"/>
    <w:rsid w:val="18443344"/>
    <w:rsid w:val="18AE7C99"/>
    <w:rsid w:val="1994787E"/>
    <w:rsid w:val="1A321EF1"/>
    <w:rsid w:val="1A405744"/>
    <w:rsid w:val="1A5D112F"/>
    <w:rsid w:val="1AA80E44"/>
    <w:rsid w:val="1ACC1861"/>
    <w:rsid w:val="1BBE616B"/>
    <w:rsid w:val="1BF434AF"/>
    <w:rsid w:val="1C275AE8"/>
    <w:rsid w:val="1C8651B5"/>
    <w:rsid w:val="1D8A2A83"/>
    <w:rsid w:val="1D947DCB"/>
    <w:rsid w:val="1F443106"/>
    <w:rsid w:val="203D6172"/>
    <w:rsid w:val="206A094A"/>
    <w:rsid w:val="20FA2C71"/>
    <w:rsid w:val="213B714B"/>
    <w:rsid w:val="21730B40"/>
    <w:rsid w:val="22543660"/>
    <w:rsid w:val="234C2977"/>
    <w:rsid w:val="245B6F27"/>
    <w:rsid w:val="24F353B2"/>
    <w:rsid w:val="25BC57A4"/>
    <w:rsid w:val="269D6920"/>
    <w:rsid w:val="272654B1"/>
    <w:rsid w:val="27BC4404"/>
    <w:rsid w:val="294C49D8"/>
    <w:rsid w:val="2BBA6EC5"/>
    <w:rsid w:val="2D621D0B"/>
    <w:rsid w:val="2FC43DA2"/>
    <w:rsid w:val="2FF83E01"/>
    <w:rsid w:val="31943F2B"/>
    <w:rsid w:val="31BB4B7F"/>
    <w:rsid w:val="31E879F3"/>
    <w:rsid w:val="32087FC3"/>
    <w:rsid w:val="321A79CD"/>
    <w:rsid w:val="32C45A01"/>
    <w:rsid w:val="32ED1692"/>
    <w:rsid w:val="338E7406"/>
    <w:rsid w:val="346A0AC1"/>
    <w:rsid w:val="358F15F6"/>
    <w:rsid w:val="35C00DE4"/>
    <w:rsid w:val="36F76CA4"/>
    <w:rsid w:val="38737AB2"/>
    <w:rsid w:val="39E0324E"/>
    <w:rsid w:val="3A1C0240"/>
    <w:rsid w:val="3B04743C"/>
    <w:rsid w:val="3BD54962"/>
    <w:rsid w:val="3C655DCB"/>
    <w:rsid w:val="3CC80A7A"/>
    <w:rsid w:val="3DC7486B"/>
    <w:rsid w:val="3DFB2940"/>
    <w:rsid w:val="3E295549"/>
    <w:rsid w:val="3EB23790"/>
    <w:rsid w:val="3F8854D6"/>
    <w:rsid w:val="40014199"/>
    <w:rsid w:val="40653CEF"/>
    <w:rsid w:val="41E00614"/>
    <w:rsid w:val="41F63994"/>
    <w:rsid w:val="42DD0AFB"/>
    <w:rsid w:val="430A7932"/>
    <w:rsid w:val="432F000C"/>
    <w:rsid w:val="434D1CD9"/>
    <w:rsid w:val="452C5B18"/>
    <w:rsid w:val="469F49FA"/>
    <w:rsid w:val="46F36279"/>
    <w:rsid w:val="47CB1EF5"/>
    <w:rsid w:val="48253225"/>
    <w:rsid w:val="490A0314"/>
    <w:rsid w:val="494E0E1C"/>
    <w:rsid w:val="4A7827A0"/>
    <w:rsid w:val="4D557B6C"/>
    <w:rsid w:val="4D675760"/>
    <w:rsid w:val="4F260E49"/>
    <w:rsid w:val="4F29408C"/>
    <w:rsid w:val="501C4F0D"/>
    <w:rsid w:val="50940F47"/>
    <w:rsid w:val="542B7DA1"/>
    <w:rsid w:val="54C6730F"/>
    <w:rsid w:val="55D10548"/>
    <w:rsid w:val="55E41D08"/>
    <w:rsid w:val="564231F4"/>
    <w:rsid w:val="564E7DEA"/>
    <w:rsid w:val="572806A2"/>
    <w:rsid w:val="57664CC0"/>
    <w:rsid w:val="57CB2B8F"/>
    <w:rsid w:val="58623FD0"/>
    <w:rsid w:val="58EB66F1"/>
    <w:rsid w:val="59FE5684"/>
    <w:rsid w:val="5B14721E"/>
    <w:rsid w:val="5B5437AD"/>
    <w:rsid w:val="5B721E85"/>
    <w:rsid w:val="5B8B1AB5"/>
    <w:rsid w:val="5C4A7DAD"/>
    <w:rsid w:val="5CD252D1"/>
    <w:rsid w:val="5D55261D"/>
    <w:rsid w:val="5D6A7020"/>
    <w:rsid w:val="5E056FE1"/>
    <w:rsid w:val="5E374E03"/>
    <w:rsid w:val="5E724613"/>
    <w:rsid w:val="5E8963CB"/>
    <w:rsid w:val="5F0F3A2C"/>
    <w:rsid w:val="5F4276FF"/>
    <w:rsid w:val="5FD11E38"/>
    <w:rsid w:val="60432297"/>
    <w:rsid w:val="60A85DAF"/>
    <w:rsid w:val="60DF754A"/>
    <w:rsid w:val="610B0DB2"/>
    <w:rsid w:val="613332DD"/>
    <w:rsid w:val="617F3420"/>
    <w:rsid w:val="62886432"/>
    <w:rsid w:val="62A276BA"/>
    <w:rsid w:val="62FC31F5"/>
    <w:rsid w:val="63221903"/>
    <w:rsid w:val="635D166D"/>
    <w:rsid w:val="64232FC7"/>
    <w:rsid w:val="64373621"/>
    <w:rsid w:val="65757142"/>
    <w:rsid w:val="675843DE"/>
    <w:rsid w:val="67A70AB4"/>
    <w:rsid w:val="68710EE4"/>
    <w:rsid w:val="68DC1B6E"/>
    <w:rsid w:val="69390811"/>
    <w:rsid w:val="69552E5C"/>
    <w:rsid w:val="69801C11"/>
    <w:rsid w:val="6A1F36EF"/>
    <w:rsid w:val="6AEF38C7"/>
    <w:rsid w:val="6BE4119E"/>
    <w:rsid w:val="6D0D5EB2"/>
    <w:rsid w:val="6D5C2995"/>
    <w:rsid w:val="6D65184A"/>
    <w:rsid w:val="6DC742B3"/>
    <w:rsid w:val="6DE20705"/>
    <w:rsid w:val="70027824"/>
    <w:rsid w:val="7007308C"/>
    <w:rsid w:val="701A0CA0"/>
    <w:rsid w:val="704E4817"/>
    <w:rsid w:val="7070428E"/>
    <w:rsid w:val="70B61111"/>
    <w:rsid w:val="70CE1AEF"/>
    <w:rsid w:val="71A94179"/>
    <w:rsid w:val="72FC3F9E"/>
    <w:rsid w:val="72FF629D"/>
    <w:rsid w:val="74714F78"/>
    <w:rsid w:val="762B2F49"/>
    <w:rsid w:val="765735BB"/>
    <w:rsid w:val="766960B5"/>
    <w:rsid w:val="77B17567"/>
    <w:rsid w:val="787F4EDA"/>
    <w:rsid w:val="78D14237"/>
    <w:rsid w:val="78D3578A"/>
    <w:rsid w:val="7AEA7832"/>
    <w:rsid w:val="7B59384B"/>
    <w:rsid w:val="7B86755B"/>
    <w:rsid w:val="7B8A691F"/>
    <w:rsid w:val="7BF869C4"/>
    <w:rsid w:val="7C066C59"/>
    <w:rsid w:val="7D494CE4"/>
    <w:rsid w:val="7D656EBA"/>
    <w:rsid w:val="7E545571"/>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3">
    <w:name w:val="heading 1"/>
    <w:basedOn w:val="1"/>
    <w:next w:val="1"/>
    <w:qFormat/>
    <w:uiPriority w:val="1"/>
    <w:pPr>
      <w:ind w:left="1099"/>
      <w:outlineLvl w:val="1"/>
    </w:pPr>
    <w:rPr>
      <w:rFonts w:ascii="微软雅黑" w:hAnsi="微软雅黑" w:eastAsia="微软雅黑" w:cs="微软雅黑"/>
      <w:b/>
      <w:bCs/>
      <w:sz w:val="44"/>
      <w:szCs w:val="44"/>
      <w:lang w:val="zh-CN" w:eastAsia="zh-CN" w:bidi="zh-CN"/>
    </w:rPr>
  </w:style>
  <w:style w:type="paragraph" w:styleId="4">
    <w:name w:val="heading 2"/>
    <w:basedOn w:val="1"/>
    <w:next w:val="1"/>
    <w:qFormat/>
    <w:uiPriority w:val="1"/>
    <w:pPr>
      <w:jc w:val="center"/>
      <w:outlineLvl w:val="2"/>
    </w:pPr>
    <w:rPr>
      <w:rFonts w:ascii="微软雅黑" w:hAnsi="微软雅黑" w:eastAsia="微软雅黑" w:cs="微软雅黑"/>
      <w:b/>
      <w:bCs/>
      <w:sz w:val="36"/>
      <w:szCs w:val="36"/>
      <w:lang w:val="zh-CN" w:eastAsia="zh-CN" w:bidi="zh-CN"/>
    </w:rPr>
  </w:style>
  <w:style w:type="paragraph" w:styleId="5">
    <w:name w:val="heading 3"/>
    <w:basedOn w:val="1"/>
    <w:next w:val="1"/>
    <w:qFormat/>
    <w:uiPriority w:val="1"/>
    <w:pPr>
      <w:ind w:left="1099"/>
      <w:outlineLvl w:val="3"/>
    </w:pPr>
    <w:rPr>
      <w:rFonts w:ascii="微软雅黑" w:hAnsi="微软雅黑" w:eastAsia="微软雅黑" w:cs="微软雅黑"/>
      <w:b/>
      <w:bCs/>
      <w:sz w:val="32"/>
      <w:szCs w:val="32"/>
      <w:lang w:val="zh-CN" w:eastAsia="zh-CN" w:bidi="zh-CN"/>
    </w:rPr>
  </w:style>
  <w:style w:type="paragraph" w:styleId="6">
    <w:name w:val="heading 4"/>
    <w:basedOn w:val="1"/>
    <w:next w:val="1"/>
    <w:qFormat/>
    <w:uiPriority w:val="1"/>
    <w:pPr>
      <w:ind w:left="652"/>
      <w:outlineLvl w:val="4"/>
    </w:pPr>
    <w:rPr>
      <w:rFonts w:ascii="微软雅黑" w:hAnsi="微软雅黑" w:eastAsia="微软雅黑" w:cs="微软雅黑"/>
      <w:b/>
      <w:bCs/>
      <w:sz w:val="24"/>
      <w:szCs w:val="24"/>
      <w:lang w:val="zh-CN" w:eastAsia="zh-CN" w:bidi="zh-CN"/>
    </w:rPr>
  </w:style>
  <w:style w:type="paragraph" w:styleId="7">
    <w:name w:val="heading 5"/>
    <w:basedOn w:val="1"/>
    <w:next w:val="1"/>
    <w:qFormat/>
    <w:uiPriority w:val="1"/>
    <w:pPr>
      <w:ind w:left="552"/>
      <w:outlineLvl w:val="4"/>
    </w:pPr>
    <w:rPr>
      <w:rFonts w:ascii="宋体" w:hAnsi="宋体" w:eastAsia="宋体" w:cs="宋体"/>
      <w:b/>
      <w:bCs/>
      <w:sz w:val="28"/>
      <w:szCs w:val="28"/>
      <w:lang w:val="zh-CN" w:eastAsia="zh-CN" w:bidi="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eastAsia="宋体" w:cs="Times New Roman"/>
      <w:b/>
      <w:color w:val="000000"/>
      <w:kern w:val="0"/>
      <w:sz w:val="32"/>
      <w:szCs w:val="32"/>
    </w:rPr>
  </w:style>
  <w:style w:type="paragraph" w:styleId="8">
    <w:name w:val="Body Text"/>
    <w:basedOn w:val="1"/>
    <w:next w:val="1"/>
    <w:qFormat/>
    <w:uiPriority w:val="1"/>
    <w:rPr>
      <w:rFonts w:ascii="微软雅黑" w:hAnsi="微软雅黑" w:eastAsia="微软雅黑" w:cs="微软雅黑"/>
      <w:sz w:val="24"/>
      <w:szCs w:val="24"/>
      <w:lang w:val="zh-CN" w:eastAsia="zh-CN" w:bidi="zh-CN"/>
    </w:rPr>
  </w:style>
  <w:style w:type="paragraph" w:styleId="9">
    <w:name w:val="Plain Text"/>
    <w:basedOn w:val="1"/>
    <w:next w:val="1"/>
    <w:qFormat/>
    <w:uiPriority w:val="99"/>
    <w:rPr>
      <w:rFonts w:ascii="宋体" w:hAnsi="Courier New" w:cs="宋体"/>
    </w:rPr>
  </w:style>
  <w:style w:type="paragraph" w:styleId="10">
    <w:name w:val="Date"/>
    <w:basedOn w:val="1"/>
    <w:next w:val="1"/>
    <w:qFormat/>
    <w:uiPriority w:val="0"/>
    <w:pPr>
      <w:widowControl w:val="0"/>
      <w:autoSpaceDE/>
      <w:autoSpaceDN/>
      <w:spacing w:before="0" w:after="0" w:line="240" w:lineRule="auto"/>
      <w:ind w:left="0" w:firstLine="0"/>
      <w:jc w:val="both"/>
    </w:pPr>
    <w:rPr>
      <w:rFonts w:eastAsia="楷体_GB2312"/>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6"/>
    <w:basedOn w:val="1"/>
    <w:next w:val="1"/>
    <w:qFormat/>
    <w:uiPriority w:val="39"/>
    <w:pPr>
      <w:ind w:left="2100" w:leftChars="10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w:basedOn w:val="8"/>
    <w:next w:val="12"/>
    <w:unhideWhenUsed/>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9"/>
    <w:next w:val="8"/>
    <w:qFormat/>
    <w:uiPriority w:val="1624"/>
    <w:pPr>
      <w:spacing w:line="420" w:lineRule="atLeast"/>
      <w:jc w:val="left"/>
      <w:textAlignment w:val="baseline"/>
    </w:pPr>
    <w:rPr>
      <w:kern w:val="0"/>
    </w:rPr>
  </w:style>
  <w:style w:type="paragraph" w:styleId="19">
    <w:name w:val="List Paragraph"/>
    <w:basedOn w:val="1"/>
    <w:qFormat/>
    <w:uiPriority w:val="1"/>
    <w:pPr>
      <w:ind w:left="652"/>
    </w:pPr>
    <w:rPr>
      <w:rFonts w:ascii="微软雅黑" w:hAnsi="微软雅黑" w:eastAsia="微软雅黑" w:cs="微软雅黑"/>
      <w:lang w:val="zh-CN" w:eastAsia="zh-CN" w:bidi="zh-CN"/>
    </w:rPr>
  </w:style>
  <w:style w:type="paragraph" w:customStyle="1" w:styleId="20">
    <w:name w:val="Table Paragraph"/>
    <w:basedOn w:val="1"/>
    <w:qFormat/>
    <w:uiPriority w:val="1"/>
    <w:rPr>
      <w:rFonts w:ascii="微软雅黑" w:hAnsi="微软雅黑" w:eastAsia="微软雅黑" w:cs="微软雅黑"/>
      <w:lang w:val="zh-CN" w:eastAsia="zh-CN" w:bidi="zh-CN"/>
    </w:rPr>
  </w:style>
  <w:style w:type="paragraph" w:customStyle="1" w:styleId="21">
    <w:name w:val="正文首行缩进1"/>
    <w:basedOn w:val="8"/>
    <w:qFormat/>
    <w:uiPriority w:val="2457"/>
    <w:pPr>
      <w:spacing w:line="360" w:lineRule="auto"/>
      <w:ind w:left="0" w:right="0" w:firstLine="200"/>
      <w:jc w:val="left"/>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28274</Words>
  <Characters>29865</Characters>
  <Lines>0</Lines>
  <Paragraphs>0</Paragraphs>
  <TotalTime>7</TotalTime>
  <ScaleCrop>false</ScaleCrop>
  <LinksUpToDate>false</LinksUpToDate>
  <CharactersWithSpaces>31685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2022-06-07T01:29:00Z</dcterms:created>
  <dc:creator>Administrator</dc:creator>
  <cp:lastModifiedBy>燃烧的腿毛</cp:lastModifiedBy>
  <dcterms:modified xsi:type="dcterms:W3CDTF">2022-12-14T08:34:43Z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F108136B5F424EF6BBE570E36717C7E2</vt:lpwstr>
  </property>
</Properties>
</file>