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jc w:val="center"/>
        <w:rPr>
          <w:rFonts w:ascii="宋体" w:cs="宋体"/>
          <w:b/>
          <w:bCs/>
          <w:color w:val="000000" w:themeColor="text1"/>
          <w:kern w:val="0"/>
          <w:sz w:val="52"/>
          <w:szCs w:val="52"/>
        </w:rPr>
      </w:pPr>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88"/>
        <w:jc w:val="center"/>
        <w:rPr>
          <w:rFonts w:ascii="宋体"/>
          <w:b/>
          <w:bCs/>
          <w:color w:val="000000" w:themeColor="text1"/>
          <w:kern w:val="0"/>
          <w:sz w:val="52"/>
          <w:szCs w:val="52"/>
        </w:rPr>
      </w:pPr>
      <w:r>
        <w:t>温岭市公共视频一体化建设二期东片视频图像服务采购</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rPr>
          <w:rFonts w:ascii="宋体" w:cs="宋体"/>
          <w:b/>
          <w:bCs/>
          <w:color w:val="000000" w:themeColor="text1"/>
          <w:kern w:val="0"/>
          <w:sz w:val="52"/>
          <w:szCs w:val="52"/>
        </w:rPr>
      </w:pPr>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cs="宋体"/>
          <w:b/>
          <w:bCs/>
          <w:color w:val="000000" w:themeColor="text1"/>
          <w:kern w:val="0"/>
          <w:sz w:val="52"/>
          <w:szCs w:val="52"/>
        </w:rPr>
      </w:pPr>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bCs/>
          <w:color w:val="000000" w:themeColor="text1"/>
          <w:kern w:val="0"/>
          <w:sz w:val="96"/>
          <w:szCs w:val="96"/>
        </w:rPr>
      </w:pPr>
      <w:r>
        <w:t>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sz w:val="24"/>
          <w:szCs w:val="24"/>
        </w:rPr>
      </w:pPr>
      <w:r>
        <w:t>（线上电子招投标）</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left"/>
        <w:rPr>
          <w:rFonts w:ascii="宋体" w:cs="宋体"/>
          <w:color w:val="000000" w:themeColor="text1"/>
          <w:kern w:val="0"/>
          <w:sz w:val="32"/>
          <w:szCs w:val="32"/>
        </w:rPr>
      </w:pPr>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2124" w:firstLineChars="664"/>
        <w:jc w:val="left"/>
        <w:rPr>
          <w:rFonts w:ascii="宋体"/>
          <w:color w:val="000000" w:themeColor="text1"/>
          <w:kern w:val="0"/>
          <w:sz w:val="32"/>
          <w:szCs w:val="32"/>
        </w:rPr>
      </w:pPr>
      <w:r>
        <w:t xml:space="preserve">项目编号： WLCG-2023-22-GK             </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szCs w:val="24"/>
        </w:rPr>
      </w:pPr>
      <w:r/>
    </w:p>
    <w:p>
      <w:pPr>
        <w:autoSpaceDE w:val="0"/>
        <w:autoSpaceDN w:val="0"/>
        <w:adjustRightInd w:val="0"/>
        <w:spacing w:line="360" w:lineRule="auto"/>
        <w:rPr>
          <w:rFonts w:ascii="宋体"/>
          <w:b/>
          <w:bCs/>
          <w:color w:val="000000" w:themeColor="text1"/>
          <w:kern w:val="0"/>
          <w:sz w:val="52"/>
          <w:szCs w:val="52"/>
        </w:rPr>
      </w:pPr>
      <w:r/>
    </w:p>
    <w:p>
      <w:pPr>
        <w:autoSpaceDE w:val="0"/>
        <w:autoSpaceDN w:val="0"/>
        <w:adjustRightInd w:val="0"/>
        <w:spacing w:line="360" w:lineRule="auto"/>
        <w:rPr>
          <w:rFonts w:ascii="宋体"/>
          <w:b/>
          <w:bCs/>
          <w:color w:val="000000" w:themeColor="text1"/>
          <w:kern w:val="0"/>
          <w:sz w:val="52"/>
          <w:szCs w:val="52"/>
        </w:rPr>
      </w:pPr>
      <w:r/>
    </w:p>
    <w:p>
      <w:pPr>
        <w:autoSpaceDE w:val="0"/>
        <w:autoSpaceDN w:val="0"/>
        <w:adjustRightInd w:val="0"/>
        <w:spacing w:line="360" w:lineRule="auto"/>
        <w:jc w:val="left"/>
        <w:rPr>
          <w:rFonts w:ascii="宋体"/>
          <w:color w:val="000000" w:themeColor="text1"/>
          <w:kern w:val="0"/>
          <w:sz w:val="32"/>
          <w:szCs w:val="32"/>
        </w:rPr>
      </w:pPr>
      <w:r/>
    </w:p>
    <w:tbl>
      <w:tblPr>
        <w:tblStyle w:val="59"/>
        <w:tblW w:w="6840" w:type="dxa"/>
        <w:tblInd w:w="1548" w:type="dxa"/>
        <w:tblLayout w:type="fixed"/>
        <w:tblCellMar>
          <w:top w:w="0" w:type="dxa"/>
          <w:left w:w="108" w:type="dxa"/>
          <w:bottom w:w="0" w:type="dxa"/>
          <w:right w:w="108" w:type="dxa"/>
        </w:tblCellMar>
      </w:tblPr>
      <w:tblGrid>
        <w:gridCol w:w="2340"/>
        <w:gridCol w:w="4500"/>
      </w:tblGrid>
      <w:tr>
        <w:tblPrEx>
          <w:tblCellMar>
            <w:top w:w="0" w:type="dxa"/>
            <w:left w:w="108" w:type="dxa"/>
            <w:bottom w:w="0" w:type="dxa"/>
            <w:right w:w="108" w:type="dxa"/>
          </w:tblCellMar>
        </w:tblPrEx>
        <w:tc>
          <w:tcPr>
            <w:tcW w:w="2340" w:type="dxa"/>
          </w:tcPr>
          <w:p>
            <w:r>
              <w:t>采购人：</w:t>
            </w:r>
          </w:p>
        </w:tc>
        <w:tc>
          <w:tcPr>
            <w:tcW w:w="4500" w:type="dxa"/>
          </w:tcPr>
          <w:p>
            <w:r>
              <w:t xml:space="preserve">温岭市公安局           </w:t>
            </w:r>
          </w:p>
        </w:tc>
      </w:tr>
      <w:tr>
        <w:tblPrEx>
          <w:tblCellMar>
            <w:top w:w="0" w:type="dxa"/>
            <w:left w:w="108" w:type="dxa"/>
            <w:bottom w:w="0" w:type="dxa"/>
            <w:right w:w="108" w:type="dxa"/>
          </w:tblCellMar>
        </w:tblPrEx>
        <w:trPr>
          <w:trHeight w:val="516" w:hRule="atLeast"/>
        </w:trPr>
        <w:tc>
          <w:tcPr>
            <w:tcW w:w="2340" w:type="dxa"/>
          </w:tcPr>
          <w:p>
            <w:r>
              <w:t>采购代理机构：</w:t>
            </w:r>
          </w:p>
        </w:tc>
        <w:tc>
          <w:tcPr>
            <w:tcW w:w="4500" w:type="dxa"/>
          </w:tcPr>
          <w:p>
            <w:r>
              <w:t>温岭市政府采购中心</w:t>
            </w:r>
          </w:p>
        </w:tc>
      </w:tr>
      <w:tr>
        <w:tblPrEx>
          <w:tblCellMar>
            <w:top w:w="0" w:type="dxa"/>
            <w:left w:w="108" w:type="dxa"/>
            <w:bottom w:w="0" w:type="dxa"/>
            <w:right w:w="108" w:type="dxa"/>
          </w:tblCellMar>
        </w:tblPrEx>
        <w:tc>
          <w:tcPr>
            <w:tcW w:w="2340" w:type="dxa"/>
          </w:tcPr>
          <w:p>
            <w:r>
              <w:t>备案单位：</w:t>
            </w:r>
          </w:p>
        </w:tc>
        <w:tc>
          <w:tcPr>
            <w:tcW w:w="4500" w:type="dxa"/>
          </w:tcPr>
          <w:p>
            <w:r>
              <w:t>温岭市财政局政府采购监管科</w:t>
            </w:r>
          </w:p>
        </w:tc>
      </w:tr>
      <w:tr>
        <w:trPr>
          <w:trHeight w:val="716" w:hRule="atLeast"/>
        </w:trPr>
        <w:tc>
          <w:tcPr>
            <w:tcW w:w="6840" w:type="dxa"/>
            <w:gridSpan w:val="2"/>
          </w:tcPr>
          <w:p>
            <w:r>
              <w:t>二○二三年</w:t>
            </w:r>
          </w:p>
        </w:tc>
      </w:tr>
    </w:tbl>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640" w:firstLineChars="200"/>
        <w:jc w:val="center"/>
        <w:rPr>
          <w:rFonts w:ascii="宋体"/>
          <w:color w:val="000000" w:themeColor="text1"/>
          <w:kern w:val="0"/>
          <w:sz w:val="32"/>
          <w:szCs w:val="32"/>
        </w:rPr>
      </w:pPr>
      <w:r/>
    </w:p>
    <w:p>
      <w:pPr>
        <w:jc w:val="center"/>
        <w:rPr>
          <w:rFonts w:ascii="宋体" w:hAnsi="宋体" w:cs="宋体"/>
          <w:b/>
          <w:bCs/>
          <w:color w:val="000000" w:themeColor="text1"/>
          <w:sz w:val="48"/>
          <w:szCs w:val="48"/>
        </w:rPr>
        <w:sectPr>
          <w:footerReference r:id="rId6" w:type="first"/>
          <w:headerReference r:id="rId3" w:type="default"/>
          <w:headerReference r:id="rId4" w:type="even"/>
          <w:footerReference r:id="rId5" w:type="even"/>
          <w:pgSz w:w="11906" w:h="16838"/>
          <w:pgMar w:top="1588" w:right="1797" w:bottom="1304" w:left="1797" w:header="851" w:footer="992" w:gutter="0"/>
          <w:pgNumType w:start="1"/>
          <w:cols w:space="720" w:num="1"/>
          <w:titlePg/>
          <w:docGrid w:type="lines" w:linePitch="312" w:charSpace="0"/>
        </w:sectPr>
      </w:pPr>
      <w:r/>
    </w:p>
    <w:p>
      <w:pPr>
        <w:jc w:val="center"/>
        <w:rPr>
          <w:rFonts w:ascii="宋体"/>
          <w:b/>
          <w:bCs/>
          <w:color w:val="000000" w:themeColor="text1"/>
          <w:sz w:val="48"/>
          <w:szCs w:val="48"/>
        </w:rPr>
      </w:pPr>
      <w:r>
        <w:t>目    录</w:t>
      </w:r>
    </w:p>
    <w:p>
      <w:pPr>
        <w:pStyle w:val="134"/>
        <w:tabs>
          <w:tab w:val="right" w:leader="dot" w:pos="8620"/>
        </w:tabs>
        <w:rPr>
          <w:color w:val="000000" w:themeColor="text1"/>
        </w:rPr>
      </w:pPr>
      <w:r/>
    </w:p>
    <w:p>
      <w:pPr>
        <w:pStyle w:val="134"/>
        <w:tabs>
          <w:tab w:val="right" w:leader="dot" w:pos="8620"/>
        </w:tabs>
        <w:rPr>
          <w:rFonts w:ascii="宋体" w:hAnsi="宋体" w:cs="宋体"/>
          <w:color w:val="000000" w:themeColor="text1"/>
          <w:kern w:val="2"/>
          <w:sz w:val="28"/>
          <w:szCs w:val="28"/>
        </w:rPr>
      </w:pPr>
      <w:r>
        <w:t>第一章 投标邀请</w:t>
        <w:tab/>
        <w:t>3</w:t>
      </w:r>
    </w:p>
    <w:p>
      <w:pPr>
        <w:pStyle w:val="134"/>
        <w:tabs>
          <w:tab w:val="right" w:leader="dot" w:pos="8620"/>
        </w:tabs>
        <w:rPr>
          <w:rFonts w:ascii="宋体" w:hAnsi="宋体" w:cs="宋体"/>
          <w:color w:val="000000" w:themeColor="text1"/>
          <w:kern w:val="2"/>
          <w:sz w:val="28"/>
          <w:szCs w:val="28"/>
        </w:rPr>
      </w:pPr>
      <w:r>
        <w:t>第二章 投标人须知</w:t>
        <w:tab/>
        <w:t>7</w:t>
      </w:r>
    </w:p>
    <w:p>
      <w:pPr>
        <w:pStyle w:val="134"/>
        <w:tabs>
          <w:tab w:val="right" w:leader="dot" w:pos="8620"/>
        </w:tabs>
        <w:rPr>
          <w:rFonts w:ascii="宋体" w:hAnsi="宋体" w:cs="宋体"/>
          <w:color w:val="000000" w:themeColor="text1"/>
          <w:kern w:val="2"/>
          <w:sz w:val="28"/>
          <w:szCs w:val="28"/>
        </w:rPr>
      </w:pPr>
      <w:r>
        <w:t>第三章 评标办法及评分标准</w:t>
        <w:tab/>
        <w:t>22</w:t>
      </w:r>
    </w:p>
    <w:p>
      <w:pPr>
        <w:pStyle w:val="134"/>
        <w:tabs>
          <w:tab w:val="right" w:leader="dot" w:pos="8620"/>
        </w:tabs>
        <w:rPr>
          <w:rFonts w:ascii="宋体" w:hAnsi="宋体" w:cs="宋体"/>
          <w:color w:val="000000" w:themeColor="text1"/>
          <w:kern w:val="2"/>
          <w:sz w:val="28"/>
          <w:szCs w:val="28"/>
        </w:rPr>
      </w:pPr>
      <w:r>
        <w:t>第四章 采购需求</w:t>
        <w:tab/>
        <w:t>27</w:t>
      </w:r>
    </w:p>
    <w:p>
      <w:pPr>
        <w:pStyle w:val="134"/>
        <w:tabs>
          <w:tab w:val="right" w:leader="dot" w:pos="8620"/>
        </w:tabs>
        <w:rPr>
          <w:rFonts w:ascii="宋体" w:hAnsi="宋体" w:cs="宋体"/>
          <w:color w:val="000000" w:themeColor="text1"/>
          <w:kern w:val="2"/>
          <w:sz w:val="28"/>
          <w:szCs w:val="28"/>
        </w:rPr>
      </w:pPr>
      <w:r>
        <w:t>第五章 合同文本</w:t>
        <w:tab/>
        <w:t>68</w:t>
      </w:r>
    </w:p>
    <w:p>
      <w:pPr>
        <w:pStyle w:val="134"/>
        <w:tabs>
          <w:tab w:val="right" w:leader="dot" w:pos="8620"/>
        </w:tabs>
        <w:rPr>
          <w:color w:val="000000" w:themeColor="text1"/>
        </w:rPr>
      </w:pPr>
      <w:r>
        <w:t>第六章 投标文件格式附件</w:t>
        <w:tab/>
        <w:t>74</w:t>
      </w:r>
    </w:p>
    <w:p>
      <w:pPr>
        <w:pStyle w:val="134"/>
        <w:tabs>
          <w:tab w:val="right" w:leader="dot" w:pos="8620"/>
        </w:tabs>
        <w:rPr>
          <w:color w:val="000000" w:themeColor="text1"/>
        </w:rPr>
      </w:pPr>
      <w:r/>
    </w:p>
    <w:p>
      <w:pPr>
        <w:tabs>
          <w:tab w:val="left" w:pos="1168"/>
        </w:tabs>
        <w:spacing w:line="360" w:lineRule="auto"/>
        <w:ind w:left="568"/>
        <w:outlineLvl w:val="0"/>
        <w:rPr>
          <w:rFonts w:ascii="宋体" w:cs="宋体"/>
          <w:color w:val="000000" w:themeColor="text1"/>
          <w:sz w:val="28"/>
          <w:szCs w:val="28"/>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spacing w:line="360" w:lineRule="auto"/>
        <w:rPr>
          <w:color w:val="000000" w:themeColor="text1"/>
        </w:rPr>
      </w:pPr>
      <w:r/>
    </w:p>
    <w:p>
      <w:pPr>
        <w:widowControl/>
        <w:jc w:val="center"/>
        <w:outlineLvl w:val="0"/>
        <w:rPr>
          <w:rFonts w:ascii="宋体" w:hAnsi="宋体" w:cs="宋体"/>
          <w:b/>
          <w:bCs/>
          <w:color w:val="000000" w:themeColor="text1"/>
          <w:kern w:val="0"/>
          <w:sz w:val="36"/>
          <w:szCs w:val="36"/>
        </w:rPr>
        <w:sectPr>
          <w:headerReference r:id="rId8" w:type="first"/>
          <w:headerReference r:id="rId7" w:type="default"/>
          <w:footerReference r:id="rId9" w:type="default"/>
          <w:pgSz w:w="11906" w:h="16838"/>
          <w:pgMar w:top="1361" w:right="1274" w:bottom="1361" w:left="1418" w:header="851" w:footer="992" w:gutter="0"/>
          <w:cols w:space="425" w:num="1"/>
          <w:titlePg/>
          <w:docGrid w:type="lines" w:linePitch="312" w:charSpace="0"/>
        </w:sectPr>
      </w:pPr>
      <w:r/>
    </w:p>
    <w:p>
      <w:pPr>
        <w:tabs>
          <w:tab w:val="left" w:pos="180"/>
          <w:tab w:val="left" w:pos="360"/>
          <w:tab w:val="left" w:pos="540"/>
          <w:tab w:val="left" w:pos="8280"/>
        </w:tabs>
        <w:autoSpaceDE w:val="0"/>
        <w:autoSpaceDN w:val="0"/>
        <w:adjustRightInd w:val="0"/>
        <w:spacing w:line="360" w:lineRule="auto"/>
        <w:ind w:right="23"/>
        <w:jc w:val="center"/>
        <w:rPr>
          <w:rFonts w:ascii="宋体" w:cs="宋体"/>
          <w:color w:val="000000" w:themeColor="text1"/>
          <w:kern w:val="0"/>
          <w:sz w:val="24"/>
          <w:szCs w:val="24"/>
        </w:rPr>
      </w:pPr>
      <w:r>
        <w:t>第一章 投标邀请</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温岭市政府采购中心受温岭市公安局委托，就温岭市公共视频一体化建设二期东片视频图像服务采购项目进行公开招标，欢迎符合资格条件的国内投标人参加投标。</w:t>
      </w:r>
    </w:p>
    <w:p>
      <w:pPr>
        <w:tabs>
          <w:tab w:val="left" w:pos="180"/>
          <w:tab w:val="left" w:pos="360"/>
          <w:tab w:val="left" w:pos="540"/>
          <w:tab w:val="left" w:pos="8280"/>
        </w:tabs>
        <w:autoSpaceDE w:val="0"/>
        <w:autoSpaceDN w:val="0"/>
        <w:adjustRightInd w:val="0"/>
        <w:spacing w:line="440" w:lineRule="exact"/>
        <w:ind w:firstLine="482" w:firstLineChars="200"/>
        <w:jc w:val="left"/>
        <w:rPr>
          <w:rFonts w:ascii="宋体" w:cs="宋体"/>
          <w:color w:val="000000" w:themeColor="text1"/>
          <w:kern w:val="0"/>
          <w:sz w:val="24"/>
          <w:szCs w:val="24"/>
        </w:rPr>
      </w:pPr>
      <w:r>
        <w:t>一、项目编号：WLCG-2023-22-GK</w:t>
      </w:r>
    </w:p>
    <w:p>
      <w:pPr>
        <w:tabs>
          <w:tab w:val="left" w:pos="180"/>
          <w:tab w:val="left" w:pos="360"/>
          <w:tab w:val="left" w:pos="540"/>
          <w:tab w:val="left" w:pos="8280"/>
        </w:tabs>
        <w:autoSpaceDE w:val="0"/>
        <w:autoSpaceDN w:val="0"/>
        <w:adjustRightInd w:val="0"/>
        <w:spacing w:line="440" w:lineRule="exact"/>
        <w:ind w:firstLine="482" w:firstLineChars="200"/>
        <w:jc w:val="left"/>
        <w:rPr>
          <w:rFonts w:ascii="宋体" w:cs="宋体"/>
          <w:b/>
          <w:bCs/>
          <w:color w:val="000000" w:themeColor="text1"/>
          <w:kern w:val="0"/>
          <w:sz w:val="24"/>
          <w:szCs w:val="24"/>
        </w:rPr>
      </w:pPr>
      <w:r>
        <w:t>二、采购组织类型：政府集中采购</w:t>
      </w:r>
    </w:p>
    <w:p>
      <w:pPr>
        <w:tabs>
          <w:tab w:val="left" w:pos="180"/>
          <w:tab w:val="left" w:pos="360"/>
          <w:tab w:val="left" w:pos="540"/>
          <w:tab w:val="left" w:pos="8280"/>
        </w:tabs>
        <w:autoSpaceDE w:val="0"/>
        <w:autoSpaceDN w:val="0"/>
        <w:adjustRightInd w:val="0"/>
        <w:spacing w:line="440" w:lineRule="exact"/>
        <w:ind w:firstLine="482" w:firstLineChars="200"/>
        <w:jc w:val="left"/>
        <w:rPr>
          <w:rFonts w:ascii="宋体" w:cs="宋体"/>
          <w:b/>
          <w:bCs/>
          <w:color w:val="000000" w:themeColor="text1"/>
          <w:kern w:val="0"/>
          <w:sz w:val="24"/>
          <w:szCs w:val="24"/>
        </w:rPr>
      </w:pPr>
      <w:r>
        <w:t>三、公告期限：5个工作日</w:t>
      </w:r>
    </w:p>
    <w:p>
      <w:pPr>
        <w:tabs>
          <w:tab w:val="left" w:pos="180"/>
          <w:tab w:val="left" w:pos="360"/>
          <w:tab w:val="left" w:pos="540"/>
          <w:tab w:val="left" w:pos="8280"/>
        </w:tabs>
        <w:autoSpaceDE w:val="0"/>
        <w:autoSpaceDN w:val="0"/>
        <w:adjustRightInd w:val="0"/>
        <w:spacing w:line="440" w:lineRule="exact"/>
        <w:ind w:firstLine="482" w:firstLineChars="200"/>
        <w:jc w:val="left"/>
        <w:rPr>
          <w:rFonts w:ascii="宋体" w:cs="宋体"/>
          <w:color w:val="000000" w:themeColor="text1"/>
          <w:sz w:val="24"/>
          <w:szCs w:val="24"/>
        </w:rPr>
      </w:pPr>
      <w:r>
        <w:t>四、招标项目概况：</w:t>
      </w:r>
    </w:p>
    <w:p>
      <w:pPr>
        <w:pStyle w:val="27"/>
        <w:rPr>
          <w:rStyle w:val="131"/>
          <w:rFonts w:ascii="微软雅黑" w:hAnsi="微软雅黑" w:eastAsia="微软雅黑" w:cs="微软雅黑"/>
          <w:sz w:val="22"/>
          <w:szCs w:val="22"/>
        </w:rPr>
      </w:pPr>
      <w:r>
        <w:t>温岭市公共视频一体化建设二期东片：731路视频图像服务</w:t>
      </w:r>
    </w:p>
    <w:tbl>
      <w:tblPr>
        <w:tblStyle w:val="59"/>
        <w:tblW w:w="9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3059"/>
        <w:gridCol w:w="707"/>
        <w:gridCol w:w="707"/>
        <w:gridCol w:w="1346"/>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序号</w:t>
            </w:r>
          </w:p>
        </w:tc>
        <w:tc>
          <w:tcPr>
            <w:tcW w:w="3059" w:type="dxa"/>
            <w:vAlign w:val="center"/>
          </w:tcPr>
          <w:p>
            <w:r>
              <w:t>项目名称</w:t>
            </w:r>
          </w:p>
        </w:tc>
        <w:tc>
          <w:tcPr>
            <w:tcW w:w="707" w:type="dxa"/>
            <w:vAlign w:val="center"/>
          </w:tcPr>
          <w:p>
            <w:r>
              <w:t>数量</w:t>
            </w:r>
          </w:p>
        </w:tc>
        <w:tc>
          <w:tcPr>
            <w:tcW w:w="707" w:type="dxa"/>
            <w:vAlign w:val="center"/>
          </w:tcPr>
          <w:p>
            <w:r>
              <w:t>单位</w:t>
            </w:r>
          </w:p>
        </w:tc>
        <w:tc>
          <w:tcPr>
            <w:tcW w:w="1346" w:type="dxa"/>
            <w:vAlign w:val="center"/>
          </w:tcPr>
          <w:p>
            <w:r>
              <w:t>预算金额</w:t>
            </w:r>
          </w:p>
        </w:tc>
        <w:tc>
          <w:tcPr>
            <w:tcW w:w="2550" w:type="dxa"/>
            <w:vAlign w:val="center"/>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1</w:t>
            </w:r>
          </w:p>
        </w:tc>
        <w:tc>
          <w:tcPr>
            <w:tcW w:w="3059" w:type="dxa"/>
            <w:vAlign w:val="center"/>
          </w:tcPr>
          <w:p>
            <w:r>
              <w:t>双光谱转台型摄像机服务</w:t>
            </w:r>
          </w:p>
        </w:tc>
        <w:tc>
          <w:tcPr>
            <w:tcW w:w="707" w:type="dxa"/>
            <w:vAlign w:val="center"/>
          </w:tcPr>
          <w:p>
            <w:r>
              <w:t>16</w:t>
            </w:r>
          </w:p>
        </w:tc>
        <w:tc>
          <w:tcPr>
            <w:tcW w:w="707" w:type="dxa"/>
            <w:vAlign w:val="center"/>
          </w:tcPr>
          <w:p>
            <w:r>
              <w:t>路</w:t>
            </w:r>
          </w:p>
        </w:tc>
        <w:tc>
          <w:tcPr>
            <w:tcW w:w="1346" w:type="dxa"/>
            <w:vMerge w:val="restart"/>
            <w:vAlign w:val="center"/>
          </w:tcPr>
          <w:p>
            <w:r>
              <w:t>18747921元</w:t>
            </w:r>
          </w:p>
        </w:tc>
        <w:tc>
          <w:tcPr>
            <w:tcW w:w="2550" w:type="dxa"/>
            <w:vMerge w:val="restart"/>
            <w:vAlign w:val="center"/>
          </w:tcPr>
          <w:p>
            <w:r>
              <w:t>服务内容包含实现本项目需求的设备租赁及运行维护服务、光纤租赁、设备用电、整个监控系统的维修维护服务等。其他要求详见公开招标需求。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2</w:t>
            </w:r>
          </w:p>
        </w:tc>
        <w:tc>
          <w:tcPr>
            <w:tcW w:w="3059" w:type="dxa"/>
            <w:vAlign w:val="center"/>
          </w:tcPr>
          <w:p>
            <w:r>
              <w:t>人脸抓拍机服务</w:t>
            </w:r>
          </w:p>
        </w:tc>
        <w:tc>
          <w:tcPr>
            <w:tcW w:w="707" w:type="dxa"/>
            <w:vAlign w:val="center"/>
          </w:tcPr>
          <w:p>
            <w:r>
              <w:t>168</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3</w:t>
            </w:r>
          </w:p>
        </w:tc>
        <w:tc>
          <w:tcPr>
            <w:tcW w:w="3059" w:type="dxa"/>
            <w:vAlign w:val="center"/>
          </w:tcPr>
          <w:p>
            <w:r>
              <w:t>激光球型摄像机服务</w:t>
            </w:r>
          </w:p>
        </w:tc>
        <w:tc>
          <w:tcPr>
            <w:tcW w:w="707" w:type="dxa"/>
            <w:vAlign w:val="center"/>
          </w:tcPr>
          <w:p>
            <w:r>
              <w:t>68</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4</w:t>
            </w:r>
          </w:p>
        </w:tc>
        <w:tc>
          <w:tcPr>
            <w:tcW w:w="3059" w:type="dxa"/>
            <w:vAlign w:val="center"/>
          </w:tcPr>
          <w:p>
            <w:r>
              <w:t>多摄超星光球机服务</w:t>
            </w:r>
          </w:p>
        </w:tc>
        <w:tc>
          <w:tcPr>
            <w:tcW w:w="707" w:type="dxa"/>
            <w:vAlign w:val="center"/>
          </w:tcPr>
          <w:p>
            <w:r>
              <w:t>105</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5</w:t>
            </w:r>
          </w:p>
        </w:tc>
        <w:tc>
          <w:tcPr>
            <w:tcW w:w="3059" w:type="dxa"/>
            <w:vAlign w:val="center"/>
          </w:tcPr>
          <w:p>
            <w:r>
              <w:t>校园双镜头摄像机服务</w:t>
            </w:r>
          </w:p>
        </w:tc>
        <w:tc>
          <w:tcPr>
            <w:tcW w:w="707" w:type="dxa"/>
            <w:vAlign w:val="center"/>
          </w:tcPr>
          <w:p>
            <w:r>
              <w:t>187</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6</w:t>
            </w:r>
          </w:p>
        </w:tc>
        <w:tc>
          <w:tcPr>
            <w:tcW w:w="3059" w:type="dxa"/>
            <w:vAlign w:val="center"/>
          </w:tcPr>
          <w:p>
            <w:r>
              <w:t>溢洪口水位观测相机服务</w:t>
            </w:r>
          </w:p>
        </w:tc>
        <w:tc>
          <w:tcPr>
            <w:tcW w:w="707" w:type="dxa"/>
            <w:vAlign w:val="center"/>
          </w:tcPr>
          <w:p>
            <w:r>
              <w:t>5</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7</w:t>
            </w:r>
          </w:p>
        </w:tc>
        <w:tc>
          <w:tcPr>
            <w:tcW w:w="3059" w:type="dxa"/>
            <w:vAlign w:val="center"/>
          </w:tcPr>
          <w:p>
            <w:r>
              <w:t>三球一体机服务</w:t>
            </w:r>
          </w:p>
        </w:tc>
        <w:tc>
          <w:tcPr>
            <w:tcW w:w="707" w:type="dxa"/>
            <w:vAlign w:val="center"/>
          </w:tcPr>
          <w:p>
            <w:r>
              <w:t>3</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8</w:t>
            </w:r>
          </w:p>
        </w:tc>
        <w:tc>
          <w:tcPr>
            <w:tcW w:w="3059" w:type="dxa"/>
            <w:vAlign w:val="center"/>
          </w:tcPr>
          <w:p>
            <w:r>
              <w:t>900 万像素视频抓拍机服务</w:t>
            </w:r>
          </w:p>
        </w:tc>
        <w:tc>
          <w:tcPr>
            <w:tcW w:w="707" w:type="dxa"/>
            <w:vAlign w:val="center"/>
          </w:tcPr>
          <w:p>
            <w:r>
              <w:t>71</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vAlign w:val="center"/>
          </w:tcPr>
          <w:p>
            <w:r>
              <w:t>9</w:t>
            </w:r>
          </w:p>
        </w:tc>
        <w:tc>
          <w:tcPr>
            <w:tcW w:w="3059" w:type="dxa"/>
            <w:vAlign w:val="center"/>
          </w:tcPr>
          <w:p>
            <w:r>
              <w:t>900 万环保卡口相机服务</w:t>
            </w:r>
          </w:p>
        </w:tc>
        <w:tc>
          <w:tcPr>
            <w:tcW w:w="707" w:type="dxa"/>
            <w:vAlign w:val="center"/>
          </w:tcPr>
          <w:p>
            <w:r>
              <w:t>108</w:t>
            </w:r>
          </w:p>
        </w:tc>
        <w:tc>
          <w:tcPr>
            <w:tcW w:w="707" w:type="dxa"/>
            <w:vAlign w:val="center"/>
          </w:tcPr>
          <w:p>
            <w:r>
              <w:t>路</w:t>
            </w:r>
          </w:p>
        </w:tc>
        <w:tc>
          <w:tcPr>
            <w:tcW w:w="1346" w:type="dxa"/>
            <w:vMerge w:val="continue"/>
            <w:vAlign w:val="center"/>
          </w:tcPr>
          <w:p>
            <w:pPr>
              <w:widowControl/>
              <w:spacing w:line="400" w:lineRule="exact"/>
              <w:jc w:val="center"/>
              <w:rPr>
                <w:rFonts w:ascii="宋体" w:hAnsi="宋体" w:cs="宋体"/>
                <w:sz w:val="24"/>
              </w:rPr>
            </w:pPr>
          </w:p>
        </w:tc>
        <w:tc>
          <w:tcPr>
            <w:tcW w:w="2550" w:type="dxa"/>
            <w:vMerge w:val="continue"/>
            <w:vAlign w:val="center"/>
          </w:tcPr>
          <w:p>
            <w:pPr>
              <w:widowControl/>
              <w:spacing w:line="400" w:lineRule="exact"/>
              <w:jc w:val="center"/>
              <w:rPr>
                <w:rFonts w:ascii="宋体" w:hAnsi="宋体" w:cs="宋体"/>
                <w:sz w:val="24"/>
              </w:rPr>
            </w:pPr>
          </w:p>
        </w:tc>
      </w:tr>
    </w:tbl>
    <w:p>
      <w:pPr>
        <w:snapToGrid w:val="0"/>
        <w:spacing w:line="360" w:lineRule="exact"/>
        <w:ind w:firstLine="440" w:firstLineChars="200"/>
        <w:textAlignment w:val="baseline"/>
        <w:rPr>
          <w:rStyle w:val="131"/>
          <w:rFonts w:ascii="微软雅黑" w:hAnsi="微软雅黑" w:eastAsia="微软雅黑" w:cs="微软雅黑"/>
          <w:bCs/>
          <w:color w:val="0070C0"/>
          <w:sz w:val="22"/>
          <w:szCs w:val="22"/>
        </w:rPr>
      </w:pPr>
      <w:r/>
    </w:p>
    <w:p>
      <w:pPr>
        <w:snapToGrid w:val="0"/>
        <w:spacing w:line="360" w:lineRule="exact"/>
        <w:ind w:firstLine="440" w:firstLineChars="200"/>
        <w:textAlignment w:val="baseline"/>
        <w:rPr>
          <w:rStyle w:val="131"/>
          <w:rFonts w:ascii="微软雅黑" w:hAnsi="微软雅黑" w:eastAsia="微软雅黑" w:cs="微软雅黑"/>
          <w:b/>
          <w:bCs/>
          <w:sz w:val="22"/>
          <w:szCs w:val="22"/>
        </w:rPr>
      </w:pPr>
      <w:r>
        <w:t>合同履行期限：3年。</w:t>
      </w:r>
    </w:p>
    <w:p>
      <w:pPr>
        <w:tabs>
          <w:tab w:val="left" w:pos="180"/>
          <w:tab w:val="left" w:pos="360"/>
          <w:tab w:val="left" w:pos="540"/>
          <w:tab w:val="left" w:pos="8280"/>
        </w:tabs>
        <w:autoSpaceDE w:val="0"/>
        <w:autoSpaceDN w:val="0"/>
        <w:adjustRightInd w:val="0"/>
        <w:spacing w:line="440" w:lineRule="exact"/>
        <w:ind w:firstLine="482" w:firstLineChars="200"/>
        <w:jc w:val="left"/>
        <w:rPr>
          <w:rFonts w:ascii="宋体" w:cs="宋体"/>
          <w:b/>
          <w:bCs/>
          <w:color w:val="000000" w:themeColor="text1"/>
          <w:kern w:val="0"/>
          <w:sz w:val="24"/>
          <w:szCs w:val="24"/>
        </w:rPr>
      </w:pPr>
      <w:r>
        <w:t>五、合格投标人的资格条件：</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sz w:val="24"/>
          <w:szCs w:val="24"/>
        </w:rPr>
      </w:pPr>
      <w:r>
        <w:t>（一）符合《中华人民共和国政府采购法》第二十二条规定的投标人资格条件。</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sz w:val="24"/>
          <w:szCs w:val="24"/>
        </w:rPr>
      </w:pPr>
      <w:r>
        <w:t xml:space="preserve">    1、具有独立承担民事责任的能力；</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sz w:val="24"/>
          <w:szCs w:val="24"/>
        </w:rPr>
      </w:pPr>
      <w:r>
        <w:t xml:space="preserve">    2、具有良好的商业信誉和健全的财务会计制度；</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sz w:val="24"/>
          <w:szCs w:val="24"/>
        </w:rPr>
      </w:pPr>
      <w:r>
        <w:t xml:space="preserve">    3、具有履行合同所必需的设备和专业技术能力；</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sz w:val="24"/>
          <w:szCs w:val="24"/>
        </w:rPr>
      </w:pPr>
      <w:r>
        <w:t xml:space="preserve">    4、有依法缴纳税收和社会保障资金的良好记录；</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sz w:val="24"/>
          <w:szCs w:val="24"/>
        </w:rPr>
      </w:pPr>
      <w:r>
        <w:t xml:space="preserve">    5、参加政府采购活动前三年内，在经营活动中没有重大违法记录；</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 xml:space="preserve">    6、法律、行政法规规定的其他条件。</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（二）特定资格条件：投标人须具有《基础电信业务经营许可证》或《广播电视节目传送经营许可证》。</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三）本项目接受联合体投标：1）签订《联合体协议书》，明确联合体牵头人和各方权利义务，联合体各方不得再以自己名义单独或参加其他联合体在本项目中投标；联合体各方按要求签字、盖章后上传联合体协议书；联合体投标的联合体各方承担连带责任；2）联合体成员总数（含牵头人）不超过两家；3） 按照“政府采购云平台”联合体相关流程进行报名、制作、上传、解密电子投标文件即可。</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四）落实政府采购政策需满足的资格要求：本项目属于面向中小企业预留采购份额项目，预留份额通过采购合同的供应商将采购项目中的一定比例分包给一家或者多家中小企业进行，分包意向协议中预留给中小企业的金额应当不低于总金额的50%，两家大型企业组成的联合体分包意向协议中预留给中小企业的金额应当不低于总金额的50%。本项目属于面向中小企业预留采购份额项目，预留份额通过接受大中小企业组成联合体参与本次政府采购服务活动进行，提供《联合体协议》、《中小企业声明函》：中小企业与大型企业组成联合体的，对于联合协议约定中小企业的合同份额须占到合同总金额的50%及以上。</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联合体成员之间、接受分包合同的中小企业和分包企业之间不得存在直接控股、管理关系。</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提供明确以上事项的《分包意向协仪》和《中小企业声明函》（监狱企业视同小型、微型企业，提供由省级以上监狱管理局、戒毒管理局（含新疆生产建设兵团）出具的属于监狱企业的证明文件；残疾人福利性单位视同小型、微型企业，提供《残疾人福利性单位声明函》）。</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hAnsi="宋体" w:cs="宋体"/>
          <w:color w:val="000000" w:themeColor="text1"/>
          <w:kern w:val="0"/>
          <w:sz w:val="24"/>
          <w:szCs w:val="24"/>
        </w:rPr>
      </w:pPr>
      <w:r>
        <w:t>如果供应商本身提供所有标的均由中小企业制造、承建或承接，视同符合本条资格条件，无需再进行分包。提供明确以上事项的《中小企业声明函》（监狱企业视同小型、微型企业，提供由省级以上监狱管理局、戒毒管理局（含新疆生产建设兵团）出具的属于监狱企业的证明文件；残疾人福利性单位视同小型、微型企业，提供《残疾人福利性单位声明函》）。</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kern w:val="0"/>
          <w:sz w:val="24"/>
          <w:szCs w:val="24"/>
        </w:rPr>
      </w:pPr>
      <w:r>
        <w:t>（五）截止投标截止时间前（北京时间），投标人未被“信用中国”（www.creditchina.gov.cn）、“中国政府采购网”（www.ccgp.gov.cn）列入失信被执行人、重大税收违法失信主体、政府采购严重违法失信行为记录名单。</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kern w:val="0"/>
          <w:sz w:val="24"/>
          <w:szCs w:val="24"/>
        </w:rPr>
      </w:pPr>
      <w:r>
        <w:t>（六）单位负责人为同一人或者存在直接控股、管理关系的不同供应商，不得参加同一合同项下的政府采购活动。</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kern w:val="0"/>
          <w:sz w:val="24"/>
          <w:szCs w:val="24"/>
        </w:rPr>
      </w:pPr>
      <w:r>
        <w:t>（七）为采购项目提供整体设计、规范编制或者项目管理、监理、检测等服务的供应商，不得再参加该采购项目的其他采购活动。</w:t>
      </w:r>
    </w:p>
    <w:p>
      <w:pPr>
        <w:tabs>
          <w:tab w:val="left" w:pos="180"/>
          <w:tab w:val="left" w:pos="360"/>
          <w:tab w:val="left" w:pos="540"/>
          <w:tab w:val="left" w:pos="8280"/>
        </w:tabs>
        <w:autoSpaceDE w:val="0"/>
        <w:autoSpaceDN w:val="0"/>
        <w:adjustRightInd w:val="0"/>
        <w:spacing w:line="440" w:lineRule="exact"/>
        <w:ind w:firstLine="480" w:firstLineChars="200"/>
        <w:jc w:val="left"/>
        <w:rPr>
          <w:rFonts w:ascii="宋体" w:cs="宋体"/>
          <w:color w:val="000000" w:themeColor="text1"/>
          <w:sz w:val="24"/>
          <w:szCs w:val="24"/>
        </w:rPr>
      </w:pPr>
      <w:r>
        <w:t>（八）公益一类事业单位不属于政府购买服务的承接主体，不得参与承接政府购买服务。</w:t>
      </w:r>
    </w:p>
    <w:p>
      <w:pPr>
        <w:pStyle w:val="4"/>
        <w:tabs>
          <w:tab w:val="left" w:pos="8280"/>
        </w:tabs>
        <w:ind w:firstLine="482" w:firstLineChars="200"/>
        <w:rPr>
          <w:rFonts w:cs="宋体"/>
          <w:sz w:val="24"/>
          <w:szCs w:val="24"/>
        </w:rPr>
      </w:pPr>
      <w:r>
        <w:t>六、获取招标文件</w:t>
      </w:r>
    </w:p>
    <w:p>
      <w:pPr>
        <w:spacing w:line="360" w:lineRule="auto"/>
        <w:ind w:firstLine="480" w:firstLineChars="200"/>
        <w:rPr>
          <w:rFonts w:ascii="宋体" w:hAnsi="宋体" w:cs="宋体"/>
          <w:color w:val="auto"/>
          <w:sz w:val="24"/>
        </w:rPr>
      </w:pPr>
      <w:r>
        <w:t>（一）获取招标文件截止时间： 2023年11月 2日09：00止。</w:t>
      </w:r>
    </w:p>
    <w:p>
      <w:pPr>
        <w:pStyle w:val="109"/>
        <w:spacing w:line="360" w:lineRule="auto"/>
        <w:ind w:firstLine="480" w:firstLineChars="200"/>
        <w:jc w:val="both"/>
        <w:rPr>
          <w:rFonts w:ascii="宋体" w:hAnsi="宋体" w:eastAsia="宋体" w:cs="宋体"/>
          <w:color w:val="auto"/>
          <w:sz w:val="24"/>
          <w:szCs w:val="24"/>
        </w:rPr>
      </w:pPr>
      <w:r>
        <w:t>（二）方式：浙江政府采购网（https://zfcg.czt.zj.gov.cn）免费下载</w:t>
      </w:r>
    </w:p>
    <w:p>
      <w:pPr>
        <w:pStyle w:val="4"/>
        <w:tabs>
          <w:tab w:val="left" w:pos="8280"/>
        </w:tabs>
        <w:ind w:firstLine="482" w:firstLineChars="200"/>
        <w:rPr>
          <w:rFonts w:cs="宋体"/>
          <w:color w:val="auto"/>
          <w:sz w:val="24"/>
          <w:szCs w:val="24"/>
        </w:rPr>
      </w:pPr>
      <w:r>
        <w:t>七、提交投标文件</w:t>
      </w:r>
    </w:p>
    <w:p>
      <w:pPr>
        <w:spacing w:line="360" w:lineRule="auto"/>
        <w:ind w:firstLine="480" w:firstLineChars="200"/>
        <w:rPr>
          <w:rFonts w:ascii="宋体" w:hAnsi="宋体" w:cs="宋体"/>
          <w:iCs/>
          <w:sz w:val="24"/>
          <w:u w:val="single"/>
        </w:rPr>
      </w:pPr>
      <w:r>
        <w:t>（一）截止时间（开标时间）：2023年11月2日09：00（北京时间）</w:t>
      </w:r>
    </w:p>
    <w:p>
      <w:pPr>
        <w:pStyle w:val="6"/>
        <w:spacing w:line="360" w:lineRule="auto"/>
        <w:ind w:firstLine="480" w:firstLineChars="200"/>
        <w:rPr>
          <w:rFonts w:ascii="宋体" w:hAnsi="宋体" w:cs="宋体"/>
          <w:sz w:val="24"/>
          <w:szCs w:val="24"/>
        </w:rPr>
      </w:pPr>
      <w:r>
        <w:t>（二）投标网址：浙江政府采购云平台（http://www.zcygov.cn）</w:t>
      </w:r>
    </w:p>
    <w:bookmarkEnd w:id="6"/>
    <w:bookmarkEnd w:id="7"/>
    <w:bookmarkEnd w:id="8"/>
    <w:bookmarkEnd w:id="9"/>
    <w:p>
      <w:pPr>
        <w:pStyle w:val="58"/>
        <w:spacing w:after="0"/>
        <w:ind w:left="0" w:leftChars="0" w:firstLine="530"/>
        <w:rPr>
          <w:rFonts w:ascii="宋体" w:hAnsi="宋体" w:cs="宋体"/>
          <w:b/>
          <w:bCs/>
          <w:kern w:val="0"/>
          <w:sz w:val="24"/>
        </w:rPr>
      </w:pPr>
      <w:r>
        <w:t>八、发布公告</w:t>
      </w:r>
    </w:p>
    <w:p>
      <w:pPr>
        <w:pStyle w:val="58"/>
        <w:spacing w:after="0"/>
        <w:ind w:left="0" w:leftChars="0" w:firstLine="528"/>
        <w:rPr>
          <w:rFonts w:ascii="宋体" w:hAnsi="宋体" w:cs="宋体"/>
          <w:kern w:val="0"/>
          <w:sz w:val="24"/>
        </w:rPr>
      </w:pPr>
      <w:r>
        <w:t>（一）公告网址：浙江政府采购网（https://zfcg.czt.zj.gov.cn），温岭市公共资源交易网（http://www.wl.gov.cn/col/col1402172/index.html）。</w:t>
      </w:r>
    </w:p>
    <w:p>
      <w:pPr>
        <w:pStyle w:val="58"/>
        <w:spacing w:after="0"/>
        <w:ind w:left="0" w:leftChars="0" w:firstLine="528"/>
        <w:rPr>
          <w:rFonts w:ascii="宋体" w:hAnsi="宋体" w:cs="宋体"/>
          <w:kern w:val="0"/>
          <w:sz w:val="24"/>
        </w:rPr>
      </w:pPr>
      <w:r>
        <w:t>（二）公告期限：本公告期限自发布之日起五个工作日。</w:t>
      </w:r>
    </w:p>
    <w:p>
      <w:pPr>
        <w:pStyle w:val="4"/>
        <w:tabs>
          <w:tab w:val="left" w:pos="8280"/>
        </w:tabs>
        <w:ind w:firstLine="482" w:firstLineChars="200"/>
        <w:rPr>
          <w:rFonts w:cs="宋体"/>
          <w:sz w:val="24"/>
          <w:szCs w:val="24"/>
        </w:rPr>
      </w:pPr>
      <w:r>
        <w:t>九、注册报名</w:t>
      </w:r>
    </w:p>
    <w:p>
      <w:pPr>
        <w:snapToGrid w:val="0"/>
        <w:spacing w:line="360" w:lineRule="auto"/>
        <w:ind w:firstLine="480" w:firstLineChars="200"/>
        <w:rPr>
          <w:rFonts w:ascii="宋体" w:hAnsi="宋体" w:cs="宋体"/>
          <w:sz w:val="24"/>
        </w:rPr>
      </w:pPr>
      <w:r>
        <w:t>投标人需登录浙江省政府采购网（https://zfcg.czt.zj.gov.cn/）进行注册后报名。</w:t>
      </w:r>
    </w:p>
    <w:p>
      <w:pPr>
        <w:pStyle w:val="4"/>
        <w:tabs>
          <w:tab w:val="left" w:pos="8280"/>
        </w:tabs>
        <w:ind w:firstLine="482" w:firstLineChars="200"/>
        <w:rPr>
          <w:rFonts w:cs="宋体"/>
          <w:sz w:val="24"/>
          <w:szCs w:val="24"/>
        </w:rPr>
      </w:pPr>
      <w:r>
        <w:t>十、联系方式</w:t>
      </w:r>
    </w:p>
    <w:p>
      <w:pPr>
        <w:snapToGrid w:val="0"/>
        <w:spacing w:line="360" w:lineRule="auto"/>
        <w:ind w:firstLine="482" w:firstLineChars="200"/>
        <w:rPr>
          <w:rFonts w:ascii="宋体" w:hAnsi="宋体" w:cs="宋体"/>
          <w:b/>
          <w:bCs/>
          <w:sz w:val="24"/>
        </w:rPr>
      </w:pPr>
      <w:r>
        <w:t xml:space="preserve">（一）采购人（受理招标文件相关质疑及答复） </w:t>
      </w:r>
    </w:p>
    <w:p>
      <w:pPr>
        <w:spacing w:line="360" w:lineRule="auto"/>
        <w:ind w:firstLine="480" w:firstLineChars="200"/>
        <w:jc w:val="left"/>
        <w:rPr>
          <w:rFonts w:ascii="宋体" w:hAnsi="宋体" w:cs="宋体"/>
          <w:color w:val="000000" w:themeColor="text1"/>
          <w:sz w:val="24"/>
        </w:rPr>
      </w:pPr>
      <w:r>
        <w:t xml:space="preserve">名 称：　 温岭市公安局  　</w:t>
      </w:r>
    </w:p>
    <w:p>
      <w:pPr>
        <w:spacing w:line="360" w:lineRule="auto"/>
        <w:ind w:firstLine="480" w:firstLineChars="200"/>
        <w:jc w:val="left"/>
        <w:rPr>
          <w:rFonts w:ascii="宋体" w:hAnsi="宋体" w:cs="宋体"/>
          <w:sz w:val="24"/>
          <w:u w:val="single"/>
        </w:rPr>
      </w:pPr>
      <w:r>
        <w:t xml:space="preserve">地址：　  温岭市人民东路322号　</w:t>
      </w:r>
    </w:p>
    <w:p>
      <w:pPr>
        <w:spacing w:line="360" w:lineRule="auto"/>
        <w:ind w:firstLine="480" w:firstLineChars="200"/>
        <w:jc w:val="left"/>
        <w:rPr>
          <w:rFonts w:ascii="宋体" w:hAnsi="宋体" w:cs="宋体"/>
          <w:sz w:val="24"/>
          <w:u w:val="single"/>
        </w:rPr>
      </w:pPr>
      <w:r>
        <w:t xml:space="preserve">联系人：　 吴警官　　</w:t>
      </w:r>
    </w:p>
    <w:p>
      <w:pPr>
        <w:spacing w:line="360" w:lineRule="auto"/>
        <w:ind w:firstLine="480" w:firstLineChars="200"/>
        <w:jc w:val="left"/>
        <w:rPr>
          <w:rFonts w:ascii="宋体" w:hAnsi="宋体" w:cs="宋体"/>
          <w:sz w:val="24"/>
          <w:u w:val="single"/>
        </w:rPr>
      </w:pPr>
      <w:r>
        <w:t xml:space="preserve">联系电话：   0576-86106959  </w:t>
      </w:r>
    </w:p>
    <w:bookmarkEnd w:id="16"/>
    <w:bookmarkEnd w:id="17"/>
    <w:p>
      <w:pPr>
        <w:spacing w:line="360" w:lineRule="auto"/>
        <w:ind w:firstLine="480" w:firstLineChars="200"/>
        <w:jc w:val="left"/>
        <w:rPr>
          <w:rFonts w:ascii="宋体" w:hAnsi="宋体" w:cs="宋体"/>
          <w:sz w:val="24"/>
        </w:rPr>
      </w:pPr>
      <w:r>
        <w:t>（二）采购组织机构</w:t>
      </w:r>
    </w:p>
    <w:p>
      <w:pPr>
        <w:spacing w:line="360" w:lineRule="auto"/>
        <w:ind w:firstLine="480" w:firstLineChars="200"/>
        <w:jc w:val="left"/>
        <w:rPr>
          <w:rFonts w:ascii="宋体" w:hAnsi="宋体" w:cs="宋体"/>
          <w:sz w:val="24"/>
          <w:u w:val="single"/>
        </w:rPr>
      </w:pPr>
      <w:r>
        <w:t xml:space="preserve">名 称：    温岭市政府采购中心     </w:t>
      </w:r>
    </w:p>
    <w:p>
      <w:pPr>
        <w:spacing w:line="360" w:lineRule="auto"/>
        <w:ind w:firstLine="480" w:firstLineChars="200"/>
        <w:jc w:val="left"/>
        <w:rPr>
          <w:rFonts w:ascii="宋体" w:hAnsi="宋体" w:cs="宋体"/>
          <w:sz w:val="24"/>
          <w:u w:val="single"/>
        </w:rPr>
      </w:pPr>
      <w:r>
        <w:t xml:space="preserve">地　址：  温岭市九龙大道555号行政服务中心608室 　</w:t>
      </w:r>
    </w:p>
    <w:p>
      <w:pPr>
        <w:spacing w:line="360" w:lineRule="auto"/>
        <w:ind w:firstLine="480" w:firstLineChars="200"/>
        <w:jc w:val="left"/>
        <w:rPr>
          <w:rFonts w:ascii="宋体" w:hAnsi="宋体" w:cs="宋体"/>
          <w:sz w:val="24"/>
          <w:u w:val="single"/>
        </w:rPr>
      </w:pPr>
      <w:r>
        <w:t xml:space="preserve">项目联系人：金女士、李先生　  </w:t>
      </w:r>
    </w:p>
    <w:p>
      <w:pPr>
        <w:spacing w:line="360" w:lineRule="auto"/>
        <w:ind w:firstLine="480" w:firstLineChars="200"/>
        <w:jc w:val="left"/>
        <w:rPr>
          <w:rFonts w:ascii="宋体" w:hAnsi="宋体" w:cs="宋体"/>
          <w:sz w:val="24"/>
          <w:u w:val="single"/>
        </w:rPr>
      </w:pPr>
      <w:r>
        <w:t xml:space="preserve">联系电话：0576-86107311/86107306　       </w:t>
      </w:r>
    </w:p>
    <w:p>
      <w:pPr>
        <w:spacing w:line="360" w:lineRule="auto"/>
        <w:ind w:firstLine="480" w:firstLineChars="200"/>
        <w:jc w:val="left"/>
        <w:rPr>
          <w:rFonts w:ascii="宋体" w:hAnsi="宋体" w:cs="宋体"/>
          <w:sz w:val="24"/>
          <w:u w:val="single"/>
        </w:rPr>
      </w:pPr>
      <w:r>
        <w:t>受理联系人：李先生（受理注册、中标结果相关质疑及答复）</w:t>
      </w:r>
    </w:p>
    <w:p>
      <w:pPr>
        <w:spacing w:line="360" w:lineRule="auto"/>
        <w:ind w:firstLine="480" w:firstLineChars="200"/>
        <w:jc w:val="left"/>
        <w:rPr>
          <w:rFonts w:ascii="宋体" w:hAnsi="宋体" w:cs="宋体"/>
          <w:sz w:val="24"/>
          <w:u w:val="single"/>
        </w:rPr>
      </w:pPr>
      <w:r>
        <w:t xml:space="preserve">联系电话：0576-86107306       </w:t>
      </w:r>
    </w:p>
    <w:p>
      <w:pPr>
        <w:spacing w:line="360" w:lineRule="auto"/>
        <w:ind w:firstLine="482" w:firstLineChars="200"/>
        <w:jc w:val="left"/>
        <w:rPr>
          <w:rFonts w:ascii="宋体" w:hAnsi="宋体" w:cs="宋体"/>
          <w:b/>
          <w:sz w:val="24"/>
        </w:rPr>
      </w:pPr>
      <w:r>
        <w:t>（三）同级政府采购监管机构</w:t>
      </w:r>
    </w:p>
    <w:p>
      <w:pPr>
        <w:spacing w:line="360" w:lineRule="auto"/>
        <w:ind w:firstLine="480" w:firstLineChars="200"/>
        <w:jc w:val="left"/>
        <w:rPr>
          <w:rFonts w:ascii="宋体" w:hAnsi="宋体" w:cs="宋体"/>
          <w:sz w:val="24"/>
          <w:u w:val="single"/>
        </w:rPr>
      </w:pPr>
      <w:r>
        <w:t xml:space="preserve">名 称： 温岭市财政局政府采购监管科 </w:t>
      </w:r>
    </w:p>
    <w:p>
      <w:pPr>
        <w:spacing w:line="360" w:lineRule="auto"/>
        <w:ind w:firstLine="480" w:firstLineChars="200"/>
        <w:jc w:val="left"/>
        <w:rPr>
          <w:rFonts w:ascii="宋体" w:hAnsi="宋体" w:cs="宋体"/>
          <w:sz w:val="24"/>
          <w:u w:val="single"/>
        </w:rPr>
      </w:pPr>
      <w:r>
        <w:t>地 址： 浙江省温岭市太平街道中华路29号</w:t>
      </w:r>
    </w:p>
    <w:p>
      <w:pPr>
        <w:spacing w:line="360" w:lineRule="auto"/>
        <w:ind w:firstLine="480" w:firstLineChars="200"/>
        <w:jc w:val="left"/>
        <w:rPr>
          <w:rFonts w:ascii="宋体" w:hAnsi="宋体" w:cs="宋体"/>
          <w:sz w:val="24"/>
          <w:u w:val="single"/>
        </w:rPr>
      </w:pPr>
      <w:r>
        <w:t>联系人： 温岭市财政局政府采购监管科</w:t>
      </w:r>
    </w:p>
    <w:p>
      <w:pPr>
        <w:spacing w:line="360" w:lineRule="auto"/>
        <w:ind w:firstLine="480" w:firstLineChars="200"/>
        <w:jc w:val="left"/>
        <w:rPr>
          <w:rFonts w:ascii="宋体" w:hAnsi="宋体" w:cs="宋体"/>
          <w:sz w:val="24"/>
          <w:u w:val="single"/>
        </w:rPr>
      </w:pPr>
      <w:r>
        <w:t xml:space="preserve">联系电话：0576-86086511　     </w:t>
      </w:r>
    </w:p>
    <w:p>
      <w:pPr>
        <w:spacing w:line="360" w:lineRule="auto"/>
        <w:ind w:firstLine="482" w:firstLineChars="200"/>
        <w:jc w:val="left"/>
        <w:rPr>
          <w:rFonts w:ascii="宋体" w:hAnsi="宋体" w:cs="宋体"/>
          <w:b/>
          <w:sz w:val="24"/>
        </w:rPr>
      </w:pPr>
      <w:r>
        <w:t>（四）政采云平台</w:t>
      </w:r>
    </w:p>
    <w:p>
      <w:pPr>
        <w:spacing w:line="360" w:lineRule="auto"/>
        <w:ind w:firstLine="480" w:firstLineChars="200"/>
        <w:jc w:val="left"/>
        <w:rPr>
          <w:rFonts w:ascii="宋体" w:hAnsi="宋体" w:cs="宋体"/>
          <w:sz w:val="24"/>
          <w:u w:val="single"/>
        </w:rPr>
      </w:pPr>
      <w:r>
        <w:t xml:space="preserve">全国统一服务热线:95763     </w:t>
      </w:r>
    </w:p>
    <w:p>
      <w:pPr>
        <w:spacing w:line="360" w:lineRule="auto"/>
        <w:jc w:val="center"/>
        <w:outlineLvl w:val="0"/>
        <w:rPr>
          <w:rFonts w:ascii="宋体" w:cs="宋体"/>
          <w:b/>
          <w:bCs/>
          <w:color w:val="000000" w:themeColor="text1"/>
          <w:kern w:val="0"/>
          <w:sz w:val="36"/>
          <w:szCs w:val="36"/>
        </w:rPr>
      </w:pPr>
      <w:r>
        <w:t>第二章 投标人须知</w:t>
      </w:r>
    </w:p>
    <w:p>
      <w:pPr>
        <w:spacing w:line="360" w:lineRule="auto"/>
        <w:rPr>
          <w:rFonts w:asciiTheme="minorEastAsia" w:hAnsiTheme="minorEastAsia" w:eastAsiaTheme="minorEastAsia"/>
          <w:b/>
          <w:sz w:val="24"/>
        </w:rPr>
      </w:pPr>
      <w:r>
        <w:t>一、前附表</w:t>
      </w:r>
    </w:p>
    <w:tbl>
      <w:tblPr>
        <w:tblStyle w:val="59"/>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676"/>
        <w:gridCol w:w="7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序号</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事项</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是否允许联合体</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2</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是否允许分包</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是（但主体部分不得分包，详见招标需求内容）/□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3</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节能产品</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□强制采购节能产品</w:t>
              <w:br/>
              <w:t>☑优先采购节能产品</w:t>
              <w:b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4</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答疑会或</w:t>
              <w:br/>
              <w:t>现场踏勘</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5</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投标文件的制作和投标</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请投标人在投标前仔细阅读“政府采购项目电子交易操作指南”。</w:t>
              <w:br/>
              <w:t>1.投标文件的制作：投标人按照本项目招标文件和政采云平台的要求，通过“政采云电子交易客户端”编制、加密并递交投标文件（下载网址：https://zfcg.czt.zj.gov.cn/download/index.html）。</w:t>
              <w:br/>
              <w:t>2.投标：投标人应当在投标截止时间前（开标当天北京时间09:00）完成投标文件的传输递交，逾期上传的投标文件恕不接受。补充或者修改投标文件的，应当先行撤回原文件，补充、修改后重新传输递交。投标截止时间前未完成上传的，视为撤回投标文件。</w:t>
              <w:br/>
              <w:t>3.投标文件解密：各投标供应商代表应当在接到解密通知后30分钟内自行完成“电子加密投标文件”的在线解密。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6</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备份投标文件的递交</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备份投标文件是通过政采云电子交易客户端制作投标文件产生的备份文件，请投标人自行妥善保管。</w:t>
              <w:br/>
              <w:t>1.使用前提：在解密截止时间前，投标人自行在线解密操作失败,又未能及时联系技术人员帮助解密，或者投标人寻求技术人员帮助仍无法完成解密。</w:t>
              <w:br/>
              <w:t>2.递交截止时间：开标当天09:00（北京时间）。</w:t>
              <w:br/>
              <w:t>3.投递邮箱：13758666568@126.com</w:t>
              <w:br/>
              <w:t>4.未按上述要求递交备份投标文件或所提供的备份投标文件不符合要求的视同放弃投标，仅提交备份投标文件的，投标无效。</w:t>
              <w:br/>
              <w:t>5.投标人未按时完成解密的，并符合备份投标文件使用前提的，投标人应提供备份投标文件，否则视为放弃投标。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7</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样品递交要求</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无需提供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8</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投标与开标注意事项</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1.本项目实行电子投标，投标人自行承担投标一切费用。</w:t>
              <w:b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br/>
              <w:t>3.投标文件结束解密后，供应商应当通过邮件形式，将经授权代表签署的《政府采购活动现场确认声明书》（格式见附件最后一页）扫描件发至代理机构邮箱（13758666568@126.com）,联系人：金黎晓，电话：13758666568。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9</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信用信息查询渠道</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信用中国（网址：http://www.creditchina.gov.cn)</w:t>
              <w:br/>
              <w:t>中国政府采购网（网址：http://www.ccgp.gov.cn)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10</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中小企业预留份额情况</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根据《政府采购促进中小企业发展管理办法》财库〔2020〕46号文件的规定，本项目(□是 /☑ 否)属于专门面向中小企业采购的项目。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11</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中小企业优惠措施</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1.项目属性（服务类）</w:t>
              <w:br/>
              <w:t>2.中小企业划分标准所属行业（具体根据《中小企业划型标准规定》执行）。</w:t>
              <w:br/>
              <w:t>采购标的：温岭市公共视频一体化建设二期东片视频图像服务 ，所属行业： 信息传输业 。</w:t>
              <w:br/>
              <w:t>3.根据财库[2017]141号的相关规定，在政府采购活动中，残疾人福利性单位的视同小型、微型企业，享受评审中价格扣除政策。属于享受政府采购支持政策的残疾人福利性单位，应满足财库[2017]141号文件规定，并在投标文件中提供残疾人福利性单位声明函（见附件）。</w:t>
              <w:br/>
              <w:t>4.根据财库[2014]68号的相关规定，在政府采购活动中，监狱企业的视同小型、微型企业，享受评审中价格扣除政策，并在投标文件中提供由省级以上监狱管理局、戒毒管理局（含新疆生产建设兵团）出具的属于监狱企业的证明文件（格式自拟）。”</w:t>
              <w:b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12</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询问、质疑、投诉渠道</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询问：政采云-项目采购-询问质疑投诉-询问列表；</w:t>
              <w:br/>
              <w:t>质疑：政采云-项目采购-询问 质疑投诉-质疑列表；</w:t>
              <w:br/>
              <w:t>投诉：浙江政府服务网-政府采购投诉处理-在线办理；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13</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澄清问题的形式</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对投标文件中含义不明确、同类问题表述不一致或者有明显文字和计算错误的内容，评标委员会可要求投标人作出必要的澄清、说明或者补正。评标委员会的澄清内容及投标人的澄清、说明或者补正均通过政采云电子交易平台交换数据电文。同时采购代理机构也将通过政采云视频询标（视频讲标）系统协助进行问题澄清。投标人登录政采云系统-----进入开标大厅---进入本项目----就可以进入政采云视频询标系统。政采云视频询标系统在询标时需要投标人电脑配置有摄像头、音箱和必要的网络带宽，请投标人开标前予以提前准备，以免延误询标（浏览器建议用谷歌浏览器，网络带宽不少于50兆，请勿用无线，以免出现卡顿现象。摄像头建议用中档及以上摄像头，以利于询标时的画面质量；音箱请提前予以调试，以避免询标时出现没有声音现象）。政采云视频会议系统目前不支持手机客户端。</w:t>
              <w:br/>
              <w:t>评标委员会发出澄清内容后，投标人应当在采购代理机构及政采云平台上规定的时间内（30分钟，具体时间以政采云系统上显示的时间为准），提交澄清说明或补正，否则视为投标人放弃答复，并自行承担因此而产生的不利后果。澄清、说明或者补正不得超出投标文件的范围或者改变投标文件的实质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14</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实质性条款</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带“▲”的条款是实质性条款，投标文件须作出实质性响应，否则作无效投标处理。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15</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其他说明</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根据《浙江省财政厅关于规范政府采购供应商资格设定及资格审查的通知》浙财采监〔2013〕24号文件，金融、保险、通讯等特定行业的全国性企业所设立的区域性分支机构投标时应提供该单位负责人签署的相关文件材料，与其他法人单位法定代表人签署的文件材料具有同等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16</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主要性能参数</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带“★”的条款是主要性能参数。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17</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书面形式</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18</w:t>
            </w:r>
          </w:p>
        </w:tc>
        <w:tc>
          <w:tcPr>
            <w:tcW w:w="16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解释权</w:t>
            </w:r>
          </w:p>
        </w:tc>
        <w:tc>
          <w:tcPr>
            <w:tcW w:w="708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r>
              <w:t>本招标文件解释权属于采购人和采购组织机构。</w:t>
            </w:r>
          </w:p>
        </w:tc>
      </w:tr>
    </w:tbl>
    <w:p>
      <w:pPr>
        <w:pStyle w:val="34"/>
        <w:snapToGrid w:val="0"/>
        <w:spacing w:line="440" w:lineRule="exact"/>
        <w:jc w:val="center"/>
        <w:rPr>
          <w:rFonts w:hAnsi="宋体" w:cs="Times New Roman"/>
          <w:b/>
          <w:bCs/>
          <w:color w:val="000000" w:themeColor="text1"/>
          <w:sz w:val="28"/>
          <w:szCs w:val="28"/>
        </w:rPr>
      </w:pPr>
      <w:r>
        <w:t>一、总则</w:t>
      </w:r>
    </w:p>
    <w:p>
      <w:pPr>
        <w:snapToGrid w:val="0"/>
        <w:spacing w:line="440" w:lineRule="exact"/>
        <w:ind w:firstLine="482" w:firstLineChars="200"/>
        <w:jc w:val="left"/>
        <w:outlineLvl w:val="1"/>
        <w:rPr>
          <w:rFonts w:ascii="宋体" w:cs="宋体"/>
          <w:b/>
          <w:bCs/>
          <w:color w:val="000000" w:themeColor="text1"/>
          <w:sz w:val="24"/>
          <w:szCs w:val="24"/>
        </w:rPr>
      </w:pPr>
      <w:r>
        <w:t>（一）适用范围</w:t>
      </w:r>
    </w:p>
    <w:p>
      <w:pPr>
        <w:snapToGrid w:val="0"/>
        <w:spacing w:line="440" w:lineRule="exact"/>
        <w:ind w:firstLine="480" w:firstLineChars="200"/>
        <w:jc w:val="left"/>
        <w:rPr>
          <w:rFonts w:ascii="宋体" w:cs="宋体"/>
          <w:color w:val="000000" w:themeColor="text1"/>
          <w:sz w:val="24"/>
          <w:szCs w:val="24"/>
        </w:rPr>
      </w:pPr>
      <w:r>
        <w:t>本招标文件适用于本次项目的招标、投标、评标、定标、验收、合同履约、付款等行为（法律、法规另有规定的，从其规定）。</w:t>
      </w:r>
    </w:p>
    <w:p>
      <w:pPr>
        <w:snapToGrid w:val="0"/>
        <w:spacing w:line="440" w:lineRule="exact"/>
        <w:ind w:firstLine="482" w:firstLineChars="200"/>
        <w:jc w:val="left"/>
        <w:outlineLvl w:val="1"/>
        <w:rPr>
          <w:rFonts w:ascii="宋体" w:cs="宋体"/>
          <w:b/>
          <w:bCs/>
          <w:color w:val="000000" w:themeColor="text1"/>
          <w:sz w:val="24"/>
          <w:szCs w:val="24"/>
        </w:rPr>
      </w:pPr>
      <w:r>
        <w:t>（二）定义</w:t>
      </w:r>
    </w:p>
    <w:p>
      <w:pPr>
        <w:snapToGrid w:val="0"/>
        <w:spacing w:line="440" w:lineRule="exact"/>
        <w:ind w:firstLine="480" w:firstLineChars="200"/>
        <w:rPr>
          <w:rFonts w:ascii="宋体" w:hAnsi="宋体" w:cs="宋体"/>
          <w:color w:val="000000" w:themeColor="text1"/>
          <w:sz w:val="24"/>
          <w:szCs w:val="24"/>
        </w:rPr>
      </w:pPr>
      <w:r>
        <w:t>1、采购代理机构：是指组织本次招标的机构，即温岭市政府采购中心。</w:t>
      </w:r>
    </w:p>
    <w:p>
      <w:pPr>
        <w:snapToGrid w:val="0"/>
        <w:spacing w:line="440" w:lineRule="exact"/>
        <w:ind w:firstLine="480" w:firstLineChars="200"/>
        <w:rPr>
          <w:rFonts w:ascii="宋体" w:cs="宋体"/>
          <w:color w:val="000000" w:themeColor="text1"/>
          <w:sz w:val="24"/>
          <w:szCs w:val="24"/>
        </w:rPr>
      </w:pPr>
      <w:r>
        <w:t>2、采购人：是指温岭市公安局。</w:t>
      </w:r>
    </w:p>
    <w:p>
      <w:pPr>
        <w:snapToGrid w:val="0"/>
        <w:spacing w:line="440" w:lineRule="exact"/>
        <w:ind w:firstLine="480" w:firstLineChars="200"/>
        <w:jc w:val="left"/>
        <w:rPr>
          <w:rFonts w:ascii="宋体" w:cs="宋体"/>
          <w:color w:val="000000" w:themeColor="text1"/>
          <w:sz w:val="24"/>
          <w:szCs w:val="24"/>
        </w:rPr>
      </w:pPr>
      <w:r>
        <w:t>3、投标人：是指参加本政府采购项目投标的供应商。</w:t>
      </w:r>
    </w:p>
    <w:p>
      <w:pPr>
        <w:snapToGrid w:val="0"/>
        <w:spacing w:line="440" w:lineRule="exact"/>
        <w:ind w:firstLine="480" w:firstLineChars="200"/>
        <w:jc w:val="left"/>
        <w:rPr>
          <w:rFonts w:ascii="宋体" w:cs="宋体"/>
          <w:color w:val="000000" w:themeColor="text1"/>
          <w:sz w:val="24"/>
          <w:szCs w:val="24"/>
        </w:rPr>
      </w:pPr>
      <w:r>
        <w:t>4、货物：是指各种形态和种类的物品，包括原材料、燃料、设备、产品等。</w:t>
      </w:r>
    </w:p>
    <w:p>
      <w:pPr>
        <w:snapToGrid w:val="0"/>
        <w:spacing w:line="440" w:lineRule="exact"/>
        <w:ind w:firstLine="480" w:firstLineChars="200"/>
        <w:jc w:val="left"/>
        <w:rPr>
          <w:rFonts w:ascii="宋体" w:cs="宋体"/>
          <w:color w:val="000000" w:themeColor="text1"/>
          <w:sz w:val="24"/>
          <w:szCs w:val="24"/>
        </w:rPr>
      </w:pPr>
      <w:r>
        <w:t>5、服务：是指除货物和工程以外的其他政府采购对象，包括各类专业服务、信息网络开发服务、金融保险服务、运输服务，以及维修与维护服务等。</w:t>
      </w:r>
    </w:p>
    <w:p>
      <w:pPr>
        <w:snapToGrid w:val="0"/>
        <w:spacing w:line="440" w:lineRule="exact"/>
        <w:ind w:firstLine="480" w:firstLineChars="200"/>
        <w:jc w:val="left"/>
        <w:rPr>
          <w:rFonts w:ascii="宋体" w:cs="宋体"/>
          <w:color w:val="000000" w:themeColor="text1"/>
          <w:sz w:val="24"/>
          <w:szCs w:val="24"/>
        </w:rPr>
      </w:pPr>
      <w:r>
        <w:t>6、“书面形式”包括信函、传真等。</w:t>
      </w:r>
    </w:p>
    <w:p>
      <w:pPr>
        <w:snapToGrid w:val="0"/>
        <w:spacing w:line="440" w:lineRule="exact"/>
        <w:ind w:firstLine="480" w:firstLineChars="200"/>
        <w:jc w:val="left"/>
        <w:rPr>
          <w:rFonts w:ascii="宋体" w:cs="宋体"/>
          <w:color w:val="000000" w:themeColor="text1"/>
          <w:sz w:val="24"/>
          <w:szCs w:val="24"/>
        </w:rPr>
      </w:pPr>
      <w:r>
        <w:t>7、“▲”系指实质性要求条款。</w:t>
      </w:r>
    </w:p>
    <w:p>
      <w:pPr>
        <w:snapToGrid w:val="0"/>
        <w:spacing w:line="440" w:lineRule="exact"/>
        <w:ind w:firstLine="482" w:firstLineChars="200"/>
        <w:jc w:val="left"/>
        <w:outlineLvl w:val="1"/>
        <w:rPr>
          <w:rFonts w:ascii="宋体" w:cs="宋体"/>
          <w:b/>
          <w:bCs/>
          <w:color w:val="000000" w:themeColor="text1"/>
          <w:sz w:val="24"/>
          <w:szCs w:val="24"/>
        </w:rPr>
      </w:pPr>
      <w:r>
        <w:t>（三）投标费用</w:t>
      </w:r>
    </w:p>
    <w:p>
      <w:pPr>
        <w:snapToGrid w:val="0"/>
        <w:spacing w:line="440" w:lineRule="exact"/>
        <w:ind w:firstLine="480" w:firstLineChars="200"/>
        <w:jc w:val="left"/>
        <w:rPr>
          <w:rFonts w:ascii="宋体" w:hAnsi="宋体" w:cs="宋体"/>
          <w:color w:val="000000" w:themeColor="text1"/>
          <w:sz w:val="24"/>
          <w:szCs w:val="24"/>
        </w:rPr>
      </w:pPr>
      <w:r>
        <w:t>不论投标结果如何，投标人均应自行承担所有与投标有关的全部费用（招标文件有相关规定除外）。</w:t>
      </w:r>
    </w:p>
    <w:p>
      <w:pPr>
        <w:pStyle w:val="34"/>
        <w:snapToGrid w:val="0"/>
        <w:spacing w:line="440" w:lineRule="exact"/>
        <w:ind w:firstLine="241" w:firstLineChars="100"/>
        <w:rPr>
          <w:rFonts w:hAnsi="宋体" w:cs="Times New Roman"/>
          <w:b/>
          <w:bCs/>
          <w:color w:val="000000" w:themeColor="text1"/>
          <w:sz w:val="24"/>
          <w:szCs w:val="24"/>
        </w:rPr>
      </w:pPr>
      <w:r>
        <w:t>（四）特别说明</w:t>
      </w:r>
    </w:p>
    <w:p>
      <w:pPr>
        <w:pStyle w:val="34"/>
        <w:snapToGrid w:val="0"/>
        <w:spacing w:line="440" w:lineRule="exact"/>
        <w:ind w:firstLine="480" w:firstLineChars="200"/>
        <w:rPr>
          <w:rFonts w:hAnsi="宋体" w:cs="Times New Roman"/>
          <w:color w:val="000000" w:themeColor="text1"/>
          <w:sz w:val="24"/>
          <w:szCs w:val="24"/>
        </w:rPr>
      </w:pPr>
      <w:r>
        <w:t>1、投标人投标所使用的资格、信誉、荣誉、业绩与企业认证必须为本法人所拥有。投标人投标所使用的采购项目实施人员必须为本法人员工（指本法人或控股公司正式员工）。</w:t>
      </w:r>
    </w:p>
    <w:p>
      <w:pPr>
        <w:spacing w:line="440" w:lineRule="exact"/>
        <w:ind w:firstLine="480" w:firstLineChars="200"/>
        <w:rPr>
          <w:rFonts w:ascii="宋体" w:cs="宋体"/>
          <w:color w:val="000000" w:themeColor="text1"/>
          <w:sz w:val="24"/>
          <w:szCs w:val="24"/>
        </w:rPr>
      </w:pPr>
      <w:r>
        <w:t>2、投标供应商所投产品除招标文件中明确规定要求“提供官网截图或相应检测报告的证明材料”以外，所有技术参数描述均以投标文件为准，投标供应商需在投标文件中说明本次投标产品的技术参数是否与官网上公开的技术参数一致，如不一致，明确哪些参数不一致，不一致的原因以及使用何种技术可以达到投标产品参数。投标供应商对所投产品技术参数的真实性承担法律责任。项目招标结束后、质疑期限内，如有质疑供应商认为中标供应商所投产品、投标文件技术参数与采购需求存在重大偏离、错误、甚至造假的情况，应提供具体有效的证明材料。</w:t>
      </w:r>
    </w:p>
    <w:p>
      <w:pPr>
        <w:pStyle w:val="107"/>
        <w:snapToGrid w:val="0"/>
        <w:spacing w:line="440" w:lineRule="exact"/>
        <w:ind w:firstLine="480"/>
        <w:rPr>
          <w:rFonts w:ascii="宋体" w:cs="宋体"/>
          <w:color w:val="000000" w:themeColor="text1"/>
          <w:sz w:val="24"/>
          <w:szCs w:val="24"/>
        </w:rPr>
      </w:pPr>
      <w:r>
        <w:t>3、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5"/>
        <w:keepNext w:val="0"/>
        <w:keepLines w:val="0"/>
        <w:tabs>
          <w:tab w:val="left" w:pos="851"/>
        </w:tabs>
        <w:autoSpaceDE w:val="0"/>
        <w:autoSpaceDN w:val="0"/>
        <w:adjustRightInd w:val="0"/>
        <w:snapToGrid w:val="0"/>
        <w:spacing w:before="0" w:after="0" w:line="440" w:lineRule="exact"/>
        <w:ind w:firstLine="480" w:firstLineChars="200"/>
        <w:rPr>
          <w:rFonts w:ascii="宋体" w:cs="宋体"/>
          <w:b w:val="0"/>
          <w:bCs w:val="0"/>
          <w:color w:val="000000" w:themeColor="text1"/>
          <w:sz w:val="24"/>
          <w:szCs w:val="24"/>
        </w:rPr>
      </w:pPr>
      <w:r>
        <w:t>4、投标人不得相互串通投标报价，不得妨碍其他投标人的公平竞争，不得损害采购人或其他投标人的合法权益，投标人不得以向采购人、评标委员会成员行贿或者采取其他不正当手段谋取中标。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tabs>
          <w:tab w:val="left" w:pos="851"/>
        </w:tabs>
        <w:autoSpaceDE w:val="0"/>
        <w:autoSpaceDN w:val="0"/>
        <w:adjustRightInd w:val="0"/>
        <w:snapToGrid w:val="0"/>
        <w:spacing w:before="0" w:after="0" w:line="440" w:lineRule="exact"/>
        <w:ind w:firstLine="480" w:firstLineChars="200"/>
        <w:rPr>
          <w:rFonts w:ascii="宋体" w:hAnsi="宋体" w:cs="宋体"/>
          <w:b w:val="0"/>
          <w:bCs w:val="0"/>
          <w:color w:val="000000" w:themeColor="text1"/>
          <w:sz w:val="24"/>
          <w:szCs w:val="24"/>
        </w:rPr>
      </w:pPr>
      <w:r>
        <w:t>5、投标文件格式中的表格式样可以根据项目差别做适当调整,但应当保持表格样式基本形态不变。</w:t>
      </w:r>
    </w:p>
    <w:p>
      <w:pPr>
        <w:pStyle w:val="5"/>
        <w:keepNext w:val="0"/>
        <w:keepLines w:val="0"/>
        <w:tabs>
          <w:tab w:val="left" w:pos="851"/>
        </w:tabs>
        <w:autoSpaceDE w:val="0"/>
        <w:autoSpaceDN w:val="0"/>
        <w:adjustRightInd w:val="0"/>
        <w:snapToGrid w:val="0"/>
        <w:spacing w:before="0" w:after="0" w:line="440" w:lineRule="exact"/>
        <w:ind w:firstLine="480" w:firstLineChars="200"/>
        <w:rPr>
          <w:rFonts w:ascii="宋体" w:cs="宋体"/>
          <w:b w:val="0"/>
          <w:bCs w:val="0"/>
          <w:sz w:val="24"/>
          <w:szCs w:val="24"/>
        </w:rPr>
      </w:pPr>
      <w:r>
        <w:t>6、本项目允许部分分包，若分包如下：投标人根据招标文件的规定和采购项目的实际情况，拟在中标后将中标项目的非主体、非关键性工作分包的，应当在投标文件中载明分包承担主体，分包承担主体应当具备相应资质条件且不得再次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440" w:lineRule="exact"/>
        <w:rPr>
          <w:rFonts w:ascii="宋体" w:cs="宋体"/>
          <w:b/>
          <w:bCs/>
          <w:color w:val="000000" w:themeColor="text1"/>
          <w:sz w:val="28"/>
          <w:szCs w:val="28"/>
        </w:rPr>
      </w:pPr>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440" w:lineRule="exact"/>
        <w:jc w:val="center"/>
        <w:rPr>
          <w:rFonts w:ascii="宋体" w:cs="宋体"/>
          <w:b/>
          <w:bCs/>
          <w:color w:val="000000" w:themeColor="text1"/>
          <w:sz w:val="28"/>
          <w:szCs w:val="28"/>
        </w:rPr>
      </w:pPr>
      <w:r>
        <w:t>二、招标文件</w:t>
      </w:r>
    </w:p>
    <w:p>
      <w:pPr>
        <w:autoSpaceDE w:val="0"/>
        <w:autoSpaceDN w:val="0"/>
        <w:adjustRightInd w:val="0"/>
        <w:spacing w:line="440" w:lineRule="exact"/>
        <w:ind w:firstLine="480" w:firstLineChars="200"/>
        <w:rPr>
          <w:rFonts w:ascii="宋体" w:cs="宋体"/>
          <w:color w:val="000000" w:themeColor="text1"/>
          <w:kern w:val="0"/>
          <w:sz w:val="24"/>
          <w:szCs w:val="24"/>
        </w:rPr>
      </w:pPr>
      <w:r>
        <w:t>（一）招标文件由招标文件总目录所列内容组成。</w:t>
      </w:r>
    </w:p>
    <w:p>
      <w:pPr>
        <w:autoSpaceDE w:val="0"/>
        <w:autoSpaceDN w:val="0"/>
        <w:adjustRightInd w:val="0"/>
        <w:spacing w:line="440" w:lineRule="exact"/>
        <w:ind w:firstLine="480" w:firstLineChars="200"/>
        <w:rPr>
          <w:rFonts w:ascii="宋体" w:hAnsi="宋体" w:cs="宋体"/>
          <w:color w:val="000000" w:themeColor="text1"/>
          <w:kern w:val="0"/>
          <w:sz w:val="24"/>
          <w:szCs w:val="24"/>
        </w:rPr>
      </w:pPr>
      <w:r>
        <w:t xml:space="preserve">（二）招标文件的澄清或修改 </w:t>
      </w:r>
    </w:p>
    <w:p>
      <w:pPr>
        <w:autoSpaceDE w:val="0"/>
        <w:autoSpaceDN w:val="0"/>
        <w:adjustRightInd w:val="0"/>
        <w:spacing w:line="440" w:lineRule="exact"/>
        <w:ind w:firstLine="480" w:firstLineChars="200"/>
        <w:rPr>
          <w:rFonts w:ascii="宋体" w:cs="宋体"/>
          <w:color w:val="000000" w:themeColor="text1"/>
          <w:kern w:val="0"/>
          <w:sz w:val="24"/>
          <w:szCs w:val="24"/>
        </w:rPr>
      </w:pPr>
      <w:r>
        <w:t>1、采购人或采购代理机构可以对已发出的招标文件进行必要的澄清或者修改,但不得改变采购标的和资格条件。澄清或者修改应当在原公告发布媒体上发布澄清公告。澄清或者修改的内容为招标文件的组成部分。</w:t>
      </w:r>
    </w:p>
    <w:p>
      <w:pPr>
        <w:autoSpaceDE w:val="0"/>
        <w:autoSpaceDN w:val="0"/>
        <w:adjustRightInd w:val="0"/>
        <w:spacing w:line="440" w:lineRule="exact"/>
        <w:ind w:firstLine="480" w:firstLineChars="200"/>
        <w:rPr>
          <w:rFonts w:ascii="宋体" w:hAnsi="宋体" w:cs="宋体"/>
          <w:color w:val="000000" w:themeColor="text1"/>
          <w:kern w:val="0"/>
          <w:sz w:val="24"/>
          <w:szCs w:val="24"/>
        </w:rPr>
      </w:pPr>
      <w:r>
        <w:t xml:space="preserve">2、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 </w:t>
      </w:r>
    </w:p>
    <w:p>
      <w:pPr>
        <w:autoSpaceDE w:val="0"/>
        <w:autoSpaceDN w:val="0"/>
        <w:adjustRightInd w:val="0"/>
        <w:spacing w:line="440" w:lineRule="exact"/>
        <w:ind w:firstLine="480" w:firstLineChars="200"/>
        <w:rPr>
          <w:rFonts w:ascii="宋体" w:cs="宋体"/>
          <w:color w:val="000000" w:themeColor="text1"/>
          <w:kern w:val="0"/>
          <w:sz w:val="24"/>
          <w:szCs w:val="24"/>
        </w:rPr>
      </w:pPr>
      <w:r>
        <w:t>3、投标人在规定的时间内未对招标文件提出疑问、质疑或要求澄清的，将视其为无异议。对招标文件中描述有歧义或前后不一致的地方，评标委员会有权进行评判，但对同一条款的评判应适用于每个投标人。</w:t>
      </w:r>
    </w:p>
    <w:p>
      <w:pPr>
        <w:tabs>
          <w:tab w:val="left" w:pos="1418"/>
        </w:tabs>
        <w:autoSpaceDE w:val="0"/>
        <w:autoSpaceDN w:val="0"/>
        <w:adjustRightInd w:val="0"/>
        <w:spacing w:line="440" w:lineRule="exact"/>
        <w:ind w:firstLine="562" w:firstLineChars="200"/>
        <w:jc w:val="center"/>
        <w:rPr>
          <w:rFonts w:ascii="宋体" w:cs="宋体"/>
          <w:b/>
          <w:bCs/>
          <w:color w:val="000000" w:themeColor="text1"/>
          <w:sz w:val="28"/>
          <w:szCs w:val="28"/>
        </w:rPr>
      </w:pPr>
      <w:r/>
    </w:p>
    <w:p>
      <w:pPr>
        <w:tabs>
          <w:tab w:val="left" w:pos="1418"/>
        </w:tabs>
        <w:autoSpaceDE w:val="0"/>
        <w:autoSpaceDN w:val="0"/>
        <w:adjustRightInd w:val="0"/>
        <w:spacing w:line="440" w:lineRule="exact"/>
        <w:jc w:val="center"/>
        <w:rPr>
          <w:rFonts w:ascii="宋体" w:cs="宋体"/>
          <w:b/>
          <w:bCs/>
          <w:color w:val="000000" w:themeColor="text1"/>
          <w:sz w:val="28"/>
          <w:szCs w:val="28"/>
        </w:rPr>
      </w:pPr>
      <w:r>
        <w:t>三、投标文件</w:t>
      </w:r>
    </w:p>
    <w:p>
      <w:pPr>
        <w:autoSpaceDE w:val="0"/>
        <w:autoSpaceDN w:val="0"/>
        <w:adjustRightInd w:val="0"/>
        <w:spacing w:line="440" w:lineRule="exact"/>
        <w:ind w:firstLine="482" w:firstLineChars="200"/>
        <w:rPr>
          <w:rFonts w:ascii="宋体" w:cs="宋体"/>
          <w:b/>
          <w:bCs/>
          <w:color w:val="000000" w:themeColor="text1"/>
          <w:sz w:val="24"/>
          <w:szCs w:val="24"/>
          <w:lang w:val="zh-CN"/>
        </w:rPr>
      </w:pPr>
      <w:r>
        <w:t>（一）投标文件的形式和效力：</w:t>
      </w:r>
    </w:p>
    <w:p>
      <w:pPr>
        <w:autoSpaceDE w:val="0"/>
        <w:autoSpaceDN w:val="0"/>
        <w:adjustRightInd w:val="0"/>
        <w:spacing w:line="440" w:lineRule="exact"/>
        <w:ind w:firstLine="482" w:firstLineChars="200"/>
        <w:rPr>
          <w:rFonts w:ascii="宋体" w:cs="宋体"/>
          <w:b/>
          <w:bCs/>
          <w:color w:val="000000" w:themeColor="text1"/>
          <w:sz w:val="24"/>
          <w:szCs w:val="24"/>
          <w:lang w:val="zh-CN"/>
        </w:rPr>
      </w:pPr>
      <w:r>
        <w:t>1、投标文件的形式：</w:t>
      </w:r>
    </w:p>
    <w:p>
      <w:pPr>
        <w:snapToGrid w:val="0"/>
        <w:spacing w:line="440" w:lineRule="exact"/>
        <w:ind w:firstLine="480" w:firstLineChars="200"/>
        <w:rPr>
          <w:rFonts w:ascii="宋体" w:hAnsi="宋体" w:cs="宋体"/>
          <w:color w:val="000000" w:themeColor="text1"/>
          <w:kern w:val="0"/>
          <w:sz w:val="24"/>
          <w:szCs w:val="24"/>
          <w:lang w:val="zh-CN"/>
        </w:rPr>
      </w:pPr>
      <w:r>
        <w:t>电子投标文件（包括“电子加密投标文件”和“备份投标文件”，在投标文件编制完成后同时生成）；</w:t>
      </w:r>
    </w:p>
    <w:p>
      <w:pPr>
        <w:snapToGrid w:val="0"/>
        <w:spacing w:line="440" w:lineRule="exact"/>
        <w:ind w:firstLine="480" w:firstLineChars="200"/>
        <w:rPr>
          <w:rFonts w:ascii="宋体" w:hAnsi="宋体" w:cs="宋体"/>
          <w:color w:val="000000" w:themeColor="text1"/>
          <w:kern w:val="0"/>
          <w:sz w:val="24"/>
          <w:szCs w:val="24"/>
          <w:lang w:val="zh-CN"/>
        </w:rPr>
      </w:pPr>
      <w:r>
        <w:t>（1）“电子加密投标文件”是指通过“政采云电子交易客户端”完成投标文件编制后生成并加密的数据电文形式的投标文件。</w:t>
      </w:r>
    </w:p>
    <w:p>
      <w:pPr>
        <w:snapToGrid w:val="0"/>
        <w:spacing w:line="440" w:lineRule="exact"/>
        <w:ind w:firstLine="480" w:firstLineChars="200"/>
        <w:rPr>
          <w:rFonts w:ascii="宋体" w:hAnsi="宋体" w:cs="宋体"/>
          <w:color w:val="000000" w:themeColor="text1"/>
          <w:kern w:val="0"/>
          <w:sz w:val="24"/>
          <w:szCs w:val="24"/>
          <w:lang w:val="zh-CN"/>
        </w:rPr>
      </w:pPr>
      <w:r>
        <w:t>（2）“备份投标文件”是指与“电子加密投标文件”同时生成的数据电文形式的电子文件（备份标书），其他方式编制的“备份投标文件”视为无效“备份投标文件”。</w:t>
      </w:r>
    </w:p>
    <w:p>
      <w:pPr>
        <w:autoSpaceDE w:val="0"/>
        <w:autoSpaceDN w:val="0"/>
        <w:adjustRightInd w:val="0"/>
        <w:spacing w:line="440" w:lineRule="exact"/>
        <w:ind w:firstLine="482" w:firstLineChars="200"/>
        <w:rPr>
          <w:rFonts w:ascii="宋体" w:cs="宋体"/>
          <w:b/>
          <w:bCs/>
          <w:color w:val="000000" w:themeColor="text1"/>
          <w:sz w:val="24"/>
          <w:szCs w:val="24"/>
          <w:lang w:val="zh-CN"/>
        </w:rPr>
      </w:pPr>
      <w:r>
        <w:t>2、投标文件的效力:</w:t>
      </w:r>
    </w:p>
    <w:p>
      <w:pPr>
        <w:snapToGrid w:val="0"/>
        <w:spacing w:line="440" w:lineRule="exact"/>
        <w:ind w:firstLine="480" w:firstLineChars="200"/>
        <w:rPr>
          <w:rFonts w:ascii="宋体" w:hAnsi="宋体" w:cs="宋体"/>
          <w:color w:val="000000" w:themeColor="text1"/>
          <w:kern w:val="0"/>
          <w:sz w:val="24"/>
          <w:szCs w:val="24"/>
          <w:lang w:val="zh-CN"/>
        </w:rPr>
      </w:pPr>
      <w:r>
        <w:t>（1）投标文件的启用，按先后顺位分别为“电子加密投标文件”、“备份投标文件”。</w:t>
      </w:r>
    </w:p>
    <w:p>
      <w:pPr>
        <w:snapToGrid w:val="0"/>
        <w:spacing w:line="440" w:lineRule="exact"/>
        <w:ind w:firstLine="480" w:firstLineChars="200"/>
        <w:rPr>
          <w:rFonts w:ascii="宋体" w:hAnsi="宋体" w:cs="宋体"/>
          <w:color w:val="000000" w:themeColor="text1"/>
          <w:kern w:val="0"/>
          <w:sz w:val="24"/>
          <w:szCs w:val="24"/>
          <w:lang w:val="zh-CN"/>
        </w:rPr>
      </w:pPr>
      <w:r>
        <w:t>（2）通过“政府采购云平台”上传递交的“电子加密投标文件”已按时解密的，“备份投标文件”自动失效。</w:t>
      </w:r>
    </w:p>
    <w:p>
      <w:pPr>
        <w:snapToGrid w:val="0"/>
        <w:spacing w:line="440" w:lineRule="exact"/>
        <w:ind w:firstLine="480" w:firstLineChars="200"/>
        <w:rPr>
          <w:rFonts w:ascii="宋体" w:hAnsi="宋体" w:cs="宋体"/>
          <w:color w:val="000000" w:themeColor="text1"/>
          <w:kern w:val="0"/>
          <w:sz w:val="24"/>
          <w:szCs w:val="24"/>
          <w:lang w:val="zh-CN"/>
        </w:rPr>
      </w:pPr>
      <w:r>
        <w:t>▲（3）通过“政府采购云平台”上传递交的“电子加密投标文件”无法按时解密，投标供应商递交了“备份投标文件”的，以“备份投标文件”为依据；未提交“备份投标文件”的，视为无效投标。</w:t>
      </w:r>
    </w:p>
    <w:p>
      <w:pPr>
        <w:snapToGrid w:val="0"/>
        <w:spacing w:line="440" w:lineRule="exact"/>
        <w:ind w:firstLine="480" w:firstLineChars="200"/>
        <w:rPr>
          <w:rFonts w:ascii="宋体" w:hAnsi="宋体" w:cs="宋体"/>
          <w:color w:val="000000" w:themeColor="text1"/>
          <w:kern w:val="0"/>
          <w:sz w:val="24"/>
          <w:szCs w:val="24"/>
          <w:lang w:val="zh-CN"/>
        </w:rPr>
      </w:pPr>
      <w:r>
        <w:t>▲（4）投标供应商仅递交“备份投标文件”，未递交“电子加密投标文件”的，视为无效投标。</w:t>
      </w:r>
    </w:p>
    <w:p>
      <w:pPr>
        <w:autoSpaceDE w:val="0"/>
        <w:autoSpaceDN w:val="0"/>
        <w:adjustRightInd w:val="0"/>
        <w:spacing w:line="440" w:lineRule="exact"/>
        <w:ind w:firstLine="482" w:firstLineChars="200"/>
        <w:rPr>
          <w:rFonts w:ascii="宋体" w:cs="宋体"/>
          <w:b/>
          <w:bCs/>
          <w:color w:val="000000" w:themeColor="text1"/>
          <w:kern w:val="0"/>
          <w:sz w:val="24"/>
          <w:szCs w:val="24"/>
        </w:rPr>
      </w:pPr>
      <w:r>
        <w:t>（二）投标文件的组成</w:t>
      </w:r>
    </w:p>
    <w:p>
      <w:pPr>
        <w:snapToGrid w:val="0"/>
        <w:spacing w:line="440" w:lineRule="exact"/>
        <w:ind w:firstLine="480" w:firstLineChars="200"/>
        <w:rPr>
          <w:rFonts w:ascii="仿宋_GB2312" w:hAnsi="仿宋_GB2312" w:eastAsia="仿宋_GB2312"/>
          <w:color w:val="000000" w:themeColor="text1"/>
          <w:sz w:val="24"/>
          <w:szCs w:val="24"/>
          <w:lang w:val="zh-CN"/>
        </w:rPr>
      </w:pPr>
      <w:r>
        <w:t>投标人获取招标文件后，按照招标文件的要求提供：资格证明文件、商务技术文件和报价文件。</w:t>
      </w:r>
    </w:p>
    <w:p>
      <w:pPr>
        <w:widowControl/>
        <w:spacing w:line="440" w:lineRule="exact"/>
        <w:jc w:val="left"/>
        <w:rPr>
          <w:rFonts w:ascii="宋体" w:hAnsi="宋体" w:cs="宋体"/>
          <w:b/>
          <w:color w:val="000000" w:themeColor="text1"/>
          <w:kern w:val="0"/>
          <w:sz w:val="24"/>
        </w:rPr>
      </w:pPr>
      <w:r>
        <w:t>▲1、资格证明文件的组成：（未提供下列材料的资格审查认定为无效）</w:t>
      </w:r>
    </w:p>
    <w:tbl>
      <w:tblPr>
        <w:tblStyle w:val="59"/>
        <w:tblpPr w:leftFromText="180" w:rightFromText="180" w:vertAnchor="text" w:horzAnchor="page" w:tblpX="1339" w:tblpY="438"/>
        <w:tblOverlap w:val="never"/>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543"/>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blHeader/>
        </w:trPr>
        <w:tc>
          <w:tcPr>
            <w:tcW w:w="1276" w:type="dxa"/>
            <w:vAlign w:val="center"/>
          </w:tcPr>
          <w:p>
            <w:r>
              <w:t>序号</w:t>
            </w:r>
          </w:p>
        </w:tc>
        <w:tc>
          <w:tcPr>
            <w:tcW w:w="3543" w:type="dxa"/>
            <w:vAlign w:val="center"/>
          </w:tcPr>
          <w:p>
            <w:r>
              <w:t>内容</w:t>
            </w:r>
          </w:p>
        </w:tc>
        <w:tc>
          <w:tcPr>
            <w:tcW w:w="4820" w:type="dxa"/>
            <w:vAlign w:val="center"/>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▲1</w:t>
            </w:r>
          </w:p>
        </w:tc>
        <w:tc>
          <w:tcPr>
            <w:tcW w:w="3543" w:type="dxa"/>
            <w:vAlign w:val="center"/>
          </w:tcPr>
          <w:p>
            <w:r>
              <w:t>投标声明书（若没有重大违法记录，请承诺）</w:t>
            </w:r>
          </w:p>
        </w:tc>
        <w:tc>
          <w:tcPr>
            <w:tcW w:w="4820" w:type="dxa"/>
            <w:vAlign w:val="center"/>
          </w:tcPr>
          <w:p>
            <w:r>
              <w:t>格式见附件2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76" w:type="dxa"/>
            <w:vAlign w:val="center"/>
          </w:tcPr>
          <w:p>
            <w:r>
              <w:t>▲2</w:t>
            </w:r>
          </w:p>
        </w:tc>
        <w:tc>
          <w:tcPr>
            <w:tcW w:w="3543" w:type="dxa"/>
            <w:vAlign w:val="center"/>
          </w:tcPr>
          <w:p>
            <w:r>
              <w:t>授权委托书（法定代表人办理投标事宜的，则无需提交）</w:t>
              <w:br/>
              <w:t>（附上法定代表人及代理人的身份证正反面）</w:t>
            </w:r>
          </w:p>
        </w:tc>
        <w:tc>
          <w:tcPr>
            <w:tcW w:w="4820" w:type="dxa"/>
            <w:vAlign w:val="center"/>
          </w:tcPr>
          <w:p>
            <w:r>
              <w:t>如授权委托代理人的则需按照格式提供此项，格式见附件3、附件4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▲3</w:t>
            </w:r>
          </w:p>
        </w:tc>
        <w:tc>
          <w:tcPr>
            <w:tcW w:w="3543" w:type="dxa"/>
            <w:vAlign w:val="center"/>
          </w:tcPr>
          <w:p>
            <w:r>
              <w:t>法人或者其他组织的营业执照等证明文件，自然人的身份证明</w:t>
            </w:r>
          </w:p>
        </w:tc>
        <w:tc>
          <w:tcPr>
            <w:tcW w:w="4820" w:type="dxa"/>
            <w:vAlign w:val="center"/>
          </w:tcPr>
          <w:p>
            <w:r>
              <w:t>格式、内容自拟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76" w:type="dxa"/>
            <w:vAlign w:val="center"/>
          </w:tcPr>
          <w:p>
            <w:r>
              <w:t>▲4</w:t>
            </w:r>
          </w:p>
        </w:tc>
        <w:tc>
          <w:tcPr>
            <w:tcW w:w="3543" w:type="dxa"/>
            <w:vAlign w:val="center"/>
          </w:tcPr>
          <w:p>
            <w:r>
              <w:t>符合参与政府采购活动的资格条件并且没有税收缴纳、社会保障等方面的失信记录</w:t>
            </w:r>
          </w:p>
        </w:tc>
        <w:tc>
          <w:tcPr>
            <w:tcW w:w="4820" w:type="dxa"/>
            <w:vAlign w:val="center"/>
          </w:tcPr>
          <w:p>
            <w:r>
              <w:t>提供承诺书（格式见附件5）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▲5</w:t>
            </w:r>
          </w:p>
        </w:tc>
        <w:tc>
          <w:tcPr>
            <w:tcW w:w="3543" w:type="dxa"/>
            <w:vAlign w:val="center"/>
          </w:tcPr>
          <w:p>
            <w:r>
              <w:t>具备履行合同所必需的设备和专业技术能力的证明材料</w:t>
            </w:r>
          </w:p>
        </w:tc>
        <w:tc>
          <w:tcPr>
            <w:tcW w:w="4820" w:type="dxa"/>
            <w:vAlign w:val="center"/>
          </w:tcPr>
          <w:p>
            <w:r>
              <w:t>提供承诺书（格式见附件5）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▲6</w:t>
            </w:r>
          </w:p>
        </w:tc>
        <w:tc>
          <w:tcPr>
            <w:tcW w:w="3543" w:type="dxa"/>
            <w:vAlign w:val="center"/>
          </w:tcPr>
          <w:p>
            <w:r>
              <w:t>投标人须具有《基础电信业务经营许可证》或《广播电视节目传送经营许可证》。</w:t>
            </w:r>
          </w:p>
        </w:tc>
        <w:tc>
          <w:tcPr>
            <w:tcW w:w="4820" w:type="dxa"/>
            <w:vAlign w:val="center"/>
          </w:tcPr>
          <w:p>
            <w:r>
              <w:t>提供许可证复印件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▲7</w:t>
            </w:r>
          </w:p>
        </w:tc>
        <w:tc>
          <w:tcPr>
            <w:tcW w:w="3543" w:type="dxa"/>
          </w:tcPr>
          <w:p>
            <w:r>
              <w:t>联合体协议书（如果为联合体的，则必须提供，否则为无效）</w:t>
            </w:r>
          </w:p>
        </w:tc>
        <w:tc>
          <w:tcPr>
            <w:tcW w:w="4820" w:type="dxa"/>
          </w:tcPr>
          <w:p>
            <w:r>
              <w:t>【选择性提供】</w:t>
              <w:br/>
              <w:t>若为联合体（最多2家）投标，须提供此项。格式见附件6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1276" w:type="dxa"/>
            <w:vAlign w:val="center"/>
          </w:tcPr>
          <w:p>
            <w:r>
              <w:t>▲8</w:t>
            </w:r>
          </w:p>
        </w:tc>
        <w:tc>
          <w:tcPr>
            <w:tcW w:w="3543" w:type="dxa"/>
            <w:vAlign w:val="center"/>
          </w:tcPr>
          <w:p>
            <w:r>
              <w:t>分包意向协议（如果采用分包形式，则必须提供，否则为无效）</w:t>
            </w:r>
          </w:p>
        </w:tc>
        <w:tc>
          <w:tcPr>
            <w:tcW w:w="4820" w:type="dxa"/>
            <w:vAlign w:val="center"/>
          </w:tcPr>
          <w:p>
            <w:r>
              <w:t>【选择性提供】</w:t>
              <w:br/>
              <w:t>若为分包形式投标，须提供此项，格式见附件7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▲9</w:t>
            </w:r>
          </w:p>
        </w:tc>
        <w:tc>
          <w:tcPr>
            <w:tcW w:w="3543" w:type="dxa"/>
            <w:vAlign w:val="center"/>
          </w:tcPr>
          <w:p>
            <w:r>
              <w:t>中小企业声明函（若属于中小企业需提供）</w:t>
              <w:br/>
              <w:t>残疾人福利性单位声明函（若属于残疾人福利性单位）；</w:t>
              <w:br/>
              <w:t>省级以上监狱管理局、戒毒管理局（含新疆生产建设兵团）开具的属于监狱企业的证明文件（若属于监狱企业）</w:t>
            </w:r>
          </w:p>
        </w:tc>
        <w:tc>
          <w:tcPr>
            <w:tcW w:w="4820" w:type="dxa"/>
            <w:vAlign w:val="center"/>
          </w:tcPr>
          <w:p>
            <w:r>
              <w:t>【选择性提供】</w:t>
              <w:br/>
              <w:t>声明函格式见附件8；</w:t>
              <w:br/>
              <w:t>投标人若属于监狱企业的，根据《财政部司法部关于政府采购支持监狱企业发展有关问题的通知》（财库【2014】68号）的规定，格式自拟。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10</w:t>
            </w:r>
          </w:p>
        </w:tc>
        <w:tc>
          <w:tcPr>
            <w:tcW w:w="3543" w:type="dxa"/>
            <w:vAlign w:val="center"/>
          </w:tcPr>
          <w:p>
            <w:r>
              <w:t>投标人认为需要提供的其它文件和资料</w:t>
            </w:r>
          </w:p>
        </w:tc>
        <w:tc>
          <w:tcPr>
            <w:tcW w:w="4820" w:type="dxa"/>
            <w:vAlign w:val="center"/>
          </w:tcPr>
          <w:p>
            <w:r>
              <w:t>内容自拟</w:t>
            </w:r>
          </w:p>
        </w:tc>
      </w:tr>
    </w:tbl>
    <w:p>
      <w:pPr>
        <w:pStyle w:val="2"/>
        <w:rPr>
          <w:rFonts w:ascii="宋体" w:hAnsi="宋体" w:cs="宋体"/>
          <w:b/>
          <w:color w:val="000000" w:themeColor="text1"/>
          <w:kern w:val="0"/>
          <w:sz w:val="24"/>
        </w:rPr>
      </w:pPr>
      <w:r/>
    </w:p>
    <w:p>
      <w:pPr>
        <w:snapToGrid w:val="0"/>
        <w:spacing w:line="440" w:lineRule="exact"/>
        <w:ind w:firstLine="482" w:firstLineChars="200"/>
        <w:rPr>
          <w:rFonts w:ascii="宋体"/>
          <w:color w:val="000000" w:themeColor="text1"/>
          <w:sz w:val="24"/>
          <w:szCs w:val="24"/>
          <w:u w:val="single"/>
        </w:rPr>
      </w:pPr>
      <w:r>
        <w:t>2、商务技术文件的组成：</w:t>
      </w:r>
    </w:p>
    <w:tbl>
      <w:tblPr>
        <w:tblStyle w:val="59"/>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961"/>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blHeader/>
        </w:trPr>
        <w:tc>
          <w:tcPr>
            <w:tcW w:w="851" w:type="dxa"/>
            <w:vAlign w:val="center"/>
          </w:tcPr>
          <w:p>
            <w:r>
              <w:t>序号</w:t>
            </w:r>
          </w:p>
        </w:tc>
        <w:tc>
          <w:tcPr>
            <w:tcW w:w="8646" w:type="dxa"/>
            <w:gridSpan w:val="2"/>
            <w:vAlign w:val="center"/>
          </w:tcPr>
          <w:p>
            <w: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1" w:type="dxa"/>
            <w:vAlign w:val="center"/>
          </w:tcPr>
          <w:p>
            <w:r>
              <w:t>1</w:t>
            </w:r>
          </w:p>
        </w:tc>
        <w:tc>
          <w:tcPr>
            <w:tcW w:w="4961" w:type="dxa"/>
            <w:vAlign w:val="center"/>
          </w:tcPr>
          <w:p>
            <w:r>
              <w:t>供应商自评表</w:t>
            </w:r>
          </w:p>
        </w:tc>
        <w:tc>
          <w:tcPr>
            <w:tcW w:w="3685" w:type="dxa"/>
            <w:vAlign w:val="center"/>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1" w:type="dxa"/>
            <w:vAlign w:val="center"/>
          </w:tcPr>
          <w:p>
            <w:r>
              <w:t>2</w:t>
            </w:r>
          </w:p>
        </w:tc>
        <w:tc>
          <w:tcPr>
            <w:tcW w:w="4961" w:type="dxa"/>
            <w:vAlign w:val="center"/>
          </w:tcPr>
          <w:p>
            <w:r>
              <w:t>投标人基本情况表</w:t>
            </w:r>
          </w:p>
        </w:tc>
        <w:tc>
          <w:tcPr>
            <w:tcW w:w="3685"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1" w:type="dxa"/>
            <w:vAlign w:val="center"/>
          </w:tcPr>
          <w:p>
            <w:r>
              <w:t>3</w:t>
            </w:r>
          </w:p>
        </w:tc>
        <w:tc>
          <w:tcPr>
            <w:tcW w:w="4961" w:type="dxa"/>
            <w:vAlign w:val="center"/>
          </w:tcPr>
          <w:p>
            <w:r>
              <w:t>项目经理资格情况表</w:t>
            </w:r>
          </w:p>
        </w:tc>
        <w:tc>
          <w:tcPr>
            <w:tcW w:w="3685"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1" w:type="dxa"/>
            <w:vAlign w:val="center"/>
          </w:tcPr>
          <w:p>
            <w:r>
              <w:t>4</w:t>
            </w:r>
          </w:p>
        </w:tc>
        <w:tc>
          <w:tcPr>
            <w:tcW w:w="4961" w:type="dxa"/>
            <w:vAlign w:val="center"/>
          </w:tcPr>
          <w:p>
            <w:r>
              <w:t>项目实施人员一览表</w:t>
            </w:r>
          </w:p>
        </w:tc>
        <w:tc>
          <w:tcPr>
            <w:tcW w:w="3685"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1" w:type="dxa"/>
            <w:vAlign w:val="center"/>
          </w:tcPr>
          <w:p>
            <w:r>
              <w:t>5</w:t>
            </w:r>
          </w:p>
        </w:tc>
        <w:tc>
          <w:tcPr>
            <w:tcW w:w="4961" w:type="dxa"/>
            <w:vAlign w:val="center"/>
          </w:tcPr>
          <w:p>
            <w:r>
              <w:t>证书一览表</w:t>
            </w:r>
          </w:p>
        </w:tc>
        <w:tc>
          <w:tcPr>
            <w:tcW w:w="3685"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1" w:type="dxa"/>
            <w:vAlign w:val="center"/>
          </w:tcPr>
          <w:p>
            <w:r>
              <w:t>6</w:t>
            </w:r>
          </w:p>
        </w:tc>
        <w:tc>
          <w:tcPr>
            <w:tcW w:w="4961" w:type="dxa"/>
            <w:vAlign w:val="center"/>
          </w:tcPr>
          <w:p>
            <w:r>
              <w:t>类似业绩一览表</w:t>
            </w:r>
          </w:p>
        </w:tc>
        <w:tc>
          <w:tcPr>
            <w:tcW w:w="3685"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51" w:type="dxa"/>
            <w:vAlign w:val="center"/>
          </w:tcPr>
          <w:p>
            <w:r>
              <w:t>7</w:t>
            </w:r>
          </w:p>
        </w:tc>
        <w:tc>
          <w:tcPr>
            <w:tcW w:w="4961" w:type="dxa"/>
            <w:vAlign w:val="center"/>
          </w:tcPr>
          <w:p>
            <w:r>
              <w:t>类似项目情况表</w:t>
            </w:r>
          </w:p>
        </w:tc>
        <w:tc>
          <w:tcPr>
            <w:tcW w:w="3685"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51" w:type="dxa"/>
            <w:vAlign w:val="center"/>
          </w:tcPr>
          <w:p>
            <w:r>
              <w:t>8</w:t>
            </w:r>
          </w:p>
        </w:tc>
        <w:tc>
          <w:tcPr>
            <w:tcW w:w="4961" w:type="dxa"/>
            <w:vAlign w:val="center"/>
          </w:tcPr>
          <w:p>
            <w:r>
              <w:t>技术、商务偏离表</w:t>
            </w:r>
          </w:p>
        </w:tc>
        <w:tc>
          <w:tcPr>
            <w:tcW w:w="3685"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51" w:type="dxa"/>
            <w:vAlign w:val="center"/>
          </w:tcPr>
          <w:p>
            <w:r>
              <w:t>9</w:t>
            </w:r>
          </w:p>
        </w:tc>
        <w:tc>
          <w:tcPr>
            <w:tcW w:w="4961" w:type="dxa"/>
            <w:vAlign w:val="center"/>
          </w:tcPr>
          <w:p>
            <w:r>
              <w:t>投标人认为需要提供的其他资料，包括可能影响投标人商务技术文件评分的各类证明材料</w:t>
            </w:r>
          </w:p>
        </w:tc>
        <w:tc>
          <w:tcPr>
            <w:tcW w:w="3685" w:type="dxa"/>
            <w:vAlign w:val="center"/>
          </w:tcPr>
          <w:p>
            <w:r>
              <w:t>格式、内容自拟</w:t>
            </w:r>
          </w:p>
        </w:tc>
      </w:tr>
    </w:tbl>
    <w:p>
      <w:pPr>
        <w:autoSpaceDE w:val="0"/>
        <w:autoSpaceDN w:val="0"/>
        <w:adjustRightInd w:val="0"/>
        <w:spacing w:line="360" w:lineRule="auto"/>
        <w:ind w:left="426" w:firstLine="65" w:firstLineChars="27"/>
        <w:rPr>
          <w:rFonts w:ascii="宋体" w:cs="宋体"/>
          <w:b/>
          <w:bCs/>
          <w:color w:val="000000" w:themeColor="text1"/>
          <w:kern w:val="0"/>
          <w:sz w:val="24"/>
          <w:szCs w:val="24"/>
        </w:rPr>
      </w:pPr>
      <w:r>
        <w:t>3、报价文件的组成</w:t>
      </w:r>
    </w:p>
    <w:tbl>
      <w:tblPr>
        <w:tblStyle w:val="59"/>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961"/>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vAlign w:val="center"/>
          </w:tcPr>
          <w:p>
            <w:r>
              <w:t>序号</w:t>
            </w:r>
          </w:p>
        </w:tc>
        <w:tc>
          <w:tcPr>
            <w:tcW w:w="4961" w:type="dxa"/>
            <w:vAlign w:val="center"/>
          </w:tcPr>
          <w:p>
            <w:r>
              <w:t>内容</w:t>
            </w:r>
          </w:p>
        </w:tc>
        <w:tc>
          <w:tcPr>
            <w:tcW w:w="3685" w:type="dxa"/>
            <w:vAlign w:val="center"/>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tcPr>
          <w:p>
            <w:r>
              <w:t>1</w:t>
            </w:r>
          </w:p>
        </w:tc>
        <w:tc>
          <w:tcPr>
            <w:tcW w:w="4961" w:type="dxa"/>
            <w:vAlign w:val="center"/>
          </w:tcPr>
          <w:p>
            <w:r>
              <w:t>开标一览表</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trPr>
        <w:tc>
          <w:tcPr>
            <w:tcW w:w="851" w:type="dxa"/>
          </w:tcPr>
          <w:p>
            <w:r>
              <w:t>2</w:t>
            </w:r>
          </w:p>
        </w:tc>
        <w:tc>
          <w:tcPr>
            <w:tcW w:w="4961" w:type="dxa"/>
            <w:vAlign w:val="center"/>
          </w:tcPr>
          <w:p>
            <w:r>
              <w:t>费用计算表</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trPr>
        <w:tc>
          <w:tcPr>
            <w:tcW w:w="851" w:type="dxa"/>
          </w:tcPr>
          <w:p>
            <w:r>
              <w:t>3</w:t>
            </w:r>
          </w:p>
        </w:tc>
        <w:tc>
          <w:tcPr>
            <w:tcW w:w="4961" w:type="dxa"/>
            <w:vAlign w:val="center"/>
          </w:tcPr>
          <w:p>
            <w:r>
              <w:t>投标报价费用明细表</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tcPr>
          <w:p>
            <w:r>
              <w:t>4</w:t>
            </w:r>
          </w:p>
        </w:tc>
        <w:tc>
          <w:tcPr>
            <w:tcW w:w="4961" w:type="dxa"/>
            <w:vAlign w:val="center"/>
          </w:tcPr>
          <w:p>
            <w:r>
              <w:t>安装工程报价清单</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51" w:type="dxa"/>
            <w:vAlign w:val="center"/>
          </w:tcPr>
          <w:p>
            <w:r>
              <w:t>5</w:t>
            </w:r>
          </w:p>
        </w:tc>
        <w:tc>
          <w:tcPr>
            <w:tcW w:w="4961" w:type="dxa"/>
          </w:tcPr>
          <w:p>
            <w:r>
              <w:t>投标人认为需要提供的其它文件和资料</w:t>
            </w:r>
          </w:p>
        </w:tc>
        <w:tc>
          <w:tcPr>
            <w:tcW w:w="3685" w:type="dxa"/>
          </w:tcPr>
          <w:p>
            <w:r>
              <w:t>内容自拟（可选择性提供）</w:t>
            </w:r>
          </w:p>
        </w:tc>
      </w:tr>
    </w:tbl>
    <w:p>
      <w:pPr>
        <w:spacing w:line="440" w:lineRule="exact"/>
        <w:rPr>
          <w:rFonts w:ascii="宋体" w:cs="宋体"/>
          <w:b/>
          <w:bCs/>
          <w:color w:val="000000" w:themeColor="text1"/>
          <w:kern w:val="0"/>
          <w:sz w:val="24"/>
          <w:szCs w:val="24"/>
        </w:rPr>
      </w:pPr>
      <w:r>
        <w:t>（三）投标文件的制作、封装及递交要求</w:t>
      </w:r>
    </w:p>
    <w:p>
      <w:pPr>
        <w:autoSpaceDE w:val="0"/>
        <w:autoSpaceDN w:val="0"/>
        <w:adjustRightInd w:val="0"/>
        <w:spacing w:line="440" w:lineRule="exact"/>
        <w:ind w:firstLine="482" w:firstLineChars="200"/>
        <w:rPr>
          <w:rFonts w:ascii="宋体" w:cs="宋体"/>
          <w:b/>
          <w:bCs/>
          <w:color w:val="000000" w:themeColor="text1"/>
          <w:sz w:val="24"/>
          <w:szCs w:val="24"/>
        </w:rPr>
      </w:pPr>
      <w:r>
        <w:t>1、投标文件的制作要求</w:t>
      </w:r>
    </w:p>
    <w:p>
      <w:pPr>
        <w:spacing w:line="360" w:lineRule="auto"/>
        <w:ind w:firstLine="480" w:firstLineChars="200"/>
        <w:rPr>
          <w:rFonts w:ascii="宋体" w:hAnsi="宋体" w:cs="Arial"/>
          <w:color w:val="000000" w:themeColor="text1"/>
          <w:sz w:val="24"/>
        </w:rPr>
      </w:pPr>
      <w:r>
        <w:t>（1）本项目通过“政府采购云平台（www.zcygov.cn）”实行在线投标响应（电子投标）。供应商应通过“政采云电子交易客户端”，并按照本招标文件和“政府采购云平台”的要求编制并加密投标文件。</w:t>
      </w:r>
    </w:p>
    <w:p>
      <w:pPr>
        <w:spacing w:line="360" w:lineRule="auto"/>
        <w:ind w:firstLine="420" w:firstLineChars="175"/>
        <w:rPr>
          <w:rFonts w:ascii="宋体" w:hAnsi="宋体" w:cs="Arial"/>
          <w:b/>
          <w:color w:val="000000" w:themeColor="text1"/>
          <w:kern w:val="0"/>
          <w:sz w:val="24"/>
        </w:rPr>
      </w:pPr>
      <w:r>
        <w:t>（2）投标供应商应当按照本章节 “投标文件组成”规定的内容及顺序在“政采云电子交易客户端”编制投标文件。其中《资格证明文件》和《商务技术文件》中不得出现本项目投标报价，如因投标人原因提前泄露投标报价，是投标人的责任。</w:t>
      </w:r>
    </w:p>
    <w:p>
      <w:pPr>
        <w:autoSpaceDE w:val="0"/>
        <w:autoSpaceDN w:val="0"/>
        <w:adjustRightInd w:val="0"/>
        <w:spacing w:line="440" w:lineRule="exact"/>
        <w:ind w:firstLine="480" w:firstLineChars="200"/>
        <w:rPr>
          <w:rFonts w:ascii="宋体" w:hAnsi="宋体" w:cs="宋体"/>
          <w:color w:val="000000" w:themeColor="text1"/>
          <w:kern w:val="0"/>
          <w:sz w:val="24"/>
          <w:szCs w:val="24"/>
          <w:lang w:val="zh-CN"/>
        </w:rPr>
      </w:pPr>
      <w:r>
        <w:t>（3）投标人应对所提供的全部资料的真实性承担法律责任，投标文件内容中有要求盖章或签字的地方，必须加盖投标人的公章以及法定代表人或授权代理人的签字或盖章。</w:t>
      </w:r>
    </w:p>
    <w:p>
      <w:pPr>
        <w:spacing w:line="360" w:lineRule="auto"/>
        <w:ind w:firstLine="422" w:firstLineChars="176"/>
        <w:rPr>
          <w:rFonts w:ascii="宋体" w:cs="宋体"/>
          <w:color w:val="000000" w:themeColor="text1"/>
          <w:kern w:val="0"/>
          <w:sz w:val="24"/>
          <w:szCs w:val="24"/>
          <w:lang w:val="zh-CN"/>
        </w:rPr>
      </w:pPr>
      <w:r>
        <w:t>（4）电子签章操作指南详见采购公告附件《供应商项目采购-电子招投标操作指南》。（电子投标文件中涉及的签字部分，可以采用线下签名后，再扫描上传。）</w:t>
      </w:r>
    </w:p>
    <w:p>
      <w:pPr>
        <w:autoSpaceDE w:val="0"/>
        <w:autoSpaceDN w:val="0"/>
        <w:adjustRightInd w:val="0"/>
        <w:spacing w:line="440" w:lineRule="exact"/>
        <w:ind w:firstLine="480" w:firstLineChars="200"/>
        <w:rPr>
          <w:rFonts w:ascii="宋体" w:hAnsi="宋体" w:cs="宋体"/>
          <w:color w:val="000000" w:themeColor="text1"/>
          <w:kern w:val="0"/>
          <w:sz w:val="24"/>
          <w:szCs w:val="24"/>
          <w:lang w:val="zh-CN"/>
        </w:rPr>
      </w:pPr>
      <w:r>
        <w:t>（5）投标人应根据“政采云供应商项目采购-电子招投标操作指南”及本招标文件规定编制电子投标文件并进行关联定位，以便评标委员会在评标时，点击评分项，可直接定位到该评分项内容。</w:t>
      </w:r>
    </w:p>
    <w:p>
      <w:pPr>
        <w:snapToGrid w:val="0"/>
        <w:spacing w:line="440" w:lineRule="exact"/>
        <w:ind w:firstLine="480" w:firstLineChars="200"/>
        <w:jc w:val="left"/>
        <w:rPr>
          <w:rFonts w:ascii="宋体" w:cs="宋体"/>
          <w:color w:val="000000" w:themeColor="text1"/>
          <w:sz w:val="24"/>
          <w:szCs w:val="24"/>
        </w:rPr>
      </w:pPr>
      <w:r>
        <w:t>（6）投标文件以及投标人与采购代理机构就有关投标事宜的所有来往函电，均应以中文汉语书写。除签字、盖章、专用名称等特殊情形外，以中文汉语以外的文字表述的投标文件视同未提供。</w:t>
      </w:r>
    </w:p>
    <w:p>
      <w:pPr>
        <w:snapToGrid w:val="0"/>
        <w:spacing w:line="440" w:lineRule="exact"/>
        <w:ind w:firstLine="480" w:firstLineChars="200"/>
        <w:jc w:val="left"/>
        <w:rPr>
          <w:rFonts w:ascii="宋体" w:cs="宋体"/>
          <w:color w:val="000000" w:themeColor="text1"/>
          <w:sz w:val="24"/>
          <w:szCs w:val="24"/>
        </w:rPr>
      </w:pPr>
      <w:r>
        <w:t>（7）投标计量单位，招标文件已有明确规定的，使用招标文件规定的计量单位；招标文件没有规定的，应采用中华人民共和国法定计量单位（货币单位：人民币元）。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440" w:lineRule="exact"/>
        <w:ind w:firstLine="480" w:firstLineChars="200"/>
        <w:rPr>
          <w:rFonts w:ascii="宋体" w:cs="宋体"/>
          <w:color w:val="000000" w:themeColor="text1"/>
          <w:sz w:val="24"/>
          <w:szCs w:val="24"/>
        </w:rPr>
      </w:pPr>
      <w:r>
        <w:t>（8）若投标人不按招标文件的要求提供资格审查材料，其责任由投标人自行承担。</w:t>
      </w:r>
    </w:p>
    <w:p>
      <w:pPr>
        <w:autoSpaceDE w:val="0"/>
        <w:autoSpaceDN w:val="0"/>
        <w:adjustRightInd w:val="0"/>
        <w:spacing w:line="440" w:lineRule="exact"/>
        <w:ind w:firstLine="480" w:firstLineChars="200"/>
        <w:rPr>
          <w:rFonts w:ascii="宋体" w:cs="宋体"/>
          <w:color w:val="000000" w:themeColor="text1"/>
          <w:sz w:val="24"/>
          <w:szCs w:val="24"/>
        </w:rPr>
      </w:pPr>
      <w:r>
        <w:t>（9）与本次投标无关的内容请不要制作在内，确保投标文件有针对性、简洁明了。</w:t>
      </w:r>
    </w:p>
    <w:p>
      <w:pPr>
        <w:spacing w:line="360" w:lineRule="auto"/>
        <w:ind w:firstLine="424" w:firstLineChars="176"/>
        <w:rPr>
          <w:rFonts w:ascii="宋体" w:hAnsi="宋体" w:cs="宋体"/>
          <w:b/>
          <w:bCs/>
          <w:color w:val="000000" w:themeColor="text1"/>
          <w:sz w:val="24"/>
          <w:szCs w:val="24"/>
        </w:rPr>
      </w:pPr>
      <w:r>
        <w:t>2、投标文件的形式和份数及签署</w:t>
      </w:r>
    </w:p>
    <w:p>
      <w:pPr>
        <w:spacing w:line="360" w:lineRule="auto"/>
        <w:ind w:firstLine="422" w:firstLineChars="176"/>
        <w:rPr>
          <w:rFonts w:ascii="宋体" w:hAnsi="宋体" w:cs="Arial"/>
          <w:color w:val="000000" w:themeColor="text1"/>
          <w:sz w:val="24"/>
        </w:rPr>
      </w:pPr>
      <w:r>
        <w:t>（1）投标文件的形式：见《前附表》；</w:t>
      </w:r>
    </w:p>
    <w:p>
      <w:pPr>
        <w:spacing w:line="360" w:lineRule="auto"/>
        <w:ind w:firstLine="422" w:firstLineChars="176"/>
        <w:rPr>
          <w:rFonts w:ascii="宋体" w:hAnsi="宋体" w:cs="Arial"/>
          <w:color w:val="000000" w:themeColor="text1"/>
          <w:sz w:val="24"/>
        </w:rPr>
      </w:pPr>
      <w:r>
        <w:t>（2）“电子加密投标文件”：“电子加密投标文件”是指通过“政采云电子交易客户端”完成投标文件编制后生成并加密的数据电文形式的投标文件。</w:t>
      </w:r>
    </w:p>
    <w:p>
      <w:pPr>
        <w:spacing w:line="360" w:lineRule="auto"/>
        <w:ind w:firstLine="422" w:firstLineChars="176"/>
        <w:rPr>
          <w:rFonts w:ascii="宋体" w:hAnsi="宋体" w:cs="Arial"/>
          <w:color w:val="000000" w:themeColor="text1"/>
          <w:sz w:val="24"/>
        </w:rPr>
      </w:pPr>
      <w:r>
        <w:t>（3）“备份投标文件”：“备份投标文件”是指与“电子加密投标文件”同时生成的数据电文形式的电子文件（备份标书），其他方式编制的“备份投标文件”视为无效的“备份投标文件”。</w:t>
      </w:r>
    </w:p>
    <w:p>
      <w:pPr>
        <w:autoSpaceDE w:val="0"/>
        <w:autoSpaceDN w:val="0"/>
        <w:adjustRightInd w:val="0"/>
        <w:spacing w:line="440" w:lineRule="exact"/>
        <w:ind w:firstLine="480" w:firstLineChars="200"/>
        <w:rPr>
          <w:rFonts w:ascii="宋体" w:hAnsi="宋体" w:cs="Arial"/>
          <w:color w:val="000000" w:themeColor="text1"/>
          <w:sz w:val="24"/>
        </w:rPr>
      </w:pPr>
      <w:r>
        <w:t>（4）投标文件的份数：</w:t>
      </w:r>
    </w:p>
    <w:p>
      <w:pPr>
        <w:autoSpaceDE w:val="0"/>
        <w:autoSpaceDN w:val="0"/>
        <w:adjustRightInd w:val="0"/>
        <w:spacing w:line="440" w:lineRule="exact"/>
        <w:ind w:firstLine="480" w:firstLineChars="200"/>
        <w:rPr>
          <w:rFonts w:ascii="宋体" w:hAnsi="宋体" w:cs="宋体"/>
          <w:color w:val="000000" w:themeColor="text1"/>
          <w:kern w:val="0"/>
          <w:sz w:val="24"/>
          <w:szCs w:val="24"/>
          <w:lang w:val="zh-CN"/>
        </w:rPr>
      </w:pPr>
      <w:r>
        <w:t>4.1“电子加密投标文件”（后缀格式为.jmbs）：在线上传递交一份。</w:t>
      </w:r>
    </w:p>
    <w:p>
      <w:pPr>
        <w:autoSpaceDE w:val="0"/>
        <w:autoSpaceDN w:val="0"/>
        <w:adjustRightInd w:val="0"/>
        <w:spacing w:line="440" w:lineRule="exact"/>
        <w:ind w:firstLine="480" w:firstLineChars="200"/>
        <w:rPr>
          <w:rFonts w:ascii="宋体" w:hAnsi="宋体" w:cs="宋体"/>
          <w:color w:val="000000" w:themeColor="text1"/>
          <w:kern w:val="0"/>
          <w:sz w:val="24"/>
          <w:szCs w:val="24"/>
          <w:lang w:val="zh-CN"/>
        </w:rPr>
      </w:pPr>
      <w:r>
        <w:t>4.2“备份投标文件”（后缀格式为.bfbs）：发送一份至邮箱：13758666568@126.com，以接收方邮箱收件箱所显示时间为准。</w:t>
      </w:r>
    </w:p>
    <w:p>
      <w:pPr>
        <w:autoSpaceDE w:val="0"/>
        <w:autoSpaceDN w:val="0"/>
        <w:adjustRightInd w:val="0"/>
        <w:spacing w:line="440" w:lineRule="exact"/>
        <w:ind w:firstLine="480" w:firstLineChars="200"/>
        <w:rPr>
          <w:rFonts w:ascii="宋体" w:hAnsi="宋体" w:cs="宋体"/>
          <w:b/>
          <w:bCs/>
          <w:color w:val="000000" w:themeColor="text1"/>
          <w:kern w:val="0"/>
          <w:sz w:val="24"/>
          <w:szCs w:val="24"/>
          <w:lang w:val="zh-CN"/>
        </w:rPr>
      </w:pPr>
      <w:r>
        <w:t>（5）签署：投标文件中所须加盖公章部分均应当采用CA电子签章功能加盖投标人的单位电子公章，法定代表人（或营运商负责人）和授权代表签字或盖章可书面签字或盖章后扫描至“电子加密投标文件”中上传，也可采用法定代表人（或营运商负责人）的电子章。</w:t>
      </w:r>
    </w:p>
    <w:p>
      <w:pPr>
        <w:autoSpaceDE w:val="0"/>
        <w:autoSpaceDN w:val="0"/>
        <w:adjustRightInd w:val="0"/>
        <w:spacing w:line="440" w:lineRule="exact"/>
        <w:ind w:firstLine="482" w:firstLineChars="200"/>
        <w:rPr>
          <w:rFonts w:ascii="宋体" w:hAnsi="宋体" w:cs="宋体"/>
          <w:b/>
          <w:bCs/>
          <w:color w:val="000000" w:themeColor="text1"/>
          <w:sz w:val="24"/>
          <w:szCs w:val="24"/>
        </w:rPr>
      </w:pPr>
      <w:r>
        <w:t>3、投标文件的递交要求</w:t>
      </w:r>
    </w:p>
    <w:p>
      <w:pPr>
        <w:autoSpaceDE w:val="0"/>
        <w:autoSpaceDN w:val="0"/>
        <w:adjustRightInd w:val="0"/>
        <w:spacing w:line="440" w:lineRule="exact"/>
        <w:ind w:firstLine="480" w:firstLineChars="200"/>
        <w:rPr>
          <w:rFonts w:ascii="宋体" w:hAnsi="宋体"/>
          <w:color w:val="000000" w:themeColor="text1"/>
          <w:sz w:val="24"/>
        </w:rPr>
      </w:pPr>
      <w:r>
        <w:t>（1）投标文件的上传和递交见《前附表》。</w:t>
      </w:r>
    </w:p>
    <w:p>
      <w:pPr>
        <w:autoSpaceDE w:val="0"/>
        <w:autoSpaceDN w:val="0"/>
        <w:adjustRightInd w:val="0"/>
        <w:spacing w:line="440" w:lineRule="exact"/>
        <w:ind w:firstLine="480" w:firstLineChars="200"/>
        <w:rPr>
          <w:rFonts w:ascii="宋体" w:hAnsi="宋体"/>
          <w:color w:val="000000" w:themeColor="text1"/>
          <w:sz w:val="24"/>
        </w:rPr>
      </w:pPr>
      <w:r>
        <w:t>（2）“电子加密投标文件”解密：见《前附表》。</w:t>
      </w:r>
    </w:p>
    <w:p>
      <w:pPr>
        <w:autoSpaceDE w:val="0"/>
        <w:autoSpaceDN w:val="0"/>
        <w:adjustRightInd w:val="0"/>
        <w:spacing w:line="440" w:lineRule="exact"/>
        <w:ind w:firstLine="480" w:firstLineChars="200"/>
        <w:rPr>
          <w:rFonts w:ascii="宋体" w:hAnsi="宋体"/>
          <w:color w:val="000000" w:themeColor="text1"/>
          <w:sz w:val="24"/>
          <w:szCs w:val="24"/>
        </w:rPr>
      </w:pPr>
      <w:r>
        <w:t>（3）投标文件的补充、修改或撤回</w:t>
      </w:r>
    </w:p>
    <w:p>
      <w:pPr>
        <w:spacing w:line="360" w:lineRule="auto"/>
        <w:ind w:firstLine="424" w:firstLineChars="177"/>
        <w:rPr>
          <w:rFonts w:ascii="宋体" w:hAnsi="宋体" w:cs="Arial"/>
          <w:color w:val="000000" w:themeColor="text1"/>
          <w:kern w:val="0"/>
          <w:sz w:val="24"/>
        </w:rPr>
      </w:pPr>
      <w:r>
        <w:t>a、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spacing w:line="360" w:lineRule="auto"/>
        <w:ind w:firstLine="424" w:firstLineChars="177"/>
        <w:rPr>
          <w:rFonts w:ascii="宋体" w:hAnsi="宋体" w:cs="Arial"/>
          <w:color w:val="000000" w:themeColor="text1"/>
          <w:kern w:val="0"/>
          <w:sz w:val="24"/>
        </w:rPr>
      </w:pPr>
      <w:r>
        <w:t>b、投标截止时间后，投标供应商不得撤回、修改《投标文件》。</w:t>
      </w:r>
    </w:p>
    <w:p>
      <w:pPr>
        <w:spacing w:line="360" w:lineRule="auto"/>
        <w:ind w:firstLine="426" w:firstLineChars="177"/>
        <w:rPr>
          <w:rFonts w:ascii="宋体" w:hAnsi="宋体"/>
          <w:b/>
          <w:color w:val="000000" w:themeColor="text1"/>
          <w:sz w:val="24"/>
          <w:szCs w:val="24"/>
        </w:rPr>
      </w:pPr>
      <w:r>
        <w:t>4、投标文件的备选方案</w:t>
      </w:r>
    </w:p>
    <w:p>
      <w:pPr>
        <w:spacing w:line="360" w:lineRule="auto"/>
        <w:ind w:firstLine="424" w:firstLineChars="177"/>
        <w:rPr>
          <w:rFonts w:ascii="宋体" w:hAnsi="宋体"/>
          <w:color w:val="000000" w:themeColor="text1"/>
          <w:sz w:val="24"/>
        </w:rPr>
      </w:pPr>
      <w:r>
        <w:t>（1）投标供应商不得递交任何的投标备选（替代）方案，否则其投标文件将作无效标处理。与“电子加密投标文件”同时生成的“备份投标文件”不是投标备选（替代）方案。</w:t>
      </w:r>
    </w:p>
    <w:p>
      <w:pPr>
        <w:tabs>
          <w:tab w:val="left" w:pos="0"/>
        </w:tabs>
        <w:autoSpaceDE w:val="0"/>
        <w:autoSpaceDN w:val="0"/>
        <w:adjustRightInd w:val="0"/>
        <w:spacing w:line="440" w:lineRule="exact"/>
        <w:ind w:firstLine="482" w:firstLineChars="200"/>
        <w:rPr>
          <w:rFonts w:ascii="宋体" w:cs="宋体"/>
          <w:b/>
          <w:bCs/>
          <w:color w:val="000000" w:themeColor="text1"/>
          <w:kern w:val="0"/>
          <w:sz w:val="24"/>
          <w:szCs w:val="24"/>
        </w:rPr>
      </w:pPr>
      <w:r>
        <w:t>（四）投标文件的有效期</w:t>
      </w:r>
    </w:p>
    <w:p>
      <w:pPr>
        <w:pStyle w:val="18"/>
        <w:tabs>
          <w:tab w:val="left" w:pos="0"/>
        </w:tabs>
        <w:snapToGrid w:val="0"/>
        <w:spacing w:line="440" w:lineRule="exact"/>
        <w:ind w:left="0" w:firstLine="480" w:firstLineChars="200"/>
        <w:rPr>
          <w:rFonts w:ascii="仿宋_GB2312" w:hAnsi="仿宋_GB2312" w:eastAsia="仿宋_GB2312"/>
          <w:color w:val="000000" w:themeColor="text1"/>
          <w:sz w:val="24"/>
          <w:szCs w:val="24"/>
          <w:lang w:val="en-GB"/>
        </w:rPr>
      </w:pPr>
      <w:r>
        <w:t>1、自投标截止日起90天投标文件应保持有效。有效期不足的投标文件将被拒绝。</w:t>
      </w:r>
    </w:p>
    <w:p>
      <w:pPr>
        <w:pStyle w:val="18"/>
        <w:tabs>
          <w:tab w:val="left" w:pos="454"/>
          <w:tab w:val="left" w:pos="720"/>
          <w:tab w:val="left" w:pos="1200"/>
        </w:tabs>
        <w:snapToGrid w:val="0"/>
        <w:spacing w:line="440" w:lineRule="exact"/>
        <w:ind w:left="480" w:firstLine="0"/>
        <w:rPr>
          <w:rFonts w:ascii="宋体"/>
          <w:color w:val="000000" w:themeColor="text1"/>
          <w:sz w:val="24"/>
          <w:szCs w:val="24"/>
          <w:lang w:val="en-GB"/>
        </w:rPr>
      </w:pPr>
      <w:r>
        <w:t>2、在特殊情况下，采购人可与投标人协商延长投标文件的有效期，这种要求和答复均以书面形式进行。</w:t>
      </w:r>
    </w:p>
    <w:p>
      <w:pPr>
        <w:snapToGrid w:val="0"/>
        <w:spacing w:line="440" w:lineRule="exact"/>
        <w:ind w:firstLine="480" w:firstLineChars="200"/>
        <w:jc w:val="left"/>
        <w:outlineLvl w:val="0"/>
        <w:rPr>
          <w:rFonts w:ascii="宋体" w:cs="宋体"/>
          <w:b/>
          <w:bCs/>
          <w:color w:val="000000" w:themeColor="text1"/>
          <w:sz w:val="24"/>
          <w:szCs w:val="24"/>
        </w:rPr>
      </w:pPr>
      <w:r>
        <w:t>3、中标人的投标文件自开标之日起至合同履行完毕均应保持有效。</w:t>
      </w:r>
    </w:p>
    <w:p>
      <w:pPr>
        <w:snapToGrid w:val="0"/>
        <w:spacing w:line="440" w:lineRule="exact"/>
        <w:jc w:val="center"/>
        <w:rPr>
          <w:rFonts w:ascii="宋体" w:hAnsi="宋体" w:cs="宋体"/>
          <w:b/>
          <w:bCs/>
          <w:color w:val="000000" w:themeColor="text1"/>
          <w:sz w:val="28"/>
          <w:szCs w:val="28"/>
        </w:rPr>
      </w:pPr>
      <w:r/>
    </w:p>
    <w:p>
      <w:pPr>
        <w:snapToGrid w:val="0"/>
        <w:spacing w:line="360" w:lineRule="auto"/>
        <w:jc w:val="center"/>
        <w:rPr>
          <w:rFonts w:ascii="宋体" w:cs="宋体"/>
          <w:b/>
          <w:bCs/>
          <w:color w:val="000000" w:themeColor="text1"/>
          <w:sz w:val="28"/>
          <w:szCs w:val="28"/>
        </w:rPr>
      </w:pPr>
      <w:r>
        <w:t>四、开标</w:t>
      </w:r>
    </w:p>
    <w:p>
      <w:pPr>
        <w:autoSpaceDE w:val="0"/>
        <w:autoSpaceDN w:val="0"/>
        <w:adjustRightInd w:val="0"/>
        <w:spacing w:line="440" w:lineRule="exact"/>
        <w:ind w:firstLine="482" w:firstLineChars="200"/>
        <w:rPr>
          <w:rFonts w:ascii="宋体" w:hAnsi="宋体" w:cs="宋体"/>
          <w:b/>
          <w:bCs/>
          <w:color w:val="000000" w:themeColor="text1"/>
          <w:kern w:val="0"/>
          <w:sz w:val="24"/>
          <w:szCs w:val="24"/>
        </w:rPr>
      </w:pPr>
      <w:r>
        <w:t>（一）开标事项</w:t>
      </w:r>
    </w:p>
    <w:p>
      <w:pPr>
        <w:autoSpaceDE w:val="0"/>
        <w:autoSpaceDN w:val="0"/>
        <w:adjustRightInd w:val="0"/>
        <w:spacing w:line="440" w:lineRule="exact"/>
        <w:ind w:firstLine="480" w:firstLineChars="200"/>
        <w:rPr>
          <w:rFonts w:ascii="宋体" w:hAnsi="宋体" w:cs="宋体"/>
          <w:color w:val="000000" w:themeColor="text1"/>
          <w:sz w:val="24"/>
          <w:szCs w:val="24"/>
          <w:lang w:val="en-GB"/>
        </w:rPr>
      </w:pPr>
      <w:r>
        <w:t>1、 采购组织机构将按照招标文件规定的时间通过“政府采购云平台”组织开标、开启投标文件，所有供应商均应当准时在线参加。</w:t>
      </w:r>
    </w:p>
    <w:p>
      <w:pPr>
        <w:pStyle w:val="18"/>
        <w:tabs>
          <w:tab w:val="left" w:pos="454"/>
          <w:tab w:val="left" w:pos="720"/>
          <w:tab w:val="left" w:pos="1200"/>
        </w:tabs>
        <w:snapToGrid w:val="0"/>
        <w:spacing w:line="440" w:lineRule="exact"/>
        <w:ind w:left="480" w:firstLine="0"/>
        <w:rPr>
          <w:rFonts w:ascii="宋体" w:hAnsi="宋体" w:cs="宋体"/>
          <w:color w:val="000000" w:themeColor="text1"/>
          <w:sz w:val="24"/>
          <w:szCs w:val="24"/>
          <w:lang w:val="en-GB"/>
        </w:rPr>
      </w:pPr>
      <w:r>
        <w:t>2、开标的准备工作由采购组织机构负责落实；</w:t>
      </w:r>
    </w:p>
    <w:p>
      <w:pPr>
        <w:autoSpaceDE w:val="0"/>
        <w:autoSpaceDN w:val="0"/>
        <w:adjustRightInd w:val="0"/>
        <w:spacing w:line="440" w:lineRule="exact"/>
        <w:ind w:firstLine="480" w:firstLineChars="200"/>
        <w:rPr>
          <w:rFonts w:ascii="宋体" w:hAnsi="宋体" w:cs="宋体"/>
          <w:color w:val="000000" w:themeColor="text1"/>
          <w:sz w:val="24"/>
          <w:szCs w:val="24"/>
          <w:lang w:val="en-GB"/>
        </w:rPr>
      </w:pPr>
      <w:r>
        <w:t>3、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pPr>
        <w:autoSpaceDE w:val="0"/>
        <w:autoSpaceDN w:val="0"/>
        <w:adjustRightInd w:val="0"/>
        <w:spacing w:line="440" w:lineRule="exact"/>
        <w:ind w:firstLine="482" w:firstLineChars="200"/>
        <w:rPr>
          <w:rFonts w:ascii="宋体" w:hAnsi="宋体" w:cs="宋体"/>
          <w:b/>
          <w:bCs/>
          <w:color w:val="000000" w:themeColor="text1"/>
          <w:kern w:val="0"/>
          <w:sz w:val="24"/>
          <w:szCs w:val="24"/>
        </w:rPr>
      </w:pPr>
      <w:r>
        <w:t>（二）开标流程（两阶段）</w:t>
      </w:r>
    </w:p>
    <w:p>
      <w:pPr>
        <w:autoSpaceDE w:val="0"/>
        <w:autoSpaceDN w:val="0"/>
        <w:adjustRightInd w:val="0"/>
        <w:spacing w:line="440" w:lineRule="exact"/>
        <w:ind w:firstLine="482" w:firstLineChars="200"/>
        <w:rPr>
          <w:rFonts w:ascii="宋体" w:hAnsi="宋体" w:cs="宋体"/>
          <w:b/>
          <w:bCs/>
          <w:color w:val="000000" w:themeColor="text1"/>
          <w:kern w:val="0"/>
          <w:sz w:val="24"/>
          <w:szCs w:val="24"/>
        </w:rPr>
      </w:pPr>
      <w:r>
        <w:t>1、开标第一阶段</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及相关资料的，将由采购组织机构按“政府采购云平台”操作规范将备份投标文件上传至“政府采购云平台”，上传成功后，“电子加密投标文件”自动失效；</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（2）投标文件解密结束，通过邮件形式发送各投标人组织签署《政府采购活动现场确认声明书》；(详见前附表)</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（3）开启投标文件，进入资格审查；</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（4）开启资格审查通过的投标供应商的商务技术文件进入符合性审查、商务技术评审；</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（5）第一阶段开标结束。</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备注：开标大会的第一阶段结束后，采购人或采购代理机构将对依法对投标供应商的资格进行审查，资格审查结束后进入符合性审查和商务技术的评审工作，具体见本章节“投标供应商资格审查”相关规定。</w:t>
      </w:r>
    </w:p>
    <w:p>
      <w:pPr>
        <w:autoSpaceDE w:val="0"/>
        <w:autoSpaceDN w:val="0"/>
        <w:adjustRightInd w:val="0"/>
        <w:spacing w:line="440" w:lineRule="exact"/>
        <w:ind w:firstLine="482" w:firstLineChars="200"/>
        <w:rPr>
          <w:rFonts w:ascii="宋体" w:hAnsi="宋体" w:cs="宋体"/>
          <w:b/>
          <w:bCs/>
          <w:color w:val="000000" w:themeColor="text1"/>
          <w:kern w:val="0"/>
          <w:sz w:val="24"/>
          <w:szCs w:val="24"/>
        </w:rPr>
      </w:pPr>
      <w:r>
        <w:t>2、开标第二阶段</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（1）符合性审查、商务技术评审结束后，举行开标第二阶段会议。首先公布符合性审查、商务技术评审无效供应商名称及理由；公布经商务技术评审后有效投标供应商的名单。</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（2）开启符合性审查、商务技术评审有效投标供应商的《报价文件》，同时当场制作开标记录表。唱标结束后，由评标委员会对报价的合理性、准确性等进行审查核实。</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（3）评审结束后，公布中标（成交）候选供应商名单，及采购人最终确定中标或成交供应商名单的时间和公告方式等。</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特别说明：如遇“政府采购云平台”电子化开标或评审程序调整的，按调整后程序执行。</w:t>
      </w:r>
    </w:p>
    <w:p>
      <w:pPr>
        <w:autoSpaceDE w:val="0"/>
        <w:autoSpaceDN w:val="0"/>
        <w:adjustRightInd w:val="0"/>
        <w:spacing w:line="440" w:lineRule="exact"/>
        <w:ind w:firstLine="482" w:firstLineChars="200"/>
        <w:rPr>
          <w:rFonts w:ascii="宋体" w:hAnsi="宋体" w:cs="宋体"/>
          <w:b/>
          <w:bCs/>
          <w:color w:val="000000" w:themeColor="text1"/>
          <w:kern w:val="0"/>
          <w:sz w:val="24"/>
          <w:szCs w:val="24"/>
        </w:rPr>
      </w:pPr>
      <w:r>
        <w:t>（三）投标供应商资格审查</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1、开标大会第一阶段结束后，采购人或采购代理机构首先依法对各投标供应商的资格进行审查，审查各投标供应商的资格是否满足招标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2、投标供应商提交的资格证明材料无法证明其符合招标文件规定的“投标供应商资格要求”的，采购人或采购代理机构将对其作资格审查不通过处理（无效投标），并不再将其投标提交评标委员会进行后续评审。</w:t>
      </w:r>
    </w:p>
    <w:p>
      <w:pPr>
        <w:autoSpaceDE w:val="0"/>
        <w:autoSpaceDN w:val="0"/>
        <w:adjustRightInd w:val="0"/>
        <w:spacing w:line="440" w:lineRule="exact"/>
        <w:ind w:firstLine="480" w:firstLineChars="200"/>
        <w:rPr>
          <w:rFonts w:ascii="宋体" w:hAnsi="宋体" w:cs="宋体"/>
          <w:bCs/>
          <w:color w:val="000000" w:themeColor="text1"/>
          <w:kern w:val="0"/>
          <w:sz w:val="24"/>
          <w:szCs w:val="24"/>
        </w:rPr>
      </w:pPr>
      <w:r>
        <w:t>3、单位负责人为同一人或者存在直接控股、管理关系的不同供应商参加同一合同项下的政府采购活动的，相关投标供应商均作资格无效处理。</w:t>
      </w:r>
    </w:p>
    <w:p>
      <w:pPr>
        <w:snapToGrid w:val="0"/>
        <w:spacing w:line="440" w:lineRule="exact"/>
        <w:ind w:firstLine="482" w:firstLineChars="200"/>
        <w:rPr>
          <w:rFonts w:ascii="宋体" w:hAnsi="宋体" w:cs="宋体"/>
          <w:b/>
          <w:bCs/>
          <w:color w:val="000000" w:themeColor="text1"/>
          <w:sz w:val="24"/>
          <w:szCs w:val="24"/>
        </w:rPr>
      </w:pPr>
      <w:r>
        <w:t>特别说明：政府采购云平台如对电子化开标及评审程序有调整的，按调整后的程序操作。</w:t>
      </w:r>
    </w:p>
    <w:p>
      <w:pPr>
        <w:pStyle w:val="34"/>
        <w:snapToGrid w:val="0"/>
        <w:spacing w:line="440" w:lineRule="exact"/>
        <w:jc w:val="center"/>
        <w:outlineLvl w:val="1"/>
        <w:rPr>
          <w:rFonts w:hAnsi="宋体" w:cs="Times New Roman"/>
          <w:b/>
          <w:bCs/>
          <w:color w:val="000000" w:themeColor="text1"/>
          <w:sz w:val="28"/>
          <w:szCs w:val="28"/>
        </w:rPr>
      </w:pPr>
      <w:r>
        <w:t>五、评标</w:t>
      </w:r>
    </w:p>
    <w:p>
      <w:pPr>
        <w:pStyle w:val="34"/>
        <w:snapToGrid w:val="0"/>
        <w:spacing w:line="440" w:lineRule="exact"/>
        <w:ind w:firstLine="482" w:firstLineChars="200"/>
        <w:rPr>
          <w:rFonts w:hAnsi="宋体" w:cs="Times New Roman"/>
          <w:b/>
          <w:bCs/>
          <w:color w:val="000000" w:themeColor="text1"/>
          <w:sz w:val="24"/>
          <w:szCs w:val="24"/>
        </w:rPr>
      </w:pPr>
      <w:r>
        <w:t>（一）组建评标委员会</w:t>
      </w:r>
    </w:p>
    <w:p>
      <w:pPr>
        <w:pStyle w:val="34"/>
        <w:snapToGrid w:val="0"/>
        <w:spacing w:line="440" w:lineRule="exact"/>
        <w:ind w:firstLine="480" w:firstLineChars="200"/>
        <w:rPr>
          <w:rFonts w:hAnsi="宋体" w:cs="Times New Roman"/>
          <w:color w:val="000000" w:themeColor="text1"/>
          <w:sz w:val="24"/>
          <w:szCs w:val="24"/>
        </w:rPr>
      </w:pPr>
      <w:r>
        <w:t>评标委员会由采购人依法组建。</w:t>
      </w:r>
    </w:p>
    <w:p>
      <w:pPr>
        <w:pStyle w:val="34"/>
        <w:snapToGrid w:val="0"/>
        <w:spacing w:line="440" w:lineRule="exact"/>
        <w:ind w:firstLine="482" w:firstLineChars="200"/>
        <w:rPr>
          <w:rFonts w:hAnsi="宋体" w:cs="Times New Roman"/>
          <w:b/>
          <w:bCs/>
          <w:color w:val="000000" w:themeColor="text1"/>
          <w:sz w:val="24"/>
          <w:szCs w:val="24"/>
        </w:rPr>
      </w:pPr>
      <w:r>
        <w:t>（二）评标程序</w:t>
      </w:r>
    </w:p>
    <w:p>
      <w:pPr>
        <w:snapToGrid w:val="0"/>
        <w:spacing w:line="440" w:lineRule="exact"/>
        <w:ind w:firstLine="482" w:firstLineChars="200"/>
        <w:rPr>
          <w:rFonts w:ascii="宋体" w:cs="宋体"/>
          <w:b/>
          <w:bCs/>
          <w:color w:val="000000" w:themeColor="text1"/>
          <w:sz w:val="24"/>
          <w:szCs w:val="24"/>
        </w:rPr>
      </w:pPr>
      <w:r>
        <w:t>1、资格审查</w:t>
      </w:r>
    </w:p>
    <w:p>
      <w:pPr>
        <w:pStyle w:val="55"/>
        <w:spacing w:before="0" w:beforeAutospacing="0" w:after="0" w:afterAutospacing="0" w:line="440" w:lineRule="exact"/>
        <w:ind w:firstLine="480" w:firstLineChars="200"/>
        <w:jc w:val="both"/>
        <w:rPr>
          <w:rFonts w:cs="Times New Roman"/>
          <w:color w:val="000000" w:themeColor="text1"/>
        </w:rPr>
      </w:pPr>
      <w:r>
        <w:t>公开招标采购项目开标结束后，采购人或者采购代理机构应当依法对投标人的资格进行审查，对审查发现无效的进行必要的询标，结束后公布无效投标的投标人名单、投标无效的原因。</w:t>
      </w:r>
    </w:p>
    <w:p>
      <w:pPr>
        <w:pStyle w:val="55"/>
        <w:spacing w:before="0" w:beforeAutospacing="0" w:after="0" w:afterAutospacing="0" w:line="440" w:lineRule="exact"/>
        <w:ind w:firstLine="482" w:firstLineChars="200"/>
        <w:jc w:val="both"/>
        <w:rPr>
          <w:rFonts w:cs="Times New Roman"/>
          <w:b/>
          <w:bCs/>
          <w:color w:val="000000" w:themeColor="text1"/>
        </w:rPr>
      </w:pPr>
      <w:r>
        <w:t>2、符合性审查</w:t>
      </w:r>
    </w:p>
    <w:p>
      <w:pPr>
        <w:pStyle w:val="55"/>
        <w:spacing w:before="0" w:beforeAutospacing="0" w:after="0" w:afterAutospacing="0" w:line="440" w:lineRule="exact"/>
        <w:ind w:firstLine="480" w:firstLineChars="200"/>
        <w:jc w:val="both"/>
        <w:rPr>
          <w:color w:val="000000" w:themeColor="text1"/>
        </w:rPr>
      </w:pPr>
      <w: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55"/>
        <w:spacing w:before="0" w:beforeAutospacing="0" w:after="0" w:afterAutospacing="0" w:line="440" w:lineRule="exact"/>
        <w:ind w:firstLine="482" w:firstLineChars="200"/>
        <w:jc w:val="both"/>
        <w:rPr>
          <w:rFonts w:cs="Times New Roman"/>
          <w:color w:val="000000" w:themeColor="text1"/>
        </w:rPr>
      </w:pPr>
      <w:r>
        <w:t>3、综合比较与评价</w:t>
      </w:r>
    </w:p>
    <w:p>
      <w:pPr>
        <w:pStyle w:val="55"/>
        <w:spacing w:before="0" w:beforeAutospacing="0" w:after="0" w:afterAutospacing="0" w:line="440" w:lineRule="exact"/>
        <w:ind w:firstLine="480" w:firstLineChars="200"/>
        <w:jc w:val="both"/>
        <w:rPr>
          <w:rFonts w:cs="Times New Roman"/>
          <w:color w:val="000000" w:themeColor="text1"/>
        </w:rPr>
      </w:pPr>
      <w:r>
        <w:t>（1）对于投标文件中含义不明确、同类问题表述不一致或者有明显文字和计算错误的内容，评标委员会应当以书面形式要求投标人作出必要的澄清、说明或者补正。</w:t>
      </w:r>
    </w:p>
    <w:p>
      <w:pPr>
        <w:pStyle w:val="55"/>
        <w:spacing w:before="0" w:beforeAutospacing="0" w:after="0" w:afterAutospacing="0" w:line="440" w:lineRule="exact"/>
        <w:ind w:firstLine="480" w:firstLineChars="200"/>
        <w:jc w:val="both"/>
        <w:rPr>
          <w:rFonts w:cs="Times New Roman"/>
          <w:color w:val="000000" w:themeColor="text1"/>
        </w:rPr>
      </w:pPr>
      <w:r>
        <w:t>（2）评标委员会应当按照招标文件中规定的评标方法和标准，对符合性审查合格的投标文件进行商务和技术评估，综合比较与评价。</w:t>
      </w:r>
    </w:p>
    <w:p>
      <w:pPr>
        <w:snapToGrid w:val="0"/>
        <w:spacing w:line="440" w:lineRule="exact"/>
        <w:ind w:firstLine="480" w:firstLineChars="200"/>
        <w:rPr>
          <w:rFonts w:ascii="宋体" w:cs="宋体"/>
          <w:color w:val="000000" w:themeColor="text1"/>
          <w:kern w:val="0"/>
          <w:sz w:val="24"/>
          <w:szCs w:val="24"/>
        </w:rPr>
      </w:pPr>
      <w:r>
        <w:t>（3）评标时，评标委员会各成员应当独立对每个投标人的投标文件进行评价，并汇总每个投标人的得分。</w:t>
      </w:r>
    </w:p>
    <w:p>
      <w:pPr>
        <w:snapToGrid w:val="0"/>
        <w:spacing w:line="440" w:lineRule="exact"/>
        <w:ind w:firstLine="482" w:firstLineChars="200"/>
        <w:rPr>
          <w:rFonts w:ascii="宋体" w:cs="宋体"/>
          <w:b/>
          <w:bCs/>
          <w:color w:val="000000" w:themeColor="text1"/>
          <w:kern w:val="0"/>
          <w:sz w:val="24"/>
          <w:szCs w:val="24"/>
        </w:rPr>
      </w:pPr>
      <w:r>
        <w:t>4、得分确认及评审报告编写</w:t>
      </w:r>
    </w:p>
    <w:p>
      <w:pPr>
        <w:pStyle w:val="34"/>
        <w:snapToGrid w:val="0"/>
        <w:spacing w:line="440" w:lineRule="exact"/>
        <w:ind w:firstLine="480" w:firstLineChars="200"/>
        <w:rPr>
          <w:rFonts w:hAnsi="宋体" w:cs="Times New Roman"/>
          <w:color w:val="000000" w:themeColor="text1"/>
          <w:sz w:val="24"/>
          <w:szCs w:val="24"/>
        </w:rPr>
      </w:pPr>
      <w:r>
        <w:t>（1）评标委员会对报价文件进行复核，对于系统计算出的价格分及总得分进行确认；</w:t>
      </w:r>
    </w:p>
    <w:p>
      <w:pPr>
        <w:pStyle w:val="55"/>
        <w:spacing w:before="0" w:beforeAutospacing="0" w:after="0" w:afterAutospacing="0" w:line="440" w:lineRule="exact"/>
        <w:ind w:firstLine="480" w:firstLineChars="200"/>
        <w:jc w:val="both"/>
        <w:rPr>
          <w:rFonts w:cs="Times New Roman"/>
          <w:color w:val="000000" w:themeColor="text1"/>
        </w:rPr>
      </w:pPr>
      <w:r>
        <w:t>（2）评标委员会应当按照招标文件中规定的评标方法和标准，对符合性审查合格的投标文件进行商务和技术评估，综合比较与评价。</w:t>
      </w:r>
    </w:p>
    <w:p>
      <w:pPr>
        <w:snapToGrid w:val="0"/>
        <w:spacing w:line="440" w:lineRule="exact"/>
        <w:ind w:firstLine="480" w:firstLineChars="200"/>
        <w:rPr>
          <w:rFonts w:ascii="Arial" w:hAnsi="Arial" w:cs="Arial"/>
          <w:b/>
          <w:bCs/>
          <w:color w:val="000000" w:themeColor="text1"/>
          <w:sz w:val="24"/>
          <w:szCs w:val="24"/>
        </w:rPr>
      </w:pPr>
      <w:r>
        <w:t>（3）评标委员会按评标原则及得分情况编写评审报告。</w:t>
      </w:r>
    </w:p>
    <w:p>
      <w:pPr>
        <w:snapToGrid w:val="0"/>
        <w:spacing w:line="440" w:lineRule="exact"/>
        <w:ind w:firstLine="482" w:firstLineChars="200"/>
        <w:rPr>
          <w:rFonts w:ascii="宋体" w:cs="宋体"/>
          <w:b/>
          <w:bCs/>
          <w:color w:val="000000" w:themeColor="text1"/>
          <w:kern w:val="0"/>
          <w:sz w:val="24"/>
          <w:szCs w:val="24"/>
        </w:rPr>
      </w:pPr>
      <w:r>
        <w:t>5、评价</w:t>
      </w:r>
    </w:p>
    <w:p>
      <w:pPr>
        <w:snapToGrid w:val="0"/>
        <w:spacing w:line="440" w:lineRule="exact"/>
        <w:ind w:firstLine="480" w:firstLineChars="200"/>
        <w:rPr>
          <w:rFonts w:ascii="宋体" w:cs="宋体"/>
          <w:b/>
          <w:bCs/>
          <w:color w:val="000000" w:themeColor="text1"/>
          <w:kern w:val="0"/>
          <w:sz w:val="24"/>
          <w:szCs w:val="24"/>
        </w:rPr>
      </w:pPr>
      <w:r>
        <w:t>采购代理机构对评标委员会评审专家进行评价。</w:t>
      </w:r>
    </w:p>
    <w:p>
      <w:pPr>
        <w:snapToGrid w:val="0"/>
        <w:spacing w:line="440" w:lineRule="exact"/>
        <w:ind w:firstLine="482" w:firstLineChars="200"/>
        <w:rPr>
          <w:rFonts w:ascii="宋体" w:cs="宋体"/>
          <w:b/>
          <w:bCs/>
          <w:color w:val="000000" w:themeColor="text1"/>
          <w:sz w:val="24"/>
          <w:szCs w:val="24"/>
        </w:rPr>
      </w:pPr>
      <w:r>
        <w:t>（三）澄清问题的形式</w:t>
      </w:r>
    </w:p>
    <w:p>
      <w:pPr>
        <w:snapToGrid w:val="0"/>
        <w:spacing w:line="440" w:lineRule="exact"/>
        <w:ind w:firstLine="480" w:firstLineChars="200"/>
        <w:rPr>
          <w:rFonts w:ascii="宋体" w:cs="宋体"/>
          <w:color w:val="000000" w:themeColor="text1"/>
          <w:sz w:val="24"/>
          <w:szCs w:val="24"/>
        </w:rPr>
      </w:pPr>
      <w:r>
        <w:t>投标人的澄清、说明或者补正应当采用书面形式，并加盖公章，或者由法定代理人或其授权的代表签字，并不得超出投标文件的范围或者改变投标文件的实质性内容。</w:t>
      </w:r>
    </w:p>
    <w:p>
      <w:pPr>
        <w:pStyle w:val="34"/>
        <w:snapToGrid w:val="0"/>
        <w:spacing w:line="440" w:lineRule="exact"/>
        <w:ind w:firstLine="482" w:firstLineChars="200"/>
        <w:rPr>
          <w:rFonts w:hAnsi="宋体" w:cs="Times New Roman"/>
          <w:b/>
          <w:bCs/>
          <w:color w:val="000000" w:themeColor="text1"/>
          <w:sz w:val="24"/>
          <w:szCs w:val="24"/>
        </w:rPr>
      </w:pPr>
      <w:r>
        <w:t>（四）错误修正</w:t>
      </w:r>
    </w:p>
    <w:p>
      <w:pPr>
        <w:pStyle w:val="55"/>
        <w:spacing w:before="0" w:beforeAutospacing="0" w:after="0" w:afterAutospacing="0" w:line="440" w:lineRule="exact"/>
        <w:ind w:firstLine="480" w:firstLineChars="200"/>
        <w:jc w:val="both"/>
        <w:rPr>
          <w:rFonts w:cs="Times New Roman"/>
          <w:color w:val="000000" w:themeColor="text1"/>
        </w:rPr>
      </w:pPr>
      <w:r>
        <w:t>投标文件报价出现前后不一致的，除招标文件另有规定外，按照下列规定修正：</w:t>
      </w:r>
    </w:p>
    <w:p>
      <w:pPr>
        <w:pStyle w:val="55"/>
        <w:spacing w:before="0" w:beforeAutospacing="0" w:after="0" w:afterAutospacing="0" w:line="440" w:lineRule="exact"/>
        <w:ind w:firstLine="480" w:firstLineChars="200"/>
        <w:jc w:val="both"/>
        <w:rPr>
          <w:rFonts w:cs="Times New Roman"/>
          <w:color w:val="000000" w:themeColor="text1"/>
        </w:rPr>
      </w:pPr>
      <w:r>
        <w:t>1、投标文件中开标一览表（报价表）内容与投标文件中相应内容不一致的，以开标一览表（报价表）为准；</w:t>
      </w:r>
    </w:p>
    <w:p>
      <w:pPr>
        <w:pStyle w:val="55"/>
        <w:spacing w:before="0" w:beforeAutospacing="0" w:after="0" w:afterAutospacing="0" w:line="440" w:lineRule="exact"/>
        <w:ind w:firstLine="480" w:firstLineChars="200"/>
        <w:jc w:val="both"/>
        <w:rPr>
          <w:rFonts w:cs="Times New Roman"/>
          <w:color w:val="000000" w:themeColor="text1"/>
        </w:rPr>
      </w:pPr>
      <w:r>
        <w:t>2、大写金额和小写金额不一致的，以大写金额为准；</w:t>
      </w:r>
    </w:p>
    <w:p>
      <w:pPr>
        <w:pStyle w:val="55"/>
        <w:spacing w:before="0" w:beforeAutospacing="0" w:after="0" w:afterAutospacing="0" w:line="440" w:lineRule="exact"/>
        <w:ind w:firstLine="480" w:firstLineChars="200"/>
        <w:jc w:val="both"/>
        <w:rPr>
          <w:rFonts w:cs="Times New Roman"/>
          <w:color w:val="000000" w:themeColor="text1"/>
        </w:rPr>
      </w:pPr>
      <w:r>
        <w:t>3、单价金额小数点或者百分比有明显错位的，以开标一览表的总价为准，并修改单价；</w:t>
      </w:r>
    </w:p>
    <w:p>
      <w:pPr>
        <w:pStyle w:val="55"/>
        <w:spacing w:before="0" w:beforeAutospacing="0" w:after="0" w:afterAutospacing="0" w:line="440" w:lineRule="exact"/>
        <w:ind w:firstLine="480" w:firstLineChars="200"/>
        <w:jc w:val="both"/>
        <w:rPr>
          <w:rFonts w:cs="Times New Roman"/>
          <w:color w:val="000000" w:themeColor="text1"/>
        </w:rPr>
      </w:pPr>
      <w:r>
        <w:t>4、总价金额与按单价汇总金额不一致的，以单价金额计算结果为准。</w:t>
      </w:r>
    </w:p>
    <w:p>
      <w:pPr>
        <w:pStyle w:val="55"/>
        <w:spacing w:before="0" w:beforeAutospacing="0" w:after="0" w:afterAutospacing="0" w:line="440" w:lineRule="exact"/>
        <w:ind w:firstLine="480" w:firstLineChars="200"/>
        <w:jc w:val="both"/>
        <w:rPr>
          <w:rFonts w:cs="Times New Roman"/>
          <w:color w:val="000000" w:themeColor="text1"/>
        </w:rPr>
      </w:pPr>
      <w:r>
        <w:t>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55"/>
        <w:spacing w:before="0" w:beforeAutospacing="0" w:after="0" w:afterAutospacing="0" w:line="440" w:lineRule="exact"/>
        <w:ind w:firstLine="482" w:firstLineChars="200"/>
        <w:jc w:val="both"/>
        <w:rPr>
          <w:rFonts w:cs="Times New Roman"/>
          <w:b/>
          <w:bCs/>
          <w:color w:val="000000" w:themeColor="text1"/>
        </w:rPr>
      </w:pPr>
      <w:r>
        <w:t>（五）投标人存在下列情况之一的，投标无效</w:t>
      </w:r>
    </w:p>
    <w:p>
      <w:pPr>
        <w:pStyle w:val="55"/>
        <w:adjustRightInd w:val="0"/>
        <w:snapToGrid w:val="0"/>
        <w:spacing w:before="0" w:beforeAutospacing="0" w:after="0" w:afterAutospacing="0" w:line="440" w:lineRule="exact"/>
        <w:ind w:firstLine="480" w:firstLineChars="200"/>
        <w:jc w:val="both"/>
        <w:rPr>
          <w:color w:val="000000" w:themeColor="text1"/>
        </w:rPr>
      </w:pPr>
      <w:r>
        <w:t>1、未按时上传电子投标文件的；</w:t>
      </w:r>
    </w:p>
    <w:p>
      <w:pPr>
        <w:pStyle w:val="55"/>
        <w:adjustRightInd w:val="0"/>
        <w:snapToGrid w:val="0"/>
        <w:spacing w:before="0" w:beforeAutospacing="0" w:after="0" w:afterAutospacing="0" w:line="440" w:lineRule="exact"/>
        <w:ind w:firstLine="480" w:firstLineChars="200"/>
        <w:jc w:val="both"/>
        <w:rPr>
          <w:color w:val="000000" w:themeColor="text1"/>
        </w:rPr>
      </w:pPr>
      <w:r>
        <w:t>2、未按时解密电子投标文件的且未提供备份投标文件或未按时解密电子投标文件的且提供的备份投标文件无法打开的；</w:t>
      </w:r>
    </w:p>
    <w:p>
      <w:pPr>
        <w:pStyle w:val="55"/>
        <w:adjustRightInd w:val="0"/>
        <w:snapToGrid w:val="0"/>
        <w:spacing w:before="0" w:beforeAutospacing="0" w:after="0" w:afterAutospacing="0" w:line="440" w:lineRule="exact"/>
        <w:ind w:firstLine="480" w:firstLineChars="200"/>
        <w:jc w:val="both"/>
        <w:rPr>
          <w:color w:val="000000" w:themeColor="text1"/>
        </w:rPr>
      </w:pPr>
      <w:r>
        <w:t>3、在资格证明文件或商务技术文件中出现投标报价的；</w:t>
      </w:r>
    </w:p>
    <w:p>
      <w:pPr>
        <w:pStyle w:val="55"/>
        <w:adjustRightInd w:val="0"/>
        <w:snapToGrid w:val="0"/>
        <w:spacing w:before="0" w:beforeAutospacing="0" w:after="0" w:afterAutospacing="0" w:line="440" w:lineRule="exact"/>
        <w:ind w:firstLine="480" w:firstLineChars="200"/>
        <w:jc w:val="both"/>
        <w:rPr>
          <w:color w:val="000000" w:themeColor="text1"/>
        </w:rPr>
      </w:pPr>
      <w:r>
        <w:t>4、报价文件中报价的货物跟商务技术文件中的投标货物出现重大偏差的；</w:t>
      </w:r>
    </w:p>
    <w:p>
      <w:pPr>
        <w:adjustRightInd w:val="0"/>
        <w:snapToGrid w:val="0"/>
        <w:spacing w:line="440" w:lineRule="exact"/>
        <w:ind w:firstLine="480" w:firstLineChars="200"/>
        <w:jc w:val="left"/>
        <w:rPr>
          <w:rFonts w:ascii="宋体" w:cs="宋体"/>
          <w:color w:val="000000" w:themeColor="text1"/>
          <w:kern w:val="0"/>
          <w:sz w:val="24"/>
          <w:szCs w:val="24"/>
        </w:rPr>
      </w:pPr>
      <w:r>
        <w:t>5、不具备招标文件中规定的资格要求的；</w:t>
      </w:r>
    </w:p>
    <w:p>
      <w:pPr>
        <w:pStyle w:val="55"/>
        <w:tabs>
          <w:tab w:val="left" w:pos="7380"/>
        </w:tabs>
        <w:adjustRightInd w:val="0"/>
        <w:snapToGrid w:val="0"/>
        <w:spacing w:before="0" w:beforeAutospacing="0" w:after="0" w:afterAutospacing="0" w:line="440" w:lineRule="exact"/>
        <w:ind w:firstLine="480" w:firstLineChars="200"/>
        <w:jc w:val="both"/>
        <w:rPr>
          <w:rFonts w:cs="Times New Roman"/>
          <w:color w:val="000000" w:themeColor="text1"/>
        </w:rPr>
      </w:pPr>
      <w:r>
        <w:t>6、投标文件含有采购人不能接受的附加条件的；</w:t>
        <w:tab/>
      </w:r>
    </w:p>
    <w:p>
      <w:pPr>
        <w:adjustRightInd w:val="0"/>
        <w:snapToGrid w:val="0"/>
        <w:spacing w:line="440" w:lineRule="exact"/>
        <w:ind w:firstLine="480" w:firstLineChars="200"/>
        <w:rPr>
          <w:rFonts w:ascii="宋体" w:cs="宋体"/>
          <w:color w:val="000000" w:themeColor="text1"/>
          <w:kern w:val="0"/>
          <w:sz w:val="24"/>
          <w:szCs w:val="24"/>
        </w:rPr>
      </w:pPr>
      <w:r>
        <w:t>7、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5"/>
        <w:adjustRightInd w:val="0"/>
        <w:snapToGrid w:val="0"/>
        <w:spacing w:before="0" w:beforeAutospacing="0" w:after="0" w:afterAutospacing="0" w:line="440" w:lineRule="exact"/>
        <w:ind w:firstLine="480" w:firstLineChars="200"/>
        <w:jc w:val="both"/>
        <w:rPr>
          <w:color w:val="000000" w:themeColor="text1"/>
        </w:rPr>
      </w:pPr>
      <w:r>
        <w:t>8、报价超过招标文件中规定的预算金额或最高限价；</w:t>
      </w:r>
    </w:p>
    <w:p>
      <w:pPr>
        <w:pStyle w:val="55"/>
        <w:adjustRightInd w:val="0"/>
        <w:snapToGrid w:val="0"/>
        <w:spacing w:before="0" w:beforeAutospacing="0" w:after="0" w:afterAutospacing="0" w:line="440" w:lineRule="exact"/>
        <w:ind w:firstLine="480" w:firstLineChars="200"/>
        <w:jc w:val="both"/>
        <w:rPr>
          <w:color w:val="000000" w:themeColor="text1"/>
        </w:rPr>
      </w:pPr>
      <w:r>
        <w:t>9、供应商报价低于项目预算50%的，应当在报价文件中详细阐述不影响服务质量或者诚信履约的具体原因，否则为无效投标。</w:t>
      </w:r>
    </w:p>
    <w:p>
      <w:pPr>
        <w:pStyle w:val="55"/>
        <w:adjustRightInd w:val="0"/>
        <w:snapToGrid w:val="0"/>
        <w:spacing w:before="0" w:beforeAutospacing="0" w:after="0" w:afterAutospacing="0" w:line="440" w:lineRule="exact"/>
        <w:ind w:firstLine="480" w:firstLineChars="200"/>
        <w:jc w:val="both"/>
        <w:rPr>
          <w:rFonts w:cs="Times New Roman"/>
          <w:color w:val="000000" w:themeColor="text1"/>
        </w:rPr>
      </w:pPr>
      <w:r>
        <w:t>10、主要服务响应或者设备功能响应不满足招标要求的；</w:t>
      </w:r>
    </w:p>
    <w:p>
      <w:pPr>
        <w:pStyle w:val="55"/>
        <w:adjustRightInd w:val="0"/>
        <w:snapToGrid w:val="0"/>
        <w:spacing w:before="0" w:beforeAutospacing="0" w:after="0" w:afterAutospacing="0" w:line="440" w:lineRule="exact"/>
        <w:ind w:firstLine="480" w:firstLineChars="200"/>
        <w:jc w:val="both"/>
        <w:rPr>
          <w:rFonts w:cs="Times New Roman"/>
          <w:color w:val="000000" w:themeColor="text1"/>
        </w:rPr>
      </w:pPr>
      <w:r>
        <w:t>11、投标文件提供虚假材料的；</w:t>
      </w:r>
    </w:p>
    <w:p>
      <w:pPr>
        <w:tabs>
          <w:tab w:val="left" w:pos="1898"/>
        </w:tabs>
        <w:autoSpaceDE w:val="0"/>
        <w:autoSpaceDN w:val="0"/>
        <w:adjustRightInd w:val="0"/>
        <w:snapToGrid w:val="0"/>
        <w:spacing w:line="440" w:lineRule="exact"/>
        <w:ind w:firstLine="480" w:firstLineChars="200"/>
        <w:rPr>
          <w:rFonts w:ascii="宋体" w:cs="宋体"/>
          <w:color w:val="000000" w:themeColor="text1"/>
          <w:kern w:val="0"/>
          <w:sz w:val="24"/>
          <w:szCs w:val="24"/>
        </w:rPr>
      </w:pPr>
      <w:r>
        <w:t>12、符合中华人民共和国财政部令第87号《政府采购货物和服务招标投标管理办法》第三十七条情形之一的，视为投标人串通投标，其投标无效，并移送采购监管部门：</w:t>
      </w:r>
    </w:p>
    <w:p>
      <w:pPr>
        <w:pStyle w:val="55"/>
        <w:spacing w:before="0" w:beforeAutospacing="0" w:after="0" w:afterAutospacing="0" w:line="440" w:lineRule="exact"/>
        <w:ind w:firstLine="480" w:firstLineChars="200"/>
        <w:jc w:val="both"/>
        <w:rPr>
          <w:rFonts w:cs="Times New Roman"/>
          <w:color w:val="000000" w:themeColor="text1"/>
        </w:rPr>
      </w:pPr>
      <w:r>
        <w:t>（1）不同投标人的投标文件由同一单位或者个人编制；</w:t>
      </w:r>
    </w:p>
    <w:p>
      <w:pPr>
        <w:pStyle w:val="55"/>
        <w:spacing w:before="0" w:beforeAutospacing="0" w:after="0" w:afterAutospacing="0" w:line="440" w:lineRule="exact"/>
        <w:ind w:firstLine="480" w:firstLineChars="200"/>
        <w:jc w:val="both"/>
        <w:rPr>
          <w:rFonts w:cs="Times New Roman"/>
          <w:color w:val="000000" w:themeColor="text1"/>
        </w:rPr>
      </w:pPr>
      <w:r>
        <w:t>（2）不同投标人委托同一单位或者个人办理投标事宜；</w:t>
      </w:r>
    </w:p>
    <w:p>
      <w:pPr>
        <w:pStyle w:val="55"/>
        <w:spacing w:before="0" w:beforeAutospacing="0" w:after="0" w:afterAutospacing="0" w:line="440" w:lineRule="exact"/>
        <w:ind w:firstLine="480" w:firstLineChars="200"/>
        <w:jc w:val="both"/>
        <w:rPr>
          <w:rFonts w:cs="Times New Roman"/>
          <w:color w:val="000000" w:themeColor="text1"/>
        </w:rPr>
      </w:pPr>
      <w:r>
        <w:t>（3）不同投标人的投标文件载明的项目管理成员或者联系人员为同一人；</w:t>
      </w:r>
    </w:p>
    <w:p>
      <w:pPr>
        <w:pStyle w:val="55"/>
        <w:spacing w:before="0" w:beforeAutospacing="0" w:after="0" w:afterAutospacing="0" w:line="440" w:lineRule="exact"/>
        <w:ind w:firstLine="480" w:firstLineChars="200"/>
        <w:jc w:val="both"/>
        <w:rPr>
          <w:rFonts w:cs="Times New Roman"/>
          <w:color w:val="000000" w:themeColor="text1"/>
        </w:rPr>
      </w:pPr>
      <w:r>
        <w:t>（4）不同投标人的投标文件异常一致或者投标报价呈规律性差异；</w:t>
      </w:r>
    </w:p>
    <w:p>
      <w:pPr>
        <w:pStyle w:val="55"/>
        <w:spacing w:before="0" w:beforeAutospacing="0" w:after="0" w:afterAutospacing="0" w:line="440" w:lineRule="exact"/>
        <w:ind w:firstLine="480" w:firstLineChars="200"/>
        <w:jc w:val="both"/>
        <w:rPr>
          <w:rFonts w:cs="Times New Roman"/>
          <w:color w:val="000000" w:themeColor="text1"/>
        </w:rPr>
      </w:pPr>
      <w:r>
        <w:t>（5）不同投标人的投标文件相互混装；</w:t>
      </w:r>
    </w:p>
    <w:p>
      <w:pPr>
        <w:autoSpaceDE w:val="0"/>
        <w:autoSpaceDN w:val="0"/>
        <w:adjustRightInd w:val="0"/>
        <w:spacing w:line="360" w:lineRule="exact"/>
        <w:ind w:firstLine="480" w:firstLineChars="200"/>
        <w:rPr>
          <w:rFonts w:ascii="宋体" w:hAnsi="宋体" w:cs="宋体"/>
          <w:color w:val="000000" w:themeColor="text1"/>
          <w:kern w:val="0"/>
          <w:sz w:val="24"/>
          <w:szCs w:val="24"/>
        </w:rPr>
      </w:pPr>
      <w:r>
        <w:t>13、不符合法律、法规和招标文件中规定的其他实质性要求的（招标文件中打“▲”内容及被拒绝的条款）。</w:t>
      </w:r>
    </w:p>
    <w:p>
      <w:pPr>
        <w:autoSpaceDE w:val="0"/>
        <w:autoSpaceDN w:val="0"/>
        <w:adjustRightInd w:val="0"/>
        <w:spacing w:line="360" w:lineRule="exact"/>
        <w:ind w:firstLine="480" w:firstLineChars="200"/>
        <w:rPr>
          <w:rFonts w:ascii="宋体" w:hAnsi="宋体" w:cs="宋体"/>
          <w:kern w:val="0"/>
          <w:sz w:val="24"/>
          <w:szCs w:val="24"/>
        </w:rPr>
      </w:pPr>
      <w:r>
        <w:t>14、对于分包意向协议中预留给中小企业的金额低于总金额的50%的。</w:t>
      </w:r>
    </w:p>
    <w:p>
      <w:pPr>
        <w:autoSpaceDE w:val="0"/>
        <w:autoSpaceDN w:val="0"/>
        <w:adjustRightInd w:val="0"/>
        <w:spacing w:line="440" w:lineRule="exact"/>
        <w:ind w:firstLine="482" w:firstLineChars="200"/>
        <w:rPr>
          <w:rFonts w:ascii="宋体" w:cs="宋体"/>
          <w:color w:val="000000" w:themeColor="text1"/>
          <w:kern w:val="0"/>
          <w:sz w:val="24"/>
          <w:szCs w:val="24"/>
        </w:rPr>
      </w:pPr>
      <w:r>
        <w:t>（六）有下列情况之一的，本次招标作为废标处理</w:t>
      </w:r>
    </w:p>
    <w:p>
      <w:pPr>
        <w:pStyle w:val="55"/>
        <w:spacing w:before="0" w:beforeAutospacing="0" w:after="0" w:afterAutospacing="0" w:line="440" w:lineRule="exact"/>
        <w:ind w:firstLine="480" w:firstLineChars="200"/>
        <w:jc w:val="both"/>
        <w:rPr>
          <w:rFonts w:cs="Times New Roman"/>
          <w:color w:val="000000" w:themeColor="text1"/>
        </w:rPr>
      </w:pPr>
      <w:r>
        <w:t>1、符合专业条件的供应商或者对招标文件作实质响应的供应商不足三家的；</w:t>
      </w:r>
    </w:p>
    <w:p>
      <w:pPr>
        <w:pStyle w:val="55"/>
        <w:spacing w:before="0" w:beforeAutospacing="0" w:after="0" w:afterAutospacing="0" w:line="440" w:lineRule="exact"/>
        <w:ind w:firstLine="480" w:firstLineChars="200"/>
        <w:jc w:val="both"/>
        <w:rPr>
          <w:rFonts w:cs="Times New Roman"/>
          <w:b/>
          <w:bCs/>
          <w:color w:val="000000" w:themeColor="text1"/>
        </w:rPr>
      </w:pPr>
      <w:r>
        <w:t>2、出现影响采购公正的违法、违规行为的；</w:t>
      </w:r>
    </w:p>
    <w:p>
      <w:pPr>
        <w:pStyle w:val="55"/>
        <w:spacing w:before="0" w:beforeAutospacing="0" w:after="0" w:afterAutospacing="0" w:line="440" w:lineRule="exact"/>
        <w:ind w:firstLine="480" w:firstLineChars="200"/>
        <w:jc w:val="both"/>
        <w:rPr>
          <w:rFonts w:cs="Times New Roman"/>
          <w:color w:val="000000" w:themeColor="text1"/>
        </w:rPr>
      </w:pPr>
      <w:r>
        <w:t>3、因重大变故，采购任务取消的；</w:t>
      </w:r>
    </w:p>
    <w:p>
      <w:pPr>
        <w:pStyle w:val="55"/>
        <w:spacing w:before="0" w:beforeAutospacing="0" w:after="0" w:afterAutospacing="0" w:line="440" w:lineRule="exact"/>
        <w:ind w:firstLine="480" w:firstLineChars="200"/>
        <w:jc w:val="both"/>
        <w:rPr>
          <w:color w:val="000000" w:themeColor="text1"/>
        </w:rPr>
      </w:pPr>
      <w:r>
        <w:t>4、法律、法规和招标文件规定的其他导致评标结果无效的。</w:t>
      </w:r>
    </w:p>
    <w:p>
      <w:pPr>
        <w:autoSpaceDE w:val="0"/>
        <w:autoSpaceDN w:val="0"/>
        <w:adjustRightInd w:val="0"/>
        <w:spacing w:line="440" w:lineRule="exact"/>
        <w:ind w:firstLine="482" w:firstLineChars="200"/>
        <w:rPr>
          <w:rFonts w:ascii="宋体" w:hAnsi="宋体" w:cs="宋体"/>
          <w:b/>
          <w:bCs/>
          <w:color w:val="000000" w:themeColor="text1"/>
          <w:kern w:val="0"/>
          <w:sz w:val="24"/>
          <w:szCs w:val="24"/>
        </w:rPr>
      </w:pPr>
      <w:r>
        <w:t>（七）采购过程中出现以下情形，导致电子交易平台无法正常运行，或者无法保证电子交易的公平、公正和安全时，采购组织机构可中止电子交易活动：</w:t>
      </w:r>
    </w:p>
    <w:p>
      <w:pPr>
        <w:pStyle w:val="55"/>
        <w:spacing w:before="0" w:beforeAutospacing="0" w:after="0" w:afterAutospacing="0" w:line="440" w:lineRule="exact"/>
        <w:ind w:firstLine="480" w:firstLineChars="200"/>
        <w:jc w:val="both"/>
        <w:rPr>
          <w:color w:val="000000" w:themeColor="text1"/>
        </w:rPr>
      </w:pPr>
      <w:r>
        <w:t xml:space="preserve">（1）电子交易平台发生故障而无法登录访问的； </w:t>
      </w:r>
    </w:p>
    <w:p>
      <w:pPr>
        <w:pStyle w:val="55"/>
        <w:spacing w:before="0" w:beforeAutospacing="0" w:after="0" w:afterAutospacing="0" w:line="440" w:lineRule="exact"/>
        <w:ind w:firstLine="480" w:firstLineChars="200"/>
        <w:jc w:val="both"/>
        <w:rPr>
          <w:color w:val="000000" w:themeColor="text1"/>
        </w:rPr>
      </w:pPr>
      <w:r>
        <w:t>（2）电子交易平台应用或数据库出现错误，不能进行正常操作的；</w:t>
      </w:r>
    </w:p>
    <w:p>
      <w:pPr>
        <w:pStyle w:val="55"/>
        <w:spacing w:before="0" w:beforeAutospacing="0" w:after="0" w:afterAutospacing="0" w:line="440" w:lineRule="exact"/>
        <w:ind w:firstLine="480" w:firstLineChars="200"/>
        <w:jc w:val="both"/>
        <w:rPr>
          <w:color w:val="000000" w:themeColor="text1"/>
        </w:rPr>
      </w:pPr>
      <w:r>
        <w:t>（3）电子交易平台发现严重安全漏洞，有潜在泄密危险的；</w:t>
      </w:r>
    </w:p>
    <w:p>
      <w:pPr>
        <w:pStyle w:val="55"/>
        <w:spacing w:before="0" w:beforeAutospacing="0" w:after="0" w:afterAutospacing="0" w:line="440" w:lineRule="exact"/>
        <w:ind w:firstLine="480" w:firstLineChars="200"/>
        <w:jc w:val="both"/>
        <w:rPr>
          <w:color w:val="000000" w:themeColor="text1"/>
        </w:rPr>
      </w:pPr>
      <w:r>
        <w:t xml:space="preserve">（4）病毒发作导致不能进行正常操作的； </w:t>
      </w:r>
    </w:p>
    <w:p>
      <w:pPr>
        <w:pStyle w:val="55"/>
        <w:spacing w:before="0" w:beforeAutospacing="0" w:after="0" w:afterAutospacing="0" w:line="440" w:lineRule="exact"/>
        <w:ind w:firstLine="480" w:firstLineChars="200"/>
        <w:jc w:val="both"/>
        <w:rPr>
          <w:color w:val="000000" w:themeColor="text1"/>
        </w:rPr>
      </w:pPr>
      <w:r>
        <w:t>（5）其他无法保证电子交易的公平、公正和安全的情况。</w:t>
      </w:r>
    </w:p>
    <w:p>
      <w:pPr>
        <w:pStyle w:val="55"/>
        <w:spacing w:before="0" w:beforeAutospacing="0" w:after="0" w:afterAutospacing="0" w:line="440" w:lineRule="exact"/>
        <w:ind w:firstLine="480" w:firstLineChars="200"/>
        <w:jc w:val="both"/>
        <w:rPr>
          <w:color w:val="000000" w:themeColor="text1"/>
        </w:rPr>
      </w:pPr>
      <w:r>
        <w:t>出现前款规定情形，不影响采购公平、公正性的，采购组织机构可以待上述情形消除后继续组织电子交易活动，也可以决定某些环节以纸质形式进行；影响或可能影响采购公平、公正性的，应当重新采购。</w:t>
      </w:r>
    </w:p>
    <w:p>
      <w:pPr>
        <w:pStyle w:val="55"/>
        <w:spacing w:before="0" w:beforeAutospacing="0" w:after="0" w:afterAutospacing="0" w:line="440" w:lineRule="exact"/>
        <w:ind w:firstLine="480" w:firstLineChars="200"/>
        <w:jc w:val="both"/>
        <w:rPr>
          <w:color w:val="000000" w:themeColor="text1"/>
        </w:rPr>
      </w:pPr>
      <w:r>
        <w:t>废标后，采购人应当将废标理由通知所有投标人并重新组织招标；或者经主管部门批准，采取其他方式组织采购。</w:t>
      </w:r>
    </w:p>
    <w:p>
      <w:pPr>
        <w:pStyle w:val="34"/>
        <w:tabs>
          <w:tab w:val="left" w:pos="630"/>
        </w:tabs>
        <w:snapToGrid w:val="0"/>
        <w:spacing w:line="440" w:lineRule="exact"/>
        <w:ind w:firstLine="482" w:firstLineChars="200"/>
        <w:rPr>
          <w:rFonts w:hAnsi="宋体" w:cs="Times New Roman"/>
          <w:b/>
          <w:bCs/>
          <w:color w:val="000000" w:themeColor="text1"/>
          <w:sz w:val="24"/>
          <w:szCs w:val="24"/>
        </w:rPr>
      </w:pPr>
      <w:r>
        <w:t>（八）评标原则和评标办法</w:t>
      </w:r>
    </w:p>
    <w:p>
      <w:pPr>
        <w:pStyle w:val="34"/>
        <w:snapToGrid w:val="0"/>
        <w:spacing w:line="440" w:lineRule="exact"/>
        <w:ind w:firstLine="480" w:firstLineChars="200"/>
        <w:rPr>
          <w:rFonts w:hAnsi="宋体" w:cs="Times New Roman"/>
          <w:color w:val="000000" w:themeColor="text1"/>
          <w:sz w:val="24"/>
          <w:szCs w:val="24"/>
        </w:rPr>
      </w:pPr>
      <w: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34"/>
        <w:snapToGrid w:val="0"/>
        <w:spacing w:line="440" w:lineRule="exact"/>
        <w:ind w:firstLine="480" w:firstLineChars="200"/>
        <w:rPr>
          <w:rFonts w:hAnsi="宋体" w:cs="Times New Roman"/>
          <w:color w:val="000000" w:themeColor="text1"/>
          <w:sz w:val="24"/>
          <w:szCs w:val="24"/>
        </w:rPr>
      </w:pPr>
      <w:r>
        <w:t>2、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34"/>
        <w:snapToGrid w:val="0"/>
        <w:spacing w:line="440" w:lineRule="exact"/>
        <w:ind w:firstLine="480" w:firstLineChars="200"/>
        <w:rPr>
          <w:rFonts w:hAnsi="宋体" w:cs="Times New Roman"/>
          <w:color w:val="000000" w:themeColor="text1"/>
          <w:sz w:val="24"/>
          <w:szCs w:val="24"/>
        </w:rPr>
      </w:pPr>
      <w:r>
        <w:t>3、评标办法。具体评标内容及评分标准等详见《第三章：评标方法及评分标准》。</w:t>
      </w:r>
    </w:p>
    <w:p>
      <w:pPr>
        <w:pStyle w:val="34"/>
        <w:snapToGrid w:val="0"/>
        <w:spacing w:line="440" w:lineRule="exact"/>
        <w:ind w:firstLine="482" w:firstLineChars="200"/>
        <w:rPr>
          <w:rFonts w:hAnsi="宋体" w:cs="Times New Roman"/>
          <w:b/>
          <w:bCs/>
          <w:color w:val="000000" w:themeColor="text1"/>
          <w:sz w:val="24"/>
          <w:szCs w:val="24"/>
        </w:rPr>
      </w:pPr>
      <w:r>
        <w:t>（九）评标过程的监控</w:t>
      </w:r>
    </w:p>
    <w:p>
      <w:pPr>
        <w:pStyle w:val="55"/>
        <w:spacing w:before="0" w:beforeAutospacing="0" w:after="0" w:afterAutospacing="0" w:line="440" w:lineRule="exact"/>
        <w:ind w:firstLine="480" w:firstLineChars="200"/>
        <w:jc w:val="both"/>
        <w:rPr>
          <w:rFonts w:cs="Times New Roman"/>
          <w:color w:val="000000" w:themeColor="text1"/>
        </w:rPr>
      </w:pPr>
      <w:r>
        <w:t>本项目评标过程实行全程录音、录像监控，政府采购监管部门视情进行现场监督，投标人在评标过程中所进行的试图影响评标结果的不公正活动，可能导致其投标被拒绝。</w:t>
      </w:r>
    </w:p>
    <w:p>
      <w:pPr>
        <w:spacing w:line="480" w:lineRule="auto"/>
        <w:jc w:val="center"/>
        <w:rPr>
          <w:rFonts w:ascii="宋体" w:hAnsi="宋体" w:cs="宋体"/>
          <w:b/>
          <w:bCs/>
          <w:color w:val="000000" w:themeColor="text1"/>
          <w:sz w:val="28"/>
          <w:szCs w:val="28"/>
        </w:rPr>
      </w:pPr>
      <w:r>
        <w:t>六、定标</w:t>
      </w:r>
    </w:p>
    <w:p>
      <w:pPr>
        <w:pStyle w:val="55"/>
        <w:spacing w:before="0" w:beforeAutospacing="0" w:after="0" w:afterAutospacing="0" w:line="440" w:lineRule="exact"/>
        <w:ind w:firstLine="480" w:firstLineChars="200"/>
        <w:jc w:val="both"/>
        <w:rPr>
          <w:rFonts w:cs="Times New Roman"/>
          <w:color w:val="000000" w:themeColor="text1"/>
        </w:rPr>
      </w:pPr>
      <w:r>
        <w:t>1、确定中标人。评标委员会根据采购单位的《授权意见确认书》，推荐中标候选人或确定中标人。其中推荐中标候选人的，采购代理机构在评审结束后2个工作日内将评标报告送采购人，采购人自收到评审报告之日起5个工作日内在评审报告推荐的中标候选人中推荐排名第一的中标候选人为中标人。</w:t>
      </w:r>
    </w:p>
    <w:p>
      <w:pPr>
        <w:spacing w:line="440" w:lineRule="exact"/>
        <w:ind w:firstLine="480" w:firstLineChars="200"/>
        <w:rPr>
          <w:rFonts w:ascii="宋体"/>
          <w:color w:val="000000" w:themeColor="text1"/>
          <w:kern w:val="0"/>
          <w:sz w:val="24"/>
          <w:szCs w:val="24"/>
        </w:rPr>
      </w:pPr>
      <w:r>
        <w:t>2、发布中标结果公告。采购代理机构应当自中标人确定之日起2个工作日内，在省级以上财政部门指定的媒体及相关网站上公告中标结果。</w:t>
      </w:r>
    </w:p>
    <w:p>
      <w:pPr>
        <w:spacing w:line="440" w:lineRule="exact"/>
        <w:ind w:firstLine="480" w:firstLineChars="200"/>
        <w:rPr>
          <w:rFonts w:ascii="宋体"/>
          <w:color w:val="000000" w:themeColor="text1"/>
          <w:kern w:val="0"/>
          <w:sz w:val="24"/>
          <w:szCs w:val="24"/>
        </w:rPr>
      </w:pPr>
      <w:r>
        <w:t>3、发出中标通知书。采购代理机构在发布中标结果的同时，向中标人发出中标通知书。中标人应在领取中标通知书之时按采购人要求提供纸质投标文件（采用胶装），不建议采用活页夹等可随时拆换的方式装订。</w:t>
      </w:r>
    </w:p>
    <w:p>
      <w:pPr>
        <w:spacing w:line="480" w:lineRule="auto"/>
        <w:jc w:val="center"/>
        <w:rPr>
          <w:rFonts w:ascii="宋体" w:cs="宋体"/>
          <w:b/>
          <w:bCs/>
          <w:color w:val="000000" w:themeColor="text1"/>
          <w:sz w:val="28"/>
          <w:szCs w:val="28"/>
        </w:rPr>
      </w:pPr>
      <w:r>
        <w:t>七、合同签订及公告</w:t>
      </w:r>
    </w:p>
    <w:p>
      <w:pPr>
        <w:spacing w:line="440" w:lineRule="exact"/>
        <w:ind w:firstLine="482" w:firstLineChars="200"/>
        <w:rPr>
          <w:rFonts w:ascii="宋体"/>
          <w:b/>
          <w:bCs/>
          <w:color w:val="000000" w:themeColor="text1"/>
          <w:kern w:val="0"/>
          <w:sz w:val="24"/>
          <w:szCs w:val="24"/>
        </w:rPr>
      </w:pPr>
      <w:r>
        <w:t>（一）签订合同</w:t>
      </w:r>
    </w:p>
    <w:p>
      <w:pPr>
        <w:pStyle w:val="55"/>
        <w:spacing w:before="0" w:beforeAutospacing="0" w:after="0" w:afterAutospacing="0" w:line="440" w:lineRule="exact"/>
        <w:ind w:firstLine="600" w:firstLineChars="250"/>
        <w:jc w:val="both"/>
        <w:rPr>
          <w:rFonts w:cs="Times New Roman"/>
          <w:color w:val="000000" w:themeColor="text1"/>
        </w:rPr>
      </w:pPr>
      <w:r>
        <w:t>1、采购人应当自中标通知书发出之日起30日内，按照招标文件和中标人投标文件的规定，与中标人签订书面合同。所签订的合同不得对招标文件确定的事项和中标人投标文件作实质性修改。</w:t>
      </w:r>
    </w:p>
    <w:p>
      <w:pPr>
        <w:pStyle w:val="55"/>
        <w:spacing w:before="0" w:beforeAutospacing="0" w:after="0" w:afterAutospacing="0" w:line="440" w:lineRule="exact"/>
        <w:ind w:firstLine="600" w:firstLineChars="250"/>
        <w:jc w:val="both"/>
        <w:rPr>
          <w:color w:val="000000" w:themeColor="text1"/>
        </w:rPr>
      </w:pPr>
      <w:r>
        <w:t>2、采购人不得向中标人提出任何不合理的要求作为签订合同的条件。</w:t>
      </w:r>
    </w:p>
    <w:p>
      <w:pPr>
        <w:pStyle w:val="55"/>
        <w:spacing w:before="0" w:beforeAutospacing="0" w:after="0" w:afterAutospacing="0" w:line="440" w:lineRule="exact"/>
        <w:ind w:firstLine="600" w:firstLineChars="250"/>
        <w:jc w:val="both"/>
        <w:rPr>
          <w:rFonts w:cs="Times New Roman"/>
          <w:color w:val="000000" w:themeColor="text1"/>
        </w:rPr>
      </w:pPr>
      <w:r>
        <w:t>3、中标人无正当理由拖延、拒签合同的,按《政府采购法》等有关规定进行处理、处罚。</w:t>
      </w:r>
    </w:p>
    <w:p>
      <w:pPr>
        <w:pStyle w:val="55"/>
        <w:spacing w:before="0" w:beforeAutospacing="0" w:after="0" w:afterAutospacing="0" w:line="440" w:lineRule="exact"/>
        <w:ind w:firstLine="480" w:firstLineChars="200"/>
        <w:jc w:val="both"/>
        <w:rPr>
          <w:rFonts w:cs="Times New Roman"/>
          <w:color w:val="000000" w:themeColor="text1"/>
        </w:rPr>
      </w:pPr>
      <w:r>
        <w:t>4、中标人拒绝与采购人签订合同的，采购人应重新开展政府采购活动。同时，拒绝与采购人签订合同的供应商，由同级财政部门依法作出处理。</w:t>
      </w:r>
    </w:p>
    <w:p>
      <w:pPr>
        <w:pStyle w:val="55"/>
        <w:spacing w:before="0" w:beforeAutospacing="0" w:after="0" w:afterAutospacing="0" w:line="440" w:lineRule="exact"/>
        <w:ind w:firstLine="480" w:firstLineChars="200"/>
        <w:rPr>
          <w:rFonts w:cs="Times New Roman"/>
          <w:color w:val="000000" w:themeColor="text1"/>
        </w:rPr>
      </w:pPr>
      <w:r>
        <w:t>5、询问或者质疑事项可能影响中标结果的，采购人应当暂停签订合同，已经签订合同的，应当中止履行合同（中标结果的质疑期为中标结果公告期限届满之日起七个工作日）。</w:t>
      </w:r>
    </w:p>
    <w:p>
      <w:pPr>
        <w:pStyle w:val="55"/>
        <w:spacing w:before="0" w:beforeAutospacing="0" w:after="0" w:afterAutospacing="0" w:line="440" w:lineRule="exact"/>
        <w:ind w:firstLine="424" w:firstLineChars="176"/>
        <w:rPr>
          <w:rFonts w:cs="Times New Roman"/>
          <w:b/>
          <w:bCs/>
          <w:color w:val="000000" w:themeColor="text1"/>
        </w:rPr>
      </w:pPr>
      <w:r>
        <w:t>（二）合同公告及备案</w:t>
      </w:r>
    </w:p>
    <w:p>
      <w:pPr>
        <w:pStyle w:val="27"/>
        <w:spacing w:after="0" w:line="440" w:lineRule="exact"/>
        <w:ind w:left="0" w:leftChars="0" w:firstLine="480" w:firstLineChars="200"/>
        <w:jc w:val="left"/>
        <w:rPr>
          <w:rFonts w:ascii="宋体"/>
          <w:color w:val="000000" w:themeColor="text1"/>
          <w:sz w:val="24"/>
          <w:szCs w:val="24"/>
        </w:rPr>
      </w:pPr>
      <w:r>
        <w:t>1、采购人应当自政府采购合同签订之日起2个工作日内，在省级以上财政部门指定的政府采购信息发布媒体及相关网站上公告。</w:t>
      </w:r>
    </w:p>
    <w:p>
      <w:pPr>
        <w:pStyle w:val="27"/>
        <w:spacing w:after="0" w:line="440" w:lineRule="exact"/>
        <w:ind w:left="0" w:leftChars="0" w:firstLine="480" w:firstLineChars="200"/>
        <w:rPr>
          <w:rFonts w:ascii="宋体"/>
          <w:color w:val="000000" w:themeColor="text1"/>
          <w:sz w:val="24"/>
          <w:szCs w:val="24"/>
        </w:rPr>
      </w:pPr>
      <w:r>
        <w:t>2、采购人应当自政府采购合同签订之日起7个工作日内，将政府采购合同副本报同级人民政府财政部门备案以及采购代理机构存档。</w:t>
      </w:r>
    </w:p>
    <w:p>
      <w:pPr>
        <w:spacing w:line="600" w:lineRule="auto"/>
        <w:jc w:val="center"/>
        <w:rPr>
          <w:rFonts w:ascii="宋体" w:hAnsi="宋体" w:cs="宋体"/>
          <w:b/>
          <w:bCs/>
          <w:color w:val="000000" w:themeColor="text1"/>
          <w:sz w:val="28"/>
          <w:szCs w:val="28"/>
        </w:rPr>
      </w:pPr>
      <w:r>
        <w:t>八、其他</w:t>
      </w:r>
    </w:p>
    <w:p>
      <w:pPr>
        <w:pStyle w:val="27"/>
        <w:spacing w:after="0" w:line="440" w:lineRule="exact"/>
        <w:ind w:left="0" w:leftChars="0" w:firstLine="480" w:firstLineChars="200"/>
        <w:jc w:val="left"/>
        <w:rPr>
          <w:rFonts w:ascii="宋体" w:hAnsi="宋体" w:cs="宋体"/>
          <w:color w:val="000000" w:themeColor="text1"/>
          <w:sz w:val="24"/>
          <w:szCs w:val="24"/>
        </w:rPr>
      </w:pPr>
      <w:r>
        <w:t>采购过程中出现以下情形，导致电子交易平台无法正常运行，或者无法保证电子交易的公平、公正和安全时，采购代理机构可中止电子交易活动：</w:t>
      </w:r>
    </w:p>
    <w:p>
      <w:pPr>
        <w:pStyle w:val="27"/>
        <w:spacing w:after="0" w:line="440" w:lineRule="exact"/>
        <w:ind w:left="0" w:leftChars="0" w:firstLine="480" w:firstLineChars="200"/>
        <w:jc w:val="left"/>
        <w:rPr>
          <w:rFonts w:ascii="宋体" w:hAnsi="宋体" w:cs="宋体"/>
          <w:color w:val="000000" w:themeColor="text1"/>
          <w:sz w:val="24"/>
          <w:szCs w:val="24"/>
        </w:rPr>
      </w:pPr>
      <w:r>
        <w:t>1、电子交易平台发生故障而无法登录访问的；</w:t>
      </w:r>
    </w:p>
    <w:p>
      <w:pPr>
        <w:pStyle w:val="27"/>
        <w:spacing w:after="0" w:line="440" w:lineRule="exact"/>
        <w:ind w:left="0" w:leftChars="0" w:firstLine="480" w:firstLineChars="200"/>
        <w:jc w:val="left"/>
        <w:rPr>
          <w:rFonts w:ascii="宋体" w:hAnsi="宋体" w:cs="宋体"/>
          <w:color w:val="000000" w:themeColor="text1"/>
          <w:sz w:val="24"/>
          <w:szCs w:val="24"/>
        </w:rPr>
      </w:pPr>
      <w:r>
        <w:t>2、电子交易平台应用或数据库出现错误，不能进行正常操作的；</w:t>
      </w:r>
    </w:p>
    <w:p>
      <w:pPr>
        <w:pStyle w:val="27"/>
        <w:spacing w:after="0" w:line="440" w:lineRule="exact"/>
        <w:ind w:left="0" w:leftChars="0" w:firstLine="480" w:firstLineChars="200"/>
        <w:jc w:val="left"/>
        <w:rPr>
          <w:rFonts w:ascii="宋体" w:hAnsi="宋体" w:cs="宋体"/>
          <w:color w:val="000000" w:themeColor="text1"/>
          <w:sz w:val="24"/>
          <w:szCs w:val="24"/>
        </w:rPr>
      </w:pPr>
      <w:r>
        <w:t>3、电子交易平台发现严重安全漏洞，有潜在泄密危险的；</w:t>
      </w:r>
    </w:p>
    <w:p>
      <w:pPr>
        <w:pStyle w:val="27"/>
        <w:spacing w:after="0" w:line="440" w:lineRule="exact"/>
        <w:ind w:left="0" w:leftChars="0" w:firstLine="480" w:firstLineChars="200"/>
        <w:jc w:val="left"/>
        <w:rPr>
          <w:rFonts w:ascii="宋体" w:hAnsi="宋体" w:cs="宋体"/>
          <w:color w:val="000000" w:themeColor="text1"/>
          <w:sz w:val="24"/>
          <w:szCs w:val="24"/>
        </w:rPr>
      </w:pPr>
      <w:r>
        <w:t>4、病毒发作导致不能进行正常操作的；</w:t>
      </w:r>
    </w:p>
    <w:p>
      <w:pPr>
        <w:pStyle w:val="27"/>
        <w:spacing w:after="0" w:line="440" w:lineRule="exact"/>
        <w:ind w:left="0" w:leftChars="0" w:firstLine="480" w:firstLineChars="200"/>
        <w:jc w:val="left"/>
        <w:rPr>
          <w:rFonts w:ascii="宋体" w:hAnsi="宋体" w:cs="宋体"/>
          <w:color w:val="000000" w:themeColor="text1"/>
          <w:sz w:val="24"/>
          <w:szCs w:val="24"/>
        </w:rPr>
      </w:pPr>
      <w:r>
        <w:t>5、其他无法保证电子交易的公平、公正和安全的情况。</w:t>
      </w:r>
    </w:p>
    <w:p>
      <w:pPr>
        <w:pStyle w:val="27"/>
        <w:spacing w:after="0" w:line="440" w:lineRule="exact"/>
        <w:ind w:left="0" w:leftChars="0" w:firstLine="480" w:firstLineChars="200"/>
        <w:jc w:val="left"/>
        <w:rPr>
          <w:rFonts w:ascii="宋体" w:hAnsi="宋体" w:cs="宋体"/>
          <w:color w:val="000000" w:themeColor="text1"/>
          <w:sz w:val="24"/>
          <w:szCs w:val="24"/>
        </w:rPr>
      </w:pPr>
      <w:r>
        <w:t>出现前款规定情形，不影响采购公平、公正性的，采购代理机构可以待上述情形消除后继续组织电子交易活动；影响或可能影响采购公平、公正性的，应当重新开展政府采购活动。</w:t>
      </w:r>
    </w:p>
    <w:p>
      <w:pPr>
        <w:pStyle w:val="27"/>
        <w:spacing w:after="0" w:line="440" w:lineRule="exact"/>
        <w:ind w:left="0" w:leftChars="0" w:firstLine="480" w:firstLineChars="200"/>
        <w:rPr>
          <w:rFonts w:ascii="宋体"/>
          <w:color w:val="000000" w:themeColor="text1"/>
          <w:sz w:val="24"/>
          <w:szCs w:val="24"/>
        </w:rPr>
      </w:pPr>
      <w:r/>
    </w:p>
    <w:p>
      <w:pPr>
        <w:widowControl/>
        <w:jc w:val="center"/>
        <w:outlineLvl w:val="0"/>
        <w:rPr>
          <w:rFonts w:ascii="宋体" w:hAnsi="宋体" w:cs="宋体"/>
          <w:b/>
          <w:bCs/>
          <w:color w:val="000000" w:themeColor="text1"/>
          <w:sz w:val="36"/>
          <w:szCs w:val="36"/>
        </w:rPr>
      </w:pPr>
      <w:r/>
    </w:p>
    <w:p>
      <w:pPr>
        <w:widowControl/>
        <w:jc w:val="center"/>
        <w:outlineLvl w:val="0"/>
        <w:rPr>
          <w:rFonts w:ascii="宋体" w:cs="宋体"/>
          <w:b/>
          <w:bCs/>
          <w:color w:val="000000" w:themeColor="text1"/>
          <w:sz w:val="36"/>
          <w:szCs w:val="36"/>
        </w:rPr>
      </w:pPr>
      <w:r>
        <w:t>第三章 评标办法及评分标准</w:t>
      </w:r>
    </w:p>
    <w:p>
      <w:pPr>
        <w:autoSpaceDE w:val="0"/>
        <w:autoSpaceDN w:val="0"/>
        <w:spacing w:line="440" w:lineRule="exact"/>
        <w:ind w:firstLine="480" w:firstLineChars="200"/>
        <w:rPr>
          <w:rFonts w:ascii="宋体" w:hAnsi="宋体" w:cs="宋体"/>
          <w:kern w:val="0"/>
          <w:sz w:val="24"/>
          <w:szCs w:val="24"/>
        </w:rPr>
      </w:pPr>
      <w:r/>
    </w:p>
    <w:p>
      <w:pPr>
        <w:autoSpaceDE w:val="0"/>
        <w:autoSpaceDN w:val="0"/>
        <w:spacing w:line="440" w:lineRule="exact"/>
        <w:ind w:firstLine="480" w:firstLineChars="200"/>
        <w:rPr>
          <w:rFonts w:ascii="宋体" w:hAnsi="宋体" w:cs="宋体"/>
          <w:b/>
          <w:bCs/>
          <w:i/>
          <w:iCs/>
          <w:kern w:val="0"/>
          <w:sz w:val="24"/>
          <w:szCs w:val="24"/>
        </w:rPr>
      </w:pPr>
      <w:r>
        <w:t>一、采购代理机构将组织评标委员会，对投标人提供的投标文件进行综合评审。</w:t>
      </w:r>
    </w:p>
    <w:p>
      <w:pPr>
        <w:autoSpaceDE w:val="0"/>
        <w:autoSpaceDN w:val="0"/>
        <w:spacing w:line="440" w:lineRule="exact"/>
        <w:ind w:firstLine="480" w:firstLineChars="200"/>
        <w:rPr>
          <w:rFonts w:ascii="宋体" w:hAnsi="宋体" w:cs="宋体"/>
          <w:kern w:val="0"/>
          <w:sz w:val="24"/>
          <w:szCs w:val="24"/>
        </w:rPr>
      </w:pPr>
      <w:r>
        <w:t>二、本次招标项目的评标方法为综合评分法，总计100分，其中商务技术60分，报价40分。</w:t>
      </w:r>
    </w:p>
    <w:p>
      <w:pPr>
        <w:autoSpaceDE w:val="0"/>
        <w:autoSpaceDN w:val="0"/>
        <w:adjustRightInd w:val="0"/>
        <w:spacing w:line="440" w:lineRule="exact"/>
        <w:ind w:firstLine="200"/>
        <w:rPr>
          <w:rFonts w:ascii="宋体" w:hAnsi="宋体" w:cs="宋体"/>
          <w:sz w:val="24"/>
          <w:szCs w:val="24"/>
          <w:lang w:val="zh-CN"/>
        </w:rPr>
      </w:pPr>
      <w:r>
        <w:t>（一）商务技术文件客观分打分应一致，如客观分打分不一致的，采购人及采购代理机构可以提示评标委员会复核或者书面说明理由；其余在规定的分值内单独评定打分。</w:t>
      </w:r>
    </w:p>
    <w:p>
      <w:pPr>
        <w:autoSpaceDE w:val="0"/>
        <w:autoSpaceDN w:val="0"/>
        <w:adjustRightInd w:val="0"/>
        <w:spacing w:line="440" w:lineRule="exact"/>
        <w:ind w:firstLine="200"/>
        <w:rPr>
          <w:rFonts w:ascii="宋体" w:hAnsi="宋体" w:cs="宋体"/>
          <w:sz w:val="24"/>
          <w:szCs w:val="24"/>
          <w:shd w:val="clear" w:color="FFFFFF" w:fill="D9D9D9"/>
          <w:lang w:val="zh-CN"/>
        </w:rPr>
      </w:pPr>
      <w:r>
        <w:t>（二）各投标人商务技术文件得分按照评标委员会成员的独立评分结果汇总后的算术平均分计算，计算公式为：</w:t>
      </w:r>
    </w:p>
    <w:p>
      <w:pPr>
        <w:autoSpaceDE w:val="0"/>
        <w:autoSpaceDN w:val="0"/>
        <w:adjustRightInd w:val="0"/>
        <w:spacing w:line="440" w:lineRule="exact"/>
        <w:ind w:firstLine="948" w:firstLineChars="395"/>
        <w:rPr>
          <w:rFonts w:ascii="宋体" w:hAnsi="宋体" w:cs="宋体"/>
          <w:sz w:val="24"/>
          <w:szCs w:val="24"/>
          <w:shd w:val="clear" w:color="FFFFFF" w:fill="D9D9D9"/>
          <w:lang w:val="zh-CN"/>
        </w:rPr>
      </w:pPr>
      <w:r>
        <w:t>商务技术文件得分=评标委员会所有成员评分合计数/评标委员会组成人员数。</w:t>
      </w:r>
    </w:p>
    <w:p>
      <w:pPr>
        <w:autoSpaceDE w:val="0"/>
        <w:autoSpaceDN w:val="0"/>
        <w:adjustRightInd w:val="0"/>
        <w:spacing w:line="440" w:lineRule="exact"/>
        <w:ind w:firstLine="240" w:firstLineChars="100"/>
        <w:rPr>
          <w:rFonts w:ascii="宋体" w:hAnsi="宋体" w:cs="宋体"/>
          <w:sz w:val="24"/>
          <w:szCs w:val="24"/>
          <w:lang w:val="zh-CN"/>
        </w:rPr>
      </w:pPr>
      <w:r>
        <w:t>（三）投标报价得分采用低价优先法计算，即满足招标文件要求且投标价格最低的投标报价为评标基准价，其报价得满分。其他投标人的投标报价得分按下列公式计算：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440" w:lineRule="exact"/>
        <w:ind w:firstLine="964" w:firstLineChars="400"/>
        <w:rPr>
          <w:rFonts w:ascii="宋体" w:hAnsi="宋体" w:cs="宋体"/>
          <w:b/>
          <w:bCs/>
          <w:sz w:val="24"/>
          <w:szCs w:val="24"/>
          <w:u w:val="single"/>
        </w:rPr>
      </w:pPr>
      <w:r>
        <w:t>投标报价得分=(评标基准价／投标报价)×40%×100 。</w:t>
      </w:r>
    </w:p>
    <w:p>
      <w:pPr>
        <w:autoSpaceDE w:val="0"/>
        <w:autoSpaceDN w:val="0"/>
        <w:adjustRightInd w:val="0"/>
        <w:spacing w:line="440" w:lineRule="exact"/>
        <w:ind w:firstLine="240" w:firstLineChars="100"/>
        <w:rPr>
          <w:rFonts w:ascii="宋体" w:hAnsi="宋体" w:cs="宋体"/>
          <w:sz w:val="24"/>
          <w:szCs w:val="24"/>
          <w:lang w:val="zh-CN"/>
        </w:rPr>
      </w:pPr>
      <w:r>
        <w:t>（四）政府采购政策及优惠：</w:t>
      </w:r>
    </w:p>
    <w:p>
      <w:pPr>
        <w:autoSpaceDE w:val="0"/>
        <w:autoSpaceDN w:val="0"/>
        <w:adjustRightInd w:val="0"/>
        <w:spacing w:line="440" w:lineRule="exact"/>
        <w:ind w:firstLine="468" w:firstLineChars="195"/>
        <w:rPr>
          <w:rFonts w:ascii="宋体" w:hAnsi="宋体" w:cs="宋体"/>
          <w:sz w:val="24"/>
          <w:szCs w:val="24"/>
          <w:lang w:val="zh-CN"/>
        </w:rPr>
      </w:pPr>
      <w:r>
        <w:t>（1）关于小型、微型企业（简称小微企业）投标：小微企业投标是指符合《中小企业划型标准规定》的供应商，符合《政府采购促进中小企业发展管理办法》规定的享受优惠政策。</w:t>
      </w:r>
    </w:p>
    <w:p>
      <w:pPr>
        <w:autoSpaceDE w:val="0"/>
        <w:autoSpaceDN w:val="0"/>
        <w:adjustRightInd w:val="0"/>
        <w:spacing w:line="440" w:lineRule="exact"/>
        <w:ind w:firstLine="720" w:firstLineChars="300"/>
        <w:rPr>
          <w:rFonts w:ascii="宋体" w:hAnsi="宋体" w:cs="宋体"/>
          <w:sz w:val="24"/>
          <w:szCs w:val="24"/>
          <w:lang w:val="zh-CN"/>
        </w:rPr>
      </w:pPr>
      <w:r>
        <w:t>在服务采购项目中，服务由中小企业承接，即提供服务的人员为中小企业依照《中华人民共和国劳动合同法》订立劳动合同的从业人员。</w:t>
      </w:r>
    </w:p>
    <w:p>
      <w:pPr>
        <w:autoSpaceDE w:val="0"/>
        <w:autoSpaceDN w:val="0"/>
        <w:adjustRightInd w:val="0"/>
        <w:spacing w:line="440" w:lineRule="exact"/>
        <w:ind w:firstLine="720" w:firstLineChars="300"/>
        <w:rPr>
          <w:rFonts w:ascii="宋体" w:hAnsi="宋体" w:cs="宋体"/>
          <w:sz w:val="24"/>
          <w:szCs w:val="24"/>
          <w:lang w:val="zh-CN"/>
        </w:rPr>
      </w:pPr>
      <w:r>
        <w:t>监狱企业参加政府采购活动时，应当提供由省级以上监狱管理局、戒毒管理局（含新疆生产建设兵团）出具的属于监狱企业的证明文件，视同小型、微型企业，享受小微企业政府采购优惠政策；</w:t>
      </w:r>
    </w:p>
    <w:p>
      <w:pPr>
        <w:autoSpaceDE w:val="0"/>
        <w:autoSpaceDN w:val="0"/>
        <w:adjustRightInd w:val="0"/>
        <w:spacing w:line="440" w:lineRule="exact"/>
        <w:ind w:firstLine="708" w:firstLineChars="295"/>
        <w:rPr>
          <w:rFonts w:ascii="宋体" w:hAnsi="宋体" w:cs="宋体"/>
          <w:sz w:val="24"/>
          <w:szCs w:val="24"/>
          <w:lang w:val="zh-CN"/>
        </w:rPr>
      </w:pPr>
      <w:r>
        <w:t>残疾人福利性单位在参加政府采购活动时，应提供《残疾人福利性单位声明函》（见附件），视同小型、微型企业，享受小微企业政府采购优惠政策。</w:t>
      </w:r>
    </w:p>
    <w:p>
      <w:pPr>
        <w:autoSpaceDE w:val="0"/>
        <w:autoSpaceDN w:val="0"/>
        <w:adjustRightInd w:val="0"/>
        <w:spacing w:line="440" w:lineRule="exact"/>
        <w:ind w:firstLine="711" w:firstLineChars="295"/>
        <w:rPr>
          <w:rFonts w:ascii="宋体" w:hAnsi="宋体" w:cs="宋体"/>
          <w:sz w:val="24"/>
          <w:szCs w:val="24"/>
          <w:lang w:val="zh-CN"/>
        </w:rPr>
      </w:pPr>
      <w:r>
        <w:t>具体优惠：小微企业投标应提供《中小企业声明函》，未提供完整有效《中小企业声明函》或填写不正确的，投标报价可不予扣减。对于小型和微型企业的报价给予20%的扣除，用扣除后的价格参加评审。同一投标人（包括联合体），小型企业和微型企业、监狱企业、残疾人 福利性单位价格扣除优惠只享受一次， 不得重复享受。</w:t>
      </w:r>
    </w:p>
    <w:p>
      <w:pPr>
        <w:autoSpaceDE w:val="0"/>
        <w:autoSpaceDN w:val="0"/>
        <w:adjustRightInd w:val="0"/>
        <w:spacing w:line="440" w:lineRule="exact"/>
        <w:ind w:firstLine="480" w:firstLineChars="200"/>
        <w:rPr>
          <w:rFonts w:ascii="宋体" w:hAnsi="宋体" w:cs="宋体"/>
          <w:sz w:val="24"/>
          <w:szCs w:val="24"/>
          <w:lang w:val="zh-CN"/>
        </w:rPr>
      </w:pPr>
      <w:r>
        <w:t>（2）本项目允许大中型企业向一家或者多家小微企业分包的政府采购服务项目，对于分包意向协议约定小微企业的合同份额占到合同总金额30%以上的，对大中型企业的报价给予6%的扣除，用扣除后的价格参加评审。</w:t>
      </w:r>
    </w:p>
    <w:p>
      <w:pPr>
        <w:autoSpaceDE w:val="0"/>
        <w:autoSpaceDN w:val="0"/>
        <w:adjustRightInd w:val="0"/>
        <w:spacing w:line="440" w:lineRule="exact"/>
        <w:ind w:firstLine="480" w:firstLineChars="200"/>
        <w:rPr>
          <w:rFonts w:ascii="宋体" w:hAnsi="宋体" w:cs="宋体"/>
          <w:sz w:val="24"/>
          <w:szCs w:val="24"/>
          <w:lang w:val="zh-CN"/>
        </w:rPr>
      </w:pPr>
      <w:r>
        <w:t>接受分包合同的中小企业和分包企业之间存在直接控股、管理关系的，不享受价格扣除优惠政策。</w:t>
      </w:r>
    </w:p>
    <w:p>
      <w:pPr>
        <w:autoSpaceDE w:val="0"/>
        <w:autoSpaceDN w:val="0"/>
        <w:adjustRightInd w:val="0"/>
        <w:spacing w:line="440" w:lineRule="exact"/>
        <w:ind w:firstLine="480" w:firstLineChars="200"/>
        <w:rPr>
          <w:rFonts w:ascii="宋体" w:hAnsi="宋体" w:cs="宋体"/>
          <w:sz w:val="24"/>
          <w:szCs w:val="24"/>
          <w:lang w:val="zh-CN"/>
        </w:rPr>
      </w:pPr>
      <w:r>
        <w:t>中小企业享受扶持政策获得政府采购合同的，小微企业不得将合同分包给大中型企业，中型企业不得将合同分包给大型企业。</w:t>
      </w:r>
    </w:p>
    <w:p>
      <w:pPr>
        <w:tabs>
          <w:tab w:val="left" w:pos="180"/>
          <w:tab w:val="left" w:pos="360"/>
          <w:tab w:val="left" w:pos="540"/>
          <w:tab w:val="left" w:pos="8280"/>
        </w:tabs>
        <w:snapToGrid w:val="0"/>
        <w:spacing w:line="440" w:lineRule="exact"/>
        <w:ind w:firstLine="482" w:firstLineChars="200"/>
        <w:jc w:val="left"/>
        <w:textAlignment w:val="baseline"/>
        <w:rPr>
          <w:rFonts w:ascii="宋体" w:hAnsi="宋体" w:cs="宋体"/>
          <w:b/>
          <w:bCs/>
          <w:sz w:val="24"/>
          <w:szCs w:val="24"/>
        </w:rPr>
      </w:pPr>
      <w:r>
        <w:t>采用合同分包的，提供明确以上事项的《分包意向协议》和《中小企业声明函》（监狱企业视同小型、微型企业，提供由省级以上监狱管理局、戒毒管理局（含新疆生产建设兵团）出具的属于监狱企业的证明文件；残疾人福利性单位视同小型、微型企业，提供《残疾人福利性单位声明函》），未提供完整有效或填写不正确的，投标报价可不予扣减。分包意向协议中中小企业合同金额应当达到招标公告载明的比例。</w:t>
      </w:r>
    </w:p>
    <w:p>
      <w:pPr>
        <w:tabs>
          <w:tab w:val="left" w:pos="180"/>
          <w:tab w:val="left" w:pos="360"/>
          <w:tab w:val="left" w:pos="540"/>
          <w:tab w:val="left" w:pos="8280"/>
        </w:tabs>
        <w:snapToGrid w:val="0"/>
        <w:spacing w:line="440" w:lineRule="exact"/>
        <w:ind w:firstLine="482" w:firstLineChars="200"/>
        <w:jc w:val="left"/>
        <w:textAlignment w:val="baseline"/>
        <w:rPr>
          <w:rStyle w:val="131"/>
          <w:rFonts w:ascii="宋体" w:hAnsi="宋体" w:eastAsia="宋体" w:cs="宋体"/>
          <w:b/>
          <w:bCs/>
          <w:kern w:val="2"/>
          <w:szCs w:val="24"/>
        </w:rPr>
      </w:pPr>
      <w:r>
        <w:t>如果供应商本身提供所有标的均由中小企业制造、承建或承接，视同符合本条资格条件，无需再进行分包。提供明确以上事项的《中小企业声明函》（监狱企业视同小型、微型企业，提供由省级以上监狱管理局、戒毒管理局（含新疆生产建设兵团）出具的属于监狱企业的证明文件；残疾人福利性单位视同小型、微型企业，提供《残疾人福利性单位声明函》）。</w:t>
      </w:r>
    </w:p>
    <w:p>
      <w:pPr>
        <w:autoSpaceDE w:val="0"/>
        <w:autoSpaceDN w:val="0"/>
        <w:adjustRightInd w:val="0"/>
        <w:spacing w:line="440" w:lineRule="exact"/>
        <w:ind w:firstLine="480" w:firstLineChars="200"/>
        <w:rPr>
          <w:rFonts w:ascii="宋体" w:hAnsi="宋体" w:cs="宋体"/>
          <w:sz w:val="24"/>
          <w:szCs w:val="24"/>
          <w:shd w:val="clear" w:color="FFFFFF" w:fill="D9D9D9"/>
          <w:lang w:val="zh-CN"/>
        </w:rPr>
      </w:pPr>
      <w:r>
        <w:t>注：得分以系统计算为准，保留2位小数。</w:t>
      </w:r>
    </w:p>
    <w:p>
      <w:pPr>
        <w:autoSpaceDE w:val="0"/>
        <w:autoSpaceDN w:val="0"/>
        <w:adjustRightInd w:val="0"/>
        <w:spacing w:line="440" w:lineRule="exact"/>
        <w:ind w:firstLine="480" w:firstLineChars="200"/>
        <w:rPr>
          <w:rFonts w:ascii="宋体" w:hAnsi="宋体" w:cs="宋体"/>
          <w:sz w:val="24"/>
          <w:szCs w:val="24"/>
          <w:lang w:val="zh-CN"/>
        </w:rPr>
      </w:pPr>
      <w: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440" w:lineRule="exact"/>
        <w:ind w:firstLine="480" w:firstLineChars="200"/>
        <w:rPr>
          <w:rFonts w:ascii="宋体" w:hAnsi="宋体" w:cs="宋体"/>
          <w:sz w:val="24"/>
          <w:szCs w:val="24"/>
          <w:lang w:val="zh-CN"/>
        </w:rPr>
      </w:pPr>
      <w:r>
        <w:t>四、如综合得分相同，投标报价低者为先；如综合得分且投标报价相同的，则以采购人现场抽签为准。</w:t>
      </w:r>
    </w:p>
    <w:p>
      <w:pPr>
        <w:autoSpaceDE w:val="0"/>
        <w:autoSpaceDN w:val="0"/>
        <w:adjustRightInd w:val="0"/>
        <w:spacing w:line="440" w:lineRule="exact"/>
        <w:ind w:firstLine="480" w:firstLineChars="200"/>
        <w:jc w:val="left"/>
        <w:rPr>
          <w:rFonts w:ascii="宋体" w:hAnsi="宋体" w:cs="宋体"/>
          <w:kern w:val="0"/>
          <w:sz w:val="24"/>
          <w:szCs w:val="24"/>
        </w:rPr>
      </w:pPr>
      <w:r>
        <w:t>五、评标委员会不向未中标单位解释落标具体原因，不退还投标文件。</w:t>
      </w:r>
    </w:p>
    <w:p>
      <w:pPr>
        <w:pStyle w:val="25"/>
        <w:ind w:firstLine="480" w:firstLineChars="200"/>
        <w:rPr>
          <w:rFonts w:ascii="宋体" w:hAnsi="宋体" w:cs="宋体"/>
          <w:color w:val="auto"/>
          <w:kern w:val="0"/>
          <w:sz w:val="22"/>
          <w:szCs w:val="22"/>
        </w:rPr>
      </w:pPr>
      <w:r>
        <w:t>六、本次评分具体分值细化条款如下表：</w:t>
      </w:r>
    </w:p>
    <w:tbl>
      <w:tblPr>
        <w:tblStyle w:val="59"/>
        <w:tblW w:w="10313" w:type="dxa"/>
        <w:tblInd w:w="-24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1095"/>
        <w:gridCol w:w="615"/>
        <w:gridCol w:w="79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6" w:hRule="atLeast"/>
          <w:tblHeader/>
        </w:trPr>
        <w:tc>
          <w:tcPr>
            <w:tcW w:w="662" w:type="dxa"/>
            <w:tcBorders>
              <w:tl2br w:val="nil"/>
              <w:tr2bl w:val="nil"/>
            </w:tcBorders>
            <w:vAlign w:val="center"/>
          </w:tcPr>
          <w:p>
            <w:r>
              <w:t>序号</w:t>
            </w:r>
          </w:p>
        </w:tc>
        <w:tc>
          <w:tcPr>
            <w:tcW w:w="1095" w:type="dxa"/>
            <w:tcBorders>
              <w:tl2br w:val="nil"/>
              <w:tr2bl w:val="nil"/>
            </w:tcBorders>
            <w:vAlign w:val="center"/>
          </w:tcPr>
          <w:p>
            <w:r>
              <w:t>评审项目</w:t>
            </w:r>
          </w:p>
        </w:tc>
        <w:tc>
          <w:tcPr>
            <w:tcW w:w="615" w:type="dxa"/>
            <w:tcBorders>
              <w:tl2br w:val="nil"/>
              <w:tr2bl w:val="nil"/>
            </w:tcBorders>
            <w:vAlign w:val="center"/>
          </w:tcPr>
          <w:p>
            <w:r>
              <w:t>分值</w:t>
            </w:r>
          </w:p>
        </w:tc>
        <w:tc>
          <w:tcPr>
            <w:tcW w:w="7941" w:type="dxa"/>
            <w:tcBorders>
              <w:tl2br w:val="nil"/>
              <w:tr2bl w:val="nil"/>
            </w:tcBorders>
            <w:vAlign w:val="center"/>
          </w:tcPr>
          <w:p>
            <w:r>
              <w:t>评分标准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662" w:type="dxa"/>
            <w:tcBorders>
              <w:tl2br w:val="nil"/>
              <w:tr2bl w:val="nil"/>
            </w:tcBorders>
            <w:vAlign w:val="center"/>
          </w:tcPr>
          <w:p>
            <w:r>
              <w:t>1</w:t>
            </w:r>
          </w:p>
        </w:tc>
        <w:tc>
          <w:tcPr>
            <w:tcW w:w="1095" w:type="dxa"/>
            <w:tcBorders>
              <w:tl2br w:val="nil"/>
              <w:tr2bl w:val="nil"/>
            </w:tcBorders>
            <w:vAlign w:val="center"/>
          </w:tcPr>
          <w:p>
            <w:r>
              <w:t>业绩证明</w:t>
            </w:r>
          </w:p>
        </w:tc>
        <w:tc>
          <w:tcPr>
            <w:tcW w:w="615" w:type="dxa"/>
            <w:tcBorders>
              <w:tl2br w:val="nil"/>
              <w:tr2bl w:val="nil"/>
            </w:tcBorders>
            <w:vAlign w:val="center"/>
          </w:tcPr>
          <w:p>
            <w:r>
              <w:t>2</w:t>
            </w:r>
          </w:p>
        </w:tc>
        <w:tc>
          <w:tcPr>
            <w:tcW w:w="7941" w:type="dxa"/>
            <w:tcBorders>
              <w:tl2br w:val="nil"/>
              <w:tr2bl w:val="nil"/>
            </w:tcBorders>
            <w:vAlign w:val="center"/>
          </w:tcPr>
          <w:p>
            <w:r>
              <w:t>2020年1月1日以来投标人承接过类似天网工程、雪亮工程或公共视频一体化项目，提供合同扫描件，每提供1个合同得1分，最多得2分。（投标文件中提供合同扫描件并加盖公章，不提供的不得分）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662" w:type="dxa"/>
            <w:tcBorders>
              <w:tl2br w:val="nil"/>
              <w:tr2bl w:val="nil"/>
            </w:tcBorders>
            <w:vAlign w:val="center"/>
          </w:tcPr>
          <w:p>
            <w:r>
              <w:t>2</w:t>
            </w:r>
          </w:p>
        </w:tc>
        <w:tc>
          <w:tcPr>
            <w:tcW w:w="1095" w:type="dxa"/>
            <w:tcBorders>
              <w:tl2br w:val="nil"/>
              <w:tr2bl w:val="nil"/>
            </w:tcBorders>
            <w:vAlign w:val="center"/>
          </w:tcPr>
          <w:p>
            <w:r>
              <w:t>拟投入项目经理情况</w:t>
            </w:r>
          </w:p>
        </w:tc>
        <w:tc>
          <w:tcPr>
            <w:tcW w:w="615" w:type="dxa"/>
            <w:tcBorders>
              <w:tl2br w:val="nil"/>
              <w:tr2bl w:val="nil"/>
            </w:tcBorders>
            <w:vAlign w:val="center"/>
          </w:tcPr>
          <w:p>
            <w:r>
              <w:t>1</w:t>
            </w:r>
          </w:p>
        </w:tc>
        <w:tc>
          <w:tcPr>
            <w:tcW w:w="7941" w:type="dxa"/>
            <w:tcBorders>
              <w:tl2br w:val="nil"/>
              <w:tr2bl w:val="nil"/>
            </w:tcBorders>
            <w:vAlign w:val="center"/>
          </w:tcPr>
          <w:p>
            <w:r>
              <w:t>拟投入项目经理具有广播电视专业或计算机应用专业或通信专业或电子专业工程师及以上职称或浙江省邮电管理局颁发的工程师及以上职称的得 1分。</w:t>
              <w:br/>
              <w:t>（须提供职称证书复印件及投标截止时间前 6 个月（含）以上社保证明，不提供不得分）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494" w:hRule="atLeast"/>
        </w:trPr>
        <w:tc>
          <w:tcPr>
            <w:tcW w:w="662" w:type="dxa"/>
            <w:tcBorders>
              <w:tl2br w:val="nil"/>
              <w:tr2bl w:val="nil"/>
            </w:tcBorders>
            <w:vAlign w:val="center"/>
          </w:tcPr>
          <w:p>
            <w:r>
              <w:t>3.1</w:t>
            </w:r>
          </w:p>
        </w:tc>
        <w:tc>
          <w:tcPr>
            <w:tcW w:w="1095" w:type="dxa"/>
            <w:vMerge w:val="restart"/>
            <w:tcBorders>
              <w:tl2br w:val="nil"/>
              <w:tr2bl w:val="nil"/>
            </w:tcBorders>
            <w:vAlign w:val="center"/>
          </w:tcPr>
          <w:p>
            <w:r>
              <w:t>性能指标及技术响应</w:t>
            </w:r>
          </w:p>
        </w:tc>
        <w:tc>
          <w:tcPr>
            <w:tcW w:w="615" w:type="dxa"/>
            <w:tcBorders>
              <w:tl2br w:val="nil"/>
              <w:tr2bl w:val="nil"/>
            </w:tcBorders>
            <w:vAlign w:val="center"/>
          </w:tcPr>
          <w:p>
            <w:r>
              <w:t>2</w:t>
            </w:r>
          </w:p>
        </w:tc>
        <w:tc>
          <w:tcPr>
            <w:tcW w:w="7941" w:type="dxa"/>
            <w:tcBorders>
              <w:tl2br w:val="nil"/>
              <w:tr2bl w:val="nil"/>
            </w:tcBorders>
            <w:shd w:val="clear" w:color="auto" w:fill="auto"/>
            <w:vAlign w:val="center"/>
          </w:tcPr>
          <w:p>
            <w:r>
              <w:t>双光谱云台型摄像机：</w:t>
              <w:br/>
              <w:t>根据投标人选择的摄像机技术参数、响应程度等综合评分。</w:t>
              <w:br/>
              <w:t>完全响应招标文件要求，技术参数详细具体，摄像机技术先进的得1.2-2分；</w:t>
              <w:br/>
              <w:t>基本符合招标文件要求，技术参数描述较具体，摄像机技术较先进的得0.6-1.1分；</w:t>
              <w:br/>
              <w:t>技术参数内容空泛，摄像机技术一般的得0-0.5分。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2" w:type="dxa"/>
            <w:tcBorders>
              <w:tl2br w:val="nil"/>
              <w:tr2bl w:val="nil"/>
            </w:tcBorders>
            <w:vAlign w:val="center"/>
          </w:tcPr>
          <w:p>
            <w:r>
              <w:t>3.2</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rPr>
            </w:pPr>
          </w:p>
        </w:tc>
        <w:tc>
          <w:tcPr>
            <w:tcW w:w="615" w:type="dxa"/>
            <w:tcBorders>
              <w:tl2br w:val="nil"/>
              <w:tr2bl w:val="nil"/>
            </w:tcBorders>
            <w:vAlign w:val="center"/>
          </w:tcPr>
          <w:p>
            <w:r>
              <w:t>2</w:t>
            </w:r>
          </w:p>
        </w:tc>
        <w:tc>
          <w:tcPr>
            <w:tcW w:w="7941" w:type="dxa"/>
            <w:tcBorders>
              <w:tl2br w:val="nil"/>
              <w:tr2bl w:val="nil"/>
            </w:tcBorders>
            <w:shd w:val="clear" w:color="auto" w:fill="auto"/>
            <w:vAlign w:val="center"/>
          </w:tcPr>
          <w:p>
            <w:r>
              <w:t>人脸抓拍机：</w:t>
              <w:br/>
              <w:t>根据投标人选择的摄像机技术参数、响应程度等综合评分。</w:t>
              <w:br/>
              <w:t>完全响应招标文件要求，技术参数详细具体，摄像机技术先进的得1.2-2分；</w:t>
              <w:br/>
              <w:t>基本符合招标文件要求，技术参数描述较具体，摄像机技术较先进的得0.6-1.1分；</w:t>
              <w:br/>
              <w:t>技术参数内容空泛，摄像机技术一般的得0-0.5分。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2" w:type="dxa"/>
            <w:tcBorders>
              <w:tl2br w:val="nil"/>
              <w:tr2bl w:val="nil"/>
            </w:tcBorders>
            <w:vAlign w:val="center"/>
          </w:tcPr>
          <w:p>
            <w:r>
              <w:t>3.3</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rPr>
            </w:pPr>
          </w:p>
        </w:tc>
        <w:tc>
          <w:tcPr>
            <w:tcW w:w="615" w:type="dxa"/>
            <w:tcBorders>
              <w:tl2br w:val="nil"/>
              <w:tr2bl w:val="nil"/>
            </w:tcBorders>
            <w:vAlign w:val="center"/>
          </w:tcPr>
          <w:p>
            <w:r>
              <w:t>1</w:t>
            </w:r>
          </w:p>
        </w:tc>
        <w:tc>
          <w:tcPr>
            <w:tcW w:w="7941" w:type="dxa"/>
            <w:tcBorders>
              <w:tl2br w:val="nil"/>
              <w:tr2bl w:val="nil"/>
            </w:tcBorders>
            <w:shd w:val="clear" w:color="auto" w:fill="auto"/>
            <w:vAlign w:val="center"/>
          </w:tcPr>
          <w:p>
            <w:r>
              <w:t>激光球型摄像机：</w:t>
              <w:br/>
              <w:t>根据投标人选择的摄像机技术参数、响应程度等综合评分。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42" w:hRule="atLeast"/>
        </w:trPr>
        <w:tc>
          <w:tcPr>
            <w:tcW w:w="662" w:type="dxa"/>
            <w:tcBorders>
              <w:tl2br w:val="nil"/>
              <w:tr2bl w:val="nil"/>
            </w:tcBorders>
            <w:vAlign w:val="center"/>
          </w:tcPr>
          <w:p>
            <w:r>
              <w:t>3.4</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rPr>
            </w:pPr>
          </w:p>
        </w:tc>
        <w:tc>
          <w:tcPr>
            <w:tcW w:w="615" w:type="dxa"/>
            <w:tcBorders>
              <w:tl2br w:val="nil"/>
              <w:tr2bl w:val="nil"/>
            </w:tcBorders>
            <w:vAlign w:val="center"/>
          </w:tcPr>
          <w:p>
            <w:r>
              <w:t>2</w:t>
            </w:r>
          </w:p>
        </w:tc>
        <w:tc>
          <w:tcPr>
            <w:tcW w:w="7941" w:type="dxa"/>
            <w:tcBorders>
              <w:tl2br w:val="nil"/>
              <w:tr2bl w:val="nil"/>
            </w:tcBorders>
            <w:shd w:val="clear" w:color="auto" w:fill="auto"/>
            <w:vAlign w:val="center"/>
          </w:tcPr>
          <w:p>
            <w:r>
              <w:t>多摄超星光球机 ：</w:t>
              <w:br/>
              <w:t>根据投标人选择的摄像机技术参数、响应程度等综合评分。</w:t>
              <w:br/>
              <w:t>完全响应招标文件要求，技术参数详细具体，摄像机技术先进的得1.2-2分；</w:t>
              <w:br/>
              <w:t>基本符合招标文件要求，技术参数描述较具体，摄像机技术较先进的得0.6-1.1分；</w:t>
              <w:br/>
              <w:t>技术参数内容空泛，摄像机技术一般的得0-0.5分。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87" w:hRule="atLeast"/>
        </w:trPr>
        <w:tc>
          <w:tcPr>
            <w:tcW w:w="662" w:type="dxa"/>
            <w:tcBorders>
              <w:tl2br w:val="nil"/>
              <w:tr2bl w:val="nil"/>
            </w:tcBorders>
            <w:vAlign w:val="center"/>
          </w:tcPr>
          <w:p>
            <w:r>
              <w:t>3.5</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2</w:t>
            </w:r>
          </w:p>
        </w:tc>
        <w:tc>
          <w:tcPr>
            <w:tcW w:w="7941" w:type="dxa"/>
            <w:tcBorders>
              <w:tl2br w:val="nil"/>
              <w:tr2bl w:val="nil"/>
            </w:tcBorders>
            <w:shd w:val="clear" w:color="auto" w:fill="auto"/>
            <w:vAlign w:val="center"/>
          </w:tcPr>
          <w:p>
            <w:r>
              <w:t>校园双镜头摄像机：</w:t>
              <w:br/>
              <w:t>根据投标人选择的摄像机技术参数、响应程度等综合评分。</w:t>
              <w:br/>
              <w:t>完全响应招标文件要求，技术参数详细具体，摄像机技术先进的得1.2-2分；</w:t>
              <w:br/>
              <w:t>基本符合招标文件要求，技术参数描述较具体，摄像机技术较先进的得0.6-1.1分；</w:t>
              <w:br/>
              <w:t>技术参数内容空泛，摄像机技术一般的得0-0.5分。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662" w:type="dxa"/>
            <w:tcBorders>
              <w:tl2br w:val="nil"/>
              <w:tr2bl w:val="nil"/>
            </w:tcBorders>
            <w:vAlign w:val="center"/>
          </w:tcPr>
          <w:p>
            <w:r>
              <w:t>3.6</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shd w:val="clear" w:color="auto" w:fill="auto"/>
            <w:vAlign w:val="center"/>
          </w:tcPr>
          <w:p>
            <w:r>
              <w:t>溢洪口水位观测相机、三球一体机：</w:t>
              <w:br/>
              <w:t>根据投标人选择的设备技术参数、响应程度等综合评分。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662" w:type="dxa"/>
            <w:tcBorders>
              <w:tl2br w:val="nil"/>
              <w:tr2bl w:val="nil"/>
            </w:tcBorders>
            <w:vAlign w:val="center"/>
          </w:tcPr>
          <w:p>
            <w:r>
              <w:t>3.7</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shd w:val="clear" w:color="auto" w:fill="auto"/>
            <w:vAlign w:val="center"/>
          </w:tcPr>
          <w:p>
            <w:r>
              <w:t>无极补光灯和LED全景补光灯：</w:t>
              <w:br/>
              <w:t>根据投标人选择的设备技术参数、响应程度等综合评分。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662" w:type="dxa"/>
            <w:tcBorders>
              <w:tl2br w:val="nil"/>
              <w:tr2bl w:val="nil"/>
            </w:tcBorders>
            <w:vAlign w:val="center"/>
          </w:tcPr>
          <w:p>
            <w:r>
              <w:t>3.8</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2</w:t>
            </w:r>
          </w:p>
        </w:tc>
        <w:tc>
          <w:tcPr>
            <w:tcW w:w="7941" w:type="dxa"/>
            <w:tcBorders>
              <w:tl2br w:val="nil"/>
              <w:tr2bl w:val="nil"/>
            </w:tcBorders>
            <w:shd w:val="clear" w:color="auto" w:fill="auto"/>
            <w:vAlign w:val="center"/>
          </w:tcPr>
          <w:p>
            <w:r>
              <w:t>900 万像素视频抓拍机及配套灯：</w:t>
              <w:br/>
              <w:t>根据投标人选择的设备技术参数、响应程度等综合评分。</w:t>
              <w:br/>
              <w:t>完全响应招标文件要求，技术参数详细具体，设备技术先进的得1.2-2分；</w:t>
              <w:br/>
              <w:t>基本符合招标文件要求，技术参数描述较具体，设备技术较先进的得0.6-1.1分；</w:t>
              <w:br/>
              <w:t>技术参数内容空泛，设备技术一般的得0-0.5分。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87" w:hRule="atLeast"/>
        </w:trPr>
        <w:tc>
          <w:tcPr>
            <w:tcW w:w="662" w:type="dxa"/>
            <w:tcBorders>
              <w:tl2br w:val="nil"/>
              <w:tr2bl w:val="nil"/>
            </w:tcBorders>
            <w:vAlign w:val="center"/>
          </w:tcPr>
          <w:p>
            <w:r>
              <w:t>3.9</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3</w:t>
            </w:r>
          </w:p>
        </w:tc>
        <w:tc>
          <w:tcPr>
            <w:tcW w:w="7941" w:type="dxa"/>
            <w:tcBorders>
              <w:tl2br w:val="nil"/>
              <w:tr2bl w:val="nil"/>
            </w:tcBorders>
            <w:shd w:val="clear" w:color="auto" w:fill="auto"/>
            <w:vAlign w:val="center"/>
          </w:tcPr>
          <w:p>
            <w:r>
              <w:t>900 万环保卡口相机及配套灯：</w:t>
              <w:br/>
              <w:t>根据投标人选择的设备技术参数、响应程度等综合评分。</w:t>
              <w:br/>
              <w:t>完全响应招标文件要求，技术参数详细具体，技术先进的得2-3分；</w:t>
              <w:br/>
              <w:t>基本符合招标文件要求，技术参数描述较具体，技术较先进的得1-1.9分；</w:t>
              <w:br/>
              <w:t>技术参数内容空泛，技术先进性一般的得0-0.9分。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662" w:type="dxa"/>
            <w:tcBorders>
              <w:tl2br w:val="nil"/>
              <w:tr2bl w:val="nil"/>
            </w:tcBorders>
            <w:vAlign w:val="center"/>
          </w:tcPr>
          <w:p>
            <w:r>
              <w:t>3.10</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shd w:val="clear" w:color="auto" w:fill="auto"/>
            <w:vAlign w:val="center"/>
          </w:tcPr>
          <w:p>
            <w:r>
              <w:t>立杆及机箱、安全存储单元：</w:t>
              <w:br/>
              <w:t>根据投标人选择的立杆机箱、安全存储单元等设备技术参数、响应程度等综合评分。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2" w:type="dxa"/>
            <w:tcBorders>
              <w:tl2br w:val="nil"/>
              <w:tr2bl w:val="nil"/>
            </w:tcBorders>
            <w:vAlign w:val="center"/>
          </w:tcPr>
          <w:p>
            <w:r>
              <w:t>3.11</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vAlign w:val="center"/>
          </w:tcPr>
          <w:p>
            <w:r>
              <w:t>三维基础支撑平台服务：</w:t>
              <w:br/>
              <w:t>根据投标人选择的三维基础支撑平台服务技术参数、响应程度等综合评分。</w:t>
              <w:br/>
              <w:t>完全响应招标文件要求，技术参数详细具体，平台服务先进的得0.7-1分；</w:t>
              <w:br/>
              <w:t>基本符合招标文件要求，技术参数描述较具体，平台服务较先进的得0.4-0.6分；</w:t>
              <w:br/>
              <w:t>技术参数内容空泛，平台服务一般的得0-0.3分。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2" w:type="dxa"/>
            <w:tcBorders>
              <w:tl2br w:val="nil"/>
              <w:tr2bl w:val="nil"/>
            </w:tcBorders>
            <w:vAlign w:val="center"/>
          </w:tcPr>
          <w:p>
            <w:r>
              <w:t>3.12</w:t>
            </w:r>
          </w:p>
        </w:tc>
        <w:tc>
          <w:tcPr>
            <w:tcW w:w="1095" w:type="dxa"/>
            <w:vMerge w:val="restart"/>
            <w:tcBorders>
              <w:tl2br w:val="nil"/>
              <w:tr2bl w:val="nil"/>
            </w:tcBorders>
            <w:vAlign w:val="center"/>
          </w:tcPr>
          <w:p>
            <w:r>
              <w:t>性能指标及技术响应</w:t>
            </w:r>
          </w:p>
        </w:tc>
        <w:tc>
          <w:tcPr>
            <w:tcW w:w="615" w:type="dxa"/>
            <w:tcBorders>
              <w:tl2br w:val="nil"/>
              <w:tr2bl w:val="nil"/>
            </w:tcBorders>
            <w:vAlign w:val="center"/>
          </w:tcPr>
          <w:p>
            <w:r>
              <w:t>1</w:t>
            </w:r>
          </w:p>
        </w:tc>
        <w:tc>
          <w:tcPr>
            <w:tcW w:w="7941" w:type="dxa"/>
            <w:tcBorders>
              <w:tl2br w:val="nil"/>
              <w:tr2bl w:val="nil"/>
            </w:tcBorders>
            <w:vAlign w:val="center"/>
          </w:tcPr>
          <w:p>
            <w:r>
              <w:t>天下无遁平台升级开发：</w:t>
              <w:br/>
              <w:t>根据投标人选择的平台技术参数、响应程度等综合评分。</w:t>
              <w:br/>
              <w:t>完全响应招标文件要求，技术参数详细具体，平台先进的得0.7-1分；</w:t>
              <w:br/>
              <w:t>基本符合招标文件要求，技术参数描述较具体，平台较先进的得0.4-0.6分；</w:t>
              <w:br/>
              <w:t>技术参数内容空泛，平台一般的得0-0.3分。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494" w:hRule="atLeast"/>
        </w:trPr>
        <w:tc>
          <w:tcPr>
            <w:tcW w:w="662" w:type="dxa"/>
            <w:tcBorders>
              <w:tl2br w:val="nil"/>
              <w:tr2bl w:val="nil"/>
            </w:tcBorders>
            <w:vAlign w:val="center"/>
          </w:tcPr>
          <w:p>
            <w:r>
              <w:t>3.13</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vAlign w:val="center"/>
          </w:tcPr>
          <w:p>
            <w:r>
              <w:t>电池：</w:t>
              <w:br/>
              <w:t>根据投标人选择的设备技术参数、响应程度等综合评分。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2" w:type="dxa"/>
            <w:tcBorders>
              <w:tl2br w:val="nil"/>
              <w:tr2bl w:val="nil"/>
            </w:tcBorders>
            <w:vAlign w:val="center"/>
          </w:tcPr>
          <w:p>
            <w:r>
              <w:t>3.14</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vAlign w:val="center"/>
          </w:tcPr>
          <w:p>
            <w:r>
              <w:t>数据交换节点：</w:t>
              <w:br/>
              <w:t>根据投标人选择的设备技术参数、响应程度等综合评分。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2" w:type="dxa"/>
            <w:tcBorders>
              <w:tl2br w:val="nil"/>
              <w:tr2bl w:val="nil"/>
            </w:tcBorders>
            <w:vAlign w:val="center"/>
          </w:tcPr>
          <w:p>
            <w:r>
              <w:t>3.15</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vAlign w:val="center"/>
          </w:tcPr>
          <w:p>
            <w:r>
              <w:t>单向隔离光闸：</w:t>
              <w:br/>
              <w:t>根据投标人选择的设备技术参数、响应程度等综合评分。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2" w:type="dxa"/>
            <w:tcBorders>
              <w:tl2br w:val="nil"/>
              <w:tr2bl w:val="nil"/>
            </w:tcBorders>
            <w:vAlign w:val="center"/>
          </w:tcPr>
          <w:p>
            <w:r>
              <w:t>3.16</w:t>
            </w:r>
          </w:p>
        </w:tc>
        <w:tc>
          <w:tcPr>
            <w:tcW w:w="1095" w:type="dxa"/>
            <w:vMerge w:val="continue"/>
            <w:tcBorders>
              <w:tl2br w:val="nil"/>
              <w:tr2bl w:val="nil"/>
            </w:tcBorders>
            <w:vAlign w:val="center"/>
          </w:tcPr>
          <w:p>
            <w:pPr>
              <w:pStyle w:val="135"/>
              <w:spacing w:line="264" w:lineRule="auto"/>
              <w:ind w:left="28"/>
              <w:jc w:val="center"/>
              <w:rPr>
                <w:rFonts w:ascii="微软雅黑" w:hAnsi="微软雅黑" w:eastAsia="微软雅黑"/>
                <w:sz w:val="22"/>
                <w:szCs w:val="22"/>
                <w:lang w:val="en-US" w:bidi="ar-SA"/>
              </w:rPr>
            </w:pPr>
          </w:p>
        </w:tc>
        <w:tc>
          <w:tcPr>
            <w:tcW w:w="615" w:type="dxa"/>
            <w:tcBorders>
              <w:tl2br w:val="nil"/>
              <w:tr2bl w:val="nil"/>
            </w:tcBorders>
            <w:vAlign w:val="center"/>
          </w:tcPr>
          <w:p>
            <w:r>
              <w:t>1</w:t>
            </w:r>
          </w:p>
        </w:tc>
        <w:tc>
          <w:tcPr>
            <w:tcW w:w="7941" w:type="dxa"/>
            <w:tcBorders>
              <w:tl2br w:val="nil"/>
              <w:tr2bl w:val="nil"/>
            </w:tcBorders>
            <w:vAlign w:val="center"/>
          </w:tcPr>
          <w:p>
            <w:r>
              <w:t>万兆防火墙：</w:t>
              <w:br/>
              <w:t>根据投标人选择的设备技术参数、响应程度等综合评分。</w:t>
              <w:br/>
              <w:t>完全响应招标文件要求，技术参数详细具体，设备先进的得0.7-1分；</w:t>
              <w:br/>
              <w:t>基本符合招标文件要求，技术参数描述较具体，设备较先进的得0.4-0.6分；</w:t>
              <w:br/>
              <w:t>技术参数内容空泛，设备一般的得0-0.3分。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494" w:hRule="atLeast"/>
        </w:trPr>
        <w:tc>
          <w:tcPr>
            <w:tcW w:w="662" w:type="dxa"/>
            <w:tcBorders>
              <w:tl2br w:val="nil"/>
              <w:tr2bl w:val="nil"/>
            </w:tcBorders>
            <w:vAlign w:val="center"/>
          </w:tcPr>
          <w:p>
            <w:r>
              <w:t>3</w:t>
            </w:r>
          </w:p>
        </w:tc>
        <w:tc>
          <w:tcPr>
            <w:tcW w:w="1095" w:type="dxa"/>
            <w:tcBorders>
              <w:tl2br w:val="nil"/>
              <w:tr2bl w:val="nil"/>
            </w:tcBorders>
            <w:vAlign w:val="center"/>
          </w:tcPr>
          <w:p>
            <w:r>
              <w:t>备品备件</w:t>
            </w:r>
          </w:p>
        </w:tc>
        <w:tc>
          <w:tcPr>
            <w:tcW w:w="615" w:type="dxa"/>
            <w:tcBorders>
              <w:tl2br w:val="nil"/>
              <w:tr2bl w:val="nil"/>
            </w:tcBorders>
            <w:vAlign w:val="center"/>
          </w:tcPr>
          <w:p>
            <w:r>
              <w:t>1</w:t>
            </w:r>
          </w:p>
        </w:tc>
        <w:tc>
          <w:tcPr>
            <w:tcW w:w="7941" w:type="dxa"/>
            <w:tcBorders>
              <w:tl2br w:val="nil"/>
              <w:tr2bl w:val="nil"/>
            </w:tcBorders>
            <w:vAlign w:val="center"/>
          </w:tcPr>
          <w:p>
            <w:r>
              <w:t>根据投标人拟投入本项目的备品备件情况进行评分。</w:t>
              <w:br/>
              <w:t>拟投入的备品备件数量充足，品种齐全，能切实的满足后期更换需求的，得0.7-1；</w:t>
              <w:br/>
              <w:t>拟投入的备品备件数量较充足，品种较齐全，备品备件实用性较强，得0.4-0.6分；</w:t>
              <w:br/>
              <w:t>拟投入的备品备件数量、品种基本或不能满足项目需求的，得0-0.3分。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62" w:type="dxa"/>
            <w:tcBorders>
              <w:tl2br w:val="nil"/>
              <w:tr2bl w:val="nil"/>
            </w:tcBorders>
            <w:vAlign w:val="center"/>
          </w:tcPr>
          <w:p>
            <w:r>
              <w:t>5</w:t>
            </w:r>
          </w:p>
        </w:tc>
        <w:tc>
          <w:tcPr>
            <w:tcW w:w="1095" w:type="dxa"/>
            <w:tcBorders>
              <w:tl2br w:val="nil"/>
              <w:tr2bl w:val="nil"/>
            </w:tcBorders>
            <w:vAlign w:val="center"/>
          </w:tcPr>
          <w:p>
            <w:r>
              <w:t>实施方案</w:t>
            </w:r>
          </w:p>
        </w:tc>
        <w:tc>
          <w:tcPr>
            <w:tcW w:w="615" w:type="dxa"/>
            <w:tcBorders>
              <w:tl2br w:val="nil"/>
              <w:tr2bl w:val="nil"/>
            </w:tcBorders>
            <w:vAlign w:val="center"/>
          </w:tcPr>
          <w:p>
            <w:r>
              <w:t>6</w:t>
            </w:r>
          </w:p>
        </w:tc>
        <w:tc>
          <w:tcPr>
            <w:tcW w:w="7941" w:type="dxa"/>
            <w:tcBorders>
              <w:tl2br w:val="nil"/>
              <w:tr2bl w:val="nil"/>
            </w:tcBorders>
            <w:vAlign w:val="center"/>
          </w:tcPr>
          <w:p>
            <w:r>
              <w:t>根据实施方案、工期计划的针对性、完整性和合理性，施工工艺说明（特别是针对技术难点和关键部位施工技术措施）的科学性和详细化程度，前端取电以及方案中供货组织措施、质量保证措施、结合温岭实际情况拟定实施方案保证措施等作综合评分。</w:t>
              <w:br/>
              <w:t>提供的实施方案完整合理且针对性强，针对技术难点和关键部位施工技术措施详细科学，组织措施、质量保证措施可靠且结合温岭实际情况的得4-6分；</w:t>
              <w:br/>
              <w:t>提供的实施方案较完整合理且针对性较强，针对技术难点和关键部位施工技术措施较详细科学，组织措施、质量保证措施较可靠并结合温岭实际情况的得2-3.9分；</w:t>
              <w:br/>
              <w:t>提供的实施方案内容完整，合理性及针对性不强，针对技术难点和关键部位施工技术措施分析不到位，组织措施、质量保证措施不能结合温岭实际情况的得0-1.9分。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62" w:type="dxa"/>
            <w:tcBorders>
              <w:tl2br w:val="nil"/>
              <w:tr2bl w:val="nil"/>
            </w:tcBorders>
            <w:vAlign w:val="center"/>
          </w:tcPr>
          <w:p>
            <w:r>
              <w:t>4</w:t>
            </w:r>
          </w:p>
        </w:tc>
        <w:tc>
          <w:tcPr>
            <w:tcW w:w="1095" w:type="dxa"/>
            <w:tcBorders>
              <w:tl2br w:val="nil"/>
              <w:tr2bl w:val="nil"/>
            </w:tcBorders>
            <w:vAlign w:val="center"/>
          </w:tcPr>
          <w:p>
            <w:r>
              <w:t>组网方案</w:t>
            </w:r>
          </w:p>
        </w:tc>
        <w:tc>
          <w:tcPr>
            <w:tcW w:w="615" w:type="dxa"/>
            <w:tcBorders>
              <w:tl2br w:val="nil"/>
              <w:tr2bl w:val="nil"/>
            </w:tcBorders>
            <w:vAlign w:val="center"/>
          </w:tcPr>
          <w:p>
            <w:r>
              <w:t>15</w:t>
            </w:r>
          </w:p>
        </w:tc>
        <w:tc>
          <w:tcPr>
            <w:tcW w:w="7941" w:type="dxa"/>
            <w:tcBorders>
              <w:tl2br w:val="nil"/>
              <w:tr2bl w:val="nil"/>
            </w:tcBorders>
            <w:vAlign w:val="center"/>
          </w:tcPr>
          <w:p>
            <w:r>
              <w:t>网络系统由投标人自行组网，根据提供的链路资源、组网方案、机房资源、机房托管等方案针对性、完整性和合理性等进行综合评分。</w:t>
              <w:br/>
              <w:t>方案完整合理且针对性强的得10-15分；</w:t>
              <w:br/>
              <w:t>方案较完整合理且针对性较强的得5-9.9分；</w:t>
              <w:br/>
              <w:t>方案内容完整，合理性及针对性不强的得0-4.9分。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62" w:type="dxa"/>
            <w:tcBorders>
              <w:tl2br w:val="nil"/>
              <w:tr2bl w:val="nil"/>
            </w:tcBorders>
            <w:vAlign w:val="center"/>
          </w:tcPr>
          <w:p>
            <w:r>
              <w:t>6</w:t>
            </w:r>
          </w:p>
        </w:tc>
        <w:tc>
          <w:tcPr>
            <w:tcW w:w="1095" w:type="dxa"/>
            <w:tcBorders>
              <w:bottom w:val="single" w:color="auto" w:sz="4" w:space="0"/>
              <w:tl2br w:val="nil"/>
              <w:tr2bl w:val="nil"/>
            </w:tcBorders>
            <w:vAlign w:val="center"/>
          </w:tcPr>
          <w:p>
            <w:r>
              <w:t>日常运维方案</w:t>
            </w:r>
          </w:p>
        </w:tc>
        <w:tc>
          <w:tcPr>
            <w:tcW w:w="615" w:type="dxa"/>
            <w:tcBorders>
              <w:tl2br w:val="nil"/>
              <w:tr2bl w:val="nil"/>
            </w:tcBorders>
            <w:vAlign w:val="center"/>
          </w:tcPr>
          <w:p>
            <w:r>
              <w:t>12</w:t>
            </w:r>
          </w:p>
        </w:tc>
        <w:tc>
          <w:tcPr>
            <w:tcW w:w="7941" w:type="dxa"/>
            <w:tcBorders>
              <w:tl2br w:val="nil"/>
              <w:tr2bl w:val="nil"/>
            </w:tcBorders>
            <w:vAlign w:val="center"/>
          </w:tcPr>
          <w:p>
            <w:r>
              <w:t>根据投标人提供的维护人员数量（提供职称证书及三个月以上社保缴费证明）、设施设备种类和数量、日常巡检方案、应急抢修措施流程和预案的全面性、针对性、合理性，以及除基本要求的巡检内容外增加的额外巡检范围及运维周期等作综合评分。</w:t>
              <w:br/>
              <w:t>投标人提供的维护人员数量、设施设备种类和数量、日常巡检方案、应急抢修措施流程和预案内容全面、针对性强、科学合理，以及除基本要求的巡检内容外增加了额外巡检范围及运维周期的得8-12分；</w:t>
              <w:br/>
              <w:t>投标人提供的维护人员数量、设施设备种类和数量、日常巡检方案、应急抢修措施流程和预案内容较全面、针对性较强、较科学合理，以及除基本要求的巡检内容外增加了额外巡检范围及运维周期的得4-7.9分；</w:t>
              <w:br/>
              <w:t>投标人提供的维护人员数量、设施设备种类和数量、日常巡检方案、应急抢修措施流程和预案内容描述一般，未能提供除基本要求的巡检内容外的额外巡检范围或运维周期的得0-3.9分。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8" w:hRule="atLeast"/>
        </w:trPr>
        <w:tc>
          <w:tcPr>
            <w:tcW w:w="662" w:type="dxa"/>
            <w:tcBorders>
              <w:tl2br w:val="nil"/>
              <w:tr2bl w:val="nil"/>
            </w:tcBorders>
            <w:vAlign w:val="center"/>
          </w:tcPr>
          <w:p>
            <w:pPr>
              <w:pStyle w:val="105"/>
              <w:spacing w:line="264" w:lineRule="auto"/>
              <w:ind w:firstLine="440"/>
              <w:jc w:val="center"/>
              <w:rPr>
                <w:rFonts w:ascii="微软雅黑" w:hAnsi="微软雅黑" w:eastAsia="微软雅黑" w:cs="微软雅黑"/>
                <w:sz w:val="22"/>
                <w:szCs w:val="22"/>
              </w:rPr>
            </w:pPr>
          </w:p>
        </w:tc>
        <w:tc>
          <w:tcPr>
            <w:tcW w:w="1095" w:type="dxa"/>
            <w:tcBorders>
              <w:tl2br w:val="nil"/>
              <w:tr2bl w:val="nil"/>
            </w:tcBorders>
            <w:vAlign w:val="center"/>
          </w:tcPr>
          <w:p>
            <w:r>
              <w:t>合计</w:t>
            </w:r>
          </w:p>
        </w:tc>
        <w:tc>
          <w:tcPr>
            <w:tcW w:w="615" w:type="dxa"/>
            <w:tcBorders>
              <w:tl2br w:val="nil"/>
              <w:tr2bl w:val="nil"/>
            </w:tcBorders>
            <w:vAlign w:val="center"/>
          </w:tcPr>
          <w:p>
            <w:r>
              <w:t>60</w:t>
            </w:r>
          </w:p>
        </w:tc>
        <w:tc>
          <w:tcPr>
            <w:tcW w:w="7941" w:type="dxa"/>
            <w:tcBorders>
              <w:tl2br w:val="nil"/>
              <w:tr2bl w:val="nil"/>
            </w:tcBorders>
            <w:vAlign w:val="center"/>
          </w:tcPr>
          <w:p>
            <w:pPr>
              <w:spacing w:line="360" w:lineRule="exact"/>
              <w:jc w:val="left"/>
              <w:rPr>
                <w:rFonts w:ascii="微软雅黑" w:eastAsia="微软雅黑" w:cs="微软雅黑"/>
                <w:sz w:val="22"/>
                <w:szCs w:val="22"/>
              </w:rPr>
            </w:pPr>
          </w:p>
        </w:tc>
      </w:tr>
    </w:tbl>
    <w:p>
      <w:pPr>
        <w:pStyle w:val="25"/>
        <w:spacing w:line="440" w:lineRule="exact"/>
        <w:ind w:firstLine="482" w:firstLineChars="200"/>
        <w:rPr>
          <w:rFonts w:ascii="宋体" w:hAnsi="宋体" w:cs="宋体"/>
          <w:b/>
          <w:bCs/>
          <w:color w:val="000000" w:themeColor="text1"/>
          <w:szCs w:val="22"/>
          <w:lang w:val="zh-CN" w:bidi="zh-CN"/>
        </w:rPr>
      </w:pPr>
      <w:r>
        <w:t>注：上述评分项，缺项不得分。</w:t>
      </w:r>
    </w:p>
    <w:p>
      <w:pPr>
        <w:widowControl/>
        <w:outlineLvl w:val="0"/>
        <w:rPr>
          <w:rFonts w:ascii="宋体" w:hAnsi="宋体" w:cs="宋体"/>
          <w:b/>
          <w:bCs/>
          <w:color w:val="000000" w:themeColor="text1"/>
          <w:szCs w:val="22"/>
          <w:lang w:val="zh-CN" w:bidi="zh-CN"/>
        </w:rPr>
      </w:pPr>
      <w:r/>
    </w:p>
    <w:p>
      <w:pPr>
        <w:widowControl/>
        <w:jc w:val="center"/>
        <w:outlineLvl w:val="0"/>
        <w:rPr>
          <w:rFonts w:ascii="宋体" w:cs="宋体"/>
          <w:b/>
          <w:bCs/>
          <w:color w:val="000000" w:themeColor="text1"/>
          <w:sz w:val="36"/>
          <w:szCs w:val="36"/>
        </w:rPr>
      </w:pPr>
      <w:r>
        <w:t>第四章 采购需求</w:t>
      </w:r>
    </w:p>
    <w:p>
      <w:pPr>
        <w:rPr>
          <w:rFonts w:ascii="微软雅黑" w:hAnsi="微软雅黑" w:eastAsia="微软雅黑" w:cs="微软雅黑"/>
          <w:b/>
          <w:bCs/>
          <w:sz w:val="28"/>
          <w:szCs w:val="24"/>
        </w:rPr>
      </w:pPr>
      <w:r/>
    </w:p>
    <w:p>
      <w:pPr>
        <w:rPr>
          <w:rFonts w:ascii="微软雅黑" w:hAnsi="微软雅黑" w:eastAsia="微软雅黑" w:cs="微软雅黑"/>
          <w:b/>
          <w:bCs/>
          <w:sz w:val="28"/>
          <w:szCs w:val="24"/>
        </w:rPr>
      </w:pPr>
      <w:r>
        <w:t>一、项目概况</w:t>
      </w:r>
    </w:p>
    <w:p>
      <w:pPr>
        <w:ind w:firstLine="440" w:firstLineChars="200"/>
        <w:rPr>
          <w:rFonts w:ascii="微软雅黑" w:hAnsi="微软雅黑" w:eastAsia="微软雅黑" w:cs="微软雅黑"/>
          <w:b/>
          <w:bCs/>
          <w:sz w:val="22"/>
        </w:rPr>
      </w:pPr>
      <w:r>
        <w:t>1.1温岭市公共视频一体化建设二期东片视频图像服务采购概述</w:t>
      </w:r>
    </w:p>
    <w:p>
      <w:pPr>
        <w:ind w:firstLine="440" w:firstLineChars="200"/>
        <w:rPr>
          <w:rFonts w:ascii="微软雅黑" w:hAnsi="微软雅黑" w:eastAsia="微软雅黑" w:cs="微软雅黑"/>
          <w:sz w:val="22"/>
        </w:rPr>
      </w:pPr>
      <w:r>
        <w:t>温岭市是浙江省台州市所辖县级市,中国大陆新千年、新世纪第一缕曙光首照地,地处浙江东南沿海,长三角地区的南翼,三面临海,东濒东海,南连玉环,西邻乐清及乐清湾,北接台州市区,是一座滨海城市。</w:t>
      </w:r>
    </w:p>
    <w:p>
      <w:pPr>
        <w:ind w:firstLine="440" w:firstLineChars="200"/>
        <w:rPr>
          <w:rFonts w:ascii="微软雅黑" w:hAnsi="微软雅黑" w:eastAsia="微软雅黑" w:cs="微软雅黑"/>
          <w:sz w:val="22"/>
        </w:rPr>
      </w:pPr>
      <w:r>
        <w:t>公共视频一体化建设二期视频图像服务采购项目中所涉及的公共安全视频监控领域是在新形势下维护国家安全和社会稳定、预防和打击暴力恐怖犯罪的重要手段，是动态化、信息化条件下社会治安防控体系建设的重要组成部分，对于提升城乡管理水平、创新社会治理体制具有十分重要的现实意义。</w:t>
      </w:r>
    </w:p>
    <w:p>
      <w:pPr>
        <w:ind w:firstLine="440" w:firstLineChars="200"/>
        <w:rPr>
          <w:rFonts w:ascii="微软雅黑" w:hAnsi="微软雅黑" w:eastAsia="微软雅黑" w:cs="微软雅黑"/>
          <w:sz w:val="22"/>
        </w:rPr>
      </w:pPr>
      <w:r>
        <w:t>党中央、国务院对公共安全工作高度重视，围绕贯彻落实《中共中央关于全面深化改革若干重大问题的决定》，中央办公厅、国务院办公厅将“规划建设全天候视频联网监控系统，建立跨部门视频图像信息共享应用体系”明确为重要改革举措，并在《关于加强社会治安防控体系建设的意见》中作了具体规定。根据中央部署，国家发改委、中央综治办等九部委联合印发《关于加强公共安全视频监控建设联网应用工作的若干意见》，并配套印发了《加强公共安全视频监控建设联网应用工作方案（2015—2020 年）》，要求各地区各有关部门按照建立党政领导、综治牵头、公安负责、部门配合、社会参与工作格局的部署要求，认真抓好文件精神贯彻落实。</w:t>
      </w:r>
    </w:p>
    <w:p>
      <w:pPr>
        <w:ind w:firstLine="440" w:firstLineChars="200"/>
        <w:rPr>
          <w:rFonts w:ascii="微软雅黑" w:hAnsi="微软雅黑" w:eastAsia="微软雅黑" w:cs="微软雅黑"/>
          <w:sz w:val="22"/>
        </w:rPr>
      </w:pPr>
      <w:r>
        <w:t>近年来，温岭市大力推进公共安全视频监控系统建设并初具规模，已有良好的基础和条件，但仍然存在着统筹规划不到位、联网共享不规范、管理机制不健全等问题，制约了公共安全视频监控系统的效能发挥和立体化社会治安防控体系的建设发展。为贯彻落实中央有关重大决策部署，针对当前工作中的短板和瓶颈环节，温岭市决定抓住国家制定“十三五”规划的重大契机，推进“一体化”项目建设，将公共安全视频监控建设联网应用工作纳入经济社会发展大局和平安温岭建设全局，提升公共安全视频监控建设联网应用工作整体水平，促进立体化社会治安防控体系建设和社会治安综合治理深入推进，促进平安温岭建设取得更大成效。</w:t>
      </w:r>
    </w:p>
    <w:p>
      <w:pPr>
        <w:ind w:firstLine="440" w:firstLineChars="200"/>
        <w:rPr>
          <w:rFonts w:ascii="微软雅黑" w:hAnsi="微软雅黑" w:eastAsia="微软雅黑" w:cs="微软雅黑"/>
          <w:sz w:val="22"/>
        </w:rPr>
      </w:pPr>
      <w:r>
        <w:t>温岭市公共视频一体化建设二期东片视频图像服务主要包含：城北街道，泽国、滨海、新河、箬横、松门、石塘、石桥头七个镇和温岭市经济开发区范围内，县际、镇街道周界监控，市自然资源和规划局森林防火监控，市教育局全市学校校园周边管理监控，市农业农村和水利局对山塘、水库、海塘水闸等水利工程管理监控的管理监控等。</w:t>
      </w:r>
    </w:p>
    <w:p>
      <w:pPr>
        <w:ind w:firstLine="440" w:firstLineChars="200"/>
        <w:rPr>
          <w:rFonts w:ascii="微软雅黑" w:hAnsi="微软雅黑" w:eastAsia="微软雅黑" w:cs="微软雅黑"/>
          <w:b/>
          <w:bCs/>
          <w:sz w:val="22"/>
        </w:rPr>
      </w:pPr>
      <w:r>
        <w:t>1.1.1建设内容</w:t>
      </w:r>
    </w:p>
    <w:p>
      <w:pPr>
        <w:ind w:firstLine="440" w:firstLineChars="200"/>
        <w:rPr>
          <w:rFonts w:ascii="微软雅黑" w:hAnsi="微软雅黑" w:eastAsia="微软雅黑" w:cs="微软雅黑"/>
          <w:sz w:val="22"/>
          <w:highlight w:val="none"/>
        </w:rPr>
      </w:pPr>
      <w:r>
        <w:t>温岭市公共视频一体化建设二期东片视频图像服务采购视频图像服务是市公共视频监控一体化2023年建设计划的项目之一，其建设内容包含：(1)县际、镇街道周界监控260个，（2）自然规划局的森林防火监控16个，（3）全市学校校园周边监控224个，（4）山塘水库、海塘水闸等水利工程监控131个，（5）经济开发区监控100个等项目共计731个视频监控的所有前端摄像头、杆件及前、后端机房、相关存储、网络规划、动态人像识别系统、安全设备、运维系统以及温岭市范围内不低于83平方公里的三维基础支撑平台服务等。</w:t>
      </w:r>
    </w:p>
    <w:p>
      <w:pPr>
        <w:ind w:firstLine="440" w:firstLineChars="200"/>
        <w:rPr>
          <w:rFonts w:ascii="微软雅黑" w:hAnsi="微软雅黑" w:eastAsia="微软雅黑" w:cs="微软雅黑"/>
          <w:b/>
          <w:bCs/>
          <w:sz w:val="22"/>
        </w:rPr>
      </w:pPr>
      <w:r>
        <w:t>1.2技术分析</w:t>
      </w:r>
    </w:p>
    <w:p>
      <w:pPr>
        <w:ind w:firstLine="440" w:firstLineChars="200"/>
        <w:rPr>
          <w:rFonts w:ascii="微软雅黑" w:hAnsi="微软雅黑" w:eastAsia="微软雅黑" w:cs="微软雅黑"/>
          <w:b/>
          <w:bCs/>
          <w:sz w:val="22"/>
        </w:rPr>
      </w:pPr>
      <w:r>
        <w:t>1.2.1 重点分析</w:t>
      </w:r>
    </w:p>
    <w:p>
      <w:pPr>
        <w:ind w:firstLine="440" w:firstLineChars="200"/>
        <w:rPr>
          <w:rFonts w:ascii="微软雅黑" w:hAnsi="微软雅黑" w:eastAsia="微软雅黑" w:cs="微软雅黑"/>
          <w:sz w:val="22"/>
        </w:rPr>
      </w:pPr>
      <w:r>
        <w:t>本次公共视频一体化建设二期视频图像服务涵盖部门较多，点位主要分布在全市范围内的各镇街道与邻近交界的进出路口，山林，街面、校园的进出口两侧，山塘、水库、海塘水闸等地方，且部分点位处于城市风险隐患较高位置，通过建设各类具备特色功能的监控摄像机来进行实时监测，以提升城市各个部门职能和功能管理的应急处置能力。</w:t>
      </w:r>
    </w:p>
    <w:p>
      <w:pPr>
        <w:ind w:firstLine="440" w:firstLineChars="200"/>
        <w:rPr>
          <w:rFonts w:ascii="微软雅黑" w:hAnsi="微软雅黑" w:eastAsia="微软雅黑" w:cs="微软雅黑"/>
          <w:b/>
          <w:bCs/>
          <w:sz w:val="22"/>
        </w:rPr>
      </w:pPr>
      <w:r>
        <w:t>1.2.2难点分析</w:t>
      </w:r>
    </w:p>
    <w:p>
      <w:pPr>
        <w:ind w:firstLine="440"/>
        <w:rPr>
          <w:rFonts w:ascii="微软雅黑" w:hAnsi="微软雅黑" w:eastAsia="微软雅黑" w:cs="微软雅黑"/>
          <w:sz w:val="22"/>
        </w:rPr>
      </w:pPr>
      <w:r>
        <w:t>项目的点位分布范围广，施工难度大，主要有：</w:t>
      </w:r>
    </w:p>
    <w:p>
      <w:pPr>
        <w:ind w:firstLine="440" w:firstLineChars="200"/>
        <w:rPr>
          <w:rFonts w:ascii="微软雅黑" w:hAnsi="微软雅黑" w:eastAsia="微软雅黑" w:cs="微软雅黑"/>
          <w:sz w:val="22"/>
        </w:rPr>
      </w:pPr>
      <w:r>
        <w:t>1.县际、镇街道周界监控点位分布在温岭市与周边县市交界的出入口处，安装位置，线路、取电都比较复杂，协调、施工难度相对繁琐，相关的人员较多；</w:t>
      </w:r>
    </w:p>
    <w:p>
      <w:pPr>
        <w:ind w:firstLine="440" w:firstLineChars="200"/>
        <w:rPr>
          <w:rFonts w:ascii="微软雅黑" w:hAnsi="微软雅黑" w:eastAsia="微软雅黑" w:cs="微软雅黑"/>
          <w:sz w:val="22"/>
        </w:rPr>
      </w:pPr>
      <w:r>
        <w:t>2.森林防火点位分布较散、较广，施工难度大，专业技能要求高；</w:t>
      </w:r>
    </w:p>
    <w:p>
      <w:pPr>
        <w:ind w:firstLine="440" w:firstLineChars="200"/>
        <w:rPr>
          <w:rFonts w:ascii="微软雅黑" w:hAnsi="微软雅黑" w:eastAsia="微软雅黑" w:cs="微软雅黑"/>
          <w:sz w:val="22"/>
        </w:rPr>
      </w:pPr>
      <w:r>
        <w:t>3.全市学校校园周边人员复杂，安装位置特殊，对摄像机和调试的方面要求较高；</w:t>
      </w:r>
    </w:p>
    <w:p>
      <w:pPr>
        <w:ind w:firstLine="440" w:firstLineChars="200"/>
        <w:rPr>
          <w:rFonts w:ascii="微软雅黑" w:hAnsi="微软雅黑" w:eastAsia="微软雅黑" w:cs="微软雅黑"/>
          <w:sz w:val="22"/>
        </w:rPr>
      </w:pPr>
      <w:r>
        <w:t>4.水库、山塘点位分布在全市各镇（街道）的山上，部分水库、山塘道路崎岖，地形复杂，普遍离村庄较远，取电和光纤距离长，施工难度很大，特别提醒山塘的溢洪口的摄像机安装，需要根据现场实际情况对安装位置进行适当的调整；</w:t>
      </w:r>
    </w:p>
    <w:p>
      <w:pPr>
        <w:ind w:firstLine="440" w:firstLineChars="200"/>
        <w:rPr>
          <w:rFonts w:ascii="微软雅黑" w:hAnsi="微软雅黑" w:eastAsia="微软雅黑" w:cs="微软雅黑"/>
          <w:b/>
          <w:bCs/>
          <w:sz w:val="22"/>
        </w:rPr>
      </w:pPr>
      <w:r>
        <w:t>1.3建设目标</w:t>
      </w:r>
    </w:p>
    <w:p>
      <w:pPr>
        <w:ind w:firstLine="440" w:firstLineChars="200"/>
        <w:rPr>
          <w:rFonts w:ascii="微软雅黑" w:hAnsi="微软雅黑" w:eastAsia="微软雅黑" w:cs="微软雅黑"/>
          <w:sz w:val="22"/>
        </w:rPr>
      </w:pPr>
      <w:r>
        <w:t>通过对公安的县际、镇街道周界出入口、自然资源和规划局森林防火、教育局的全市学校校园周边、农业农村和水利局的山塘、水库、水闸等进行视频监控建设，主要实现对各县市、镇街道交界、学校周边，经济开发区辖区内的安全管控；对林区防火安全等场景实现有效监管，为管理者提供科学的参考依据；对山塘、水库、水闸的水位、出水口，开放闸等情况提供及时的视频信息，有助于管理人员更加精准的判断水情、险情并做出相应的处理；对全市学校校园周边进出人员、车辆进行判断，为校园安全保驾护航。</w:t>
      </w:r>
    </w:p>
    <w:p>
      <w:pPr>
        <w:rPr>
          <w:rFonts w:ascii="微软雅黑" w:hAnsi="微软雅黑" w:eastAsia="微软雅黑" w:cs="微软雅黑"/>
          <w:b/>
          <w:bCs/>
          <w:sz w:val="28"/>
          <w:szCs w:val="24"/>
        </w:rPr>
      </w:pPr>
      <w:r>
        <w:t>二、总体建设方案</w:t>
      </w:r>
    </w:p>
    <w:p>
      <w:pPr>
        <w:ind w:firstLine="440" w:firstLineChars="200"/>
        <w:rPr>
          <w:rFonts w:ascii="微软雅黑" w:hAnsi="微软雅黑" w:eastAsia="微软雅黑" w:cs="微软雅黑"/>
          <w:b/>
          <w:bCs/>
          <w:sz w:val="22"/>
        </w:rPr>
      </w:pPr>
      <w:r>
        <w:t>2.1设计依据</w:t>
      </w:r>
    </w:p>
    <w:p>
      <w:pPr>
        <w:ind w:firstLine="440" w:firstLineChars="200"/>
        <w:rPr>
          <w:rFonts w:ascii="微软雅黑" w:hAnsi="微软雅黑" w:eastAsia="微软雅黑" w:cs="微软雅黑"/>
          <w:sz w:val="22"/>
        </w:rPr>
      </w:pPr>
      <w:r>
        <w:t>公共视频一体化建设二期视频图像服务采购的科学性、智能性、先进性是系统的重要组成部分，其可靠性和准确性是系统建设中永远追求的目标。因此本系统建设涉及的所有设计、施工、设备、材料和工艺均符合相关的国家标准和信息产业部的规定。</w:t>
      </w:r>
    </w:p>
    <w:p>
      <w:pPr>
        <w:ind w:firstLine="440" w:firstLineChars="200"/>
        <w:rPr>
          <w:rFonts w:ascii="微软雅黑" w:hAnsi="微软雅黑" w:eastAsia="微软雅黑" w:cs="微软雅黑"/>
          <w:sz w:val="22"/>
        </w:rPr>
      </w:pPr>
      <w:r>
        <w:t>2.1.1法律政策及相关文件</w:t>
      </w:r>
    </w:p>
    <w:p>
      <w:pPr>
        <w:ind w:firstLine="440" w:firstLineChars="200"/>
        <w:rPr>
          <w:rFonts w:ascii="微软雅黑" w:hAnsi="微软雅黑" w:eastAsia="微软雅黑" w:cs="微软雅黑"/>
          <w:b/>
          <w:bCs/>
          <w:sz w:val="22"/>
        </w:rPr>
      </w:pPr>
      <w:r>
        <w:t>（1）相关指导政策</w:t>
      </w:r>
    </w:p>
    <w:p>
      <w:pPr>
        <w:ind w:firstLine="440" w:firstLineChars="200"/>
        <w:rPr>
          <w:rFonts w:ascii="微软雅黑" w:hAnsi="微软雅黑" w:eastAsia="微软雅黑" w:cs="微软雅黑"/>
          <w:sz w:val="22"/>
        </w:rPr>
      </w:pPr>
      <w:r>
        <w:t xml:space="preserve"> 浙江省人民政府防汛防台抗焊指挥部办公室，浙江省公安厅，浙江省大数据发展管理局（浙防指办[2023]2号）；</w:t>
      </w:r>
    </w:p>
    <w:p>
      <w:pPr>
        <w:ind w:firstLine="440" w:firstLineChars="200"/>
        <w:rPr>
          <w:rFonts w:ascii="微软雅黑" w:hAnsi="微软雅黑" w:eastAsia="微软雅黑" w:cs="微软雅黑"/>
          <w:sz w:val="22"/>
        </w:rPr>
      </w:pPr>
      <w:r>
        <w:t>《浙江省应急管理厅关于印发2021年全省应急管理工作要点的通知》（浙应急〔2021〕16号）；</w:t>
      </w:r>
    </w:p>
    <w:p>
      <w:pPr>
        <w:ind w:firstLine="440" w:firstLineChars="200"/>
        <w:rPr>
          <w:rFonts w:ascii="微软雅黑" w:hAnsi="微软雅黑" w:eastAsia="微软雅黑" w:cs="微软雅黑"/>
          <w:sz w:val="22"/>
        </w:rPr>
      </w:pPr>
      <w:r>
        <w:t>《关于做好防汛防台视频监控建设规划方案编制工作的通知》（浙防指办〔2021〕10号）；</w:t>
      </w:r>
    </w:p>
    <w:p>
      <w:pPr>
        <w:ind w:firstLine="440" w:firstLineChars="200"/>
        <w:rPr>
          <w:rFonts w:ascii="微软雅黑" w:hAnsi="微软雅黑" w:eastAsia="微软雅黑" w:cs="微软雅黑"/>
          <w:sz w:val="22"/>
        </w:rPr>
      </w:pPr>
      <w:r>
        <w:t>《关于印发【2021年台州市城市精细化管理指数评价规则】的通知》（台城管委〔2021〕4号；</w:t>
      </w:r>
    </w:p>
    <w:p>
      <w:pPr>
        <w:ind w:firstLine="440" w:firstLineChars="200"/>
        <w:rPr>
          <w:rFonts w:ascii="微软雅黑" w:hAnsi="微软雅黑" w:eastAsia="微软雅黑" w:cs="微软雅黑"/>
          <w:sz w:val="22"/>
        </w:rPr>
      </w:pPr>
      <w:r>
        <w:t>《中华人民共和国国民经济和社会发展第十三个五年规划纲要》；</w:t>
      </w:r>
    </w:p>
    <w:p>
      <w:pPr>
        <w:ind w:firstLine="440" w:firstLineChars="200"/>
        <w:rPr>
          <w:rFonts w:ascii="微软雅黑" w:hAnsi="微软雅黑" w:eastAsia="微软雅黑" w:cs="微软雅黑"/>
          <w:sz w:val="22"/>
        </w:rPr>
      </w:pPr>
      <w:r>
        <w:t>《国家创新驱动发展战略纲要》（中发【2016】4号）；</w:t>
      </w:r>
    </w:p>
    <w:p>
      <w:pPr>
        <w:ind w:firstLine="440" w:firstLineChars="200"/>
        <w:rPr>
          <w:rFonts w:ascii="微软雅黑" w:hAnsi="微软雅黑" w:eastAsia="微软雅黑" w:cs="微软雅黑"/>
          <w:sz w:val="22"/>
        </w:rPr>
      </w:pPr>
      <w:r>
        <w:t>《中共中央关于全面深化改革若干重大问题的决定》；</w:t>
      </w:r>
    </w:p>
    <w:p>
      <w:pPr>
        <w:ind w:firstLine="440" w:firstLineChars="200"/>
        <w:rPr>
          <w:rFonts w:ascii="微软雅黑" w:hAnsi="微软雅黑" w:eastAsia="微软雅黑" w:cs="微软雅黑"/>
          <w:sz w:val="22"/>
        </w:rPr>
      </w:pPr>
      <w:r>
        <w:t>《关于加强社会治安防控体系建设的意见》（中办发【2014】69号）；</w:t>
      </w:r>
    </w:p>
    <w:p>
      <w:pPr>
        <w:ind w:firstLine="440" w:firstLineChars="200"/>
        <w:rPr>
          <w:rFonts w:ascii="微软雅黑" w:hAnsi="微软雅黑" w:eastAsia="微软雅黑" w:cs="微软雅黑"/>
          <w:sz w:val="22"/>
        </w:rPr>
      </w:pPr>
      <w:r>
        <w:t>中标人应当按照国家九部委《关于加强公共安全视频监控建设联网应用工作的若干意见》（发改高技[2015]996号）和《浙江省公共安全视频监控建设联网应用工作实施方案（2016-2020年）》</w:t>
      </w:r>
    </w:p>
    <w:p>
      <w:pPr>
        <w:ind w:firstLine="440" w:firstLineChars="200"/>
        <w:rPr>
          <w:rFonts w:ascii="微软雅黑" w:hAnsi="微软雅黑" w:eastAsia="微软雅黑" w:cs="微软雅黑"/>
          <w:sz w:val="22"/>
        </w:rPr>
      </w:pPr>
      <w:r>
        <w:t>《公共安全视频建设联网应用“十三五”规划方案》，中综委密电〔2016〕182号；</w:t>
      </w:r>
    </w:p>
    <w:p>
      <w:pPr>
        <w:ind w:firstLine="440" w:firstLineChars="200"/>
        <w:rPr>
          <w:rFonts w:ascii="微软雅黑" w:hAnsi="微软雅黑" w:eastAsia="微软雅黑" w:cs="微软雅黑"/>
          <w:sz w:val="22"/>
        </w:rPr>
      </w:pPr>
      <w:r>
        <w:t>台州市公安局等八部门关于印发《台州市社会治理前端智能感知设备建设指南》；</w:t>
      </w:r>
    </w:p>
    <w:p>
      <w:pPr>
        <w:ind w:firstLine="440" w:firstLineChars="200"/>
        <w:rPr>
          <w:rFonts w:ascii="微软雅黑" w:hAnsi="微软雅黑" w:eastAsia="微软雅黑" w:cs="微软雅黑"/>
          <w:sz w:val="22"/>
        </w:rPr>
      </w:pPr>
      <w:r>
        <w:t>台州市联席办印发《台州市公共视频监控建设2023-2025年推进规划》；</w:t>
      </w:r>
    </w:p>
    <w:p>
      <w:pPr>
        <w:ind w:firstLine="440" w:firstLineChars="200"/>
        <w:rPr>
          <w:rFonts w:ascii="微软雅黑" w:hAnsi="微软雅黑" w:eastAsia="微软雅黑" w:cs="微软雅黑"/>
          <w:b/>
          <w:bCs/>
          <w:sz w:val="22"/>
        </w:rPr>
      </w:pPr>
      <w:r>
        <w:t>（2）技术标准规范</w:t>
      </w:r>
    </w:p>
    <w:p>
      <w:pPr>
        <w:ind w:firstLine="440" w:firstLineChars="200"/>
        <w:rPr>
          <w:rFonts w:ascii="微软雅黑" w:hAnsi="微软雅黑" w:eastAsia="微软雅黑" w:cs="微软雅黑"/>
          <w:color w:val="auto"/>
          <w:sz w:val="22"/>
        </w:rPr>
      </w:pPr>
      <w:r>
        <w:t>《公共安全视频监控联网系统信息传输、交换、控制技术要求》，GB/T28181-2022；</w:t>
      </w:r>
    </w:p>
    <w:p>
      <w:pPr>
        <w:ind w:firstLine="440" w:firstLineChars="200"/>
        <w:rPr>
          <w:rFonts w:ascii="微软雅黑" w:hAnsi="微软雅黑" w:eastAsia="微软雅黑" w:cs="微软雅黑"/>
          <w:sz w:val="22"/>
        </w:rPr>
      </w:pPr>
      <w:r>
        <w:t>《跨区域视频监控联网共享技术规范》，DB33/T 629-2011；</w:t>
      </w:r>
    </w:p>
    <w:p>
      <w:pPr>
        <w:ind w:firstLine="440" w:firstLineChars="200"/>
        <w:rPr>
          <w:rFonts w:ascii="微软雅黑" w:hAnsi="微软雅黑" w:eastAsia="微软雅黑" w:cs="微软雅黑"/>
          <w:sz w:val="22"/>
        </w:rPr>
      </w:pPr>
      <w:r>
        <w:t>《安全防范工程技术规范》，GB 50348-2018；</w:t>
      </w:r>
    </w:p>
    <w:p>
      <w:pPr>
        <w:ind w:firstLine="440" w:firstLineChars="200"/>
        <w:rPr>
          <w:rFonts w:ascii="微软雅黑" w:hAnsi="微软雅黑" w:eastAsia="微软雅黑" w:cs="微软雅黑"/>
          <w:sz w:val="22"/>
        </w:rPr>
      </w:pPr>
      <w:r>
        <w:t>《视频安防监控系统工程设计规范》，GB 50395-2007；</w:t>
      </w:r>
    </w:p>
    <w:p>
      <w:pPr>
        <w:ind w:firstLine="440" w:firstLineChars="200"/>
        <w:rPr>
          <w:rFonts w:ascii="微软雅黑" w:hAnsi="微软雅黑" w:eastAsia="微软雅黑" w:cs="微软雅黑"/>
          <w:sz w:val="22"/>
        </w:rPr>
      </w:pPr>
      <w:r>
        <w:t>《视频安防监控系统技术要求》，GA/T367－2001；</w:t>
      </w:r>
    </w:p>
    <w:p>
      <w:pPr>
        <w:ind w:firstLine="440" w:firstLineChars="200"/>
        <w:rPr>
          <w:rFonts w:ascii="微软雅黑" w:hAnsi="微软雅黑" w:eastAsia="微软雅黑" w:cs="微软雅黑"/>
          <w:sz w:val="22"/>
        </w:rPr>
      </w:pPr>
      <w:r>
        <w:t>《安全防范系统验收规则》，GA308－2001；</w:t>
      </w:r>
    </w:p>
    <w:p>
      <w:pPr>
        <w:ind w:firstLine="440" w:firstLineChars="200"/>
        <w:rPr>
          <w:rFonts w:ascii="微软雅黑" w:hAnsi="微软雅黑" w:eastAsia="微软雅黑" w:cs="微软雅黑"/>
          <w:sz w:val="22"/>
        </w:rPr>
      </w:pPr>
      <w:r>
        <w:t>《安全防范工程程序与要求》，GA/T75－94；</w:t>
      </w:r>
    </w:p>
    <w:p>
      <w:pPr>
        <w:ind w:firstLine="440" w:firstLineChars="200"/>
        <w:rPr>
          <w:rFonts w:ascii="微软雅黑" w:hAnsi="微软雅黑" w:eastAsia="微软雅黑" w:cs="微软雅黑"/>
          <w:sz w:val="22"/>
        </w:rPr>
      </w:pPr>
      <w:r>
        <w:t>《安全防范监控数字视音频编解码技术要求》GB/T25724-2017；</w:t>
      </w:r>
    </w:p>
    <w:p>
      <w:pPr>
        <w:ind w:firstLine="440" w:firstLineChars="200"/>
        <w:rPr>
          <w:rFonts w:ascii="微软雅黑" w:hAnsi="微软雅黑" w:eastAsia="微软雅黑" w:cs="微软雅黑"/>
          <w:sz w:val="22"/>
        </w:rPr>
      </w:pPr>
      <w:r>
        <w:t>《社会治安动态视频监控系统技术规范》DB33/T 502-2018；</w:t>
      </w:r>
    </w:p>
    <w:p>
      <w:pPr>
        <w:ind w:firstLine="440" w:firstLineChars="200"/>
        <w:rPr>
          <w:rFonts w:ascii="微软雅黑" w:hAnsi="微软雅黑" w:eastAsia="微软雅黑" w:cs="微软雅黑"/>
          <w:sz w:val="22"/>
        </w:rPr>
      </w:pPr>
      <w:r>
        <w:t>《公安视频图像分析系统技术要求》GA/T 1399-2017</w:t>
      </w:r>
    </w:p>
    <w:p>
      <w:pPr>
        <w:ind w:firstLine="440" w:firstLineChars="200"/>
        <w:rPr>
          <w:rFonts w:ascii="微软雅黑" w:hAnsi="微软雅黑" w:eastAsia="微软雅黑" w:cs="微软雅黑"/>
          <w:sz w:val="22"/>
        </w:rPr>
      </w:pPr>
      <w:r>
        <w:t>《公安视频图像信息应用系统技术要求》GA/T 1400-2017；</w:t>
      </w:r>
    </w:p>
    <w:bookmarkEnd w:id="60"/>
    <w:bookmarkEnd w:id="61"/>
    <w:bookmarkEnd w:id="62"/>
    <w:bookmarkEnd w:id="63"/>
    <w:bookmarkEnd w:id="64"/>
    <w:bookmarkEnd w:id="65"/>
    <w:bookmarkEnd w:id="66"/>
    <w:bookmarkEnd w:id="67"/>
    <w:p>
      <w:pPr>
        <w:ind w:firstLine="440" w:firstLineChars="200"/>
        <w:rPr>
          <w:rFonts w:ascii="微软雅黑" w:hAnsi="微软雅黑" w:eastAsia="微软雅黑" w:cs="微软雅黑"/>
          <w:b/>
          <w:bCs/>
          <w:sz w:val="22"/>
          <w:szCs w:val="22"/>
        </w:rPr>
      </w:pPr>
      <w:r>
        <w:t>2.2设计原则</w:t>
      </w:r>
    </w:p>
    <w:p>
      <w:pPr>
        <w:ind w:firstLine="440" w:firstLineChars="200"/>
        <w:rPr>
          <w:rFonts w:ascii="微软雅黑" w:hAnsi="微软雅黑" w:eastAsia="微软雅黑" w:cs="微软雅黑"/>
          <w:sz w:val="22"/>
        </w:rPr>
      </w:pPr>
      <w:r>
        <w:t>本项目方案设计应达到技术先进、功能齐全、性能稳定、节约成本，并综合考虑施工、维护及操作因素，并将为今后的发展、扩建、改造等因素留有扩充的余地。在设计过程中应遵循以下原则：</w:t>
      </w:r>
    </w:p>
    <w:p>
      <w:pPr>
        <w:numPr>
          <w:ilvl w:val="0"/>
          <w:numId w:val="27"/>
        </w:numPr>
        <w:ind w:firstLine="440" w:firstLineChars="200"/>
        <w:rPr>
          <w:rFonts w:ascii="微软雅黑" w:hAnsi="微软雅黑" w:eastAsia="微软雅黑" w:cs="微软雅黑"/>
          <w:sz w:val="22"/>
        </w:rPr>
      </w:pPr>
      <w:r>
        <w:t>可靠性</w:t>
      </w:r>
    </w:p>
    <w:p>
      <w:pPr>
        <w:ind w:firstLine="440" w:firstLineChars="200"/>
        <w:rPr>
          <w:rFonts w:ascii="微软雅黑" w:hAnsi="微软雅黑" w:eastAsia="微软雅黑" w:cs="微软雅黑"/>
          <w:sz w:val="22"/>
        </w:rPr>
      </w:pPr>
      <w:r>
        <w:t>硬件可靠性：系统按照项目实际情况选择设备，能够适应现场的恶劣环境。摄像机和镜头采用专业产品。</w:t>
      </w:r>
    </w:p>
    <w:p>
      <w:pPr>
        <w:pStyle w:val="158"/>
        <w:ind w:firstLine="440"/>
        <w:rPr>
          <w:rFonts w:ascii="微软雅黑" w:hAnsi="微软雅黑" w:eastAsia="微软雅黑" w:cs="微软雅黑"/>
          <w:sz w:val="22"/>
          <w:szCs w:val="22"/>
        </w:rPr>
      </w:pPr>
      <w:r>
        <w:t>软件可靠性：操作系统应具有良好的稳定性。</w:t>
      </w:r>
    </w:p>
    <w:p>
      <w:pPr>
        <w:pStyle w:val="158"/>
        <w:ind w:firstLine="440"/>
        <w:rPr>
          <w:rFonts w:ascii="微软雅黑" w:hAnsi="微软雅黑" w:eastAsia="微软雅黑" w:cs="微软雅黑"/>
          <w:sz w:val="22"/>
          <w:szCs w:val="22"/>
        </w:rPr>
      </w:pPr>
      <w:r>
        <w:t>用户管理：用户等级管理和密码管理相结合，不同的操作人员具有不同的权限，禁止越权操作。</w:t>
      </w:r>
    </w:p>
    <w:p>
      <w:pPr>
        <w:pStyle w:val="158"/>
        <w:ind w:firstLine="440"/>
        <w:rPr>
          <w:rFonts w:ascii="微软雅黑" w:hAnsi="微软雅黑" w:eastAsia="微软雅黑" w:cs="微软雅黑"/>
          <w:sz w:val="22"/>
          <w:szCs w:val="22"/>
        </w:rPr>
      </w:pPr>
      <w:r>
        <w:t>充分考虑到公共视频一体化建设二期视频图像服务采购工作的连续性要求，整个系统必须具有高度的安全性、可靠性和稳定性。</w:t>
      </w:r>
    </w:p>
    <w:p>
      <w:pPr>
        <w:numPr>
          <w:ilvl w:val="0"/>
          <w:numId w:val="27"/>
        </w:numPr>
        <w:ind w:firstLine="440" w:firstLineChars="200"/>
        <w:rPr>
          <w:rFonts w:ascii="微软雅黑" w:hAnsi="微软雅黑" w:eastAsia="微软雅黑" w:cs="微软雅黑"/>
          <w:sz w:val="22"/>
        </w:rPr>
      </w:pPr>
      <w:r>
        <w:t>先进性</w:t>
      </w:r>
    </w:p>
    <w:p>
      <w:pPr>
        <w:pStyle w:val="158"/>
        <w:ind w:firstLine="440"/>
        <w:rPr>
          <w:rFonts w:ascii="微软雅黑" w:hAnsi="微软雅黑" w:eastAsia="微软雅黑" w:cs="微软雅黑"/>
          <w:sz w:val="22"/>
          <w:szCs w:val="22"/>
        </w:rPr>
      </w:pPr>
      <w:r>
        <w:t>先进的视频压缩格式：采用压缩视频流，压缩过的图像传输给各级指挥中心。在保证图像质量的前提下，带宽占用大大减小。</w:t>
      </w:r>
    </w:p>
    <w:p>
      <w:pPr>
        <w:pStyle w:val="158"/>
        <w:ind w:firstLine="440"/>
        <w:rPr>
          <w:rFonts w:ascii="微软雅黑" w:hAnsi="微软雅黑" w:eastAsia="微软雅黑" w:cs="微软雅黑"/>
          <w:sz w:val="22"/>
          <w:szCs w:val="22"/>
        </w:rPr>
      </w:pPr>
      <w:r>
        <w:t>系统在稳定性的基础上，充分考虑到信息社会迅猛发展的趋势积极采用当前国际上较先进的技术装备。在技术应用上适度超前，所采用的技术和设备完全能保证先进性。</w:t>
      </w:r>
    </w:p>
    <w:p>
      <w:pPr>
        <w:numPr>
          <w:ilvl w:val="0"/>
          <w:numId w:val="27"/>
        </w:numPr>
        <w:ind w:firstLine="440" w:firstLineChars="200"/>
        <w:rPr>
          <w:rFonts w:ascii="微软雅黑" w:hAnsi="微软雅黑" w:eastAsia="微软雅黑" w:cs="微软雅黑"/>
          <w:sz w:val="22"/>
        </w:rPr>
      </w:pPr>
      <w:r>
        <w:t>灵活性</w:t>
      </w:r>
    </w:p>
    <w:p>
      <w:pPr>
        <w:pStyle w:val="158"/>
        <w:ind w:firstLine="440"/>
        <w:rPr>
          <w:rFonts w:ascii="微软雅黑" w:hAnsi="微软雅黑" w:eastAsia="微软雅黑" w:cs="微软雅黑"/>
          <w:sz w:val="22"/>
          <w:szCs w:val="22"/>
        </w:rPr>
      </w:pPr>
      <w:r>
        <w:t>录像可调节图像质量与带宽占用以满足用户的需求。</w:t>
      </w:r>
    </w:p>
    <w:p>
      <w:pPr>
        <w:pStyle w:val="158"/>
        <w:ind w:firstLine="440"/>
        <w:rPr>
          <w:rFonts w:ascii="微软雅黑" w:hAnsi="微软雅黑" w:eastAsia="微软雅黑" w:cs="微软雅黑"/>
          <w:sz w:val="22"/>
          <w:szCs w:val="22"/>
        </w:rPr>
      </w:pPr>
      <w:r>
        <w:t>灵活的控制功能：在各部门指挥中心的图像工作站上可以根据不同权限对选择的摄像机进行控制。</w:t>
      </w:r>
    </w:p>
    <w:p>
      <w:pPr>
        <w:numPr>
          <w:ilvl w:val="0"/>
          <w:numId w:val="27"/>
        </w:numPr>
        <w:ind w:firstLine="440" w:firstLineChars="200"/>
        <w:rPr>
          <w:rFonts w:ascii="微软雅黑" w:hAnsi="微软雅黑" w:eastAsia="微软雅黑" w:cs="微软雅黑"/>
          <w:sz w:val="22"/>
        </w:rPr>
      </w:pPr>
      <w:r>
        <w:t>可扩展性</w:t>
      </w:r>
    </w:p>
    <w:p>
      <w:pPr>
        <w:pStyle w:val="158"/>
        <w:ind w:firstLine="440"/>
        <w:rPr>
          <w:rFonts w:ascii="微软雅黑" w:hAnsi="微软雅黑" w:eastAsia="微软雅黑" w:cs="微软雅黑"/>
          <w:sz w:val="22"/>
          <w:szCs w:val="22"/>
        </w:rPr>
      </w:pPr>
      <w:r>
        <w:t>灵活的组网方式，方便前端摄像机的增加和扩容。</w:t>
      </w:r>
    </w:p>
    <w:p>
      <w:pPr>
        <w:numPr>
          <w:ilvl w:val="0"/>
          <w:numId w:val="27"/>
        </w:numPr>
        <w:ind w:firstLine="440" w:firstLineChars="200"/>
        <w:rPr>
          <w:rFonts w:ascii="微软雅黑" w:hAnsi="微软雅黑" w:eastAsia="微软雅黑" w:cs="微软雅黑"/>
          <w:sz w:val="22"/>
        </w:rPr>
      </w:pPr>
      <w:r>
        <w:t>易操作</w:t>
      </w:r>
    </w:p>
    <w:p>
      <w:pPr>
        <w:pStyle w:val="158"/>
        <w:ind w:firstLine="440"/>
        <w:rPr>
          <w:rFonts w:ascii="微软雅黑" w:hAnsi="微软雅黑" w:eastAsia="微软雅黑" w:cs="微软雅黑"/>
          <w:color w:val="000000" w:themeColor="text1"/>
          <w:sz w:val="22"/>
          <w:szCs w:val="22"/>
        </w:rPr>
      </w:pPr>
      <w:r>
        <w:t>监测系统的操作具有灵活简便，易于掌握的特点，操作人员能够方便地进行使用及维护，使整个系统发挥最大的功能。</w:t>
      </w:r>
    </w:p>
    <w:p>
      <w:pPr>
        <w:numPr>
          <w:ilvl w:val="0"/>
          <w:numId w:val="27"/>
        </w:numPr>
        <w:ind w:firstLine="440" w:firstLineChars="200"/>
        <w:rPr>
          <w:rFonts w:ascii="微软雅黑" w:hAnsi="微软雅黑" w:eastAsia="微软雅黑" w:cs="微软雅黑"/>
          <w:color w:val="000000" w:themeColor="text1"/>
          <w:sz w:val="22"/>
        </w:rPr>
      </w:pPr>
      <w:r>
        <w:t>开放性</w:t>
      </w:r>
    </w:p>
    <w:p>
      <w:pPr>
        <w:pStyle w:val="158"/>
        <w:ind w:firstLine="440"/>
        <w:rPr>
          <w:rFonts w:ascii="微软雅黑" w:hAnsi="微软雅黑" w:eastAsia="微软雅黑" w:cs="微软雅黑"/>
          <w:color w:val="000000" w:themeColor="text1"/>
          <w:sz w:val="22"/>
          <w:szCs w:val="22"/>
        </w:rPr>
      </w:pPr>
      <w:r>
        <w:t>考虑到系统发展和后续公共视频一体化建设二期视频图像服务采购监测平台建设对接的需要，使系统与未来对接扩展的设备具有互联性、互操作性和开放性，能很方便地融入新建平台之中。</w:t>
      </w:r>
    </w:p>
    <w:p>
      <w:pPr>
        <w:ind w:firstLine="440" w:firstLineChars="200"/>
        <w:rPr>
          <w:rFonts w:ascii="微软雅黑" w:hAnsi="微软雅黑" w:eastAsia="微软雅黑" w:cs="微软雅黑"/>
          <w:b/>
          <w:bCs/>
          <w:color w:val="000000" w:themeColor="text1"/>
          <w:sz w:val="22"/>
          <w:szCs w:val="22"/>
        </w:rPr>
      </w:pPr>
      <w:r>
        <w:t>2.3设计思路</w:t>
      </w:r>
    </w:p>
    <w:p>
      <w:pPr>
        <w:pStyle w:val="158"/>
        <w:numPr>
          <w:ilvl w:val="0"/>
          <w:numId w:val="28"/>
        </w:numPr>
        <w:spacing w:line="240" w:lineRule="auto"/>
        <w:ind w:firstLineChars="0"/>
        <w:rPr>
          <w:rFonts w:ascii="微软雅黑" w:hAnsi="微软雅黑" w:eastAsia="微软雅黑" w:cs="微软雅黑"/>
          <w:color w:val="000000" w:themeColor="text1"/>
          <w:sz w:val="22"/>
          <w:szCs w:val="22"/>
        </w:rPr>
      </w:pPr>
      <w:r>
        <w:t>有目的、有预期的重点监测</w:t>
      </w:r>
    </w:p>
    <w:p>
      <w:pPr>
        <w:pStyle w:val="158"/>
        <w:ind w:firstLine="440"/>
        <w:rPr>
          <w:rFonts w:ascii="微软雅黑" w:hAnsi="微软雅黑" w:eastAsia="微软雅黑" w:cs="微软雅黑"/>
          <w:color w:val="000000" w:themeColor="text1"/>
          <w:sz w:val="22"/>
          <w:szCs w:val="22"/>
        </w:rPr>
      </w:pPr>
      <w:r>
        <w:t>设计点位建设选址针对每一处视频监控未覆盖区域，结合高分辨率视频、人脸、车辆等数据，通过综合分析，反复进行布设点位的调整，直至确定视频监控点最佳安装位置。</w:t>
      </w:r>
    </w:p>
    <w:p>
      <w:pPr>
        <w:pStyle w:val="158"/>
        <w:numPr>
          <w:ilvl w:val="0"/>
          <w:numId w:val="28"/>
        </w:numPr>
        <w:spacing w:line="240" w:lineRule="auto"/>
        <w:ind w:firstLineChars="0"/>
        <w:rPr>
          <w:rFonts w:ascii="微软雅黑" w:hAnsi="微软雅黑" w:eastAsia="微软雅黑" w:cs="微软雅黑"/>
          <w:color w:val="000000" w:themeColor="text1"/>
          <w:sz w:val="22"/>
          <w:szCs w:val="22"/>
        </w:rPr>
      </w:pPr>
      <w:r>
        <w:t>全天候实施监测，第一时间发现安全隐患</w:t>
      </w:r>
    </w:p>
    <w:p>
      <w:pPr>
        <w:pStyle w:val="158"/>
        <w:ind w:firstLine="440"/>
        <w:rPr>
          <w:rFonts w:ascii="微软雅黑" w:hAnsi="微软雅黑" w:eastAsia="微软雅黑" w:cs="微软雅黑"/>
          <w:color w:val="000000" w:themeColor="text1"/>
          <w:sz w:val="22"/>
          <w:szCs w:val="22"/>
        </w:rPr>
      </w:pPr>
      <w:r>
        <w:t>通过对城市道路、校园周边、山洪隐患、山塘和水库等合适位置建设摄像机进行监测，实现全天候、早发现、自动报警的监测手段。</w:t>
      </w:r>
    </w:p>
    <w:p>
      <w:pPr>
        <w:pStyle w:val="158"/>
        <w:numPr>
          <w:ilvl w:val="0"/>
          <w:numId w:val="28"/>
        </w:numPr>
        <w:spacing w:line="240" w:lineRule="auto"/>
        <w:ind w:firstLineChars="0"/>
        <w:rPr>
          <w:rFonts w:ascii="微软雅黑" w:hAnsi="微软雅黑" w:eastAsia="微软雅黑" w:cs="微软雅黑"/>
          <w:color w:val="000000" w:themeColor="text1"/>
          <w:sz w:val="22"/>
          <w:szCs w:val="22"/>
        </w:rPr>
      </w:pPr>
      <w:r>
        <w:t>现场报警与远程报警相结合，掌握第一手资料</w:t>
      </w:r>
    </w:p>
    <w:p>
      <w:pPr>
        <w:pStyle w:val="158"/>
        <w:ind w:firstLine="440"/>
        <w:rPr>
          <w:rFonts w:ascii="微软雅黑" w:hAnsi="微软雅黑" w:eastAsia="微软雅黑" w:cs="微软雅黑"/>
          <w:color w:val="000000" w:themeColor="text1"/>
          <w:sz w:val="22"/>
          <w:szCs w:val="22"/>
        </w:rPr>
      </w:pPr>
      <w:r>
        <w:t>目前，即使接到人工报警，也无法直接获取报警事发点的位置、图片、视频等直观资料，建成后执勤人员可以通过摄像机预警画面和点位安装的地理位置信息数据支持，结合现场报警与系统远程自动报警，从而获取相对准确的第一手资料。</w:t>
      </w:r>
    </w:p>
    <w:p>
      <w:pPr>
        <w:ind w:firstLine="440" w:firstLineChars="200"/>
        <w:rPr>
          <w:rFonts w:ascii="微软雅黑" w:hAnsi="微软雅黑" w:eastAsia="微软雅黑" w:cs="微软雅黑"/>
          <w:b/>
          <w:bCs/>
          <w:color w:val="000000" w:themeColor="text1"/>
          <w:sz w:val="22"/>
          <w:szCs w:val="22"/>
        </w:rPr>
      </w:pPr>
      <w:r>
        <w:t>2.4建设需求</w:t>
      </w:r>
    </w:p>
    <w:p>
      <w:pPr>
        <w:pStyle w:val="158"/>
        <w:numPr>
          <w:ilvl w:val="0"/>
          <w:numId w:val="29"/>
        </w:numPr>
        <w:spacing w:line="240" w:lineRule="auto"/>
        <w:ind w:firstLine="440"/>
        <w:rPr>
          <w:rFonts w:ascii="微软雅黑" w:hAnsi="微软雅黑" w:eastAsia="微软雅黑" w:cs="微软雅黑"/>
          <w:color w:val="000000" w:themeColor="text1"/>
          <w:sz w:val="22"/>
          <w:szCs w:val="22"/>
        </w:rPr>
      </w:pPr>
      <w:r>
        <w:t>公共视频一体化建设二期视频图像服务采购分布在全市各个镇（街道），由于温岭行政区划形状不规则及地貌多元性，根据温岭市公共视频一体化建设二期东片视频图像服务的要求和实际需求，结合已有公安局的县际、镇街道周界出入口、自然资源和规划局的森林防火、教育局的全市学校校园周边、农业农村和水利局的山塘、水库、水闸、经济开发区等视频摄像机的基础上，本期新增一批视频监控服务（含前端产生的告警数据，根据需求部门的实际需要分类推送），根据目前公共视频一体化建设二期视频图像服务实际情况，点位大多都选择街面、校园周边、城镇、街道的制高点、山塘水库大坝以及经济开发区的主要道路，确保项目实施的可行性。</w:t>
      </w:r>
    </w:p>
    <w:p>
      <w:pPr>
        <w:numPr>
          <w:ilvl w:val="0"/>
          <w:numId w:val="29"/>
        </w:numPr>
        <w:ind w:firstLine="440" w:firstLineChars="200"/>
        <w:rPr>
          <w:rFonts w:ascii="微软雅黑" w:hAnsi="微软雅黑" w:eastAsia="微软雅黑" w:cs="微软雅黑"/>
          <w:color w:val="000000" w:themeColor="text1"/>
          <w:sz w:val="22"/>
          <w:szCs w:val="28"/>
          <w:highlight w:val="none"/>
        </w:rPr>
      </w:pPr>
      <w:r>
        <w:t>网络系统部分：由运营商自行组建公共视频专网，前端采用不低于千兆链路上传，后端采用光模块的方式在运营商机房进行汇聚，所有视频监控统一接入温岭市公共视频共享平台，并与市大数据中心的温岭市公共视频共享总平台实现无缝对接，并且要求包含但不限于与温岭市各需求部门（教育局、农业农村和水利局、自然资源和规划局）等平台有效衔接，所有摄像机应符合公安系统规定的相关接口，支持抓拍功能的相机应支持GA/T 1400采集接口标准，抓拍数据、预警信息最终分别推送至温岭公安视频图像综合应用平台和各需求部门的相应平台。要求前端点位采用不低于1光千兆4电百兆光端机、PON设备或交换机，支持基于端口的多VLAN功能。前端视频图像采集设备到后端机房交换机之间的传输网络包括传输光缆、光转换设备、前端汇聚/分线设备、尾纤跳线等；允许投标人采用裸光纤方式或E/G-Pon方式组网。针对各需求部门的特殊应用，不宜直接接入温岭市公共视频共享平台的，建议采用双纤双平台等方式解决，相关费用包含在总报价中。前端的点位预警、告警等感知能力，系统的整体应用需要各需求部门后续进行完善和补充。所有前端摄像机、存储、网络设备和系统设备等都具有时钟同步和主动校时功能，24h内设备的计时误差不超过1s。所有抓拍图片过车数据上传到台州市局入库时间不得超过10s。</w:t>
      </w:r>
    </w:p>
    <w:p>
      <w:pPr>
        <w:numPr>
          <w:ilvl w:val="0"/>
          <w:numId w:val="29"/>
        </w:numPr>
        <w:autoSpaceDE w:val="0"/>
        <w:autoSpaceDN w:val="0"/>
        <w:ind w:firstLine="440" w:firstLineChars="200"/>
        <w:rPr>
          <w:rFonts w:ascii="微软雅黑" w:hAnsi="微软雅黑" w:eastAsia="微软雅黑" w:cs="微软雅黑"/>
          <w:color w:val="000000" w:themeColor="text1"/>
          <w:sz w:val="22"/>
          <w:highlight w:val="none"/>
        </w:rPr>
      </w:pPr>
      <w:r>
        <w:t>存储部分：所有摄像机按4M码流存储，录像存储时间不低于30天（其中双镜头同场景相机，小场景按2M码流存储不低于7天），所有摄像机如有抓拍照片必须按摄像机最高像素照片进行抓拍，人像抓拍照片存储时间不低于90天，车辆抓拍照片存储时间不低于180天，过车记录和日志存储不低于3年，所有预警信息存储时间不低于180天，抓拍数据进入数据域存储，其他需求部门按要求完成推送。</w:t>
      </w:r>
    </w:p>
    <w:p>
      <w:pPr>
        <w:numPr>
          <w:ilvl w:val="0"/>
          <w:numId w:val="29"/>
        </w:numPr>
        <w:ind w:firstLine="440" w:firstLineChars="200"/>
        <w:rPr>
          <w:rFonts w:ascii="微软雅黑" w:hAnsi="微软雅黑" w:eastAsia="微软雅黑" w:cs="微软雅黑"/>
          <w:color w:val="000000" w:themeColor="text1"/>
          <w:sz w:val="22"/>
        </w:rPr>
      </w:pPr>
      <w:r>
        <w:t>机房要求：本项目所涉及的服务器、交换机、存储等设备，全部安置在运营商机房和数据域机房。运营商必须提供符合机房与前端设备的传输网络设备和安全设备，相关费用包含在总报价中。</w:t>
      </w:r>
    </w:p>
    <w:p>
      <w:pPr>
        <w:numPr>
          <w:ilvl w:val="0"/>
          <w:numId w:val="29"/>
        </w:numPr>
        <w:ind w:firstLine="440" w:firstLineChars="200"/>
        <w:rPr>
          <w:rFonts w:ascii="等线" w:hAnsi="等线" w:eastAsia="等线"/>
          <w:color w:val="000000" w:themeColor="text1"/>
        </w:rPr>
      </w:pPr>
      <w:r>
        <w:t>其它要求：本项目所涉及的软件不得设置使用时间等授权限制，采购人有权决定软件使用方式和使用范围，中标人无权干涉。</w:t>
      </w:r>
    </w:p>
    <w:p>
      <w:pPr>
        <w:ind w:firstLine="440" w:firstLineChars="200"/>
        <w:rPr>
          <w:rFonts w:ascii="微软雅黑" w:hAnsi="微软雅黑" w:eastAsia="微软雅黑" w:cs="微软雅黑"/>
          <w:b/>
          <w:bCs/>
          <w:sz w:val="22"/>
          <w:szCs w:val="22"/>
        </w:rPr>
      </w:pPr>
      <w:r>
        <w:t>2.5网络拓扑图（参考）</w:t>
      </w:r>
    </w:p>
    <w:p>
      <w:pPr>
        <w:jc w:val="center"/>
      </w:pPr>
      <w:r/>
    </w:p>
    <w:p>
      <w:pPr>
        <w:jc w:val="center"/>
      </w:pPr>
      <w:r/>
    </w:p>
    <w:p>
      <w:pPr>
        <w:jc w:val="center"/>
      </w:pPr>
      <w:r/>
    </w:p>
    <w:p>
      <w:pPr>
        <w:tabs>
          <w:tab w:val="center" w:pos="4935"/>
          <w:tab w:val="right" w:pos="9750"/>
        </w:tabs>
        <w:jc w:val="left"/>
        <w:rPr>
          <w:rFonts w:ascii="等线" w:hAnsi="等线" w:eastAsia="等线"/>
        </w:rPr>
      </w:pPr>
      <w:r>
        <w:tab/>
      </w:r>
    </w:p>
    <w:p>
      <w:pPr>
        <w:tabs>
          <w:tab w:val="center" w:pos="4935"/>
          <w:tab w:val="right" w:pos="9750"/>
        </w:tabs>
        <w:jc w:val="left"/>
        <w:rPr>
          <w:rFonts w:ascii="等线" w:hAnsi="等线" w:eastAsia="等线"/>
        </w:rPr>
      </w:pPr>
      <w:r/>
    </w:p>
    <w:p>
      <w:pPr>
        <w:tabs>
          <w:tab w:val="center" w:pos="4935"/>
          <w:tab w:val="right" w:pos="9750"/>
        </w:tabs>
        <w:jc w:val="left"/>
        <w:rPr>
          <w:rFonts w:ascii="等线" w:hAnsi="等线" w:eastAsia="等线"/>
        </w:rPr>
      </w:pPr>
      <w:r/>
    </w:p>
    <w:p>
      <w:pPr>
        <w:tabs>
          <w:tab w:val="center" w:pos="4935"/>
          <w:tab w:val="right" w:pos="9750"/>
        </w:tabs>
        <w:jc w:val="left"/>
        <w:rPr>
          <w:rFonts w:ascii="等线" w:hAnsi="等线" w:eastAsia="等线"/>
        </w:rPr>
      </w:pPr>
      <w:r/>
    </w:p>
    <w:p>
      <w:pPr>
        <w:tabs>
          <w:tab w:val="center" w:pos="4935"/>
          <w:tab w:val="right" w:pos="9750"/>
        </w:tabs>
        <w:jc w:val="left"/>
        <w:rPr>
          <w:rFonts w:ascii="等线" w:hAnsi="等线" w:eastAsia="等线"/>
        </w:rPr>
      </w:pPr>
      <w:r/>
    </w:p>
    <w:p>
      <w:pPr>
        <w:pStyle w:val="25"/>
      </w:pPr>
      <w:r/>
    </w:p>
    <w:p>
      <w:pPr>
        <w:pStyle w:val="25"/>
        <w:rPr>
          <w:rFonts w:ascii="微软雅黑" w:hAnsi="微软雅黑" w:eastAsia="微软雅黑" w:cs="微软雅黑"/>
          <w:b/>
          <w:bCs/>
          <w:sz w:val="22"/>
          <w:szCs w:val="22"/>
        </w:rPr>
      </w:pPr>
      <w:r>
        <w:t>森林防火网络拓扑图（参考）</w:t>
      </w:r>
    </w:p>
    <w:p>
      <w:pPr>
        <w:pStyle w:val="25"/>
        <w:jc w:val="center"/>
      </w:pPr>
      <w:r/>
    </w:p>
    <w:p>
      <w:pPr>
        <w:pStyle w:val="26"/>
        <w:ind w:firstLine="240"/>
      </w:pPr>
      <w:r/>
    </w:p>
    <w:p>
      <w:r/>
    </w:p>
    <w:p>
      <w:pPr>
        <w:pStyle w:val="25"/>
        <w:rPr>
          <w:rFonts w:ascii="微软雅黑" w:hAnsi="微软雅黑" w:eastAsia="微软雅黑" w:cs="微软雅黑"/>
          <w:b/>
          <w:bCs/>
          <w:sz w:val="22"/>
          <w:szCs w:val="22"/>
        </w:rPr>
      </w:pPr>
      <w:r>
        <w:t>数据域拓扑图（参考）</w:t>
      </w:r>
    </w:p>
    <w:p>
      <w:pPr>
        <w:pStyle w:val="26"/>
        <w:ind w:left="1320" w:firstLine="240"/>
      </w:pPr>
      <w:r/>
    </w:p>
    <w:p>
      <w:pPr>
        <w:ind w:firstLine="440" w:firstLineChars="200"/>
        <w:rPr>
          <w:rFonts w:ascii="微软雅黑" w:hAnsi="微软雅黑" w:eastAsia="微软雅黑" w:cs="微软雅黑"/>
          <w:b/>
          <w:bCs/>
          <w:sz w:val="22"/>
          <w:szCs w:val="22"/>
        </w:rPr>
      </w:pPr>
      <w:r>
        <w:t>2.6系统的安全性、保密性</w:t>
      </w:r>
    </w:p>
    <w:p>
      <w:pPr>
        <w:ind w:firstLine="440" w:firstLineChars="200"/>
        <w:rPr>
          <w:rFonts w:ascii="微软雅黑" w:hAnsi="微软雅黑" w:eastAsia="微软雅黑" w:cs="微软雅黑"/>
          <w:sz w:val="22"/>
          <w:szCs w:val="28"/>
        </w:rPr>
      </w:pPr>
      <w:r>
        <w:t>整个网络信息系统安全的问题，是系统建设中一个优先考虑的关键，所以整个系统数据要充分安全，要严格实行操作分级管理，对关键数据实施特殊保护，各种操作要做好记录，便于查找。网络建设需符合公安部和省公共视频建设一体化改革的有关规定，充分考虑网络的安全性、误操作的出现及解决，中标方需增加必要的安全设备。</w:t>
      </w:r>
    </w:p>
    <w:p>
      <w:pPr>
        <w:ind w:firstLine="440" w:firstLineChars="200"/>
        <w:rPr>
          <w:rFonts w:ascii="微软雅黑" w:hAnsi="微软雅黑" w:eastAsia="微软雅黑" w:cs="微软雅黑"/>
          <w:b/>
          <w:bCs/>
          <w:sz w:val="22"/>
          <w:szCs w:val="22"/>
        </w:rPr>
      </w:pPr>
      <w:r>
        <w:t>2.7前端监控点确定依据</w:t>
      </w:r>
    </w:p>
    <w:p>
      <w:pPr>
        <w:ind w:firstLine="480"/>
        <w:rPr>
          <w:rFonts w:ascii="微软雅黑" w:hAnsi="微软雅黑" w:eastAsia="微软雅黑" w:cs="微软雅黑"/>
          <w:sz w:val="22"/>
        </w:rPr>
      </w:pPr>
      <w:r>
        <w:t>前端监控的安装地点、监控目标不同，视频监控资源的重要性也不同。为了有效利用设备资源，服务承包单位应对已勘察前端点位进行施工前的复查与核实，按重要程度不同进行分类管理和配置。</w:t>
      </w:r>
    </w:p>
    <w:p>
      <w:pPr>
        <w:ind w:firstLine="480"/>
        <w:rPr>
          <w:rFonts w:ascii="微软雅黑" w:hAnsi="微软雅黑" w:eastAsia="微软雅黑" w:cs="微软雅黑"/>
          <w:sz w:val="22"/>
        </w:rPr>
      </w:pPr>
      <w:r>
        <w:t>本项目建设需求部门多，对视频要求各不相同，建设难度也相对不一样，经公共视频一体化建设二期视频图像服务采购相关人员的前期多方面的勘察，分别选定各个地方的高地（森林防火部分根据实际效果，优先考虑铁塔位置），人员出入密集度、风险隐患等现场情况进行布点，以便管理人员更加高效的实行管理，减少人防的难度，保护好温岭绿水青山。</w:t>
      </w:r>
    </w:p>
    <w:p>
      <w:pPr>
        <w:ind w:firstLine="440" w:firstLineChars="200"/>
        <w:rPr>
          <w:rFonts w:ascii="微软雅黑" w:hAnsi="微软雅黑" w:eastAsia="微软雅黑" w:cs="微软雅黑"/>
          <w:b/>
          <w:bCs/>
          <w:sz w:val="22"/>
          <w:szCs w:val="22"/>
        </w:rPr>
      </w:pPr>
      <w:r>
        <w:t>2.8前端点位建设规模</w:t>
      </w:r>
    </w:p>
    <w:p>
      <w:pPr>
        <w:spacing w:line="360" w:lineRule="auto"/>
        <w:rPr>
          <w:rFonts w:ascii="微软雅黑" w:hAnsi="微软雅黑" w:eastAsia="微软雅黑" w:cs="微软雅黑"/>
          <w:b/>
          <w:bCs/>
          <w:sz w:val="22"/>
        </w:rPr>
      </w:pPr>
      <w:r>
        <w:t>本项目共涉及617个点位的731个前端摄像机的视频图像服务，具体的前端点位情况如下表所示：</w:t>
      </w:r>
    </w:p>
    <w:tbl>
      <w:tblPr>
        <w:tblStyle w:val="59"/>
        <w:tblW w:w="9910" w:type="dxa"/>
        <w:tblInd w:w="96" w:type="dxa"/>
        <w:tblLayout w:type="fixed"/>
        <w:tblCellMar>
          <w:top w:w="0" w:type="dxa"/>
          <w:left w:w="108" w:type="dxa"/>
          <w:bottom w:w="0" w:type="dxa"/>
          <w:right w:w="108" w:type="dxa"/>
        </w:tblCellMar>
      </w:tblPr>
      <w:tblGrid>
        <w:gridCol w:w="393"/>
        <w:gridCol w:w="789"/>
        <w:gridCol w:w="612"/>
        <w:gridCol w:w="636"/>
        <w:gridCol w:w="588"/>
        <w:gridCol w:w="489"/>
        <w:gridCol w:w="671"/>
        <w:gridCol w:w="671"/>
        <w:gridCol w:w="671"/>
        <w:gridCol w:w="671"/>
        <w:gridCol w:w="671"/>
        <w:gridCol w:w="565"/>
        <w:gridCol w:w="611"/>
        <w:gridCol w:w="624"/>
        <w:gridCol w:w="624"/>
        <w:gridCol w:w="624"/>
      </w:tblGrid>
      <w:tr>
        <w:tblPrEx>
          <w:tblCellMar>
            <w:top w:w="0" w:type="dxa"/>
            <w:left w:w="108" w:type="dxa"/>
            <w:bottom w:w="0" w:type="dxa"/>
            <w:right w:w="108" w:type="dxa"/>
          </w:tblCellMar>
        </w:tblPrEx>
        <w:trPr>
          <w:trHeight w:val="285" w:hRule="atLeast"/>
        </w:trPr>
        <w:tc>
          <w:tcPr>
            <w:tcW w:w="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7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地区</w:t>
            </w:r>
          </w:p>
        </w:tc>
        <w:tc>
          <w:tcPr>
            <w:tcW w:w="8728" w:type="dxa"/>
            <w:gridSpan w:val="1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相机类型</w:t>
            </w:r>
          </w:p>
        </w:tc>
      </w:tr>
      <w:tr>
        <w:tblPrEx>
          <w:tblCellMar>
            <w:top w:w="0" w:type="dxa"/>
            <w:left w:w="108" w:type="dxa"/>
            <w:bottom w:w="0" w:type="dxa"/>
            <w:right w:w="108" w:type="dxa"/>
          </w:tblCellMar>
        </w:tblPrEx>
        <w:trPr>
          <w:trHeight w:val="233"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8728" w:type="dxa"/>
            <w:gridSpan w:val="1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285"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6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r>
              <w:t>高清摄像（全结构化）</w:t>
            </w:r>
          </w:p>
        </w:tc>
        <w:tc>
          <w:tcPr>
            <w:tcW w:w="18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人车辆卡口</w:t>
            </w:r>
          </w:p>
        </w:tc>
        <w:tc>
          <w:tcPr>
            <w:tcW w:w="6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摄像头合计</w:t>
            </w:r>
          </w:p>
        </w:tc>
        <w:tc>
          <w:tcPr>
            <w:tcW w:w="6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点位合计</w:t>
            </w:r>
          </w:p>
        </w:tc>
      </w:tr>
      <w:tr>
        <w:tblPrEx>
          <w:tblCellMar>
            <w:top w:w="0" w:type="dxa"/>
            <w:left w:w="108" w:type="dxa"/>
            <w:bottom w:w="0" w:type="dxa"/>
            <w:right w:w="108" w:type="dxa"/>
          </w:tblCellMar>
        </w:tblPrEx>
        <w:trPr>
          <w:trHeight w:val="660"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违停、占道经营、流动摊贩</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400球机</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云台3公里</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双镜头球机</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三摄球机</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溢洪道摄像机</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校园双镜头摄像机</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全景枪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人脸枪</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IP 900W</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900W环保卡</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车道</w:t>
            </w:r>
          </w:p>
        </w:tc>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城北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泽国</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69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89</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85</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滨海</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37</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33</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新河</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27</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80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78</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箬横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17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26</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32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101</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92</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松门</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24</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22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95</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75</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石塘</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52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45</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石桥头</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经济开发区</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15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29</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44</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62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112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69</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公安预留</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50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180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90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65</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水利预留</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r>
              <w:t>27</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47</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r>
              <w:t>47</w:t>
            </w:r>
          </w:p>
        </w:tc>
      </w:tr>
      <w:tr>
        <w:tblPrEx>
          <w:tblCellMar>
            <w:top w:w="0" w:type="dxa"/>
            <w:left w:w="108" w:type="dxa"/>
            <w:bottom w:w="0" w:type="dxa"/>
            <w:right w:w="108" w:type="dxa"/>
          </w:tblCellMar>
        </w:tblPrEx>
        <w:trPr>
          <w:trHeight w:val="39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r>
              <w:t>Z</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r>
              <w:t>总计</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68</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16</w:t>
            </w:r>
          </w:p>
        </w:tc>
        <w:tc>
          <w:tcPr>
            <w:tcW w:w="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105</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3</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5</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187</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55</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113</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71</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108</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358</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731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617</w:t>
            </w:r>
          </w:p>
        </w:tc>
      </w:tr>
    </w:tbl>
    <w:p>
      <w:pPr>
        <w:ind w:firstLine="480"/>
        <w:rPr>
          <w:rFonts w:ascii="微软雅黑" w:hAnsi="微软雅黑" w:eastAsia="微软雅黑" w:cs="微软雅黑"/>
          <w:sz w:val="22"/>
        </w:rPr>
      </w:pPr>
      <w:r>
        <w:t>各部门详细点位，分表统计如下：</w:t>
      </w:r>
    </w:p>
    <w:p>
      <w:pPr>
        <w:numPr>
          <w:ilvl w:val="0"/>
          <w:numId w:val="30"/>
        </w:numPr>
        <w:ind w:firstLine="480"/>
        <w:rPr>
          <w:rFonts w:ascii="微软雅黑" w:hAnsi="微软雅黑" w:eastAsia="微软雅黑" w:cs="微软雅黑"/>
          <w:sz w:val="22"/>
          <w:szCs w:val="22"/>
        </w:rPr>
      </w:pPr>
      <w:r>
        <w:t>县际、镇街道周界监控</w:t>
      </w:r>
    </w:p>
    <w:tbl>
      <w:tblPr>
        <w:tblStyle w:val="59"/>
        <w:tblW w:w="4998" w:type="pct"/>
        <w:tblInd w:w="0" w:type="dxa"/>
        <w:tblLayout w:type="autofit"/>
        <w:tblCellMar>
          <w:top w:w="0" w:type="dxa"/>
          <w:left w:w="108" w:type="dxa"/>
          <w:bottom w:w="0" w:type="dxa"/>
          <w:right w:w="108" w:type="dxa"/>
        </w:tblCellMar>
      </w:tblPr>
      <w:tblGrid>
        <w:gridCol w:w="525"/>
        <w:gridCol w:w="989"/>
        <w:gridCol w:w="602"/>
        <w:gridCol w:w="602"/>
        <w:gridCol w:w="602"/>
        <w:gridCol w:w="602"/>
        <w:gridCol w:w="602"/>
        <w:gridCol w:w="602"/>
        <w:gridCol w:w="602"/>
        <w:gridCol w:w="602"/>
        <w:gridCol w:w="614"/>
        <w:gridCol w:w="602"/>
        <w:gridCol w:w="602"/>
        <w:gridCol w:w="604"/>
        <w:gridCol w:w="602"/>
        <w:gridCol w:w="608"/>
      </w:tblGrid>
      <w:tr>
        <w:tblPrEx>
          <w:tblCellMar>
            <w:top w:w="0" w:type="dxa"/>
            <w:left w:w="108" w:type="dxa"/>
            <w:bottom w:w="0" w:type="dxa"/>
            <w:right w:w="108" w:type="dxa"/>
          </w:tblCellMar>
        </w:tblPrEx>
        <w:trPr>
          <w:trHeight w:val="285" w:hRule="atLeast"/>
        </w:trPr>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监控点位名称</w:t>
            </w:r>
          </w:p>
        </w:tc>
        <w:tc>
          <w:tcPr>
            <w:tcW w:w="4237" w:type="pct"/>
            <w:gridSpan w:val="1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相机类型</w:t>
            </w:r>
          </w:p>
        </w:tc>
      </w:tr>
      <w:tr>
        <w:tblPrEx>
          <w:tblCellMar>
            <w:top w:w="0" w:type="dxa"/>
            <w:left w:w="108" w:type="dxa"/>
            <w:bottom w:w="0" w:type="dxa"/>
            <w:right w:w="108" w:type="dxa"/>
          </w:tblCellMar>
        </w:tblPrEx>
        <w:trPr>
          <w:trHeight w:val="233"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237" w:type="pct"/>
            <w:gridSpan w:val="1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285"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27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r>
              <w:t>高清摄像（全结构化）</w:t>
            </w:r>
          </w:p>
        </w:tc>
        <w:tc>
          <w:tcPr>
            <w:tcW w:w="90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人车辆卡口</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摄像头合计</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点位合计</w:t>
            </w:r>
          </w:p>
        </w:tc>
      </w:tr>
      <w:tr>
        <w:tblPrEx>
          <w:tblCellMar>
            <w:top w:w="0" w:type="dxa"/>
            <w:left w:w="108" w:type="dxa"/>
            <w:bottom w:w="0" w:type="dxa"/>
            <w:right w:w="108" w:type="dxa"/>
          </w:tblCellMar>
        </w:tblPrEx>
        <w:trPr>
          <w:trHeight w:val="495"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违停、占道经营、流动摊贩</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400球机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云台3公里</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双镜头球机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三摄球机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溢洪道摄像机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校园双镜头摄像机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全景枪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人脸枪</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IP 900W</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900W环保卡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车道</w:t>
            </w: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新河</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6</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27</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40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38</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36</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滨海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18</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18</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箬横</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22</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49</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47</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石塘</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23</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19</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松门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13</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31</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30</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泽国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石桥头</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预留</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180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65</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县际、镇街道周界小计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22</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84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27</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99</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281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260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223</w:t>
            </w:r>
          </w:p>
        </w:tc>
      </w:tr>
    </w:tbl>
    <w:p>
      <w:pPr>
        <w:pStyle w:val="25"/>
        <w:ind w:left="1280" w:hanging="440"/>
        <w:rPr>
          <w:rFonts w:ascii="微软雅黑" w:hAnsi="微软雅黑" w:eastAsia="微软雅黑" w:cs="微软雅黑"/>
          <w:sz w:val="22"/>
          <w:szCs w:val="22"/>
        </w:rPr>
      </w:pPr>
      <w:r/>
    </w:p>
    <w:p>
      <w:pPr>
        <w:numPr>
          <w:ilvl w:val="0"/>
          <w:numId w:val="30"/>
        </w:numPr>
        <w:ind w:firstLine="480"/>
        <w:rPr>
          <w:rFonts w:ascii="微软雅黑" w:hAnsi="微软雅黑" w:eastAsia="微软雅黑" w:cs="微软雅黑"/>
          <w:sz w:val="22"/>
          <w:szCs w:val="22"/>
        </w:rPr>
      </w:pPr>
      <w:r>
        <w:t>温岭市自然资源和规划局（森林防火监控）</w:t>
      </w:r>
    </w:p>
    <w:tbl>
      <w:tblPr>
        <w:tblStyle w:val="59"/>
        <w:tblW w:w="9516" w:type="dxa"/>
        <w:tblInd w:w="96" w:type="dxa"/>
        <w:tblLayout w:type="autofit"/>
        <w:tblCellMar>
          <w:top w:w="0" w:type="dxa"/>
          <w:left w:w="108" w:type="dxa"/>
          <w:bottom w:w="0" w:type="dxa"/>
          <w:right w:w="108" w:type="dxa"/>
        </w:tblCellMar>
      </w:tblPr>
      <w:tblGrid>
        <w:gridCol w:w="504"/>
        <w:gridCol w:w="948"/>
        <w:gridCol w:w="576"/>
        <w:gridCol w:w="576"/>
        <w:gridCol w:w="576"/>
        <w:gridCol w:w="576"/>
        <w:gridCol w:w="576"/>
        <w:gridCol w:w="576"/>
        <w:gridCol w:w="576"/>
        <w:gridCol w:w="576"/>
        <w:gridCol w:w="576"/>
        <w:gridCol w:w="576"/>
        <w:gridCol w:w="576"/>
        <w:gridCol w:w="576"/>
        <w:gridCol w:w="576"/>
        <w:gridCol w:w="576"/>
      </w:tblGrid>
      <w:tr>
        <w:tblPrEx>
          <w:tblCellMar>
            <w:top w:w="0" w:type="dxa"/>
            <w:left w:w="108" w:type="dxa"/>
            <w:bottom w:w="0" w:type="dxa"/>
            <w:right w:w="108" w:type="dxa"/>
          </w:tblCellMar>
        </w:tblPrEx>
        <w:trPr>
          <w:trHeight w:val="285" w:hRule="atLeast"/>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监控点位名称</w:t>
            </w:r>
          </w:p>
        </w:tc>
        <w:tc>
          <w:tcPr>
            <w:tcW w:w="8064" w:type="dxa"/>
            <w:gridSpan w:val="1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相机类型</w:t>
            </w:r>
          </w:p>
        </w:tc>
      </w:tr>
      <w:tr>
        <w:tblPrEx>
          <w:tblCellMar>
            <w:top w:w="0" w:type="dxa"/>
            <w:left w:w="108" w:type="dxa"/>
            <w:bottom w:w="0" w:type="dxa"/>
            <w:right w:w="108" w:type="dxa"/>
          </w:tblCellMar>
        </w:tblPrEx>
        <w:trPr>
          <w:trHeight w:val="233" w:hRule="atLeast"/>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8064" w:type="dxa"/>
            <w:gridSpan w:val="1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285" w:hRule="atLeast"/>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18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r>
              <w:t>高清摄像（全结构化）</w:t>
            </w:r>
          </w:p>
        </w:tc>
        <w:tc>
          <w:tcPr>
            <w:tcW w:w="17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人车辆卡口</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摄像头合计</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点位合计</w:t>
            </w:r>
          </w:p>
        </w:tc>
      </w:tr>
      <w:tr>
        <w:tblPrEx>
          <w:tblCellMar>
            <w:top w:w="0" w:type="dxa"/>
            <w:left w:w="108" w:type="dxa"/>
            <w:bottom w:w="0" w:type="dxa"/>
            <w:right w:w="108" w:type="dxa"/>
          </w:tblCellMar>
        </w:tblPrEx>
        <w:trPr>
          <w:trHeight w:val="495" w:hRule="atLeast"/>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违停、占道经营、流动摊贩</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400球机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云台3公里</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双镜头球机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三摄球机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溢洪道摄像机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校园双镜头摄像机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全景枪</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人脸枪</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IP 900W</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900W环保卡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车道</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城北</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箬横</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松门</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石塘</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新河</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石桥头</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森林防火小计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16</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16</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16</w:t>
            </w:r>
          </w:p>
        </w:tc>
      </w:tr>
    </w:tbl>
    <w:p>
      <w:pPr>
        <w:pStyle w:val="25"/>
        <w:ind w:left="1320" w:hanging="480"/>
      </w:pPr>
      <w:r/>
    </w:p>
    <w:p>
      <w:pPr>
        <w:numPr>
          <w:ilvl w:val="0"/>
          <w:numId w:val="30"/>
        </w:numPr>
        <w:ind w:firstLine="480"/>
        <w:rPr>
          <w:rFonts w:ascii="微软雅黑" w:hAnsi="微软雅黑" w:eastAsia="微软雅黑" w:cs="微软雅黑"/>
          <w:sz w:val="22"/>
          <w:szCs w:val="22"/>
        </w:rPr>
      </w:pPr>
      <w:r>
        <w:t>温岭市教育局（学校校园周边监控）</w:t>
      </w:r>
    </w:p>
    <w:tbl>
      <w:tblPr>
        <w:tblStyle w:val="59"/>
        <w:tblW w:w="4998" w:type="pct"/>
        <w:tblInd w:w="0" w:type="dxa"/>
        <w:tblLayout w:type="autofit"/>
        <w:tblCellMar>
          <w:top w:w="0" w:type="dxa"/>
          <w:left w:w="108" w:type="dxa"/>
          <w:bottom w:w="0" w:type="dxa"/>
          <w:right w:w="108" w:type="dxa"/>
        </w:tblCellMar>
      </w:tblPr>
      <w:tblGrid>
        <w:gridCol w:w="525"/>
        <w:gridCol w:w="989"/>
        <w:gridCol w:w="602"/>
        <w:gridCol w:w="602"/>
        <w:gridCol w:w="602"/>
        <w:gridCol w:w="602"/>
        <w:gridCol w:w="602"/>
        <w:gridCol w:w="602"/>
        <w:gridCol w:w="602"/>
        <w:gridCol w:w="602"/>
        <w:gridCol w:w="614"/>
        <w:gridCol w:w="602"/>
        <w:gridCol w:w="602"/>
        <w:gridCol w:w="604"/>
        <w:gridCol w:w="602"/>
        <w:gridCol w:w="608"/>
      </w:tblGrid>
      <w:tr>
        <w:tblPrEx>
          <w:tblCellMar>
            <w:top w:w="0" w:type="dxa"/>
            <w:left w:w="108" w:type="dxa"/>
            <w:bottom w:w="0" w:type="dxa"/>
            <w:right w:w="108" w:type="dxa"/>
          </w:tblCellMar>
        </w:tblPrEx>
        <w:trPr>
          <w:trHeight w:val="285" w:hRule="atLeast"/>
        </w:trPr>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监控点位名称</w:t>
            </w:r>
          </w:p>
        </w:tc>
        <w:tc>
          <w:tcPr>
            <w:tcW w:w="4237" w:type="pct"/>
            <w:gridSpan w:val="1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相机类型</w:t>
            </w:r>
          </w:p>
        </w:tc>
      </w:tr>
      <w:tr>
        <w:tblPrEx>
          <w:tblCellMar>
            <w:top w:w="0" w:type="dxa"/>
            <w:left w:w="108" w:type="dxa"/>
            <w:bottom w:w="0" w:type="dxa"/>
            <w:right w:w="108" w:type="dxa"/>
          </w:tblCellMar>
        </w:tblPrEx>
        <w:trPr>
          <w:trHeight w:val="233"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237" w:type="pct"/>
            <w:gridSpan w:val="1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285"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27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r>
              <w:t>高清摄像（全结构化）</w:t>
            </w:r>
          </w:p>
        </w:tc>
        <w:tc>
          <w:tcPr>
            <w:tcW w:w="90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人车辆卡口</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摄像头合计</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点位合计</w:t>
            </w:r>
          </w:p>
        </w:tc>
      </w:tr>
      <w:tr>
        <w:tblPrEx>
          <w:tblCellMar>
            <w:top w:w="0" w:type="dxa"/>
            <w:left w:w="108" w:type="dxa"/>
            <w:bottom w:w="0" w:type="dxa"/>
            <w:right w:w="108" w:type="dxa"/>
          </w:tblCellMar>
        </w:tblPrEx>
        <w:trPr>
          <w:trHeight w:val="495"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违停、占道经营、流动摊贩</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400球机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云台3公里</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双镜头球机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三摄球机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溢洪道摄像机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校园双镜头摄像机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全景枪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人脸枪</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IP 900W</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900W环保卡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车道</w:t>
            </w: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城北</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泽国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69</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69</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69</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松门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27</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27</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箬横</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41</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36</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新河</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36</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36</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石塘</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滨海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石硚头</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经济开发区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校园周边小计</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28</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187</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9</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15</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224</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219</w:t>
            </w:r>
          </w:p>
        </w:tc>
      </w:tr>
    </w:tbl>
    <w:p>
      <w:r/>
    </w:p>
    <w:p>
      <w:pPr>
        <w:numPr>
          <w:ilvl w:val="0"/>
          <w:numId w:val="30"/>
        </w:numPr>
        <w:ind w:firstLine="480"/>
        <w:rPr>
          <w:rFonts w:ascii="微软雅黑" w:hAnsi="微软雅黑" w:eastAsia="微软雅黑" w:cs="微软雅黑"/>
          <w:sz w:val="22"/>
          <w:szCs w:val="22"/>
        </w:rPr>
      </w:pPr>
      <w:r>
        <w:t>温岭市农业农村和水利局（山塘水库、海塘水闸等水利监控）</w:t>
      </w:r>
    </w:p>
    <w:tbl>
      <w:tblPr>
        <w:tblStyle w:val="59"/>
        <w:tblW w:w="4998" w:type="pct"/>
        <w:tblInd w:w="0" w:type="dxa"/>
        <w:tblLayout w:type="autofit"/>
        <w:tblCellMar>
          <w:top w:w="0" w:type="dxa"/>
          <w:left w:w="108" w:type="dxa"/>
          <w:bottom w:w="0" w:type="dxa"/>
          <w:right w:w="108" w:type="dxa"/>
        </w:tblCellMar>
      </w:tblPr>
      <w:tblGrid>
        <w:gridCol w:w="525"/>
        <w:gridCol w:w="989"/>
        <w:gridCol w:w="602"/>
        <w:gridCol w:w="602"/>
        <w:gridCol w:w="602"/>
        <w:gridCol w:w="602"/>
        <w:gridCol w:w="602"/>
        <w:gridCol w:w="602"/>
        <w:gridCol w:w="602"/>
        <w:gridCol w:w="602"/>
        <w:gridCol w:w="614"/>
        <w:gridCol w:w="602"/>
        <w:gridCol w:w="602"/>
        <w:gridCol w:w="604"/>
        <w:gridCol w:w="602"/>
        <w:gridCol w:w="608"/>
      </w:tblGrid>
      <w:tr>
        <w:tblPrEx>
          <w:tblCellMar>
            <w:top w:w="0" w:type="dxa"/>
            <w:left w:w="108" w:type="dxa"/>
            <w:bottom w:w="0" w:type="dxa"/>
            <w:right w:w="108" w:type="dxa"/>
          </w:tblCellMar>
        </w:tblPrEx>
        <w:trPr>
          <w:trHeight w:val="285" w:hRule="atLeast"/>
        </w:trPr>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监控点位名称</w:t>
            </w:r>
          </w:p>
        </w:tc>
        <w:tc>
          <w:tcPr>
            <w:tcW w:w="4237" w:type="pct"/>
            <w:gridSpan w:val="1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相机类型</w:t>
            </w:r>
          </w:p>
        </w:tc>
      </w:tr>
      <w:tr>
        <w:tblPrEx>
          <w:tblCellMar>
            <w:top w:w="0" w:type="dxa"/>
            <w:left w:w="108" w:type="dxa"/>
            <w:bottom w:w="0" w:type="dxa"/>
            <w:right w:w="108" w:type="dxa"/>
          </w:tblCellMar>
        </w:tblPrEx>
        <w:trPr>
          <w:trHeight w:val="233"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237" w:type="pct"/>
            <w:gridSpan w:val="1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285"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272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r>
              <w:t>高清摄像（全结构化）</w:t>
            </w:r>
          </w:p>
        </w:tc>
        <w:tc>
          <w:tcPr>
            <w:tcW w:w="90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人车辆卡口</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摄像头合计</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点位合计</w:t>
            </w:r>
          </w:p>
        </w:tc>
      </w:tr>
      <w:tr>
        <w:trPr>
          <w:trHeight w:val="495" w:hRule="atLeast"/>
        </w:trPr>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违停、占道经营、流动摊贩</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400球机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云台3公里</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双镜头球机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三摄球机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溢洪道摄像机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校园双镜头摄像机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全景枪</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人脸枪</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IP 900W</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900W环保卡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车道</w:t>
            </w: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泽国</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14</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13</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松门</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12</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16</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石塘</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4</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11</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8</w:t>
            </w:r>
          </w:p>
        </w:tc>
      </w:tr>
      <w:tr>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滨海</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8</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4</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箬横</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6</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9</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7</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石桥头</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3</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城北</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r>
      <w:tr>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新河</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预留</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27</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20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47</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t>47</w:t>
            </w:r>
          </w:p>
        </w:tc>
      </w:tr>
      <w:tr>
        <w:tblPrEx>
          <w:tblCellMar>
            <w:top w:w="0" w:type="dxa"/>
            <w:left w:w="108" w:type="dxa"/>
            <w:bottom w:w="0" w:type="dxa"/>
            <w:right w:w="108" w:type="dxa"/>
          </w:tblCellMar>
        </w:tblPrEx>
        <w:trPr>
          <w:trHeight w:val="42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r>
              <w:t>水利小计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66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18</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r>
              <w:t>131</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r>
              <w:t>102</w:t>
            </w:r>
          </w:p>
        </w:tc>
      </w:tr>
    </w:tbl>
    <w:p>
      <w:pPr>
        <w:pStyle w:val="25"/>
        <w:ind w:left="1280" w:hanging="440"/>
        <w:rPr>
          <w:rFonts w:ascii="微软雅黑" w:hAnsi="微软雅黑" w:eastAsia="微软雅黑" w:cs="微软雅黑"/>
          <w:sz w:val="22"/>
          <w:szCs w:val="22"/>
        </w:rPr>
      </w:pPr>
      <w:r/>
    </w:p>
    <w:p>
      <w:pPr>
        <w:numPr>
          <w:ilvl w:val="0"/>
          <w:numId w:val="30"/>
        </w:numPr>
        <w:ind w:firstLine="480"/>
        <w:rPr>
          <w:rFonts w:ascii="微软雅黑" w:hAnsi="微软雅黑" w:eastAsia="微软雅黑" w:cs="微软雅黑"/>
          <w:sz w:val="22"/>
          <w:szCs w:val="22"/>
        </w:rPr>
      </w:pPr>
      <w:r>
        <w:t>温岭市经济开发区（辖区内监控）</w:t>
      </w:r>
    </w:p>
    <w:tbl>
      <w:tblPr>
        <w:tblStyle w:val="59"/>
        <w:tblW w:w="9516" w:type="dxa"/>
        <w:tblInd w:w="96" w:type="dxa"/>
        <w:tblLayout w:type="autofit"/>
        <w:tblCellMar>
          <w:top w:w="0" w:type="dxa"/>
          <w:left w:w="108" w:type="dxa"/>
          <w:bottom w:w="0" w:type="dxa"/>
          <w:right w:w="108" w:type="dxa"/>
        </w:tblCellMar>
      </w:tblPr>
      <w:tblGrid>
        <w:gridCol w:w="504"/>
        <w:gridCol w:w="948"/>
        <w:gridCol w:w="576"/>
        <w:gridCol w:w="576"/>
        <w:gridCol w:w="576"/>
        <w:gridCol w:w="576"/>
        <w:gridCol w:w="576"/>
        <w:gridCol w:w="576"/>
        <w:gridCol w:w="576"/>
        <w:gridCol w:w="576"/>
        <w:gridCol w:w="576"/>
        <w:gridCol w:w="576"/>
        <w:gridCol w:w="576"/>
        <w:gridCol w:w="576"/>
        <w:gridCol w:w="576"/>
        <w:gridCol w:w="576"/>
      </w:tblGrid>
      <w:tr>
        <w:tblPrEx>
          <w:tblCellMar>
            <w:top w:w="0" w:type="dxa"/>
            <w:left w:w="108" w:type="dxa"/>
            <w:bottom w:w="0" w:type="dxa"/>
            <w:right w:w="108" w:type="dxa"/>
          </w:tblCellMar>
        </w:tblPrEx>
        <w:trPr>
          <w:trHeight w:val="285" w:hRule="atLeast"/>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监控点位名称</w:t>
            </w:r>
          </w:p>
        </w:tc>
        <w:tc>
          <w:tcPr>
            <w:tcW w:w="8064" w:type="dxa"/>
            <w:gridSpan w:val="1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相机类型</w:t>
            </w:r>
          </w:p>
        </w:tc>
      </w:tr>
      <w:tr>
        <w:tblPrEx>
          <w:tblCellMar>
            <w:top w:w="0" w:type="dxa"/>
            <w:left w:w="108" w:type="dxa"/>
            <w:bottom w:w="0" w:type="dxa"/>
            <w:right w:w="108" w:type="dxa"/>
          </w:tblCellMar>
        </w:tblPrEx>
        <w:trPr>
          <w:trHeight w:val="233" w:hRule="atLeast"/>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8064" w:type="dxa"/>
            <w:gridSpan w:val="1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285" w:hRule="atLeast"/>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18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r>
              <w:t>高清摄像（全结构化）</w:t>
            </w:r>
          </w:p>
        </w:tc>
        <w:tc>
          <w:tcPr>
            <w:tcW w:w="17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人车辆卡口</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摄像头合计</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点位合计</w:t>
            </w:r>
          </w:p>
        </w:tc>
      </w:tr>
      <w:tr>
        <w:tblPrEx>
          <w:tblCellMar>
            <w:top w:w="0" w:type="dxa"/>
            <w:left w:w="108" w:type="dxa"/>
            <w:bottom w:w="0" w:type="dxa"/>
            <w:right w:w="108" w:type="dxa"/>
          </w:tblCellMar>
        </w:tblPrEx>
        <w:trPr>
          <w:trHeight w:val="495" w:hRule="atLeast"/>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违停、占道经营、流动摊贩</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400球机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云台3公里</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双镜头球机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三摄球机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溢洪道摄像机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校园双镜头摄像机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全景枪</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人脸枪</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IP 900W</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900W环保卡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车道</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r>
              <w:t>经济开发区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29</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44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62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r>
              <w:t>57</w:t>
            </w:r>
          </w:p>
        </w:tc>
      </w:tr>
    </w:tbl>
    <w:p>
      <w:pPr>
        <w:pStyle w:val="25"/>
        <w:ind w:left="1280" w:hanging="440"/>
        <w:rPr>
          <w:rFonts w:ascii="微软雅黑" w:hAnsi="微软雅黑" w:eastAsia="微软雅黑" w:cs="微软雅黑"/>
          <w:sz w:val="22"/>
          <w:szCs w:val="22"/>
        </w:rPr>
      </w:pPr>
      <w:r/>
    </w:p>
    <w:p>
      <w:pPr>
        <w:pStyle w:val="2"/>
      </w:pPr>
      <w:r/>
    </w:p>
    <w:p>
      <w:pPr>
        <w:pStyle w:val="125"/>
        <w:spacing w:line="400" w:lineRule="exact"/>
        <w:jc w:val="left"/>
        <w:rPr>
          <w:rFonts w:hint="default" w:ascii="微软雅黑" w:hAnsi="微软雅黑" w:eastAsia="微软雅黑" w:cs="微软雅黑"/>
          <w:b/>
          <w:bCs/>
          <w:szCs w:val="21"/>
        </w:rPr>
      </w:pPr>
      <w:r>
        <w:t>前端点位具体分布情况见下图：</w:t>
      </w:r>
    </w:p>
    <w:p>
      <w:pPr>
        <w:pStyle w:val="125"/>
        <w:jc w:val="left"/>
        <w:rPr>
          <w:rFonts w:hint="default" w:ascii="等线" w:hAnsi="等线" w:eastAsia="等线"/>
          <w:b/>
          <w:bCs/>
        </w:rPr>
      </w:pPr>
      <w:r/>
    </w:p>
    <w:p>
      <w:pPr>
        <w:rPr>
          <w:rFonts w:ascii="微软雅黑" w:hAnsi="微软雅黑" w:eastAsia="微软雅黑" w:cs="微软雅黑"/>
          <w:b/>
          <w:bCs/>
          <w:sz w:val="22"/>
        </w:rPr>
      </w:pPr>
      <w:r>
        <w:t>2.9视频监控系统设计</w:t>
      </w:r>
    </w:p>
    <w:p>
      <w:pPr>
        <w:spacing w:line="360" w:lineRule="exact"/>
        <w:ind w:firstLine="440"/>
        <w:rPr>
          <w:rFonts w:ascii="微软雅黑" w:hAnsi="微软雅黑" w:eastAsia="微软雅黑" w:cs="微软雅黑"/>
          <w:sz w:val="22"/>
          <w:szCs w:val="22"/>
        </w:rPr>
      </w:pPr>
      <w:r>
        <w:t>公共视频一体化建设二期视频图像服务采购的视频监控系统，是一个视频和抓拍数据的采集操控系统，更是管理指挥和安全防范的有利工具。</w:t>
      </w:r>
    </w:p>
    <w:p>
      <w:pPr>
        <w:ind w:firstLine="440" w:firstLineChars="200"/>
        <w:rPr>
          <w:rFonts w:ascii="微软雅黑" w:hAnsi="微软雅黑" w:eastAsia="微软雅黑" w:cs="微软雅黑"/>
          <w:b/>
          <w:bCs/>
          <w:sz w:val="22"/>
        </w:rPr>
      </w:pPr>
      <w:r>
        <w:t>系统架构设计</w:t>
      </w:r>
    </w:p>
    <w:p>
      <w:pPr>
        <w:pStyle w:val="125"/>
        <w:spacing w:line="400" w:lineRule="exact"/>
        <w:ind w:firstLine="440" w:firstLineChars="200"/>
        <w:jc w:val="left"/>
        <w:rPr>
          <w:rFonts w:hint="default" w:ascii="微软雅黑" w:hAnsi="微软雅黑" w:eastAsia="微软雅黑" w:cs="微软雅黑"/>
          <w:sz w:val="22"/>
          <w:szCs w:val="22"/>
        </w:rPr>
      </w:pPr>
      <w:r>
        <w:t>前端摄像机采集监控区域的视频信息后，通过传输设备将视频信号传输到指挥中心数据机房进行集中存储。系统结构图如下图所示：</w:t>
      </w:r>
    </w:p>
    <w:p>
      <w:pPr>
        <w:pStyle w:val="125"/>
        <w:spacing w:before="120" w:after="120"/>
        <w:jc w:val="center"/>
        <w:rPr>
          <w:rFonts w:hint="default" w:ascii="等线" w:hAnsi="等线" w:eastAsia="等线"/>
        </w:rPr>
      </w:pPr>
      <w:r/>
    </w:p>
    <w:p>
      <w:pPr>
        <w:pStyle w:val="125"/>
        <w:spacing w:before="120" w:after="120"/>
        <w:jc w:val="center"/>
        <w:rPr>
          <w:rFonts w:hint="default" w:ascii="微软雅黑" w:hAnsi="微软雅黑" w:eastAsia="微软雅黑" w:cs="微软雅黑"/>
          <w:sz w:val="22"/>
          <w:szCs w:val="22"/>
        </w:rPr>
      </w:pPr>
      <w:r>
        <w:t>系统架构图</w:t>
      </w:r>
    </w:p>
    <w:p>
      <w:pPr>
        <w:pStyle w:val="125"/>
        <w:spacing w:before="120" w:after="120"/>
        <w:ind w:firstLine="440" w:firstLineChars="200"/>
        <w:rPr>
          <w:rFonts w:hint="default" w:ascii="微软雅黑" w:hAnsi="微软雅黑" w:eastAsia="微软雅黑" w:cs="微软雅黑"/>
          <w:sz w:val="22"/>
          <w:szCs w:val="22"/>
        </w:rPr>
      </w:pPr>
      <w:r>
        <w:t>视频监控前端主要采用双光谱转台型摄像机，人脸抓拍机，激光球型摄像机， 多摄超星光球机 ，校园双镜头摄像机，溢洪口水位观测相机，三球一体机，900万高清人车卡和900万环保人车卡等功能单元组成：</w:t>
      </w:r>
    </w:p>
    <w:p>
      <w:pPr>
        <w:pStyle w:val="158"/>
        <w:ind w:firstLine="440"/>
        <w:rPr>
          <w:rFonts w:ascii="微软雅黑" w:hAnsi="微软雅黑" w:eastAsia="微软雅黑" w:cs="微软雅黑"/>
          <w:sz w:val="22"/>
          <w:szCs w:val="22"/>
        </w:rPr>
      </w:pPr>
      <w:r>
        <w:t>前端监控点的编码设备完成监控信号的视音频输入，把采集到的图像信号、音频信号（如摄像机、麦克风等视音频源信号）进行数字化和压缩编码，形成IP数据包，利用网络传送到指定的目的地址。作为大量前端路面部署的设备，设备必须采用高性能设备，产品温湿度范围和工业防护设计，符合社会动态治安监控系统路面部署的要求，提供强大的图像编码能力，保障高质量的图像效果；支持标准的通信协议和视频编码方式，灵活的业务及调试接口，满足工程实施能够做到因地制宜。</w:t>
      </w:r>
    </w:p>
    <w:p>
      <w:pPr>
        <w:pStyle w:val="158"/>
        <w:numPr>
          <w:ilvl w:val="0"/>
          <w:numId w:val="31"/>
        </w:numPr>
        <w:spacing w:line="240" w:lineRule="auto"/>
        <w:ind w:firstLineChars="0"/>
        <w:rPr>
          <w:rFonts w:ascii="微软雅黑" w:hAnsi="微软雅黑" w:eastAsia="微软雅黑" w:cs="微软雅黑"/>
          <w:sz w:val="22"/>
          <w:szCs w:val="22"/>
        </w:rPr>
      </w:pPr>
      <w:r>
        <w:t>摄像机</w:t>
      </w:r>
    </w:p>
    <w:p>
      <w:pPr>
        <w:pStyle w:val="158"/>
        <w:ind w:firstLine="440"/>
        <w:rPr>
          <w:rFonts w:ascii="微软雅黑" w:hAnsi="微软雅黑" w:eastAsia="微软雅黑" w:cs="微软雅黑"/>
          <w:sz w:val="22"/>
          <w:szCs w:val="22"/>
        </w:rPr>
      </w:pPr>
      <w:r>
        <w:t>视频监控前端重要组成设备，用于视频图像的采集，主要分为双光谱转台型摄像机，人脸抓拍机，激光球型摄像机， 多摄超星光球机（不同方向） ，校园双镜头摄像机（不同方向），溢洪口水位观测相机，三球一体机（不同方向），高清人车卡，环保人车卡等摄像机，根据应用场合采用不同的摄像机，合理配置以满足图像采集的效果要求与经济性要求。</w:t>
      </w:r>
    </w:p>
    <w:p>
      <w:pPr>
        <w:pStyle w:val="158"/>
        <w:numPr>
          <w:ilvl w:val="0"/>
          <w:numId w:val="31"/>
        </w:numPr>
        <w:spacing w:line="240" w:lineRule="auto"/>
        <w:ind w:firstLineChars="0"/>
        <w:rPr>
          <w:rFonts w:ascii="微软雅黑" w:hAnsi="微软雅黑" w:eastAsia="微软雅黑" w:cs="微软雅黑"/>
          <w:sz w:val="22"/>
          <w:szCs w:val="22"/>
        </w:rPr>
      </w:pPr>
      <w:r>
        <w:t>镜头</w:t>
      </w:r>
    </w:p>
    <w:p>
      <w:pPr>
        <w:pStyle w:val="158"/>
        <w:ind w:firstLine="440"/>
        <w:rPr>
          <w:rFonts w:ascii="微软雅黑" w:hAnsi="微软雅黑" w:eastAsia="微软雅黑" w:cs="微软雅黑"/>
          <w:sz w:val="22"/>
          <w:szCs w:val="22"/>
        </w:rPr>
      </w:pPr>
      <w:r>
        <w:t>根据摄像机分辨率的不同，镜头分为普通和高清镜头，根据监控距离和摄像机的类型选配合适的镜头，球型摄像机自带镜头。</w:t>
      </w:r>
    </w:p>
    <w:p>
      <w:pPr>
        <w:pStyle w:val="158"/>
        <w:numPr>
          <w:ilvl w:val="0"/>
          <w:numId w:val="31"/>
        </w:numPr>
        <w:spacing w:line="240" w:lineRule="auto"/>
        <w:ind w:firstLineChars="0"/>
        <w:rPr>
          <w:rFonts w:ascii="微软雅黑" w:hAnsi="微软雅黑" w:eastAsia="微软雅黑" w:cs="微软雅黑"/>
          <w:sz w:val="22"/>
          <w:szCs w:val="22"/>
        </w:rPr>
      </w:pPr>
      <w:r>
        <w:t>护罩</w:t>
      </w:r>
    </w:p>
    <w:p>
      <w:pPr>
        <w:pStyle w:val="158"/>
        <w:ind w:firstLine="440"/>
        <w:rPr>
          <w:rFonts w:ascii="微软雅黑" w:hAnsi="微软雅黑" w:eastAsia="微软雅黑" w:cs="微软雅黑"/>
          <w:sz w:val="22"/>
          <w:szCs w:val="22"/>
        </w:rPr>
      </w:pPr>
      <w:r>
        <w:t>护罩是使摄像机在有灰尘、雨水、高低温等情况下正常使用的防护装置，根据摄像机机型采用不同的护罩，每个摄像机配置一个护罩，球型摄像机自带护罩。</w:t>
      </w:r>
    </w:p>
    <w:p>
      <w:pPr>
        <w:pStyle w:val="158"/>
        <w:numPr>
          <w:ilvl w:val="0"/>
          <w:numId w:val="31"/>
        </w:numPr>
        <w:spacing w:line="240" w:lineRule="auto"/>
        <w:ind w:firstLineChars="0"/>
        <w:rPr>
          <w:rFonts w:ascii="微软雅黑" w:hAnsi="微软雅黑" w:eastAsia="微软雅黑" w:cs="微软雅黑"/>
          <w:sz w:val="22"/>
          <w:szCs w:val="22"/>
        </w:rPr>
      </w:pPr>
      <w:r>
        <w:t>支架</w:t>
      </w:r>
    </w:p>
    <w:p>
      <w:pPr>
        <w:pStyle w:val="158"/>
        <w:ind w:firstLine="440"/>
        <w:rPr>
          <w:rFonts w:ascii="微软雅黑" w:hAnsi="微软雅黑" w:eastAsia="微软雅黑" w:cs="微软雅黑"/>
          <w:sz w:val="22"/>
          <w:szCs w:val="22"/>
        </w:rPr>
      </w:pPr>
      <w:r>
        <w:t>支架是摄像机安装固定的重要组件，根据摄像机安装的位置，应合理选择壁装支架或吊装支架。</w:t>
      </w:r>
    </w:p>
    <w:p>
      <w:pPr>
        <w:rPr>
          <w:rFonts w:ascii="微软雅黑" w:hAnsi="微软雅黑" w:eastAsia="微软雅黑" w:cs="微软雅黑"/>
          <w:b/>
          <w:bCs/>
          <w:sz w:val="22"/>
        </w:rPr>
      </w:pPr>
      <w:r>
        <w:t>2.10产品选型要求</w:t>
      </w:r>
    </w:p>
    <w:p>
      <w:pPr>
        <w:ind w:firstLine="480"/>
        <w:rPr>
          <w:rFonts w:ascii="微软雅黑" w:hAnsi="微软雅黑" w:eastAsia="微软雅黑" w:cs="微软雅黑"/>
          <w:sz w:val="22"/>
          <w:szCs w:val="22"/>
          <w:shd w:val="clear" w:color="auto" w:fill="FFFFFF"/>
        </w:rPr>
      </w:pPr>
      <w:r>
        <w:t>随着科技的发展，核心算法的突破，通过视频结构化技术将视频内容中的重要信息进行提取，利用它对视频内容按照语义关系，采用时空分割、特征提取、对象识别、深度学习等处理手段，组织成可供计算机和用户理解的文本信息或可视化图形信息，从而实现视频数据向有效信息的一次转化，因此在选择前端摄像机时，项目将根据各业务部门的实际需求，结合目前主流厂家设备，选用违停及占道经营摄像机，双光谱转台型摄像机，人脸抓拍机，激光球型摄像机， 多摄超星光球机 ，校园双镜头摄像机，溢洪口水位观测相机，三球一体机，高清人车卡和环保人车卡等类型的摄像机，要求前端摄像机都需配备不低于128GTF卡、摄像机所需要电源、支架等配套材料及设备，并要求全结构化，本项目中所有设备质保不低于叁年。</w:t>
      </w:r>
    </w:p>
    <w:bookmarkEnd w:id="115"/>
    <w:bookmarkEnd w:id="116"/>
    <w:bookmarkEnd w:id="117"/>
    <w:bookmarkEnd w:id="118"/>
    <w:bookmarkEnd w:id="119"/>
    <w:bookmarkEnd w:id="120"/>
    <w:p>
      <w:pPr>
        <w:rPr>
          <w:rFonts w:ascii="微软雅黑" w:hAnsi="微软雅黑" w:eastAsia="微软雅黑" w:cs="微软雅黑"/>
          <w:b/>
          <w:bCs/>
          <w:sz w:val="22"/>
        </w:rPr>
      </w:pPr>
      <w:r>
        <w:t>2.11配套设计方案</w:t>
      </w:r>
    </w:p>
    <w:p>
      <w:pPr>
        <w:rPr>
          <w:rFonts w:ascii="微软雅黑" w:hAnsi="微软雅黑" w:eastAsia="微软雅黑" w:cs="微软雅黑"/>
          <w:b/>
          <w:bCs/>
          <w:sz w:val="22"/>
        </w:rPr>
      </w:pPr>
      <w:r>
        <w:t>2.11.1立杆设计</w:t>
      </w:r>
    </w:p>
    <w:p>
      <w:pPr>
        <w:ind w:firstLine="480"/>
        <w:rPr>
          <w:rFonts w:ascii="微软雅黑" w:hAnsi="微软雅黑" w:eastAsia="微软雅黑" w:cs="微软雅黑"/>
          <w:sz w:val="22"/>
          <w:szCs w:val="22"/>
          <w:shd w:val="clear" w:color="auto" w:fill="FFFFFF"/>
        </w:rPr>
      </w:pPr>
      <w:r>
        <w:t>监控点根据现场实际情况，有需采用立杆安装方式的，根据现场选择符合要求的产品即可，监控立杆设计需要考虑整体杆件的设计、立杆材质、杆型、焊接工艺、表面处理以及杆体颜色等。（根据现场实际情况达到公共视频一体化建设二期视频图像服务采购的实际需求）</w:t>
      </w:r>
    </w:p>
    <w:p>
      <w:pPr>
        <w:ind w:firstLine="480"/>
        <w:rPr>
          <w:rFonts w:ascii="微软雅黑" w:hAnsi="微软雅黑" w:eastAsia="微软雅黑" w:cs="微软雅黑"/>
          <w:sz w:val="22"/>
          <w:szCs w:val="22"/>
          <w:shd w:val="clear" w:color="auto" w:fill="FFFFFF"/>
        </w:rPr>
      </w:pPr>
      <w:r>
        <w:t>每个点位根据现场实际情况，确定立杆长度、基础大小和管线长度等，应尽量保证视野开阔、较易立杆、取电的位置。</w:t>
      </w:r>
    </w:p>
    <w:p>
      <w:pPr>
        <w:ind w:firstLine="480"/>
        <w:rPr>
          <w:rFonts w:ascii="微软雅黑" w:hAnsi="微软雅黑" w:eastAsia="微软雅黑" w:cs="微软雅黑"/>
          <w:sz w:val="22"/>
          <w:szCs w:val="22"/>
          <w:shd w:val="clear" w:color="auto" w:fill="FFFFFF"/>
        </w:rPr>
      </w:pPr>
      <w:r>
        <w:t>立杆、基础应符合DB33/T 502-2018建设标准，立杆的长臂杆高度根据现场实际情况而定，横臂杆长度根据安装位置而定，整根杆(含基础)及其上配件应能抗台风袭击。立柱、法兰盘、抱箍、抱箍底衬、柱帽、加劲肋及连接螺栓、螺母、垫圈等钢铁件采用热浸镀锌进行防锈处理，所有的对接焊缝和贴角焊缝，其厚度和强度应与被焊构件相等，焊缝应打磨光滑。使用过程中不会倾斜或倒塌。</w:t>
      </w:r>
    </w:p>
    <w:p>
      <w:pPr>
        <w:ind w:firstLine="480"/>
        <w:rPr>
          <w:rFonts w:ascii="微软雅黑" w:hAnsi="微软雅黑" w:eastAsia="微软雅黑" w:cs="微软雅黑"/>
          <w:sz w:val="22"/>
          <w:szCs w:val="22"/>
          <w:shd w:val="clear" w:color="auto" w:fill="FFFFFF"/>
        </w:rPr>
      </w:pPr>
      <w:r>
        <w:t>根据点位摄像头数量和架设方向的不同采用L型和多角立杆。</w:t>
      </w:r>
    </w:p>
    <w:p>
      <w:pPr>
        <w:ind w:firstLine="480"/>
        <w:rPr>
          <w:rFonts w:ascii="微软雅黑" w:hAnsi="微软雅黑" w:eastAsia="微软雅黑" w:cs="微软雅黑"/>
          <w:sz w:val="22"/>
          <w:szCs w:val="22"/>
          <w:shd w:val="clear" w:color="auto" w:fill="FFFFFF"/>
        </w:rPr>
      </w:pPr>
      <w:r>
        <w:t>具体点位根据实地情况选择其规格的立杆。</w:t>
      </w:r>
    </w:p>
    <w:p>
      <w:pPr>
        <w:spacing w:line="360" w:lineRule="exact"/>
        <w:ind w:firstLine="480"/>
        <w:rPr>
          <w:rFonts w:ascii="微软雅黑" w:hAnsi="微软雅黑" w:eastAsia="微软雅黑" w:cs="微软雅黑"/>
          <w:sz w:val="22"/>
          <w:szCs w:val="22"/>
          <w:shd w:val="clear" w:color="auto" w:fill="FFFFFF"/>
        </w:rPr>
      </w:pPr>
      <w:r>
        <w:t>在立杆施工前需要做好以下工作：</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安装时要做好安全工作，必要时请公共视频一体化建设二期视频图像服务采购管理所协助操作；</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准备施工车辆，需要准备可运载杆体的平板货车和5吨以上的起重吊车；</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清理地笼钢挡板上平面的水泥残留物，检查主筋螺纹是否完好、洁净；</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备齐杆体连接用的配件，准备一些杆体抄平用的垫铁；</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备齐专用工具和材料，如扳手、水平尺、钢丝绳、大绳、镀锌铁线等。</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立杆时，宜按以下顺序操作：</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把杆体和横臂在地面摆放整齐，杆体底座法兰正对地笼。</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把电缆沿杆体、横臂穿出，在横臂头处预留余量并盘好。</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把杆体与横臂用紧固件连接紧固，安装立杆顶帽。</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用吊车把杆体吊起，并在横臂头处绑一根铁线，在地面需人工调整横臂安装方向。</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把杆体底座法兰坐到地笼法兰盘上，安装地座螺丝、紧固。</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用水平尺测量杆体各方向垂度，在两法兰间塞入垫铁反复调整杆体垂度，使杆体各方向保持与水平面垂直。</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检查底脚螺丝紧固程度。杆体底脚螺丝需用加长杆扳手紧固，不允许有任何松动。</w:t>
      </w:r>
    </w:p>
    <w:p>
      <w:pPr>
        <w:pStyle w:val="107"/>
        <w:numPr>
          <w:ilvl w:val="0"/>
          <w:numId w:val="32"/>
        </w:numPr>
        <w:spacing w:line="360" w:lineRule="exact"/>
        <w:ind w:left="482" w:firstLine="440"/>
        <w:rPr>
          <w:rFonts w:ascii="微软雅黑" w:hAnsi="微软雅黑" w:eastAsia="微软雅黑" w:cs="微软雅黑"/>
          <w:sz w:val="22"/>
          <w:szCs w:val="22"/>
          <w:shd w:val="clear" w:color="auto" w:fill="FFFFFF"/>
        </w:rPr>
      </w:pPr>
      <w:r>
        <w:t>安装立杆检查孔盖。</w:t>
      </w:r>
    </w:p>
    <w:p>
      <w:pPr>
        <w:spacing w:line="360" w:lineRule="exact"/>
        <w:ind w:firstLine="480"/>
        <w:rPr>
          <w:rFonts w:ascii="微软雅黑" w:hAnsi="微软雅黑" w:eastAsia="微软雅黑" w:cs="微软雅黑"/>
          <w:sz w:val="22"/>
          <w:szCs w:val="22"/>
        </w:rPr>
      </w:pPr>
      <w:r>
        <w:t>需能抗16级台风，根据实际情况选择不同的类型杆和基础及施工方式。</w:t>
      </w:r>
    </w:p>
    <w:p>
      <w:pPr>
        <w:rPr>
          <w:rFonts w:ascii="微软雅黑" w:hAnsi="微软雅黑" w:eastAsia="微软雅黑" w:cs="微软雅黑"/>
          <w:b/>
          <w:bCs/>
          <w:sz w:val="22"/>
        </w:rPr>
      </w:pPr>
      <w:r>
        <w:t>2.11.2监控立杆技术要求</w:t>
      </w:r>
    </w:p>
    <w:p>
      <w:pPr>
        <w:numPr>
          <w:ilvl w:val="0"/>
          <w:numId w:val="33"/>
        </w:numPr>
        <w:ind w:firstLine="480"/>
        <w:rPr>
          <w:rFonts w:ascii="微软雅黑" w:hAnsi="微软雅黑" w:eastAsia="微软雅黑" w:cs="微软雅黑"/>
          <w:color w:val="000000"/>
          <w:sz w:val="22"/>
          <w:szCs w:val="22"/>
        </w:rPr>
      </w:pPr>
      <w:r>
        <w:t>应注明杆件钢材、生产厂家、型号规格等；杆件的材质要求为国标Q235钢板经模压形成，杆件所有焊缝无烧穿、夹渣、气孔等，焊接后敲清焊渣，打磨飞溅物，校正杆件的焊接变形，杆件整体热镀锌处理。柱 、法兰盘、抱箍、抱箍底衬、柱帽、加劲肋及连接螺栓、螺母、垫圈等钢铁件，采用热浸镀锌进行防锈处理，立杆、悬臂采用双面焊，所有的对接焊缝和贴角焊缝，其厚度和强度应与被焊构件相等，焊缝应打磨光滑、无烧穿、夹渣、气孔等。前端常规卡口杆件的立杆应贴高强级别的反光膜（高度≥1.5米）,防止杆件被撞及提醒驾驶人、行人避让。</w:t>
      </w:r>
    </w:p>
    <w:p>
      <w:pPr>
        <w:ind w:firstLine="480"/>
        <w:rPr>
          <w:rFonts w:ascii="微软雅黑" w:hAnsi="微软雅黑" w:eastAsia="微软雅黑" w:cs="微软雅黑"/>
          <w:color w:val="000000"/>
          <w:sz w:val="22"/>
          <w:szCs w:val="22"/>
        </w:rPr>
      </w:pPr>
      <w:r>
        <w:t>长挑臂监控杆件，主、副杆（横挑杆）为八角形锥形镀锌钢管，副杆≤4米采用114mm等径杆，对接处采用自动焊接，具体参数如下；</w:t>
      </w:r>
    </w:p>
    <w:p>
      <w:pPr>
        <w:ind w:firstLine="480"/>
        <w:rPr>
          <w:rFonts w:ascii="微软雅黑" w:hAnsi="微软雅黑" w:eastAsia="微软雅黑" w:cs="微软雅黑"/>
          <w:color w:val="000000"/>
          <w:sz w:val="22"/>
          <w:szCs w:val="22"/>
        </w:rPr>
      </w:pPr>
      <w:r>
        <w:t>①2米≥副杆长度≥1米的杆件，主杆的高度不低于8米，主杆下（内）口径不小于350mm，上（内）口径不小于300mm，壁厚≥8mm；副杆114mm等径杆，壁厚≥4mm；底盘法兰底平面直径≥600mm，钢板厚度≥22 mm，法兰底盘与主杆的支撑板（五边直角梯形）≥8块，高度≥200 mm，厚度≥16mm，梯形上部份≥50mm，下部分≥110mm；主杆与副杆的法兰盘尺寸≥450mm*450mm，厚度不小于20mm，支撑板（直角三角形）≥8块，高度≥200 mm，厚度≥16mm，直角三角形底边长度≥100mm，固定螺帽须热镀锌。（注：所有杆件需一次成型不得嫁接。）</w:t>
      </w:r>
    </w:p>
    <w:p>
      <w:pPr>
        <w:ind w:firstLine="480"/>
        <w:rPr>
          <w:rFonts w:ascii="微软雅黑" w:hAnsi="微软雅黑" w:eastAsia="微软雅黑" w:cs="微软雅黑"/>
          <w:color w:val="000000"/>
          <w:sz w:val="22"/>
          <w:szCs w:val="22"/>
        </w:rPr>
      </w:pPr>
      <w:r>
        <w:t>②15米≥副杆长度≥13米的杆件，主杆的高度不低于7.5米，主杆下（内）口径不小于370 mm，上（内）口径不小于320 mm，壁厚≥8mm；副杆大头（内）口径不小于320 mm，小头（内）口径不小于100 mm，壁厚≥5mm；底盘法兰底平面直径≥700mm，钢板厚度≥22 mm，法兰底盘与主杆的支撑板（五边直角梯形）≥8块，高度≥300 mm，厚度≥16mm，梯形上部份≥50mm，下部分≥150mm；主杆与副杆的法兰盘尺寸≥520mm*520mm，厚度不小于30mm，支撑板（直角三角形）≥8块，高度≥250 mm，厚度≥16mm，直角三角形底边长度≥100mm，固定螺帽须热镀锌。（注：主杆和副杆之间需设置斜拉线，所有杆件需一次成型不得嫁接。）</w:t>
      </w:r>
    </w:p>
    <w:p>
      <w:pPr>
        <w:ind w:firstLine="480"/>
        <w:rPr>
          <w:rFonts w:ascii="微软雅黑" w:hAnsi="微软雅黑" w:eastAsia="微软雅黑" w:cs="微软雅黑"/>
          <w:color w:val="000000"/>
          <w:sz w:val="22"/>
          <w:szCs w:val="22"/>
        </w:rPr>
      </w:pPr>
      <w:r>
        <w:t>③12米≥副杆长度≥10米的杆件，主杆的高度不低于6.3米，主杆下（内）口径不小于350 mm，上（内）口径不小于300 mm，壁厚≥8mm；副杆大头（内）口径不小于280 mm，小头（内）口径不小于100 mm，壁厚≥5mm；底盘法兰底平面直径≥600mm，钢板厚度≥22 mm，法兰底盘与主杆的支撑板（五边直角梯形）≥8块，高度≥250 mm，厚度≥16mm，梯形上部份≥50mm，下部分≥110mm；主杆与副杆的法兰盘尺寸≥500mm*500mm，厚度不小于25mm，支撑板（直角三角形）≥8块，高度≥200 mm，厚度≥16mm，直角三角形底边长度≥100mm，固定螺帽须热镀锌。（注：所有杆件需一次成型不得嫁接。）</w:t>
      </w:r>
    </w:p>
    <w:p>
      <w:pPr>
        <w:ind w:firstLine="480"/>
        <w:rPr>
          <w:rFonts w:ascii="微软雅黑" w:hAnsi="微软雅黑" w:eastAsia="微软雅黑" w:cs="微软雅黑"/>
          <w:color w:val="000000"/>
          <w:sz w:val="22"/>
          <w:szCs w:val="22"/>
        </w:rPr>
      </w:pPr>
      <w:r>
        <w:t>④9米≥副杆长度≥7米的杆件，主杆的高度不低于6.3米，主杆下（内）口径不小于350 mm，上（内）口径不小于300mm，壁厚≥8mm；副杆大头（内）口径不小于240 mm，小头（内）口径不小于100 mm，壁厚≥5mm；底盘法兰底平面直径≥600mm，钢板厚度≥22 mm，法兰底盘与主杆的支撑板（五边直角梯形）≥8块，高度≥200 mm，厚度≥16mm，梯形上部份≥50mm，下部分≥110mm；主杆与副杆的法兰盘尺寸≥450mm*450mm，厚度不小于20mm，支撑板（直角三角形）≥8块，高度≥200 mm，厚度≥16mm，直角三角形底边长度≥100mm，固定螺帽须热镀锌。（注：所有杆件需一次成型不得嫁接。）</w:t>
      </w:r>
    </w:p>
    <w:p>
      <w:pPr>
        <w:ind w:firstLine="480"/>
        <w:rPr>
          <w:rFonts w:ascii="微软雅黑" w:hAnsi="微软雅黑" w:eastAsia="微软雅黑" w:cs="微软雅黑"/>
          <w:color w:val="000000"/>
          <w:sz w:val="22"/>
          <w:szCs w:val="22"/>
        </w:rPr>
      </w:pPr>
      <w:r>
        <w:t>⑤6米≥副杆长度≥5米的杆件，主杆的高度不低于6.3米，主杆下（内）口径不小于280 mm，上（内）口径不小于250 mm，壁厚≥6mm；副杆大头（内）口径不小于190 mm，小头（内）口径不小于100 mm，壁厚≥5mm；底盘法兰底平面直径≥600mm，钢板厚度≥20 mm，法兰底盘与主杆的支撑板（五边直角梯形）≥6块，高度≥200 mm，厚度≥16mm，梯形上部份≥30mm，下部分≥100mm；主杆与副杆的法兰盘尺寸≥400mm*400mm，厚度不小于20mm，支撑板（直角三角形）≥8块，高度≥200 mm，厚度≥16mm，直角三角形底边长度≥100mm，固定螺帽须热镀锌。（注：所有杆件需一次成型不得嫁接。）</w:t>
      </w:r>
    </w:p>
    <w:p>
      <w:pPr>
        <w:ind w:firstLine="480"/>
        <w:rPr>
          <w:rFonts w:ascii="微软雅黑" w:hAnsi="微软雅黑" w:eastAsia="微软雅黑" w:cs="微软雅黑"/>
          <w:color w:val="000000"/>
          <w:sz w:val="22"/>
          <w:szCs w:val="22"/>
        </w:rPr>
      </w:pPr>
      <w:r>
        <w:t>⑥4米≥副杆长度≥1米的杆件，主杆的高度不低于6.3米（部分为5米），主杆下（内）口径不小于230mm，上（内）口径不小于150 mm，壁厚≥5mm；副杆114mm等径杆，壁厚≥4mm；底盘法兰底平面直径≥450mm，钢板厚度≥20 mm，法兰底盘与主杆的支撑板（五边直角梯形）≥6块，高度≥150 mm，厚度≥16mm，梯形上部份≥10mm，下部分≥80mm；主杆与副杆的法兰盘直径尺寸≥350mm，厚度不小于16mm，支撑板（直角三角形）≥4块，高度≥200 mm，厚度≥16mm，直角三角形底边长度≥100mm，固定螺帽须热镀锌。（注：所有杆件需一次成型不得嫁接。）</w:t>
      </w:r>
    </w:p>
    <w:p>
      <w:pPr>
        <w:ind w:firstLine="480"/>
        <w:rPr>
          <w:rFonts w:ascii="微软雅黑" w:hAnsi="微软雅黑" w:eastAsia="微软雅黑" w:cs="微软雅黑"/>
          <w:color w:val="000000"/>
          <w:sz w:val="22"/>
          <w:szCs w:val="22"/>
        </w:rPr>
      </w:pPr>
      <w:r>
        <w:t>⑦5米≥副杆长度≥4米的杆件，主杆高度为4米，主杆下（内）口径不小于230mm，上（内）口径不小于150 mm，壁厚≥5mm；副杆114mm等径杆，壁厚≥4mm；底盘法兰底平面直径≥450mm，钢板厚度≥20 mm，法兰底盘与主杆的支撑板（五边直角梯形）≥6块，高度≥150 mm，厚度≥16mm，梯形上部份≥10mm，下部分≥80mm；主杆与副杆的法兰盘直径尺寸≥350mm，厚度不小于16mm，支撑板（直角三角形）≥4块，高度≥200 mm，厚度≥16mm，直角三角形底边长度≥100mm，固定螺帽须热镀锌。（注：所有杆件需一次成型不得嫁接。）</w:t>
      </w:r>
    </w:p>
    <w:p>
      <w:pPr>
        <w:ind w:firstLine="480"/>
        <w:rPr>
          <w:rFonts w:ascii="微软雅黑" w:hAnsi="微软雅黑" w:eastAsia="微软雅黑" w:cs="微软雅黑"/>
          <w:color w:val="000000"/>
          <w:sz w:val="22"/>
          <w:szCs w:val="22"/>
        </w:rPr>
      </w:pPr>
      <w:r>
        <w:t>⑧3米≥副杆长度≥1米的杆件，主杆高度不高于4米，主杆140mm等径杆，壁厚≥5mm；副杆114mm等径杆，壁厚≥4mm；底盘法兰底平面直径≥450mm，钢板厚度≥20 mm，法兰底盘与主杆的支撑板（五边直角梯形）≥6块，高度≥150 mm，厚度≥16mm，梯形上部份≥10mm，下部分≥80mm；主杆与副杆的法兰盘直径尺寸≥350mm，厚度不小于16mm，支撑板（直角三角形）≥4块，高度≥200 mm，厚度≥16mm，直角三角形底边长度≥100mm，固定螺帽须热镀锌。（注：所有杆件需一次成型不得嫁接。）</w:t>
      </w:r>
    </w:p>
    <w:p>
      <w:pPr>
        <w:ind w:firstLine="480"/>
        <w:rPr>
          <w:rFonts w:ascii="微软雅黑" w:hAnsi="微软雅黑" w:eastAsia="微软雅黑" w:cs="微软雅黑"/>
          <w:color w:val="000000"/>
          <w:sz w:val="22"/>
          <w:szCs w:val="22"/>
        </w:rPr>
      </w:pPr>
      <w:r>
        <w:t>中标方应在上述参数的基础上，出具钢结构设计资质盖章的杆件详细构造图。</w:t>
      </w:r>
    </w:p>
    <w:p>
      <w:pPr>
        <w:numPr>
          <w:ilvl w:val="0"/>
          <w:numId w:val="33"/>
        </w:numPr>
        <w:ind w:firstLine="480"/>
        <w:rPr>
          <w:rFonts w:ascii="微软雅黑" w:hAnsi="微软雅黑" w:eastAsia="微软雅黑" w:cs="微软雅黑"/>
          <w:color w:val="000000"/>
          <w:sz w:val="22"/>
          <w:szCs w:val="22"/>
        </w:rPr>
      </w:pPr>
      <w:r>
        <w:t>监控杆件须整体热镀锌，镀锌层厚度≥85um，抗风等级达16级，抗风能力≥55m/s，抗震等级：8级地震。按国家最新标准版本《碳素结构钢》、《电气装置安装工程电缆线路施工及验收规范》、《钢结构工程施工及验收规范》、《钢筋混凝土工程施工验收规范》等相关规范进行施工。</w:t>
      </w:r>
    </w:p>
    <w:p>
      <w:pPr>
        <w:rPr>
          <w:rFonts w:ascii="微软雅黑" w:hAnsi="微软雅黑" w:eastAsia="微软雅黑" w:cs="微软雅黑"/>
          <w:b/>
          <w:bCs/>
          <w:sz w:val="22"/>
        </w:rPr>
      </w:pPr>
      <w:r>
        <w:t>2.11.3立杆基础设计</w:t>
      </w:r>
    </w:p>
    <w:p>
      <w:pPr>
        <w:ind w:firstLine="480"/>
        <w:rPr>
          <w:rFonts w:ascii="微软雅黑" w:hAnsi="微软雅黑" w:eastAsia="微软雅黑" w:cs="微软雅黑"/>
          <w:sz w:val="22"/>
          <w:szCs w:val="22"/>
          <w:shd w:val="clear" w:color="auto" w:fill="FFFFFF"/>
        </w:rPr>
      </w:pPr>
      <w:r>
        <w:t xml:space="preserve">立杆基础灌筑技术指标如下： </w:t>
      </w:r>
    </w:p>
    <w:p>
      <w:pPr>
        <w:numPr>
          <w:ilvl w:val="0"/>
          <w:numId w:val="34"/>
        </w:numPr>
        <w:ind w:firstLine="480"/>
        <w:rPr>
          <w:rFonts w:ascii="微软雅黑" w:hAnsi="微软雅黑" w:eastAsia="微软雅黑" w:cs="微软雅黑"/>
          <w:sz w:val="22"/>
          <w:szCs w:val="22"/>
          <w:shd w:val="clear" w:color="auto" w:fill="FFFFFF"/>
        </w:rPr>
      </w:pPr>
      <w:r>
        <w:t>基础深度应至少达到1500mm；</w:t>
      </w:r>
    </w:p>
    <w:p>
      <w:pPr>
        <w:numPr>
          <w:ilvl w:val="0"/>
          <w:numId w:val="34"/>
        </w:numPr>
        <w:ind w:firstLine="480"/>
        <w:rPr>
          <w:rFonts w:ascii="微软雅黑" w:hAnsi="微软雅黑" w:eastAsia="微软雅黑" w:cs="微软雅黑"/>
          <w:sz w:val="22"/>
          <w:szCs w:val="22"/>
          <w:shd w:val="clear" w:color="auto" w:fill="FFFFFF"/>
        </w:rPr>
      </w:pPr>
      <w:r>
        <w:t>底部直径应≥1m；</w:t>
      </w:r>
    </w:p>
    <w:p>
      <w:pPr>
        <w:numPr>
          <w:ilvl w:val="0"/>
          <w:numId w:val="34"/>
        </w:numPr>
        <w:ind w:firstLine="480"/>
        <w:rPr>
          <w:rFonts w:ascii="微软雅黑" w:hAnsi="微软雅黑" w:eastAsia="微软雅黑" w:cs="微软雅黑"/>
          <w:sz w:val="22"/>
          <w:szCs w:val="22"/>
          <w:shd w:val="clear" w:color="auto" w:fill="FFFFFF"/>
        </w:rPr>
      </w:pPr>
      <w:r>
        <w:t>基础中心放入直径25mm /PE管，与过渡窨井相连；</w:t>
      </w:r>
    </w:p>
    <w:p>
      <w:pPr>
        <w:numPr>
          <w:ilvl w:val="0"/>
          <w:numId w:val="34"/>
        </w:numPr>
        <w:ind w:firstLine="480"/>
        <w:rPr>
          <w:rFonts w:ascii="微软雅黑" w:hAnsi="微软雅黑" w:eastAsia="微软雅黑" w:cs="微软雅黑"/>
          <w:sz w:val="22"/>
          <w:szCs w:val="22"/>
          <w:shd w:val="clear" w:color="auto" w:fill="FFFFFF"/>
        </w:rPr>
      </w:pPr>
      <w:r>
        <w:t>基础采用商砼C20灌筑；</w:t>
      </w:r>
    </w:p>
    <w:p>
      <w:pPr>
        <w:numPr>
          <w:ilvl w:val="0"/>
          <w:numId w:val="34"/>
        </w:numPr>
        <w:ind w:firstLine="480"/>
        <w:rPr>
          <w:rFonts w:ascii="微软雅黑" w:hAnsi="微软雅黑" w:eastAsia="微软雅黑" w:cs="微软雅黑"/>
          <w:sz w:val="22"/>
          <w:szCs w:val="22"/>
          <w:shd w:val="clear" w:color="auto" w:fill="FFFFFF"/>
        </w:rPr>
      </w:pPr>
      <w:r>
        <w:t>混凝土养护时间，不宜少于28天，具体参照《水工混凝土施工规范》（5144-2001）《水泥混凝土路面施工技术规范》（JTG F30-2003）等标准。</w:t>
      </w:r>
    </w:p>
    <w:p>
      <w:pPr>
        <w:ind w:firstLine="480"/>
        <w:rPr>
          <w:rFonts w:ascii="等线" w:hAnsi="等线" w:eastAsia="等线"/>
        </w:rPr>
      </w:pPr>
      <w:r/>
    </w:p>
    <w:p>
      <w:pPr>
        <w:ind w:firstLine="480"/>
        <w:jc w:val="center"/>
        <w:rPr>
          <w:rFonts w:ascii="微软雅黑" w:hAnsi="微软雅黑" w:eastAsia="微软雅黑" w:cs="微软雅黑"/>
          <w:b/>
          <w:bCs/>
        </w:rPr>
      </w:pPr>
      <w:r>
        <w:t>基础笼大样图参考</w:t>
      </w:r>
    </w:p>
    <w:p>
      <w:pPr>
        <w:rPr>
          <w:rFonts w:ascii="微软雅黑" w:hAnsi="微软雅黑" w:eastAsia="微软雅黑" w:cs="微软雅黑"/>
          <w:b/>
          <w:bCs/>
          <w:sz w:val="22"/>
        </w:rPr>
      </w:pPr>
      <w:r>
        <w:t>2.11.4普通箱设计</w:t>
      </w:r>
    </w:p>
    <w:p>
      <w:pPr>
        <w:numPr>
          <w:ilvl w:val="0"/>
          <w:numId w:val="35"/>
        </w:numPr>
        <w:ind w:firstLine="480"/>
        <w:rPr>
          <w:rFonts w:ascii="微软雅黑" w:hAnsi="微软雅黑" w:eastAsia="微软雅黑" w:cs="微软雅黑"/>
          <w:color w:val="000000" w:themeColor="text1"/>
          <w:sz w:val="22"/>
          <w:szCs w:val="28"/>
        </w:rPr>
      </w:pPr>
      <w:r>
        <w:t>内置要求：尺寸：500×450×250箱壳采用1.5mm镀锌板喷塑处理，托板采用1.5mm冷轧板喷塑处理。</w:t>
      </w:r>
    </w:p>
    <w:p>
      <w:pPr>
        <w:ind w:firstLine="480"/>
        <w:rPr>
          <w:rFonts w:ascii="微软雅黑" w:hAnsi="微软雅黑" w:eastAsia="微软雅黑" w:cs="微软雅黑"/>
          <w:color w:val="000000" w:themeColor="text1"/>
          <w:sz w:val="22"/>
        </w:rPr>
      </w:pPr>
      <w:r>
        <w:t>内置：风机1只，温控仪（可调控温度）1只，装于顶部封板上；公牛插座1只（两个三插，一个两插），正泰牌2P16A：2只，浪涌保护器（2P）1只，熔接盘装于底板上，位于上部；光缆固定架1只（装于背部）；托板1块（可活动），装于4根立柱上；存储盒（20mm深）1只位于门上，箱体顶部需做防雨帽,进线孔数量须4个，孔径40mm，孔接头M40*1.5，有胶套保护；开门处加密封条，具备防盗装置和带防水锁扣。</w:t>
      </w:r>
    </w:p>
    <w:p>
      <w:pPr>
        <w:numPr>
          <w:ilvl w:val="0"/>
          <w:numId w:val="35"/>
        </w:numPr>
        <w:ind w:firstLine="480"/>
        <w:rPr>
          <w:rFonts w:ascii="微软雅黑" w:hAnsi="微软雅黑" w:eastAsia="微软雅黑" w:cs="微软雅黑"/>
          <w:color w:val="000000" w:themeColor="text1"/>
          <w:sz w:val="22"/>
        </w:rPr>
      </w:pPr>
      <w:r>
        <w:t>防护等级不低于IP54；</w:t>
      </w:r>
    </w:p>
    <w:p>
      <w:pPr>
        <w:numPr>
          <w:ilvl w:val="0"/>
          <w:numId w:val="35"/>
        </w:numPr>
        <w:ind w:firstLine="480"/>
        <w:rPr>
          <w:rFonts w:ascii="微软雅黑" w:hAnsi="微软雅黑" w:eastAsia="微软雅黑" w:cs="微软雅黑"/>
          <w:color w:val="000000" w:themeColor="text1"/>
          <w:sz w:val="22"/>
        </w:rPr>
      </w:pPr>
      <w:r>
        <w:t>箱体采用镀锌板，厚度背板要求不小于1.5mm, 箱体表面要求有可靠防腐防锈措施，外表喷室外塑粉；</w:t>
      </w:r>
    </w:p>
    <w:p>
      <w:pPr>
        <w:numPr>
          <w:ilvl w:val="0"/>
          <w:numId w:val="35"/>
        </w:numPr>
        <w:ind w:firstLine="480"/>
        <w:rPr>
          <w:rFonts w:ascii="微软雅黑" w:hAnsi="微软雅黑" w:eastAsia="微软雅黑" w:cs="微软雅黑"/>
          <w:color w:val="000000" w:themeColor="text1"/>
          <w:sz w:val="22"/>
        </w:rPr>
      </w:pPr>
      <w:r>
        <w:t>箱体底板必须冲孔，均匀分布，利于散热和排水；箱体左右两侧上部中央开散热孔，要求使用冲孔或百页式，并设有过滤装置；</w:t>
      </w:r>
    </w:p>
    <w:p>
      <w:pPr>
        <w:numPr>
          <w:ilvl w:val="0"/>
          <w:numId w:val="35"/>
        </w:numPr>
        <w:ind w:firstLine="480"/>
        <w:rPr>
          <w:rFonts w:ascii="微软雅黑" w:hAnsi="微软雅黑" w:eastAsia="微软雅黑" w:cs="微软雅黑"/>
          <w:color w:val="000000" w:themeColor="text1"/>
          <w:sz w:val="22"/>
        </w:rPr>
      </w:pPr>
      <w:r>
        <w:t>设备箱必须固定牢固；箱体进线孔必须有胶套保护，防止各种线缆被挂伤，进出线口需带防水锁扣；箱体应该有防盗措施；箱体应有充足的安装空间，方便设备安装维护；箱体门框部位必须配备防水密封圈。</w:t>
      </w:r>
    </w:p>
    <w:p>
      <w:pPr>
        <w:numPr>
          <w:ilvl w:val="0"/>
          <w:numId w:val="35"/>
        </w:numPr>
        <w:ind w:firstLine="480"/>
        <w:rPr>
          <w:rFonts w:ascii="微软雅黑" w:hAnsi="微软雅黑" w:eastAsia="微软雅黑" w:cs="微软雅黑"/>
          <w:color w:val="000000" w:themeColor="text1"/>
          <w:sz w:val="22"/>
        </w:rPr>
      </w:pPr>
      <w:r>
        <w:t>箱体有适当位置可安装接地铜条或铜排，有接地固定位置。</w:t>
      </w:r>
    </w:p>
    <w:p>
      <w:pPr>
        <w:numPr>
          <w:ilvl w:val="0"/>
          <w:numId w:val="35"/>
        </w:numPr>
        <w:ind w:firstLine="480"/>
        <w:rPr>
          <w:rFonts w:ascii="微软雅黑" w:hAnsi="微软雅黑" w:eastAsia="微软雅黑" w:cs="微软雅黑"/>
          <w:color w:val="000000" w:themeColor="text1"/>
          <w:sz w:val="22"/>
        </w:rPr>
      </w:pPr>
      <w:r>
        <w:t>箱体应贴上机柜的各种功能标签以便维护。箱体正面中间上面印有警徽和公安监控字样，箱体正面左下角印有6位区域对象码和维修报障联系电话，箱体正面右下角印有中标单位名称或标识，箱体侧面可印施工编号，箱体其他地方不能有任何标识和字体。</w:t>
      </w:r>
    </w:p>
    <w:p>
      <w:pPr>
        <w:rPr>
          <w:rFonts w:ascii="微软雅黑" w:hAnsi="微软雅黑" w:eastAsia="微软雅黑" w:cs="微软雅黑"/>
          <w:b/>
          <w:bCs/>
          <w:sz w:val="22"/>
        </w:rPr>
      </w:pPr>
      <w:r>
        <w:t>2.11.5设备箱安装要求</w:t>
      </w:r>
    </w:p>
    <w:p>
      <w:pPr>
        <w:numPr>
          <w:ilvl w:val="0"/>
          <w:numId w:val="36"/>
        </w:numPr>
        <w:ind w:firstLine="480"/>
        <w:rPr>
          <w:rFonts w:ascii="微软雅黑" w:hAnsi="微软雅黑" w:eastAsia="微软雅黑" w:cs="微软雅黑"/>
          <w:color w:val="000000" w:themeColor="text1"/>
          <w:sz w:val="22"/>
        </w:rPr>
      </w:pPr>
      <w:r>
        <w:t>箱体的安装必须牢固稳定，具有防风和抗震措施；</w:t>
      </w:r>
    </w:p>
    <w:p>
      <w:pPr>
        <w:numPr>
          <w:ilvl w:val="0"/>
          <w:numId w:val="36"/>
        </w:numPr>
        <w:ind w:firstLine="480"/>
        <w:rPr>
          <w:rFonts w:ascii="微软雅黑" w:hAnsi="微软雅黑" w:eastAsia="微软雅黑" w:cs="微软雅黑"/>
          <w:color w:val="000000" w:themeColor="text1"/>
          <w:sz w:val="22"/>
        </w:rPr>
      </w:pPr>
      <w:r>
        <w:t>防晒保护：由于机柜内需要放置通信设备，机柜内温度不能过高，机柜需要有一定的防晒保护，同时可以为机柜设置遮阳板，减少机柜直接受到暴晒；</w:t>
      </w:r>
    </w:p>
    <w:p>
      <w:pPr>
        <w:numPr>
          <w:ilvl w:val="0"/>
          <w:numId w:val="36"/>
        </w:numPr>
        <w:ind w:firstLine="480"/>
        <w:rPr>
          <w:rFonts w:ascii="微软雅黑" w:hAnsi="微软雅黑" w:eastAsia="微软雅黑" w:cs="微软雅黑"/>
          <w:color w:val="000000" w:themeColor="text1"/>
          <w:sz w:val="22"/>
        </w:rPr>
      </w:pPr>
      <w:r>
        <w:t>防湿保护：设备在露天能经受雨水，防护等级不低于IP54，电气和设备不会因为漏雨水造成短路；</w:t>
      </w:r>
    </w:p>
    <w:p>
      <w:pPr>
        <w:numPr>
          <w:ilvl w:val="0"/>
          <w:numId w:val="36"/>
        </w:numPr>
        <w:ind w:firstLine="480"/>
        <w:rPr>
          <w:rFonts w:ascii="微软雅黑" w:hAnsi="微软雅黑" w:eastAsia="微软雅黑" w:cs="微软雅黑"/>
          <w:color w:val="000000" w:themeColor="text1"/>
          <w:sz w:val="22"/>
        </w:rPr>
      </w:pPr>
      <w:r>
        <w:t>防尘保护：在机柜进风口和出风口处安装防尘过滤网，定期清除过滤网上灰尘， 以防滤网堵塞引起机柜排热就失效；</w:t>
      </w:r>
    </w:p>
    <w:p>
      <w:pPr>
        <w:numPr>
          <w:ilvl w:val="0"/>
          <w:numId w:val="36"/>
        </w:numPr>
        <w:ind w:firstLine="480"/>
        <w:rPr>
          <w:rFonts w:ascii="微软雅黑" w:hAnsi="微软雅黑" w:eastAsia="微软雅黑" w:cs="微软雅黑"/>
          <w:color w:val="000000" w:themeColor="text1"/>
          <w:sz w:val="22"/>
        </w:rPr>
      </w:pPr>
      <w:r>
        <w:t>挂式机箱的承载体必须坚固（如：建筑承重墙、柱等），具有长期稳定性；挂设后不得有影响美观的明显几何偏差；挂式机箱装于室外时，应装有遮阳板。</w:t>
      </w:r>
    </w:p>
    <w:p>
      <w:pPr>
        <w:numPr>
          <w:ilvl w:val="0"/>
          <w:numId w:val="36"/>
        </w:numPr>
        <w:ind w:firstLine="480"/>
        <w:rPr>
          <w:rFonts w:ascii="微软雅黑" w:hAnsi="微软雅黑" w:eastAsia="微软雅黑" w:cs="微软雅黑"/>
          <w:color w:val="000000" w:themeColor="text1"/>
          <w:sz w:val="22"/>
        </w:rPr>
      </w:pPr>
      <w:r>
        <w:t>设备箱内需留足够空间提供给供电空开或闸刀等。</w:t>
      </w:r>
    </w:p>
    <w:p>
      <w:pPr>
        <w:numPr>
          <w:ilvl w:val="0"/>
          <w:numId w:val="36"/>
        </w:numPr>
        <w:ind w:firstLine="480"/>
        <w:rPr>
          <w:rFonts w:ascii="微软雅黑" w:hAnsi="微软雅黑" w:eastAsia="微软雅黑" w:cs="微软雅黑"/>
          <w:color w:val="000000" w:themeColor="text1"/>
          <w:sz w:val="22"/>
        </w:rPr>
      </w:pPr>
      <w:r>
        <w:t>所有机箱箱体应贴上各种功能标签以便维护。箱体正面右下角印有中标单位名称或标识，箱体侧面可印施工编号，箱体其他地方不能有任何标识和字体。</w:t>
      </w:r>
    </w:p>
    <w:p>
      <w:pPr>
        <w:rPr>
          <w:rFonts w:ascii="微软雅黑" w:hAnsi="微软雅黑" w:eastAsia="微软雅黑" w:cs="微软雅黑"/>
          <w:b/>
          <w:bCs/>
          <w:sz w:val="22"/>
        </w:rPr>
      </w:pPr>
      <w:r>
        <w:t>前端设备箱安装设计</w:t>
      </w:r>
    </w:p>
    <w:p>
      <w:pPr>
        <w:jc w:val="center"/>
        <w:rPr>
          <w:rFonts w:ascii="等线" w:hAnsi="等线" w:eastAsia="等线"/>
          <w:b/>
          <w:bCs/>
          <w:color w:val="000000" w:themeColor="text1"/>
        </w:rPr>
      </w:pPr>
      <w:r/>
    </w:p>
    <w:p>
      <w:pPr>
        <w:ind w:firstLine="480"/>
        <w:rPr>
          <w:rFonts w:ascii="等线" w:hAnsi="等线" w:eastAsia="等线"/>
          <w:b/>
        </w:rPr>
      </w:pPr>
      <w:r/>
    </w:p>
    <w:p>
      <w:pPr>
        <w:rPr>
          <w:rFonts w:ascii="微软雅黑" w:hAnsi="微软雅黑" w:eastAsia="微软雅黑" w:cs="微软雅黑"/>
          <w:b/>
          <w:bCs/>
          <w:sz w:val="22"/>
          <w:szCs w:val="22"/>
        </w:rPr>
      </w:pPr>
      <w:r>
        <w:t>2.11.6箱及材料质量要求</w:t>
      </w:r>
    </w:p>
    <w:p>
      <w:pPr>
        <w:numPr>
          <w:ilvl w:val="0"/>
          <w:numId w:val="37"/>
        </w:numPr>
        <w:ind w:firstLine="480"/>
        <w:rPr>
          <w:rFonts w:ascii="微软雅黑" w:hAnsi="微软雅黑" w:eastAsia="微软雅黑" w:cs="微软雅黑"/>
          <w:color w:val="000000" w:themeColor="text1"/>
          <w:sz w:val="22"/>
          <w:szCs w:val="22"/>
        </w:rPr>
      </w:pPr>
      <w:r>
        <w:t>箱体安装时，抱箍材料必须采用热镀锌材料，热镀锌材料板厚度不应小于2mm，连接螺栓、螺母、垫圈等钢铁件采用304不锈钢制作。</w:t>
      </w:r>
    </w:p>
    <w:p>
      <w:pPr>
        <w:numPr>
          <w:ilvl w:val="0"/>
          <w:numId w:val="37"/>
        </w:numPr>
        <w:ind w:firstLine="480"/>
        <w:rPr>
          <w:rFonts w:ascii="微软雅黑" w:hAnsi="微软雅黑" w:eastAsia="微软雅黑" w:cs="微软雅黑"/>
          <w:b/>
          <w:bCs/>
          <w:color w:val="000000" w:themeColor="text1"/>
          <w:sz w:val="22"/>
          <w:szCs w:val="22"/>
          <w:u w:val="single"/>
        </w:rPr>
      </w:pPr>
      <w:r>
        <w:t>辅材标准不低于：摄像机至箱电源线材质（RVV3*1.0），网线材质（采用成品线），控制线材质(RVVS2*0.5)，不低于国标标准。</w:t>
      </w:r>
    </w:p>
    <w:p>
      <w:pPr>
        <w:rPr>
          <w:rFonts w:ascii="微软雅黑" w:hAnsi="微软雅黑" w:eastAsia="微软雅黑" w:cs="微软雅黑"/>
          <w:b/>
          <w:bCs/>
          <w:sz w:val="22"/>
          <w:szCs w:val="22"/>
        </w:rPr>
      </w:pPr>
      <w:r>
        <w:t>2.11.7取电要求</w:t>
      </w:r>
    </w:p>
    <w:p>
      <w:pPr>
        <w:ind w:firstLine="480"/>
        <w:rPr>
          <w:rFonts w:ascii="微软雅黑" w:hAnsi="微软雅黑" w:eastAsia="微软雅黑" w:cs="微软雅黑"/>
          <w:color w:val="000000" w:themeColor="text1"/>
          <w:sz w:val="22"/>
          <w:szCs w:val="22"/>
        </w:rPr>
      </w:pPr>
      <w:r>
        <w:t>本项目取电基本都在通信站点内进行取电，点位至配电箱和设备机箱之间电源线缆及连接。取电要求为：</w:t>
      </w:r>
    </w:p>
    <w:p>
      <w:pPr>
        <w:ind w:firstLine="480"/>
        <w:rPr>
          <w:rFonts w:ascii="微软雅黑" w:hAnsi="微软雅黑" w:eastAsia="微软雅黑" w:cs="微软雅黑"/>
          <w:color w:val="000000" w:themeColor="text1"/>
          <w:sz w:val="22"/>
          <w:szCs w:val="22"/>
        </w:rPr>
      </w:pPr>
      <w:r>
        <w:t>电压：AC 220V±10%；</w:t>
      </w:r>
    </w:p>
    <w:p>
      <w:pPr>
        <w:ind w:firstLine="480"/>
        <w:rPr>
          <w:rFonts w:ascii="微软雅黑" w:hAnsi="微软雅黑" w:eastAsia="微软雅黑" w:cs="微软雅黑"/>
          <w:color w:val="000000" w:themeColor="text1"/>
          <w:sz w:val="22"/>
          <w:szCs w:val="22"/>
        </w:rPr>
      </w:pPr>
      <w:r>
        <w:t>频率：50Hz±2Hz；</w:t>
      </w:r>
    </w:p>
    <w:p>
      <w:pPr>
        <w:ind w:firstLine="480"/>
        <w:rPr>
          <w:rFonts w:ascii="微软雅黑" w:hAnsi="微软雅黑" w:eastAsia="微软雅黑" w:cs="微软雅黑"/>
          <w:color w:val="000000" w:themeColor="text1"/>
          <w:sz w:val="22"/>
          <w:szCs w:val="22"/>
        </w:rPr>
      </w:pPr>
      <w:r>
        <w:t>额定功率：应至少满足单个点位设备正常工作所需的额定功率,并另提供100%容量冗余。</w:t>
      </w:r>
    </w:p>
    <w:p>
      <w:pPr>
        <w:ind w:firstLine="480"/>
        <w:rPr>
          <w:rFonts w:ascii="微软雅黑" w:hAnsi="微软雅黑" w:eastAsia="微软雅黑" w:cs="微软雅黑"/>
          <w:color w:val="000000" w:themeColor="text1"/>
          <w:sz w:val="22"/>
          <w:szCs w:val="22"/>
        </w:rPr>
      </w:pPr>
      <w:r>
        <w:t>稳定性：应达到常年稳定正常供电，因电气故障等原因年平均断电时间不超过1小时。</w:t>
      </w:r>
    </w:p>
    <w:p>
      <w:pPr>
        <w:ind w:firstLine="480"/>
        <w:rPr>
          <w:rFonts w:ascii="微软雅黑" w:hAnsi="微软雅黑" w:eastAsia="微软雅黑" w:cs="微软雅黑"/>
          <w:b/>
          <w:bCs/>
          <w:color w:val="000000" w:themeColor="text1"/>
          <w:sz w:val="22"/>
          <w:szCs w:val="22"/>
          <w:u w:val="single"/>
        </w:rPr>
      </w:pPr>
      <w:r>
        <w:t>强电220V取电电源线不低于RVV2*2.5国标线，根据实际情况，根据实际线缆的长短进行线径的增大，电源线需要套管处理。</w:t>
      </w:r>
    </w:p>
    <w:p>
      <w:pPr>
        <w:rPr>
          <w:rFonts w:ascii="微软雅黑" w:hAnsi="微软雅黑" w:eastAsia="微软雅黑" w:cs="微软雅黑"/>
          <w:b/>
          <w:bCs/>
          <w:sz w:val="22"/>
          <w:szCs w:val="22"/>
        </w:rPr>
      </w:pPr>
      <w:r>
        <w:t>2.12设备安全性要求</w:t>
      </w:r>
    </w:p>
    <w:p>
      <w:pPr>
        <w:ind w:firstLine="480"/>
        <w:rPr>
          <w:rFonts w:ascii="微软雅黑" w:hAnsi="微软雅黑" w:eastAsia="微软雅黑" w:cs="微软雅黑"/>
          <w:sz w:val="22"/>
          <w:szCs w:val="22"/>
        </w:rPr>
      </w:pPr>
      <w:r>
        <w:t>前端监控设备如摄像机、设备箱等均须具备良好的安全性。</w:t>
      </w:r>
    </w:p>
    <w:p>
      <w:pPr>
        <w:numPr>
          <w:ilvl w:val="0"/>
          <w:numId w:val="38"/>
        </w:numPr>
        <w:ind w:firstLine="480"/>
        <w:rPr>
          <w:rFonts w:ascii="微软雅黑" w:hAnsi="微软雅黑" w:eastAsia="微软雅黑" w:cs="微软雅黑"/>
          <w:sz w:val="22"/>
          <w:szCs w:val="22"/>
        </w:rPr>
      </w:pPr>
      <w:r>
        <w:t>智能温控系统：带有加热板和温控风扇，可根据外界环境的变化，调节前端设备温湿度，延长使用寿命。</w:t>
      </w:r>
    </w:p>
    <w:p>
      <w:pPr>
        <w:numPr>
          <w:ilvl w:val="0"/>
          <w:numId w:val="38"/>
        </w:numPr>
        <w:ind w:firstLine="480"/>
        <w:rPr>
          <w:rFonts w:ascii="微软雅黑" w:hAnsi="微软雅黑" w:eastAsia="微软雅黑" w:cs="微软雅黑"/>
          <w:sz w:val="22"/>
          <w:szCs w:val="22"/>
        </w:rPr>
      </w:pPr>
      <w:r>
        <w:t>良好的防水功能：防护等级≥IP54，支持高级别的防水功能，以适应恶劣的户外环境。</w:t>
      </w:r>
    </w:p>
    <w:p>
      <w:pPr>
        <w:numPr>
          <w:ilvl w:val="0"/>
          <w:numId w:val="38"/>
        </w:numPr>
        <w:ind w:firstLine="480"/>
        <w:rPr>
          <w:rFonts w:ascii="微软雅黑" w:hAnsi="微软雅黑" w:eastAsia="微软雅黑" w:cs="微软雅黑"/>
          <w:sz w:val="22"/>
          <w:szCs w:val="22"/>
        </w:rPr>
      </w:pPr>
      <w:r>
        <w:t>防雷功能：室外前端设备应有防雷接地。立杆应有防直击雷措施，室外前端设备（摄像机、电源、解码器、云台及摄像机快门联动装置等）应有过流过压雷电浪涌保护装置；应具备接地防雷装置并保证前端设备做好等电位联接，防雷接地电阻宜≤10Ω。接地电阻宜≤10Ω，当土壤电阻率大于2000Ω/m以上时，可放宽到20Ω，水库周边根据具体情况也可适当调整，如有多台摄像机共地时应尽量保证接地线当量长度相等并单点接地。</w:t>
      </w:r>
    </w:p>
    <w:p>
      <w:pPr>
        <w:rPr>
          <w:rFonts w:ascii="微软雅黑" w:hAnsi="微软雅黑" w:eastAsia="微软雅黑" w:cs="微软雅黑"/>
          <w:b/>
          <w:bCs/>
          <w:sz w:val="22"/>
          <w:szCs w:val="22"/>
        </w:rPr>
      </w:pPr>
      <w:r>
        <w:t>2.13网络要求</w:t>
      </w:r>
    </w:p>
    <w:p>
      <w:pPr>
        <w:ind w:firstLine="440"/>
        <w:rPr>
          <w:rFonts w:ascii="微软雅黑" w:hAnsi="微软雅黑" w:eastAsia="微软雅黑" w:cs="微软雅黑"/>
          <w:color w:val="000000" w:themeColor="text1"/>
          <w:sz w:val="22"/>
          <w:szCs w:val="22"/>
        </w:rPr>
      </w:pPr>
      <w:r>
        <w:t>本次项目由运营商自行组网，网络架构和安全要求符合温岭市公共视频监控建设一体化改革的相关要求，前端采用不低于千兆链路上传，后端采用光模块的方式接入运营商汇聚机房，运营商机房再通过万兆光纤接入到温岭市各需求部门（综合行政执法局、教育局、农业农村和水利局、自然资源和规划局等）功能管理指挥中心，相关费用包含在总报价中。</w:t>
      </w:r>
    </w:p>
    <w:p>
      <w:pPr>
        <w:rPr>
          <w:rFonts w:ascii="微软雅黑" w:hAnsi="微软雅黑" w:eastAsia="微软雅黑" w:cs="微软雅黑"/>
          <w:color w:val="000000" w:themeColor="text1"/>
          <w:sz w:val="22"/>
          <w:szCs w:val="22"/>
        </w:rPr>
      </w:pPr>
      <w:r>
        <w:t xml:space="preserve">  前端视频图像采集设备到后端机房交换机之间的传输网络包括传输光缆、光转换设备、前端汇聚/分线设备、尾纤跳线等由投标人自行负责。</w:t>
      </w:r>
    </w:p>
    <w:bookmarkEnd w:id="138"/>
    <w:p>
      <w:pPr>
        <w:pStyle w:val="7"/>
        <w:rPr>
          <w:rFonts w:ascii="微软雅黑" w:hAnsi="微软雅黑" w:eastAsia="微软雅黑" w:cs="微软雅黑"/>
          <w:color w:val="000000" w:themeColor="text1"/>
          <w:sz w:val="22"/>
          <w:szCs w:val="22"/>
        </w:rPr>
      </w:pPr>
      <w:r>
        <w:t>系统组成</w:t>
      </w:r>
    </w:p>
    <w:p>
      <w:pPr>
        <w:ind w:firstLine="480"/>
        <w:rPr>
          <w:rFonts w:ascii="微软雅黑" w:hAnsi="微软雅黑" w:eastAsia="微软雅黑" w:cs="微软雅黑"/>
          <w:color w:val="000000" w:themeColor="text1"/>
          <w:sz w:val="22"/>
          <w:szCs w:val="22"/>
        </w:rPr>
      </w:pPr>
      <w:r>
        <w:t>1.存储主机+存储存储软件模块  2. 24块企业级8T及以上硬盘</w:t>
      </w:r>
    </w:p>
    <w:p>
      <w:pPr>
        <w:pStyle w:val="7"/>
        <w:rPr>
          <w:rFonts w:ascii="微软雅黑" w:hAnsi="微软雅黑" w:eastAsia="微软雅黑" w:cs="微软雅黑"/>
          <w:color w:val="000000" w:themeColor="text1"/>
          <w:sz w:val="22"/>
          <w:szCs w:val="22"/>
        </w:rPr>
      </w:pPr>
      <w:r>
        <w:t>系统拓扑图（SSU存储）</w:t>
      </w:r>
    </w:p>
    <w:p>
      <w:pPr>
        <w:ind w:firstLine="480"/>
        <w:jc w:val="center"/>
        <w:rPr>
          <w:rFonts w:ascii="等线" w:hAnsi="等线" w:eastAsia="等线"/>
        </w:rPr>
      </w:pPr>
      <w:r/>
    </w:p>
    <w:p>
      <w:pPr>
        <w:ind w:firstLine="480"/>
        <w:jc w:val="center"/>
        <w:rPr>
          <w:rFonts w:ascii="微软雅黑" w:hAnsi="微软雅黑" w:eastAsia="微软雅黑" w:cs="微软雅黑"/>
          <w:sz w:val="22"/>
          <w:szCs w:val="22"/>
        </w:rPr>
      </w:pPr>
      <w:r/>
    </w:p>
    <w:p>
      <w:pPr>
        <w:ind w:firstLine="440"/>
        <w:jc w:val="center"/>
        <w:rPr>
          <w:rFonts w:ascii="微软雅黑" w:hAnsi="微软雅黑" w:eastAsia="微软雅黑" w:cs="微软雅黑"/>
          <w:sz w:val="22"/>
          <w:szCs w:val="22"/>
        </w:rPr>
      </w:pPr>
      <w:r>
        <w:t>SSU直存-存储拓扑图</w:t>
      </w:r>
    </w:p>
    <w:p>
      <w:pPr>
        <w:ind w:firstLine="480"/>
        <w:rPr>
          <w:rFonts w:ascii="微软雅黑" w:hAnsi="微软雅黑" w:eastAsia="微软雅黑" w:cs="微软雅黑"/>
          <w:sz w:val="22"/>
          <w:szCs w:val="22"/>
        </w:rPr>
      </w:pPr>
      <w:r/>
    </w:p>
    <w:p>
      <w:pPr>
        <w:pStyle w:val="7"/>
        <w:rPr>
          <w:rFonts w:ascii="微软雅黑" w:hAnsi="微软雅黑" w:eastAsia="微软雅黑" w:cs="微软雅黑"/>
          <w:sz w:val="22"/>
          <w:szCs w:val="22"/>
        </w:rPr>
      </w:pPr>
      <w:r>
        <w:t>系统配置原则</w:t>
      </w:r>
    </w:p>
    <w:p>
      <w:pPr>
        <w:ind w:firstLine="440" w:firstLineChars="200"/>
        <w:rPr>
          <w:rFonts w:ascii="微软雅黑" w:hAnsi="微软雅黑" w:eastAsia="微软雅黑" w:cs="微软雅黑"/>
          <w:color w:val="000000" w:themeColor="text1"/>
          <w:sz w:val="22"/>
          <w:szCs w:val="22"/>
        </w:rPr>
      </w:pPr>
      <w:r>
        <w:t>录像存储计算原则：本次采用4U24盘位存储设备，考虑数据的安全性需占用1块硬盘做RAID5、2块用于热备，总共有效盘为21块，以24块8TB为例，单台设备总有效空间为0.9×8TB×21块=151.2TB。</w:t>
      </w:r>
    </w:p>
    <w:p>
      <w:pPr>
        <w:ind w:firstLine="480"/>
        <w:rPr>
          <w:rFonts w:ascii="微软雅黑" w:hAnsi="微软雅黑" w:eastAsia="微软雅黑" w:cs="微软雅黑"/>
          <w:color w:val="000000" w:themeColor="text1"/>
          <w:sz w:val="22"/>
          <w:szCs w:val="22"/>
        </w:rPr>
      </w:pPr>
      <w:r>
        <w:t>系统实现功能</w:t>
      </w:r>
    </w:p>
    <w:p>
      <w:pPr>
        <w:numPr>
          <w:ilvl w:val="0"/>
          <w:numId w:val="39"/>
        </w:numPr>
        <w:ind w:firstLine="480"/>
        <w:rPr>
          <w:rFonts w:ascii="微软雅黑" w:hAnsi="微软雅黑" w:eastAsia="微软雅黑" w:cs="微软雅黑"/>
          <w:color w:val="000000" w:themeColor="text1"/>
          <w:sz w:val="22"/>
          <w:szCs w:val="22"/>
        </w:rPr>
      </w:pPr>
      <w:r>
        <w:t>前端设备的录像数据通过iSCSI协议进行直接存储，存储设备直接进行收流存储。裸数据写入，检索极其简单，直接定位到数据块，检索速度大大提高时间将在1s以下。</w:t>
      </w:r>
    </w:p>
    <w:p>
      <w:pPr>
        <w:ind w:firstLine="480"/>
        <w:rPr>
          <w:rFonts w:ascii="微软雅黑" w:hAnsi="微软雅黑" w:eastAsia="微软雅黑" w:cs="微软雅黑"/>
          <w:color w:val="000000" w:themeColor="text1"/>
          <w:sz w:val="22"/>
          <w:szCs w:val="22"/>
        </w:rPr>
      </w:pPr>
      <w:r>
        <w:t>无需经过流媒体服务器进行数据转发，可以极大的减轻服务器的性能压力，消除网络瓶颈，降低扩容成本，提高存储效率。</w:t>
      </w:r>
    </w:p>
    <w:p>
      <w:pPr>
        <w:ind w:firstLine="480"/>
        <w:rPr>
          <w:rFonts w:ascii="微软雅黑" w:hAnsi="微软雅黑" w:eastAsia="微软雅黑" w:cs="微软雅黑"/>
          <w:color w:val="000000" w:themeColor="text1"/>
          <w:sz w:val="22"/>
          <w:szCs w:val="22"/>
        </w:rPr>
      </w:pPr>
      <w:r>
        <w:t>视频流和图片、视频文件进行混合直写存储，同时具备图片转发功能。</w:t>
      </w:r>
    </w:p>
    <w:p>
      <w:pPr>
        <w:numPr>
          <w:ilvl w:val="0"/>
          <w:numId w:val="39"/>
        </w:numPr>
        <w:ind w:firstLine="480"/>
        <w:rPr>
          <w:rFonts w:ascii="微软雅黑" w:hAnsi="微软雅黑" w:eastAsia="微软雅黑" w:cs="微软雅黑"/>
          <w:color w:val="000000" w:themeColor="text1"/>
          <w:sz w:val="22"/>
          <w:szCs w:val="22"/>
        </w:rPr>
      </w:pPr>
      <w:r>
        <w:t>存储支持读写属性配置，对于一些突发情况时需要对整台存储进行保护时，可方便配置“只读”属性。对于重要的录像，系统支持冻结功能，防止循环录像时对重要录像数据的覆盖。</w:t>
      </w:r>
    </w:p>
    <w:p>
      <w:pPr>
        <w:numPr>
          <w:ilvl w:val="0"/>
          <w:numId w:val="39"/>
        </w:numPr>
        <w:ind w:firstLine="480"/>
        <w:rPr>
          <w:rFonts w:ascii="微软雅黑" w:hAnsi="微软雅黑" w:eastAsia="微软雅黑" w:cs="微软雅黑"/>
          <w:color w:val="000000" w:themeColor="text1"/>
          <w:sz w:val="22"/>
          <w:szCs w:val="22"/>
        </w:rPr>
      </w:pPr>
      <w:r>
        <w:t>前端设备优先直接连接存储进行录像，如果设备直接访问存储不通时，系统将通过媒体转发服务进行录像存储。在用户访问存储的录像时（回放、下载），系统优先选择用户直接连接存储；如果用户和存储之间链路不通，系统将通过媒体转发服务器进行自动路由。</w:t>
      </w:r>
    </w:p>
    <w:p>
      <w:pPr>
        <w:numPr>
          <w:ilvl w:val="0"/>
          <w:numId w:val="39"/>
        </w:numPr>
        <w:ind w:firstLine="480"/>
        <w:rPr>
          <w:rFonts w:ascii="微软雅黑" w:hAnsi="微软雅黑" w:eastAsia="微软雅黑" w:cs="微软雅黑"/>
          <w:color w:val="000000" w:themeColor="text1"/>
          <w:sz w:val="22"/>
          <w:szCs w:val="22"/>
        </w:rPr>
      </w:pPr>
      <w:r>
        <w:t>系统具有RAID保护机制，并支持“N+M”集群部署，具有较高的稳定性和可靠性,应具有一定容量的自动冗余备份能力。一旦检测到主用存储故障时，录像将直接切换到备用存储。在主用存储恢复后，重新切换相应录像。</w:t>
      </w:r>
    </w:p>
    <w:p>
      <w:pPr>
        <w:numPr>
          <w:ilvl w:val="0"/>
          <w:numId w:val="39"/>
        </w:numPr>
        <w:ind w:firstLine="480"/>
        <w:rPr>
          <w:rFonts w:ascii="微软雅黑" w:hAnsi="微软雅黑" w:eastAsia="微软雅黑" w:cs="微软雅黑"/>
          <w:color w:val="000000" w:themeColor="text1"/>
          <w:sz w:val="22"/>
          <w:szCs w:val="22"/>
        </w:rPr>
      </w:pPr>
      <w:r>
        <w:t>设备正在录像时，如果由于线路或平台的原因导致连接中断。存储设备具有掉电保护功能，掉电时录像数据不会丢失和损坏，恢复供电后能自动进入正常工作状态；支持直写，在与流媒体服务断线情况下能保持存储功能不受影响；避免长期循环复写产生的 文件碎片问题。</w:t>
      </w:r>
    </w:p>
    <w:p>
      <w:pPr>
        <w:numPr>
          <w:ilvl w:val="0"/>
          <w:numId w:val="39"/>
        </w:numPr>
        <w:ind w:firstLine="480"/>
        <w:rPr>
          <w:rFonts w:ascii="微软雅黑" w:hAnsi="微软雅黑" w:eastAsia="微软雅黑" w:cs="微软雅黑"/>
          <w:color w:val="000000" w:themeColor="text1"/>
          <w:sz w:val="22"/>
          <w:szCs w:val="22"/>
        </w:rPr>
      </w:pPr>
      <w:r>
        <w:t>系统支持录像在线剪辑功能，用户在可以随意标记和记录感兴趣的录像片段。这些片段可以进行编辑，回放和下载。支持快速定位、回放和下载满足业务应用需求；支持录像锁定/解锁，保障重要数据不被覆盖。存储支持系统统一网管，系统的录像情况、运行状态一目了然。</w:t>
      </w:r>
    </w:p>
    <w:bookmarkEnd w:id="136"/>
    <w:p>
      <w:pPr>
        <w:widowControl/>
        <w:rPr>
          <w:rFonts w:ascii="微软雅黑" w:hAnsi="微软雅黑" w:eastAsia="微软雅黑" w:cs="微软雅黑"/>
          <w:b/>
          <w:bCs/>
          <w:sz w:val="28"/>
          <w:szCs w:val="28"/>
        </w:rPr>
      </w:pPr>
      <w:r>
        <w:t>三、运维服务：</w:t>
      </w:r>
    </w:p>
    <w:p>
      <w:pPr>
        <w:spacing w:line="380" w:lineRule="exact"/>
        <w:ind w:firstLine="480"/>
        <w:rPr>
          <w:rFonts w:ascii="微软雅黑" w:hAnsi="微软雅黑" w:eastAsia="微软雅黑" w:cs="微软雅黑"/>
          <w:sz w:val="22"/>
          <w:szCs w:val="22"/>
        </w:rPr>
      </w:pPr>
      <w:r>
        <w:t>根据温岭市公共视频监控建设一体化改革联席会议办公室相关文件规定的运维服务要求，需提供统一的运维报障平台，运维服务需实现对本项目内的软硬件资产规范化管理，设备运行状态的可视化管理、指标化监测、智能化故障定位和敏感信息识别，视频质量诊断、故障处理工单的电子化流转和统一的考核评价，从而达到提升信息化系统运营效率和管理水平，保障视频资源核心系统的安全、有序、稳定和高效运转。</w:t>
      </w:r>
    </w:p>
    <w:p>
      <w:pPr>
        <w:spacing w:line="360" w:lineRule="exact"/>
        <w:ind w:firstLine="440" w:firstLineChars="200"/>
        <w:rPr>
          <w:rFonts w:ascii="微软雅黑" w:hAnsi="微软雅黑" w:eastAsia="微软雅黑" w:cs="微软雅黑"/>
          <w:b/>
          <w:bCs/>
          <w:sz w:val="22"/>
          <w:szCs w:val="22"/>
        </w:rPr>
      </w:pPr>
      <w:r>
        <w:t>3.1总体运维要求：</w:t>
      </w:r>
    </w:p>
    <w:p>
      <w:pPr>
        <w:spacing w:line="380" w:lineRule="exact"/>
        <w:ind w:firstLine="480"/>
        <w:rPr>
          <w:rFonts w:ascii="微软雅黑" w:hAnsi="微软雅黑" w:eastAsia="微软雅黑" w:cs="微软雅黑"/>
          <w:sz w:val="22"/>
          <w:szCs w:val="22"/>
        </w:rPr>
      </w:pPr>
      <w:r>
        <w:t>建立完善的运维管理系统、运维团队架构、故障处理流程、电子化工单及考核体系、其他运维相关的业务流程规范和制度的制定等。运维服务目标：</w:t>
      </w:r>
    </w:p>
    <w:p>
      <w:pPr>
        <w:spacing w:line="380" w:lineRule="exact"/>
        <w:ind w:firstLine="480"/>
        <w:rPr>
          <w:rFonts w:ascii="微软雅黑" w:hAnsi="微软雅黑" w:eastAsia="微软雅黑" w:cs="微软雅黑"/>
          <w:sz w:val="22"/>
          <w:szCs w:val="22"/>
        </w:rPr>
      </w:pPr>
      <w:r>
        <w:t>视频在线率：应达到98%（含）以上；</w:t>
      </w:r>
    </w:p>
    <w:p>
      <w:pPr>
        <w:spacing w:line="380" w:lineRule="exact"/>
        <w:ind w:firstLine="480"/>
        <w:rPr>
          <w:rFonts w:ascii="微软雅黑" w:hAnsi="微软雅黑" w:eastAsia="微软雅黑" w:cs="微软雅黑"/>
          <w:sz w:val="22"/>
          <w:szCs w:val="22"/>
        </w:rPr>
      </w:pPr>
      <w:r>
        <w:t>视频质量完好率：应达到98%（含）以上；</w:t>
      </w:r>
    </w:p>
    <w:p>
      <w:pPr>
        <w:spacing w:line="380" w:lineRule="exact"/>
        <w:ind w:firstLine="480"/>
        <w:rPr>
          <w:rFonts w:ascii="微软雅黑" w:hAnsi="微软雅黑" w:eastAsia="微软雅黑" w:cs="微软雅黑"/>
          <w:sz w:val="22"/>
          <w:szCs w:val="22"/>
        </w:rPr>
      </w:pPr>
      <w:r>
        <w:t>平台及网络可靠性：应达到99.99%（含）以上；</w:t>
      </w:r>
    </w:p>
    <w:p>
      <w:pPr>
        <w:spacing w:line="380" w:lineRule="exact"/>
        <w:ind w:firstLine="480"/>
        <w:rPr>
          <w:rFonts w:ascii="微软雅黑" w:hAnsi="微软雅黑" w:eastAsia="微软雅黑" w:cs="微软雅黑"/>
          <w:sz w:val="22"/>
          <w:szCs w:val="22"/>
        </w:rPr>
      </w:pPr>
      <w:r>
        <w:t>一机一档数据准确性：应达到99.99%（含）以上。</w:t>
      </w:r>
    </w:p>
    <w:p>
      <w:pPr>
        <w:spacing w:line="380" w:lineRule="exact"/>
        <w:ind w:firstLine="480"/>
        <w:rPr>
          <w:rFonts w:ascii="微软雅黑" w:hAnsi="微软雅黑" w:eastAsia="微软雅黑" w:cs="微软雅黑"/>
          <w:sz w:val="22"/>
          <w:szCs w:val="22"/>
        </w:rPr>
      </w:pPr>
      <w:r>
        <w:t>运维响应时间符合省厅、市局的考核要求。提供7*24小时故障电话服务热线。7*24小时响应，故障申告后：非城区范围4小时到现场，如遇重、特大事故需紧急抢修的，特殊处理。由于自然灾害、不可抗力和人为等引起的故障，由投标人提交申请，进行报备，待故障处理后再恢复上线。</w:t>
      </w:r>
    </w:p>
    <w:p>
      <w:pPr>
        <w:spacing w:line="360" w:lineRule="exact"/>
        <w:ind w:firstLine="440" w:firstLineChars="200"/>
        <w:rPr>
          <w:rFonts w:ascii="微软雅黑" w:hAnsi="微软雅黑" w:eastAsia="微软雅黑" w:cs="微软雅黑"/>
          <w:b/>
          <w:bCs/>
          <w:sz w:val="22"/>
          <w:szCs w:val="22"/>
        </w:rPr>
      </w:pPr>
      <w:r>
        <w:t>3.2运维团队要求：</w:t>
      </w:r>
    </w:p>
    <w:p>
      <w:pPr>
        <w:spacing w:line="380" w:lineRule="exact"/>
        <w:ind w:firstLine="480"/>
        <w:rPr>
          <w:rFonts w:ascii="微软雅黑" w:hAnsi="微软雅黑" w:eastAsia="微软雅黑" w:cs="微软雅黑"/>
          <w:sz w:val="22"/>
          <w:szCs w:val="22"/>
        </w:rPr>
      </w:pPr>
      <w:r>
        <w:t>项目服务团队，按照温岭市各部门统一标准服务，保障采购人信息化建设及运维。提供7*24小时的全方位业务监控，统一运维热线呼叫调度服务，通过统一的运维报障平台，负责全市运维质量管控、监督和结算等。</w:t>
      </w:r>
    </w:p>
    <w:p>
      <w:pPr>
        <w:spacing w:line="380" w:lineRule="exact"/>
        <w:ind w:firstLine="480"/>
        <w:rPr>
          <w:rFonts w:ascii="微软雅黑" w:hAnsi="微软雅黑" w:eastAsia="微软雅黑" w:cs="微软雅黑"/>
          <w:sz w:val="22"/>
          <w:szCs w:val="22"/>
        </w:rPr>
      </w:pPr>
      <w:r>
        <w:t>运维团队需要运营商牵头建立相关管理制度，责任明确，运维人员须具备IT或安防行业工作经验，建立项目负责人制度，采购人（温岭市公安局）或需求部门（温岭市综合行政执法局、教育局、农业农村和水利局、自然资源和规划局等）直接与项目负责人对接提出问题，项目负责人负责协调解决问题并及时反馈。完善安全管理制度、规章制度、质量控制、运维管理、学习培训、服务标准、监督考核、代维管理、信息保密，具备客户服务保障体系和网络运营保障体系。</w:t>
      </w:r>
    </w:p>
    <w:p>
      <w:pPr>
        <w:spacing w:line="380" w:lineRule="exact"/>
        <w:ind w:firstLine="480"/>
        <w:rPr>
          <w:rFonts w:ascii="微软雅黑" w:hAnsi="微软雅黑" w:eastAsia="微软雅黑" w:cs="微软雅黑"/>
          <w:b/>
          <w:bCs/>
          <w:sz w:val="22"/>
          <w:szCs w:val="22"/>
        </w:rPr>
      </w:pPr>
      <w:r>
        <w:t>3.3运营维护服务内容：</w:t>
      </w:r>
    </w:p>
    <w:p>
      <w:pPr>
        <w:spacing w:line="380" w:lineRule="exact"/>
        <w:ind w:firstLine="480"/>
        <w:rPr>
          <w:rFonts w:ascii="微软雅黑" w:hAnsi="微软雅黑" w:eastAsia="微软雅黑" w:cs="微软雅黑"/>
          <w:sz w:val="22"/>
          <w:szCs w:val="22"/>
        </w:rPr>
      </w:pPr>
      <w:r>
        <w:t>运维服务需包括但不限于一机一档管理、平台运维管理、视频质量管理、网络运维管理、电子工单管理，投标人需提供相关考核管理办法。</w:t>
      </w:r>
    </w:p>
    <w:p>
      <w:pPr>
        <w:spacing w:line="380" w:lineRule="exact"/>
        <w:ind w:firstLine="480"/>
        <w:rPr>
          <w:rFonts w:ascii="微软雅黑" w:hAnsi="微软雅黑" w:eastAsia="微软雅黑" w:cs="微软雅黑"/>
          <w:b/>
          <w:bCs/>
          <w:sz w:val="22"/>
          <w:szCs w:val="22"/>
        </w:rPr>
      </w:pPr>
      <w:r>
        <w:t>3.4运营维护服务要求：</w:t>
      </w:r>
    </w:p>
    <w:p>
      <w:pPr>
        <w:spacing w:line="380" w:lineRule="exact"/>
        <w:ind w:firstLine="480"/>
        <w:rPr>
          <w:rFonts w:ascii="微软雅黑" w:hAnsi="微软雅黑" w:eastAsia="微软雅黑" w:cs="微软雅黑"/>
          <w:sz w:val="22"/>
          <w:szCs w:val="22"/>
        </w:rPr>
      </w:pPr>
      <w:r>
        <w:t>在完成运营服务内容要求基础上，为保障温岭市公共视频监控建设一体化改革联席会议办公室相关文件规定的运营目标，需实现以下服务要求。</w:t>
      </w:r>
    </w:p>
    <w:p>
      <w:pPr>
        <w:spacing w:line="380" w:lineRule="exact"/>
        <w:ind w:firstLine="480"/>
        <w:rPr>
          <w:rFonts w:ascii="微软雅黑" w:hAnsi="微软雅黑" w:eastAsia="微软雅黑" w:cs="微软雅黑"/>
          <w:b/>
          <w:bCs/>
          <w:sz w:val="22"/>
          <w:szCs w:val="22"/>
        </w:rPr>
      </w:pPr>
      <w:r>
        <w:t>3.4.1系统免费运营保修服务：</w:t>
      </w:r>
    </w:p>
    <w:p>
      <w:pPr>
        <w:spacing w:line="380" w:lineRule="exact"/>
        <w:ind w:firstLine="480"/>
        <w:rPr>
          <w:rFonts w:ascii="微软雅黑" w:hAnsi="微软雅黑" w:eastAsia="微软雅黑" w:cs="微软雅黑"/>
          <w:sz w:val="22"/>
          <w:szCs w:val="22"/>
        </w:rPr>
      </w:pPr>
      <w:r>
        <w:t>在服务期范围内，本项目的货物（包括设备、材料及应用服务）出现损坏、故障、丢失等，均由运维中心负责维修与更换，维修或更换后达到使用要求效果。在系统安装调试完成后，一旦发现设备性能无法达到系统设计要求或者设备总体指标虽然达到设计要求，但与系统存在兼容问题，从而影响系统总体性能，立即将情况向采购人汇报，经确认并同意后，对问题设备免费更换。</w:t>
      </w:r>
    </w:p>
    <w:p>
      <w:pPr>
        <w:spacing w:line="380" w:lineRule="exact"/>
        <w:ind w:firstLine="480"/>
        <w:rPr>
          <w:rFonts w:ascii="微软雅黑" w:hAnsi="微软雅黑" w:eastAsia="微软雅黑" w:cs="微软雅黑"/>
          <w:b/>
          <w:bCs/>
          <w:sz w:val="22"/>
          <w:szCs w:val="22"/>
        </w:rPr>
      </w:pPr>
      <w:r>
        <w:t>3.4.2 7×24小时运营保障服务：</w:t>
      </w:r>
    </w:p>
    <w:p>
      <w:pPr>
        <w:spacing w:line="380" w:lineRule="exact"/>
        <w:ind w:firstLine="480"/>
        <w:rPr>
          <w:rFonts w:ascii="微软雅黑" w:hAnsi="微软雅黑" w:eastAsia="微软雅黑" w:cs="微软雅黑"/>
          <w:sz w:val="22"/>
          <w:szCs w:val="22"/>
        </w:rPr>
      </w:pPr>
      <w:r>
        <w:t>7*24小时维护升级服务</w:t>
      </w:r>
    </w:p>
    <w:p>
      <w:pPr>
        <w:spacing w:line="380" w:lineRule="exact"/>
        <w:ind w:firstLine="480"/>
        <w:rPr>
          <w:rFonts w:ascii="微软雅黑" w:hAnsi="微软雅黑" w:eastAsia="微软雅黑" w:cs="微软雅黑"/>
          <w:sz w:val="22"/>
          <w:szCs w:val="22"/>
        </w:rPr>
      </w:pPr>
      <w:r>
        <w:t>服务期内提供7*24小时维护、升级服务，对故障在60分钟内响应，6小时以内解决问题，不能解决的提供备品备件；逾期未作出响应，需承担由于故障所造成的全部直接损失。</w:t>
      </w:r>
    </w:p>
    <w:p>
      <w:pPr>
        <w:spacing w:line="380" w:lineRule="exact"/>
        <w:ind w:firstLine="480"/>
        <w:rPr>
          <w:rFonts w:ascii="微软雅黑" w:hAnsi="微软雅黑" w:eastAsia="微软雅黑" w:cs="微软雅黑"/>
          <w:sz w:val="22"/>
          <w:szCs w:val="22"/>
        </w:rPr>
      </w:pPr>
      <w:r>
        <w:t>系统升级</w:t>
      </w:r>
    </w:p>
    <w:p>
      <w:pPr>
        <w:spacing w:line="380" w:lineRule="exact"/>
        <w:ind w:firstLine="480"/>
        <w:rPr>
          <w:rFonts w:ascii="微软雅黑" w:hAnsi="微软雅黑" w:eastAsia="微软雅黑" w:cs="微软雅黑"/>
          <w:sz w:val="22"/>
          <w:szCs w:val="22"/>
        </w:rPr>
      </w:pPr>
      <w:r>
        <w:t>因技术的升级或新一代产品的面世，对原应用软件功能或性能有极大的提高，需根据采购人的需要，对采购人的应用软件、系统或所开发的其它软件的更新，同时也满足采购人对硬件设备的升级。</w:t>
      </w:r>
    </w:p>
    <w:p>
      <w:pPr>
        <w:spacing w:line="380" w:lineRule="exact"/>
        <w:ind w:firstLine="480"/>
        <w:rPr>
          <w:rFonts w:ascii="微软雅黑" w:hAnsi="微软雅黑" w:eastAsia="微软雅黑" w:cs="微软雅黑"/>
          <w:sz w:val="22"/>
          <w:szCs w:val="22"/>
        </w:rPr>
      </w:pPr>
      <w:r>
        <w:t>应用软件的再开发</w:t>
      </w:r>
    </w:p>
    <w:p>
      <w:pPr>
        <w:spacing w:line="380" w:lineRule="exact"/>
        <w:ind w:firstLine="480"/>
        <w:rPr>
          <w:rFonts w:ascii="微软雅黑" w:hAnsi="微软雅黑" w:eastAsia="微软雅黑" w:cs="微软雅黑"/>
          <w:sz w:val="22"/>
          <w:szCs w:val="22"/>
        </w:rPr>
      </w:pPr>
      <w:r>
        <w:t>针对采购人在使用过程中因业务扩展、变更或延伸所带来的对应软件功能的不满足而进行的软件功能的再开发，以使软件的功能始终满足采购人的业务不断发展的需要，同时也使采购人的早期投资得以保护。</w:t>
      </w:r>
    </w:p>
    <w:p>
      <w:pPr>
        <w:spacing w:line="380" w:lineRule="exact"/>
        <w:ind w:firstLine="480"/>
        <w:rPr>
          <w:rFonts w:ascii="微软雅黑" w:hAnsi="微软雅黑" w:eastAsia="微软雅黑" w:cs="微软雅黑"/>
          <w:sz w:val="22"/>
          <w:szCs w:val="22"/>
        </w:rPr>
      </w:pPr>
      <w:r>
        <w:t>系统的保养、维护</w:t>
      </w:r>
    </w:p>
    <w:p>
      <w:pPr>
        <w:spacing w:line="380" w:lineRule="exact"/>
        <w:ind w:firstLine="480"/>
        <w:rPr>
          <w:rFonts w:ascii="微软雅黑" w:hAnsi="微软雅黑" w:eastAsia="微软雅黑" w:cs="微软雅黑"/>
          <w:sz w:val="22"/>
          <w:szCs w:val="22"/>
        </w:rPr>
      </w:pPr>
      <w:r>
        <w:t>每半年为一个保养周期，对前端外场设备给予清尘、清洁和检查。应及时发现设备故障、隐患并及时处理解决，把故障清除在萌芽状态。避免扩大故障范围。保养周期内要对设备的主要系统进行必要的保养，并做好保养、维护的记录。</w:t>
      </w:r>
    </w:p>
    <w:p>
      <w:pPr>
        <w:spacing w:line="380" w:lineRule="exact"/>
        <w:ind w:firstLine="480"/>
        <w:rPr>
          <w:rFonts w:ascii="微软雅黑" w:hAnsi="微软雅黑" w:eastAsia="微软雅黑" w:cs="微软雅黑"/>
          <w:sz w:val="22"/>
          <w:szCs w:val="22"/>
        </w:rPr>
      </w:pPr>
      <w:r>
        <w:t>立杆、机箱的保养服务</w:t>
      </w:r>
    </w:p>
    <w:p>
      <w:pPr>
        <w:spacing w:line="380" w:lineRule="exact"/>
        <w:ind w:firstLine="480"/>
        <w:rPr>
          <w:rFonts w:ascii="微软雅黑" w:hAnsi="微软雅黑" w:eastAsia="微软雅黑" w:cs="微软雅黑"/>
          <w:sz w:val="22"/>
          <w:szCs w:val="22"/>
        </w:rPr>
      </w:pPr>
      <w:r>
        <w:t>因立杆、机箱均为外露设备，常年受日晒雨淋、海风腐蚀等影响，容易造成油漆脱落，出现锈铁，不但影响了美观，还减少了使用寿命。中标方在日常巡检过程中，如发现有生锈的情况，应及时进行除锈油漆处理。</w:t>
      </w:r>
    </w:p>
    <w:p>
      <w:pPr>
        <w:spacing w:line="380" w:lineRule="exact"/>
        <w:ind w:firstLine="480"/>
        <w:rPr>
          <w:rFonts w:ascii="微软雅黑" w:hAnsi="微软雅黑" w:eastAsia="微软雅黑" w:cs="微软雅黑"/>
          <w:b/>
          <w:bCs/>
          <w:sz w:val="22"/>
          <w:szCs w:val="22"/>
        </w:rPr>
      </w:pPr>
      <w:r>
        <w:t>3.4.3系统的巡检保障服务：</w:t>
      </w:r>
    </w:p>
    <w:p>
      <w:pPr>
        <w:spacing w:line="380" w:lineRule="exact"/>
        <w:ind w:firstLine="480"/>
        <w:rPr>
          <w:rFonts w:ascii="微软雅黑" w:hAnsi="微软雅黑" w:eastAsia="微软雅黑" w:cs="微软雅黑"/>
          <w:sz w:val="22"/>
          <w:szCs w:val="22"/>
        </w:rPr>
      </w:pPr>
      <w:r>
        <w:t>前端点位定期巡检服务</w:t>
      </w:r>
    </w:p>
    <w:p>
      <w:pPr>
        <w:spacing w:line="380" w:lineRule="exact"/>
        <w:ind w:firstLine="480"/>
        <w:rPr>
          <w:rFonts w:ascii="微软雅黑" w:hAnsi="微软雅黑" w:eastAsia="微软雅黑" w:cs="微软雅黑"/>
          <w:sz w:val="22"/>
          <w:szCs w:val="22"/>
        </w:rPr>
      </w:pPr>
      <w:r>
        <w:t>每半年对每个项目前端点位和中心设备进行一次巡检。主要查看基础设施（基础、立杆、控制柜等），控制设备等有无遭到损坏（被磕、撞、碰、绊等）和人为破坏（被撬、砸、拆、偷）以及是否整洁。并作好巡检记录。如有发现损坏和破坏的则及时予以修复，不能修复的则予以更换，需报采购人确认后再实施。</w:t>
      </w:r>
    </w:p>
    <w:p>
      <w:pPr>
        <w:spacing w:line="380" w:lineRule="exact"/>
        <w:ind w:firstLine="480"/>
        <w:rPr>
          <w:rFonts w:ascii="微软雅黑" w:hAnsi="微软雅黑" w:eastAsia="微软雅黑" w:cs="微软雅黑"/>
          <w:sz w:val="22"/>
          <w:szCs w:val="22"/>
        </w:rPr>
      </w:pPr>
      <w:r>
        <w:t>图像质量的巡检服务</w:t>
      </w:r>
    </w:p>
    <w:p>
      <w:pPr>
        <w:spacing w:line="380" w:lineRule="exact"/>
        <w:ind w:firstLine="480"/>
        <w:rPr>
          <w:rFonts w:ascii="微软雅黑" w:hAnsi="微软雅黑" w:eastAsia="微软雅黑" w:cs="微软雅黑"/>
          <w:sz w:val="22"/>
          <w:szCs w:val="22"/>
        </w:rPr>
      </w:pPr>
      <w:r>
        <w:t>图像质量及抓拍图片效果每天至少巡检2次，对巡检情况作好记录，并将情况及时反馈给维修组，由维修人员及时处理，并每天主动反馈至采购人处。</w:t>
      </w:r>
    </w:p>
    <w:p>
      <w:pPr>
        <w:spacing w:line="380" w:lineRule="exact"/>
        <w:ind w:firstLine="480"/>
        <w:rPr>
          <w:rFonts w:ascii="微软雅黑" w:hAnsi="微软雅黑" w:eastAsia="微软雅黑" w:cs="微软雅黑"/>
          <w:sz w:val="22"/>
          <w:szCs w:val="22"/>
        </w:rPr>
      </w:pPr>
      <w:r>
        <w:t>机房及网络系统巡检服务</w:t>
      </w:r>
    </w:p>
    <w:p>
      <w:pPr>
        <w:spacing w:line="380" w:lineRule="exact"/>
        <w:ind w:firstLine="480"/>
        <w:rPr>
          <w:rFonts w:ascii="微软雅黑" w:hAnsi="微软雅黑" w:eastAsia="微软雅黑" w:cs="微软雅黑"/>
          <w:sz w:val="22"/>
          <w:szCs w:val="22"/>
        </w:rPr>
      </w:pPr>
      <w:r>
        <w:t>每天对机房及网络和系统平台进行巡检，对巡检情况作好记录，每日报送维护主管及采购人代表处。</w:t>
      </w:r>
    </w:p>
    <w:p>
      <w:pPr>
        <w:spacing w:line="380" w:lineRule="exact"/>
        <w:ind w:firstLine="480"/>
        <w:rPr>
          <w:rFonts w:ascii="微软雅黑" w:hAnsi="微软雅黑" w:eastAsia="微软雅黑" w:cs="微软雅黑"/>
          <w:sz w:val="22"/>
          <w:szCs w:val="22"/>
        </w:rPr>
      </w:pPr>
      <w:r>
        <w:t>运营质量定期总结与检查</w:t>
      </w:r>
    </w:p>
    <w:p>
      <w:pPr>
        <w:spacing w:line="380" w:lineRule="exact"/>
        <w:ind w:firstLine="480"/>
        <w:rPr>
          <w:rFonts w:ascii="微软雅黑" w:hAnsi="微软雅黑" w:eastAsia="微软雅黑" w:cs="微软雅黑"/>
          <w:sz w:val="22"/>
          <w:szCs w:val="22"/>
        </w:rPr>
      </w:pPr>
      <w:r>
        <w:t>每季度组织视频专家并邀请采购人代表共同组建运营质量检查小组，对本季度的运营质量进行总结与检查。</w:t>
      </w:r>
    </w:p>
    <w:p>
      <w:pPr>
        <w:spacing w:line="380" w:lineRule="exact"/>
        <w:ind w:firstLine="480"/>
        <w:rPr>
          <w:rFonts w:ascii="微软雅黑" w:hAnsi="微软雅黑" w:eastAsia="微软雅黑" w:cs="微软雅黑"/>
          <w:b/>
          <w:bCs/>
          <w:sz w:val="22"/>
          <w:szCs w:val="22"/>
        </w:rPr>
      </w:pPr>
      <w:r>
        <w:t>3.4.4突发事件应急抢修服务：</w:t>
      </w:r>
    </w:p>
    <w:p>
      <w:pPr>
        <w:spacing w:line="380" w:lineRule="exact"/>
        <w:ind w:firstLine="480"/>
        <w:rPr>
          <w:rFonts w:ascii="微软雅黑" w:hAnsi="微软雅黑" w:eastAsia="微软雅黑" w:cs="微软雅黑"/>
          <w:sz w:val="22"/>
          <w:szCs w:val="22"/>
        </w:rPr>
      </w:pPr>
      <w:r>
        <w:t>前端杆件或者光缆遭外力破坏，主动巡检发现或者接到报障电话后，第一时间报警并联系保险公司，对被破坏的杆件进行定损索赔，同时调用备品备件库中的杆件或光缆资源进行第一时间恢复。</w:t>
      </w:r>
    </w:p>
    <w:p>
      <w:pPr>
        <w:spacing w:line="380" w:lineRule="exact"/>
        <w:ind w:firstLine="480"/>
        <w:rPr>
          <w:rFonts w:ascii="微软雅黑" w:hAnsi="微软雅黑" w:eastAsia="微软雅黑" w:cs="微软雅黑"/>
          <w:b/>
          <w:bCs/>
          <w:sz w:val="22"/>
          <w:szCs w:val="22"/>
        </w:rPr>
      </w:pPr>
      <w:r>
        <w:t>3.4.5信息安全保密服务：</w:t>
      </w:r>
    </w:p>
    <w:p>
      <w:pPr>
        <w:spacing w:line="380" w:lineRule="exact"/>
        <w:ind w:firstLine="480"/>
        <w:rPr>
          <w:rFonts w:ascii="微软雅黑" w:hAnsi="微软雅黑" w:eastAsia="微软雅黑" w:cs="微软雅黑"/>
          <w:sz w:val="22"/>
          <w:szCs w:val="22"/>
        </w:rPr>
      </w:pPr>
      <w:r>
        <w:t>在本系统运营期内，服务承接方对本系统涉及的所有内容和数据安全负责。双方应共同创造条件，保证系统的安全，不泄露政府秘密、商业秘密以及公民隐私等。</w:t>
      </w:r>
    </w:p>
    <w:p>
      <w:pPr>
        <w:spacing w:line="380" w:lineRule="exact"/>
        <w:ind w:firstLine="480"/>
        <w:rPr>
          <w:rFonts w:ascii="微软雅黑" w:hAnsi="微软雅黑" w:eastAsia="微软雅黑" w:cs="微软雅黑"/>
          <w:b/>
          <w:bCs/>
          <w:sz w:val="22"/>
          <w:szCs w:val="22"/>
        </w:rPr>
      </w:pPr>
      <w:r>
        <w:t>3.4.6重大事件保障服务：</w:t>
      </w:r>
    </w:p>
    <w:p>
      <w:pPr>
        <w:spacing w:line="380" w:lineRule="exact"/>
        <w:ind w:firstLine="480"/>
        <w:rPr>
          <w:rFonts w:ascii="微软雅黑" w:hAnsi="微软雅黑" w:eastAsia="微软雅黑" w:cs="微软雅黑"/>
          <w:sz w:val="22"/>
          <w:szCs w:val="22"/>
        </w:rPr>
      </w:pPr>
      <w:r>
        <w:t>在面临重大事件，如大型会议、灾害等重大活动和重要公众事件及需要实施进行重点保障举措时，将根据采购人要求对其进行相关的服务。此服务视同主动巡检服务。在重点保障时期，需承诺调动所有售后服务团队成员进行保障，进入重要客户重点保障特殊时期。</w:t>
      </w:r>
    </w:p>
    <w:p>
      <w:pPr>
        <w:spacing w:line="380" w:lineRule="exact"/>
        <w:ind w:firstLine="480"/>
        <w:rPr>
          <w:rFonts w:ascii="微软雅黑" w:hAnsi="微软雅黑" w:eastAsia="微软雅黑" w:cs="微软雅黑"/>
          <w:b/>
          <w:bCs/>
          <w:sz w:val="22"/>
          <w:szCs w:val="22"/>
        </w:rPr>
      </w:pPr>
      <w:r>
        <w:t>3.4.7定期周报、月报、年度运行分析报告服务：</w:t>
      </w:r>
    </w:p>
    <w:p>
      <w:pPr>
        <w:spacing w:line="380" w:lineRule="exact"/>
        <w:ind w:firstLine="480"/>
        <w:rPr>
          <w:rFonts w:ascii="微软雅黑" w:hAnsi="微软雅黑" w:eastAsia="微软雅黑" w:cs="微软雅黑"/>
          <w:sz w:val="22"/>
          <w:szCs w:val="22"/>
        </w:rPr>
      </w:pPr>
      <w:r>
        <w:t>为了更好的跟采购人沟通，让采购人及时了解系统运行情况，提升运营质量，定期进行总结。在服务期内每周向采购人提供周报，每月向采购人提供月报，每年向采购人提供年度运行分析报告。</w:t>
      </w:r>
    </w:p>
    <w:p>
      <w:pPr>
        <w:spacing w:line="380" w:lineRule="exact"/>
        <w:ind w:firstLine="480"/>
        <w:rPr>
          <w:rFonts w:ascii="微软雅黑" w:hAnsi="微软雅黑" w:eastAsia="微软雅黑" w:cs="微软雅黑"/>
          <w:b/>
          <w:bCs/>
          <w:sz w:val="22"/>
          <w:szCs w:val="22"/>
        </w:rPr>
      </w:pPr>
      <w:r>
        <w:t>3.5运营维护风险控制方案：</w:t>
      </w:r>
    </w:p>
    <w:p>
      <w:pPr>
        <w:spacing w:line="380" w:lineRule="exact"/>
        <w:ind w:firstLine="480"/>
        <w:rPr>
          <w:rFonts w:ascii="微软雅黑" w:hAnsi="微软雅黑" w:eastAsia="微软雅黑" w:cs="微软雅黑"/>
          <w:sz w:val="22"/>
          <w:szCs w:val="22"/>
        </w:rPr>
      </w:pPr>
      <w:r>
        <w:t>备品备件要求</w:t>
      </w:r>
    </w:p>
    <w:p>
      <w:pPr>
        <w:spacing w:line="380" w:lineRule="exact"/>
        <w:ind w:firstLine="480"/>
        <w:rPr>
          <w:rFonts w:ascii="微软雅黑" w:hAnsi="微软雅黑" w:eastAsia="微软雅黑" w:cs="微软雅黑"/>
          <w:sz w:val="22"/>
          <w:szCs w:val="22"/>
        </w:rPr>
      </w:pPr>
      <w:r>
        <w:t>为了顺利达到服务质量目标及应急指挥通信保障行动实施，设立项目设备备品备件库，数量不得少于投标备品备件指定的数量，且备品备件使用后应立即补充足量。业主可根据运维质量不定期对备品备件库进行抽查以保证运维管理体系正常运行。</w:t>
      </w:r>
    </w:p>
    <w:p>
      <w:pPr>
        <w:spacing w:line="380" w:lineRule="exact"/>
        <w:ind w:firstLine="480"/>
        <w:rPr>
          <w:rFonts w:ascii="微软雅黑" w:hAnsi="微软雅黑" w:eastAsia="微软雅黑" w:cs="微软雅黑"/>
          <w:b/>
          <w:bCs/>
          <w:sz w:val="22"/>
          <w:szCs w:val="22"/>
        </w:rPr>
      </w:pPr>
      <w:r>
        <w:t>3.6项目实施深化设计要求：</w:t>
      </w:r>
    </w:p>
    <w:p>
      <w:pPr>
        <w:spacing w:line="380" w:lineRule="exact"/>
        <w:ind w:firstLine="480"/>
        <w:rPr>
          <w:rFonts w:ascii="微软雅黑" w:hAnsi="微软雅黑" w:eastAsia="微软雅黑" w:cs="微软雅黑"/>
          <w:sz w:val="22"/>
          <w:szCs w:val="22"/>
        </w:rPr>
      </w:pPr>
      <w:r>
        <w:t xml:space="preserve">投标人中标后，应提交完整的投标文件（含方案说明、图纸及投标报价明细清单等，纸质盖章文件和电子档文件）给业主方及监理方，配合各方完成投标内容的确认。同时，应对初步设计方案及招标需求进行熟悉、消化，理解本项目的设计思路和招标内容，并结合设计单位提供的图纸完成外场的复勘及核对，配合设计单位完善设计图纸的工作。在提交优化设计图纸时中标方要出具有相应设计资质的设计单位盖章的详细杆件构造图。           </w:t>
      </w:r>
    </w:p>
    <w:p>
      <w:pPr>
        <w:spacing w:line="380" w:lineRule="exact"/>
        <w:ind w:firstLine="480"/>
        <w:rPr>
          <w:rFonts w:ascii="微软雅黑" w:hAnsi="微软雅黑" w:eastAsia="微软雅黑" w:cs="微软雅黑"/>
          <w:b/>
          <w:bCs/>
          <w:sz w:val="22"/>
          <w:szCs w:val="22"/>
        </w:rPr>
      </w:pPr>
      <w:r>
        <w:t>3.7运维服务考核要求：</w:t>
      </w:r>
    </w:p>
    <w:p>
      <w:pPr>
        <w:spacing w:line="380" w:lineRule="exact"/>
        <w:ind w:firstLine="480"/>
        <w:rPr>
          <w:rFonts w:ascii="微软雅黑" w:hAnsi="微软雅黑" w:eastAsia="微软雅黑" w:cs="微软雅黑"/>
          <w:b/>
          <w:bCs/>
          <w:sz w:val="22"/>
          <w:szCs w:val="22"/>
        </w:rPr>
      </w:pPr>
      <w:r>
        <w:t>3.7.1质量保证：</w:t>
      </w:r>
    </w:p>
    <w:p>
      <w:pPr>
        <w:spacing w:line="380" w:lineRule="exact"/>
        <w:ind w:firstLine="480"/>
        <w:rPr>
          <w:rFonts w:ascii="微软雅黑" w:hAnsi="微软雅黑" w:eastAsia="微软雅黑" w:cs="微软雅黑"/>
          <w:sz w:val="22"/>
          <w:szCs w:val="22"/>
        </w:rPr>
      </w:pPr>
      <w:r>
        <w:t>3.7.1.1投标人提供的必须是全新、原包装（包括零部件）的货物，货物必须符合国家检测标准以及该产品的出厂标准。如发生所供货物与合同不符，或者提供的货物属假冒伪劣产品，采购人有权不予验收，由此产生的一切责任和后果由投标人承担。</w:t>
      </w:r>
    </w:p>
    <w:p>
      <w:pPr>
        <w:spacing w:line="380" w:lineRule="exact"/>
        <w:ind w:firstLine="480"/>
        <w:rPr>
          <w:rFonts w:ascii="微软雅黑" w:hAnsi="微软雅黑" w:eastAsia="微软雅黑" w:cs="微软雅黑"/>
          <w:sz w:val="22"/>
          <w:szCs w:val="22"/>
        </w:rPr>
      </w:pPr>
      <w:r>
        <w:t>3.7.1.2投标人应保证货物在正确安装、使用和保养条件下其性能质量完全符合技术要求和合同规定。投标人提供的货物出现质量问题，投标人应负责包修、包换，并承担修理、调换的实际费用。</w:t>
      </w:r>
    </w:p>
    <w:p>
      <w:pPr>
        <w:spacing w:line="380" w:lineRule="exact"/>
        <w:ind w:firstLine="480"/>
        <w:rPr>
          <w:rFonts w:ascii="微软雅黑" w:hAnsi="微软雅黑" w:eastAsia="微软雅黑" w:cs="微软雅黑"/>
          <w:sz w:val="22"/>
          <w:szCs w:val="22"/>
        </w:rPr>
      </w:pPr>
      <w:r>
        <w:t>3.7.1.3投标人须在服务期内必须确保系统正常运行和传输图像稳定清晰。</w:t>
      </w:r>
    </w:p>
    <w:p>
      <w:pPr>
        <w:spacing w:line="380" w:lineRule="exact"/>
        <w:ind w:firstLine="480"/>
        <w:rPr>
          <w:rFonts w:ascii="微软雅黑" w:hAnsi="微软雅黑" w:eastAsia="微软雅黑" w:cs="微软雅黑"/>
          <w:sz w:val="22"/>
          <w:szCs w:val="22"/>
        </w:rPr>
      </w:pPr>
      <w:r>
        <w:t>终验合格且整体交付使用时，投标人须提供投标文件中注明的备品备件。</w:t>
      </w:r>
    </w:p>
    <w:p>
      <w:pPr>
        <w:spacing w:line="380" w:lineRule="exact"/>
        <w:ind w:firstLine="480"/>
        <w:rPr>
          <w:rFonts w:ascii="微软雅黑" w:hAnsi="微软雅黑" w:eastAsia="微软雅黑" w:cs="微软雅黑"/>
          <w:b/>
          <w:bCs/>
          <w:sz w:val="22"/>
          <w:szCs w:val="22"/>
        </w:rPr>
      </w:pPr>
      <w:r>
        <w:t>3.7.2维修维护服务：</w:t>
      </w:r>
    </w:p>
    <w:p>
      <w:pPr>
        <w:spacing w:line="380" w:lineRule="exact"/>
        <w:ind w:firstLine="480"/>
        <w:rPr>
          <w:rFonts w:ascii="微软雅黑" w:hAnsi="微软雅黑" w:eastAsia="微软雅黑" w:cs="微软雅黑"/>
          <w:sz w:val="22"/>
          <w:szCs w:val="22"/>
        </w:rPr>
      </w:pPr>
      <w:r>
        <w:t>投标人在终验合格且整体交付使用之日起，负责该系统的维护和保养。</w:t>
      </w:r>
    </w:p>
    <w:p>
      <w:pPr>
        <w:spacing w:line="380" w:lineRule="exact"/>
        <w:ind w:firstLine="480"/>
        <w:rPr>
          <w:rFonts w:ascii="微软雅黑" w:hAnsi="微软雅黑" w:eastAsia="微软雅黑" w:cs="微软雅黑"/>
          <w:sz w:val="22"/>
          <w:szCs w:val="22"/>
        </w:rPr>
      </w:pPr>
      <w:r>
        <w:t>3.7.2.1投标人需制订相关运行维护制度，包含但不限于专门的抢修流程及内部日常管理、考核制度，并建立维护台账，严格按服务规范和标准执行。维护台账应包括设备名称、编号、安装位置、检定（验收）时间、功能及性能指标、服务发包单位、管理单位、服务承包单位、维护单位、验收完成后设备现场图片、服务期、责任人等信息，以及设备的产品合格证、计量检定证书、检测报告影印件、质保书、施工图影印件、使用手册、一机一档等资料。</w:t>
      </w:r>
    </w:p>
    <w:p>
      <w:pPr>
        <w:spacing w:line="380" w:lineRule="exact"/>
        <w:ind w:firstLine="480"/>
        <w:rPr>
          <w:rFonts w:ascii="微软雅黑" w:hAnsi="微软雅黑" w:eastAsia="微软雅黑" w:cs="微软雅黑"/>
          <w:sz w:val="22"/>
          <w:szCs w:val="22"/>
        </w:rPr>
      </w:pPr>
      <w:r>
        <w:t>3.7.2.2投标人建立维护机构须至少配备2名维护人员，至少配置1辆登高车辆，至少配置1套接地电阻测量仪，配备系统维护必需的装备和工具，配齐常用易损耗备品备件。</w:t>
      </w:r>
    </w:p>
    <w:p>
      <w:pPr>
        <w:spacing w:line="380" w:lineRule="exact"/>
        <w:ind w:firstLine="480"/>
        <w:rPr>
          <w:rFonts w:ascii="微软雅黑" w:hAnsi="微软雅黑" w:eastAsia="微软雅黑" w:cs="微软雅黑"/>
          <w:sz w:val="22"/>
          <w:szCs w:val="22"/>
        </w:rPr>
      </w:pPr>
      <w:r>
        <w:t>3.7.2.3在项目终验前，必须提供一套设备维护管理系统，确保维护和定期巡检程序化、透明化管理；维护管理系统的相关技术和功能要求包括但不限于如下：</w:t>
      </w:r>
    </w:p>
    <w:p>
      <w:pPr>
        <w:spacing w:line="380" w:lineRule="exact"/>
        <w:ind w:firstLine="480"/>
        <w:rPr>
          <w:rFonts w:ascii="微软雅黑" w:hAnsi="微软雅黑" w:eastAsia="微软雅黑" w:cs="微软雅黑"/>
          <w:sz w:val="22"/>
          <w:szCs w:val="22"/>
        </w:rPr>
      </w:pPr>
      <w:r>
        <w:t>3.7.2.3.1系统应能采集区域内运行监测系统和联网运行监测系统相关监测数据；</w:t>
      </w:r>
    </w:p>
    <w:p>
      <w:pPr>
        <w:spacing w:line="380" w:lineRule="exact"/>
        <w:ind w:firstLine="480"/>
        <w:rPr>
          <w:rFonts w:ascii="微软雅黑" w:hAnsi="微软雅黑" w:eastAsia="微软雅黑" w:cs="微软雅黑"/>
          <w:sz w:val="22"/>
          <w:szCs w:val="22"/>
        </w:rPr>
      </w:pPr>
      <w:r>
        <w:t>3.7.2.3.2系统应具有维护记录的录入、派单、报修、跟踪、审核、挂起、评价等功能；</w:t>
      </w:r>
    </w:p>
    <w:p>
      <w:pPr>
        <w:spacing w:line="380" w:lineRule="exact"/>
        <w:ind w:firstLine="480"/>
        <w:rPr>
          <w:rFonts w:ascii="微软雅黑" w:hAnsi="微软雅黑" w:eastAsia="微软雅黑" w:cs="微软雅黑"/>
          <w:sz w:val="22"/>
          <w:szCs w:val="22"/>
        </w:rPr>
      </w:pPr>
      <w:r>
        <w:t>3.7.2.3.3系统应具有故障自动告警、自动报修、自动复核和简单故障的远程恢复能力；</w:t>
      </w:r>
    </w:p>
    <w:p>
      <w:pPr>
        <w:spacing w:line="380" w:lineRule="exact"/>
        <w:ind w:firstLine="480"/>
        <w:rPr>
          <w:rFonts w:ascii="微软雅黑" w:hAnsi="微软雅黑" w:eastAsia="微软雅黑" w:cs="微软雅黑"/>
          <w:sz w:val="22"/>
          <w:szCs w:val="22"/>
        </w:rPr>
      </w:pPr>
      <w:r>
        <w:t>3.7.2.3.4系统应具有考核和计费功能，并根据时间可自定义导出查询结果；</w:t>
      </w:r>
    </w:p>
    <w:p>
      <w:pPr>
        <w:spacing w:line="380" w:lineRule="exact"/>
        <w:ind w:firstLine="480"/>
        <w:rPr>
          <w:rFonts w:ascii="微软雅黑" w:hAnsi="微软雅黑" w:eastAsia="微软雅黑" w:cs="微软雅黑"/>
          <w:sz w:val="22"/>
          <w:szCs w:val="22"/>
        </w:rPr>
      </w:pPr>
      <w:r>
        <w:t>3.7.2.3.5系统应具有维护知识库和计费规则相关功能；</w:t>
      </w:r>
    </w:p>
    <w:p>
      <w:pPr>
        <w:spacing w:line="380" w:lineRule="exact"/>
        <w:ind w:firstLine="480"/>
        <w:rPr>
          <w:rFonts w:ascii="微软雅黑" w:hAnsi="微软雅黑" w:eastAsia="微软雅黑" w:cs="微软雅黑"/>
          <w:sz w:val="22"/>
          <w:szCs w:val="22"/>
        </w:rPr>
      </w:pPr>
      <w:r>
        <w:t>3.7.2.3.6系统应能提供设备状态、故障分析、工单跟踪、计费、各类考核等统计报表；</w:t>
      </w:r>
    </w:p>
    <w:p>
      <w:pPr>
        <w:spacing w:line="380" w:lineRule="exact"/>
        <w:ind w:firstLine="480"/>
        <w:rPr>
          <w:rFonts w:ascii="微软雅黑" w:hAnsi="微软雅黑" w:eastAsia="微软雅黑" w:cs="微软雅黑"/>
          <w:sz w:val="22"/>
          <w:szCs w:val="22"/>
        </w:rPr>
      </w:pPr>
      <w:r>
        <w:t xml:space="preserve">3.7.2.3.7系统应具有前端设备在线状态检测、视频状态检测、灯光状态检测、视频质量诊断、录像完整性检测、传输网络检测、平台服务器运行检测、一机一档管理和资料导出等功能；  </w:t>
      </w:r>
    </w:p>
    <w:p>
      <w:pPr>
        <w:spacing w:line="380" w:lineRule="exact"/>
        <w:ind w:firstLine="480"/>
        <w:rPr>
          <w:rFonts w:ascii="微软雅黑" w:hAnsi="微软雅黑" w:eastAsia="微软雅黑" w:cs="微软雅黑"/>
          <w:sz w:val="22"/>
          <w:szCs w:val="22"/>
        </w:rPr>
      </w:pPr>
      <w:r>
        <w:t>3.7.2.3.8系统应支持自动计算并分析某时间段内的视频在线率、视频完好率、录像完整性、平台运行正常率等运行状况指标，同时能对运营商服务做出综合判断评价；系统应具备根据点位分布情况等信息反哺点位建设的功能。</w:t>
      </w:r>
    </w:p>
    <w:p>
      <w:pPr>
        <w:spacing w:line="380" w:lineRule="exact"/>
        <w:ind w:firstLine="480"/>
        <w:rPr>
          <w:rFonts w:ascii="微软雅黑" w:hAnsi="微软雅黑" w:eastAsia="微软雅黑" w:cs="微软雅黑"/>
          <w:sz w:val="22"/>
          <w:szCs w:val="22"/>
        </w:rPr>
      </w:pPr>
      <w:r>
        <w:t>3.7.2.3.9系统应提供外部调用的接口，且支持其他系统对接接入，并提供短信推送功能。</w:t>
      </w:r>
    </w:p>
    <w:p>
      <w:pPr>
        <w:spacing w:line="380" w:lineRule="exact"/>
        <w:ind w:firstLine="480"/>
        <w:rPr>
          <w:rFonts w:ascii="微软雅黑" w:hAnsi="微软雅黑" w:eastAsia="微软雅黑" w:cs="微软雅黑"/>
          <w:sz w:val="22"/>
          <w:szCs w:val="22"/>
        </w:rPr>
      </w:pPr>
      <w:r>
        <w:t>3.7.2.4定期巡检、保养维护和性能测试：</w:t>
      </w:r>
    </w:p>
    <w:p>
      <w:pPr>
        <w:spacing w:line="380" w:lineRule="exact"/>
        <w:ind w:firstLine="480"/>
        <w:rPr>
          <w:rFonts w:ascii="微软雅黑" w:hAnsi="微软雅黑" w:eastAsia="微软雅黑" w:cs="微软雅黑"/>
          <w:sz w:val="22"/>
          <w:szCs w:val="22"/>
        </w:rPr>
      </w:pPr>
      <w:r>
        <w:t>定期巡检主要包括查看基础设施（基础、立杆、机箱等），设备有无遭到损坏（被车磕、撞、碰、绊等）和人为破坏（被撬、砸、拆、偷等）以及是否完整、整洁，检查各监控中心的图像质量。如有发现损坏、破坏、图像质量不好等，要及时予以修复、调整，不能修复的则予以更换。并作好巡检记录，巡检记录须经甲方书面确认。根据采购人提前通知，不定期配合采购人做好“一机一档”录入和完善工作。</w:t>
      </w:r>
    </w:p>
    <w:p>
      <w:pPr>
        <w:spacing w:line="380" w:lineRule="exact"/>
        <w:ind w:firstLine="480"/>
        <w:rPr>
          <w:rFonts w:ascii="微软雅黑" w:hAnsi="微软雅黑" w:eastAsia="微软雅黑" w:cs="微软雅黑"/>
          <w:sz w:val="22"/>
          <w:szCs w:val="22"/>
        </w:rPr>
      </w:pPr>
      <w:r>
        <w:t>3.7.2.4.1由维护管理系统每天至少一次自动检查所有摄像机和其他设备的状态。</w:t>
      </w:r>
    </w:p>
    <w:p>
      <w:pPr>
        <w:spacing w:line="380" w:lineRule="exact"/>
        <w:ind w:firstLine="480"/>
        <w:rPr>
          <w:rFonts w:ascii="微软雅黑" w:hAnsi="微软雅黑" w:eastAsia="微软雅黑" w:cs="微软雅黑"/>
          <w:sz w:val="22"/>
          <w:szCs w:val="22"/>
        </w:rPr>
      </w:pPr>
      <w:r>
        <w:t>3.7.2.4.2每季度对各视频监控点镜头清洁一次，对机箱里电气设备进行清尘、清洁和检查一次。及时发现故障、隐患并及时处理，把故障消灭在萌芽状态，避免扩大故障范围；要对监控设备中的摄像机系统以及传动机构的进行必要的保养；擦试防护罩，前视玻璃的除尘等；对中心机房的设备进行一次清洁保养和检查。对发现的问题及时处理，保证视频图像不受遮挡，以保证系统持续、稳定、安全地运行。在台风等恶劣天气到达前5天内要对立杆、机柜、摄像机等所有硬件检查一遍、镜头清洗一遍，并做好保养、维护的记录。保养、维护记录须经采购人书面确认。若投标人没有按时清洗的（以清洁台账为准），则每季度每个未清洗摄像机扣款40元。</w:t>
      </w:r>
    </w:p>
    <w:p>
      <w:pPr>
        <w:spacing w:line="380" w:lineRule="exact"/>
        <w:ind w:firstLine="480"/>
        <w:rPr>
          <w:rFonts w:ascii="微软雅黑" w:hAnsi="微软雅黑" w:eastAsia="微软雅黑" w:cs="微软雅黑"/>
          <w:sz w:val="22"/>
          <w:szCs w:val="22"/>
        </w:rPr>
      </w:pPr>
      <w:r>
        <w:t>3.7.2.4.3每年接地电阻测试一次，对各类电器设备进行检测一次、并做好参数记录，应建立清洁和测试台账备查。在每年的6月份台风季节来临前，着重对所有监控点的接地电阻进行测试和数据记录，并检查所有的监控点的避雷是否正常。对测试后数据达不到要求的点采用增加接地桩等措施解决，以减小接地电阻，并更换被雷击穿的避雷器。同时，检查各接地线是否正常。以避免在台风、雷雨季节因避雷器被击而造成的设备损坏。测试记录须经采购人书面确认。若投标人没有按时对灯光和接地电阻测试的（以测试台账为准），则每年每个未测试点位扣款40元。对采购人提出的摄像机清洁等要求的，投标人应在24小时内响应解决。每年根据要求对所有点位开展点位治理工作，确保治理质量最终达到业主方要求。</w:t>
      </w:r>
    </w:p>
    <w:p>
      <w:pPr>
        <w:spacing w:line="380" w:lineRule="exact"/>
        <w:ind w:firstLine="480"/>
        <w:rPr>
          <w:rFonts w:ascii="微软雅黑" w:hAnsi="微软雅黑" w:eastAsia="微软雅黑" w:cs="微软雅黑"/>
          <w:sz w:val="22"/>
          <w:szCs w:val="22"/>
        </w:rPr>
      </w:pPr>
      <w:r>
        <w:t>投标人未开展以上实质性巡检、保养和测试工作的，每次扣款1000元。</w:t>
      </w:r>
    </w:p>
    <w:p>
      <w:pPr>
        <w:spacing w:line="380" w:lineRule="exact"/>
        <w:ind w:firstLine="480"/>
        <w:rPr>
          <w:rFonts w:ascii="微软雅黑" w:hAnsi="微软雅黑" w:eastAsia="微软雅黑" w:cs="微软雅黑"/>
          <w:sz w:val="22"/>
          <w:szCs w:val="22"/>
        </w:rPr>
      </w:pPr>
      <w:r>
        <w:t>3.7.2.5现场检查维护：</w:t>
      </w:r>
    </w:p>
    <w:p>
      <w:pPr>
        <w:spacing w:line="380" w:lineRule="exact"/>
        <w:ind w:firstLine="480"/>
        <w:rPr>
          <w:rFonts w:ascii="微软雅黑" w:hAnsi="微软雅黑" w:eastAsia="微软雅黑" w:cs="微软雅黑"/>
          <w:sz w:val="22"/>
          <w:szCs w:val="22"/>
        </w:rPr>
      </w:pPr>
      <w:r>
        <w:t>3.7.2.5.1现场检查维护通用要求应包括对设备外观、杆件、防护、电源、电缆、避雷设备、接地以及通信情况，并对设备进行人工校时；</w:t>
      </w:r>
    </w:p>
    <w:p>
      <w:pPr>
        <w:spacing w:line="380" w:lineRule="exact"/>
        <w:ind w:firstLine="480"/>
        <w:rPr>
          <w:rFonts w:ascii="微软雅黑" w:hAnsi="微软雅黑" w:eastAsia="微软雅黑" w:cs="微软雅黑"/>
          <w:sz w:val="22"/>
          <w:szCs w:val="22"/>
        </w:rPr>
      </w:pPr>
      <w:r>
        <w:t>3.7.2.5.2现场检查维护特殊要求由采购人和投标人另行约定；</w:t>
      </w:r>
    </w:p>
    <w:p>
      <w:pPr>
        <w:spacing w:line="380" w:lineRule="exact"/>
        <w:ind w:firstLine="480"/>
        <w:rPr>
          <w:rFonts w:ascii="微软雅黑" w:hAnsi="微软雅黑" w:eastAsia="微软雅黑" w:cs="微软雅黑"/>
          <w:sz w:val="22"/>
          <w:szCs w:val="22"/>
        </w:rPr>
      </w:pPr>
      <w:r>
        <w:t>3.7.2.5.3现场检查维护情况需建立档案，并录入维护管理系统。</w:t>
      </w:r>
    </w:p>
    <w:p>
      <w:pPr>
        <w:spacing w:line="360" w:lineRule="exact"/>
        <w:ind w:firstLine="440" w:firstLineChars="200"/>
        <w:rPr>
          <w:rFonts w:ascii="微软雅黑" w:hAnsi="微软雅黑" w:eastAsia="微软雅黑" w:cs="微软雅黑"/>
          <w:b/>
          <w:bCs/>
          <w:sz w:val="22"/>
          <w:szCs w:val="22"/>
        </w:rPr>
      </w:pPr>
      <w:r>
        <w:t>3.7.3人员及制度考核：</w:t>
      </w:r>
    </w:p>
    <w:p>
      <w:pPr>
        <w:spacing w:line="380" w:lineRule="exact"/>
        <w:ind w:firstLine="480"/>
        <w:rPr>
          <w:rFonts w:ascii="微软雅黑" w:hAnsi="微软雅黑" w:eastAsia="微软雅黑" w:cs="微软雅黑"/>
          <w:sz w:val="22"/>
          <w:szCs w:val="22"/>
        </w:rPr>
      </w:pPr>
      <w:r>
        <w:t>项目服务期内，投标人有违反下列规定行为的，按相应条款进行扣款，相关扣款在服务费结算支付时予以扣除。</w:t>
      </w:r>
    </w:p>
    <w:p>
      <w:pPr>
        <w:spacing w:line="380" w:lineRule="exact"/>
        <w:ind w:firstLine="480"/>
        <w:rPr>
          <w:rFonts w:ascii="微软雅黑" w:hAnsi="微软雅黑" w:eastAsia="微软雅黑" w:cs="微软雅黑"/>
          <w:sz w:val="22"/>
          <w:szCs w:val="22"/>
        </w:rPr>
      </w:pPr>
      <w:r>
        <w:t>3.7.3.1项目经理考核制度：本工程项目经理要做好人员、质量、进度、设备采购、文档审核和组织协调等方面的管理，在投标书中必须提供对人员团队的详细考核制度，特别是对现场巡查人员的考核制度，负责施工的进度、质量、施工安全文明的各项检查任务，项目经理必须每周对现场巡查人员进行考核，并在每周例会上提交经审核确认的考核表、上周进度检查表和下周工作进度计划交采购人和监理单位审核，如不及时提交则按500元/次进行扣款。</w:t>
      </w:r>
    </w:p>
    <w:p>
      <w:pPr>
        <w:spacing w:line="380" w:lineRule="exact"/>
        <w:ind w:firstLine="480"/>
        <w:rPr>
          <w:rFonts w:ascii="微软雅黑" w:hAnsi="微软雅黑" w:eastAsia="微软雅黑" w:cs="微软雅黑"/>
          <w:sz w:val="22"/>
          <w:szCs w:val="22"/>
        </w:rPr>
      </w:pPr>
      <w:r>
        <w:t>3.7.3.2投标人现场巡查考核制度：现场巡查记录表的检查内容必须由技术负责人根据标书、合同、设计方案及相关规范要求制定，内容必须涵盖（检查事项、存在问题、整改措施、复查记录）等方面，且巡查记录表必须有技术负责人的审核确认意见及签字，要求图文结合，必须及时提交，否则按500元/次进行扣款。</w:t>
      </w:r>
    </w:p>
    <w:p>
      <w:pPr>
        <w:spacing w:line="380" w:lineRule="exact"/>
        <w:ind w:firstLine="480"/>
        <w:rPr>
          <w:rFonts w:ascii="微软雅黑" w:hAnsi="微软雅黑" w:eastAsia="微软雅黑" w:cs="微软雅黑"/>
          <w:sz w:val="22"/>
          <w:szCs w:val="22"/>
        </w:rPr>
      </w:pPr>
      <w:r>
        <w:t>3.7.3.3文档资料整理及提交制度：资料员应根据项目实施进程及时协调并组织各职能人员整理和收集相应的文档资料，在采购人和监理单位的规定时间内提交审核确认，如不及时提交则按500元/次进行扣款。</w:t>
      </w:r>
    </w:p>
    <w:p>
      <w:pPr>
        <w:spacing w:line="380" w:lineRule="exact"/>
        <w:ind w:firstLine="480"/>
        <w:rPr>
          <w:rFonts w:ascii="微软雅黑" w:hAnsi="微软雅黑" w:eastAsia="微软雅黑" w:cs="微软雅黑"/>
          <w:sz w:val="22"/>
          <w:szCs w:val="22"/>
        </w:rPr>
      </w:pPr>
      <w:r>
        <w:t>3.7.3.4监理工作联系及监理通知单回复等监理指令性文件的回复及执行制度：监理工作联系单及通知单等监理指令性文件必须在监理单位要求的规定时间内回复并按计划执行，如不及时回复或及时执行则按500元/次进行扣款；对于实施过程中采购人或监理单位发现的问题，如重复出现两次以上，则按500元/次的递增方式进行扣款。</w:t>
      </w:r>
    </w:p>
    <w:p>
      <w:pPr>
        <w:spacing w:line="380" w:lineRule="exact"/>
        <w:ind w:firstLine="480"/>
        <w:rPr>
          <w:rFonts w:ascii="微软雅黑" w:hAnsi="微软雅黑" w:eastAsia="微软雅黑" w:cs="微软雅黑"/>
          <w:sz w:val="22"/>
          <w:szCs w:val="22"/>
        </w:rPr>
      </w:pPr>
      <w:r>
        <w:t>3.7.3.5道路、绿化开挖及复原制度：道路、绿化开挖和复原标准必须按市政部门等部门的恢复要求执行，必须承诺设立该修复费用专项资金，做到专款专用，如接到相关部门投诉，按2000元/次进行扣款。</w:t>
      </w:r>
    </w:p>
    <w:p>
      <w:pPr>
        <w:spacing w:line="380" w:lineRule="exact"/>
        <w:ind w:firstLine="480"/>
        <w:rPr>
          <w:rFonts w:ascii="微软雅黑" w:hAnsi="微软雅黑" w:eastAsia="微软雅黑" w:cs="微软雅黑"/>
          <w:sz w:val="22"/>
          <w:szCs w:val="22"/>
        </w:rPr>
      </w:pPr>
      <w:r>
        <w:t>3.7.3.6安全文明施工制度：施工安全技术管理应遵照GB 50870、GB/T28181-2022和GB50348-2018的相关要求。如有违反，按1000元/次进行扣款。</w:t>
      </w:r>
    </w:p>
    <w:p>
      <w:pPr>
        <w:spacing w:line="380" w:lineRule="exact"/>
        <w:ind w:firstLine="480"/>
        <w:rPr>
          <w:rFonts w:ascii="微软雅黑" w:hAnsi="微软雅黑" w:eastAsia="微软雅黑" w:cs="微软雅黑"/>
          <w:sz w:val="22"/>
          <w:szCs w:val="22"/>
        </w:rPr>
      </w:pPr>
      <w:r>
        <w:t>3.7.3.6.1施工人员及现场巡查人员必须佩戴安全帽、穿反光背心，登高作业人员必须佩戴安全带等防护装置，施工作业时必须按市政要求在醒目位置设置围挡和警示牌、警示灯。</w:t>
      </w:r>
    </w:p>
    <w:p>
      <w:pPr>
        <w:spacing w:line="380" w:lineRule="exact"/>
        <w:ind w:firstLine="480"/>
        <w:rPr>
          <w:rFonts w:ascii="微软雅黑" w:hAnsi="微软雅黑" w:eastAsia="微软雅黑" w:cs="微软雅黑"/>
          <w:sz w:val="22"/>
          <w:szCs w:val="22"/>
        </w:rPr>
      </w:pPr>
      <w:r>
        <w:t>3.7.3.6.2现场泥土及施工垃圾必须及时清理，不能留余土过夜，如有特殊情况必须用袋子把余土装好，摆放在围挡内，隔天进行清运。</w:t>
      </w:r>
    </w:p>
    <w:p>
      <w:pPr>
        <w:spacing w:line="380" w:lineRule="exact"/>
        <w:ind w:firstLine="480"/>
        <w:rPr>
          <w:rFonts w:ascii="微软雅黑" w:hAnsi="微软雅黑" w:eastAsia="微软雅黑" w:cs="微软雅黑"/>
          <w:sz w:val="22"/>
          <w:szCs w:val="22"/>
        </w:rPr>
      </w:pPr>
      <w:r>
        <w:t>3.7.3.6.3施工现场搅拌混凝土时，为避免污染地面，必须在铁皮垫底上进行，并对施工区域进行围栏，施工垃圾、施工用品摆放在围栏内，施工完毕及时进行清理。</w:t>
      </w:r>
    </w:p>
    <w:p>
      <w:pPr>
        <w:spacing w:line="380" w:lineRule="exact"/>
        <w:ind w:firstLine="480"/>
        <w:rPr>
          <w:rFonts w:ascii="微软雅黑" w:hAnsi="微软雅黑" w:eastAsia="微软雅黑" w:cs="微软雅黑"/>
          <w:sz w:val="22"/>
          <w:szCs w:val="22"/>
        </w:rPr>
      </w:pPr>
      <w:r>
        <w:t>3.7.3.6.4其他违反安全文明施工制度的行为。</w:t>
      </w:r>
    </w:p>
    <w:p>
      <w:pPr>
        <w:spacing w:line="380" w:lineRule="exact"/>
        <w:ind w:firstLine="480"/>
        <w:rPr>
          <w:rFonts w:ascii="微软雅黑" w:hAnsi="微软雅黑" w:eastAsia="微软雅黑" w:cs="微软雅黑"/>
          <w:sz w:val="22"/>
          <w:szCs w:val="22"/>
        </w:rPr>
      </w:pPr>
      <w:r>
        <w:t>3.7.3.7 根据公安部及温岭市公共视频监控建设一体化改革联席会议办公室的网络信息安全相关规定，因投标人原因违反公安网络信息安全规定而造成“一机两用”、病毒感染等安全事故的，每次对投标人扣款5000元；造成重大安全事故的，每次对投标人扣款10000元。</w:t>
      </w:r>
    </w:p>
    <w:p>
      <w:pPr>
        <w:spacing w:line="380" w:lineRule="exact"/>
        <w:ind w:firstLine="480"/>
        <w:rPr>
          <w:rFonts w:ascii="微软雅黑" w:hAnsi="微软雅黑" w:eastAsia="微软雅黑" w:cs="微软雅黑"/>
          <w:color w:val="000000" w:themeColor="text1"/>
          <w:sz w:val="22"/>
          <w:szCs w:val="22"/>
        </w:rPr>
      </w:pPr>
      <w:r>
        <w:t>3.7.4服务运维考核。服务期内执行考核办法。投标人每日提交运营报表，由运维监理单位审查；本考核办法中检测由第三方监理单位承担，在当月申诉期内检测方应备份保存原始检测数据，对检测结果不服的，需呈报理由，由采购人组织人员裁决。不汇报工作进度的采购人有权每次从服务费中扣除1000元/次，不按时汇报工作进度的采购人有权每次从服务费中扣除500元/次。投标人需按招、投标文件等要求做好相应工作及配合采购人完成相关视频建设项目的档案管理工作，否则采购人有权从服务费扣除500元/次/天。投标人应完全配合本项目监理单位工作，在运维期间对采购人及监理单位签发的通知单等，投标人都应按要求予以回复及执行，否则业主方有权从服务费中扣除1000元/次。</w:t>
      </w:r>
    </w:p>
    <w:p>
      <w:pPr>
        <w:spacing w:line="380" w:lineRule="exact"/>
        <w:ind w:firstLine="480"/>
        <w:rPr>
          <w:rFonts w:ascii="微软雅黑" w:hAnsi="微软雅黑" w:eastAsia="微软雅黑" w:cs="微软雅黑"/>
          <w:color w:val="000000" w:themeColor="text1"/>
          <w:sz w:val="22"/>
          <w:szCs w:val="22"/>
        </w:rPr>
      </w:pPr>
      <w:r>
        <w:t>3.7.4.1双方应依据服务考核要求制定考核细则，每年度因政策调整等客观原因，经采购人同意，可对服务考核要求进行修改一次。不服从业主单位或运维监理单位安排的其他事宜，每次对投标人扣款5000元。</w:t>
      </w:r>
    </w:p>
    <w:p>
      <w:pPr>
        <w:spacing w:line="360" w:lineRule="exact"/>
        <w:ind w:firstLine="440" w:firstLineChars="200"/>
        <w:rPr>
          <w:rFonts w:ascii="微软雅黑" w:hAnsi="微软雅黑" w:eastAsia="微软雅黑" w:cs="微软雅黑"/>
          <w:b/>
          <w:bCs/>
          <w:color w:val="000000" w:themeColor="text1"/>
          <w:sz w:val="22"/>
          <w:szCs w:val="22"/>
        </w:rPr>
      </w:pPr>
      <w:r>
        <w:t>3.7.5技术培训及技术服务：</w:t>
      </w:r>
    </w:p>
    <w:p>
      <w:pPr>
        <w:spacing w:line="380" w:lineRule="exact"/>
        <w:ind w:firstLine="480"/>
        <w:rPr>
          <w:rFonts w:ascii="微软雅黑" w:hAnsi="微软雅黑" w:eastAsia="微软雅黑" w:cs="微软雅黑"/>
          <w:color w:val="000000" w:themeColor="text1"/>
          <w:sz w:val="22"/>
          <w:szCs w:val="22"/>
        </w:rPr>
      </w:pPr>
      <w:r>
        <w:t>投标人必须对系统软件免费上门维护服务，并在服务期内对系统软件进行免费升级。</w:t>
      </w:r>
    </w:p>
    <w:p>
      <w:pPr>
        <w:spacing w:line="380" w:lineRule="exact"/>
        <w:ind w:firstLine="440" w:firstLineChars="200"/>
        <w:rPr>
          <w:rFonts w:ascii="微软雅黑" w:hAnsi="微软雅黑" w:eastAsia="微软雅黑" w:cs="微软雅黑"/>
          <w:b/>
          <w:bCs/>
          <w:color w:val="000000" w:themeColor="text1"/>
          <w:sz w:val="22"/>
          <w:szCs w:val="22"/>
        </w:rPr>
      </w:pPr>
      <w:r>
        <w:t>3.7.6其他条款：</w:t>
      </w:r>
    </w:p>
    <w:p>
      <w:pPr>
        <w:spacing w:line="380" w:lineRule="exact"/>
        <w:ind w:firstLine="440" w:firstLineChars="200"/>
        <w:rPr>
          <w:rFonts w:ascii="微软雅黑" w:hAnsi="微软雅黑" w:eastAsia="微软雅黑" w:cs="微软雅黑"/>
          <w:color w:val="000000" w:themeColor="text1"/>
          <w:sz w:val="22"/>
          <w:szCs w:val="22"/>
        </w:rPr>
      </w:pPr>
      <w:r>
        <w:t>服务期内，须无条件进行软件版本升级和保修延续。项目内软件在硬件满足运行条件情况下永久使用，不得设置时效限制。所有软件应与温岭市公安局相关系统平台实现无缝对接。本项目信息系统应通过二级等保测评。</w:t>
      </w:r>
    </w:p>
    <w:p>
      <w:pPr>
        <w:pStyle w:val="5"/>
        <w:spacing w:before="120" w:after="120" w:line="360" w:lineRule="exact"/>
        <w:rPr>
          <w:rFonts w:ascii="微软雅黑" w:hAnsi="微软雅黑" w:eastAsia="微软雅黑" w:cs="微软雅黑"/>
          <w:color w:val="000000" w:themeColor="text1"/>
          <w:sz w:val="28"/>
          <w:szCs w:val="28"/>
        </w:rPr>
      </w:pPr>
      <w:r>
        <w:t>四、主要投入设备清单：</w:t>
      </w:r>
    </w:p>
    <w:p>
      <w:pPr>
        <w:spacing w:line="360" w:lineRule="exact"/>
        <w:ind w:firstLine="442"/>
        <w:rPr>
          <w:rFonts w:ascii="微软雅黑" w:hAnsi="微软雅黑" w:eastAsia="微软雅黑" w:cs="微软雅黑"/>
          <w:color w:val="000000" w:themeColor="text1"/>
          <w:kern w:val="21"/>
          <w:sz w:val="22"/>
        </w:rPr>
      </w:pPr>
      <w:r>
        <w:t>本表为参考配置，投标人可根据实际情况调整设备数量，整体方案实现所要求的功能即可，并要求能与温岭公共视频共享平台实现无缝对接（包含但不限于本标书2.4章节中平台对接），并由中标人承担相关的一切费用。（以下所有品牌以拼音首字母排序）</w:t>
      </w:r>
    </w:p>
    <w:tbl>
      <w:tblPr>
        <w:tblStyle w:val="59"/>
        <w:tblW w:w="0" w:type="auto"/>
        <w:jc w:val="center"/>
        <w:tblLayout w:type="fixed"/>
        <w:tblCellMar>
          <w:top w:w="0" w:type="dxa"/>
          <w:left w:w="108" w:type="dxa"/>
          <w:bottom w:w="0" w:type="dxa"/>
          <w:right w:w="108" w:type="dxa"/>
        </w:tblCellMar>
      </w:tblPr>
      <w:tblGrid>
        <w:gridCol w:w="645"/>
        <w:gridCol w:w="5088"/>
        <w:gridCol w:w="2448"/>
        <w:gridCol w:w="744"/>
        <w:gridCol w:w="804"/>
      </w:tblGrid>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设备名称</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推荐品牌</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单位</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数量</w:t>
            </w:r>
          </w:p>
        </w:tc>
      </w:tr>
      <w:tr>
        <w:tblPrEx>
          <w:tblCellMar>
            <w:top w:w="0" w:type="dxa"/>
            <w:left w:w="108" w:type="dxa"/>
            <w:bottom w:w="0" w:type="dxa"/>
            <w:right w:w="108" w:type="dxa"/>
          </w:tblCellMar>
        </w:tblPrEx>
        <w:trPr>
          <w:trHeight w:val="51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一、摄像机部分</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b/>
                <w:bCs/>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b/>
                <w:bCs/>
                <w:color w:val="000000"/>
                <w:sz w:val="18"/>
                <w:szCs w:val="18"/>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51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1、治安监控部分</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r>
      <w:tr>
        <w:trPr>
          <w:trHeight w:val="51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双光谱云台型摄像机（3公里，含128GTF卡、电源模块、支架等）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16</w:t>
            </w:r>
          </w:p>
        </w:tc>
      </w:tr>
      <w:tr>
        <w:tblPrEx>
          <w:tblCellMar>
            <w:top w:w="0" w:type="dxa"/>
            <w:left w:w="108" w:type="dxa"/>
            <w:bottom w:w="0" w:type="dxa"/>
            <w:right w:w="108" w:type="dxa"/>
          </w:tblCellMar>
        </w:tblPrEx>
        <w:trPr>
          <w:trHeight w:val="51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人脸抓拍机 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168</w:t>
            </w:r>
          </w:p>
        </w:tc>
      </w:tr>
      <w:tr>
        <w:tblPrEx>
          <w:tblCellMar>
            <w:top w:w="0" w:type="dxa"/>
            <w:left w:w="108" w:type="dxa"/>
            <w:bottom w:w="0" w:type="dxa"/>
            <w:right w:w="108" w:type="dxa"/>
          </w:tblCellMar>
        </w:tblPrEx>
        <w:trPr>
          <w:trHeight w:val="40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5088" w:type="dxa"/>
            <w:tcBorders>
              <w:top w:val="single" w:color="000000" w:sz="4" w:space="0"/>
              <w:left w:val="single" w:color="000000" w:sz="4" w:space="0"/>
              <w:bottom w:val="single" w:color="000000" w:sz="4" w:space="0"/>
              <w:right w:val="single" w:color="000000" w:sz="4" w:space="0"/>
            </w:tcBorders>
            <w:shd w:val="clear" w:color="auto" w:fill="FFFFFF"/>
          </w:tcPr>
          <w:p>
            <w:r>
              <w:t>激光球型摄像机（全结构化，含128GTF卡，电源模块、支架等）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68</w:t>
            </w:r>
          </w:p>
        </w:tc>
      </w:tr>
      <w:tr>
        <w:tblPrEx>
          <w:tblCellMar>
            <w:top w:w="0" w:type="dxa"/>
            <w:left w:w="108" w:type="dxa"/>
            <w:bottom w:w="0" w:type="dxa"/>
            <w:right w:w="108" w:type="dxa"/>
          </w:tblCellMar>
        </w:tblPrEx>
        <w:trPr>
          <w:trHeight w:val="67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多摄超星光球机 （全结构化，含128GTF卡，电源模块、支架等）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105</w:t>
            </w:r>
          </w:p>
        </w:tc>
      </w:tr>
      <w:tr>
        <w:trPr>
          <w:trHeight w:val="67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校园双镜头摄像机（全结构化，含128GTF卡，电源模块、支架等）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187</w:t>
            </w:r>
          </w:p>
        </w:tc>
      </w:tr>
      <w:tr>
        <w:tblPrEx>
          <w:tblCellMar>
            <w:top w:w="0" w:type="dxa"/>
            <w:left w:w="108" w:type="dxa"/>
            <w:bottom w:w="0" w:type="dxa"/>
            <w:right w:w="108" w:type="dxa"/>
          </w:tblCellMar>
        </w:tblPrEx>
        <w:trPr>
          <w:trHeight w:val="56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溢洪口水位观测相机（全结构化，含128GTF卡，电源模块、支架等）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三球一体机（全结构化，含128GTF卡，电源模块、支架等）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r>
      <w:tr>
        <w:tblPrEx>
          <w:tblCellMar>
            <w:top w:w="0" w:type="dxa"/>
            <w:left w:w="108" w:type="dxa"/>
            <w:bottom w:w="0" w:type="dxa"/>
            <w:right w:w="108" w:type="dxa"/>
          </w:tblCellMar>
        </w:tblPrEx>
        <w:trPr>
          <w:trHeight w:val="36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无极补光灯(含光敏控制）</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九州天极、开元、威拉德</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187</w:t>
            </w:r>
          </w:p>
        </w:tc>
      </w:tr>
      <w:tr>
        <w:trPr>
          <w:trHeight w:val="46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无极补光灯模块</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九州天极、开元、威拉德</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187</w:t>
            </w:r>
          </w:p>
        </w:tc>
      </w:tr>
      <w:tr>
        <w:tblPrEx>
          <w:tblCellMar>
            <w:top w:w="0" w:type="dxa"/>
            <w:left w:w="108" w:type="dxa"/>
            <w:bottom w:w="0" w:type="dxa"/>
            <w:right w:w="108" w:type="dxa"/>
          </w:tblCellMar>
        </w:tblPrEx>
        <w:trPr>
          <w:trHeight w:val="516"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LED 全景补光灯(含光敏控制，）</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211</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13</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2、治安卡口部分</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900 万像素视频抓拍机（全结构化，含128GTF卡，电源模块、支架等）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71</w:t>
            </w:r>
          </w:p>
        </w:tc>
      </w:tr>
      <w:tr>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15</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智能闪光灯（爆闪灯）</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99</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16</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900 万环保卡口相机（全结构化，含128GTF卡，电源模块、支架等）</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108</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17</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LED多合一智能补光灯（配套环保卡口）</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大华、海康、华为、宇视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180</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18</w:t>
            </w:r>
          </w:p>
        </w:tc>
        <w:tc>
          <w:tcPr>
            <w:tcW w:w="90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二、立杆及机箱部分</w:t>
            </w:r>
          </w:p>
        </w:tc>
      </w:tr>
      <w:tr>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19</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L型8米挑1米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20</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21</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L型6.3米挑10-12米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0</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22</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23</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L型6.3米挑7-9米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17</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24</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25</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L型6.3米挑5-6米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36</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26</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27</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L型6.3米挑1-4米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83</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28</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29</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L型5米挑1-3米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30</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31</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L型4米挑1-3米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51</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32</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33</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L型3米挑1-3米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34</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35</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L型2米挑1米</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b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36</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37</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T型杆4米挑（4+4）</w:t>
            </w:r>
          </w:p>
        </w:tc>
        <w:tc>
          <w:tcPr>
            <w:tcW w:w="2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r>
      <w:tr>
        <w:tblPrEx>
          <w:tblCellMar>
            <w:top w:w="0" w:type="dxa"/>
            <w:left w:w="108" w:type="dxa"/>
            <w:bottom w:w="0" w:type="dxa"/>
            <w:right w:w="108" w:type="dxa"/>
          </w:tblCellMar>
        </w:tblPrEx>
        <w:trPr>
          <w:trHeight w:val="4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38</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2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8"/>
                <w:szCs w:val="18"/>
              </w:rPr>
            </w:pPr>
          </w:p>
        </w:tc>
      </w:tr>
      <w:tr>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39</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借杆挑4米</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61</w:t>
            </w:r>
          </w:p>
        </w:tc>
      </w:tr>
      <w:tr>
        <w:tblPrEx>
          <w:tblCellMar>
            <w:top w:w="0" w:type="dxa"/>
            <w:left w:w="108" w:type="dxa"/>
            <w:bottom w:w="0" w:type="dxa"/>
            <w:right w:w="108" w:type="dxa"/>
          </w:tblCellMar>
        </w:tblPrEx>
        <w:trPr>
          <w:trHeight w:val="42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借杆挑3米</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70</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41</w:t>
            </w:r>
          </w:p>
        </w:tc>
        <w:tc>
          <w:tcPr>
            <w:tcW w:w="5088" w:type="dxa"/>
            <w:tcBorders>
              <w:top w:val="single" w:color="000000" w:sz="4" w:space="0"/>
              <w:left w:val="single" w:color="000000" w:sz="4" w:space="0"/>
              <w:bottom w:val="single" w:color="000000" w:sz="4" w:space="0"/>
              <w:right w:val="single" w:color="000000" w:sz="4" w:space="0"/>
            </w:tcBorders>
            <w:shd w:val="clear" w:color="auto" w:fill="auto"/>
            <w:vAlign w:val="center"/>
          </w:tcPr>
          <w:p>
            <w:r>
              <w:t>借杆挑2米</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r>
              <w:t>鸿顺、江苏迪生、金华开元、永耀</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58</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42</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借杆挑1米</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鸿顺、江苏迪生、金华开元、永耀</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59</w:t>
            </w:r>
          </w:p>
        </w:tc>
      </w:tr>
      <w:tr>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43</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借墙2米(角度可调整）</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鸿顺、江苏迪生、金华开元、永耀</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38</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44</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借墙1米(角度可调整）</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鸿顺、江苏迪生、金华开元、永耀</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34</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45</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吊装、定制及臂装</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国产定制</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137</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46</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挂杆机箱</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埃克斯通信、春城通信、勤原科技</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r>
              <w:t>617</w:t>
            </w:r>
          </w:p>
        </w:tc>
      </w:tr>
      <w:tr>
        <w:trPr>
          <w:trHeight w:val="51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47</w:t>
            </w:r>
          </w:p>
        </w:tc>
        <w:tc>
          <w:tcPr>
            <w:tcW w:w="908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t>三、存储部分</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48</w:t>
            </w:r>
          </w:p>
        </w:tc>
        <w:tc>
          <w:tcPr>
            <w:tcW w:w="508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r>
              <w:t>安全存储单元1</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大华、海康、立元、宇视</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20</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49</w:t>
            </w:r>
          </w:p>
        </w:tc>
        <w:tc>
          <w:tcPr>
            <w:tcW w:w="50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等线" w:hAnsi="等线" w:eastAsia="等线" w:cs="等线"/>
                <w:color w:val="000000"/>
                <w:sz w:val="18"/>
                <w:szCs w:val="18"/>
              </w:rPr>
            </w:pP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东芝、西数、希捷</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r>
              <w:t>块</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480</w:t>
            </w:r>
          </w:p>
        </w:tc>
      </w:tr>
      <w:tr>
        <w:tblPrEx>
          <w:tblCellMar>
            <w:top w:w="0" w:type="dxa"/>
            <w:left w:w="108" w:type="dxa"/>
            <w:bottom w:w="0" w:type="dxa"/>
            <w:right w:w="108" w:type="dxa"/>
          </w:tblCellMar>
        </w:tblPrEx>
        <w:trPr>
          <w:trHeight w:val="46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50</w:t>
            </w:r>
          </w:p>
        </w:tc>
        <w:tc>
          <w:tcPr>
            <w:tcW w:w="90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四、服务器部分</w:t>
            </w:r>
          </w:p>
        </w:tc>
      </w:tr>
      <w:tr>
        <w:trPr>
          <w:trHeight w:val="5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51</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三维基础支撑平台服务</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国产定制</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平方公里</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83</w:t>
            </w:r>
          </w:p>
        </w:tc>
      </w:tr>
      <w:tr>
        <w:tblPrEx>
          <w:tblCellMar>
            <w:top w:w="0" w:type="dxa"/>
            <w:left w:w="108" w:type="dxa"/>
            <w:bottom w:w="0" w:type="dxa"/>
            <w:right w:w="108" w:type="dxa"/>
          </w:tblCellMar>
        </w:tblPrEx>
        <w:trPr>
          <w:trHeight w:val="5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52</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天下无遁平台升级和专题应用模型开发</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国产定制</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1</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53</w:t>
            </w:r>
          </w:p>
        </w:tc>
        <w:tc>
          <w:tcPr>
            <w:tcW w:w="908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t>五、维保服务部分</w:t>
            </w:r>
          </w:p>
        </w:tc>
      </w:tr>
      <w:tr>
        <w:tblPrEx>
          <w:tblCellMar>
            <w:top w:w="0" w:type="dxa"/>
            <w:left w:w="108" w:type="dxa"/>
            <w:bottom w:w="0" w:type="dxa"/>
            <w:right w:w="108" w:type="dxa"/>
          </w:tblCellMar>
        </w:tblPrEx>
        <w:trPr>
          <w:trHeight w:val="5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54</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电池（维保服务）</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科华、迈迪、维谛</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节</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76</w:t>
            </w:r>
          </w:p>
        </w:tc>
      </w:tr>
      <w:tr>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55</w:t>
            </w:r>
          </w:p>
        </w:tc>
        <w:tc>
          <w:tcPr>
            <w:tcW w:w="908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t>六、安全设备部分</w:t>
            </w:r>
          </w:p>
        </w:tc>
      </w:tr>
      <w:tr>
        <w:tblPrEx>
          <w:tblCellMar>
            <w:top w:w="0" w:type="dxa"/>
            <w:left w:w="108" w:type="dxa"/>
            <w:bottom w:w="0" w:type="dxa"/>
            <w:right w:w="108" w:type="dxa"/>
          </w:tblCellMar>
        </w:tblPrEx>
        <w:trPr>
          <w:trHeight w:val="5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56</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数据交换节点</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天行网安、国保金泰、合众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1</w:t>
            </w:r>
          </w:p>
        </w:tc>
      </w:tr>
      <w:tr>
        <w:tblPrEx>
          <w:tblCellMar>
            <w:top w:w="0" w:type="dxa"/>
            <w:left w:w="108" w:type="dxa"/>
            <w:bottom w:w="0" w:type="dxa"/>
            <w:right w:w="108" w:type="dxa"/>
          </w:tblCellMar>
        </w:tblPrEx>
        <w:trPr>
          <w:trHeight w:val="5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57</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单向隔离光闸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天行网安、国保金泰、合众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套</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1</w:t>
            </w:r>
          </w:p>
        </w:tc>
      </w:tr>
      <w:tr>
        <w:tblPrEx>
          <w:tblCellMar>
            <w:top w:w="0" w:type="dxa"/>
            <w:left w:w="108" w:type="dxa"/>
            <w:bottom w:w="0" w:type="dxa"/>
            <w:right w:w="108" w:type="dxa"/>
          </w:tblCellMar>
        </w:tblPrEx>
        <w:trPr>
          <w:trHeight w:val="5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58</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万兆防火墙</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华三、华为、山石网科</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台</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2</w:t>
            </w:r>
          </w:p>
        </w:tc>
      </w:tr>
      <w:tr>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59</w:t>
            </w:r>
          </w:p>
        </w:tc>
        <w:tc>
          <w:tcPr>
            <w:tcW w:w="908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t>七、取电部分</w:t>
            </w:r>
          </w:p>
        </w:tc>
      </w:tr>
      <w:tr>
        <w:tblPrEx>
          <w:tblCellMar>
            <w:top w:w="0" w:type="dxa"/>
            <w:left w:w="108" w:type="dxa"/>
            <w:bottom w:w="0" w:type="dxa"/>
            <w:right w:w="108" w:type="dxa"/>
          </w:tblCellMar>
        </w:tblPrEx>
        <w:trPr>
          <w:trHeight w:val="40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60</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前端位取电（点位取电）</w:t>
            </w:r>
          </w:p>
        </w:tc>
        <w:tc>
          <w:tcPr>
            <w:tcW w:w="2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定制</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批</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1</w:t>
            </w:r>
          </w:p>
        </w:tc>
      </w:tr>
      <w:tr>
        <w:tblPrEx>
          <w:tblCellMar>
            <w:top w:w="0" w:type="dxa"/>
            <w:left w:w="108" w:type="dxa"/>
            <w:bottom w:w="0" w:type="dxa"/>
            <w:right w:w="108" w:type="dxa"/>
          </w:tblCellMar>
        </w:tblPrEx>
        <w:trPr>
          <w:trHeight w:val="40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61</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前端位管路建设（点位管路）</w:t>
            </w:r>
          </w:p>
        </w:tc>
        <w:tc>
          <w:tcPr>
            <w:tcW w:w="2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定制</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批</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1</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62</w:t>
            </w:r>
          </w:p>
        </w:tc>
        <w:tc>
          <w:tcPr>
            <w:tcW w:w="9084"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t>八、运营部分</w:t>
            </w:r>
          </w:p>
        </w:tc>
      </w:tr>
      <w:tr>
        <w:trPr>
          <w:trHeight w:val="40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63</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机房设备托管费用</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电信、广电、联通、移动</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项</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1</w:t>
            </w:r>
          </w:p>
        </w:tc>
      </w:tr>
      <w:tr>
        <w:tblPrEx>
          <w:tblCellMar>
            <w:top w:w="0" w:type="dxa"/>
            <w:left w:w="108" w:type="dxa"/>
            <w:bottom w:w="0" w:type="dxa"/>
            <w:right w:w="108" w:type="dxa"/>
          </w:tblCellMar>
        </w:tblPrEx>
        <w:trPr>
          <w:trHeight w:val="40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64</w:t>
            </w:r>
          </w:p>
        </w:tc>
        <w:tc>
          <w:tcPr>
            <w:tcW w:w="5088" w:type="dxa"/>
            <w:tcBorders>
              <w:top w:val="single" w:color="000000" w:sz="4" w:space="0"/>
              <w:left w:val="single" w:color="000000" w:sz="4" w:space="0"/>
              <w:bottom w:val="single" w:color="000000" w:sz="4" w:space="0"/>
              <w:right w:val="single" w:color="000000" w:sz="4" w:space="0"/>
            </w:tcBorders>
            <w:shd w:val="clear" w:color="auto" w:fill="FFFFFF"/>
            <w:vAlign w:val="center"/>
          </w:tcPr>
          <w:p>
            <w:r>
              <w:t>光纤及运营</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电信、广电、联通、移动</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r>
              <w:t>项</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1</w:t>
            </w:r>
          </w:p>
        </w:tc>
      </w:tr>
      <w:tr>
        <w:tblPrEx>
          <w:tblCellMar>
            <w:top w:w="0" w:type="dxa"/>
            <w:left w:w="108" w:type="dxa"/>
            <w:bottom w:w="0" w:type="dxa"/>
            <w:right w:w="108" w:type="dxa"/>
          </w:tblCellMar>
        </w:tblPrEx>
        <w:trPr>
          <w:trHeight w:val="43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65</w:t>
            </w:r>
          </w:p>
        </w:tc>
        <w:tc>
          <w:tcPr>
            <w:tcW w:w="5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维护</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电信、广电、联通、移动</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项</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1</w:t>
            </w:r>
          </w:p>
        </w:tc>
      </w:tr>
      <w:tr>
        <w:tblPrEx>
          <w:tblCellMar>
            <w:top w:w="0" w:type="dxa"/>
            <w:left w:w="108" w:type="dxa"/>
            <w:bottom w:w="0" w:type="dxa"/>
            <w:right w:w="108" w:type="dxa"/>
          </w:tblCellMar>
        </w:tblPrEx>
        <w:trPr>
          <w:trHeight w:val="49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66</w:t>
            </w:r>
          </w:p>
        </w:tc>
        <w:tc>
          <w:tcPr>
            <w:tcW w:w="5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电费</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r>
              <w:t>电信、广电、联通、移动</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项</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r>
              <w:t>1</w:t>
            </w:r>
          </w:p>
        </w:tc>
      </w:tr>
    </w:tbl>
    <w:p>
      <w:pPr>
        <w:pStyle w:val="6"/>
        <w:rPr>
          <w:rFonts w:ascii="微软雅黑" w:hAnsi="微软雅黑" w:eastAsia="微软雅黑" w:cs="微软雅黑"/>
          <w:sz w:val="28"/>
          <w:szCs w:val="28"/>
        </w:rPr>
      </w:pPr>
      <w:r/>
    </w:p>
    <w:p>
      <w:pPr>
        <w:spacing w:line="360" w:lineRule="exact"/>
        <w:ind w:firstLine="442"/>
        <w:rPr>
          <w:rFonts w:ascii="微软雅黑" w:hAnsi="微软雅黑" w:eastAsia="微软雅黑" w:cs="微软雅黑"/>
          <w:color w:val="000000" w:themeColor="text1"/>
          <w:sz w:val="28"/>
          <w:szCs w:val="28"/>
        </w:rPr>
      </w:pPr>
      <w:r/>
    </w:p>
    <w:p>
      <w:pPr>
        <w:pStyle w:val="5"/>
        <w:numPr>
          <w:ilvl w:val="0"/>
          <w:numId w:val="40"/>
        </w:numPr>
        <w:spacing w:before="120" w:after="120" w:line="360" w:lineRule="exact"/>
        <w:rPr>
          <w:rFonts w:ascii="微软雅黑" w:hAnsi="微软雅黑" w:eastAsia="微软雅黑" w:cs="微软雅黑"/>
          <w:color w:val="000000" w:themeColor="text1"/>
          <w:sz w:val="22"/>
          <w:szCs w:val="22"/>
        </w:rPr>
      </w:pPr>
      <w:r>
        <w:t>技术参数：“▲”系指重要参数，投标人应如实应答。</w:t>
      </w:r>
    </w:p>
    <w:tbl>
      <w:tblPr>
        <w:tblStyle w:val="59"/>
        <w:tblW w:w="9870" w:type="dxa"/>
        <w:tblInd w:w="96" w:type="dxa"/>
        <w:tblLayout w:type="fixed"/>
        <w:tblCellMar>
          <w:top w:w="0" w:type="dxa"/>
          <w:left w:w="108" w:type="dxa"/>
          <w:bottom w:w="0" w:type="dxa"/>
          <w:right w:w="108" w:type="dxa"/>
        </w:tblCellMar>
      </w:tblPr>
      <w:tblGrid>
        <w:gridCol w:w="633"/>
        <w:gridCol w:w="1572"/>
        <w:gridCol w:w="7665"/>
      </w:tblGrid>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序号</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设备名称</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参数</w:t>
            </w:r>
          </w:p>
        </w:tc>
      </w:tr>
      <w:tr>
        <w:tblPrEx>
          <w:tblCellMar>
            <w:top w:w="0" w:type="dxa"/>
            <w:left w:w="108" w:type="dxa"/>
            <w:bottom w:w="0" w:type="dxa"/>
            <w:right w:w="108" w:type="dxa"/>
          </w:tblCellMar>
        </w:tblPrEx>
        <w:trPr>
          <w:trHeight w:val="516"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一、摄像机部分</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516"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1、治安监控部分</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r>
      <w:tr>
        <w:trPr>
          <w:trHeight w:val="516"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双光谱云台型摄像机（3公里，含128GTF卡、电源模块、支架等）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FFFFFF"/>
          </w:tcPr>
          <w:p>
            <w:r>
              <w:t>支持3D定位功能，通过客户端/IE可实现点击放大和未授权目标智能跟随</w:t>
              <w:br/>
              <w:t>支持PAL/NTSC制式切换，具有良好的地区适用性</w:t>
              <w:br/>
              <w:t>支持多语言菜单及操作提示功能，用户界面友好</w:t>
              <w:br/>
              <w:t>支持系统双备份功能，确保数据断电不丢失</w:t>
              <w:br/>
              <w:t>支持断电状态记忆功能，上电后自动回到断电前的云台和镜头状态</w:t>
              <w:br/>
              <w:t>支持热成像探测器防灼伤智能躲避</w:t>
              <w:br/>
              <w:t>室外IP66防护等级，防浪涌</w:t>
              <w:br/>
              <w:t>支持预置点/辅助输出/多种扫描方式的定时任务功能</w:t>
              <w:br/>
              <w:t>支持守望功能，预置点/花样扫描/巡航扫描可在空闲状态停留指定时间后自动调用(包括上电后进入的空闲状态)</w:t>
              <w:br/>
              <w:t>支持NAS存储录像，录像可断网续传</w:t>
              <w:br/>
              <w:t>支持双光谱双码流技术</w:t>
              <w:br/>
              <w:t>支持区域扫描功能，方位设定功能，烟火区域屏蔽功能</w:t>
              <w:br/>
              <w:t>支持低温加热启动、镜头加热及除冰等功能</w:t>
              <w:br/>
              <w:t>支持热成像目标检测，可见光联动跟踪</w:t>
              <w:br/>
              <w:t>支持区域入侵侦测、越界侦测、进入区域侦测、离开区域侦测功能</w:t>
              <w:br/>
              <w:t>▲支持智能烟火检测功能，并能实时回传云台角度及俯仰角信息</w:t>
              <w:br/>
              <w:t>热成像分辨率：384 × 288</w:t>
              <w:br/>
              <w:t>热成像焦距：不小于50 mm</w:t>
              <w:br/>
              <w:t>热成像视场角：7.47°（H）× 5.61°（V）</w:t>
              <w:br/>
              <w:t>支持船只检测报警</w:t>
              <w:br/>
              <w:t>火点最远报警距离（以2米*2米为准）不小于：2941m</w:t>
              <w:br/>
              <w:t>人员最远报警距离（以1.8米*0.5米为准）不小于：350m</w:t>
              <w:br/>
              <w:t>车辆最远报警距离（以4米*1.4米为准）不小于：1050m</w:t>
              <w:br/>
              <w:t>可见光分辨率：2688 x 1520，400万实时高清</w:t>
              <w:br/>
              <w:t>可见光焦距：不小于6-330 mm,光学变倍不小于55倍</w:t>
              <w:br/>
              <w:t>可见光补光功能：激光补光有效距离800 m</w:t>
              <w:br/>
              <w:t>可见光视场角：48.26°(H)28.43°(V)-0.92°(H)0.56°(V)或水平：64.4°~1.28°；垂直：38.37°~0.72°</w:t>
              <w:br/>
              <w:t>可见光透雾功能：支持光学透雾和算法透雾</w:t>
              <w:br/>
              <w:t>支持可见光防抖功能</w:t>
              <w:br/>
              <w:t>烟雾最远报警距离（以5米*5米为准）：6000m</w:t>
              <w:br/>
              <w:t>水平范围：360°连续旋转</w:t>
              <w:br/>
              <w:t>.质保不低于3年</w:t>
            </w:r>
          </w:p>
        </w:tc>
      </w:tr>
      <w:tr>
        <w:tblPrEx>
          <w:tblCellMar>
            <w:top w:w="0" w:type="dxa"/>
            <w:left w:w="108" w:type="dxa"/>
            <w:bottom w:w="0" w:type="dxa"/>
            <w:right w:w="108" w:type="dxa"/>
          </w:tblCellMar>
        </w:tblPrEx>
        <w:trPr>
          <w:trHeight w:val="516"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人脸抓拍机 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auto"/>
          </w:tcPr>
          <w:p>
            <w:r>
              <w:t>800万全结构化双目一体机</w:t>
              <w:br/>
              <w:t xml:space="preserve">视频分辨率： </w:t>
              <w:br/>
              <w:t>细节通道：3840 × 2160；全景通道：5120 × 1440或4976*1452</w:t>
              <w:br/>
              <w:t>传感器类型：</w:t>
              <w:br/>
              <w:t>细节通道：1/1.2" Progressive Scan CMOS；全景通道：1/1.8" Progressive Scan CMOS</w:t>
              <w:br/>
              <w:t>最低照度：</w:t>
              <w:br/>
              <w:t>细节通道：彩色：0.0003 Lux；黑白：0.0001 Lux</w:t>
              <w:br/>
              <w:t>全景通道：彩色：0.0003 Lux；黑白：0.0001 Lux</w:t>
              <w:br/>
              <w:t>调节角度： 细节通道：T向-15°~7°</w:t>
              <w:br/>
              <w:t>焦距&amp;视场角：细节通道：8~56 mm；全景通道不大于： 4 mm，水平视场角180°</w:t>
              <w:br/>
              <w:t>光圈：细节通道： F1.0；全景通道：F1.0</w:t>
              <w:br/>
              <w:t>补光距离：细节通道：普通监控：80 m，人脸抓拍/识别：20 m ；全景通道：普通监控：30 m</w:t>
              <w:br/>
              <w:t>防护等级：IP67</w:t>
              <w:br/>
              <w:t>智能能力：细节通道：支持全结构化模式、人脸比对、Smart事件任意切换</w:t>
              <w:br/>
              <w:t>支持人脸人体车辆同时抓拍，人脸人体关联输出，并实现对人脸、人体、车辆结构化属性特征信息提取</w:t>
              <w:br/>
              <w:t>具有3个图像传感器和3个镜头</w:t>
              <w:br/>
              <w:t>内置定位模块，可输出经纬度信息；支持GPS/北斗校时</w:t>
              <w:br/>
              <w:t>当监控场景无目标时，补光灯处于低亮模式；当设备全景采集通道检测到目标后，可自动将补光灯调节至高亮模式，并支持目标跟踪、检测、筛选、抓拍、分析属性信息和上报功能</w:t>
              <w:br/>
              <w:t>可同时对不同速度、明亮度、反光度的行人、非机动车、机动车分类曝光，可实时检测、跟踪、抓拍行进的行人人脸、人体、非机动车及车上人员、机动车车牌、机动车；可识别人脸及车牌号码，同时抓拍的人脸和车牌号码图片应清晰可辨，无过曝、过暗情况。</w:t>
              <w:br/>
              <w:t>全景通道两个图像传感器之间的同步误差不大于1ms</w:t>
              <w:br/>
              <w:t>采用金属外壳，下置藏线盒</w:t>
              <w:br/>
              <w:t>在混合抓拍模式下，行人、非机动车和机动车目标捕获率不低于99%。</w:t>
              <w:br/>
              <w:t>可识别不低于300种车辆品牌。</w:t>
              <w:br/>
              <w:t>可识别不低于5000种车辆子品牌</w:t>
              <w:br/>
              <w:t>可识别11种车辆颜色</w:t>
              <w:br/>
              <w:t>可同时对不同速度、明亮度、反光度的行人、非机动车、机动车分类曝光，可实时检测、跟踪、抓拍行进的行人人脸、人体、非机动车及车上人员、机动车车牌、机动车；可识别人脸及车牌号码，同时抓拍的人脸和车牌号码图片应清晰可辨，无过曝、过暗情况。</w:t>
              <w:br/>
              <w:t>各镜头相机提供不小于投标最高像素的抓拍图片；星光级低照度、全结构化相机，可根据业务需求可配置200万至投标最高像素视频流输出（码流：2-8M）。</w:t>
            </w:r>
          </w:p>
        </w:tc>
      </w:tr>
      <w:tr>
        <w:tblPrEx>
          <w:tblCellMar>
            <w:top w:w="0" w:type="dxa"/>
            <w:left w:w="108" w:type="dxa"/>
            <w:bottom w:w="0" w:type="dxa"/>
            <w:right w:w="108" w:type="dxa"/>
          </w:tblCellMar>
        </w:tblPrEx>
        <w:trPr>
          <w:trHeight w:val="408"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w:t>
            </w:r>
          </w:p>
        </w:tc>
        <w:tc>
          <w:tcPr>
            <w:tcW w:w="1572" w:type="dxa"/>
            <w:tcBorders>
              <w:top w:val="single" w:color="000000" w:sz="4" w:space="0"/>
              <w:left w:val="single" w:color="000000" w:sz="4" w:space="0"/>
              <w:bottom w:val="single" w:color="000000" w:sz="4" w:space="0"/>
              <w:right w:val="single" w:color="000000" w:sz="4" w:space="0"/>
            </w:tcBorders>
            <w:shd w:val="clear" w:color="auto" w:fill="FFFFFF"/>
          </w:tcPr>
          <w:p>
            <w:r>
              <w:t>激光球型摄像机（全结构化，含128GTF卡，电源模块、支架等）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成像器件：1/1.8’’逐行扫描400万像素CMOS图像传感器</w:t>
              <w:br/>
              <w:t>最低照度不低于：彩色：≤0.005 lx（AGC ON），黑白：≤0.0005lx（AGC ON）</w:t>
              <w:br/>
              <w:t>宽动态：120dB</w:t>
              <w:br/>
              <w:t>光学变倍: ≥40倍光学变倍;焦距：6~228mm或5.5~220mm或5~208mm</w:t>
              <w:br/>
              <w:t>补光距离： ≥500m 激光补光或支持白光、红外混合补光，距离 ≥500m</w:t>
              <w:br/>
              <w:t xml:space="preserve">支持光学透雾；支持强光抑制；支持智能雨刷； </w:t>
              <w:br/>
              <w:t>视频编码：H.265、H.264、MJPEG</w:t>
              <w:br/>
              <w:t>编码制式：400万(2688*1520)最大30帧/秒</w:t>
              <w:br/>
              <w:t>抓图：支持定时抓图、周期抓图、巡航预置位抓图</w:t>
              <w:br/>
              <w:t>人脸检测：可同时检测≥15个人脸目标；支持人脸抓拍优选模式；</w:t>
              <w:br/>
              <w:t xml:space="preserve">可开启或关闭人体抓拍，开启后抓拍区域可设置成全屏或指定区域，并对进入区域的目标进行人体检测和跟踪，并抓拍人体全身照片； </w:t>
              <w:br/>
              <w:t xml:space="preserve">可同时捕获人脸和人体，并在实况界面对人脸和人体进行关联显示； </w:t>
              <w:br/>
              <w:t>Smart功能：声音检测、遮挡检测、报警输入、报警输出</w:t>
              <w:br/>
              <w:t>水平范围：360°；水平速度0.1°/s~180°/s；预置位速度不小于：180°/s</w:t>
              <w:br/>
              <w:t>垂直范围：-15°~90°(自动翻转)；垂直速度不小于：0.1°~100°/s；预置位速度不小于：75°/s</w:t>
              <w:br/>
              <w:t>兼容接入ONVIF、GB/T 28181、IMOS、GA/T 1400、API</w:t>
              <w:br/>
              <w:t>支持后端存储；支持缓存补录 支持SD卡断网缓存补录</w:t>
              <w:br/>
              <w:t>SD卡接口：内置1个Micro SD插槽，最大支持256GB</w:t>
              <w:br/>
              <w:t>支持区域入侵、越界入侵、徘徊、物品移除、物品遗留、人员聚集、停车、快速移动，并联动报警。</w:t>
              <w:br/>
              <w:t>1路RS485串口(防护等级4000V）</w:t>
              <w:br/>
              <w:t>1个RJ45 10M/100M自适应以太网电口；</w:t>
              <w:br/>
              <w:t>供电方式：DC24V±25% （首选）、AC24V±25%；或DC36V±25%；</w:t>
              <w:br/>
              <w:t>功耗：55W Max</w:t>
              <w:br/>
              <w:t>工作环境：-40℃~70℃，≤95%RH，无冷凝</w:t>
              <w:br/>
              <w:t>防护等级：≥IP66</w:t>
              <w:br/>
              <w:t>包含且不限于算法等所有费用；</w:t>
            </w:r>
          </w:p>
        </w:tc>
      </w:tr>
      <w:tr>
        <w:tblPrEx>
          <w:tblCellMar>
            <w:top w:w="0" w:type="dxa"/>
            <w:left w:w="108" w:type="dxa"/>
            <w:bottom w:w="0" w:type="dxa"/>
            <w:right w:w="108" w:type="dxa"/>
          </w:tblCellMar>
        </w:tblPrEx>
        <w:trPr>
          <w:trHeight w:val="672"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6</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多摄超星光球机 （全结构化，含128GTF卡，电源模块、支架等）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FFFFFF"/>
          </w:tcPr>
          <w:p>
            <w:r>
              <w:t>采用一体化设计，由双镜头相机与高性能GPU模块组成，聚合多种专为复杂场景设计的深度学习算法，实现全结构化数据精准采集，具备多场景数据融合分析能力，实现全方位态势感知。</w:t>
              <w:br/>
              <w:t>支持不少于多种智能功能切换：混合目标检测（支持前端比对）、人脸抓拍、人员布控、Smart事件。</w:t>
              <w:br/>
              <w:t>混合目标检测：支持不少于全景通道全结构化抓拍（人脸+人体+车辆），支持不少于全景人员自动检测并联动细节摄像机进行快速锁定抓拍，提供满足人脸比对的图片，并进行人体人脸关联。</w:t>
              <w:br/>
              <w:t>a)抓拍人体人脸属性：服装类型颜色、性别、年龄、背包、拎东西、戴帽子、戴口罩、眼镜等属性识别。</w:t>
              <w:br/>
              <w:t>b)抓拍非机动车：车身颜色、骑车类型、骑车人数等属性识别。</w:t>
              <w:br/>
              <w:t>c)抓拍机动车：支持不少于车牌识别并抓拍，支持不少于车型、车牌类型颜色、车身颜色、子品牌等属性识别。</w:t>
              <w:br/>
              <w:t>人员布控：支持不少于前端实时建模比对，对人脸及人体进行布控跟踪，跟踪过程中目标经纬度信息实时上传，构建时空域场景。</w:t>
              <w:br/>
              <w:t>Smart事件：支持不少于全景摄像机对设定区域进行布防，当检测到目标时联动细节摄像机对目标进行跟踪及报警，实现周界布防。</w:t>
              <w:br/>
              <w:t>人脸抓拍：细节路支持不少于人脸抓拍，对所检测到的人脸进行快速锁定并进行抓拍。</w:t>
              <w:br/>
              <w:t>a)支持不少于对运动人脸进行检测、跟踪、抓拍、评分、筛选，输出最优的人脸。</w:t>
              <w:br/>
              <w:t>b)支持不少于人脸去误报、快速抓拍人脸。</w:t>
              <w:br/>
              <w:t>c)支持不少于快速抓拍和最佳抓拍两种模式，并支持不少于2种模式同时开启。</w:t>
              <w:br/>
              <w:t>支持不少于前端人脸建模、人脸比对。</w:t>
              <w:br/>
              <w:t>a)支持不少于前端人脸建模、人脸比对。</w:t>
              <w:br/>
              <w:t>b)支持不小于5个人脸库的管理。</w:t>
              <w:br/>
              <w:t>c)支持最不小于1万张人脸的导入。</w:t>
              <w:br/>
              <w:t>d)支持不少于不同人脸库不同时间布防。</w:t>
              <w:br/>
              <w:t>e支持不少于黑名单比对成功报警输出。</w:t>
              <w:br/>
              <w:t>f)支持不少于人脸瞳距20像素以上的人脸检测。</w:t>
              <w:br/>
              <w:t>g)支持不少于人脸快速比对多种比对方式设置。</w:t>
              <w:br/>
              <w:t>接管跟踪：Smart事件中，当跟踪的目标离开全景摄像机画面后，细节摄像机继续对目标进行跟踪，扩大跟踪范围。</w:t>
              <w:br/>
              <w:t>跟踪抓拍：人员布控支持跟踪抓拍功能，在跟踪时能抓拍跟踪目标的人脸和人体，并能分析跟踪人脸、人体的属性，并通过报警进行上传。</w:t>
              <w:br/>
              <w:t>支持不少于人脸人体同时抓拍，人脸人体关联输出，并实现对人脸、人体结构化属性特征信息提取。</w:t>
              <w:br/>
              <w:t>支持两路PTZ可控；全景不低于：水平0-360°连续旋转，垂直0-30°；细节不低于：水平0-330°，垂直-10~90°。</w:t>
              <w:br/>
              <w:t>支持不少于自动标定：实现一次标定后枪机在任意角度，任意焦距位置不需要再次标定，方便易用。</w:t>
              <w:br/>
              <w:t>支持GB35114 A级安全加密。</w:t>
              <w:br/>
              <w:t>传感器类型: 【全景】1/1.8＂ progressive scan CMOS；【细节】1/1.8＂ progressive scan CMOS</w:t>
              <w:br/>
              <w:t xml:space="preserve">最低照度: </w:t>
              <w:br/>
              <w:t>【全景】彩色不低于：0.0005 Lux @(F1.6，AGC ON)，黑白：0.0001Lux @(F1.6，AGC ON)，0 lux with IR</w:t>
              <w:br/>
              <w:t xml:space="preserve">【细节】彩色不低于：0.0005 Lux @(F1.5，AGC ON)，黑白：0.0001Lux @(F1.5，AGC ON)，0 lux with IR </w:t>
              <w:br/>
              <w:t>宽动态: 120dB超宽动态</w:t>
              <w:br/>
              <w:t>光学变倍: 【全景】不低于4倍；【细节】不低于25倍</w:t>
              <w:br/>
              <w:t>焦距不低于: 【全景】8-32 mm；【细节】5.9-147.5 mm或者变焦镜头最大焦距不小于135mm，25倍变焦能力</w:t>
              <w:br/>
              <w:t>水平范围不低于: 【全景】0-360°；【细节】0-330°</w:t>
              <w:br/>
              <w:t>垂直范围不低于: 【全景】0-30°；【细节】-10-90°</w:t>
              <w:br/>
              <w:t>水平速度: 【全景】水平键控速度：0.1°-100°/s，速度可设；【细节】水平键控速度：0.1°-210°/s，速度可设</w:t>
              <w:br/>
              <w:t>垂直速度: 【全景】垂直键控速度：0.1°-25°/s，速度可设；【细节】垂直键控速度：0.1°-150°/s，速度可设</w:t>
              <w:br/>
              <w:t>主码流帧率分辨率: 50Hz：25fps（2560×1440）; 60Hz：30fps（2560×1440）</w:t>
              <w:br/>
              <w:t>视频压缩标准: H.265，H.264，MJPEG</w:t>
              <w:br/>
              <w:t>网络存储: NAS (NFS, SMB/ CIFS), ANR</w:t>
              <w:br/>
              <w:t>网络接口: RJ45网口，自适应网络数据，支持1000M网络数据</w:t>
              <w:br/>
              <w:t>SD卡扩展: 支持Micro SD(即TF卡)/Micro SDHC/Micro SDXC卡，最大支持不少于256G</w:t>
              <w:br/>
              <w:t>防补光过曝: 支持</w:t>
              <w:br/>
              <w:t>除雾: 支持；防护不低于: IP66</w:t>
              <w:br/>
              <w:t>内置不低于128G内存卡</w:t>
              <w:br/>
              <w:t>各镜头相机提供不小于投标最高像素的抓拍图片；</w:t>
              <w:br/>
              <w:t>全结构化相机，可根据业务需求可配置200万至投标最高像素视频流输出（码流：2-8M）</w:t>
            </w:r>
          </w:p>
        </w:tc>
      </w:tr>
      <w:tr>
        <w:trPr>
          <w:trHeight w:val="672"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7</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校园双镜头摄像机（全结构化，含128GTF卡，电源模块、支架等）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FFFFFF"/>
          </w:tcPr>
          <w:p>
            <w:r>
              <w:t xml:space="preserve">视频分辨率： </w:t>
              <w:br/>
              <w:t>【细节】：3840 × 2160;【球机】：2560 × 1440</w:t>
              <w:br/>
              <w:t>传感器类型：</w:t>
              <w:br/>
              <w:t>【细节】1/1.2＂ progressive scan CMOS</w:t>
              <w:br/>
              <w:t>【球机】1/1.8＂ progressive scan CMOS</w:t>
              <w:br/>
              <w:t>最低照度：</w:t>
              <w:br/>
              <w:t>【细节】不小于彩色：0.001 Lux ，黑白：0.0005 Lux</w:t>
              <w:br/>
              <w:t>【球机】不小于彩色：0.001 Lux ，黑白：0.0005 Lux</w:t>
              <w:br/>
              <w:t>焦距：</w:t>
              <w:br/>
              <w:t>【细节】不小于变焦13~52 mm，4×光学变倍</w:t>
              <w:br/>
              <w:t>【球机】不小于变焦13~52 mm，4×光学变倍</w:t>
              <w:br/>
              <w:t>云台功能</w:t>
              <w:br/>
              <w:t>水平范围：</w:t>
              <w:br/>
              <w:t>【细节】不小于-5°~5°</w:t>
              <w:br/>
              <w:t>【球机】不小于0~330°</w:t>
              <w:br/>
              <w:t>垂直范围：</w:t>
              <w:br/>
              <w:t>【细节】不小于-5°~5°</w:t>
              <w:br/>
              <w:t>【球机】不小于-10°~90°</w:t>
              <w:br/>
              <w:t>补光灯距离：暖白补光</w:t>
              <w:br/>
              <w:t>【细节】不小于20 m人脸</w:t>
              <w:br/>
              <w:t>【球机】不小于20 m人脸</w:t>
              <w:br/>
              <w:t>智能能力：联动抓拍模式、全结构化模式</w:t>
              <w:br/>
              <w:t>联动抓拍模式：全景进行车辆抓拍、背向行人抓拍及结构化属性识别，并联动球机进行人脸人体抓拍及其属性提取；细节进行固定区域的非机动车抓拍及属性提取。镜头配合进行15米宽、30米远的监控范围内全目标的主动+被动抓拍。球机镜头可进行前端人脸比对</w:t>
              <w:br/>
              <w:t>全结构化模式：镜头可分别进行全结构化抓拍，及电瓶车车牌提取。细节镜头和球机镜头可进行人体与人脸的交叉关联、电瓶车车牌和人脸的交叉关联。交叉关联可通过IE控件进行展示</w:t>
              <w:br/>
              <w:t>内置≥3个GPU芯片</w:t>
              <w:br/>
              <w:t>全景通道光圈不小于F1.0，细节和球机通道光圈不小于F1.6</w:t>
              <w:br/>
              <w:t>通道均支持对镜头前盖玻璃加热，去除玻璃上的冰状和水状附着物</w:t>
              <w:br/>
              <w:t>在联动模式下，细节通道和全景通道可进行全结构化抓拍和属性分析。在全景通道检测到移动目标后，可联动球机进行人脸、人体的抓拍和属性分析</w:t>
              <w:br/>
              <w:t>具备车牌人脸关联功能，支持非机动车牌与非机动车上的人脸进行关联</w:t>
              <w:br/>
              <w:t>设备支持全景通道检测到移动目标后，可联动球机进行人脸、人体抓拍，全景检测宽度不小于15米</w:t>
            </w:r>
          </w:p>
        </w:tc>
      </w:tr>
      <w:tr>
        <w:tblPrEx>
          <w:tblCellMar>
            <w:top w:w="0" w:type="dxa"/>
            <w:left w:w="108" w:type="dxa"/>
            <w:bottom w:w="0" w:type="dxa"/>
            <w:right w:w="108" w:type="dxa"/>
          </w:tblCellMar>
        </w:tblPrEx>
        <w:trPr>
          <w:trHeight w:val="5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8</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溢洪口水位观测相机（全结构化，含128GTF卡，电源模块、支架等）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FFFFFF"/>
          </w:tcPr>
          <w:p>
            <w:r>
              <w:t>最低照度：彩色：0.0005 Lux ，黑白：0.0001 Lux</w:t>
              <w:br/>
              <w:t>宽动态：120dB超宽动态</w:t>
              <w:br/>
              <w:t>焦距：4mm；水平范围：0°~340；垂直范围：-20°-90°，无自动翻转或焦距：全景2.8mm，细节2.7~12mm;定焦:对角：135°水平：113°垂直：60°变焦:水平：114°~48°垂直：59°~27°对角：143°~56°</w:t>
              <w:br/>
              <w:t>采用毫米波雷达80GHz- FMCW技术，分辨率更高，检测性能更稳定，不受光照、雨雪、灰尘、水雾等恶劣环境的影响或双摄雷达水位产品采用一体化设计，内置双路 Sensor 图像传感器、毫米波雷达等数据感知模块</w:t>
              <w:br/>
              <w:t>▲支持水位监测，监测范围不小于0.15~30米，水位精度不大于±2mm</w:t>
              <w:br/>
              <w:t>支持全景路2560 × 1440 @30 fps高清画面输出</w:t>
              <w:br/>
              <w:t>支持全彩画面，F1.0大光圈或F1.6</w:t>
              <w:br/>
              <w:t>支持H.265高效压缩算法，可较大节省存储空间</w:t>
              <w:br/>
              <w:t>采用白光补光，有效白光30米或采用红外补光，有效50米</w:t>
              <w:br/>
              <w:t>开放型网络视频接口，ISAPI，GB/T28181，ISUP</w:t>
              <w:br/>
              <w:t>支持宽动态范围达120 dB，适合逆光环境监控</w:t>
              <w:br/>
              <w:t>支持340°水平旋转，垂直方向-20°~90°</w:t>
              <w:br/>
              <w:t>支持3D数字降噪、强光抑制、SmartIR</w:t>
              <w:br/>
              <w:t>支持1路音频输入和1路音频输出</w:t>
              <w:br/>
              <w:t>内置2路报警输入和1路报警输出，支持报警联动功能</w:t>
              <w:br/>
              <w:t>支持水位报警联动视频抓拍上报</w:t>
              <w:br/>
              <w:t>内置32 GB EMMC存储</w:t>
              <w:br/>
              <w:t>IP67，抗干扰能力强，适用于严酷的电磁环境</w:t>
            </w:r>
          </w:p>
        </w:tc>
      </w:tr>
      <w:tr>
        <w:tblPrEx>
          <w:tblCellMar>
            <w:top w:w="0" w:type="dxa"/>
            <w:left w:w="108" w:type="dxa"/>
            <w:bottom w:w="0" w:type="dxa"/>
            <w:right w:w="108" w:type="dxa"/>
          </w:tblCellMar>
        </w:tblPrEx>
        <w:trPr>
          <w:trHeight w:val="6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9</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三球一体机（全结构化，含128GTF卡，电源模块、支架等）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1. 成像器件:【全景1】1/1.8inch逐行扫描不低于400万像素CMOS图像传感器，【全景2】1/1.8inch逐行扫描400万像素CMOS图像传感器，【细节】1/1.8inch逐行扫描400万像素CMOS图像传感器</w:t>
              <w:br/>
              <w:t>2. 焦距/变倍:【全景1】不低于2.8-12mm，【全景2】不低于10-50mm，【细节】不低于40倍光学变倍</w:t>
              <w:br/>
              <w:t>3. 补光灯:【全景1】红外补光，【全景2】红外补光，【细节】红外不低于250米，支持白光闪烁</w:t>
              <w:br/>
              <w:t>4. 信噪比:&gt;55dB，宽动态:120dB，光学透雾:支持</w:t>
              <w:br/>
              <w:t>5. 编码协议:H.265、H.264、MJPEG</w:t>
              <w:br/>
              <w:t>6. 编码制式:【全景1】不低于400万(2560*1440)；【全景2】不低于400万(2560*1440)；【细节】不低于400万(2560*1440)</w:t>
              <w:br/>
              <w:t>7. GPS/北斗:内置天线，可采集经纬度信息；</w:t>
              <w:br/>
              <w:t>8. 人脸检测（参数不少于）:最多可同时检测40个人脸目标；支持不低于效果优先、速度优先、周期优选三种人脸抓拍优选模式，支持人脸角度过滤；支持人脸、人体抓拍及关联，支持人脸、人体属性提取；人脸属性：性别、年龄段、戴眼镜；</w:t>
              <w:br/>
              <w:t>9. 周界布防（参数不少于）:支持不低于越界检测、区域入侵、进入区域、离开区域；支持机动车、非机动车、行人目标分类检测抓拍及布防；</w:t>
              <w:br/>
              <w:t>10. 混行检测（参数不少于）:两路【全景】相机支持混行检测及抓拍，可对人体、人脸、车辆进行检测；支持机动车、非机动车、行人目标分类检测抓拍及布防；支持机动车、非机动车、行人、人脸属性提取；机动车属性：车牌号码、车辆类型、车身颜色、车辆品牌、行驶方向、行驶速度、车牌颜色、车牌种类；非机动车属性：性别、年龄段、上衣颜色、上衣款式、行驶方向、行驶速度、驾驶类型；行人属性：性别、年龄段、戴口罩、上衣颜色、下衣颜色、上衣款式、下衣款式、携包、发型、移动方向人脸属性：性别、年龄段、戴眼镜；</w:t>
              <w:br/>
              <w:t>11. 人数统计:绊线人数统计：支持总人数、进入人数、离开人数、停留人数统计，支持人数统计清零；区域人数统计：支持设置报警人数上限及联动输出；</w:t>
              <w:br/>
              <w:t>12. 自动跟踪（参数不少于）:支持对画面中的机动车、非机动车、行人目标进行分类跟踪，达到预设跟踪时间后自动返回初始位置</w:t>
              <w:br/>
              <w:t>13. 前后端存储:前端存储（参数不少于）：Micro SD，最高256GB；支持内置Micro SD卡槽</w:t>
              <w:br/>
              <w:t>14. 兼容接入:ONVIF、GB/T28181</w:t>
              <w:br/>
              <w:t>15. 水平范围:水平范围（参数不少于）：【全景】0-190°；【细节】0-360°；360°</w:t>
              <w:br/>
              <w:t>16. 垂直范围:垂直范围（参数不少于）：【全景】-5-30°；【细节】-15°~90°</w:t>
              <w:br/>
              <w:t>17. 巡航:支持预置位巡航、轨迹巡航</w:t>
              <w:br/>
              <w:t>18. 接口：音频输入输出:音频接线；1路音频输入，1路音频输出；告警接口:7路告警输入，2路告警输出；告警联动可设置；串口:1路RS485串口</w:t>
              <w:br/>
              <w:t>19. 网口:100M/1000M SFP单模光口(FC)+2路100M/100M自适应以太网电口，支持光电串接</w:t>
              <w:br/>
              <w:t>20. 电源:接线端子，AC 24V±25%（默认电源）、DC 24V±25%；</w:t>
              <w:br/>
              <w:t>21. 工作环境:-40℃~70℃，≤95%RH 无冷凝</w:t>
              <w:br/>
              <w:t>22. 防护等级:IP66</w:t>
            </w:r>
          </w:p>
        </w:tc>
      </w:tr>
      <w:tr>
        <w:tblPrEx>
          <w:tblCellMar>
            <w:top w:w="0" w:type="dxa"/>
            <w:left w:w="108" w:type="dxa"/>
            <w:bottom w:w="0" w:type="dxa"/>
            <w:right w:w="108" w:type="dxa"/>
          </w:tblCellMar>
        </w:tblPrEx>
        <w:trPr>
          <w:trHeight w:val="3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10</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无极补光灯(含光敏控制）</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防护等级IP66、显色指数≥90、工作寿命：≥100000小时、有效补光区域：11米*5米、有效补光区域内任意一点最低照度≥3Lux（以上四项需提供公安部检测中心检测报告），工作环境：-55～+50℃，功率≤40W，原厂质保5年，自带一体化光控开关，通过国家3c认证及整灯CQC认证（此项需提供认证证书）。</w:t>
            </w:r>
          </w:p>
        </w:tc>
      </w:tr>
      <w:tr>
        <w:trPr>
          <w:trHeight w:val="4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11</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无极补光灯模块</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1、提供1路10M/100M自适应管理网口；1路RS485（modbus标准协议）复用接口；1路RS232接口；1个复位按钮；3路无源开关量输入接口（1路预留门磁、另两路可接其他具备开关量接口的传感器）；1路模拟量输入接口（预留给温度传感器），提供3路AC220V电源输出，每路远程独立控制及自恢复功能，可在后端远程控制任意供电端口通断电，实现远程重启前端设备，检测并上传记录 AC 端口电压值、功耗电流值，具有短路断电保护、过（欠）压告警功能。</w:t>
              <w:br/>
              <w:t>2、合适体积，支持安装在本项目网络箱内，工作环境，工作温度-40℃～70℃、工作湿度 10%～90%。</w:t>
            </w:r>
          </w:p>
        </w:tc>
      </w:tr>
      <w:tr>
        <w:tblPrEx>
          <w:tblCellMar>
            <w:top w:w="0" w:type="dxa"/>
            <w:left w:w="108" w:type="dxa"/>
            <w:bottom w:w="0" w:type="dxa"/>
            <w:right w:w="108" w:type="dxa"/>
          </w:tblCellMar>
        </w:tblPrEx>
        <w:trPr>
          <w:trHeight w:val="516"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12</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LED 全景补光灯(含光敏控制，）</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【暖光】【16颗】LED常亮灯</w:t>
              <w:br/>
              <w:t>光源类型：原装进口大功率LED，三车道补光</w:t>
              <w:br/>
              <w:t>LED灯珠数量：16颗</w:t>
              <w:br/>
              <w:t>发光角度：40°或 30°</w:t>
              <w:br/>
              <w:t>最佳补光距离：16米-25米</w:t>
              <w:br/>
              <w:t>触发方式：光敏控制</w:t>
              <w:br/>
              <w:t>防护等级：IP66</w:t>
              <w:br/>
              <w:t>功率：最大功率36W(实际功率与控制方式有关)</w:t>
              <w:br/>
              <w:t>要求符合GA/T1202-2022《交通技术监控成像补光装置通用技术规范》并提供检测报告；</w:t>
              <w:br/>
              <w:t>支持远程控制和远程状态显示功能，具有远程亮度可调节、开启、关闭等功能，提供承诺书；</w:t>
              <w:br/>
              <w:t>（包括服务期内当光衰减大于30%或造成图片、视频数据成像效果不符合招标要求及相关国家标准的应当免费更换）</w:t>
              <w:br/>
              <w:t>★产品自带光扩散磨砂材料，用于消散产品眩光，对驾驶员视觉无干扰，确保行车安全。用于人脸识别的补光灯部分，尤其注重光扩散，必要时需定制解决。</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13</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2、治安卡口部分</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14</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900 万像素视频抓拍机（全结构化，含128GTF卡，电源模块、支架等）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1、不低于900 万像素视频抓拍机(含内置偏振镜、镀膜玻璃、双层防护罩、内置补光灯、网络防雷器、电源适配器、万向节及不低于 128G 高速 SD 卡或 TF卡等配件)</w:t>
              <w:br/>
              <w:t>2、视频分辨率≥4096×2160@25fps，采用 GMOS 传感器,靶面≥1 英寸；</w:t>
              <w:br/>
              <w:t>3、低照度：彩色：≤0.0003lx，黑白：≤0.0002lx；</w:t>
              <w:br/>
              <w:t>4、视频压缩至少支持 H.265/H.264/MJPEG；视频帧率≥25 帧，</w:t>
              <w:br/>
              <w:t>5、支持不少于 3 路码流同时输出，支持同时输出不少于 2 路高清视频图像，高清视频图像分辨率与帧率不小于 4096×2160@25 帧/s；</w:t>
              <w:br/>
              <w:t>6、防护等级：不低于 IP66；</w:t>
              <w:br/>
              <w:t>7、支持不少于主、副驾驶人脸检测功能；</w:t>
              <w:br/>
              <w:t>8、支持不少于车辆捕获功能，白天准确率≥99%，晚上捕获率≥99%；</w:t>
              <w:br/>
              <w:t>9、支持不少于车牌识别功能，白天准确率≥99%，晚上捕获率≥99%；</w:t>
              <w:br/>
              <w:t>10、支持不少于非机动车、行人捕获功能，白天捕获率≥98%，晚上捕获率≥95%；</w:t>
              <w:br/>
              <w:t>11、支持≥11 种车身颜色识别，包括：黑、白、灰、红、绿、蓝、黄、粉、紫、棕、青、白天准确率 99%，晚上准确率 95%；</w:t>
              <w:br/>
              <w:t>12、支持不少于对行人和非机动车的人脸检测功能；可对扣取的人脸图片的像素大小、亮度进行调节；</w:t>
              <w:br/>
              <w:t>13、支持不少于前车窗是否有摆件物检测功能；</w:t>
              <w:br/>
              <w:t>14、支持不少于车身颜色、车型、车标、安全带、开车打电话、年检标志、子品牌等特征识别；</w:t>
              <w:br/>
              <w:t>15、支持不少于驾驶员行车时打电话动作的检测；</w:t>
              <w:br/>
              <w:t>16、支持不少于危险品车检测功能，识别准确率≥90%；</w:t>
              <w:br/>
              <w:t>17、支持不少于驾驶室人脸抠图功能，主驾驶人脸抠图率不小于 98%，副驾驶人脸抠图率不小于 95%；</w:t>
              <w:br/>
              <w:t xml:space="preserve">18、支持≥22 种车型检测，包括轻型客车、中型客车、大型客车、微型轿车、小型轿车、两厢轿车、三厢轿车、轿跑、SUV、MPV、面包车、皮卡车、货车、小货车、二轮车、三轮车、箱式货车、微卡/栏板车、渣土车、吊车/工程车、油罐车、混凝土搅拌车、平板拖车； </w:t>
              <w:br/>
              <w:t>19、支持不少于同时对行人、非机动车、机动车进行检测、跟踪和抓拍功能，支持不少于人脸、车牌的抠图及人脸与人体、车牌与车辆的关联显示；</w:t>
              <w:br/>
              <w:t>20、在静止场景下，图像质量无明显劣化条件下，设备采用 H.264 或 H.265 视频</w:t>
              <w:br/>
              <w:t>21、支持识别≥车头 3000 种车辆子品牌，车尾 500 种车辆子品牌；</w:t>
              <w:br/>
              <w:t>22、内置 50mm 定焦镜头；</w:t>
              <w:br/>
              <w:t>23、支持不少于视频、图片前端存储，支持断网续传；</w:t>
              <w:br/>
              <w:t>24、具有不同分辨率图像设置功能、实时网络数字视频监控功能，视频识别功能，符合人脸识别系统的识读要求；</w:t>
              <w:br/>
              <w:t>25、支持不少于新能源车牌识别功能，识别准确率白天≥97%，晚上≥95%；</w:t>
              <w:br/>
              <w:t>26、采用智能学习芯片，支持不少于智能学习，提供公安部检测报告或承诺书；</w:t>
              <w:br/>
              <w:t>27、提供不小于投标最高像素的抓拍图片；</w:t>
              <w:br/>
              <w:t>28、包含且不限于算法等所有费用；</w:t>
              <w:br/>
              <w:t>29、根据业务需求可配置 200 万至投标最高像素视频流输出（码流：2-8M）。</w:t>
            </w:r>
          </w:p>
        </w:tc>
      </w:tr>
      <w:tr>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15</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智能闪光灯（爆闪灯）</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单车道气体爆闪灯，白天可看清前排司乘人员面部特征；</w:t>
              <w:br/>
              <w:t>回电时间＜67ms，支持5V电平量触发(可选开关量)；</w:t>
              <w:br/>
              <w:t>有效补光距离约16m～25m；</w:t>
              <w:br/>
              <w:t>工作环境-25～+70℃(-40℃内均可安全使用/有衰减)；</w:t>
              <w:br/>
              <w:t>具有脉冲保护功能，当存在持续性脉冲干扰，进入保护状态，复原时间为10S；闪光次数≥2000万次；</w:t>
              <w:br/>
              <w:t>★带光栅或蜂窝装置，采用有效隔离措施，防止光污染，对驾驶员视觉无干扰，确保行车安全。</w:t>
              <w:br/>
              <w:t>要求符合GA/T1202-2022《交通技术监控成像补光装置通用技术规范》并提供检测报告；</w:t>
              <w:br/>
              <w:t>（包括服务期内当光衰减大于30%或造成图片、视频数据成像效果不符合招标要求及相关国家标准的应当免费更换）</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16</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900 万环保卡口相机（全结构化，含128GTF卡，电源模块、支架等）</w:t>
            </w:r>
          </w:p>
        </w:tc>
        <w:tc>
          <w:tcPr>
            <w:tcW w:w="7665" w:type="dxa"/>
            <w:tcBorders>
              <w:top w:val="single" w:color="000000" w:sz="4" w:space="0"/>
              <w:left w:val="single" w:color="000000" w:sz="4" w:space="0"/>
              <w:bottom w:val="single" w:color="000000" w:sz="4" w:space="0"/>
              <w:right w:val="single" w:color="000000" w:sz="4" w:space="0"/>
            </w:tcBorders>
            <w:shd w:val="clear" w:color="auto" w:fill="FFFFFF"/>
          </w:tcPr>
          <w:p>
            <w:r>
              <w:t xml:space="preserve">1、不低于900 万像素图像传感器，（含不少于50mm镜头、支架、网络防雷器、电源适配器、万向节、不少于3年维保，内置双图像传感器或采用高性能GS-CMOS图像传感器，内置GPU处理模块及不低于 128G 高速 SD 卡或 TF卡等配件)， </w:t>
              <w:br/>
              <w:t>2、图像分辨率≥4096×2160，帧率不小于 1-30 帧可调，彩色：不高于0.0002Lux (F1.2，AGC ON，1/30快门)，黑白：不高于0.0001Lux (F1.2，AGC ON，1/30快门)；</w:t>
              <w:br/>
              <w:t>3、支持不低于采用可见光或不可见光与可见光联合方式进行补光</w:t>
              <w:br/>
              <w:t>4、≥1个 RJ45千兆以太网口，满足相对的信号控制接口（包含但不限于 RS485接口、RS232接口、报警输入、报警输出、音频输入，音频输出、Micro SD卡插槽）；</w:t>
              <w:br/>
              <w:t>5、支持不少于图像诊断雪花、偏色、画面冻结、增益失衡、摄像机抖动、条纹噪声设置选项；</w:t>
              <w:br/>
              <w:t>6、支持不限于智能算法模块动态加载，加载过程中，视频业务不中断；</w:t>
              <w:br/>
              <w:t>7、支持不少于监控区域的车道线自动绘制；</w:t>
              <w:br/>
              <w:t>8、支持不限于前排人脸检测，主驾驶人员的抠图率≥99%，副驾驶人脸抠图率≥98%；</w:t>
              <w:br/>
              <w:t>9、支持不限于AI人脸增强功能，开启后可以去除白天车窗反光和彩条纹；</w:t>
              <w:br/>
              <w:t>10、支持不低于5种车牌颜色、不低于20种车牌种类的识别，车牌捕获率≥99%，车牌识别准确率≥99%；</w:t>
              <w:br/>
              <w:t>11、支持识别显示出不小于350种车辆的品牌、二级子款、年款和车辆类型等信息；</w:t>
              <w:br/>
              <w:t>12、支持不限于前排人员未系安全带检测功能；支持司机打电话检测功能；支持遮阳板检测；支持年检标、挂坠、纸巾盒、摆件等特征检出功能；</w:t>
              <w:br/>
              <w:t>13、支持字符叠加，字体大小、字体颜色可设置；</w:t>
              <w:br/>
              <w:t>14、工作温度-45℃～+60℃</w:t>
              <w:br/>
              <w:t>15、防护等级达到不少于IP66</w:t>
              <w:br/>
              <w:t>16、支持视频、图片前端存储，支持断网续传；</w:t>
              <w:br/>
              <w:t>17、提供不小于投标最高像素的抓拍图片；</w:t>
              <w:br/>
              <w:t>18、包含且不限于算法等所有费用；</w:t>
              <w:br/>
              <w:t>19、根据业务需求可配置 200 万至投标最高像素视频流输出（码流：2-8M）。</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17</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LED多合一智能补光灯（配套环保卡口）</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LED色温：≤4500K</w:t>
              <w:br/>
              <w:t>气体爆闪色温：≤5500K±500K</w:t>
              <w:br/>
              <w:t>光源类型：≥24 颗 LED 、氙气白光</w:t>
              <w:br/>
              <w:t>支持LED补光灯模式切换，支持LED频闪和常亮模式切换</w:t>
              <w:br/>
              <w:t>补光距离不少于15-26米</w:t>
              <w:br/>
              <w:t>可在-40℃～70℃温度环境正常工作</w:t>
              <w:br/>
              <w:t>防护等级达到不少于IP66</w:t>
              <w:br/>
              <w:t>峰值闪光持续时间：1/3ms</w:t>
              <w:br/>
              <w:t>回电时间：≤ 60ms</w:t>
              <w:br/>
              <w:t>工作寿命：≥1000 万次</w:t>
              <w:br/>
              <w:t>RS485串口功能：支持 RS485 参数调节和软件升级功能</w:t>
              <w:br/>
              <w:t>误触发保护功能；</w:t>
              <w:br/>
              <w:t>LED发光方式：频闪、爆闪模式</w:t>
              <w:br/>
              <w:t>配合环保卡口使用，要求符合GA/T1202-2022《交通技术监控成像补光装置通用技术规范》并提供检测报告。</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18</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二、立杆及机箱部分</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r>
      <w:tr>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19</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L型8米挑1米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r>
              <w:t>主杆下口径350mm，上口径300mm，厚度8.0mm，副杆114mm等径杆，厚度4mm；立杆C20钢筋混凝土基础规格：1.6*1.6*2.1M，基础件：圆钢Ф30，8柱折弯后高度1.8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20</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21</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L型6.3米挑7-9米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auto"/>
          </w:tcPr>
          <w:p>
            <w:r>
              <w:t>主杆下口径350mm，上口径300mm，厚度8.0mm，副杆上口径240mm，下口径100mm，厚度5mm；立杆C20钢筋混凝土基础规格：1.6*1.6*2.0M，基础件：圆钢Ф30，8柱折弯后高度1.8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22</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等线" w:hAnsi="等线" w:eastAsia="等线" w:cs="等线"/>
                <w:color w:val="000000"/>
                <w:sz w:val="18"/>
                <w:szCs w:val="18"/>
              </w:rPr>
            </w:pPr>
          </w:p>
        </w:tc>
      </w:tr>
      <w:tr>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23</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L型6.3米挑5-6米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auto"/>
          </w:tcPr>
          <w:p>
            <w:r>
              <w:t>主杆下口径 280mm，上口径 250mm，厚度 6.0mm，副杆上口径 190mm，下口</w:t>
              <w:br/>
              <w:t>径 100mm，厚度 5mm；立杆 C20 钢筋混凝土基础规格：1.5*1.5*1.8M，基础</w:t>
              <w:br/>
              <w:t>件：圆钢Ф25，6 柱折弯后高度 1.6m，定位板-6*Ф600，参考国标，杆件</w:t>
              <w:br/>
              <w:t>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24</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等线" w:hAnsi="等线" w:eastAsia="等线" w:cs="等线"/>
                <w:color w:val="000000"/>
                <w:sz w:val="18"/>
                <w:szCs w:val="18"/>
              </w:rPr>
            </w:pP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25</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L型6.3米挑1-4米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auto"/>
          </w:tcPr>
          <w:p>
            <w:r>
              <w:t>主杆下口径 230mm，上口径 150mm，厚度 5.0mm，副杆 114mm 等径杆，厚度4mm；立杆 C20 钢筋混凝土基础规格：1.2*1.2*1.6，基础件：圆钢Ф25，</w:t>
              <w:br/>
              <w:t>6 柱折弯后高度 1.4m，定位板-6*Ф450，参考国标，杆件整体热镀锌，检</w:t>
              <w:br/>
              <w:t>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26</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等线" w:hAnsi="等线" w:eastAsia="等线" w:cs="等线"/>
                <w:color w:val="000000"/>
                <w:sz w:val="18"/>
                <w:szCs w:val="18"/>
              </w:rPr>
            </w:pPr>
          </w:p>
        </w:tc>
      </w:tr>
      <w:tr>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27</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L型5米挑1-3米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auto"/>
          </w:tcPr>
          <w:p>
            <w:r>
              <w:t>主杆下口径 230mm，上口径 150mm，厚度 5.0mm，副杆 114mm 等径杆，厚度4mm；立杆 C20 钢筋混凝土基础规格：1.2*1.2*1.6，基础件：圆钢Ф25，</w:t>
              <w:br/>
              <w:t>6 柱折弯后高度 1.4m，定位板-6*Ф450，参考国标，杆件整体热镀锌，检</w:t>
              <w:br/>
              <w:t>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28</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等线" w:hAnsi="等线" w:eastAsia="等线" w:cs="等线"/>
                <w:color w:val="000000"/>
                <w:sz w:val="18"/>
                <w:szCs w:val="18"/>
              </w:rPr>
            </w:pP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29</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L型4米挑1-3米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auto"/>
          </w:tcPr>
          <w:p>
            <w:r>
              <w:t>主杆等径140mm,厚度5.0mm，副杆等径114mm，厚度4.0mm；立杆C20钢筋混凝土基础规格：1.0*1.0*1.0，基础件：圆钢Ф22，6柱折弯后高度0.9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30</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微软雅黑" w:hAnsi="微软雅黑" w:eastAsia="微软雅黑" w:cs="微软雅黑"/>
                <w:color w:val="000000"/>
                <w:sz w:val="18"/>
                <w:szCs w:val="18"/>
              </w:rPr>
            </w:pPr>
          </w:p>
        </w:tc>
      </w:tr>
      <w:tr>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31</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L型3米挑1-3米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auto"/>
          </w:tcPr>
          <w:p>
            <w:r>
              <w:t>主杆等径140mm,厚度5.0mm，副杆等径114mm，厚度4.0mm；立杆C20钢筋混凝土基础规格：1.0*1.0*1.0，基础件：圆钢Ф22，6柱折弯后高度0.9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32</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33</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L型2米挑1米</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auto"/>
          </w:tcPr>
          <w:p>
            <w:r>
              <w:t>主杆等径140mm,厚度5.0mm，副杆等径114mm，厚度4.0mm；立杆C20钢筋混凝土基础规格：1.0*1.0*1.0，基础件：圆钢Ф22，6柱折弯后高度0.9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34</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微软雅黑" w:hAnsi="微软雅黑" w:eastAsia="微软雅黑" w:cs="微软雅黑"/>
                <w:color w:val="000000"/>
                <w:sz w:val="18"/>
                <w:szCs w:val="18"/>
              </w:rPr>
            </w:pPr>
          </w:p>
        </w:tc>
      </w:tr>
      <w:tr>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35</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T型杆4米挑（4+4）</w:t>
            </w:r>
          </w:p>
        </w:tc>
        <w:tc>
          <w:tcPr>
            <w:tcW w:w="76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r>
              <w:t>主杆下口径230mm，上口径150mm，厚度5.0mm，副杆114mm等径杆，厚度4mm；立杆C20钢筋混凝土基础规格：1.2*1.2*1.6M，基础件：圆钢Ф25，6柱折弯后高度1.4m，定位板-6*Ф450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36</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(含立杆基础及接地)</w:t>
            </w:r>
          </w:p>
        </w:tc>
        <w:tc>
          <w:tcPr>
            <w:tcW w:w="76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微软雅黑" w:hAnsi="微软雅黑" w:eastAsia="微软雅黑" w:cs="微软雅黑"/>
                <w:color w:val="000000"/>
                <w:sz w:val="18"/>
                <w:szCs w:val="18"/>
              </w:rPr>
            </w:pP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37</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借杆挑4米</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抱箍厚度≥5mm，水平管径≥76mm，厚度≥4mm，支撑杆≥50mm，厚度≥4mm；4M延伸挑杆。注：所有杆件需一次成型不得嫁接。</w:t>
            </w:r>
          </w:p>
        </w:tc>
      </w:tr>
      <w:tr>
        <w:tblPrEx>
          <w:tblCellMar>
            <w:top w:w="0" w:type="dxa"/>
            <w:left w:w="108" w:type="dxa"/>
            <w:bottom w:w="0" w:type="dxa"/>
            <w:right w:w="108" w:type="dxa"/>
          </w:tblCellMar>
        </w:tblPrEx>
        <w:trPr>
          <w:trHeight w:val="4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38</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借杆挑3米</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抱箍厚度≥5mm，水平管径≥76mm，厚度≥4mm，支撑杆≥50mm，厚度≥4mm；3M延伸挑杆。注：所有杆件需一次成型不得嫁接。</w:t>
            </w:r>
          </w:p>
        </w:tc>
      </w:tr>
      <w:tr>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39</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借杆挑2米</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抱箍厚度≥5mm，水平管径≥76mm，厚度≥4mm；2M延伸挑杆。注：所有杆件需一次成型不得嫁接。</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借杆挑1米</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抱箍厚度≥5mm，水平管径≥76mm，厚度≥4mm；1M延伸挑杆。注：所有杆件需一次成型不得嫁接。</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41</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借墙2米(角度可调整）</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抱箍厚度≥5mm，水平管径≥60mm，厚度≥4mm；2M延伸挑杆。注：所有杆件需一次成型不得嫁接。</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42</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借墙1米(角度可调整）</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抱箍厚度≥5mm，水平管径≥60mm，厚度≥4mm；2M延伸挑杆。注：所有杆件需一次成型不得嫁接。</w:t>
            </w:r>
          </w:p>
        </w:tc>
      </w:tr>
      <w:tr>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43</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吊装、定制及臂装</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定制</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44</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挂杆机箱</w:t>
            </w:r>
          </w:p>
        </w:tc>
        <w:tc>
          <w:tcPr>
            <w:tcW w:w="76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尺寸：500×450×250mm，箱壳采用1.5mm镀锌板喷塑处理，托板采用1.5mm冷轧板喷塑处理。风机1只，温控仪（可调控温度）1只，装于顶部封板上；GN-A03插座1只，正泰牌NXB-63 2P32A：1只，正泰牌NXB-63 2P16A：2只，浪涌保护器（LY1-C/40-2P）1只，熔接盘装于底板上，位于上部；光缆固定架1只（装于背部）；托板1块（可活动），装于4根立柱上；存储盒（20mm深）1只位于门上，箱体顶部需做防雨帽，进线孔数量须4个，孔径40mm，孔接头M40*1.5，有胶套保护；开门处加密封条，具备防盗装置和带防水锁扣。</w:t>
            </w:r>
          </w:p>
        </w:tc>
      </w:tr>
      <w:tr>
        <w:tblPrEx>
          <w:tblCellMar>
            <w:top w:w="0" w:type="dxa"/>
            <w:left w:w="108" w:type="dxa"/>
            <w:bottom w:w="0" w:type="dxa"/>
            <w:right w:w="108" w:type="dxa"/>
          </w:tblCellMar>
        </w:tblPrEx>
        <w:trPr>
          <w:trHeight w:val="51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45</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三、存储部分</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46</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r>
              <w:t>安全存储单元1</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采用不低于64位多核处理器；内存≥4GB；标配不少于2个千兆网卡；支持不少于24块SAS/SATA硬盘，支持SAS和SATA磁盘混插，实现分层存储；支持RAID 0，1，10，5，6；支持CIFS、NFS、iSCSI；支持RTSP、ONVIF、GB/T28181等传输协议；采用冗余电源；冗余风扇；针对监控视频数据进行优化存储，优化磁盘使用模式，保障I/O为顺序读写；</w:t>
              <w:br/>
              <w:t>数据安全：数据流块式组织，无碎片，无病毒；系统冗余：全局N+（1~3）热备；</w:t>
              <w:br/>
              <w:t>属性控制：SSU可配置读写属性，包括“可读可写”和“只读”，保证全局数据安全。</w:t>
              <w:br/>
              <w:t>统一网管：SSU支持系统统一网管，系统的录像情况、运行状态一目了然。</w:t>
              <w:br/>
              <w:t>录像完整率统计：精确记录每个摄像头的录像存储细节，多方位展示录像的统计信息。</w:t>
              <w:br/>
              <w:t>包含了硬件级和固件级的电源故障数据保护功能，保证断电数据安全。</w:t>
              <w:br/>
              <w:t>质保不低于3年</w:t>
            </w:r>
          </w:p>
        </w:tc>
      </w:tr>
      <w:tr>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47</w:t>
            </w: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等线" w:hAnsi="等线" w:eastAsia="等线" w:cs="等线"/>
                <w:color w:val="000000"/>
                <w:sz w:val="18"/>
                <w:szCs w:val="18"/>
              </w:rPr>
            </w:pP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不低于8TB 企业级存储专用硬盘，缓存≥ 256MB；能与 SSU 存储（机架式 SSU 存储机</w:t>
              <w:br/>
              <w:t>头）配套，无缝兼容；质保叁年,硬盘不返还</w:t>
            </w:r>
          </w:p>
        </w:tc>
      </w:tr>
      <w:tr>
        <w:tblPrEx>
          <w:tblCellMar>
            <w:top w:w="0" w:type="dxa"/>
            <w:left w:w="108" w:type="dxa"/>
            <w:bottom w:w="0" w:type="dxa"/>
            <w:right w:w="108" w:type="dxa"/>
          </w:tblCellMar>
        </w:tblPrEx>
        <w:trPr>
          <w:trHeight w:val="46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48</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四、服务器部分</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5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49</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三维基础支撑平台服务</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具体参数详见参数附件1：三维基础支撑平台参数要求</w:t>
            </w:r>
          </w:p>
        </w:tc>
      </w:tr>
      <w:tr>
        <w:tblPrEx>
          <w:tblCellMar>
            <w:top w:w="0" w:type="dxa"/>
            <w:left w:w="108" w:type="dxa"/>
            <w:bottom w:w="0" w:type="dxa"/>
            <w:right w:w="108" w:type="dxa"/>
          </w:tblCellMar>
        </w:tblPrEx>
        <w:trPr>
          <w:trHeight w:val="5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50</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天下无遁平台升级和专题应用模型开发</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支持指挥中心、***和交警等驾驶舱展示；支持驾驶舱值班信息、执法监督、敏感案事件、办案区人员情况等重要信息一屏展现；支持24小时关键警情及警情跟综；</w:t>
              <w:br/>
              <w:t>支持车辆应用、人像应用、无感应用和防控圈应用等；</w:t>
              <w:br/>
              <w:t>★满足业主其他业务实际需求及各类专题应用。</w:t>
            </w:r>
          </w:p>
        </w:tc>
      </w:tr>
      <w:tr>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51</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五、维保服务部分</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5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52</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电池（维保服务）</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1、蓄电池上有正、负极端子的极性符号，在20℃或25℃时规定的浮充电压13.5V-13.8V。蓄电池连接时推荐使用的端子扭矩（10-12）N·m</w:t>
              <w:br/>
              <w:t>2、蓄电池包装应符合制造厂有关技术文件规定，随同产品出厂应提供产品合格证、产品使用说明书。</w:t>
              <w:br/>
              <w:t>3、12V100AH电池净重&gt;27KG</w:t>
              <w:br/>
              <w:t>4、蓄电池外观不应有裂纹、污迹及明显变形。</w:t>
              <w:br/>
              <w:t>5、蓄电池10小时率容量在第一次循环应不低于0.95C10，在第3次循环内应达到C10（100），蓄电池3小时率容量应达到C3（75），蓄电池1小时率容量应达到C1（55）。</w:t>
              <w:br/>
              <w:t>6、蓄电池具有抗机械破损能力，跌落高度100mm时，槽体不应有破损及漏液。</w:t>
              <w:br/>
              <w:t>7、蓄电池具有耐高电流能力，按照GB/19638.1-2014第6.10试验，端子、极柱及汇流排不应熔化或者熔断；槽、盖不应熔化或变形。</w:t>
              <w:br/>
              <w:t>8、蓄电池具有防爆能力，当外遇明火时其内部不应发生燃烧或者爆炸。</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53</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六、安全设备部分</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5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54</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数据交换节点</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硬件参数及性能：</w:t>
              <w:br/>
              <w:t>1、标准2U机架式机箱，由数据交换外节点和数据交换内节点组成，部署在导入光闸、导出光闸前后。每台服务器各具备100/1000Mbase-TX以太接口≥4个，万兆SFP+多模光纤接口≥4个。</w:t>
              <w:br/>
              <w:t xml:space="preserve">2、应用层吞吐≥4Gbps，数据库传输能力(1KB)≥ 40000条/秒 ;Kafka性能（1KB）≥ 76000条/s；文件同步速率（10KB）≥ 3200个/秒 </w:t>
              <w:br/>
              <w:t>3、支持FTP/SFTP等文件同步服务，支持文件实时同步；支持多种常见文件格式过滤；支持多种主流数据库（MySQL、Oracle、SQL Server、PostgreSQL等）及常用国产数据库（达梦DM、人大金仓、KingbaseES、南大通用Gbase等）；</w:t>
              <w:br/>
              <w:t xml:space="preserve">4、★支持Kafka协议消息队列数据交换，支持PlainTEXT、SASL/PlainTEXT、Kerberos等多种安全认证方式；支持海康、大华、宇视科技、科达、立元等国内外视频监控厂商的SIP信令控制协议； </w:t>
              <w:br/>
              <w:t>5、支持 WebSocket、SOAP、XML-RPC 和 RESTful 接口类型的双单向请求数据转发与响应能力，并提供根据不同接口类型选择对应请求体格式的功能。</w:t>
              <w:br/>
              <w:t>6、支持集群部署、集群管理，集群内业务自动负载均衡和第三方负载，支持节点自发现、节点横向扩展；</w:t>
              <w:br/>
              <w:t>7、★与导入光闸、导出光闸必须为同一品牌，保证系统高兼容性。</w:t>
            </w:r>
          </w:p>
        </w:tc>
      </w:tr>
      <w:tr>
        <w:trPr>
          <w:trHeight w:val="5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55</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单向隔离光闸</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硬件参数及性能</w:t>
              <w:br/>
              <w:t>1、标准2U机架式机箱,采用2+1架构单向隔离技术，由外网单元、内网单元以及单向隔离组成，实现物理方式构造的信息单向传输的唯一通道，且反方向不存在的反馈信息；性能参数：</w:t>
              <w:br/>
              <w:t>2、内外网单元具备100/1000Mbase-TX以太接口≥2个，万兆光纤接口≥2个。数据传输吞吐量≥4Gbps；数据库传输能力≥4500条/秒；数据表最大字段≥128；系统并发连接数&gt;2500</w:t>
              <w:br/>
              <w:t>3、提供系统日志显示、读取功能，日志信息可配置、可管理，专用日志服务程序处理系统日志；</w:t>
              <w:br/>
              <w:t>4、★能够将数据发送方网络信息流剥离协议，还原成裸数据后单向导入信息接收方网络目的的主机；能够对单向导入的数据内容进行病毒扫描，阻断含病毒数据的导入，同时也可对数据内容进行关键字检查，阻断非法数据的导入，</w:t>
            </w:r>
          </w:p>
        </w:tc>
      </w:tr>
      <w:tr>
        <w:tblPrEx>
          <w:tblCellMar>
            <w:top w:w="0" w:type="dxa"/>
            <w:left w:w="108" w:type="dxa"/>
            <w:bottom w:w="0" w:type="dxa"/>
            <w:right w:w="108" w:type="dxa"/>
          </w:tblCellMar>
        </w:tblPrEx>
        <w:trPr>
          <w:trHeight w:val="5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56</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万兆防火墙</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r>
              <w:t>具体参数详见参数附件2：万兆防火墙参数要求</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57</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七、取电部分</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408"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58</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前端位取电（点位取电）</w:t>
            </w:r>
          </w:p>
        </w:tc>
        <w:tc>
          <w:tcPr>
            <w:tcW w:w="7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从客户借电或电线杆上接电到机箱</w:t>
            </w:r>
          </w:p>
        </w:tc>
      </w:tr>
      <w:tr>
        <w:trPr>
          <w:trHeight w:val="408"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59</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前端位管路建设（点位管路）</w:t>
            </w:r>
          </w:p>
        </w:tc>
        <w:tc>
          <w:tcPr>
            <w:tcW w:w="7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从客户借电或不同杆电线杆上接电到机箱管道</w:t>
            </w:r>
          </w:p>
        </w:tc>
      </w:tr>
      <w:tr>
        <w:tblPrEx>
          <w:tblCellMar>
            <w:top w:w="0" w:type="dxa"/>
            <w:left w:w="108" w:type="dxa"/>
            <w:bottom w:w="0" w:type="dxa"/>
            <w:right w:w="108" w:type="dxa"/>
          </w:tblCellMar>
        </w:tblPrEx>
        <w:trPr>
          <w:trHeight w:val="435"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60</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八、运营部分</w:t>
            </w:r>
          </w:p>
        </w:tc>
        <w:tc>
          <w:tcPr>
            <w:tcW w:w="7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等线" w:hAnsi="等线" w:eastAsia="等线" w:cs="等线"/>
                <w:b/>
                <w:bCs/>
                <w:color w:val="000000"/>
                <w:sz w:val="18"/>
                <w:szCs w:val="18"/>
              </w:rPr>
            </w:pPr>
          </w:p>
        </w:tc>
      </w:tr>
      <w:tr>
        <w:tblPrEx>
          <w:tblCellMar>
            <w:top w:w="0" w:type="dxa"/>
            <w:left w:w="108" w:type="dxa"/>
            <w:bottom w:w="0" w:type="dxa"/>
            <w:right w:w="108" w:type="dxa"/>
          </w:tblCellMar>
        </w:tblPrEx>
        <w:trPr>
          <w:trHeight w:val="408"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r>
              <w:t>61</w:t>
            </w:r>
          </w:p>
        </w:tc>
        <w:tc>
          <w:tcPr>
            <w:tcW w:w="1572" w:type="dxa"/>
            <w:tcBorders>
              <w:top w:val="single" w:color="000000" w:sz="4" w:space="0"/>
              <w:left w:val="single" w:color="000000" w:sz="4" w:space="0"/>
              <w:bottom w:val="single" w:color="000000" w:sz="4" w:space="0"/>
              <w:right w:val="single" w:color="000000" w:sz="4" w:space="0"/>
            </w:tcBorders>
            <w:shd w:val="clear" w:color="auto" w:fill="FFFFFF"/>
            <w:vAlign w:val="center"/>
          </w:tcPr>
          <w:p>
            <w:r>
              <w:t>机房设备托管费用</w:t>
            </w:r>
          </w:p>
        </w:tc>
        <w:tc>
          <w:tcPr>
            <w:tcW w:w="7665" w:type="dxa"/>
            <w:tcBorders>
              <w:top w:val="single" w:color="000000" w:sz="4" w:space="0"/>
              <w:left w:val="single" w:color="000000" w:sz="4" w:space="0"/>
              <w:bottom w:val="single" w:color="000000" w:sz="4" w:space="0"/>
              <w:right w:val="single" w:color="000000" w:sz="4" w:space="0"/>
            </w:tcBorders>
            <w:shd w:val="clear" w:color="auto" w:fill="auto"/>
            <w:vAlign w:val="center"/>
          </w:tcPr>
          <w:p>
            <w:r>
              <w:t>按包括但不限于机柜数量核算包含从终端摄像机至温岭市社会视频监控中心机房之间的网络线缆、网络设备（包括光纤收发设备、网络交换机、网络光模块等一切组网设备）、设备存放机房及保障设备正常运行所需的机柜、空调、不间断电源等设备材料以及运维管理系统（含台州市局的相关要求，结构化数据及抓拍图片应该存放在数据域）</w:t>
            </w:r>
          </w:p>
        </w:tc>
      </w:tr>
    </w:tbl>
    <w:p>
      <w:pPr>
        <w:pStyle w:val="6"/>
      </w:pPr>
      <w:r/>
    </w:p>
    <w:p>
      <w:pPr>
        <w:pStyle w:val="5"/>
        <w:spacing w:before="120" w:after="120" w:line="360" w:lineRule="exact"/>
        <w:rPr>
          <w:rFonts w:ascii="微软雅黑" w:hAnsi="微软雅黑" w:eastAsia="微软雅黑" w:cs="微软雅黑"/>
          <w:sz w:val="28"/>
          <w:szCs w:val="28"/>
        </w:rPr>
      </w:pPr>
      <w:r>
        <w:t>参数附件1</w:t>
      </w:r>
    </w:p>
    <w:p>
      <w:pPr>
        <w:pStyle w:val="6"/>
      </w:pPr>
      <w:r/>
    </w:p>
    <w:p>
      <w:pPr>
        <w:pStyle w:val="6"/>
      </w:pPr>
      <w:r/>
    </w:p>
    <w:tbl>
      <w:tblPr>
        <w:tblStyle w:val="59"/>
        <w:tblW w:w="4997" w:type="pct"/>
        <w:tblInd w:w="0" w:type="dxa"/>
        <w:tblLayout w:type="fixed"/>
        <w:tblCellMar>
          <w:top w:w="0" w:type="dxa"/>
          <w:left w:w="108" w:type="dxa"/>
          <w:bottom w:w="0" w:type="dxa"/>
          <w:right w:w="108" w:type="dxa"/>
        </w:tblCellMar>
      </w:tblPr>
      <w:tblGrid>
        <w:gridCol w:w="715"/>
        <w:gridCol w:w="1068"/>
        <w:gridCol w:w="2775"/>
        <w:gridCol w:w="5402"/>
      </w:tblGrid>
      <w:tr>
        <w:tblPrEx>
          <w:tblCellMar>
            <w:top w:w="0" w:type="dxa"/>
            <w:left w:w="108" w:type="dxa"/>
            <w:bottom w:w="0" w:type="dxa"/>
            <w:right w:w="108" w:type="dxa"/>
          </w:tblCellMar>
        </w:tblPrEx>
        <w:trPr>
          <w:trHeight w:val="312" w:hRule="atLeast"/>
        </w:trPr>
        <w:tc>
          <w:tcPr>
            <w:tcW w:w="3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
              <w:t>序号</w:t>
            </w:r>
          </w:p>
        </w:tc>
        <w:tc>
          <w:tcPr>
            <w:tcW w:w="5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
              <w:t>技术要求</w:t>
            </w:r>
          </w:p>
        </w:tc>
        <w:tc>
          <w:tcPr>
            <w:tcW w:w="1393" w:type="pct"/>
            <w:vMerge w:val="restart"/>
            <w:tcBorders>
              <w:top w:val="single" w:color="auto" w:sz="4" w:space="0"/>
              <w:left w:val="single" w:color="auto" w:sz="4" w:space="0"/>
              <w:bottom w:val="single" w:color="000000" w:sz="4" w:space="0"/>
              <w:right w:val="single" w:color="000000" w:sz="4" w:space="0"/>
            </w:tcBorders>
            <w:shd w:val="clear" w:color="auto" w:fill="auto"/>
            <w:vAlign w:val="center"/>
          </w:tcPr>
          <w:p>
            <w:r>
              <w:t>功能点要求</w:t>
            </w:r>
          </w:p>
        </w:tc>
        <w:tc>
          <w:tcPr>
            <w:tcW w:w="2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
              <w:t>功能描述</w:t>
            </w:r>
          </w:p>
        </w:tc>
      </w:tr>
      <w:tr>
        <w:tblPrEx>
          <w:tblCellMar>
            <w:top w:w="0" w:type="dxa"/>
            <w:left w:w="108" w:type="dxa"/>
            <w:bottom w:w="0" w:type="dxa"/>
            <w:right w:w="108" w:type="dxa"/>
          </w:tblCellMar>
        </w:tblPrEx>
        <w:trPr>
          <w:trHeight w:val="312" w:hRule="atLeast"/>
        </w:trPr>
        <w:tc>
          <w:tcPr>
            <w:tcW w:w="3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5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1393"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2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r>
      <w:tr>
        <w:tblPrEx>
          <w:tblCellMar>
            <w:top w:w="0" w:type="dxa"/>
            <w:left w:w="108" w:type="dxa"/>
            <w:bottom w:w="0" w:type="dxa"/>
            <w:right w:w="108" w:type="dxa"/>
          </w:tblCellMar>
        </w:tblPrEx>
        <w:trPr>
          <w:trHeight w:val="312"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r>
              <w:t>1</w:t>
            </w:r>
          </w:p>
        </w:tc>
        <w:tc>
          <w:tcPr>
            <w:tcW w:w="536" w:type="pct"/>
            <w:vMerge w:val="restart"/>
            <w:tcBorders>
              <w:top w:val="single" w:color="auto" w:sz="4" w:space="0"/>
              <w:left w:val="single" w:color="auto" w:sz="4" w:space="0"/>
              <w:right w:val="single" w:color="auto" w:sz="4" w:space="0"/>
            </w:tcBorders>
            <w:shd w:val="clear" w:color="auto" w:fill="auto"/>
            <w:vAlign w:val="center"/>
          </w:tcPr>
          <w:p>
            <w:r>
              <w:t>倾斜摄影模型生产</w:t>
            </w:r>
          </w:p>
        </w:tc>
        <w:tc>
          <w:tcPr>
            <w:tcW w:w="1393" w:type="pct"/>
            <w:tcBorders>
              <w:top w:val="single" w:color="auto" w:sz="4" w:space="0"/>
              <w:left w:val="single" w:color="auto" w:sz="4" w:space="0"/>
              <w:bottom w:val="single" w:color="000000" w:sz="4" w:space="0"/>
              <w:right w:val="single" w:color="000000" w:sz="4" w:space="0"/>
            </w:tcBorders>
            <w:shd w:val="clear" w:color="auto" w:fill="auto"/>
            <w:vAlign w:val="center"/>
          </w:tcPr>
          <w:p>
            <w:r>
              <w:t>模型生产</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r>
              <w:t>根据业主方航拍提供的不低于83平方公里倾斜摄影数据，通过三维重建软件对照片进行处理，通过空三加密、mesh重建等生成osgb模型。</w:t>
            </w:r>
          </w:p>
        </w:tc>
      </w:tr>
      <w:tr>
        <w:tblPrEx>
          <w:tblCellMar>
            <w:top w:w="0" w:type="dxa"/>
            <w:left w:w="108" w:type="dxa"/>
            <w:bottom w:w="0" w:type="dxa"/>
            <w:right w:w="108" w:type="dxa"/>
          </w:tblCellMar>
        </w:tblPrEx>
        <w:trPr>
          <w:trHeight w:val="312"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r>
              <w:t>2</w:t>
            </w:r>
          </w:p>
        </w:tc>
        <w:tc>
          <w:tcPr>
            <w:tcW w:w="536" w:type="pct"/>
            <w:vMerge w:val="continue"/>
            <w:tcBorders>
              <w:left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1393" w:type="pct"/>
            <w:tcBorders>
              <w:top w:val="single" w:color="auto" w:sz="4" w:space="0"/>
              <w:left w:val="single" w:color="auto" w:sz="4" w:space="0"/>
              <w:bottom w:val="single" w:color="000000" w:sz="4" w:space="0"/>
              <w:right w:val="single" w:color="000000" w:sz="4" w:space="0"/>
            </w:tcBorders>
            <w:shd w:val="clear" w:color="auto" w:fill="auto"/>
            <w:vAlign w:val="center"/>
          </w:tcPr>
          <w:p>
            <w:r>
              <w:t>模型优化</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r>
              <w:t>根据业主方航拍提供的不低于83平方公里倾斜摄影数据进行模型修饰（主要修复模型上的破洞、悬浮物和水域等）和模型匀色（主要对色彩、光照不好的模型进行匀光匀色等）。</w:t>
            </w:r>
          </w:p>
        </w:tc>
      </w:tr>
      <w:tr>
        <w:tblPrEx>
          <w:tblCellMar>
            <w:top w:w="0" w:type="dxa"/>
            <w:left w:w="108" w:type="dxa"/>
            <w:bottom w:w="0" w:type="dxa"/>
            <w:right w:w="108" w:type="dxa"/>
          </w:tblCellMar>
        </w:tblPrEx>
        <w:trPr>
          <w:trHeight w:val="312"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r>
              <w:t>3</w:t>
            </w:r>
          </w:p>
        </w:tc>
        <w:tc>
          <w:tcPr>
            <w:tcW w:w="536" w:type="pct"/>
            <w:vMerge w:val="continue"/>
            <w:tcBorders>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1393" w:type="pct"/>
            <w:tcBorders>
              <w:top w:val="single" w:color="auto" w:sz="4" w:space="0"/>
              <w:left w:val="single" w:color="auto" w:sz="4" w:space="0"/>
              <w:bottom w:val="single" w:color="000000" w:sz="4" w:space="0"/>
              <w:right w:val="single" w:color="000000" w:sz="4" w:space="0"/>
            </w:tcBorders>
            <w:shd w:val="clear" w:color="auto" w:fill="auto"/>
            <w:vAlign w:val="center"/>
          </w:tcPr>
          <w:p>
            <w:r>
              <w:t>格式转换</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r>
              <w:t>根据业主方航拍提供的不低于83平方公里倾斜摄影数据，通过格式转换软件将osgb转换伟引擎支持的hcm格式。</w:t>
            </w:r>
          </w:p>
        </w:tc>
      </w:tr>
      <w:tr>
        <w:tblPrEx>
          <w:tblCellMar>
            <w:top w:w="0" w:type="dxa"/>
            <w:left w:w="108" w:type="dxa"/>
            <w:bottom w:w="0" w:type="dxa"/>
            <w:right w:w="108" w:type="dxa"/>
          </w:tblCellMar>
        </w:tblPrEx>
        <w:trPr>
          <w:trHeight w:val="1347"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r>
              <w:t>4</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r>
              <w:t>倾斜摄影模型集成优化渲染</w:t>
            </w:r>
          </w:p>
        </w:tc>
        <w:tc>
          <w:tcPr>
            <w:tcW w:w="1393" w:type="pct"/>
            <w:tcBorders>
              <w:top w:val="single" w:color="auto" w:sz="4" w:space="0"/>
              <w:left w:val="single" w:color="auto" w:sz="4" w:space="0"/>
              <w:bottom w:val="single" w:color="000000" w:sz="4" w:space="0"/>
              <w:right w:val="single" w:color="000000" w:sz="4" w:space="0"/>
            </w:tcBorders>
            <w:shd w:val="clear" w:color="auto" w:fill="auto"/>
            <w:vAlign w:val="center"/>
          </w:tcPr>
          <w:p>
            <w:r>
              <w:t>倾斜摄影模型集成优化渲染</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r>
              <w:t>对生产好的模型数据进行优化渲染，优化模型效果，提高模型加载效率，对倾斜摄影模型数据进行集成，对自动生成的倾斜摄影模型在程序中使用时做一系列处理。底图通过手工建模，构建大地形、路网、山川、河流和建筑物等，与倾斜摄影实景模型，共同构建温岭市三维场景。</w:t>
            </w:r>
          </w:p>
        </w:tc>
      </w:tr>
      <w:tr>
        <w:tblPrEx>
          <w:tblCellMar>
            <w:top w:w="0" w:type="dxa"/>
            <w:left w:w="108" w:type="dxa"/>
            <w:bottom w:w="0" w:type="dxa"/>
            <w:right w:w="108" w:type="dxa"/>
          </w:tblCellMar>
        </w:tblPrEx>
        <w:trPr>
          <w:trHeight w:val="312"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r>
              <w:t>5</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r>
              <w:t>其他</w:t>
            </w:r>
          </w:p>
        </w:tc>
        <w:tc>
          <w:tcPr>
            <w:tcW w:w="1393" w:type="pct"/>
            <w:tcBorders>
              <w:top w:val="single" w:color="auto" w:sz="4" w:space="0"/>
              <w:left w:val="single" w:color="auto" w:sz="4" w:space="0"/>
              <w:bottom w:val="single" w:color="000000" w:sz="4" w:space="0"/>
              <w:right w:val="single" w:color="000000" w:sz="4" w:space="0"/>
            </w:tcBorders>
            <w:shd w:val="clear" w:color="auto" w:fill="auto"/>
            <w:vAlign w:val="center"/>
          </w:tcPr>
          <w:p>
            <w:r>
              <w:t>其他要求</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r>
              <w:t>支持与台州市公安局相关平台（“浙警智治”台州平台-三维基础支撑平台等）的有效对接，并提供相关证明。</w:t>
              <w:br/>
              <w:t>满足台州市公安局相关平台（“浙警智治”台州平台-三维基础支撑平台等）以及台州市公安局认定的各项功能需求（包验收）、验收时间节点等要求。</w:t>
              <w:br/>
              <w:t>根据业主需求配合完成本次范围内的一标三实等要素上平台工作。</w:t>
            </w:r>
          </w:p>
        </w:tc>
      </w:tr>
    </w:tbl>
    <w:p>
      <w:pPr>
        <w:pStyle w:val="5"/>
        <w:spacing w:before="120" w:after="120" w:line="360" w:lineRule="exact"/>
        <w:rPr>
          <w:rFonts w:ascii="微软雅黑" w:hAnsi="微软雅黑" w:eastAsia="微软雅黑" w:cs="微软雅黑"/>
          <w:sz w:val="28"/>
          <w:szCs w:val="28"/>
        </w:rPr>
      </w:pPr>
      <w:r>
        <w:t>参数附件2</w:t>
      </w:r>
    </w:p>
    <w:tbl>
      <w:tblPr>
        <w:tblStyle w:val="59"/>
        <w:tblpPr w:leftFromText="180" w:rightFromText="180" w:vertAnchor="text" w:horzAnchor="page" w:tblpXSpec="center" w:tblpY="378"/>
        <w:tblOverlap w:val="never"/>
        <w:tblW w:w="0" w:type="auto"/>
        <w:jc w:val="center"/>
        <w:tblLayout w:type="autofit"/>
        <w:tblCellMar>
          <w:top w:w="0" w:type="dxa"/>
          <w:left w:w="108" w:type="dxa"/>
          <w:bottom w:w="0" w:type="dxa"/>
          <w:right w:w="108" w:type="dxa"/>
        </w:tblCellMar>
      </w:tblPr>
      <w:tblGrid>
        <w:gridCol w:w="1702"/>
        <w:gridCol w:w="8012"/>
      </w:tblGrid>
      <w:tr>
        <w:tblPrEx>
          <w:tblCellMar>
            <w:top w:w="0" w:type="dxa"/>
            <w:left w:w="108" w:type="dxa"/>
            <w:bottom w:w="0" w:type="dxa"/>
            <w:right w:w="108" w:type="dxa"/>
          </w:tblCellMar>
        </w:tblPrEx>
        <w:trPr>
          <w:trHeight w:val="300"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r>
              <w:t>技术指标</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技术参数</w:t>
            </w:r>
          </w:p>
        </w:tc>
      </w:tr>
      <w:tr>
        <w:trPr>
          <w:trHeight w:val="300"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 基本要求</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国产品牌，设备高度≤1U， 1个console口，≥2个3.0 USB口，≥1个MGT口，≥1个HA口，≥16个千兆电口（至少含2对bypass口），≥8个千兆光口，≥2个万兆光口，默认不带硬盘，可额外配置SSD硬盘（支持配置480GB/960GB/1.92TB SSD硬盘），≥1个接口扩展槽，双电源,本次招标要求配置4端口万兆板卡</w:t>
            </w:r>
          </w:p>
        </w:tc>
      </w:tr>
      <w:tr>
        <w:tblPrEx>
          <w:tblCellMar>
            <w:top w:w="0" w:type="dxa"/>
            <w:left w:w="108" w:type="dxa"/>
            <w:bottom w:w="0" w:type="dxa"/>
            <w:right w:w="108" w:type="dxa"/>
          </w:tblCellMar>
        </w:tblPrEx>
        <w:trPr>
          <w:trHeight w:val="300" w:hRule="atLeast"/>
          <w:jc w:val="center"/>
        </w:trPr>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最大吞吐量≥20Gbps,IPSec吞吐量≥6.5Gbps，AV吞吐量≥5.2Gbps，最大并发连接数≥1000万，每秒新建连接数≥14万，IPSec隧道数≥20000，最大支持≥10000个SSL VPN用户数，本次实配8个SSL VPN并发授权（为保证设备真实性需提供产品彩页并加盖公章）</w:t>
            </w:r>
          </w:p>
        </w:tc>
      </w:tr>
      <w:tr>
        <w:trPr>
          <w:trHeight w:val="300" w:hRule="atLeast"/>
          <w:jc w:val="center"/>
        </w:trPr>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为保证设备散热，设备在特殊情况下正常运行，产品需具备严格前后风道（提供官网产品文档截图说明）</w:t>
            </w:r>
          </w:p>
        </w:tc>
      </w:tr>
      <w:tr>
        <w:tblPrEx>
          <w:tblCellMar>
            <w:top w:w="0" w:type="dxa"/>
            <w:left w:w="108" w:type="dxa"/>
            <w:bottom w:w="0" w:type="dxa"/>
            <w:right w:w="108" w:type="dxa"/>
          </w:tblCellMar>
        </w:tblPrEx>
        <w:trPr>
          <w:trHeight w:val="300"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r>
              <w:t>路由功能</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支持静态路由、策略路由、RIP、OSPF、BGP、ISIS等路由协议</w:t>
            </w:r>
          </w:p>
        </w:tc>
      </w:tr>
      <w:tr>
        <w:trPr>
          <w:trHeight w:val="585"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NAT</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要求所投产品支持NATv6、NAT444、NAT64、DS-Lite、Full-Cone-NAT等地质转换技术，并可对SNAT\DNAT进行命中分析，帮助用户识别长期未命中的NAT规则。</w:t>
            </w:r>
          </w:p>
        </w:tc>
      </w:tr>
      <w:tr>
        <w:tblPrEx>
          <w:tblCellMar>
            <w:top w:w="0" w:type="dxa"/>
            <w:left w:w="108" w:type="dxa"/>
            <w:bottom w:w="0" w:type="dxa"/>
            <w:right w:w="108" w:type="dxa"/>
          </w:tblCellMar>
        </w:tblPrEx>
        <w:trPr>
          <w:trHeight w:val="585" w:hRule="atLeast"/>
          <w:jc w:val="center"/>
        </w:trPr>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★支持NAT扩展技术，突破传统单个公网IP地址64512个端口的瓶颈达到更大值（要求提供界面截图）</w:t>
            </w:r>
          </w:p>
        </w:tc>
      </w:tr>
      <w:tr>
        <w:trPr>
          <w:trHeight w:val="300"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IPV6</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支持IPv6协议栈、IPV6穿越技术、IPV6路由协议；</w:t>
            </w:r>
          </w:p>
        </w:tc>
      </w:tr>
      <w:tr>
        <w:tblPrEx>
          <w:tblCellMar>
            <w:top w:w="0" w:type="dxa"/>
            <w:left w:w="108" w:type="dxa"/>
            <w:bottom w:w="0" w:type="dxa"/>
            <w:right w:w="108" w:type="dxa"/>
          </w:tblCellMar>
        </w:tblPrEx>
        <w:trPr>
          <w:trHeight w:val="300"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支持NAT66，NAT64隧道；</w:t>
            </w:r>
          </w:p>
        </w:tc>
      </w:tr>
      <w:tr>
        <w:trPr>
          <w:trHeight w:val="585"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策略管理</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支持基于国家/地区维度进行流量控制等安全策略，支持垃圾策略清理，支持聚合策略以及策略导出</w:t>
            </w:r>
          </w:p>
        </w:tc>
      </w:tr>
      <w:tr>
        <w:tblPrEx>
          <w:tblCellMar>
            <w:top w:w="0" w:type="dxa"/>
            <w:left w:w="108" w:type="dxa"/>
            <w:bottom w:w="0" w:type="dxa"/>
            <w:right w:w="108" w:type="dxa"/>
          </w:tblCellMar>
        </w:tblPrEx>
        <w:trPr>
          <w:trHeight w:val="676"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★支持自学习生成策略功能，聚合流量并生成细化的策略规则，辅助用户更快速、更准确和更完整的配置安全策略（要求提供界面截图）</w:t>
            </w:r>
          </w:p>
        </w:tc>
      </w:tr>
      <w:tr>
        <w:trPr>
          <w:trHeight w:val="285"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负载均衡</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支持智能链路负载均衡技术，可动态探测链路响应速度并选择最优链路进行转发</w:t>
            </w:r>
          </w:p>
        </w:tc>
      </w:tr>
      <w:tr>
        <w:tblPrEx>
          <w:tblCellMar>
            <w:top w:w="0" w:type="dxa"/>
            <w:left w:w="108" w:type="dxa"/>
            <w:bottom w:w="0" w:type="dxa"/>
            <w:right w:w="108" w:type="dxa"/>
          </w:tblCellMar>
        </w:tblPrEx>
        <w:trPr>
          <w:trHeight w:val="855"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支持DNS透明代理功能，可基于负载均衡算法代理内网用户进行DNS请求转发，避免单运营商DNS解析出现单一链路流量过载，平衡多条运营商线路的带宽利用率。</w:t>
            </w:r>
          </w:p>
        </w:tc>
      </w:tr>
      <w:tr>
        <w:trPr>
          <w:trHeight w:val="585"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VPN</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要求所投产品支持IPSec VPN\SSL VPN\L2TP VPN等VPN技术，且SSL VPN具备USB-KEY认证的能力。</w:t>
            </w:r>
          </w:p>
        </w:tc>
      </w:tr>
      <w:tr>
        <w:tblPrEx>
          <w:tblCellMar>
            <w:top w:w="0" w:type="dxa"/>
            <w:left w:w="108" w:type="dxa"/>
            <w:bottom w:w="0" w:type="dxa"/>
            <w:right w:w="108" w:type="dxa"/>
          </w:tblCellMar>
        </w:tblPrEx>
        <w:trPr>
          <w:trHeight w:val="585" w:hRule="atLeast"/>
          <w:jc w:val="center"/>
        </w:trPr>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支持对登录SSL VPN的用户端系统进行端点安全检查，至少包括文件路径、运行进程、安装服务、运行服务、防火墙设置等方面（要求提供证明截图）</w:t>
            </w:r>
          </w:p>
        </w:tc>
      </w:tr>
      <w:tr>
        <w:trPr>
          <w:trHeight w:val="855"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上网用户认证</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要求所投产品支持Web认证，且Web认证的方式需要包含口令认证、短信认证、口令+短信认证的方式，在SCVPN场景下，支持本地用户或RADIUS认证用户通过口令+邮件验证码的方式进行认证。</w:t>
            </w:r>
          </w:p>
        </w:tc>
      </w:tr>
      <w:tr>
        <w:tblPrEx>
          <w:tblCellMar>
            <w:top w:w="0" w:type="dxa"/>
            <w:left w:w="108" w:type="dxa"/>
            <w:bottom w:w="0" w:type="dxa"/>
            <w:right w:w="108" w:type="dxa"/>
          </w:tblCellMar>
        </w:tblPrEx>
        <w:trPr>
          <w:trHeight w:val="570"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要求所投产品支持SSO、SSO代理、无Agent方式的AD SSO以及通过SSO Monitor协议标准进行认证用户同步</w:t>
            </w:r>
          </w:p>
        </w:tc>
      </w:tr>
      <w:tr>
        <w:trPr>
          <w:trHeight w:val="570"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r>
              <w:t>★硬件高可靠</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为保障日常使用的稳定性，所投产品具备防雷击浪涌等级三级以上，必须通过国家无线电监测中心检测中心浪涌（冲击）抗扰度（4KV）测试项目，出具国家无线电监测中心检测中心委托测试报告</w:t>
            </w:r>
          </w:p>
        </w:tc>
      </w:tr>
      <w:tr>
        <w:tblPrEx>
          <w:tblCellMar>
            <w:top w:w="0" w:type="dxa"/>
            <w:left w:w="108" w:type="dxa"/>
            <w:bottom w:w="0" w:type="dxa"/>
            <w:right w:w="108" w:type="dxa"/>
          </w:tblCellMar>
        </w:tblPrEx>
        <w:trPr>
          <w:trHeight w:val="264" w:hRule="atLeast"/>
          <w:jc w:val="center"/>
        </w:trPr>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r>
              <w:t>病毒过滤</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支持基于流模式的病毒过滤，可对SMB\IMAP等协议传输的病毒以及不少于5层压缩病毒文件进行检出，要求本地病毒特征库规模≥330万，支持手动添加、删除病毒特征。</w:t>
            </w:r>
          </w:p>
        </w:tc>
      </w:tr>
      <w:tr>
        <w:trPr>
          <w:trHeight w:val="570"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管理功能</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支持2个系统软件并存，并可在WEB界面上直接配置启动顺序，支持不少于8个配置文件并存，并支持回滚（要求提供界面截图）</w:t>
            </w:r>
          </w:p>
        </w:tc>
      </w:tr>
      <w:tr>
        <w:tblPrEx>
          <w:tblCellMar>
            <w:top w:w="0" w:type="dxa"/>
            <w:left w:w="108" w:type="dxa"/>
            <w:bottom w:w="0" w:type="dxa"/>
            <w:right w:w="108" w:type="dxa"/>
          </w:tblCellMar>
        </w:tblPrEx>
        <w:trPr>
          <w:trHeight w:val="570" w:hRule="atLeast"/>
          <w:jc w:val="center"/>
        </w:trPr>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产品必须支持全功能CLI（SSH、TELNET、CONSOLE等方式）命令配置，以方便快速进行脚本操作和故障调试，且CLI配置必须支持中文输入，支持通过CLI配置接口、路由、安全策略等功能模块</w:t>
            </w:r>
          </w:p>
        </w:tc>
      </w:tr>
      <w:tr>
        <w:trPr>
          <w:trHeight w:val="570" w:hRule="atLeast"/>
          <w:jc w:val="center"/>
        </w:trPr>
        <w:tc>
          <w:tcPr>
            <w:tcW w:w="17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支持手机APP对设备进行监控：包含多设备集中监控CPU利用率、内存利用率、IP、软件版本；并发连接数、整机流量趋势、会话趋势、接口流量趋势图，提供功能截图证明。（要求提供证明截图）。</w:t>
            </w:r>
          </w:p>
        </w:tc>
      </w:tr>
      <w:tr>
        <w:tblPrEx>
          <w:tblCellMar>
            <w:top w:w="0" w:type="dxa"/>
            <w:left w:w="108" w:type="dxa"/>
            <w:bottom w:w="0" w:type="dxa"/>
            <w:right w:w="108" w:type="dxa"/>
          </w:tblCellMar>
        </w:tblPrEx>
        <w:trPr>
          <w:trHeight w:val="300" w:hRule="atLeast"/>
          <w:jc w:val="center"/>
        </w:trPr>
        <w:tc>
          <w:tcPr>
            <w:tcW w:w="17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产品资质</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具备中国网络安全审查技术与认证中心颁发的《中国国家信息安全产品认证证书》（万兆增强级）</w:t>
            </w:r>
          </w:p>
        </w:tc>
      </w:tr>
      <w:tr>
        <w:trPr>
          <w:trHeight w:val="285"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要求提供中国质量认证中心颁发的节能产品认证证书</w:t>
            </w:r>
          </w:p>
        </w:tc>
      </w:tr>
      <w:tr>
        <w:tblPrEx>
          <w:tblCellMar>
            <w:top w:w="0" w:type="dxa"/>
            <w:left w:w="108" w:type="dxa"/>
            <w:bottom w:w="0" w:type="dxa"/>
            <w:right w:w="108" w:type="dxa"/>
          </w:tblCellMar>
        </w:tblPrEx>
        <w:trPr>
          <w:trHeight w:val="306"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right w:val="single" w:color="auto" w:sz="4" w:space="0"/>
            </w:tcBorders>
            <w:shd w:val="clear" w:color="auto" w:fill="auto"/>
            <w:vAlign w:val="center"/>
          </w:tcPr>
          <w:p>
            <w:r>
              <w:t>具备公安部颁发的《计算机信息系统安全专用产品销售许可证》（万兆增强级）</w:t>
            </w:r>
          </w:p>
        </w:tc>
      </w:tr>
      <w:tr>
        <w:trPr>
          <w:trHeight w:val="377"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r>
              <w:t>★厂商服务</w:t>
            </w: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厂商能够及时获取漏洞信息服务，需为微软安全响应中心MAPP计划成员，提供相关证明材料。</w:t>
            </w:r>
          </w:p>
        </w:tc>
      </w:tr>
      <w:tr>
        <w:tblPrEx>
          <w:tblCellMar>
            <w:top w:w="0" w:type="dxa"/>
            <w:left w:w="108" w:type="dxa"/>
            <w:bottom w:w="0" w:type="dxa"/>
            <w:right w:w="108" w:type="dxa"/>
          </w:tblCellMar>
        </w:tblPrEx>
        <w:trPr>
          <w:trHeight w:val="425"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提供三年硬件及软件升级服务</w:t>
            </w:r>
          </w:p>
        </w:tc>
      </w:tr>
      <w:tr>
        <w:trPr>
          <w:trHeight w:val="463"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等线" w:hAnsi="等线" w:eastAsia="等线" w:cs="等线"/>
                <w:color w:val="000000"/>
                <w:kern w:val="0"/>
                <w:sz w:val="18"/>
                <w:szCs w:val="18"/>
                <w:lang w:bidi="ar"/>
              </w:rPr>
            </w:pPr>
          </w:p>
        </w:tc>
        <w:tc>
          <w:tcPr>
            <w:tcW w:w="8012" w:type="dxa"/>
            <w:tcBorders>
              <w:top w:val="single" w:color="auto" w:sz="4" w:space="0"/>
              <w:left w:val="single" w:color="auto" w:sz="4" w:space="0"/>
              <w:bottom w:val="single" w:color="auto" w:sz="4" w:space="0"/>
              <w:right w:val="single" w:color="auto" w:sz="4" w:space="0"/>
            </w:tcBorders>
            <w:shd w:val="clear" w:color="auto" w:fill="auto"/>
            <w:vAlign w:val="center"/>
          </w:tcPr>
          <w:p>
            <w:r>
              <w:t>提供原厂商对本项目的授权和售后服务承诺</w:t>
            </w:r>
          </w:p>
        </w:tc>
      </w:tr>
    </w:tbl>
    <w:p>
      <w:pPr>
        <w:pStyle w:val="26"/>
        <w:ind w:left="1320" w:firstLine="240"/>
      </w:pPr>
      <w:r/>
    </w:p>
    <w:p>
      <w:pPr>
        <w:pStyle w:val="5"/>
        <w:spacing w:before="120" w:after="120" w:line="360" w:lineRule="exact"/>
        <w:rPr>
          <w:rFonts w:ascii="微软雅黑" w:hAnsi="微软雅黑" w:eastAsia="微软雅黑" w:cs="微软雅黑"/>
          <w:sz w:val="28"/>
          <w:szCs w:val="28"/>
        </w:rPr>
      </w:pPr>
      <w:r>
        <w:t>六、其他要求：</w:t>
      </w:r>
    </w:p>
    <w:p>
      <w:pPr>
        <w:numPr>
          <w:ilvl w:val="0"/>
          <w:numId w:val="41"/>
        </w:numPr>
        <w:spacing w:line="360" w:lineRule="exact"/>
        <w:ind w:firstLine="482"/>
        <w:rPr>
          <w:rFonts w:ascii="等线" w:hAnsi="等线" w:eastAsia="等线" w:cs="宋体"/>
          <w:color w:val="000000"/>
          <w:kern w:val="0"/>
          <w:sz w:val="24"/>
          <w:szCs w:val="24"/>
        </w:rPr>
      </w:pPr>
      <w:r>
        <w:t>投标人所投入的设备货物的技术参数不应低于本项目的技术要求和档次。除采购文件明确的品牌外，欢迎其他能满足本项目技术需求且性能与所明确品牌相当的产品参加。</w:t>
      </w:r>
    </w:p>
    <w:p>
      <w:pPr>
        <w:numPr>
          <w:ilvl w:val="0"/>
          <w:numId w:val="41"/>
        </w:numPr>
        <w:spacing w:line="360" w:lineRule="exact"/>
        <w:ind w:firstLine="482"/>
        <w:rPr>
          <w:rFonts w:ascii="等线" w:hAnsi="等线" w:eastAsia="等线" w:cs="宋体"/>
          <w:color w:val="000000"/>
          <w:kern w:val="0"/>
          <w:sz w:val="24"/>
          <w:szCs w:val="24"/>
        </w:rPr>
      </w:pPr>
      <w:r>
        <w:t>对上述采购物品需求、技术等有疑问或需要查勘现场的请向采购人咨询、索取。代理机构不负责此类问题的口头答复，若遇技术问题的具体更正将以正式的补充文件或者招标文件修订版形式发送投标人。采购人的咨询电话详见招标文件公告。</w:t>
      </w:r>
    </w:p>
    <w:p>
      <w:pPr>
        <w:numPr>
          <w:ilvl w:val="0"/>
          <w:numId w:val="41"/>
        </w:numPr>
        <w:spacing w:line="360" w:lineRule="exact"/>
        <w:ind w:firstLine="482"/>
        <w:rPr>
          <w:rFonts w:ascii="等线" w:hAnsi="等线" w:eastAsia="等线" w:cs="宋体"/>
          <w:color w:val="000000"/>
          <w:kern w:val="0"/>
          <w:sz w:val="24"/>
          <w:szCs w:val="24"/>
        </w:rPr>
      </w:pPr>
      <w:r>
        <w:t>这份规格书只是对一些原则性要求，并不是详尽的要求，上述功能要求内容中未列入，但投标人所报设备中为标准配置或应当具备的功能配置，应含在总报价中列出及加以说明，投标人保证系统建成后一次性通过验收及正常运行，否则造成系统不能正常运行，一切后果由中标人完全负责，并且总价不再调整。</w:t>
      </w:r>
    </w:p>
    <w:p>
      <w:pPr>
        <w:numPr>
          <w:ilvl w:val="0"/>
          <w:numId w:val="41"/>
        </w:numPr>
        <w:spacing w:line="360" w:lineRule="exact"/>
        <w:ind w:firstLine="482"/>
        <w:rPr>
          <w:rFonts w:ascii="等线" w:hAnsi="等线" w:eastAsia="等线" w:cs="宋体"/>
          <w:color w:val="000000"/>
          <w:kern w:val="0"/>
          <w:sz w:val="24"/>
          <w:szCs w:val="24"/>
        </w:rPr>
      </w:pPr>
      <w:r>
        <w:t>投标人须按国家有关规定及标准完成本次招标设备投入、运输、装卸、就位、安装、调试、检测及通过有关部门验收、提供三年运营服务（从终验合格并整体交付使用之日起算）等各项工作，并保证设备使用的安全性能与检测结果的可靠性。中标人对中标设备使用的安全性能与检测结果的可靠性负全部责任。</w:t>
      </w:r>
    </w:p>
    <w:p>
      <w:pPr>
        <w:numPr>
          <w:ilvl w:val="0"/>
          <w:numId w:val="41"/>
        </w:numPr>
        <w:spacing w:line="360" w:lineRule="exact"/>
        <w:ind w:firstLine="482"/>
        <w:rPr>
          <w:rFonts w:ascii="等线" w:hAnsi="等线" w:eastAsia="等线" w:cs="宋体"/>
          <w:color w:val="000000"/>
          <w:kern w:val="0"/>
          <w:sz w:val="24"/>
          <w:szCs w:val="24"/>
        </w:rPr>
      </w:pPr>
      <w:r>
        <w:t>设备的完整性</w:t>
      </w:r>
    </w:p>
    <w:p>
      <w:pPr>
        <w:spacing w:line="360" w:lineRule="exact"/>
        <w:ind w:firstLine="480" w:firstLineChars="200"/>
        <w:rPr>
          <w:rFonts w:ascii="等线" w:hAnsi="等线" w:eastAsia="等线" w:cs="宋体"/>
          <w:color w:val="000000"/>
          <w:kern w:val="0"/>
          <w:sz w:val="24"/>
          <w:szCs w:val="24"/>
        </w:rPr>
      </w:pPr>
      <w:r>
        <w:t>中标人所提供的设备必须是全新的、完整未拆封的、有效的、功能齐全的设备，所有设备及附件均须是从合法商业渠道获得的，并为原生产商出厂正品，所有的部件必须无任何缺陷。</w:t>
      </w:r>
    </w:p>
    <w:p>
      <w:pPr>
        <w:numPr>
          <w:ilvl w:val="0"/>
          <w:numId w:val="41"/>
        </w:numPr>
        <w:spacing w:line="360" w:lineRule="exact"/>
        <w:ind w:firstLine="482"/>
        <w:rPr>
          <w:rFonts w:ascii="等线" w:hAnsi="等线" w:eastAsia="等线" w:cs="宋体"/>
          <w:color w:val="000000"/>
          <w:kern w:val="0"/>
          <w:sz w:val="24"/>
          <w:szCs w:val="24"/>
        </w:rPr>
      </w:pPr>
      <w:r>
        <w:t>检测性能测试与验收</w:t>
      </w:r>
    </w:p>
    <w:p>
      <w:pPr>
        <w:spacing w:line="360" w:lineRule="exact"/>
        <w:ind w:firstLine="480" w:firstLineChars="200"/>
        <w:rPr>
          <w:rFonts w:ascii="等线" w:hAnsi="等线" w:eastAsia="等线" w:cs="宋体"/>
          <w:color w:val="000000"/>
          <w:kern w:val="0"/>
          <w:sz w:val="24"/>
          <w:szCs w:val="24"/>
        </w:rPr>
      </w:pPr>
      <w:r>
        <w:t>中标人应提供设备的有效检验文件，经采购人认可后，与合同的性能指标一起作为设备验收标准，中标人聘请采购人认可的有国家资质第三方计量部门单位对设备进行复检和性能测试，中标人应派出有经验的，高水平的技术人员协助此项工作。经采购人组织设备验收合格后，双方共同签署验收合格证书，验收标准应符合有关规定。聘请第三方计量部门所有费用需要在投标时一并考虑。</w:t>
      </w:r>
    </w:p>
    <w:p>
      <w:pPr>
        <w:numPr>
          <w:ilvl w:val="0"/>
          <w:numId w:val="41"/>
        </w:numPr>
        <w:spacing w:line="360" w:lineRule="exact"/>
        <w:ind w:firstLine="482"/>
        <w:rPr>
          <w:rFonts w:ascii="等线" w:hAnsi="等线" w:eastAsia="等线" w:cs="宋体"/>
          <w:color w:val="000000"/>
          <w:kern w:val="0"/>
          <w:sz w:val="24"/>
          <w:szCs w:val="24"/>
        </w:rPr>
      </w:pPr>
      <w:r>
        <w:t>中标人须提供的技术服务</w:t>
      </w:r>
    </w:p>
    <w:p>
      <w:pPr>
        <w:spacing w:line="360" w:lineRule="exact"/>
        <w:ind w:firstLine="480" w:firstLineChars="200"/>
        <w:rPr>
          <w:rFonts w:ascii="等线" w:hAnsi="等线" w:eastAsia="等线" w:cs="宋体"/>
          <w:color w:val="000000"/>
          <w:kern w:val="0"/>
          <w:sz w:val="24"/>
          <w:szCs w:val="24"/>
        </w:rPr>
      </w:pPr>
      <w:r>
        <w:t>中标人提供的设备需为原包装并同时提供相应的软件技术。中标人所提供的设备、软件，如涉及其他单位的专利权、知识产权等，应提供相应的使用授权书。中标人对一切可能的侵权指控负责。中标人应及时免费提供设备软件的升级，免费提供设备新功能和应用的资料。</w:t>
      </w:r>
    </w:p>
    <w:p>
      <w:pPr>
        <w:numPr>
          <w:ilvl w:val="0"/>
          <w:numId w:val="41"/>
        </w:numPr>
        <w:spacing w:line="360" w:lineRule="exact"/>
        <w:ind w:firstLine="482"/>
        <w:rPr>
          <w:rFonts w:ascii="等线" w:hAnsi="等线" w:eastAsia="等线" w:cs="宋体"/>
          <w:color w:val="000000"/>
          <w:kern w:val="0"/>
          <w:sz w:val="24"/>
          <w:szCs w:val="24"/>
        </w:rPr>
      </w:pPr>
      <w:r>
        <w:t>系统的基础施工工程，投标人须自行现场勘察，并根据现场实际情况优化设计方案（须满足招标文件与国家标准要求），自行确定工程量。</w:t>
      </w:r>
    </w:p>
    <w:p>
      <w:pPr>
        <w:numPr>
          <w:ilvl w:val="0"/>
          <w:numId w:val="41"/>
        </w:numPr>
        <w:spacing w:line="360" w:lineRule="exact"/>
        <w:ind w:firstLine="482"/>
        <w:rPr>
          <w:rFonts w:ascii="等线" w:hAnsi="等线" w:eastAsia="等线" w:cs="宋体"/>
          <w:color w:val="000000"/>
          <w:kern w:val="0"/>
          <w:sz w:val="24"/>
          <w:szCs w:val="24"/>
        </w:rPr>
      </w:pPr>
      <w:r>
        <w:t>投标人对在合同执行中，除上述费用及招标文件规定的由投标人负责的工作范围以外需要采购人协调或提供便利的工作应当在投标文件中说明。</w:t>
      </w:r>
    </w:p>
    <w:p>
      <w:pPr>
        <w:numPr>
          <w:ilvl w:val="0"/>
          <w:numId w:val="41"/>
        </w:numPr>
        <w:spacing w:line="360" w:lineRule="exact"/>
        <w:ind w:firstLine="482"/>
        <w:rPr>
          <w:rFonts w:ascii="等线" w:hAnsi="等线" w:eastAsia="等线" w:cs="宋体"/>
          <w:color w:val="000000"/>
          <w:kern w:val="0"/>
          <w:sz w:val="24"/>
          <w:szCs w:val="24"/>
        </w:rPr>
      </w:pPr>
      <w:r>
        <w:t>招标文件技术部分提供提供的杆件尺寸仅供参考，投标人应根据自身投标产品特性需要进行杆件规格设计，在工程实施过程中进行调整。招标文件点位清单中注明借铁塔的点位，因部分点位铁塔资源条件不理想或附近有更好位置立杆（或楼顶借装）的，在确保视频效果不影响的前提下，中标人书面报送变更申请，经采购人批准后，可变更为在就近更好位置立杆（或楼顶借装），相关费用包含在总报价中。</w:t>
      </w:r>
    </w:p>
    <w:p>
      <w:pPr>
        <w:numPr>
          <w:ilvl w:val="0"/>
          <w:numId w:val="41"/>
        </w:numPr>
        <w:spacing w:line="360" w:lineRule="exact"/>
        <w:ind w:firstLine="480"/>
        <w:rPr>
          <w:rFonts w:ascii="等线" w:hAnsi="等线" w:eastAsia="等线" w:cs="宋体"/>
          <w:color w:val="000000"/>
          <w:kern w:val="0"/>
          <w:sz w:val="24"/>
          <w:szCs w:val="24"/>
        </w:rPr>
      </w:pPr>
      <w:r>
        <w:t>投标人在投标文件中应明确所选用材料、设备的品牌、厂家以及质量等级。其中采购人材料设备参考品牌指的是采购人拟采用的材料、设备的档次。</w:t>
      </w:r>
    </w:p>
    <w:p>
      <w:pPr>
        <w:numPr>
          <w:ilvl w:val="0"/>
          <w:numId w:val="41"/>
        </w:numPr>
        <w:spacing w:line="360" w:lineRule="exact"/>
        <w:ind w:firstLine="480"/>
        <w:rPr>
          <w:rFonts w:ascii="等线" w:hAnsi="等线" w:eastAsia="等线" w:cs="宋体"/>
          <w:color w:val="000000"/>
          <w:kern w:val="0"/>
          <w:sz w:val="24"/>
          <w:szCs w:val="24"/>
        </w:rPr>
      </w:pPr>
      <w:r>
        <w:t>中标人需在设备到货时提供设备出厂合格证明，原装正品证明（设备须原厂商出具质保函，加盖原厂商合法代表公章），如果投标人不能提供以上证明及质保函，则采购人可以按验收不予通过处理。</w:t>
      </w:r>
    </w:p>
    <w:p>
      <w:pPr>
        <w:numPr>
          <w:ilvl w:val="0"/>
          <w:numId w:val="41"/>
        </w:numPr>
        <w:spacing w:line="360" w:lineRule="exact"/>
        <w:ind w:firstLine="480"/>
        <w:rPr>
          <w:rFonts w:ascii="等线" w:hAnsi="等线" w:eastAsia="等线" w:cs="宋体"/>
          <w:color w:val="000000"/>
          <w:kern w:val="0"/>
          <w:sz w:val="24"/>
          <w:szCs w:val="24"/>
        </w:rPr>
      </w:pPr>
      <w:r>
        <w:t>采购人一旦发现投标人存在提供假冒伪劣货物或不满足实际功能需求的设备等情况，投标人必须无条件予以更换，更换设备的技术参数不应低于本项目的技术要求和档次，并且承担造成的后果。</w:t>
      </w:r>
    </w:p>
    <w:p>
      <w:pPr>
        <w:numPr>
          <w:ilvl w:val="0"/>
          <w:numId w:val="41"/>
        </w:numPr>
        <w:spacing w:line="360" w:lineRule="exact"/>
        <w:ind w:firstLine="480"/>
        <w:rPr>
          <w:rFonts w:ascii="等线" w:hAnsi="等线" w:eastAsia="等线" w:cs="宋体"/>
          <w:color w:val="000000"/>
          <w:kern w:val="0"/>
          <w:sz w:val="24"/>
          <w:szCs w:val="24"/>
        </w:rPr>
      </w:pPr>
      <w:r>
        <w:t>投标人提供的设备清单必须能够完全实现整体要求，施工过程中发现因设备数量估算不足或平台软件功能不全从而无法完整实现整体功能的，将由中标人出资补足（补足的设备或平台功能技术参数不得低于投标承诺的同类设备），采购人不再另行支付额外费用。</w:t>
      </w:r>
    </w:p>
    <w:p>
      <w:pPr>
        <w:numPr>
          <w:ilvl w:val="0"/>
          <w:numId w:val="41"/>
        </w:numPr>
        <w:spacing w:line="360" w:lineRule="exact"/>
        <w:ind w:firstLine="480"/>
        <w:rPr>
          <w:rFonts w:ascii="等线" w:hAnsi="等线" w:eastAsia="等线" w:cs="宋体"/>
          <w:color w:val="000000"/>
          <w:kern w:val="0"/>
          <w:sz w:val="24"/>
          <w:szCs w:val="24"/>
        </w:rPr>
      </w:pPr>
      <w:r>
        <w:t>中标人应承诺保护采购人在使用合同产品或其任何一部分时不受第三方提出侵犯专利权、商标权和工业设计权等的起诉。如果任何第三方提出侵权指控，由中标人负责与第三方交涉并承担可能发生的一切费用和相关法律责任，采购人不承担由此引起的一切经济和法律责任。</w:t>
      </w:r>
    </w:p>
    <w:p>
      <w:pPr>
        <w:numPr>
          <w:ilvl w:val="0"/>
          <w:numId w:val="41"/>
        </w:numPr>
        <w:spacing w:line="360" w:lineRule="exact"/>
        <w:ind w:firstLine="480"/>
        <w:rPr>
          <w:rFonts w:ascii="等线" w:hAnsi="等线" w:eastAsia="等线" w:cs="宋体"/>
          <w:color w:val="000000"/>
          <w:kern w:val="0"/>
          <w:sz w:val="24"/>
          <w:szCs w:val="24"/>
        </w:rPr>
      </w:pPr>
      <w:r>
        <w:t>服务期限内，设备故障无法修复且设备生产商停产或停用的，中标人应提供不低于原设备技术要求和档次的原厂产品（优先选择）或兼容产品。</w:t>
      </w:r>
    </w:p>
    <w:p>
      <w:pPr>
        <w:numPr>
          <w:ilvl w:val="0"/>
          <w:numId w:val="41"/>
        </w:numPr>
        <w:snapToGrid w:val="0"/>
        <w:spacing w:line="360" w:lineRule="exact"/>
        <w:ind w:firstLine="480"/>
        <w:rPr>
          <w:rFonts w:ascii="等线" w:hAnsi="等线" w:eastAsia="等线" w:cs="宋体"/>
          <w:color w:val="000000"/>
          <w:kern w:val="0"/>
          <w:sz w:val="24"/>
          <w:szCs w:val="24"/>
        </w:rPr>
      </w:pPr>
      <w:r>
        <w:t>本采购需求只是对该项目的原则性的要求，并非详尽的要求，投标人有责任对设计的实施符合技术规范负责，并有责任提出在本技术规格中未阐述的但为保证系统建成后能一次性通过终验及保证正常运行所必须的建议和要求，并落实在方案和投标报价之中。</w:t>
      </w:r>
    </w:p>
    <w:p>
      <w:pPr>
        <w:pStyle w:val="5"/>
        <w:spacing w:before="120" w:after="120" w:line="360" w:lineRule="exact"/>
        <w:rPr>
          <w:rFonts w:ascii="微软雅黑" w:hAnsi="微软雅黑" w:eastAsia="微软雅黑" w:cs="微软雅黑"/>
          <w:sz w:val="28"/>
          <w:szCs w:val="28"/>
        </w:rPr>
      </w:pPr>
      <w:r>
        <w:t>七、商务条款</w:t>
      </w:r>
    </w:p>
    <w:p>
      <w:pPr>
        <w:widowControl/>
        <w:ind w:firstLine="480" w:firstLineChars="200"/>
        <w:jc w:val="left"/>
        <w:rPr>
          <w:rFonts w:ascii="等线" w:hAnsi="等线" w:eastAsia="等线" w:cs="宋体"/>
          <w:color w:val="000000"/>
          <w:kern w:val="0"/>
          <w:sz w:val="24"/>
          <w:szCs w:val="24"/>
        </w:rPr>
      </w:pPr>
      <w:r>
        <w:t>1. 服务期限：3年，服务期限自系统终验合格通过且整体交付使用之日算起。服务内容包含实现本项目需求的设备租赁及运行维护服务、光纤租赁、设备用电、整个监控系统的维修维护服务等。</w:t>
      </w:r>
    </w:p>
    <w:p>
      <w:pPr>
        <w:widowControl/>
        <w:ind w:firstLine="480" w:firstLineChars="200"/>
        <w:jc w:val="left"/>
        <w:rPr>
          <w:rFonts w:ascii="等线" w:hAnsi="等线" w:eastAsia="等线" w:cs="宋体"/>
          <w:color w:val="000000"/>
          <w:kern w:val="0"/>
          <w:sz w:val="24"/>
          <w:szCs w:val="24"/>
        </w:rPr>
      </w:pPr>
      <w:r>
        <w:t>2. 项目建设期：2024年10月31日前完成终验合格并整体交付使用。</w:t>
      </w:r>
    </w:p>
    <w:p>
      <w:pPr>
        <w:widowControl/>
        <w:ind w:firstLine="480" w:firstLineChars="200"/>
        <w:jc w:val="left"/>
        <w:rPr>
          <w:rFonts w:ascii="等线" w:hAnsi="等线" w:eastAsia="等线" w:cs="宋体"/>
          <w:color w:val="000000"/>
          <w:kern w:val="0"/>
          <w:sz w:val="24"/>
          <w:szCs w:val="24"/>
        </w:rPr>
      </w:pPr>
      <w:r>
        <w:t>3. 付款方式：服务期限自系统终验合格通过且整体交付使用之日算起，按照每个摄像机每月支付服务报酬。由甲方根据乙方提供的服务质量进行考核扣款结算后按实支付，每季度支付一次。</w:t>
      </w:r>
    </w:p>
    <w:p>
      <w:pPr>
        <w:ind w:firstLine="480" w:firstLineChars="200"/>
        <w:rPr>
          <w:rFonts w:ascii="等线" w:hAnsi="等线" w:eastAsia="等线" w:cs="宋体"/>
          <w:kern w:val="0"/>
          <w:sz w:val="24"/>
          <w:szCs w:val="24"/>
        </w:rPr>
      </w:pPr>
      <w:r>
        <w:t>4. 履约保证金：本项目不收取履约保证金</w:t>
      </w:r>
    </w:p>
    <w:p>
      <w:pPr>
        <w:ind w:firstLine="480" w:firstLineChars="200"/>
        <w:rPr>
          <w:rFonts w:ascii="宋体" w:hAnsi="宋体" w:cs="宋体"/>
          <w:color w:val="000000" w:themeColor="text1"/>
          <w:kern w:val="0"/>
          <w:sz w:val="24"/>
          <w:szCs w:val="24"/>
        </w:rPr>
      </w:pPr>
      <w:r>
        <w:t>5、项目地点：采购人指定地点。</w:t>
      </w:r>
    </w:p>
    <w:p>
      <w:pPr>
        <w:spacing w:line="360" w:lineRule="auto"/>
        <w:ind w:right="-153" w:rightChars="-73"/>
        <w:jc w:val="center"/>
        <w:rPr>
          <w:rFonts w:ascii="宋体" w:cs="宋体"/>
          <w:b/>
          <w:bCs/>
          <w:color w:val="000000" w:themeColor="text1"/>
          <w:sz w:val="36"/>
          <w:szCs w:val="36"/>
        </w:rPr>
      </w:pPr>
      <w:r>
        <w:t>第五章 合同文本</w:t>
      </w:r>
    </w:p>
    <w:p>
      <w:pPr>
        <w:spacing w:line="400" w:lineRule="exact"/>
        <w:rPr>
          <w:rFonts w:ascii="宋体" w:hAnsi="宋体" w:cs="宋体"/>
          <w:sz w:val="24"/>
        </w:rPr>
      </w:pPr>
      <w:r>
        <w:t>甲方：（采购人）</w:t>
      </w:r>
    </w:p>
    <w:p>
      <w:pPr>
        <w:spacing w:line="400" w:lineRule="exact"/>
        <w:rPr>
          <w:rFonts w:ascii="宋体" w:hAnsi="宋体" w:cs="宋体"/>
          <w:sz w:val="24"/>
        </w:rPr>
      </w:pPr>
      <w:r>
        <w:t>乙方：（供应商）</w:t>
      </w:r>
    </w:p>
    <w:p>
      <w:pPr>
        <w:spacing w:line="400" w:lineRule="exact"/>
        <w:ind w:right="-153" w:rightChars="-73" w:firstLine="480" w:firstLineChars="200"/>
        <w:rPr>
          <w:rFonts w:ascii="宋体" w:hAnsi="宋体" w:cs="宋体"/>
          <w:sz w:val="24"/>
        </w:rPr>
      </w:pPr>
      <w:r/>
    </w:p>
    <w:p>
      <w:pPr>
        <w:spacing w:line="400" w:lineRule="exact"/>
        <w:ind w:right="-153" w:rightChars="-73" w:firstLine="480" w:firstLineChars="200"/>
        <w:rPr>
          <w:rFonts w:ascii="宋体" w:hAnsi="宋体" w:cs="宋体"/>
          <w:sz w:val="24"/>
        </w:rPr>
      </w:pPr>
      <w:r>
        <w:t>根据    年    月   日温岭市公共视频一体化建设二期东片视频图像服务采购（项目编号：   ）招标结果和招标文件要求，并依照《中华人民共和国民法典》《中华人民共和国政府采购法》及其他等有关法律、行政法规的规定，同时在平等、公平、诚实和信用的原则下，经双方协商一致，订立本合同。</w:t>
      </w:r>
    </w:p>
    <w:p>
      <w:pPr>
        <w:pStyle w:val="5"/>
        <w:spacing w:before="3" w:line="400" w:lineRule="exact"/>
        <w:rPr>
          <w:rFonts w:ascii="宋体" w:hAnsi="宋体" w:cs="宋体"/>
          <w:sz w:val="24"/>
          <w:szCs w:val="24"/>
        </w:rPr>
      </w:pPr>
      <w:r>
        <w:t>一、主要工作内容</w:t>
      </w:r>
    </w:p>
    <w:p>
      <w:pPr>
        <w:pStyle w:val="5"/>
        <w:spacing w:before="2" w:line="400" w:lineRule="exact"/>
        <w:rPr>
          <w:rFonts w:ascii="宋体" w:hAnsi="宋体" w:cs="宋体"/>
          <w:sz w:val="24"/>
          <w:szCs w:val="24"/>
        </w:rPr>
      </w:pPr>
      <w:r>
        <w:t>二、合同金额</w:t>
      </w:r>
    </w:p>
    <w:p>
      <w:pPr>
        <w:spacing w:line="360" w:lineRule="auto"/>
        <w:ind w:firstLine="480"/>
        <w:rPr>
          <w:rFonts w:ascii="宋体" w:hAnsi="宋体" w:cs="宋体"/>
          <w:sz w:val="24"/>
        </w:rPr>
      </w:pPr>
      <w:r>
        <w:t xml:space="preserve">本合同金额为（大写）： </w:t>
        <w:tab/>
        <w:t xml:space="preserve">        元（       </w:t>
        <w:tab/>
        <w:t>元）人民币。本项目为      个视频监控的视频图像服务，属交钥匙服务项目，乙方要考虑实现采购文件需求的所有费用（包括招标范围内全部工作内容的价格表现，其应包括但不限于施工设备的租赁、劳务、管理、材料、系统集成、安装调试、试运行、质保、保险、利润、税金、培训费、开办费、措施费、人身意外伤害保险费、第三方检测费用、平台级联对接费用、租金测算费用、等保测评费用、备品备件费用、光纤租赁费用、大型机械进退场费、山体堤坝或绿化恢复费用、杆件和基础设计费用、机房和网络费用、维修维护服务、设备使用电费、相关审批费用、政策性文件规定费用及合同包含的所有风险、责任等各项所有费用。）对采购文件中未体现，但又是提供服务所必须的设备，乙方必须自行增加，同时，乙方需对服务项目服务期间的安全责任问题及第三方损失赔偿负责，投标的报价包含实现采购文件的所有功能及安全保障工作，甲方不再另外增加费用。</w:t>
      </w:r>
    </w:p>
    <w:p>
      <w:pPr>
        <w:pStyle w:val="5"/>
        <w:spacing w:before="2" w:line="400" w:lineRule="exact"/>
        <w:rPr>
          <w:rFonts w:ascii="宋体" w:hAnsi="宋体" w:cs="宋体"/>
          <w:sz w:val="24"/>
          <w:szCs w:val="24"/>
        </w:rPr>
      </w:pPr>
      <w:r>
        <w:t>三、服务期限：</w:t>
      </w:r>
    </w:p>
    <w:p>
      <w:pPr>
        <w:widowControl/>
        <w:adjustRightInd w:val="0"/>
        <w:snapToGrid w:val="0"/>
        <w:spacing w:line="400" w:lineRule="exact"/>
        <w:ind w:firstLine="440"/>
        <w:textAlignment w:val="bottom"/>
        <w:rPr>
          <w:rFonts w:ascii="宋体" w:hAnsi="宋体" w:cs="宋体"/>
          <w:sz w:val="24"/>
          <w:szCs w:val="24"/>
        </w:rPr>
      </w:pPr>
      <w:r>
        <w:t>服务期限：3年，服务期限自系统终验合格通过且整体交付使用之日算起。服务内容包含实现本项目需求的设备租赁及运行维护服务、光纤租赁、设备用电、整个监控系统的维修维护服务等。</w:t>
      </w:r>
    </w:p>
    <w:p>
      <w:pPr>
        <w:pStyle w:val="5"/>
        <w:spacing w:before="5" w:line="400" w:lineRule="exact"/>
        <w:rPr>
          <w:rFonts w:ascii="宋体" w:hAnsi="宋体" w:cs="宋体"/>
          <w:sz w:val="24"/>
          <w:szCs w:val="24"/>
        </w:rPr>
      </w:pPr>
      <w:r>
        <w:t>四、技术资料</w:t>
      </w:r>
    </w:p>
    <w:p>
      <w:pPr>
        <w:pStyle w:val="25"/>
        <w:spacing w:line="400" w:lineRule="exact"/>
        <w:ind w:left="231" w:right="475" w:firstLine="420"/>
        <w:rPr>
          <w:rFonts w:ascii="宋体" w:hAnsi="宋体" w:cs="宋体"/>
        </w:rPr>
      </w:pPr>
      <w:r>
        <w:t>1.乙方应按采购文件规定的时间向甲方提供使用的有关技术资料。</w:t>
      </w:r>
    </w:p>
    <w:p>
      <w:pPr>
        <w:pStyle w:val="25"/>
        <w:spacing w:line="400" w:lineRule="exact"/>
        <w:ind w:left="231" w:right="266" w:firstLine="420"/>
        <w:rPr>
          <w:rFonts w:ascii="宋体" w:hAnsi="宋体" w:cs="宋体"/>
        </w:rPr>
      </w:pPr>
      <w:r>
        <w:t>2.没有甲方事先书面同意，乙方不得将由甲方提供的有关合同或任何合同条文、规格、计划、图纸或资料提供给与履行本合同无关的任何其他人。即使向履行本合同有关的人员提供，也应注意保密并限于履行合同的必需范围。</w:t>
      </w:r>
    </w:p>
    <w:p>
      <w:pPr>
        <w:pStyle w:val="5"/>
        <w:spacing w:before="4" w:line="400" w:lineRule="exact"/>
        <w:rPr>
          <w:rFonts w:ascii="宋体" w:hAnsi="宋体" w:cs="宋体"/>
          <w:bCs w:val="0"/>
          <w:sz w:val="24"/>
          <w:szCs w:val="24"/>
        </w:rPr>
      </w:pPr>
      <w:r>
        <w:t>五、产权、版权及保密</w:t>
      </w:r>
    </w:p>
    <w:p>
      <w:pPr>
        <w:pStyle w:val="25"/>
        <w:spacing w:line="400" w:lineRule="exact"/>
        <w:ind w:left="231" w:right="266" w:firstLine="420"/>
        <w:rPr>
          <w:rFonts w:ascii="宋体" w:hAnsi="宋体" w:cs="宋体"/>
        </w:rPr>
      </w:pPr>
      <w:r>
        <w:t>1.乙方应保证提供服务过程中不会侵犯任何第三方的知识产权。乙方应承诺保护甲方在使用合同产品或其任何一部分时不受第三方提出侵犯专利权、商标权和工业设计权等的起诉。如果任何第三方提出侵权指控，由乙方负责与第三方交涉并承担可能发生的一切费用和相关法律责任，甲方不承担由此引起的一切经济和法律责任。</w:t>
      </w:r>
    </w:p>
    <w:p>
      <w:pPr>
        <w:pStyle w:val="25"/>
        <w:spacing w:line="400" w:lineRule="exact"/>
        <w:ind w:left="231" w:right="266" w:firstLine="420"/>
      </w:pPr>
      <w:r>
        <w:t>2. 未经对方书面许可，任何一方不得向第三方提出或披露与对方业务有关的资料和信息，法律另有规定的除外。甲乙双方通过本协议实施了解到对方的有关网络组织、业务发展、价格策略等商业机密时，双方均有义务为对方保密，并签订保密协议履行保密职责。</w:t>
      </w:r>
    </w:p>
    <w:p>
      <w:pPr>
        <w:spacing w:before="1" w:line="400" w:lineRule="exact"/>
        <w:ind w:right="3204"/>
        <w:rPr>
          <w:rFonts w:ascii="宋体" w:hAnsi="宋体" w:cs="宋体"/>
          <w:b/>
          <w:sz w:val="24"/>
          <w:szCs w:val="24"/>
        </w:rPr>
      </w:pPr>
      <w:r>
        <w:t>六、组成合同的文件</w:t>
      </w:r>
    </w:p>
    <w:p>
      <w:pPr>
        <w:pStyle w:val="25"/>
        <w:numPr>
          <w:ilvl w:val="0"/>
          <w:numId w:val="42"/>
        </w:numPr>
        <w:autoSpaceDE w:val="0"/>
        <w:autoSpaceDN w:val="0"/>
        <w:spacing w:line="400" w:lineRule="exact"/>
        <w:ind w:left="1085" w:right="475"/>
        <w:jc w:val="left"/>
        <w:rPr>
          <w:rFonts w:ascii="宋体" w:hAnsi="宋体" w:cs="宋体"/>
        </w:rPr>
      </w:pPr>
      <w:r>
        <w:t>本合同协议书；</w:t>
      </w:r>
    </w:p>
    <w:p>
      <w:pPr>
        <w:pStyle w:val="25"/>
        <w:numPr>
          <w:ilvl w:val="0"/>
          <w:numId w:val="42"/>
        </w:numPr>
        <w:autoSpaceDE w:val="0"/>
        <w:autoSpaceDN w:val="0"/>
        <w:spacing w:line="400" w:lineRule="exact"/>
        <w:ind w:left="1085" w:right="475"/>
        <w:jc w:val="left"/>
        <w:rPr>
          <w:rFonts w:ascii="宋体" w:hAnsi="宋体" w:cs="宋体"/>
        </w:rPr>
      </w:pPr>
      <w:r>
        <w:t>中标通知书；</w:t>
      </w:r>
    </w:p>
    <w:p>
      <w:pPr>
        <w:pStyle w:val="25"/>
        <w:numPr>
          <w:ilvl w:val="0"/>
          <w:numId w:val="42"/>
        </w:numPr>
        <w:autoSpaceDE w:val="0"/>
        <w:autoSpaceDN w:val="0"/>
        <w:spacing w:line="400" w:lineRule="exact"/>
        <w:ind w:left="1085" w:right="475"/>
        <w:jc w:val="left"/>
        <w:rPr>
          <w:rFonts w:ascii="宋体" w:hAnsi="宋体" w:cs="宋体"/>
        </w:rPr>
      </w:pPr>
      <w:r>
        <w:t>投标文件及其附件；</w:t>
      </w:r>
    </w:p>
    <w:p>
      <w:pPr>
        <w:pStyle w:val="25"/>
        <w:numPr>
          <w:ilvl w:val="0"/>
          <w:numId w:val="42"/>
        </w:numPr>
        <w:autoSpaceDE w:val="0"/>
        <w:autoSpaceDN w:val="0"/>
        <w:spacing w:line="400" w:lineRule="exact"/>
        <w:ind w:left="1085" w:right="475"/>
        <w:jc w:val="left"/>
        <w:rPr>
          <w:rFonts w:ascii="宋体" w:hAnsi="宋体" w:cs="宋体"/>
        </w:rPr>
      </w:pPr>
      <w:r>
        <w:t>采购文件；</w:t>
      </w:r>
    </w:p>
    <w:p>
      <w:pPr>
        <w:pStyle w:val="25"/>
        <w:numPr>
          <w:ilvl w:val="0"/>
          <w:numId w:val="42"/>
        </w:numPr>
        <w:autoSpaceDE w:val="0"/>
        <w:autoSpaceDN w:val="0"/>
        <w:spacing w:line="400" w:lineRule="exact"/>
        <w:ind w:left="1085" w:right="475"/>
        <w:jc w:val="left"/>
        <w:rPr>
          <w:rFonts w:ascii="宋体" w:hAnsi="宋体" w:cs="宋体"/>
        </w:rPr>
      </w:pPr>
      <w:r>
        <w:t>标准、规范及有关技术文件。</w:t>
      </w:r>
    </w:p>
    <w:p>
      <w:pPr>
        <w:pStyle w:val="25"/>
        <w:spacing w:line="400" w:lineRule="exact"/>
        <w:ind w:left="231" w:right="475" w:firstLine="420"/>
        <w:rPr>
          <w:rFonts w:ascii="宋体" w:hAnsi="宋体" w:cs="宋体"/>
          <w:w w:val="95"/>
        </w:rPr>
      </w:pPr>
      <w:r>
        <w:t xml:space="preserve">有关甲乙双方洽商、变更等书面协议或文件均视为本合同组成部分。  </w:t>
      </w:r>
    </w:p>
    <w:p>
      <w:pPr>
        <w:spacing w:before="1" w:line="400" w:lineRule="exact"/>
        <w:ind w:right="3204"/>
        <w:rPr>
          <w:rFonts w:ascii="宋体" w:hAnsi="宋体" w:cs="宋体"/>
          <w:b/>
          <w:sz w:val="24"/>
          <w:szCs w:val="24"/>
        </w:rPr>
      </w:pPr>
      <w:r>
        <w:t>七、项目建设期</w:t>
      </w:r>
    </w:p>
    <w:p>
      <w:pPr>
        <w:spacing w:line="360" w:lineRule="exact"/>
        <w:ind w:firstLine="720" w:firstLineChars="300"/>
        <w:rPr>
          <w:rFonts w:ascii="宋体" w:hAnsi="宋体" w:cs="宋体"/>
          <w:color w:val="000000" w:themeColor="text1"/>
          <w:sz w:val="24"/>
          <w:szCs w:val="24"/>
        </w:rPr>
      </w:pPr>
      <w:r>
        <w:t>项目建设期：    年    月     日前完成终验合格并整体交付使用。</w:t>
      </w:r>
    </w:p>
    <w:p>
      <w:pPr>
        <w:pStyle w:val="25"/>
        <w:spacing w:line="400" w:lineRule="exact"/>
        <w:ind w:right="475"/>
        <w:rPr>
          <w:rFonts w:ascii="宋体" w:hAnsi="宋体" w:cs="宋体"/>
          <w:b/>
          <w:color w:val="000000" w:themeColor="text1"/>
        </w:rPr>
      </w:pPr>
      <w:r>
        <w:t>八、付款方式：</w:t>
      </w:r>
    </w:p>
    <w:p>
      <w:pPr>
        <w:spacing w:before="2" w:line="400" w:lineRule="exact"/>
        <w:ind w:left="231" w:right="220" w:firstLine="420"/>
        <w:rPr>
          <w:rFonts w:ascii="宋体" w:hAnsi="宋体" w:cs="宋体"/>
          <w:color w:val="FF0000"/>
          <w:sz w:val="24"/>
          <w:szCs w:val="24"/>
        </w:rPr>
      </w:pPr>
      <w:r>
        <w:t>服务期内，每个摄像机每月的服务报酬为         元。由甲方根据乙方提供的服务质量进行考核扣款结算后按实支付，每季度支付一次。多镜头摄像机按单个摄像机计算服务报酬。</w:t>
      </w:r>
    </w:p>
    <w:p>
      <w:pPr>
        <w:pStyle w:val="25"/>
        <w:spacing w:line="400" w:lineRule="exact"/>
        <w:ind w:right="475"/>
        <w:rPr>
          <w:rFonts w:ascii="宋体" w:hAnsi="宋体" w:cs="宋体"/>
          <w:b/>
        </w:rPr>
      </w:pPr>
      <w:r>
        <w:t>九、税</w:t>
      </w:r>
    </w:p>
    <w:p>
      <w:pPr>
        <w:spacing w:before="2" w:line="400" w:lineRule="exact"/>
        <w:ind w:left="231" w:right="2490" w:firstLine="420"/>
        <w:rPr>
          <w:rFonts w:ascii="宋体" w:hAnsi="宋体" w:cs="宋体"/>
          <w:sz w:val="24"/>
          <w:szCs w:val="24"/>
        </w:rPr>
      </w:pPr>
      <w:r>
        <w:t xml:space="preserve"> 本合同执行中相关的一切税费均由乙方承担。</w:t>
      </w:r>
    </w:p>
    <w:p>
      <w:pPr>
        <w:spacing w:before="2" w:line="400" w:lineRule="exact"/>
        <w:ind w:right="4147"/>
        <w:rPr>
          <w:rFonts w:ascii="宋体" w:hAnsi="宋体" w:cs="宋体"/>
          <w:b/>
          <w:sz w:val="24"/>
          <w:szCs w:val="24"/>
        </w:rPr>
      </w:pPr>
      <w:r>
        <w:t>十、质量保证、维修维护服务、技术服务及培训</w:t>
      </w:r>
    </w:p>
    <w:p>
      <w:pPr>
        <w:pStyle w:val="25"/>
        <w:spacing w:line="400" w:lineRule="exact"/>
        <w:ind w:left="231" w:right="475" w:firstLine="420"/>
        <w:rPr>
          <w:rFonts w:ascii="宋体" w:hAnsi="宋体" w:cs="宋体"/>
        </w:rPr>
      </w:pPr>
      <w:r>
        <w:t>1.系统服务要求：乙方在温岭市内设服务网点，设立专门的办公场所，服务期内须提供常设24小时热线服务和长期的免费技术支持，并确定专人联系，提供不间断的服务直到服务期满。当系统出现一般性故障，接到维修通知后，非城区范围4小时到现场，如遇重、特大事故需紧急抢修的，特殊处理。维护结束恢复正常后须由甲方书面确认，维护维修记录应当做记录（一式两份）。除战争、海啸和地震等不可抗力外的，若乙方在同一摄像机故障修复时间超过24小时的，每个摄像机每延迟一天（以运维平台的故障修复时间为准）扣40元，不足一天作一天计算。对同一个摄像机，出现连续故障的，就高计算，不重复扣款。双方建立协商制度，加强日常情况沟通，及时处理影响通信质量的问题。</w:t>
      </w:r>
    </w:p>
    <w:p>
      <w:pPr>
        <w:pStyle w:val="25"/>
        <w:spacing w:line="400" w:lineRule="exact"/>
        <w:ind w:left="231" w:right="475" w:firstLine="420"/>
        <w:rPr>
          <w:rFonts w:ascii="宋体" w:hAnsi="宋体" w:cs="宋体"/>
        </w:rPr>
      </w:pPr>
      <w:r>
        <w:t>1.1摄像机故障：黑屏、白屏、彩屏、抖动、彩条、干扰、过曝、偏色、噪声、遮挡、丢帧、卡顿、字幕不规范、镜头脏、画面冻结、对比度异常、清晰度异常、亮度异常、不在线、无视频信号、连接超时、校时不准确、视频标注不规范、命名错误、经纬度错误、无录像、录像丢失、录像无法下载、录像无法回放、录像下载时间不一致、录像保存时长不足、图片保存时长不足、数据保存时长不足、抓拍功能异常、抓拍图片上传延时、录像上传延时、不能操控、操控不灵、预置位错误、无法设置预置位、补光异常、机箱故障、云台控制失效等。其中录像保存时长、图片保存时长、数据保存时长不足的，不足天数按每个摄像机40元/天扣款。</w:t>
      </w:r>
    </w:p>
    <w:p>
      <w:pPr>
        <w:pStyle w:val="25"/>
        <w:spacing w:line="400" w:lineRule="exact"/>
        <w:ind w:left="231" w:right="475" w:firstLine="420"/>
        <w:rPr>
          <w:rFonts w:ascii="宋体" w:hAnsi="宋体" w:cs="宋体"/>
        </w:rPr>
      </w:pPr>
      <w:r>
        <w:t>1.2 其他故障：电脑、交换机、操控键盘、其他设备等故障修复时间超过24小时的，当月单个设备每延迟一天（以运维平台的故障修复时间为准）扣40元，不足一天作一天计算。乙方需无条件配合甲方完成日常性的点位治理工作，点位治理质量不符合要求的摄像机、杆件和补光设备等，一律按每个摄像机40元/天扣款。不配合甲方开展点位治理、视频打标或其他交办工作的，按5000元一次进行扣款。</w:t>
      </w:r>
    </w:p>
    <w:p>
      <w:pPr>
        <w:pStyle w:val="25"/>
        <w:spacing w:line="400" w:lineRule="exact"/>
        <w:ind w:left="231" w:right="475" w:firstLine="420"/>
        <w:rPr>
          <w:rFonts w:ascii="宋体" w:hAnsi="宋体" w:cs="宋体"/>
        </w:rPr>
      </w:pPr>
      <w:r>
        <w:t>2. 挂起：因战争、海啸和地震以及其它经双方同意属于不可抗力的事故和市政规划原因引起的故障，经甲方同意后应故障挂起，故障修复期间服务费按天（每月按30天计算）减半收取，不足一天作一天计算。</w:t>
      </w:r>
    </w:p>
    <w:p>
      <w:pPr>
        <w:pStyle w:val="25"/>
        <w:spacing w:line="400" w:lineRule="exact"/>
        <w:ind w:left="231" w:right="475" w:firstLine="420"/>
      </w:pPr>
      <w:r>
        <w:t>3. 存储故障：因存储单元故障导致录像停录超过1小时的，每次扣款100元，超过24小时未修复的，加扣2000元/天，不足一天作一天计算。因乙方原因造成数据被批量删除、失密事件等较大事故的，每次扣款5000元；出现存储数据全部丢失无法还原的特大事故的，每次扣款10000元，超过24小时未修复的，再按3000元/天扣款，不足一天作一天计算，并可追究乙方一定的经济赔偿责任。</w:t>
      </w:r>
    </w:p>
    <w:p>
      <w:pPr>
        <w:spacing w:before="2" w:line="400" w:lineRule="exact"/>
        <w:ind w:right="4147"/>
        <w:rPr>
          <w:rFonts w:ascii="宋体" w:hAnsi="宋体" w:cs="宋体"/>
          <w:b/>
          <w:sz w:val="24"/>
          <w:szCs w:val="24"/>
        </w:rPr>
      </w:pPr>
      <w:r>
        <w:t>十一、违约责任</w:t>
      </w:r>
    </w:p>
    <w:p>
      <w:pPr>
        <w:pStyle w:val="25"/>
        <w:spacing w:line="400" w:lineRule="exact"/>
        <w:ind w:left="231" w:right="475" w:firstLine="420"/>
        <w:rPr>
          <w:rFonts w:ascii="宋体" w:hAnsi="宋体" w:cs="宋体"/>
        </w:rPr>
      </w:pPr>
      <w:r>
        <w:t>1.产品质量违约责任</w:t>
      </w:r>
    </w:p>
    <w:p>
      <w:pPr>
        <w:pStyle w:val="25"/>
        <w:spacing w:line="400" w:lineRule="exact"/>
        <w:ind w:left="231" w:right="475" w:firstLine="420"/>
        <w:rPr>
          <w:rFonts w:ascii="宋体" w:hAnsi="宋体" w:cs="宋体"/>
        </w:rPr>
      </w:pPr>
      <w:r>
        <w:t>1.1项目质量必须达到合格，凡安装调试、设备试运行过程、权威机构检测中发现的设备质量问题，乙方必须无偿修复至符合质量要求，修复达不到承诺要求的更换新机。乙方承担返工所发生的一切费用和甲方的直接经济损失。乙方在接到甲方通知后，及时派人赴现场处理设备质量问题。</w:t>
      </w:r>
    </w:p>
    <w:p>
      <w:pPr>
        <w:pStyle w:val="25"/>
        <w:spacing w:line="400" w:lineRule="exact"/>
        <w:ind w:left="231" w:right="475" w:firstLine="420"/>
        <w:rPr>
          <w:rFonts w:ascii="宋体" w:hAnsi="宋体" w:cs="宋体"/>
        </w:rPr>
      </w:pPr>
      <w:r>
        <w:t>2.违约赔偿</w:t>
      </w:r>
    </w:p>
    <w:p>
      <w:pPr>
        <w:pStyle w:val="25"/>
        <w:spacing w:line="400" w:lineRule="exact"/>
        <w:ind w:left="231" w:right="475" w:firstLine="420"/>
        <w:rPr>
          <w:rFonts w:ascii="宋体" w:hAnsi="宋体" w:cs="宋体"/>
        </w:rPr>
      </w:pPr>
      <w:r>
        <w:t>2.1除不可抗力和甲方同意的情况外，乙方发生不能按期完成施工任务，则按下列规定支付违约金。违约金从服务费中扣除。</w:t>
      </w:r>
    </w:p>
    <w:p>
      <w:pPr>
        <w:pStyle w:val="25"/>
        <w:spacing w:line="400" w:lineRule="exact"/>
        <w:ind w:left="231" w:right="475" w:firstLine="420"/>
        <w:rPr>
          <w:rFonts w:ascii="宋体" w:hAnsi="宋体" w:cs="宋体"/>
        </w:rPr>
      </w:pPr>
      <w:r>
        <w:t>2.1.1逾期开工、完工</w:t>
      </w:r>
    </w:p>
    <w:p>
      <w:pPr>
        <w:pStyle w:val="25"/>
        <w:spacing w:line="400" w:lineRule="exact"/>
        <w:ind w:left="231" w:right="475" w:firstLine="420"/>
        <w:rPr>
          <w:rFonts w:ascii="宋体" w:hAnsi="宋体" w:cs="宋体"/>
        </w:rPr>
      </w:pPr>
      <w:r>
        <w:t>乙方应保证其投资资金按承诺的建设进度计划及时到位，并按承诺的建设进度计划要求，准时投入运行。因乙方原因延误开工的，乙方应向甲方按2000元/天支付违约金，在服务费中扣除。若开工日期延误超过2个月的，甲方有权终止合同，损失由乙方承担。若乙方未能按规定的时间完工并通过验收，乙方应向甲方按1000元/天支付违约金，在服务费中扣除。若工期完工时间延误超过3个月的，甲方有权终止合同，损失由乙方自负。</w:t>
      </w:r>
    </w:p>
    <w:p>
      <w:pPr>
        <w:pStyle w:val="25"/>
        <w:spacing w:line="400" w:lineRule="exact"/>
        <w:ind w:left="231" w:right="475" w:firstLine="420"/>
        <w:rPr>
          <w:rFonts w:ascii="宋体" w:hAnsi="宋体" w:cs="宋体"/>
        </w:rPr>
      </w:pPr>
      <w:r>
        <w:t>2.1.2乙方无法终验或甲方中途毁约</w:t>
      </w:r>
    </w:p>
    <w:p>
      <w:pPr>
        <w:pStyle w:val="25"/>
        <w:spacing w:line="400" w:lineRule="exact"/>
        <w:ind w:left="231" w:right="475" w:firstLine="420"/>
        <w:rPr>
          <w:rFonts w:ascii="宋体" w:hAnsi="宋体" w:cs="宋体"/>
        </w:rPr>
      </w:pPr>
      <w:r>
        <w:t>2.1.2.1因乙方原因无法通过终验的，乙方应向甲方支付合同总价5%的违约金；</w:t>
      </w:r>
    </w:p>
    <w:p>
      <w:pPr>
        <w:pStyle w:val="25"/>
        <w:spacing w:line="400" w:lineRule="exact"/>
        <w:ind w:left="231" w:right="475" w:firstLine="420"/>
        <w:rPr>
          <w:rFonts w:ascii="宋体" w:hAnsi="宋体" w:cs="宋体"/>
        </w:rPr>
      </w:pPr>
      <w:r>
        <w:t>2.1.2.2甲方中途毁约的应向乙方支付合同总价5%的违约金。</w:t>
      </w:r>
    </w:p>
    <w:p>
      <w:pPr>
        <w:pStyle w:val="25"/>
        <w:spacing w:line="400" w:lineRule="exact"/>
        <w:ind w:left="231" w:right="475" w:firstLine="420"/>
        <w:rPr>
          <w:rFonts w:ascii="宋体" w:hAnsi="宋体" w:cs="宋体"/>
        </w:rPr>
      </w:pPr>
      <w:r>
        <w:t>3. 材料、设备到货检查及报验制度不规范：材料、设备到货后必须先由技术负责人进行自检，签证自检确认书后报监理单位验收，在监理验收时必须提供设备清单、自检确认书及相关质量证明文件（合格证、检测报告、进口设备报关单、入网许可证等），否则监理有权拒绝验收，相关材料、设备不得进场，造成的后果由乙方承担。</w:t>
      </w:r>
    </w:p>
    <w:p>
      <w:pPr>
        <w:pStyle w:val="25"/>
        <w:spacing w:line="400" w:lineRule="exact"/>
        <w:ind w:left="231" w:right="475" w:firstLine="420"/>
        <w:rPr>
          <w:rFonts w:ascii="宋体" w:hAnsi="宋体" w:cs="宋体"/>
        </w:rPr>
      </w:pPr>
      <w:r>
        <w:t>4. 经双方协商同意延期完工和经双方友好协商同意调整项目范围且无违约的不在此例。</w:t>
      </w:r>
    </w:p>
    <w:p>
      <w:pPr>
        <w:pStyle w:val="25"/>
        <w:spacing w:line="400" w:lineRule="exact"/>
        <w:ind w:left="231" w:right="475" w:firstLine="420"/>
        <w:rPr>
          <w:rFonts w:ascii="宋体" w:hAnsi="宋体" w:cs="宋体"/>
        </w:rPr>
      </w:pPr>
      <w:r>
        <w:t>5. 若乙方采用分包形式，对内承担各自所负的责任和风险，并对外承担连带责任。在服务期内发生的一切质量或服务问题，乙方负主要责任。</w:t>
      </w:r>
    </w:p>
    <w:p>
      <w:pPr>
        <w:spacing w:before="2" w:line="400" w:lineRule="exact"/>
        <w:ind w:right="4147"/>
        <w:rPr>
          <w:rFonts w:ascii="宋体" w:hAnsi="宋体" w:cs="宋体"/>
          <w:b/>
          <w:sz w:val="24"/>
          <w:szCs w:val="24"/>
        </w:rPr>
      </w:pPr>
      <w:r>
        <w:t>十二、终止合同</w:t>
      </w:r>
    </w:p>
    <w:p>
      <w:pPr>
        <w:pStyle w:val="25"/>
        <w:spacing w:line="400" w:lineRule="exact"/>
        <w:ind w:left="231" w:right="475" w:firstLine="420"/>
        <w:rPr>
          <w:rFonts w:ascii="宋体" w:hAnsi="宋体" w:cs="宋体"/>
        </w:rPr>
      </w:pPr>
      <w:r>
        <w:t>甲方在乙方存在如下违约情况时，有权考虑并提出终止合同。</w:t>
      </w:r>
    </w:p>
    <w:p>
      <w:pPr>
        <w:pStyle w:val="25"/>
        <w:spacing w:line="400" w:lineRule="exact"/>
        <w:ind w:left="231" w:right="475" w:firstLine="420"/>
        <w:rPr>
          <w:rFonts w:ascii="宋体" w:hAnsi="宋体" w:cs="宋体"/>
        </w:rPr>
      </w:pPr>
      <w:r>
        <w:t>1.乙方未能在合同规定期限或甲方同意延长的期限内完成全部或部分施工量。</w:t>
      </w:r>
    </w:p>
    <w:p>
      <w:pPr>
        <w:pStyle w:val="25"/>
        <w:spacing w:line="400" w:lineRule="exact"/>
        <w:ind w:left="231" w:right="475" w:firstLine="420"/>
        <w:rPr>
          <w:rFonts w:ascii="宋体" w:hAnsi="宋体" w:cs="宋体"/>
        </w:rPr>
      </w:pPr>
      <w:r>
        <w:t>2.乙方未能履行合同规定的其他义务。</w:t>
      </w:r>
    </w:p>
    <w:p>
      <w:pPr>
        <w:pStyle w:val="25"/>
        <w:spacing w:line="400" w:lineRule="exact"/>
        <w:ind w:left="231" w:right="475" w:firstLine="420"/>
        <w:rPr>
          <w:rFonts w:ascii="宋体" w:hAnsi="宋体" w:cs="宋体"/>
        </w:rPr>
      </w:pPr>
      <w:r>
        <w:t>3.在发生上述情况后，乙方收到甲方的违约通知后30天内未能纠正其违约。</w:t>
      </w:r>
    </w:p>
    <w:p>
      <w:pPr>
        <w:spacing w:before="2" w:line="400" w:lineRule="exact"/>
        <w:ind w:right="4147"/>
        <w:rPr>
          <w:rFonts w:ascii="宋体" w:hAnsi="宋体" w:cs="宋体"/>
          <w:b/>
          <w:sz w:val="24"/>
          <w:szCs w:val="24"/>
        </w:rPr>
      </w:pPr>
      <w:r>
        <w:t>十三、其他条款</w:t>
      </w:r>
    </w:p>
    <w:p>
      <w:pPr>
        <w:pStyle w:val="25"/>
        <w:spacing w:line="400" w:lineRule="exact"/>
        <w:ind w:left="231" w:right="475" w:firstLine="420"/>
        <w:rPr>
          <w:rFonts w:ascii="宋体" w:hAnsi="宋体" w:cs="宋体"/>
        </w:rPr>
      </w:pPr>
      <w:r>
        <w:t>1.项目建设由乙方负责投资落实，相关报批手续、项目筹备招标、软硬件采购、道路、山体和绿化复原等由乙方按照国家有关规定组织实施，甲方配合乙方办理相关手续。</w:t>
      </w:r>
    </w:p>
    <w:p>
      <w:pPr>
        <w:pStyle w:val="25"/>
        <w:spacing w:line="400" w:lineRule="exact"/>
        <w:ind w:left="231" w:right="475" w:firstLine="420"/>
        <w:rPr>
          <w:rFonts w:ascii="宋体" w:hAnsi="宋体" w:cs="宋体"/>
        </w:rPr>
      </w:pPr>
      <w:r>
        <w:t xml:space="preserve">2.服务期限满后，乙方继续提供服务的，全部设备需委托中介机构重新进行评估价值，服务费单价不得高于本期的服务费单价，具体由双方另行协商。 </w:t>
      </w:r>
    </w:p>
    <w:p>
      <w:pPr>
        <w:pStyle w:val="25"/>
        <w:spacing w:line="400" w:lineRule="exact"/>
        <w:ind w:left="231" w:right="475" w:firstLine="420"/>
        <w:rPr>
          <w:rFonts w:ascii="宋体" w:hAnsi="宋体" w:cs="宋体"/>
        </w:rPr>
      </w:pPr>
      <w:r>
        <w:t>3.摄像机数量发生增减，服务费用按实际摄像机数及乙方承诺的每个摄像机的服务单价进行结算。</w:t>
      </w:r>
    </w:p>
    <w:p>
      <w:pPr>
        <w:pStyle w:val="25"/>
        <w:spacing w:line="400" w:lineRule="exact"/>
        <w:ind w:left="231" w:right="475" w:firstLine="420"/>
        <w:rPr>
          <w:rFonts w:ascii="宋体" w:hAnsi="宋体" w:cs="宋体"/>
        </w:rPr>
      </w:pPr>
      <w:r>
        <w:t>4.项目建设期限内如甲方根据实际情况在不增加摄像机数量的前提下需调整在建、已建或未建的监控摄像机点位的，乙方须予以调整，相关费用不予计取。</w:t>
      </w:r>
    </w:p>
    <w:p>
      <w:pPr>
        <w:pStyle w:val="25"/>
        <w:spacing w:line="400" w:lineRule="exact"/>
        <w:ind w:left="231" w:right="475" w:firstLine="420"/>
        <w:rPr>
          <w:rFonts w:ascii="宋体" w:hAnsi="宋体" w:cs="宋体"/>
        </w:rPr>
      </w:pPr>
      <w:r>
        <w:t>5.服务期内如甲方根据实际情况需将监控摄像机进行移机，乙方应予以配合；服务期内乙方每年须提供30个摄像机的免费移机，若每年移机数量超出30个摄像机的，超出部分的所有移机费用（含新增设备）都按2000元每个点位结算。当年未完成移机数的，免费移机数量逐年累加。</w:t>
      </w:r>
    </w:p>
    <w:p>
      <w:pPr>
        <w:pStyle w:val="25"/>
        <w:spacing w:line="400" w:lineRule="exact"/>
        <w:ind w:left="231" w:right="475" w:firstLine="420"/>
        <w:rPr>
          <w:rFonts w:ascii="宋体" w:hAnsi="宋体" w:cs="宋体"/>
        </w:rPr>
      </w:pPr>
      <w:r>
        <w:t>6.服务期限内，设备故障无法修复且设备生产商停产或停用的，乙方应提供不低于原设备技术要求和档次的原厂产品（优先选择）或兼容产品。</w:t>
      </w:r>
    </w:p>
    <w:p>
      <w:pPr>
        <w:pStyle w:val="25"/>
        <w:spacing w:line="400" w:lineRule="exact"/>
        <w:ind w:left="231" w:right="475" w:firstLine="420"/>
        <w:rPr>
          <w:rFonts w:ascii="宋体" w:hAnsi="宋体" w:cs="宋体"/>
        </w:rPr>
      </w:pPr>
      <w:r>
        <w:t>7.乙方应根据自身投标产品特性需要进行杆件规格设计，在项目实施过程中进行调整。如甲方根据实际情况可调整具体点位的监控摄像机种类、镜头种类、灯种类或安装杆件类型，乙方应予以配合。</w:t>
      </w:r>
    </w:p>
    <w:p>
      <w:pPr>
        <w:pStyle w:val="25"/>
        <w:spacing w:line="400" w:lineRule="exact"/>
        <w:ind w:left="231" w:right="475" w:firstLine="420"/>
        <w:rPr>
          <w:rFonts w:ascii="宋体" w:hAnsi="宋体" w:cs="宋体"/>
        </w:rPr>
      </w:pPr>
      <w:r>
        <w:t>8.项目服务期间，若乙方提供的监控摄像机等设备无法满足实际需求或实际效果有较大落差的，经甲方要求更换的，乙方应予以配合。</w:t>
      </w:r>
    </w:p>
    <w:p>
      <w:pPr>
        <w:pStyle w:val="25"/>
        <w:spacing w:line="400" w:lineRule="exact"/>
        <w:ind w:left="231" w:right="475" w:firstLine="420"/>
        <w:rPr>
          <w:rFonts w:ascii="宋体" w:hAnsi="宋体" w:cs="宋体"/>
        </w:rPr>
      </w:pPr>
      <w:r>
        <w:t>9.服务期内，甲方可根据业务需求调整网络VPN及使用目的，乙方应予以配合，且费用不予调整。</w:t>
      </w:r>
    </w:p>
    <w:p>
      <w:pPr>
        <w:pStyle w:val="25"/>
        <w:spacing w:line="400" w:lineRule="exact"/>
        <w:ind w:left="231" w:right="475" w:firstLine="420"/>
        <w:rPr>
          <w:rFonts w:ascii="宋体" w:hAnsi="宋体" w:cs="宋体"/>
        </w:rPr>
      </w:pPr>
      <w:r>
        <w:t>10.服务期内，因乙方硬件或平台功能投入不足，导致包括但不限于视频录像、图像、数据等存储时长不足的或系统资源不足影响平台正常使用的，乙方应增加存储、服务器、平台功能等予以解决，相关费用包含在总报价中。</w:t>
      </w:r>
    </w:p>
    <w:p>
      <w:pPr>
        <w:pStyle w:val="25"/>
        <w:spacing w:line="400" w:lineRule="exact"/>
        <w:ind w:left="231" w:right="475" w:firstLine="420"/>
        <w:rPr>
          <w:rFonts w:ascii="宋体" w:hAnsi="宋体" w:cs="宋体"/>
        </w:rPr>
      </w:pPr>
      <w:r>
        <w:t>11.服务期间发生的变更，其费用不予调整，服务费用单价不作调整。</w:t>
      </w:r>
    </w:p>
    <w:p>
      <w:pPr>
        <w:pStyle w:val="25"/>
        <w:spacing w:line="400" w:lineRule="exact"/>
        <w:ind w:left="231" w:right="475" w:firstLine="420"/>
        <w:rPr>
          <w:rFonts w:ascii="宋体" w:hAnsi="宋体" w:cs="宋体"/>
        </w:rPr>
      </w:pPr>
      <w:r>
        <w:t>12.服务期内因乙方违约产生的违约金，甲方将在服务费中予以扣除。</w:t>
      </w:r>
    </w:p>
    <w:p>
      <w:pPr>
        <w:pStyle w:val="25"/>
        <w:spacing w:line="400" w:lineRule="exact"/>
        <w:ind w:left="231" w:right="475" w:firstLine="420"/>
        <w:rPr>
          <w:rFonts w:ascii="宋体" w:hAnsi="宋体" w:cs="宋体"/>
        </w:rPr>
      </w:pPr>
      <w:r>
        <w:t>13.乙方须按照市发改局、市统计局等有关要求完成相关审批手续，甲方予以配合，由此所产生的相关审批费用由乙方承担，甲方不予另行支付。</w:t>
      </w:r>
    </w:p>
    <w:p>
      <w:pPr>
        <w:pStyle w:val="25"/>
        <w:spacing w:line="400" w:lineRule="exact"/>
        <w:ind w:left="231" w:right="475" w:firstLine="420"/>
        <w:rPr>
          <w:rFonts w:ascii="宋体" w:hAnsi="宋体" w:cs="宋体"/>
        </w:rPr>
      </w:pPr>
      <w:r>
        <w:t>14.本项目建设过程中涉及到借杆、取电、道路和绿化开挖等，乙方需在项目建设前一次性将施工点位报温岭市各部门、市交通运输局、市供电局等单位备案，甲方予以配合。项目建设期间，乙方须根据市供电局的相关规定和要求在前端点位安装电表。</w:t>
      </w:r>
    </w:p>
    <w:p>
      <w:pPr>
        <w:pStyle w:val="25"/>
        <w:spacing w:line="400" w:lineRule="exact"/>
        <w:ind w:left="231" w:right="475" w:firstLine="420"/>
        <w:rPr>
          <w:rFonts w:ascii="宋体" w:hAnsi="宋体" w:cs="宋体"/>
        </w:rPr>
      </w:pPr>
      <w:r>
        <w:t>15.本项目购买服务期限为三年。服务期外，甲方可以继续使用本项目所有设备，所需视频图像服务、网络传输服务、系统运行和维护服务由温岭市公安局另行采购。项目内软件在硬件满足运行条件情况下永久使用，不得设置时效限制。根据实际需要乙方无条件配合甲方拆除前端杆件（含基础）、设备等，费用含在总报价中。所有软件应与温岭市公安局、温岭市各需求部门（综合行政执法局、应急管理局、住建局、农业农村和水利局、自然资源和规划局等）、温岭市大数据发展中心相关系统平台实现有效对接，费用含在总报价中。本项目涉及抓拍数据到数据域的，相关机房托管费用包含在总价中。</w:t>
      </w:r>
    </w:p>
    <w:p>
      <w:pPr>
        <w:pStyle w:val="25"/>
        <w:spacing w:line="400" w:lineRule="exact"/>
        <w:ind w:left="231" w:right="475" w:firstLine="420"/>
      </w:pPr>
      <w:r>
        <w:t>16.本项目信息系统应根据实际情况添加相应的软硬件以保障整体设备及网络安全符合要求，并在终验之前完成第三方检测，以及完成公共视频网和视频专网的二级等保测评工作。</w:t>
      </w:r>
    </w:p>
    <w:p>
      <w:pPr>
        <w:pStyle w:val="5"/>
        <w:spacing w:before="5" w:line="400" w:lineRule="exact"/>
        <w:rPr>
          <w:rFonts w:ascii="宋体" w:hAnsi="宋体" w:cs="宋体"/>
          <w:sz w:val="24"/>
          <w:szCs w:val="24"/>
        </w:rPr>
      </w:pPr>
      <w:r>
        <w:t>十四、不可抗力事件处理</w:t>
      </w:r>
    </w:p>
    <w:p>
      <w:pPr>
        <w:pStyle w:val="25"/>
        <w:spacing w:line="400" w:lineRule="exact"/>
        <w:ind w:left="231" w:right="475" w:firstLine="420"/>
        <w:rPr>
          <w:rFonts w:ascii="宋体" w:hAnsi="宋体" w:cs="宋体"/>
        </w:rPr>
      </w:pPr>
      <w:r>
        <w:t>1.在合同有效期内，任何一方因不可抗力事件导致不能履行合同，则合同履行期可延长，其延长期与不可抗力影响期相同。</w:t>
      </w:r>
    </w:p>
    <w:p>
      <w:pPr>
        <w:pStyle w:val="25"/>
        <w:spacing w:line="400" w:lineRule="exact"/>
        <w:ind w:left="231" w:right="475" w:firstLine="420"/>
        <w:rPr>
          <w:rFonts w:ascii="宋体" w:hAnsi="宋体" w:cs="宋体"/>
        </w:rPr>
      </w:pPr>
      <w:r>
        <w:t>2.不可抗力事件发生后，应立即通知对方，并寄送有关权威机构出具的证明。</w:t>
      </w:r>
    </w:p>
    <w:p>
      <w:pPr>
        <w:pStyle w:val="25"/>
        <w:spacing w:line="400" w:lineRule="exact"/>
        <w:ind w:left="231" w:right="475" w:firstLine="420"/>
        <w:rPr>
          <w:rFonts w:ascii="宋体" w:hAnsi="宋体" w:cs="宋体"/>
        </w:rPr>
      </w:pPr>
      <w:r>
        <w:t>3.不可抗力事件延续60天以上，双方应通过友好协商，确定是否继续履行合同。</w:t>
      </w:r>
    </w:p>
    <w:p>
      <w:pPr>
        <w:pStyle w:val="25"/>
        <w:spacing w:line="400" w:lineRule="exact"/>
        <w:ind w:right="475"/>
        <w:rPr>
          <w:rFonts w:ascii="宋体" w:hAnsi="宋体" w:cs="宋体"/>
          <w:b/>
        </w:rPr>
      </w:pPr>
      <w:r>
        <w:t>十五、诉讼</w:t>
      </w:r>
    </w:p>
    <w:p>
      <w:pPr>
        <w:pStyle w:val="25"/>
        <w:spacing w:before="2" w:line="400" w:lineRule="exact"/>
        <w:ind w:left="231" w:right="451" w:firstLine="420"/>
        <w:rPr>
          <w:rFonts w:ascii="宋体" w:hAnsi="宋体" w:cs="宋体"/>
        </w:rPr>
      </w:pPr>
      <w:r>
        <w:t>双方在执行合同中所发生的一切争议，应通过协商解决。如协商不成，可向合同签订地法院起诉，合同签订地在此约定为温岭市。</w:t>
      </w:r>
    </w:p>
    <w:p>
      <w:pPr>
        <w:pStyle w:val="5"/>
        <w:spacing w:before="2" w:line="400" w:lineRule="exact"/>
        <w:rPr>
          <w:rFonts w:ascii="宋体" w:hAnsi="宋体" w:cs="宋体"/>
          <w:sz w:val="24"/>
          <w:szCs w:val="24"/>
        </w:rPr>
      </w:pPr>
      <w:r>
        <w:t>十六、合同生效及其它</w:t>
      </w:r>
    </w:p>
    <w:p>
      <w:pPr>
        <w:pStyle w:val="25"/>
        <w:spacing w:before="2" w:line="400" w:lineRule="exact"/>
        <w:ind w:left="231" w:right="451" w:firstLine="420"/>
        <w:rPr>
          <w:rFonts w:ascii="宋体" w:hAnsi="宋体" w:cs="宋体"/>
          <w:spacing w:val="-9"/>
        </w:rPr>
      </w:pPr>
      <w:r>
        <w:t>1.合同经双方法定代表人或授权委托代理人签字并加盖单位公章后生效。</w:t>
      </w:r>
    </w:p>
    <w:p>
      <w:pPr>
        <w:pStyle w:val="25"/>
        <w:spacing w:before="2" w:line="400" w:lineRule="exact"/>
        <w:ind w:left="231" w:right="451" w:firstLine="420"/>
        <w:rPr>
          <w:rFonts w:ascii="宋体" w:hAnsi="宋体" w:cs="宋体"/>
          <w:spacing w:val="-9"/>
        </w:rPr>
      </w:pPr>
      <w:r>
        <w:t>2.本合同未尽事宜，遵照《民法典》有关条文执行。</w:t>
      </w:r>
    </w:p>
    <w:p>
      <w:pPr>
        <w:pStyle w:val="25"/>
        <w:spacing w:before="2" w:line="400" w:lineRule="exact"/>
        <w:ind w:left="231" w:right="-274" w:firstLine="420"/>
        <w:rPr>
          <w:rFonts w:ascii="宋体" w:hAnsi="宋体" w:cs="宋体"/>
        </w:rPr>
      </w:pPr>
      <w:r>
        <w:t>3.本合同正本一式捌份，相关招标文件、投标文件与本合同具有同等法律效力，甲乙双方各执叁份，其余送有关部门备案。</w:t>
      </w:r>
    </w:p>
    <w:p>
      <w:pPr>
        <w:spacing w:line="400" w:lineRule="exact"/>
        <w:ind w:right="-42" w:rightChars="-20"/>
        <w:rPr>
          <w:rFonts w:ascii="宋体" w:hAnsi="宋体" w:cs="宋体"/>
          <w:b/>
          <w:bCs/>
          <w:sz w:val="24"/>
        </w:rPr>
      </w:pPr>
      <w:r/>
    </w:p>
    <w:p>
      <w:pPr>
        <w:spacing w:line="400" w:lineRule="exact"/>
        <w:ind w:right="-42" w:rightChars="-20"/>
        <w:rPr>
          <w:rFonts w:ascii="宋体" w:hAnsi="宋体" w:cs="宋体"/>
          <w:b/>
          <w:bCs/>
          <w:sz w:val="24"/>
        </w:rPr>
      </w:pPr>
      <w:r/>
    </w:p>
    <w:p>
      <w:pPr>
        <w:spacing w:line="400" w:lineRule="exact"/>
        <w:ind w:right="-153" w:rightChars="-73" w:firstLine="480" w:firstLineChars="200"/>
        <w:rPr>
          <w:rFonts w:ascii="宋体" w:hAnsi="宋体" w:cs="宋体"/>
          <w:sz w:val="24"/>
        </w:rPr>
      </w:pPr>
      <w:r/>
    </w:p>
    <w:p>
      <w:pPr>
        <w:spacing w:line="400" w:lineRule="exact"/>
        <w:ind w:right="-153" w:rightChars="-73" w:firstLine="480" w:firstLineChars="200"/>
        <w:rPr>
          <w:rFonts w:ascii="宋体" w:hAnsi="宋体" w:cs="宋体"/>
          <w:sz w:val="24"/>
        </w:rPr>
      </w:pPr>
      <w:r>
        <w:t xml:space="preserve">甲方（公章）:                              乙方（公章）：   </w:t>
      </w:r>
    </w:p>
    <w:p>
      <w:pPr>
        <w:spacing w:line="400" w:lineRule="exact"/>
        <w:ind w:right="-153" w:rightChars="-73" w:firstLine="480" w:firstLineChars="200"/>
        <w:rPr>
          <w:rFonts w:ascii="宋体" w:hAnsi="宋体" w:cs="宋体"/>
          <w:sz w:val="24"/>
        </w:rPr>
      </w:pPr>
      <w:r>
        <w:t xml:space="preserve">          </w:t>
      </w:r>
    </w:p>
    <w:p>
      <w:pPr>
        <w:spacing w:line="400" w:lineRule="exact"/>
        <w:ind w:right="-153" w:rightChars="-73" w:firstLine="480" w:firstLineChars="200"/>
        <w:rPr>
          <w:rFonts w:ascii="宋体" w:hAnsi="宋体" w:cs="宋体"/>
          <w:sz w:val="24"/>
        </w:rPr>
      </w:pPr>
      <w:r>
        <w:t>法定代表人（签字）：                       法定代表人（签字）：</w:t>
      </w:r>
    </w:p>
    <w:p>
      <w:pPr>
        <w:spacing w:line="400" w:lineRule="exact"/>
        <w:ind w:right="-153" w:rightChars="-73" w:firstLine="480" w:firstLineChars="200"/>
        <w:rPr>
          <w:rFonts w:ascii="宋体" w:hAnsi="宋体" w:cs="宋体"/>
          <w:sz w:val="24"/>
        </w:rPr>
      </w:pPr>
      <w:r>
        <w:t>或委托代理人（签字）：                     或委托代理人（签字）：</w:t>
      </w:r>
    </w:p>
    <w:p>
      <w:pPr>
        <w:spacing w:line="400" w:lineRule="exact"/>
        <w:ind w:right="-153" w:rightChars="-73" w:firstLine="480" w:firstLineChars="200"/>
        <w:rPr>
          <w:rFonts w:ascii="宋体" w:hAnsi="宋体" w:cs="宋体"/>
          <w:sz w:val="24"/>
        </w:rPr>
      </w:pPr>
      <w:r>
        <w:t>地址：                                     地址：</w:t>
      </w:r>
    </w:p>
    <w:p>
      <w:pPr>
        <w:spacing w:line="400" w:lineRule="exact"/>
        <w:ind w:right="-153" w:rightChars="-73" w:firstLine="480" w:firstLineChars="200"/>
        <w:rPr>
          <w:rFonts w:ascii="宋体" w:hAnsi="宋体" w:cs="宋体"/>
          <w:sz w:val="24"/>
        </w:rPr>
      </w:pPr>
      <w:r>
        <w:t>电话：                                     电话：</w:t>
      </w:r>
    </w:p>
    <w:p>
      <w:pPr>
        <w:spacing w:line="400" w:lineRule="exact"/>
        <w:ind w:right="-153" w:rightChars="-73" w:firstLine="480" w:firstLineChars="200"/>
        <w:rPr>
          <w:rFonts w:ascii="宋体" w:hAnsi="宋体" w:cs="宋体"/>
          <w:sz w:val="24"/>
        </w:rPr>
      </w:pPr>
      <w:r>
        <w:t>开户银行：                                 开户银行：</w:t>
      </w:r>
    </w:p>
    <w:p>
      <w:pPr>
        <w:spacing w:line="400" w:lineRule="exact"/>
        <w:ind w:right="-153" w:rightChars="-73" w:firstLine="480" w:firstLineChars="200"/>
        <w:rPr>
          <w:rFonts w:ascii="宋体" w:hAnsi="宋体" w:cs="宋体"/>
          <w:sz w:val="24"/>
        </w:rPr>
      </w:pPr>
      <w:r>
        <w:t>账号：                                     账号：</w:t>
      </w:r>
    </w:p>
    <w:p>
      <w:pPr>
        <w:spacing w:line="400" w:lineRule="exact"/>
        <w:ind w:right="-153" w:rightChars="-73" w:firstLine="480" w:firstLineChars="200"/>
        <w:rPr>
          <w:rFonts w:ascii="宋体" w:hAnsi="宋体" w:cs="宋体"/>
          <w:sz w:val="24"/>
        </w:rPr>
      </w:pPr>
      <w:r>
        <w:t xml:space="preserve">签约时间：      年  月   日                签约地址：  </w:t>
      </w:r>
    </w:p>
    <w:p>
      <w:pPr>
        <w:widowControl/>
        <w:jc w:val="left"/>
        <w:rPr>
          <w:rFonts w:ascii="宋体" w:cs="宋体"/>
          <w:b/>
          <w:bCs/>
          <w:color w:val="000000" w:themeColor="text1"/>
          <w:sz w:val="36"/>
          <w:szCs w:val="36"/>
        </w:rPr>
      </w:pPr>
      <w:r/>
    </w:p>
    <w:p>
      <w:pPr>
        <w:spacing w:line="360" w:lineRule="auto"/>
        <w:jc w:val="center"/>
        <w:outlineLvl w:val="0"/>
        <w:rPr>
          <w:rFonts w:ascii="宋体" w:cs="宋体"/>
          <w:b/>
          <w:bCs/>
          <w:color w:val="000000" w:themeColor="text1"/>
          <w:sz w:val="36"/>
          <w:szCs w:val="36"/>
        </w:rPr>
      </w:pPr>
      <w:r>
        <w:t>第六章 投标文件格式附件</w:t>
      </w:r>
    </w:p>
    <w:p>
      <w:pPr>
        <w:rPr>
          <w:rFonts w:ascii="宋体"/>
          <w:color w:val="000000" w:themeColor="text1"/>
          <w:sz w:val="30"/>
          <w:szCs w:val="30"/>
        </w:rPr>
      </w:pPr>
      <w:r>
        <w:t>附件1</w:t>
      </w:r>
    </w:p>
    <w:p>
      <w:pPr>
        <w:wordWrap w:val="0"/>
        <w:snapToGrid w:val="0"/>
        <w:spacing w:before="120" w:beforeLines="50" w:after="50" w:line="360" w:lineRule="auto"/>
        <w:jc w:val="right"/>
        <w:rPr>
          <w:rFonts w:ascii="仿宋_GB2312" w:hAnsi="宋体" w:eastAsia="仿宋_GB2312"/>
          <w:color w:val="000000" w:themeColor="text1"/>
          <w:sz w:val="30"/>
          <w:szCs w:val="30"/>
        </w:rPr>
      </w:pPr>
      <w:r>
        <w:t xml:space="preserve">　　　                            正本（或副本）</w:t>
      </w:r>
    </w:p>
    <w:p>
      <w:pPr>
        <w:spacing w:line="360" w:lineRule="auto"/>
        <w:ind w:right="-110"/>
        <w:jc w:val="center"/>
        <w:rPr>
          <w:rFonts w:ascii="宋体"/>
          <w:color w:val="000000" w:themeColor="text1"/>
          <w:spacing w:val="40"/>
          <w:sz w:val="52"/>
          <w:szCs w:val="52"/>
          <w:u w:val="single"/>
        </w:rPr>
      </w:pPr>
      <w:r>
        <w:t>项目名称</w:t>
      </w:r>
    </w:p>
    <w:p>
      <w:pPr>
        <w:spacing w:before="240" w:beforeLines="100" w:line="360" w:lineRule="auto"/>
        <w:ind w:right="-108"/>
        <w:jc w:val="center"/>
        <w:rPr>
          <w:rFonts w:ascii="宋体"/>
          <w:color w:val="000000" w:themeColor="text1"/>
          <w:sz w:val="36"/>
          <w:szCs w:val="36"/>
          <w:u w:val="single"/>
        </w:rPr>
      </w:pPr>
      <w:r>
        <w:t>项目编号：</w:t>
      </w:r>
    </w:p>
    <w:p>
      <w:pPr>
        <w:autoSpaceDE w:val="0"/>
        <w:autoSpaceDN w:val="0"/>
        <w:adjustRightInd w:val="0"/>
        <w:spacing w:line="360" w:lineRule="auto"/>
        <w:jc w:val="center"/>
        <w:rPr>
          <w:rFonts w:ascii="宋体"/>
          <w:color w:val="000000" w:themeColor="text1"/>
          <w:sz w:val="84"/>
          <w:szCs w:val="84"/>
          <w:lang w:val="zh-CN"/>
        </w:rPr>
      </w:pPr>
      <w:r>
        <w:t>投</w:t>
      </w:r>
    </w:p>
    <w:p>
      <w:pPr>
        <w:autoSpaceDE w:val="0"/>
        <w:autoSpaceDN w:val="0"/>
        <w:adjustRightInd w:val="0"/>
        <w:spacing w:line="360" w:lineRule="auto"/>
        <w:jc w:val="center"/>
        <w:rPr>
          <w:rFonts w:ascii="宋体"/>
          <w:color w:val="000000" w:themeColor="text1"/>
          <w:sz w:val="84"/>
          <w:szCs w:val="84"/>
          <w:lang w:val="zh-CN"/>
        </w:rPr>
      </w:pPr>
      <w:r>
        <w:t>标</w:t>
      </w:r>
    </w:p>
    <w:p>
      <w:pPr>
        <w:autoSpaceDE w:val="0"/>
        <w:autoSpaceDN w:val="0"/>
        <w:adjustRightInd w:val="0"/>
        <w:spacing w:line="360" w:lineRule="auto"/>
        <w:jc w:val="center"/>
        <w:rPr>
          <w:rFonts w:ascii="宋体"/>
          <w:color w:val="000000" w:themeColor="text1"/>
          <w:sz w:val="84"/>
          <w:szCs w:val="84"/>
        </w:rPr>
      </w:pPr>
      <w:r>
        <w:t>文</w:t>
      </w:r>
    </w:p>
    <w:p>
      <w:pPr>
        <w:spacing w:after="100" w:afterAutospacing="1" w:line="360" w:lineRule="auto"/>
        <w:ind w:right="-108"/>
        <w:jc w:val="center"/>
        <w:rPr>
          <w:rFonts w:ascii="宋体"/>
          <w:color w:val="000000" w:themeColor="text1"/>
          <w:sz w:val="84"/>
          <w:szCs w:val="84"/>
          <w:lang w:val="zh-CN"/>
        </w:rPr>
      </w:pPr>
      <w:r>
        <w:t>件</w:t>
      </w:r>
    </w:p>
    <w:p>
      <w:pPr>
        <w:spacing w:after="100" w:afterAutospacing="1" w:line="360" w:lineRule="auto"/>
        <w:ind w:right="-108"/>
        <w:jc w:val="center"/>
        <w:rPr>
          <w:rFonts w:ascii="宋体"/>
          <w:b/>
          <w:bCs/>
          <w:color w:val="000000" w:themeColor="text1"/>
          <w:spacing w:val="40"/>
          <w:sz w:val="28"/>
          <w:szCs w:val="28"/>
        </w:rPr>
      </w:pPr>
      <w:r>
        <w:t>（资格证明文件）</w:t>
      </w:r>
    </w:p>
    <w:p>
      <w:pPr>
        <w:spacing w:line="360" w:lineRule="auto"/>
        <w:ind w:right="532" w:firstLine="720" w:firstLineChars="200"/>
        <w:rPr>
          <w:rFonts w:ascii="宋体"/>
          <w:color w:val="000000" w:themeColor="text1"/>
          <w:sz w:val="36"/>
          <w:szCs w:val="36"/>
        </w:rPr>
      </w:pPr>
      <w:r>
        <w:t>投标人全称（公章）：</w:t>
      </w:r>
    </w:p>
    <w:p>
      <w:pPr>
        <w:spacing w:line="360" w:lineRule="auto"/>
        <w:ind w:right="532" w:firstLine="720" w:firstLineChars="200"/>
        <w:rPr>
          <w:rFonts w:ascii="宋体"/>
          <w:color w:val="000000" w:themeColor="text1"/>
          <w:sz w:val="36"/>
          <w:szCs w:val="36"/>
        </w:rPr>
      </w:pPr>
      <w:r>
        <w:t>地址：</w:t>
      </w:r>
    </w:p>
    <w:p>
      <w:pPr>
        <w:spacing w:line="360" w:lineRule="auto"/>
        <w:ind w:right="532" w:firstLine="720" w:firstLineChars="200"/>
        <w:rPr>
          <w:rFonts w:ascii="宋体"/>
          <w:color w:val="000000" w:themeColor="text1"/>
          <w:sz w:val="36"/>
          <w:szCs w:val="36"/>
        </w:rPr>
      </w:pPr>
      <w:r>
        <w:t>时间：</w:t>
      </w:r>
    </w:p>
    <w:p>
      <w:pPr>
        <w:snapToGrid w:val="0"/>
        <w:spacing w:before="50" w:after="50" w:line="360" w:lineRule="auto"/>
        <w:jc w:val="center"/>
        <w:rPr>
          <w:rFonts w:ascii="宋体"/>
          <w:b/>
          <w:bCs/>
          <w:color w:val="000000" w:themeColor="text1"/>
          <w:sz w:val="36"/>
          <w:szCs w:val="36"/>
        </w:rPr>
      </w:pPr>
      <w:r>
        <w:t>资格证明文件目录</w:t>
      </w:r>
    </w:p>
    <w:tbl>
      <w:tblPr>
        <w:tblStyle w:val="59"/>
        <w:tblpPr w:leftFromText="180" w:rightFromText="180" w:vertAnchor="text" w:horzAnchor="page" w:tblpX="1339" w:tblpY="438"/>
        <w:tblOverlap w:val="never"/>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543"/>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blHeader/>
        </w:trPr>
        <w:tc>
          <w:tcPr>
            <w:tcW w:w="1276" w:type="dxa"/>
            <w:vAlign w:val="center"/>
          </w:tcPr>
          <w:p>
            <w:r>
              <w:t>序号</w:t>
            </w:r>
          </w:p>
        </w:tc>
        <w:tc>
          <w:tcPr>
            <w:tcW w:w="3543" w:type="dxa"/>
            <w:vAlign w:val="center"/>
          </w:tcPr>
          <w:p>
            <w:r>
              <w:t>内容</w:t>
            </w:r>
          </w:p>
        </w:tc>
        <w:tc>
          <w:tcPr>
            <w:tcW w:w="4820" w:type="dxa"/>
            <w:vAlign w:val="center"/>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trPr>
        <w:tc>
          <w:tcPr>
            <w:tcW w:w="1276" w:type="dxa"/>
            <w:vAlign w:val="center"/>
          </w:tcPr>
          <w:p>
            <w:r>
              <w:t>▲1</w:t>
            </w:r>
          </w:p>
        </w:tc>
        <w:tc>
          <w:tcPr>
            <w:tcW w:w="3543" w:type="dxa"/>
            <w:vAlign w:val="center"/>
          </w:tcPr>
          <w:p>
            <w:r>
              <w:t>投标声明书（若没有重大违法记录，请承诺）</w:t>
            </w:r>
          </w:p>
        </w:tc>
        <w:tc>
          <w:tcPr>
            <w:tcW w:w="4820" w:type="dxa"/>
            <w:vAlign w:val="center"/>
          </w:tcPr>
          <w:p>
            <w:r>
              <w:t>格式见附件2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76" w:type="dxa"/>
            <w:vAlign w:val="center"/>
          </w:tcPr>
          <w:p>
            <w:r>
              <w:t>▲2</w:t>
            </w:r>
          </w:p>
        </w:tc>
        <w:tc>
          <w:tcPr>
            <w:tcW w:w="3543" w:type="dxa"/>
            <w:vAlign w:val="center"/>
          </w:tcPr>
          <w:p>
            <w:r>
              <w:t>授权委托书（法定代表人办理投标事宜的，则无需提交）</w:t>
              <w:br/>
              <w:t>（附上法定代表人及代理人的身份证正反面）</w:t>
            </w:r>
          </w:p>
        </w:tc>
        <w:tc>
          <w:tcPr>
            <w:tcW w:w="4820" w:type="dxa"/>
            <w:vAlign w:val="center"/>
          </w:tcPr>
          <w:p>
            <w:r>
              <w:t>如授权委托代理人的则需按照格式提供此项，格式见附件3、附件4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trPr>
        <w:tc>
          <w:tcPr>
            <w:tcW w:w="1276" w:type="dxa"/>
            <w:vAlign w:val="center"/>
          </w:tcPr>
          <w:p>
            <w:r>
              <w:t>▲3</w:t>
            </w:r>
          </w:p>
        </w:tc>
        <w:tc>
          <w:tcPr>
            <w:tcW w:w="3543" w:type="dxa"/>
            <w:vAlign w:val="center"/>
          </w:tcPr>
          <w:p>
            <w:r>
              <w:t>法人或者其他组织的营业执照等证明文件，自然人的身份证明</w:t>
            </w:r>
          </w:p>
        </w:tc>
        <w:tc>
          <w:tcPr>
            <w:tcW w:w="4820" w:type="dxa"/>
            <w:vAlign w:val="center"/>
          </w:tcPr>
          <w:p>
            <w:r>
              <w:t>格式、内容自拟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76" w:type="dxa"/>
            <w:vAlign w:val="center"/>
          </w:tcPr>
          <w:p>
            <w:r>
              <w:t>▲4</w:t>
            </w:r>
          </w:p>
        </w:tc>
        <w:tc>
          <w:tcPr>
            <w:tcW w:w="3543" w:type="dxa"/>
            <w:vAlign w:val="center"/>
          </w:tcPr>
          <w:p>
            <w:r>
              <w:t>符合参与政府采购活动的资格条件并且没有税收缴纳、社会保障等方面的失信记录</w:t>
            </w:r>
          </w:p>
        </w:tc>
        <w:tc>
          <w:tcPr>
            <w:tcW w:w="4820" w:type="dxa"/>
            <w:vAlign w:val="center"/>
          </w:tcPr>
          <w:p>
            <w:r>
              <w:t>提供承诺书（格式见附件5）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trPr>
        <w:tc>
          <w:tcPr>
            <w:tcW w:w="1276" w:type="dxa"/>
            <w:vAlign w:val="center"/>
          </w:tcPr>
          <w:p>
            <w:r>
              <w:t>▲5</w:t>
            </w:r>
          </w:p>
        </w:tc>
        <w:tc>
          <w:tcPr>
            <w:tcW w:w="3543" w:type="dxa"/>
            <w:vAlign w:val="center"/>
          </w:tcPr>
          <w:p>
            <w:r>
              <w:t>具备履行合同所必需的设备和专业技术能力的证明材料</w:t>
            </w:r>
          </w:p>
        </w:tc>
        <w:tc>
          <w:tcPr>
            <w:tcW w:w="4820" w:type="dxa"/>
            <w:vAlign w:val="center"/>
          </w:tcPr>
          <w:p>
            <w:r>
              <w:t>提供承诺书（格式见附件5）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▲6</w:t>
            </w:r>
          </w:p>
        </w:tc>
        <w:tc>
          <w:tcPr>
            <w:tcW w:w="3543" w:type="dxa"/>
            <w:vAlign w:val="center"/>
          </w:tcPr>
          <w:p>
            <w:r>
              <w:t>投标人须具有《基础电信业务经营许可证》或《广播电视节目传送经营许可证》。</w:t>
            </w:r>
          </w:p>
        </w:tc>
        <w:tc>
          <w:tcPr>
            <w:tcW w:w="4820" w:type="dxa"/>
            <w:vAlign w:val="center"/>
          </w:tcPr>
          <w:p>
            <w:r>
              <w:t>提供许可证复印件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trPr>
        <w:tc>
          <w:tcPr>
            <w:tcW w:w="1276" w:type="dxa"/>
            <w:vAlign w:val="center"/>
          </w:tcPr>
          <w:p>
            <w:r>
              <w:t>▲7</w:t>
            </w:r>
          </w:p>
        </w:tc>
        <w:tc>
          <w:tcPr>
            <w:tcW w:w="3543" w:type="dxa"/>
          </w:tcPr>
          <w:p>
            <w:r>
              <w:t>联合体协议书（如果为联合体的，则必须提供，否则为无效）</w:t>
            </w:r>
          </w:p>
        </w:tc>
        <w:tc>
          <w:tcPr>
            <w:tcW w:w="4820" w:type="dxa"/>
          </w:tcPr>
          <w:p>
            <w:r>
              <w:t>【选择性提供】</w:t>
              <w:br/>
              <w:t>若为联合体（最多2家）投标，须提供此项。格式见附件6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1276" w:type="dxa"/>
            <w:vAlign w:val="center"/>
          </w:tcPr>
          <w:p>
            <w:r>
              <w:t>▲8</w:t>
            </w:r>
          </w:p>
        </w:tc>
        <w:tc>
          <w:tcPr>
            <w:tcW w:w="3543" w:type="dxa"/>
            <w:vAlign w:val="center"/>
          </w:tcPr>
          <w:p>
            <w:r>
              <w:t>分包意向协议（如果采用分包形式，则必须提供，否则为无效）</w:t>
            </w:r>
          </w:p>
        </w:tc>
        <w:tc>
          <w:tcPr>
            <w:tcW w:w="4820" w:type="dxa"/>
            <w:vAlign w:val="center"/>
          </w:tcPr>
          <w:p>
            <w:r>
              <w:t>【选择性提供】</w:t>
              <w:br/>
              <w:t>若为分包形式投标，须提供此项，格式见附件7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trPr>
        <w:tc>
          <w:tcPr>
            <w:tcW w:w="1276" w:type="dxa"/>
            <w:vAlign w:val="center"/>
          </w:tcPr>
          <w:p>
            <w:r>
              <w:t>▲9</w:t>
            </w:r>
          </w:p>
        </w:tc>
        <w:tc>
          <w:tcPr>
            <w:tcW w:w="3543" w:type="dxa"/>
            <w:vAlign w:val="center"/>
          </w:tcPr>
          <w:p>
            <w:r>
              <w:t>中小企业声明函（若属于中小企业需提供）</w:t>
              <w:br/>
              <w:t>残疾人福利性单位声明函（若属于残疾人福利性单位）；</w:t>
              <w:br/>
              <w:t>省级以上监狱管理局、戒毒管理局（含新疆生产建设兵团）开具的属于监狱企业的证明文件（若属于监狱企业）</w:t>
            </w:r>
          </w:p>
        </w:tc>
        <w:tc>
          <w:tcPr>
            <w:tcW w:w="4820" w:type="dxa"/>
            <w:vAlign w:val="center"/>
          </w:tcPr>
          <w:p>
            <w:r>
              <w:t>【选择性提供】</w:t>
              <w:br/>
              <w:t>声明函格式见附件8；</w:t>
              <w:br/>
              <w:t>投标人若属于监狱企业的，根据《财政部司法部关于政府采购支持监狱企业发展有关问题的通知》（财库【2014】68号）的规定，格式自拟。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276" w:type="dxa"/>
            <w:vAlign w:val="center"/>
          </w:tcPr>
          <w:p>
            <w:r>
              <w:t>10</w:t>
            </w:r>
          </w:p>
        </w:tc>
        <w:tc>
          <w:tcPr>
            <w:tcW w:w="3543" w:type="dxa"/>
            <w:vAlign w:val="center"/>
          </w:tcPr>
          <w:p>
            <w:r>
              <w:t>投标人认为需要提供的其它文件和资料</w:t>
            </w:r>
          </w:p>
        </w:tc>
        <w:tc>
          <w:tcPr>
            <w:tcW w:w="4820" w:type="dxa"/>
            <w:vAlign w:val="center"/>
          </w:tcPr>
          <w:p>
            <w:r>
              <w:t>内容自拟</w:t>
            </w:r>
          </w:p>
        </w:tc>
      </w:tr>
    </w:tbl>
    <w:p>
      <w:pPr>
        <w:spacing w:line="360" w:lineRule="auto"/>
        <w:rPr>
          <w:rFonts w:ascii="宋体"/>
          <w:b/>
          <w:bCs/>
          <w:color w:val="000000" w:themeColor="text1"/>
          <w:sz w:val="28"/>
          <w:szCs w:val="28"/>
        </w:rPr>
      </w:pPr>
      <w:r/>
    </w:p>
    <w:p>
      <w:pPr>
        <w:spacing w:line="360" w:lineRule="auto"/>
        <w:ind w:left="420"/>
        <w:rPr>
          <w:rFonts w:ascii="宋体"/>
          <w:b/>
          <w:bCs/>
          <w:color w:val="000000" w:themeColor="text1"/>
          <w:sz w:val="28"/>
          <w:szCs w:val="28"/>
        </w:rPr>
      </w:pPr>
      <w:r/>
    </w:p>
    <w:p>
      <w:pPr>
        <w:widowControl/>
        <w:jc w:val="left"/>
        <w:rPr>
          <w:rFonts w:ascii="宋体"/>
          <w:b/>
          <w:bCs/>
          <w:color w:val="000000" w:themeColor="text1"/>
          <w:sz w:val="28"/>
          <w:szCs w:val="28"/>
        </w:rPr>
      </w:pPr>
      <w:r>
        <w:t>附件2：</w:t>
      </w:r>
    </w:p>
    <w:p>
      <w:pPr>
        <w:adjustRightInd w:val="0"/>
        <w:snapToGrid w:val="0"/>
        <w:spacing w:line="312" w:lineRule="auto"/>
        <w:ind w:right="480"/>
        <w:jc w:val="center"/>
        <w:rPr>
          <w:rFonts w:ascii="宋体" w:hAnsi="宋体"/>
          <w:b/>
          <w:kern w:val="0"/>
          <w:sz w:val="32"/>
          <w:szCs w:val="32"/>
          <w:lang w:val="zh-CN"/>
        </w:rPr>
      </w:pPr>
      <w:r>
        <w:t>投标声明书</w:t>
      </w:r>
    </w:p>
    <w:p>
      <w:pPr>
        <w:snapToGrid w:val="0"/>
        <w:spacing w:before="120" w:beforeLines="50" w:after="50" w:line="312" w:lineRule="auto"/>
        <w:rPr>
          <w:rFonts w:ascii="宋体" w:hAnsi="宋体" w:cs="宋体"/>
          <w:kern w:val="0"/>
          <w:sz w:val="24"/>
        </w:rPr>
      </w:pPr>
      <w:r>
        <w:t>××（采购组织机构名称）：</w:t>
      </w:r>
    </w:p>
    <w:p>
      <w:pPr>
        <w:snapToGrid w:val="0"/>
        <w:spacing w:line="360" w:lineRule="auto"/>
        <w:ind w:firstLine="480" w:firstLineChars="200"/>
        <w:rPr>
          <w:rFonts w:ascii="宋体" w:hAnsi="宋体" w:cs="宋体"/>
          <w:kern w:val="0"/>
          <w:sz w:val="24"/>
        </w:rPr>
      </w:pPr>
      <w:r>
        <w:t>（投标人名称）系中华人民共和国合法企业，经营地址                  。</w:t>
      </w:r>
    </w:p>
    <w:p>
      <w:pPr>
        <w:snapToGrid w:val="0"/>
        <w:spacing w:line="360" w:lineRule="auto"/>
        <w:ind w:firstLine="480" w:firstLineChars="200"/>
        <w:rPr>
          <w:rFonts w:ascii="宋体" w:hAnsi="宋体" w:cs="宋体"/>
          <w:kern w:val="0"/>
          <w:sz w:val="24"/>
        </w:rPr>
      </w:pPr>
      <w:r>
        <w:t>我（ 姓名 ）系（ 投标人名称 ）的法定代表人，我公司自愿参加贵方组织的（招标项目名称）（编号为         ）的投标，为此，我公司就本次投标有关事项郑重声明如下：</w:t>
      </w:r>
    </w:p>
    <w:p>
      <w:pPr>
        <w:numPr>
          <w:ilvl w:val="0"/>
          <w:numId w:val="43"/>
        </w:numPr>
        <w:snapToGrid w:val="0"/>
        <w:spacing w:line="360" w:lineRule="auto"/>
        <w:ind w:left="5" w:firstLine="415"/>
        <w:rPr>
          <w:rFonts w:ascii="宋体" w:hAnsi="宋体" w:cs="宋体"/>
          <w:kern w:val="0"/>
          <w:sz w:val="24"/>
        </w:rPr>
      </w:pPr>
      <w:r>
        <w:t>我公司声明截止投标时间近三年以来：未被列入失信被执行人、重大税收违法失信主体、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numPr>
          <w:ilvl w:val="0"/>
          <w:numId w:val="43"/>
        </w:numPr>
        <w:snapToGrid w:val="0"/>
        <w:spacing w:line="360" w:lineRule="auto"/>
        <w:ind w:left="5" w:firstLine="415"/>
        <w:rPr>
          <w:rFonts w:ascii="宋体" w:hAnsi="宋体" w:cs="宋体"/>
          <w:kern w:val="0"/>
          <w:sz w:val="24"/>
        </w:rPr>
      </w:pPr>
      <w:r>
        <w:t>我公司在参与投标前已详细审查了招标文件和所有相关资料，我方完全知悉并认为此招标文件没有倾向性，也没有存在排斥潜在投标人的内容，我方对招标文件的所有内容没有任何异议，不申请澄清和质疑。</w:t>
      </w:r>
    </w:p>
    <w:p>
      <w:pPr>
        <w:numPr>
          <w:ilvl w:val="0"/>
          <w:numId w:val="43"/>
        </w:numPr>
        <w:snapToGrid w:val="0"/>
        <w:spacing w:line="360" w:lineRule="auto"/>
        <w:ind w:left="5" w:firstLine="415"/>
        <w:rPr>
          <w:rFonts w:ascii="宋体" w:hAnsi="宋体"/>
          <w:sz w:val="24"/>
        </w:rPr>
      </w:pPr>
      <w:r>
        <w:t>我公司不是采购人的附属机构；在获知本项目采购信息后，与采购人聘请的为此项目提供咨询服务的公司及其附属机构没有任何联系。</w:t>
      </w:r>
    </w:p>
    <w:p>
      <w:pPr>
        <w:numPr>
          <w:ilvl w:val="0"/>
          <w:numId w:val="43"/>
        </w:numPr>
        <w:snapToGrid w:val="0"/>
        <w:spacing w:line="360" w:lineRule="auto"/>
        <w:ind w:left="5" w:firstLine="415"/>
        <w:rPr>
          <w:rFonts w:ascii="宋体" w:hAnsi="宋体"/>
          <w:kern w:val="0"/>
          <w:sz w:val="24"/>
          <w:lang w:val="af-ZA"/>
        </w:rPr>
      </w:pPr>
      <w:r>
        <w:t>我公司保证，采购人在中华人民共和国境内使用我公司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numPr>
          <w:ilvl w:val="0"/>
          <w:numId w:val="43"/>
        </w:numPr>
        <w:snapToGrid w:val="0"/>
        <w:spacing w:line="360" w:lineRule="auto"/>
        <w:ind w:left="5" w:firstLine="415"/>
        <w:rPr>
          <w:rFonts w:ascii="仿宋_GB2312" w:hAnsi="仿宋_GB2312" w:eastAsia="仿宋_GB2312" w:cs="仿宋_GB2312"/>
          <w:sz w:val="24"/>
        </w:rPr>
      </w:pPr>
      <w:r>
        <w:t>我公司严格履行政府采购合同，不降低合同约定的产品质量和服务，不擅自变更、中止、终止合同，或拒绝履行合同义务。</w:t>
      </w:r>
    </w:p>
    <w:p>
      <w:pPr>
        <w:numPr>
          <w:ilvl w:val="0"/>
          <w:numId w:val="43"/>
        </w:numPr>
        <w:snapToGrid w:val="0"/>
        <w:spacing w:line="360" w:lineRule="auto"/>
        <w:ind w:left="5" w:firstLine="415"/>
        <w:rPr>
          <w:rFonts w:ascii="宋体" w:hAnsi="宋体"/>
          <w:sz w:val="24"/>
        </w:rPr>
      </w:pPr>
      <w:r>
        <w:t>以上事项如有虚假或隐瞒，我公司愿意承担一切后果，并不再寻求任何旨在减轻或免除法律责任的辩解。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r/>
    </w:p>
    <w:p>
      <w:pPr>
        <w:adjustRightInd w:val="0"/>
        <w:snapToGrid w:val="0"/>
        <w:spacing w:line="360" w:lineRule="auto"/>
        <w:ind w:firstLine="4680" w:firstLineChars="1950"/>
        <w:rPr>
          <w:rFonts w:ascii="宋体" w:hAnsi="宋体" w:cs="仿宋_GB2312"/>
          <w:kern w:val="0"/>
          <w:sz w:val="24"/>
          <w:lang w:val="zh-CN"/>
        </w:rPr>
      </w:pPr>
      <w:r>
        <w:t xml:space="preserve"> 投标人名称（公章)：</w:t>
      </w:r>
    </w:p>
    <w:p>
      <w:pPr>
        <w:adjustRightInd w:val="0"/>
        <w:snapToGrid w:val="0"/>
        <w:spacing w:line="360" w:lineRule="auto"/>
        <w:rPr>
          <w:rFonts w:ascii="宋体" w:hAnsi="宋体" w:cs="仿宋_GB2312"/>
          <w:kern w:val="0"/>
          <w:sz w:val="24"/>
          <w:lang w:val="zh-CN"/>
        </w:rPr>
      </w:pPr>
      <w:r>
        <w:t xml:space="preserve">                                      法定代表人（或营运商负责人）或授权委托人签字：</w:t>
      </w:r>
    </w:p>
    <w:p>
      <w:pPr>
        <w:adjustRightInd w:val="0"/>
        <w:snapToGrid w:val="0"/>
        <w:spacing w:line="360" w:lineRule="auto"/>
        <w:ind w:right="480"/>
        <w:jc w:val="center"/>
        <w:rPr>
          <w:rFonts w:ascii="宋体" w:hAnsi="宋体" w:cs="仿宋_GB2312"/>
          <w:kern w:val="0"/>
          <w:sz w:val="24"/>
          <w:lang w:val="zh-CN"/>
        </w:rPr>
      </w:pPr>
      <w:r>
        <w:t xml:space="preserve">                                    日期：××年 ×× 月 ×× 日</w:t>
      </w:r>
    </w:p>
    <w:p>
      <w:pPr>
        <w:adjustRightInd w:val="0"/>
        <w:snapToGrid w:val="0"/>
        <w:spacing w:line="360" w:lineRule="auto"/>
        <w:ind w:right="480"/>
        <w:rPr>
          <w:rFonts w:ascii="宋体" w:hAnsi="宋体" w:cs="宋体"/>
          <w:b/>
          <w:bCs/>
          <w:color w:val="000000" w:themeColor="text1"/>
          <w:sz w:val="24"/>
          <w:szCs w:val="24"/>
        </w:rPr>
      </w:pPr>
      <w:r/>
    </w:p>
    <w:p>
      <w:pPr>
        <w:pStyle w:val="56"/>
        <w:rPr>
          <w:color w:val="000000" w:themeColor="text1"/>
        </w:rPr>
      </w:pPr>
      <w:r/>
    </w:p>
    <w:p>
      <w:pPr>
        <w:adjustRightInd w:val="0"/>
        <w:snapToGrid w:val="0"/>
        <w:spacing w:line="360" w:lineRule="auto"/>
        <w:ind w:right="480"/>
        <w:rPr>
          <w:rFonts w:ascii="宋体"/>
          <w:b/>
          <w:bCs/>
          <w:color w:val="000000" w:themeColor="text1"/>
          <w:sz w:val="28"/>
          <w:szCs w:val="28"/>
        </w:rPr>
      </w:pPr>
      <w:r>
        <w:t>附件3:</w:t>
      </w:r>
    </w:p>
    <w:p>
      <w:pPr>
        <w:pStyle w:val="34"/>
        <w:spacing w:before="120" w:after="120" w:line="480" w:lineRule="auto"/>
        <w:jc w:val="center"/>
        <w:rPr>
          <w:rFonts w:ascii="仿宋_GB2312" w:hAnsi="宋体" w:eastAsia="仿宋_GB2312"/>
          <w:b/>
          <w:color w:val="000000" w:themeColor="text1"/>
          <w:sz w:val="36"/>
          <w:szCs w:val="36"/>
        </w:rPr>
      </w:pPr>
      <w:r>
        <w:t>法定代表人（或营运商负责人）身份证明书</w:t>
      </w:r>
    </w:p>
    <w:p>
      <w:pPr>
        <w:spacing w:line="540" w:lineRule="exact"/>
        <w:ind w:firstLine="480"/>
        <w:jc w:val="center"/>
        <w:rPr>
          <w:rFonts w:ascii="宋体" w:hAnsi="宋体"/>
          <w:color w:val="000000" w:themeColor="text1"/>
        </w:rPr>
      </w:pPr>
      <w:r/>
    </w:p>
    <w:p>
      <w:pPr>
        <w:spacing w:line="540" w:lineRule="exact"/>
        <w:ind w:firstLine="480"/>
        <w:rPr>
          <w:rFonts w:ascii="宋体" w:hAnsi="宋体"/>
          <w:color w:val="000000" w:themeColor="text1"/>
        </w:rPr>
      </w:pPr>
      <w:r/>
    </w:p>
    <w:p>
      <w:pPr>
        <w:spacing w:line="540" w:lineRule="exact"/>
        <w:ind w:firstLine="480"/>
        <w:rPr>
          <w:rFonts w:ascii="宋体" w:hAnsi="宋体"/>
          <w:color w:val="000000" w:themeColor="text1"/>
        </w:rPr>
      </w:pPr>
      <w:r>
        <w:t xml:space="preserve">　 ｛姓名｝ 　，　｛性别｝　，　｛年龄｝　，　｛职务｝　，身份证号码：                       ，系　｛投标人名称｝ 的法定代表人（或营运商负责人）。</w:t>
      </w:r>
    </w:p>
    <w:p>
      <w:pPr>
        <w:spacing w:line="540" w:lineRule="exact"/>
        <w:ind w:firstLine="480"/>
        <w:rPr>
          <w:rFonts w:ascii="宋体" w:hAnsi="宋体"/>
          <w:color w:val="000000" w:themeColor="text1"/>
        </w:rPr>
      </w:pPr>
      <w:r>
        <w:t>特此证明。</w:t>
      </w:r>
    </w:p>
    <w:p>
      <w:pPr>
        <w:spacing w:line="540" w:lineRule="exact"/>
        <w:ind w:firstLine="480"/>
        <w:rPr>
          <w:rFonts w:ascii="宋体" w:hAnsi="宋体"/>
          <w:color w:val="000000" w:themeColor="text1"/>
        </w:rPr>
      </w:pPr>
      <w:r/>
    </w:p>
    <w:p>
      <w:pPr>
        <w:spacing w:line="540" w:lineRule="exact"/>
        <w:ind w:firstLine="480"/>
        <w:rPr>
          <w:rFonts w:ascii="宋体" w:hAnsi="宋体"/>
          <w:color w:val="000000" w:themeColor="text1"/>
        </w:rPr>
      </w:pPr>
      <w:r/>
    </w:p>
    <w:p>
      <w:pPr>
        <w:spacing w:line="540" w:lineRule="exact"/>
        <w:ind w:firstLine="3675" w:firstLineChars="1750"/>
        <w:rPr>
          <w:rFonts w:ascii="宋体" w:hAnsi="宋体"/>
          <w:color w:val="000000" w:themeColor="text1"/>
        </w:rPr>
      </w:pPr>
      <w:r>
        <w:t xml:space="preserve">　｛投标人名称｝　（盖章）</w:t>
      </w:r>
    </w:p>
    <w:p>
      <w:pPr>
        <w:spacing w:line="540" w:lineRule="exact"/>
        <w:ind w:firstLine="3990" w:firstLineChars="1900"/>
        <w:rPr>
          <w:rFonts w:ascii="宋体" w:hAnsi="宋体"/>
          <w:color w:val="000000" w:themeColor="text1"/>
        </w:rPr>
      </w:pPr>
      <w:r>
        <w:t xml:space="preserve">     年   月   日</w:t>
      </w:r>
    </w:p>
    <w:tbl>
      <w:tblPr>
        <w:tblStyle w:val="59"/>
        <w:tblpPr w:leftFromText="180" w:rightFromText="180" w:vertAnchor="page" w:horzAnchor="page" w:tblpX="3853" w:tblpY="9991"/>
        <w:tblW w:w="541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413"/>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61" w:hRule="atLeast"/>
        </w:trPr>
        <w:tc>
          <w:tcPr>
            <w:tcW w:w="5413" w:type="dxa"/>
            <w:vAlign w:val="center"/>
          </w:tcPr>
          <w:p>
            <w:r>
              <w:t>法定代表人（或营运商负责人）身份证正反面复印件粘贴处</w:t>
            </w:r>
          </w:p>
        </w:tc>
      </w:tr>
    </w:tbl>
    <w:p>
      <w:pPr>
        <w:spacing w:line="540" w:lineRule="exact"/>
        <w:ind w:firstLine="480"/>
        <w:rPr>
          <w:rFonts w:ascii="宋体" w:hAnsi="宋体"/>
          <w:color w:val="000000" w:themeColor="text1"/>
        </w:rPr>
      </w:pPr>
      <w:r/>
    </w:p>
    <w:p>
      <w:pPr>
        <w:spacing w:line="540" w:lineRule="exact"/>
        <w:ind w:firstLine="480"/>
        <w:rPr>
          <w:rFonts w:ascii="宋体" w:hAnsi="宋体"/>
          <w:color w:val="000000" w:themeColor="text1"/>
        </w:rPr>
      </w:pPr>
      <w:r/>
    </w:p>
    <w:p>
      <w:pPr>
        <w:spacing w:line="540" w:lineRule="exact"/>
        <w:ind w:firstLine="480"/>
        <w:rPr>
          <w:rFonts w:ascii="宋体" w:hAnsi="宋体"/>
          <w:color w:val="000000" w:themeColor="text1"/>
        </w:rPr>
      </w:pPr>
      <w:r/>
    </w:p>
    <w:p>
      <w:pPr>
        <w:spacing w:line="540" w:lineRule="exact"/>
        <w:ind w:firstLine="480"/>
        <w:rPr>
          <w:rFonts w:ascii="宋体" w:hAnsi="宋体"/>
          <w:color w:val="000000" w:themeColor="text1"/>
        </w:rPr>
      </w:pPr>
      <w:r>
        <w:t xml:space="preserve">  </w:t>
      </w:r>
    </w:p>
    <w:p>
      <w:pPr>
        <w:ind w:firstLine="480"/>
        <w:rPr>
          <w:rFonts w:ascii="宋体" w:hAnsi="宋体"/>
          <w:color w:val="000000" w:themeColor="text1"/>
        </w:rPr>
      </w:pPr>
      <w:r/>
    </w:p>
    <w:p>
      <w:pPr>
        <w:adjustRightInd w:val="0"/>
        <w:snapToGrid w:val="0"/>
        <w:spacing w:line="360" w:lineRule="auto"/>
        <w:ind w:right="480"/>
        <w:rPr>
          <w:rFonts w:ascii="宋体"/>
          <w:b/>
          <w:bCs/>
          <w:color w:val="000000" w:themeColor="text1"/>
          <w:sz w:val="28"/>
          <w:szCs w:val="28"/>
        </w:rPr>
      </w:pPr>
      <w:r>
        <w:t>附件4:</w:t>
      </w:r>
    </w:p>
    <w:p>
      <w:pPr>
        <w:spacing w:line="360" w:lineRule="auto"/>
        <w:ind w:firstLine="321" w:firstLineChars="100"/>
        <w:jc w:val="center"/>
        <w:rPr>
          <w:rFonts w:hAnsi="宋体"/>
          <w:b/>
          <w:sz w:val="32"/>
          <w:szCs w:val="32"/>
          <w:u w:val="single"/>
        </w:rPr>
      </w:pPr>
      <w:r>
        <w:t>授权委托书</w:t>
      </w:r>
    </w:p>
    <w:p>
      <w:pPr>
        <w:snapToGrid w:val="0"/>
        <w:spacing w:before="120" w:beforeLines="50" w:after="50" w:line="360" w:lineRule="auto"/>
        <w:rPr>
          <w:rFonts w:ascii="宋体" w:hAnsi="宋体" w:cs="宋体"/>
          <w:kern w:val="0"/>
          <w:sz w:val="24"/>
        </w:rPr>
      </w:pPr>
      <w:r>
        <w:t>××（集中采购机构/采购代理机构名称）：</w:t>
      </w:r>
    </w:p>
    <w:p>
      <w:pPr>
        <w:pStyle w:val="34"/>
        <w:spacing w:line="360" w:lineRule="auto"/>
        <w:ind w:firstLine="480" w:firstLineChars="200"/>
        <w:rPr>
          <w:rFonts w:hAnsi="宋体"/>
          <w:sz w:val="24"/>
        </w:rPr>
      </w:pPr>
      <w:r>
        <w:t xml:space="preserve">  （投标人全称）  法定代表人（或营业执照中单位负责人）</w:t>
        <w:tab/>
        <w:t>（法定代表人或营业执照中单位负责人姓名） 授权   （全权代表姓名） 为全权代表，参加贵单位组织的</w:t>
        <w:tab/>
        <w:t xml:space="preserve">    项目的采购活动，并代表我方全权办理针对上述项目的投标、开标、评标、签约等具体事务和签署相关文件。我方对全权代表的签字事项负全部责任。</w:t>
      </w:r>
    </w:p>
    <w:p>
      <w:pPr>
        <w:pStyle w:val="34"/>
        <w:spacing w:line="360" w:lineRule="auto"/>
        <w:ind w:firstLine="480" w:firstLineChars="200"/>
        <w:rPr>
          <w:rFonts w:hAnsi="宋体"/>
          <w:sz w:val="24"/>
        </w:rPr>
      </w:pPr>
      <w:r>
        <w:t>在撤销授权的书面通知以前，本授权书一直有效。全权代表在授权委托书有效期内签署的所有文件不因授权的撤销而失效。</w:t>
      </w:r>
    </w:p>
    <w:p>
      <w:pPr>
        <w:pStyle w:val="34"/>
        <w:spacing w:line="360" w:lineRule="auto"/>
        <w:ind w:firstLine="480" w:firstLineChars="200"/>
        <w:rPr>
          <w:rFonts w:hAnsi="宋体"/>
          <w:sz w:val="24"/>
        </w:rPr>
      </w:pPr>
      <w:r>
        <w:t>全权代表无转委托权，特此委托。</w:t>
      </w:r>
    </w:p>
    <w:p>
      <w:pPr>
        <w:spacing w:line="360" w:lineRule="auto"/>
        <w:rPr>
          <w:sz w:val="24"/>
        </w:rPr>
      </w:pPr>
      <w:r/>
    </w:p>
    <w:p>
      <w:pPr>
        <w:spacing w:line="360" w:lineRule="auto"/>
        <w:rPr>
          <w:sz w:val="24"/>
        </w:rPr>
      </w:pPr>
      <w:r>
        <w:t>法定代表人（或营运商负责人）签字或盖章：</w:t>
      </w:r>
    </w:p>
    <w:p>
      <w:pPr>
        <w:spacing w:line="360" w:lineRule="auto"/>
        <w:rPr>
          <w:sz w:val="24"/>
        </w:rPr>
      </w:pPr>
      <w:r>
        <w:t>投标人全称（公章）：                              日期：</w:t>
      </w:r>
    </w:p>
    <w:p>
      <w:pPr>
        <w:spacing w:line="360" w:lineRule="auto"/>
        <w:rPr>
          <w:sz w:val="24"/>
        </w:rPr>
      </w:pPr>
      <w:r/>
    </w:p>
    <w:p>
      <w:pPr>
        <w:spacing w:line="360" w:lineRule="auto"/>
        <w:rPr>
          <w:b/>
          <w:sz w:val="24"/>
        </w:rPr>
      </w:pPr>
      <w:r>
        <w:t>附：</w:t>
      </w:r>
    </w:p>
    <w:tbl>
      <w:tblPr>
        <w:tblStyle w:val="59"/>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r>
              <w:br/>
              <w:t>法定代表（或营运商负责人）身份证</w:t>
            </w:r>
          </w:p>
        </w:tc>
      </w:tr>
    </w:tbl>
    <w:p>
      <w:pPr>
        <w:spacing w:line="360" w:lineRule="auto"/>
        <w:rPr>
          <w:sz w:val="24"/>
        </w:rPr>
      </w:pPr>
      <w:r>
        <w:t xml:space="preserve">法定代表人姓名：                                 </w:t>
      </w:r>
    </w:p>
    <w:p>
      <w:pPr>
        <w:spacing w:line="360" w:lineRule="auto"/>
        <w:rPr>
          <w:sz w:val="24"/>
        </w:rPr>
      </w:pPr>
      <w:r>
        <w:t>传真：</w:t>
      </w:r>
    </w:p>
    <w:p>
      <w:pPr>
        <w:spacing w:line="360" w:lineRule="auto"/>
        <w:rPr>
          <w:rFonts w:ascii="宋体"/>
          <w:sz w:val="24"/>
        </w:rPr>
      </w:pPr>
      <w:r>
        <w:t>电话：</w:t>
      </w:r>
    </w:p>
    <w:p>
      <w:pPr>
        <w:spacing w:line="360" w:lineRule="auto"/>
        <w:rPr>
          <w:sz w:val="24"/>
        </w:rPr>
      </w:pPr>
      <w:r>
        <w:t>详细通讯地址：</w:t>
      </w:r>
    </w:p>
    <w:p>
      <w:pPr>
        <w:spacing w:line="360" w:lineRule="auto"/>
        <w:rPr>
          <w:rFonts w:ascii="宋体"/>
          <w:sz w:val="24"/>
        </w:rPr>
      </w:pPr>
      <w:r>
        <w:t>邮政编码：</w:t>
      </w:r>
    </w:p>
    <w:p>
      <w:pPr>
        <w:spacing w:line="360" w:lineRule="auto"/>
        <w:rPr>
          <w:b/>
          <w:sz w:val="24"/>
        </w:rPr>
      </w:pPr>
      <w:r/>
    </w:p>
    <w:tbl>
      <w:tblPr>
        <w:tblStyle w:val="59"/>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r>
              <w:br/>
              <w:t>全权代表身份证</w:t>
            </w:r>
          </w:p>
        </w:tc>
      </w:tr>
    </w:tbl>
    <w:p>
      <w:pPr>
        <w:spacing w:line="360" w:lineRule="auto"/>
        <w:rPr>
          <w:rFonts w:ascii="宋体"/>
          <w:sz w:val="24"/>
        </w:rPr>
      </w:pPr>
      <w:r>
        <w:t xml:space="preserve">全权代表姓名：       </w:t>
      </w:r>
    </w:p>
    <w:p>
      <w:pPr>
        <w:spacing w:line="360" w:lineRule="auto"/>
        <w:rPr>
          <w:sz w:val="24"/>
        </w:rPr>
      </w:pPr>
      <w:r>
        <w:t xml:space="preserve">职务：                           </w:t>
      </w:r>
    </w:p>
    <w:p>
      <w:pPr>
        <w:spacing w:line="360" w:lineRule="auto"/>
        <w:rPr>
          <w:sz w:val="24"/>
        </w:rPr>
      </w:pPr>
      <w:r>
        <w:t>传真：</w:t>
      </w:r>
    </w:p>
    <w:p>
      <w:pPr>
        <w:spacing w:line="360" w:lineRule="auto"/>
        <w:rPr>
          <w:rFonts w:ascii="宋体"/>
          <w:sz w:val="24"/>
        </w:rPr>
      </w:pPr>
      <w:r>
        <w:t>电话：</w:t>
      </w:r>
    </w:p>
    <w:p>
      <w:pPr>
        <w:spacing w:line="360" w:lineRule="auto"/>
        <w:rPr>
          <w:sz w:val="24"/>
        </w:rPr>
      </w:pPr>
      <w:r>
        <w:t>详细通讯地址：</w:t>
      </w:r>
    </w:p>
    <w:p>
      <w:pPr>
        <w:spacing w:line="360" w:lineRule="auto"/>
        <w:rPr>
          <w:rFonts w:ascii="宋体"/>
          <w:sz w:val="24"/>
        </w:rPr>
      </w:pPr>
      <w:r>
        <w:t>邮政编码：</w:t>
      </w:r>
    </w:p>
    <w:p>
      <w:pPr>
        <w:spacing w:line="360" w:lineRule="auto"/>
        <w:ind w:firstLine="480" w:firstLineChars="200"/>
        <w:jc w:val="left"/>
        <w:rPr>
          <w:rFonts w:ascii="宋体"/>
          <w:color w:val="000000" w:themeColor="text1"/>
          <w:kern w:val="0"/>
          <w:sz w:val="24"/>
          <w:szCs w:val="24"/>
        </w:rPr>
      </w:pPr>
      <w:r/>
    </w:p>
    <w:p>
      <w:pPr>
        <w:spacing w:line="360" w:lineRule="auto"/>
        <w:ind w:firstLine="480" w:firstLineChars="200"/>
        <w:jc w:val="left"/>
        <w:rPr>
          <w:rFonts w:ascii="宋体"/>
          <w:color w:val="000000" w:themeColor="text1"/>
          <w:kern w:val="0"/>
          <w:sz w:val="24"/>
          <w:szCs w:val="24"/>
        </w:rPr>
      </w:pPr>
      <w:r/>
    </w:p>
    <w:p>
      <w:pPr>
        <w:topLinePunct/>
        <w:spacing w:line="400" w:lineRule="atLeast"/>
        <w:ind w:firstLine="551" w:firstLineChars="196"/>
        <w:rPr>
          <w:rFonts w:ascii="宋体" w:hAnsi="宋体" w:cs="宋体"/>
          <w:color w:val="FF0000"/>
          <w:sz w:val="22"/>
          <w:szCs w:val="22"/>
        </w:rPr>
      </w:pPr>
      <w:r/>
    </w:p>
    <w:p>
      <w:pPr>
        <w:spacing w:line="360" w:lineRule="auto"/>
        <w:ind w:firstLine="321" w:firstLineChars="100"/>
        <w:jc w:val="left"/>
        <w:rPr>
          <w:b/>
          <w:sz w:val="32"/>
          <w:szCs w:val="32"/>
        </w:rPr>
      </w:pPr>
      <w:r>
        <w:t>附件5:</w:t>
      </w:r>
    </w:p>
    <w:p>
      <w:pPr>
        <w:spacing w:line="360" w:lineRule="auto"/>
        <w:jc w:val="center"/>
        <w:rPr>
          <w:rFonts w:ascii="宋体" w:hAnsi="宋体" w:cs="宋体"/>
          <w:b/>
          <w:bCs/>
          <w:color w:val="000000" w:themeColor="text1"/>
          <w:kern w:val="0"/>
          <w:sz w:val="32"/>
          <w:szCs w:val="32"/>
          <w:lang w:val="zh-CN"/>
        </w:rPr>
      </w:pPr>
      <w:r>
        <w:t>承诺书</w:t>
      </w:r>
    </w:p>
    <w:p>
      <w:pPr>
        <w:spacing w:line="360" w:lineRule="auto"/>
        <w:ind w:firstLine="240" w:firstLineChars="100"/>
        <w:rPr>
          <w:rFonts w:ascii="宋体" w:hAnsi="宋体" w:cstheme="minorBidi"/>
          <w:sz w:val="24"/>
          <w:u w:val="single"/>
        </w:rPr>
      </w:pPr>
      <w:r/>
    </w:p>
    <w:p>
      <w:pPr>
        <w:spacing w:line="360" w:lineRule="auto"/>
        <w:ind w:firstLine="240" w:firstLineChars="100"/>
        <w:rPr>
          <w:rFonts w:ascii="宋体" w:hAnsi="宋体" w:cstheme="minorBidi"/>
          <w:sz w:val="24"/>
          <w:u w:val="single"/>
        </w:rPr>
      </w:pPr>
      <w:r>
        <w:t>温岭市政府采购中心：</w:t>
      </w:r>
    </w:p>
    <w:p>
      <w:r/>
    </w:p>
    <w:p>
      <w:pPr>
        <w:snapToGrid w:val="0"/>
        <w:spacing w:line="360" w:lineRule="auto"/>
        <w:ind w:firstLine="480" w:firstLineChars="200"/>
        <w:rPr>
          <w:rFonts w:ascii="宋体" w:hAnsi="宋体" w:cs="宋体"/>
          <w:kern w:val="0"/>
          <w:sz w:val="24"/>
        </w:rPr>
      </w:pPr>
      <w:r>
        <w:t>（投标人名称）      系中华人民共和国合法企业，经营地址       。</w:t>
      </w:r>
    </w:p>
    <w:p>
      <w:pPr>
        <w:snapToGrid w:val="0"/>
        <w:spacing w:line="360" w:lineRule="auto"/>
        <w:ind w:firstLine="480" w:firstLineChars="200"/>
        <w:rPr>
          <w:rFonts w:ascii="宋体" w:hAnsi="宋体" w:cs="宋体"/>
          <w:kern w:val="0"/>
          <w:sz w:val="24"/>
        </w:rPr>
      </w:pPr>
      <w:r>
        <w:t>我（ 姓名 ）系（ 投标人名称 ）的法定代表人，我公司自愿参加贵方组织的（招标项目名称）（编号为）   的投标，为此，我公司就本次投标有关事项承诺如下：</w:t>
      </w:r>
    </w:p>
    <w:p>
      <w:pPr>
        <w:pStyle w:val="107"/>
        <w:numPr>
          <w:ilvl w:val="0"/>
          <w:numId w:val="44"/>
        </w:numPr>
        <w:snapToGrid w:val="0"/>
        <w:spacing w:line="360" w:lineRule="auto"/>
        <w:ind w:firstLineChars="0"/>
        <w:rPr>
          <w:rFonts w:ascii="宋体" w:hAnsi="宋体"/>
          <w:sz w:val="24"/>
        </w:rPr>
      </w:pPr>
      <w:r>
        <w:t>我公司承诺符合参与政府采购活动资格条件。即符合参与政府采购活动的资格条件并且没有税收缴纳、社会保障等方面的失信记录。</w:t>
      </w:r>
    </w:p>
    <w:p>
      <w:pPr>
        <w:pStyle w:val="107"/>
        <w:numPr>
          <w:ilvl w:val="0"/>
          <w:numId w:val="44"/>
        </w:numPr>
        <w:snapToGrid w:val="0"/>
        <w:spacing w:line="360" w:lineRule="auto"/>
        <w:ind w:firstLineChars="0"/>
        <w:rPr>
          <w:rFonts w:ascii="宋体" w:hAnsi="宋体"/>
          <w:sz w:val="24"/>
        </w:rPr>
      </w:pPr>
      <w:r>
        <w:t>我公司承诺具备履行合同所必需的设备和专业技术能力。</w:t>
      </w:r>
    </w:p>
    <w:p>
      <w:pPr>
        <w:pStyle w:val="107"/>
        <w:numPr>
          <w:ilvl w:val="0"/>
          <w:numId w:val="44"/>
        </w:numPr>
        <w:snapToGrid w:val="0"/>
        <w:spacing w:line="360" w:lineRule="auto"/>
        <w:ind w:firstLineChars="0"/>
        <w:rPr>
          <w:rFonts w:ascii="宋体" w:hAnsi="宋体"/>
          <w:sz w:val="24"/>
        </w:rPr>
      </w:pPr>
      <w:r>
        <w:t>以上事项如有虚假或隐瞒，我公司愿意承担一切后果，并不再寻求任何旨在减轻或免除法律责任的辩解。</w:t>
      </w:r>
    </w:p>
    <w:p>
      <w:pPr>
        <w:snapToGrid w:val="0"/>
        <w:spacing w:line="360" w:lineRule="auto"/>
        <w:rPr>
          <w:rFonts w:ascii="宋体" w:hAnsi="宋体"/>
          <w:sz w:val="24"/>
        </w:rPr>
      </w:pPr>
      <w:r/>
    </w:p>
    <w:p>
      <w:pPr>
        <w:pStyle w:val="56"/>
      </w:pPr>
      <w:r/>
    </w:p>
    <w:p>
      <w:pPr>
        <w:adjustRightInd w:val="0"/>
        <w:snapToGrid w:val="0"/>
        <w:spacing w:line="360" w:lineRule="auto"/>
        <w:ind w:firstLine="480"/>
        <w:rPr>
          <w:rFonts w:ascii="宋体" w:hAnsi="宋体" w:cs="仿宋_GB2312"/>
          <w:kern w:val="0"/>
          <w:sz w:val="24"/>
        </w:rPr>
      </w:pPr>
      <w:r/>
    </w:p>
    <w:p>
      <w:pPr>
        <w:adjustRightInd w:val="0"/>
        <w:snapToGrid w:val="0"/>
        <w:spacing w:line="360" w:lineRule="auto"/>
        <w:ind w:firstLine="4680" w:firstLineChars="1950"/>
        <w:rPr>
          <w:rFonts w:ascii="宋体" w:hAnsi="宋体" w:cs="仿宋_GB2312"/>
          <w:kern w:val="0"/>
          <w:sz w:val="24"/>
          <w:lang w:val="zh-CN"/>
        </w:rPr>
      </w:pPr>
      <w:r>
        <w:t xml:space="preserve"> 投标人名称（公章)：</w:t>
      </w:r>
    </w:p>
    <w:p>
      <w:pPr>
        <w:adjustRightInd w:val="0"/>
        <w:snapToGrid w:val="0"/>
        <w:spacing w:line="360" w:lineRule="auto"/>
        <w:rPr>
          <w:rFonts w:ascii="宋体" w:hAnsi="宋体" w:cs="仿宋_GB2312"/>
          <w:kern w:val="0"/>
          <w:sz w:val="24"/>
          <w:lang w:val="zh-CN"/>
        </w:rPr>
      </w:pPr>
      <w:r>
        <w:t xml:space="preserve">                                      法定代表人（或营运商负责人）或授权委托人签字：</w:t>
      </w:r>
    </w:p>
    <w:p>
      <w:pPr>
        <w:jc w:val="center"/>
        <w:rPr>
          <w:rFonts w:ascii="宋体" w:hAnsi="宋体" w:cs="仿宋_GB2312"/>
          <w:kern w:val="0"/>
          <w:sz w:val="24"/>
          <w:lang w:val="zh-CN"/>
        </w:rPr>
      </w:pPr>
      <w:r>
        <w:t xml:space="preserve">                                    日期：××年 ×× 月 ×× 日</w:t>
      </w:r>
    </w:p>
    <w:p>
      <w:pPr>
        <w:pStyle w:val="56"/>
        <w:rPr>
          <w:lang w:val="zh-CN"/>
        </w:rPr>
      </w:pPr>
      <w:r/>
    </w:p>
    <w:p>
      <w:pPr>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pStyle w:val="2"/>
        <w:rPr>
          <w:lang w:val="zh-CN"/>
        </w:rPr>
      </w:pPr>
      <w:r/>
    </w:p>
    <w:p>
      <w:pPr>
        <w:spacing w:line="400" w:lineRule="exact"/>
        <w:rPr>
          <w:rFonts w:ascii="宋体" w:hAnsi="宋体" w:cs="宋体"/>
          <w:b/>
          <w:bCs/>
          <w:color w:val="FF0000"/>
          <w:sz w:val="28"/>
          <w:szCs w:val="28"/>
        </w:rPr>
      </w:pPr>
      <w:r/>
    </w:p>
    <w:p>
      <w:pPr>
        <w:spacing w:line="400" w:lineRule="exact"/>
        <w:rPr>
          <w:rFonts w:ascii="宋体" w:hAnsi="宋体" w:cs="宋体"/>
          <w:b/>
          <w:bCs/>
          <w:color w:val="FF0000"/>
          <w:sz w:val="28"/>
          <w:szCs w:val="28"/>
        </w:rPr>
      </w:pPr>
      <w:r/>
    </w:p>
    <w:p>
      <w:pPr>
        <w:spacing w:line="276" w:lineRule="auto"/>
        <w:rPr>
          <w:rFonts w:ascii="宋体" w:hAnsi="宋体"/>
          <w:b/>
          <w:color w:val="000000" w:themeColor="text1"/>
          <w:sz w:val="30"/>
        </w:rPr>
      </w:pPr>
      <w:r>
        <w:t>附件6：</w:t>
      </w:r>
    </w:p>
    <w:p>
      <w:pPr>
        <w:snapToGrid w:val="0"/>
        <w:spacing w:line="360" w:lineRule="auto"/>
        <w:jc w:val="center"/>
        <w:outlineLvl w:val="0"/>
        <w:rPr>
          <w:rFonts w:ascii="宋体" w:hAnsi="宋体" w:cs="宋体"/>
          <w:b/>
          <w:color w:val="000000" w:themeColor="text1"/>
          <w:kern w:val="0"/>
          <w:sz w:val="32"/>
          <w:szCs w:val="32"/>
        </w:rPr>
      </w:pPr>
      <w:r>
        <w:t>联合体协议（供参考）</w:t>
      </w:r>
    </w:p>
    <w:p>
      <w:pPr>
        <w:snapToGrid w:val="0"/>
        <w:spacing w:line="360" w:lineRule="auto"/>
        <w:ind w:firstLine="576"/>
        <w:rPr>
          <w:rFonts w:ascii="宋体" w:hAnsi="宋体" w:cs="宋体"/>
          <w:kern w:val="0"/>
          <w:sz w:val="24"/>
          <w:lang w:val="zh-CN"/>
        </w:rPr>
      </w:pPr>
      <w:r>
        <w:t xml:space="preserve">（联合体所有成员名称）自愿组成一个联合体，以一个投标人的身份参加（项目名称）【招标编号：（采购编号）】投标。 </w:t>
      </w:r>
    </w:p>
    <w:p>
      <w:pPr>
        <w:snapToGrid w:val="0"/>
        <w:spacing w:line="360" w:lineRule="auto"/>
        <w:ind w:firstLine="576"/>
        <w:rPr>
          <w:rFonts w:ascii="宋体" w:hAnsi="宋体" w:cs="宋体"/>
          <w:kern w:val="0"/>
          <w:sz w:val="24"/>
          <w:lang w:val="zh-CN"/>
        </w:rPr>
      </w:pPr>
      <w:r>
        <w:t>一、各方一致决定，（某联合体成员名称）为联合体牵头人，代表所有联合体成员负责投标和合同实施阶段的主办、协调工作。</w:t>
      </w:r>
    </w:p>
    <w:p>
      <w:pPr>
        <w:snapToGrid w:val="0"/>
        <w:spacing w:line="360" w:lineRule="auto"/>
        <w:ind w:firstLine="576"/>
        <w:rPr>
          <w:rFonts w:ascii="宋体" w:hAnsi="宋体" w:cs="宋体"/>
          <w:kern w:val="0"/>
          <w:sz w:val="24"/>
          <w:lang w:val="zh-CN"/>
        </w:rPr>
      </w:pPr>
      <w:r>
        <w:t>二、所有联合体成员各方签署授权书，授权书载明的授权代表根据招标文件规定及投标内容而对采购人、采购代理机构所作的任何合法承诺，包括书面澄清及相应等均对联合投标各方产生约束力。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t>三、本次联合投标中，分工如下：</w:t>
      </w:r>
    </w:p>
    <w:p>
      <w:pPr>
        <w:snapToGrid w:val="0"/>
        <w:spacing w:line="360" w:lineRule="auto"/>
        <w:ind w:firstLine="576"/>
        <w:rPr>
          <w:rFonts w:ascii="宋体" w:hAnsi="宋体" w:cs="宋体"/>
          <w:kern w:val="0"/>
          <w:sz w:val="24"/>
          <w:lang w:val="zh-CN"/>
        </w:rPr>
      </w:pPr>
      <w:r>
        <w:t>（联合体成员1）承担的工作和义务为：        ；</w:t>
      </w:r>
    </w:p>
    <w:p>
      <w:pPr>
        <w:snapToGrid w:val="0"/>
        <w:spacing w:line="360" w:lineRule="auto"/>
        <w:ind w:firstLine="576"/>
        <w:rPr>
          <w:rFonts w:ascii="宋体" w:hAnsi="宋体" w:cs="宋体"/>
          <w:kern w:val="0"/>
          <w:sz w:val="24"/>
          <w:lang w:val="zh-CN"/>
        </w:rPr>
      </w:pPr>
      <w:r>
        <w:t>（联合体成员2）承担的工作和义务为：        。</w:t>
      </w:r>
    </w:p>
    <w:bookmarkEnd w:id="207"/>
    <w:p>
      <w:pPr>
        <w:snapToGrid w:val="0"/>
        <w:spacing w:line="360" w:lineRule="auto"/>
        <w:ind w:firstLine="576"/>
        <w:rPr>
          <w:rFonts w:ascii="宋体" w:hAnsi="宋体" w:cs="宋体"/>
          <w:kern w:val="0"/>
          <w:sz w:val="24"/>
          <w:lang w:val="zh-CN"/>
        </w:rPr>
      </w:pPr>
      <w:r>
        <w:t>四、联合体成员份额。</w:t>
      </w:r>
    </w:p>
    <w:p>
      <w:pPr>
        <w:snapToGrid w:val="0"/>
        <w:spacing w:line="360" w:lineRule="auto"/>
        <w:ind w:firstLine="576"/>
        <w:rPr>
          <w:rFonts w:ascii="宋体" w:hAnsi="宋体" w:cs="宋体"/>
          <w:kern w:val="0"/>
          <w:sz w:val="24"/>
          <w:lang w:val="zh-CN"/>
        </w:rPr>
      </w:pPr>
      <w:r>
        <w:t>（联合体成员1）份额为：             ；</w:t>
      </w:r>
    </w:p>
    <w:p>
      <w:pPr>
        <w:snapToGrid w:val="0"/>
        <w:spacing w:line="360" w:lineRule="auto"/>
        <w:ind w:firstLine="576"/>
        <w:rPr>
          <w:rFonts w:ascii="宋体" w:hAnsi="宋体" w:cs="宋体"/>
          <w:kern w:val="0"/>
          <w:sz w:val="24"/>
          <w:lang w:val="zh-CN"/>
        </w:rPr>
      </w:pPr>
      <w:r>
        <w:t>（联合体成员2）份额为：             。</w:t>
      </w:r>
    </w:p>
    <w:p>
      <w:pPr>
        <w:snapToGrid w:val="0"/>
        <w:spacing w:line="360" w:lineRule="auto"/>
        <w:ind w:firstLine="576"/>
        <w:rPr>
          <w:rFonts w:ascii="宋体" w:hAnsi="宋体" w:cs="宋体"/>
          <w:kern w:val="0"/>
          <w:sz w:val="24"/>
          <w:lang w:val="zh-CN"/>
        </w:rPr>
      </w:pPr>
      <w:r>
        <w:t>五、如果中标，联合体各成员方共同与采购人签订合同，并就采购合同约定的事项对采购人承担连带责任。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t>六、有关本次联合投标的其他事宜：</w:t>
      </w:r>
    </w:p>
    <w:p>
      <w:pPr>
        <w:snapToGrid w:val="0"/>
        <w:spacing w:line="360" w:lineRule="auto"/>
        <w:ind w:firstLine="576"/>
        <w:rPr>
          <w:rFonts w:ascii="宋体" w:hAnsi="宋体" w:cs="宋体"/>
          <w:kern w:val="0"/>
          <w:sz w:val="24"/>
          <w:lang w:val="zh-CN"/>
        </w:rPr>
      </w:pPr>
      <w: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t>联合体成员名称(公章)：</w:t>
      </w:r>
    </w:p>
    <w:p>
      <w:pPr>
        <w:snapToGrid w:val="0"/>
        <w:spacing w:line="360" w:lineRule="auto"/>
        <w:ind w:firstLine="5040" w:firstLineChars="2100"/>
        <w:rPr>
          <w:rFonts w:ascii="宋体" w:hAnsi="宋体" w:cs="宋体"/>
          <w:kern w:val="0"/>
          <w:sz w:val="24"/>
          <w:lang w:val="zh-CN"/>
        </w:rPr>
      </w:pPr>
      <w:r>
        <w:t>联合体成员名称(公章)：</w:t>
      </w:r>
    </w:p>
    <w:p>
      <w:pPr>
        <w:snapToGrid w:val="0"/>
        <w:spacing w:line="360" w:lineRule="auto"/>
        <w:ind w:right="960"/>
        <w:jc w:val="center"/>
        <w:rPr>
          <w:rFonts w:ascii="宋体" w:hAnsi="宋体" w:cs="宋体"/>
          <w:kern w:val="0"/>
          <w:sz w:val="24"/>
          <w:lang w:val="zh-CN"/>
        </w:rPr>
      </w:pPr>
      <w:r>
        <w:t xml:space="preserve">                  </w:t>
      </w:r>
    </w:p>
    <w:p>
      <w:pPr>
        <w:snapToGrid w:val="0"/>
        <w:spacing w:line="360" w:lineRule="auto"/>
        <w:jc w:val="right"/>
        <w:rPr>
          <w:rFonts w:ascii="宋体" w:hAnsi="宋体" w:cs="宋体"/>
          <w:kern w:val="0"/>
          <w:sz w:val="24"/>
          <w:lang w:val="zh-CN"/>
        </w:rPr>
      </w:pPr>
      <w:r>
        <w:t>日期：  年  月   日</w:t>
      </w:r>
    </w:p>
    <w:p>
      <w:pPr>
        <w:spacing w:line="400" w:lineRule="exact"/>
        <w:rPr>
          <w:rFonts w:ascii="宋体" w:hAnsi="宋体" w:cs="宋体"/>
          <w:b/>
          <w:bCs/>
          <w:color w:val="FF0000"/>
          <w:sz w:val="28"/>
          <w:szCs w:val="28"/>
        </w:rPr>
      </w:pPr>
      <w:r/>
    </w:p>
    <w:p>
      <w:pPr>
        <w:spacing w:line="400" w:lineRule="exact"/>
        <w:rPr>
          <w:rFonts w:ascii="宋体" w:hAnsi="宋体" w:cs="宋体"/>
          <w:b/>
          <w:bCs/>
          <w:sz w:val="28"/>
          <w:szCs w:val="28"/>
        </w:rPr>
      </w:pPr>
      <w:r>
        <w:t xml:space="preserve">附件7：                     </w:t>
      </w:r>
    </w:p>
    <w:p>
      <w:pPr>
        <w:spacing w:line="400" w:lineRule="exact"/>
        <w:jc w:val="center"/>
        <w:rPr>
          <w:rStyle w:val="131"/>
          <w:rFonts w:ascii="宋体" w:hAnsi="宋体" w:eastAsia="宋体" w:cs="宋体"/>
          <w:b/>
          <w:sz w:val="36"/>
        </w:rPr>
      </w:pPr>
      <w:r/>
    </w:p>
    <w:p>
      <w:pPr>
        <w:spacing w:line="400" w:lineRule="exact"/>
        <w:jc w:val="center"/>
        <w:rPr>
          <w:rStyle w:val="131"/>
          <w:rFonts w:ascii="宋体" w:hAnsi="宋体" w:eastAsia="宋体" w:cs="宋体"/>
          <w:b/>
          <w:sz w:val="36"/>
        </w:rPr>
      </w:pPr>
      <w:r>
        <w:t>分包意向协议</w:t>
      </w:r>
    </w:p>
    <w:p>
      <w:pPr>
        <w:widowControl/>
        <w:spacing w:line="360" w:lineRule="exact"/>
        <w:ind w:firstLine="110" w:firstLineChars="50"/>
        <w:jc w:val="left"/>
        <w:rPr>
          <w:rFonts w:ascii="宋体" w:hAnsi="宋体" w:cs="宋体"/>
          <w:sz w:val="22"/>
          <w:szCs w:val="22"/>
        </w:rPr>
      </w:pPr>
      <w:r/>
    </w:p>
    <w:p>
      <w:pPr>
        <w:snapToGrid w:val="0"/>
        <w:spacing w:line="420" w:lineRule="exact"/>
        <w:ind w:firstLine="576"/>
        <w:rPr>
          <w:rFonts w:ascii="宋体" w:hAnsi="宋体" w:cs="宋体"/>
          <w:b/>
          <w:bCs/>
          <w:sz w:val="24"/>
          <w:szCs w:val="24"/>
        </w:rPr>
      </w:pPr>
      <w:r>
        <w:t>（中标后以分包方式履行合同的，提供分包意向协议；对于分包意向协议中预留给中小企业的金额应当不低于总金额的50%。）</w:t>
      </w:r>
    </w:p>
    <w:p>
      <w:pPr>
        <w:snapToGrid w:val="0"/>
        <w:spacing w:line="420" w:lineRule="exact"/>
        <w:ind w:firstLine="576"/>
        <w:rPr>
          <w:rFonts w:ascii="宋体" w:hAnsi="宋体" w:cs="宋体"/>
          <w:kern w:val="0"/>
          <w:sz w:val="24"/>
          <w:szCs w:val="24"/>
          <w:lang w:val="zh-CN"/>
        </w:rPr>
      </w:pPr>
      <w:r>
        <w:t xml:space="preserve">（投标人名称）若成为温岭市公共视频一体化建设二期东片视频图像服务【招标编号：              】的中标供应商，将依法采取分包方式履行合同。（投标人名称）与（所有分包供应商名称）达成分包意向协议。 </w:t>
      </w:r>
    </w:p>
    <w:p>
      <w:pPr>
        <w:snapToGrid w:val="0"/>
        <w:spacing w:line="420" w:lineRule="exact"/>
        <w:ind w:firstLine="576"/>
        <w:rPr>
          <w:rFonts w:ascii="宋体" w:hAnsi="宋体" w:cs="宋体"/>
          <w:b/>
          <w:bCs/>
          <w:kern w:val="0"/>
          <w:sz w:val="24"/>
          <w:szCs w:val="24"/>
          <w:lang w:val="zh-CN"/>
        </w:rPr>
      </w:pPr>
      <w:r>
        <w:t>一、分包标的及数量</w:t>
      </w:r>
    </w:p>
    <w:p>
      <w:pPr>
        <w:snapToGrid w:val="0"/>
        <w:spacing w:line="420" w:lineRule="exact"/>
        <w:ind w:firstLine="576"/>
        <w:rPr>
          <w:rFonts w:ascii="宋体" w:hAnsi="宋体" w:cs="宋体"/>
          <w:kern w:val="0"/>
          <w:sz w:val="24"/>
          <w:szCs w:val="24"/>
          <w:lang w:val="zh-CN"/>
        </w:rPr>
      </w:pPr>
      <w:r>
        <w:t>（投标人名称）将   XX工作内容   分包给（某分包供应商名称），（某分包供应商名称），具备承担XX工作内容相应资质条件且不得再次分包；</w:t>
      </w:r>
    </w:p>
    <w:p>
      <w:pPr>
        <w:snapToGrid w:val="0"/>
        <w:ind w:firstLine="576"/>
        <w:rPr>
          <w:rFonts w:ascii="宋体" w:hAnsi="宋体" w:cs="宋体"/>
          <w:b/>
          <w:bCs/>
          <w:kern w:val="0"/>
          <w:sz w:val="24"/>
          <w:szCs w:val="24"/>
          <w:lang w:val="zh-CN"/>
        </w:rPr>
      </w:pPr>
      <w:r>
        <w:t>……</w:t>
      </w:r>
    </w:p>
    <w:p>
      <w:pPr>
        <w:snapToGrid w:val="0"/>
        <w:ind w:firstLine="576"/>
        <w:rPr>
          <w:rFonts w:ascii="宋体" w:hAnsi="宋体" w:cs="宋体"/>
          <w:b/>
          <w:bCs/>
          <w:kern w:val="0"/>
          <w:sz w:val="24"/>
          <w:szCs w:val="24"/>
          <w:lang w:val="zh-CN"/>
        </w:rPr>
      </w:pPr>
      <w:r>
        <w:t>二、分包工作履行期限、地点、方式</w:t>
      </w:r>
    </w:p>
    <w:p>
      <w:pPr>
        <w:snapToGrid w:val="0"/>
        <w:ind w:firstLine="576"/>
        <w:rPr>
          <w:rFonts w:ascii="宋体" w:hAnsi="宋体" w:cs="宋体"/>
          <w:sz w:val="24"/>
          <w:szCs w:val="24"/>
          <w:u w:val="single"/>
        </w:rPr>
      </w:pPr>
      <w:r>
        <w:t xml:space="preserve">                                                                                  </w:t>
      </w:r>
    </w:p>
    <w:p>
      <w:pPr>
        <w:snapToGrid w:val="0"/>
        <w:ind w:firstLine="576"/>
        <w:rPr>
          <w:rFonts w:ascii="宋体" w:hAnsi="宋体" w:cs="宋体"/>
          <w:b/>
          <w:bCs/>
          <w:kern w:val="0"/>
          <w:sz w:val="24"/>
          <w:szCs w:val="24"/>
          <w:lang w:val="zh-CN"/>
        </w:rPr>
      </w:pPr>
      <w:r>
        <w:t>三、质量</w:t>
      </w:r>
    </w:p>
    <w:p>
      <w:pPr>
        <w:snapToGrid w:val="0"/>
        <w:ind w:firstLine="576"/>
        <w:rPr>
          <w:rFonts w:ascii="宋体" w:hAnsi="宋体" w:cs="宋体"/>
          <w:kern w:val="0"/>
          <w:sz w:val="24"/>
          <w:szCs w:val="24"/>
          <w:lang w:val="zh-CN"/>
        </w:rPr>
      </w:pPr>
      <w:r>
        <w:t xml:space="preserve">                                                                                       </w:t>
      </w:r>
    </w:p>
    <w:p>
      <w:pPr>
        <w:snapToGrid w:val="0"/>
        <w:ind w:firstLine="576"/>
        <w:rPr>
          <w:rFonts w:ascii="宋体" w:hAnsi="宋体" w:cs="宋体"/>
          <w:b/>
          <w:bCs/>
          <w:kern w:val="0"/>
          <w:sz w:val="24"/>
          <w:szCs w:val="24"/>
          <w:lang w:val="zh-CN"/>
        </w:rPr>
      </w:pPr>
      <w:r>
        <w:t>四、分包比例</w:t>
      </w:r>
    </w:p>
    <w:p>
      <w:pPr>
        <w:widowControl/>
        <w:spacing w:line="440" w:lineRule="exact"/>
        <w:ind w:left="390" w:firstLine="240" w:firstLineChars="100"/>
        <w:jc w:val="left"/>
        <w:rPr>
          <w:rFonts w:ascii="宋体" w:hAnsi="宋体" w:cs="宋体"/>
          <w:b/>
          <w:bCs/>
          <w:strike/>
          <w:kern w:val="0"/>
          <w:sz w:val="24"/>
          <w:szCs w:val="24"/>
          <w:lang w:val="zh-CN"/>
        </w:rPr>
      </w:pPr>
      <w:r>
        <w:t xml:space="preserve">中小企业合同金额达到    %，小微企业合同金额达到    %  。  </w:t>
      </w:r>
    </w:p>
    <w:p>
      <w:pPr>
        <w:snapToGrid w:val="0"/>
        <w:ind w:left="573" w:leftChars="273"/>
        <w:rPr>
          <w:rFonts w:ascii="宋体" w:hAnsi="宋体" w:cs="宋体"/>
          <w:kern w:val="0"/>
          <w:sz w:val="24"/>
          <w:szCs w:val="24"/>
          <w:lang w:val="zh-CN"/>
        </w:rPr>
      </w:pPr>
      <w:r>
        <w:t xml:space="preserve">                                                                                  </w:t>
      </w:r>
    </w:p>
    <w:p>
      <w:pPr>
        <w:snapToGrid w:val="0"/>
        <w:ind w:left="573" w:leftChars="273"/>
        <w:rPr>
          <w:rFonts w:ascii="宋体" w:hAnsi="宋体" w:cs="宋体"/>
          <w:b/>
          <w:bCs/>
          <w:kern w:val="0"/>
          <w:sz w:val="24"/>
          <w:szCs w:val="24"/>
          <w:lang w:val="zh-CN"/>
        </w:rPr>
      </w:pPr>
      <w:r>
        <w:t>五、违约责任</w:t>
      </w:r>
    </w:p>
    <w:p>
      <w:pPr>
        <w:snapToGrid w:val="0"/>
        <w:ind w:firstLine="576"/>
        <w:rPr>
          <w:rFonts w:ascii="宋体" w:hAnsi="宋体" w:cs="宋体"/>
          <w:kern w:val="0"/>
          <w:sz w:val="24"/>
          <w:szCs w:val="24"/>
          <w:lang w:val="zh-CN"/>
        </w:rPr>
      </w:pPr>
      <w:r>
        <w:t xml:space="preserve">                                                                                     </w:t>
      </w:r>
    </w:p>
    <w:p>
      <w:pPr>
        <w:snapToGrid w:val="0"/>
        <w:ind w:firstLine="576"/>
        <w:rPr>
          <w:rFonts w:ascii="宋体" w:hAnsi="宋体" w:cs="宋体"/>
          <w:b/>
          <w:bCs/>
          <w:kern w:val="0"/>
          <w:sz w:val="24"/>
          <w:szCs w:val="24"/>
          <w:lang w:val="zh-CN"/>
        </w:rPr>
      </w:pPr>
      <w:r>
        <w:t>六、争议解决的办法</w:t>
      </w:r>
    </w:p>
    <w:p>
      <w:pPr>
        <w:snapToGrid w:val="0"/>
        <w:ind w:firstLine="576"/>
        <w:rPr>
          <w:rFonts w:ascii="宋体" w:hAnsi="宋体" w:cs="宋体"/>
          <w:kern w:val="0"/>
          <w:sz w:val="24"/>
          <w:szCs w:val="24"/>
          <w:lang w:val="zh-CN"/>
        </w:rPr>
      </w:pPr>
      <w:r>
        <w:t xml:space="preserve">                                                                                  </w:t>
      </w:r>
    </w:p>
    <w:p>
      <w:pPr>
        <w:snapToGrid w:val="0"/>
        <w:spacing w:line="360" w:lineRule="auto"/>
        <w:rPr>
          <w:rStyle w:val="90"/>
          <w:rFonts w:hAnsi="宋体" w:cs="宋体"/>
          <w:sz w:val="24"/>
          <w:szCs w:val="24"/>
          <w:lang w:val="zh-CN"/>
        </w:rPr>
      </w:pPr>
      <w:r/>
    </w:p>
    <w:p>
      <w:pPr>
        <w:pStyle w:val="2"/>
        <w:rPr>
          <w:lang w:val="zh-CN"/>
        </w:rPr>
      </w:pPr>
      <w:r/>
    </w:p>
    <w:p>
      <w:pPr>
        <w:snapToGrid w:val="0"/>
        <w:spacing w:line="360" w:lineRule="auto"/>
        <w:rPr>
          <w:rFonts w:ascii="宋体" w:hAnsi="宋体" w:cs="宋体"/>
          <w:kern w:val="0"/>
          <w:sz w:val="24"/>
          <w:szCs w:val="24"/>
          <w:lang w:val="zh-CN"/>
        </w:rPr>
      </w:pPr>
      <w:r>
        <w:t>投标人名称(盖章)：</w:t>
      </w:r>
    </w:p>
    <w:p>
      <w:pPr>
        <w:spacing w:line="360" w:lineRule="auto"/>
        <w:ind w:right="420"/>
        <w:rPr>
          <w:rFonts w:ascii="宋体" w:hAnsi="宋体" w:cs="宋体"/>
          <w:kern w:val="0"/>
          <w:sz w:val="24"/>
          <w:szCs w:val="24"/>
          <w:lang w:val="zh-CN"/>
        </w:rPr>
      </w:pPr>
      <w:r>
        <w:t xml:space="preserve">                                               日期：  年  月   日</w:t>
      </w:r>
    </w:p>
    <w:p>
      <w:pPr>
        <w:spacing w:line="360" w:lineRule="auto"/>
        <w:ind w:right="420"/>
        <w:rPr>
          <w:rFonts w:ascii="宋体" w:hAnsi="宋体" w:cs="宋体"/>
          <w:sz w:val="24"/>
          <w:szCs w:val="24"/>
        </w:rPr>
      </w:pPr>
      <w:r>
        <w:t>注：按本格式和要求提供。</w:t>
      </w:r>
    </w:p>
    <w:p>
      <w:pPr>
        <w:widowControl/>
        <w:jc w:val="left"/>
        <w:rPr>
          <w:rFonts w:ascii="宋体" w:hAnsi="宋体" w:cs="宋体"/>
          <w:b/>
          <w:bCs/>
          <w:sz w:val="24"/>
          <w:szCs w:val="24"/>
        </w:rPr>
      </w:pPr>
      <w:r/>
    </w:p>
    <w:p>
      <w:pPr>
        <w:widowControl/>
        <w:jc w:val="left"/>
        <w:rPr>
          <w:rFonts w:ascii="宋体" w:hAnsi="宋体" w:cs="宋体"/>
          <w:b/>
          <w:bCs/>
          <w:sz w:val="24"/>
          <w:szCs w:val="24"/>
        </w:rPr>
      </w:pPr>
      <w:r/>
    </w:p>
    <w:p>
      <w:pPr>
        <w:widowControl/>
        <w:jc w:val="left"/>
        <w:rPr>
          <w:rFonts w:ascii="宋体" w:hAnsi="宋体" w:cs="宋体"/>
          <w:b/>
          <w:bCs/>
          <w:sz w:val="28"/>
          <w:szCs w:val="28"/>
        </w:rPr>
      </w:pPr>
      <w:r/>
    </w:p>
    <w:p>
      <w:pPr>
        <w:widowControl/>
        <w:jc w:val="left"/>
        <w:rPr>
          <w:rFonts w:ascii="宋体" w:hAnsi="宋体" w:cs="宋体"/>
          <w:b/>
          <w:bCs/>
          <w:sz w:val="28"/>
          <w:szCs w:val="28"/>
        </w:rPr>
      </w:pPr>
      <w:r/>
    </w:p>
    <w:p>
      <w:pPr>
        <w:widowControl/>
        <w:jc w:val="left"/>
        <w:rPr>
          <w:rFonts w:ascii="宋体" w:hAnsi="宋体" w:cs="宋体"/>
          <w:b/>
          <w:bCs/>
          <w:sz w:val="28"/>
          <w:szCs w:val="28"/>
        </w:rPr>
      </w:pPr>
      <w:r/>
    </w:p>
    <w:p>
      <w:pPr>
        <w:widowControl/>
        <w:jc w:val="left"/>
        <w:rPr>
          <w:rFonts w:ascii="宋体" w:hAnsi="宋体" w:cs="宋体"/>
          <w:b/>
          <w:bCs/>
          <w:sz w:val="28"/>
          <w:szCs w:val="28"/>
        </w:rPr>
      </w:pPr>
      <w:r/>
    </w:p>
    <w:p>
      <w:pPr>
        <w:widowControl/>
        <w:jc w:val="left"/>
        <w:rPr>
          <w:rFonts w:ascii="宋体" w:hAnsi="宋体" w:cs="宋体"/>
          <w:b/>
          <w:bCs/>
          <w:sz w:val="28"/>
          <w:szCs w:val="28"/>
        </w:rPr>
      </w:pPr>
      <w:r/>
    </w:p>
    <w:p>
      <w:pPr>
        <w:widowControl/>
        <w:jc w:val="left"/>
        <w:rPr>
          <w:rFonts w:ascii="宋体" w:hAnsi="宋体" w:cs="宋体"/>
          <w:b/>
          <w:bCs/>
          <w:sz w:val="28"/>
          <w:szCs w:val="28"/>
        </w:rPr>
      </w:pPr>
      <w:r/>
    </w:p>
    <w:p>
      <w:pPr>
        <w:widowControl/>
        <w:jc w:val="left"/>
        <w:rPr>
          <w:rFonts w:ascii="宋体" w:hAnsi="宋体" w:cs="宋体"/>
          <w:b/>
          <w:bCs/>
          <w:sz w:val="28"/>
          <w:szCs w:val="28"/>
        </w:rPr>
      </w:pPr>
      <w:r>
        <w:t>附件8：</w:t>
      </w:r>
    </w:p>
    <w:p>
      <w:pPr>
        <w:pStyle w:val="746"/>
        <w:snapToGrid w:val="0"/>
        <w:spacing w:before="0" w:line="420" w:lineRule="exact"/>
        <w:jc w:val="center"/>
        <w:rPr>
          <w:rStyle w:val="131"/>
          <w:rFonts w:ascii="宋体" w:eastAsia="宋体" w:cs="宋体"/>
          <w:color w:val="auto"/>
          <w:sz w:val="36"/>
        </w:rPr>
      </w:pPr>
      <w:r/>
    </w:p>
    <w:p>
      <w:pPr>
        <w:pStyle w:val="746"/>
        <w:snapToGrid w:val="0"/>
        <w:spacing w:before="0" w:line="420" w:lineRule="exact"/>
        <w:jc w:val="center"/>
        <w:rPr>
          <w:rStyle w:val="131"/>
          <w:rFonts w:ascii="宋体" w:eastAsia="宋体" w:cs="宋体"/>
          <w:color w:val="auto"/>
          <w:sz w:val="36"/>
        </w:rPr>
      </w:pPr>
      <w:r>
        <w:t>中小企业声明函（服务）</w:t>
      </w:r>
    </w:p>
    <w:p>
      <w:pPr>
        <w:pStyle w:val="747"/>
        <w:snapToGrid w:val="0"/>
        <w:spacing w:line="420" w:lineRule="exact"/>
        <w:ind w:right="90" w:firstLine="640"/>
        <w:rPr>
          <w:rStyle w:val="131"/>
          <w:rFonts w:ascii="宋体" w:hAnsi="宋体" w:eastAsia="宋体" w:cs="宋体"/>
          <w:spacing w:val="-2"/>
          <w:kern w:val="2"/>
          <w:sz w:val="22"/>
          <w:szCs w:val="22"/>
        </w:rPr>
      </w:pPr>
      <w:r>
        <w:t>本公司（     ）郑重声明，根据《政府采购促进中小企业发展管理办法》（财库﹝2020﹞46 号）的规定，本公司（      ）参加（单位名称）的（温岭市公共视频一体化建设二期东片视频图像服务）采购活动，服务全部由符合政策要求的中小企业承接。相关企业（含签订分包意向协议的中小企业）的具体情况如下：</w:t>
      </w:r>
    </w:p>
    <w:p>
      <w:pPr>
        <w:pStyle w:val="749"/>
        <w:numPr>
          <w:ilvl w:val="0"/>
          <w:numId w:val="45"/>
        </w:numPr>
        <w:tabs>
          <w:tab w:val="left" w:pos="1243"/>
        </w:tabs>
        <w:snapToGrid w:val="0"/>
        <w:spacing w:line="420" w:lineRule="exact"/>
        <w:ind w:firstLine="432"/>
        <w:jc w:val="left"/>
        <w:rPr>
          <w:rStyle w:val="131"/>
          <w:rFonts w:ascii="宋体" w:hAnsi="宋体" w:eastAsia="宋体" w:cs="宋体"/>
          <w:spacing w:val="-2"/>
          <w:kern w:val="2"/>
          <w:sz w:val="22"/>
          <w:szCs w:val="22"/>
        </w:rPr>
      </w:pPr>
      <w:r>
        <w:t xml:space="preserve">（温岭市公共视频一体化建设二期东片视频图像服务），属于（信息传输业）；承建（承接）企业为                （企业名称），从业人员 </w:t>
        <w:tab/>
        <w:t xml:space="preserve">     人，营业收入为           万元，资产总额为          </w:t>
        <w:tab/>
        <w:t>万元，属于             （中型企业、小型企业、微型企业）；</w:t>
      </w:r>
    </w:p>
    <w:p>
      <w:pPr>
        <w:pStyle w:val="747"/>
        <w:snapToGrid w:val="0"/>
        <w:spacing w:line="420" w:lineRule="exact"/>
        <w:ind w:left="860"/>
        <w:rPr>
          <w:rStyle w:val="131"/>
          <w:rFonts w:ascii="宋体" w:hAnsi="宋体" w:eastAsia="宋体" w:cs="宋体"/>
          <w:kern w:val="2"/>
          <w:sz w:val="22"/>
          <w:szCs w:val="22"/>
        </w:rPr>
      </w:pPr>
      <w:r>
        <w:t>……</w:t>
      </w:r>
    </w:p>
    <w:p>
      <w:pPr>
        <w:pStyle w:val="747"/>
        <w:snapToGrid w:val="0"/>
        <w:spacing w:line="420" w:lineRule="exact"/>
        <w:ind w:right="417" w:firstLine="645"/>
        <w:rPr>
          <w:rStyle w:val="131"/>
          <w:rFonts w:ascii="宋体" w:hAnsi="宋体" w:eastAsia="宋体" w:cs="宋体"/>
          <w:kern w:val="2"/>
          <w:sz w:val="22"/>
          <w:szCs w:val="22"/>
        </w:rPr>
      </w:pPr>
      <w:r>
        <w:t>以上企业，不属于大企业的分支机构，不存在控股股东为大企业的情形，也不存在与大企业的负责人为同一人的情形。</w:t>
      </w:r>
    </w:p>
    <w:p>
      <w:pPr>
        <w:pStyle w:val="747"/>
        <w:snapToGrid w:val="0"/>
        <w:spacing w:line="420" w:lineRule="exact"/>
        <w:ind w:right="375" w:firstLine="640"/>
        <w:rPr>
          <w:rStyle w:val="131"/>
          <w:rFonts w:ascii="宋体" w:hAnsi="宋体" w:eastAsia="宋体" w:cs="宋体"/>
          <w:kern w:val="2"/>
          <w:sz w:val="22"/>
          <w:szCs w:val="22"/>
        </w:rPr>
      </w:pPr>
      <w:r>
        <w:t>本企业对上述声明内容的真实性负责。如有虚假，将依法承担相应责任。</w:t>
      </w:r>
    </w:p>
    <w:p>
      <w:pPr>
        <w:pStyle w:val="747"/>
        <w:snapToGrid w:val="0"/>
        <w:spacing w:line="420" w:lineRule="exact"/>
        <w:ind w:left="4060" w:right="2166"/>
        <w:rPr>
          <w:rStyle w:val="131"/>
          <w:rFonts w:ascii="宋体" w:hAnsi="宋体" w:eastAsia="宋体" w:cs="宋体"/>
          <w:w w:val="99"/>
          <w:kern w:val="2"/>
        </w:rPr>
      </w:pPr>
      <w:r/>
    </w:p>
    <w:p>
      <w:pPr>
        <w:pStyle w:val="747"/>
        <w:snapToGrid w:val="0"/>
        <w:spacing w:line="420" w:lineRule="exact"/>
        <w:ind w:left="4060" w:right="2166"/>
        <w:rPr>
          <w:rStyle w:val="131"/>
          <w:rFonts w:ascii="宋体" w:hAnsi="宋体" w:eastAsia="宋体" w:cs="宋体"/>
          <w:w w:val="99"/>
          <w:kern w:val="2"/>
        </w:rPr>
      </w:pPr>
      <w:r/>
    </w:p>
    <w:p>
      <w:pPr>
        <w:pStyle w:val="747"/>
        <w:snapToGrid w:val="0"/>
        <w:spacing w:line="420" w:lineRule="exact"/>
        <w:ind w:right="375" w:firstLine="640"/>
        <w:jc w:val="center"/>
        <w:rPr>
          <w:rStyle w:val="131"/>
          <w:rFonts w:ascii="宋体" w:hAnsi="宋体" w:eastAsia="宋体" w:cs="宋体"/>
          <w:kern w:val="2"/>
          <w:sz w:val="22"/>
          <w:szCs w:val="22"/>
        </w:rPr>
      </w:pPr>
      <w:r>
        <w:t xml:space="preserve">                            企业名称（盖章）：</w:t>
      </w:r>
    </w:p>
    <w:p>
      <w:pPr>
        <w:pStyle w:val="747"/>
        <w:snapToGrid w:val="0"/>
        <w:spacing w:line="420" w:lineRule="exact"/>
        <w:ind w:left="4060" w:right="2166"/>
        <w:jc w:val="right"/>
        <w:rPr>
          <w:rStyle w:val="131"/>
          <w:rFonts w:ascii="宋体" w:hAnsi="宋体" w:eastAsia="宋体" w:cs="宋体"/>
          <w:spacing w:val="24"/>
          <w:kern w:val="2"/>
        </w:rPr>
      </w:pPr>
      <w:r>
        <w:t xml:space="preserve">    日期：</w:t>
      </w:r>
    </w:p>
    <w:p>
      <w:pPr>
        <w:snapToGrid w:val="0"/>
        <w:textAlignment w:val="baseline"/>
        <w:rPr>
          <w:rStyle w:val="131"/>
          <w:rFonts w:ascii="宋体" w:hAnsi="宋体" w:eastAsia="宋体" w:cs="宋体"/>
          <w:spacing w:val="24"/>
          <w:kern w:val="2"/>
          <w:szCs w:val="24"/>
        </w:rPr>
      </w:pPr>
      <w:r/>
    </w:p>
    <w:p>
      <w:pPr>
        <w:pStyle w:val="747"/>
        <w:snapToGrid w:val="0"/>
        <w:spacing w:line="420" w:lineRule="exact"/>
        <w:rPr>
          <w:rStyle w:val="131"/>
          <w:rFonts w:ascii="宋体" w:hAnsi="宋体" w:eastAsia="宋体" w:cs="宋体"/>
          <w:kern w:val="2"/>
          <w:sz w:val="18"/>
        </w:rPr>
      </w:pPr>
      <w:r/>
    </w:p>
    <w:p>
      <w:pPr>
        <w:pStyle w:val="747"/>
        <w:snapToGrid w:val="0"/>
        <w:spacing w:line="420" w:lineRule="exact"/>
        <w:rPr>
          <w:rStyle w:val="131"/>
          <w:rFonts w:ascii="宋体" w:hAnsi="宋体" w:eastAsia="宋体" w:cs="宋体"/>
          <w:kern w:val="2"/>
          <w:sz w:val="18"/>
        </w:rPr>
      </w:pPr>
      <w:r/>
    </w:p>
    <w:p>
      <w:pPr>
        <w:pStyle w:val="747"/>
        <w:snapToGrid w:val="0"/>
        <w:spacing w:line="420" w:lineRule="exact"/>
        <w:ind w:right="417"/>
        <w:rPr>
          <w:rStyle w:val="131"/>
          <w:rFonts w:ascii="宋体" w:hAnsi="宋体" w:eastAsia="宋体" w:cs="宋体"/>
          <w:spacing w:val="-3"/>
          <w:kern w:val="2"/>
          <w:sz w:val="22"/>
          <w:szCs w:val="22"/>
        </w:rPr>
      </w:pPr>
      <w:r>
        <w:t>备注：从业人员、营业收入、资产总额填报上一年度数据，无上一年度数据的新成立企业可不填报。</w:t>
      </w:r>
    </w:p>
    <w:p>
      <w:pPr>
        <w:pStyle w:val="748"/>
        <w:rPr>
          <w:rStyle w:val="131"/>
          <w:rFonts w:ascii="宋体" w:hAnsi="宋体" w:eastAsia="宋体" w:cs="宋体"/>
          <w:color w:val="FF0000"/>
          <w:spacing w:val="-3"/>
          <w:kern w:val="2"/>
          <w:sz w:val="22"/>
          <w:szCs w:val="22"/>
        </w:rPr>
      </w:pPr>
      <w:r/>
    </w:p>
    <w:p>
      <w:pPr>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p>
      <w:pPr>
        <w:pStyle w:val="767"/>
        <w:rPr>
          <w:rStyle w:val="131"/>
          <w:rFonts w:ascii="宋体" w:hAnsi="宋体" w:eastAsia="宋体" w:cs="宋体"/>
          <w:color w:val="FF0000"/>
          <w:spacing w:val="-3"/>
          <w:kern w:val="2"/>
          <w:sz w:val="22"/>
          <w:szCs w:val="22"/>
        </w:rPr>
      </w:pPr>
      <w:r/>
    </w:p>
    <w:tbl>
      <w:tblPr>
        <w:tblStyle w:val="59"/>
        <w:tblW w:w="103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859"/>
        <w:gridCol w:w="2163"/>
        <w:gridCol w:w="869"/>
        <w:gridCol w:w="4775"/>
        <w:gridCol w:w="1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0383" w:type="dxa"/>
            <w:gridSpan w:val="6"/>
            <w:tcBorders>
              <w:top w:val="single" w:color="auto" w:sz="4" w:space="0"/>
              <w:left w:val="single" w:color="auto" w:sz="4" w:space="0"/>
              <w:bottom w:val="single" w:color="auto" w:sz="4" w:space="0"/>
              <w:right w:val="single" w:color="auto" w:sz="4" w:space="0"/>
            </w:tcBorders>
            <w:vAlign w:val="center"/>
          </w:tcPr>
          <w:p>
            <w:r>
              <w:t>中小企业划型标准规定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0383" w:type="dxa"/>
            <w:gridSpan w:val="6"/>
            <w:tcBorders>
              <w:top w:val="single" w:color="auto" w:sz="4" w:space="0"/>
              <w:left w:val="single" w:color="auto" w:sz="4" w:space="0"/>
              <w:bottom w:val="single" w:color="auto" w:sz="4" w:space="0"/>
              <w:right w:val="single" w:color="auto" w:sz="4" w:space="0"/>
            </w:tcBorders>
            <w:vAlign w:val="center"/>
          </w:tcPr>
          <w:p>
            <w:r>
              <w:t>工信部联企业【2011】300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524" w:type="dxa"/>
            <w:tcBorders>
              <w:top w:val="single" w:color="auto" w:sz="4" w:space="0"/>
              <w:left w:val="single" w:color="auto" w:sz="4" w:space="0"/>
              <w:bottom w:val="single" w:color="auto" w:sz="4" w:space="0"/>
              <w:right w:val="single" w:color="auto" w:sz="4" w:space="0"/>
            </w:tcBorders>
            <w:vAlign w:val="center"/>
          </w:tcPr>
          <w:p>
            <w:r>
              <w:t>序号</w:t>
            </w:r>
          </w:p>
        </w:tc>
        <w:tc>
          <w:tcPr>
            <w:tcW w:w="859" w:type="dxa"/>
            <w:tcBorders>
              <w:top w:val="single" w:color="auto" w:sz="4" w:space="0"/>
              <w:left w:val="single" w:color="auto" w:sz="4" w:space="0"/>
              <w:bottom w:val="single" w:color="auto" w:sz="4" w:space="0"/>
              <w:right w:val="single" w:color="auto" w:sz="4" w:space="0"/>
            </w:tcBorders>
            <w:vAlign w:val="center"/>
          </w:tcPr>
          <w:p>
            <w:r>
              <w:t>行业</w:t>
            </w:r>
          </w:p>
        </w:tc>
        <w:tc>
          <w:tcPr>
            <w:tcW w:w="2163" w:type="dxa"/>
            <w:tcBorders>
              <w:top w:val="single" w:color="auto" w:sz="4" w:space="0"/>
              <w:left w:val="single" w:color="auto" w:sz="4" w:space="0"/>
              <w:bottom w:val="single" w:color="auto" w:sz="4" w:space="0"/>
              <w:right w:val="single" w:color="auto" w:sz="4" w:space="0"/>
            </w:tcBorders>
            <w:vAlign w:val="center"/>
          </w:tcPr>
          <w:p>
            <w:r>
              <w:t>原则</w:t>
            </w:r>
          </w:p>
        </w:tc>
        <w:tc>
          <w:tcPr>
            <w:tcW w:w="5644" w:type="dxa"/>
            <w:gridSpan w:val="2"/>
            <w:tcBorders>
              <w:top w:val="single" w:color="auto" w:sz="4" w:space="0"/>
              <w:left w:val="single" w:color="auto" w:sz="4" w:space="0"/>
              <w:bottom w:val="single" w:color="auto" w:sz="4" w:space="0"/>
              <w:right w:val="single" w:color="auto" w:sz="4" w:space="0"/>
            </w:tcBorders>
            <w:vAlign w:val="center"/>
          </w:tcPr>
          <w:p>
            <w:r>
              <w:t>具体规定</w:t>
            </w:r>
          </w:p>
        </w:tc>
        <w:tc>
          <w:tcPr>
            <w:tcW w:w="1193" w:type="dxa"/>
            <w:tcBorders>
              <w:top w:val="single" w:color="auto" w:sz="4" w:space="0"/>
              <w:left w:val="single" w:color="auto" w:sz="4" w:space="0"/>
              <w:bottom w:val="single" w:color="auto" w:sz="4" w:space="0"/>
              <w:right w:val="single" w:color="auto" w:sz="4" w:space="0"/>
            </w:tcBorders>
            <w:vAlign w:val="center"/>
          </w:tcPr>
          <w:p>
            <w: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restart"/>
            <w:tcBorders>
              <w:top w:val="single" w:color="auto" w:sz="4" w:space="0"/>
              <w:left w:val="single" w:color="auto" w:sz="4" w:space="0"/>
              <w:right w:val="single" w:color="auto" w:sz="4" w:space="0"/>
            </w:tcBorders>
            <w:vAlign w:val="center"/>
          </w:tcPr>
          <w:p>
            <w:r>
              <w:t>1</w:t>
            </w:r>
          </w:p>
        </w:tc>
        <w:tc>
          <w:tcPr>
            <w:tcW w:w="859" w:type="dxa"/>
            <w:vMerge w:val="restart"/>
            <w:tcBorders>
              <w:top w:val="single" w:color="auto" w:sz="4" w:space="0"/>
              <w:left w:val="single" w:color="auto" w:sz="4" w:space="0"/>
              <w:right w:val="single" w:color="auto" w:sz="4" w:space="0"/>
            </w:tcBorders>
            <w:vAlign w:val="center"/>
          </w:tcPr>
          <w:p>
            <w:r>
              <w:t>农、林、牧、渔业</w:t>
            </w:r>
          </w:p>
        </w:tc>
        <w:tc>
          <w:tcPr>
            <w:tcW w:w="2163" w:type="dxa"/>
            <w:vMerge w:val="restart"/>
            <w:tcBorders>
              <w:top w:val="single" w:color="auto" w:sz="4" w:space="0"/>
              <w:left w:val="single" w:color="auto" w:sz="4" w:space="0"/>
              <w:right w:val="single" w:color="auto" w:sz="4" w:space="0"/>
            </w:tcBorders>
            <w:vAlign w:val="center"/>
          </w:tcPr>
          <w:p>
            <w:r>
              <w:t>营业收入20000万元以下的为中小微型企业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营业收入500万元及以上的</w:t>
            </w:r>
          </w:p>
        </w:tc>
        <w:tc>
          <w:tcPr>
            <w:tcW w:w="1193" w:type="dxa"/>
            <w:vMerge w:val="restart"/>
            <w:tcBorders>
              <w:top w:val="single" w:color="auto" w:sz="4" w:space="0"/>
              <w:left w:val="single" w:color="auto" w:sz="4" w:space="0"/>
              <w:right w:val="single" w:color="auto" w:sz="4" w:space="0"/>
            </w:tcBorders>
            <w:vAlign w:val="center"/>
          </w:tcPr>
          <w:p>
            <w: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营业收入50万元及以上的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bottom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营业收入50万元以下的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top w:val="single" w:color="auto" w:sz="4" w:space="0"/>
              <w:left w:val="single" w:color="auto" w:sz="4" w:space="0"/>
              <w:right w:val="single" w:color="auto" w:sz="4" w:space="0"/>
            </w:tcBorders>
            <w:vAlign w:val="center"/>
          </w:tcPr>
          <w:p>
            <w:r>
              <w:t>2</w:t>
            </w:r>
          </w:p>
        </w:tc>
        <w:tc>
          <w:tcPr>
            <w:tcW w:w="859" w:type="dxa"/>
            <w:vMerge w:val="restart"/>
            <w:tcBorders>
              <w:top w:val="single" w:color="auto" w:sz="4" w:space="0"/>
              <w:left w:val="single" w:color="auto" w:sz="4" w:space="0"/>
              <w:right w:val="single" w:color="auto" w:sz="4" w:space="0"/>
            </w:tcBorders>
            <w:vAlign w:val="center"/>
          </w:tcPr>
          <w:p>
            <w:r>
              <w:t>工业</w:t>
            </w:r>
          </w:p>
        </w:tc>
        <w:tc>
          <w:tcPr>
            <w:tcW w:w="2163" w:type="dxa"/>
            <w:vMerge w:val="restart"/>
            <w:tcBorders>
              <w:top w:val="single" w:color="auto" w:sz="4" w:space="0"/>
              <w:left w:val="single" w:color="auto" w:sz="4" w:space="0"/>
              <w:right w:val="single" w:color="auto" w:sz="4" w:space="0"/>
            </w:tcBorders>
            <w:vAlign w:val="center"/>
          </w:tcPr>
          <w:p>
            <w:r>
              <w:t>从业人员1000人以下或营业收入40000万元以下的为中小微型企业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从业人员300人及以上且营业收入2千万元及以上的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从业人员20人及以上且营业收入300万元及以上的</w:t>
            </w:r>
          </w:p>
        </w:tc>
        <w:tc>
          <w:tcPr>
            <w:tcW w:w="1193" w:type="dxa"/>
            <w:vMerge w:val="continue"/>
            <w:tcBorders>
              <w:left w:val="single" w:color="auto" w:sz="4" w:space="0"/>
              <w:right w:val="single" w:color="auto" w:sz="4" w:space="0"/>
            </w:tcBorders>
            <w:vAlign w:val="center"/>
          </w:tcPr>
          <w:p>
            <w:pPr>
              <w:pStyle w:val="135"/>
              <w:spacing w:before="52"/>
              <w:ind w:left="11"/>
              <w:jc w:val="center"/>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从业人员20人以下或营业收入300万元以下的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3</w:t>
            </w:r>
          </w:p>
        </w:tc>
        <w:tc>
          <w:tcPr>
            <w:tcW w:w="859" w:type="dxa"/>
            <w:vMerge w:val="restart"/>
            <w:tcBorders>
              <w:left w:val="single" w:color="auto" w:sz="4" w:space="0"/>
              <w:right w:val="single" w:color="auto" w:sz="4" w:space="0"/>
            </w:tcBorders>
            <w:vAlign w:val="center"/>
          </w:tcPr>
          <w:p>
            <w:r>
              <w:t>建筑业</w:t>
            </w:r>
          </w:p>
        </w:tc>
        <w:tc>
          <w:tcPr>
            <w:tcW w:w="2163" w:type="dxa"/>
            <w:vMerge w:val="restart"/>
            <w:tcBorders>
              <w:left w:val="single" w:color="auto" w:sz="4" w:space="0"/>
              <w:right w:val="single" w:color="auto" w:sz="4" w:space="0"/>
            </w:tcBorders>
            <w:vAlign w:val="center"/>
          </w:tcPr>
          <w:p>
            <w:r>
              <w:t>营业收入80000万元以下或资产总额80000万元以下的为中小微型企业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营业收入6千万元及以上且资产总额5千万元及以上的</w:t>
            </w:r>
          </w:p>
        </w:tc>
        <w:tc>
          <w:tcPr>
            <w:tcW w:w="1193" w:type="dxa"/>
            <w:vMerge w:val="restart"/>
            <w:tcBorders>
              <w:top w:val="single" w:color="auto" w:sz="4" w:space="0"/>
              <w:left w:val="single" w:color="auto" w:sz="4" w:space="0"/>
              <w:right w:val="single" w:color="auto" w:sz="4" w:space="0"/>
            </w:tcBorders>
            <w:vAlign w:val="center"/>
          </w:tcPr>
          <w:p>
            <w:r>
              <w:t>营业收入</w:t>
              <w:b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营业收入300万元及以上且资产总额300万元及以上的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营业收入300万元以下或资产总额300万元以下的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4</w:t>
            </w:r>
          </w:p>
        </w:tc>
        <w:tc>
          <w:tcPr>
            <w:tcW w:w="859" w:type="dxa"/>
            <w:vMerge w:val="restart"/>
            <w:tcBorders>
              <w:left w:val="single" w:color="auto" w:sz="4" w:space="0"/>
              <w:right w:val="single" w:color="auto" w:sz="4" w:space="0"/>
            </w:tcBorders>
            <w:vAlign w:val="center"/>
          </w:tcPr>
          <w:p>
            <w:r>
              <w:t>批发业</w:t>
            </w:r>
          </w:p>
        </w:tc>
        <w:tc>
          <w:tcPr>
            <w:tcW w:w="2163" w:type="dxa"/>
            <w:vMerge w:val="restart"/>
            <w:tcBorders>
              <w:left w:val="single" w:color="auto" w:sz="4" w:space="0"/>
              <w:right w:val="single" w:color="auto" w:sz="4" w:space="0"/>
            </w:tcBorders>
            <w:vAlign w:val="center"/>
          </w:tcPr>
          <w:p>
            <w:r>
              <w:t>从业人员200人以下或营业收入40000万元以下的为中小微型企业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从业人员20人及以上，且营业收入5千万元及以上的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从业人员5人及以上且营业收入1千万元及以上的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从业人员5人以下或营业收入1千万元以下的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restart"/>
            <w:tcBorders>
              <w:left w:val="single" w:color="auto" w:sz="4" w:space="0"/>
              <w:right w:val="single" w:color="auto" w:sz="4" w:space="0"/>
            </w:tcBorders>
            <w:vAlign w:val="center"/>
          </w:tcPr>
          <w:p>
            <w:r>
              <w:t>5</w:t>
            </w:r>
          </w:p>
        </w:tc>
        <w:tc>
          <w:tcPr>
            <w:tcW w:w="859" w:type="dxa"/>
            <w:vMerge w:val="restart"/>
            <w:tcBorders>
              <w:left w:val="single" w:color="auto" w:sz="4" w:space="0"/>
              <w:right w:val="single" w:color="auto" w:sz="4" w:space="0"/>
            </w:tcBorders>
            <w:vAlign w:val="center"/>
          </w:tcPr>
          <w:p>
            <w:r>
              <w:t>零售业</w:t>
            </w:r>
          </w:p>
        </w:tc>
        <w:tc>
          <w:tcPr>
            <w:tcW w:w="2163" w:type="dxa"/>
            <w:vMerge w:val="restart"/>
            <w:tcBorders>
              <w:left w:val="single" w:color="auto" w:sz="4" w:space="0"/>
              <w:right w:val="single" w:color="auto" w:sz="4" w:space="0"/>
            </w:tcBorders>
            <w:vAlign w:val="center"/>
          </w:tcPr>
          <w:p>
            <w:r>
              <w:t>从业人员300人以下或营业收入20000万元以下的为中小微型企业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从业人员50人及以上且营业收入500万元及以上的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从业人员10人及以上且营业收入100万元及以上的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从业人员10人以下或营业收入100万元以下的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6</w:t>
            </w:r>
          </w:p>
        </w:tc>
        <w:tc>
          <w:tcPr>
            <w:tcW w:w="859" w:type="dxa"/>
            <w:vMerge w:val="restart"/>
            <w:tcBorders>
              <w:left w:val="single" w:color="auto" w:sz="4" w:space="0"/>
              <w:right w:val="single" w:color="auto" w:sz="4" w:space="0"/>
            </w:tcBorders>
            <w:vAlign w:val="center"/>
          </w:tcPr>
          <w:p>
            <w:r>
              <w:t>交通运输业</w:t>
            </w:r>
          </w:p>
        </w:tc>
        <w:tc>
          <w:tcPr>
            <w:tcW w:w="2163" w:type="dxa"/>
            <w:vMerge w:val="restart"/>
            <w:tcBorders>
              <w:left w:val="single" w:color="auto" w:sz="4" w:space="0"/>
              <w:right w:val="single" w:color="auto" w:sz="4" w:space="0"/>
            </w:tcBorders>
            <w:vAlign w:val="center"/>
          </w:tcPr>
          <w:p>
            <w:r>
              <w:t>从业人员1000人以下或营业收入30000万元以下的为中小微型企业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从业人员300人及以上且营业收 3千万元及以上的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从业人员20人及以上且营业收入200万元及以上的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从业人员20人以下或营业收入200万元以下的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7</w:t>
            </w:r>
          </w:p>
        </w:tc>
        <w:tc>
          <w:tcPr>
            <w:tcW w:w="859" w:type="dxa"/>
            <w:vMerge w:val="restart"/>
            <w:tcBorders>
              <w:left w:val="single" w:color="auto" w:sz="4" w:space="0"/>
              <w:right w:val="single" w:color="auto" w:sz="4" w:space="0"/>
            </w:tcBorders>
            <w:vAlign w:val="center"/>
          </w:tcPr>
          <w:p>
            <w:r>
              <w:t>仓储业</w:t>
            </w:r>
          </w:p>
        </w:tc>
        <w:tc>
          <w:tcPr>
            <w:tcW w:w="2163" w:type="dxa"/>
            <w:vMerge w:val="restart"/>
            <w:tcBorders>
              <w:left w:val="single" w:color="auto" w:sz="4" w:space="0"/>
              <w:right w:val="single" w:color="auto" w:sz="4" w:space="0"/>
            </w:tcBorders>
            <w:vAlign w:val="center"/>
          </w:tcPr>
          <w:p>
            <w:r>
              <w:t>从业人员200人以下或营业收入30000万元以下的为中小微型企业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从业人员100人及以上且营业收入1千万元及以上的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20 人及以上且营业收入100万元及以上的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从业人员20人以下或营业收入100万元以下的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8</w:t>
            </w:r>
          </w:p>
        </w:tc>
        <w:tc>
          <w:tcPr>
            <w:tcW w:w="859" w:type="dxa"/>
            <w:vMerge w:val="restart"/>
            <w:tcBorders>
              <w:left w:val="single" w:color="auto" w:sz="4" w:space="0"/>
              <w:right w:val="single" w:color="auto" w:sz="4" w:space="0"/>
            </w:tcBorders>
            <w:vAlign w:val="center"/>
          </w:tcPr>
          <w:p>
            <w:r>
              <w:t>邮政业</w:t>
            </w:r>
          </w:p>
        </w:tc>
        <w:tc>
          <w:tcPr>
            <w:tcW w:w="2163" w:type="dxa"/>
            <w:vMerge w:val="restart"/>
            <w:tcBorders>
              <w:left w:val="single" w:color="auto" w:sz="4" w:space="0"/>
              <w:right w:val="single" w:color="auto" w:sz="4" w:space="0"/>
            </w:tcBorders>
            <w:vAlign w:val="center"/>
          </w:tcPr>
          <w:p>
            <w:r>
              <w:t>从业人员1000人以下或营业收入30000万元以下的为中小微型企业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从业人员300人及以上，且营业收入2千万元及以上的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从业人员20人及以上且营业收入100万元及以上的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从业人员20人以下或营业收入100万元以下的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restart"/>
            <w:tcBorders>
              <w:left w:val="single" w:color="auto" w:sz="4" w:space="0"/>
              <w:right w:val="single" w:color="auto" w:sz="4" w:space="0"/>
            </w:tcBorders>
            <w:vAlign w:val="center"/>
          </w:tcPr>
          <w:p>
            <w:r>
              <w:t>9</w:t>
            </w:r>
          </w:p>
        </w:tc>
        <w:tc>
          <w:tcPr>
            <w:tcW w:w="859" w:type="dxa"/>
            <w:vMerge w:val="restart"/>
            <w:tcBorders>
              <w:left w:val="single" w:color="auto" w:sz="4" w:space="0"/>
              <w:right w:val="single" w:color="auto" w:sz="4" w:space="0"/>
            </w:tcBorders>
            <w:vAlign w:val="center"/>
          </w:tcPr>
          <w:p>
            <w:r>
              <w:t>住宿业</w:t>
            </w:r>
          </w:p>
        </w:tc>
        <w:tc>
          <w:tcPr>
            <w:tcW w:w="2163" w:type="dxa"/>
            <w:vMerge w:val="restart"/>
            <w:tcBorders>
              <w:left w:val="single" w:color="auto" w:sz="4" w:space="0"/>
              <w:right w:val="single" w:color="auto" w:sz="4" w:space="0"/>
            </w:tcBorders>
            <w:vAlign w:val="center"/>
          </w:tcPr>
          <w:p>
            <w:r>
              <w:t>从业人员300人以下或营业收入10000万元以下的为中小微型企业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从业人员100人及以上且营业收入2千万元及以上的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从业人员10人及以上且营业收入100万元及以上的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从业人员10人以下或营业收入100万元以下的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 w:type="dxa"/>
            <w:vMerge w:val="restart"/>
            <w:tcBorders>
              <w:left w:val="single" w:color="auto" w:sz="4" w:space="0"/>
              <w:right w:val="single" w:color="auto" w:sz="4" w:space="0"/>
            </w:tcBorders>
            <w:vAlign w:val="center"/>
          </w:tcPr>
          <w:p>
            <w:r>
              <w:t>10</w:t>
            </w:r>
          </w:p>
        </w:tc>
        <w:tc>
          <w:tcPr>
            <w:tcW w:w="859" w:type="dxa"/>
            <w:vMerge w:val="restart"/>
            <w:tcBorders>
              <w:left w:val="single" w:color="auto" w:sz="4" w:space="0"/>
              <w:right w:val="single" w:color="auto" w:sz="4" w:space="0"/>
            </w:tcBorders>
            <w:vAlign w:val="center"/>
          </w:tcPr>
          <w:p>
            <w:r>
              <w:t>餐饮业</w:t>
            </w:r>
          </w:p>
        </w:tc>
        <w:tc>
          <w:tcPr>
            <w:tcW w:w="2163" w:type="dxa"/>
            <w:vMerge w:val="restart"/>
            <w:tcBorders>
              <w:left w:val="single" w:color="auto" w:sz="4" w:space="0"/>
              <w:right w:val="single" w:color="auto" w:sz="4" w:space="0"/>
            </w:tcBorders>
            <w:vAlign w:val="center"/>
          </w:tcPr>
          <w:p>
            <w:r>
              <w:t>从业人员300人以下或营业收入10000万元以下的为中小微型企业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从业人员100人及以上且营业收入2千万元及以上的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 人及以上且营业收入100万元及以上的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从业人员10人以下或营业收入100万元以下的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11</w:t>
            </w:r>
          </w:p>
        </w:tc>
        <w:tc>
          <w:tcPr>
            <w:tcW w:w="859" w:type="dxa"/>
            <w:vMerge w:val="restart"/>
            <w:tcBorders>
              <w:left w:val="single" w:color="auto" w:sz="4" w:space="0"/>
              <w:right w:val="single" w:color="auto" w:sz="4" w:space="0"/>
            </w:tcBorders>
            <w:vAlign w:val="center"/>
          </w:tcPr>
          <w:p>
            <w:r>
              <w:t>信息传输业</w:t>
            </w:r>
          </w:p>
        </w:tc>
        <w:tc>
          <w:tcPr>
            <w:tcW w:w="2163" w:type="dxa"/>
            <w:vMerge w:val="restart"/>
            <w:tcBorders>
              <w:left w:val="single" w:color="auto" w:sz="4" w:space="0"/>
              <w:right w:val="single" w:color="auto" w:sz="4" w:space="0"/>
            </w:tcBorders>
            <w:vAlign w:val="center"/>
          </w:tcPr>
          <w:p>
            <w:r>
              <w:t>从业人员2000人以下或营业收入100000万元以下的为中小微型企业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从业人员100人及以上且营业收入1千万元及以上的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从业人员10人及以上且营业收入100万元及以上的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2163"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从业人员10人以下或营业收入100万元以下的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12</w:t>
            </w:r>
          </w:p>
        </w:tc>
        <w:tc>
          <w:tcPr>
            <w:tcW w:w="859" w:type="dxa"/>
            <w:vMerge w:val="restart"/>
            <w:tcBorders>
              <w:left w:val="single" w:color="auto" w:sz="4" w:space="0"/>
              <w:right w:val="single" w:color="auto" w:sz="4" w:space="0"/>
            </w:tcBorders>
            <w:vAlign w:val="center"/>
          </w:tcPr>
          <w:p>
            <w:r>
              <w:t>软件和信息技术服务业</w:t>
            </w:r>
          </w:p>
        </w:tc>
        <w:tc>
          <w:tcPr>
            <w:tcW w:w="2163" w:type="dxa"/>
            <w:vMerge w:val="restart"/>
            <w:tcBorders>
              <w:left w:val="single" w:color="auto" w:sz="4" w:space="0"/>
              <w:right w:val="single" w:color="auto" w:sz="4" w:space="0"/>
            </w:tcBorders>
            <w:vAlign w:val="center"/>
          </w:tcPr>
          <w:p>
            <w:r>
              <w:t>从业人员300人以下或</w:t>
              <w:br/>
              <w:t>营业收入10000万元以下的为中小微型企业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从业人员100人及以上且营业收入1千万元及以上的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 人及以上且营业收入50万元及以上的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 人以下或营业收入 50 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restart"/>
            <w:tcBorders>
              <w:left w:val="single" w:color="auto" w:sz="4" w:space="0"/>
              <w:right w:val="single" w:color="auto" w:sz="4" w:space="0"/>
            </w:tcBorders>
            <w:vAlign w:val="center"/>
          </w:tcPr>
          <w:p>
            <w:r>
              <w:t>13</w:t>
            </w:r>
          </w:p>
        </w:tc>
        <w:tc>
          <w:tcPr>
            <w:tcW w:w="859" w:type="dxa"/>
            <w:vMerge w:val="restart"/>
            <w:tcBorders>
              <w:left w:val="single" w:color="auto" w:sz="4" w:space="0"/>
              <w:right w:val="single" w:color="auto" w:sz="4" w:space="0"/>
            </w:tcBorders>
            <w:vAlign w:val="center"/>
          </w:tcPr>
          <w:p>
            <w:r>
              <w:t>房地产开发经营</w:t>
            </w:r>
          </w:p>
        </w:tc>
        <w:tc>
          <w:tcPr>
            <w:tcW w:w="2163" w:type="dxa"/>
            <w:vMerge w:val="restart"/>
            <w:tcBorders>
              <w:left w:val="single" w:color="auto" w:sz="4" w:space="0"/>
              <w:right w:val="single" w:color="auto" w:sz="4" w:space="0"/>
            </w:tcBorders>
            <w:vAlign w:val="center"/>
          </w:tcPr>
          <w:p>
            <w:r>
              <w:t>营业收入200000万元以下或资产总额10000万元以下的为中小微型企业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营业收入1千万元及以上且资产总额5千万元及以上的</w:t>
            </w:r>
          </w:p>
        </w:tc>
        <w:tc>
          <w:tcPr>
            <w:tcW w:w="1193" w:type="dxa"/>
            <w:vMerge w:val="restart"/>
            <w:tcBorders>
              <w:top w:val="single" w:color="auto" w:sz="4" w:space="0"/>
              <w:left w:val="single" w:color="auto" w:sz="4" w:space="0"/>
              <w:right w:val="single" w:color="auto" w:sz="4" w:space="0"/>
            </w:tcBorders>
            <w:vAlign w:val="center"/>
          </w:tcPr>
          <w:p>
            <w:r>
              <w:t>营业收入</w:t>
              <w:b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营业收入100万元及以上且资产总额2千万元及以上的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营业收入100万元以下或资产总额 2千万元以下的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14</w:t>
            </w:r>
          </w:p>
        </w:tc>
        <w:tc>
          <w:tcPr>
            <w:tcW w:w="859" w:type="dxa"/>
            <w:vMerge w:val="restart"/>
            <w:tcBorders>
              <w:left w:val="single" w:color="auto" w:sz="4" w:space="0"/>
              <w:right w:val="single" w:color="auto" w:sz="4" w:space="0"/>
            </w:tcBorders>
            <w:vAlign w:val="center"/>
          </w:tcPr>
          <w:p>
            <w:r>
              <w:t>物业管理</w:t>
            </w:r>
          </w:p>
        </w:tc>
        <w:tc>
          <w:tcPr>
            <w:tcW w:w="2163" w:type="dxa"/>
            <w:vMerge w:val="restart"/>
            <w:tcBorders>
              <w:left w:val="single" w:color="auto" w:sz="4" w:space="0"/>
              <w:right w:val="single" w:color="auto" w:sz="4" w:space="0"/>
            </w:tcBorders>
            <w:vAlign w:val="center"/>
          </w:tcPr>
          <w:p>
            <w:r>
              <w:t>从业人员1000人以下或营业收入5000万元以下的为中小微型企业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从业人员300人及以上且营业收入1千万元及以上的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营业收入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从业人员100人及以上且营业收入 500万元及以上的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从业人员100人以下或营业收入500万元以下的为微型企业</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15</w:t>
            </w:r>
          </w:p>
        </w:tc>
        <w:tc>
          <w:tcPr>
            <w:tcW w:w="859" w:type="dxa"/>
            <w:vMerge w:val="restart"/>
            <w:tcBorders>
              <w:left w:val="single" w:color="auto" w:sz="4" w:space="0"/>
              <w:right w:val="single" w:color="auto" w:sz="4" w:space="0"/>
            </w:tcBorders>
            <w:vAlign w:val="center"/>
          </w:tcPr>
          <w:p>
            <w:r>
              <w:t>租赁和商务服务业</w:t>
            </w:r>
          </w:p>
        </w:tc>
        <w:tc>
          <w:tcPr>
            <w:tcW w:w="2163" w:type="dxa"/>
            <w:vMerge w:val="restart"/>
            <w:tcBorders>
              <w:left w:val="single" w:color="auto" w:sz="4" w:space="0"/>
              <w:right w:val="single" w:color="auto" w:sz="4" w:space="0"/>
            </w:tcBorders>
            <w:vAlign w:val="center"/>
          </w:tcPr>
          <w:p>
            <w:r>
              <w:t>从业人员300人以下或</w:t>
              <w:br/>
              <w:t>资产总额120000万元以下的为中小微型企业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从业人员100人及以上且资产总额8千万元及以上的</w:t>
            </w:r>
          </w:p>
        </w:tc>
        <w:tc>
          <w:tcPr>
            <w:tcW w:w="1193" w:type="dxa"/>
            <w:vMerge w:val="restart"/>
            <w:tcBorders>
              <w:top w:val="single" w:color="auto" w:sz="4" w:space="0"/>
              <w:left w:val="single" w:color="auto" w:sz="4" w:space="0"/>
              <w:right w:val="single" w:color="auto" w:sz="4" w:space="0"/>
            </w:tcBorders>
            <w:vAlign w:val="center"/>
          </w:tcPr>
          <w:p>
            <w:r>
              <w:t>从业人员</w:t>
              <w:b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10人及以上且资产总额 100万元及以上的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center"/>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 人以下或资产总额 100 万元以下的</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restart"/>
            <w:tcBorders>
              <w:left w:val="single" w:color="auto" w:sz="4" w:space="0"/>
              <w:right w:val="single" w:color="auto" w:sz="4" w:space="0"/>
            </w:tcBorders>
            <w:vAlign w:val="center"/>
          </w:tcPr>
          <w:p>
            <w:r>
              <w:t>16</w:t>
            </w:r>
          </w:p>
        </w:tc>
        <w:tc>
          <w:tcPr>
            <w:tcW w:w="859" w:type="dxa"/>
            <w:vMerge w:val="restart"/>
            <w:tcBorders>
              <w:left w:val="single" w:color="auto" w:sz="4" w:space="0"/>
              <w:right w:val="single" w:color="auto" w:sz="4" w:space="0"/>
            </w:tcBorders>
            <w:vAlign w:val="center"/>
          </w:tcPr>
          <w:p>
            <w:r>
              <w:t>其他未列明行业</w:t>
            </w:r>
          </w:p>
        </w:tc>
        <w:tc>
          <w:tcPr>
            <w:tcW w:w="2163" w:type="dxa"/>
            <w:vMerge w:val="restart"/>
            <w:tcBorders>
              <w:left w:val="single" w:color="auto" w:sz="4" w:space="0"/>
              <w:right w:val="single" w:color="auto" w:sz="4" w:space="0"/>
            </w:tcBorders>
            <w:vAlign w:val="center"/>
          </w:tcPr>
          <w:p>
            <w:r>
              <w:t>从业人员300人以下的为中小微型企业</w:t>
            </w:r>
          </w:p>
        </w:tc>
        <w:tc>
          <w:tcPr>
            <w:tcW w:w="869" w:type="dxa"/>
            <w:tcBorders>
              <w:top w:val="single" w:color="auto" w:sz="4" w:space="0"/>
              <w:left w:val="single" w:color="auto" w:sz="4" w:space="0"/>
              <w:bottom w:val="single" w:color="auto" w:sz="4" w:space="0"/>
              <w:right w:val="single" w:color="auto" w:sz="4" w:space="0"/>
            </w:tcBorders>
            <w:vAlign w:val="center"/>
          </w:tcPr>
          <w:p>
            <w:r>
              <w:t>中型企业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100 人及以上的</w:t>
            </w:r>
          </w:p>
        </w:tc>
        <w:tc>
          <w:tcPr>
            <w:tcW w:w="1193" w:type="dxa"/>
            <w:vMerge w:val="restart"/>
            <w:tcBorders>
              <w:top w:val="single" w:color="auto" w:sz="4" w:space="0"/>
              <w:left w:val="single" w:color="auto" w:sz="4" w:space="0"/>
              <w:right w:val="single" w:color="auto" w:sz="4" w:space="0"/>
            </w:tcBorders>
            <w:vAlign w:val="center"/>
          </w:tcPr>
          <w:p>
            <w:r>
              <w:t>从业人员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left"/>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小型企业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 人及以上的</w:t>
            </w:r>
          </w:p>
        </w:tc>
        <w:tc>
          <w:tcPr>
            <w:tcW w:w="1193" w:type="dxa"/>
            <w:vMerge w:val="continue"/>
            <w:tcBorders>
              <w:left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52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rPr>
            </w:pPr>
          </w:p>
        </w:tc>
        <w:tc>
          <w:tcPr>
            <w:tcW w:w="859" w:type="dxa"/>
            <w:vMerge w:val="continue"/>
            <w:tcBorders>
              <w:left w:val="single" w:color="auto" w:sz="4" w:space="0"/>
              <w:right w:val="single" w:color="auto" w:sz="4" w:space="0"/>
            </w:tcBorders>
            <w:vAlign w:val="center"/>
          </w:tcPr>
          <w:p>
            <w:pPr>
              <w:pStyle w:val="135"/>
              <w:spacing w:before="52"/>
              <w:jc w:val="left"/>
              <w:rPr>
                <w:sz w:val="20"/>
              </w:rPr>
            </w:pPr>
          </w:p>
        </w:tc>
        <w:tc>
          <w:tcPr>
            <w:tcW w:w="2163" w:type="dxa"/>
            <w:vMerge w:val="continue"/>
            <w:tcBorders>
              <w:left w:val="single" w:color="auto" w:sz="4" w:space="0"/>
              <w:right w:val="single" w:color="auto" w:sz="4" w:space="0"/>
            </w:tcBorders>
            <w:vAlign w:val="center"/>
          </w:tcPr>
          <w:p>
            <w:pPr>
              <w:pStyle w:val="135"/>
              <w:spacing w:before="52"/>
              <w:jc w:val="left"/>
              <w:rPr>
                <w:sz w:val="20"/>
              </w:rPr>
            </w:pPr>
          </w:p>
        </w:tc>
        <w:tc>
          <w:tcPr>
            <w:tcW w:w="869" w:type="dxa"/>
            <w:tcBorders>
              <w:top w:val="single" w:color="auto" w:sz="4" w:space="0"/>
              <w:left w:val="single" w:color="auto" w:sz="4" w:space="0"/>
              <w:bottom w:val="single" w:color="auto" w:sz="4" w:space="0"/>
              <w:right w:val="single" w:color="auto" w:sz="4" w:space="0"/>
            </w:tcBorders>
            <w:vAlign w:val="center"/>
          </w:tcPr>
          <w:p>
            <w:r>
              <w:t>微型企业</w:t>
            </w:r>
          </w:p>
        </w:tc>
        <w:tc>
          <w:tcPr>
            <w:tcW w:w="4775" w:type="dxa"/>
            <w:tcBorders>
              <w:top w:val="single" w:color="auto" w:sz="4" w:space="0"/>
              <w:left w:val="single" w:color="auto" w:sz="4" w:space="0"/>
              <w:bottom w:val="single" w:color="auto" w:sz="4" w:space="0"/>
              <w:right w:val="single" w:color="auto" w:sz="4" w:space="0"/>
            </w:tcBorders>
            <w:vAlign w:val="center"/>
          </w:tcPr>
          <w:p>
            <w:r>
              <w:t>从业人员 10 人以下的为微型企业</w:t>
            </w:r>
          </w:p>
        </w:tc>
        <w:tc>
          <w:tcPr>
            <w:tcW w:w="1193" w:type="dxa"/>
            <w:vMerge w:val="continue"/>
            <w:tcBorders>
              <w:left w:val="single" w:color="auto" w:sz="4" w:space="0"/>
              <w:bottom w:val="single" w:color="auto" w:sz="4" w:space="0"/>
              <w:right w:val="single" w:color="auto" w:sz="4" w:space="0"/>
            </w:tcBorders>
            <w:vAlign w:val="center"/>
          </w:tcPr>
          <w:p>
            <w:pPr>
              <w:pStyle w:val="135"/>
              <w:jc w:val="center"/>
              <w:rPr>
                <w:rFonts w:asciiTheme="minorEastAsia" w:hAnsiTheme="minorEastAsia" w:eastAsiaTheme="minorEastAsia" w:cstheme="minorEastAsia"/>
              </w:rPr>
            </w:pPr>
          </w:p>
        </w:tc>
      </w:tr>
    </w:tbl>
    <w:p>
      <w:pPr>
        <w:rPr>
          <w:rFonts w:ascii="微软雅黑" w:eastAsia="微软雅黑"/>
        </w:rPr>
      </w:pPr>
      <w:r>
        <w:t>该附件可供投标人参考。</w:t>
      </w:r>
    </w:p>
    <w:p>
      <w:pPr>
        <w:spacing w:line="374" w:lineRule="exact"/>
        <w:jc w:val="left"/>
        <w:rPr>
          <w:rFonts w:ascii="微软雅黑" w:eastAsia="微软雅黑"/>
        </w:rPr>
      </w:pPr>
      <w:r>
        <w:t>中小企业声明函填写说明：</w:t>
      </w:r>
    </w:p>
    <w:p>
      <w:pPr>
        <w:spacing w:line="374" w:lineRule="exact"/>
        <w:jc w:val="left"/>
        <w:rPr>
          <w:rFonts w:ascii="微软雅黑" w:eastAsia="微软雅黑"/>
        </w:rPr>
      </w:pPr>
      <w:r>
        <w:t>1、根据工信部联企业[2011]300号文件，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w:t>
      </w:r>
    </w:p>
    <w:p>
      <w:pPr>
        <w:spacing w:line="374" w:lineRule="exact"/>
        <w:jc w:val="left"/>
        <w:rPr>
          <w:rFonts w:ascii="微软雅黑" w:eastAsia="微软雅黑"/>
        </w:rPr>
      </w:pPr>
      <w:r>
        <w:t>2、若投标产品来源于不同的制造商，应在《中小企业声明函》中逐项列明。</w:t>
      </w:r>
    </w:p>
    <w:p>
      <w:pPr>
        <w:pStyle w:val="767"/>
        <w:rPr>
          <w:rStyle w:val="131"/>
          <w:rFonts w:ascii="宋体" w:hAnsi="宋体" w:eastAsia="宋体" w:cs="宋体"/>
          <w:color w:val="FF0000"/>
          <w:spacing w:val="-3"/>
          <w:kern w:val="2"/>
          <w:sz w:val="22"/>
          <w:szCs w:val="22"/>
        </w:rPr>
        <w:sectPr>
          <w:headerReference r:id="rId10" w:type="default"/>
          <w:footerReference r:id="rId11" w:type="default"/>
          <w:pgSz w:w="11910" w:h="16840"/>
          <w:pgMar w:top="1440" w:right="1080" w:bottom="1440" w:left="1080" w:header="964" w:footer="794" w:gutter="0"/>
          <w:cols w:space="425" w:num="1"/>
        </w:sectPr>
      </w:pPr>
      <w:r/>
    </w:p>
    <w:p>
      <w:pPr>
        <w:widowControl/>
        <w:jc w:val="left"/>
        <w:rPr>
          <w:rFonts w:ascii="宋体" w:hAnsi="宋体" w:cs="宋体"/>
          <w:b/>
          <w:bCs/>
          <w:sz w:val="28"/>
          <w:szCs w:val="28"/>
        </w:rPr>
      </w:pPr>
      <w:r>
        <w:t>附件9</w:t>
      </w:r>
    </w:p>
    <w:p>
      <w:pPr>
        <w:widowControl/>
        <w:jc w:val="center"/>
        <w:rPr>
          <w:rFonts w:ascii="宋体" w:hAnsi="宋体" w:cs="宋体"/>
          <w:b/>
          <w:bCs/>
          <w:spacing w:val="21"/>
          <w:kern w:val="0"/>
          <w:sz w:val="32"/>
          <w:szCs w:val="32"/>
        </w:rPr>
      </w:pPr>
      <w:r>
        <w:t>残疾人福利性单位声明函</w:t>
      </w:r>
    </w:p>
    <w:p>
      <w:pPr>
        <w:spacing w:line="588" w:lineRule="exact"/>
        <w:ind w:firstLine="432" w:firstLineChars="200"/>
        <w:rPr>
          <w:rStyle w:val="131"/>
          <w:rFonts w:ascii="宋体" w:hAnsi="宋体" w:eastAsia="宋体" w:cs="宋体"/>
          <w:spacing w:val="-2"/>
          <w:kern w:val="2"/>
          <w:sz w:val="22"/>
          <w:szCs w:val="22"/>
        </w:rPr>
      </w:pPr>
      <w:r>
        <w:t>本单位郑重声明，根据《财政部民政部中国残疾人联合会关于促进残疾人就业政府采购政策的通知》（财库〔2017〕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432" w:firstLineChars="200"/>
        <w:rPr>
          <w:rStyle w:val="131"/>
          <w:rFonts w:ascii="宋体" w:hAnsi="宋体" w:eastAsia="宋体" w:cs="宋体"/>
          <w:spacing w:val="-2"/>
          <w:kern w:val="2"/>
          <w:sz w:val="22"/>
          <w:szCs w:val="22"/>
        </w:rPr>
      </w:pPr>
      <w:r>
        <w:t>本单位对上述声明的真实性负责。如有虚假，将依法承担相应责任。</w:t>
      </w:r>
    </w:p>
    <w:p>
      <w:pPr>
        <w:tabs>
          <w:tab w:val="left" w:pos="4860"/>
        </w:tabs>
        <w:spacing w:line="588" w:lineRule="exact"/>
        <w:ind w:right="1560" w:firstLine="504" w:firstLineChars="200"/>
        <w:jc w:val="center"/>
        <w:rPr>
          <w:rFonts w:ascii="宋体" w:hAnsi="宋体" w:cs="宋体"/>
          <w:spacing w:val="6"/>
          <w:sz w:val="24"/>
          <w:szCs w:val="24"/>
        </w:rPr>
      </w:pPr>
      <w:r/>
    </w:p>
    <w:p>
      <w:pPr>
        <w:tabs>
          <w:tab w:val="left" w:pos="4860"/>
        </w:tabs>
        <w:spacing w:line="588" w:lineRule="exact"/>
        <w:ind w:right="1560" w:firstLine="504" w:firstLineChars="200"/>
        <w:jc w:val="center"/>
        <w:rPr>
          <w:rFonts w:ascii="宋体" w:hAnsi="宋体" w:cs="宋体"/>
          <w:spacing w:val="6"/>
          <w:sz w:val="24"/>
          <w:szCs w:val="24"/>
        </w:rPr>
      </w:pPr>
      <w:r>
        <w:t xml:space="preserve">             投标人名称（盖公章）：</w:t>
      </w:r>
    </w:p>
    <w:p>
      <w:pPr>
        <w:tabs>
          <w:tab w:val="left" w:pos="4860"/>
        </w:tabs>
        <w:spacing w:line="588" w:lineRule="exact"/>
        <w:ind w:right="1560" w:firstLine="504" w:firstLineChars="200"/>
        <w:jc w:val="center"/>
        <w:rPr>
          <w:rFonts w:ascii="宋体" w:hAnsi="宋体" w:cs="宋体"/>
          <w:sz w:val="24"/>
          <w:szCs w:val="24"/>
        </w:rPr>
      </w:pPr>
      <w:r>
        <w:t xml:space="preserve">                          日  期：</w:t>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微软雅黑" w:hAnsi="微软雅黑" w:eastAsia="微软雅黑" w:cs="微软雅黑"/>
          <w:b/>
          <w:bCs/>
          <w:sz w:val="28"/>
          <w:szCs w:val="28"/>
        </w:rPr>
      </w:pPr>
      <w:r/>
    </w:p>
    <w:p>
      <w:pPr>
        <w:widowControl/>
        <w:jc w:val="left"/>
        <w:rPr>
          <w:rFonts w:ascii="宋体" w:hAnsi="宋体" w:cs="宋体"/>
          <w:b/>
          <w:bCs/>
          <w:color w:val="000000" w:themeColor="text1"/>
          <w:sz w:val="28"/>
          <w:szCs w:val="28"/>
        </w:rPr>
      </w:pPr>
      <w:r/>
    </w:p>
    <w:p>
      <w:pPr>
        <w:widowControl/>
        <w:jc w:val="left"/>
        <w:rPr>
          <w:rFonts w:ascii="仿宋_GB2312" w:hAnsi="宋体" w:eastAsia="仿宋_GB2312"/>
          <w:b/>
          <w:bCs/>
          <w:color w:val="000000" w:themeColor="text1"/>
          <w:sz w:val="30"/>
          <w:szCs w:val="30"/>
        </w:rPr>
      </w:pPr>
      <w:r>
        <w:t>附件10：</w:t>
      </w:r>
    </w:p>
    <w:p>
      <w:pPr>
        <w:wordWrap w:val="0"/>
        <w:snapToGrid w:val="0"/>
        <w:spacing w:before="156" w:beforeLines="50" w:after="50" w:line="360" w:lineRule="auto"/>
        <w:jc w:val="right"/>
        <w:rPr>
          <w:rFonts w:ascii="仿宋_GB2312" w:hAnsi="宋体" w:eastAsia="仿宋_GB2312"/>
          <w:color w:val="000000" w:themeColor="text1"/>
          <w:sz w:val="30"/>
          <w:szCs w:val="30"/>
        </w:rPr>
      </w:pPr>
      <w:r>
        <w:t>正本（或副本）</w:t>
      </w:r>
    </w:p>
    <w:p>
      <w:pPr>
        <w:spacing w:line="360" w:lineRule="auto"/>
        <w:ind w:right="-110"/>
        <w:jc w:val="center"/>
        <w:rPr>
          <w:rFonts w:ascii="宋体"/>
          <w:color w:val="000000" w:themeColor="text1"/>
          <w:spacing w:val="40"/>
          <w:sz w:val="52"/>
          <w:szCs w:val="52"/>
          <w:u w:val="single"/>
        </w:rPr>
      </w:pPr>
      <w:r>
        <w:t>项目名称</w:t>
      </w:r>
    </w:p>
    <w:p>
      <w:pPr>
        <w:spacing w:before="312" w:beforeLines="100" w:line="360" w:lineRule="auto"/>
        <w:ind w:right="-108"/>
        <w:jc w:val="center"/>
        <w:rPr>
          <w:rFonts w:ascii="宋体"/>
          <w:color w:val="000000" w:themeColor="text1"/>
          <w:sz w:val="36"/>
          <w:szCs w:val="36"/>
          <w:u w:val="single"/>
        </w:rPr>
      </w:pPr>
      <w:r>
        <w:t>项目编号：</w:t>
      </w:r>
    </w:p>
    <w:p>
      <w:pPr>
        <w:autoSpaceDE w:val="0"/>
        <w:autoSpaceDN w:val="0"/>
        <w:adjustRightInd w:val="0"/>
        <w:spacing w:line="360" w:lineRule="auto"/>
        <w:jc w:val="center"/>
        <w:rPr>
          <w:rFonts w:ascii="宋体"/>
          <w:color w:val="000000" w:themeColor="text1"/>
          <w:sz w:val="84"/>
          <w:szCs w:val="84"/>
          <w:lang w:val="zh-CN"/>
        </w:rPr>
      </w:pPr>
      <w:r/>
    </w:p>
    <w:p>
      <w:pPr>
        <w:autoSpaceDE w:val="0"/>
        <w:autoSpaceDN w:val="0"/>
        <w:adjustRightInd w:val="0"/>
        <w:spacing w:line="360" w:lineRule="auto"/>
        <w:jc w:val="center"/>
        <w:rPr>
          <w:rFonts w:ascii="宋体"/>
          <w:color w:val="000000" w:themeColor="text1"/>
          <w:sz w:val="84"/>
          <w:szCs w:val="84"/>
          <w:lang w:val="zh-CN"/>
        </w:rPr>
      </w:pPr>
      <w:r>
        <w:t>投</w:t>
      </w:r>
    </w:p>
    <w:p>
      <w:pPr>
        <w:autoSpaceDE w:val="0"/>
        <w:autoSpaceDN w:val="0"/>
        <w:adjustRightInd w:val="0"/>
        <w:spacing w:line="360" w:lineRule="auto"/>
        <w:jc w:val="center"/>
        <w:rPr>
          <w:rFonts w:ascii="宋体"/>
          <w:color w:val="000000" w:themeColor="text1"/>
          <w:sz w:val="84"/>
          <w:szCs w:val="84"/>
          <w:lang w:val="zh-CN"/>
        </w:rPr>
      </w:pPr>
      <w:r>
        <w:t>标</w:t>
      </w:r>
    </w:p>
    <w:p>
      <w:pPr>
        <w:autoSpaceDE w:val="0"/>
        <w:autoSpaceDN w:val="0"/>
        <w:adjustRightInd w:val="0"/>
        <w:spacing w:line="360" w:lineRule="auto"/>
        <w:jc w:val="center"/>
        <w:rPr>
          <w:rFonts w:ascii="宋体"/>
          <w:color w:val="000000" w:themeColor="text1"/>
          <w:sz w:val="84"/>
          <w:szCs w:val="84"/>
        </w:rPr>
      </w:pPr>
      <w:r>
        <w:t>文</w:t>
      </w:r>
    </w:p>
    <w:p>
      <w:pPr>
        <w:spacing w:after="100" w:afterAutospacing="1" w:line="360" w:lineRule="auto"/>
        <w:ind w:right="-108"/>
        <w:jc w:val="center"/>
        <w:rPr>
          <w:rFonts w:ascii="宋体"/>
          <w:color w:val="000000" w:themeColor="text1"/>
          <w:sz w:val="84"/>
          <w:szCs w:val="84"/>
          <w:lang w:val="zh-CN"/>
        </w:rPr>
      </w:pPr>
      <w:r>
        <w:t>件</w:t>
      </w:r>
    </w:p>
    <w:p>
      <w:pPr>
        <w:spacing w:after="100" w:afterAutospacing="1" w:line="360" w:lineRule="auto"/>
        <w:ind w:right="-108"/>
        <w:jc w:val="center"/>
        <w:rPr>
          <w:rFonts w:ascii="宋体"/>
          <w:b/>
          <w:bCs/>
          <w:color w:val="000000" w:themeColor="text1"/>
          <w:spacing w:val="40"/>
          <w:sz w:val="28"/>
          <w:szCs w:val="28"/>
        </w:rPr>
      </w:pPr>
      <w:r>
        <w:t>（商务技术文件）</w:t>
      </w:r>
    </w:p>
    <w:p>
      <w:pPr>
        <w:spacing w:line="360" w:lineRule="auto"/>
        <w:ind w:right="532" w:firstLine="720" w:firstLineChars="200"/>
        <w:rPr>
          <w:rFonts w:ascii="宋体"/>
          <w:color w:val="000000" w:themeColor="text1"/>
          <w:sz w:val="36"/>
          <w:szCs w:val="36"/>
        </w:rPr>
      </w:pPr>
      <w:r>
        <w:t>投标人全称（公章）：</w:t>
      </w:r>
    </w:p>
    <w:p>
      <w:pPr>
        <w:spacing w:line="360" w:lineRule="auto"/>
        <w:ind w:right="532" w:firstLine="720" w:firstLineChars="200"/>
        <w:rPr>
          <w:rFonts w:ascii="宋体"/>
          <w:color w:val="000000" w:themeColor="text1"/>
          <w:sz w:val="36"/>
          <w:szCs w:val="36"/>
        </w:rPr>
      </w:pPr>
      <w:r>
        <w:t>地址：</w:t>
      </w:r>
    </w:p>
    <w:p>
      <w:pPr>
        <w:spacing w:line="360" w:lineRule="auto"/>
        <w:ind w:right="532" w:firstLine="720" w:firstLineChars="200"/>
        <w:rPr>
          <w:rFonts w:ascii="宋体"/>
          <w:color w:val="000000" w:themeColor="text1"/>
          <w:sz w:val="36"/>
          <w:szCs w:val="36"/>
        </w:rPr>
      </w:pPr>
      <w:r>
        <w:t>时间：</w:t>
      </w:r>
    </w:p>
    <w:p>
      <w:pPr>
        <w:spacing w:line="360" w:lineRule="auto"/>
        <w:ind w:right="532" w:firstLine="720" w:firstLineChars="200"/>
        <w:rPr>
          <w:rFonts w:ascii="宋体"/>
          <w:color w:val="000000" w:themeColor="text1"/>
          <w:sz w:val="36"/>
          <w:szCs w:val="36"/>
        </w:rPr>
      </w:pPr>
      <w:r/>
    </w:p>
    <w:p>
      <w:pPr>
        <w:spacing w:before="312" w:beforeLines="100" w:line="360" w:lineRule="auto"/>
        <w:ind w:right="-108"/>
        <w:jc w:val="center"/>
        <w:rPr>
          <w:rFonts w:ascii="宋体" w:hAnsi="宋体" w:cs="宋体"/>
          <w:b/>
          <w:bCs/>
          <w:color w:val="000000" w:themeColor="text1"/>
          <w:sz w:val="32"/>
          <w:szCs w:val="32"/>
          <w:lang w:val="zh-CN"/>
        </w:rPr>
      </w:pPr>
      <w:r/>
    </w:p>
    <w:p>
      <w:pPr>
        <w:spacing w:before="312" w:beforeLines="100" w:line="360" w:lineRule="auto"/>
        <w:ind w:right="-108"/>
        <w:jc w:val="center"/>
        <w:rPr>
          <w:rFonts w:ascii="宋体"/>
          <w:b/>
          <w:bCs/>
          <w:color w:val="000000" w:themeColor="text1"/>
          <w:sz w:val="32"/>
          <w:szCs w:val="32"/>
        </w:rPr>
      </w:pPr>
      <w:r>
        <w:t>商务技术文件目录</w:t>
      </w:r>
    </w:p>
    <w:tbl>
      <w:tblPr>
        <w:tblStyle w:val="59"/>
        <w:tblW w:w="94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589"/>
        <w:gridCol w:w="4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blHeader/>
        </w:trPr>
        <w:tc>
          <w:tcPr>
            <w:tcW w:w="822" w:type="dxa"/>
            <w:vAlign w:val="center"/>
          </w:tcPr>
          <w:p>
            <w:r>
              <w:t>序号</w:t>
            </w:r>
          </w:p>
        </w:tc>
        <w:tc>
          <w:tcPr>
            <w:tcW w:w="8657" w:type="dxa"/>
            <w:gridSpan w:val="2"/>
            <w:vAlign w:val="center"/>
          </w:tcPr>
          <w:p>
            <w: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r>
              <w:t>1</w:t>
            </w:r>
          </w:p>
        </w:tc>
        <w:tc>
          <w:tcPr>
            <w:tcW w:w="4589" w:type="dxa"/>
            <w:vAlign w:val="center"/>
          </w:tcPr>
          <w:p>
            <w:r>
              <w:t>供应商自评表</w:t>
            </w:r>
          </w:p>
        </w:tc>
        <w:tc>
          <w:tcPr>
            <w:tcW w:w="4068" w:type="dxa"/>
            <w:vAlign w:val="center"/>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r>
              <w:t>2</w:t>
            </w:r>
          </w:p>
        </w:tc>
        <w:tc>
          <w:tcPr>
            <w:tcW w:w="4589" w:type="dxa"/>
            <w:vAlign w:val="center"/>
          </w:tcPr>
          <w:p>
            <w:r>
              <w:t>投标人基本情况表</w:t>
            </w:r>
          </w:p>
        </w:tc>
        <w:tc>
          <w:tcPr>
            <w:tcW w:w="4068"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r>
              <w:t>3</w:t>
            </w:r>
          </w:p>
        </w:tc>
        <w:tc>
          <w:tcPr>
            <w:tcW w:w="4589" w:type="dxa"/>
            <w:vAlign w:val="center"/>
          </w:tcPr>
          <w:p>
            <w:r>
              <w:t>项目经理资格情况表</w:t>
            </w:r>
          </w:p>
        </w:tc>
        <w:tc>
          <w:tcPr>
            <w:tcW w:w="4068"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r>
              <w:t>4</w:t>
            </w:r>
          </w:p>
        </w:tc>
        <w:tc>
          <w:tcPr>
            <w:tcW w:w="4589" w:type="dxa"/>
            <w:vAlign w:val="center"/>
          </w:tcPr>
          <w:p>
            <w:r>
              <w:t>项目实施人员一览表</w:t>
            </w:r>
          </w:p>
        </w:tc>
        <w:tc>
          <w:tcPr>
            <w:tcW w:w="4068"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r>
              <w:t>5</w:t>
            </w:r>
          </w:p>
        </w:tc>
        <w:tc>
          <w:tcPr>
            <w:tcW w:w="4589" w:type="dxa"/>
            <w:vAlign w:val="center"/>
          </w:tcPr>
          <w:p>
            <w:r>
              <w:t>证书一览表</w:t>
            </w:r>
          </w:p>
        </w:tc>
        <w:tc>
          <w:tcPr>
            <w:tcW w:w="4068"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2" w:type="dxa"/>
            <w:vAlign w:val="center"/>
          </w:tcPr>
          <w:p>
            <w:r>
              <w:t>6</w:t>
            </w:r>
          </w:p>
        </w:tc>
        <w:tc>
          <w:tcPr>
            <w:tcW w:w="4589" w:type="dxa"/>
            <w:vAlign w:val="center"/>
          </w:tcPr>
          <w:p>
            <w:r>
              <w:t>类似业绩一览表</w:t>
            </w:r>
          </w:p>
        </w:tc>
        <w:tc>
          <w:tcPr>
            <w:tcW w:w="4068"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2" w:type="dxa"/>
            <w:vAlign w:val="center"/>
          </w:tcPr>
          <w:p>
            <w:r>
              <w:t>7</w:t>
            </w:r>
          </w:p>
        </w:tc>
        <w:tc>
          <w:tcPr>
            <w:tcW w:w="4589" w:type="dxa"/>
            <w:vAlign w:val="center"/>
          </w:tcPr>
          <w:p>
            <w:r>
              <w:t>类似项目情况表</w:t>
            </w:r>
          </w:p>
        </w:tc>
        <w:tc>
          <w:tcPr>
            <w:tcW w:w="4068"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22" w:type="dxa"/>
            <w:vAlign w:val="center"/>
          </w:tcPr>
          <w:p>
            <w:r>
              <w:t>8</w:t>
            </w:r>
          </w:p>
        </w:tc>
        <w:tc>
          <w:tcPr>
            <w:tcW w:w="4589" w:type="dxa"/>
            <w:vAlign w:val="center"/>
          </w:tcPr>
          <w:p>
            <w:r>
              <w:t>技术、商务偏离表</w:t>
            </w:r>
          </w:p>
        </w:tc>
        <w:tc>
          <w:tcPr>
            <w:tcW w:w="4068" w:type="dxa"/>
          </w:tcPr>
          <w:p>
            <w:r>
              <w:t>格式见附件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22" w:type="dxa"/>
            <w:vAlign w:val="center"/>
          </w:tcPr>
          <w:p>
            <w:r>
              <w:t>9</w:t>
            </w:r>
          </w:p>
        </w:tc>
        <w:tc>
          <w:tcPr>
            <w:tcW w:w="4589" w:type="dxa"/>
            <w:vAlign w:val="center"/>
          </w:tcPr>
          <w:p>
            <w:r>
              <w:t>投标人认为需要提供的其他资料，包括可能影响投标人商务技术文件评分的各类证明材料</w:t>
            </w:r>
          </w:p>
        </w:tc>
        <w:tc>
          <w:tcPr>
            <w:tcW w:w="4068" w:type="dxa"/>
            <w:vAlign w:val="center"/>
          </w:tcPr>
          <w:p>
            <w:r>
              <w:t>格式、内容自拟</w:t>
            </w:r>
          </w:p>
        </w:tc>
      </w:tr>
    </w:tbl>
    <w:p>
      <w:pPr>
        <w:rPr>
          <w:rFonts w:ascii="宋体" w:hAnsi="宋体" w:cs="宋体"/>
          <w:b/>
          <w:bCs/>
          <w:color w:val="000000" w:themeColor="text1"/>
          <w:sz w:val="24"/>
        </w:rPr>
      </w:pPr>
      <w:r>
        <w:t>附件11：</w:t>
      </w:r>
    </w:p>
    <w:p>
      <w:pPr>
        <w:pStyle w:val="34"/>
        <w:spacing w:before="120" w:after="120" w:line="480" w:lineRule="auto"/>
        <w:jc w:val="center"/>
        <w:rPr>
          <w:rFonts w:hAnsi="宋体"/>
          <w:b/>
          <w:bCs/>
          <w:color w:val="000000" w:themeColor="text1"/>
          <w:spacing w:val="21"/>
          <w:kern w:val="0"/>
          <w:sz w:val="32"/>
          <w:szCs w:val="32"/>
        </w:rPr>
      </w:pPr>
      <w:r>
        <w:t>供应商自评表</w:t>
      </w:r>
    </w:p>
    <w:tbl>
      <w:tblPr>
        <w:tblStyle w:val="59"/>
        <w:tblW w:w="992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526"/>
        <w:gridCol w:w="5805"/>
        <w:gridCol w:w="992"/>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blHeader/>
        </w:trPr>
        <w:tc>
          <w:tcPr>
            <w:tcW w:w="608" w:type="dxa"/>
            <w:vAlign w:val="center"/>
          </w:tcPr>
          <w:p>
            <w:r>
              <w:t>序号</w:t>
            </w:r>
          </w:p>
        </w:tc>
        <w:tc>
          <w:tcPr>
            <w:tcW w:w="7331" w:type="dxa"/>
            <w:gridSpan w:val="2"/>
            <w:vAlign w:val="center"/>
          </w:tcPr>
          <w:p>
            <w:r>
              <w:t>评分内容</w:t>
            </w:r>
          </w:p>
        </w:tc>
        <w:tc>
          <w:tcPr>
            <w:tcW w:w="992" w:type="dxa"/>
            <w:vAlign w:val="center"/>
          </w:tcPr>
          <w:p>
            <w:r>
              <w:t>自评分值</w:t>
            </w:r>
          </w:p>
        </w:tc>
        <w:tc>
          <w:tcPr>
            <w:tcW w:w="994" w:type="dxa"/>
            <w:vAlign w:val="center"/>
          </w:tcPr>
          <w:p>
            <w:r>
              <w:t>评分依据对应页码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608" w:type="dxa"/>
            <w:vAlign w:val="center"/>
          </w:tcPr>
          <w:p>
            <w:r>
              <w:t>1</w:t>
            </w:r>
          </w:p>
        </w:tc>
        <w:tc>
          <w:tcPr>
            <w:tcW w:w="1526" w:type="dxa"/>
            <w:vAlign w:val="center"/>
          </w:tcPr>
          <w:p>
            <w:r>
              <w:t>业绩证明</w:t>
            </w:r>
          </w:p>
        </w:tc>
        <w:tc>
          <w:tcPr>
            <w:tcW w:w="5805" w:type="dxa"/>
            <w:vAlign w:val="center"/>
          </w:tcPr>
          <w:p>
            <w:r>
              <w:t>2020年1月1日以来投标人承接过类似天网工程、雪亮工程或公共视频一体化项目，提供合同扫描件，每提供1个合同得1分，最多得2分。</w:t>
              <w:br/>
              <w:t>（投标文件中提供合同扫描件并加盖公章，不提供的不得分）</w:t>
            </w:r>
          </w:p>
        </w:tc>
        <w:tc>
          <w:tcPr>
            <w:tcW w:w="992" w:type="dxa"/>
          </w:tcPr>
          <w:p>
            <w:pPr>
              <w:pStyle w:val="34"/>
              <w:spacing w:before="120" w:after="120" w:line="480" w:lineRule="auto"/>
              <w:jc w:val="center"/>
              <w:rPr>
                <w:rFonts w:hAnsi="宋体"/>
                <w:b/>
                <w:color w:val="000000" w:themeColor="text1"/>
                <w:sz w:val="18"/>
                <w:szCs w:val="18"/>
              </w:rPr>
            </w:pPr>
          </w:p>
        </w:tc>
        <w:tc>
          <w:tcPr>
            <w:tcW w:w="994" w:type="dxa"/>
          </w:tcPr>
          <w:p>
            <w:pPr>
              <w:pStyle w:val="34"/>
              <w:spacing w:before="120" w:after="120" w:line="480" w:lineRule="auto"/>
              <w:jc w:val="center"/>
              <w:rPr>
                <w:rFonts w:hAnsi="宋体"/>
                <w:b/>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08" w:type="dxa"/>
            <w:vAlign w:val="center"/>
          </w:tcPr>
          <w:p>
            <w:r>
              <w:t>2</w:t>
            </w:r>
          </w:p>
        </w:tc>
        <w:tc>
          <w:tcPr>
            <w:tcW w:w="1526" w:type="dxa"/>
            <w:vAlign w:val="center"/>
          </w:tcPr>
          <w:p>
            <w:r>
              <w:t>拟投入项目经理情况</w:t>
            </w:r>
          </w:p>
        </w:tc>
        <w:tc>
          <w:tcPr>
            <w:tcW w:w="5805" w:type="dxa"/>
            <w:vAlign w:val="center"/>
          </w:tcPr>
          <w:p>
            <w:r>
              <w:t>拟投入项目经理具有广播电视专业或计算机应用专业或通信专业或电子专业工程师及以上职称或浙江省邮电管理局颁发的工程师及以上职称的得 1分。</w:t>
              <w:br/>
              <w:t>（须提供职称证书复印件及投标截止时间前 6 个月（含）以上社保证明，不提供不得分）</w:t>
            </w:r>
          </w:p>
        </w:tc>
        <w:tc>
          <w:tcPr>
            <w:tcW w:w="992" w:type="dxa"/>
          </w:tcPr>
          <w:p>
            <w:pPr>
              <w:pStyle w:val="34"/>
              <w:spacing w:before="120" w:after="120" w:line="480" w:lineRule="auto"/>
              <w:jc w:val="center"/>
              <w:rPr>
                <w:rFonts w:hAnsi="宋体"/>
                <w:b/>
                <w:color w:val="000000" w:themeColor="text1"/>
                <w:sz w:val="18"/>
                <w:szCs w:val="18"/>
              </w:rPr>
            </w:pPr>
          </w:p>
        </w:tc>
        <w:tc>
          <w:tcPr>
            <w:tcW w:w="994" w:type="dxa"/>
          </w:tcPr>
          <w:p>
            <w:pPr>
              <w:pStyle w:val="34"/>
              <w:spacing w:before="120" w:after="120" w:line="480" w:lineRule="auto"/>
              <w:jc w:val="center"/>
              <w:rPr>
                <w:rFonts w:hAnsi="宋体"/>
                <w:b/>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08" w:type="dxa"/>
            <w:vAlign w:val="center"/>
          </w:tcPr>
          <w:p>
            <w:r>
              <w:t>3</w:t>
            </w:r>
          </w:p>
        </w:tc>
        <w:tc>
          <w:tcPr>
            <w:tcW w:w="1526" w:type="dxa"/>
            <w:vAlign w:val="center"/>
          </w:tcPr>
          <w:p>
            <w:r>
              <w:t>……</w:t>
            </w:r>
          </w:p>
        </w:tc>
        <w:tc>
          <w:tcPr>
            <w:tcW w:w="5805" w:type="dxa"/>
            <w:vAlign w:val="center"/>
          </w:tcPr>
          <w:p>
            <w:pPr>
              <w:spacing w:line="264" w:lineRule="auto"/>
              <w:rPr>
                <w:color w:val="000000" w:themeColor="text1"/>
                <w:sz w:val="24"/>
                <w:szCs w:val="24"/>
              </w:rPr>
            </w:pPr>
          </w:p>
        </w:tc>
        <w:tc>
          <w:tcPr>
            <w:tcW w:w="992" w:type="dxa"/>
          </w:tcPr>
          <w:p>
            <w:pPr>
              <w:pStyle w:val="34"/>
              <w:spacing w:before="120" w:after="120" w:line="480" w:lineRule="auto"/>
              <w:jc w:val="center"/>
              <w:rPr>
                <w:rFonts w:hAnsi="宋体"/>
                <w:b/>
                <w:color w:val="000000" w:themeColor="text1"/>
                <w:sz w:val="18"/>
                <w:szCs w:val="18"/>
              </w:rPr>
            </w:pPr>
          </w:p>
        </w:tc>
        <w:tc>
          <w:tcPr>
            <w:tcW w:w="994" w:type="dxa"/>
          </w:tcPr>
          <w:p>
            <w:pPr>
              <w:pStyle w:val="34"/>
              <w:spacing w:before="120" w:after="120" w:line="480" w:lineRule="auto"/>
              <w:jc w:val="center"/>
              <w:rPr>
                <w:rFonts w:hAnsi="宋体"/>
                <w:b/>
                <w:color w:val="000000" w:themeColor="text1"/>
                <w:sz w:val="18"/>
                <w:szCs w:val="18"/>
              </w:rPr>
            </w:pPr>
          </w:p>
        </w:tc>
      </w:tr>
    </w:tbl>
    <w:p>
      <w:pPr>
        <w:spacing w:line="500" w:lineRule="exact"/>
        <w:jc w:val="left"/>
        <w:textAlignment w:val="baseline"/>
        <w:rPr>
          <w:rFonts w:hAnsi="宋体"/>
          <w:color w:val="000000" w:themeColor="text1"/>
          <w:sz w:val="24"/>
        </w:rPr>
      </w:pPr>
      <w:r/>
    </w:p>
    <w:p>
      <w:pPr>
        <w:pStyle w:val="103"/>
        <w:rPr>
          <w:color w:val="000000" w:themeColor="text1"/>
        </w:rPr>
      </w:pPr>
      <w:r/>
    </w:p>
    <w:p>
      <w:pPr>
        <w:pStyle w:val="103"/>
        <w:rPr>
          <w:color w:val="000000" w:themeColor="text1"/>
        </w:rPr>
      </w:pPr>
      <w:r/>
    </w:p>
    <w:p>
      <w:pPr>
        <w:spacing w:line="500" w:lineRule="exact"/>
        <w:jc w:val="left"/>
        <w:textAlignment w:val="baseline"/>
        <w:rPr>
          <w:rFonts w:hAnsi="宋体"/>
          <w:color w:val="000000" w:themeColor="text1"/>
          <w:sz w:val="24"/>
        </w:rPr>
      </w:pPr>
      <w:r>
        <w:t>投标人全称（盖章）：</w:t>
      </w:r>
    </w:p>
    <w:p>
      <w:pPr>
        <w:spacing w:line="500" w:lineRule="exact"/>
        <w:textAlignment w:val="baseline"/>
        <w:rPr>
          <w:rFonts w:hAnsi="宋体"/>
          <w:color w:val="000000" w:themeColor="text1"/>
          <w:sz w:val="24"/>
        </w:rPr>
      </w:pPr>
      <w:r>
        <w:t xml:space="preserve">法定代表人（或营运商负责人）或委托代理人（盖章或签字）：                 </w:t>
      </w:r>
    </w:p>
    <w:p>
      <w:pPr>
        <w:spacing w:line="500" w:lineRule="exact"/>
        <w:textAlignment w:val="baseline"/>
        <w:rPr>
          <w:rFonts w:hAnsi="宋体"/>
          <w:color w:val="000000" w:themeColor="text1"/>
          <w:sz w:val="24"/>
        </w:rPr>
      </w:pPr>
      <w:r>
        <w:t xml:space="preserve">日    期：  </w:t>
      </w:r>
    </w:p>
    <w:p>
      <w:pPr>
        <w:spacing w:line="500" w:lineRule="exact"/>
        <w:rPr>
          <w:rFonts w:ascii="宋体" w:hAnsi="宋体" w:cs="宋体"/>
          <w:b/>
          <w:bCs/>
          <w:color w:val="000000" w:themeColor="text1"/>
          <w:sz w:val="24"/>
        </w:rPr>
      </w:pPr>
      <w:r>
        <w:t>附件12：</w:t>
      </w:r>
    </w:p>
    <w:p>
      <w:pPr>
        <w:pStyle w:val="34"/>
        <w:spacing w:before="120" w:after="120" w:line="480" w:lineRule="auto"/>
        <w:jc w:val="center"/>
        <w:rPr>
          <w:rFonts w:hAnsi="宋体"/>
          <w:b/>
          <w:bCs/>
          <w:color w:val="000000" w:themeColor="text1"/>
          <w:spacing w:val="21"/>
          <w:kern w:val="0"/>
          <w:sz w:val="32"/>
          <w:szCs w:val="32"/>
        </w:rPr>
      </w:pPr>
      <w:r>
        <w:t xml:space="preserve">  投标人基本情况表</w:t>
      </w:r>
    </w:p>
    <w:tbl>
      <w:tblPr>
        <w:tblStyle w:val="59"/>
        <w:tblW w:w="954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79"/>
        <w:gridCol w:w="813"/>
        <w:gridCol w:w="924"/>
        <w:gridCol w:w="1469"/>
        <w:gridCol w:w="364"/>
        <w:gridCol w:w="1258"/>
        <w:gridCol w:w="576"/>
        <w:gridCol w:w="1003"/>
        <w:gridCol w:w="115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979" w:type="dxa"/>
            <w:vAlign w:val="center"/>
          </w:tcPr>
          <w:p>
            <w:r>
              <w:t>投标人名称</w:t>
            </w:r>
          </w:p>
        </w:tc>
        <w:tc>
          <w:tcPr>
            <w:tcW w:w="7566" w:type="dxa"/>
            <w:gridSpan w:val="8"/>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979" w:type="dxa"/>
            <w:vAlign w:val="center"/>
          </w:tcPr>
          <w:p>
            <w:r>
              <w:t>注册地址</w:t>
            </w:r>
          </w:p>
        </w:tc>
        <w:tc>
          <w:tcPr>
            <w:tcW w:w="3570" w:type="dxa"/>
            <w:gridSpan w:val="4"/>
            <w:vAlign w:val="center"/>
          </w:tcPr>
          <w:p>
            <w:pPr>
              <w:pStyle w:val="128"/>
              <w:ind w:firstLine="315"/>
              <w:rPr>
                <w:color w:val="000000" w:themeColor="text1"/>
                <w:sz w:val="21"/>
              </w:rPr>
            </w:pPr>
          </w:p>
        </w:tc>
        <w:tc>
          <w:tcPr>
            <w:tcW w:w="1258" w:type="dxa"/>
            <w:vAlign w:val="center"/>
          </w:tcPr>
          <w:p>
            <w:r>
              <w:t>邮政编码</w:t>
            </w:r>
          </w:p>
        </w:tc>
        <w:tc>
          <w:tcPr>
            <w:tcW w:w="2738" w:type="dxa"/>
            <w:gridSpan w:val="3"/>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979" w:type="dxa"/>
            <w:vMerge w:val="restart"/>
            <w:vAlign w:val="center"/>
          </w:tcPr>
          <w:p>
            <w:r>
              <w:t>联系方式</w:t>
            </w:r>
          </w:p>
        </w:tc>
        <w:tc>
          <w:tcPr>
            <w:tcW w:w="813" w:type="dxa"/>
            <w:vAlign w:val="center"/>
          </w:tcPr>
          <w:p>
            <w:r>
              <w:t>联系人</w:t>
            </w:r>
          </w:p>
        </w:tc>
        <w:tc>
          <w:tcPr>
            <w:tcW w:w="2757" w:type="dxa"/>
            <w:gridSpan w:val="3"/>
            <w:vAlign w:val="center"/>
          </w:tcPr>
          <w:p>
            <w:pPr>
              <w:pStyle w:val="128"/>
              <w:ind w:firstLine="315"/>
              <w:rPr>
                <w:color w:val="000000" w:themeColor="text1"/>
                <w:sz w:val="21"/>
              </w:rPr>
            </w:pPr>
          </w:p>
        </w:tc>
        <w:tc>
          <w:tcPr>
            <w:tcW w:w="1258" w:type="dxa"/>
            <w:vAlign w:val="center"/>
          </w:tcPr>
          <w:p>
            <w:r>
              <w:t>电 话</w:t>
            </w:r>
          </w:p>
        </w:tc>
        <w:tc>
          <w:tcPr>
            <w:tcW w:w="2738" w:type="dxa"/>
            <w:gridSpan w:val="3"/>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979" w:type="dxa"/>
            <w:vMerge w:val="continue"/>
            <w:vAlign w:val="center"/>
          </w:tcPr>
          <w:p>
            <w:pPr>
              <w:pStyle w:val="128"/>
              <w:ind w:firstLine="315"/>
              <w:jc w:val="center"/>
              <w:rPr>
                <w:color w:val="000000" w:themeColor="text1"/>
                <w:sz w:val="21"/>
              </w:rPr>
            </w:pPr>
          </w:p>
        </w:tc>
        <w:tc>
          <w:tcPr>
            <w:tcW w:w="813" w:type="dxa"/>
            <w:vAlign w:val="center"/>
          </w:tcPr>
          <w:p>
            <w:r>
              <w:t>传 真</w:t>
            </w:r>
          </w:p>
        </w:tc>
        <w:tc>
          <w:tcPr>
            <w:tcW w:w="2757" w:type="dxa"/>
            <w:gridSpan w:val="3"/>
            <w:vAlign w:val="center"/>
          </w:tcPr>
          <w:p>
            <w:pPr>
              <w:pStyle w:val="128"/>
              <w:ind w:firstLine="315"/>
              <w:rPr>
                <w:color w:val="000000" w:themeColor="text1"/>
                <w:sz w:val="21"/>
              </w:rPr>
            </w:pPr>
          </w:p>
        </w:tc>
        <w:tc>
          <w:tcPr>
            <w:tcW w:w="1258" w:type="dxa"/>
            <w:vAlign w:val="center"/>
          </w:tcPr>
          <w:p>
            <w:r>
              <w:t>电子邮件</w:t>
            </w:r>
          </w:p>
        </w:tc>
        <w:tc>
          <w:tcPr>
            <w:tcW w:w="2738" w:type="dxa"/>
            <w:gridSpan w:val="3"/>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979" w:type="dxa"/>
            <w:vAlign w:val="center"/>
          </w:tcPr>
          <w:p>
            <w:r>
              <w:t>法定代表人</w:t>
              <w:br/>
              <w:t>（或营运商负责人）</w:t>
            </w:r>
          </w:p>
        </w:tc>
        <w:tc>
          <w:tcPr>
            <w:tcW w:w="813" w:type="dxa"/>
            <w:vAlign w:val="center"/>
          </w:tcPr>
          <w:p>
            <w:r>
              <w:t>姓名</w:t>
            </w:r>
          </w:p>
        </w:tc>
        <w:tc>
          <w:tcPr>
            <w:tcW w:w="924" w:type="dxa"/>
            <w:vAlign w:val="center"/>
          </w:tcPr>
          <w:p>
            <w:pPr>
              <w:pStyle w:val="128"/>
              <w:ind w:firstLine="315"/>
              <w:rPr>
                <w:color w:val="000000" w:themeColor="text1"/>
                <w:sz w:val="21"/>
              </w:rPr>
            </w:pPr>
          </w:p>
        </w:tc>
        <w:tc>
          <w:tcPr>
            <w:tcW w:w="1469" w:type="dxa"/>
            <w:vAlign w:val="center"/>
          </w:tcPr>
          <w:p>
            <w:r>
              <w:t>技术职称</w:t>
            </w:r>
          </w:p>
        </w:tc>
        <w:tc>
          <w:tcPr>
            <w:tcW w:w="2198" w:type="dxa"/>
            <w:gridSpan w:val="3"/>
            <w:vAlign w:val="center"/>
          </w:tcPr>
          <w:p>
            <w:pPr>
              <w:pStyle w:val="128"/>
              <w:ind w:firstLine="315"/>
              <w:rPr>
                <w:color w:val="000000" w:themeColor="text1"/>
                <w:sz w:val="21"/>
              </w:rPr>
            </w:pPr>
          </w:p>
        </w:tc>
        <w:tc>
          <w:tcPr>
            <w:tcW w:w="1003" w:type="dxa"/>
            <w:vAlign w:val="center"/>
          </w:tcPr>
          <w:p>
            <w:r>
              <w:t>电话</w:t>
            </w:r>
          </w:p>
        </w:tc>
        <w:tc>
          <w:tcPr>
            <w:tcW w:w="1159" w:type="dxa"/>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979" w:type="dxa"/>
            <w:vAlign w:val="center"/>
          </w:tcPr>
          <w:p>
            <w:r>
              <w:t>技术负责人</w:t>
            </w:r>
          </w:p>
        </w:tc>
        <w:tc>
          <w:tcPr>
            <w:tcW w:w="813" w:type="dxa"/>
            <w:vAlign w:val="center"/>
          </w:tcPr>
          <w:p>
            <w:r>
              <w:t>姓名</w:t>
            </w:r>
          </w:p>
        </w:tc>
        <w:tc>
          <w:tcPr>
            <w:tcW w:w="924" w:type="dxa"/>
            <w:vAlign w:val="center"/>
          </w:tcPr>
          <w:p>
            <w:pPr>
              <w:pStyle w:val="128"/>
              <w:ind w:firstLine="315"/>
              <w:rPr>
                <w:color w:val="000000" w:themeColor="text1"/>
                <w:sz w:val="21"/>
              </w:rPr>
            </w:pPr>
          </w:p>
        </w:tc>
        <w:tc>
          <w:tcPr>
            <w:tcW w:w="1469" w:type="dxa"/>
            <w:vAlign w:val="center"/>
          </w:tcPr>
          <w:p>
            <w:r>
              <w:t>技术职称</w:t>
            </w:r>
          </w:p>
        </w:tc>
        <w:tc>
          <w:tcPr>
            <w:tcW w:w="2198" w:type="dxa"/>
            <w:gridSpan w:val="3"/>
            <w:vAlign w:val="center"/>
          </w:tcPr>
          <w:p>
            <w:pPr>
              <w:pStyle w:val="128"/>
              <w:ind w:firstLine="315"/>
              <w:rPr>
                <w:color w:val="000000" w:themeColor="text1"/>
                <w:sz w:val="21"/>
              </w:rPr>
            </w:pPr>
          </w:p>
        </w:tc>
        <w:tc>
          <w:tcPr>
            <w:tcW w:w="1003" w:type="dxa"/>
            <w:vAlign w:val="center"/>
          </w:tcPr>
          <w:p>
            <w:r>
              <w:t>电话</w:t>
            </w:r>
          </w:p>
        </w:tc>
        <w:tc>
          <w:tcPr>
            <w:tcW w:w="1159" w:type="dxa"/>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2" w:hRule="exact"/>
          <w:jc w:val="center"/>
        </w:trPr>
        <w:tc>
          <w:tcPr>
            <w:tcW w:w="1979" w:type="dxa"/>
            <w:vAlign w:val="center"/>
          </w:tcPr>
          <w:p>
            <w:r>
              <w:t>成立时间</w:t>
            </w:r>
          </w:p>
        </w:tc>
        <w:tc>
          <w:tcPr>
            <w:tcW w:w="1737" w:type="dxa"/>
            <w:gridSpan w:val="2"/>
            <w:vAlign w:val="center"/>
          </w:tcPr>
          <w:p>
            <w:pPr>
              <w:pStyle w:val="128"/>
              <w:ind w:firstLine="315"/>
              <w:rPr>
                <w:color w:val="000000" w:themeColor="text1"/>
                <w:sz w:val="21"/>
              </w:rPr>
            </w:pPr>
          </w:p>
        </w:tc>
        <w:tc>
          <w:tcPr>
            <w:tcW w:w="5829" w:type="dxa"/>
            <w:gridSpan w:val="6"/>
            <w:vAlign w:val="center"/>
          </w:tcPr>
          <w:p>
            <w:r>
              <w:t>员工总人数：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979" w:type="dxa"/>
            <w:vAlign w:val="center"/>
          </w:tcPr>
          <w:p>
            <w:r>
              <w:t>企业资质</w:t>
            </w:r>
          </w:p>
        </w:tc>
        <w:tc>
          <w:tcPr>
            <w:tcW w:w="1737" w:type="dxa"/>
            <w:gridSpan w:val="2"/>
            <w:vAlign w:val="center"/>
          </w:tcPr>
          <w:p>
            <w:pPr>
              <w:pStyle w:val="128"/>
              <w:ind w:firstLine="315"/>
              <w:rPr>
                <w:color w:val="000000" w:themeColor="text1"/>
                <w:sz w:val="21"/>
              </w:rPr>
            </w:pPr>
          </w:p>
        </w:tc>
        <w:tc>
          <w:tcPr>
            <w:tcW w:w="1469" w:type="dxa"/>
            <w:vMerge w:val="restart"/>
            <w:vAlign w:val="center"/>
          </w:tcPr>
          <w:p>
            <w:r>
              <w:t>其中</w:t>
            </w:r>
          </w:p>
        </w:tc>
        <w:tc>
          <w:tcPr>
            <w:tcW w:w="2198" w:type="dxa"/>
            <w:gridSpan w:val="3"/>
            <w:vAlign w:val="center"/>
          </w:tcPr>
          <w:p>
            <w:r>
              <w:t>项目经理</w:t>
            </w:r>
          </w:p>
        </w:tc>
        <w:tc>
          <w:tcPr>
            <w:tcW w:w="2162" w:type="dxa"/>
            <w:gridSpan w:val="2"/>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979" w:type="dxa"/>
            <w:vAlign w:val="center"/>
          </w:tcPr>
          <w:p>
            <w:r>
              <w:t>营业执照号</w:t>
            </w:r>
          </w:p>
        </w:tc>
        <w:tc>
          <w:tcPr>
            <w:tcW w:w="1737" w:type="dxa"/>
            <w:gridSpan w:val="2"/>
            <w:vAlign w:val="center"/>
          </w:tcPr>
          <w:p>
            <w:pPr>
              <w:pStyle w:val="128"/>
              <w:ind w:firstLine="315"/>
              <w:rPr>
                <w:color w:val="000000" w:themeColor="text1"/>
                <w:sz w:val="21"/>
              </w:rPr>
            </w:pPr>
          </w:p>
        </w:tc>
        <w:tc>
          <w:tcPr>
            <w:tcW w:w="1469" w:type="dxa"/>
            <w:vMerge w:val="continue"/>
            <w:vAlign w:val="center"/>
          </w:tcPr>
          <w:p>
            <w:pPr>
              <w:pStyle w:val="128"/>
              <w:ind w:firstLine="315"/>
              <w:rPr>
                <w:color w:val="000000" w:themeColor="text1"/>
                <w:sz w:val="21"/>
              </w:rPr>
            </w:pPr>
          </w:p>
        </w:tc>
        <w:tc>
          <w:tcPr>
            <w:tcW w:w="2198" w:type="dxa"/>
            <w:gridSpan w:val="3"/>
            <w:vAlign w:val="center"/>
          </w:tcPr>
          <w:p>
            <w:r>
              <w:t>高级职称人员</w:t>
            </w:r>
          </w:p>
        </w:tc>
        <w:tc>
          <w:tcPr>
            <w:tcW w:w="2162" w:type="dxa"/>
            <w:gridSpan w:val="2"/>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979" w:type="dxa"/>
            <w:vAlign w:val="center"/>
          </w:tcPr>
          <w:p>
            <w:r>
              <w:t>注册资金</w:t>
            </w:r>
          </w:p>
        </w:tc>
        <w:tc>
          <w:tcPr>
            <w:tcW w:w="1737" w:type="dxa"/>
            <w:gridSpan w:val="2"/>
            <w:vAlign w:val="center"/>
          </w:tcPr>
          <w:p>
            <w:pPr>
              <w:pStyle w:val="128"/>
              <w:ind w:firstLine="315"/>
              <w:rPr>
                <w:color w:val="000000" w:themeColor="text1"/>
                <w:sz w:val="21"/>
              </w:rPr>
            </w:pPr>
          </w:p>
        </w:tc>
        <w:tc>
          <w:tcPr>
            <w:tcW w:w="1469" w:type="dxa"/>
            <w:vMerge w:val="continue"/>
            <w:vAlign w:val="center"/>
          </w:tcPr>
          <w:p>
            <w:pPr>
              <w:pStyle w:val="128"/>
              <w:ind w:firstLine="315"/>
              <w:rPr>
                <w:color w:val="000000" w:themeColor="text1"/>
                <w:sz w:val="21"/>
              </w:rPr>
            </w:pPr>
          </w:p>
        </w:tc>
        <w:tc>
          <w:tcPr>
            <w:tcW w:w="2198" w:type="dxa"/>
            <w:gridSpan w:val="3"/>
            <w:vAlign w:val="center"/>
          </w:tcPr>
          <w:p>
            <w:r>
              <w:t>中级职称人员</w:t>
            </w:r>
          </w:p>
        </w:tc>
        <w:tc>
          <w:tcPr>
            <w:tcW w:w="2162" w:type="dxa"/>
            <w:gridSpan w:val="2"/>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979" w:type="dxa"/>
            <w:vAlign w:val="center"/>
          </w:tcPr>
          <w:p>
            <w:r>
              <w:t>基本账户开户银行</w:t>
            </w:r>
          </w:p>
        </w:tc>
        <w:tc>
          <w:tcPr>
            <w:tcW w:w="1737" w:type="dxa"/>
            <w:gridSpan w:val="2"/>
            <w:vAlign w:val="center"/>
          </w:tcPr>
          <w:p>
            <w:pPr>
              <w:pStyle w:val="128"/>
              <w:ind w:firstLine="315"/>
              <w:rPr>
                <w:color w:val="000000" w:themeColor="text1"/>
                <w:sz w:val="21"/>
              </w:rPr>
            </w:pPr>
          </w:p>
        </w:tc>
        <w:tc>
          <w:tcPr>
            <w:tcW w:w="1469" w:type="dxa"/>
            <w:vMerge w:val="continue"/>
            <w:vAlign w:val="center"/>
          </w:tcPr>
          <w:p>
            <w:pPr>
              <w:pStyle w:val="128"/>
              <w:ind w:firstLine="315"/>
              <w:rPr>
                <w:color w:val="000000" w:themeColor="text1"/>
                <w:sz w:val="21"/>
              </w:rPr>
            </w:pPr>
          </w:p>
        </w:tc>
        <w:tc>
          <w:tcPr>
            <w:tcW w:w="2198" w:type="dxa"/>
            <w:gridSpan w:val="3"/>
            <w:vAlign w:val="center"/>
          </w:tcPr>
          <w:p>
            <w:r>
              <w:t>初级职称人员</w:t>
            </w:r>
          </w:p>
        </w:tc>
        <w:tc>
          <w:tcPr>
            <w:tcW w:w="2162" w:type="dxa"/>
            <w:gridSpan w:val="2"/>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662" w:hRule="exact"/>
          <w:jc w:val="center"/>
        </w:trPr>
        <w:tc>
          <w:tcPr>
            <w:tcW w:w="1979" w:type="dxa"/>
            <w:vAlign w:val="center"/>
          </w:tcPr>
          <w:p>
            <w:r>
              <w:t>基本账户账号</w:t>
            </w:r>
          </w:p>
        </w:tc>
        <w:tc>
          <w:tcPr>
            <w:tcW w:w="1737" w:type="dxa"/>
            <w:gridSpan w:val="2"/>
            <w:vAlign w:val="center"/>
          </w:tcPr>
          <w:p>
            <w:pPr>
              <w:pStyle w:val="128"/>
              <w:ind w:firstLine="315"/>
              <w:rPr>
                <w:color w:val="000000" w:themeColor="text1"/>
                <w:sz w:val="21"/>
              </w:rPr>
            </w:pPr>
          </w:p>
        </w:tc>
        <w:tc>
          <w:tcPr>
            <w:tcW w:w="1469" w:type="dxa"/>
            <w:vMerge w:val="continue"/>
            <w:vAlign w:val="center"/>
          </w:tcPr>
          <w:p>
            <w:pPr>
              <w:pStyle w:val="128"/>
              <w:ind w:firstLine="315"/>
              <w:rPr>
                <w:color w:val="000000" w:themeColor="text1"/>
                <w:sz w:val="21"/>
              </w:rPr>
            </w:pPr>
          </w:p>
        </w:tc>
        <w:tc>
          <w:tcPr>
            <w:tcW w:w="2198" w:type="dxa"/>
            <w:gridSpan w:val="3"/>
            <w:vAlign w:val="center"/>
          </w:tcPr>
          <w:p>
            <w:r>
              <w:t>其他</w:t>
            </w:r>
          </w:p>
        </w:tc>
        <w:tc>
          <w:tcPr>
            <w:tcW w:w="2162" w:type="dxa"/>
            <w:gridSpan w:val="2"/>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5" w:hRule="exact"/>
          <w:jc w:val="center"/>
        </w:trPr>
        <w:tc>
          <w:tcPr>
            <w:tcW w:w="1979" w:type="dxa"/>
            <w:vAlign w:val="center"/>
          </w:tcPr>
          <w:p>
            <w:r>
              <w:t>经营范围</w:t>
            </w:r>
          </w:p>
        </w:tc>
        <w:tc>
          <w:tcPr>
            <w:tcW w:w="7566" w:type="dxa"/>
            <w:gridSpan w:val="8"/>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79" w:hRule="exact"/>
          <w:jc w:val="center"/>
        </w:trPr>
        <w:tc>
          <w:tcPr>
            <w:tcW w:w="1979" w:type="dxa"/>
            <w:vAlign w:val="center"/>
          </w:tcPr>
          <w:p>
            <w:r>
              <w:t>资产构成情况及投标人投资参股的关联企业情况</w:t>
            </w:r>
          </w:p>
        </w:tc>
        <w:tc>
          <w:tcPr>
            <w:tcW w:w="7566" w:type="dxa"/>
            <w:gridSpan w:val="8"/>
            <w:vAlign w:val="center"/>
          </w:tcPr>
          <w:p>
            <w:pPr>
              <w:pStyle w:val="128"/>
              <w:ind w:firstLine="315"/>
              <w:rPr>
                <w:color w:val="000000" w:themeColor="text1"/>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1" w:hRule="exact"/>
          <w:jc w:val="center"/>
        </w:trPr>
        <w:tc>
          <w:tcPr>
            <w:tcW w:w="1979" w:type="dxa"/>
            <w:vAlign w:val="center"/>
          </w:tcPr>
          <w:p>
            <w:r>
              <w:t>备    注</w:t>
            </w:r>
          </w:p>
        </w:tc>
        <w:tc>
          <w:tcPr>
            <w:tcW w:w="7566" w:type="dxa"/>
            <w:gridSpan w:val="8"/>
            <w:vAlign w:val="center"/>
          </w:tcPr>
          <w:p>
            <w:pPr>
              <w:pStyle w:val="128"/>
              <w:ind w:firstLine="315"/>
              <w:rPr>
                <w:color w:val="000000" w:themeColor="text1"/>
                <w:sz w:val="21"/>
              </w:rPr>
            </w:pPr>
          </w:p>
        </w:tc>
      </w:tr>
    </w:tbl>
    <w:p>
      <w:pPr>
        <w:spacing w:line="360" w:lineRule="auto"/>
        <w:ind w:firstLine="424" w:firstLineChars="177"/>
        <w:rPr>
          <w:rFonts w:ascii="宋体"/>
          <w:color w:val="000000" w:themeColor="text1"/>
          <w:sz w:val="24"/>
          <w:szCs w:val="24"/>
          <w:u w:val="single"/>
        </w:rPr>
      </w:pPr>
      <w:r>
        <w:t>投标人名称（盖章）：</w:t>
      </w:r>
    </w:p>
    <w:p>
      <w:pPr>
        <w:spacing w:line="360" w:lineRule="auto"/>
        <w:ind w:firstLine="424" w:firstLineChars="177"/>
        <w:rPr>
          <w:rFonts w:ascii="宋体"/>
          <w:color w:val="000000" w:themeColor="text1"/>
          <w:sz w:val="24"/>
          <w:szCs w:val="24"/>
        </w:rPr>
      </w:pPr>
      <w:r>
        <w:t>法定代表人（或营运商负责人）或代理人（签名或盖章）：</w:t>
      </w:r>
    </w:p>
    <w:p>
      <w:pPr>
        <w:pStyle w:val="112"/>
        <w:shd w:val="clear" w:color="auto" w:fill="FFFFFF"/>
        <w:spacing w:before="0" w:beforeAutospacing="0" w:after="0" w:afterAutospacing="0" w:line="360" w:lineRule="auto"/>
        <w:ind w:firstLine="424" w:firstLineChars="177"/>
        <w:rPr>
          <w:rFonts w:cs="Times New Roman"/>
          <w:b/>
          <w:bCs/>
          <w:color w:val="000000" w:themeColor="text1"/>
          <w:spacing w:val="11"/>
        </w:rPr>
      </w:pPr>
      <w:r>
        <w:t>日期：：</w:t>
      </w:r>
    </w:p>
    <w:p>
      <w:pPr>
        <w:pStyle w:val="56"/>
        <w:rPr>
          <w:color w:val="000000" w:themeColor="text1"/>
        </w:rPr>
        <w:sectPr>
          <w:footerReference r:id="rId14" w:type="first"/>
          <w:headerReference r:id="rId12" w:type="default"/>
          <w:footerReference r:id="rId13" w:type="default"/>
          <w:pgSz w:w="11906" w:h="16838"/>
          <w:pgMar w:top="1361" w:right="1274" w:bottom="1361" w:left="1418" w:header="851" w:footer="992" w:gutter="0"/>
          <w:cols w:space="425" w:num="1"/>
          <w:titlePg/>
          <w:docGrid w:type="lines" w:linePitch="312" w:charSpace="0"/>
        </w:sectPr>
      </w:pPr>
      <w:r/>
    </w:p>
    <w:p>
      <w:pPr>
        <w:widowControl/>
        <w:jc w:val="left"/>
        <w:rPr>
          <w:rFonts w:ascii="宋体"/>
          <w:b/>
          <w:bCs/>
          <w:color w:val="000000" w:themeColor="text1"/>
          <w:sz w:val="28"/>
          <w:szCs w:val="28"/>
        </w:rPr>
      </w:pPr>
      <w:r>
        <w:t>附件13：</w:t>
      </w:r>
    </w:p>
    <w:p>
      <w:pPr>
        <w:pStyle w:val="34"/>
        <w:spacing w:before="120" w:after="120" w:line="480" w:lineRule="auto"/>
        <w:jc w:val="center"/>
        <w:rPr>
          <w:rFonts w:hAnsi="宋体"/>
          <w:b/>
          <w:bCs/>
          <w:color w:val="000000" w:themeColor="text1"/>
          <w:spacing w:val="21"/>
          <w:kern w:val="0"/>
          <w:sz w:val="32"/>
          <w:szCs w:val="32"/>
        </w:rPr>
      </w:pPr>
      <w:r>
        <w:t>项目经理资格情况表</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84"/>
        <w:jc w:val="left"/>
        <w:rPr>
          <w:rFonts w:ascii="宋体" w:hAnsi="宋体" w:cs="宋体"/>
          <w:color w:val="000000" w:themeColor="text1"/>
        </w:rPr>
      </w:pPr>
      <w:r>
        <w:t xml:space="preserve">采购项目：                                    项目编号： </w:t>
      </w:r>
    </w:p>
    <w:tbl>
      <w:tblPr>
        <w:tblStyle w:val="59"/>
        <w:tblW w:w="862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tcBorders>
            <w:vAlign w:val="center"/>
          </w:tcPr>
          <w:p>
            <w:r>
              <w:t>姓名</w:t>
            </w:r>
          </w:p>
        </w:tc>
        <w:tc>
          <w:tcPr>
            <w:tcW w:w="2967" w:type="dxa"/>
            <w:tcBorders>
              <w:top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tcBorders>
              <w:top w:val="single" w:color="auto" w:sz="12" w:space="0"/>
              <w:right w:val="single" w:color="auto" w:sz="12" w:space="0"/>
            </w:tcBorders>
            <w:vAlign w:val="center"/>
          </w:tcPr>
          <w:p>
            <w: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r>
              <w:t>性别</w:t>
            </w:r>
          </w:p>
        </w:tc>
        <w:tc>
          <w:tcPr>
            <w:tcW w:w="2967" w:type="dxa"/>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vMerge w:val="restart"/>
            <w:tcBorders>
              <w:right w:val="single" w:color="auto" w:sz="12" w:space="0"/>
            </w:tcBorders>
            <w:vAlign w:val="center"/>
          </w:tcPr>
          <w:p>
            <w:r>
              <w:t>注：业绩证明应提供旁证材料</w:t>
              <w:br/>
              <w:t>（项目合同或中标通知书）。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r>
              <w:t>年龄</w:t>
            </w:r>
          </w:p>
        </w:tc>
        <w:tc>
          <w:tcPr>
            <w:tcW w:w="2967" w:type="dxa"/>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vMerge w:val="continue"/>
            <w:tcBorders>
              <w:right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r>
              <w:t>职称</w:t>
            </w:r>
          </w:p>
        </w:tc>
        <w:tc>
          <w:tcPr>
            <w:tcW w:w="2967" w:type="dxa"/>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vMerge w:val="continue"/>
            <w:tcBorders>
              <w:right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r>
              <w:t>毕业时间</w:t>
            </w:r>
          </w:p>
        </w:tc>
        <w:tc>
          <w:tcPr>
            <w:tcW w:w="2967" w:type="dxa"/>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vMerge w:val="continue"/>
            <w:tcBorders>
              <w:right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r>
              <w:t>学校专业</w:t>
            </w:r>
          </w:p>
        </w:tc>
        <w:tc>
          <w:tcPr>
            <w:tcW w:w="2967" w:type="dxa"/>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vMerge w:val="continue"/>
            <w:tcBorders>
              <w:right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r>
              <w:t>联系电话</w:t>
            </w:r>
          </w:p>
        </w:tc>
        <w:tc>
          <w:tcPr>
            <w:tcW w:w="2967" w:type="dxa"/>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vMerge w:val="continue"/>
            <w:tcBorders>
              <w:right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left w:val="single" w:color="auto" w:sz="12" w:space="0"/>
            </w:tcBorders>
            <w:vAlign w:val="center"/>
          </w:tcPr>
          <w:p>
            <w:r>
              <w:t>最近一年工作状况</w:t>
            </w:r>
          </w:p>
        </w:tc>
        <w:tc>
          <w:tcPr>
            <w:tcW w:w="2967" w:type="dxa"/>
            <w:vAlign w:val="center"/>
          </w:tcPr>
          <w:p>
            <w:pPr>
              <w:autoSpaceDE w:val="0"/>
              <w:autoSpaceDN w:val="0"/>
              <w:adjustRightInd w:val="0"/>
              <w:snapToGrid w:val="0"/>
              <w:spacing w:line="360" w:lineRule="auto"/>
              <w:jc w:val="center"/>
              <w:rPr>
                <w:rFonts w:ascii="宋体"/>
                <w:color w:val="000000" w:themeColor="text1"/>
                <w:lang w:val="zh-CN"/>
              </w:rPr>
            </w:pPr>
          </w:p>
        </w:tc>
        <w:tc>
          <w:tcPr>
            <w:tcW w:w="3685" w:type="dxa"/>
            <w:vMerge w:val="continue"/>
            <w:tcBorders>
              <w:right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left w:val="single" w:color="auto" w:sz="12" w:space="0"/>
              <w:bottom w:val="single" w:color="auto" w:sz="12" w:space="0"/>
            </w:tcBorders>
            <w:vAlign w:val="center"/>
          </w:tcPr>
          <w:p>
            <w:r>
              <w:t>拟在本项目中担任主要工作</w:t>
            </w:r>
          </w:p>
        </w:tc>
        <w:tc>
          <w:tcPr>
            <w:tcW w:w="6652" w:type="dxa"/>
            <w:gridSpan w:val="2"/>
            <w:tcBorders>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color w:val="000000" w:themeColor="text1"/>
                <w:lang w:val="zh-CN"/>
              </w:rPr>
            </w:pPr>
          </w:p>
        </w:tc>
      </w:tr>
    </w:tbl>
    <w:p>
      <w:pPr>
        <w:spacing w:line="360" w:lineRule="auto"/>
        <w:ind w:left="420"/>
        <w:rPr>
          <w:rFonts w:ascii="宋体"/>
          <w:color w:val="000000" w:themeColor="text1"/>
          <w:sz w:val="24"/>
          <w:szCs w:val="24"/>
        </w:rPr>
      </w:pPr>
      <w:r/>
    </w:p>
    <w:p>
      <w:pPr>
        <w:spacing w:line="360" w:lineRule="auto"/>
        <w:ind w:firstLine="480" w:firstLineChars="200"/>
        <w:rPr>
          <w:rFonts w:ascii="宋体" w:hAnsi="宋体" w:cs="宋体"/>
          <w:color w:val="000000" w:themeColor="text1"/>
          <w:sz w:val="24"/>
          <w:szCs w:val="24"/>
        </w:rPr>
      </w:pPr>
      <w:r/>
    </w:p>
    <w:p>
      <w:pPr>
        <w:spacing w:line="360" w:lineRule="auto"/>
        <w:ind w:firstLine="480" w:firstLineChars="200"/>
        <w:rPr>
          <w:rFonts w:ascii="宋体"/>
          <w:color w:val="000000" w:themeColor="text1"/>
          <w:sz w:val="24"/>
          <w:szCs w:val="24"/>
          <w:u w:val="single"/>
        </w:rPr>
      </w:pPr>
      <w:r>
        <w:t>投标人名称（盖章）：</w:t>
      </w:r>
    </w:p>
    <w:p>
      <w:pPr>
        <w:spacing w:line="360" w:lineRule="auto"/>
        <w:ind w:left="420"/>
        <w:rPr>
          <w:rFonts w:ascii="宋体"/>
          <w:color w:val="000000" w:themeColor="text1"/>
          <w:sz w:val="24"/>
          <w:szCs w:val="24"/>
        </w:rPr>
      </w:pPr>
      <w:r/>
    </w:p>
    <w:p>
      <w:pPr>
        <w:spacing w:line="360" w:lineRule="auto"/>
        <w:ind w:firstLine="424" w:firstLineChars="177"/>
        <w:rPr>
          <w:rFonts w:ascii="宋体"/>
          <w:color w:val="000000" w:themeColor="text1"/>
          <w:sz w:val="24"/>
          <w:szCs w:val="24"/>
        </w:rPr>
      </w:pPr>
      <w:r>
        <w:t>法定代表人（或营运商负责人）或代理人（签名或盖章）：</w:t>
      </w:r>
    </w:p>
    <w:p>
      <w:pPr>
        <w:spacing w:line="360" w:lineRule="auto"/>
        <w:ind w:firstLine="435"/>
        <w:rPr>
          <w:rFonts w:ascii="宋体"/>
          <w:color w:val="000000" w:themeColor="text1"/>
          <w:sz w:val="24"/>
          <w:szCs w:val="24"/>
        </w:rPr>
      </w:pPr>
      <w:r/>
    </w:p>
    <w:p>
      <w:pPr>
        <w:spacing w:line="360" w:lineRule="auto"/>
        <w:ind w:firstLine="435"/>
        <w:rPr>
          <w:rFonts w:ascii="宋体"/>
          <w:color w:val="000000" w:themeColor="text1"/>
          <w:sz w:val="24"/>
          <w:szCs w:val="24"/>
        </w:rPr>
      </w:pPr>
      <w:r>
        <w:t>日    期：</w:t>
      </w:r>
    </w:p>
    <w:p>
      <w:pPr>
        <w:rPr>
          <w:rFonts w:ascii="宋体" w:hAnsi="宋体" w:cs="宋体"/>
          <w:b/>
          <w:bCs/>
          <w:color w:val="000000" w:themeColor="text1"/>
          <w:spacing w:val="21"/>
          <w:kern w:val="0"/>
          <w:sz w:val="32"/>
          <w:szCs w:val="32"/>
        </w:rPr>
      </w:pPr>
      <w:r/>
    </w:p>
    <w:p>
      <w:pPr>
        <w:widowControl/>
        <w:jc w:val="left"/>
        <w:rPr>
          <w:rFonts w:ascii="宋体" w:hAnsi="宋体" w:cs="宋体"/>
          <w:b/>
          <w:bCs/>
          <w:color w:val="000000" w:themeColor="text1"/>
          <w:sz w:val="24"/>
          <w:szCs w:val="24"/>
        </w:rPr>
      </w:pPr>
      <w:r>
        <w:t>附件14：</w:t>
      </w:r>
    </w:p>
    <w:p>
      <w:pPr>
        <w:pStyle w:val="34"/>
        <w:spacing w:before="120" w:after="120" w:line="480" w:lineRule="auto"/>
        <w:jc w:val="center"/>
        <w:rPr>
          <w:rFonts w:hAnsi="宋体"/>
          <w:b/>
          <w:bCs/>
          <w:color w:val="000000" w:themeColor="text1"/>
          <w:spacing w:val="21"/>
          <w:kern w:val="0"/>
          <w:sz w:val="32"/>
          <w:szCs w:val="32"/>
        </w:rPr>
      </w:pPr>
      <w:r>
        <w:t>项目实施人员一览表</w:t>
      </w:r>
    </w:p>
    <w:p>
      <w:pPr>
        <w:snapToGrid w:val="0"/>
        <w:spacing w:before="156" w:beforeLines="50" w:after="50" w:line="360" w:lineRule="auto"/>
        <w:ind w:firstLine="2640" w:firstLineChars="1100"/>
        <w:rPr>
          <w:rFonts w:ascii="宋体"/>
          <w:color w:val="000000" w:themeColor="text1"/>
          <w:sz w:val="24"/>
          <w:szCs w:val="24"/>
        </w:rPr>
      </w:pPr>
      <w:r>
        <w:t>（主要从业人员及其技术资格）</w:t>
      </w:r>
    </w:p>
    <w:tbl>
      <w:tblPr>
        <w:tblStyle w:val="59"/>
        <w:tblpPr w:leftFromText="180" w:rightFromText="180" w:vertAnchor="text" w:horzAnchor="page" w:tblpX="1355" w:tblpY="417"/>
        <w:tblOverlap w:val="never"/>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51"/>
        <w:gridCol w:w="850"/>
        <w:gridCol w:w="851"/>
        <w:gridCol w:w="1417"/>
        <w:gridCol w:w="1048"/>
        <w:gridCol w:w="1225"/>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71" w:type="dxa"/>
            <w:vAlign w:val="center"/>
          </w:tcPr>
          <w:p>
            <w:r>
              <w:t>拟任岗位</w:t>
            </w:r>
          </w:p>
        </w:tc>
        <w:tc>
          <w:tcPr>
            <w:tcW w:w="851" w:type="dxa"/>
            <w:vAlign w:val="center"/>
          </w:tcPr>
          <w:p>
            <w:r>
              <w:t>姓名</w:t>
            </w:r>
          </w:p>
        </w:tc>
        <w:tc>
          <w:tcPr>
            <w:tcW w:w="850" w:type="dxa"/>
            <w:vAlign w:val="center"/>
          </w:tcPr>
          <w:p>
            <w:r>
              <w:t>职位</w:t>
            </w:r>
          </w:p>
        </w:tc>
        <w:tc>
          <w:tcPr>
            <w:tcW w:w="851" w:type="dxa"/>
            <w:vAlign w:val="center"/>
          </w:tcPr>
          <w:p>
            <w:r>
              <w:t>学历</w:t>
            </w:r>
          </w:p>
        </w:tc>
        <w:tc>
          <w:tcPr>
            <w:tcW w:w="1417" w:type="dxa"/>
            <w:vAlign w:val="center"/>
          </w:tcPr>
          <w:p>
            <w:r>
              <w:t>持何种资格证书及证书编号</w:t>
            </w:r>
          </w:p>
        </w:tc>
        <w:tc>
          <w:tcPr>
            <w:tcW w:w="1048" w:type="dxa"/>
            <w:vAlign w:val="center"/>
          </w:tcPr>
          <w:p>
            <w:r>
              <w:t>安排上岗的起止时间</w:t>
            </w:r>
          </w:p>
        </w:tc>
        <w:tc>
          <w:tcPr>
            <w:tcW w:w="1225" w:type="dxa"/>
            <w:vAlign w:val="center"/>
          </w:tcPr>
          <w:p>
            <w:r>
              <w:t>本岗工龄</w:t>
            </w:r>
          </w:p>
        </w:tc>
        <w:tc>
          <w:tcPr>
            <w:tcW w:w="1725" w:type="dxa"/>
            <w:vAlign w:val="center"/>
          </w:tcPr>
          <w:p>
            <w:r>
              <w:t>类似工程经历业绩介绍（或另附简历）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71" w:type="dxa"/>
            <w:vAlign w:val="center"/>
          </w:tcPr>
          <w:p>
            <w:r>
              <w:t>项目经理</w:t>
            </w: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pStyle w:val="126"/>
              <w:rPr>
                <w:rFonts w:hAnsi="宋体"/>
                <w:color w:val="000000" w:themeColor="text1"/>
                <w:sz w:val="24"/>
                <w:szCs w:val="16"/>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r>
              <w:t>……</w:t>
            </w: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pStyle w:val="126"/>
              <w:rPr>
                <w:rFonts w:hAnsi="宋体"/>
                <w:color w:val="000000" w:themeColor="text1"/>
                <w:sz w:val="24"/>
                <w:szCs w:val="16"/>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pStyle w:val="126"/>
              <w:rPr>
                <w:rFonts w:hAnsi="宋体"/>
                <w:color w:val="000000" w:themeColor="text1"/>
                <w:sz w:val="24"/>
                <w:szCs w:val="16"/>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71"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271"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850" w:type="dxa"/>
            <w:vAlign w:val="center"/>
          </w:tcPr>
          <w:p>
            <w:pPr>
              <w:spacing w:line="600" w:lineRule="exact"/>
              <w:jc w:val="center"/>
              <w:rPr>
                <w:rFonts w:ascii="仿宋_GB2312" w:eastAsia="仿宋_GB2312"/>
                <w:color w:val="000000" w:themeColor="text1"/>
                <w:sz w:val="20"/>
                <w:szCs w:val="15"/>
              </w:rPr>
            </w:pPr>
          </w:p>
        </w:tc>
        <w:tc>
          <w:tcPr>
            <w:tcW w:w="851" w:type="dxa"/>
            <w:vAlign w:val="center"/>
          </w:tcPr>
          <w:p>
            <w:pPr>
              <w:spacing w:line="600" w:lineRule="exact"/>
              <w:jc w:val="center"/>
              <w:rPr>
                <w:rFonts w:ascii="仿宋_GB2312" w:eastAsia="仿宋_GB2312"/>
                <w:color w:val="000000" w:themeColor="text1"/>
                <w:sz w:val="20"/>
                <w:szCs w:val="15"/>
              </w:rPr>
            </w:pPr>
          </w:p>
        </w:tc>
        <w:tc>
          <w:tcPr>
            <w:tcW w:w="1417" w:type="dxa"/>
            <w:vAlign w:val="center"/>
          </w:tcPr>
          <w:p>
            <w:pPr>
              <w:spacing w:line="600" w:lineRule="exact"/>
              <w:jc w:val="center"/>
              <w:rPr>
                <w:rFonts w:ascii="仿宋_GB2312" w:eastAsia="仿宋_GB2312"/>
                <w:color w:val="000000" w:themeColor="text1"/>
                <w:sz w:val="20"/>
                <w:szCs w:val="15"/>
              </w:rPr>
            </w:pPr>
          </w:p>
        </w:tc>
        <w:tc>
          <w:tcPr>
            <w:tcW w:w="1048" w:type="dxa"/>
            <w:vAlign w:val="center"/>
          </w:tcPr>
          <w:p>
            <w:pPr>
              <w:spacing w:line="600" w:lineRule="exact"/>
              <w:jc w:val="center"/>
              <w:rPr>
                <w:rFonts w:ascii="仿宋_GB2312" w:eastAsia="仿宋_GB2312"/>
                <w:color w:val="000000" w:themeColor="text1"/>
                <w:sz w:val="20"/>
                <w:szCs w:val="15"/>
              </w:rPr>
            </w:pPr>
          </w:p>
        </w:tc>
        <w:tc>
          <w:tcPr>
            <w:tcW w:w="1225" w:type="dxa"/>
            <w:vAlign w:val="center"/>
          </w:tcPr>
          <w:p>
            <w:pPr>
              <w:spacing w:line="600" w:lineRule="exact"/>
              <w:jc w:val="center"/>
              <w:rPr>
                <w:rFonts w:ascii="仿宋_GB2312" w:eastAsia="仿宋_GB2312"/>
                <w:color w:val="000000" w:themeColor="text1"/>
                <w:sz w:val="20"/>
                <w:szCs w:val="15"/>
              </w:rPr>
            </w:pPr>
          </w:p>
        </w:tc>
        <w:tc>
          <w:tcPr>
            <w:tcW w:w="1725" w:type="dxa"/>
            <w:vAlign w:val="center"/>
          </w:tcPr>
          <w:p>
            <w:pPr>
              <w:spacing w:line="600" w:lineRule="exact"/>
              <w:jc w:val="center"/>
              <w:rPr>
                <w:rFonts w:ascii="仿宋_GB2312" w:eastAsia="仿宋_GB2312"/>
                <w:color w:val="000000" w:themeColor="text1"/>
                <w:sz w:val="20"/>
                <w:szCs w:val="15"/>
              </w:rPr>
            </w:pPr>
          </w:p>
        </w:tc>
      </w:tr>
    </w:tbl>
    <w:p>
      <w:pPr>
        <w:spacing w:line="360" w:lineRule="auto"/>
        <w:rPr>
          <w:rFonts w:ascii="宋体"/>
          <w:b/>
          <w:bCs/>
          <w:color w:val="000000" w:themeColor="text1"/>
        </w:rPr>
      </w:pPr>
      <w:r>
        <w:t>要求：</w:t>
      </w:r>
    </w:p>
    <w:p>
      <w:pPr>
        <w:ind w:left="437"/>
        <w:rPr>
          <w:rFonts w:ascii="宋体"/>
          <w:color w:val="000000" w:themeColor="text1"/>
        </w:rPr>
      </w:pPr>
      <w:r>
        <w:t>1.在填写时，如本表格不适合投标人的实际情况，可根据本表格式自行划表填写。</w:t>
      </w:r>
    </w:p>
    <w:p>
      <w:pPr>
        <w:pStyle w:val="113"/>
        <w:ind w:left="424" w:leftChars="202"/>
        <w:rPr>
          <w:rFonts w:ascii="宋体"/>
          <w:color w:val="000000" w:themeColor="text1"/>
        </w:rPr>
      </w:pPr>
      <w:r>
        <w:t>2.附人员证书复印件；</w:t>
      </w:r>
    </w:p>
    <w:p>
      <w:pPr>
        <w:spacing w:line="360" w:lineRule="auto"/>
        <w:ind w:firstLine="480" w:firstLineChars="200"/>
        <w:rPr>
          <w:rFonts w:ascii="宋体" w:hAnsi="宋体" w:cs="宋体"/>
          <w:color w:val="000000" w:themeColor="text1"/>
          <w:sz w:val="24"/>
          <w:szCs w:val="24"/>
        </w:rPr>
      </w:pPr>
      <w:r/>
    </w:p>
    <w:p>
      <w:pPr>
        <w:spacing w:line="360" w:lineRule="auto"/>
        <w:ind w:firstLine="480" w:firstLineChars="200"/>
        <w:rPr>
          <w:rFonts w:ascii="宋体"/>
          <w:color w:val="000000" w:themeColor="text1"/>
          <w:sz w:val="24"/>
          <w:szCs w:val="24"/>
        </w:rPr>
      </w:pPr>
      <w:r>
        <w:t>投标人名称（盖章）：</w:t>
      </w:r>
    </w:p>
    <w:p>
      <w:pPr>
        <w:spacing w:line="360" w:lineRule="auto"/>
        <w:ind w:firstLine="424" w:firstLineChars="177"/>
        <w:rPr>
          <w:rFonts w:ascii="宋体"/>
          <w:color w:val="000000" w:themeColor="text1"/>
          <w:sz w:val="24"/>
          <w:szCs w:val="24"/>
        </w:rPr>
      </w:pPr>
      <w:r>
        <w:t>法定代表人（或营运商负责人）或代理人（签名或盖章）：</w:t>
      </w:r>
    </w:p>
    <w:p>
      <w:pPr>
        <w:spacing w:line="360" w:lineRule="auto"/>
        <w:ind w:firstLine="435"/>
        <w:rPr>
          <w:rFonts w:ascii="宋体"/>
          <w:color w:val="000000" w:themeColor="text1"/>
          <w:sz w:val="24"/>
          <w:szCs w:val="24"/>
        </w:rPr>
      </w:pPr>
      <w:r>
        <w:t>日        期：</w:t>
      </w:r>
    </w:p>
    <w:p>
      <w:pPr>
        <w:rPr>
          <w:rFonts w:ascii="宋体" w:hAnsi="宋体" w:cs="宋体"/>
          <w:b/>
          <w:bCs/>
          <w:color w:val="000000" w:themeColor="text1"/>
          <w:spacing w:val="21"/>
          <w:kern w:val="0"/>
          <w:sz w:val="32"/>
          <w:szCs w:val="32"/>
        </w:rPr>
      </w:pPr>
      <w:r/>
    </w:p>
    <w:p>
      <w:pPr>
        <w:widowControl/>
        <w:jc w:val="left"/>
        <w:rPr>
          <w:rFonts w:ascii="宋体" w:hAnsi="宋体" w:cs="宋体"/>
          <w:b/>
          <w:bCs/>
          <w:color w:val="000000" w:themeColor="text1"/>
          <w:spacing w:val="21"/>
          <w:kern w:val="0"/>
          <w:sz w:val="32"/>
          <w:szCs w:val="32"/>
        </w:rPr>
      </w:pPr>
      <w:r>
        <w:t>附件15:</w:t>
      </w:r>
    </w:p>
    <w:p>
      <w:pPr>
        <w:pStyle w:val="34"/>
        <w:spacing w:before="120" w:after="120" w:line="480" w:lineRule="auto"/>
        <w:jc w:val="center"/>
        <w:rPr>
          <w:rFonts w:hAnsi="宋体"/>
          <w:b/>
          <w:bCs/>
          <w:color w:val="000000" w:themeColor="text1"/>
          <w:spacing w:val="21"/>
          <w:kern w:val="0"/>
          <w:sz w:val="32"/>
          <w:szCs w:val="32"/>
        </w:rPr>
      </w:pPr>
      <w:r>
        <w:t>证书一览表</w:t>
      </w:r>
    </w:p>
    <w:tbl>
      <w:tblPr>
        <w:tblStyle w:val="59"/>
        <w:tblW w:w="891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88"/>
        <w:gridCol w:w="2390"/>
        <w:gridCol w:w="216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975" w:type="dxa"/>
            <w:tcBorders>
              <w:top w:val="double" w:color="auto" w:sz="4" w:space="0"/>
              <w:left w:val="double" w:color="auto" w:sz="4" w:space="0"/>
            </w:tcBorders>
          </w:tcPr>
          <w:p>
            <w:r>
              <w:t>证书名称</w:t>
            </w:r>
          </w:p>
        </w:tc>
        <w:tc>
          <w:tcPr>
            <w:tcW w:w="2388" w:type="dxa"/>
            <w:tcBorders>
              <w:top w:val="double" w:color="auto" w:sz="4" w:space="0"/>
            </w:tcBorders>
          </w:tcPr>
          <w:p>
            <w:r>
              <w:t>发证单位</w:t>
            </w:r>
          </w:p>
        </w:tc>
        <w:tc>
          <w:tcPr>
            <w:tcW w:w="2390" w:type="dxa"/>
            <w:tcBorders>
              <w:top w:val="double" w:color="auto" w:sz="4" w:space="0"/>
            </w:tcBorders>
          </w:tcPr>
          <w:p>
            <w:r>
              <w:t>证书等级</w:t>
            </w:r>
          </w:p>
        </w:tc>
        <w:tc>
          <w:tcPr>
            <w:tcW w:w="2165" w:type="dxa"/>
            <w:tcBorders>
              <w:top w:val="double" w:color="auto" w:sz="4" w:space="0"/>
              <w:right w:val="double" w:color="auto" w:sz="4" w:space="0"/>
            </w:tcBorders>
          </w:tcPr>
          <w:p>
            <w: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pPr>
              <w:pStyle w:val="116"/>
              <w:spacing w:line="360" w:lineRule="auto"/>
              <w:jc w:val="center"/>
              <w:rPr>
                <w:rFonts w:ascii="宋体"/>
                <w:color w:val="000000" w:themeColor="text1"/>
              </w:rPr>
            </w:pPr>
          </w:p>
        </w:tc>
        <w:tc>
          <w:tcPr>
            <w:tcW w:w="2388" w:type="dxa"/>
          </w:tcPr>
          <w:p>
            <w:pPr>
              <w:pStyle w:val="116"/>
              <w:spacing w:line="360" w:lineRule="auto"/>
              <w:jc w:val="center"/>
              <w:rPr>
                <w:rFonts w:ascii="宋体"/>
                <w:color w:val="000000" w:themeColor="text1"/>
              </w:rPr>
            </w:pPr>
          </w:p>
        </w:tc>
        <w:tc>
          <w:tcPr>
            <w:tcW w:w="2390" w:type="dxa"/>
          </w:tcPr>
          <w:p>
            <w:pPr>
              <w:pStyle w:val="116"/>
              <w:spacing w:line="360" w:lineRule="auto"/>
              <w:jc w:val="center"/>
              <w:rPr>
                <w:rFonts w:ascii="宋体"/>
                <w:color w:val="000000" w:themeColor="text1"/>
              </w:rPr>
            </w:pPr>
          </w:p>
        </w:tc>
        <w:tc>
          <w:tcPr>
            <w:tcW w:w="2165" w:type="dxa"/>
            <w:tcBorders>
              <w:right w:val="double" w:color="auto" w:sz="4" w:space="0"/>
            </w:tcBorders>
          </w:tcPr>
          <w:p>
            <w:pPr>
              <w:pStyle w:val="116"/>
              <w:spacing w:line="360" w:lineRule="auto"/>
              <w:jc w:val="center"/>
              <w:rPr>
                <w:rFonts w:ascii="宋体"/>
                <w:color w:val="000000" w:themeColor="text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pPr>
              <w:pStyle w:val="116"/>
              <w:spacing w:line="360" w:lineRule="auto"/>
              <w:jc w:val="center"/>
              <w:rPr>
                <w:rFonts w:ascii="宋体"/>
                <w:color w:val="000000" w:themeColor="text1"/>
              </w:rPr>
            </w:pPr>
          </w:p>
        </w:tc>
        <w:tc>
          <w:tcPr>
            <w:tcW w:w="2388" w:type="dxa"/>
          </w:tcPr>
          <w:p>
            <w:pPr>
              <w:pStyle w:val="116"/>
              <w:spacing w:line="360" w:lineRule="auto"/>
              <w:jc w:val="center"/>
              <w:rPr>
                <w:rFonts w:ascii="宋体"/>
                <w:color w:val="000000" w:themeColor="text1"/>
              </w:rPr>
            </w:pPr>
          </w:p>
        </w:tc>
        <w:tc>
          <w:tcPr>
            <w:tcW w:w="2390" w:type="dxa"/>
          </w:tcPr>
          <w:p>
            <w:pPr>
              <w:pStyle w:val="116"/>
              <w:spacing w:line="360" w:lineRule="auto"/>
              <w:jc w:val="center"/>
              <w:rPr>
                <w:rFonts w:ascii="宋体"/>
                <w:color w:val="000000" w:themeColor="text1"/>
              </w:rPr>
            </w:pPr>
          </w:p>
        </w:tc>
        <w:tc>
          <w:tcPr>
            <w:tcW w:w="2165" w:type="dxa"/>
            <w:tcBorders>
              <w:right w:val="double" w:color="auto" w:sz="4" w:space="0"/>
            </w:tcBorders>
          </w:tcPr>
          <w:p>
            <w:pPr>
              <w:pStyle w:val="116"/>
              <w:spacing w:line="360" w:lineRule="auto"/>
              <w:jc w:val="center"/>
              <w:rPr>
                <w:rFonts w:ascii="宋体"/>
                <w:color w:val="000000" w:themeColor="text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68" w:hRule="atLeast"/>
          <w:jc w:val="center"/>
        </w:trPr>
        <w:tc>
          <w:tcPr>
            <w:tcW w:w="1975" w:type="dxa"/>
            <w:tcBorders>
              <w:left w:val="double" w:color="auto" w:sz="4" w:space="0"/>
            </w:tcBorders>
          </w:tcPr>
          <w:p>
            <w:pPr>
              <w:pStyle w:val="116"/>
              <w:spacing w:line="360" w:lineRule="auto"/>
              <w:jc w:val="center"/>
              <w:rPr>
                <w:rFonts w:ascii="宋体"/>
                <w:color w:val="000000" w:themeColor="text1"/>
              </w:rPr>
            </w:pPr>
          </w:p>
        </w:tc>
        <w:tc>
          <w:tcPr>
            <w:tcW w:w="2388" w:type="dxa"/>
          </w:tcPr>
          <w:p>
            <w:pPr>
              <w:pStyle w:val="116"/>
              <w:spacing w:line="360" w:lineRule="auto"/>
              <w:jc w:val="center"/>
              <w:rPr>
                <w:rFonts w:ascii="宋体"/>
                <w:color w:val="000000" w:themeColor="text1"/>
              </w:rPr>
            </w:pPr>
          </w:p>
        </w:tc>
        <w:tc>
          <w:tcPr>
            <w:tcW w:w="2390" w:type="dxa"/>
          </w:tcPr>
          <w:p>
            <w:pPr>
              <w:pStyle w:val="116"/>
              <w:spacing w:line="360" w:lineRule="auto"/>
              <w:jc w:val="center"/>
              <w:rPr>
                <w:rFonts w:ascii="宋体"/>
                <w:color w:val="000000" w:themeColor="text1"/>
              </w:rPr>
            </w:pPr>
          </w:p>
        </w:tc>
        <w:tc>
          <w:tcPr>
            <w:tcW w:w="2165" w:type="dxa"/>
            <w:tcBorders>
              <w:right w:val="double" w:color="auto" w:sz="4" w:space="0"/>
            </w:tcBorders>
          </w:tcPr>
          <w:p>
            <w:pPr>
              <w:pStyle w:val="116"/>
              <w:spacing w:line="360" w:lineRule="auto"/>
              <w:jc w:val="center"/>
              <w:rPr>
                <w:rFonts w:ascii="宋体"/>
                <w:color w:val="000000" w:themeColor="text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pPr>
              <w:pStyle w:val="116"/>
              <w:spacing w:line="360" w:lineRule="auto"/>
              <w:jc w:val="center"/>
              <w:rPr>
                <w:rFonts w:ascii="宋体"/>
                <w:color w:val="000000" w:themeColor="text1"/>
              </w:rPr>
            </w:pPr>
          </w:p>
        </w:tc>
        <w:tc>
          <w:tcPr>
            <w:tcW w:w="2388" w:type="dxa"/>
          </w:tcPr>
          <w:p>
            <w:pPr>
              <w:pStyle w:val="116"/>
              <w:spacing w:line="360" w:lineRule="auto"/>
              <w:jc w:val="center"/>
              <w:rPr>
                <w:rFonts w:ascii="宋体"/>
                <w:color w:val="000000" w:themeColor="text1"/>
              </w:rPr>
            </w:pPr>
          </w:p>
        </w:tc>
        <w:tc>
          <w:tcPr>
            <w:tcW w:w="2390" w:type="dxa"/>
          </w:tcPr>
          <w:p>
            <w:pPr>
              <w:pStyle w:val="116"/>
              <w:spacing w:line="360" w:lineRule="auto"/>
              <w:jc w:val="center"/>
              <w:rPr>
                <w:rFonts w:ascii="宋体"/>
                <w:color w:val="000000" w:themeColor="text1"/>
              </w:rPr>
            </w:pPr>
          </w:p>
        </w:tc>
        <w:tc>
          <w:tcPr>
            <w:tcW w:w="2165" w:type="dxa"/>
            <w:tcBorders>
              <w:right w:val="double" w:color="auto" w:sz="4" w:space="0"/>
            </w:tcBorders>
          </w:tcPr>
          <w:p>
            <w:pPr>
              <w:pStyle w:val="116"/>
              <w:spacing w:line="360" w:lineRule="auto"/>
              <w:jc w:val="center"/>
              <w:rPr>
                <w:rFonts w:ascii="宋体"/>
                <w:color w:val="000000" w:themeColor="text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pPr>
              <w:pStyle w:val="116"/>
              <w:spacing w:line="360" w:lineRule="auto"/>
              <w:jc w:val="center"/>
              <w:rPr>
                <w:rFonts w:ascii="宋体"/>
                <w:color w:val="000000" w:themeColor="text1"/>
              </w:rPr>
            </w:pPr>
          </w:p>
        </w:tc>
        <w:tc>
          <w:tcPr>
            <w:tcW w:w="2388" w:type="dxa"/>
          </w:tcPr>
          <w:p>
            <w:pPr>
              <w:pStyle w:val="116"/>
              <w:spacing w:line="360" w:lineRule="auto"/>
              <w:jc w:val="center"/>
              <w:rPr>
                <w:rFonts w:ascii="宋体"/>
                <w:color w:val="000000" w:themeColor="text1"/>
              </w:rPr>
            </w:pPr>
          </w:p>
        </w:tc>
        <w:tc>
          <w:tcPr>
            <w:tcW w:w="2390" w:type="dxa"/>
          </w:tcPr>
          <w:p>
            <w:pPr>
              <w:pStyle w:val="116"/>
              <w:spacing w:line="360" w:lineRule="auto"/>
              <w:jc w:val="center"/>
              <w:rPr>
                <w:rFonts w:ascii="宋体"/>
                <w:color w:val="000000" w:themeColor="text1"/>
              </w:rPr>
            </w:pPr>
          </w:p>
        </w:tc>
        <w:tc>
          <w:tcPr>
            <w:tcW w:w="2165" w:type="dxa"/>
            <w:tcBorders>
              <w:right w:val="double" w:color="auto" w:sz="4" w:space="0"/>
            </w:tcBorders>
          </w:tcPr>
          <w:p>
            <w:pPr>
              <w:pStyle w:val="116"/>
              <w:spacing w:line="360" w:lineRule="auto"/>
              <w:jc w:val="center"/>
              <w:rPr>
                <w:rFonts w:ascii="宋体"/>
                <w:color w:val="000000" w:themeColor="text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75" w:type="dxa"/>
            <w:tcBorders>
              <w:left w:val="double" w:color="auto" w:sz="4" w:space="0"/>
            </w:tcBorders>
          </w:tcPr>
          <w:p>
            <w:pPr>
              <w:pStyle w:val="116"/>
              <w:spacing w:line="360" w:lineRule="auto"/>
              <w:jc w:val="center"/>
              <w:rPr>
                <w:rFonts w:ascii="宋体"/>
                <w:color w:val="000000" w:themeColor="text1"/>
              </w:rPr>
            </w:pPr>
          </w:p>
        </w:tc>
        <w:tc>
          <w:tcPr>
            <w:tcW w:w="2388" w:type="dxa"/>
          </w:tcPr>
          <w:p>
            <w:pPr>
              <w:pStyle w:val="116"/>
              <w:spacing w:line="360" w:lineRule="auto"/>
              <w:jc w:val="center"/>
              <w:rPr>
                <w:rFonts w:ascii="宋体"/>
                <w:color w:val="000000" w:themeColor="text1"/>
              </w:rPr>
            </w:pPr>
          </w:p>
        </w:tc>
        <w:tc>
          <w:tcPr>
            <w:tcW w:w="2390" w:type="dxa"/>
          </w:tcPr>
          <w:p>
            <w:pPr>
              <w:pStyle w:val="116"/>
              <w:spacing w:line="360" w:lineRule="auto"/>
              <w:jc w:val="center"/>
              <w:rPr>
                <w:rFonts w:ascii="宋体"/>
                <w:color w:val="000000" w:themeColor="text1"/>
              </w:rPr>
            </w:pPr>
          </w:p>
        </w:tc>
        <w:tc>
          <w:tcPr>
            <w:tcW w:w="2165" w:type="dxa"/>
            <w:tcBorders>
              <w:right w:val="double" w:color="auto" w:sz="4" w:space="0"/>
            </w:tcBorders>
          </w:tcPr>
          <w:p>
            <w:pPr>
              <w:pStyle w:val="116"/>
              <w:spacing w:line="360" w:lineRule="auto"/>
              <w:jc w:val="center"/>
              <w:rPr>
                <w:rFonts w:ascii="宋体"/>
                <w:color w:val="000000" w:themeColor="text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97" w:hRule="atLeast"/>
          <w:jc w:val="center"/>
        </w:trPr>
        <w:tc>
          <w:tcPr>
            <w:tcW w:w="1975" w:type="dxa"/>
            <w:tcBorders>
              <w:left w:val="double" w:color="auto" w:sz="4" w:space="0"/>
              <w:bottom w:val="double" w:color="auto" w:sz="4" w:space="0"/>
            </w:tcBorders>
          </w:tcPr>
          <w:p>
            <w:pPr>
              <w:pStyle w:val="116"/>
              <w:spacing w:line="360" w:lineRule="auto"/>
              <w:jc w:val="center"/>
              <w:rPr>
                <w:rFonts w:ascii="宋体"/>
                <w:color w:val="000000" w:themeColor="text1"/>
              </w:rPr>
            </w:pPr>
          </w:p>
        </w:tc>
        <w:tc>
          <w:tcPr>
            <w:tcW w:w="2388" w:type="dxa"/>
            <w:tcBorders>
              <w:bottom w:val="double" w:color="auto" w:sz="4" w:space="0"/>
            </w:tcBorders>
          </w:tcPr>
          <w:p>
            <w:pPr>
              <w:pStyle w:val="116"/>
              <w:spacing w:line="360" w:lineRule="auto"/>
              <w:jc w:val="center"/>
              <w:rPr>
                <w:rFonts w:ascii="宋体"/>
                <w:color w:val="000000" w:themeColor="text1"/>
              </w:rPr>
            </w:pPr>
          </w:p>
        </w:tc>
        <w:tc>
          <w:tcPr>
            <w:tcW w:w="2390" w:type="dxa"/>
            <w:tcBorders>
              <w:bottom w:val="double" w:color="auto" w:sz="4" w:space="0"/>
            </w:tcBorders>
          </w:tcPr>
          <w:p>
            <w:pPr>
              <w:pStyle w:val="116"/>
              <w:spacing w:line="360" w:lineRule="auto"/>
              <w:jc w:val="center"/>
              <w:rPr>
                <w:rFonts w:ascii="宋体"/>
                <w:color w:val="000000" w:themeColor="text1"/>
              </w:rPr>
            </w:pPr>
          </w:p>
        </w:tc>
        <w:tc>
          <w:tcPr>
            <w:tcW w:w="2165" w:type="dxa"/>
            <w:tcBorders>
              <w:bottom w:val="double" w:color="auto" w:sz="4" w:space="0"/>
              <w:right w:val="double" w:color="auto" w:sz="4" w:space="0"/>
            </w:tcBorders>
          </w:tcPr>
          <w:p>
            <w:pPr>
              <w:pStyle w:val="116"/>
              <w:spacing w:line="360" w:lineRule="auto"/>
              <w:jc w:val="center"/>
              <w:rPr>
                <w:rFonts w:ascii="宋体"/>
                <w:color w:val="000000" w:themeColor="text1"/>
              </w:rPr>
            </w:pPr>
          </w:p>
        </w:tc>
      </w:tr>
    </w:tbl>
    <w:p>
      <w:pPr>
        <w:pStyle w:val="116"/>
        <w:tabs>
          <w:tab w:val="left" w:pos="1050"/>
        </w:tabs>
        <w:spacing w:line="360" w:lineRule="auto"/>
        <w:rPr>
          <w:rFonts w:ascii="仿宋_GB2312" w:hAnsi="宋体" w:eastAsia="仿宋_GB2312"/>
          <w:color w:val="000000" w:themeColor="text1"/>
          <w:sz w:val="24"/>
          <w:szCs w:val="24"/>
        </w:rPr>
      </w:pPr>
      <w:r/>
    </w:p>
    <w:p>
      <w:pPr>
        <w:pStyle w:val="116"/>
        <w:tabs>
          <w:tab w:val="left" w:pos="1050"/>
        </w:tabs>
        <w:spacing w:line="360" w:lineRule="auto"/>
        <w:rPr>
          <w:rFonts w:ascii="宋体"/>
          <w:color w:val="000000" w:themeColor="text1"/>
        </w:rPr>
      </w:pPr>
      <w:r>
        <w:t>要求：</w:t>
      </w:r>
    </w:p>
    <w:p>
      <w:pPr>
        <w:pStyle w:val="116"/>
        <w:tabs>
          <w:tab w:val="left" w:pos="1050"/>
        </w:tabs>
        <w:spacing w:line="360" w:lineRule="auto"/>
        <w:ind w:firstLine="424" w:firstLineChars="202"/>
        <w:rPr>
          <w:rFonts w:ascii="宋体"/>
          <w:color w:val="000000" w:themeColor="text1"/>
        </w:rPr>
      </w:pPr>
      <w:r>
        <w:t>1.填写投标人获得资质、认证或企业信誉证书；</w:t>
      </w:r>
    </w:p>
    <w:p>
      <w:pPr>
        <w:pStyle w:val="116"/>
        <w:tabs>
          <w:tab w:val="left" w:pos="1050"/>
        </w:tabs>
        <w:spacing w:line="360" w:lineRule="auto"/>
        <w:ind w:firstLine="424" w:firstLineChars="202"/>
        <w:rPr>
          <w:rFonts w:ascii="宋体"/>
          <w:color w:val="000000" w:themeColor="text1"/>
        </w:rPr>
      </w:pPr>
      <w:r>
        <w:t>2.附所列证书复印件或其他证明材料。</w:t>
      </w:r>
    </w:p>
    <w:p>
      <w:pPr>
        <w:pStyle w:val="116"/>
        <w:tabs>
          <w:tab w:val="left" w:pos="1050"/>
        </w:tabs>
        <w:spacing w:line="360" w:lineRule="auto"/>
        <w:ind w:firstLine="720" w:firstLineChars="300"/>
        <w:rPr>
          <w:rFonts w:ascii="仿宋_GB2312" w:hAnsi="宋体" w:eastAsia="仿宋_GB2312"/>
          <w:color w:val="000000" w:themeColor="text1"/>
          <w:sz w:val="24"/>
          <w:szCs w:val="24"/>
        </w:rPr>
      </w:pPr>
      <w:r/>
    </w:p>
    <w:p>
      <w:pPr>
        <w:pStyle w:val="116"/>
        <w:tabs>
          <w:tab w:val="left" w:pos="1050"/>
        </w:tabs>
        <w:spacing w:line="360" w:lineRule="auto"/>
        <w:ind w:firstLine="720" w:firstLineChars="300"/>
        <w:rPr>
          <w:rFonts w:ascii="仿宋_GB2312" w:hAnsi="宋体" w:eastAsia="仿宋_GB2312"/>
          <w:color w:val="000000" w:themeColor="text1"/>
          <w:sz w:val="24"/>
          <w:szCs w:val="24"/>
        </w:rPr>
      </w:pPr>
      <w:r/>
    </w:p>
    <w:p>
      <w:pPr>
        <w:pStyle w:val="116"/>
        <w:tabs>
          <w:tab w:val="left" w:pos="1050"/>
        </w:tabs>
        <w:spacing w:line="360" w:lineRule="auto"/>
        <w:ind w:firstLine="720" w:firstLineChars="300"/>
        <w:rPr>
          <w:rFonts w:ascii="仿宋_GB2312" w:hAnsi="宋体" w:eastAsia="仿宋_GB2312"/>
          <w:color w:val="000000" w:themeColor="text1"/>
          <w:sz w:val="24"/>
          <w:szCs w:val="24"/>
        </w:rPr>
      </w:pPr>
      <w:r/>
    </w:p>
    <w:p>
      <w:pPr>
        <w:spacing w:line="360" w:lineRule="auto"/>
        <w:ind w:firstLine="424" w:firstLineChars="177"/>
        <w:rPr>
          <w:rFonts w:ascii="宋体"/>
          <w:color w:val="000000" w:themeColor="text1"/>
          <w:sz w:val="24"/>
          <w:szCs w:val="24"/>
          <w:u w:val="single"/>
        </w:rPr>
      </w:pPr>
      <w:r>
        <w:t>投标人名称（盖章）：</w:t>
      </w:r>
    </w:p>
    <w:p>
      <w:pPr>
        <w:spacing w:line="360" w:lineRule="auto"/>
        <w:ind w:left="420"/>
        <w:rPr>
          <w:rFonts w:ascii="宋体"/>
          <w:color w:val="000000" w:themeColor="text1"/>
          <w:sz w:val="24"/>
          <w:szCs w:val="24"/>
        </w:rPr>
      </w:pPr>
      <w:r/>
    </w:p>
    <w:p>
      <w:pPr>
        <w:spacing w:line="360" w:lineRule="auto"/>
        <w:ind w:firstLine="424" w:firstLineChars="177"/>
        <w:rPr>
          <w:rFonts w:ascii="宋体"/>
          <w:color w:val="000000" w:themeColor="text1"/>
          <w:sz w:val="24"/>
          <w:szCs w:val="24"/>
        </w:rPr>
      </w:pPr>
      <w:r>
        <w:t>法定代表人（或营运商负责人）或代理人（签名或盖章）：</w:t>
      </w:r>
    </w:p>
    <w:p>
      <w:pPr>
        <w:spacing w:line="360" w:lineRule="auto"/>
        <w:rPr>
          <w:rFonts w:ascii="宋体"/>
          <w:color w:val="000000" w:themeColor="text1"/>
          <w:sz w:val="24"/>
          <w:szCs w:val="24"/>
        </w:rPr>
      </w:pPr>
      <w:r/>
    </w:p>
    <w:p>
      <w:pPr>
        <w:pStyle w:val="112"/>
        <w:shd w:val="clear" w:color="auto" w:fill="FFFFFF"/>
        <w:spacing w:before="0" w:beforeAutospacing="0" w:after="0" w:afterAutospacing="0" w:line="360" w:lineRule="auto"/>
        <w:ind w:firstLine="424" w:firstLineChars="177"/>
        <w:rPr>
          <w:rFonts w:cs="Times New Roman"/>
          <w:b/>
          <w:bCs/>
          <w:color w:val="000000" w:themeColor="text1"/>
          <w:spacing w:val="11"/>
        </w:rPr>
      </w:pPr>
      <w:r>
        <w:t>日        期：：</w:t>
      </w:r>
    </w:p>
    <w:p>
      <w:pPr>
        <w:spacing w:line="360" w:lineRule="auto"/>
        <w:rPr>
          <w:rFonts w:ascii="宋体"/>
          <w:b/>
          <w:bCs/>
          <w:color w:val="000000" w:themeColor="text1"/>
          <w:sz w:val="28"/>
          <w:szCs w:val="28"/>
        </w:rPr>
      </w:pPr>
      <w:r/>
    </w:p>
    <w:p>
      <w:pPr>
        <w:pStyle w:val="103"/>
        <w:rPr>
          <w:color w:val="000000" w:themeColor="text1"/>
        </w:rPr>
        <w:sectPr>
          <w:pgSz w:w="11906" w:h="16838"/>
          <w:pgMar w:top="1361" w:right="1644" w:bottom="1361" w:left="1644" w:header="851" w:footer="992" w:gutter="0"/>
          <w:cols w:space="425" w:num="1"/>
          <w:docGrid w:type="lines" w:linePitch="312" w:charSpace="0"/>
        </w:sectPr>
      </w:pPr>
      <w:r/>
    </w:p>
    <w:p>
      <w:pPr>
        <w:spacing w:line="360" w:lineRule="auto"/>
        <w:rPr>
          <w:rFonts w:ascii="宋体" w:hAnsi="宋体" w:cs="宋体"/>
          <w:b/>
          <w:bCs/>
          <w:color w:val="000000" w:themeColor="text1"/>
          <w:sz w:val="24"/>
        </w:rPr>
      </w:pPr>
      <w:r>
        <w:t>附件16：</w:t>
      </w:r>
    </w:p>
    <w:p>
      <w:pPr>
        <w:pStyle w:val="34"/>
        <w:spacing w:before="120" w:after="120" w:line="480" w:lineRule="auto"/>
        <w:jc w:val="center"/>
        <w:rPr>
          <w:rFonts w:hAnsi="宋体"/>
          <w:b/>
          <w:bCs/>
          <w:color w:val="000000" w:themeColor="text1"/>
          <w:spacing w:val="21"/>
          <w:kern w:val="0"/>
          <w:sz w:val="32"/>
          <w:szCs w:val="32"/>
        </w:rPr>
      </w:pPr>
      <w:r>
        <w:t>投标人类似业绩一览表</w:t>
      </w:r>
    </w:p>
    <w:p>
      <w:pPr>
        <w:pStyle w:val="34"/>
        <w:spacing w:before="120" w:after="120" w:line="480" w:lineRule="auto"/>
        <w:rPr>
          <w:rFonts w:hAnsi="宋体"/>
          <w:b/>
          <w:color w:val="000000" w:themeColor="text1"/>
          <w:sz w:val="32"/>
          <w:szCs w:val="32"/>
        </w:rPr>
      </w:pPr>
      <w:r>
        <w:t xml:space="preserve">项目编号：                                      </w:t>
      </w:r>
    </w:p>
    <w:tbl>
      <w:tblPr>
        <w:tblStyle w:val="59"/>
        <w:tblW w:w="9976" w:type="dxa"/>
        <w:tblInd w:w="-359" w:type="dxa"/>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1983"/>
        <w:gridCol w:w="1626"/>
        <w:gridCol w:w="1468"/>
        <w:gridCol w:w="1239"/>
        <w:gridCol w:w="1645"/>
        <w:gridCol w:w="1325"/>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690" w:type="dxa"/>
            <w:vAlign w:val="center"/>
          </w:tcPr>
          <w:p>
            <w:r>
              <w:t>序号</w:t>
            </w:r>
          </w:p>
        </w:tc>
        <w:tc>
          <w:tcPr>
            <w:tcW w:w="1983" w:type="dxa"/>
            <w:vAlign w:val="center"/>
          </w:tcPr>
          <w:p>
            <w:r>
              <w:t>项目名称</w:t>
            </w:r>
          </w:p>
        </w:tc>
        <w:tc>
          <w:tcPr>
            <w:tcW w:w="1626" w:type="dxa"/>
            <w:vAlign w:val="center"/>
          </w:tcPr>
          <w:p>
            <w:r>
              <w:t>业主名称</w:t>
            </w:r>
          </w:p>
        </w:tc>
        <w:tc>
          <w:tcPr>
            <w:tcW w:w="1468" w:type="dxa"/>
            <w:vAlign w:val="center"/>
          </w:tcPr>
          <w:p>
            <w:r>
              <w:t>合同金额</w:t>
            </w:r>
          </w:p>
        </w:tc>
        <w:tc>
          <w:tcPr>
            <w:tcW w:w="1239" w:type="dxa"/>
            <w:vAlign w:val="center"/>
          </w:tcPr>
          <w:p>
            <w:r>
              <w:t>签约日期</w:t>
            </w:r>
          </w:p>
        </w:tc>
        <w:tc>
          <w:tcPr>
            <w:tcW w:w="1645" w:type="dxa"/>
            <w:vAlign w:val="center"/>
          </w:tcPr>
          <w:p>
            <w:r>
              <w:t>业主单位联系人及电话</w:t>
            </w:r>
          </w:p>
        </w:tc>
        <w:tc>
          <w:tcPr>
            <w:tcW w:w="1325" w:type="dxa"/>
            <w:vAlign w:val="center"/>
          </w:tcPr>
          <w:p>
            <w:r>
              <w:t>项目服务期限</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1</w:t>
            </w:r>
          </w:p>
        </w:tc>
        <w:tc>
          <w:tcPr>
            <w:tcW w:w="1983"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26"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468"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239"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45"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325" w:type="dxa"/>
            <w:vAlign w:val="center"/>
          </w:tcPr>
          <w:p>
            <w:pPr>
              <w:spacing w:line="360" w:lineRule="auto"/>
              <w:rPr>
                <w:rFonts w:ascii="宋体" w:hAnsi="宋体"/>
                <w:color w:val="000000" w:themeColor="text1"/>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2</w:t>
            </w:r>
          </w:p>
        </w:tc>
        <w:tc>
          <w:tcPr>
            <w:tcW w:w="1983" w:type="dxa"/>
            <w:vAlign w:val="center"/>
          </w:tcPr>
          <w:p>
            <w:pPr>
              <w:spacing w:line="360" w:lineRule="auto"/>
              <w:rPr>
                <w:rFonts w:ascii="宋体" w:hAnsi="宋体"/>
                <w:color w:val="000000" w:themeColor="text1"/>
                <w:spacing w:val="20"/>
                <w:sz w:val="24"/>
              </w:rPr>
            </w:pPr>
          </w:p>
        </w:tc>
        <w:tc>
          <w:tcPr>
            <w:tcW w:w="1626"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468"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239"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45"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325" w:type="dxa"/>
            <w:vAlign w:val="center"/>
          </w:tcPr>
          <w:p>
            <w:pPr>
              <w:spacing w:line="360" w:lineRule="auto"/>
              <w:rPr>
                <w:rFonts w:ascii="宋体" w:hAnsi="宋体"/>
                <w:color w:val="000000" w:themeColor="text1"/>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3</w:t>
            </w:r>
          </w:p>
        </w:tc>
        <w:tc>
          <w:tcPr>
            <w:tcW w:w="1983" w:type="dxa"/>
            <w:vAlign w:val="center"/>
          </w:tcPr>
          <w:p>
            <w:r>
              <w:t xml:space="preserve"> ……</w:t>
            </w:r>
          </w:p>
        </w:tc>
        <w:tc>
          <w:tcPr>
            <w:tcW w:w="1626"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468"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239"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45"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325" w:type="dxa"/>
            <w:vAlign w:val="center"/>
          </w:tcPr>
          <w:p>
            <w:pPr>
              <w:spacing w:line="360" w:lineRule="auto"/>
              <w:rPr>
                <w:rFonts w:ascii="宋体" w:hAnsi="宋体"/>
                <w:color w:val="000000" w:themeColor="text1"/>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4</w:t>
            </w:r>
          </w:p>
        </w:tc>
        <w:tc>
          <w:tcPr>
            <w:tcW w:w="1983"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26"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468"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239"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45"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325" w:type="dxa"/>
            <w:vAlign w:val="center"/>
          </w:tcPr>
          <w:p>
            <w:pPr>
              <w:spacing w:line="360" w:lineRule="auto"/>
              <w:rPr>
                <w:rFonts w:ascii="宋体" w:hAnsi="宋体"/>
                <w:color w:val="000000" w:themeColor="text1"/>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5</w:t>
            </w:r>
          </w:p>
        </w:tc>
        <w:tc>
          <w:tcPr>
            <w:tcW w:w="1983" w:type="dxa"/>
            <w:vAlign w:val="center"/>
          </w:tcPr>
          <w:p>
            <w:pPr>
              <w:spacing w:line="360" w:lineRule="auto"/>
              <w:rPr>
                <w:rFonts w:ascii="宋体" w:hAnsi="宋体"/>
                <w:color w:val="000000" w:themeColor="text1"/>
              </w:rPr>
            </w:pPr>
          </w:p>
        </w:tc>
        <w:tc>
          <w:tcPr>
            <w:tcW w:w="1626" w:type="dxa"/>
            <w:vAlign w:val="center"/>
          </w:tcPr>
          <w:p>
            <w:pPr>
              <w:spacing w:line="360" w:lineRule="auto"/>
              <w:rPr>
                <w:rFonts w:ascii="宋体" w:hAnsi="宋体"/>
                <w:color w:val="000000" w:themeColor="text1"/>
              </w:rPr>
            </w:pPr>
          </w:p>
        </w:tc>
        <w:tc>
          <w:tcPr>
            <w:tcW w:w="1468" w:type="dxa"/>
            <w:vAlign w:val="center"/>
          </w:tcPr>
          <w:p>
            <w:pPr>
              <w:spacing w:line="360" w:lineRule="auto"/>
              <w:rPr>
                <w:rFonts w:ascii="宋体" w:hAnsi="宋体"/>
                <w:color w:val="000000" w:themeColor="text1"/>
              </w:rPr>
            </w:pPr>
          </w:p>
        </w:tc>
        <w:tc>
          <w:tcPr>
            <w:tcW w:w="1239" w:type="dxa"/>
            <w:vAlign w:val="center"/>
          </w:tcPr>
          <w:p>
            <w:pPr>
              <w:spacing w:line="360" w:lineRule="auto"/>
              <w:rPr>
                <w:rFonts w:ascii="宋体" w:hAnsi="宋体"/>
                <w:color w:val="000000" w:themeColor="text1"/>
              </w:rPr>
            </w:pPr>
          </w:p>
        </w:tc>
        <w:tc>
          <w:tcPr>
            <w:tcW w:w="1645" w:type="dxa"/>
            <w:vAlign w:val="center"/>
          </w:tcPr>
          <w:p>
            <w:pPr>
              <w:spacing w:line="360" w:lineRule="auto"/>
              <w:rPr>
                <w:rFonts w:ascii="宋体" w:hAnsi="宋体"/>
                <w:color w:val="000000" w:themeColor="text1"/>
              </w:rPr>
            </w:pPr>
          </w:p>
        </w:tc>
        <w:tc>
          <w:tcPr>
            <w:tcW w:w="1325" w:type="dxa"/>
            <w:vAlign w:val="center"/>
          </w:tcPr>
          <w:p>
            <w:pPr>
              <w:spacing w:line="360" w:lineRule="auto"/>
              <w:rPr>
                <w:rFonts w:ascii="宋体" w:hAnsi="宋体"/>
                <w:color w:val="000000" w:themeColor="text1"/>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6</w:t>
            </w:r>
          </w:p>
        </w:tc>
        <w:tc>
          <w:tcPr>
            <w:tcW w:w="1983" w:type="dxa"/>
            <w:vAlign w:val="center"/>
          </w:tcPr>
          <w:p>
            <w:pPr>
              <w:spacing w:line="360" w:lineRule="auto"/>
              <w:rPr>
                <w:rFonts w:ascii="宋体" w:hAnsi="宋体"/>
                <w:color w:val="000000" w:themeColor="text1"/>
              </w:rPr>
            </w:pPr>
          </w:p>
        </w:tc>
        <w:tc>
          <w:tcPr>
            <w:tcW w:w="1626" w:type="dxa"/>
            <w:vAlign w:val="center"/>
          </w:tcPr>
          <w:p>
            <w:pPr>
              <w:spacing w:line="360" w:lineRule="auto"/>
              <w:rPr>
                <w:rFonts w:ascii="宋体" w:hAnsi="宋体"/>
                <w:color w:val="000000" w:themeColor="text1"/>
              </w:rPr>
            </w:pPr>
          </w:p>
        </w:tc>
        <w:tc>
          <w:tcPr>
            <w:tcW w:w="1468" w:type="dxa"/>
            <w:vAlign w:val="center"/>
          </w:tcPr>
          <w:p>
            <w:pPr>
              <w:spacing w:line="360" w:lineRule="auto"/>
              <w:rPr>
                <w:rFonts w:ascii="宋体" w:hAnsi="宋体"/>
                <w:color w:val="000000" w:themeColor="text1"/>
              </w:rPr>
            </w:pPr>
          </w:p>
        </w:tc>
        <w:tc>
          <w:tcPr>
            <w:tcW w:w="1239" w:type="dxa"/>
            <w:vAlign w:val="center"/>
          </w:tcPr>
          <w:p>
            <w:pPr>
              <w:spacing w:line="360" w:lineRule="auto"/>
              <w:rPr>
                <w:rFonts w:ascii="宋体" w:hAnsi="宋体"/>
                <w:color w:val="000000" w:themeColor="text1"/>
              </w:rPr>
            </w:pPr>
          </w:p>
        </w:tc>
        <w:tc>
          <w:tcPr>
            <w:tcW w:w="1645" w:type="dxa"/>
            <w:vAlign w:val="center"/>
          </w:tcPr>
          <w:p>
            <w:pPr>
              <w:spacing w:line="360" w:lineRule="auto"/>
              <w:rPr>
                <w:rFonts w:ascii="宋体" w:hAnsi="宋体"/>
                <w:color w:val="000000" w:themeColor="text1"/>
              </w:rPr>
            </w:pPr>
          </w:p>
        </w:tc>
        <w:tc>
          <w:tcPr>
            <w:tcW w:w="1325" w:type="dxa"/>
            <w:vAlign w:val="center"/>
          </w:tcPr>
          <w:p>
            <w:pPr>
              <w:spacing w:line="360" w:lineRule="auto"/>
              <w:rPr>
                <w:rFonts w:ascii="宋体" w:hAnsi="宋体"/>
                <w:color w:val="000000" w:themeColor="text1"/>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7</w:t>
            </w:r>
          </w:p>
        </w:tc>
        <w:tc>
          <w:tcPr>
            <w:tcW w:w="1983" w:type="dxa"/>
            <w:vAlign w:val="center"/>
          </w:tcPr>
          <w:p>
            <w:pPr>
              <w:spacing w:line="360" w:lineRule="auto"/>
              <w:rPr>
                <w:rFonts w:ascii="宋体" w:hAnsi="宋体"/>
                <w:color w:val="000000" w:themeColor="text1"/>
              </w:rPr>
            </w:pPr>
          </w:p>
        </w:tc>
        <w:tc>
          <w:tcPr>
            <w:tcW w:w="1626" w:type="dxa"/>
            <w:vAlign w:val="center"/>
          </w:tcPr>
          <w:p>
            <w:pPr>
              <w:spacing w:line="360" w:lineRule="auto"/>
              <w:rPr>
                <w:rFonts w:ascii="宋体" w:hAnsi="宋体"/>
                <w:color w:val="000000" w:themeColor="text1"/>
              </w:rPr>
            </w:pPr>
          </w:p>
        </w:tc>
        <w:tc>
          <w:tcPr>
            <w:tcW w:w="1468" w:type="dxa"/>
            <w:vAlign w:val="center"/>
          </w:tcPr>
          <w:p>
            <w:pPr>
              <w:spacing w:line="360" w:lineRule="auto"/>
              <w:rPr>
                <w:rFonts w:ascii="宋体" w:hAnsi="宋体"/>
                <w:color w:val="000000" w:themeColor="text1"/>
              </w:rPr>
            </w:pPr>
          </w:p>
        </w:tc>
        <w:tc>
          <w:tcPr>
            <w:tcW w:w="1239" w:type="dxa"/>
            <w:vAlign w:val="center"/>
          </w:tcPr>
          <w:p>
            <w:pPr>
              <w:spacing w:line="360" w:lineRule="auto"/>
              <w:rPr>
                <w:rFonts w:ascii="宋体" w:hAnsi="宋体"/>
                <w:color w:val="000000" w:themeColor="text1"/>
              </w:rPr>
            </w:pPr>
          </w:p>
        </w:tc>
        <w:tc>
          <w:tcPr>
            <w:tcW w:w="1645" w:type="dxa"/>
            <w:vAlign w:val="center"/>
          </w:tcPr>
          <w:p>
            <w:pPr>
              <w:spacing w:line="360" w:lineRule="auto"/>
              <w:rPr>
                <w:rFonts w:ascii="宋体" w:hAnsi="宋体"/>
                <w:color w:val="000000" w:themeColor="text1"/>
              </w:rPr>
            </w:pPr>
          </w:p>
        </w:tc>
        <w:tc>
          <w:tcPr>
            <w:tcW w:w="1325" w:type="dxa"/>
            <w:vAlign w:val="center"/>
          </w:tcPr>
          <w:p>
            <w:pPr>
              <w:spacing w:line="360" w:lineRule="auto"/>
              <w:rPr>
                <w:rFonts w:ascii="宋体" w:hAnsi="宋体"/>
                <w:color w:val="000000" w:themeColor="text1"/>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90" w:type="dxa"/>
            <w:vAlign w:val="center"/>
          </w:tcPr>
          <w:p>
            <w:r>
              <w:t>8</w:t>
            </w:r>
          </w:p>
        </w:tc>
        <w:tc>
          <w:tcPr>
            <w:tcW w:w="1983"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26"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468"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239"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645" w:type="dxa"/>
            <w:vAlign w:val="center"/>
          </w:tcPr>
          <w:p>
            <w:pPr>
              <w:spacing w:line="360" w:lineRule="auto"/>
              <w:rPr>
                <w:rFonts w:ascii="宋体" w:hAnsi="宋体"/>
                <w:color w:val="000000" w:themeColor="text1"/>
                <w:spacing w:val="20"/>
                <w:sz w:val="24"/>
              </w:rPr>
            </w:pPr>
            <w:r>
              <w:rPr>
                <w:rFonts w:ascii="宋体" w:hAnsi="宋体"/>
                <w:color w:val="000000" w:themeColor="text1"/>
              </w:rPr>
              <w:t> </w:t>
            </w:r>
          </w:p>
        </w:tc>
        <w:tc>
          <w:tcPr>
            <w:tcW w:w="1325" w:type="dxa"/>
            <w:vAlign w:val="center"/>
          </w:tcPr>
          <w:p>
            <w:pPr>
              <w:spacing w:line="360" w:lineRule="auto"/>
              <w:rPr>
                <w:rFonts w:ascii="宋体" w:hAnsi="宋体"/>
                <w:color w:val="000000" w:themeColor="text1"/>
              </w:rPr>
            </w:pPr>
          </w:p>
        </w:tc>
      </w:tr>
    </w:tbl>
    <w:p>
      <w:pPr>
        <w:tabs>
          <w:tab w:val="left" w:pos="4525"/>
        </w:tabs>
        <w:ind w:firstLine="420" w:firstLineChars="200"/>
        <w:jc w:val="left"/>
        <w:rPr>
          <w:rFonts w:ascii="宋体" w:hAnsi="Courier New"/>
          <w:color w:val="000000" w:themeColor="text1"/>
          <w:kern w:val="0"/>
        </w:rPr>
      </w:pPr>
      <w:r>
        <w:t>注：以上内容填写必须完整、真实，需提供相关业绩合同的复印件资料及投标人认为需要提供的证明材料。</w:t>
      </w:r>
    </w:p>
    <w:p>
      <w:pPr>
        <w:tabs>
          <w:tab w:val="left" w:pos="4525"/>
        </w:tabs>
        <w:spacing w:line="460" w:lineRule="exact"/>
        <w:jc w:val="left"/>
        <w:rPr>
          <w:rFonts w:hAnsi="宋体"/>
          <w:color w:val="000000" w:themeColor="text1"/>
          <w:sz w:val="24"/>
        </w:rPr>
      </w:pPr>
      <w:r/>
    </w:p>
    <w:p>
      <w:pPr>
        <w:tabs>
          <w:tab w:val="left" w:pos="4525"/>
        </w:tabs>
        <w:spacing w:line="460" w:lineRule="exact"/>
        <w:jc w:val="left"/>
        <w:rPr>
          <w:rFonts w:hAnsi="宋体"/>
          <w:color w:val="000000" w:themeColor="text1"/>
          <w:sz w:val="24"/>
        </w:rPr>
      </w:pPr>
      <w:r>
        <w:t>投标人全称（单位公章）：</w:t>
      </w:r>
    </w:p>
    <w:p>
      <w:pPr>
        <w:tabs>
          <w:tab w:val="left" w:pos="4525"/>
        </w:tabs>
        <w:spacing w:line="460" w:lineRule="exact"/>
        <w:jc w:val="left"/>
        <w:rPr>
          <w:rFonts w:hAnsi="宋体"/>
          <w:color w:val="000000" w:themeColor="text1"/>
          <w:sz w:val="24"/>
        </w:rPr>
      </w:pPr>
      <w:r>
        <w:t>法定代表人（或营运商负责人）或委托代理人（盖章或签名）：</w:t>
      </w:r>
    </w:p>
    <w:p>
      <w:pPr>
        <w:tabs>
          <w:tab w:val="left" w:pos="4525"/>
        </w:tabs>
        <w:spacing w:line="460" w:lineRule="exact"/>
        <w:jc w:val="left"/>
        <w:rPr>
          <w:rFonts w:hAnsi="宋体"/>
          <w:color w:val="000000" w:themeColor="text1"/>
          <w:sz w:val="24"/>
        </w:rPr>
      </w:pPr>
      <w:r>
        <w:t>日    期：</w:t>
      </w:r>
    </w:p>
    <w:p>
      <w:pPr>
        <w:widowControl/>
        <w:snapToGrid w:val="0"/>
        <w:spacing w:line="560" w:lineRule="exact"/>
        <w:rPr>
          <w:rFonts w:ascii="宋体" w:hAnsi="宋体" w:cs="宋体"/>
          <w:b/>
          <w:color w:val="000000" w:themeColor="text1"/>
          <w:kern w:val="0"/>
          <w:sz w:val="24"/>
        </w:rPr>
      </w:pPr>
      <w:r/>
    </w:p>
    <w:p>
      <w:pPr>
        <w:pStyle w:val="34"/>
        <w:spacing w:before="120" w:after="120" w:line="480" w:lineRule="auto"/>
        <w:rPr>
          <w:rFonts w:hAnsi="宋体"/>
          <w:b/>
          <w:bCs/>
          <w:color w:val="000000" w:themeColor="text1"/>
          <w:spacing w:val="21"/>
          <w:kern w:val="0"/>
          <w:sz w:val="32"/>
          <w:szCs w:val="32"/>
        </w:rPr>
        <w:sectPr>
          <w:pgSz w:w="11906" w:h="16838"/>
          <w:pgMar w:top="1361" w:right="1644" w:bottom="1361" w:left="1644" w:header="851" w:footer="992" w:gutter="0"/>
          <w:cols w:space="425" w:num="1"/>
          <w:docGrid w:type="lines" w:linePitch="312" w:charSpace="0"/>
        </w:sectPr>
      </w:pPr>
      <w:r/>
    </w:p>
    <w:p>
      <w:pPr>
        <w:widowControl/>
        <w:jc w:val="left"/>
        <w:rPr>
          <w:rFonts w:ascii="宋体"/>
          <w:b/>
          <w:bCs/>
          <w:color w:val="000000" w:themeColor="text1"/>
          <w:sz w:val="24"/>
          <w:szCs w:val="24"/>
        </w:rPr>
      </w:pPr>
      <w:r>
        <w:t>附件17:</w:t>
      </w:r>
    </w:p>
    <w:p>
      <w:pPr>
        <w:pStyle w:val="34"/>
        <w:spacing w:before="120" w:after="120" w:line="480" w:lineRule="auto"/>
        <w:jc w:val="center"/>
        <w:rPr>
          <w:rFonts w:hAnsi="宋体"/>
          <w:b/>
          <w:bCs/>
          <w:color w:val="000000" w:themeColor="text1"/>
          <w:spacing w:val="21"/>
          <w:kern w:val="0"/>
          <w:sz w:val="32"/>
          <w:szCs w:val="32"/>
        </w:rPr>
      </w:pPr>
      <w:r>
        <w:t>类似项目情况表</w:t>
      </w:r>
    </w:p>
    <w:p>
      <w:pPr>
        <w:spacing w:line="360" w:lineRule="auto"/>
        <w:rPr>
          <w:color w:val="000000" w:themeColor="text1"/>
        </w:rPr>
      </w:pPr>
      <w:r>
        <w:t xml:space="preserve">项目编号：                                  </w:t>
      </w:r>
    </w:p>
    <w:tbl>
      <w:tblPr>
        <w:tblStyle w:val="59"/>
        <w:tblW w:w="9719" w:type="dxa"/>
        <w:jc w:val="center"/>
        <w:tblLayout w:type="fixed"/>
        <w:tblCellMar>
          <w:top w:w="0" w:type="dxa"/>
          <w:left w:w="108" w:type="dxa"/>
          <w:bottom w:w="0" w:type="dxa"/>
          <w:right w:w="108" w:type="dxa"/>
        </w:tblCellMar>
      </w:tblPr>
      <w:tblGrid>
        <w:gridCol w:w="2631"/>
        <w:gridCol w:w="7088"/>
      </w:tblGrid>
      <w:tr>
        <w:tblPrEx>
          <w:tblCellMar>
            <w:top w:w="0" w:type="dxa"/>
            <w:left w:w="108" w:type="dxa"/>
            <w:bottom w:w="0" w:type="dxa"/>
            <w:right w:w="108" w:type="dxa"/>
          </w:tblCellMar>
        </w:tblPrEx>
        <w:trPr>
          <w:trHeight w:val="633" w:hRule="atLeast"/>
          <w:jc w:val="center"/>
        </w:trPr>
        <w:tc>
          <w:tcPr>
            <w:tcW w:w="2631" w:type="dxa"/>
            <w:tcBorders>
              <w:top w:val="single" w:color="auto" w:sz="12" w:space="0"/>
              <w:left w:val="single" w:color="auto" w:sz="12" w:space="0"/>
              <w:bottom w:val="single" w:color="auto" w:sz="6" w:space="0"/>
              <w:right w:val="single" w:color="auto" w:sz="6" w:space="0"/>
            </w:tcBorders>
            <w:vAlign w:val="center"/>
          </w:tcPr>
          <w:p>
            <w:r>
              <w:t>项目名称</w:t>
            </w:r>
          </w:p>
        </w:tc>
        <w:tc>
          <w:tcPr>
            <w:tcW w:w="7088" w:type="dxa"/>
            <w:tcBorders>
              <w:top w:val="single" w:color="auto" w:sz="12"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618"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r>
              <w:t>项目所在地</w:t>
            </w:r>
          </w:p>
        </w:tc>
        <w:tc>
          <w:tcPr>
            <w:tcW w:w="7088" w:type="dxa"/>
            <w:tcBorders>
              <w:top w:val="single" w:color="auto" w:sz="6"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618"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r>
              <w:t>发包人名称</w:t>
            </w:r>
          </w:p>
        </w:tc>
        <w:tc>
          <w:tcPr>
            <w:tcW w:w="7088" w:type="dxa"/>
            <w:tcBorders>
              <w:top w:val="single" w:color="auto" w:sz="6"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618"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r>
              <w:t>发包人地址</w:t>
            </w:r>
          </w:p>
        </w:tc>
        <w:tc>
          <w:tcPr>
            <w:tcW w:w="7088" w:type="dxa"/>
            <w:tcBorders>
              <w:top w:val="single" w:color="auto" w:sz="6"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618"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r>
              <w:t>发包人电话</w:t>
            </w:r>
          </w:p>
        </w:tc>
        <w:tc>
          <w:tcPr>
            <w:tcW w:w="7088" w:type="dxa"/>
            <w:tcBorders>
              <w:top w:val="single" w:color="auto" w:sz="6"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618"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r>
              <w:t>合同价格</w:t>
            </w:r>
          </w:p>
        </w:tc>
        <w:tc>
          <w:tcPr>
            <w:tcW w:w="7088" w:type="dxa"/>
            <w:tcBorders>
              <w:top w:val="single" w:color="auto" w:sz="6"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618"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r>
              <w:t>合同签订时间</w:t>
            </w:r>
          </w:p>
        </w:tc>
        <w:tc>
          <w:tcPr>
            <w:tcW w:w="7088" w:type="dxa"/>
            <w:tcBorders>
              <w:top w:val="single" w:color="auto" w:sz="6"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1738"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r>
              <w:t>项目描述</w:t>
            </w:r>
          </w:p>
        </w:tc>
        <w:tc>
          <w:tcPr>
            <w:tcW w:w="7088" w:type="dxa"/>
            <w:tcBorders>
              <w:top w:val="single" w:color="auto" w:sz="6" w:space="0"/>
              <w:left w:val="nil"/>
              <w:bottom w:val="single" w:color="auto" w:sz="6" w:space="0"/>
              <w:right w:val="single" w:color="auto" w:sz="12" w:space="0"/>
            </w:tcBorders>
            <w:vAlign w:val="center"/>
          </w:tcPr>
          <w:p>
            <w:pPr>
              <w:wordWrap w:val="0"/>
              <w:spacing w:line="400" w:lineRule="exact"/>
              <w:jc w:val="center"/>
              <w:rPr>
                <w:rFonts w:ascii="宋体" w:hAnsi="宋体"/>
                <w:color w:val="000000" w:themeColor="text1"/>
              </w:rPr>
            </w:pPr>
          </w:p>
        </w:tc>
      </w:tr>
      <w:tr>
        <w:tblPrEx>
          <w:tblCellMar>
            <w:top w:w="0" w:type="dxa"/>
            <w:left w:w="108" w:type="dxa"/>
            <w:bottom w:w="0" w:type="dxa"/>
            <w:right w:w="108" w:type="dxa"/>
          </w:tblCellMar>
        </w:tblPrEx>
        <w:trPr>
          <w:trHeight w:val="779" w:hRule="atLeast"/>
          <w:jc w:val="center"/>
        </w:trPr>
        <w:tc>
          <w:tcPr>
            <w:tcW w:w="2631" w:type="dxa"/>
            <w:tcBorders>
              <w:top w:val="single" w:color="auto" w:sz="6" w:space="0"/>
              <w:left w:val="single" w:color="auto" w:sz="12" w:space="0"/>
              <w:bottom w:val="single" w:color="auto" w:sz="12" w:space="0"/>
              <w:right w:val="single" w:color="auto" w:sz="6" w:space="0"/>
            </w:tcBorders>
            <w:vAlign w:val="center"/>
          </w:tcPr>
          <w:p>
            <w:r>
              <w:t>备注</w:t>
            </w:r>
          </w:p>
        </w:tc>
        <w:tc>
          <w:tcPr>
            <w:tcW w:w="7088" w:type="dxa"/>
            <w:tcBorders>
              <w:top w:val="single" w:color="auto" w:sz="6" w:space="0"/>
              <w:left w:val="nil"/>
              <w:bottom w:val="single" w:color="auto" w:sz="12" w:space="0"/>
              <w:right w:val="single" w:color="auto" w:sz="12" w:space="0"/>
            </w:tcBorders>
            <w:vAlign w:val="center"/>
          </w:tcPr>
          <w:p>
            <w:pPr>
              <w:wordWrap w:val="0"/>
              <w:spacing w:line="400" w:lineRule="exact"/>
              <w:jc w:val="center"/>
              <w:rPr>
                <w:rFonts w:ascii="宋体" w:hAnsi="宋体"/>
                <w:color w:val="000000" w:themeColor="text1"/>
              </w:rPr>
            </w:pPr>
          </w:p>
        </w:tc>
      </w:tr>
    </w:tbl>
    <w:p>
      <w:pPr>
        <w:pStyle w:val="127"/>
        <w:ind w:right="205" w:rightChars="98"/>
        <w:rPr>
          <w:rFonts w:ascii="宋体" w:hAnsi="Courier New"/>
          <w:color w:val="000000" w:themeColor="text1"/>
          <w:kern w:val="0"/>
          <w:szCs w:val="21"/>
        </w:rPr>
      </w:pPr>
      <w:r>
        <w:t>注：1.每张表格只填写一个项目，并标明序号。</w:t>
      </w:r>
    </w:p>
    <w:p>
      <w:pPr>
        <w:ind w:right="205" w:rightChars="98" w:firstLine="420" w:firstLineChars="200"/>
        <w:rPr>
          <w:rFonts w:ascii="宋体" w:hAnsi="Courier New"/>
          <w:color w:val="000000" w:themeColor="text1"/>
          <w:kern w:val="0"/>
        </w:rPr>
      </w:pPr>
      <w:r>
        <w:t>2.本表后须附相关业绩合同的复印件及投标人认为需要提供的证明材料。</w:t>
      </w:r>
    </w:p>
    <w:p>
      <w:pPr>
        <w:tabs>
          <w:tab w:val="left" w:pos="4525"/>
        </w:tabs>
        <w:ind w:firstLine="420" w:firstLineChars="200"/>
        <w:jc w:val="left"/>
        <w:rPr>
          <w:rFonts w:ascii="宋体" w:hAnsi="Courier New"/>
          <w:color w:val="000000" w:themeColor="text1"/>
          <w:kern w:val="0"/>
        </w:rPr>
      </w:pPr>
      <w:r>
        <w:t>3.如近年来，投标人法人机构发生合法变更或重组或法人名称变更时，应提供相关部门的合法批件或其他相关证明材料来证明其所附业绩的继承性。</w:t>
      </w:r>
    </w:p>
    <w:p>
      <w:pPr>
        <w:tabs>
          <w:tab w:val="left" w:pos="4525"/>
        </w:tabs>
        <w:spacing w:line="460" w:lineRule="exact"/>
        <w:jc w:val="left"/>
        <w:rPr>
          <w:rFonts w:hAnsi="宋体"/>
          <w:color w:val="000000" w:themeColor="text1"/>
          <w:sz w:val="24"/>
        </w:rPr>
      </w:pPr>
      <w:r/>
    </w:p>
    <w:p>
      <w:pPr>
        <w:tabs>
          <w:tab w:val="left" w:pos="4525"/>
        </w:tabs>
        <w:spacing w:line="460" w:lineRule="exact"/>
        <w:jc w:val="left"/>
        <w:rPr>
          <w:rFonts w:hAnsi="宋体"/>
          <w:color w:val="000000" w:themeColor="text1"/>
          <w:sz w:val="24"/>
        </w:rPr>
      </w:pPr>
      <w:r>
        <w:t>投标人全称（单位公章）：</w:t>
      </w:r>
    </w:p>
    <w:p>
      <w:pPr>
        <w:tabs>
          <w:tab w:val="left" w:pos="4525"/>
        </w:tabs>
        <w:spacing w:line="460" w:lineRule="exact"/>
        <w:jc w:val="left"/>
        <w:rPr>
          <w:rFonts w:hAnsi="宋体"/>
          <w:color w:val="000000" w:themeColor="text1"/>
          <w:sz w:val="24"/>
        </w:rPr>
      </w:pPr>
      <w:r>
        <w:t>法定代表人（或营运商负责人）或委托代理人（盖章或签名）：</w:t>
      </w:r>
    </w:p>
    <w:p>
      <w:pPr>
        <w:tabs>
          <w:tab w:val="left" w:pos="4525"/>
        </w:tabs>
        <w:spacing w:line="460" w:lineRule="exact"/>
        <w:jc w:val="left"/>
        <w:rPr>
          <w:rFonts w:hAnsi="宋体"/>
          <w:color w:val="000000" w:themeColor="text1"/>
          <w:sz w:val="24"/>
        </w:rPr>
        <w:sectPr>
          <w:pgSz w:w="11907" w:h="16840"/>
          <w:pgMar w:top="1440" w:right="1531" w:bottom="1440" w:left="1928" w:header="851" w:footer="1304" w:gutter="0"/>
          <w:cols w:space="720" w:num="1"/>
          <w:docGrid w:type="linesAndChars" w:linePitch="312" w:charSpace="0"/>
        </w:sectPr>
      </w:pPr>
      <w:r>
        <w:t>日期：</w:t>
      </w:r>
    </w:p>
    <w:p>
      <w:pPr>
        <w:pStyle w:val="34"/>
        <w:spacing w:before="120" w:after="120" w:line="480" w:lineRule="auto"/>
        <w:rPr>
          <w:rFonts w:hAnsi="宋体"/>
          <w:b/>
          <w:bCs/>
          <w:color w:val="000000" w:themeColor="text1"/>
          <w:sz w:val="24"/>
        </w:rPr>
      </w:pPr>
      <w:r>
        <w:t>附件18：</w:t>
      </w:r>
    </w:p>
    <w:p>
      <w:pPr>
        <w:pStyle w:val="34"/>
        <w:spacing w:before="120" w:after="120" w:line="480" w:lineRule="auto"/>
        <w:jc w:val="center"/>
        <w:rPr>
          <w:rFonts w:hAnsi="宋体"/>
          <w:b/>
          <w:bCs/>
          <w:color w:val="000000" w:themeColor="text1"/>
          <w:spacing w:val="21"/>
          <w:kern w:val="0"/>
          <w:sz w:val="32"/>
          <w:szCs w:val="32"/>
        </w:rPr>
      </w:pPr>
      <w:r>
        <w:t>技术、商务偏离表</w:t>
      </w:r>
    </w:p>
    <w:p>
      <w:pPr>
        <w:autoSpaceDE w:val="0"/>
        <w:autoSpaceDN w:val="0"/>
        <w:adjustRightInd w:val="0"/>
        <w:spacing w:line="450" w:lineRule="exact"/>
        <w:ind w:firstLine="120" w:firstLineChars="50"/>
        <w:rPr>
          <w:rFonts w:hAnsi="宋体"/>
          <w:color w:val="000000" w:themeColor="text1"/>
          <w:sz w:val="24"/>
        </w:rPr>
      </w:pPr>
      <w:r>
        <w:t xml:space="preserve">项目编号：  </w:t>
      </w:r>
    </w:p>
    <w:tbl>
      <w:tblPr>
        <w:tblStyle w:val="59"/>
        <w:tblW w:w="93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0"/>
        <w:gridCol w:w="759"/>
        <w:gridCol w:w="1189"/>
        <w:gridCol w:w="1978"/>
        <w:gridCol w:w="2130"/>
        <w:gridCol w:w="1468"/>
        <w:gridCol w:w="9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61" w:hRule="atLeast"/>
          <w:jc w:val="center"/>
        </w:trPr>
        <w:tc>
          <w:tcPr>
            <w:tcW w:w="1549" w:type="dxa"/>
            <w:gridSpan w:val="2"/>
            <w:vAlign w:val="center"/>
          </w:tcPr>
          <w:p>
            <w:r>
              <w:t>序号</w:t>
            </w:r>
          </w:p>
        </w:tc>
        <w:tc>
          <w:tcPr>
            <w:tcW w:w="1189" w:type="dxa"/>
            <w:vAlign w:val="center"/>
          </w:tcPr>
          <w:p>
            <w:r>
              <w:t>名称</w:t>
            </w:r>
          </w:p>
        </w:tc>
        <w:tc>
          <w:tcPr>
            <w:tcW w:w="1978" w:type="dxa"/>
            <w:vAlign w:val="center"/>
          </w:tcPr>
          <w:p>
            <w:r>
              <w:t>采购文件要求</w:t>
            </w:r>
          </w:p>
        </w:tc>
        <w:tc>
          <w:tcPr>
            <w:tcW w:w="2130" w:type="dxa"/>
            <w:vAlign w:val="center"/>
          </w:tcPr>
          <w:p>
            <w:r>
              <w:t>投标文件响应</w:t>
            </w:r>
          </w:p>
        </w:tc>
        <w:tc>
          <w:tcPr>
            <w:tcW w:w="1468" w:type="dxa"/>
            <w:vAlign w:val="center"/>
          </w:tcPr>
          <w:p>
            <w:r>
              <w:t>偏离情况</w:t>
            </w:r>
          </w:p>
        </w:tc>
        <w:tc>
          <w:tcPr>
            <w:tcW w:w="986" w:type="dxa"/>
            <w:vAlign w:val="center"/>
          </w:tcPr>
          <w:p>
            <w:r>
              <w:t>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14" w:hRule="atLeast"/>
          <w:jc w:val="center"/>
        </w:trPr>
        <w:tc>
          <w:tcPr>
            <w:tcW w:w="790" w:type="dxa"/>
            <w:vMerge w:val="restart"/>
            <w:vAlign w:val="center"/>
          </w:tcPr>
          <w:p>
            <w:r>
              <w:t>技术偏离</w:t>
            </w:r>
          </w:p>
        </w:tc>
        <w:tc>
          <w:tcPr>
            <w:tcW w:w="759" w:type="dxa"/>
            <w:vAlign w:val="center"/>
          </w:tcPr>
          <w:p>
            <w:r>
              <w:t>1</w:t>
            </w: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0" w:hRule="atLeast"/>
          <w:jc w:val="center"/>
        </w:trPr>
        <w:tc>
          <w:tcPr>
            <w:tcW w:w="790" w:type="dxa"/>
            <w:vMerge w:val="continue"/>
            <w:vAlign w:val="center"/>
          </w:tcPr>
          <w:p>
            <w:pPr>
              <w:autoSpaceDE w:val="0"/>
              <w:autoSpaceDN w:val="0"/>
              <w:adjustRightInd w:val="0"/>
              <w:jc w:val="center"/>
              <w:rPr>
                <w:rFonts w:hAnsi="宋体"/>
                <w:color w:val="000000" w:themeColor="text1"/>
                <w:sz w:val="24"/>
              </w:rPr>
            </w:pPr>
          </w:p>
        </w:tc>
        <w:tc>
          <w:tcPr>
            <w:tcW w:w="759" w:type="dxa"/>
            <w:vAlign w:val="center"/>
          </w:tcPr>
          <w:p>
            <w:r>
              <w:t>2</w:t>
            </w: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0" w:hRule="atLeast"/>
          <w:jc w:val="center"/>
        </w:trPr>
        <w:tc>
          <w:tcPr>
            <w:tcW w:w="790" w:type="dxa"/>
            <w:vMerge w:val="continue"/>
            <w:vAlign w:val="center"/>
          </w:tcPr>
          <w:p>
            <w:pPr>
              <w:autoSpaceDE w:val="0"/>
              <w:autoSpaceDN w:val="0"/>
              <w:adjustRightInd w:val="0"/>
              <w:jc w:val="center"/>
              <w:rPr>
                <w:rFonts w:hAnsi="宋体"/>
                <w:color w:val="000000" w:themeColor="text1"/>
                <w:sz w:val="24"/>
              </w:rPr>
            </w:pPr>
          </w:p>
        </w:tc>
        <w:tc>
          <w:tcPr>
            <w:tcW w:w="759" w:type="dxa"/>
            <w:vAlign w:val="center"/>
          </w:tcPr>
          <w:p>
            <w:r>
              <w:t>…</w:t>
            </w: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0" w:hRule="atLeast"/>
          <w:jc w:val="center"/>
        </w:trPr>
        <w:tc>
          <w:tcPr>
            <w:tcW w:w="790" w:type="dxa"/>
            <w:vMerge w:val="continue"/>
            <w:vAlign w:val="center"/>
          </w:tcPr>
          <w:p>
            <w:pPr>
              <w:autoSpaceDE w:val="0"/>
              <w:autoSpaceDN w:val="0"/>
              <w:adjustRightInd w:val="0"/>
              <w:jc w:val="center"/>
              <w:rPr>
                <w:rFonts w:hAnsi="宋体"/>
                <w:color w:val="000000" w:themeColor="text1"/>
                <w:sz w:val="24"/>
              </w:rPr>
            </w:pPr>
          </w:p>
        </w:tc>
        <w:tc>
          <w:tcPr>
            <w:tcW w:w="759" w:type="dxa"/>
            <w:vAlign w:val="center"/>
          </w:tcPr>
          <w:p>
            <w:pPr>
              <w:autoSpaceDE w:val="0"/>
              <w:autoSpaceDN w:val="0"/>
              <w:adjustRightInd w:val="0"/>
              <w:jc w:val="center"/>
              <w:rPr>
                <w:rFonts w:hAnsi="宋体"/>
                <w:color w:val="000000" w:themeColor="text1"/>
                <w:sz w:val="24"/>
              </w:rPr>
            </w:pP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9" w:hRule="atLeast"/>
          <w:jc w:val="center"/>
        </w:trPr>
        <w:tc>
          <w:tcPr>
            <w:tcW w:w="790" w:type="dxa"/>
            <w:vMerge w:val="restart"/>
            <w:vAlign w:val="center"/>
          </w:tcPr>
          <w:p>
            <w:r>
              <w:t>商务偏离</w:t>
            </w:r>
          </w:p>
        </w:tc>
        <w:tc>
          <w:tcPr>
            <w:tcW w:w="759" w:type="dxa"/>
            <w:vAlign w:val="center"/>
          </w:tcPr>
          <w:p>
            <w:r>
              <w:t>1</w:t>
            </w: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6" w:hRule="atLeast"/>
          <w:jc w:val="center"/>
        </w:trPr>
        <w:tc>
          <w:tcPr>
            <w:tcW w:w="790" w:type="dxa"/>
            <w:vMerge w:val="continue"/>
            <w:vAlign w:val="center"/>
          </w:tcPr>
          <w:p>
            <w:pPr>
              <w:autoSpaceDE w:val="0"/>
              <w:autoSpaceDN w:val="0"/>
              <w:adjustRightInd w:val="0"/>
              <w:jc w:val="center"/>
              <w:rPr>
                <w:rFonts w:hAnsi="宋体"/>
                <w:color w:val="000000" w:themeColor="text1"/>
                <w:sz w:val="24"/>
              </w:rPr>
            </w:pPr>
          </w:p>
        </w:tc>
        <w:tc>
          <w:tcPr>
            <w:tcW w:w="759" w:type="dxa"/>
            <w:vAlign w:val="center"/>
          </w:tcPr>
          <w:p>
            <w:r>
              <w:t>2</w:t>
            </w: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8" w:hRule="atLeast"/>
          <w:jc w:val="center"/>
        </w:trPr>
        <w:tc>
          <w:tcPr>
            <w:tcW w:w="790" w:type="dxa"/>
            <w:vMerge w:val="continue"/>
            <w:vAlign w:val="center"/>
          </w:tcPr>
          <w:p>
            <w:pPr>
              <w:autoSpaceDE w:val="0"/>
              <w:autoSpaceDN w:val="0"/>
              <w:adjustRightInd w:val="0"/>
              <w:jc w:val="center"/>
              <w:rPr>
                <w:rFonts w:hAnsi="宋体"/>
                <w:color w:val="000000" w:themeColor="text1"/>
                <w:sz w:val="24"/>
              </w:rPr>
            </w:pPr>
          </w:p>
        </w:tc>
        <w:tc>
          <w:tcPr>
            <w:tcW w:w="759" w:type="dxa"/>
            <w:vAlign w:val="center"/>
          </w:tcPr>
          <w:p>
            <w:r>
              <w:t>3</w:t>
            </w: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15" w:hRule="atLeast"/>
          <w:jc w:val="center"/>
        </w:trPr>
        <w:tc>
          <w:tcPr>
            <w:tcW w:w="790" w:type="dxa"/>
            <w:vMerge w:val="continue"/>
            <w:vAlign w:val="center"/>
          </w:tcPr>
          <w:p>
            <w:pPr>
              <w:autoSpaceDE w:val="0"/>
              <w:autoSpaceDN w:val="0"/>
              <w:adjustRightInd w:val="0"/>
              <w:jc w:val="center"/>
              <w:rPr>
                <w:rFonts w:hAnsi="宋体"/>
                <w:color w:val="000000" w:themeColor="text1"/>
                <w:sz w:val="24"/>
              </w:rPr>
            </w:pPr>
          </w:p>
        </w:tc>
        <w:tc>
          <w:tcPr>
            <w:tcW w:w="759" w:type="dxa"/>
            <w:vAlign w:val="center"/>
          </w:tcPr>
          <w:p>
            <w:r>
              <w:t>…</w:t>
            </w:r>
          </w:p>
        </w:tc>
        <w:tc>
          <w:tcPr>
            <w:tcW w:w="1189" w:type="dxa"/>
            <w:vAlign w:val="center"/>
          </w:tcPr>
          <w:p>
            <w:pPr>
              <w:autoSpaceDE w:val="0"/>
              <w:autoSpaceDN w:val="0"/>
              <w:adjustRightInd w:val="0"/>
              <w:jc w:val="center"/>
              <w:rPr>
                <w:rFonts w:hAnsi="宋体"/>
                <w:color w:val="000000" w:themeColor="text1"/>
                <w:sz w:val="24"/>
              </w:rPr>
            </w:pPr>
          </w:p>
        </w:tc>
        <w:tc>
          <w:tcPr>
            <w:tcW w:w="1978" w:type="dxa"/>
            <w:vAlign w:val="center"/>
          </w:tcPr>
          <w:p>
            <w:pPr>
              <w:autoSpaceDE w:val="0"/>
              <w:autoSpaceDN w:val="0"/>
              <w:adjustRightInd w:val="0"/>
              <w:jc w:val="center"/>
              <w:rPr>
                <w:rFonts w:hAnsi="宋体"/>
                <w:color w:val="000000" w:themeColor="text1"/>
                <w:sz w:val="24"/>
              </w:rPr>
            </w:pPr>
          </w:p>
        </w:tc>
        <w:tc>
          <w:tcPr>
            <w:tcW w:w="2130" w:type="dxa"/>
            <w:vAlign w:val="center"/>
          </w:tcPr>
          <w:p>
            <w:pPr>
              <w:autoSpaceDE w:val="0"/>
              <w:autoSpaceDN w:val="0"/>
              <w:adjustRightInd w:val="0"/>
              <w:jc w:val="center"/>
              <w:rPr>
                <w:rFonts w:hAnsi="宋体"/>
                <w:color w:val="000000" w:themeColor="text1"/>
                <w:sz w:val="24"/>
              </w:rPr>
            </w:pPr>
          </w:p>
        </w:tc>
        <w:tc>
          <w:tcPr>
            <w:tcW w:w="1468" w:type="dxa"/>
            <w:vAlign w:val="center"/>
          </w:tcPr>
          <w:p>
            <w:pPr>
              <w:autoSpaceDE w:val="0"/>
              <w:autoSpaceDN w:val="0"/>
              <w:adjustRightInd w:val="0"/>
              <w:jc w:val="center"/>
              <w:rPr>
                <w:rFonts w:hAnsi="宋体"/>
                <w:color w:val="000000" w:themeColor="text1"/>
                <w:sz w:val="24"/>
              </w:rPr>
            </w:pPr>
          </w:p>
        </w:tc>
        <w:tc>
          <w:tcPr>
            <w:tcW w:w="986" w:type="dxa"/>
            <w:vAlign w:val="center"/>
          </w:tcPr>
          <w:p>
            <w:pPr>
              <w:autoSpaceDE w:val="0"/>
              <w:autoSpaceDN w:val="0"/>
              <w:adjustRightInd w:val="0"/>
              <w:jc w:val="center"/>
              <w:rPr>
                <w:rFonts w:hAnsi="宋体"/>
                <w:color w:val="000000" w:themeColor="text1"/>
                <w:sz w:val="24"/>
              </w:rPr>
            </w:pPr>
          </w:p>
        </w:tc>
      </w:tr>
    </w:tbl>
    <w:p>
      <w:pPr>
        <w:pStyle w:val="114"/>
        <w:tabs>
          <w:tab w:val="left" w:pos="360"/>
        </w:tabs>
        <w:spacing w:line="360" w:lineRule="auto"/>
        <w:ind w:right="84" w:rightChars="40"/>
        <w:rPr>
          <w:rFonts w:ascii="宋体"/>
          <w:b/>
          <w:bCs/>
          <w:color w:val="000000" w:themeColor="text1"/>
        </w:rPr>
      </w:pPr>
      <w:r>
        <w:t>要求：</w:t>
      </w:r>
    </w:p>
    <w:p>
      <w:pPr>
        <w:pStyle w:val="114"/>
        <w:tabs>
          <w:tab w:val="left" w:pos="360"/>
        </w:tabs>
        <w:spacing w:line="360" w:lineRule="auto"/>
        <w:ind w:right="84" w:rightChars="40" w:firstLine="420" w:firstLineChars="200"/>
        <w:rPr>
          <w:rFonts w:ascii="宋体"/>
          <w:color w:val="000000" w:themeColor="text1"/>
        </w:rPr>
      </w:pPr>
      <w:r>
        <w:t>1.本表参照本招标文件第四章“采购需求”填制，投标人应根据投标项目指标，对照招标文件要求在“偏离情况”栏注明“正偏离”、“负偏离”或“无偏离”。</w:t>
      </w:r>
    </w:p>
    <w:p>
      <w:pPr>
        <w:pStyle w:val="114"/>
        <w:spacing w:line="360" w:lineRule="auto"/>
        <w:ind w:right="84" w:rightChars="40" w:firstLine="420" w:firstLineChars="200"/>
        <w:rPr>
          <w:rFonts w:ascii="宋体" w:cs="宋体"/>
          <w:color w:val="000000" w:themeColor="text1"/>
        </w:rPr>
      </w:pPr>
      <w:r>
        <w:t>2.本项目的付款方式不允许负偏离。</w:t>
      </w:r>
    </w:p>
    <w:p>
      <w:pPr>
        <w:pStyle w:val="114"/>
        <w:spacing w:line="360" w:lineRule="auto"/>
        <w:ind w:right="84" w:rightChars="40" w:firstLine="420" w:firstLineChars="200"/>
        <w:rPr>
          <w:rFonts w:ascii="宋体"/>
          <w:color w:val="000000" w:themeColor="text1"/>
        </w:rPr>
      </w:pPr>
      <w: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ind w:left="420"/>
        <w:rPr>
          <w:rFonts w:ascii="宋体"/>
          <w:color w:val="000000" w:themeColor="text1"/>
          <w:sz w:val="24"/>
          <w:szCs w:val="24"/>
          <w:u w:val="single"/>
        </w:rPr>
      </w:pPr>
      <w:r>
        <w:t>投标人名称（盖章）：</w:t>
      </w:r>
    </w:p>
    <w:p>
      <w:pPr>
        <w:spacing w:line="360" w:lineRule="auto"/>
        <w:ind w:firstLine="424" w:firstLineChars="177"/>
        <w:rPr>
          <w:rFonts w:ascii="宋体"/>
          <w:color w:val="000000" w:themeColor="text1"/>
          <w:sz w:val="24"/>
          <w:szCs w:val="24"/>
        </w:rPr>
      </w:pPr>
      <w:r>
        <w:t>法定代表人（或营运商负责人）或代理人（签名或盖章）：</w:t>
      </w:r>
    </w:p>
    <w:p>
      <w:pPr>
        <w:spacing w:line="360" w:lineRule="auto"/>
        <w:ind w:firstLine="435"/>
        <w:rPr>
          <w:rFonts w:ascii="宋体" w:hAnsi="宋体" w:cs="宋体"/>
          <w:color w:val="000000" w:themeColor="text1"/>
          <w:sz w:val="24"/>
          <w:szCs w:val="24"/>
        </w:rPr>
        <w:sectPr>
          <w:footerReference r:id="rId15" w:type="default"/>
          <w:pgSz w:w="11906" w:h="16838"/>
          <w:pgMar w:top="1361" w:right="1644" w:bottom="1361" w:left="1644" w:header="851" w:footer="964" w:gutter="0"/>
          <w:cols w:space="425" w:num="1"/>
          <w:docGrid w:type="lines" w:linePitch="312" w:charSpace="0"/>
        </w:sectPr>
      </w:pPr>
      <w:r>
        <w:t>日        期：</w:t>
      </w:r>
    </w:p>
    <w:p>
      <w:pPr>
        <w:wordWrap w:val="0"/>
        <w:spacing w:line="360" w:lineRule="auto"/>
        <w:ind w:right="-110"/>
        <w:jc w:val="right"/>
        <w:rPr>
          <w:rFonts w:ascii="宋体" w:hAnsi="宋体" w:cs="宋体"/>
          <w:color w:val="000000" w:themeColor="text1"/>
          <w:spacing w:val="40"/>
          <w:sz w:val="52"/>
          <w:szCs w:val="52"/>
          <w:u w:val="single"/>
        </w:rPr>
      </w:pPr>
      <w:r>
        <w:t>正本（或副本）</w:t>
      </w:r>
    </w:p>
    <w:p>
      <w:pPr>
        <w:spacing w:line="360" w:lineRule="auto"/>
        <w:ind w:right="-110"/>
        <w:jc w:val="center"/>
        <w:rPr>
          <w:rFonts w:ascii="宋体"/>
          <w:color w:val="000000" w:themeColor="text1"/>
          <w:spacing w:val="40"/>
          <w:sz w:val="52"/>
          <w:szCs w:val="52"/>
          <w:u w:val="single"/>
        </w:rPr>
      </w:pPr>
      <w:r>
        <w:t>项目名称</w:t>
      </w:r>
    </w:p>
    <w:p>
      <w:pPr>
        <w:spacing w:before="312" w:beforeLines="100" w:line="360" w:lineRule="auto"/>
        <w:ind w:right="-108"/>
        <w:jc w:val="center"/>
        <w:rPr>
          <w:rFonts w:ascii="宋体"/>
          <w:color w:val="000000" w:themeColor="text1"/>
          <w:sz w:val="36"/>
          <w:szCs w:val="36"/>
          <w:u w:val="single"/>
        </w:rPr>
      </w:pPr>
      <w:r>
        <w:t>项目编号：</w:t>
      </w:r>
    </w:p>
    <w:p>
      <w:pPr>
        <w:spacing w:after="100" w:afterAutospacing="1" w:line="360" w:lineRule="auto"/>
        <w:ind w:right="-108"/>
        <w:jc w:val="center"/>
        <w:rPr>
          <w:rFonts w:ascii="宋体"/>
          <w:b/>
          <w:bCs/>
          <w:color w:val="000000" w:themeColor="text1"/>
          <w:spacing w:val="40"/>
          <w:sz w:val="84"/>
          <w:szCs w:val="84"/>
        </w:rPr>
      </w:pPr>
      <w:r>
        <w:t>报</w:t>
      </w:r>
    </w:p>
    <w:p>
      <w:pPr>
        <w:spacing w:after="100" w:afterAutospacing="1" w:line="360" w:lineRule="auto"/>
        <w:ind w:right="-108"/>
        <w:jc w:val="center"/>
        <w:rPr>
          <w:rFonts w:ascii="宋体"/>
          <w:b/>
          <w:bCs/>
          <w:color w:val="000000" w:themeColor="text1"/>
          <w:spacing w:val="40"/>
          <w:sz w:val="84"/>
          <w:szCs w:val="84"/>
        </w:rPr>
      </w:pPr>
      <w:r>
        <w:t>价</w:t>
      </w:r>
    </w:p>
    <w:p>
      <w:pPr>
        <w:spacing w:after="100" w:afterAutospacing="1" w:line="360" w:lineRule="auto"/>
        <w:ind w:right="-108"/>
        <w:jc w:val="center"/>
        <w:rPr>
          <w:rFonts w:ascii="宋体"/>
          <w:b/>
          <w:bCs/>
          <w:color w:val="000000" w:themeColor="text1"/>
          <w:spacing w:val="40"/>
          <w:sz w:val="84"/>
          <w:szCs w:val="84"/>
        </w:rPr>
      </w:pPr>
      <w:r>
        <w:t>文</w:t>
      </w:r>
    </w:p>
    <w:p>
      <w:pPr>
        <w:spacing w:after="100" w:afterAutospacing="1" w:line="360" w:lineRule="auto"/>
        <w:ind w:right="-108"/>
        <w:jc w:val="center"/>
        <w:rPr>
          <w:rFonts w:ascii="宋体"/>
          <w:b/>
          <w:bCs/>
          <w:color w:val="000000" w:themeColor="text1"/>
          <w:spacing w:val="40"/>
          <w:sz w:val="84"/>
          <w:szCs w:val="84"/>
        </w:rPr>
      </w:pPr>
      <w:r>
        <w:t>件</w:t>
      </w:r>
    </w:p>
    <w:p>
      <w:pPr>
        <w:spacing w:line="360" w:lineRule="auto"/>
        <w:ind w:right="532"/>
        <w:jc w:val="center"/>
        <w:rPr>
          <w:rFonts w:ascii="宋体"/>
          <w:color w:val="000000" w:themeColor="text1"/>
          <w:sz w:val="36"/>
          <w:szCs w:val="36"/>
        </w:rPr>
      </w:pPr>
      <w:r/>
    </w:p>
    <w:p>
      <w:pPr>
        <w:spacing w:line="360" w:lineRule="auto"/>
        <w:ind w:right="532" w:firstLine="720" w:firstLineChars="200"/>
        <w:rPr>
          <w:rFonts w:ascii="宋体"/>
          <w:color w:val="000000" w:themeColor="text1"/>
          <w:sz w:val="36"/>
          <w:szCs w:val="36"/>
        </w:rPr>
      </w:pPr>
      <w:r>
        <w:t>供应商全称（公章）：</w:t>
      </w:r>
    </w:p>
    <w:p>
      <w:pPr>
        <w:spacing w:line="360" w:lineRule="auto"/>
        <w:ind w:right="-108" w:firstLine="720" w:firstLineChars="200"/>
        <w:rPr>
          <w:rFonts w:ascii="宋体"/>
          <w:color w:val="000000" w:themeColor="text1"/>
          <w:sz w:val="36"/>
          <w:szCs w:val="36"/>
        </w:rPr>
      </w:pPr>
      <w:r>
        <w:t>地址：</w:t>
      </w:r>
    </w:p>
    <w:p>
      <w:pPr>
        <w:spacing w:line="360" w:lineRule="auto"/>
        <w:ind w:right="-108" w:firstLine="720" w:firstLineChars="200"/>
        <w:rPr>
          <w:rFonts w:ascii="宋体"/>
          <w:color w:val="000000" w:themeColor="text1"/>
          <w:sz w:val="36"/>
          <w:szCs w:val="36"/>
        </w:rPr>
      </w:pPr>
      <w:r>
        <w:t>时间：</w:t>
      </w:r>
    </w:p>
    <w:p>
      <w:pPr>
        <w:spacing w:line="360" w:lineRule="auto"/>
        <w:ind w:right="-108"/>
        <w:jc w:val="center"/>
        <w:rPr>
          <w:rFonts w:ascii="宋体" w:hAnsi="宋体" w:cs="宋体"/>
          <w:b/>
          <w:bCs/>
          <w:color w:val="000000" w:themeColor="text1"/>
          <w:sz w:val="32"/>
          <w:szCs w:val="32"/>
          <w:lang w:val="zh-CN"/>
        </w:rPr>
      </w:pPr>
      <w:r/>
    </w:p>
    <w:p>
      <w:pPr>
        <w:spacing w:line="360" w:lineRule="auto"/>
        <w:ind w:right="-108"/>
        <w:jc w:val="center"/>
        <w:rPr>
          <w:rFonts w:ascii="宋体" w:hAnsi="宋体" w:cs="宋体"/>
          <w:b/>
          <w:bCs/>
          <w:color w:val="000000" w:themeColor="text1"/>
          <w:sz w:val="32"/>
          <w:szCs w:val="32"/>
          <w:lang w:val="zh-CN"/>
        </w:rPr>
      </w:pPr>
      <w:r/>
    </w:p>
    <w:p>
      <w:pPr>
        <w:spacing w:line="360" w:lineRule="auto"/>
        <w:ind w:right="-108"/>
        <w:jc w:val="center"/>
        <w:rPr>
          <w:rFonts w:ascii="宋体" w:hAnsi="宋体" w:cs="宋体"/>
          <w:b/>
          <w:bCs/>
          <w:color w:val="000000" w:themeColor="text1"/>
          <w:sz w:val="32"/>
          <w:szCs w:val="32"/>
          <w:lang w:val="zh-CN"/>
        </w:rPr>
      </w:pPr>
      <w:r/>
    </w:p>
    <w:p>
      <w:pPr>
        <w:spacing w:line="360" w:lineRule="auto"/>
        <w:ind w:right="-108"/>
        <w:jc w:val="center"/>
        <w:rPr>
          <w:rFonts w:ascii="宋体" w:hAnsi="宋体" w:cs="宋体"/>
          <w:b/>
          <w:bCs/>
          <w:color w:val="000000" w:themeColor="text1"/>
          <w:sz w:val="32"/>
          <w:szCs w:val="32"/>
          <w:lang w:val="zh-CN"/>
        </w:rPr>
      </w:pPr>
      <w:r/>
    </w:p>
    <w:p>
      <w:pPr>
        <w:spacing w:line="360" w:lineRule="auto"/>
        <w:ind w:right="-108"/>
        <w:jc w:val="center"/>
        <w:rPr>
          <w:rFonts w:ascii="宋体"/>
          <w:b/>
          <w:bCs/>
          <w:color w:val="000000" w:themeColor="text1"/>
          <w:sz w:val="32"/>
          <w:szCs w:val="32"/>
          <w:lang w:val="zh-CN"/>
        </w:rPr>
      </w:pPr>
      <w:r>
        <w:t>报价文件目录</w:t>
      </w:r>
    </w:p>
    <w:p>
      <w:pPr>
        <w:spacing w:line="360" w:lineRule="auto"/>
        <w:ind w:right="-108"/>
        <w:jc w:val="center"/>
        <w:rPr>
          <w:rFonts w:ascii="仿宋_GB2312" w:hAnsi="宋体" w:eastAsia="仿宋_GB2312"/>
          <w:b/>
          <w:bCs/>
          <w:color w:val="000000" w:themeColor="text1"/>
          <w:sz w:val="36"/>
          <w:szCs w:val="36"/>
        </w:rPr>
      </w:pPr>
      <w:r/>
    </w:p>
    <w:tbl>
      <w:tblPr>
        <w:tblStyle w:val="59"/>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961"/>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vAlign w:val="center"/>
          </w:tcPr>
          <w:p>
            <w:r>
              <w:t>序号</w:t>
            </w:r>
          </w:p>
        </w:tc>
        <w:tc>
          <w:tcPr>
            <w:tcW w:w="4961" w:type="dxa"/>
            <w:vAlign w:val="center"/>
          </w:tcPr>
          <w:p>
            <w:r>
              <w:t>内容</w:t>
            </w:r>
          </w:p>
        </w:tc>
        <w:tc>
          <w:tcPr>
            <w:tcW w:w="3685" w:type="dxa"/>
            <w:vAlign w:val="center"/>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tcPr>
          <w:p>
            <w:r>
              <w:t>1</w:t>
            </w:r>
          </w:p>
        </w:tc>
        <w:tc>
          <w:tcPr>
            <w:tcW w:w="4961" w:type="dxa"/>
            <w:vAlign w:val="center"/>
          </w:tcPr>
          <w:p>
            <w:r>
              <w:t>开标一览表</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tcPr>
          <w:p>
            <w:r>
              <w:t>2</w:t>
            </w:r>
          </w:p>
        </w:tc>
        <w:tc>
          <w:tcPr>
            <w:tcW w:w="4961" w:type="dxa"/>
            <w:vAlign w:val="center"/>
          </w:tcPr>
          <w:p>
            <w:r>
              <w:t>费用计算表</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tcPr>
          <w:p>
            <w:r>
              <w:t>3</w:t>
            </w:r>
          </w:p>
        </w:tc>
        <w:tc>
          <w:tcPr>
            <w:tcW w:w="4961" w:type="dxa"/>
            <w:vAlign w:val="center"/>
          </w:tcPr>
          <w:p>
            <w:r>
              <w:t>投标报价费用明细表</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51" w:type="dxa"/>
          </w:tcPr>
          <w:p>
            <w:r>
              <w:t>4</w:t>
            </w:r>
          </w:p>
        </w:tc>
        <w:tc>
          <w:tcPr>
            <w:tcW w:w="4961" w:type="dxa"/>
            <w:vAlign w:val="center"/>
          </w:tcPr>
          <w:p>
            <w:r>
              <w:t>安装工程报价清单</w:t>
            </w:r>
          </w:p>
        </w:tc>
        <w:tc>
          <w:tcPr>
            <w:tcW w:w="3685" w:type="dxa"/>
            <w:vAlign w:val="center"/>
          </w:tcPr>
          <w:p>
            <w:r>
              <w:t>格式附后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51" w:type="dxa"/>
            <w:vAlign w:val="center"/>
          </w:tcPr>
          <w:p>
            <w:r>
              <w:t>5</w:t>
            </w:r>
          </w:p>
        </w:tc>
        <w:tc>
          <w:tcPr>
            <w:tcW w:w="4961" w:type="dxa"/>
          </w:tcPr>
          <w:p>
            <w:r>
              <w:t>投标人认为需要提供的其它文件和资料</w:t>
            </w:r>
          </w:p>
        </w:tc>
        <w:tc>
          <w:tcPr>
            <w:tcW w:w="3685" w:type="dxa"/>
          </w:tcPr>
          <w:p>
            <w:r>
              <w:t>内容自拟（可选择性提供）</w:t>
            </w:r>
          </w:p>
        </w:tc>
      </w:tr>
    </w:tbl>
    <w:p>
      <w:pPr>
        <w:pStyle w:val="35"/>
        <w:snapToGrid w:val="0"/>
        <w:spacing w:line="360" w:lineRule="auto"/>
        <w:ind w:left="0" w:leftChars="0"/>
        <w:rPr>
          <w:rFonts w:ascii="宋体" w:hAnsi="宋体" w:eastAsia="宋体" w:cs="Times New Roman"/>
          <w:color w:val="000000" w:themeColor="text1"/>
          <w:sz w:val="28"/>
          <w:szCs w:val="28"/>
        </w:rPr>
      </w:pPr>
      <w:r/>
    </w:p>
    <w:p>
      <w:pPr>
        <w:spacing w:line="360" w:lineRule="auto"/>
        <w:ind w:left="480"/>
        <w:rPr>
          <w:rFonts w:ascii="宋体"/>
          <w:b/>
          <w:bCs/>
          <w:color w:val="000000" w:themeColor="text1"/>
          <w:sz w:val="28"/>
          <w:szCs w:val="28"/>
        </w:rPr>
      </w:pPr>
      <w:r/>
    </w:p>
    <w:p>
      <w:pPr>
        <w:spacing w:line="360" w:lineRule="auto"/>
        <w:ind w:left="480"/>
        <w:rPr>
          <w:rFonts w:ascii="宋体"/>
          <w:b/>
          <w:bCs/>
          <w:color w:val="000000" w:themeColor="text1"/>
          <w:sz w:val="28"/>
          <w:szCs w:val="28"/>
        </w:rPr>
      </w:pPr>
      <w:r/>
    </w:p>
    <w:p>
      <w:pPr>
        <w:spacing w:line="360" w:lineRule="auto"/>
        <w:ind w:left="480"/>
        <w:rPr>
          <w:rFonts w:ascii="宋体"/>
          <w:b/>
          <w:bCs/>
          <w:color w:val="000000" w:themeColor="text1"/>
          <w:sz w:val="28"/>
          <w:szCs w:val="28"/>
        </w:rPr>
      </w:pPr>
      <w:r/>
    </w:p>
    <w:p>
      <w:pPr>
        <w:spacing w:line="360" w:lineRule="auto"/>
        <w:ind w:left="480"/>
        <w:rPr>
          <w:rFonts w:ascii="宋体"/>
          <w:b/>
          <w:bCs/>
          <w:color w:val="000000" w:themeColor="text1"/>
          <w:sz w:val="28"/>
          <w:szCs w:val="28"/>
        </w:rPr>
      </w:pPr>
      <w:r/>
    </w:p>
    <w:p>
      <w:pPr>
        <w:spacing w:line="360" w:lineRule="auto"/>
        <w:ind w:left="480"/>
        <w:rPr>
          <w:rFonts w:ascii="宋体"/>
          <w:b/>
          <w:bCs/>
          <w:color w:val="000000" w:themeColor="text1"/>
          <w:sz w:val="28"/>
          <w:szCs w:val="28"/>
        </w:rPr>
      </w:pPr>
      <w:r/>
    </w:p>
    <w:p>
      <w:pPr>
        <w:spacing w:line="360" w:lineRule="auto"/>
        <w:ind w:left="480"/>
        <w:rPr>
          <w:rFonts w:ascii="宋体"/>
          <w:b/>
          <w:bCs/>
          <w:color w:val="000000" w:themeColor="text1"/>
          <w:sz w:val="28"/>
          <w:szCs w:val="28"/>
        </w:rPr>
      </w:pPr>
      <w:r/>
    </w:p>
    <w:p>
      <w:pPr>
        <w:widowControl/>
        <w:jc w:val="left"/>
        <w:rPr>
          <w:rFonts w:ascii="宋体"/>
          <w:b/>
          <w:bCs/>
          <w:color w:val="000000" w:themeColor="text1"/>
          <w:sz w:val="28"/>
          <w:szCs w:val="28"/>
        </w:rPr>
      </w:pPr>
      <w:r/>
    </w:p>
    <w:p>
      <w:pPr>
        <w:spacing w:line="360" w:lineRule="auto"/>
        <w:ind w:left="-2" w:hanging="2"/>
        <w:rPr>
          <w:rFonts w:ascii="宋体" w:hAnsi="宋体" w:cs="宋体"/>
          <w:b/>
          <w:bCs/>
          <w:color w:val="000000" w:themeColor="text1"/>
          <w:sz w:val="24"/>
          <w:szCs w:val="24"/>
        </w:rPr>
      </w:pPr>
      <w:r>
        <w:t>附件19:</w:t>
      </w:r>
    </w:p>
    <w:p>
      <w:pPr>
        <w:jc w:val="center"/>
        <w:rPr>
          <w:b/>
          <w:color w:val="000000" w:themeColor="text1"/>
          <w:sz w:val="36"/>
          <w:szCs w:val="36"/>
        </w:rPr>
      </w:pPr>
      <w:r/>
    </w:p>
    <w:p>
      <w:pPr>
        <w:jc w:val="center"/>
        <w:rPr>
          <w:b/>
          <w:color w:val="000000" w:themeColor="text1"/>
          <w:sz w:val="36"/>
          <w:szCs w:val="36"/>
        </w:rPr>
      </w:pPr>
      <w:r>
        <w:t xml:space="preserve">开标一览表 </w:t>
      </w:r>
    </w:p>
    <w:tbl>
      <w:tblPr>
        <w:tblStyle w:val="59"/>
        <w:tblW w:w="9825" w:type="dxa"/>
        <w:tblInd w:w="-46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59"/>
        <w:gridCol w:w="2881"/>
        <w:gridCol w:w="1410"/>
        <w:gridCol w:w="42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trPr>
        <w:tc>
          <w:tcPr>
            <w:tcW w:w="1259" w:type="dxa"/>
            <w:tcBorders>
              <w:tl2br w:val="nil"/>
              <w:tr2bl w:val="nil"/>
            </w:tcBorders>
            <w:shd w:val="clear" w:color="auto" w:fill="auto"/>
            <w:tcMar>
              <w:top w:w="15" w:type="dxa"/>
              <w:left w:w="15" w:type="dxa"/>
              <w:right w:w="15" w:type="dxa"/>
            </w:tcMar>
            <w:vAlign w:val="center"/>
          </w:tcPr>
          <w:p>
            <w:r>
              <w:t>序号</w:t>
            </w:r>
          </w:p>
        </w:tc>
        <w:tc>
          <w:tcPr>
            <w:tcW w:w="2881" w:type="dxa"/>
            <w:tcBorders>
              <w:tl2br w:val="nil"/>
              <w:tr2bl w:val="nil"/>
            </w:tcBorders>
            <w:shd w:val="clear" w:color="auto" w:fill="auto"/>
            <w:tcMar>
              <w:top w:w="15" w:type="dxa"/>
              <w:left w:w="15" w:type="dxa"/>
              <w:right w:w="15" w:type="dxa"/>
            </w:tcMar>
            <w:vAlign w:val="center"/>
          </w:tcPr>
          <w:p>
            <w:r>
              <w:t>标的名称</w:t>
            </w:r>
          </w:p>
        </w:tc>
        <w:tc>
          <w:tcPr>
            <w:tcW w:w="1410" w:type="dxa"/>
            <w:tcBorders>
              <w:tl2br w:val="nil"/>
              <w:tr2bl w:val="nil"/>
            </w:tcBorders>
            <w:shd w:val="clear" w:color="auto" w:fill="auto"/>
            <w:tcMar>
              <w:top w:w="15" w:type="dxa"/>
              <w:left w:w="15" w:type="dxa"/>
              <w:right w:w="15" w:type="dxa"/>
            </w:tcMar>
            <w:vAlign w:val="center"/>
          </w:tcPr>
          <w:p>
            <w:r>
              <w:t>数量</w:t>
            </w:r>
          </w:p>
        </w:tc>
        <w:tc>
          <w:tcPr>
            <w:tcW w:w="4275" w:type="dxa"/>
            <w:tcBorders>
              <w:tl2br w:val="nil"/>
              <w:tr2bl w:val="nil"/>
            </w:tcBorders>
            <w:shd w:val="clear" w:color="auto" w:fill="auto"/>
            <w:tcMar>
              <w:top w:w="15" w:type="dxa"/>
              <w:left w:w="15" w:type="dxa"/>
              <w:right w:w="15" w:type="dxa"/>
            </w:tcMar>
            <w:vAlign w:val="center"/>
          </w:tcPr>
          <w:p>
            <w:r>
              <w:t>投标报价：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47" w:hRule="atLeast"/>
        </w:trPr>
        <w:tc>
          <w:tcPr>
            <w:tcW w:w="1259" w:type="dxa"/>
            <w:tcBorders>
              <w:tl2br w:val="nil"/>
              <w:tr2bl w:val="nil"/>
            </w:tcBorders>
            <w:shd w:val="clear" w:color="auto" w:fill="auto"/>
            <w:noWrap/>
            <w:tcMar>
              <w:top w:w="15" w:type="dxa"/>
              <w:left w:w="15" w:type="dxa"/>
              <w:right w:w="15" w:type="dxa"/>
            </w:tcMar>
            <w:vAlign w:val="center"/>
          </w:tcPr>
          <w:p>
            <w:r>
              <w:t>1</w:t>
            </w:r>
          </w:p>
        </w:tc>
        <w:tc>
          <w:tcPr>
            <w:tcW w:w="2881" w:type="dxa"/>
            <w:tcBorders>
              <w:tl2br w:val="nil"/>
              <w:tr2bl w:val="nil"/>
            </w:tcBorders>
            <w:shd w:val="clear" w:color="auto" w:fill="auto"/>
            <w:tcMar>
              <w:top w:w="15" w:type="dxa"/>
              <w:left w:w="15" w:type="dxa"/>
              <w:right w:w="15" w:type="dxa"/>
            </w:tcMar>
            <w:vAlign w:val="center"/>
          </w:tcPr>
          <w:p>
            <w:r>
              <w:t>温岭市公共视频一体化建设二期东片视频图像服务</w:t>
            </w:r>
          </w:p>
        </w:tc>
        <w:tc>
          <w:tcPr>
            <w:tcW w:w="1410" w:type="dxa"/>
            <w:tcBorders>
              <w:tl2br w:val="nil"/>
              <w:tr2bl w:val="nil"/>
            </w:tcBorders>
            <w:shd w:val="clear" w:color="auto" w:fill="auto"/>
            <w:noWrap/>
            <w:tcMar>
              <w:top w:w="15" w:type="dxa"/>
              <w:left w:w="15" w:type="dxa"/>
              <w:right w:w="15" w:type="dxa"/>
            </w:tcMar>
            <w:vAlign w:val="center"/>
          </w:tcPr>
          <w:p>
            <w:r>
              <w:t>1项</w:t>
            </w:r>
          </w:p>
        </w:tc>
        <w:tc>
          <w:tcPr>
            <w:tcW w:w="4275" w:type="dxa"/>
            <w:tcBorders>
              <w:tl2br w:val="nil"/>
              <w:tr2bl w:val="nil"/>
            </w:tcBorders>
            <w:shd w:val="clear" w:color="auto" w:fill="auto"/>
            <w:noWrap/>
            <w:tcMar>
              <w:top w:w="15" w:type="dxa"/>
              <w:left w:w="15" w:type="dxa"/>
              <w:right w:w="15" w:type="dxa"/>
            </w:tcMar>
            <w:vAlign w:val="center"/>
          </w:tcPr>
          <w:p>
            <w:r>
              <w:t xml:space="preserve">大写：               元整（¥：      元）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1259" w:type="dxa"/>
            <w:tcBorders>
              <w:tl2br w:val="nil"/>
              <w:tr2bl w:val="nil"/>
            </w:tcBorders>
            <w:shd w:val="clear" w:color="auto" w:fill="auto"/>
            <w:tcMar>
              <w:top w:w="15" w:type="dxa"/>
              <w:left w:w="15" w:type="dxa"/>
              <w:right w:w="15" w:type="dxa"/>
            </w:tcMar>
            <w:vAlign w:val="center"/>
          </w:tcPr>
          <w:p>
            <w:r>
              <w:t>2</w:t>
            </w:r>
          </w:p>
        </w:tc>
        <w:tc>
          <w:tcPr>
            <w:tcW w:w="2881" w:type="dxa"/>
            <w:tcBorders>
              <w:tl2br w:val="nil"/>
              <w:tr2bl w:val="nil"/>
            </w:tcBorders>
            <w:shd w:val="clear" w:color="auto" w:fill="auto"/>
            <w:tcMar>
              <w:top w:w="15" w:type="dxa"/>
              <w:left w:w="15" w:type="dxa"/>
              <w:right w:w="15" w:type="dxa"/>
            </w:tcMar>
            <w:vAlign w:val="center"/>
          </w:tcPr>
          <w:p>
            <w:r>
              <w:t>服务期限：</w:t>
            </w:r>
          </w:p>
        </w:tc>
        <w:tc>
          <w:tcPr>
            <w:tcW w:w="5685" w:type="dxa"/>
            <w:gridSpan w:val="2"/>
            <w:tcBorders>
              <w:tl2br w:val="nil"/>
              <w:tr2bl w:val="nil"/>
            </w:tcBorders>
            <w:shd w:val="clear" w:color="auto" w:fill="auto"/>
            <w:noWrap/>
            <w:tcMar>
              <w:top w:w="15" w:type="dxa"/>
              <w:left w:w="15" w:type="dxa"/>
              <w:right w:w="15" w:type="dxa"/>
            </w:tcMar>
            <w:vAlign w:val="center"/>
          </w:tcPr>
          <w:p>
            <w:r>
              <w:t>3年，自终验合格并整体交付使用之日起算。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1259" w:type="dxa"/>
            <w:tcBorders>
              <w:tl2br w:val="nil"/>
              <w:tr2bl w:val="nil"/>
            </w:tcBorders>
            <w:shd w:val="clear" w:color="auto" w:fill="auto"/>
            <w:tcMar>
              <w:top w:w="15" w:type="dxa"/>
              <w:left w:w="15" w:type="dxa"/>
              <w:right w:w="15" w:type="dxa"/>
            </w:tcMar>
            <w:vAlign w:val="center"/>
          </w:tcPr>
          <w:p>
            <w:r>
              <w:t>3</w:t>
            </w:r>
          </w:p>
        </w:tc>
        <w:tc>
          <w:tcPr>
            <w:tcW w:w="2881" w:type="dxa"/>
            <w:tcBorders>
              <w:tl2br w:val="nil"/>
              <w:tr2bl w:val="nil"/>
            </w:tcBorders>
            <w:shd w:val="clear" w:color="auto" w:fill="auto"/>
            <w:tcMar>
              <w:top w:w="15" w:type="dxa"/>
              <w:left w:w="15" w:type="dxa"/>
              <w:right w:w="15" w:type="dxa"/>
            </w:tcMar>
            <w:vAlign w:val="center"/>
          </w:tcPr>
          <w:p>
            <w:r>
              <w:t>项目建设完成时间：</w:t>
            </w:r>
          </w:p>
        </w:tc>
        <w:tc>
          <w:tcPr>
            <w:tcW w:w="5685" w:type="dxa"/>
            <w:gridSpan w:val="2"/>
            <w:tcBorders>
              <w:tl2br w:val="nil"/>
              <w:tr2bl w:val="nil"/>
            </w:tcBorders>
            <w:shd w:val="clear" w:color="auto" w:fill="auto"/>
            <w:noWrap/>
            <w:tcMar>
              <w:top w:w="15" w:type="dxa"/>
              <w:left w:w="15" w:type="dxa"/>
              <w:right w:w="15" w:type="dxa"/>
            </w:tcMar>
            <w:vAlign w:val="center"/>
          </w:tcPr>
          <w:p>
            <w:r>
              <w:t>2024年10月31日前完成终验合格并整体交付使用。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3" w:hRule="atLeast"/>
        </w:trPr>
        <w:tc>
          <w:tcPr>
            <w:tcW w:w="1259" w:type="dxa"/>
            <w:tcBorders>
              <w:tl2br w:val="nil"/>
              <w:tr2bl w:val="nil"/>
            </w:tcBorders>
            <w:shd w:val="clear" w:color="auto" w:fill="auto"/>
            <w:tcMar>
              <w:top w:w="15" w:type="dxa"/>
              <w:left w:w="15" w:type="dxa"/>
              <w:right w:w="15" w:type="dxa"/>
            </w:tcMar>
            <w:vAlign w:val="center"/>
          </w:tcPr>
          <w:p>
            <w:r>
              <w:t>4</w:t>
            </w:r>
          </w:p>
        </w:tc>
        <w:tc>
          <w:tcPr>
            <w:tcW w:w="2881" w:type="dxa"/>
            <w:tcBorders>
              <w:tl2br w:val="nil"/>
              <w:tr2bl w:val="nil"/>
            </w:tcBorders>
            <w:shd w:val="clear" w:color="auto" w:fill="auto"/>
            <w:tcMar>
              <w:top w:w="15" w:type="dxa"/>
              <w:left w:w="15" w:type="dxa"/>
              <w:right w:w="15" w:type="dxa"/>
            </w:tcMar>
            <w:vAlign w:val="center"/>
          </w:tcPr>
          <w:p>
            <w:r>
              <w:t>质量标准：</w:t>
            </w:r>
          </w:p>
        </w:tc>
        <w:tc>
          <w:tcPr>
            <w:tcW w:w="5685" w:type="dxa"/>
            <w:gridSpan w:val="2"/>
            <w:tcBorders>
              <w:tl2br w:val="nil"/>
              <w:tr2bl w:val="nil"/>
            </w:tcBorders>
            <w:shd w:val="clear" w:color="auto" w:fill="auto"/>
            <w:noWrap/>
            <w:tcMar>
              <w:top w:w="15" w:type="dxa"/>
              <w:left w:w="15" w:type="dxa"/>
              <w:right w:w="15" w:type="dxa"/>
            </w:tcMar>
            <w:vAlign w:val="center"/>
          </w:tcPr>
          <w:p>
            <w:r>
              <w:t>合格</w:t>
            </w:r>
          </w:p>
        </w:tc>
      </w:tr>
    </w:tbl>
    <w:p>
      <w:pPr>
        <w:tabs>
          <w:tab w:val="left" w:pos="5792"/>
        </w:tabs>
        <w:spacing w:line="460" w:lineRule="exact"/>
        <w:jc w:val="left"/>
        <w:rPr>
          <w:rFonts w:ascii="微软雅黑" w:hAnsi="微软雅黑" w:eastAsia="微软雅黑" w:cs="微软雅黑"/>
          <w:b/>
          <w:bCs/>
          <w:sz w:val="24"/>
        </w:rPr>
      </w:pPr>
      <w:r>
        <w:t>注：</w:t>
      </w:r>
    </w:p>
    <w:p>
      <w:pPr>
        <w:numPr>
          <w:ilvl w:val="0"/>
          <w:numId w:val="46"/>
        </w:numPr>
        <w:spacing w:line="360" w:lineRule="exact"/>
        <w:rPr>
          <w:rFonts w:ascii="微软雅黑" w:hAnsi="微软雅黑" w:eastAsia="微软雅黑" w:cs="微软雅黑"/>
          <w:color w:val="000000" w:themeColor="text1"/>
          <w:sz w:val="22"/>
        </w:rPr>
      </w:pPr>
      <w:r>
        <w:t>以上报价应包括但不限于施工设备的投入、劳务、管理、材料、系统集成、安装调试、试运行、质保、保险、利润、税金、培训费、开办费、措施费、人身意外伤害保险费、第三方检测费用、平台级联对接费用、租金测算费用、等保测评费用、备品备件费用、光纤租赁费用、大型机械进退场费、山体堤坝或绿化恢复费用、杆件和基础设计费用、机房和网络费用、维修维护服务、设备使用电费、相关审批费用、政策性文件规定费用及合同包含的所有风险、责任等各项所有费用。</w:t>
      </w:r>
    </w:p>
    <w:p>
      <w:pPr>
        <w:numPr>
          <w:ilvl w:val="0"/>
          <w:numId w:val="46"/>
        </w:numPr>
        <w:spacing w:line="360" w:lineRule="exact"/>
        <w:rPr>
          <w:rFonts w:ascii="微软雅黑" w:hAnsi="微软雅黑" w:eastAsia="微软雅黑" w:cs="微软雅黑"/>
          <w:color w:val="000000" w:themeColor="text1"/>
          <w:sz w:val="22"/>
        </w:rPr>
      </w:pPr>
      <w:r>
        <w:t>投标人参考第四章采购需求中“设备投入清单”所提供的清单内容，根据自身需要编制报价清单。</w:t>
      </w:r>
    </w:p>
    <w:p>
      <w:pPr>
        <w:numPr>
          <w:ilvl w:val="0"/>
          <w:numId w:val="46"/>
        </w:numPr>
        <w:spacing w:line="360" w:lineRule="exact"/>
        <w:rPr>
          <w:rFonts w:ascii="微软雅黑" w:hAnsi="微软雅黑" w:eastAsia="微软雅黑" w:cs="微软雅黑"/>
          <w:color w:val="000000" w:themeColor="text1"/>
          <w:sz w:val="22"/>
        </w:rPr>
      </w:pPr>
      <w:r>
        <w:t>备品备件费用由投标人在报价时综合考虑，不再另外计取。</w:t>
      </w:r>
    </w:p>
    <w:p>
      <w:pPr>
        <w:numPr>
          <w:ilvl w:val="0"/>
          <w:numId w:val="46"/>
        </w:numPr>
        <w:spacing w:line="360" w:lineRule="exact"/>
        <w:rPr>
          <w:rFonts w:ascii="微软雅黑" w:hAnsi="微软雅黑" w:eastAsia="微软雅黑" w:cs="微软雅黑"/>
          <w:b/>
          <w:bCs/>
          <w:color w:val="000000" w:themeColor="text1"/>
          <w:sz w:val="22"/>
        </w:rPr>
      </w:pPr>
      <w:r>
        <w:t>投标报价不得超过预算价，否则作无效处理。</w:t>
      </w:r>
    </w:p>
    <w:p>
      <w:pPr>
        <w:numPr>
          <w:ilvl w:val="0"/>
          <w:numId w:val="46"/>
        </w:numPr>
        <w:spacing w:line="360" w:lineRule="exact"/>
        <w:rPr>
          <w:rFonts w:ascii="微软雅黑" w:hAnsi="微软雅黑" w:eastAsia="微软雅黑" w:cs="微软雅黑"/>
          <w:color w:val="000000" w:themeColor="text1"/>
          <w:sz w:val="22"/>
        </w:rPr>
      </w:pPr>
      <w:r>
        <w:t>报价一经涂改，应在涂改处加盖单位公章，或者由法定代表人（或营运商负责人）或授权代理人签名或盖章，否则其投标作无效标处理。</w:t>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widowControl/>
        <w:snapToGrid w:val="0"/>
        <w:spacing w:line="560" w:lineRule="exact"/>
        <w:rPr>
          <w:rFonts w:ascii="微软雅黑" w:hAnsi="微软雅黑" w:eastAsia="微软雅黑" w:cs="微软雅黑"/>
          <w:b/>
          <w:kern w:val="0"/>
          <w:sz w:val="28"/>
          <w:szCs w:val="28"/>
        </w:rPr>
      </w:pPr>
      <w:r>
        <w:t>附件19.1：</w:t>
      </w:r>
    </w:p>
    <w:p>
      <w:pPr>
        <w:widowControl/>
        <w:snapToGrid w:val="0"/>
        <w:spacing w:line="560" w:lineRule="exact"/>
        <w:jc w:val="center"/>
        <w:rPr>
          <w:rFonts w:ascii="微软雅黑" w:hAnsi="微软雅黑" w:eastAsia="微软雅黑" w:cs="微软雅黑"/>
          <w:b/>
          <w:kern w:val="0"/>
          <w:sz w:val="32"/>
          <w:szCs w:val="32"/>
        </w:rPr>
      </w:pPr>
      <w:r/>
    </w:p>
    <w:p>
      <w:pPr>
        <w:widowControl/>
        <w:snapToGrid w:val="0"/>
        <w:spacing w:line="560" w:lineRule="exact"/>
        <w:jc w:val="center"/>
        <w:rPr>
          <w:rFonts w:ascii="微软雅黑" w:hAnsi="微软雅黑" w:eastAsia="微软雅黑" w:cs="微软雅黑"/>
          <w:b/>
          <w:kern w:val="0"/>
          <w:sz w:val="32"/>
          <w:szCs w:val="32"/>
        </w:rPr>
      </w:pPr>
      <w:r>
        <w:t>费用计算表</w:t>
      </w:r>
    </w:p>
    <w:tbl>
      <w:tblPr>
        <w:tblStyle w:val="59"/>
        <w:tblW w:w="10018" w:type="dxa"/>
        <w:tblInd w:w="-23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1"/>
        <w:gridCol w:w="3373"/>
        <w:gridCol w:w="3087"/>
        <w:gridCol w:w="27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71" w:type="dxa"/>
            <w:tcBorders>
              <w:tl2br w:val="nil"/>
              <w:tr2bl w:val="nil"/>
            </w:tcBorders>
            <w:vAlign w:val="center"/>
          </w:tcPr>
          <w:p>
            <w:r>
              <w:t>序号</w:t>
            </w:r>
          </w:p>
        </w:tc>
        <w:tc>
          <w:tcPr>
            <w:tcW w:w="3373" w:type="dxa"/>
            <w:tcBorders>
              <w:tl2br w:val="nil"/>
              <w:tr2bl w:val="nil"/>
            </w:tcBorders>
            <w:vAlign w:val="center"/>
          </w:tcPr>
          <w:p>
            <w:r>
              <w:t>项目名称</w:t>
            </w:r>
          </w:p>
        </w:tc>
        <w:tc>
          <w:tcPr>
            <w:tcW w:w="3087" w:type="dxa"/>
            <w:tcBorders>
              <w:tl2br w:val="nil"/>
              <w:tr2bl w:val="nil"/>
            </w:tcBorders>
            <w:vAlign w:val="center"/>
          </w:tcPr>
          <w:p>
            <w:r>
              <w:t>报价（元）</w:t>
            </w:r>
          </w:p>
        </w:tc>
        <w:tc>
          <w:tcPr>
            <w:tcW w:w="2787" w:type="dxa"/>
            <w:tcBorders>
              <w:tl2br w:val="nil"/>
              <w:tr2bl w:val="nil"/>
            </w:tcBorders>
            <w:vAlign w:val="center"/>
          </w:tcPr>
          <w:p>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771" w:type="dxa"/>
            <w:tcBorders>
              <w:tl2br w:val="nil"/>
              <w:tr2bl w:val="nil"/>
            </w:tcBorders>
            <w:vAlign w:val="center"/>
          </w:tcPr>
          <w:p>
            <w:r>
              <w:t>1</w:t>
            </w:r>
          </w:p>
        </w:tc>
        <w:tc>
          <w:tcPr>
            <w:tcW w:w="3373" w:type="dxa"/>
            <w:tcBorders>
              <w:tl2br w:val="nil"/>
              <w:tr2bl w:val="nil"/>
            </w:tcBorders>
            <w:vAlign w:val="center"/>
          </w:tcPr>
          <w:p>
            <w:r>
              <w:t>每个监控摄像机每月服务费</w:t>
            </w:r>
          </w:p>
        </w:tc>
        <w:tc>
          <w:tcPr>
            <w:tcW w:w="3087" w:type="dxa"/>
            <w:tcBorders>
              <w:tl2br w:val="nil"/>
              <w:tr2bl w:val="nil"/>
            </w:tcBorders>
            <w:vAlign w:val="center"/>
          </w:tcPr>
          <w:p>
            <w:pPr>
              <w:outlineLvl w:val="0"/>
              <w:rPr>
                <w:rFonts w:ascii="微软雅黑" w:hAnsi="微软雅黑" w:eastAsia="微软雅黑" w:cs="微软雅黑"/>
                <w:b/>
                <w:bCs/>
                <w:color w:val="000000" w:themeColor="text1"/>
                <w:kern w:val="0"/>
                <w:sz w:val="24"/>
              </w:rPr>
            </w:pPr>
          </w:p>
        </w:tc>
        <w:tc>
          <w:tcPr>
            <w:tcW w:w="2787" w:type="dxa"/>
            <w:tcBorders>
              <w:tl2br w:val="nil"/>
              <w:tr2bl w:val="nil"/>
            </w:tcBorders>
            <w:vAlign w:val="center"/>
          </w:tcPr>
          <w:p>
            <w:pPr>
              <w:jc w:val="center"/>
              <w:outlineLvl w:val="0"/>
              <w:rPr>
                <w:rFonts w:ascii="微软雅黑" w:hAnsi="微软雅黑" w:eastAsia="微软雅黑" w:cs="微软雅黑"/>
                <w:b/>
                <w:bCs/>
                <w:color w:val="000000" w:themeColor="text1"/>
                <w:kern w:val="0"/>
                <w:sz w:val="24"/>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71" w:type="dxa"/>
            <w:tcBorders>
              <w:tl2br w:val="nil"/>
              <w:tr2bl w:val="nil"/>
            </w:tcBorders>
            <w:vAlign w:val="center"/>
          </w:tcPr>
          <w:p>
            <w:r>
              <w:t>2</w:t>
            </w:r>
          </w:p>
        </w:tc>
        <w:tc>
          <w:tcPr>
            <w:tcW w:w="3373" w:type="dxa"/>
            <w:tcBorders>
              <w:tl2br w:val="nil"/>
              <w:tr2bl w:val="nil"/>
            </w:tcBorders>
            <w:vAlign w:val="center"/>
          </w:tcPr>
          <w:p>
            <w:r>
              <w:t>每个监控摄像机每季度服务费</w:t>
            </w:r>
          </w:p>
        </w:tc>
        <w:tc>
          <w:tcPr>
            <w:tcW w:w="3087" w:type="dxa"/>
            <w:tcBorders>
              <w:tl2br w:val="nil"/>
              <w:tr2bl w:val="nil"/>
            </w:tcBorders>
            <w:vAlign w:val="center"/>
          </w:tcPr>
          <w:p>
            <w:pPr>
              <w:outlineLvl w:val="0"/>
              <w:rPr>
                <w:rFonts w:ascii="微软雅黑" w:hAnsi="微软雅黑" w:eastAsia="微软雅黑" w:cs="微软雅黑"/>
                <w:b/>
                <w:bCs/>
                <w:color w:val="000000" w:themeColor="text1"/>
                <w:kern w:val="0"/>
                <w:sz w:val="24"/>
              </w:rPr>
            </w:pPr>
          </w:p>
        </w:tc>
        <w:tc>
          <w:tcPr>
            <w:tcW w:w="2787" w:type="dxa"/>
            <w:tcBorders>
              <w:tl2br w:val="nil"/>
              <w:tr2bl w:val="nil"/>
            </w:tcBorders>
            <w:vAlign w:val="center"/>
          </w:tcPr>
          <w:p>
            <w: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71" w:type="dxa"/>
            <w:tcBorders>
              <w:tl2br w:val="nil"/>
              <w:tr2bl w:val="nil"/>
            </w:tcBorders>
            <w:vAlign w:val="center"/>
          </w:tcPr>
          <w:p>
            <w:r>
              <w:t>3</w:t>
            </w:r>
          </w:p>
        </w:tc>
        <w:tc>
          <w:tcPr>
            <w:tcW w:w="3373" w:type="dxa"/>
            <w:tcBorders>
              <w:tl2br w:val="nil"/>
              <w:tr2bl w:val="nil"/>
            </w:tcBorders>
            <w:vAlign w:val="center"/>
          </w:tcPr>
          <w:p>
            <w:r>
              <w:t>费用报价合计</w:t>
            </w:r>
          </w:p>
        </w:tc>
        <w:tc>
          <w:tcPr>
            <w:tcW w:w="3087" w:type="dxa"/>
            <w:tcBorders>
              <w:tl2br w:val="nil"/>
              <w:tr2bl w:val="nil"/>
            </w:tcBorders>
            <w:vAlign w:val="center"/>
          </w:tcPr>
          <w:p>
            <w:r>
              <w:t xml:space="preserve">                元整（大写）</w:t>
              <w:br/>
              <w:t xml:space="preserve">                 元（小写）</w:t>
            </w:r>
          </w:p>
        </w:tc>
        <w:tc>
          <w:tcPr>
            <w:tcW w:w="2787" w:type="dxa"/>
            <w:tcBorders>
              <w:tl2br w:val="nil"/>
              <w:tr2bl w:val="nil"/>
            </w:tcBorders>
            <w:vAlign w:val="center"/>
          </w:tcPr>
          <w:p>
            <w:r>
              <w:t>（2）×监控摄像机数     ×4×3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18" w:type="dxa"/>
            <w:gridSpan w:val="4"/>
            <w:tcBorders>
              <w:tl2br w:val="nil"/>
              <w:tr2bl w:val="nil"/>
            </w:tcBorders>
            <w:vAlign w:val="center"/>
          </w:tcPr>
          <w:p>
            <w:r>
              <w:t>（本报价金额结转至开标一览表，若小写金额错误，以大写为准）</w:t>
            </w:r>
          </w:p>
        </w:tc>
      </w:tr>
    </w:tbl>
    <w:p>
      <w:pPr>
        <w:spacing w:line="500" w:lineRule="exact"/>
        <w:rPr>
          <w:rFonts w:ascii="微软雅黑" w:hAnsi="微软雅黑" w:eastAsia="微软雅黑" w:cs="微软雅黑"/>
          <w:color w:val="FF0000"/>
          <w:sz w:val="24"/>
          <w:szCs w:val="24"/>
        </w:rPr>
      </w:pPr>
      <w:r/>
    </w:p>
    <w:p>
      <w:pPr>
        <w:spacing w:line="500" w:lineRule="exact"/>
        <w:rPr>
          <w:rFonts w:ascii="微软雅黑" w:hAnsi="微软雅黑" w:eastAsia="微软雅黑" w:cs="微软雅黑"/>
          <w:color w:val="FF0000"/>
          <w:sz w:val="24"/>
          <w:szCs w:val="24"/>
        </w:rPr>
      </w:pPr>
      <w:r/>
    </w:p>
    <w:p>
      <w:pPr>
        <w:spacing w:line="500" w:lineRule="exact"/>
        <w:rPr>
          <w:rFonts w:ascii="微软雅黑" w:hAnsi="微软雅黑" w:eastAsia="微软雅黑" w:cs="微软雅黑"/>
          <w:color w:val="FF0000"/>
          <w:sz w:val="24"/>
          <w:szCs w:val="24"/>
        </w:rPr>
      </w:pPr>
      <w:r>
        <w:t xml:space="preserve">投标人（盖章）：    </w:t>
      </w:r>
    </w:p>
    <w:p>
      <w:pPr>
        <w:spacing w:line="500" w:lineRule="exact"/>
        <w:rPr>
          <w:rFonts w:ascii="微软雅黑" w:hAnsi="微软雅黑" w:eastAsia="微软雅黑" w:cs="微软雅黑"/>
          <w:sz w:val="24"/>
          <w:szCs w:val="24"/>
        </w:rPr>
      </w:pPr>
      <w:r>
        <w:t>法定代表人（或营运商负责人）（签字或盖章）：</w:t>
      </w:r>
    </w:p>
    <w:p>
      <w:pPr>
        <w:rPr>
          <w:rFonts w:ascii="微软雅黑" w:hAnsi="微软雅黑" w:eastAsia="微软雅黑" w:cs="微软雅黑"/>
          <w:sz w:val="24"/>
          <w:szCs w:val="24"/>
        </w:rPr>
      </w:pPr>
      <w:r>
        <w:t>日期：           年    月    日</w:t>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jc w:val="left"/>
        <w:rPr>
          <w:rFonts w:ascii="宋体" w:hAnsi="宋体" w:cs="宋体"/>
          <w:b/>
          <w:bCs/>
          <w:color w:val="000000" w:themeColor="text1"/>
          <w:sz w:val="24"/>
          <w:szCs w:val="24"/>
        </w:rPr>
      </w:pPr>
      <w:r/>
    </w:p>
    <w:p>
      <w:pPr>
        <w:widowControl/>
        <w:snapToGrid w:val="0"/>
        <w:spacing w:line="560" w:lineRule="exact"/>
        <w:rPr>
          <w:rFonts w:ascii="微软雅黑" w:hAnsi="微软雅黑" w:eastAsia="微软雅黑" w:cs="微软雅黑"/>
          <w:b/>
          <w:kern w:val="0"/>
          <w:sz w:val="28"/>
          <w:szCs w:val="28"/>
        </w:rPr>
      </w:pPr>
      <w:r/>
    </w:p>
    <w:p>
      <w:pPr>
        <w:widowControl/>
        <w:snapToGrid w:val="0"/>
        <w:spacing w:line="560" w:lineRule="exact"/>
        <w:rPr>
          <w:rFonts w:ascii="微软雅黑" w:hAnsi="微软雅黑" w:eastAsia="微软雅黑" w:cs="微软雅黑"/>
          <w:b/>
          <w:kern w:val="0"/>
          <w:sz w:val="28"/>
          <w:szCs w:val="28"/>
        </w:rPr>
      </w:pPr>
      <w:r/>
    </w:p>
    <w:p>
      <w:pPr>
        <w:widowControl/>
        <w:snapToGrid w:val="0"/>
        <w:spacing w:line="560" w:lineRule="exact"/>
        <w:rPr>
          <w:rFonts w:ascii="微软雅黑" w:hAnsi="微软雅黑" w:eastAsia="微软雅黑" w:cs="微软雅黑"/>
          <w:b/>
          <w:kern w:val="0"/>
          <w:sz w:val="28"/>
          <w:szCs w:val="28"/>
        </w:rPr>
      </w:pPr>
      <w:r/>
    </w:p>
    <w:p>
      <w:pPr>
        <w:widowControl/>
        <w:snapToGrid w:val="0"/>
        <w:spacing w:line="560" w:lineRule="exact"/>
        <w:rPr>
          <w:rFonts w:ascii="微软雅黑" w:hAnsi="微软雅黑" w:eastAsia="微软雅黑" w:cs="微软雅黑"/>
          <w:b/>
          <w:kern w:val="0"/>
          <w:sz w:val="28"/>
          <w:szCs w:val="28"/>
        </w:rPr>
      </w:pPr>
      <w:r/>
    </w:p>
    <w:p>
      <w:pPr>
        <w:widowControl/>
        <w:snapToGrid w:val="0"/>
        <w:spacing w:line="560" w:lineRule="exact"/>
        <w:rPr>
          <w:rFonts w:ascii="微软雅黑" w:hAnsi="微软雅黑" w:eastAsia="微软雅黑" w:cs="微软雅黑"/>
          <w:b/>
          <w:kern w:val="0"/>
          <w:sz w:val="28"/>
          <w:szCs w:val="28"/>
        </w:rPr>
      </w:pPr>
      <w:r/>
    </w:p>
    <w:p>
      <w:pPr>
        <w:widowControl/>
        <w:snapToGrid w:val="0"/>
        <w:spacing w:line="560" w:lineRule="exact"/>
        <w:rPr>
          <w:rFonts w:ascii="微软雅黑" w:hAnsi="微软雅黑" w:eastAsia="微软雅黑" w:cs="微软雅黑"/>
          <w:b/>
          <w:kern w:val="0"/>
          <w:sz w:val="28"/>
          <w:szCs w:val="28"/>
        </w:rPr>
      </w:pPr>
      <w:r/>
    </w:p>
    <w:p>
      <w:pPr>
        <w:widowControl/>
        <w:snapToGrid w:val="0"/>
        <w:spacing w:line="560" w:lineRule="exact"/>
        <w:rPr>
          <w:rFonts w:ascii="微软雅黑" w:hAnsi="微软雅黑" w:eastAsia="微软雅黑" w:cs="微软雅黑"/>
          <w:b/>
          <w:kern w:val="0"/>
          <w:sz w:val="28"/>
          <w:szCs w:val="28"/>
        </w:rPr>
      </w:pPr>
      <w:r>
        <w:t>附件19.2：</w:t>
      </w:r>
    </w:p>
    <w:p>
      <w:pPr>
        <w:widowControl/>
        <w:snapToGrid w:val="0"/>
        <w:spacing w:line="560" w:lineRule="exact"/>
        <w:jc w:val="center"/>
        <w:rPr>
          <w:rFonts w:ascii="微软雅黑" w:hAnsi="微软雅黑" w:eastAsia="微软雅黑" w:cs="微软雅黑"/>
          <w:b/>
          <w:kern w:val="0"/>
          <w:sz w:val="32"/>
          <w:szCs w:val="32"/>
        </w:rPr>
      </w:pPr>
      <w:r>
        <w:t>投标报价费用明细表</w:t>
      </w:r>
    </w:p>
    <w:tbl>
      <w:tblPr>
        <w:tblStyle w:val="59"/>
        <w:tblW w:w="90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510"/>
        <w:gridCol w:w="4000"/>
        <w:gridCol w:w="1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693" w:type="dxa"/>
            <w:tcBorders>
              <w:tl2br w:val="nil"/>
              <w:tr2bl w:val="nil"/>
            </w:tcBorders>
            <w:vAlign w:val="center"/>
          </w:tcPr>
          <w:p>
            <w:r>
              <w:t>序号</w:t>
            </w:r>
          </w:p>
        </w:tc>
        <w:tc>
          <w:tcPr>
            <w:tcW w:w="2510" w:type="dxa"/>
            <w:tcBorders>
              <w:tl2br w:val="nil"/>
              <w:tr2bl w:val="nil"/>
            </w:tcBorders>
            <w:vAlign w:val="center"/>
          </w:tcPr>
          <w:p>
            <w:r>
              <w:t>项目名称</w:t>
            </w:r>
          </w:p>
        </w:tc>
        <w:tc>
          <w:tcPr>
            <w:tcW w:w="4000" w:type="dxa"/>
            <w:tcBorders>
              <w:tl2br w:val="nil"/>
              <w:tr2bl w:val="nil"/>
            </w:tcBorders>
            <w:vAlign w:val="center"/>
          </w:tcPr>
          <w:p>
            <w:r>
              <w:t>计算公式</w:t>
            </w:r>
          </w:p>
        </w:tc>
        <w:tc>
          <w:tcPr>
            <w:tcW w:w="1835" w:type="dxa"/>
            <w:tcBorders>
              <w:tl2br w:val="nil"/>
              <w:tr2bl w:val="nil"/>
            </w:tcBorders>
            <w:vAlign w:val="center"/>
          </w:tcPr>
          <w:p>
            <w:r>
              <w:t>报价（元）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693" w:type="dxa"/>
            <w:tcBorders>
              <w:tl2br w:val="nil"/>
              <w:tr2bl w:val="nil"/>
            </w:tcBorders>
            <w:vAlign w:val="center"/>
          </w:tcPr>
          <w:p>
            <w:r>
              <w:t>1</w:t>
            </w:r>
          </w:p>
        </w:tc>
        <w:tc>
          <w:tcPr>
            <w:tcW w:w="2510" w:type="dxa"/>
            <w:tcBorders>
              <w:tl2br w:val="nil"/>
              <w:tr2bl w:val="nil"/>
            </w:tcBorders>
            <w:vAlign w:val="center"/>
          </w:tcPr>
          <w:p>
            <w:r>
              <w:t>安装工程费用</w:t>
            </w:r>
          </w:p>
        </w:tc>
        <w:tc>
          <w:tcPr>
            <w:tcW w:w="4000" w:type="dxa"/>
            <w:tcBorders>
              <w:tl2br w:val="nil"/>
              <w:tr2bl w:val="nil"/>
            </w:tcBorders>
            <w:vAlign w:val="center"/>
          </w:tcPr>
          <w:p>
            <w:pPr>
              <w:jc w:val="center"/>
              <w:outlineLvl w:val="0"/>
              <w:rPr>
                <w:rFonts w:ascii="微软雅黑" w:hAnsi="微软雅黑" w:eastAsia="微软雅黑" w:cs="微软雅黑"/>
              </w:rPr>
            </w:pPr>
          </w:p>
        </w:tc>
        <w:tc>
          <w:tcPr>
            <w:tcW w:w="1835" w:type="dxa"/>
            <w:tcBorders>
              <w:tl2br w:val="nil"/>
              <w:tr2bl w:val="nil"/>
            </w:tcBorders>
            <w:vAlign w:val="center"/>
          </w:tcPr>
          <w:p>
            <w:pPr>
              <w:jc w:val="center"/>
              <w:outlineLvl w:val="0"/>
              <w:rPr>
                <w:rFonts w:ascii="微软雅黑" w:hAnsi="微软雅黑" w:eastAsia="微软雅黑" w:cs="微软雅黑"/>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693" w:type="dxa"/>
            <w:tcBorders>
              <w:tl2br w:val="nil"/>
              <w:tr2bl w:val="nil"/>
            </w:tcBorders>
            <w:vAlign w:val="center"/>
          </w:tcPr>
          <w:p>
            <w:r>
              <w:t>2</w:t>
            </w:r>
          </w:p>
        </w:tc>
        <w:tc>
          <w:tcPr>
            <w:tcW w:w="2510" w:type="dxa"/>
            <w:tcBorders>
              <w:tl2br w:val="nil"/>
              <w:tr2bl w:val="nil"/>
            </w:tcBorders>
            <w:vAlign w:val="center"/>
          </w:tcPr>
          <w:p>
            <w:r>
              <w:t>财务费用</w:t>
            </w:r>
          </w:p>
        </w:tc>
        <w:tc>
          <w:tcPr>
            <w:tcW w:w="4000" w:type="dxa"/>
            <w:tcBorders>
              <w:tl2br w:val="nil"/>
              <w:tr2bl w:val="nil"/>
            </w:tcBorders>
            <w:vAlign w:val="center"/>
          </w:tcPr>
          <w:p>
            <w:pPr>
              <w:jc w:val="center"/>
              <w:outlineLvl w:val="0"/>
              <w:rPr>
                <w:rFonts w:ascii="微软雅黑" w:hAnsi="微软雅黑" w:eastAsia="微软雅黑" w:cs="微软雅黑"/>
              </w:rPr>
            </w:pPr>
          </w:p>
        </w:tc>
        <w:tc>
          <w:tcPr>
            <w:tcW w:w="1835" w:type="dxa"/>
            <w:tcBorders>
              <w:tl2br w:val="nil"/>
              <w:tr2bl w:val="nil"/>
            </w:tcBorders>
            <w:vAlign w:val="center"/>
          </w:tcPr>
          <w:p>
            <w:pPr>
              <w:jc w:val="center"/>
              <w:outlineLvl w:val="0"/>
              <w:rPr>
                <w:rFonts w:ascii="微软雅黑" w:hAnsi="微软雅黑" w:eastAsia="微软雅黑" w:cs="微软雅黑"/>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7" w:hRule="exact"/>
        </w:trPr>
        <w:tc>
          <w:tcPr>
            <w:tcW w:w="693" w:type="dxa"/>
            <w:tcBorders>
              <w:tl2br w:val="nil"/>
              <w:tr2bl w:val="nil"/>
            </w:tcBorders>
            <w:vAlign w:val="center"/>
          </w:tcPr>
          <w:p>
            <w:r>
              <w:t>3</w:t>
            </w:r>
          </w:p>
        </w:tc>
        <w:tc>
          <w:tcPr>
            <w:tcW w:w="2510" w:type="dxa"/>
            <w:tcBorders>
              <w:tl2br w:val="nil"/>
              <w:tr2bl w:val="nil"/>
            </w:tcBorders>
            <w:vAlign w:val="center"/>
          </w:tcPr>
          <w:p>
            <w:r>
              <w:t>光纤租凭费用</w:t>
            </w:r>
          </w:p>
        </w:tc>
        <w:tc>
          <w:tcPr>
            <w:tcW w:w="4000" w:type="dxa"/>
            <w:tcBorders>
              <w:tl2br w:val="nil"/>
              <w:tr2bl w:val="nil"/>
            </w:tcBorders>
            <w:vAlign w:val="center"/>
          </w:tcPr>
          <w:p>
            <w:r>
              <w:t>监控摄像机数     ×12×3</w:t>
              <w:br/>
              <w:t>×        元/摄像机·月</w:t>
            </w:r>
          </w:p>
        </w:tc>
        <w:tc>
          <w:tcPr>
            <w:tcW w:w="1835" w:type="dxa"/>
            <w:tcBorders>
              <w:tl2br w:val="nil"/>
              <w:tr2bl w:val="nil"/>
            </w:tcBorders>
            <w:vAlign w:val="center"/>
          </w:tcPr>
          <w:p>
            <w:pPr>
              <w:jc w:val="center"/>
              <w:outlineLvl w:val="0"/>
              <w:rPr>
                <w:rFonts w:ascii="微软雅黑" w:hAnsi="微软雅黑" w:eastAsia="微软雅黑" w:cs="微软雅黑"/>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0" w:hRule="exact"/>
        </w:trPr>
        <w:tc>
          <w:tcPr>
            <w:tcW w:w="693" w:type="dxa"/>
            <w:tcBorders>
              <w:tl2br w:val="nil"/>
              <w:tr2bl w:val="nil"/>
            </w:tcBorders>
            <w:vAlign w:val="center"/>
          </w:tcPr>
          <w:p>
            <w:r>
              <w:t>4</w:t>
            </w:r>
          </w:p>
        </w:tc>
        <w:tc>
          <w:tcPr>
            <w:tcW w:w="2510" w:type="dxa"/>
            <w:tcBorders>
              <w:tl2br w:val="nil"/>
              <w:tr2bl w:val="nil"/>
            </w:tcBorders>
            <w:vAlign w:val="center"/>
          </w:tcPr>
          <w:p>
            <w:r>
              <w:t>运行维护费用</w:t>
            </w:r>
          </w:p>
        </w:tc>
        <w:tc>
          <w:tcPr>
            <w:tcW w:w="4000" w:type="dxa"/>
            <w:tcBorders>
              <w:tl2br w:val="nil"/>
              <w:tr2bl w:val="nil"/>
            </w:tcBorders>
            <w:vAlign w:val="center"/>
          </w:tcPr>
          <w:p>
            <w:r>
              <w:t>监控摄像机数     ×12×3</w:t>
              <w:br/>
              <w:t>×        元/摄像机·月</w:t>
            </w:r>
          </w:p>
        </w:tc>
        <w:tc>
          <w:tcPr>
            <w:tcW w:w="1835" w:type="dxa"/>
            <w:tcBorders>
              <w:tl2br w:val="nil"/>
              <w:tr2bl w:val="nil"/>
            </w:tcBorders>
            <w:vAlign w:val="center"/>
          </w:tcPr>
          <w:p>
            <w:pPr>
              <w:jc w:val="center"/>
              <w:outlineLvl w:val="0"/>
              <w:rPr>
                <w:rFonts w:ascii="微软雅黑" w:hAnsi="微软雅黑" w:eastAsia="微软雅黑" w:cs="微软雅黑"/>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693" w:type="dxa"/>
            <w:tcBorders>
              <w:tl2br w:val="nil"/>
              <w:tr2bl w:val="nil"/>
            </w:tcBorders>
            <w:vAlign w:val="center"/>
          </w:tcPr>
          <w:p>
            <w:r>
              <w:t>5</w:t>
            </w:r>
          </w:p>
        </w:tc>
        <w:tc>
          <w:tcPr>
            <w:tcW w:w="2510" w:type="dxa"/>
            <w:tcBorders>
              <w:tl2br w:val="nil"/>
              <w:tr2bl w:val="nil"/>
            </w:tcBorders>
            <w:vAlign w:val="center"/>
          </w:tcPr>
          <w:p>
            <w:r>
              <w:t>监控系统用电费用</w:t>
            </w:r>
          </w:p>
        </w:tc>
        <w:tc>
          <w:tcPr>
            <w:tcW w:w="4000" w:type="dxa"/>
            <w:tcBorders>
              <w:tl2br w:val="nil"/>
              <w:tr2bl w:val="nil"/>
            </w:tcBorders>
            <w:vAlign w:val="center"/>
          </w:tcPr>
          <w:p>
            <w:r>
              <w:t>监控摄像机数     ×12×3</w:t>
              <w:br/>
              <w:t>×        元/摄像机·月</w:t>
            </w:r>
          </w:p>
        </w:tc>
        <w:tc>
          <w:tcPr>
            <w:tcW w:w="1835" w:type="dxa"/>
            <w:tcBorders>
              <w:tl2br w:val="nil"/>
              <w:tr2bl w:val="nil"/>
            </w:tcBorders>
            <w:vAlign w:val="center"/>
          </w:tcPr>
          <w:p>
            <w:pPr>
              <w:jc w:val="center"/>
              <w:outlineLvl w:val="0"/>
              <w:rPr>
                <w:rFonts w:ascii="微软雅黑" w:hAnsi="微软雅黑" w:eastAsia="微软雅黑" w:cs="微软雅黑"/>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exact"/>
        </w:trPr>
        <w:tc>
          <w:tcPr>
            <w:tcW w:w="693" w:type="dxa"/>
            <w:tcBorders>
              <w:tl2br w:val="nil"/>
              <w:tr2bl w:val="nil"/>
            </w:tcBorders>
            <w:vAlign w:val="center"/>
          </w:tcPr>
          <w:p>
            <w:r>
              <w:t>6</w:t>
            </w:r>
          </w:p>
        </w:tc>
        <w:tc>
          <w:tcPr>
            <w:tcW w:w="2510" w:type="dxa"/>
            <w:tcBorders>
              <w:tl2br w:val="nil"/>
              <w:tr2bl w:val="nil"/>
            </w:tcBorders>
            <w:vAlign w:val="center"/>
          </w:tcPr>
          <w:p>
            <w:r>
              <w:t>其他费用</w:t>
            </w:r>
          </w:p>
        </w:tc>
        <w:tc>
          <w:tcPr>
            <w:tcW w:w="4000" w:type="dxa"/>
            <w:tcBorders>
              <w:tl2br w:val="nil"/>
              <w:tr2bl w:val="nil"/>
            </w:tcBorders>
            <w:vAlign w:val="center"/>
          </w:tcPr>
          <w:p>
            <w:pPr>
              <w:outlineLvl w:val="0"/>
              <w:rPr>
                <w:rFonts w:ascii="微软雅黑" w:hAnsi="微软雅黑" w:eastAsia="微软雅黑" w:cs="微软雅黑"/>
              </w:rPr>
            </w:pPr>
          </w:p>
        </w:tc>
        <w:tc>
          <w:tcPr>
            <w:tcW w:w="1835" w:type="dxa"/>
            <w:tcBorders>
              <w:tl2br w:val="nil"/>
              <w:tr2bl w:val="nil"/>
            </w:tcBorders>
            <w:vAlign w:val="center"/>
          </w:tcPr>
          <w:p>
            <w:pPr>
              <w:jc w:val="center"/>
              <w:outlineLvl w:val="0"/>
              <w:rPr>
                <w:rFonts w:ascii="微软雅黑" w:hAnsi="微软雅黑" w:eastAsia="微软雅黑" w:cs="微软雅黑"/>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9" w:hRule="exact"/>
        </w:trPr>
        <w:tc>
          <w:tcPr>
            <w:tcW w:w="693" w:type="dxa"/>
            <w:tcBorders>
              <w:tl2br w:val="nil"/>
              <w:tr2bl w:val="nil"/>
            </w:tcBorders>
            <w:vAlign w:val="center"/>
          </w:tcPr>
          <w:p>
            <w:r>
              <w:t>7</w:t>
            </w:r>
          </w:p>
        </w:tc>
        <w:tc>
          <w:tcPr>
            <w:tcW w:w="2510" w:type="dxa"/>
            <w:tcBorders>
              <w:tl2br w:val="nil"/>
              <w:tr2bl w:val="nil"/>
            </w:tcBorders>
            <w:vAlign w:val="center"/>
          </w:tcPr>
          <w:p>
            <w:r>
              <w:t>合计</w:t>
            </w:r>
          </w:p>
        </w:tc>
        <w:tc>
          <w:tcPr>
            <w:tcW w:w="4000" w:type="dxa"/>
            <w:tcBorders>
              <w:tl2br w:val="nil"/>
              <w:tr2bl w:val="nil"/>
            </w:tcBorders>
            <w:vAlign w:val="center"/>
          </w:tcPr>
          <w:p>
            <w:r>
              <w:t>（1）+（2）+（3）+（4）+（5）+（6）</w:t>
            </w:r>
          </w:p>
        </w:tc>
        <w:tc>
          <w:tcPr>
            <w:tcW w:w="1835" w:type="dxa"/>
            <w:tcBorders>
              <w:tl2br w:val="nil"/>
              <w:tr2bl w:val="nil"/>
            </w:tcBorders>
            <w:vAlign w:val="center"/>
          </w:tcPr>
          <w:p>
            <w:pPr>
              <w:jc w:val="center"/>
              <w:outlineLvl w:val="0"/>
              <w:rPr>
                <w:rFonts w:ascii="微软雅黑" w:hAnsi="微软雅黑" w:eastAsia="微软雅黑" w:cs="微软雅黑"/>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trPr>
        <w:tc>
          <w:tcPr>
            <w:tcW w:w="9038" w:type="dxa"/>
            <w:gridSpan w:val="4"/>
            <w:tcBorders>
              <w:tl2br w:val="nil"/>
              <w:tr2bl w:val="nil"/>
            </w:tcBorders>
            <w:vAlign w:val="center"/>
          </w:tcPr>
          <w:p>
            <w:r>
              <w:t>（本报价金额结转至开标一览表）</w:t>
            </w:r>
          </w:p>
        </w:tc>
      </w:tr>
    </w:tbl>
    <w:p>
      <w:pPr>
        <w:spacing w:line="500" w:lineRule="exact"/>
        <w:ind w:firstLine="480" w:firstLineChars="200"/>
        <w:rPr>
          <w:sz w:val="24"/>
          <w:szCs w:val="24"/>
        </w:rPr>
      </w:pPr>
      <w:r/>
    </w:p>
    <w:p>
      <w:pPr>
        <w:spacing w:line="500" w:lineRule="exact"/>
        <w:rPr>
          <w:rFonts w:ascii="微软雅黑" w:hAnsi="微软雅黑" w:eastAsia="微软雅黑" w:cs="微软雅黑"/>
          <w:sz w:val="24"/>
          <w:szCs w:val="24"/>
        </w:rPr>
      </w:pPr>
      <w:r>
        <w:t xml:space="preserve">投标人（盖章）：    </w:t>
      </w:r>
    </w:p>
    <w:p>
      <w:pPr>
        <w:spacing w:line="500" w:lineRule="exact"/>
        <w:rPr>
          <w:rFonts w:ascii="微软雅黑" w:hAnsi="微软雅黑" w:eastAsia="微软雅黑" w:cs="微软雅黑"/>
          <w:sz w:val="24"/>
          <w:szCs w:val="24"/>
        </w:rPr>
      </w:pPr>
      <w:r>
        <w:t>法定代表人（或营运商负责人）（签字或盖章）：</w:t>
      </w:r>
    </w:p>
    <w:p>
      <w:pPr>
        <w:rPr>
          <w:rFonts w:ascii="微软雅黑" w:hAnsi="微软雅黑" w:eastAsia="微软雅黑" w:cs="微软雅黑"/>
          <w:sz w:val="24"/>
          <w:szCs w:val="24"/>
        </w:rPr>
      </w:pPr>
      <w:r>
        <w:t>日期：           年    月    日</w:t>
      </w:r>
    </w:p>
    <w:p>
      <w:pPr>
        <w:sectPr>
          <w:headerReference r:id="rId16" w:type="default"/>
          <w:footerReference r:id="rId17" w:type="default"/>
          <w:pgSz w:w="11907" w:h="16840"/>
          <w:pgMar w:top="1491" w:right="1329" w:bottom="1440" w:left="1338" w:header="1071" w:footer="992" w:gutter="0"/>
          <w:cols w:space="720" w:num="1"/>
          <w:docGrid w:type="linesAndChars" w:linePitch="312" w:charSpace="0"/>
        </w:sectPr>
      </w:pPr>
      <w:r/>
    </w:p>
    <w:p>
      <w:pPr>
        <w:widowControl/>
        <w:snapToGrid w:val="0"/>
        <w:spacing w:line="560" w:lineRule="exact"/>
        <w:jc w:val="left"/>
        <w:rPr>
          <w:rFonts w:ascii="微软雅黑" w:hAnsi="微软雅黑" w:eastAsia="微软雅黑" w:cs="微软雅黑"/>
          <w:b/>
          <w:kern w:val="0"/>
          <w:sz w:val="28"/>
          <w:szCs w:val="28"/>
        </w:rPr>
      </w:pPr>
      <w:r>
        <w:t>附件19.3:</w:t>
      </w:r>
    </w:p>
    <w:p>
      <w:pPr>
        <w:widowControl/>
        <w:snapToGrid w:val="0"/>
        <w:spacing w:line="560" w:lineRule="exact"/>
        <w:jc w:val="center"/>
        <w:rPr>
          <w:rFonts w:ascii="微软雅黑" w:hAnsi="微软雅黑" w:eastAsia="微软雅黑" w:cs="微软雅黑"/>
          <w:b/>
          <w:kern w:val="0"/>
          <w:sz w:val="32"/>
          <w:szCs w:val="32"/>
        </w:rPr>
      </w:pPr>
      <w:r>
        <w:t xml:space="preserve"> 安装工程报价清单</w:t>
      </w:r>
    </w:p>
    <w:tbl>
      <w:tblPr>
        <w:tblStyle w:val="59"/>
        <w:tblW w:w="1417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4491"/>
        <w:gridCol w:w="1035"/>
        <w:gridCol w:w="1200"/>
        <w:gridCol w:w="2100"/>
        <w:gridCol w:w="145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42" w:type="dxa"/>
            <w:vAlign w:val="center"/>
          </w:tcPr>
          <w:p>
            <w:r>
              <w:t>序号</w:t>
            </w:r>
          </w:p>
        </w:tc>
        <w:tc>
          <w:tcPr>
            <w:tcW w:w="4491" w:type="dxa"/>
            <w:vAlign w:val="center"/>
          </w:tcPr>
          <w:p>
            <w:r>
              <w:t>设备名称</w:t>
            </w:r>
          </w:p>
        </w:tc>
        <w:tc>
          <w:tcPr>
            <w:tcW w:w="1035" w:type="dxa"/>
            <w:vAlign w:val="center"/>
          </w:tcPr>
          <w:p>
            <w:r>
              <w:t>单位</w:t>
            </w:r>
          </w:p>
        </w:tc>
        <w:tc>
          <w:tcPr>
            <w:tcW w:w="1200" w:type="dxa"/>
            <w:vAlign w:val="center"/>
          </w:tcPr>
          <w:p>
            <w:r>
              <w:t>工程量</w:t>
            </w:r>
          </w:p>
        </w:tc>
        <w:tc>
          <w:tcPr>
            <w:tcW w:w="2100" w:type="dxa"/>
            <w:vAlign w:val="center"/>
          </w:tcPr>
          <w:p>
            <w:r>
              <w:t>全费用综合单价（元）</w:t>
            </w:r>
          </w:p>
        </w:tc>
        <w:tc>
          <w:tcPr>
            <w:tcW w:w="1455" w:type="dxa"/>
            <w:vAlign w:val="center"/>
          </w:tcPr>
          <w:p>
            <w:r>
              <w:t>综合合价(元）</w:t>
            </w:r>
          </w:p>
        </w:tc>
        <w:tc>
          <w:tcPr>
            <w:tcW w:w="3150" w:type="dxa"/>
            <w:vAlign w:val="center"/>
          </w:tcPr>
          <w:p>
            <w: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42" w:type="dxa"/>
            <w:vAlign w:val="center"/>
          </w:tcPr>
          <w:p>
            <w:pPr>
              <w:jc w:val="center"/>
              <w:rPr>
                <w:rFonts w:ascii="微软雅黑" w:hAnsi="微软雅黑" w:eastAsia="微软雅黑" w:cs="微软雅黑"/>
                <w:sz w:val="18"/>
                <w:szCs w:val="18"/>
              </w:rPr>
            </w:pPr>
          </w:p>
        </w:tc>
        <w:tc>
          <w:tcPr>
            <w:tcW w:w="4491" w:type="dxa"/>
            <w:vAlign w:val="center"/>
          </w:tcPr>
          <w:p>
            <w:pPr>
              <w:jc w:val="center"/>
              <w:rPr>
                <w:rFonts w:ascii="微软雅黑" w:hAnsi="微软雅黑" w:eastAsia="微软雅黑" w:cs="微软雅黑"/>
                <w:b/>
                <w:bCs/>
                <w:sz w:val="18"/>
                <w:szCs w:val="18"/>
              </w:rPr>
            </w:pPr>
          </w:p>
        </w:tc>
        <w:tc>
          <w:tcPr>
            <w:tcW w:w="1035" w:type="dxa"/>
            <w:vAlign w:val="center"/>
          </w:tcPr>
          <w:p>
            <w:pPr>
              <w:jc w:val="center"/>
              <w:rPr>
                <w:rFonts w:ascii="微软雅黑" w:hAnsi="微软雅黑" w:eastAsia="微软雅黑" w:cs="微软雅黑"/>
                <w:b/>
                <w:bCs/>
                <w:sz w:val="18"/>
                <w:szCs w:val="18"/>
              </w:rPr>
            </w:pPr>
          </w:p>
        </w:tc>
        <w:tc>
          <w:tcPr>
            <w:tcW w:w="1200" w:type="dxa"/>
            <w:vAlign w:val="center"/>
          </w:tcPr>
          <w:p>
            <w:pPr>
              <w:jc w:val="center"/>
              <w:rPr>
                <w:rFonts w:ascii="微软雅黑" w:hAnsi="微软雅黑" w:eastAsia="微软雅黑" w:cs="微软雅黑"/>
                <w:sz w:val="18"/>
                <w:szCs w:val="18"/>
              </w:rPr>
            </w:pPr>
          </w:p>
        </w:tc>
        <w:tc>
          <w:tcPr>
            <w:tcW w:w="2100" w:type="dxa"/>
            <w:vAlign w:val="center"/>
          </w:tcPr>
          <w:p>
            <w:pPr>
              <w:rPr>
                <w:rFonts w:ascii="微软雅黑" w:hAnsi="微软雅黑" w:eastAsia="微软雅黑" w:cs="微软雅黑"/>
                <w:b/>
                <w:bCs/>
                <w:sz w:val="18"/>
                <w:szCs w:val="18"/>
              </w:rPr>
            </w:pPr>
          </w:p>
        </w:tc>
        <w:tc>
          <w:tcPr>
            <w:tcW w:w="1455" w:type="dxa"/>
            <w:vAlign w:val="center"/>
          </w:tcPr>
          <w:p>
            <w:pPr>
              <w:rPr>
                <w:rFonts w:ascii="微软雅黑" w:hAnsi="微软雅黑" w:eastAsia="微软雅黑" w:cs="微软雅黑"/>
                <w:b/>
                <w:bCs/>
                <w:sz w:val="18"/>
                <w:szCs w:val="18"/>
              </w:rPr>
            </w:pPr>
          </w:p>
        </w:tc>
        <w:tc>
          <w:tcPr>
            <w:tcW w:w="3150" w:type="dxa"/>
            <w:vAlign w:val="center"/>
          </w:tcPr>
          <w:p>
            <w:pPr>
              <w:rPr>
                <w:rFonts w:ascii="微软雅黑" w:hAnsi="微软雅黑" w:eastAsia="微软雅黑" w:cs="微软雅黑"/>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42" w:type="dxa"/>
            <w:vAlign w:val="center"/>
          </w:tcPr>
          <w:p>
            <w:pPr>
              <w:jc w:val="center"/>
              <w:rPr>
                <w:rFonts w:ascii="微软雅黑" w:hAnsi="微软雅黑" w:eastAsia="微软雅黑" w:cs="微软雅黑"/>
                <w:sz w:val="18"/>
                <w:szCs w:val="18"/>
              </w:rPr>
            </w:pPr>
          </w:p>
        </w:tc>
        <w:tc>
          <w:tcPr>
            <w:tcW w:w="4491" w:type="dxa"/>
            <w:vAlign w:val="center"/>
          </w:tcPr>
          <w:p>
            <w:pPr>
              <w:jc w:val="center"/>
              <w:rPr>
                <w:rFonts w:ascii="微软雅黑" w:hAnsi="微软雅黑" w:eastAsia="微软雅黑" w:cs="微软雅黑"/>
                <w:sz w:val="18"/>
                <w:szCs w:val="18"/>
              </w:rPr>
            </w:pPr>
          </w:p>
        </w:tc>
        <w:tc>
          <w:tcPr>
            <w:tcW w:w="1035" w:type="dxa"/>
            <w:vAlign w:val="center"/>
          </w:tcPr>
          <w:p>
            <w:pPr>
              <w:jc w:val="center"/>
              <w:rPr>
                <w:rFonts w:ascii="微软雅黑" w:hAnsi="微软雅黑" w:eastAsia="微软雅黑" w:cs="微软雅黑"/>
                <w:sz w:val="18"/>
                <w:szCs w:val="18"/>
              </w:rPr>
            </w:pPr>
          </w:p>
        </w:tc>
        <w:tc>
          <w:tcPr>
            <w:tcW w:w="1200" w:type="dxa"/>
            <w:vAlign w:val="center"/>
          </w:tcPr>
          <w:p>
            <w:pPr>
              <w:jc w:val="center"/>
              <w:rPr>
                <w:rFonts w:ascii="微软雅黑" w:hAnsi="微软雅黑" w:eastAsia="微软雅黑" w:cs="微软雅黑"/>
                <w:sz w:val="18"/>
                <w:szCs w:val="18"/>
              </w:rPr>
            </w:pPr>
          </w:p>
        </w:tc>
        <w:tc>
          <w:tcPr>
            <w:tcW w:w="2100" w:type="dxa"/>
            <w:vAlign w:val="center"/>
          </w:tcPr>
          <w:p>
            <w:pPr>
              <w:rPr>
                <w:rFonts w:ascii="微软雅黑" w:hAnsi="微软雅黑" w:eastAsia="微软雅黑" w:cs="微软雅黑"/>
                <w:sz w:val="18"/>
                <w:szCs w:val="18"/>
              </w:rPr>
            </w:pPr>
          </w:p>
        </w:tc>
        <w:tc>
          <w:tcPr>
            <w:tcW w:w="1455" w:type="dxa"/>
            <w:vAlign w:val="center"/>
          </w:tcPr>
          <w:p>
            <w:pPr>
              <w:rPr>
                <w:rFonts w:ascii="微软雅黑" w:hAnsi="微软雅黑" w:eastAsia="微软雅黑" w:cs="微软雅黑"/>
                <w:sz w:val="18"/>
                <w:szCs w:val="18"/>
              </w:rPr>
            </w:pPr>
          </w:p>
        </w:tc>
        <w:tc>
          <w:tcPr>
            <w:tcW w:w="3150" w:type="dxa"/>
            <w:vAlign w:val="center"/>
          </w:tcPr>
          <w:p>
            <w:pPr>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742" w:type="dxa"/>
            <w:vAlign w:val="center"/>
          </w:tcPr>
          <w:p>
            <w:pPr>
              <w:jc w:val="center"/>
              <w:rPr>
                <w:rFonts w:ascii="微软雅黑" w:hAnsi="微软雅黑" w:eastAsia="微软雅黑" w:cs="微软雅黑"/>
                <w:sz w:val="18"/>
                <w:szCs w:val="18"/>
              </w:rPr>
            </w:pPr>
          </w:p>
        </w:tc>
        <w:tc>
          <w:tcPr>
            <w:tcW w:w="4491" w:type="dxa"/>
            <w:vAlign w:val="center"/>
          </w:tcPr>
          <w:p>
            <w:pPr>
              <w:jc w:val="center"/>
              <w:rPr>
                <w:rFonts w:ascii="微软雅黑" w:hAnsi="微软雅黑" w:eastAsia="微软雅黑" w:cs="微软雅黑"/>
                <w:sz w:val="18"/>
                <w:szCs w:val="18"/>
              </w:rPr>
            </w:pPr>
          </w:p>
        </w:tc>
        <w:tc>
          <w:tcPr>
            <w:tcW w:w="1035" w:type="dxa"/>
            <w:vAlign w:val="center"/>
          </w:tcPr>
          <w:p>
            <w:pPr>
              <w:jc w:val="center"/>
              <w:rPr>
                <w:rFonts w:ascii="微软雅黑" w:hAnsi="微软雅黑" w:eastAsia="微软雅黑" w:cs="微软雅黑"/>
                <w:sz w:val="18"/>
                <w:szCs w:val="18"/>
              </w:rPr>
            </w:pPr>
          </w:p>
        </w:tc>
        <w:tc>
          <w:tcPr>
            <w:tcW w:w="1200" w:type="dxa"/>
            <w:vAlign w:val="center"/>
          </w:tcPr>
          <w:p>
            <w:pPr>
              <w:jc w:val="center"/>
              <w:rPr>
                <w:rFonts w:ascii="微软雅黑" w:hAnsi="微软雅黑" w:eastAsia="微软雅黑" w:cs="微软雅黑"/>
                <w:sz w:val="18"/>
                <w:szCs w:val="18"/>
              </w:rPr>
            </w:pPr>
          </w:p>
        </w:tc>
        <w:tc>
          <w:tcPr>
            <w:tcW w:w="2100" w:type="dxa"/>
            <w:vAlign w:val="center"/>
          </w:tcPr>
          <w:p>
            <w:pPr>
              <w:rPr>
                <w:rFonts w:ascii="微软雅黑" w:hAnsi="微软雅黑" w:eastAsia="微软雅黑" w:cs="微软雅黑"/>
                <w:sz w:val="18"/>
                <w:szCs w:val="18"/>
              </w:rPr>
            </w:pPr>
          </w:p>
        </w:tc>
        <w:tc>
          <w:tcPr>
            <w:tcW w:w="1455" w:type="dxa"/>
            <w:vAlign w:val="center"/>
          </w:tcPr>
          <w:p>
            <w:pPr>
              <w:rPr>
                <w:rFonts w:ascii="微软雅黑" w:hAnsi="微软雅黑" w:eastAsia="微软雅黑" w:cs="微软雅黑"/>
                <w:sz w:val="18"/>
                <w:szCs w:val="18"/>
              </w:rPr>
            </w:pPr>
          </w:p>
        </w:tc>
        <w:tc>
          <w:tcPr>
            <w:tcW w:w="3150" w:type="dxa"/>
            <w:vAlign w:val="center"/>
          </w:tcPr>
          <w:p>
            <w:pPr>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233" w:type="dxa"/>
            <w:gridSpan w:val="2"/>
            <w:vAlign w:val="center"/>
          </w:tcPr>
          <w:p>
            <w:r>
              <w:t>投标总价（元）</w:t>
            </w:r>
          </w:p>
        </w:tc>
        <w:tc>
          <w:tcPr>
            <w:tcW w:w="8940" w:type="dxa"/>
            <w:gridSpan w:val="5"/>
            <w:vAlign w:val="center"/>
          </w:tcPr>
          <w:p>
            <w:pPr>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173" w:type="dxa"/>
            <w:gridSpan w:val="7"/>
            <w:vAlign w:val="center"/>
          </w:tcPr>
          <w:p>
            <w:r>
              <w:t>（报价金额结转至投标报价费用明细表）</w:t>
            </w:r>
          </w:p>
        </w:tc>
      </w:tr>
    </w:tbl>
    <w:p>
      <w:pPr>
        <w:spacing w:line="360" w:lineRule="exact"/>
        <w:rPr>
          <w:rFonts w:ascii="微软雅黑" w:hAnsi="微软雅黑" w:eastAsia="微软雅黑" w:cs="微软雅黑"/>
          <w:b/>
          <w:bCs/>
        </w:rPr>
      </w:pPr>
      <w:r>
        <w:t>注：1、以上综合单价应包括但不限于施工设备的投入、劳务、管理、材料、系统集成、安装调试、试运行、质保、保险、利润、税金、培训费、开办费、措施费、人身意外伤害保险费、第三方检测费用、平台级联对接费用、租金测算费用、等保测评费用、备品备件费用、光纤租赁费用、大型机械进退场费、山体堤坝或绿化恢复费用、杆件和基础设计费用、机房和网络费用、维修维护服务、设备使用电费、相关审批费用、政策性文件规定费用及合同包含的所有风险、责任等各项所有费用。</w:t>
      </w:r>
    </w:p>
    <w:p>
      <w:pPr>
        <w:spacing w:line="360" w:lineRule="exact"/>
        <w:ind w:firstLine="420" w:firstLineChars="200"/>
        <w:rPr>
          <w:rFonts w:ascii="微软雅黑" w:hAnsi="微软雅黑" w:eastAsia="微软雅黑" w:cs="微软雅黑"/>
        </w:rPr>
      </w:pPr>
      <w:r>
        <w:t>2、投标人参考第四章采购需求中“主要设备清单要求”所提供的清单内容，根据自身需要编制报价清单。</w:t>
      </w:r>
    </w:p>
    <w:p>
      <w:pPr>
        <w:spacing w:line="360" w:lineRule="exact"/>
        <w:ind w:firstLine="420"/>
        <w:rPr>
          <w:rFonts w:ascii="微软雅黑" w:hAnsi="微软雅黑" w:eastAsia="微软雅黑" w:cs="微软雅黑"/>
        </w:rPr>
      </w:pPr>
      <w:r>
        <w:t>3、备品备件费用由投标人在报价时综合考虑，不再另外计取。</w:t>
      </w:r>
    </w:p>
    <w:p>
      <w:pPr>
        <w:spacing w:line="360" w:lineRule="auto"/>
        <w:rPr>
          <w:rFonts w:ascii="微软雅黑" w:hAnsi="微软雅黑" w:eastAsia="微软雅黑" w:cs="微软雅黑"/>
          <w:u w:val="single"/>
        </w:rPr>
      </w:pPr>
      <w:r>
        <w:t>投标人（盖章）：</w:t>
      </w:r>
    </w:p>
    <w:p>
      <w:pPr>
        <w:spacing w:line="360" w:lineRule="auto"/>
        <w:rPr>
          <w:rFonts w:ascii="微软雅黑" w:hAnsi="微软雅黑" w:eastAsia="微软雅黑" w:cs="微软雅黑"/>
          <w:color w:val="000000"/>
          <w:u w:val="single"/>
        </w:rPr>
      </w:pPr>
      <w:r>
        <w:t>法定代表人（或营运商负责人）（签字或盖章）：</w:t>
      </w:r>
    </w:p>
    <w:p>
      <w:pPr>
        <w:spacing w:line="360" w:lineRule="auto"/>
        <w:rPr>
          <w:rFonts w:ascii="微软雅黑" w:hAnsi="微软雅黑" w:eastAsia="微软雅黑" w:cs="微软雅黑"/>
          <w:color w:val="000000"/>
        </w:rPr>
        <w:sectPr>
          <w:footerReference r:id="rId20" w:type="first"/>
          <w:headerReference r:id="rId18" w:type="default"/>
          <w:footerReference r:id="rId19" w:type="even"/>
          <w:pgSz w:w="16840" w:h="11907" w:orient="landscape"/>
          <w:pgMar w:top="1418" w:right="1440" w:bottom="1758" w:left="1440" w:header="851" w:footer="992" w:gutter="0"/>
          <w:cols w:space="720" w:num="1"/>
          <w:docGrid w:type="lines" w:linePitch="312" w:charSpace="0"/>
        </w:sectPr>
      </w:pPr>
      <w:r>
        <w:t>日  期：           年    月    日</w:t>
      </w:r>
    </w:p>
    <w:p>
      <w:pPr>
        <w:pStyle w:val="123"/>
        <w:spacing w:line="360" w:lineRule="auto"/>
        <w:rPr>
          <w:rFonts w:ascii="宋体" w:hAnsi="宋体" w:cs="宋体"/>
          <w:b/>
          <w:bCs/>
          <w:color w:val="000000" w:themeColor="text1"/>
          <w:sz w:val="24"/>
          <w:szCs w:val="24"/>
        </w:rPr>
      </w:pPr>
      <w:r>
        <w:t>附件：20</w:t>
      </w:r>
    </w:p>
    <w:p>
      <w:pPr>
        <w:pStyle w:val="124"/>
        <w:widowControl w:val="0"/>
        <w:snapToGrid w:val="0"/>
        <w:spacing w:line="500" w:lineRule="exact"/>
        <w:ind w:firstLine="2520" w:firstLineChars="700"/>
        <w:jc w:val="both"/>
        <w:rPr>
          <w:rFonts w:hint="default" w:ascii="方正小标宋简体" w:hAnsi="方正小标宋简体" w:eastAsia="方正小标宋简体" w:cs="方正小标宋简体"/>
          <w:color w:val="000000" w:themeColor="text1"/>
          <w:sz w:val="32"/>
          <w:szCs w:val="32"/>
        </w:rPr>
      </w:pPr>
      <w:r>
        <w:t>政府采购活动现场确认声明书</w:t>
      </w:r>
    </w:p>
    <w:p>
      <w:pPr>
        <w:pStyle w:val="124"/>
        <w:widowControl w:val="0"/>
        <w:snapToGrid w:val="0"/>
        <w:spacing w:line="400" w:lineRule="exact"/>
        <w:jc w:val="both"/>
        <w:rPr>
          <w:rFonts w:hint="default" w:hAnsi="宋体" w:cs="宋体"/>
          <w:b/>
          <w:color w:val="000000" w:themeColor="text1"/>
          <w:sz w:val="24"/>
          <w:szCs w:val="24"/>
        </w:rPr>
      </w:pPr>
      <w:r>
        <w:t xml:space="preserve"> 温岭市政府采购中心 （采购组织机构名称）：</w:t>
      </w:r>
    </w:p>
    <w:p>
      <w:pPr>
        <w:pStyle w:val="124"/>
        <w:widowControl w:val="0"/>
        <w:snapToGrid w:val="0"/>
        <w:spacing w:line="480" w:lineRule="exact"/>
        <w:ind w:firstLine="504" w:firstLineChars="200"/>
        <w:jc w:val="both"/>
        <w:rPr>
          <w:rFonts w:hint="default" w:hAnsi="宋体" w:cs="宋体"/>
          <w:color w:val="000000" w:themeColor="text1"/>
          <w:spacing w:val="6"/>
          <w:sz w:val="24"/>
          <w:szCs w:val="24"/>
        </w:rPr>
      </w:pPr>
      <w:r>
        <w:t xml:space="preserve">本人经由                           （单位）负责人            （姓名）合法授权参加                           项目（项目编号：             ）政府采购活动，经与本单位法人代表（负责人）联系确认，现就有关公平竞争事项郑重声明如下： </w:t>
      </w:r>
    </w:p>
    <w:p>
      <w:pPr>
        <w:pStyle w:val="125"/>
        <w:widowControl/>
        <w:snapToGrid w:val="0"/>
        <w:spacing w:line="480" w:lineRule="exact"/>
        <w:rPr>
          <w:rFonts w:hint="default" w:ascii="宋体" w:hAnsi="宋体" w:cs="宋体"/>
          <w:color w:val="000000" w:themeColor="text1"/>
          <w:kern w:val="0"/>
          <w:sz w:val="24"/>
          <w:szCs w:val="24"/>
        </w:rPr>
      </w:pPr>
      <w:r>
        <w:t>一、本单位与采购人之间 □不存在利害关系 □存在下列利害关系           ：</w:t>
      </w:r>
    </w:p>
    <w:p>
      <w:pPr>
        <w:pStyle w:val="125"/>
        <w:widowControl/>
        <w:snapToGrid w:val="0"/>
        <w:spacing w:line="480" w:lineRule="exact"/>
        <w:rPr>
          <w:rFonts w:hint="default" w:ascii="宋体" w:hAnsi="宋体" w:cs="宋体"/>
          <w:color w:val="000000" w:themeColor="text1"/>
          <w:kern w:val="0"/>
          <w:sz w:val="24"/>
          <w:szCs w:val="24"/>
        </w:rPr>
      </w:pPr>
      <w:r>
        <w:t xml:space="preserve">  A.投资关系    B.行政隶属关系    C.业务指导关系</w:t>
      </w:r>
    </w:p>
    <w:p>
      <w:pPr>
        <w:pStyle w:val="125"/>
        <w:widowControl/>
        <w:snapToGrid w:val="0"/>
        <w:spacing w:line="480" w:lineRule="exact"/>
        <w:rPr>
          <w:rFonts w:hint="default" w:ascii="宋体" w:hAnsi="宋体" w:cs="宋体"/>
          <w:color w:val="000000" w:themeColor="text1"/>
          <w:kern w:val="0"/>
          <w:sz w:val="24"/>
          <w:szCs w:val="24"/>
        </w:rPr>
      </w:pPr>
      <w:r>
        <w:t xml:space="preserve">  D.其他可能影响采购公正的利害关系（如有，请如实说明）                         。</w:t>
      </w:r>
    </w:p>
    <w:p>
      <w:pPr>
        <w:pStyle w:val="125"/>
        <w:widowControl/>
        <w:snapToGrid w:val="0"/>
        <w:spacing w:line="480" w:lineRule="exact"/>
        <w:rPr>
          <w:rFonts w:hint="default" w:ascii="宋体" w:hAnsi="宋体" w:cs="宋体"/>
          <w:color w:val="000000" w:themeColor="text1"/>
          <w:kern w:val="0"/>
          <w:sz w:val="24"/>
          <w:szCs w:val="24"/>
        </w:rPr>
      </w:pPr>
      <w:r>
        <w:t>二、现已清楚知道参加本项目采购活动的其他所有供应商名称，本单位 □与其他所有供应商之间均不存在利害关系 □与           （供应商名称）之间存在下列利害关系          ：</w:t>
      </w:r>
    </w:p>
    <w:p>
      <w:pPr>
        <w:pStyle w:val="124"/>
        <w:widowControl w:val="0"/>
        <w:snapToGrid w:val="0"/>
        <w:spacing w:line="480" w:lineRule="exact"/>
        <w:jc w:val="both"/>
        <w:rPr>
          <w:rFonts w:hint="default" w:hAnsi="宋体" w:cs="宋体"/>
          <w:color w:val="000000" w:themeColor="text1"/>
          <w:kern w:val="0"/>
          <w:sz w:val="24"/>
          <w:szCs w:val="24"/>
        </w:rPr>
      </w:pPr>
      <w:r>
        <w:t xml:space="preserve">  A.法定代表人或负责人或实际控制人是同一人</w:t>
      </w:r>
    </w:p>
    <w:p>
      <w:pPr>
        <w:pStyle w:val="124"/>
        <w:widowControl w:val="0"/>
        <w:snapToGrid w:val="0"/>
        <w:spacing w:line="480" w:lineRule="exact"/>
        <w:jc w:val="both"/>
        <w:rPr>
          <w:rFonts w:hint="default" w:hAnsi="宋体" w:cs="宋体"/>
          <w:color w:val="000000" w:themeColor="text1"/>
          <w:spacing w:val="6"/>
          <w:sz w:val="24"/>
          <w:szCs w:val="24"/>
        </w:rPr>
      </w:pPr>
      <w:r>
        <w:t xml:space="preserve">  B.法定代表人或负责人或实际控制人是夫妻关系</w:t>
      </w:r>
    </w:p>
    <w:p>
      <w:pPr>
        <w:pStyle w:val="124"/>
        <w:widowControl w:val="0"/>
        <w:snapToGrid w:val="0"/>
        <w:spacing w:line="480" w:lineRule="exact"/>
        <w:jc w:val="both"/>
        <w:rPr>
          <w:rFonts w:hint="default" w:hAnsi="宋体" w:cs="宋体"/>
          <w:color w:val="000000" w:themeColor="text1"/>
          <w:spacing w:val="6"/>
          <w:sz w:val="24"/>
          <w:szCs w:val="24"/>
        </w:rPr>
      </w:pPr>
      <w:r>
        <w:t xml:space="preserve">  C.法定代表人或负责人或实际控制人是直系血亲关系</w:t>
      </w:r>
    </w:p>
    <w:p>
      <w:pPr>
        <w:pStyle w:val="124"/>
        <w:widowControl w:val="0"/>
        <w:snapToGrid w:val="0"/>
        <w:spacing w:line="480" w:lineRule="exact"/>
        <w:jc w:val="both"/>
        <w:rPr>
          <w:rFonts w:hint="default" w:hAnsi="宋体" w:cs="宋体"/>
          <w:color w:val="000000" w:themeColor="text1"/>
          <w:spacing w:val="6"/>
          <w:sz w:val="24"/>
          <w:szCs w:val="24"/>
        </w:rPr>
      </w:pPr>
      <w:r>
        <w:t xml:space="preserve">  D.法定代表人或负责人或实际控制人存在三代以内旁系血亲关系</w:t>
      </w:r>
    </w:p>
    <w:p>
      <w:pPr>
        <w:pStyle w:val="124"/>
        <w:widowControl w:val="0"/>
        <w:snapToGrid w:val="0"/>
        <w:spacing w:line="480" w:lineRule="exact"/>
        <w:jc w:val="both"/>
        <w:rPr>
          <w:rFonts w:hint="default" w:hAnsi="宋体" w:cs="宋体"/>
          <w:color w:val="000000" w:themeColor="text1"/>
          <w:kern w:val="0"/>
          <w:sz w:val="24"/>
          <w:szCs w:val="24"/>
        </w:rPr>
      </w:pPr>
      <w:r>
        <w:t xml:space="preserve">  E.法定代表人或负责人或实际控制人存在近姻亲关系</w:t>
      </w:r>
    </w:p>
    <w:p>
      <w:pPr>
        <w:pStyle w:val="124"/>
        <w:widowControl w:val="0"/>
        <w:snapToGrid w:val="0"/>
        <w:spacing w:line="480" w:lineRule="exact"/>
        <w:jc w:val="both"/>
        <w:rPr>
          <w:rFonts w:hint="default" w:hAnsi="宋体" w:cs="宋体"/>
          <w:color w:val="000000" w:themeColor="text1"/>
          <w:kern w:val="0"/>
          <w:sz w:val="24"/>
          <w:szCs w:val="24"/>
        </w:rPr>
      </w:pPr>
      <w:r>
        <w:t xml:space="preserve">  F.法定代表人或负责人或实际控制人存在股份控制或实际控制关系</w:t>
      </w:r>
    </w:p>
    <w:p>
      <w:pPr>
        <w:pStyle w:val="124"/>
        <w:widowControl w:val="0"/>
        <w:snapToGrid w:val="0"/>
        <w:spacing w:line="480" w:lineRule="exact"/>
        <w:jc w:val="both"/>
        <w:outlineLvl w:val="0"/>
        <w:rPr>
          <w:rFonts w:hint="default" w:hAnsi="宋体" w:cs="宋体"/>
          <w:color w:val="000000" w:themeColor="text1"/>
          <w:kern w:val="0"/>
          <w:sz w:val="24"/>
          <w:szCs w:val="24"/>
        </w:rPr>
      </w:pPr>
      <w:r>
        <w:t xml:space="preserve">  G.存在共同直接或间接投资设立子公司、联营企业和合营企业情况</w:t>
      </w:r>
    </w:p>
    <w:p>
      <w:pPr>
        <w:pStyle w:val="124"/>
        <w:widowControl w:val="0"/>
        <w:snapToGrid w:val="0"/>
        <w:spacing w:line="480" w:lineRule="exact"/>
        <w:jc w:val="both"/>
        <w:rPr>
          <w:rFonts w:hint="default" w:hAnsi="宋体" w:cs="宋体"/>
          <w:color w:val="000000" w:themeColor="text1"/>
          <w:sz w:val="24"/>
          <w:szCs w:val="24"/>
        </w:rPr>
      </w:pPr>
      <w:r>
        <w:t xml:space="preserve">  H.存在分级代理或代销关系、同一生产制造商关系、管理关系、重要业务（占主营业务收入50%以上）或重要财务往来关系（如融资）等其他实质性控制关系</w:t>
      </w:r>
    </w:p>
    <w:p>
      <w:pPr>
        <w:pStyle w:val="124"/>
        <w:widowControl w:val="0"/>
        <w:snapToGrid w:val="0"/>
        <w:spacing w:line="480" w:lineRule="exact"/>
        <w:jc w:val="both"/>
        <w:rPr>
          <w:rFonts w:hint="default" w:hAnsi="宋体" w:cs="宋体"/>
          <w:color w:val="000000" w:themeColor="text1"/>
          <w:spacing w:val="6"/>
          <w:sz w:val="24"/>
          <w:szCs w:val="24"/>
        </w:rPr>
      </w:pPr>
      <w:r>
        <w:t xml:space="preserve">  I.其他利害关系情况                        。</w:t>
      </w:r>
    </w:p>
    <w:p>
      <w:pPr>
        <w:pStyle w:val="125"/>
        <w:widowControl/>
        <w:snapToGrid w:val="0"/>
        <w:spacing w:line="480" w:lineRule="exact"/>
        <w:rPr>
          <w:rFonts w:hint="default" w:ascii="宋体" w:hAnsi="宋体" w:cs="宋体"/>
          <w:color w:val="000000" w:themeColor="text1"/>
          <w:kern w:val="0"/>
          <w:sz w:val="24"/>
          <w:szCs w:val="24"/>
        </w:rPr>
      </w:pPr>
      <w:r>
        <w:t>三、现已清楚知道并严格遵守政府采购法律法规和现场纪律。</w:t>
      </w:r>
    </w:p>
    <w:p>
      <w:pPr>
        <w:pStyle w:val="125"/>
        <w:widowControl/>
        <w:snapToGrid w:val="0"/>
        <w:spacing w:line="480" w:lineRule="exact"/>
        <w:rPr>
          <w:rFonts w:hint="default" w:ascii="宋体" w:hAnsi="宋体" w:cs="宋体"/>
          <w:color w:val="000000" w:themeColor="text1"/>
          <w:kern w:val="0"/>
          <w:sz w:val="24"/>
          <w:szCs w:val="24"/>
        </w:rPr>
      </w:pPr>
      <w:r>
        <w:t>四、我发现               供应商之间存在或可能存在上述第二条第        项利害关系。</w:t>
      </w:r>
    </w:p>
    <w:p>
      <w:pPr>
        <w:pStyle w:val="124"/>
        <w:widowControl w:val="0"/>
        <w:snapToGrid w:val="0"/>
        <w:spacing w:line="480" w:lineRule="auto"/>
        <w:ind w:firstLine="480" w:firstLineChars="200"/>
        <w:jc w:val="both"/>
        <w:rPr>
          <w:rFonts w:hint="default" w:hAnsi="宋体" w:cs="宋体"/>
          <w:color w:val="000000" w:themeColor="text1"/>
          <w:sz w:val="24"/>
          <w:szCs w:val="24"/>
        </w:rPr>
      </w:pPr>
      <w:r>
        <w:t xml:space="preserve">                            （供应商代表签名）：</w:t>
      </w:r>
    </w:p>
    <w:p>
      <w:pPr>
        <w:pStyle w:val="750"/>
        <w:snapToGrid w:val="0"/>
        <w:spacing w:line="240" w:lineRule="exact"/>
        <w:ind w:firstLine="480" w:firstLineChars="200"/>
        <w:jc w:val="both"/>
        <w:rPr>
          <w:rFonts w:hAnsi="宋体" w:cs="宋体"/>
          <w:color w:val="000000" w:themeColor="text1"/>
          <w:sz w:val="24"/>
          <w:szCs w:val="24"/>
        </w:rPr>
      </w:pPr>
      <w:r>
        <w:t xml:space="preserve">                                日期：   年  月  日</w:t>
      </w:r>
    </w:p>
    <w:p>
      <w:pPr>
        <w:pStyle w:val="124"/>
        <w:widowControl w:val="0"/>
        <w:snapToGrid w:val="0"/>
        <w:spacing w:line="480" w:lineRule="auto"/>
        <w:jc w:val="both"/>
        <w:rPr>
          <w:rFonts w:hint="default" w:hAnsi="宋体"/>
          <w:b/>
          <w:bCs/>
          <w:color w:val="000000" w:themeColor="text1"/>
        </w:rPr>
      </w:pPr>
      <w:r/>
    </w:p>
    <w:sectPr>
      <w:footerReference r:id="rId21" w:type="default"/>
      <w:pgSz w:w="11906" w:h="16838"/>
      <w:pgMar w:top="1361" w:right="1644" w:bottom="1361"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书宋简体">
    <w:altName w:val="方正书宋_GBK"/>
    <w:panose1 w:val="00000000000000000000"/>
    <w:charset w:val="86"/>
    <w:family w:val="script"/>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微软雅黑">
    <w:panose1 w:val="020B0503020204020204"/>
    <w:charset w:val="86"/>
    <w:family w:val="swiss"/>
    <w:pitch w:val="default"/>
    <w:sig w:usb0="80000287" w:usb1="28C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Century Gothic">
    <w:panose1 w:val="020B0502020202020204"/>
    <w:charset w:val="00"/>
    <w:family w:val="swiss"/>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Heiti SC Light">
    <w:altName w:val="Times New Roman"/>
    <w:panose1 w:val="00000000000000000000"/>
    <w:charset w:val="50"/>
    <w:family w:val="auto"/>
    <w:pitch w:val="default"/>
    <w:sig w:usb0="00000000" w:usb1="00000000" w:usb2="00000000" w:usb3="00000000" w:csb0="00040001" w:csb1="00000000"/>
  </w:font>
  <w:font w:name="Book Antiqua">
    <w:panose1 w:val="02040602050305030304"/>
    <w:charset w:val="00"/>
    <w:family w:val="roman"/>
    <w:pitch w:val="default"/>
    <w:sig w:usb0="00000287" w:usb1="00000000" w:usb2="00000000" w:usb3="00000000" w:csb0="2000009F" w:csb1="DFD70000"/>
  </w:font>
  <w:font w:name="华文宋体">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64"/>
      </w:rPr>
    </w:pPr>
    <w:r>
      <w:fldChar w:fldCharType="begin"/>
    </w:r>
    <w:r>
      <w:rPr>
        <w:rStyle w:val="64"/>
      </w:rPr>
      <w:instrText xml:space="preserve">PAGE  </w:instrText>
    </w:r>
    <w:r>
      <w:fldChar w:fldCharType="separate"/>
    </w:r>
    <w:r>
      <w:rPr>
        <w:rStyle w:val="64"/>
      </w:rPr>
      <w:t>2</w:t>
    </w:r>
    <w:r>
      <w:fldChar w:fldCharType="end"/>
    </w:r>
  </w:p>
  <w:p>
    <w:pPr>
      <w:pStyle w:val="39"/>
      <w:framePr w:wrap="around" w:vAnchor="text" w:hAnchor="margin" w:xAlign="center" w:y="1"/>
      <w:jc w:val="center"/>
      <w:rPr>
        <w:rStyle w:val="64"/>
      </w:rPr>
    </w:pPr>
    <w:r>
      <w:rPr>
        <w:rStyle w:val="64"/>
      </w:rPr>
      <w:t>131</w:t>
    </w:r>
  </w:p>
  <w:p>
    <w:pPr>
      <w:pStyle w:val="39"/>
      <w:framePr w:wrap="around" w:vAnchor="text" w:hAnchor="margin" w:xAlign="center" w:y="1"/>
      <w:rPr>
        <w:rStyle w:val="64"/>
      </w:rPr>
    </w:pPr>
  </w:p>
  <w:p>
    <w:pPr>
      <w:pStyle w:val="3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64"/>
      </w:rPr>
    </w:pPr>
  </w:p>
  <w:p>
    <w:pPr>
      <w:pStyle w:val="39"/>
      <w:tabs>
        <w:tab w:val="left" w:pos="5115"/>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4365"/>
        <w:tab w:val="left" w:pos="5160"/>
      </w:tabs>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47"/>
      <w:widowControl/>
      <w:spacing w:line="14" w:lineRule="auto"/>
      <w:rPr>
        <w:rStyle w:val="131"/>
        <w:kern w:val="2"/>
        <w:sz w:val="20"/>
      </w:rPr>
    </w:pPr>
    <w:r>
      <w:rPr>
        <w:rStyle w:val="131"/>
        <w:kern w:val="2"/>
      </w:rPr>
      <w:pict>
        <v:shape id="文本框 1026" o:spid="_x0000_s2057" o:spt="202" type="#_x0000_t202" style="position:absolute;left:0pt;margin-top:0pt;height:144pt;width:144pt;mso-position-horizontal:center;mso-position-horizontal-relative:margin;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">
          <v:path/>
          <v:fill on="f" focussize="0,0"/>
          <v:stroke on="f" joinstyle="miter"/>
          <v:imagedata o:title=""/>
          <o:lock v:ext="edit"/>
          <v:textbox inset="0mm,0mm,0mm,0mm">
            <w:txbxContent>
              <w:p>
                <w:pPr>
                  <w:pStyle w:val="39"/>
                  <w:widowControl/>
                  <w:textAlignment w:val="baseline"/>
                  <w:rPr>
                    <w:rStyle w:val="131"/>
                    <w:rFonts w:eastAsia="宋体"/>
                    <w:kern w:val="2"/>
                    <w:sz w:val="18"/>
                  </w:rPr>
                </w:pPr>
              </w:p>
              <w:p>
                <w:pPr>
                  <w:textAlignment w:val="baseline"/>
                  <w:rPr>
                    <w:rStyle w:val="131"/>
                    <w:kern w:val="2"/>
                    <w:sz w:val="21"/>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4365"/>
        <w:tab w:val="left" w:pos="5160"/>
      </w:tabs>
    </w:pPr>
    <w:r>
      <w:tab/>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64"/>
      </w:rPr>
    </w:pPr>
  </w:p>
  <w:p>
    <w:pPr>
      <w:pStyle w:val="39"/>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right="360"/>
      <w:jc w:val="center"/>
    </w:pPr>
    <w:r>
      <w:pict>
        <v:shape id="文本框 12" o:spid="_x0000_s2051" o:spt="202" type="#_x0000_t202" style="position:absolute;left:0pt;margin-top:0pt;height:10.35pt;width:9.05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">
          <v:path/>
          <v:fill on="f" focussize="0,0"/>
          <v:stroke on="f" joinstyle="miter"/>
          <v:imagedata o:title=""/>
          <o:lock v:ext="edit"/>
          <v:textbox inset="0mm,0mm,0mm,0mm" style="mso-fit-shape-to-text:t;">
            <w:txbxContent>
              <w:p>
                <w:pPr>
                  <w:pStyle w:val="39"/>
                  <w:rPr>
                    <w:rStyle w:val="64"/>
                  </w:rPr>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64"/>
      </w:rPr>
    </w:pPr>
    <w:r>
      <w:fldChar w:fldCharType="begin"/>
    </w:r>
    <w:r>
      <w:rPr>
        <w:rStyle w:val="64"/>
      </w:rPr>
      <w:instrText xml:space="preserve">PAGE  </w:instrText>
    </w:r>
    <w:r>
      <w:fldChar w:fldCharType="separate"/>
    </w:r>
    <w:r>
      <w:rPr>
        <w:rStyle w:val="64"/>
      </w:rPr>
      <w:t>2</w:t>
    </w:r>
    <w: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center"/>
      <w:rPr>
        <w:b/>
        <w:bCs/>
        <w:color w:val="000000"/>
        <w:sz w:val="10"/>
        <w:szCs w:val="10"/>
        <w:u w:val="single"/>
      </w:rPr>
    </w:pPr>
    <w:r>
      <w:rPr>
        <w:rFonts w:hint="eastAsia" w:cs="宋体"/>
        <w:b/>
        <w:bCs/>
        <w:color w:val="000000"/>
        <w:kern w:val="0"/>
        <w:sz w:val="18"/>
        <w:szCs w:val="18"/>
        <w:u w:val="single"/>
      </w:rPr>
      <w:t>温岭市政府采购中心                                               WLCG-2021-01-GK招标文件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center"/>
      <w:rPr>
        <w:b/>
        <w:bCs/>
        <w:color w:val="000000"/>
        <w:sz w:val="10"/>
        <w:szCs w:val="10"/>
        <w:u w:val="single"/>
      </w:rPr>
    </w:pPr>
    <w:r>
      <w:rPr>
        <w:rFonts w:hint="eastAsia" w:cs="宋体"/>
        <w:b/>
        <w:bCs/>
        <w:color w:val="000000"/>
        <w:kern w:val="0"/>
        <w:sz w:val="18"/>
        <w:szCs w:val="18"/>
        <w:u w:val="single"/>
      </w:rPr>
      <w:t>温岭市政府采购中心                                               WLCG-2021-03-GK招标文件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extAlignment w:val="baseline"/>
      <w:rPr>
        <w:rStyle w:val="131"/>
        <w:rFonts w:ascii="微软雅黑" w:hAnsi="微软雅黑" w:eastAsia="微软雅黑" w:cs="微软雅黑"/>
        <w:kern w:val="2"/>
        <w:sz w:val="21"/>
      </w:rPr>
    </w:pPr>
    <w:r>
      <w:rPr>
        <w:rFonts w:ascii="微软雅黑" w:hAnsi="微软雅黑" w:eastAsia="微软雅黑" w:cs="微软雅黑"/>
        <w:sz w:val="20"/>
        <w:szCs w:val="22"/>
      </w:rPr>
      <w:pict>
        <v:shape id="文本框 7" o:spid="_x0000_s2058"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weight="0.5pt" joinstyle="miter"/>
          <v:imagedata o:title=""/>
          <o:lock v:ext="edit"/>
          <v:textbox inset="0mm,0mm,0mm,0mm" style="mso-fit-shape-to-text:t;">
            <w:txbxContent>
              <w:p>
                <w:pPr>
                  <w:pStyle w:val="40"/>
                  <w:rPr>
                    <w:rFonts w:ascii="宋体" w:hAnsi="宋体" w:cs="宋体"/>
                    <w:b/>
                    <w:bCs/>
                    <w:sz w:val="20"/>
                    <w:szCs w:val="20"/>
                  </w:rPr>
                </w:pPr>
                <w:r>
                  <w:rPr>
                    <w:rFonts w:ascii="宋体" w:hAnsi="宋体" w:cs="宋体"/>
                    <w:b/>
                    <w:bCs/>
                    <w:sz w:val="20"/>
                    <w:szCs w:val="20"/>
                  </w:rPr>
                  <w:t xml:space="preserve">第 </w:t>
                </w:r>
                <w:r>
                  <w:rPr>
                    <w:rFonts w:ascii="宋体" w:hAnsi="宋体" w:cs="宋体"/>
                    <w:b/>
                    <w:bCs/>
                    <w:sz w:val="20"/>
                    <w:szCs w:val="20"/>
                  </w:rPr>
                  <w:fldChar w:fldCharType="begin"/>
                </w:r>
                <w:r>
                  <w:rPr>
                    <w:rFonts w:ascii="宋体" w:hAnsi="宋体" w:cs="宋体"/>
                    <w:b/>
                    <w:bCs/>
                    <w:sz w:val="20"/>
                    <w:szCs w:val="20"/>
                  </w:rPr>
                  <w:instrText xml:space="preserve"> PAGE  \* MERGEFORMAT </w:instrText>
                </w:r>
                <w:r>
                  <w:rPr>
                    <w:rFonts w:ascii="宋体" w:hAnsi="宋体" w:cs="宋体"/>
                    <w:b/>
                    <w:bCs/>
                    <w:sz w:val="20"/>
                    <w:szCs w:val="20"/>
                  </w:rPr>
                  <w:fldChar w:fldCharType="separate"/>
                </w:r>
                <w:r>
                  <w:rPr>
                    <w:rFonts w:ascii="宋体" w:hAnsi="宋体" w:cs="宋体"/>
                    <w:b/>
                    <w:bCs/>
                    <w:sz w:val="20"/>
                    <w:szCs w:val="20"/>
                  </w:rPr>
                  <w:t>30</w:t>
                </w:r>
                <w:r>
                  <w:rPr>
                    <w:rFonts w:ascii="宋体" w:hAnsi="宋体" w:cs="宋体"/>
                    <w:b/>
                    <w:bCs/>
                    <w:sz w:val="20"/>
                    <w:szCs w:val="20"/>
                  </w:rPr>
                  <w:fldChar w:fldCharType="end"/>
                </w:r>
                <w:r>
                  <w:rPr>
                    <w:rFonts w:ascii="宋体" w:hAnsi="宋体" w:cs="宋体"/>
                    <w:b/>
                    <w:bCs/>
                    <w:sz w:val="20"/>
                    <w:szCs w:val="20"/>
                  </w:rPr>
                  <w:t xml:space="preserve"> 页 共 </w:t>
                </w:r>
                <w:r>
                  <w:rPr>
                    <w:rFonts w:ascii="宋体" w:hAnsi="宋体" w:cs="宋体"/>
                    <w:b/>
                    <w:bCs/>
                    <w:sz w:val="20"/>
                    <w:szCs w:val="20"/>
                  </w:rPr>
                  <w:fldChar w:fldCharType="begin"/>
                </w:r>
                <w:r>
                  <w:rPr>
                    <w:rFonts w:ascii="宋体" w:hAnsi="宋体" w:cs="宋体"/>
                    <w:b/>
                    <w:bCs/>
                    <w:sz w:val="20"/>
                    <w:szCs w:val="20"/>
                  </w:rPr>
                  <w:instrText xml:space="preserve"> NUMPAGES  \* MERGEFORMAT </w:instrText>
                </w:r>
                <w:r>
                  <w:rPr>
                    <w:rFonts w:ascii="宋体" w:hAnsi="宋体" w:cs="宋体"/>
                    <w:b/>
                    <w:bCs/>
                    <w:sz w:val="20"/>
                    <w:szCs w:val="20"/>
                  </w:rPr>
                  <w:fldChar w:fldCharType="separate"/>
                </w:r>
                <w:r>
                  <w:rPr>
                    <w:rFonts w:ascii="宋体" w:hAnsi="宋体" w:cs="宋体"/>
                    <w:b/>
                    <w:bCs/>
                    <w:sz w:val="20"/>
                    <w:szCs w:val="20"/>
                  </w:rPr>
                  <w:t>103</w:t>
                </w:r>
                <w:r>
                  <w:rPr>
                    <w:rFonts w:ascii="宋体" w:hAnsi="宋体" w:cs="宋体"/>
                    <w:b/>
                    <w:bCs/>
                    <w:sz w:val="20"/>
                    <w:szCs w:val="20"/>
                  </w:rPr>
                  <w:fldChar w:fldCharType="end"/>
                </w:r>
                <w:r>
                  <w:rPr>
                    <w:rFonts w:ascii="宋体" w:hAnsi="宋体" w:cs="宋体"/>
                    <w:b/>
                    <w:bCs/>
                    <w:sz w:val="20"/>
                    <w:szCs w:val="20"/>
                  </w:rPr>
                  <w:t xml:space="preserve"> 页</w:t>
                </w:r>
              </w:p>
            </w:txbxContent>
          </v:textbox>
        </v:shape>
      </w:pict>
    </w:r>
    <w:r>
      <w:rPr>
        <w:rStyle w:val="131"/>
        <w:rFonts w:ascii="微软雅黑" w:hAnsi="微软雅黑" w:eastAsia="微软雅黑" w:cs="微软雅黑"/>
        <w:b/>
        <w:bCs/>
        <w:color w:val="000000"/>
        <w:sz w:val="20"/>
        <w:u w:val="single"/>
      </w:rPr>
      <w:t>温岭市政府采购招标文件 （电子招投标）</w:t>
    </w:r>
    <w:r>
      <w:rPr>
        <w:rStyle w:val="131"/>
        <w:rFonts w:ascii="微软雅黑" w:hAnsi="微软雅黑" w:eastAsia="微软雅黑" w:cs="微软雅黑"/>
        <w:b/>
        <w:bCs/>
        <w:i/>
        <w:iCs/>
        <w:color w:val="000000"/>
        <w:sz w:val="20"/>
        <w:u w:val="single"/>
      </w:rPr>
      <w:t xml:space="preserve">                                                         </w:t>
    </w:r>
    <w:r>
      <w:rPr>
        <w:rStyle w:val="131"/>
        <w:rFonts w:ascii="微软雅黑" w:hAnsi="微软雅黑" w:eastAsia="微软雅黑" w:cs="微软雅黑"/>
        <w:b/>
        <w:bCs/>
        <w:i/>
        <w:iCs/>
        <w:color w:val="000000"/>
        <w:sz w:val="18"/>
        <w:szCs w:val="18"/>
        <w:u w:val="single"/>
      </w:rPr>
      <w:t xml:space="preserve">    </w:t>
    </w:r>
  </w:p>
  <w:p>
    <w:pPr>
      <w:pStyle w:val="40"/>
      <w:widowControl/>
      <w:pBdr>
        <w:top w:val="none" w:color="000000" w:sz="0" w:space="1"/>
        <w:left w:val="none" w:color="000000" w:sz="0" w:space="4"/>
        <w:bottom w:val="none" w:color="000000" w:sz="0" w:space="1"/>
        <w:right w:val="none" w:color="000000" w:sz="0" w:space="4"/>
      </w:pBdr>
      <w:textAlignment w:val="baseline"/>
      <w:rPr>
        <w:rStyle w:val="131"/>
        <w:kern w:val="2"/>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extAlignment w:val="baseline"/>
      <w:rPr>
        <w:rStyle w:val="131"/>
        <w:rFonts w:ascii="微软雅黑" w:hAnsi="微软雅黑" w:eastAsia="微软雅黑" w:cs="微软雅黑"/>
        <w:kern w:val="2"/>
        <w:sz w:val="21"/>
      </w:rPr>
    </w:pPr>
    <w:r>
      <w:rPr>
        <w:rFonts w:ascii="微软雅黑" w:hAnsi="微软雅黑" w:eastAsia="微软雅黑" w:cs="微软雅黑"/>
        <w:sz w:val="20"/>
        <w:szCs w:val="22"/>
      </w:rPr>
      <w:pict>
        <v:shape id="文本框 10" o:spid="_x0000_s2056" o:spt="202" type="#_x0000_t202" style="position:absolute;left:0pt;margin-top:0pt;height:144pt;width:144pt;mso-position-horizontal:right;mso-position-horizontal-relative:margin;mso-wrap-style:none;z-index:251664384;mso-width-relative:page;mso-height-relative:page;" filled="f" stroked="f" coordsize="21600,21600">
          <v:path/>
          <v:fill on="f" focussize="0,0"/>
          <v:stroke on="f" weight="0.5pt" joinstyle="miter"/>
          <v:imagedata o:title=""/>
          <o:lock v:ext="edit"/>
          <v:textbox inset="0mm,0mm,0mm,0mm" style="mso-fit-shape-to-text:t;">
            <w:txbxContent>
              <w:p>
                <w:pPr>
                  <w:pStyle w:val="40"/>
                  <w:rPr>
                    <w:rFonts w:ascii="宋体" w:hAnsi="宋体" w:cs="宋体"/>
                    <w:b/>
                    <w:bCs/>
                    <w:sz w:val="20"/>
                    <w:szCs w:val="20"/>
                  </w:rPr>
                </w:pPr>
                <w:r>
                  <w:rPr>
                    <w:rFonts w:ascii="宋体" w:hAnsi="宋体" w:cs="宋体"/>
                    <w:b/>
                    <w:bCs/>
                    <w:sz w:val="20"/>
                    <w:szCs w:val="20"/>
                  </w:rPr>
                  <w:t xml:space="preserve">第 </w:t>
                </w:r>
                <w:r>
                  <w:rPr>
                    <w:rFonts w:ascii="宋体" w:hAnsi="宋体" w:cs="宋体"/>
                    <w:b/>
                    <w:bCs/>
                    <w:sz w:val="20"/>
                    <w:szCs w:val="20"/>
                  </w:rPr>
                  <w:fldChar w:fldCharType="begin"/>
                </w:r>
                <w:r>
                  <w:rPr>
                    <w:rFonts w:ascii="宋体" w:hAnsi="宋体" w:cs="宋体"/>
                    <w:b/>
                    <w:bCs/>
                    <w:sz w:val="20"/>
                    <w:szCs w:val="20"/>
                  </w:rPr>
                  <w:instrText xml:space="preserve"> PAGE  \* MERGEFORMAT </w:instrText>
                </w:r>
                <w:r>
                  <w:rPr>
                    <w:rFonts w:ascii="宋体" w:hAnsi="宋体" w:cs="宋体"/>
                    <w:b/>
                    <w:bCs/>
                    <w:sz w:val="20"/>
                    <w:szCs w:val="20"/>
                  </w:rPr>
                  <w:fldChar w:fldCharType="separate"/>
                </w:r>
                <w:r>
                  <w:rPr>
                    <w:rFonts w:ascii="宋体" w:hAnsi="宋体" w:cs="宋体"/>
                    <w:b/>
                    <w:bCs/>
                    <w:sz w:val="20"/>
                    <w:szCs w:val="20"/>
                  </w:rPr>
                  <w:t>96</w:t>
                </w:r>
                <w:r>
                  <w:rPr>
                    <w:rFonts w:ascii="宋体" w:hAnsi="宋体" w:cs="宋体"/>
                    <w:b/>
                    <w:bCs/>
                    <w:sz w:val="20"/>
                    <w:szCs w:val="20"/>
                  </w:rPr>
                  <w:fldChar w:fldCharType="end"/>
                </w:r>
                <w:r>
                  <w:rPr>
                    <w:rFonts w:ascii="宋体" w:hAnsi="宋体" w:cs="宋体"/>
                    <w:b/>
                    <w:bCs/>
                    <w:sz w:val="20"/>
                    <w:szCs w:val="20"/>
                  </w:rPr>
                  <w:t xml:space="preserve"> 页 共 </w:t>
                </w:r>
                <w:r>
                  <w:rPr>
                    <w:rFonts w:ascii="宋体" w:hAnsi="宋体" w:cs="宋体"/>
                    <w:b/>
                    <w:bCs/>
                    <w:sz w:val="20"/>
                    <w:szCs w:val="20"/>
                  </w:rPr>
                  <w:fldChar w:fldCharType="begin"/>
                </w:r>
                <w:r>
                  <w:rPr>
                    <w:rFonts w:ascii="宋体" w:hAnsi="宋体" w:cs="宋体"/>
                    <w:b/>
                    <w:bCs/>
                    <w:sz w:val="20"/>
                    <w:szCs w:val="20"/>
                  </w:rPr>
                  <w:instrText xml:space="preserve"> NUMPAGES  \* MERGEFORMAT </w:instrText>
                </w:r>
                <w:r>
                  <w:rPr>
                    <w:rFonts w:ascii="宋体" w:hAnsi="宋体" w:cs="宋体"/>
                    <w:b/>
                    <w:bCs/>
                    <w:sz w:val="20"/>
                    <w:szCs w:val="20"/>
                  </w:rPr>
                  <w:fldChar w:fldCharType="separate"/>
                </w:r>
                <w:r>
                  <w:rPr>
                    <w:rFonts w:ascii="宋体" w:hAnsi="宋体" w:cs="宋体"/>
                    <w:b/>
                    <w:bCs/>
                    <w:sz w:val="20"/>
                    <w:szCs w:val="20"/>
                  </w:rPr>
                  <w:t>103</w:t>
                </w:r>
                <w:r>
                  <w:rPr>
                    <w:rFonts w:ascii="宋体" w:hAnsi="宋体" w:cs="宋体"/>
                    <w:b/>
                    <w:bCs/>
                    <w:sz w:val="20"/>
                    <w:szCs w:val="20"/>
                  </w:rPr>
                  <w:fldChar w:fldCharType="end"/>
                </w:r>
                <w:r>
                  <w:rPr>
                    <w:rFonts w:ascii="宋体" w:hAnsi="宋体" w:cs="宋体"/>
                    <w:b/>
                    <w:bCs/>
                    <w:sz w:val="20"/>
                    <w:szCs w:val="20"/>
                  </w:rPr>
                  <w:t xml:space="preserve"> 页</w:t>
                </w:r>
              </w:p>
            </w:txbxContent>
          </v:textbox>
        </v:shape>
      </w:pict>
    </w:r>
    <w:r>
      <w:rPr>
        <w:rStyle w:val="131"/>
        <w:rFonts w:ascii="微软雅黑" w:hAnsi="微软雅黑" w:eastAsia="微软雅黑" w:cs="微软雅黑"/>
        <w:b/>
        <w:bCs/>
        <w:color w:val="000000"/>
        <w:sz w:val="20"/>
        <w:u w:val="single"/>
      </w:rPr>
      <w:t>温岭市政府采购招标文件 （电子招投标）</w:t>
    </w:r>
    <w:r>
      <w:rPr>
        <w:rStyle w:val="131"/>
        <w:rFonts w:ascii="微软雅黑" w:hAnsi="微软雅黑" w:eastAsia="微软雅黑" w:cs="微软雅黑"/>
        <w:b/>
        <w:bCs/>
        <w:i/>
        <w:iCs/>
        <w:color w:val="000000"/>
        <w:sz w:val="20"/>
        <w:u w:val="single"/>
      </w:rPr>
      <w:t xml:space="preserve">                                                         </w:t>
    </w:r>
    <w:r>
      <w:rPr>
        <w:rStyle w:val="131"/>
        <w:rFonts w:ascii="微软雅黑" w:hAnsi="微软雅黑" w:eastAsia="微软雅黑" w:cs="微软雅黑"/>
        <w:b/>
        <w:bCs/>
        <w:i/>
        <w:iCs/>
        <w:color w:val="000000"/>
        <w:sz w:val="18"/>
        <w:szCs w:val="18"/>
        <w:u w:val="single"/>
      </w:rPr>
      <w:t xml:space="preserve">    </w:t>
    </w:r>
  </w:p>
  <w:p>
    <w:pPr>
      <w:pStyle w:val="40"/>
      <w:widowControl/>
      <w:pBdr>
        <w:top w:val="none" w:color="000000" w:sz="0" w:space="1"/>
        <w:left w:val="none" w:color="000000" w:sz="0" w:space="4"/>
        <w:bottom w:val="none" w:color="000000" w:sz="0" w:space="1"/>
        <w:right w:val="none" w:color="000000" w:sz="0" w:space="4"/>
      </w:pBdr>
      <w:textAlignment w:val="baseline"/>
      <w:rPr>
        <w:rStyle w:val="131"/>
        <w:kern w:val="2"/>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0"/>
      <w:rPr>
        <w:rFonts w:ascii="微软雅黑" w:hAnsi="微软雅黑" w:eastAsia="微软雅黑" w:cs="微软雅黑"/>
        <w:b/>
        <w:bCs/>
        <w:kern w:val="21"/>
        <w:sz w:val="22"/>
        <w:szCs w:val="22"/>
        <w:u w:val="single"/>
      </w:rPr>
    </w:pPr>
    <w:r>
      <w:rPr>
        <w:sz w:val="22"/>
      </w:rPr>
      <w:pict>
        <v:shape id="文本框 24" o:spid="_x0000_s2052"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weight="0.5pt" joinstyle="miter"/>
          <v:imagedata o:title=""/>
          <o:lock v:ext="edit"/>
          <v:textbox inset="0mm,0mm,0mm,0mm" style="mso-fit-shape-to-text:t;">
            <w:txbxContent>
              <w:p>
                <w:pPr>
                  <w:pStyle w:val="40"/>
                  <w:rPr>
                    <w:rFonts w:ascii="微软雅黑" w:hAnsi="微软雅黑" w:eastAsia="微软雅黑" w:cs="微软雅黑"/>
                    <w:b/>
                    <w:bCs/>
                  </w:rPr>
                </w:pPr>
                <w:r>
                  <w:rPr>
                    <w:rFonts w:ascii="微软雅黑" w:hAnsi="微软雅黑" w:eastAsia="微软雅黑" w:cs="微软雅黑"/>
                    <w:b/>
                    <w:bCs/>
                  </w:rPr>
                  <w:t xml:space="preserve">第 </w:t>
                </w:r>
                <w:r>
                  <w:rPr>
                    <w:rFonts w:ascii="微软雅黑" w:hAnsi="微软雅黑" w:eastAsia="微软雅黑" w:cs="微软雅黑"/>
                    <w:b/>
                    <w:bCs/>
                  </w:rPr>
                  <w:fldChar w:fldCharType="begin"/>
                </w:r>
                <w:r>
                  <w:rPr>
                    <w:rFonts w:ascii="微软雅黑" w:hAnsi="微软雅黑" w:eastAsia="微软雅黑" w:cs="微软雅黑"/>
                    <w:b/>
                    <w:bCs/>
                  </w:rPr>
                  <w:instrText xml:space="preserve"> PAGE  \* MERGEFORMAT </w:instrText>
                </w:r>
                <w:r>
                  <w:rPr>
                    <w:rFonts w:ascii="微软雅黑" w:hAnsi="微软雅黑" w:eastAsia="微软雅黑" w:cs="微软雅黑"/>
                    <w:b/>
                    <w:bCs/>
                  </w:rPr>
                  <w:fldChar w:fldCharType="separate"/>
                </w:r>
                <w:r>
                  <w:rPr>
                    <w:rFonts w:ascii="微软雅黑" w:hAnsi="微软雅黑" w:eastAsia="微软雅黑" w:cs="微软雅黑"/>
                    <w:b/>
                    <w:bCs/>
                  </w:rPr>
                  <w:t>101</w:t>
                </w:r>
                <w:r>
                  <w:rPr>
                    <w:rFonts w:ascii="微软雅黑" w:hAnsi="微软雅黑" w:eastAsia="微软雅黑" w:cs="微软雅黑"/>
                    <w:b/>
                    <w:bCs/>
                  </w:rPr>
                  <w:fldChar w:fldCharType="end"/>
                </w:r>
                <w:r>
                  <w:rPr>
                    <w:rFonts w:ascii="微软雅黑" w:hAnsi="微软雅黑" w:eastAsia="微软雅黑" w:cs="微软雅黑"/>
                    <w:b/>
                    <w:bCs/>
                  </w:rPr>
                  <w:t xml:space="preserve"> 页 共 </w:t>
                </w:r>
                <w:r>
                  <w:rPr>
                    <w:rFonts w:ascii="微软雅黑" w:hAnsi="微软雅黑" w:eastAsia="微软雅黑" w:cs="微软雅黑"/>
                    <w:b/>
                    <w:bCs/>
                  </w:rPr>
                  <w:fldChar w:fldCharType="begin"/>
                </w:r>
                <w:r>
                  <w:rPr>
                    <w:rFonts w:ascii="微软雅黑" w:hAnsi="微软雅黑" w:eastAsia="微软雅黑" w:cs="微软雅黑"/>
                    <w:b/>
                    <w:bCs/>
                  </w:rPr>
                  <w:instrText xml:space="preserve"> NUMPAGES  \* MERGEFORMAT </w:instrText>
                </w:r>
                <w:r>
                  <w:rPr>
                    <w:rFonts w:ascii="微软雅黑" w:hAnsi="微软雅黑" w:eastAsia="微软雅黑" w:cs="微软雅黑"/>
                    <w:b/>
                    <w:bCs/>
                  </w:rPr>
                  <w:fldChar w:fldCharType="separate"/>
                </w:r>
                <w:r>
                  <w:rPr>
                    <w:rFonts w:ascii="微软雅黑" w:hAnsi="微软雅黑" w:eastAsia="微软雅黑" w:cs="微软雅黑"/>
                    <w:b/>
                    <w:bCs/>
                  </w:rPr>
                  <w:t>103</w:t>
                </w:r>
                <w:r>
                  <w:rPr>
                    <w:rFonts w:ascii="微软雅黑" w:hAnsi="微软雅黑" w:eastAsia="微软雅黑" w:cs="微软雅黑"/>
                    <w:b/>
                    <w:bCs/>
                  </w:rPr>
                  <w:fldChar w:fldCharType="end"/>
                </w:r>
                <w:r>
                  <w:rPr>
                    <w:rFonts w:ascii="微软雅黑" w:hAnsi="微软雅黑" w:eastAsia="微软雅黑" w:cs="微软雅黑"/>
                    <w:b/>
                    <w:bCs/>
                  </w:rPr>
                  <w:t xml:space="preserve"> 页</w:t>
                </w:r>
              </w:p>
            </w:txbxContent>
          </v:textbox>
        </v:shape>
      </w:pict>
    </w:r>
    <w:r>
      <w:rPr>
        <w:rFonts w:ascii="微软雅黑" w:hAnsi="微软雅黑" w:eastAsia="微软雅黑" w:cs="微软雅黑"/>
        <w:b/>
        <w:bCs/>
        <w:kern w:val="21"/>
        <w:sz w:val="22"/>
        <w:szCs w:val="22"/>
        <w:u w:val="single"/>
      </w:rPr>
      <w:t xml:space="preserve">温岭市政府采购招标文件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left="-70" w:firstLine="0"/>
      <w:rPr>
        <w:kern w:val="21"/>
        <w:sz w:val="21"/>
        <w:szCs w:val="21"/>
        <w:u w:val="single"/>
      </w:rPr>
    </w:pPr>
    <w:r>
      <w:rPr>
        <w:sz w:val="21"/>
      </w:rPr>
      <w:pict>
        <v:shape id="文本框 25" o:spid="_x0000_s2050" o:spt="202" type="#_x0000_t202" style="position:absolute;left:0pt;margin-top:0pt;height:144pt;width:144pt;mso-position-horizontal:right;mso-position-horizontal-relative:margin;mso-wrap-style:none;z-index:251666432;mso-width-relative:page;mso-height-relative:page;" filled="f" stroked="f" coordsize="21600,2160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96px;height:50px" o:bullet="t">
        <v:imagedata r:id="rId1" o:title=""/>
      </v:shape>
    </w:pict>
  </w:numPicBullet>
  <w:abstractNum w:abstractNumId="0">
    <w:nsid w:val="862FFD1C"/>
    <w:multiLevelType w:val="singleLevel"/>
    <w:tmpl w:val="862FFD1C"/>
    <w:lvl w:ilvl="0" w:tentative="0">
      <w:start w:val="5"/>
      <w:numFmt w:val="chineseCounting"/>
      <w:suff w:val="nothing"/>
      <w:lvlText w:val="%1、"/>
      <w:lvlJc w:val="left"/>
      <w:rPr>
        <w:rFonts w:hint="eastAsia"/>
        <w:sz w:val="28"/>
      </w:rPr>
    </w:lvl>
  </w:abstractNum>
  <w:abstractNum w:abstractNumId="1">
    <w:nsid w:val="A22FAE84"/>
    <w:multiLevelType w:val="singleLevel"/>
    <w:tmpl w:val="A22FAE84"/>
    <w:lvl w:ilvl="0" w:tentative="0">
      <w:start w:val="1"/>
      <w:numFmt w:val="decimal"/>
      <w:suff w:val="space"/>
      <w:lvlText w:val="%1."/>
      <w:lvlJc w:val="left"/>
      <w:pPr>
        <w:ind w:left="-62"/>
      </w:pPr>
    </w:lvl>
  </w:abstractNum>
  <w:abstractNum w:abstractNumId="2">
    <w:nsid w:val="B26A6577"/>
    <w:multiLevelType w:val="singleLevel"/>
    <w:tmpl w:val="B26A6577"/>
    <w:lvl w:ilvl="0" w:tentative="0">
      <w:start w:val="1"/>
      <w:numFmt w:val="decimal"/>
      <w:suff w:val="space"/>
      <w:lvlText w:val="%1."/>
      <w:lvlJc w:val="left"/>
    </w:lvl>
  </w:abstractNum>
  <w:abstractNum w:abstractNumId="3">
    <w:nsid w:val="BA398F30"/>
    <w:multiLevelType w:val="singleLevel"/>
    <w:tmpl w:val="BA398F30"/>
    <w:lvl w:ilvl="0" w:tentative="0">
      <w:start w:val="1"/>
      <w:numFmt w:val="decimal"/>
      <w:suff w:val="space"/>
      <w:lvlText w:val="%1."/>
      <w:lvlJc w:val="left"/>
    </w:lvl>
  </w:abstractNum>
  <w:abstractNum w:abstractNumId="4">
    <w:nsid w:val="DCDA1820"/>
    <w:multiLevelType w:val="singleLevel"/>
    <w:tmpl w:val="DCDA1820"/>
    <w:lvl w:ilvl="0" w:tentative="0">
      <w:start w:val="1"/>
      <w:numFmt w:val="decimal"/>
      <w:suff w:val="space"/>
      <w:lvlText w:val="%1."/>
      <w:lvlJc w:val="left"/>
    </w:lvl>
  </w:abstractNum>
  <w:abstractNum w:abstractNumId="5">
    <w:nsid w:val="DD1EE82B"/>
    <w:multiLevelType w:val="singleLevel"/>
    <w:tmpl w:val="DD1EE82B"/>
    <w:lvl w:ilvl="0" w:tentative="0">
      <w:start w:val="1"/>
      <w:numFmt w:val="decimal"/>
      <w:lvlText w:val="%1."/>
      <w:lvlJc w:val="left"/>
      <w:pPr>
        <w:ind w:left="425" w:hanging="425"/>
      </w:pPr>
      <w:rPr>
        <w:rFonts w:hint="default" w:cs="Times New Roman"/>
      </w:rPr>
    </w:lvl>
  </w:abstractNum>
  <w:abstractNum w:abstractNumId="6">
    <w:nsid w:val="E1EAD29F"/>
    <w:multiLevelType w:val="singleLevel"/>
    <w:tmpl w:val="E1EAD29F"/>
    <w:lvl w:ilvl="0" w:tentative="0">
      <w:start w:val="1"/>
      <w:numFmt w:val="decimal"/>
      <w:suff w:val="space"/>
      <w:lvlText w:val="%1."/>
      <w:lvlJc w:val="left"/>
    </w:lvl>
  </w:abstractNum>
  <w:abstractNum w:abstractNumId="7">
    <w:nsid w:val="EFB72114"/>
    <w:multiLevelType w:val="singleLevel"/>
    <w:tmpl w:val="EFB72114"/>
    <w:lvl w:ilvl="0" w:tentative="0">
      <w:start w:val="1"/>
      <w:numFmt w:val="decimal"/>
      <w:suff w:val="space"/>
      <w:lvlText w:val="%1."/>
      <w:lvlJc w:val="left"/>
    </w:lvl>
  </w:abstractNum>
  <w:abstractNum w:abstractNumId="8">
    <w:nsid w:val="F6F28447"/>
    <w:multiLevelType w:val="singleLevel"/>
    <w:tmpl w:val="F6F28447"/>
    <w:lvl w:ilvl="0" w:tentative="0">
      <w:start w:val="1"/>
      <w:numFmt w:val="decimal"/>
      <w:suff w:val="space"/>
      <w:lvlText w:val="%1."/>
      <w:lvlJc w:val="left"/>
    </w:lvl>
  </w:abstractNum>
  <w:abstractNum w:abstractNumId="9">
    <w:nsid w:val="FFFFFF83"/>
    <w:multiLevelType w:val="singleLevel"/>
    <w:tmpl w:val="FFFFFF83"/>
    <w:lvl w:ilvl="0" w:tentative="0">
      <w:start w:val="1"/>
      <w:numFmt w:val="bullet"/>
      <w:pStyle w:val="31"/>
      <w:lvlText w:val=""/>
      <w:lvlJc w:val="left"/>
      <w:pPr>
        <w:tabs>
          <w:tab w:val="left" w:pos="772"/>
        </w:tabs>
        <w:ind w:left="772" w:hanging="375"/>
      </w:pPr>
      <w:rPr>
        <w:rFonts w:hint="default" w:ascii="Wingdings" w:hAnsi="Wingdings"/>
      </w:rPr>
    </w:lvl>
  </w:abstractNum>
  <w:abstractNum w:abstractNumId="10">
    <w:nsid w:val="FFFFFF89"/>
    <w:multiLevelType w:val="singleLevel"/>
    <w:tmpl w:val="FFFFFF89"/>
    <w:lvl w:ilvl="0" w:tentative="0">
      <w:start w:val="1"/>
      <w:numFmt w:val="bullet"/>
      <w:pStyle w:val="20"/>
      <w:lvlText w:val=""/>
      <w:lvlJc w:val="left"/>
      <w:pPr>
        <w:tabs>
          <w:tab w:val="left" w:pos="360"/>
        </w:tabs>
        <w:ind w:left="360" w:hanging="360" w:hangingChars="200"/>
      </w:pPr>
      <w:rPr>
        <w:rFonts w:hint="default" w:ascii="Wingdings" w:hAnsi="Wingdings"/>
      </w:rPr>
    </w:lvl>
  </w:abstractNum>
  <w:abstractNum w:abstractNumId="11">
    <w:nsid w:val="00000008"/>
    <w:multiLevelType w:val="multilevel"/>
    <w:tmpl w:val="00000008"/>
    <w:lvl w:ilvl="0" w:tentative="0">
      <w:start w:val="1"/>
      <w:numFmt w:val="decimal"/>
      <w:pStyle w:val="290"/>
      <w:suff w:val="space"/>
      <w:lvlText w:val="%1"/>
      <w:lvlJc w:val="left"/>
      <w:pPr>
        <w:ind w:left="0" w:firstLine="0"/>
      </w:pPr>
      <w:rPr>
        <w:rFonts w:hint="eastAsia"/>
      </w:rPr>
    </w:lvl>
    <w:lvl w:ilvl="1" w:tentative="0">
      <w:start w:val="1"/>
      <w:numFmt w:val="decimal"/>
      <w:pStyle w:val="296"/>
      <w:suff w:val="space"/>
      <w:lvlText w:val="%1.%2"/>
      <w:lvlJc w:val="left"/>
      <w:pPr>
        <w:ind w:left="0" w:firstLine="0"/>
      </w:pPr>
      <w:rPr>
        <w:rFonts w:hint="eastAsia"/>
      </w:rPr>
    </w:lvl>
    <w:lvl w:ilvl="2" w:tentative="0">
      <w:start w:val="1"/>
      <w:numFmt w:val="decimal"/>
      <w:pStyle w:val="261"/>
      <w:suff w:val="space"/>
      <w:lvlText w:val="%1.%2.%3"/>
      <w:lvlJc w:val="left"/>
      <w:pPr>
        <w:ind w:left="0" w:firstLine="0"/>
      </w:pPr>
      <w:rPr>
        <w:rFonts w:hint="eastAsia"/>
      </w:rPr>
    </w:lvl>
    <w:lvl w:ilvl="3" w:tentative="0">
      <w:start w:val="1"/>
      <w:numFmt w:val="decimal"/>
      <w:pStyle w:val="297"/>
      <w:suff w:val="space"/>
      <w:lvlText w:val="%1.%2.%3.%4"/>
      <w:lvlJc w:val="left"/>
      <w:pPr>
        <w:ind w:left="0" w:firstLine="0"/>
      </w:pPr>
      <w:rPr>
        <w:rFonts w:hint="eastAsia"/>
      </w:rPr>
    </w:lvl>
    <w:lvl w:ilvl="4" w:tentative="0">
      <w:start w:val="1"/>
      <w:numFmt w:val="decimal"/>
      <w:pStyle w:val="294"/>
      <w:suff w:val="space"/>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
    <w:nsid w:val="00000009"/>
    <w:multiLevelType w:val="multilevel"/>
    <w:tmpl w:val="0000000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284"/>
      <w:lvlText w:val="%7."/>
      <w:lvlJc w:val="left"/>
      <w:pPr>
        <w:ind w:left="3420" w:hanging="420"/>
      </w:pPr>
    </w:lvl>
    <w:lvl w:ilvl="7" w:tentative="0">
      <w:start w:val="1"/>
      <w:numFmt w:val="lowerLetter"/>
      <w:pStyle w:val="271"/>
      <w:lvlText w:val="%8)"/>
      <w:lvlJc w:val="left"/>
      <w:pPr>
        <w:ind w:left="3840" w:hanging="420"/>
      </w:pPr>
    </w:lvl>
    <w:lvl w:ilvl="8" w:tentative="0">
      <w:start w:val="1"/>
      <w:numFmt w:val="lowerRoman"/>
      <w:pStyle w:val="254"/>
      <w:lvlText w:val="%9."/>
      <w:lvlJc w:val="right"/>
      <w:pPr>
        <w:ind w:left="4260" w:hanging="420"/>
      </w:pPr>
    </w:lvl>
  </w:abstractNum>
  <w:abstractNum w:abstractNumId="13">
    <w:nsid w:val="0000000C"/>
    <w:multiLevelType w:val="singleLevel"/>
    <w:tmpl w:val="0000000C"/>
    <w:lvl w:ilvl="0" w:tentative="0">
      <w:start w:val="1"/>
      <w:numFmt w:val="bullet"/>
      <w:pStyle w:val="289"/>
      <w:lvlText w:val=""/>
      <w:lvlJc w:val="left"/>
      <w:pPr>
        <w:tabs>
          <w:tab w:val="left" w:pos="964"/>
        </w:tabs>
        <w:ind w:left="964" w:hanging="397"/>
      </w:pPr>
      <w:rPr>
        <w:rFonts w:hint="default" w:ascii="Wingdings" w:hAnsi="Wingdings"/>
        <w:sz w:val="21"/>
      </w:rPr>
    </w:lvl>
  </w:abstractNum>
  <w:abstractNum w:abstractNumId="14">
    <w:nsid w:val="00000014"/>
    <w:multiLevelType w:val="multilevel"/>
    <w:tmpl w:val="00000014"/>
    <w:lvl w:ilvl="0" w:tentative="0">
      <w:start w:val="1"/>
      <w:numFmt w:val="decimal"/>
      <w:pStyle w:val="292"/>
      <w:suff w:val="space"/>
      <w:lvlText w:val="第%1章"/>
      <w:lvlJc w:val="left"/>
      <w:pPr>
        <w:ind w:left="0" w:firstLine="0"/>
      </w:pPr>
      <w:rPr>
        <w:rFonts w:hint="eastAsia" w:ascii="黑体" w:eastAsia="黑体"/>
        <w:b w:val="0"/>
        <w:i w:val="0"/>
      </w:rPr>
    </w:lvl>
    <w:lvl w:ilvl="1" w:tentative="0">
      <w:start w:val="1"/>
      <w:numFmt w:val="decimal"/>
      <w:suff w:val="space"/>
      <w:lvlText w:val="%1.%2"/>
      <w:lvlJc w:val="left"/>
      <w:pPr>
        <w:ind w:left="0" w:firstLine="0"/>
      </w:pPr>
      <w:rPr>
        <w:rFonts w:hint="eastAsia" w:ascii="黑体" w:eastAsia="黑体"/>
        <w:b w:val="0"/>
        <w:i w:val="0"/>
      </w:rPr>
    </w:lvl>
    <w:lvl w:ilvl="2" w:tentative="0">
      <w:start w:val="1"/>
      <w:numFmt w:val="decimal"/>
      <w:suff w:val="space"/>
      <w:lvlText w:val="%1.%2.%3"/>
      <w:lvlJc w:val="left"/>
      <w:pPr>
        <w:ind w:left="0" w:firstLine="0"/>
      </w:pPr>
      <w:rPr>
        <w:rFonts w:hint="eastAsia" w:ascii="黑体" w:eastAsia="黑体"/>
        <w:b w:val="0"/>
        <w:i w:val="0"/>
      </w:rPr>
    </w:lvl>
    <w:lvl w:ilvl="3" w:tentative="0">
      <w:start w:val="1"/>
      <w:numFmt w:val="decimal"/>
      <w:suff w:val="space"/>
      <w:lvlText w:val="%1.%2.%3.%4"/>
      <w:lvlJc w:val="left"/>
      <w:pPr>
        <w:ind w:left="0" w:firstLine="0"/>
      </w:pPr>
      <w:rPr>
        <w:rFonts w:hint="eastAsia" w:ascii="黑体" w:eastAsia="黑体"/>
        <w:b w:val="0"/>
        <w:i w:val="0"/>
      </w:rPr>
    </w:lvl>
    <w:lvl w:ilvl="4" w:tentative="0">
      <w:start w:val="1"/>
      <w:numFmt w:val="decimal"/>
      <w:suff w:val="space"/>
      <w:lvlText w:val="%1.%2.%3.%4.%5"/>
      <w:lvlJc w:val="left"/>
      <w:pPr>
        <w:ind w:left="0" w:firstLine="0"/>
      </w:pPr>
      <w:rPr>
        <w:rFonts w:hint="eastAsia" w:ascii="黑体" w:eastAsia="黑体"/>
        <w:b w:val="0"/>
        <w:i w:val="0"/>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5">
    <w:nsid w:val="00000015"/>
    <w:multiLevelType w:val="singleLevel"/>
    <w:tmpl w:val="00000015"/>
    <w:lvl w:ilvl="0" w:tentative="0">
      <w:start w:val="1"/>
      <w:numFmt w:val="decimal"/>
      <w:pStyle w:val="28"/>
      <w:lvlText w:val="%1."/>
      <w:lvlJc w:val="left"/>
      <w:pPr>
        <w:tabs>
          <w:tab w:val="left" w:pos="1200"/>
        </w:tabs>
        <w:ind w:left="1200" w:hanging="360"/>
      </w:pPr>
    </w:lvl>
  </w:abstractNum>
  <w:abstractNum w:abstractNumId="16">
    <w:nsid w:val="00000019"/>
    <w:multiLevelType w:val="multilevel"/>
    <w:tmpl w:val="00000019"/>
    <w:lvl w:ilvl="0" w:tentative="0">
      <w:start w:val="1"/>
      <w:numFmt w:val="decimal"/>
      <w:pStyle w:val="258"/>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00000026"/>
    <w:multiLevelType w:val="multilevel"/>
    <w:tmpl w:val="00000026"/>
    <w:lvl w:ilvl="0" w:tentative="0">
      <w:start w:val="1"/>
      <w:numFmt w:val="lowerLetter"/>
      <w:pStyle w:val="259"/>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00000029"/>
    <w:multiLevelType w:val="multilevel"/>
    <w:tmpl w:val="00000029"/>
    <w:lvl w:ilvl="0" w:tentative="0">
      <w:start w:val="0"/>
      <w:numFmt w:val="decimal"/>
      <w:pStyle w:val="287"/>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0A760F1C"/>
    <w:multiLevelType w:val="multilevel"/>
    <w:tmpl w:val="0A760F1C"/>
    <w:lvl w:ilvl="0" w:tentative="0">
      <w:start w:val="1"/>
      <w:numFmt w:val="decimal"/>
      <w:pStyle w:val="175"/>
      <w:suff w:val="space"/>
      <w:lvlText w:val="第%1章"/>
      <w:lvlJc w:val="center"/>
      <w:pPr>
        <w:ind w:left="3399" w:firstLine="288"/>
      </w:pPr>
      <w:rPr>
        <w:rFonts w:hint="eastAsia" w:ascii="黑体" w:hAnsi="黑体" w:eastAsia="黑体"/>
        <w:sz w:val="36"/>
        <w:lang w:val="en-US"/>
      </w:rPr>
    </w:lvl>
    <w:lvl w:ilvl="1" w:tentative="0">
      <w:start w:val="1"/>
      <w:numFmt w:val="decimal"/>
      <w:pStyle w:val="176"/>
      <w:suff w:val="space"/>
      <w:lvlText w:val="%1.%2"/>
      <w:lvlJc w:val="left"/>
      <w:pPr>
        <w:ind w:left="0" w:firstLine="0"/>
      </w:pPr>
      <w:rPr>
        <w:rFonts w:hint="eastAsia" w:ascii="黑体" w:hAnsi="黑体" w:eastAsia="黑体"/>
        <w:sz w:val="30"/>
      </w:rPr>
    </w:lvl>
    <w:lvl w:ilvl="2" w:tentative="0">
      <w:start w:val="1"/>
      <w:numFmt w:val="decimal"/>
      <w:pStyle w:val="178"/>
      <w:suff w:val="space"/>
      <w:lvlText w:val="%1.%2.%3"/>
      <w:lvlJc w:val="left"/>
      <w:pPr>
        <w:ind w:left="426" w:hanging="426"/>
      </w:pPr>
      <w:rPr>
        <w:rFonts w:hint="eastAsia" w:ascii="黑体" w:hAnsi="黑体" w:eastAsia="黑体"/>
        <w:color w:val="auto"/>
        <w:sz w:val="28"/>
      </w:rPr>
    </w:lvl>
    <w:lvl w:ilvl="3" w:tentative="0">
      <w:start w:val="1"/>
      <w:numFmt w:val="decimal"/>
      <w:pStyle w:val="180"/>
      <w:suff w:val="space"/>
      <w:lvlText w:val="%1.%2.%3.%4"/>
      <w:lvlJc w:val="left"/>
      <w:pPr>
        <w:ind w:left="142" w:firstLine="0"/>
      </w:pPr>
      <w:rPr>
        <w:rFonts w:hint="eastAsia" w:ascii="黑体" w:hAnsi="黑体" w:eastAsia="黑体"/>
        <w:color w:val="auto"/>
        <w:sz w:val="24"/>
      </w:rPr>
    </w:lvl>
    <w:lvl w:ilvl="4" w:tentative="0">
      <w:start w:val="1"/>
      <w:numFmt w:val="decimal"/>
      <w:pStyle w:val="204"/>
      <w:lvlText w:val="%1.%2.%3.%4.%5"/>
      <w:lvlJc w:val="left"/>
      <w:pPr>
        <w:ind w:left="0" w:firstLine="0"/>
      </w:pPr>
      <w:rPr>
        <w:b w:val="0"/>
        <w:bCs w:val="0"/>
        <w:i w:val="0"/>
        <w:iCs w:val="0"/>
        <w:caps w:val="0"/>
        <w:smallCaps w:val="0"/>
        <w:strike w:val="0"/>
        <w:dstrike w:val="0"/>
        <w:vanish w:val="0"/>
        <w:color w:val="000000"/>
        <w:spacing w:val="0"/>
        <w:position w:val="0"/>
        <w:u w:val="none"/>
        <w:vertAlign w:val="baseline"/>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0">
    <w:nsid w:val="0ED47B7B"/>
    <w:multiLevelType w:val="multilevel"/>
    <w:tmpl w:val="0ED47B7B"/>
    <w:lvl w:ilvl="0" w:tentative="0">
      <w:start w:val="1"/>
      <w:numFmt w:val="decimal"/>
      <w:pStyle w:val="162"/>
      <w:lvlText w:val="第%1章"/>
      <w:lvlJc w:val="left"/>
      <w:pPr>
        <w:ind w:left="420" w:hanging="420"/>
      </w:pPr>
      <w:rPr>
        <w:rFonts w:hint="eastAsia"/>
      </w:rPr>
    </w:lvl>
    <w:lvl w:ilvl="1" w:tentative="0">
      <w:start w:val="1"/>
      <w:numFmt w:val="decimal"/>
      <w:pStyle w:val="163"/>
      <w:suff w:val="space"/>
      <w:lvlText w:val="%1.%2."/>
      <w:lvlJc w:val="left"/>
      <w:pPr>
        <w:ind w:left="2136" w:hanging="576"/>
      </w:pPr>
      <w:rPr>
        <w:rFonts w:hint="eastAsia"/>
      </w:rPr>
    </w:lvl>
    <w:lvl w:ilvl="2" w:tentative="0">
      <w:start w:val="1"/>
      <w:numFmt w:val="decimal"/>
      <w:suff w:val="space"/>
      <w:lvlText w:val="%1.%2.%3."/>
      <w:lvlJc w:val="left"/>
      <w:pPr>
        <w:ind w:left="720" w:hanging="720"/>
      </w:pPr>
      <w:rPr>
        <w:rFonts w:hint="eastAsia"/>
      </w:rPr>
    </w:lvl>
    <w:lvl w:ilvl="3" w:tentative="0">
      <w:start w:val="1"/>
      <w:numFmt w:val="decimal"/>
      <w:pStyle w:val="164"/>
      <w:suff w:val="space"/>
      <w:lvlText w:val="%1.%2.%3.%4."/>
      <w:lvlJc w:val="left"/>
      <w:pPr>
        <w:ind w:left="864" w:hanging="864"/>
      </w:pPr>
      <w:rPr>
        <w:rFonts w:hint="eastAsia"/>
        <w:sz w:val="24"/>
        <w:szCs w:val="24"/>
      </w:rPr>
    </w:lvl>
    <w:lvl w:ilvl="4" w:tentative="0">
      <w:start w:val="1"/>
      <w:numFmt w:val="decimal"/>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167"/>
      <w:suff w:val="space"/>
      <w:lvlText w:val="%1.%2.%3.%4.%5.%6.%7."/>
      <w:lvlJc w:val="left"/>
      <w:pPr>
        <w:ind w:left="1296" w:hanging="1296"/>
      </w:pPr>
      <w:rPr>
        <w:rFonts w:hint="eastAsia"/>
      </w:rPr>
    </w:lvl>
    <w:lvl w:ilvl="7" w:tentative="0">
      <w:start w:val="1"/>
      <w:numFmt w:val="decimal"/>
      <w:suff w:val="space"/>
      <w:lvlText w:val="%1.%2.%3.%4.%5.%6.%7.%8."/>
      <w:lvlJc w:val="left"/>
      <w:pPr>
        <w:ind w:left="1440" w:hanging="1440"/>
      </w:pPr>
      <w:rPr>
        <w:rFonts w:hint="eastAsia"/>
      </w:rPr>
    </w:lvl>
    <w:lvl w:ilvl="8" w:tentative="0">
      <w:start w:val="1"/>
      <w:numFmt w:val="decimal"/>
      <w:suff w:val="space"/>
      <w:lvlText w:val="%1.%2.%3.%4.%5.%6.%7.%8.%9."/>
      <w:lvlJc w:val="left"/>
      <w:pPr>
        <w:ind w:left="1584" w:hanging="1584"/>
      </w:pPr>
      <w:rPr>
        <w:rFonts w:hint="eastAsia"/>
      </w:rPr>
    </w:lvl>
  </w:abstractNum>
  <w:abstractNum w:abstractNumId="21">
    <w:nsid w:val="11227CB6"/>
    <w:multiLevelType w:val="multilevel"/>
    <w:tmpl w:val="11227CB6"/>
    <w:lvl w:ilvl="0" w:tentative="0">
      <w:start w:val="1"/>
      <w:numFmt w:val="decimal"/>
      <w:pStyle w:val="20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41E0536"/>
    <w:multiLevelType w:val="multilevel"/>
    <w:tmpl w:val="141E0536"/>
    <w:lvl w:ilvl="0" w:tentative="0">
      <w:start w:val="1"/>
      <w:numFmt w:val="bullet"/>
      <w:pStyle w:val="21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1753CAF1"/>
    <w:multiLevelType w:val="singleLevel"/>
    <w:tmpl w:val="1753CAF1"/>
    <w:lvl w:ilvl="0" w:tentative="0">
      <w:start w:val="1"/>
      <w:numFmt w:val="decimal"/>
      <w:suff w:val="space"/>
      <w:lvlText w:val="%1."/>
      <w:lvlJc w:val="left"/>
    </w:lvl>
  </w:abstractNum>
  <w:abstractNum w:abstractNumId="24">
    <w:nsid w:val="17EA1426"/>
    <w:multiLevelType w:val="multilevel"/>
    <w:tmpl w:val="17EA1426"/>
    <w:lvl w:ilvl="0" w:tentative="0">
      <w:start w:val="1"/>
      <w:numFmt w:val="bullet"/>
      <w:pStyle w:val="582"/>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25">
    <w:nsid w:val="1D61F279"/>
    <w:multiLevelType w:val="singleLevel"/>
    <w:tmpl w:val="1D61F279"/>
    <w:lvl w:ilvl="0" w:tentative="0">
      <w:start w:val="1"/>
      <w:numFmt w:val="decimal"/>
      <w:suff w:val="space"/>
      <w:lvlText w:val="%1."/>
      <w:lvlJc w:val="left"/>
    </w:lvl>
  </w:abstractNum>
  <w:abstractNum w:abstractNumId="26">
    <w:nsid w:val="208A7ABE"/>
    <w:multiLevelType w:val="multilevel"/>
    <w:tmpl w:val="208A7ABE"/>
    <w:lvl w:ilvl="0" w:tentative="0">
      <w:start w:val="1"/>
      <w:numFmt w:val="decimal"/>
      <w:pStyle w:val="214"/>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2D2470EB"/>
    <w:multiLevelType w:val="multilevel"/>
    <w:tmpl w:val="2D2470EB"/>
    <w:lvl w:ilvl="0" w:tentative="0">
      <w:start w:val="1"/>
      <w:numFmt w:val="bullet"/>
      <w:lvlText w:val=""/>
      <w:lvlJc w:val="left"/>
      <w:pPr>
        <w:ind w:left="420" w:hanging="420"/>
      </w:pPr>
      <w:rPr>
        <w:rFonts w:hint="default" w:ascii="Wingdings" w:hAnsi="Wingdings"/>
      </w:rPr>
    </w:lvl>
    <w:lvl w:ilvl="1" w:tentative="0">
      <w:start w:val="1"/>
      <w:numFmt w:val="decimal"/>
      <w:pStyle w:val="611"/>
      <w:lvlText w:val="%2)"/>
      <w:lvlJc w:val="left"/>
      <w:pPr>
        <w:ind w:left="840" w:hanging="420"/>
      </w:pPr>
      <w:rPr>
        <w:rFonts w:hint="default"/>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B363D98"/>
    <w:multiLevelType w:val="multilevel"/>
    <w:tmpl w:val="3B363D98"/>
    <w:lvl w:ilvl="0" w:tentative="0">
      <w:start w:val="1"/>
      <w:numFmt w:val="decimal"/>
      <w:pStyle w:val="19"/>
      <w:suff w:val="space"/>
      <w:lvlText w:val="图%1."/>
      <w:lvlJc w:val="left"/>
      <w:pPr>
        <w:ind w:left="2263" w:hanging="420"/>
      </w:pPr>
      <w:rPr>
        <w:b w:val="0"/>
        <w:bCs w:val="0"/>
        <w:i w:val="0"/>
        <w:iCs w:val="0"/>
        <w:caps w:val="0"/>
        <w:smallCaps w:val="0"/>
        <w:strike w:val="0"/>
        <w:dstrike w:val="0"/>
        <w:vanish w:val="0"/>
        <w:color w:val="000000"/>
        <w:spacing w:val="0"/>
        <w:position w:val="0"/>
        <w:u w:val="none"/>
        <w:vertAlign w:val="baseline"/>
      </w:rPr>
    </w:lvl>
    <w:lvl w:ilvl="1" w:tentative="0">
      <w:start w:val="1"/>
      <w:numFmt w:val="decimal"/>
      <w:lvlText w:val="%2)"/>
      <w:lvlJc w:val="left"/>
      <w:pPr>
        <w:ind w:left="2623" w:hanging="360"/>
      </w:pPr>
      <w:rPr>
        <w:rFonts w:hint="default"/>
      </w:r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29">
    <w:nsid w:val="3C287EEF"/>
    <w:multiLevelType w:val="multilevel"/>
    <w:tmpl w:val="3C287EEF"/>
    <w:lvl w:ilvl="0" w:tentative="0">
      <w:start w:val="1"/>
      <w:numFmt w:val="decimal"/>
      <w:pStyle w:val="605"/>
      <w:lvlText w:val="%1)"/>
      <w:lvlJc w:val="left"/>
      <w:pPr>
        <w:ind w:left="42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76943B0"/>
    <w:multiLevelType w:val="singleLevel"/>
    <w:tmpl w:val="476943B0"/>
    <w:lvl w:ilvl="0" w:tentative="0">
      <w:start w:val="1"/>
      <w:numFmt w:val="decimal"/>
      <w:suff w:val="space"/>
      <w:lvlText w:val="%1."/>
      <w:lvlJc w:val="left"/>
    </w:lvl>
  </w:abstractNum>
  <w:abstractNum w:abstractNumId="31">
    <w:nsid w:val="4CA75A52"/>
    <w:multiLevelType w:val="multilevel"/>
    <w:tmpl w:val="4CA75A52"/>
    <w:lvl w:ilvl="0" w:tentative="0">
      <w:start w:val="1"/>
      <w:numFmt w:val="decimal"/>
      <w:pStyle w:val="160"/>
      <w:lvlText w:val="%1)"/>
      <w:lvlJc w:val="left"/>
      <w:pPr>
        <w:ind w:left="420" w:firstLine="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2">
    <w:nsid w:val="4DC75407"/>
    <w:multiLevelType w:val="singleLevel"/>
    <w:tmpl w:val="4DC75407"/>
    <w:lvl w:ilvl="0" w:tentative="0">
      <w:start w:val="1"/>
      <w:numFmt w:val="decimal"/>
      <w:suff w:val="space"/>
      <w:lvlText w:val="%1."/>
      <w:lvlJc w:val="left"/>
    </w:lvl>
  </w:abstractNum>
  <w:abstractNum w:abstractNumId="33">
    <w:nsid w:val="4F827419"/>
    <w:multiLevelType w:val="multilevel"/>
    <w:tmpl w:val="4F82741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5244417E"/>
    <w:multiLevelType w:val="multilevel"/>
    <w:tmpl w:val="5244417E"/>
    <w:lvl w:ilvl="0" w:tentative="0">
      <w:start w:val="1"/>
      <w:numFmt w:val="decimal"/>
      <w:pStyle w:val="723"/>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5">
    <w:nsid w:val="598030E0"/>
    <w:multiLevelType w:val="multilevel"/>
    <w:tmpl w:val="598030E0"/>
    <w:lvl w:ilvl="0" w:tentative="0">
      <w:start w:val="1"/>
      <w:numFmt w:val="decimal"/>
      <w:pStyle w:val="754"/>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6">
    <w:nsid w:val="5D4A37DC"/>
    <w:multiLevelType w:val="multilevel"/>
    <w:tmpl w:val="5D4A37DC"/>
    <w:lvl w:ilvl="0" w:tentative="0">
      <w:start w:val="1"/>
      <w:numFmt w:val="decimal"/>
      <w:pStyle w:val="614"/>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7">
    <w:nsid w:val="5F534888"/>
    <w:multiLevelType w:val="multilevel"/>
    <w:tmpl w:val="5F534888"/>
    <w:lvl w:ilvl="0" w:tentative="0">
      <w:start w:val="1"/>
      <w:numFmt w:val="decimal"/>
      <w:pStyle w:val="14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09E6992"/>
    <w:multiLevelType w:val="multilevel"/>
    <w:tmpl w:val="609E699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9">
    <w:nsid w:val="65DF9B7A"/>
    <w:multiLevelType w:val="singleLevel"/>
    <w:tmpl w:val="65DF9B7A"/>
    <w:lvl w:ilvl="0" w:tentative="0">
      <w:start w:val="1"/>
      <w:numFmt w:val="decimal"/>
      <w:suff w:val="space"/>
      <w:lvlText w:val="%1."/>
      <w:lvlJc w:val="left"/>
      <w:rPr>
        <w:rFonts w:hint="default" w:ascii="微软雅黑" w:hAnsi="微软雅黑" w:eastAsia="微软雅黑" w:cs="微软雅黑"/>
        <w:sz w:val="22"/>
        <w:szCs w:val="22"/>
      </w:rPr>
    </w:lvl>
  </w:abstractNum>
  <w:abstractNum w:abstractNumId="40">
    <w:nsid w:val="6935B53F"/>
    <w:multiLevelType w:val="singleLevel"/>
    <w:tmpl w:val="6935B53F"/>
    <w:lvl w:ilvl="0" w:tentative="0">
      <w:start w:val="1"/>
      <w:numFmt w:val="decimal"/>
      <w:suff w:val="space"/>
      <w:lvlText w:val="%1."/>
      <w:lvlJc w:val="left"/>
      <w:rPr>
        <w:rFonts w:hint="default" w:ascii="微软雅黑" w:hAnsi="微软雅黑" w:eastAsia="微软雅黑" w:cs="微软雅黑"/>
        <w:sz w:val="22"/>
        <w:szCs w:val="22"/>
      </w:rPr>
    </w:lvl>
  </w:abstractNum>
  <w:abstractNum w:abstractNumId="41">
    <w:nsid w:val="720A3AB0"/>
    <w:multiLevelType w:val="singleLevel"/>
    <w:tmpl w:val="720A3AB0"/>
    <w:lvl w:ilvl="0" w:tentative="0">
      <w:start w:val="1"/>
      <w:numFmt w:val="decimal"/>
      <w:suff w:val="space"/>
      <w:lvlText w:val="%1."/>
      <w:lvlJc w:val="left"/>
    </w:lvl>
  </w:abstractNum>
  <w:abstractNum w:abstractNumId="42">
    <w:nsid w:val="72F15BBF"/>
    <w:multiLevelType w:val="multilevel"/>
    <w:tmpl w:val="72F15BBF"/>
    <w:lvl w:ilvl="0" w:tentative="0">
      <w:start w:val="1"/>
      <w:numFmt w:val="bullet"/>
      <w:pStyle w:val="585"/>
      <w:lvlText w:val=""/>
      <w:lvlPicBulletId w:val="0"/>
      <w:lvlJc w:val="left"/>
      <w:pPr>
        <w:ind w:left="987" w:hanging="420"/>
      </w:pPr>
      <w:rPr>
        <w:rFonts w:hint="default" w:ascii="Symbol" w:hAnsi="Symbol"/>
        <w:color w:val="auto"/>
        <w:sz w:val="44"/>
        <w:szCs w:val="44"/>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43">
    <w:nsid w:val="789E1ACC"/>
    <w:multiLevelType w:val="singleLevel"/>
    <w:tmpl w:val="789E1ACC"/>
    <w:lvl w:ilvl="0" w:tentative="0">
      <w:start w:val="1"/>
      <w:numFmt w:val="decimal"/>
      <w:suff w:val="space"/>
      <w:lvlText w:val="%1."/>
      <w:lvlJc w:val="left"/>
    </w:lvl>
  </w:abstractNum>
  <w:abstractNum w:abstractNumId="44">
    <w:nsid w:val="7E92F494"/>
    <w:multiLevelType w:val="singleLevel"/>
    <w:tmpl w:val="7E92F494"/>
    <w:lvl w:ilvl="0" w:tentative="0">
      <w:start w:val="1"/>
      <w:numFmt w:val="decimal"/>
      <w:lvlText w:val="%1."/>
      <w:lvlJc w:val="left"/>
      <w:pPr>
        <w:ind w:left="425" w:hanging="425"/>
      </w:pPr>
      <w:rPr>
        <w:rFonts w:hint="default"/>
      </w:rPr>
    </w:lvl>
  </w:abstractNum>
  <w:abstractNum w:abstractNumId="45">
    <w:nsid w:val="7EAF5A21"/>
    <w:multiLevelType w:val="multilevel"/>
    <w:tmpl w:val="7EAF5A21"/>
    <w:lvl w:ilvl="0" w:tentative="0">
      <w:start w:val="1"/>
      <w:numFmt w:val="decimal"/>
      <w:pStyle w:val="213"/>
      <w:lvlText w:val="4.3.8.1.%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8"/>
  </w:num>
  <w:num w:numId="2">
    <w:abstractNumId w:val="10"/>
  </w:num>
  <w:num w:numId="3">
    <w:abstractNumId w:val="15"/>
  </w:num>
  <w:num w:numId="4">
    <w:abstractNumId w:val="9"/>
  </w:num>
  <w:num w:numId="5">
    <w:abstractNumId w:val="37"/>
  </w:num>
  <w:num w:numId="6">
    <w:abstractNumId w:val="31"/>
  </w:num>
  <w:num w:numId="7">
    <w:abstractNumId w:val="20"/>
  </w:num>
  <w:num w:numId="8">
    <w:abstractNumId w:val="19"/>
  </w:num>
  <w:num w:numId="9">
    <w:abstractNumId w:val="21"/>
  </w:num>
  <w:num w:numId="10">
    <w:abstractNumId w:val="45"/>
  </w:num>
  <w:num w:numId="11">
    <w:abstractNumId w:val="26"/>
  </w:num>
  <w:num w:numId="12">
    <w:abstractNumId w:val="22"/>
  </w:num>
  <w:num w:numId="13">
    <w:abstractNumId w:val="12"/>
  </w:num>
  <w:num w:numId="14">
    <w:abstractNumId w:val="16"/>
  </w:num>
  <w:num w:numId="15">
    <w:abstractNumId w:val="17"/>
  </w:num>
  <w:num w:numId="16">
    <w:abstractNumId w:val="11"/>
  </w:num>
  <w:num w:numId="17">
    <w:abstractNumId w:val="18"/>
  </w:num>
  <w:num w:numId="18">
    <w:abstractNumId w:val="13"/>
  </w:num>
  <w:num w:numId="19">
    <w:abstractNumId w:val="14"/>
  </w:num>
  <w:num w:numId="20">
    <w:abstractNumId w:val="24"/>
  </w:num>
  <w:num w:numId="21">
    <w:abstractNumId w:val="42"/>
  </w:num>
  <w:num w:numId="22">
    <w:abstractNumId w:val="29"/>
  </w:num>
  <w:num w:numId="23">
    <w:abstractNumId w:val="27"/>
  </w:num>
  <w:num w:numId="24">
    <w:abstractNumId w:val="36"/>
  </w:num>
  <w:num w:numId="25">
    <w:abstractNumId w:val="34"/>
  </w:num>
  <w:num w:numId="26">
    <w:abstractNumId w:val="35"/>
  </w:num>
  <w:num w:numId="27">
    <w:abstractNumId w:val="30"/>
  </w:num>
  <w:num w:numId="28">
    <w:abstractNumId w:val="8"/>
  </w:num>
  <w:num w:numId="29">
    <w:abstractNumId w:val="39"/>
  </w:num>
  <w:num w:numId="30">
    <w:abstractNumId w:val="40"/>
  </w:num>
  <w:num w:numId="31">
    <w:abstractNumId w:val="4"/>
  </w:num>
  <w:num w:numId="32">
    <w:abstractNumId w:val="38"/>
  </w:num>
  <w:num w:numId="33">
    <w:abstractNumId w:val="43"/>
  </w:num>
  <w:num w:numId="34">
    <w:abstractNumId w:val="6"/>
  </w:num>
  <w:num w:numId="35">
    <w:abstractNumId w:val="3"/>
  </w:num>
  <w:num w:numId="36">
    <w:abstractNumId w:val="32"/>
  </w:num>
  <w:num w:numId="37">
    <w:abstractNumId w:val="7"/>
  </w:num>
  <w:num w:numId="38">
    <w:abstractNumId w:val="25"/>
  </w:num>
  <w:num w:numId="39">
    <w:abstractNumId w:val="2"/>
  </w:num>
  <w:num w:numId="40">
    <w:abstractNumId w:val="0"/>
  </w:num>
  <w:num w:numId="41">
    <w:abstractNumId w:val="1"/>
  </w:num>
  <w:num w:numId="42">
    <w:abstractNumId w:val="5"/>
  </w:num>
  <w:num w:numId="43">
    <w:abstractNumId w:val="44"/>
  </w:num>
  <w:num w:numId="44">
    <w:abstractNumId w:val="33"/>
  </w:num>
  <w:num w:numId="45">
    <w:abstractNumId w:val="41"/>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hideGrammaticalErrors/>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RhZTQ5ZjdjYjRiODA3NzZkMGIwMjMxNGZlODAzZTIifQ=="/>
  </w:docVars>
  <w:rsids>
    <w:rsidRoot w:val="0E970358"/>
    <w:rsid w:val="00000F17"/>
    <w:rsid w:val="00001102"/>
    <w:rsid w:val="00001234"/>
    <w:rsid w:val="00001503"/>
    <w:rsid w:val="0000331D"/>
    <w:rsid w:val="00003E03"/>
    <w:rsid w:val="00004FA8"/>
    <w:rsid w:val="00005288"/>
    <w:rsid w:val="0000529C"/>
    <w:rsid w:val="000059A3"/>
    <w:rsid w:val="000121CA"/>
    <w:rsid w:val="00012A99"/>
    <w:rsid w:val="000150F6"/>
    <w:rsid w:val="000201CC"/>
    <w:rsid w:val="0002199D"/>
    <w:rsid w:val="00022429"/>
    <w:rsid w:val="00023554"/>
    <w:rsid w:val="00023557"/>
    <w:rsid w:val="000239CB"/>
    <w:rsid w:val="00025390"/>
    <w:rsid w:val="00025E17"/>
    <w:rsid w:val="0002626B"/>
    <w:rsid w:val="00032CC6"/>
    <w:rsid w:val="000368CE"/>
    <w:rsid w:val="000376CB"/>
    <w:rsid w:val="000403CA"/>
    <w:rsid w:val="0004261B"/>
    <w:rsid w:val="0004387A"/>
    <w:rsid w:val="000442E3"/>
    <w:rsid w:val="000455D1"/>
    <w:rsid w:val="0004585A"/>
    <w:rsid w:val="00047053"/>
    <w:rsid w:val="000475C9"/>
    <w:rsid w:val="000504CB"/>
    <w:rsid w:val="000510FE"/>
    <w:rsid w:val="00051A10"/>
    <w:rsid w:val="000532F5"/>
    <w:rsid w:val="000541F9"/>
    <w:rsid w:val="00061C1E"/>
    <w:rsid w:val="0006294D"/>
    <w:rsid w:val="00062AB3"/>
    <w:rsid w:val="000632FB"/>
    <w:rsid w:val="00064DAA"/>
    <w:rsid w:val="00067931"/>
    <w:rsid w:val="000705FE"/>
    <w:rsid w:val="000715ED"/>
    <w:rsid w:val="00072ABD"/>
    <w:rsid w:val="000739BE"/>
    <w:rsid w:val="00074F80"/>
    <w:rsid w:val="00075632"/>
    <w:rsid w:val="00075F1A"/>
    <w:rsid w:val="000840A0"/>
    <w:rsid w:val="000925E8"/>
    <w:rsid w:val="000934B1"/>
    <w:rsid w:val="00094341"/>
    <w:rsid w:val="0009512D"/>
    <w:rsid w:val="00095BA6"/>
    <w:rsid w:val="00096A93"/>
    <w:rsid w:val="000A0BA6"/>
    <w:rsid w:val="000A36D3"/>
    <w:rsid w:val="000A40F2"/>
    <w:rsid w:val="000A52E7"/>
    <w:rsid w:val="000B0F0F"/>
    <w:rsid w:val="000C0765"/>
    <w:rsid w:val="000D067B"/>
    <w:rsid w:val="000D2E0F"/>
    <w:rsid w:val="000D32DA"/>
    <w:rsid w:val="000D53DA"/>
    <w:rsid w:val="000D6E4D"/>
    <w:rsid w:val="000E0B17"/>
    <w:rsid w:val="000E1D55"/>
    <w:rsid w:val="000E390C"/>
    <w:rsid w:val="000E49F9"/>
    <w:rsid w:val="000E7D75"/>
    <w:rsid w:val="000F06E9"/>
    <w:rsid w:val="000F274E"/>
    <w:rsid w:val="000F4242"/>
    <w:rsid w:val="000F4673"/>
    <w:rsid w:val="000F4C1C"/>
    <w:rsid w:val="000F6767"/>
    <w:rsid w:val="00106368"/>
    <w:rsid w:val="00107BF6"/>
    <w:rsid w:val="00112D0E"/>
    <w:rsid w:val="001130BB"/>
    <w:rsid w:val="00116C73"/>
    <w:rsid w:val="00122944"/>
    <w:rsid w:val="00122AB0"/>
    <w:rsid w:val="00125D3E"/>
    <w:rsid w:val="001277CE"/>
    <w:rsid w:val="00137BD6"/>
    <w:rsid w:val="0014098A"/>
    <w:rsid w:val="001410AA"/>
    <w:rsid w:val="00142368"/>
    <w:rsid w:val="00144ED5"/>
    <w:rsid w:val="00150D15"/>
    <w:rsid w:val="00154250"/>
    <w:rsid w:val="00155EC0"/>
    <w:rsid w:val="00165F2A"/>
    <w:rsid w:val="00171406"/>
    <w:rsid w:val="001728EE"/>
    <w:rsid w:val="00174282"/>
    <w:rsid w:val="00177D8C"/>
    <w:rsid w:val="00177ED2"/>
    <w:rsid w:val="00184243"/>
    <w:rsid w:val="00184C15"/>
    <w:rsid w:val="0018526E"/>
    <w:rsid w:val="00185A7B"/>
    <w:rsid w:val="00185C17"/>
    <w:rsid w:val="001900C8"/>
    <w:rsid w:val="001901DF"/>
    <w:rsid w:val="00191927"/>
    <w:rsid w:val="00193340"/>
    <w:rsid w:val="001935FE"/>
    <w:rsid w:val="00195B56"/>
    <w:rsid w:val="00197A65"/>
    <w:rsid w:val="001A18D8"/>
    <w:rsid w:val="001A1C88"/>
    <w:rsid w:val="001A3754"/>
    <w:rsid w:val="001A3E7A"/>
    <w:rsid w:val="001A4CC2"/>
    <w:rsid w:val="001A57F6"/>
    <w:rsid w:val="001A7BDB"/>
    <w:rsid w:val="001B23E2"/>
    <w:rsid w:val="001B35A7"/>
    <w:rsid w:val="001B4AF6"/>
    <w:rsid w:val="001B642B"/>
    <w:rsid w:val="001B7861"/>
    <w:rsid w:val="001C156C"/>
    <w:rsid w:val="001C18D4"/>
    <w:rsid w:val="001C21EA"/>
    <w:rsid w:val="001C357C"/>
    <w:rsid w:val="001C393F"/>
    <w:rsid w:val="001C48CF"/>
    <w:rsid w:val="001C4AB6"/>
    <w:rsid w:val="001C68E2"/>
    <w:rsid w:val="001C6E72"/>
    <w:rsid w:val="001D06C5"/>
    <w:rsid w:val="001D36B8"/>
    <w:rsid w:val="001D4236"/>
    <w:rsid w:val="001D5CDA"/>
    <w:rsid w:val="001D6785"/>
    <w:rsid w:val="001D7044"/>
    <w:rsid w:val="001E1FC1"/>
    <w:rsid w:val="001E2B5B"/>
    <w:rsid w:val="001E357D"/>
    <w:rsid w:val="001E4D00"/>
    <w:rsid w:val="001E56C7"/>
    <w:rsid w:val="001E589D"/>
    <w:rsid w:val="001E5C5F"/>
    <w:rsid w:val="001F1D41"/>
    <w:rsid w:val="001F4034"/>
    <w:rsid w:val="001F4509"/>
    <w:rsid w:val="001F762C"/>
    <w:rsid w:val="001F7B77"/>
    <w:rsid w:val="00201D62"/>
    <w:rsid w:val="00202289"/>
    <w:rsid w:val="00203541"/>
    <w:rsid w:val="00205275"/>
    <w:rsid w:val="00206C96"/>
    <w:rsid w:val="00206CF7"/>
    <w:rsid w:val="00207366"/>
    <w:rsid w:val="00207C40"/>
    <w:rsid w:val="00210185"/>
    <w:rsid w:val="00211A86"/>
    <w:rsid w:val="00211F53"/>
    <w:rsid w:val="0021318F"/>
    <w:rsid w:val="00216452"/>
    <w:rsid w:val="002165E9"/>
    <w:rsid w:val="00217645"/>
    <w:rsid w:val="00220527"/>
    <w:rsid w:val="00222B4D"/>
    <w:rsid w:val="002232BE"/>
    <w:rsid w:val="002232E4"/>
    <w:rsid w:val="002251D1"/>
    <w:rsid w:val="00225635"/>
    <w:rsid w:val="00225902"/>
    <w:rsid w:val="00226AC4"/>
    <w:rsid w:val="00226D4D"/>
    <w:rsid w:val="002300FE"/>
    <w:rsid w:val="00230C8D"/>
    <w:rsid w:val="0023429E"/>
    <w:rsid w:val="002372B7"/>
    <w:rsid w:val="00240479"/>
    <w:rsid w:val="00240D5A"/>
    <w:rsid w:val="00242291"/>
    <w:rsid w:val="00243FB3"/>
    <w:rsid w:val="00244CB8"/>
    <w:rsid w:val="00247368"/>
    <w:rsid w:val="00250AF1"/>
    <w:rsid w:val="00251214"/>
    <w:rsid w:val="00252C82"/>
    <w:rsid w:val="002535DD"/>
    <w:rsid w:val="002536C1"/>
    <w:rsid w:val="002547F8"/>
    <w:rsid w:val="00256185"/>
    <w:rsid w:val="0025634F"/>
    <w:rsid w:val="00260CF5"/>
    <w:rsid w:val="00260DD0"/>
    <w:rsid w:val="00267D4A"/>
    <w:rsid w:val="00272AF5"/>
    <w:rsid w:val="0027360C"/>
    <w:rsid w:val="00275207"/>
    <w:rsid w:val="00275836"/>
    <w:rsid w:val="00275AD9"/>
    <w:rsid w:val="00275FE6"/>
    <w:rsid w:val="00276373"/>
    <w:rsid w:val="002770AD"/>
    <w:rsid w:val="00280651"/>
    <w:rsid w:val="00281436"/>
    <w:rsid w:val="00286D91"/>
    <w:rsid w:val="0029030C"/>
    <w:rsid w:val="00292E10"/>
    <w:rsid w:val="00295A44"/>
    <w:rsid w:val="00296545"/>
    <w:rsid w:val="002A1620"/>
    <w:rsid w:val="002A24E3"/>
    <w:rsid w:val="002A4E9D"/>
    <w:rsid w:val="002A7A3C"/>
    <w:rsid w:val="002B1189"/>
    <w:rsid w:val="002B27DD"/>
    <w:rsid w:val="002B2E68"/>
    <w:rsid w:val="002B6BF3"/>
    <w:rsid w:val="002C0957"/>
    <w:rsid w:val="002C1143"/>
    <w:rsid w:val="002C4001"/>
    <w:rsid w:val="002C592A"/>
    <w:rsid w:val="002D0A02"/>
    <w:rsid w:val="002D51C5"/>
    <w:rsid w:val="002D5A0E"/>
    <w:rsid w:val="002D5ACF"/>
    <w:rsid w:val="002D6D94"/>
    <w:rsid w:val="002E04FA"/>
    <w:rsid w:val="002E254C"/>
    <w:rsid w:val="002E3E2F"/>
    <w:rsid w:val="002E4D39"/>
    <w:rsid w:val="002E4DD6"/>
    <w:rsid w:val="002E5D9E"/>
    <w:rsid w:val="002F5A87"/>
    <w:rsid w:val="003022DA"/>
    <w:rsid w:val="00303066"/>
    <w:rsid w:val="003050EA"/>
    <w:rsid w:val="0030601B"/>
    <w:rsid w:val="003060F0"/>
    <w:rsid w:val="00307275"/>
    <w:rsid w:val="003102FB"/>
    <w:rsid w:val="00310629"/>
    <w:rsid w:val="00313638"/>
    <w:rsid w:val="00315A96"/>
    <w:rsid w:val="003171FB"/>
    <w:rsid w:val="003225A2"/>
    <w:rsid w:val="00324058"/>
    <w:rsid w:val="0032532A"/>
    <w:rsid w:val="003254E6"/>
    <w:rsid w:val="00325514"/>
    <w:rsid w:val="00327276"/>
    <w:rsid w:val="00327D8C"/>
    <w:rsid w:val="00332E30"/>
    <w:rsid w:val="00337E36"/>
    <w:rsid w:val="00342C92"/>
    <w:rsid w:val="003430A4"/>
    <w:rsid w:val="00346584"/>
    <w:rsid w:val="00346DD8"/>
    <w:rsid w:val="00347E48"/>
    <w:rsid w:val="0035106D"/>
    <w:rsid w:val="0035126E"/>
    <w:rsid w:val="0036008F"/>
    <w:rsid w:val="003604E6"/>
    <w:rsid w:val="0036356B"/>
    <w:rsid w:val="003638D8"/>
    <w:rsid w:val="003639DE"/>
    <w:rsid w:val="00364221"/>
    <w:rsid w:val="003645B3"/>
    <w:rsid w:val="00365CC5"/>
    <w:rsid w:val="003668D1"/>
    <w:rsid w:val="00370730"/>
    <w:rsid w:val="0037364A"/>
    <w:rsid w:val="0037446B"/>
    <w:rsid w:val="00374DA5"/>
    <w:rsid w:val="003806B8"/>
    <w:rsid w:val="00380AEF"/>
    <w:rsid w:val="00383231"/>
    <w:rsid w:val="00384FBE"/>
    <w:rsid w:val="003904F9"/>
    <w:rsid w:val="00390728"/>
    <w:rsid w:val="003907AB"/>
    <w:rsid w:val="00392B5C"/>
    <w:rsid w:val="0039612C"/>
    <w:rsid w:val="0039699B"/>
    <w:rsid w:val="003A0D2A"/>
    <w:rsid w:val="003A1960"/>
    <w:rsid w:val="003A328E"/>
    <w:rsid w:val="003A3347"/>
    <w:rsid w:val="003A39EF"/>
    <w:rsid w:val="003A3B72"/>
    <w:rsid w:val="003A7E71"/>
    <w:rsid w:val="003B2695"/>
    <w:rsid w:val="003B75F0"/>
    <w:rsid w:val="003C48B0"/>
    <w:rsid w:val="003C5054"/>
    <w:rsid w:val="003C5E00"/>
    <w:rsid w:val="003C739F"/>
    <w:rsid w:val="003C7C16"/>
    <w:rsid w:val="003D1914"/>
    <w:rsid w:val="003D35C6"/>
    <w:rsid w:val="003D4ECD"/>
    <w:rsid w:val="003D64AE"/>
    <w:rsid w:val="003D7CAC"/>
    <w:rsid w:val="003E240B"/>
    <w:rsid w:val="003E32CD"/>
    <w:rsid w:val="003E655A"/>
    <w:rsid w:val="003E69EA"/>
    <w:rsid w:val="003F04DA"/>
    <w:rsid w:val="003F1A56"/>
    <w:rsid w:val="003F1E02"/>
    <w:rsid w:val="003F28FB"/>
    <w:rsid w:val="003F595C"/>
    <w:rsid w:val="003F60DC"/>
    <w:rsid w:val="003F6D00"/>
    <w:rsid w:val="003F7530"/>
    <w:rsid w:val="003F78E0"/>
    <w:rsid w:val="004011D9"/>
    <w:rsid w:val="004023DB"/>
    <w:rsid w:val="004048B3"/>
    <w:rsid w:val="00404CFB"/>
    <w:rsid w:val="0040648F"/>
    <w:rsid w:val="00407118"/>
    <w:rsid w:val="00407219"/>
    <w:rsid w:val="00410E16"/>
    <w:rsid w:val="00412722"/>
    <w:rsid w:val="00414343"/>
    <w:rsid w:val="0041558E"/>
    <w:rsid w:val="00415927"/>
    <w:rsid w:val="0041625C"/>
    <w:rsid w:val="00417D90"/>
    <w:rsid w:val="00420C59"/>
    <w:rsid w:val="004223B8"/>
    <w:rsid w:val="0042305F"/>
    <w:rsid w:val="004246BF"/>
    <w:rsid w:val="0042491E"/>
    <w:rsid w:val="00424A21"/>
    <w:rsid w:val="00425195"/>
    <w:rsid w:val="00425797"/>
    <w:rsid w:val="004315E5"/>
    <w:rsid w:val="00433852"/>
    <w:rsid w:val="004350A2"/>
    <w:rsid w:val="00437A36"/>
    <w:rsid w:val="004408F4"/>
    <w:rsid w:val="00441FAE"/>
    <w:rsid w:val="00445748"/>
    <w:rsid w:val="004466BD"/>
    <w:rsid w:val="00446CDD"/>
    <w:rsid w:val="00446CEF"/>
    <w:rsid w:val="00447D8A"/>
    <w:rsid w:val="00452C78"/>
    <w:rsid w:val="0045385A"/>
    <w:rsid w:val="00455BD2"/>
    <w:rsid w:val="004560A2"/>
    <w:rsid w:val="004575D3"/>
    <w:rsid w:val="004615D3"/>
    <w:rsid w:val="00461AB7"/>
    <w:rsid w:val="004620A3"/>
    <w:rsid w:val="00462332"/>
    <w:rsid w:val="004624EF"/>
    <w:rsid w:val="00462ED2"/>
    <w:rsid w:val="0046320E"/>
    <w:rsid w:val="00463352"/>
    <w:rsid w:val="004677AB"/>
    <w:rsid w:val="00470C92"/>
    <w:rsid w:val="00472D32"/>
    <w:rsid w:val="004732EF"/>
    <w:rsid w:val="00473BAB"/>
    <w:rsid w:val="0047446B"/>
    <w:rsid w:val="004757A6"/>
    <w:rsid w:val="00476AE3"/>
    <w:rsid w:val="004811AA"/>
    <w:rsid w:val="00481CEA"/>
    <w:rsid w:val="00482880"/>
    <w:rsid w:val="00486E7F"/>
    <w:rsid w:val="004915F1"/>
    <w:rsid w:val="00491BDF"/>
    <w:rsid w:val="00492E70"/>
    <w:rsid w:val="004938AD"/>
    <w:rsid w:val="004A1022"/>
    <w:rsid w:val="004A2A54"/>
    <w:rsid w:val="004A44AA"/>
    <w:rsid w:val="004A6339"/>
    <w:rsid w:val="004B20C8"/>
    <w:rsid w:val="004B4165"/>
    <w:rsid w:val="004B41F3"/>
    <w:rsid w:val="004B45A5"/>
    <w:rsid w:val="004B4858"/>
    <w:rsid w:val="004C270D"/>
    <w:rsid w:val="004C2DD5"/>
    <w:rsid w:val="004C44FA"/>
    <w:rsid w:val="004C5B04"/>
    <w:rsid w:val="004D446B"/>
    <w:rsid w:val="004D7BA7"/>
    <w:rsid w:val="004D7BD2"/>
    <w:rsid w:val="004E0EF4"/>
    <w:rsid w:val="004E3CBA"/>
    <w:rsid w:val="004E66F6"/>
    <w:rsid w:val="004F55E4"/>
    <w:rsid w:val="004F5B31"/>
    <w:rsid w:val="004F71F1"/>
    <w:rsid w:val="004F7337"/>
    <w:rsid w:val="00500E7F"/>
    <w:rsid w:val="005026CD"/>
    <w:rsid w:val="0050354F"/>
    <w:rsid w:val="00505F2E"/>
    <w:rsid w:val="00510E98"/>
    <w:rsid w:val="005112EC"/>
    <w:rsid w:val="005136E5"/>
    <w:rsid w:val="005151B9"/>
    <w:rsid w:val="00516F53"/>
    <w:rsid w:val="00517675"/>
    <w:rsid w:val="005176A9"/>
    <w:rsid w:val="00517D94"/>
    <w:rsid w:val="00517E53"/>
    <w:rsid w:val="005208A1"/>
    <w:rsid w:val="00523883"/>
    <w:rsid w:val="0052579D"/>
    <w:rsid w:val="00530B40"/>
    <w:rsid w:val="0053136E"/>
    <w:rsid w:val="00531EEC"/>
    <w:rsid w:val="00532335"/>
    <w:rsid w:val="005323A5"/>
    <w:rsid w:val="005335DF"/>
    <w:rsid w:val="00536C56"/>
    <w:rsid w:val="00540255"/>
    <w:rsid w:val="0054099D"/>
    <w:rsid w:val="0054372B"/>
    <w:rsid w:val="005439FA"/>
    <w:rsid w:val="005458B6"/>
    <w:rsid w:val="00545CB5"/>
    <w:rsid w:val="00547FA2"/>
    <w:rsid w:val="00550D87"/>
    <w:rsid w:val="00553012"/>
    <w:rsid w:val="0055388B"/>
    <w:rsid w:val="00556138"/>
    <w:rsid w:val="00561B0B"/>
    <w:rsid w:val="00564204"/>
    <w:rsid w:val="00565E1D"/>
    <w:rsid w:val="00570331"/>
    <w:rsid w:val="0057140A"/>
    <w:rsid w:val="00571444"/>
    <w:rsid w:val="00571753"/>
    <w:rsid w:val="00580A60"/>
    <w:rsid w:val="0058238B"/>
    <w:rsid w:val="00582481"/>
    <w:rsid w:val="005849F2"/>
    <w:rsid w:val="00584BEC"/>
    <w:rsid w:val="00586748"/>
    <w:rsid w:val="005868B2"/>
    <w:rsid w:val="0059019E"/>
    <w:rsid w:val="0059057D"/>
    <w:rsid w:val="005906D4"/>
    <w:rsid w:val="00590D28"/>
    <w:rsid w:val="0059296B"/>
    <w:rsid w:val="0059487B"/>
    <w:rsid w:val="00596077"/>
    <w:rsid w:val="00596983"/>
    <w:rsid w:val="0059719B"/>
    <w:rsid w:val="00597281"/>
    <w:rsid w:val="005978EA"/>
    <w:rsid w:val="00597B51"/>
    <w:rsid w:val="005A02A7"/>
    <w:rsid w:val="005A1E9A"/>
    <w:rsid w:val="005A248B"/>
    <w:rsid w:val="005A410D"/>
    <w:rsid w:val="005B404A"/>
    <w:rsid w:val="005B4BE0"/>
    <w:rsid w:val="005B73A9"/>
    <w:rsid w:val="005C012A"/>
    <w:rsid w:val="005C6BA4"/>
    <w:rsid w:val="005C79B7"/>
    <w:rsid w:val="005D4BE7"/>
    <w:rsid w:val="005D66B2"/>
    <w:rsid w:val="005E3EF3"/>
    <w:rsid w:val="005E4E03"/>
    <w:rsid w:val="005E5DDB"/>
    <w:rsid w:val="005E607F"/>
    <w:rsid w:val="005F3803"/>
    <w:rsid w:val="005F589E"/>
    <w:rsid w:val="005F59CD"/>
    <w:rsid w:val="005F6D91"/>
    <w:rsid w:val="00602865"/>
    <w:rsid w:val="006033BC"/>
    <w:rsid w:val="00603C91"/>
    <w:rsid w:val="00606048"/>
    <w:rsid w:val="00607C73"/>
    <w:rsid w:val="0061076D"/>
    <w:rsid w:val="006107FE"/>
    <w:rsid w:val="00615868"/>
    <w:rsid w:val="00615CB3"/>
    <w:rsid w:val="00616E31"/>
    <w:rsid w:val="006172E3"/>
    <w:rsid w:val="00620684"/>
    <w:rsid w:val="00621DE9"/>
    <w:rsid w:val="0062398C"/>
    <w:rsid w:val="00623AFF"/>
    <w:rsid w:val="00624393"/>
    <w:rsid w:val="006248B5"/>
    <w:rsid w:val="00625D50"/>
    <w:rsid w:val="006264DC"/>
    <w:rsid w:val="006274D6"/>
    <w:rsid w:val="00630E5A"/>
    <w:rsid w:val="00633AC7"/>
    <w:rsid w:val="00635EB5"/>
    <w:rsid w:val="00636C2A"/>
    <w:rsid w:val="00641D1E"/>
    <w:rsid w:val="006435CF"/>
    <w:rsid w:val="00643C54"/>
    <w:rsid w:val="0064486C"/>
    <w:rsid w:val="006454A6"/>
    <w:rsid w:val="00646526"/>
    <w:rsid w:val="0064696C"/>
    <w:rsid w:val="006551A3"/>
    <w:rsid w:val="00655E3C"/>
    <w:rsid w:val="00661924"/>
    <w:rsid w:val="006627FB"/>
    <w:rsid w:val="00663624"/>
    <w:rsid w:val="00663E40"/>
    <w:rsid w:val="00664EB5"/>
    <w:rsid w:val="0066702D"/>
    <w:rsid w:val="00670265"/>
    <w:rsid w:val="00670734"/>
    <w:rsid w:val="00674C42"/>
    <w:rsid w:val="00677CFB"/>
    <w:rsid w:val="00680F4D"/>
    <w:rsid w:val="00683396"/>
    <w:rsid w:val="00683E7C"/>
    <w:rsid w:val="00686A31"/>
    <w:rsid w:val="00687895"/>
    <w:rsid w:val="006913E3"/>
    <w:rsid w:val="00696B76"/>
    <w:rsid w:val="00697245"/>
    <w:rsid w:val="00697512"/>
    <w:rsid w:val="006A1428"/>
    <w:rsid w:val="006A3EFB"/>
    <w:rsid w:val="006A6C38"/>
    <w:rsid w:val="006A7E35"/>
    <w:rsid w:val="006B1C70"/>
    <w:rsid w:val="006B306E"/>
    <w:rsid w:val="006B4465"/>
    <w:rsid w:val="006C01EC"/>
    <w:rsid w:val="006C2786"/>
    <w:rsid w:val="006C2D1F"/>
    <w:rsid w:val="006C3AAB"/>
    <w:rsid w:val="006D207A"/>
    <w:rsid w:val="006D3B88"/>
    <w:rsid w:val="006D45C0"/>
    <w:rsid w:val="006E0C84"/>
    <w:rsid w:val="006E27D5"/>
    <w:rsid w:val="006E44A2"/>
    <w:rsid w:val="006F38B2"/>
    <w:rsid w:val="006F4DFE"/>
    <w:rsid w:val="006F64C1"/>
    <w:rsid w:val="007024C0"/>
    <w:rsid w:val="00704B23"/>
    <w:rsid w:val="00713D9B"/>
    <w:rsid w:val="00714310"/>
    <w:rsid w:val="007173F6"/>
    <w:rsid w:val="00717519"/>
    <w:rsid w:val="00720551"/>
    <w:rsid w:val="0072076F"/>
    <w:rsid w:val="007214AC"/>
    <w:rsid w:val="007232B5"/>
    <w:rsid w:val="00727C1D"/>
    <w:rsid w:val="00730F02"/>
    <w:rsid w:val="007313FA"/>
    <w:rsid w:val="00732FCF"/>
    <w:rsid w:val="00734AD8"/>
    <w:rsid w:val="0073582C"/>
    <w:rsid w:val="00736138"/>
    <w:rsid w:val="00736849"/>
    <w:rsid w:val="00736C16"/>
    <w:rsid w:val="00740C79"/>
    <w:rsid w:val="00741DAE"/>
    <w:rsid w:val="0074279E"/>
    <w:rsid w:val="00742885"/>
    <w:rsid w:val="00747C4B"/>
    <w:rsid w:val="007532B0"/>
    <w:rsid w:val="00756804"/>
    <w:rsid w:val="00757208"/>
    <w:rsid w:val="00763D13"/>
    <w:rsid w:val="00764E95"/>
    <w:rsid w:val="0076639C"/>
    <w:rsid w:val="00767E76"/>
    <w:rsid w:val="007713C9"/>
    <w:rsid w:val="00771BFE"/>
    <w:rsid w:val="00772D12"/>
    <w:rsid w:val="007738F6"/>
    <w:rsid w:val="00781106"/>
    <w:rsid w:val="0078306D"/>
    <w:rsid w:val="00783EBF"/>
    <w:rsid w:val="007858AF"/>
    <w:rsid w:val="00786402"/>
    <w:rsid w:val="00787566"/>
    <w:rsid w:val="00787B08"/>
    <w:rsid w:val="00790742"/>
    <w:rsid w:val="0079118C"/>
    <w:rsid w:val="00792925"/>
    <w:rsid w:val="00792BF9"/>
    <w:rsid w:val="007939AE"/>
    <w:rsid w:val="007971D8"/>
    <w:rsid w:val="007A085E"/>
    <w:rsid w:val="007A1460"/>
    <w:rsid w:val="007A2629"/>
    <w:rsid w:val="007A369B"/>
    <w:rsid w:val="007A3CF9"/>
    <w:rsid w:val="007A5081"/>
    <w:rsid w:val="007A561A"/>
    <w:rsid w:val="007A6BE7"/>
    <w:rsid w:val="007B0B05"/>
    <w:rsid w:val="007B1A32"/>
    <w:rsid w:val="007B2384"/>
    <w:rsid w:val="007B4145"/>
    <w:rsid w:val="007B792D"/>
    <w:rsid w:val="007C1005"/>
    <w:rsid w:val="007C4FCD"/>
    <w:rsid w:val="007C52FB"/>
    <w:rsid w:val="007C7544"/>
    <w:rsid w:val="007D0529"/>
    <w:rsid w:val="007D2FEE"/>
    <w:rsid w:val="007D611F"/>
    <w:rsid w:val="007E76D9"/>
    <w:rsid w:val="007E7DE2"/>
    <w:rsid w:val="007F249A"/>
    <w:rsid w:val="007F2BC2"/>
    <w:rsid w:val="007F50DA"/>
    <w:rsid w:val="007F7A18"/>
    <w:rsid w:val="008000E9"/>
    <w:rsid w:val="00800B02"/>
    <w:rsid w:val="008019F5"/>
    <w:rsid w:val="00802325"/>
    <w:rsid w:val="00802F64"/>
    <w:rsid w:val="00803690"/>
    <w:rsid w:val="008045D2"/>
    <w:rsid w:val="00806285"/>
    <w:rsid w:val="00806EAF"/>
    <w:rsid w:val="00810314"/>
    <w:rsid w:val="008113A7"/>
    <w:rsid w:val="00812292"/>
    <w:rsid w:val="00814AE4"/>
    <w:rsid w:val="0081778E"/>
    <w:rsid w:val="00817C0B"/>
    <w:rsid w:val="00820750"/>
    <w:rsid w:val="008272FC"/>
    <w:rsid w:val="008315BF"/>
    <w:rsid w:val="008321C3"/>
    <w:rsid w:val="00832456"/>
    <w:rsid w:val="00832722"/>
    <w:rsid w:val="008333F5"/>
    <w:rsid w:val="0084164C"/>
    <w:rsid w:val="00841843"/>
    <w:rsid w:val="00843043"/>
    <w:rsid w:val="00843B92"/>
    <w:rsid w:val="00844A66"/>
    <w:rsid w:val="008463EE"/>
    <w:rsid w:val="00847BE5"/>
    <w:rsid w:val="00852196"/>
    <w:rsid w:val="0085220F"/>
    <w:rsid w:val="0085222B"/>
    <w:rsid w:val="00855B29"/>
    <w:rsid w:val="00857DB7"/>
    <w:rsid w:val="008609EE"/>
    <w:rsid w:val="00860C29"/>
    <w:rsid w:val="008618DC"/>
    <w:rsid w:val="00864066"/>
    <w:rsid w:val="0086410A"/>
    <w:rsid w:val="008656B0"/>
    <w:rsid w:val="00875AC9"/>
    <w:rsid w:val="008765C3"/>
    <w:rsid w:val="0088031B"/>
    <w:rsid w:val="0088066B"/>
    <w:rsid w:val="008807ED"/>
    <w:rsid w:val="00883D65"/>
    <w:rsid w:val="0088496C"/>
    <w:rsid w:val="00890FF2"/>
    <w:rsid w:val="00891BA9"/>
    <w:rsid w:val="00892EDE"/>
    <w:rsid w:val="0089359C"/>
    <w:rsid w:val="008A0521"/>
    <w:rsid w:val="008A0AED"/>
    <w:rsid w:val="008A1960"/>
    <w:rsid w:val="008A19B8"/>
    <w:rsid w:val="008A5469"/>
    <w:rsid w:val="008A5E82"/>
    <w:rsid w:val="008A6889"/>
    <w:rsid w:val="008B3318"/>
    <w:rsid w:val="008B5F24"/>
    <w:rsid w:val="008C0431"/>
    <w:rsid w:val="008C0CC7"/>
    <w:rsid w:val="008C55AE"/>
    <w:rsid w:val="008D189D"/>
    <w:rsid w:val="008D349F"/>
    <w:rsid w:val="008D679E"/>
    <w:rsid w:val="008D6BC3"/>
    <w:rsid w:val="008E0D1B"/>
    <w:rsid w:val="008E1566"/>
    <w:rsid w:val="008E163F"/>
    <w:rsid w:val="008E3E29"/>
    <w:rsid w:val="008E422D"/>
    <w:rsid w:val="008E7E44"/>
    <w:rsid w:val="008F0833"/>
    <w:rsid w:val="008F183B"/>
    <w:rsid w:val="008F4415"/>
    <w:rsid w:val="008F5018"/>
    <w:rsid w:val="008F7132"/>
    <w:rsid w:val="00900745"/>
    <w:rsid w:val="0090419D"/>
    <w:rsid w:val="0090541D"/>
    <w:rsid w:val="009070C5"/>
    <w:rsid w:val="00911143"/>
    <w:rsid w:val="00911862"/>
    <w:rsid w:val="00912983"/>
    <w:rsid w:val="00912C8C"/>
    <w:rsid w:val="009141E7"/>
    <w:rsid w:val="009149C1"/>
    <w:rsid w:val="00914C04"/>
    <w:rsid w:val="009172C4"/>
    <w:rsid w:val="0092485D"/>
    <w:rsid w:val="00931AE9"/>
    <w:rsid w:val="00932B39"/>
    <w:rsid w:val="009348E5"/>
    <w:rsid w:val="009349FA"/>
    <w:rsid w:val="00935E22"/>
    <w:rsid w:val="009403C7"/>
    <w:rsid w:val="009411C1"/>
    <w:rsid w:val="00942453"/>
    <w:rsid w:val="0094387B"/>
    <w:rsid w:val="009448A7"/>
    <w:rsid w:val="009501D3"/>
    <w:rsid w:val="009503D0"/>
    <w:rsid w:val="00951CDB"/>
    <w:rsid w:val="00952096"/>
    <w:rsid w:val="00952151"/>
    <w:rsid w:val="00953872"/>
    <w:rsid w:val="00954142"/>
    <w:rsid w:val="00954C0A"/>
    <w:rsid w:val="00955A11"/>
    <w:rsid w:val="00957338"/>
    <w:rsid w:val="00961F2E"/>
    <w:rsid w:val="0096261C"/>
    <w:rsid w:val="00964258"/>
    <w:rsid w:val="009648A3"/>
    <w:rsid w:val="009655D0"/>
    <w:rsid w:val="00965C22"/>
    <w:rsid w:val="00967842"/>
    <w:rsid w:val="00971316"/>
    <w:rsid w:val="0097271C"/>
    <w:rsid w:val="00973C90"/>
    <w:rsid w:val="00974197"/>
    <w:rsid w:val="0097476C"/>
    <w:rsid w:val="00975288"/>
    <w:rsid w:val="00977A77"/>
    <w:rsid w:val="0098003D"/>
    <w:rsid w:val="009825C8"/>
    <w:rsid w:val="00983EA1"/>
    <w:rsid w:val="0098681F"/>
    <w:rsid w:val="00991CDF"/>
    <w:rsid w:val="009978A0"/>
    <w:rsid w:val="009978F6"/>
    <w:rsid w:val="00997F50"/>
    <w:rsid w:val="009A0F37"/>
    <w:rsid w:val="009A3ADC"/>
    <w:rsid w:val="009A5C98"/>
    <w:rsid w:val="009A6AA0"/>
    <w:rsid w:val="009B0D52"/>
    <w:rsid w:val="009B3E22"/>
    <w:rsid w:val="009B646D"/>
    <w:rsid w:val="009C0BE4"/>
    <w:rsid w:val="009C47E7"/>
    <w:rsid w:val="009C6135"/>
    <w:rsid w:val="009D0731"/>
    <w:rsid w:val="009D0E28"/>
    <w:rsid w:val="009D2C05"/>
    <w:rsid w:val="009D4369"/>
    <w:rsid w:val="009D576B"/>
    <w:rsid w:val="009D7539"/>
    <w:rsid w:val="009D7DF0"/>
    <w:rsid w:val="009E3D2C"/>
    <w:rsid w:val="009E478A"/>
    <w:rsid w:val="009E72FF"/>
    <w:rsid w:val="009F0D00"/>
    <w:rsid w:val="009F3281"/>
    <w:rsid w:val="009F3459"/>
    <w:rsid w:val="009F573F"/>
    <w:rsid w:val="009F7860"/>
    <w:rsid w:val="00A007F1"/>
    <w:rsid w:val="00A0183F"/>
    <w:rsid w:val="00A02368"/>
    <w:rsid w:val="00A02519"/>
    <w:rsid w:val="00A03ABB"/>
    <w:rsid w:val="00A03F83"/>
    <w:rsid w:val="00A06C31"/>
    <w:rsid w:val="00A07168"/>
    <w:rsid w:val="00A10698"/>
    <w:rsid w:val="00A11723"/>
    <w:rsid w:val="00A12C02"/>
    <w:rsid w:val="00A14042"/>
    <w:rsid w:val="00A14C19"/>
    <w:rsid w:val="00A1559F"/>
    <w:rsid w:val="00A15B0C"/>
    <w:rsid w:val="00A22D84"/>
    <w:rsid w:val="00A241E2"/>
    <w:rsid w:val="00A24CB5"/>
    <w:rsid w:val="00A261D2"/>
    <w:rsid w:val="00A26AE3"/>
    <w:rsid w:val="00A30B75"/>
    <w:rsid w:val="00A3143B"/>
    <w:rsid w:val="00A33899"/>
    <w:rsid w:val="00A36930"/>
    <w:rsid w:val="00A40F57"/>
    <w:rsid w:val="00A43384"/>
    <w:rsid w:val="00A43A2C"/>
    <w:rsid w:val="00A43F1A"/>
    <w:rsid w:val="00A45154"/>
    <w:rsid w:val="00A47C93"/>
    <w:rsid w:val="00A51DC9"/>
    <w:rsid w:val="00A52D9E"/>
    <w:rsid w:val="00A53792"/>
    <w:rsid w:val="00A56031"/>
    <w:rsid w:val="00A561B9"/>
    <w:rsid w:val="00A6148D"/>
    <w:rsid w:val="00A61764"/>
    <w:rsid w:val="00A6236D"/>
    <w:rsid w:val="00A70A30"/>
    <w:rsid w:val="00A730CA"/>
    <w:rsid w:val="00A74253"/>
    <w:rsid w:val="00A74369"/>
    <w:rsid w:val="00A76B15"/>
    <w:rsid w:val="00A82552"/>
    <w:rsid w:val="00A830FB"/>
    <w:rsid w:val="00A83BFE"/>
    <w:rsid w:val="00A83D1C"/>
    <w:rsid w:val="00A9111E"/>
    <w:rsid w:val="00A96C38"/>
    <w:rsid w:val="00AA17EF"/>
    <w:rsid w:val="00AA1D6F"/>
    <w:rsid w:val="00AA1F3E"/>
    <w:rsid w:val="00AA2A3F"/>
    <w:rsid w:val="00AA2B68"/>
    <w:rsid w:val="00AA412A"/>
    <w:rsid w:val="00AB12E8"/>
    <w:rsid w:val="00AB4F0D"/>
    <w:rsid w:val="00AB56BB"/>
    <w:rsid w:val="00AC09E1"/>
    <w:rsid w:val="00AC36E0"/>
    <w:rsid w:val="00AC41D3"/>
    <w:rsid w:val="00AC45B4"/>
    <w:rsid w:val="00AC594D"/>
    <w:rsid w:val="00AC6376"/>
    <w:rsid w:val="00AD0BF9"/>
    <w:rsid w:val="00AD1A54"/>
    <w:rsid w:val="00AD3524"/>
    <w:rsid w:val="00AD39A8"/>
    <w:rsid w:val="00AD682D"/>
    <w:rsid w:val="00AE18EC"/>
    <w:rsid w:val="00AE2749"/>
    <w:rsid w:val="00AE361E"/>
    <w:rsid w:val="00AE4928"/>
    <w:rsid w:val="00AE5C17"/>
    <w:rsid w:val="00AF4544"/>
    <w:rsid w:val="00AF50A8"/>
    <w:rsid w:val="00B010FB"/>
    <w:rsid w:val="00B01964"/>
    <w:rsid w:val="00B03FEA"/>
    <w:rsid w:val="00B10D42"/>
    <w:rsid w:val="00B12F04"/>
    <w:rsid w:val="00B1381F"/>
    <w:rsid w:val="00B15DDF"/>
    <w:rsid w:val="00B174A1"/>
    <w:rsid w:val="00B17730"/>
    <w:rsid w:val="00B25CD1"/>
    <w:rsid w:val="00B26AFD"/>
    <w:rsid w:val="00B31389"/>
    <w:rsid w:val="00B315D4"/>
    <w:rsid w:val="00B31BFD"/>
    <w:rsid w:val="00B321F1"/>
    <w:rsid w:val="00B3382E"/>
    <w:rsid w:val="00B34693"/>
    <w:rsid w:val="00B351D1"/>
    <w:rsid w:val="00B37122"/>
    <w:rsid w:val="00B37681"/>
    <w:rsid w:val="00B45238"/>
    <w:rsid w:val="00B468B2"/>
    <w:rsid w:val="00B50C1C"/>
    <w:rsid w:val="00B53219"/>
    <w:rsid w:val="00B53348"/>
    <w:rsid w:val="00B5399A"/>
    <w:rsid w:val="00B56996"/>
    <w:rsid w:val="00B569B6"/>
    <w:rsid w:val="00B57B73"/>
    <w:rsid w:val="00B65A73"/>
    <w:rsid w:val="00B66102"/>
    <w:rsid w:val="00B72B07"/>
    <w:rsid w:val="00B76ECD"/>
    <w:rsid w:val="00B777A8"/>
    <w:rsid w:val="00B80FF4"/>
    <w:rsid w:val="00B81E29"/>
    <w:rsid w:val="00B834D7"/>
    <w:rsid w:val="00B83A07"/>
    <w:rsid w:val="00B85EAB"/>
    <w:rsid w:val="00B867F6"/>
    <w:rsid w:val="00B873D9"/>
    <w:rsid w:val="00B87D6D"/>
    <w:rsid w:val="00B92856"/>
    <w:rsid w:val="00BA3736"/>
    <w:rsid w:val="00BA4E25"/>
    <w:rsid w:val="00BA571C"/>
    <w:rsid w:val="00BA575F"/>
    <w:rsid w:val="00BA601A"/>
    <w:rsid w:val="00BA6D36"/>
    <w:rsid w:val="00BA718F"/>
    <w:rsid w:val="00BA788D"/>
    <w:rsid w:val="00BB04BD"/>
    <w:rsid w:val="00BB08B4"/>
    <w:rsid w:val="00BB18A9"/>
    <w:rsid w:val="00BB3F4B"/>
    <w:rsid w:val="00BB736A"/>
    <w:rsid w:val="00BC30C4"/>
    <w:rsid w:val="00BC474D"/>
    <w:rsid w:val="00BC4960"/>
    <w:rsid w:val="00BC4CB2"/>
    <w:rsid w:val="00BC7C1E"/>
    <w:rsid w:val="00BD161F"/>
    <w:rsid w:val="00BD54E3"/>
    <w:rsid w:val="00BD7A3B"/>
    <w:rsid w:val="00BE044E"/>
    <w:rsid w:val="00BE0DD6"/>
    <w:rsid w:val="00BE222A"/>
    <w:rsid w:val="00BE348C"/>
    <w:rsid w:val="00BE3743"/>
    <w:rsid w:val="00BE3B2E"/>
    <w:rsid w:val="00BE485F"/>
    <w:rsid w:val="00BE4F0E"/>
    <w:rsid w:val="00BE7936"/>
    <w:rsid w:val="00BF0451"/>
    <w:rsid w:val="00BF47BD"/>
    <w:rsid w:val="00BF5699"/>
    <w:rsid w:val="00BF61C1"/>
    <w:rsid w:val="00C00ACE"/>
    <w:rsid w:val="00C02B69"/>
    <w:rsid w:val="00C034E3"/>
    <w:rsid w:val="00C03B29"/>
    <w:rsid w:val="00C068E1"/>
    <w:rsid w:val="00C07514"/>
    <w:rsid w:val="00C07C7B"/>
    <w:rsid w:val="00C1095B"/>
    <w:rsid w:val="00C11956"/>
    <w:rsid w:val="00C11F40"/>
    <w:rsid w:val="00C12064"/>
    <w:rsid w:val="00C14E66"/>
    <w:rsid w:val="00C15CD5"/>
    <w:rsid w:val="00C205D1"/>
    <w:rsid w:val="00C21131"/>
    <w:rsid w:val="00C213DD"/>
    <w:rsid w:val="00C22EC7"/>
    <w:rsid w:val="00C22ED4"/>
    <w:rsid w:val="00C23FEA"/>
    <w:rsid w:val="00C3123E"/>
    <w:rsid w:val="00C31D3D"/>
    <w:rsid w:val="00C322DE"/>
    <w:rsid w:val="00C327FF"/>
    <w:rsid w:val="00C34A14"/>
    <w:rsid w:val="00C41221"/>
    <w:rsid w:val="00C44010"/>
    <w:rsid w:val="00C45068"/>
    <w:rsid w:val="00C45253"/>
    <w:rsid w:val="00C47843"/>
    <w:rsid w:val="00C5023B"/>
    <w:rsid w:val="00C52D15"/>
    <w:rsid w:val="00C52E14"/>
    <w:rsid w:val="00C5539E"/>
    <w:rsid w:val="00C55AFF"/>
    <w:rsid w:val="00C574E8"/>
    <w:rsid w:val="00C57ACE"/>
    <w:rsid w:val="00C6058F"/>
    <w:rsid w:val="00C610B0"/>
    <w:rsid w:val="00C617A6"/>
    <w:rsid w:val="00C61E89"/>
    <w:rsid w:val="00C64352"/>
    <w:rsid w:val="00C65069"/>
    <w:rsid w:val="00C65624"/>
    <w:rsid w:val="00C669A0"/>
    <w:rsid w:val="00C70FDA"/>
    <w:rsid w:val="00C715C2"/>
    <w:rsid w:val="00C716C9"/>
    <w:rsid w:val="00C71C50"/>
    <w:rsid w:val="00C722F0"/>
    <w:rsid w:val="00C72585"/>
    <w:rsid w:val="00C767D4"/>
    <w:rsid w:val="00C76F3B"/>
    <w:rsid w:val="00C770F4"/>
    <w:rsid w:val="00C77830"/>
    <w:rsid w:val="00C807A1"/>
    <w:rsid w:val="00C8110A"/>
    <w:rsid w:val="00C8115C"/>
    <w:rsid w:val="00C8416B"/>
    <w:rsid w:val="00C8737B"/>
    <w:rsid w:val="00C910E1"/>
    <w:rsid w:val="00C92E22"/>
    <w:rsid w:val="00C93302"/>
    <w:rsid w:val="00C94981"/>
    <w:rsid w:val="00C962DF"/>
    <w:rsid w:val="00C97480"/>
    <w:rsid w:val="00CA12C8"/>
    <w:rsid w:val="00CA37F7"/>
    <w:rsid w:val="00CA382D"/>
    <w:rsid w:val="00CA4C4B"/>
    <w:rsid w:val="00CA6CCB"/>
    <w:rsid w:val="00CB4902"/>
    <w:rsid w:val="00CB5595"/>
    <w:rsid w:val="00CB58AF"/>
    <w:rsid w:val="00CB6273"/>
    <w:rsid w:val="00CB7204"/>
    <w:rsid w:val="00CB7EED"/>
    <w:rsid w:val="00CC150E"/>
    <w:rsid w:val="00CC232E"/>
    <w:rsid w:val="00CC3DE2"/>
    <w:rsid w:val="00CC535E"/>
    <w:rsid w:val="00CC7E63"/>
    <w:rsid w:val="00CD07AA"/>
    <w:rsid w:val="00CD1804"/>
    <w:rsid w:val="00CD1B66"/>
    <w:rsid w:val="00CD304A"/>
    <w:rsid w:val="00CD594B"/>
    <w:rsid w:val="00CD6263"/>
    <w:rsid w:val="00CD760C"/>
    <w:rsid w:val="00CD7C3A"/>
    <w:rsid w:val="00CE00DC"/>
    <w:rsid w:val="00CE0F00"/>
    <w:rsid w:val="00CE4D1B"/>
    <w:rsid w:val="00CE5C0C"/>
    <w:rsid w:val="00CF022A"/>
    <w:rsid w:val="00CF190A"/>
    <w:rsid w:val="00CF1FDC"/>
    <w:rsid w:val="00CF34B4"/>
    <w:rsid w:val="00CF7AF2"/>
    <w:rsid w:val="00D00ACA"/>
    <w:rsid w:val="00D01276"/>
    <w:rsid w:val="00D05B68"/>
    <w:rsid w:val="00D075DA"/>
    <w:rsid w:val="00D117BA"/>
    <w:rsid w:val="00D12644"/>
    <w:rsid w:val="00D13ADB"/>
    <w:rsid w:val="00D160C9"/>
    <w:rsid w:val="00D20EA1"/>
    <w:rsid w:val="00D220E4"/>
    <w:rsid w:val="00D2487E"/>
    <w:rsid w:val="00D2513E"/>
    <w:rsid w:val="00D25594"/>
    <w:rsid w:val="00D268D9"/>
    <w:rsid w:val="00D273BA"/>
    <w:rsid w:val="00D3032A"/>
    <w:rsid w:val="00D3165E"/>
    <w:rsid w:val="00D31B8E"/>
    <w:rsid w:val="00D33D06"/>
    <w:rsid w:val="00D36AA8"/>
    <w:rsid w:val="00D37827"/>
    <w:rsid w:val="00D40F78"/>
    <w:rsid w:val="00D4202C"/>
    <w:rsid w:val="00D4223D"/>
    <w:rsid w:val="00D426E6"/>
    <w:rsid w:val="00D43170"/>
    <w:rsid w:val="00D448E1"/>
    <w:rsid w:val="00D44FFB"/>
    <w:rsid w:val="00D45DF2"/>
    <w:rsid w:val="00D603C1"/>
    <w:rsid w:val="00D603F6"/>
    <w:rsid w:val="00D61EDC"/>
    <w:rsid w:val="00D6333F"/>
    <w:rsid w:val="00D636E8"/>
    <w:rsid w:val="00D65E8A"/>
    <w:rsid w:val="00D66121"/>
    <w:rsid w:val="00D7126C"/>
    <w:rsid w:val="00D731C1"/>
    <w:rsid w:val="00D77094"/>
    <w:rsid w:val="00D77297"/>
    <w:rsid w:val="00D813C3"/>
    <w:rsid w:val="00D8675D"/>
    <w:rsid w:val="00D869EF"/>
    <w:rsid w:val="00D928BA"/>
    <w:rsid w:val="00D92C69"/>
    <w:rsid w:val="00D93D28"/>
    <w:rsid w:val="00D974D8"/>
    <w:rsid w:val="00D97898"/>
    <w:rsid w:val="00D97B3A"/>
    <w:rsid w:val="00DA1BE4"/>
    <w:rsid w:val="00DA1F4C"/>
    <w:rsid w:val="00DA3912"/>
    <w:rsid w:val="00DA3EDF"/>
    <w:rsid w:val="00DA5164"/>
    <w:rsid w:val="00DA6671"/>
    <w:rsid w:val="00DB3C36"/>
    <w:rsid w:val="00DB42A8"/>
    <w:rsid w:val="00DB4ECC"/>
    <w:rsid w:val="00DB4FF4"/>
    <w:rsid w:val="00DB7D92"/>
    <w:rsid w:val="00DC19E3"/>
    <w:rsid w:val="00DC2B3C"/>
    <w:rsid w:val="00DC3C99"/>
    <w:rsid w:val="00DC3F7C"/>
    <w:rsid w:val="00DC48AB"/>
    <w:rsid w:val="00DC4B61"/>
    <w:rsid w:val="00DD1242"/>
    <w:rsid w:val="00DD188E"/>
    <w:rsid w:val="00DD1EFC"/>
    <w:rsid w:val="00DD21B7"/>
    <w:rsid w:val="00DD32AE"/>
    <w:rsid w:val="00DD39F6"/>
    <w:rsid w:val="00DD4A4B"/>
    <w:rsid w:val="00DD69E2"/>
    <w:rsid w:val="00DD6BCB"/>
    <w:rsid w:val="00DE1278"/>
    <w:rsid w:val="00DE1EF0"/>
    <w:rsid w:val="00DE2383"/>
    <w:rsid w:val="00DE254D"/>
    <w:rsid w:val="00DE2A10"/>
    <w:rsid w:val="00DE2A82"/>
    <w:rsid w:val="00DE3BC6"/>
    <w:rsid w:val="00DE42AA"/>
    <w:rsid w:val="00DE63C3"/>
    <w:rsid w:val="00DF1EBB"/>
    <w:rsid w:val="00DF7DAB"/>
    <w:rsid w:val="00E00B63"/>
    <w:rsid w:val="00E01E0D"/>
    <w:rsid w:val="00E03442"/>
    <w:rsid w:val="00E04BEC"/>
    <w:rsid w:val="00E060DB"/>
    <w:rsid w:val="00E1391D"/>
    <w:rsid w:val="00E13EFF"/>
    <w:rsid w:val="00E17B1E"/>
    <w:rsid w:val="00E253CA"/>
    <w:rsid w:val="00E2715A"/>
    <w:rsid w:val="00E30697"/>
    <w:rsid w:val="00E311C6"/>
    <w:rsid w:val="00E319E7"/>
    <w:rsid w:val="00E32DD8"/>
    <w:rsid w:val="00E32FAC"/>
    <w:rsid w:val="00E35E1C"/>
    <w:rsid w:val="00E3704C"/>
    <w:rsid w:val="00E404ED"/>
    <w:rsid w:val="00E452AE"/>
    <w:rsid w:val="00E45F1A"/>
    <w:rsid w:val="00E4602E"/>
    <w:rsid w:val="00E46475"/>
    <w:rsid w:val="00E50A8A"/>
    <w:rsid w:val="00E52373"/>
    <w:rsid w:val="00E55027"/>
    <w:rsid w:val="00E56D72"/>
    <w:rsid w:val="00E5764B"/>
    <w:rsid w:val="00E62E49"/>
    <w:rsid w:val="00E6367C"/>
    <w:rsid w:val="00E63AE9"/>
    <w:rsid w:val="00E662E3"/>
    <w:rsid w:val="00E663E4"/>
    <w:rsid w:val="00E67C65"/>
    <w:rsid w:val="00E703E4"/>
    <w:rsid w:val="00E708DF"/>
    <w:rsid w:val="00E75773"/>
    <w:rsid w:val="00E768C7"/>
    <w:rsid w:val="00E7788A"/>
    <w:rsid w:val="00E80B78"/>
    <w:rsid w:val="00E80EE2"/>
    <w:rsid w:val="00E814E8"/>
    <w:rsid w:val="00E81D66"/>
    <w:rsid w:val="00E873E0"/>
    <w:rsid w:val="00E91B69"/>
    <w:rsid w:val="00E9215E"/>
    <w:rsid w:val="00E936B3"/>
    <w:rsid w:val="00E94992"/>
    <w:rsid w:val="00E9601B"/>
    <w:rsid w:val="00E96FE9"/>
    <w:rsid w:val="00EA0790"/>
    <w:rsid w:val="00EA3425"/>
    <w:rsid w:val="00EB063A"/>
    <w:rsid w:val="00EB0CE8"/>
    <w:rsid w:val="00EB2F51"/>
    <w:rsid w:val="00EB3297"/>
    <w:rsid w:val="00EB42A6"/>
    <w:rsid w:val="00EB5FF8"/>
    <w:rsid w:val="00EC06B3"/>
    <w:rsid w:val="00EC18E9"/>
    <w:rsid w:val="00EC55DB"/>
    <w:rsid w:val="00EC7A17"/>
    <w:rsid w:val="00ED4C08"/>
    <w:rsid w:val="00ED5039"/>
    <w:rsid w:val="00ED5573"/>
    <w:rsid w:val="00EE1062"/>
    <w:rsid w:val="00EE3CA6"/>
    <w:rsid w:val="00EE65EB"/>
    <w:rsid w:val="00EE7A6B"/>
    <w:rsid w:val="00EF037E"/>
    <w:rsid w:val="00EF2345"/>
    <w:rsid w:val="00EF2797"/>
    <w:rsid w:val="00EF2A48"/>
    <w:rsid w:val="00EF395B"/>
    <w:rsid w:val="00EF4F53"/>
    <w:rsid w:val="00EF50ED"/>
    <w:rsid w:val="00EF5652"/>
    <w:rsid w:val="00EF68F1"/>
    <w:rsid w:val="00EF75B5"/>
    <w:rsid w:val="00F00647"/>
    <w:rsid w:val="00F03D64"/>
    <w:rsid w:val="00F076F1"/>
    <w:rsid w:val="00F10AC9"/>
    <w:rsid w:val="00F10F44"/>
    <w:rsid w:val="00F11A85"/>
    <w:rsid w:val="00F127FF"/>
    <w:rsid w:val="00F1416B"/>
    <w:rsid w:val="00F14B0C"/>
    <w:rsid w:val="00F14B6D"/>
    <w:rsid w:val="00F21B06"/>
    <w:rsid w:val="00F221FC"/>
    <w:rsid w:val="00F22D36"/>
    <w:rsid w:val="00F24B6C"/>
    <w:rsid w:val="00F24F6D"/>
    <w:rsid w:val="00F30FC4"/>
    <w:rsid w:val="00F315B0"/>
    <w:rsid w:val="00F318F4"/>
    <w:rsid w:val="00F33543"/>
    <w:rsid w:val="00F3746C"/>
    <w:rsid w:val="00F37A3E"/>
    <w:rsid w:val="00F41457"/>
    <w:rsid w:val="00F42740"/>
    <w:rsid w:val="00F4402B"/>
    <w:rsid w:val="00F4419E"/>
    <w:rsid w:val="00F44C1C"/>
    <w:rsid w:val="00F470B2"/>
    <w:rsid w:val="00F47A9B"/>
    <w:rsid w:val="00F54208"/>
    <w:rsid w:val="00F54DC9"/>
    <w:rsid w:val="00F54FE8"/>
    <w:rsid w:val="00F57164"/>
    <w:rsid w:val="00F632C5"/>
    <w:rsid w:val="00F65AC0"/>
    <w:rsid w:val="00F65DB7"/>
    <w:rsid w:val="00F67054"/>
    <w:rsid w:val="00F67EA6"/>
    <w:rsid w:val="00F72C48"/>
    <w:rsid w:val="00F74120"/>
    <w:rsid w:val="00F7484A"/>
    <w:rsid w:val="00F75445"/>
    <w:rsid w:val="00F7558B"/>
    <w:rsid w:val="00F75FE7"/>
    <w:rsid w:val="00F80DB5"/>
    <w:rsid w:val="00F85BBA"/>
    <w:rsid w:val="00F87623"/>
    <w:rsid w:val="00F96DCE"/>
    <w:rsid w:val="00FA03FC"/>
    <w:rsid w:val="00FA2FE8"/>
    <w:rsid w:val="00FA43ED"/>
    <w:rsid w:val="00FA6F05"/>
    <w:rsid w:val="00FA79E5"/>
    <w:rsid w:val="00FB0E2D"/>
    <w:rsid w:val="00FB312C"/>
    <w:rsid w:val="00FB3924"/>
    <w:rsid w:val="00FB43D4"/>
    <w:rsid w:val="00FB6666"/>
    <w:rsid w:val="00FB6DD8"/>
    <w:rsid w:val="00FB6EAE"/>
    <w:rsid w:val="00FC1944"/>
    <w:rsid w:val="00FC2166"/>
    <w:rsid w:val="00FC2637"/>
    <w:rsid w:val="00FC4FED"/>
    <w:rsid w:val="00FC746E"/>
    <w:rsid w:val="00FD4075"/>
    <w:rsid w:val="00FD457D"/>
    <w:rsid w:val="00FD5CFC"/>
    <w:rsid w:val="00FD66FE"/>
    <w:rsid w:val="00FD6DA1"/>
    <w:rsid w:val="00FE4FF9"/>
    <w:rsid w:val="00FE59A7"/>
    <w:rsid w:val="00FE5DCB"/>
    <w:rsid w:val="00FE6589"/>
    <w:rsid w:val="00FF1405"/>
    <w:rsid w:val="00FF24D4"/>
    <w:rsid w:val="00FF2666"/>
    <w:rsid w:val="00FF4F12"/>
    <w:rsid w:val="00FF6AB9"/>
    <w:rsid w:val="010E6E92"/>
    <w:rsid w:val="011B0745"/>
    <w:rsid w:val="01272C4D"/>
    <w:rsid w:val="013838BA"/>
    <w:rsid w:val="015B511D"/>
    <w:rsid w:val="01935887"/>
    <w:rsid w:val="01940AB9"/>
    <w:rsid w:val="01A666DA"/>
    <w:rsid w:val="021675CF"/>
    <w:rsid w:val="025D793F"/>
    <w:rsid w:val="02691A0E"/>
    <w:rsid w:val="02833336"/>
    <w:rsid w:val="02DB2208"/>
    <w:rsid w:val="02EA40CD"/>
    <w:rsid w:val="03354D0D"/>
    <w:rsid w:val="035B0D6B"/>
    <w:rsid w:val="0367055C"/>
    <w:rsid w:val="036C2CC6"/>
    <w:rsid w:val="03814815"/>
    <w:rsid w:val="039823F5"/>
    <w:rsid w:val="03D857BF"/>
    <w:rsid w:val="03DB5CD0"/>
    <w:rsid w:val="03E81CB7"/>
    <w:rsid w:val="042440DA"/>
    <w:rsid w:val="04777E7D"/>
    <w:rsid w:val="04C85F46"/>
    <w:rsid w:val="04CC341D"/>
    <w:rsid w:val="04CF653F"/>
    <w:rsid w:val="05137CD7"/>
    <w:rsid w:val="05275126"/>
    <w:rsid w:val="057322B3"/>
    <w:rsid w:val="05877E33"/>
    <w:rsid w:val="05997116"/>
    <w:rsid w:val="05AE30D6"/>
    <w:rsid w:val="060B26E0"/>
    <w:rsid w:val="0619693A"/>
    <w:rsid w:val="06347665"/>
    <w:rsid w:val="063D0FB4"/>
    <w:rsid w:val="064121F6"/>
    <w:rsid w:val="06734DC6"/>
    <w:rsid w:val="06894391"/>
    <w:rsid w:val="06D43837"/>
    <w:rsid w:val="07132E29"/>
    <w:rsid w:val="07152947"/>
    <w:rsid w:val="071C2CF6"/>
    <w:rsid w:val="07C719B2"/>
    <w:rsid w:val="07D97DAB"/>
    <w:rsid w:val="085F4467"/>
    <w:rsid w:val="088D3477"/>
    <w:rsid w:val="0890739F"/>
    <w:rsid w:val="08907C03"/>
    <w:rsid w:val="08E75A28"/>
    <w:rsid w:val="08EC7CBE"/>
    <w:rsid w:val="08EE7A7B"/>
    <w:rsid w:val="091C1110"/>
    <w:rsid w:val="092A2B7F"/>
    <w:rsid w:val="095D57B8"/>
    <w:rsid w:val="096A2124"/>
    <w:rsid w:val="0982135F"/>
    <w:rsid w:val="09FD3DEC"/>
    <w:rsid w:val="0A3A569A"/>
    <w:rsid w:val="0A4E7C2D"/>
    <w:rsid w:val="0A503256"/>
    <w:rsid w:val="0A7C260C"/>
    <w:rsid w:val="0AC56FBF"/>
    <w:rsid w:val="0ADD3852"/>
    <w:rsid w:val="0B0102C0"/>
    <w:rsid w:val="0B0A1497"/>
    <w:rsid w:val="0B6E40A8"/>
    <w:rsid w:val="0BD06B91"/>
    <w:rsid w:val="0BD303ED"/>
    <w:rsid w:val="0C1E2BA0"/>
    <w:rsid w:val="0C7607AF"/>
    <w:rsid w:val="0C765CB2"/>
    <w:rsid w:val="0C7D2533"/>
    <w:rsid w:val="0CB21DDB"/>
    <w:rsid w:val="0CBF5550"/>
    <w:rsid w:val="0D16514E"/>
    <w:rsid w:val="0D692272"/>
    <w:rsid w:val="0D6D0804"/>
    <w:rsid w:val="0D7755C7"/>
    <w:rsid w:val="0DB625E6"/>
    <w:rsid w:val="0E5B71DD"/>
    <w:rsid w:val="0E7B1859"/>
    <w:rsid w:val="0E892615"/>
    <w:rsid w:val="0E970358"/>
    <w:rsid w:val="0EAF6CDE"/>
    <w:rsid w:val="0F454799"/>
    <w:rsid w:val="0F6B461F"/>
    <w:rsid w:val="0F791B95"/>
    <w:rsid w:val="0FD221B2"/>
    <w:rsid w:val="0FE26A63"/>
    <w:rsid w:val="0FF8220B"/>
    <w:rsid w:val="10271785"/>
    <w:rsid w:val="10392EAE"/>
    <w:rsid w:val="1049183E"/>
    <w:rsid w:val="105167C7"/>
    <w:rsid w:val="10706EC2"/>
    <w:rsid w:val="10D962DC"/>
    <w:rsid w:val="10EC6A7E"/>
    <w:rsid w:val="110174FD"/>
    <w:rsid w:val="113A6980"/>
    <w:rsid w:val="1152122B"/>
    <w:rsid w:val="11617F02"/>
    <w:rsid w:val="11647622"/>
    <w:rsid w:val="11F27D2E"/>
    <w:rsid w:val="121C5CB7"/>
    <w:rsid w:val="1233442A"/>
    <w:rsid w:val="12807280"/>
    <w:rsid w:val="12E82B49"/>
    <w:rsid w:val="13145EEE"/>
    <w:rsid w:val="13B135B6"/>
    <w:rsid w:val="13B5316D"/>
    <w:rsid w:val="13CD65B1"/>
    <w:rsid w:val="13D32484"/>
    <w:rsid w:val="13EA169A"/>
    <w:rsid w:val="14501FC4"/>
    <w:rsid w:val="148463E6"/>
    <w:rsid w:val="14D20D9B"/>
    <w:rsid w:val="14EF4383"/>
    <w:rsid w:val="156C50A7"/>
    <w:rsid w:val="159965F1"/>
    <w:rsid w:val="15A6102D"/>
    <w:rsid w:val="15A72BED"/>
    <w:rsid w:val="15C154FF"/>
    <w:rsid w:val="15D72F17"/>
    <w:rsid w:val="15D73BFE"/>
    <w:rsid w:val="15DE6F4A"/>
    <w:rsid w:val="15FA6F4E"/>
    <w:rsid w:val="1621170E"/>
    <w:rsid w:val="16814855"/>
    <w:rsid w:val="169C7D4E"/>
    <w:rsid w:val="16AC2B06"/>
    <w:rsid w:val="16CA375C"/>
    <w:rsid w:val="16EC0CD5"/>
    <w:rsid w:val="16FB52F2"/>
    <w:rsid w:val="17132AEA"/>
    <w:rsid w:val="1733471B"/>
    <w:rsid w:val="173671C5"/>
    <w:rsid w:val="174D7458"/>
    <w:rsid w:val="175823D6"/>
    <w:rsid w:val="178B6063"/>
    <w:rsid w:val="179A54EF"/>
    <w:rsid w:val="17A37FC3"/>
    <w:rsid w:val="17C57F05"/>
    <w:rsid w:val="17C93BD1"/>
    <w:rsid w:val="18045541"/>
    <w:rsid w:val="1806106E"/>
    <w:rsid w:val="181C3304"/>
    <w:rsid w:val="182C4E57"/>
    <w:rsid w:val="182D0D3E"/>
    <w:rsid w:val="185A295C"/>
    <w:rsid w:val="18603A2C"/>
    <w:rsid w:val="18851EA2"/>
    <w:rsid w:val="189B3D18"/>
    <w:rsid w:val="18A65827"/>
    <w:rsid w:val="18B21069"/>
    <w:rsid w:val="18B91D2B"/>
    <w:rsid w:val="18C40414"/>
    <w:rsid w:val="19435745"/>
    <w:rsid w:val="194A053B"/>
    <w:rsid w:val="196D6A4E"/>
    <w:rsid w:val="197C4DC3"/>
    <w:rsid w:val="199A1177"/>
    <w:rsid w:val="19B71C72"/>
    <w:rsid w:val="19BA0374"/>
    <w:rsid w:val="19C158A2"/>
    <w:rsid w:val="19C81546"/>
    <w:rsid w:val="19DB28FC"/>
    <w:rsid w:val="19F64A65"/>
    <w:rsid w:val="1A4C4C93"/>
    <w:rsid w:val="1A60180F"/>
    <w:rsid w:val="1A665AE7"/>
    <w:rsid w:val="1A6A6D44"/>
    <w:rsid w:val="1A817123"/>
    <w:rsid w:val="1AD844F0"/>
    <w:rsid w:val="1AD84F90"/>
    <w:rsid w:val="1B0911B7"/>
    <w:rsid w:val="1B0D6DA5"/>
    <w:rsid w:val="1B150DF3"/>
    <w:rsid w:val="1B2C569C"/>
    <w:rsid w:val="1B397509"/>
    <w:rsid w:val="1B801845"/>
    <w:rsid w:val="1BA51611"/>
    <w:rsid w:val="1BCA25D5"/>
    <w:rsid w:val="1C093ECB"/>
    <w:rsid w:val="1C300295"/>
    <w:rsid w:val="1C3C69B6"/>
    <w:rsid w:val="1CAF15DF"/>
    <w:rsid w:val="1CE43D62"/>
    <w:rsid w:val="1CE4433A"/>
    <w:rsid w:val="1CE66468"/>
    <w:rsid w:val="1CFD5CD5"/>
    <w:rsid w:val="1E052B6A"/>
    <w:rsid w:val="1E3F4285"/>
    <w:rsid w:val="1EC52C81"/>
    <w:rsid w:val="1EE84AA8"/>
    <w:rsid w:val="1F143134"/>
    <w:rsid w:val="1F175F0B"/>
    <w:rsid w:val="1F273AA6"/>
    <w:rsid w:val="1F520194"/>
    <w:rsid w:val="1FAA6859"/>
    <w:rsid w:val="206E30A7"/>
    <w:rsid w:val="208B4B0C"/>
    <w:rsid w:val="20925798"/>
    <w:rsid w:val="20E1183E"/>
    <w:rsid w:val="211B6DAF"/>
    <w:rsid w:val="2121086C"/>
    <w:rsid w:val="21296180"/>
    <w:rsid w:val="21822C84"/>
    <w:rsid w:val="218D79FD"/>
    <w:rsid w:val="21D564EB"/>
    <w:rsid w:val="21EF792F"/>
    <w:rsid w:val="21FD745F"/>
    <w:rsid w:val="226A6A16"/>
    <w:rsid w:val="228447E5"/>
    <w:rsid w:val="22D44085"/>
    <w:rsid w:val="22D60FBA"/>
    <w:rsid w:val="22F51F6F"/>
    <w:rsid w:val="231A0080"/>
    <w:rsid w:val="233169B6"/>
    <w:rsid w:val="23395713"/>
    <w:rsid w:val="23424F53"/>
    <w:rsid w:val="236E14E2"/>
    <w:rsid w:val="23B2716A"/>
    <w:rsid w:val="240A5C3D"/>
    <w:rsid w:val="242379FA"/>
    <w:rsid w:val="243C4921"/>
    <w:rsid w:val="244666CC"/>
    <w:rsid w:val="249B04B2"/>
    <w:rsid w:val="249E6C98"/>
    <w:rsid w:val="24F4588E"/>
    <w:rsid w:val="25227EA9"/>
    <w:rsid w:val="254E526C"/>
    <w:rsid w:val="255C5FB0"/>
    <w:rsid w:val="257707D6"/>
    <w:rsid w:val="26141651"/>
    <w:rsid w:val="261F13EC"/>
    <w:rsid w:val="26285C5B"/>
    <w:rsid w:val="264703AD"/>
    <w:rsid w:val="26741DCF"/>
    <w:rsid w:val="26CA77DA"/>
    <w:rsid w:val="27256A91"/>
    <w:rsid w:val="27717808"/>
    <w:rsid w:val="277E1E75"/>
    <w:rsid w:val="279328FB"/>
    <w:rsid w:val="279E7974"/>
    <w:rsid w:val="27AD1EDB"/>
    <w:rsid w:val="27CF205C"/>
    <w:rsid w:val="27DB4E90"/>
    <w:rsid w:val="27E64CEF"/>
    <w:rsid w:val="27F865FE"/>
    <w:rsid w:val="28161004"/>
    <w:rsid w:val="281C0B58"/>
    <w:rsid w:val="28351007"/>
    <w:rsid w:val="28532360"/>
    <w:rsid w:val="285B5C06"/>
    <w:rsid w:val="286F68E1"/>
    <w:rsid w:val="28730CF3"/>
    <w:rsid w:val="288021B7"/>
    <w:rsid w:val="28EA659D"/>
    <w:rsid w:val="29A309A6"/>
    <w:rsid w:val="29AE1A67"/>
    <w:rsid w:val="29D148D0"/>
    <w:rsid w:val="29FA4D75"/>
    <w:rsid w:val="2A007C34"/>
    <w:rsid w:val="2A465DFB"/>
    <w:rsid w:val="2A722ED2"/>
    <w:rsid w:val="2AAC5BBE"/>
    <w:rsid w:val="2AC803DC"/>
    <w:rsid w:val="2ACB14A0"/>
    <w:rsid w:val="2AEF7B6B"/>
    <w:rsid w:val="2AF04F2D"/>
    <w:rsid w:val="2AF155B9"/>
    <w:rsid w:val="2B520F75"/>
    <w:rsid w:val="2BC0124A"/>
    <w:rsid w:val="2BF15C52"/>
    <w:rsid w:val="2C181807"/>
    <w:rsid w:val="2C1A0BC8"/>
    <w:rsid w:val="2C7155CB"/>
    <w:rsid w:val="2C9E4611"/>
    <w:rsid w:val="2CC67A84"/>
    <w:rsid w:val="2CD029CD"/>
    <w:rsid w:val="2D967336"/>
    <w:rsid w:val="2DAF6485"/>
    <w:rsid w:val="2DC1674C"/>
    <w:rsid w:val="2DD653AE"/>
    <w:rsid w:val="2DE60B93"/>
    <w:rsid w:val="2DFC2C34"/>
    <w:rsid w:val="2E324BF5"/>
    <w:rsid w:val="2E775F2D"/>
    <w:rsid w:val="2E7876D2"/>
    <w:rsid w:val="2E8D2344"/>
    <w:rsid w:val="2F0A063A"/>
    <w:rsid w:val="2F135341"/>
    <w:rsid w:val="2F583F83"/>
    <w:rsid w:val="2F5C1219"/>
    <w:rsid w:val="2F90386C"/>
    <w:rsid w:val="2F945898"/>
    <w:rsid w:val="2FA433FD"/>
    <w:rsid w:val="2FAC068E"/>
    <w:rsid w:val="2FCE3AE5"/>
    <w:rsid w:val="2FDD54AB"/>
    <w:rsid w:val="2FE27D3F"/>
    <w:rsid w:val="2FEF4A12"/>
    <w:rsid w:val="2FF3451C"/>
    <w:rsid w:val="30143D85"/>
    <w:rsid w:val="3024521F"/>
    <w:rsid w:val="3048526D"/>
    <w:rsid w:val="30DA7C66"/>
    <w:rsid w:val="314C1ADD"/>
    <w:rsid w:val="315B7DCF"/>
    <w:rsid w:val="31752B09"/>
    <w:rsid w:val="31A534FE"/>
    <w:rsid w:val="32224886"/>
    <w:rsid w:val="32541BEC"/>
    <w:rsid w:val="32713D58"/>
    <w:rsid w:val="327170B0"/>
    <w:rsid w:val="32DF7D19"/>
    <w:rsid w:val="32EF42D5"/>
    <w:rsid w:val="333741F8"/>
    <w:rsid w:val="334F65EC"/>
    <w:rsid w:val="33767E61"/>
    <w:rsid w:val="338378D6"/>
    <w:rsid w:val="33AE225C"/>
    <w:rsid w:val="33B81B39"/>
    <w:rsid w:val="33BA20BE"/>
    <w:rsid w:val="33D237F6"/>
    <w:rsid w:val="33F93D56"/>
    <w:rsid w:val="341548E3"/>
    <w:rsid w:val="345653CC"/>
    <w:rsid w:val="345E5BBC"/>
    <w:rsid w:val="346C6723"/>
    <w:rsid w:val="34AB2BEB"/>
    <w:rsid w:val="34AB326B"/>
    <w:rsid w:val="34AB3C19"/>
    <w:rsid w:val="34D22520"/>
    <w:rsid w:val="35033DC1"/>
    <w:rsid w:val="35204498"/>
    <w:rsid w:val="35354043"/>
    <w:rsid w:val="354135C5"/>
    <w:rsid w:val="355F3385"/>
    <w:rsid w:val="357F37E4"/>
    <w:rsid w:val="35950DEC"/>
    <w:rsid w:val="35D97983"/>
    <w:rsid w:val="36230503"/>
    <w:rsid w:val="36254886"/>
    <w:rsid w:val="365C6BE9"/>
    <w:rsid w:val="366B493E"/>
    <w:rsid w:val="36867D49"/>
    <w:rsid w:val="36AD57D9"/>
    <w:rsid w:val="36B5516B"/>
    <w:rsid w:val="36BD18C6"/>
    <w:rsid w:val="36C406AB"/>
    <w:rsid w:val="36F053E2"/>
    <w:rsid w:val="371E2ABD"/>
    <w:rsid w:val="371F799A"/>
    <w:rsid w:val="37345C09"/>
    <w:rsid w:val="375357D8"/>
    <w:rsid w:val="37712A39"/>
    <w:rsid w:val="377C4239"/>
    <w:rsid w:val="377C6A88"/>
    <w:rsid w:val="37C27C02"/>
    <w:rsid w:val="37EF2081"/>
    <w:rsid w:val="38164B06"/>
    <w:rsid w:val="382B0481"/>
    <w:rsid w:val="382F5D5E"/>
    <w:rsid w:val="3862034D"/>
    <w:rsid w:val="388D5B97"/>
    <w:rsid w:val="38E468D3"/>
    <w:rsid w:val="390C3C2C"/>
    <w:rsid w:val="39100D52"/>
    <w:rsid w:val="39440A86"/>
    <w:rsid w:val="398477EA"/>
    <w:rsid w:val="3A026362"/>
    <w:rsid w:val="3A215E26"/>
    <w:rsid w:val="3A247BB8"/>
    <w:rsid w:val="3AE50133"/>
    <w:rsid w:val="3B142CA0"/>
    <w:rsid w:val="3B345EA5"/>
    <w:rsid w:val="3B8026DE"/>
    <w:rsid w:val="3B927B77"/>
    <w:rsid w:val="3B9B2996"/>
    <w:rsid w:val="3BBF7944"/>
    <w:rsid w:val="3BD70B7F"/>
    <w:rsid w:val="3BF70EF8"/>
    <w:rsid w:val="3C51571B"/>
    <w:rsid w:val="3C616A8E"/>
    <w:rsid w:val="3C8C6A7E"/>
    <w:rsid w:val="3CA043ED"/>
    <w:rsid w:val="3CBB5AF8"/>
    <w:rsid w:val="3CE53640"/>
    <w:rsid w:val="3CE5417C"/>
    <w:rsid w:val="3D1839EB"/>
    <w:rsid w:val="3D6A3A62"/>
    <w:rsid w:val="3D83006A"/>
    <w:rsid w:val="3DB531EC"/>
    <w:rsid w:val="3DBF7131"/>
    <w:rsid w:val="3DC963B5"/>
    <w:rsid w:val="3E046607"/>
    <w:rsid w:val="3EC74CFF"/>
    <w:rsid w:val="3F0D3A65"/>
    <w:rsid w:val="3F205108"/>
    <w:rsid w:val="3F5E430F"/>
    <w:rsid w:val="3F740A54"/>
    <w:rsid w:val="3FDA7338"/>
    <w:rsid w:val="3FF652F9"/>
    <w:rsid w:val="401E7F5D"/>
    <w:rsid w:val="408F47A3"/>
    <w:rsid w:val="40E918A0"/>
    <w:rsid w:val="416326F1"/>
    <w:rsid w:val="41662173"/>
    <w:rsid w:val="41C40CB5"/>
    <w:rsid w:val="41DC0B96"/>
    <w:rsid w:val="4221669C"/>
    <w:rsid w:val="42312B71"/>
    <w:rsid w:val="42DC0480"/>
    <w:rsid w:val="42ED1682"/>
    <w:rsid w:val="42FD359A"/>
    <w:rsid w:val="43036342"/>
    <w:rsid w:val="43457906"/>
    <w:rsid w:val="43975A33"/>
    <w:rsid w:val="43BB0C9A"/>
    <w:rsid w:val="43CA52B3"/>
    <w:rsid w:val="43F5066D"/>
    <w:rsid w:val="44251601"/>
    <w:rsid w:val="442C0C55"/>
    <w:rsid w:val="447E4B46"/>
    <w:rsid w:val="4553314F"/>
    <w:rsid w:val="4563730C"/>
    <w:rsid w:val="457B03FC"/>
    <w:rsid w:val="45EF6CF6"/>
    <w:rsid w:val="45F140EF"/>
    <w:rsid w:val="45FA625A"/>
    <w:rsid w:val="46007CB3"/>
    <w:rsid w:val="4630324B"/>
    <w:rsid w:val="463B6607"/>
    <w:rsid w:val="465549FC"/>
    <w:rsid w:val="465877D2"/>
    <w:rsid w:val="46AC689D"/>
    <w:rsid w:val="46C24FE6"/>
    <w:rsid w:val="46E10DC8"/>
    <w:rsid w:val="46F77037"/>
    <w:rsid w:val="474540D0"/>
    <w:rsid w:val="475505CA"/>
    <w:rsid w:val="4773742B"/>
    <w:rsid w:val="479B53B7"/>
    <w:rsid w:val="47A51474"/>
    <w:rsid w:val="47C2207E"/>
    <w:rsid w:val="47C27A19"/>
    <w:rsid w:val="47EC3D06"/>
    <w:rsid w:val="47F8612D"/>
    <w:rsid w:val="480142C9"/>
    <w:rsid w:val="48245095"/>
    <w:rsid w:val="48611F55"/>
    <w:rsid w:val="48694FA0"/>
    <w:rsid w:val="487422E4"/>
    <w:rsid w:val="488E768B"/>
    <w:rsid w:val="48B07229"/>
    <w:rsid w:val="48E54DD9"/>
    <w:rsid w:val="48FD2DFC"/>
    <w:rsid w:val="48FD6DD6"/>
    <w:rsid w:val="49084B93"/>
    <w:rsid w:val="490B51D3"/>
    <w:rsid w:val="491B0746"/>
    <w:rsid w:val="492F61FD"/>
    <w:rsid w:val="49543EED"/>
    <w:rsid w:val="495C49BD"/>
    <w:rsid w:val="49821F3B"/>
    <w:rsid w:val="49F41D5E"/>
    <w:rsid w:val="4A181640"/>
    <w:rsid w:val="4A6E4963"/>
    <w:rsid w:val="4AAD0B1D"/>
    <w:rsid w:val="4B1E31F7"/>
    <w:rsid w:val="4BCB3573"/>
    <w:rsid w:val="4C2E46AD"/>
    <w:rsid w:val="4C3228DD"/>
    <w:rsid w:val="4C6D3458"/>
    <w:rsid w:val="4C7E174F"/>
    <w:rsid w:val="4C9074FF"/>
    <w:rsid w:val="4C9B3A94"/>
    <w:rsid w:val="4CC9059A"/>
    <w:rsid w:val="4CE75373"/>
    <w:rsid w:val="4D0861B2"/>
    <w:rsid w:val="4D1F5AA9"/>
    <w:rsid w:val="4D24587E"/>
    <w:rsid w:val="4D53333A"/>
    <w:rsid w:val="4DCD5F3C"/>
    <w:rsid w:val="4E0272EF"/>
    <w:rsid w:val="4E0A397F"/>
    <w:rsid w:val="4E21601D"/>
    <w:rsid w:val="4E2937E7"/>
    <w:rsid w:val="4E4B780D"/>
    <w:rsid w:val="4E6A1EB9"/>
    <w:rsid w:val="4E8F46A7"/>
    <w:rsid w:val="4EED364B"/>
    <w:rsid w:val="4F305B27"/>
    <w:rsid w:val="4F3A5050"/>
    <w:rsid w:val="4F3E2FE4"/>
    <w:rsid w:val="4F62422F"/>
    <w:rsid w:val="4F6D058E"/>
    <w:rsid w:val="4FB477EE"/>
    <w:rsid w:val="4FCC099F"/>
    <w:rsid w:val="4FFC4E2B"/>
    <w:rsid w:val="501734E8"/>
    <w:rsid w:val="507532C6"/>
    <w:rsid w:val="5090702C"/>
    <w:rsid w:val="509D4A15"/>
    <w:rsid w:val="50B560F4"/>
    <w:rsid w:val="50F53694"/>
    <w:rsid w:val="514A2B65"/>
    <w:rsid w:val="516E738A"/>
    <w:rsid w:val="519F1664"/>
    <w:rsid w:val="51B32A12"/>
    <w:rsid w:val="51C861C6"/>
    <w:rsid w:val="51D6796F"/>
    <w:rsid w:val="525D2C34"/>
    <w:rsid w:val="528D1D76"/>
    <w:rsid w:val="52B83D9A"/>
    <w:rsid w:val="52CC6656"/>
    <w:rsid w:val="52CE6C70"/>
    <w:rsid w:val="52FD5ECE"/>
    <w:rsid w:val="53033090"/>
    <w:rsid w:val="532F22A6"/>
    <w:rsid w:val="53525107"/>
    <w:rsid w:val="535938E1"/>
    <w:rsid w:val="536E6647"/>
    <w:rsid w:val="53963AA3"/>
    <w:rsid w:val="53E62644"/>
    <w:rsid w:val="545029BD"/>
    <w:rsid w:val="54664751"/>
    <w:rsid w:val="547873B0"/>
    <w:rsid w:val="549D05F3"/>
    <w:rsid w:val="553B6702"/>
    <w:rsid w:val="55625CCE"/>
    <w:rsid w:val="556D15A8"/>
    <w:rsid w:val="55730066"/>
    <w:rsid w:val="557A357D"/>
    <w:rsid w:val="5587364F"/>
    <w:rsid w:val="55996B45"/>
    <w:rsid w:val="55D22986"/>
    <w:rsid w:val="55F33C9A"/>
    <w:rsid w:val="56060383"/>
    <w:rsid w:val="560D514C"/>
    <w:rsid w:val="566D4B95"/>
    <w:rsid w:val="56FF03B2"/>
    <w:rsid w:val="57072AB6"/>
    <w:rsid w:val="571133DD"/>
    <w:rsid w:val="571838EA"/>
    <w:rsid w:val="572656D4"/>
    <w:rsid w:val="57750BA9"/>
    <w:rsid w:val="57790340"/>
    <w:rsid w:val="57D01DEC"/>
    <w:rsid w:val="57F5512E"/>
    <w:rsid w:val="584D07F8"/>
    <w:rsid w:val="58CA0B91"/>
    <w:rsid w:val="58DB03A7"/>
    <w:rsid w:val="594B0990"/>
    <w:rsid w:val="594F1160"/>
    <w:rsid w:val="595C0122"/>
    <w:rsid w:val="59686923"/>
    <w:rsid w:val="59876783"/>
    <w:rsid w:val="59AD06A4"/>
    <w:rsid w:val="59AD37FB"/>
    <w:rsid w:val="59B12F6A"/>
    <w:rsid w:val="59FA2DC3"/>
    <w:rsid w:val="5A4D586D"/>
    <w:rsid w:val="5A6249B0"/>
    <w:rsid w:val="5AD70898"/>
    <w:rsid w:val="5B20174A"/>
    <w:rsid w:val="5BCC3D2D"/>
    <w:rsid w:val="5BD90D9C"/>
    <w:rsid w:val="5BF50434"/>
    <w:rsid w:val="5BFEBC08"/>
    <w:rsid w:val="5C0C2014"/>
    <w:rsid w:val="5C1C5E65"/>
    <w:rsid w:val="5C7A122C"/>
    <w:rsid w:val="5CF07EB8"/>
    <w:rsid w:val="5D5349C9"/>
    <w:rsid w:val="5DE11A89"/>
    <w:rsid w:val="5DEE193C"/>
    <w:rsid w:val="5E1E4678"/>
    <w:rsid w:val="5E434C88"/>
    <w:rsid w:val="5E504B79"/>
    <w:rsid w:val="5E867F9B"/>
    <w:rsid w:val="5EA55B10"/>
    <w:rsid w:val="5EC41715"/>
    <w:rsid w:val="5EDD631A"/>
    <w:rsid w:val="5EE84C68"/>
    <w:rsid w:val="5F011AD1"/>
    <w:rsid w:val="5F045A13"/>
    <w:rsid w:val="5F5222CE"/>
    <w:rsid w:val="5F786E10"/>
    <w:rsid w:val="5F96439A"/>
    <w:rsid w:val="5FCA6B48"/>
    <w:rsid w:val="5FE80E91"/>
    <w:rsid w:val="60981427"/>
    <w:rsid w:val="60981622"/>
    <w:rsid w:val="609E0524"/>
    <w:rsid w:val="60AD4996"/>
    <w:rsid w:val="60B04906"/>
    <w:rsid w:val="60DC6633"/>
    <w:rsid w:val="60EF739A"/>
    <w:rsid w:val="61117495"/>
    <w:rsid w:val="6115117A"/>
    <w:rsid w:val="620739B4"/>
    <w:rsid w:val="621D5BA4"/>
    <w:rsid w:val="62461D01"/>
    <w:rsid w:val="62A255A8"/>
    <w:rsid w:val="63001EFA"/>
    <w:rsid w:val="631B36DC"/>
    <w:rsid w:val="63526B0D"/>
    <w:rsid w:val="635B6748"/>
    <w:rsid w:val="637D23F9"/>
    <w:rsid w:val="638667CB"/>
    <w:rsid w:val="63947A95"/>
    <w:rsid w:val="63B361C6"/>
    <w:rsid w:val="63C526B1"/>
    <w:rsid w:val="63CD50A4"/>
    <w:rsid w:val="63CE0748"/>
    <w:rsid w:val="644E53B4"/>
    <w:rsid w:val="648100F9"/>
    <w:rsid w:val="64AE7DF7"/>
    <w:rsid w:val="64D66927"/>
    <w:rsid w:val="654C35A5"/>
    <w:rsid w:val="65981677"/>
    <w:rsid w:val="659C453B"/>
    <w:rsid w:val="65CA49CF"/>
    <w:rsid w:val="662136A0"/>
    <w:rsid w:val="663C1F8C"/>
    <w:rsid w:val="664C4D63"/>
    <w:rsid w:val="667875E7"/>
    <w:rsid w:val="66BC09F3"/>
    <w:rsid w:val="66CD3E2A"/>
    <w:rsid w:val="673F27B2"/>
    <w:rsid w:val="67644680"/>
    <w:rsid w:val="678307F6"/>
    <w:rsid w:val="67B167D1"/>
    <w:rsid w:val="67C7094E"/>
    <w:rsid w:val="67FB6338"/>
    <w:rsid w:val="684B5059"/>
    <w:rsid w:val="684F2BA5"/>
    <w:rsid w:val="685F1C50"/>
    <w:rsid w:val="68693C57"/>
    <w:rsid w:val="688D6A16"/>
    <w:rsid w:val="68A02565"/>
    <w:rsid w:val="68C56CCE"/>
    <w:rsid w:val="69162D3D"/>
    <w:rsid w:val="6925672C"/>
    <w:rsid w:val="694078ED"/>
    <w:rsid w:val="699022E9"/>
    <w:rsid w:val="69AC00C0"/>
    <w:rsid w:val="69FB47E2"/>
    <w:rsid w:val="6A2975E6"/>
    <w:rsid w:val="6A714498"/>
    <w:rsid w:val="6A7A07D1"/>
    <w:rsid w:val="6A845374"/>
    <w:rsid w:val="6A87552E"/>
    <w:rsid w:val="6AA307CE"/>
    <w:rsid w:val="6AF82AC5"/>
    <w:rsid w:val="6AFD3C02"/>
    <w:rsid w:val="6B112189"/>
    <w:rsid w:val="6B1932A2"/>
    <w:rsid w:val="6B515687"/>
    <w:rsid w:val="6B992734"/>
    <w:rsid w:val="6BF62A43"/>
    <w:rsid w:val="6C033C17"/>
    <w:rsid w:val="6C0C2D4A"/>
    <w:rsid w:val="6C464D18"/>
    <w:rsid w:val="6C483872"/>
    <w:rsid w:val="6C551346"/>
    <w:rsid w:val="6DD17A58"/>
    <w:rsid w:val="6DD30B7E"/>
    <w:rsid w:val="6E1B4027"/>
    <w:rsid w:val="6E1D4A1D"/>
    <w:rsid w:val="6E3C0C09"/>
    <w:rsid w:val="6E965C85"/>
    <w:rsid w:val="6E977946"/>
    <w:rsid w:val="6EEC44C8"/>
    <w:rsid w:val="6EEC72A3"/>
    <w:rsid w:val="6F1352E5"/>
    <w:rsid w:val="6F5D2A4B"/>
    <w:rsid w:val="6FC96BC8"/>
    <w:rsid w:val="6FCC4428"/>
    <w:rsid w:val="6FD042F1"/>
    <w:rsid w:val="70061711"/>
    <w:rsid w:val="701545B0"/>
    <w:rsid w:val="701C5378"/>
    <w:rsid w:val="70226E29"/>
    <w:rsid w:val="70531426"/>
    <w:rsid w:val="70630925"/>
    <w:rsid w:val="70A10CF5"/>
    <w:rsid w:val="70BE05C9"/>
    <w:rsid w:val="71504100"/>
    <w:rsid w:val="71624A26"/>
    <w:rsid w:val="717F09A7"/>
    <w:rsid w:val="71920D47"/>
    <w:rsid w:val="71A8362C"/>
    <w:rsid w:val="71EF2CA8"/>
    <w:rsid w:val="723916FF"/>
    <w:rsid w:val="723D3377"/>
    <w:rsid w:val="724A7F50"/>
    <w:rsid w:val="7250298F"/>
    <w:rsid w:val="725B5EBF"/>
    <w:rsid w:val="72662AFC"/>
    <w:rsid w:val="726A0FFB"/>
    <w:rsid w:val="728228DE"/>
    <w:rsid w:val="72915125"/>
    <w:rsid w:val="72C44E87"/>
    <w:rsid w:val="72C61A65"/>
    <w:rsid w:val="72CC0F8D"/>
    <w:rsid w:val="72D64AE7"/>
    <w:rsid w:val="72E80FA4"/>
    <w:rsid w:val="72FD4827"/>
    <w:rsid w:val="734A2316"/>
    <w:rsid w:val="73615944"/>
    <w:rsid w:val="736347C1"/>
    <w:rsid w:val="73F121A7"/>
    <w:rsid w:val="7409606B"/>
    <w:rsid w:val="742304A1"/>
    <w:rsid w:val="742349ED"/>
    <w:rsid w:val="74290E12"/>
    <w:rsid w:val="743C23C7"/>
    <w:rsid w:val="745919C6"/>
    <w:rsid w:val="746F7E17"/>
    <w:rsid w:val="74702A9A"/>
    <w:rsid w:val="74B11020"/>
    <w:rsid w:val="74BB7697"/>
    <w:rsid w:val="74BE32A8"/>
    <w:rsid w:val="750F3F60"/>
    <w:rsid w:val="754830E2"/>
    <w:rsid w:val="75637081"/>
    <w:rsid w:val="75922EDB"/>
    <w:rsid w:val="75A625A3"/>
    <w:rsid w:val="75DC2BE1"/>
    <w:rsid w:val="75F9391E"/>
    <w:rsid w:val="760E5965"/>
    <w:rsid w:val="761C2BBB"/>
    <w:rsid w:val="76256893"/>
    <w:rsid w:val="762D36F0"/>
    <w:rsid w:val="76383752"/>
    <w:rsid w:val="76C51CC8"/>
    <w:rsid w:val="76D23FA6"/>
    <w:rsid w:val="76EA37FB"/>
    <w:rsid w:val="77074966"/>
    <w:rsid w:val="77102312"/>
    <w:rsid w:val="772720EE"/>
    <w:rsid w:val="77516051"/>
    <w:rsid w:val="776125DC"/>
    <w:rsid w:val="776A1DE8"/>
    <w:rsid w:val="778F33F5"/>
    <w:rsid w:val="779F17EF"/>
    <w:rsid w:val="77ED0B73"/>
    <w:rsid w:val="77F7529D"/>
    <w:rsid w:val="78036CE6"/>
    <w:rsid w:val="783B64A4"/>
    <w:rsid w:val="785D00CA"/>
    <w:rsid w:val="78A94AB8"/>
    <w:rsid w:val="790C6A64"/>
    <w:rsid w:val="790E3412"/>
    <w:rsid w:val="791E5503"/>
    <w:rsid w:val="7929591C"/>
    <w:rsid w:val="792D65B5"/>
    <w:rsid w:val="79ED2085"/>
    <w:rsid w:val="7A0D4159"/>
    <w:rsid w:val="7A551474"/>
    <w:rsid w:val="7A6223B7"/>
    <w:rsid w:val="7AB362AE"/>
    <w:rsid w:val="7AFB772C"/>
    <w:rsid w:val="7AFD6E85"/>
    <w:rsid w:val="7AFF4A3E"/>
    <w:rsid w:val="7B046594"/>
    <w:rsid w:val="7B883CE0"/>
    <w:rsid w:val="7B9C0DC9"/>
    <w:rsid w:val="7BAC3D28"/>
    <w:rsid w:val="7BBD458C"/>
    <w:rsid w:val="7C002197"/>
    <w:rsid w:val="7C146F1F"/>
    <w:rsid w:val="7C2F6DB7"/>
    <w:rsid w:val="7C3C3700"/>
    <w:rsid w:val="7C7F46CF"/>
    <w:rsid w:val="7CEC43D7"/>
    <w:rsid w:val="7CF27F9D"/>
    <w:rsid w:val="7D1765E7"/>
    <w:rsid w:val="7D2D7950"/>
    <w:rsid w:val="7D2E01F8"/>
    <w:rsid w:val="7D3522C4"/>
    <w:rsid w:val="7D4F2810"/>
    <w:rsid w:val="7D535C75"/>
    <w:rsid w:val="7D872E89"/>
    <w:rsid w:val="7D88520A"/>
    <w:rsid w:val="7DDD6CEA"/>
    <w:rsid w:val="7DEC0D1F"/>
    <w:rsid w:val="7DFBDEF3"/>
    <w:rsid w:val="7E4F74AB"/>
    <w:rsid w:val="7E636E14"/>
    <w:rsid w:val="7E7F2812"/>
    <w:rsid w:val="7EA80233"/>
    <w:rsid w:val="7EAA15AE"/>
    <w:rsid w:val="7ED51702"/>
    <w:rsid w:val="7EEA7720"/>
    <w:rsid w:val="7F0E0CEF"/>
    <w:rsid w:val="7F4D668A"/>
    <w:rsid w:val="7F6F2A53"/>
    <w:rsid w:val="7FAE4688"/>
    <w:rsid w:val="7FC51C02"/>
    <w:rsid w:val="7FF66A9D"/>
    <w:rsid w:val="952FBFEC"/>
    <w:rsid w:val="95CF96C6"/>
    <w:rsid w:val="9DDB2131"/>
    <w:rsid w:val="A2BFF396"/>
    <w:rsid w:val="AFD7E7A2"/>
    <w:rsid w:val="D7FFC59A"/>
    <w:rsid w:val="DEF5E97B"/>
    <w:rsid w:val="DFFB7951"/>
    <w:rsid w:val="E7B1BECD"/>
    <w:rsid w:val="EBFF64F1"/>
    <w:rsid w:val="EEFFCD4F"/>
    <w:rsid w:val="FECFAC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1" w:semiHidden="0" w:name="heading 4"/>
    <w:lsdException w:qFormat="1" w:uiPriority="99"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iPriority="39" w:semiHidden="0" w:name="toc 1"/>
    <w:lsdException w:qFormat="1" w:uiPriority="0" w:semiHidden="0" w:name="toc 2"/>
    <w:lsdException w:qFormat="1" w:uiPriority="99" w:semiHidden="0" w:name="toc 3"/>
    <w:lsdException w:qFormat="1" w:uiPriority="39" w:semiHidden="0" w:name="toc 4"/>
    <w:lsdException w:qFormat="1" w:uiPriority="39" w:semiHidden="0" w:name="toc 5"/>
    <w:lsdException w:qFormat="1" w:uiPriority="0"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99"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semiHidden="0" w:name="caption"/>
    <w:lsdException w:qFormat="1" w:uiPriority="99" w:semiHidden="0" w:name="table of figures" w:locked="1"/>
    <w:lsdException w:uiPriority="99" w:name="envelope address" w:locked="1"/>
    <w:lsdException w:uiPriority="99" w:name="envelope return" w:locked="1"/>
    <w:lsdException w:qFormat="1" w:unhideWhenUsed="0" w:uiPriority="0" w:semiHidden="0" w:name="footnote reference" w:locked="1"/>
    <w:lsdException w:qFormat="1" w:unhideWhenUsed="0" w:uiPriority="99" w:semiHidden="0" w:name="annotation reference"/>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ocked="1"/>
    <w:lsdException w:qFormat="1" w:unhideWhenUsed="0" w:uiPriority="99" w:semiHidden="0" w:name="List Bullet" w:locked="1"/>
    <w:lsdException w:qFormat="1" w:unhideWhenUsed="0" w:uiPriority="99" w:semiHidden="0" w:name="List Number"/>
    <w:lsdException w:qFormat="1" w:unhideWhenUsed="0" w:uiPriority="99" w:semiHidden="0" w:name="List 2" w:locked="1"/>
    <w:lsdException w:qFormat="1" w:unhideWhenUsed="0" w:uiPriority="99" w:semiHidden="0" w:name="List 3" w:locked="1"/>
    <w:lsdException w:qFormat="1" w:unhideWhenUsed="0" w:uiPriority="99" w:semiHidden="0" w:name="List 4" w:locked="1"/>
    <w:lsdException w:qFormat="1" w:unhideWhenUsed="0" w:uiPriority="99" w:semiHidden="0" w:name="List 5" w:locked="1"/>
    <w:lsdException w:qFormat="1" w:unhideWhenUsed="0" w:uiPriority="99" w:semiHidden="0" w:name="List Bullet 2" w:locked="1"/>
    <w:lsdException w:qFormat="1" w:unhideWhenUsed="0" w:uiPriority="99" w:semiHidden="0" w:name="List Bullet 3" w:locked="1"/>
    <w:lsdException w:qFormat="1" w:unhideWhenUsed="0" w:uiPriority="99" w:semiHidden="0" w:name="List Bullet 4" w:locked="1"/>
    <w:lsdException w:uiPriority="99" w:name="List Bullet 5" w:locked="1"/>
    <w:lsdException w:qFormat="1" w:unhideWhenUsed="0" w:uiPriority="0" w:semiHidden="0" w:name="List Number 2" w:locked="1"/>
    <w:lsdException w:qFormat="1" w:unhideWhenUsed="0" w:uiPriority="0" w:semiHidden="0" w:name="List Number 3" w:locked="1"/>
    <w:lsdException w:uiPriority="99" w:name="List Number 4" w:locked="1"/>
    <w:lsdException w:uiPriority="99" w:name="List Number 5" w:locked="1"/>
    <w:lsdException w:qFormat="1" w:unhideWhenUsed="0" w:uiPriority="1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sdException w:qFormat="1" w:unhideWhenUsed="0" w:uiPriority="99"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ocked="1"/>
    <w:lsdException w:qFormat="1" w:unhideWhenUsed="0" w:uiPriority="99" w:semiHidden="0" w:name="Body Text 3" w:locked="1"/>
    <w:lsdException w:qFormat="1" w:uiPriority="99" w:semiHidden="0" w:name="Body Text Indent 2" w:locked="1"/>
    <w:lsdException w:qFormat="1" w:unhideWhenUsed="0" w:uiPriority="0" w:semiHidden="0" w:name="Body Text Indent 3" w:locked="1"/>
    <w:lsdException w:qFormat="1" w:unhideWhenUsed="0" w:uiPriority="99" w:semiHidden="0" w:name="Block Text" w:locked="1"/>
    <w:lsdException w:qFormat="1" w:unhideWhenUsed="0" w:uiPriority="0" w:semiHidden="0" w:name="Hyperlink" w:locked="1"/>
    <w:lsdException w:qFormat="1" w:uiPriority="99" w:semiHidden="0" w:name="FollowedHyperlink" w:locked="1"/>
    <w:lsdException w:qFormat="1" w:unhideWhenUsed="0" w:uiPriority="0" w:semiHidden="0" w:name="Strong"/>
    <w:lsdException w:qFormat="1" w:unhideWhenUsed="0" w:uiPriority="0" w:semiHidden="0" w:name="Emphasis"/>
    <w:lsdException w:qFormat="1" w:uiPriority="0" w:semiHidden="0" w:name="Document Map" w:locked="1"/>
    <w:lsdException w:qFormat="1" w:unhideWhenUsed="0" w:uiPriority="99" w:semiHidden="0" w:name="Plain Text"/>
    <w:lsdException w:qFormat="1" w:unhideWhenUsed="0" w:uiPriority="99" w:semiHidden="0"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qFormat="1" w:unhideWhenUsed="0" w:uiPriority="0" w:semiHidden="0"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qFormat="1" w:unhideWhenUsed="0" w:uiPriority="0" w:semiHidden="0"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72"/>
    <w:qFormat/>
    <w:uiPriority w:val="0"/>
    <w:pPr>
      <w:keepNext/>
      <w:keepLines/>
      <w:spacing w:before="340" w:after="330" w:line="576" w:lineRule="auto"/>
      <w:outlineLvl w:val="0"/>
    </w:pPr>
    <w:rPr>
      <w:rFonts w:hint="eastAsia" w:ascii="宋体" w:hAnsi="宋体"/>
      <w:b/>
      <w:color w:val="000000"/>
      <w:kern w:val="0"/>
      <w:sz w:val="36"/>
      <w:szCs w:val="20"/>
    </w:rPr>
  </w:style>
  <w:style w:type="paragraph" w:styleId="4">
    <w:name w:val="heading 2"/>
    <w:basedOn w:val="1"/>
    <w:next w:val="1"/>
    <w:link w:val="73"/>
    <w:qFormat/>
    <w:uiPriority w:val="0"/>
    <w:pPr>
      <w:keepNext/>
      <w:keepLines/>
      <w:widowControl/>
      <w:spacing w:before="260" w:after="260" w:line="416" w:lineRule="auto"/>
      <w:jc w:val="left"/>
      <w:outlineLvl w:val="1"/>
    </w:pPr>
    <w:rPr>
      <w:rFonts w:ascii="Arial" w:hAnsi="Arial" w:eastAsia="黑体"/>
      <w:b/>
      <w:bCs/>
      <w:sz w:val="32"/>
      <w:szCs w:val="32"/>
    </w:rPr>
  </w:style>
  <w:style w:type="paragraph" w:styleId="5">
    <w:name w:val="heading 3"/>
    <w:basedOn w:val="1"/>
    <w:next w:val="6"/>
    <w:link w:val="75"/>
    <w:qFormat/>
    <w:uiPriority w:val="99"/>
    <w:pPr>
      <w:keepNext/>
      <w:keepLines/>
      <w:spacing w:before="260" w:after="260" w:line="416" w:lineRule="auto"/>
      <w:outlineLvl w:val="2"/>
    </w:pPr>
    <w:rPr>
      <w:b/>
      <w:bCs/>
      <w:sz w:val="32"/>
      <w:szCs w:val="32"/>
    </w:rPr>
  </w:style>
  <w:style w:type="paragraph" w:styleId="7">
    <w:name w:val="heading 4"/>
    <w:basedOn w:val="1"/>
    <w:next w:val="1"/>
    <w:link w:val="76"/>
    <w:unhideWhenUsed/>
    <w:qFormat/>
    <w:uiPriority w:val="1"/>
    <w:pPr>
      <w:keepNext/>
      <w:spacing w:before="60" w:after="60" w:line="360" w:lineRule="auto"/>
      <w:ind w:left="864" w:hanging="864"/>
      <w:outlineLvl w:val="3"/>
    </w:pPr>
    <w:rPr>
      <w:rFonts w:ascii="宋体" w:hAnsiTheme="majorHAnsi" w:cstheme="majorBidi"/>
      <w:b/>
      <w:bCs/>
      <w:sz w:val="28"/>
      <w:szCs w:val="28"/>
    </w:rPr>
  </w:style>
  <w:style w:type="paragraph" w:styleId="8">
    <w:name w:val="heading 5"/>
    <w:basedOn w:val="1"/>
    <w:next w:val="1"/>
    <w:link w:val="77"/>
    <w:unhideWhenUsed/>
    <w:qFormat/>
    <w:uiPriority w:val="99"/>
    <w:pPr>
      <w:keepNext/>
      <w:spacing w:before="60" w:after="60" w:line="360" w:lineRule="auto"/>
      <w:ind w:left="1008" w:hanging="1008"/>
      <w:outlineLvl w:val="4"/>
    </w:pPr>
    <w:rPr>
      <w:rFonts w:ascii="宋体" w:hAnsiTheme="minorHAnsi" w:cstheme="minorBidi"/>
      <w:b/>
      <w:bCs/>
      <w:sz w:val="24"/>
      <w:szCs w:val="28"/>
    </w:rPr>
  </w:style>
  <w:style w:type="paragraph" w:styleId="9">
    <w:name w:val="heading 6"/>
    <w:next w:val="1"/>
    <w:link w:val="78"/>
    <w:unhideWhenUsed/>
    <w:qFormat/>
    <w:uiPriority w:val="9"/>
    <w:pPr>
      <w:keepNext/>
      <w:widowControl w:val="0"/>
      <w:spacing w:before="60" w:after="60" w:line="360" w:lineRule="auto"/>
      <w:ind w:left="1152" w:hanging="1152"/>
      <w:outlineLvl w:val="5"/>
    </w:pPr>
    <w:rPr>
      <w:rFonts w:eastAsia="宋体" w:asciiTheme="minorHAnsi" w:hAnsiTheme="minorHAnsi" w:cstheme="majorBidi"/>
      <w:b/>
      <w:bCs/>
      <w:kern w:val="2"/>
      <w:sz w:val="24"/>
      <w:szCs w:val="24"/>
      <w:lang w:val="en-US" w:eastAsia="zh-CN" w:bidi="ar-SA"/>
    </w:rPr>
  </w:style>
  <w:style w:type="paragraph" w:styleId="10">
    <w:name w:val="heading 7"/>
    <w:basedOn w:val="1"/>
    <w:next w:val="1"/>
    <w:link w:val="79"/>
    <w:unhideWhenUsed/>
    <w:qFormat/>
    <w:uiPriority w:val="9"/>
    <w:pPr>
      <w:keepNext/>
      <w:keepLines/>
      <w:spacing w:before="240" w:after="64" w:line="320" w:lineRule="auto"/>
      <w:ind w:firstLine="480" w:firstLineChars="200"/>
      <w:outlineLvl w:val="6"/>
    </w:pPr>
    <w:rPr>
      <w:rFonts w:ascii="宋体" w:hAnsiTheme="minorHAnsi" w:cstheme="minorBidi"/>
      <w:b/>
      <w:bCs/>
      <w:sz w:val="24"/>
      <w:szCs w:val="24"/>
    </w:rPr>
  </w:style>
  <w:style w:type="paragraph" w:styleId="11">
    <w:name w:val="heading 8"/>
    <w:basedOn w:val="1"/>
    <w:next w:val="1"/>
    <w:link w:val="80"/>
    <w:unhideWhenUsed/>
    <w:qFormat/>
    <w:uiPriority w:val="0"/>
    <w:pPr>
      <w:keepNext/>
      <w:keepLines/>
      <w:spacing w:before="240" w:after="64" w:line="320" w:lineRule="auto"/>
      <w:ind w:firstLine="480" w:firstLineChars="200"/>
      <w:outlineLvl w:val="7"/>
    </w:pPr>
    <w:rPr>
      <w:rFonts w:asciiTheme="majorHAnsi" w:hAnsiTheme="majorHAnsi" w:eastAsiaTheme="majorEastAsia" w:cstheme="majorBidi"/>
      <w:sz w:val="24"/>
      <w:szCs w:val="24"/>
    </w:rPr>
  </w:style>
  <w:style w:type="paragraph" w:styleId="12">
    <w:name w:val="heading 9"/>
    <w:basedOn w:val="1"/>
    <w:next w:val="1"/>
    <w:link w:val="81"/>
    <w:unhideWhenUsed/>
    <w:qFormat/>
    <w:uiPriority w:val="0"/>
    <w:pPr>
      <w:keepNext/>
      <w:keepLines/>
      <w:spacing w:before="240" w:after="64" w:line="320" w:lineRule="auto"/>
      <w:ind w:firstLine="480" w:firstLineChars="200"/>
      <w:outlineLvl w:val="8"/>
    </w:pPr>
    <w:rPr>
      <w:rFonts w:asciiTheme="majorHAnsi" w:hAnsiTheme="majorHAnsi" w:eastAsiaTheme="majorEastAsia" w:cstheme="majorBidi"/>
      <w:sz w:val="24"/>
    </w:rPr>
  </w:style>
  <w:style w:type="character" w:default="1" w:styleId="62">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customStyle="1" w:styleId="2">
    <w:name w:val="_Style 3"/>
    <w:qFormat/>
    <w:uiPriority w:val="0"/>
    <w:pPr>
      <w:widowControl w:val="0"/>
      <w:jc w:val="both"/>
    </w:pPr>
    <w:rPr>
      <w:rFonts w:ascii="Calibri" w:hAnsi="Calibri" w:eastAsia="宋体" w:cs="Times New Roman"/>
      <w:kern w:val="2"/>
      <w:sz w:val="21"/>
      <w:szCs w:val="22"/>
      <w:lang w:val="en-US" w:eastAsia="zh-CN" w:bidi="ar-SA"/>
    </w:rPr>
  </w:style>
  <w:style w:type="paragraph" w:styleId="6">
    <w:name w:val="Normal Indent"/>
    <w:basedOn w:val="1"/>
    <w:link w:val="74"/>
    <w:qFormat/>
    <w:uiPriority w:val="99"/>
    <w:pPr>
      <w:ind w:firstLine="420"/>
    </w:pPr>
  </w:style>
  <w:style w:type="paragraph" w:styleId="13">
    <w:name w:val="List 3"/>
    <w:basedOn w:val="1"/>
    <w:qFormat/>
    <w:locked/>
    <w:uiPriority w:val="99"/>
    <w:pPr>
      <w:spacing w:line="360" w:lineRule="auto"/>
      <w:ind w:left="100" w:leftChars="400" w:hanging="200" w:hangingChars="200"/>
    </w:pPr>
    <w:rPr>
      <w:sz w:val="24"/>
      <w:szCs w:val="24"/>
    </w:rPr>
  </w:style>
  <w:style w:type="paragraph" w:styleId="14">
    <w:name w:val="toc 7"/>
    <w:basedOn w:val="1"/>
    <w:next w:val="1"/>
    <w:unhideWhenUsed/>
    <w:qFormat/>
    <w:uiPriority w:val="39"/>
    <w:pPr>
      <w:spacing w:line="360" w:lineRule="auto"/>
      <w:ind w:firstLine="200" w:firstLineChars="200"/>
      <w:jc w:val="left"/>
    </w:pPr>
    <w:rPr>
      <w:rFonts w:asciiTheme="minorHAnsi" w:hAnsiTheme="minorHAnsi" w:cstheme="minorBidi"/>
      <w:sz w:val="22"/>
      <w:szCs w:val="22"/>
    </w:rPr>
  </w:style>
  <w:style w:type="paragraph" w:styleId="15">
    <w:name w:val="List Number 2"/>
    <w:basedOn w:val="1"/>
    <w:qFormat/>
    <w:locked/>
    <w:uiPriority w:val="0"/>
    <w:pPr>
      <w:ind w:left="620" w:hanging="420"/>
      <w:contextualSpacing/>
    </w:pPr>
    <w:rPr>
      <w:rFonts w:ascii="Calibri" w:hAnsi="Calibri"/>
      <w:sz w:val="24"/>
      <w:szCs w:val="22"/>
    </w:rPr>
  </w:style>
  <w:style w:type="paragraph" w:styleId="16">
    <w:name w:val="List Bullet 4"/>
    <w:basedOn w:val="1"/>
    <w:qFormat/>
    <w:locked/>
    <w:uiPriority w:val="99"/>
    <w:pPr>
      <w:tabs>
        <w:tab w:val="left" w:pos="1620"/>
      </w:tabs>
      <w:spacing w:line="360" w:lineRule="auto"/>
      <w:ind w:left="1620" w:leftChars="600" w:hanging="360" w:hangingChars="200"/>
    </w:pPr>
    <w:rPr>
      <w:kern w:val="0"/>
      <w:sz w:val="24"/>
      <w:szCs w:val="20"/>
      <w:lang w:eastAsia="en-US"/>
    </w:rPr>
  </w:style>
  <w:style w:type="paragraph" w:styleId="17">
    <w:name w:val="E-mail Signature"/>
    <w:basedOn w:val="1"/>
    <w:link w:val="82"/>
    <w:qFormat/>
    <w:locked/>
    <w:uiPriority w:val="99"/>
    <w:pPr>
      <w:widowControl/>
      <w:spacing w:line="360" w:lineRule="auto"/>
      <w:ind w:firstLine="200" w:firstLineChars="200"/>
      <w:jc w:val="left"/>
    </w:pPr>
    <w:rPr>
      <w:rFonts w:ascii="Tahoma" w:hAnsi="Tahoma"/>
      <w:kern w:val="0"/>
      <w:sz w:val="16"/>
      <w:szCs w:val="24"/>
      <w:lang w:eastAsia="en-US"/>
    </w:rPr>
  </w:style>
  <w:style w:type="paragraph" w:styleId="18">
    <w:name w:val="List Number"/>
    <w:basedOn w:val="1"/>
    <w:qFormat/>
    <w:uiPriority w:val="99"/>
    <w:pPr>
      <w:tabs>
        <w:tab w:val="left" w:pos="1070"/>
      </w:tabs>
      <w:ind w:left="1070" w:hanging="360"/>
    </w:pPr>
  </w:style>
  <w:style w:type="paragraph" w:styleId="19">
    <w:name w:val="caption"/>
    <w:basedOn w:val="1"/>
    <w:next w:val="1"/>
    <w:link w:val="83"/>
    <w:unhideWhenUsed/>
    <w:qFormat/>
    <w:uiPriority w:val="0"/>
    <w:pPr>
      <w:numPr>
        <w:ilvl w:val="0"/>
        <w:numId w:val="1"/>
      </w:numPr>
      <w:spacing w:line="360" w:lineRule="auto"/>
      <w:ind w:left="0" w:firstLine="0"/>
      <w:jc w:val="center"/>
    </w:pPr>
    <w:rPr>
      <w:rFonts w:ascii="Arial Unicode MS" w:hAnsi="Arial Unicode MS" w:cs="宋体"/>
      <w:szCs w:val="20"/>
    </w:rPr>
  </w:style>
  <w:style w:type="paragraph" w:styleId="20">
    <w:name w:val="List Bullet"/>
    <w:basedOn w:val="1"/>
    <w:qFormat/>
    <w:locked/>
    <w:uiPriority w:val="99"/>
    <w:pPr>
      <w:numPr>
        <w:ilvl w:val="0"/>
        <w:numId w:val="2"/>
      </w:numPr>
      <w:spacing w:line="360" w:lineRule="auto"/>
      <w:contextualSpacing/>
    </w:pPr>
    <w:rPr>
      <w:sz w:val="24"/>
      <w:szCs w:val="22"/>
    </w:rPr>
  </w:style>
  <w:style w:type="paragraph" w:styleId="21">
    <w:name w:val="Document Map"/>
    <w:basedOn w:val="1"/>
    <w:link w:val="84"/>
    <w:unhideWhenUsed/>
    <w:qFormat/>
    <w:locked/>
    <w:uiPriority w:val="0"/>
    <w:rPr>
      <w:rFonts w:ascii="宋体"/>
      <w:kern w:val="0"/>
      <w:sz w:val="18"/>
      <w:szCs w:val="18"/>
    </w:rPr>
  </w:style>
  <w:style w:type="paragraph" w:styleId="22">
    <w:name w:val="annotation text"/>
    <w:basedOn w:val="1"/>
    <w:link w:val="85"/>
    <w:qFormat/>
    <w:uiPriority w:val="99"/>
    <w:pPr>
      <w:jc w:val="left"/>
    </w:pPr>
  </w:style>
  <w:style w:type="paragraph" w:styleId="23">
    <w:name w:val="Body Text 3"/>
    <w:basedOn w:val="1"/>
    <w:link w:val="86"/>
    <w:qFormat/>
    <w:locked/>
    <w:uiPriority w:val="99"/>
    <w:pPr>
      <w:spacing w:after="120" w:line="360" w:lineRule="auto"/>
      <w:ind w:firstLine="200" w:firstLineChars="200"/>
    </w:pPr>
    <w:rPr>
      <w:sz w:val="16"/>
      <w:szCs w:val="16"/>
      <w:lang w:eastAsia="en-US"/>
    </w:rPr>
  </w:style>
  <w:style w:type="paragraph" w:styleId="24">
    <w:name w:val="List Bullet 3"/>
    <w:basedOn w:val="1"/>
    <w:qFormat/>
    <w:locked/>
    <w:uiPriority w:val="99"/>
    <w:pPr>
      <w:tabs>
        <w:tab w:val="left" w:pos="1200"/>
      </w:tabs>
      <w:spacing w:line="360" w:lineRule="auto"/>
      <w:ind w:left="1200" w:leftChars="400" w:hanging="360" w:hangingChars="200"/>
    </w:pPr>
    <w:rPr>
      <w:kern w:val="0"/>
      <w:sz w:val="24"/>
      <w:szCs w:val="20"/>
      <w:lang w:eastAsia="en-US"/>
    </w:rPr>
  </w:style>
  <w:style w:type="paragraph" w:styleId="25">
    <w:name w:val="Body Text"/>
    <w:basedOn w:val="1"/>
    <w:next w:val="26"/>
    <w:link w:val="88"/>
    <w:qFormat/>
    <w:uiPriority w:val="99"/>
    <w:pPr>
      <w:spacing w:line="360" w:lineRule="exact"/>
    </w:pPr>
    <w:rPr>
      <w:sz w:val="24"/>
      <w:szCs w:val="24"/>
    </w:rPr>
  </w:style>
  <w:style w:type="paragraph" w:styleId="26">
    <w:name w:val="Body Text First Indent"/>
    <w:basedOn w:val="25"/>
    <w:next w:val="1"/>
    <w:link w:val="87"/>
    <w:qFormat/>
    <w:locked/>
    <w:uiPriority w:val="99"/>
    <w:pPr>
      <w:autoSpaceDE w:val="0"/>
      <w:autoSpaceDN w:val="0"/>
      <w:adjustRightInd w:val="0"/>
      <w:spacing w:line="360" w:lineRule="auto"/>
      <w:ind w:firstLine="420" w:firstLineChars="100"/>
    </w:pPr>
  </w:style>
  <w:style w:type="paragraph" w:styleId="27">
    <w:name w:val="Body Text Indent"/>
    <w:basedOn w:val="1"/>
    <w:next w:val="1"/>
    <w:link w:val="89"/>
    <w:qFormat/>
    <w:uiPriority w:val="99"/>
    <w:pPr>
      <w:spacing w:after="120"/>
      <w:ind w:left="420" w:leftChars="200"/>
    </w:pPr>
  </w:style>
  <w:style w:type="paragraph" w:styleId="28">
    <w:name w:val="List Number 3"/>
    <w:basedOn w:val="1"/>
    <w:qFormat/>
    <w:locked/>
    <w:uiPriority w:val="0"/>
    <w:pPr>
      <w:numPr>
        <w:ilvl w:val="0"/>
        <w:numId w:val="3"/>
      </w:numPr>
      <w:spacing w:line="312" w:lineRule="auto"/>
      <w:ind w:firstLine="0"/>
    </w:pPr>
    <w:rPr>
      <w:szCs w:val="24"/>
    </w:rPr>
  </w:style>
  <w:style w:type="paragraph" w:styleId="29">
    <w:name w:val="List 2"/>
    <w:basedOn w:val="1"/>
    <w:qFormat/>
    <w:locked/>
    <w:uiPriority w:val="99"/>
    <w:pPr>
      <w:spacing w:line="360" w:lineRule="auto"/>
      <w:ind w:left="100" w:leftChars="200" w:hanging="200" w:hangingChars="200"/>
    </w:pPr>
    <w:rPr>
      <w:sz w:val="24"/>
      <w:szCs w:val="24"/>
    </w:rPr>
  </w:style>
  <w:style w:type="paragraph" w:styleId="30">
    <w:name w:val="Block Text"/>
    <w:qFormat/>
    <w:locked/>
    <w:uiPriority w:val="99"/>
    <w:pPr>
      <w:ind w:left="420" w:right="33"/>
    </w:pPr>
    <w:rPr>
      <w:rFonts w:ascii="宋体" w:hAnsi="宋体" w:eastAsia="宋体" w:cs="Times New Roman"/>
      <w:kern w:val="1"/>
      <w:sz w:val="24"/>
      <w:lang w:val="en-US" w:eastAsia="zh-CN" w:bidi="ar-SA"/>
    </w:rPr>
  </w:style>
  <w:style w:type="paragraph" w:styleId="31">
    <w:name w:val="List Bullet 2"/>
    <w:basedOn w:val="1"/>
    <w:qFormat/>
    <w:locked/>
    <w:uiPriority w:val="99"/>
    <w:pPr>
      <w:numPr>
        <w:ilvl w:val="0"/>
        <w:numId w:val="4"/>
      </w:numPr>
      <w:spacing w:line="360" w:lineRule="auto"/>
      <w:ind w:firstLine="0"/>
      <w:contextualSpacing/>
    </w:pPr>
    <w:rPr>
      <w:rFonts w:ascii="Arial" w:hAnsi="Arial" w:cs="宋体"/>
      <w:sz w:val="24"/>
      <w:szCs w:val="20"/>
    </w:rPr>
  </w:style>
  <w:style w:type="paragraph" w:styleId="32">
    <w:name w:val="toc 5"/>
    <w:basedOn w:val="1"/>
    <w:next w:val="1"/>
    <w:unhideWhenUsed/>
    <w:qFormat/>
    <w:uiPriority w:val="39"/>
    <w:pPr>
      <w:spacing w:line="360" w:lineRule="auto"/>
      <w:ind w:firstLine="200" w:firstLineChars="200"/>
      <w:jc w:val="left"/>
    </w:pPr>
    <w:rPr>
      <w:rFonts w:asciiTheme="minorHAnsi" w:hAnsiTheme="minorHAnsi" w:cstheme="minorBidi"/>
      <w:sz w:val="22"/>
      <w:szCs w:val="22"/>
    </w:rPr>
  </w:style>
  <w:style w:type="paragraph" w:styleId="33">
    <w:name w:val="toc 3"/>
    <w:basedOn w:val="1"/>
    <w:next w:val="1"/>
    <w:unhideWhenUsed/>
    <w:qFormat/>
    <w:uiPriority w:val="99"/>
    <w:pPr>
      <w:spacing w:line="360" w:lineRule="auto"/>
      <w:ind w:left="100" w:leftChars="100" w:firstLine="200" w:firstLineChars="200"/>
      <w:jc w:val="left"/>
    </w:pPr>
    <w:rPr>
      <w:rFonts w:asciiTheme="minorHAnsi" w:hAnsiTheme="minorHAnsi" w:cstheme="minorBidi"/>
      <w:smallCaps/>
      <w:sz w:val="22"/>
      <w:szCs w:val="22"/>
    </w:rPr>
  </w:style>
  <w:style w:type="paragraph" w:styleId="34">
    <w:name w:val="Plain Text"/>
    <w:basedOn w:val="1"/>
    <w:next w:val="35"/>
    <w:link w:val="90"/>
    <w:qFormat/>
    <w:uiPriority w:val="99"/>
    <w:rPr>
      <w:rFonts w:ascii="宋体" w:hAnsi="Courier New" w:cs="宋体"/>
    </w:rPr>
  </w:style>
  <w:style w:type="paragraph" w:styleId="35">
    <w:name w:val="Date"/>
    <w:basedOn w:val="1"/>
    <w:next w:val="1"/>
    <w:link w:val="91"/>
    <w:qFormat/>
    <w:uiPriority w:val="99"/>
    <w:pPr>
      <w:ind w:left="2500" w:leftChars="2500"/>
    </w:pPr>
    <w:rPr>
      <w:rFonts w:ascii="Calibri" w:hAnsi="Calibri" w:eastAsia="楷体_GB2312" w:cs="Calibri"/>
      <w:sz w:val="32"/>
      <w:szCs w:val="32"/>
    </w:rPr>
  </w:style>
  <w:style w:type="paragraph" w:styleId="36">
    <w:name w:val="toc 8"/>
    <w:basedOn w:val="1"/>
    <w:next w:val="1"/>
    <w:unhideWhenUsed/>
    <w:qFormat/>
    <w:uiPriority w:val="39"/>
    <w:pPr>
      <w:spacing w:line="360" w:lineRule="auto"/>
      <w:ind w:firstLine="200" w:firstLineChars="200"/>
      <w:jc w:val="left"/>
    </w:pPr>
    <w:rPr>
      <w:rFonts w:asciiTheme="minorHAnsi" w:hAnsiTheme="minorHAnsi" w:cstheme="minorBidi"/>
      <w:sz w:val="22"/>
      <w:szCs w:val="22"/>
    </w:rPr>
  </w:style>
  <w:style w:type="paragraph" w:styleId="37">
    <w:name w:val="Body Text Indent 2"/>
    <w:basedOn w:val="1"/>
    <w:link w:val="92"/>
    <w:unhideWhenUsed/>
    <w:qFormat/>
    <w:locked/>
    <w:uiPriority w:val="99"/>
    <w:pPr>
      <w:spacing w:after="120" w:line="480" w:lineRule="auto"/>
      <w:ind w:left="420" w:leftChars="200" w:firstLine="200" w:firstLineChars="200"/>
    </w:pPr>
    <w:rPr>
      <w:sz w:val="24"/>
      <w:szCs w:val="24"/>
    </w:rPr>
  </w:style>
  <w:style w:type="paragraph" w:styleId="38">
    <w:name w:val="Balloon Text"/>
    <w:basedOn w:val="1"/>
    <w:link w:val="93"/>
    <w:qFormat/>
    <w:uiPriority w:val="99"/>
    <w:rPr>
      <w:sz w:val="18"/>
      <w:szCs w:val="18"/>
    </w:rPr>
  </w:style>
  <w:style w:type="paragraph" w:styleId="39">
    <w:name w:val="footer"/>
    <w:basedOn w:val="1"/>
    <w:link w:val="94"/>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41">
    <w:name w:val="toc 1"/>
    <w:basedOn w:val="1"/>
    <w:next w:val="1"/>
    <w:unhideWhenUsed/>
    <w:qFormat/>
    <w:uiPriority w:val="39"/>
    <w:pPr>
      <w:spacing w:before="60" w:after="60" w:line="360" w:lineRule="auto"/>
      <w:ind w:firstLine="200" w:firstLineChars="200"/>
      <w:jc w:val="left"/>
    </w:pPr>
    <w:rPr>
      <w:rFonts w:asciiTheme="minorHAnsi" w:hAnsiTheme="minorHAnsi" w:cstheme="minorBidi"/>
      <w:b/>
      <w:bCs/>
      <w:caps/>
      <w:sz w:val="22"/>
      <w:szCs w:val="22"/>
    </w:rPr>
  </w:style>
  <w:style w:type="paragraph" w:styleId="42">
    <w:name w:val="toc 4"/>
    <w:basedOn w:val="1"/>
    <w:next w:val="1"/>
    <w:unhideWhenUsed/>
    <w:qFormat/>
    <w:uiPriority w:val="39"/>
    <w:pPr>
      <w:spacing w:line="360" w:lineRule="auto"/>
      <w:ind w:firstLine="200" w:firstLineChars="200"/>
      <w:jc w:val="left"/>
    </w:pPr>
    <w:rPr>
      <w:rFonts w:asciiTheme="minorHAnsi" w:hAnsiTheme="minorHAnsi" w:cstheme="minorBidi"/>
      <w:sz w:val="22"/>
      <w:szCs w:val="22"/>
    </w:rPr>
  </w:style>
  <w:style w:type="paragraph" w:styleId="43">
    <w:name w:val="Subtitle"/>
    <w:basedOn w:val="1"/>
    <w:next w:val="1"/>
    <w:link w:val="96"/>
    <w:qFormat/>
    <w:uiPriority w:val="99"/>
    <w:pPr>
      <w:spacing w:before="100" w:after="100" w:line="360" w:lineRule="auto"/>
      <w:ind w:firstLine="200" w:firstLineChars="200"/>
      <w:jc w:val="left"/>
      <w:outlineLvl w:val="1"/>
    </w:pPr>
    <w:rPr>
      <w:rFonts w:ascii="Cambria" w:hAnsi="Cambria"/>
      <w:b/>
      <w:bCs/>
      <w:kern w:val="28"/>
      <w:sz w:val="32"/>
      <w:szCs w:val="32"/>
    </w:rPr>
  </w:style>
  <w:style w:type="paragraph" w:styleId="44">
    <w:name w:val="List"/>
    <w:basedOn w:val="1"/>
    <w:qFormat/>
    <w:locked/>
    <w:uiPriority w:val="99"/>
    <w:pPr>
      <w:spacing w:line="360" w:lineRule="auto"/>
      <w:ind w:left="200" w:hanging="200" w:hangingChars="200"/>
    </w:pPr>
    <w:rPr>
      <w:kern w:val="0"/>
      <w:sz w:val="24"/>
      <w:szCs w:val="20"/>
      <w:lang w:eastAsia="en-US"/>
    </w:rPr>
  </w:style>
  <w:style w:type="paragraph" w:styleId="45">
    <w:name w:val="footnote text"/>
    <w:basedOn w:val="1"/>
    <w:link w:val="97"/>
    <w:qFormat/>
    <w:locked/>
    <w:uiPriority w:val="99"/>
    <w:pPr>
      <w:snapToGrid w:val="0"/>
      <w:spacing w:line="360" w:lineRule="auto"/>
      <w:ind w:firstLine="200" w:firstLineChars="200"/>
      <w:jc w:val="left"/>
    </w:pPr>
    <w:rPr>
      <w:sz w:val="18"/>
      <w:szCs w:val="18"/>
    </w:rPr>
  </w:style>
  <w:style w:type="paragraph" w:styleId="46">
    <w:name w:val="toc 6"/>
    <w:basedOn w:val="1"/>
    <w:next w:val="1"/>
    <w:unhideWhenUsed/>
    <w:qFormat/>
    <w:uiPriority w:val="0"/>
    <w:pPr>
      <w:spacing w:line="360" w:lineRule="auto"/>
      <w:ind w:firstLine="200" w:firstLineChars="200"/>
      <w:jc w:val="left"/>
    </w:pPr>
    <w:rPr>
      <w:rFonts w:asciiTheme="minorHAnsi" w:hAnsiTheme="minorHAnsi" w:cstheme="minorBidi"/>
      <w:sz w:val="22"/>
      <w:szCs w:val="22"/>
    </w:rPr>
  </w:style>
  <w:style w:type="paragraph" w:styleId="47">
    <w:name w:val="List 5"/>
    <w:basedOn w:val="1"/>
    <w:qFormat/>
    <w:locked/>
    <w:uiPriority w:val="99"/>
    <w:pPr>
      <w:spacing w:line="360" w:lineRule="auto"/>
      <w:ind w:left="100" w:leftChars="800" w:hanging="200" w:hangingChars="200"/>
    </w:pPr>
    <w:rPr>
      <w:sz w:val="24"/>
      <w:szCs w:val="24"/>
    </w:rPr>
  </w:style>
  <w:style w:type="paragraph" w:styleId="48">
    <w:name w:val="Body Text Indent 3"/>
    <w:basedOn w:val="1"/>
    <w:link w:val="98"/>
    <w:qFormat/>
    <w:locked/>
    <w:uiPriority w:val="0"/>
    <w:pPr>
      <w:ind w:firstLine="420"/>
    </w:pPr>
    <w:rPr>
      <w:sz w:val="28"/>
      <w:szCs w:val="20"/>
    </w:rPr>
  </w:style>
  <w:style w:type="paragraph" w:styleId="49">
    <w:name w:val="table of figures"/>
    <w:basedOn w:val="1"/>
    <w:next w:val="1"/>
    <w:unhideWhenUsed/>
    <w:qFormat/>
    <w:locked/>
    <w:uiPriority w:val="99"/>
    <w:pPr>
      <w:spacing w:line="360" w:lineRule="auto"/>
      <w:ind w:left="200" w:leftChars="200" w:hanging="200" w:hangingChars="200"/>
    </w:pPr>
    <w:rPr>
      <w:sz w:val="24"/>
      <w:szCs w:val="22"/>
    </w:rPr>
  </w:style>
  <w:style w:type="paragraph" w:styleId="50">
    <w:name w:val="toc 2"/>
    <w:basedOn w:val="1"/>
    <w:next w:val="1"/>
    <w:unhideWhenUsed/>
    <w:qFormat/>
    <w:uiPriority w:val="0"/>
    <w:pPr>
      <w:tabs>
        <w:tab w:val="right" w:leader="dot" w:pos="8296"/>
      </w:tabs>
      <w:spacing w:line="480" w:lineRule="auto"/>
      <w:ind w:left="120" w:leftChars="50" w:firstLine="440" w:firstLineChars="200"/>
      <w:jc w:val="left"/>
    </w:pPr>
    <w:rPr>
      <w:rFonts w:asciiTheme="minorHAnsi" w:hAnsiTheme="minorHAnsi" w:cstheme="minorBidi"/>
      <w:bCs/>
      <w:smallCaps/>
      <w:sz w:val="22"/>
      <w:szCs w:val="22"/>
    </w:rPr>
  </w:style>
  <w:style w:type="paragraph" w:styleId="51">
    <w:name w:val="toc 9"/>
    <w:basedOn w:val="1"/>
    <w:next w:val="1"/>
    <w:unhideWhenUsed/>
    <w:qFormat/>
    <w:uiPriority w:val="39"/>
    <w:pPr>
      <w:spacing w:line="360" w:lineRule="auto"/>
      <w:ind w:firstLine="200" w:firstLineChars="200"/>
      <w:jc w:val="left"/>
    </w:pPr>
    <w:rPr>
      <w:rFonts w:asciiTheme="minorHAnsi" w:hAnsiTheme="minorHAnsi" w:cstheme="minorBidi"/>
      <w:sz w:val="22"/>
      <w:szCs w:val="22"/>
    </w:rPr>
  </w:style>
  <w:style w:type="paragraph" w:styleId="52">
    <w:name w:val="Body Text 2"/>
    <w:basedOn w:val="1"/>
    <w:link w:val="99"/>
    <w:qFormat/>
    <w:locked/>
    <w:uiPriority w:val="99"/>
    <w:pPr>
      <w:widowControl/>
      <w:spacing w:before="60" w:after="60" w:line="360" w:lineRule="auto"/>
      <w:ind w:firstLine="200" w:firstLineChars="200"/>
    </w:pPr>
    <w:rPr>
      <w:rFonts w:ascii="Arial" w:hAnsi="Arial"/>
      <w:spacing w:val="-5"/>
      <w:kern w:val="0"/>
      <w:sz w:val="22"/>
      <w:szCs w:val="20"/>
      <w:lang w:eastAsia="en-US"/>
    </w:rPr>
  </w:style>
  <w:style w:type="paragraph" w:styleId="53">
    <w:name w:val="List 4"/>
    <w:basedOn w:val="1"/>
    <w:qFormat/>
    <w:locked/>
    <w:uiPriority w:val="99"/>
    <w:pPr>
      <w:spacing w:line="360" w:lineRule="auto"/>
      <w:ind w:left="100" w:leftChars="600" w:hanging="200" w:hangingChars="200"/>
    </w:pPr>
    <w:rPr>
      <w:sz w:val="24"/>
      <w:szCs w:val="24"/>
    </w:rPr>
  </w:style>
  <w:style w:type="paragraph" w:styleId="54">
    <w:name w:val="HTML Preformatted"/>
    <w:basedOn w:val="1"/>
    <w:link w:val="100"/>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Arial" w:hAnsi="Arial"/>
      <w:kern w:val="0"/>
      <w:sz w:val="24"/>
      <w:szCs w:val="24"/>
    </w:rPr>
  </w:style>
  <w:style w:type="paragraph" w:styleId="5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56">
    <w:name w:val="Title"/>
    <w:basedOn w:val="1"/>
    <w:next w:val="1"/>
    <w:link w:val="71"/>
    <w:qFormat/>
    <w:uiPriority w:val="10"/>
    <w:pPr>
      <w:autoSpaceDE w:val="0"/>
      <w:autoSpaceDN w:val="0"/>
      <w:adjustRightInd w:val="0"/>
      <w:spacing w:before="240" w:after="60"/>
      <w:jc w:val="center"/>
      <w:outlineLvl w:val="0"/>
    </w:pPr>
    <w:rPr>
      <w:rFonts w:ascii="Cambria" w:hAnsi="Cambria"/>
      <w:b/>
      <w:color w:val="000000"/>
      <w:kern w:val="0"/>
      <w:sz w:val="32"/>
      <w:szCs w:val="32"/>
    </w:rPr>
  </w:style>
  <w:style w:type="paragraph" w:styleId="57">
    <w:name w:val="annotation subject"/>
    <w:basedOn w:val="22"/>
    <w:next w:val="22"/>
    <w:link w:val="101"/>
    <w:qFormat/>
    <w:uiPriority w:val="99"/>
    <w:rPr>
      <w:b/>
      <w:bCs/>
    </w:rPr>
  </w:style>
  <w:style w:type="paragraph" w:styleId="58">
    <w:name w:val="Body Text First Indent 2"/>
    <w:basedOn w:val="27"/>
    <w:link w:val="102"/>
    <w:qFormat/>
    <w:locked/>
    <w:uiPriority w:val="0"/>
    <w:pPr>
      <w:overflowPunct w:val="0"/>
      <w:autoSpaceDE w:val="0"/>
      <w:autoSpaceDN w:val="0"/>
      <w:spacing w:line="360" w:lineRule="auto"/>
      <w:ind w:firstLine="420" w:firstLineChars="200"/>
    </w:pPr>
    <w:rPr>
      <w:spacing w:val="12"/>
      <w:szCs w:val="24"/>
    </w:rPr>
  </w:style>
  <w:style w:type="table" w:styleId="60">
    <w:name w:val="Table Grid"/>
    <w:basedOn w:val="5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1">
    <w:name w:val="Table Grid 7"/>
    <w:basedOn w:val="59"/>
    <w:qFormat/>
    <w:locked/>
    <w:uiPriority w:val="0"/>
    <w:pPr>
      <w:widowControl w:val="0"/>
      <w:spacing w:line="360"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character" w:styleId="63">
    <w:name w:val="Strong"/>
    <w:basedOn w:val="62"/>
    <w:qFormat/>
    <w:uiPriority w:val="0"/>
  </w:style>
  <w:style w:type="character" w:styleId="64">
    <w:name w:val="page number"/>
    <w:basedOn w:val="62"/>
    <w:qFormat/>
    <w:locked/>
    <w:uiPriority w:val="0"/>
  </w:style>
  <w:style w:type="character" w:styleId="65">
    <w:name w:val="FollowedHyperlink"/>
    <w:unhideWhenUsed/>
    <w:qFormat/>
    <w:locked/>
    <w:uiPriority w:val="99"/>
    <w:rPr>
      <w:color w:val="954F72"/>
      <w:u w:val="single"/>
    </w:rPr>
  </w:style>
  <w:style w:type="character" w:styleId="66">
    <w:name w:val="Emphasis"/>
    <w:basedOn w:val="62"/>
    <w:qFormat/>
    <w:uiPriority w:val="0"/>
    <w:rPr>
      <w:color w:val="CC0000"/>
    </w:rPr>
  </w:style>
  <w:style w:type="character" w:styleId="67">
    <w:name w:val="Hyperlink"/>
    <w:basedOn w:val="62"/>
    <w:qFormat/>
    <w:locked/>
    <w:uiPriority w:val="0"/>
    <w:rPr>
      <w:color w:val="0000FF"/>
      <w:u w:val="single"/>
    </w:rPr>
  </w:style>
  <w:style w:type="character" w:styleId="68">
    <w:name w:val="annotation reference"/>
    <w:qFormat/>
    <w:uiPriority w:val="99"/>
    <w:rPr>
      <w:rFonts w:cs="Times New Roman"/>
      <w:sz w:val="21"/>
      <w:szCs w:val="21"/>
    </w:rPr>
  </w:style>
  <w:style w:type="character" w:styleId="69">
    <w:name w:val="footnote reference"/>
    <w:qFormat/>
    <w:locked/>
    <w:uiPriority w:val="0"/>
    <w:rPr>
      <w:vertAlign w:val="superscript"/>
    </w:rPr>
  </w:style>
  <w:style w:type="character" w:styleId="70">
    <w:name w:val="HTML Sample"/>
    <w:basedOn w:val="62"/>
    <w:qFormat/>
    <w:locked/>
    <w:uiPriority w:val="0"/>
    <w:rPr>
      <w:rFonts w:ascii="Courier New" w:hAnsi="Courier New" w:cs="Courier New"/>
    </w:rPr>
  </w:style>
  <w:style w:type="character" w:customStyle="1" w:styleId="71">
    <w:name w:val="标题 字符"/>
    <w:basedOn w:val="62"/>
    <w:link w:val="56"/>
    <w:qFormat/>
    <w:uiPriority w:val="10"/>
    <w:rPr>
      <w:rFonts w:ascii="Cambria" w:hAnsi="Cambria"/>
      <w:b/>
      <w:color w:val="000000"/>
      <w:sz w:val="32"/>
      <w:szCs w:val="32"/>
    </w:rPr>
  </w:style>
  <w:style w:type="character" w:customStyle="1" w:styleId="72">
    <w:name w:val="标题 1 字符"/>
    <w:basedOn w:val="62"/>
    <w:link w:val="3"/>
    <w:qFormat/>
    <w:uiPriority w:val="99"/>
    <w:rPr>
      <w:rFonts w:ascii="宋体" w:hAnsi="宋体"/>
      <w:b/>
      <w:color w:val="000000"/>
      <w:sz w:val="36"/>
    </w:rPr>
  </w:style>
  <w:style w:type="character" w:customStyle="1" w:styleId="73">
    <w:name w:val="标题 2 字符"/>
    <w:basedOn w:val="62"/>
    <w:link w:val="4"/>
    <w:qFormat/>
    <w:uiPriority w:val="99"/>
    <w:rPr>
      <w:rFonts w:ascii="Arial" w:hAnsi="Arial" w:eastAsia="黑体"/>
      <w:b/>
      <w:bCs/>
      <w:kern w:val="2"/>
      <w:sz w:val="32"/>
      <w:szCs w:val="32"/>
    </w:rPr>
  </w:style>
  <w:style w:type="character" w:customStyle="1" w:styleId="74">
    <w:name w:val="正文缩进 字符"/>
    <w:link w:val="6"/>
    <w:qFormat/>
    <w:uiPriority w:val="0"/>
    <w:rPr>
      <w:kern w:val="2"/>
      <w:sz w:val="21"/>
      <w:szCs w:val="21"/>
    </w:rPr>
  </w:style>
  <w:style w:type="character" w:customStyle="1" w:styleId="75">
    <w:name w:val="标题 3 字符"/>
    <w:link w:val="5"/>
    <w:qFormat/>
    <w:locked/>
    <w:uiPriority w:val="99"/>
    <w:rPr>
      <w:rFonts w:cs="Times New Roman"/>
      <w:sz w:val="32"/>
      <w:szCs w:val="32"/>
    </w:rPr>
  </w:style>
  <w:style w:type="character" w:customStyle="1" w:styleId="76">
    <w:name w:val="标题 4 字符"/>
    <w:basedOn w:val="62"/>
    <w:link w:val="7"/>
    <w:qFormat/>
    <w:uiPriority w:val="99"/>
    <w:rPr>
      <w:rFonts w:ascii="宋体" w:hAnsiTheme="majorHAnsi" w:cstheme="majorBidi"/>
      <w:b/>
      <w:bCs/>
      <w:kern w:val="2"/>
      <w:sz w:val="28"/>
      <w:szCs w:val="28"/>
    </w:rPr>
  </w:style>
  <w:style w:type="character" w:customStyle="1" w:styleId="77">
    <w:name w:val="标题 5 字符"/>
    <w:basedOn w:val="62"/>
    <w:link w:val="8"/>
    <w:qFormat/>
    <w:uiPriority w:val="99"/>
    <w:rPr>
      <w:rFonts w:ascii="宋体" w:hAnsiTheme="minorHAnsi" w:cstheme="minorBidi"/>
      <w:b/>
      <w:bCs/>
      <w:kern w:val="2"/>
      <w:sz w:val="24"/>
      <w:szCs w:val="28"/>
    </w:rPr>
  </w:style>
  <w:style w:type="character" w:customStyle="1" w:styleId="78">
    <w:name w:val="标题 6 字符"/>
    <w:basedOn w:val="62"/>
    <w:link w:val="9"/>
    <w:qFormat/>
    <w:uiPriority w:val="9"/>
    <w:rPr>
      <w:rFonts w:asciiTheme="minorHAnsi" w:hAnsiTheme="minorHAnsi" w:cstheme="majorBidi"/>
      <w:b/>
      <w:bCs/>
      <w:kern w:val="2"/>
      <w:sz w:val="24"/>
      <w:szCs w:val="24"/>
    </w:rPr>
  </w:style>
  <w:style w:type="character" w:customStyle="1" w:styleId="79">
    <w:name w:val="标题 7 字符"/>
    <w:basedOn w:val="62"/>
    <w:link w:val="10"/>
    <w:qFormat/>
    <w:uiPriority w:val="9"/>
    <w:rPr>
      <w:rFonts w:ascii="宋体" w:hAnsiTheme="minorHAnsi" w:cstheme="minorBidi"/>
      <w:b/>
      <w:bCs/>
      <w:kern w:val="2"/>
      <w:sz w:val="24"/>
      <w:szCs w:val="24"/>
    </w:rPr>
  </w:style>
  <w:style w:type="character" w:customStyle="1" w:styleId="80">
    <w:name w:val="标题 8 字符"/>
    <w:basedOn w:val="62"/>
    <w:link w:val="11"/>
    <w:qFormat/>
    <w:uiPriority w:val="0"/>
    <w:rPr>
      <w:rFonts w:asciiTheme="majorHAnsi" w:hAnsiTheme="majorHAnsi" w:eastAsiaTheme="majorEastAsia" w:cstheme="majorBidi"/>
      <w:kern w:val="2"/>
      <w:sz w:val="24"/>
      <w:szCs w:val="24"/>
    </w:rPr>
  </w:style>
  <w:style w:type="character" w:customStyle="1" w:styleId="81">
    <w:name w:val="标题 9 字符"/>
    <w:basedOn w:val="62"/>
    <w:link w:val="12"/>
    <w:qFormat/>
    <w:uiPriority w:val="0"/>
    <w:rPr>
      <w:rFonts w:asciiTheme="majorHAnsi" w:hAnsiTheme="majorHAnsi" w:eastAsiaTheme="majorEastAsia" w:cstheme="majorBidi"/>
      <w:kern w:val="2"/>
      <w:sz w:val="24"/>
      <w:szCs w:val="21"/>
    </w:rPr>
  </w:style>
  <w:style w:type="character" w:customStyle="1" w:styleId="82">
    <w:name w:val="电子邮件签名 字符"/>
    <w:basedOn w:val="62"/>
    <w:link w:val="17"/>
    <w:qFormat/>
    <w:uiPriority w:val="99"/>
    <w:rPr>
      <w:rFonts w:ascii="Tahoma" w:hAnsi="Tahoma"/>
      <w:sz w:val="16"/>
      <w:szCs w:val="24"/>
      <w:lang w:eastAsia="en-US"/>
    </w:rPr>
  </w:style>
  <w:style w:type="character" w:customStyle="1" w:styleId="83">
    <w:name w:val="题注 字符"/>
    <w:link w:val="19"/>
    <w:qFormat/>
    <w:locked/>
    <w:uiPriority w:val="0"/>
    <w:rPr>
      <w:rFonts w:ascii="Arial Unicode MS" w:hAnsi="Arial Unicode MS" w:cs="宋体"/>
      <w:kern w:val="2"/>
      <w:sz w:val="21"/>
    </w:rPr>
  </w:style>
  <w:style w:type="character" w:customStyle="1" w:styleId="84">
    <w:name w:val="文档结构图 字符"/>
    <w:basedOn w:val="62"/>
    <w:link w:val="21"/>
    <w:qFormat/>
    <w:uiPriority w:val="0"/>
    <w:rPr>
      <w:rFonts w:ascii="宋体"/>
      <w:sz w:val="18"/>
      <w:szCs w:val="18"/>
    </w:rPr>
  </w:style>
  <w:style w:type="character" w:customStyle="1" w:styleId="85">
    <w:name w:val="批注文字 字符"/>
    <w:link w:val="22"/>
    <w:qFormat/>
    <w:locked/>
    <w:uiPriority w:val="99"/>
    <w:rPr>
      <w:rFonts w:ascii="Times New Roman" w:hAnsi="Times New Roman" w:eastAsia="宋体" w:cs="Times New Roman"/>
      <w:kern w:val="2"/>
      <w:sz w:val="24"/>
      <w:szCs w:val="24"/>
    </w:rPr>
  </w:style>
  <w:style w:type="character" w:customStyle="1" w:styleId="86">
    <w:name w:val="正文文本 3 字符"/>
    <w:basedOn w:val="62"/>
    <w:link w:val="23"/>
    <w:qFormat/>
    <w:uiPriority w:val="99"/>
    <w:rPr>
      <w:kern w:val="2"/>
      <w:sz w:val="16"/>
      <w:szCs w:val="16"/>
      <w:lang w:eastAsia="en-US"/>
    </w:rPr>
  </w:style>
  <w:style w:type="character" w:customStyle="1" w:styleId="87">
    <w:name w:val="正文首行缩进 字符"/>
    <w:link w:val="26"/>
    <w:qFormat/>
    <w:uiPriority w:val="99"/>
    <w:rPr>
      <w:kern w:val="2"/>
      <w:sz w:val="24"/>
      <w:szCs w:val="24"/>
    </w:rPr>
  </w:style>
  <w:style w:type="character" w:customStyle="1" w:styleId="88">
    <w:name w:val="正文文本 字符"/>
    <w:link w:val="25"/>
    <w:qFormat/>
    <w:locked/>
    <w:uiPriority w:val="99"/>
    <w:rPr>
      <w:rFonts w:cs="Times New Roman"/>
      <w:sz w:val="21"/>
      <w:szCs w:val="21"/>
    </w:rPr>
  </w:style>
  <w:style w:type="character" w:customStyle="1" w:styleId="89">
    <w:name w:val="正文文本缩进 字符"/>
    <w:link w:val="27"/>
    <w:qFormat/>
    <w:locked/>
    <w:uiPriority w:val="99"/>
    <w:rPr>
      <w:rFonts w:cs="Times New Roman"/>
      <w:kern w:val="2"/>
      <w:sz w:val="24"/>
      <w:szCs w:val="24"/>
    </w:rPr>
  </w:style>
  <w:style w:type="character" w:customStyle="1" w:styleId="90">
    <w:name w:val="纯文本 字符"/>
    <w:basedOn w:val="62"/>
    <w:link w:val="34"/>
    <w:qFormat/>
    <w:locked/>
    <w:uiPriority w:val="99"/>
    <w:rPr>
      <w:rFonts w:ascii="宋体" w:hAnsi="Courier New" w:cs="Courier New"/>
      <w:sz w:val="21"/>
      <w:szCs w:val="21"/>
    </w:rPr>
  </w:style>
  <w:style w:type="character" w:customStyle="1" w:styleId="91">
    <w:name w:val="日期 字符"/>
    <w:link w:val="35"/>
    <w:qFormat/>
    <w:locked/>
    <w:uiPriority w:val="99"/>
    <w:rPr>
      <w:rFonts w:cs="Times New Roman"/>
      <w:sz w:val="21"/>
      <w:szCs w:val="21"/>
    </w:rPr>
  </w:style>
  <w:style w:type="character" w:customStyle="1" w:styleId="92">
    <w:name w:val="正文文本缩进 2 字符"/>
    <w:basedOn w:val="62"/>
    <w:link w:val="37"/>
    <w:qFormat/>
    <w:uiPriority w:val="99"/>
    <w:rPr>
      <w:kern w:val="2"/>
      <w:sz w:val="24"/>
      <w:szCs w:val="24"/>
    </w:rPr>
  </w:style>
  <w:style w:type="character" w:customStyle="1" w:styleId="93">
    <w:name w:val="批注框文本 字符"/>
    <w:link w:val="38"/>
    <w:qFormat/>
    <w:locked/>
    <w:uiPriority w:val="99"/>
    <w:rPr>
      <w:rFonts w:ascii="Times New Roman" w:hAnsi="Times New Roman" w:eastAsia="宋体" w:cs="Times New Roman"/>
      <w:kern w:val="2"/>
      <w:sz w:val="18"/>
      <w:szCs w:val="18"/>
    </w:rPr>
  </w:style>
  <w:style w:type="character" w:customStyle="1" w:styleId="94">
    <w:name w:val="页脚 字符"/>
    <w:link w:val="39"/>
    <w:qFormat/>
    <w:locked/>
    <w:uiPriority w:val="99"/>
    <w:rPr>
      <w:rFonts w:cs="Times New Roman"/>
      <w:sz w:val="18"/>
      <w:szCs w:val="18"/>
    </w:rPr>
  </w:style>
  <w:style w:type="character" w:customStyle="1" w:styleId="95">
    <w:name w:val="页眉 字符"/>
    <w:link w:val="40"/>
    <w:qFormat/>
    <w:locked/>
    <w:uiPriority w:val="99"/>
    <w:rPr>
      <w:rFonts w:cs="Times New Roman"/>
      <w:sz w:val="18"/>
      <w:szCs w:val="18"/>
    </w:rPr>
  </w:style>
  <w:style w:type="character" w:customStyle="1" w:styleId="96">
    <w:name w:val="副标题 字符"/>
    <w:basedOn w:val="62"/>
    <w:link w:val="43"/>
    <w:qFormat/>
    <w:uiPriority w:val="99"/>
    <w:rPr>
      <w:rFonts w:ascii="Cambria" w:hAnsi="Cambria"/>
      <w:b/>
      <w:bCs/>
      <w:kern w:val="28"/>
      <w:sz w:val="32"/>
      <w:szCs w:val="32"/>
    </w:rPr>
  </w:style>
  <w:style w:type="character" w:customStyle="1" w:styleId="97">
    <w:name w:val="脚注文本 字符"/>
    <w:basedOn w:val="62"/>
    <w:link w:val="45"/>
    <w:qFormat/>
    <w:uiPriority w:val="99"/>
    <w:rPr>
      <w:kern w:val="2"/>
      <w:sz w:val="18"/>
      <w:szCs w:val="18"/>
    </w:rPr>
  </w:style>
  <w:style w:type="character" w:customStyle="1" w:styleId="98">
    <w:name w:val="正文文本缩进 3 字符"/>
    <w:link w:val="48"/>
    <w:qFormat/>
    <w:uiPriority w:val="0"/>
    <w:rPr>
      <w:kern w:val="2"/>
      <w:sz w:val="28"/>
    </w:rPr>
  </w:style>
  <w:style w:type="character" w:customStyle="1" w:styleId="99">
    <w:name w:val="正文文本 2 字符"/>
    <w:basedOn w:val="62"/>
    <w:link w:val="52"/>
    <w:qFormat/>
    <w:uiPriority w:val="99"/>
    <w:rPr>
      <w:rFonts w:ascii="Arial" w:hAnsi="Arial"/>
      <w:spacing w:val="-5"/>
      <w:sz w:val="22"/>
      <w:lang w:eastAsia="en-US"/>
    </w:rPr>
  </w:style>
  <w:style w:type="character" w:customStyle="1" w:styleId="100">
    <w:name w:val="HTML 预设格式 字符"/>
    <w:basedOn w:val="62"/>
    <w:link w:val="54"/>
    <w:qFormat/>
    <w:uiPriority w:val="99"/>
    <w:rPr>
      <w:rFonts w:ascii="Arial" w:hAnsi="Arial"/>
      <w:sz w:val="24"/>
      <w:szCs w:val="24"/>
    </w:rPr>
  </w:style>
  <w:style w:type="character" w:customStyle="1" w:styleId="101">
    <w:name w:val="批注主题 字符"/>
    <w:link w:val="57"/>
    <w:qFormat/>
    <w:locked/>
    <w:uiPriority w:val="99"/>
    <w:rPr>
      <w:rFonts w:ascii="Times New Roman" w:hAnsi="Times New Roman" w:eastAsia="宋体" w:cs="Times New Roman"/>
      <w:kern w:val="2"/>
      <w:sz w:val="24"/>
      <w:szCs w:val="24"/>
    </w:rPr>
  </w:style>
  <w:style w:type="character" w:customStyle="1" w:styleId="102">
    <w:name w:val="正文首行缩进 2 字符"/>
    <w:basedOn w:val="89"/>
    <w:link w:val="58"/>
    <w:qFormat/>
    <w:uiPriority w:val="99"/>
    <w:rPr>
      <w:rFonts w:cs="Times New Roman"/>
      <w:spacing w:val="12"/>
      <w:kern w:val="2"/>
      <w:sz w:val="21"/>
      <w:szCs w:val="24"/>
    </w:rPr>
  </w:style>
  <w:style w:type="paragraph" w:customStyle="1" w:styleId="103">
    <w:name w:val="[Normal]"/>
    <w:qFormat/>
    <w:uiPriority w:val="0"/>
    <w:rPr>
      <w:rFonts w:ascii="宋体" w:hAnsi="宋体" w:eastAsia="宋体" w:cs="Times New Roman"/>
      <w:sz w:val="24"/>
      <w:szCs w:val="22"/>
      <w:lang w:val="zh-CN" w:eastAsia="zh-CN" w:bidi="ar-SA"/>
    </w:rPr>
  </w:style>
  <w:style w:type="paragraph" w:customStyle="1" w:styleId="104">
    <w:name w:val="Char"/>
    <w:basedOn w:val="1"/>
    <w:qFormat/>
    <w:uiPriority w:val="0"/>
    <w:rPr>
      <w:rFonts w:ascii="仿宋_GB2312" w:eastAsia="仿宋_GB2312" w:cs="仿宋_GB2312"/>
      <w:b/>
      <w:bCs/>
      <w:sz w:val="32"/>
      <w:szCs w:val="32"/>
    </w:rPr>
  </w:style>
  <w:style w:type="paragraph" w:customStyle="1" w:styleId="105">
    <w:name w:val="表格文字"/>
    <w:basedOn w:val="1"/>
    <w:next w:val="25"/>
    <w:qFormat/>
    <w:uiPriority w:val="0"/>
    <w:pPr>
      <w:spacing w:line="420" w:lineRule="atLeast"/>
      <w:textAlignment w:val="baseline"/>
    </w:pPr>
    <w:rPr>
      <w:rFonts w:ascii="Calibri" w:hAnsi="Calibri"/>
    </w:rPr>
  </w:style>
  <w:style w:type="paragraph" w:customStyle="1" w:styleId="106">
    <w:name w:val="zw"/>
    <w:basedOn w:val="1"/>
    <w:qFormat/>
    <w:uiPriority w:val="99"/>
    <w:pPr>
      <w:widowControl/>
      <w:spacing w:before="30"/>
      <w:ind w:left="100" w:right="100"/>
    </w:pPr>
    <w:rPr>
      <w:rFonts w:ascii="方正书宋简体" w:hAnsi="宋体" w:eastAsia="方正书宋简体" w:cs="方正书宋简体"/>
      <w:color w:val="000000"/>
      <w:kern w:val="0"/>
    </w:rPr>
  </w:style>
  <w:style w:type="paragraph" w:styleId="107">
    <w:name w:val="List Paragraph"/>
    <w:basedOn w:val="1"/>
    <w:link w:val="108"/>
    <w:qFormat/>
    <w:uiPriority w:val="99"/>
    <w:pPr>
      <w:ind w:firstLine="420" w:firstLineChars="200"/>
    </w:pPr>
    <w:rPr>
      <w:rFonts w:ascii="Calibri" w:hAnsi="Calibri" w:cs="Calibri"/>
    </w:rPr>
  </w:style>
  <w:style w:type="character" w:customStyle="1" w:styleId="108">
    <w:name w:val="列出段落 字符"/>
    <w:link w:val="107"/>
    <w:qFormat/>
    <w:locked/>
    <w:uiPriority w:val="34"/>
    <w:rPr>
      <w:rFonts w:ascii="Calibri" w:hAnsi="Calibri" w:cs="Calibri"/>
      <w:kern w:val="2"/>
      <w:sz w:val="21"/>
      <w:szCs w:val="21"/>
    </w:rPr>
  </w:style>
  <w:style w:type="paragraph" w:customStyle="1" w:styleId="109">
    <w:name w:val="无间隔1"/>
    <w:qFormat/>
    <w:uiPriority w:val="99"/>
    <w:pPr>
      <w:adjustRightInd w:val="0"/>
      <w:snapToGrid w:val="0"/>
    </w:pPr>
    <w:rPr>
      <w:rFonts w:ascii="Tahoma" w:hAnsi="Tahoma" w:eastAsia="微软雅黑" w:cs="Tahoma"/>
      <w:sz w:val="22"/>
      <w:szCs w:val="22"/>
      <w:lang w:val="en-US" w:eastAsia="zh-CN" w:bidi="ar-SA"/>
    </w:rPr>
  </w:style>
  <w:style w:type="paragraph" w:customStyle="1" w:styleId="110">
    <w:name w:val="列出段落1"/>
    <w:basedOn w:val="1"/>
    <w:qFormat/>
    <w:uiPriority w:val="99"/>
    <w:pPr>
      <w:ind w:firstLine="420" w:firstLineChars="200"/>
    </w:pPr>
    <w:rPr>
      <w:rFonts w:ascii="Calibri" w:hAnsi="Calibri" w:cs="Calibri"/>
      <w:kern w:val="0"/>
    </w:rPr>
  </w:style>
  <w:style w:type="paragraph" w:customStyle="1" w:styleId="111">
    <w:name w:val="无间隔11"/>
    <w:qFormat/>
    <w:uiPriority w:val="99"/>
    <w:pPr>
      <w:adjustRightInd w:val="0"/>
      <w:snapToGrid w:val="0"/>
    </w:pPr>
    <w:rPr>
      <w:rFonts w:ascii="Tahoma" w:hAnsi="Tahoma" w:eastAsia="微软雅黑" w:cs="Tahoma"/>
      <w:sz w:val="22"/>
      <w:szCs w:val="22"/>
      <w:lang w:val="en-US" w:eastAsia="zh-CN" w:bidi="ar-SA"/>
    </w:rPr>
  </w:style>
  <w:style w:type="paragraph" w:customStyle="1" w:styleId="112">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13">
    <w:name w:val="正文_3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4">
    <w:name w:val="正文_14"/>
    <w:qFormat/>
    <w:uiPriority w:val="99"/>
    <w:rPr>
      <w:rFonts w:ascii="Times New Roman" w:hAnsi="Times New Roman" w:eastAsia="宋体" w:cs="Times New Roman"/>
      <w:sz w:val="21"/>
      <w:szCs w:val="21"/>
      <w:lang w:val="en-US" w:eastAsia="zh-CN" w:bidi="ar-SA"/>
    </w:rPr>
  </w:style>
  <w:style w:type="paragraph" w:customStyle="1" w:styleId="115">
    <w:name w:val="正文_4"/>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6">
    <w:name w:val="正文_5"/>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7">
    <w:name w:val="正文_1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8">
    <w:name w:val="纯文本_3"/>
    <w:basedOn w:val="117"/>
    <w:qFormat/>
    <w:uiPriority w:val="99"/>
    <w:pPr>
      <w:widowControl/>
      <w:jc w:val="left"/>
    </w:pPr>
    <w:rPr>
      <w:rFonts w:ascii="宋体" w:hAnsi="Courier New" w:cs="宋体"/>
    </w:rPr>
  </w:style>
  <w:style w:type="paragraph" w:customStyle="1" w:styleId="119">
    <w:name w:val="纯文本_0_1"/>
    <w:basedOn w:val="1"/>
    <w:qFormat/>
    <w:uiPriority w:val="99"/>
    <w:pPr>
      <w:widowControl/>
      <w:jc w:val="left"/>
    </w:pPr>
    <w:rPr>
      <w:rFonts w:ascii="宋体" w:hAnsi="Courier New" w:cs="宋体"/>
    </w:rPr>
  </w:style>
  <w:style w:type="paragraph" w:customStyle="1" w:styleId="120">
    <w:name w:val="正文_17"/>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1">
    <w:name w:val="正文_2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2">
    <w:name w:val="正文_6"/>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3">
    <w:name w:val="Normal_15"/>
    <w:qFormat/>
    <w:uiPriority w:val="99"/>
    <w:pPr>
      <w:widowControl w:val="0"/>
      <w:jc w:val="both"/>
    </w:pPr>
    <w:rPr>
      <w:rFonts w:ascii="Calibri" w:hAnsi="Calibri" w:eastAsia="宋体" w:cs="Calibri"/>
      <w:kern w:val="2"/>
      <w:sz w:val="21"/>
      <w:szCs w:val="21"/>
      <w:lang w:val="en-US" w:eastAsia="zh-CN" w:bidi="ar-SA"/>
    </w:rPr>
  </w:style>
  <w:style w:type="paragraph" w:customStyle="1" w:styleId="124">
    <w:name w:val="纯文本1"/>
    <w:basedOn w:val="125"/>
    <w:qFormat/>
    <w:uiPriority w:val="0"/>
    <w:pPr>
      <w:widowControl/>
      <w:jc w:val="left"/>
    </w:pPr>
    <w:rPr>
      <w:rFonts w:ascii="宋体" w:hAnsi="Courier New"/>
    </w:rPr>
  </w:style>
  <w:style w:type="paragraph" w:customStyle="1" w:styleId="125">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6">
    <w:name w:val="表格标题"/>
    <w:basedOn w:val="1"/>
    <w:qFormat/>
    <w:uiPriority w:val="0"/>
    <w:pPr>
      <w:jc w:val="center"/>
    </w:pPr>
    <w:rPr>
      <w:b/>
    </w:rPr>
  </w:style>
  <w:style w:type="paragraph" w:customStyle="1" w:styleId="127">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8">
    <w:name w:val="附件文字"/>
    <w:basedOn w:val="34"/>
    <w:qFormat/>
    <w:uiPriority w:val="99"/>
    <w:pPr>
      <w:adjustRightInd w:val="0"/>
      <w:snapToGrid w:val="0"/>
      <w:ind w:firstLine="150" w:firstLineChars="150"/>
    </w:pPr>
    <w:rPr>
      <w:rFonts w:ascii="Arial" w:hAnsi="Times New Roman"/>
      <w:snapToGrid w:val="0"/>
      <w:color w:val="000000"/>
      <w:sz w:val="24"/>
    </w:rPr>
  </w:style>
  <w:style w:type="character" w:customStyle="1" w:styleId="129">
    <w:name w:val="font41"/>
    <w:qFormat/>
    <w:uiPriority w:val="0"/>
    <w:rPr>
      <w:rFonts w:hint="eastAsia" w:ascii="宋体" w:hAnsi="宋体" w:eastAsia="宋体" w:cs="宋体"/>
      <w:color w:val="000000"/>
      <w:sz w:val="24"/>
      <w:szCs w:val="24"/>
      <w:u w:val="none"/>
    </w:rPr>
  </w:style>
  <w:style w:type="character" w:customStyle="1" w:styleId="130">
    <w:name w:val="font01"/>
    <w:qFormat/>
    <w:uiPriority w:val="0"/>
    <w:rPr>
      <w:rFonts w:hint="eastAsia" w:ascii="宋体" w:hAnsi="宋体" w:eastAsia="宋体" w:cs="宋体"/>
      <w:color w:val="000000"/>
      <w:sz w:val="18"/>
      <w:szCs w:val="18"/>
      <w:u w:val="none"/>
    </w:rPr>
  </w:style>
  <w:style w:type="character" w:customStyle="1" w:styleId="131">
    <w:name w:val="NormalCharacter"/>
    <w:link w:val="132"/>
    <w:qFormat/>
    <w:uiPriority w:val="0"/>
    <w:rPr>
      <w:rFonts w:ascii="黑体" w:eastAsia="黑体"/>
      <w:kern w:val="0"/>
      <w:sz w:val="24"/>
    </w:rPr>
  </w:style>
  <w:style w:type="paragraph" w:customStyle="1" w:styleId="132">
    <w:name w:val="UserStyle_23"/>
    <w:basedOn w:val="1"/>
    <w:link w:val="131"/>
    <w:qFormat/>
    <w:uiPriority w:val="0"/>
    <w:pPr>
      <w:textAlignment w:val="baseline"/>
    </w:pPr>
    <w:rPr>
      <w:rFonts w:ascii="黑体" w:eastAsia="黑体"/>
      <w:kern w:val="0"/>
      <w:sz w:val="24"/>
    </w:rPr>
  </w:style>
  <w:style w:type="paragraph" w:customStyle="1" w:styleId="133">
    <w:name w:val="样式 宋体 行距: 固定值 20 磅 首行缩进:  2 字符"/>
    <w:basedOn w:val="1"/>
    <w:qFormat/>
    <w:uiPriority w:val="0"/>
    <w:pPr>
      <w:spacing w:line="400" w:lineRule="exact"/>
      <w:ind w:firstLine="435" w:firstLineChars="207"/>
    </w:pPr>
    <w:rPr>
      <w:rFonts w:ascii="宋体" w:hAnsi="宋体" w:cs="宋体"/>
      <w:szCs w:val="20"/>
    </w:rPr>
  </w:style>
  <w:style w:type="paragraph" w:customStyle="1" w:styleId="134">
    <w:name w:val="WPSOffice手动目录 1"/>
    <w:qFormat/>
    <w:uiPriority w:val="0"/>
    <w:rPr>
      <w:rFonts w:ascii="Times New Roman" w:hAnsi="Times New Roman" w:eastAsia="宋体" w:cs="Times New Roman"/>
      <w:lang w:val="en-US" w:eastAsia="zh-CN" w:bidi="ar-SA"/>
    </w:rPr>
  </w:style>
  <w:style w:type="paragraph" w:customStyle="1" w:styleId="135">
    <w:name w:val="Table Paragraph"/>
    <w:basedOn w:val="1"/>
    <w:qFormat/>
    <w:uiPriority w:val="1"/>
    <w:rPr>
      <w:rFonts w:ascii="宋体" w:hAnsi="宋体" w:cs="宋体"/>
      <w:lang w:val="zh-CN" w:bidi="zh-CN"/>
    </w:rPr>
  </w:style>
  <w:style w:type="paragraph" w:customStyle="1" w:styleId="136">
    <w:name w:val="xl35"/>
    <w:basedOn w:val="1"/>
    <w:qFormat/>
    <w:uiPriority w:val="99"/>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paragraph" w:customStyle="1" w:styleId="137">
    <w:name w:val="样式 标题 2 + 宋体 四号 左 段前: 0 磅 段后: 0 磅 行距: 1.5 倍行距 首行缩进:  2 字符"/>
    <w:basedOn w:val="4"/>
    <w:qFormat/>
    <w:uiPriority w:val="0"/>
    <w:pPr>
      <w:spacing w:line="360" w:lineRule="auto"/>
      <w:ind w:firstLine="200" w:firstLineChars="200"/>
    </w:pPr>
    <w:rPr>
      <w:rFonts w:ascii="宋体" w:hAnsi="宋体"/>
      <w:sz w:val="24"/>
      <w:szCs w:val="20"/>
    </w:rPr>
  </w:style>
  <w:style w:type="paragraph" w:customStyle="1" w:styleId="138">
    <w:name w:val="正文11"/>
    <w:basedOn w:val="1"/>
    <w:qFormat/>
    <w:uiPriority w:val="0"/>
    <w:pPr>
      <w:spacing w:line="360" w:lineRule="auto"/>
      <w:ind w:firstLine="480" w:firstLineChars="200"/>
    </w:pPr>
    <w:rPr>
      <w:szCs w:val="20"/>
    </w:rPr>
  </w:style>
  <w:style w:type="paragraph" w:customStyle="1" w:styleId="139">
    <w:name w:val="正文缩进1"/>
    <w:basedOn w:val="1"/>
    <w:qFormat/>
    <w:uiPriority w:val="0"/>
    <w:pPr>
      <w:spacing w:line="360" w:lineRule="auto"/>
      <w:ind w:firstLine="420" w:firstLineChars="200"/>
    </w:pPr>
    <w:rPr>
      <w:szCs w:val="20"/>
    </w:rPr>
  </w:style>
  <w:style w:type="paragraph" w:customStyle="1" w:styleId="140">
    <w:name w:val="样式 标题 3 + 宋体 左侧:  0.74 厘米 行距: 1.5 倍行距"/>
    <w:basedOn w:val="5"/>
    <w:qFormat/>
    <w:uiPriority w:val="0"/>
    <w:pPr>
      <w:tabs>
        <w:tab w:val="left" w:pos="425"/>
        <w:tab w:val="left" w:pos="1275"/>
      </w:tabs>
      <w:spacing w:line="360" w:lineRule="auto"/>
      <w:ind w:firstLine="200" w:firstLineChars="200"/>
    </w:pPr>
    <w:rPr>
      <w:sz w:val="24"/>
    </w:rPr>
  </w:style>
  <w:style w:type="paragraph" w:customStyle="1" w:styleId="141">
    <w:name w:val="hik 正文"/>
    <w:basedOn w:val="1"/>
    <w:link w:val="142"/>
    <w:qFormat/>
    <w:uiPriority w:val="0"/>
    <w:pPr>
      <w:spacing w:line="360" w:lineRule="auto"/>
      <w:ind w:firstLine="480" w:firstLineChars="200"/>
    </w:pPr>
  </w:style>
  <w:style w:type="character" w:customStyle="1" w:styleId="142">
    <w:name w:val="hik 正文 Char"/>
    <w:link w:val="141"/>
    <w:qFormat/>
    <w:uiPriority w:val="0"/>
    <w:rPr>
      <w:kern w:val="2"/>
      <w:sz w:val="21"/>
      <w:szCs w:val="21"/>
    </w:rPr>
  </w:style>
  <w:style w:type="paragraph" w:customStyle="1" w:styleId="143">
    <w:name w:val="样式 首行缩进:  0 字符"/>
    <w:basedOn w:val="1"/>
    <w:link w:val="144"/>
    <w:qFormat/>
    <w:uiPriority w:val="0"/>
    <w:pPr>
      <w:spacing w:line="360" w:lineRule="auto"/>
      <w:ind w:firstLine="200" w:firstLineChars="200"/>
    </w:pPr>
    <w:rPr>
      <w:szCs w:val="20"/>
    </w:rPr>
  </w:style>
  <w:style w:type="character" w:customStyle="1" w:styleId="144">
    <w:name w:val="样式 首行缩进:  0 字符 Char"/>
    <w:link w:val="143"/>
    <w:qFormat/>
    <w:locked/>
    <w:uiPriority w:val="0"/>
    <w:rPr>
      <w:kern w:val="2"/>
      <w:sz w:val="21"/>
    </w:rPr>
  </w:style>
  <w:style w:type="paragraph" w:customStyle="1" w:styleId="145">
    <w:name w:val="修订1"/>
    <w:hidden/>
    <w:unhideWhenUsed/>
    <w:qFormat/>
    <w:uiPriority w:val="99"/>
    <w:rPr>
      <w:rFonts w:ascii="Times New Roman" w:hAnsi="Times New Roman" w:eastAsia="宋体" w:cs="Times New Roman"/>
      <w:kern w:val="2"/>
      <w:sz w:val="21"/>
      <w:szCs w:val="21"/>
      <w:lang w:val="en-US" w:eastAsia="zh-CN" w:bidi="ar-SA"/>
    </w:rPr>
  </w:style>
  <w:style w:type="paragraph" w:customStyle="1" w:styleId="146">
    <w:name w:val="TOC 标题1"/>
    <w:basedOn w:val="3"/>
    <w:next w:val="1"/>
    <w:unhideWhenUsed/>
    <w:qFormat/>
    <w:uiPriority w:val="39"/>
    <w:pPr>
      <w:keepNext w:val="0"/>
      <w:keepLines w:val="0"/>
      <w:pageBreakBefore/>
      <w:widowControl/>
      <w:spacing w:before="480" w:after="0" w:line="276" w:lineRule="auto"/>
      <w:jc w:val="left"/>
      <w:outlineLvl w:val="9"/>
    </w:pPr>
    <w:rPr>
      <w:rFonts w:hint="default" w:asciiTheme="majorHAnsi" w:hAnsiTheme="majorHAnsi" w:eastAsiaTheme="majorEastAsia" w:cstheme="majorBidi"/>
      <w:bCs/>
      <w:color w:val="366091" w:themeColor="accent1" w:themeShade="BF"/>
      <w:sz w:val="28"/>
      <w:szCs w:val="28"/>
    </w:rPr>
  </w:style>
  <w:style w:type="character" w:customStyle="1" w:styleId="147">
    <w:name w:val="批注文字 字符2"/>
    <w:basedOn w:val="62"/>
    <w:qFormat/>
    <w:uiPriority w:val="99"/>
    <w:rPr>
      <w:rFonts w:ascii="宋体" w:eastAsia="宋体"/>
      <w:sz w:val="24"/>
    </w:rPr>
  </w:style>
  <w:style w:type="paragraph" w:customStyle="1" w:styleId="148">
    <w:name w:val="HIK项目标号"/>
    <w:basedOn w:val="1"/>
    <w:next w:val="1"/>
    <w:qFormat/>
    <w:uiPriority w:val="0"/>
    <w:pPr>
      <w:numPr>
        <w:ilvl w:val="0"/>
        <w:numId w:val="5"/>
      </w:numPr>
      <w:spacing w:line="360" w:lineRule="auto"/>
      <w:ind w:left="0" w:firstLine="200" w:firstLineChars="200"/>
      <w:jc w:val="left"/>
    </w:pPr>
    <w:rPr>
      <w:rFonts w:ascii="Arial" w:hAnsi="Arial" w:cs="宋体"/>
      <w:sz w:val="24"/>
      <w:szCs w:val="20"/>
    </w:rPr>
  </w:style>
  <w:style w:type="paragraph" w:customStyle="1" w:styleId="149">
    <w:name w:val="HIK 段分 2"/>
    <w:basedOn w:val="4"/>
    <w:next w:val="1"/>
    <w:link w:val="150"/>
    <w:qFormat/>
    <w:uiPriority w:val="0"/>
    <w:pPr>
      <w:keepLines w:val="0"/>
      <w:pageBreakBefore/>
      <w:widowControl w:val="0"/>
      <w:tabs>
        <w:tab w:val="left" w:pos="1070"/>
      </w:tabs>
      <w:spacing w:before="100" w:after="100" w:line="360" w:lineRule="auto"/>
      <w:ind w:left="1070" w:hanging="360"/>
    </w:pPr>
    <w:rPr>
      <w:rFonts w:ascii="宋体" w:hAnsiTheme="majorHAnsi" w:cstheme="majorBidi"/>
    </w:rPr>
  </w:style>
  <w:style w:type="character" w:customStyle="1" w:styleId="150">
    <w:name w:val="HIK 段分 2 Char"/>
    <w:basedOn w:val="73"/>
    <w:link w:val="149"/>
    <w:qFormat/>
    <w:uiPriority w:val="0"/>
    <w:rPr>
      <w:rFonts w:ascii="宋体" w:eastAsia="黑体" w:hAnsiTheme="majorHAnsi" w:cstheme="majorBidi"/>
      <w:kern w:val="2"/>
      <w:sz w:val="32"/>
      <w:szCs w:val="32"/>
    </w:rPr>
  </w:style>
  <w:style w:type="paragraph" w:customStyle="1" w:styleId="151">
    <w:name w:val="HIK 段分 3"/>
    <w:basedOn w:val="5"/>
    <w:next w:val="1"/>
    <w:link w:val="152"/>
    <w:qFormat/>
    <w:uiPriority w:val="0"/>
    <w:pPr>
      <w:keepLines w:val="0"/>
      <w:pageBreakBefore/>
      <w:tabs>
        <w:tab w:val="left" w:pos="1070"/>
      </w:tabs>
      <w:spacing w:before="80" w:after="80" w:line="360" w:lineRule="auto"/>
      <w:ind w:left="720" w:hanging="360"/>
      <w:jc w:val="left"/>
    </w:pPr>
    <w:rPr>
      <w:rFonts w:ascii="宋体" w:hAnsiTheme="minorHAnsi" w:cstheme="minorBidi"/>
      <w:sz w:val="30"/>
    </w:rPr>
  </w:style>
  <w:style w:type="character" w:customStyle="1" w:styleId="152">
    <w:name w:val="HIK 段分 3 Char"/>
    <w:basedOn w:val="75"/>
    <w:link w:val="151"/>
    <w:qFormat/>
    <w:uiPriority w:val="0"/>
    <w:rPr>
      <w:rFonts w:ascii="宋体" w:hAnsiTheme="minorHAnsi" w:cstheme="minorBidi"/>
      <w:b/>
      <w:bCs/>
      <w:kern w:val="2"/>
      <w:sz w:val="30"/>
      <w:szCs w:val="32"/>
    </w:rPr>
  </w:style>
  <w:style w:type="paragraph" w:customStyle="1" w:styleId="153">
    <w:name w:val="HIK 段分 4"/>
    <w:basedOn w:val="7"/>
    <w:next w:val="1"/>
    <w:link w:val="154"/>
    <w:qFormat/>
    <w:uiPriority w:val="0"/>
    <w:pPr>
      <w:pageBreakBefore/>
      <w:tabs>
        <w:tab w:val="left" w:pos="1070"/>
      </w:tabs>
      <w:ind w:left="1070" w:hanging="360"/>
    </w:pPr>
  </w:style>
  <w:style w:type="character" w:customStyle="1" w:styleId="154">
    <w:name w:val="HIK 段分 4 Char"/>
    <w:basedOn w:val="76"/>
    <w:link w:val="153"/>
    <w:qFormat/>
    <w:uiPriority w:val="0"/>
    <w:rPr>
      <w:rFonts w:ascii="宋体" w:hAnsiTheme="majorHAnsi" w:cstheme="majorBidi"/>
      <w:kern w:val="2"/>
      <w:sz w:val="28"/>
      <w:szCs w:val="28"/>
    </w:rPr>
  </w:style>
  <w:style w:type="paragraph" w:customStyle="1" w:styleId="155">
    <w:name w:val="HIK 段分 5"/>
    <w:basedOn w:val="8"/>
    <w:next w:val="1"/>
    <w:link w:val="156"/>
    <w:qFormat/>
    <w:uiPriority w:val="0"/>
    <w:pPr>
      <w:pageBreakBefore/>
      <w:tabs>
        <w:tab w:val="left" w:pos="1070"/>
      </w:tabs>
      <w:ind w:left="1070" w:hanging="360"/>
    </w:pPr>
  </w:style>
  <w:style w:type="character" w:customStyle="1" w:styleId="156">
    <w:name w:val="HIK 段分 5 Char"/>
    <w:basedOn w:val="77"/>
    <w:link w:val="155"/>
    <w:qFormat/>
    <w:uiPriority w:val="0"/>
    <w:rPr>
      <w:rFonts w:ascii="宋体" w:hAnsiTheme="minorHAnsi" w:cstheme="minorBidi"/>
      <w:kern w:val="2"/>
      <w:sz w:val="24"/>
      <w:szCs w:val="28"/>
    </w:rPr>
  </w:style>
  <w:style w:type="paragraph" w:customStyle="1" w:styleId="157">
    <w:name w:val="HIK图文"/>
    <w:qFormat/>
    <w:uiPriority w:val="0"/>
    <w:pPr>
      <w:spacing w:line="360" w:lineRule="auto"/>
      <w:jc w:val="center"/>
    </w:pPr>
    <w:rPr>
      <w:rFonts w:ascii="宋体" w:eastAsia="宋体" w:hAnsiTheme="minorHAnsi" w:cstheme="minorBidi"/>
      <w:kern w:val="2"/>
      <w:sz w:val="24"/>
      <w:szCs w:val="22"/>
      <w:lang w:val="en-US" w:eastAsia="zh-CN" w:bidi="ar-SA"/>
    </w:rPr>
  </w:style>
  <w:style w:type="paragraph" w:customStyle="1" w:styleId="158">
    <w:name w:val="*正文"/>
    <w:basedOn w:val="1"/>
    <w:link w:val="159"/>
    <w:qFormat/>
    <w:uiPriority w:val="99"/>
    <w:pPr>
      <w:spacing w:line="300" w:lineRule="auto"/>
      <w:ind w:firstLine="480" w:firstLineChars="200"/>
    </w:pPr>
    <w:rPr>
      <w:rFonts w:ascii="宋体" w:hAnsi="宋体" w:cs="仿宋_GB2312"/>
      <w:sz w:val="24"/>
      <w:szCs w:val="24"/>
    </w:rPr>
  </w:style>
  <w:style w:type="character" w:customStyle="1" w:styleId="159">
    <w:name w:val="*正文 Char"/>
    <w:link w:val="158"/>
    <w:qFormat/>
    <w:uiPriority w:val="0"/>
    <w:rPr>
      <w:rFonts w:ascii="宋体" w:hAnsi="宋体" w:cs="仿宋_GB2312"/>
      <w:kern w:val="2"/>
      <w:sz w:val="24"/>
      <w:szCs w:val="24"/>
    </w:rPr>
  </w:style>
  <w:style w:type="paragraph" w:customStyle="1" w:styleId="160">
    <w:name w:val="编号，小四"/>
    <w:basedOn w:val="1"/>
    <w:link w:val="161"/>
    <w:qFormat/>
    <w:uiPriority w:val="99"/>
    <w:pPr>
      <w:numPr>
        <w:ilvl w:val="0"/>
        <w:numId w:val="6"/>
      </w:numPr>
      <w:spacing w:line="360" w:lineRule="auto"/>
    </w:pPr>
    <w:rPr>
      <w:rFonts w:ascii="Arial" w:hAnsi="Arial" w:cs="宋体"/>
      <w:sz w:val="24"/>
      <w:szCs w:val="20"/>
    </w:rPr>
  </w:style>
  <w:style w:type="character" w:customStyle="1" w:styleId="161">
    <w:name w:val="编号，小四 Char"/>
    <w:link w:val="160"/>
    <w:qFormat/>
    <w:uiPriority w:val="99"/>
    <w:rPr>
      <w:rFonts w:ascii="Arial" w:hAnsi="Arial" w:cs="宋体"/>
      <w:kern w:val="2"/>
      <w:sz w:val="24"/>
    </w:rPr>
  </w:style>
  <w:style w:type="paragraph" w:customStyle="1" w:styleId="162">
    <w:name w:val="hik标题1"/>
    <w:next w:val="141"/>
    <w:qFormat/>
    <w:uiPriority w:val="0"/>
    <w:pPr>
      <w:pageBreakBefore/>
      <w:widowControl w:val="0"/>
      <w:numPr>
        <w:ilvl w:val="0"/>
        <w:numId w:val="7"/>
      </w:numPr>
      <w:spacing w:before="120" w:after="120" w:line="360" w:lineRule="auto"/>
      <w:jc w:val="center"/>
      <w:outlineLvl w:val="0"/>
    </w:pPr>
    <w:rPr>
      <w:rFonts w:ascii="黑体" w:hAnsi="宋体" w:eastAsia="黑体" w:cs="Times New Roman"/>
      <w:b/>
      <w:kern w:val="2"/>
      <w:sz w:val="32"/>
      <w:szCs w:val="30"/>
      <w:lang w:val="en-US" w:eastAsia="zh-CN" w:bidi="ar-SA"/>
    </w:rPr>
  </w:style>
  <w:style w:type="paragraph" w:customStyle="1" w:styleId="163">
    <w:name w:val="hik标题2"/>
    <w:next w:val="141"/>
    <w:qFormat/>
    <w:uiPriority w:val="0"/>
    <w:pPr>
      <w:widowControl w:val="0"/>
      <w:numPr>
        <w:ilvl w:val="1"/>
        <w:numId w:val="7"/>
      </w:numPr>
      <w:spacing w:before="120" w:after="120" w:line="360" w:lineRule="auto"/>
      <w:ind w:left="578" w:hanging="578"/>
      <w:outlineLvl w:val="1"/>
    </w:pPr>
    <w:rPr>
      <w:rFonts w:ascii="黑体" w:hAnsi="宋体" w:eastAsia="黑体" w:cs="Times New Roman"/>
      <w:b/>
      <w:color w:val="000000"/>
      <w:kern w:val="2"/>
      <w:sz w:val="30"/>
      <w:szCs w:val="30"/>
      <w:lang w:val="en-US" w:eastAsia="zh-CN" w:bidi="ar-SA"/>
    </w:rPr>
  </w:style>
  <w:style w:type="paragraph" w:customStyle="1" w:styleId="164">
    <w:name w:val="hik标题3"/>
    <w:basedOn w:val="163"/>
    <w:next w:val="141"/>
    <w:link w:val="165"/>
    <w:qFormat/>
    <w:uiPriority w:val="0"/>
    <w:pPr>
      <w:numPr>
        <w:ilvl w:val="3"/>
      </w:numPr>
      <w:ind w:left="720" w:hanging="720"/>
      <w:outlineLvl w:val="2"/>
    </w:pPr>
    <w:rPr>
      <w:sz w:val="28"/>
    </w:rPr>
  </w:style>
  <w:style w:type="character" w:customStyle="1" w:styleId="165">
    <w:name w:val="hik标题3 Char"/>
    <w:link w:val="164"/>
    <w:qFormat/>
    <w:uiPriority w:val="0"/>
    <w:rPr>
      <w:rFonts w:ascii="黑体" w:hAnsi="宋体" w:eastAsia="黑体"/>
      <w:b/>
      <w:color w:val="000000"/>
      <w:kern w:val="2"/>
      <w:sz w:val="28"/>
      <w:szCs w:val="30"/>
    </w:rPr>
  </w:style>
  <w:style w:type="paragraph" w:customStyle="1" w:styleId="166">
    <w:name w:val="hik标题4"/>
    <w:next w:val="141"/>
    <w:qFormat/>
    <w:uiPriority w:val="0"/>
    <w:pPr>
      <w:widowControl w:val="0"/>
      <w:spacing w:before="120" w:after="120" w:line="360" w:lineRule="auto"/>
      <w:ind w:left="862" w:hanging="862"/>
      <w:outlineLvl w:val="3"/>
    </w:pPr>
    <w:rPr>
      <w:rFonts w:ascii="黑体" w:hAnsi="宋体" w:eastAsia="黑体" w:cs="Times New Roman"/>
      <w:b/>
      <w:kern w:val="2"/>
      <w:sz w:val="24"/>
      <w:szCs w:val="28"/>
      <w:lang w:val="en-US" w:eastAsia="zh-CN" w:bidi="ar-SA"/>
    </w:rPr>
  </w:style>
  <w:style w:type="paragraph" w:customStyle="1" w:styleId="167">
    <w:name w:val="hik标题5"/>
    <w:basedOn w:val="1"/>
    <w:next w:val="141"/>
    <w:qFormat/>
    <w:uiPriority w:val="0"/>
    <w:pPr>
      <w:numPr>
        <w:ilvl w:val="6"/>
        <w:numId w:val="7"/>
      </w:numPr>
      <w:spacing w:before="120" w:after="120" w:line="360" w:lineRule="auto"/>
      <w:ind w:left="1008" w:hanging="1008"/>
      <w:jc w:val="left"/>
      <w:outlineLvl w:val="4"/>
    </w:pPr>
    <w:rPr>
      <w:rFonts w:ascii="宋体" w:hAnsi="黑体" w:cs="宋体"/>
      <w:b/>
      <w:sz w:val="24"/>
      <w:szCs w:val="28"/>
    </w:rPr>
  </w:style>
  <w:style w:type="paragraph" w:customStyle="1" w:styleId="168">
    <w:name w:val="HIK-标题6"/>
    <w:qFormat/>
    <w:uiPriority w:val="0"/>
    <w:pPr>
      <w:ind w:left="1152" w:hanging="1152"/>
    </w:pPr>
    <w:rPr>
      <w:rFonts w:ascii="黑体" w:hAnsi="黑体" w:eastAsia="黑体" w:cs="宋体"/>
      <w:kern w:val="2"/>
      <w:sz w:val="28"/>
      <w:szCs w:val="28"/>
      <w:lang w:val="en-US" w:eastAsia="zh-CN" w:bidi="ar-SA"/>
    </w:rPr>
  </w:style>
  <w:style w:type="paragraph" w:customStyle="1" w:styleId="169">
    <w:name w:val="HIK-标题7"/>
    <w:qFormat/>
    <w:uiPriority w:val="0"/>
    <w:pPr>
      <w:ind w:left="1296" w:hanging="1296"/>
    </w:pPr>
    <w:rPr>
      <w:rFonts w:ascii="黑体" w:hAnsi="黑体" w:eastAsia="黑体" w:cs="宋体"/>
      <w:kern w:val="2"/>
      <w:sz w:val="28"/>
      <w:szCs w:val="28"/>
      <w:lang w:val="en-US" w:eastAsia="zh-CN" w:bidi="ar-SA"/>
    </w:rPr>
  </w:style>
  <w:style w:type="paragraph" w:customStyle="1" w:styleId="170">
    <w:name w:val="HIK-标题8"/>
    <w:qFormat/>
    <w:uiPriority w:val="0"/>
    <w:pPr>
      <w:ind w:left="1440" w:hanging="1440"/>
    </w:pPr>
    <w:rPr>
      <w:rFonts w:ascii="黑体" w:hAnsi="黑体" w:eastAsia="黑体" w:cs="宋体"/>
      <w:kern w:val="2"/>
      <w:sz w:val="28"/>
      <w:szCs w:val="28"/>
      <w:lang w:val="en-US" w:eastAsia="zh-CN" w:bidi="ar-SA"/>
    </w:rPr>
  </w:style>
  <w:style w:type="paragraph" w:customStyle="1" w:styleId="171">
    <w:name w:val="HIK-标题9"/>
    <w:qFormat/>
    <w:uiPriority w:val="0"/>
    <w:pPr>
      <w:ind w:left="1584" w:hanging="1584"/>
    </w:pPr>
    <w:rPr>
      <w:rFonts w:ascii="黑体" w:hAnsi="黑体" w:eastAsia="黑体" w:cs="宋体"/>
      <w:kern w:val="2"/>
      <w:sz w:val="28"/>
      <w:szCs w:val="28"/>
      <w:lang w:val="en-US" w:eastAsia="zh-CN" w:bidi="ar-SA"/>
    </w:rPr>
  </w:style>
  <w:style w:type="paragraph" w:customStyle="1" w:styleId="172">
    <w:name w:val="Default"/>
    <w:link w:val="173"/>
    <w:qFormat/>
    <w:uiPriority w:val="99"/>
    <w:pPr>
      <w:widowControl w:val="0"/>
      <w:autoSpaceDE w:val="0"/>
      <w:autoSpaceDN w:val="0"/>
      <w:adjustRightInd w:val="0"/>
    </w:pPr>
    <w:rPr>
      <w:rFonts w:ascii="华文细黑" w:eastAsia="华文细黑" w:cs="华文细黑" w:hAnsiTheme="minorHAnsi"/>
      <w:color w:val="000000"/>
      <w:sz w:val="24"/>
      <w:szCs w:val="24"/>
      <w:lang w:val="en-US" w:eastAsia="zh-CN" w:bidi="ar-SA"/>
    </w:rPr>
  </w:style>
  <w:style w:type="character" w:customStyle="1" w:styleId="173">
    <w:name w:val="Default Char Char"/>
    <w:link w:val="172"/>
    <w:qFormat/>
    <w:uiPriority w:val="0"/>
    <w:rPr>
      <w:rFonts w:ascii="华文细黑" w:eastAsia="华文细黑" w:cs="华文细黑" w:hAnsiTheme="minorHAnsi"/>
      <w:color w:val="000000"/>
      <w:sz w:val="24"/>
      <w:szCs w:val="24"/>
    </w:rPr>
  </w:style>
  <w:style w:type="paragraph" w:customStyle="1" w:styleId="174">
    <w:name w:val="hik-插图标题"/>
    <w:qFormat/>
    <w:uiPriority w:val="0"/>
    <w:pPr>
      <w:ind w:left="2263" w:hanging="420"/>
      <w:jc w:val="center"/>
    </w:pPr>
    <w:rPr>
      <w:rFonts w:ascii="Arial Unicode MS" w:hAnsi="Arial Unicode MS" w:eastAsia="宋体" w:cs="宋体"/>
      <w:kern w:val="2"/>
      <w:sz w:val="24"/>
      <w:szCs w:val="24"/>
      <w:lang w:val="en-US" w:eastAsia="zh-CN" w:bidi="ar-SA"/>
    </w:rPr>
  </w:style>
  <w:style w:type="paragraph" w:customStyle="1" w:styleId="175">
    <w:name w:val="1级标题"/>
    <w:basedOn w:val="107"/>
    <w:qFormat/>
    <w:uiPriority w:val="0"/>
    <w:pPr>
      <w:keepLines/>
      <w:pageBreakBefore/>
      <w:numPr>
        <w:ilvl w:val="0"/>
        <w:numId w:val="8"/>
      </w:numPr>
      <w:spacing w:before="240" w:after="240" w:line="360" w:lineRule="auto"/>
      <w:ind w:left="420" w:right="210" w:rightChars="100" w:firstLine="0" w:firstLineChars="0"/>
      <w:contextualSpacing/>
      <w:jc w:val="center"/>
      <w:outlineLvl w:val="0"/>
    </w:pPr>
    <w:rPr>
      <w:rFonts w:ascii="黑体" w:hAnsi="黑体" w:eastAsia="黑体" w:cs="Times New Roman"/>
      <w:b/>
      <w:kern w:val="0"/>
      <w:sz w:val="36"/>
      <w:szCs w:val="36"/>
      <w:lang w:bidi="en-US"/>
    </w:rPr>
  </w:style>
  <w:style w:type="paragraph" w:customStyle="1" w:styleId="176">
    <w:name w:val="2级标题"/>
    <w:basedOn w:val="107"/>
    <w:link w:val="177"/>
    <w:qFormat/>
    <w:uiPriority w:val="0"/>
    <w:pPr>
      <w:keepLines/>
      <w:numPr>
        <w:ilvl w:val="1"/>
        <w:numId w:val="8"/>
      </w:numPr>
      <w:spacing w:before="240" w:after="120" w:line="360" w:lineRule="auto"/>
      <w:ind w:left="2136" w:hanging="576" w:firstLineChars="0"/>
      <w:contextualSpacing/>
      <w:jc w:val="left"/>
      <w:outlineLvl w:val="1"/>
    </w:pPr>
    <w:rPr>
      <w:rFonts w:ascii="黑体" w:hAnsi="黑体" w:eastAsia="黑体" w:cs="Times New Roman"/>
      <w:b/>
      <w:kern w:val="0"/>
      <w:sz w:val="30"/>
      <w:szCs w:val="36"/>
      <w:lang w:bidi="en-US"/>
    </w:rPr>
  </w:style>
  <w:style w:type="character" w:customStyle="1" w:styleId="177">
    <w:name w:val="2级标题 Char Char"/>
    <w:link w:val="176"/>
    <w:qFormat/>
    <w:uiPriority w:val="0"/>
    <w:rPr>
      <w:rFonts w:ascii="黑体" w:hAnsi="黑体" w:eastAsia="黑体"/>
      <w:b/>
      <w:sz w:val="30"/>
      <w:szCs w:val="36"/>
      <w:lang w:bidi="en-US"/>
    </w:rPr>
  </w:style>
  <w:style w:type="paragraph" w:customStyle="1" w:styleId="178">
    <w:name w:val="3级标题"/>
    <w:basedOn w:val="107"/>
    <w:link w:val="179"/>
    <w:qFormat/>
    <w:uiPriority w:val="0"/>
    <w:pPr>
      <w:keepLines/>
      <w:numPr>
        <w:ilvl w:val="2"/>
        <w:numId w:val="8"/>
      </w:numPr>
      <w:spacing w:before="120" w:after="120" w:line="360" w:lineRule="auto"/>
      <w:ind w:left="0" w:right="210" w:rightChars="100" w:firstLine="0" w:firstLineChars="0"/>
      <w:contextualSpacing/>
      <w:jc w:val="left"/>
      <w:outlineLvl w:val="2"/>
    </w:pPr>
    <w:rPr>
      <w:rFonts w:ascii="黑体" w:hAnsi="黑体" w:cs="Times New Roman"/>
      <w:b/>
      <w:kern w:val="0"/>
      <w:sz w:val="28"/>
      <w:szCs w:val="36"/>
      <w:lang w:eastAsia="en-US" w:bidi="en-US"/>
    </w:rPr>
  </w:style>
  <w:style w:type="character" w:customStyle="1" w:styleId="179">
    <w:name w:val="3级标题 Char"/>
    <w:link w:val="178"/>
    <w:qFormat/>
    <w:uiPriority w:val="0"/>
    <w:rPr>
      <w:rFonts w:ascii="黑体" w:hAnsi="黑体"/>
      <w:b/>
      <w:sz w:val="28"/>
      <w:szCs w:val="36"/>
      <w:lang w:eastAsia="en-US" w:bidi="en-US"/>
    </w:rPr>
  </w:style>
  <w:style w:type="paragraph" w:customStyle="1" w:styleId="180">
    <w:name w:val="4级标题"/>
    <w:basedOn w:val="107"/>
    <w:link w:val="181"/>
    <w:qFormat/>
    <w:uiPriority w:val="0"/>
    <w:pPr>
      <w:keepLines/>
      <w:numPr>
        <w:ilvl w:val="3"/>
        <w:numId w:val="8"/>
      </w:numPr>
      <w:spacing w:line="360" w:lineRule="auto"/>
      <w:ind w:left="0" w:right="210" w:rightChars="100" w:firstLineChars="0"/>
      <w:contextualSpacing/>
      <w:jc w:val="left"/>
      <w:outlineLvl w:val="3"/>
    </w:pPr>
    <w:rPr>
      <w:rFonts w:ascii="黑体" w:hAnsi="黑体"/>
      <w:b/>
      <w:sz w:val="24"/>
      <w:szCs w:val="24"/>
      <w:lang w:eastAsia="en-US" w:bidi="en-US"/>
    </w:rPr>
  </w:style>
  <w:style w:type="character" w:customStyle="1" w:styleId="181">
    <w:name w:val="4级标题 字符"/>
    <w:basedOn w:val="108"/>
    <w:link w:val="180"/>
    <w:qFormat/>
    <w:uiPriority w:val="0"/>
    <w:rPr>
      <w:rFonts w:ascii="黑体" w:hAnsi="黑体" w:cs="Calibri"/>
      <w:b/>
      <w:kern w:val="2"/>
      <w:sz w:val="24"/>
      <w:szCs w:val="24"/>
      <w:lang w:eastAsia="en-US" w:bidi="en-US"/>
    </w:rPr>
  </w:style>
  <w:style w:type="paragraph" w:styleId="182">
    <w:name w:val="No Spacing"/>
    <w:link w:val="183"/>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3">
    <w:name w:val="无间隔 字符"/>
    <w:link w:val="182"/>
    <w:qFormat/>
    <w:uiPriority w:val="1"/>
    <w:rPr>
      <w:rFonts w:asciiTheme="minorHAnsi" w:hAnsiTheme="minorHAnsi" w:eastAsiaTheme="minorEastAsia" w:cstheme="minorBidi"/>
      <w:kern w:val="2"/>
      <w:sz w:val="21"/>
      <w:szCs w:val="22"/>
    </w:rPr>
  </w:style>
  <w:style w:type="paragraph" w:customStyle="1" w:styleId="184">
    <w:name w:val="标准正文"/>
    <w:basedOn w:val="1"/>
    <w:link w:val="185"/>
    <w:qFormat/>
    <w:uiPriority w:val="0"/>
    <w:pPr>
      <w:spacing w:before="156" w:after="156" w:line="360" w:lineRule="auto"/>
      <w:ind w:firstLine="480" w:firstLineChars="200"/>
    </w:pPr>
    <w:rPr>
      <w:rFonts w:cs="宋体"/>
      <w:sz w:val="24"/>
      <w:szCs w:val="20"/>
    </w:rPr>
  </w:style>
  <w:style w:type="character" w:customStyle="1" w:styleId="185">
    <w:name w:val="标准正文 Char"/>
    <w:link w:val="184"/>
    <w:qFormat/>
    <w:locked/>
    <w:uiPriority w:val="0"/>
    <w:rPr>
      <w:rFonts w:cs="宋体"/>
      <w:kern w:val="2"/>
      <w:sz w:val="24"/>
    </w:rPr>
  </w:style>
  <w:style w:type="character" w:customStyle="1" w:styleId="186">
    <w:name w:val="文档结构图 字符1"/>
    <w:basedOn w:val="62"/>
    <w:qFormat/>
    <w:uiPriority w:val="0"/>
    <w:rPr>
      <w:rFonts w:ascii="Microsoft YaHei UI" w:eastAsia="Microsoft YaHei UI"/>
      <w:kern w:val="2"/>
      <w:sz w:val="18"/>
      <w:szCs w:val="18"/>
    </w:rPr>
  </w:style>
  <w:style w:type="character" w:customStyle="1" w:styleId="187">
    <w:name w:val="文档结构图 Char1"/>
    <w:basedOn w:val="62"/>
    <w:semiHidden/>
    <w:qFormat/>
    <w:uiPriority w:val="99"/>
    <w:rPr>
      <w:rFonts w:ascii="Microsoft YaHei UI" w:eastAsia="Microsoft YaHei UI"/>
      <w:sz w:val="18"/>
      <w:szCs w:val="18"/>
    </w:rPr>
  </w:style>
  <w:style w:type="paragraph" w:customStyle="1" w:styleId="188">
    <w:name w:val="GP正文(首行缩进)"/>
    <w:basedOn w:val="1"/>
    <w:qFormat/>
    <w:uiPriority w:val="99"/>
    <w:pPr>
      <w:spacing w:line="360" w:lineRule="auto"/>
      <w:ind w:firstLine="200" w:firstLineChars="200"/>
      <w:jc w:val="left"/>
    </w:pPr>
    <w:rPr>
      <w:sz w:val="24"/>
    </w:rPr>
  </w:style>
  <w:style w:type="character" w:customStyle="1" w:styleId="189">
    <w:name w:val="批注文字 Char1"/>
    <w:basedOn w:val="62"/>
    <w:qFormat/>
    <w:uiPriority w:val="0"/>
  </w:style>
  <w:style w:type="character" w:customStyle="1" w:styleId="190">
    <w:name w:val="批注文字 字符1"/>
    <w:basedOn w:val="62"/>
    <w:qFormat/>
    <w:uiPriority w:val="0"/>
  </w:style>
  <w:style w:type="character" w:customStyle="1" w:styleId="191">
    <w:name w:val="批注主题 Char1"/>
    <w:basedOn w:val="189"/>
    <w:qFormat/>
    <w:uiPriority w:val="99"/>
    <w:rPr>
      <w:b/>
      <w:bCs/>
    </w:rPr>
  </w:style>
  <w:style w:type="character" w:customStyle="1" w:styleId="192">
    <w:name w:val="批注主题 字符1"/>
    <w:basedOn w:val="190"/>
    <w:qFormat/>
    <w:uiPriority w:val="0"/>
    <w:rPr>
      <w:b/>
      <w:bCs/>
    </w:rPr>
  </w:style>
  <w:style w:type="paragraph" w:customStyle="1" w:styleId="193">
    <w:name w:val="表格字体"/>
    <w:basedOn w:val="1"/>
    <w:link w:val="194"/>
    <w:qFormat/>
    <w:uiPriority w:val="0"/>
    <w:pPr>
      <w:spacing w:before="40" w:after="40" w:line="400" w:lineRule="exact"/>
    </w:pPr>
    <w:rPr>
      <w:rFonts w:ascii="Calibri" w:hAnsi="Calibri" w:eastAsia="仿宋"/>
      <w:sz w:val="24"/>
      <w:szCs w:val="22"/>
    </w:rPr>
  </w:style>
  <w:style w:type="character" w:customStyle="1" w:styleId="194">
    <w:name w:val="表格字体 Char"/>
    <w:link w:val="193"/>
    <w:qFormat/>
    <w:uiPriority w:val="0"/>
    <w:rPr>
      <w:rFonts w:ascii="Calibri" w:hAnsi="Calibri" w:eastAsia="仿宋"/>
      <w:kern w:val="2"/>
      <w:sz w:val="24"/>
      <w:szCs w:val="22"/>
    </w:rPr>
  </w:style>
  <w:style w:type="paragraph" w:styleId="195">
    <w:name w:val="Quote"/>
    <w:basedOn w:val="1"/>
    <w:next w:val="1"/>
    <w:link w:val="196"/>
    <w:qFormat/>
    <w:uiPriority w:val="29"/>
    <w:pPr>
      <w:spacing w:line="360" w:lineRule="auto"/>
    </w:pPr>
    <w:rPr>
      <w:i/>
      <w:iCs/>
      <w:color w:val="000000"/>
      <w:sz w:val="24"/>
      <w:szCs w:val="24"/>
    </w:rPr>
  </w:style>
  <w:style w:type="character" w:customStyle="1" w:styleId="196">
    <w:name w:val="引用 字符2"/>
    <w:basedOn w:val="62"/>
    <w:link w:val="195"/>
    <w:qFormat/>
    <w:uiPriority w:val="29"/>
    <w:rPr>
      <w:i/>
      <w:iCs/>
      <w:color w:val="000000"/>
      <w:kern w:val="2"/>
      <w:sz w:val="24"/>
      <w:szCs w:val="24"/>
    </w:rPr>
  </w:style>
  <w:style w:type="character" w:customStyle="1" w:styleId="197">
    <w:name w:val="引用 字符"/>
    <w:basedOn w:val="62"/>
    <w:qFormat/>
    <w:uiPriority w:val="29"/>
    <w:rPr>
      <w:i/>
      <w:iCs/>
      <w:color w:val="3F3F3F" w:themeColor="text1" w:themeTint="BF"/>
      <w:kern w:val="2"/>
      <w:sz w:val="21"/>
      <w:szCs w:val="21"/>
    </w:rPr>
  </w:style>
  <w:style w:type="paragraph" w:customStyle="1" w:styleId="198">
    <w:name w:val="3.0正文样式"/>
    <w:basedOn w:val="1"/>
    <w:link w:val="199"/>
    <w:qFormat/>
    <w:uiPriority w:val="0"/>
    <w:pPr>
      <w:spacing w:before="120" w:after="120" w:line="360" w:lineRule="auto"/>
      <w:ind w:firstLine="420" w:firstLineChars="200"/>
    </w:pPr>
    <w:rPr>
      <w:rFonts w:ascii="Calibri" w:hAnsi="Calibri"/>
      <w:lang w:val="zh-CN"/>
    </w:rPr>
  </w:style>
  <w:style w:type="character" w:customStyle="1" w:styleId="199">
    <w:name w:val="3.0正文样式 Char"/>
    <w:link w:val="198"/>
    <w:qFormat/>
    <w:uiPriority w:val="0"/>
    <w:rPr>
      <w:rFonts w:ascii="Calibri" w:hAnsi="Calibri"/>
      <w:kern w:val="2"/>
      <w:sz w:val="21"/>
      <w:szCs w:val="21"/>
      <w:lang w:val="zh-CN" w:eastAsia="zh-CN"/>
    </w:rPr>
  </w:style>
  <w:style w:type="paragraph" w:customStyle="1" w:styleId="200">
    <w:name w:val="样式3"/>
    <w:basedOn w:val="182"/>
    <w:link w:val="201"/>
    <w:qFormat/>
    <w:uiPriority w:val="99"/>
    <w:pPr>
      <w:ind w:firstLine="397"/>
    </w:pPr>
    <w:rPr>
      <w:rFonts w:ascii="Times New Roman" w:hAnsi="Times New Roman" w:eastAsia="宋体" w:cs="Times New Roman"/>
      <w:b/>
      <w:sz w:val="18"/>
      <w:szCs w:val="15"/>
      <w:lang w:val="zh-CN"/>
    </w:rPr>
  </w:style>
  <w:style w:type="character" w:customStyle="1" w:styleId="201">
    <w:name w:val="样式3 Char"/>
    <w:link w:val="200"/>
    <w:qFormat/>
    <w:uiPriority w:val="99"/>
    <w:rPr>
      <w:b/>
      <w:kern w:val="2"/>
      <w:sz w:val="18"/>
      <w:szCs w:val="15"/>
      <w:lang w:val="zh-CN" w:eastAsia="zh-CN"/>
    </w:rPr>
  </w:style>
  <w:style w:type="character" w:customStyle="1" w:styleId="202">
    <w:name w:val="日期 Char1"/>
    <w:basedOn w:val="62"/>
    <w:qFormat/>
    <w:uiPriority w:val="99"/>
    <w:rPr>
      <w:rFonts w:ascii="宋体" w:eastAsia="宋体"/>
      <w:sz w:val="24"/>
    </w:rPr>
  </w:style>
  <w:style w:type="character" w:customStyle="1" w:styleId="203">
    <w:name w:val="日期 字符1"/>
    <w:basedOn w:val="62"/>
    <w:qFormat/>
    <w:uiPriority w:val="0"/>
  </w:style>
  <w:style w:type="paragraph" w:customStyle="1" w:styleId="204">
    <w:name w:val="5级标题"/>
    <w:basedOn w:val="180"/>
    <w:link w:val="205"/>
    <w:qFormat/>
    <w:uiPriority w:val="0"/>
    <w:pPr>
      <w:numPr>
        <w:ilvl w:val="4"/>
      </w:numPr>
      <w:ind w:left="210" w:leftChars="100" w:right="100"/>
    </w:pPr>
  </w:style>
  <w:style w:type="character" w:customStyle="1" w:styleId="205">
    <w:name w:val="5级标题 字符"/>
    <w:basedOn w:val="181"/>
    <w:link w:val="204"/>
    <w:qFormat/>
    <w:uiPriority w:val="0"/>
    <w:rPr>
      <w:rFonts w:ascii="黑体" w:hAnsi="黑体" w:cs="Calibri"/>
      <w:kern w:val="2"/>
      <w:sz w:val="24"/>
      <w:szCs w:val="24"/>
      <w:lang w:eastAsia="en-US" w:bidi="en-US"/>
    </w:rPr>
  </w:style>
  <w:style w:type="paragraph" w:customStyle="1" w:styleId="206">
    <w:name w:val="xiaobiaoti"/>
    <w:basedOn w:val="158"/>
    <w:link w:val="207"/>
    <w:qFormat/>
    <w:uiPriority w:val="0"/>
    <w:pPr>
      <w:numPr>
        <w:ilvl w:val="0"/>
        <w:numId w:val="9"/>
      </w:numPr>
      <w:adjustRightInd w:val="0"/>
      <w:snapToGrid w:val="0"/>
      <w:spacing w:line="360" w:lineRule="auto"/>
      <w:ind w:left="0" w:firstLine="0" w:firstLineChars="0"/>
    </w:pPr>
  </w:style>
  <w:style w:type="character" w:customStyle="1" w:styleId="207">
    <w:name w:val="xiaobiaoti 字符"/>
    <w:basedOn w:val="159"/>
    <w:link w:val="206"/>
    <w:qFormat/>
    <w:uiPriority w:val="0"/>
    <w:rPr>
      <w:rFonts w:ascii="宋体" w:hAnsi="宋体" w:cs="仿宋_GB2312"/>
      <w:kern w:val="2"/>
      <w:sz w:val="24"/>
      <w:szCs w:val="24"/>
    </w:rPr>
  </w:style>
  <w:style w:type="paragraph" w:customStyle="1" w:styleId="208">
    <w:name w:val="GP正文(无首行缩进)"/>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209">
    <w:name w:val="样式1"/>
    <w:basedOn w:val="204"/>
    <w:link w:val="210"/>
    <w:qFormat/>
    <w:uiPriority w:val="99"/>
    <w:pPr>
      <w:ind w:right="210"/>
    </w:pPr>
  </w:style>
  <w:style w:type="character" w:customStyle="1" w:styleId="210">
    <w:name w:val="样式1 字符"/>
    <w:basedOn w:val="205"/>
    <w:link w:val="209"/>
    <w:qFormat/>
    <w:uiPriority w:val="99"/>
    <w:rPr>
      <w:rFonts w:ascii="黑体" w:hAnsi="黑体" w:cs="Calibri"/>
      <w:kern w:val="2"/>
      <w:sz w:val="24"/>
      <w:szCs w:val="24"/>
      <w:lang w:eastAsia="en-US" w:bidi="en-US"/>
    </w:rPr>
  </w:style>
  <w:style w:type="paragraph" w:customStyle="1" w:styleId="211">
    <w:name w:val="6级标题"/>
    <w:basedOn w:val="209"/>
    <w:link w:val="212"/>
    <w:qFormat/>
    <w:uiPriority w:val="0"/>
  </w:style>
  <w:style w:type="character" w:customStyle="1" w:styleId="212">
    <w:name w:val="6级标题 字符"/>
    <w:basedOn w:val="210"/>
    <w:link w:val="211"/>
    <w:qFormat/>
    <w:uiPriority w:val="0"/>
    <w:rPr>
      <w:rFonts w:ascii="黑体" w:hAnsi="黑体" w:cs="Calibri"/>
      <w:kern w:val="2"/>
      <w:sz w:val="24"/>
      <w:szCs w:val="24"/>
      <w:lang w:eastAsia="en-US" w:bidi="en-US"/>
    </w:rPr>
  </w:style>
  <w:style w:type="paragraph" w:customStyle="1" w:styleId="213">
    <w:name w:val="标题5-2"/>
    <w:basedOn w:val="1"/>
    <w:next w:val="184"/>
    <w:qFormat/>
    <w:uiPriority w:val="0"/>
    <w:pPr>
      <w:numPr>
        <w:ilvl w:val="0"/>
        <w:numId w:val="10"/>
      </w:numPr>
      <w:spacing w:beforeLines="50" w:afterLines="50" w:line="360" w:lineRule="auto"/>
      <w:ind w:firstLine="0"/>
      <w:outlineLvl w:val="4"/>
    </w:pPr>
    <w:rPr>
      <w:rFonts w:asciiTheme="minorHAnsi" w:hAnsiTheme="minorHAnsi" w:eastAsiaTheme="minorEastAsia" w:cstheme="minorBidi"/>
      <w:sz w:val="24"/>
      <w:szCs w:val="24"/>
    </w:rPr>
  </w:style>
  <w:style w:type="paragraph" w:customStyle="1" w:styleId="214">
    <w:name w:val="表1"/>
    <w:basedOn w:val="1"/>
    <w:qFormat/>
    <w:uiPriority w:val="99"/>
    <w:pPr>
      <w:numPr>
        <w:ilvl w:val="0"/>
        <w:numId w:val="11"/>
      </w:numPr>
      <w:spacing w:line="360" w:lineRule="auto"/>
      <w:ind w:left="0" w:firstLine="0"/>
      <w:jc w:val="center"/>
    </w:pPr>
    <w:rPr>
      <w:rFonts w:ascii="Arial" w:hAnsi="Arial" w:cs="宋体"/>
      <w:szCs w:val="20"/>
    </w:rPr>
  </w:style>
  <w:style w:type="paragraph" w:customStyle="1" w:styleId="215">
    <w:name w:val="尖角符号样式"/>
    <w:basedOn w:val="1"/>
    <w:link w:val="216"/>
    <w:qFormat/>
    <w:uiPriority w:val="0"/>
    <w:pPr>
      <w:numPr>
        <w:ilvl w:val="0"/>
        <w:numId w:val="12"/>
      </w:numPr>
      <w:spacing w:line="360" w:lineRule="auto"/>
      <w:ind w:left="0" w:firstLine="482" w:firstLineChars="200"/>
      <w:jc w:val="left"/>
    </w:pPr>
    <w:rPr>
      <w:rFonts w:ascii="Arial" w:hAnsi="Arial" w:cs="宋体"/>
      <w:sz w:val="24"/>
      <w:szCs w:val="20"/>
    </w:rPr>
  </w:style>
  <w:style w:type="character" w:customStyle="1" w:styleId="216">
    <w:name w:val="尖角符号样式 Char"/>
    <w:basedOn w:val="62"/>
    <w:link w:val="215"/>
    <w:qFormat/>
    <w:uiPriority w:val="0"/>
    <w:rPr>
      <w:rFonts w:ascii="Arial" w:hAnsi="Arial" w:cs="宋体"/>
      <w:kern w:val="2"/>
      <w:sz w:val="24"/>
    </w:rPr>
  </w:style>
  <w:style w:type="paragraph" w:customStyle="1" w:styleId="217">
    <w:name w:val="标题3"/>
    <w:basedOn w:val="7"/>
    <w:qFormat/>
    <w:uiPriority w:val="0"/>
    <w:pPr>
      <w:keepLines/>
      <w:tabs>
        <w:tab w:val="left" w:pos="14"/>
        <w:tab w:val="left" w:pos="964"/>
        <w:tab w:val="left" w:pos="2977"/>
      </w:tabs>
      <w:spacing w:before="0" w:after="0" w:line="377" w:lineRule="auto"/>
      <w:ind w:left="14" w:hanging="420"/>
    </w:pPr>
    <w:rPr>
      <w:rFonts w:hAnsi="黑体" w:cs="Times New Roman"/>
      <w:b w:val="0"/>
      <w:szCs w:val="20"/>
    </w:rPr>
  </w:style>
  <w:style w:type="paragraph" w:customStyle="1" w:styleId="218">
    <w:name w:val="样式 标题9 +"/>
    <w:basedOn w:val="1"/>
    <w:qFormat/>
    <w:uiPriority w:val="99"/>
    <w:pPr>
      <w:keepNext/>
      <w:keepLines/>
      <w:spacing w:before="240" w:after="64" w:line="320" w:lineRule="auto"/>
      <w:ind w:left="3360" w:hanging="420"/>
      <w:outlineLvl w:val="8"/>
    </w:pPr>
    <w:rPr>
      <w:rFonts w:ascii="Cambria" w:hAnsi="Cambria" w:eastAsia="黑体"/>
      <w:lang w:eastAsia="en-US"/>
    </w:rPr>
  </w:style>
  <w:style w:type="character" w:customStyle="1" w:styleId="219">
    <w:name w:val="标准正文 Char Char"/>
    <w:qFormat/>
    <w:uiPriority w:val="0"/>
    <w:rPr>
      <w:rFonts w:ascii="宋体" w:hAnsi="宋体" w:eastAsia="宋体"/>
      <w:bCs/>
      <w:sz w:val="24"/>
      <w:szCs w:val="24"/>
      <w:lang w:val="en-GB"/>
    </w:rPr>
  </w:style>
  <w:style w:type="character" w:customStyle="1" w:styleId="220">
    <w:name w:val="文字 Char Char"/>
    <w:link w:val="221"/>
    <w:qFormat/>
    <w:uiPriority w:val="0"/>
    <w:rPr>
      <w:rFonts w:ascii="楷体_GB2312" w:eastAsia="楷体_GB2312"/>
      <w:sz w:val="28"/>
    </w:rPr>
  </w:style>
  <w:style w:type="paragraph" w:customStyle="1" w:styleId="221">
    <w:name w:val="文字"/>
    <w:basedOn w:val="1"/>
    <w:link w:val="220"/>
    <w:qFormat/>
    <w:uiPriority w:val="0"/>
    <w:pPr>
      <w:tabs>
        <w:tab w:val="left" w:pos="8520"/>
      </w:tabs>
      <w:spacing w:line="312" w:lineRule="auto"/>
      <w:ind w:right="-210" w:firstLine="556"/>
    </w:pPr>
    <w:rPr>
      <w:rFonts w:ascii="楷体_GB2312" w:eastAsia="楷体_GB2312"/>
      <w:kern w:val="0"/>
      <w:sz w:val="28"/>
      <w:szCs w:val="20"/>
    </w:rPr>
  </w:style>
  <w:style w:type="character" w:customStyle="1" w:styleId="222">
    <w:name w:val="3级标题 Char Char"/>
    <w:qFormat/>
    <w:uiPriority w:val="0"/>
    <w:rPr>
      <w:rFonts w:ascii="黑体" w:hAnsi="黑体" w:eastAsia="黑体" w:cs="Times New Roman"/>
      <w:sz w:val="28"/>
      <w:szCs w:val="36"/>
      <w:lang w:eastAsia="en-US" w:bidi="en-US"/>
    </w:rPr>
  </w:style>
  <w:style w:type="character" w:customStyle="1" w:styleId="223">
    <w:name w:val="正文四号 Char Char"/>
    <w:link w:val="224"/>
    <w:qFormat/>
    <w:uiPriority w:val="0"/>
    <w:rPr>
      <w:rFonts w:cs="宋体"/>
      <w:sz w:val="28"/>
    </w:rPr>
  </w:style>
  <w:style w:type="paragraph" w:customStyle="1" w:styleId="224">
    <w:name w:val="正文四号"/>
    <w:basedOn w:val="1"/>
    <w:link w:val="223"/>
    <w:qFormat/>
    <w:uiPriority w:val="0"/>
    <w:pPr>
      <w:spacing w:line="360" w:lineRule="auto"/>
      <w:ind w:firstLine="200" w:firstLineChars="200"/>
    </w:pPr>
    <w:rPr>
      <w:rFonts w:cs="宋体"/>
      <w:kern w:val="0"/>
      <w:sz w:val="28"/>
      <w:szCs w:val="20"/>
    </w:rPr>
  </w:style>
  <w:style w:type="character" w:customStyle="1" w:styleId="225">
    <w:name w:val="Normal Indent3 Char Char"/>
    <w:link w:val="226"/>
    <w:qFormat/>
    <w:uiPriority w:val="0"/>
    <w:rPr>
      <w:rFonts w:eastAsia="仿宋_GB2312"/>
      <w:sz w:val="24"/>
      <w:szCs w:val="24"/>
    </w:rPr>
  </w:style>
  <w:style w:type="paragraph" w:customStyle="1" w:styleId="226">
    <w:name w:val="Normal Indent3"/>
    <w:basedOn w:val="1"/>
    <w:link w:val="225"/>
    <w:qFormat/>
    <w:uiPriority w:val="0"/>
    <w:pPr>
      <w:spacing w:beforeLines="50" w:afterLines="50" w:line="300" w:lineRule="auto"/>
      <w:ind w:left="100" w:leftChars="100" w:right="100" w:rightChars="100" w:firstLine="480" w:firstLineChars="200"/>
      <w:jc w:val="left"/>
    </w:pPr>
    <w:rPr>
      <w:rFonts w:eastAsia="仿宋_GB2312"/>
      <w:kern w:val="0"/>
      <w:sz w:val="24"/>
      <w:szCs w:val="24"/>
    </w:rPr>
  </w:style>
  <w:style w:type="character" w:customStyle="1" w:styleId="227">
    <w:name w:val="标题样式 Char Char"/>
    <w:link w:val="228"/>
    <w:qFormat/>
    <w:uiPriority w:val="0"/>
    <w:rPr>
      <w:b/>
      <w:sz w:val="24"/>
    </w:rPr>
  </w:style>
  <w:style w:type="paragraph" w:customStyle="1" w:styleId="228">
    <w:name w:val="标题样式"/>
    <w:basedOn w:val="1"/>
    <w:link w:val="227"/>
    <w:qFormat/>
    <w:uiPriority w:val="0"/>
    <w:pPr>
      <w:spacing w:beforeLines="50" w:afterLines="50"/>
    </w:pPr>
    <w:rPr>
      <w:b/>
      <w:kern w:val="0"/>
      <w:sz w:val="24"/>
      <w:szCs w:val="20"/>
    </w:rPr>
  </w:style>
  <w:style w:type="character" w:customStyle="1" w:styleId="229">
    <w:name w:val="正文（缩进） Char Char"/>
    <w:link w:val="230"/>
    <w:qFormat/>
    <w:uiPriority w:val="0"/>
    <w:rPr>
      <w:sz w:val="24"/>
      <w:szCs w:val="24"/>
    </w:rPr>
  </w:style>
  <w:style w:type="paragraph" w:customStyle="1" w:styleId="230">
    <w:name w:val="正文（缩进）"/>
    <w:basedOn w:val="1"/>
    <w:link w:val="229"/>
    <w:qFormat/>
    <w:uiPriority w:val="0"/>
    <w:pPr>
      <w:spacing w:beforeLines="50" w:afterLines="50" w:line="360" w:lineRule="auto"/>
      <w:ind w:firstLine="480" w:firstLineChars="200"/>
    </w:pPr>
    <w:rPr>
      <w:kern w:val="0"/>
      <w:sz w:val="24"/>
      <w:szCs w:val="24"/>
    </w:rPr>
  </w:style>
  <w:style w:type="character" w:customStyle="1" w:styleId="231">
    <w:name w:val="段 Char Char"/>
    <w:link w:val="232"/>
    <w:qFormat/>
    <w:uiPriority w:val="0"/>
    <w:rPr>
      <w:rFonts w:ascii="宋体"/>
    </w:rPr>
  </w:style>
  <w:style w:type="paragraph" w:customStyle="1" w:styleId="232">
    <w:name w:val="段"/>
    <w:link w:val="231"/>
    <w:qFormat/>
    <w:uiPriority w:val="0"/>
    <w:pPr>
      <w:autoSpaceDE w:val="0"/>
      <w:autoSpaceDN w:val="0"/>
      <w:ind w:firstLine="200" w:firstLineChars="200"/>
      <w:jc w:val="both"/>
    </w:pPr>
    <w:rPr>
      <w:rFonts w:ascii="宋体" w:hAnsi="Times New Roman" w:eastAsia="宋体" w:cs="Times New Roman"/>
      <w:lang w:val="en-US" w:eastAsia="zh-CN" w:bidi="ar-SA"/>
    </w:rPr>
  </w:style>
  <w:style w:type="character" w:customStyle="1" w:styleId="233">
    <w:name w:val="内容文本 Char Char"/>
    <w:link w:val="234"/>
    <w:qFormat/>
    <w:uiPriority w:val="0"/>
    <w:rPr>
      <w:rFonts w:ascii="宋体" w:hAnsi="宋体"/>
      <w:sz w:val="24"/>
      <w:szCs w:val="24"/>
      <w:lang w:eastAsia="en-US" w:bidi="en-US"/>
    </w:rPr>
  </w:style>
  <w:style w:type="paragraph" w:customStyle="1" w:styleId="234">
    <w:name w:val="内容文本"/>
    <w:basedOn w:val="107"/>
    <w:link w:val="233"/>
    <w:qFormat/>
    <w:uiPriority w:val="0"/>
    <w:pPr>
      <w:spacing w:line="360" w:lineRule="auto"/>
      <w:ind w:firstLine="200"/>
      <w:contextualSpacing/>
      <w:jc w:val="left"/>
    </w:pPr>
    <w:rPr>
      <w:rFonts w:ascii="宋体" w:hAnsi="宋体" w:cs="Times New Roman"/>
      <w:kern w:val="0"/>
      <w:sz w:val="24"/>
      <w:szCs w:val="24"/>
      <w:lang w:eastAsia="en-US" w:bidi="en-US"/>
    </w:rPr>
  </w:style>
  <w:style w:type="character" w:customStyle="1" w:styleId="235">
    <w:name w:val="编号，小四 Char Char"/>
    <w:qFormat/>
    <w:uiPriority w:val="99"/>
    <w:rPr>
      <w:rFonts w:ascii="Verdana" w:hAnsi="Verdana" w:eastAsia="宋体" w:cs="宋体"/>
      <w:sz w:val="24"/>
      <w:szCs w:val="20"/>
    </w:rPr>
  </w:style>
  <w:style w:type="character" w:customStyle="1" w:styleId="236">
    <w:name w:val="方案正文 Char Char"/>
    <w:link w:val="237"/>
    <w:qFormat/>
    <w:uiPriority w:val="0"/>
    <w:rPr>
      <w:sz w:val="24"/>
      <w:szCs w:val="24"/>
    </w:rPr>
  </w:style>
  <w:style w:type="paragraph" w:customStyle="1" w:styleId="237">
    <w:name w:val="方案正文"/>
    <w:basedOn w:val="1"/>
    <w:link w:val="236"/>
    <w:qFormat/>
    <w:uiPriority w:val="0"/>
    <w:pPr>
      <w:spacing w:line="360" w:lineRule="auto"/>
    </w:pPr>
    <w:rPr>
      <w:kern w:val="0"/>
      <w:sz w:val="24"/>
      <w:szCs w:val="24"/>
    </w:rPr>
  </w:style>
  <w:style w:type="character" w:customStyle="1" w:styleId="238">
    <w:name w:val="4级标题 Char Char"/>
    <w:qFormat/>
    <w:uiPriority w:val="0"/>
    <w:rPr>
      <w:rFonts w:ascii="黑体" w:hAnsi="黑体" w:eastAsia="黑体" w:cs="Times New Roman"/>
      <w:kern w:val="0"/>
      <w:sz w:val="24"/>
      <w:szCs w:val="24"/>
      <w:lang w:eastAsia="en-US" w:bidi="en-US"/>
    </w:rPr>
  </w:style>
  <w:style w:type="character" w:customStyle="1" w:styleId="239">
    <w:name w:val="*正文 Char Char"/>
    <w:qFormat/>
    <w:uiPriority w:val="0"/>
    <w:rPr>
      <w:rFonts w:ascii="宋体" w:hAnsi="宋体" w:eastAsia="宋体" w:cs="Times New Roman"/>
      <w:sz w:val="22"/>
      <w:szCs w:val="24"/>
    </w:rPr>
  </w:style>
  <w:style w:type="character" w:customStyle="1" w:styleId="240">
    <w:name w:val="GW-标题3 Char Char"/>
    <w:link w:val="241"/>
    <w:qFormat/>
    <w:uiPriority w:val="0"/>
    <w:rPr>
      <w:rFonts w:ascii="仿宋_GB2312" w:hAnsi="Calibri" w:eastAsia="仿宋_GB2312"/>
      <w:b/>
      <w:bCs/>
      <w:kern w:val="44"/>
      <w:sz w:val="32"/>
      <w:szCs w:val="24"/>
    </w:rPr>
  </w:style>
  <w:style w:type="paragraph" w:customStyle="1" w:styleId="241">
    <w:name w:val="GW-标题3"/>
    <w:basedOn w:val="242"/>
    <w:next w:val="1"/>
    <w:link w:val="240"/>
    <w:qFormat/>
    <w:uiPriority w:val="0"/>
    <w:pPr>
      <w:spacing w:beforeLines="50" w:afterLines="50"/>
      <w:outlineLvl w:val="2"/>
    </w:pPr>
    <w:rPr>
      <w:rFonts w:ascii="仿宋_GB2312"/>
      <w:sz w:val="32"/>
      <w:szCs w:val="24"/>
      <w:lang w:val="en-US"/>
    </w:rPr>
  </w:style>
  <w:style w:type="paragraph" w:customStyle="1" w:styleId="242">
    <w:name w:val="GW-标题2"/>
    <w:basedOn w:val="243"/>
    <w:next w:val="1"/>
    <w:qFormat/>
    <w:uiPriority w:val="0"/>
    <w:pPr>
      <w:outlineLvl w:val="1"/>
    </w:pPr>
    <w:rPr>
      <w:sz w:val="36"/>
    </w:rPr>
  </w:style>
  <w:style w:type="paragraph" w:customStyle="1" w:styleId="243">
    <w:name w:val="GW-标题1"/>
    <w:basedOn w:val="3"/>
    <w:next w:val="1"/>
    <w:qFormat/>
    <w:uiPriority w:val="0"/>
    <w:pPr>
      <w:snapToGrid w:val="0"/>
      <w:spacing w:beforeLines="100" w:afterLines="100" w:line="360" w:lineRule="auto"/>
      <w:ind w:left="420" w:hanging="420"/>
    </w:pPr>
    <w:rPr>
      <w:rFonts w:hint="default" w:ascii="Calibri" w:hAnsi="Calibri" w:eastAsia="仿宋_GB2312"/>
      <w:bCs/>
      <w:color w:val="auto"/>
      <w:kern w:val="44"/>
      <w:sz w:val="44"/>
      <w:szCs w:val="22"/>
      <w:lang w:val="zh-CN"/>
    </w:rPr>
  </w:style>
  <w:style w:type="character" w:customStyle="1" w:styleId="244">
    <w:name w:val="明显参考1"/>
    <w:qFormat/>
    <w:uiPriority w:val="32"/>
    <w:rPr>
      <w:b/>
      <w:bCs/>
      <w:smallCaps/>
      <w:color w:val="C0504D"/>
      <w:spacing w:val="5"/>
      <w:u w:val="single"/>
    </w:rPr>
  </w:style>
  <w:style w:type="character" w:customStyle="1" w:styleId="245">
    <w:name w:val="def正文 Char Char"/>
    <w:link w:val="246"/>
    <w:qFormat/>
    <w:uiPriority w:val="0"/>
  </w:style>
  <w:style w:type="paragraph" w:customStyle="1" w:styleId="246">
    <w:name w:val="def正文"/>
    <w:basedOn w:val="25"/>
    <w:link w:val="245"/>
    <w:qFormat/>
    <w:uiPriority w:val="0"/>
    <w:pPr>
      <w:widowControl/>
      <w:spacing w:line="276" w:lineRule="auto"/>
      <w:jc w:val="center"/>
    </w:pPr>
    <w:rPr>
      <w:kern w:val="0"/>
      <w:sz w:val="20"/>
      <w:szCs w:val="20"/>
    </w:rPr>
  </w:style>
  <w:style w:type="character" w:customStyle="1" w:styleId="247">
    <w:name w:val="正文文本缩进 3 Char1"/>
    <w:basedOn w:val="62"/>
    <w:qFormat/>
    <w:uiPriority w:val="0"/>
    <w:rPr>
      <w:rFonts w:ascii="宋体" w:eastAsia="宋体"/>
      <w:sz w:val="16"/>
      <w:szCs w:val="16"/>
    </w:rPr>
  </w:style>
  <w:style w:type="character" w:customStyle="1" w:styleId="248">
    <w:name w:val="正文文本缩进 3 字符1"/>
    <w:basedOn w:val="62"/>
    <w:qFormat/>
    <w:uiPriority w:val="0"/>
    <w:rPr>
      <w:rFonts w:ascii="Calibri" w:hAnsi="Calibri" w:eastAsia="宋体" w:cs="Times New Roman"/>
      <w:sz w:val="16"/>
      <w:szCs w:val="16"/>
    </w:rPr>
  </w:style>
  <w:style w:type="character" w:customStyle="1" w:styleId="249">
    <w:name w:val="正文文本 字符2"/>
    <w:basedOn w:val="62"/>
    <w:qFormat/>
    <w:uiPriority w:val="99"/>
    <w:rPr>
      <w:rFonts w:ascii="Calibri" w:hAnsi="Calibri" w:eastAsia="宋体" w:cs="Times New Roman"/>
      <w:sz w:val="24"/>
    </w:rPr>
  </w:style>
  <w:style w:type="character" w:customStyle="1" w:styleId="250">
    <w:name w:val="正文首行缩进 Char1"/>
    <w:basedOn w:val="249"/>
    <w:semiHidden/>
    <w:qFormat/>
    <w:uiPriority w:val="99"/>
    <w:rPr>
      <w:rFonts w:ascii="Calibri" w:hAnsi="Calibri" w:eastAsia="宋体" w:cs="Times New Roman"/>
      <w:sz w:val="24"/>
    </w:rPr>
  </w:style>
  <w:style w:type="character" w:customStyle="1" w:styleId="251">
    <w:name w:val="正文首行缩进 字符1"/>
    <w:basedOn w:val="249"/>
    <w:semiHidden/>
    <w:qFormat/>
    <w:uiPriority w:val="99"/>
    <w:rPr>
      <w:rFonts w:ascii="Calibri" w:hAnsi="Calibri" w:eastAsia="宋体" w:cs="Times New Roman"/>
      <w:sz w:val="24"/>
      <w:szCs w:val="22"/>
    </w:rPr>
  </w:style>
  <w:style w:type="character" w:customStyle="1" w:styleId="252">
    <w:name w:val="批注框文本 Char1"/>
    <w:basedOn w:val="62"/>
    <w:qFormat/>
    <w:uiPriority w:val="99"/>
    <w:rPr>
      <w:sz w:val="18"/>
      <w:szCs w:val="18"/>
    </w:rPr>
  </w:style>
  <w:style w:type="character" w:customStyle="1" w:styleId="253">
    <w:name w:val="批注框文本 字符1"/>
    <w:basedOn w:val="62"/>
    <w:semiHidden/>
    <w:qFormat/>
    <w:uiPriority w:val="0"/>
    <w:rPr>
      <w:rFonts w:ascii="Calibri" w:hAnsi="Calibri" w:eastAsia="宋体" w:cs="Times New Roman"/>
      <w:sz w:val="18"/>
      <w:szCs w:val="18"/>
    </w:rPr>
  </w:style>
  <w:style w:type="paragraph" w:customStyle="1" w:styleId="254">
    <w:name w:val="样式 标题 9 +"/>
    <w:basedOn w:val="255"/>
    <w:qFormat/>
    <w:uiPriority w:val="0"/>
    <w:pPr>
      <w:numPr>
        <w:ilvl w:val="8"/>
        <w:numId w:val="13"/>
      </w:numPr>
    </w:pPr>
  </w:style>
  <w:style w:type="paragraph" w:customStyle="1" w:styleId="255">
    <w:name w:val="标题9"/>
    <w:basedOn w:val="12"/>
    <w:next w:val="1"/>
    <w:qFormat/>
    <w:uiPriority w:val="99"/>
    <w:pPr>
      <w:ind w:left="4260" w:hanging="420" w:firstLineChars="0"/>
    </w:pPr>
    <w:rPr>
      <w:rFonts w:ascii="Cambria" w:hAnsi="Cambria" w:eastAsia="宋体" w:cs="Times New Roman"/>
      <w:kern w:val="0"/>
      <w:sz w:val="20"/>
      <w:lang w:val="zh-CN" w:eastAsia="en-US"/>
    </w:rPr>
  </w:style>
  <w:style w:type="character" w:customStyle="1" w:styleId="256">
    <w:name w:val="正文文本缩进 Char1"/>
    <w:basedOn w:val="62"/>
    <w:semiHidden/>
    <w:qFormat/>
    <w:uiPriority w:val="99"/>
    <w:rPr>
      <w:rFonts w:ascii="宋体" w:eastAsia="宋体"/>
      <w:sz w:val="24"/>
    </w:rPr>
  </w:style>
  <w:style w:type="character" w:customStyle="1" w:styleId="257">
    <w:name w:val="正文文本缩进 字符1"/>
    <w:basedOn w:val="62"/>
    <w:qFormat/>
    <w:uiPriority w:val="99"/>
    <w:rPr>
      <w:rFonts w:ascii="Calibri" w:hAnsi="Calibri" w:eastAsia="宋体" w:cs="Times New Roman"/>
      <w:sz w:val="24"/>
    </w:rPr>
  </w:style>
  <w:style w:type="paragraph" w:customStyle="1" w:styleId="258">
    <w:name w:val="编号，四号"/>
    <w:basedOn w:val="160"/>
    <w:qFormat/>
    <w:uiPriority w:val="0"/>
    <w:pPr>
      <w:numPr>
        <w:ilvl w:val="0"/>
        <w:numId w:val="14"/>
      </w:numPr>
      <w:tabs>
        <w:tab w:val="left" w:pos="360"/>
      </w:tabs>
      <w:ind w:left="420" w:firstLine="0"/>
    </w:pPr>
    <w:rPr>
      <w:rFonts w:ascii="Verdana" w:hAnsi="Verdana"/>
      <w:sz w:val="28"/>
    </w:rPr>
  </w:style>
  <w:style w:type="paragraph" w:customStyle="1" w:styleId="259">
    <w:name w:val="列表项abc"/>
    <w:basedOn w:val="1"/>
    <w:qFormat/>
    <w:uiPriority w:val="0"/>
    <w:pPr>
      <w:widowControl/>
      <w:numPr>
        <w:ilvl w:val="0"/>
        <w:numId w:val="15"/>
      </w:numPr>
      <w:adjustRightInd w:val="0"/>
      <w:snapToGrid w:val="0"/>
      <w:spacing w:line="360" w:lineRule="auto"/>
      <w:ind w:firstLine="0"/>
    </w:pPr>
    <w:rPr>
      <w:rFonts w:ascii="宋体" w:hAnsi="宋体" w:cs="Calibri"/>
      <w:kern w:val="24"/>
      <w:sz w:val="24"/>
      <w:szCs w:val="24"/>
    </w:rPr>
  </w:style>
  <w:style w:type="paragraph" w:customStyle="1" w:styleId="260">
    <w:name w:val="正文 传输小本"/>
    <w:basedOn w:val="1"/>
    <w:qFormat/>
    <w:uiPriority w:val="0"/>
    <w:pPr>
      <w:spacing w:line="240" w:lineRule="exact"/>
      <w:ind w:firstLine="240" w:firstLineChars="200"/>
      <w:jc w:val="left"/>
    </w:pPr>
    <w:rPr>
      <w:sz w:val="12"/>
      <w:szCs w:val="24"/>
    </w:rPr>
  </w:style>
  <w:style w:type="paragraph" w:customStyle="1" w:styleId="261">
    <w:name w:val="pan3"/>
    <w:basedOn w:val="107"/>
    <w:qFormat/>
    <w:uiPriority w:val="0"/>
    <w:pPr>
      <w:numPr>
        <w:ilvl w:val="2"/>
        <w:numId w:val="16"/>
      </w:numPr>
      <w:tabs>
        <w:tab w:val="left" w:pos="360"/>
      </w:tabs>
      <w:spacing w:line="360" w:lineRule="auto"/>
      <w:ind w:firstLine="420" w:firstLineChars="0"/>
      <w:outlineLvl w:val="2"/>
    </w:pPr>
    <w:rPr>
      <w:rFonts w:ascii="黑体" w:hAnsi="黑体" w:eastAsia="黑体" w:cs="宋体"/>
      <w:sz w:val="28"/>
      <w:szCs w:val="28"/>
    </w:rPr>
  </w:style>
  <w:style w:type="paragraph" w:customStyle="1" w:styleId="262">
    <w:name w:val="GP标题3"/>
    <w:basedOn w:val="1"/>
    <w:next w:val="188"/>
    <w:qFormat/>
    <w:uiPriority w:val="0"/>
    <w:pPr>
      <w:spacing w:beforeLines="50" w:afterLines="50" w:line="360" w:lineRule="auto"/>
      <w:jc w:val="left"/>
      <w:outlineLvl w:val="2"/>
    </w:pPr>
    <w:rPr>
      <w:rFonts w:ascii="华文细黑" w:hAnsi="华文细黑" w:eastAsia="华文细黑"/>
      <w:b/>
      <w:kern w:val="0"/>
      <w:sz w:val="30"/>
      <w:szCs w:val="20"/>
    </w:rPr>
  </w:style>
  <w:style w:type="paragraph" w:customStyle="1" w:styleId="263">
    <w:name w:val="正文黑体"/>
    <w:basedOn w:val="143"/>
    <w:qFormat/>
    <w:uiPriority w:val="99"/>
    <w:pPr>
      <w:ind w:firstLine="480"/>
    </w:pPr>
    <w:rPr>
      <w:rFonts w:ascii="黑体" w:hAnsi="黑体" w:eastAsia="黑体"/>
      <w:sz w:val="24"/>
      <w:szCs w:val="24"/>
    </w:rPr>
  </w:style>
  <w:style w:type="paragraph" w:customStyle="1" w:styleId="264">
    <w:name w:val="GW-标题7"/>
    <w:basedOn w:val="265"/>
    <w:next w:val="1"/>
    <w:qFormat/>
    <w:uiPriority w:val="0"/>
    <w:pPr>
      <w:tabs>
        <w:tab w:val="left" w:pos="360"/>
        <w:tab w:val="left" w:pos="2100"/>
        <w:tab w:val="left" w:pos="2520"/>
        <w:tab w:val="left" w:pos="2940"/>
        <w:tab w:val="left" w:pos="3000"/>
        <w:tab w:val="left" w:pos="3420"/>
      </w:tabs>
      <w:ind w:left="3420" w:firstLine="0"/>
      <w:outlineLvl w:val="6"/>
    </w:pPr>
    <w:rPr>
      <w:sz w:val="21"/>
    </w:rPr>
  </w:style>
  <w:style w:type="paragraph" w:customStyle="1" w:styleId="265">
    <w:name w:val="GW-标题6"/>
    <w:basedOn w:val="266"/>
    <w:next w:val="1"/>
    <w:qFormat/>
    <w:uiPriority w:val="0"/>
    <w:pPr>
      <w:tabs>
        <w:tab w:val="left" w:pos="2100"/>
        <w:tab w:val="left" w:pos="2520"/>
      </w:tabs>
      <w:ind w:left="2520"/>
      <w:outlineLvl w:val="5"/>
    </w:pPr>
    <w:rPr>
      <w:sz w:val="24"/>
    </w:rPr>
  </w:style>
  <w:style w:type="paragraph" w:customStyle="1" w:styleId="266">
    <w:name w:val="GW-标题5"/>
    <w:basedOn w:val="267"/>
    <w:next w:val="1"/>
    <w:qFormat/>
    <w:uiPriority w:val="0"/>
    <w:pPr>
      <w:tabs>
        <w:tab w:val="left" w:pos="2100"/>
      </w:tabs>
      <w:ind w:left="2100"/>
      <w:outlineLvl w:val="4"/>
    </w:pPr>
    <w:rPr>
      <w:sz w:val="28"/>
    </w:rPr>
  </w:style>
  <w:style w:type="paragraph" w:customStyle="1" w:styleId="267">
    <w:name w:val="GW-标题4"/>
    <w:basedOn w:val="241"/>
    <w:next w:val="1"/>
    <w:qFormat/>
    <w:uiPriority w:val="0"/>
    <w:pPr>
      <w:spacing w:beforeLines="0" w:afterLines="0"/>
      <w:ind w:left="2160"/>
      <w:outlineLvl w:val="3"/>
    </w:pPr>
    <w:rPr>
      <w:sz w:val="30"/>
    </w:rPr>
  </w:style>
  <w:style w:type="character" w:customStyle="1" w:styleId="268">
    <w:name w:val="引用 Char1"/>
    <w:basedOn w:val="62"/>
    <w:qFormat/>
    <w:uiPriority w:val="29"/>
    <w:rPr>
      <w:rFonts w:ascii="宋体" w:eastAsia="宋体"/>
      <w:i/>
      <w:iCs/>
      <w:color w:val="3F3F3F" w:themeColor="text1" w:themeTint="BF"/>
      <w:sz w:val="24"/>
    </w:rPr>
  </w:style>
  <w:style w:type="character" w:customStyle="1" w:styleId="269">
    <w:name w:val="引用 字符1"/>
    <w:basedOn w:val="62"/>
    <w:qFormat/>
    <w:uiPriority w:val="29"/>
    <w:rPr>
      <w:rFonts w:ascii="Calibri" w:hAnsi="Calibri" w:eastAsia="宋体" w:cs="Times New Roman"/>
      <w:i/>
      <w:iCs/>
      <w:color w:val="3F3F3F" w:themeColor="text1" w:themeTint="BF"/>
      <w:sz w:val="24"/>
    </w:rPr>
  </w:style>
  <w:style w:type="paragraph" w:customStyle="1" w:styleId="270">
    <w:name w:val="标题8"/>
    <w:basedOn w:val="11"/>
    <w:next w:val="1"/>
    <w:qFormat/>
    <w:uiPriority w:val="99"/>
    <w:pPr>
      <w:ind w:left="3840" w:hanging="420" w:firstLineChars="0"/>
    </w:pPr>
    <w:rPr>
      <w:rFonts w:ascii="Cambria" w:hAnsi="Cambria" w:eastAsia="黑体" w:cs="Times New Roman"/>
      <w:kern w:val="0"/>
      <w:lang w:val="zh-CN" w:eastAsia="en-US"/>
    </w:rPr>
  </w:style>
  <w:style w:type="paragraph" w:customStyle="1" w:styleId="271">
    <w:name w:val="样式 标题 8 + 左"/>
    <w:basedOn w:val="11"/>
    <w:qFormat/>
    <w:uiPriority w:val="0"/>
    <w:pPr>
      <w:numPr>
        <w:ilvl w:val="7"/>
        <w:numId w:val="13"/>
      </w:numPr>
      <w:spacing w:line="319" w:lineRule="auto"/>
      <w:ind w:firstLine="0" w:firstLineChars="0"/>
      <w:jc w:val="left"/>
    </w:pPr>
    <w:rPr>
      <w:rFonts w:ascii="Cambria" w:hAnsi="Cambria" w:eastAsia="宋体" w:cs="宋体"/>
      <w:kern w:val="0"/>
      <w:szCs w:val="20"/>
      <w:lang w:val="zh-CN" w:eastAsia="en-US"/>
    </w:rPr>
  </w:style>
  <w:style w:type="paragraph" w:customStyle="1" w:styleId="272">
    <w:name w:val="表格正文"/>
    <w:basedOn w:val="1"/>
    <w:qFormat/>
    <w:uiPriority w:val="99"/>
    <w:pPr>
      <w:spacing w:line="360" w:lineRule="auto"/>
      <w:ind w:firstLine="200" w:firstLineChars="200"/>
      <w:jc w:val="left"/>
    </w:pPr>
    <w:rPr>
      <w:szCs w:val="24"/>
    </w:rPr>
  </w:style>
  <w:style w:type="paragraph" w:customStyle="1" w:styleId="273">
    <w:name w:val="样式 标题 2 + 宋体 小五 段前: 0 磅 段后: 0 磅 行距: 1.5 倍行距"/>
    <w:basedOn w:val="4"/>
    <w:qFormat/>
    <w:uiPriority w:val="0"/>
    <w:pPr>
      <w:widowControl w:val="0"/>
      <w:spacing w:before="0" w:after="0" w:line="360" w:lineRule="auto"/>
      <w:jc w:val="both"/>
    </w:pPr>
    <w:rPr>
      <w:rFonts w:ascii="宋体" w:hAnsi="宋体" w:eastAsia="宋体"/>
      <w:kern w:val="0"/>
      <w:sz w:val="36"/>
      <w:szCs w:val="20"/>
    </w:rPr>
  </w:style>
  <w:style w:type="paragraph" w:customStyle="1" w:styleId="274">
    <w:name w:val="方案文档"/>
    <w:basedOn w:val="1"/>
    <w:qFormat/>
    <w:uiPriority w:val="0"/>
    <w:pPr>
      <w:spacing w:before="120" w:after="120" w:line="360" w:lineRule="auto"/>
      <w:ind w:firstLine="225" w:firstLineChars="225"/>
    </w:pPr>
    <w:rPr>
      <w:rFonts w:ascii="Arial" w:hAnsi="Arial"/>
      <w:sz w:val="24"/>
      <w:szCs w:val="20"/>
    </w:rPr>
  </w:style>
  <w:style w:type="paragraph" w:customStyle="1" w:styleId="275">
    <w:name w:val="标题6"/>
    <w:basedOn w:val="9"/>
    <w:next w:val="1"/>
    <w:qFormat/>
    <w:uiPriority w:val="99"/>
    <w:pPr>
      <w:keepLines/>
      <w:spacing w:before="240" w:after="64" w:line="320" w:lineRule="auto"/>
      <w:ind w:left="3000" w:hanging="420"/>
      <w:jc w:val="both"/>
    </w:pPr>
    <w:rPr>
      <w:rFonts w:ascii="Arial" w:hAnsi="Arial" w:eastAsia="黑体" w:cs="宋体"/>
      <w:b w:val="0"/>
      <w:kern w:val="0"/>
      <w:szCs w:val="20"/>
      <w:lang w:val="zh-CN"/>
    </w:rPr>
  </w:style>
  <w:style w:type="paragraph" w:customStyle="1" w:styleId="276">
    <w:name w:val="样式 首行缩进:  0.74 厘米"/>
    <w:basedOn w:val="1"/>
    <w:qFormat/>
    <w:uiPriority w:val="0"/>
    <w:pPr>
      <w:spacing w:line="360" w:lineRule="auto"/>
      <w:ind w:firstLine="200" w:firstLineChars="200"/>
    </w:pPr>
    <w:rPr>
      <w:rFonts w:eastAsia="仿宋" w:cs="宋体"/>
      <w:sz w:val="24"/>
      <w:szCs w:val="20"/>
    </w:rPr>
  </w:style>
  <w:style w:type="paragraph" w:customStyle="1" w:styleId="277">
    <w:name w:val="CM81"/>
    <w:basedOn w:val="1"/>
    <w:next w:val="1"/>
    <w:qFormat/>
    <w:uiPriority w:val="0"/>
    <w:pPr>
      <w:autoSpaceDE w:val="0"/>
      <w:autoSpaceDN w:val="0"/>
      <w:adjustRightInd w:val="0"/>
      <w:spacing w:afterLines="50" w:line="360" w:lineRule="auto"/>
      <w:ind w:right="142" w:firstLine="480" w:firstLineChars="200"/>
      <w:jc w:val="left"/>
    </w:pPr>
    <w:rPr>
      <w:rFonts w:ascii="宋体" w:hAnsi="宋体"/>
      <w:kern w:val="0"/>
      <w:sz w:val="24"/>
      <w:szCs w:val="24"/>
    </w:rPr>
  </w:style>
  <w:style w:type="paragraph" w:customStyle="1" w:styleId="278">
    <w:name w:val="CM51"/>
    <w:basedOn w:val="172"/>
    <w:next w:val="172"/>
    <w:qFormat/>
    <w:uiPriority w:val="99"/>
    <w:pPr>
      <w:spacing w:after="103"/>
    </w:pPr>
    <w:rPr>
      <w:rFonts w:ascii="黑体" w:hAnsi="Calibri" w:eastAsia="黑体" w:cs="Times New Roman"/>
      <w:color w:val="auto"/>
      <w:kern w:val="2"/>
    </w:rPr>
  </w:style>
  <w:style w:type="paragraph" w:customStyle="1" w:styleId="279">
    <w:name w:val="样式 标题6 + 左"/>
    <w:basedOn w:val="275"/>
    <w:qFormat/>
    <w:uiPriority w:val="0"/>
    <w:pPr>
      <w:spacing w:line="319" w:lineRule="auto"/>
      <w:jc w:val="left"/>
    </w:pPr>
    <w:rPr>
      <w:rFonts w:ascii="Times New Roman" w:hAnsi="Times New Roman" w:cs="Times New Roman"/>
      <w:b/>
      <w:szCs w:val="24"/>
    </w:rPr>
  </w:style>
  <w:style w:type="paragraph" w:customStyle="1" w:styleId="280">
    <w:name w:val="样式 标题 8 +"/>
    <w:basedOn w:val="11"/>
    <w:qFormat/>
    <w:uiPriority w:val="0"/>
    <w:pPr>
      <w:spacing w:line="319" w:lineRule="auto"/>
      <w:ind w:left="3840" w:hanging="420" w:firstLineChars="0"/>
      <w:jc w:val="left"/>
    </w:pPr>
    <w:rPr>
      <w:rFonts w:ascii="Cambria" w:hAnsi="Cambria" w:eastAsia="宋体" w:cs="Times New Roman"/>
      <w:kern w:val="0"/>
      <w:lang w:val="zh-CN" w:eastAsia="en-US"/>
    </w:rPr>
  </w:style>
  <w:style w:type="paragraph" w:customStyle="1" w:styleId="281">
    <w:name w:val="样式 标题8 + 段前: 0.5 行 段后: 0.5 行"/>
    <w:basedOn w:val="270"/>
    <w:next w:val="1"/>
    <w:qFormat/>
    <w:uiPriority w:val="0"/>
    <w:pPr>
      <w:spacing w:beforeLines="50" w:afterLines="50" w:line="360" w:lineRule="auto"/>
      <w:jc w:val="left"/>
    </w:pPr>
    <w:rPr>
      <w:rFonts w:ascii="Arial" w:hAnsi="Arial" w:cs="宋体"/>
      <w:sz w:val="21"/>
      <w:szCs w:val="20"/>
      <w:lang w:eastAsia="zh-CN"/>
    </w:rPr>
  </w:style>
  <w:style w:type="paragraph" w:customStyle="1" w:styleId="282">
    <w:name w:val="样式 标题 5 + 段前: 0.5 行"/>
    <w:basedOn w:val="8"/>
    <w:qFormat/>
    <w:uiPriority w:val="99"/>
    <w:pPr>
      <w:keepLines/>
      <w:snapToGrid w:val="0"/>
      <w:spacing w:beforeLines="50" w:after="0"/>
      <w:ind w:left="2580" w:hanging="420"/>
    </w:pPr>
    <w:rPr>
      <w:rFonts w:ascii="Arial" w:hAnsi="Arial" w:eastAsia="黑体" w:cs="宋体"/>
      <w:b w:val="0"/>
      <w:bCs w:val="0"/>
      <w:kern w:val="0"/>
      <w:sz w:val="28"/>
      <w:szCs w:val="20"/>
      <w:lang w:val="zh-CN"/>
    </w:rPr>
  </w:style>
  <w:style w:type="paragraph" w:customStyle="1" w:styleId="283">
    <w:name w:val="GP标题4"/>
    <w:basedOn w:val="1"/>
    <w:next w:val="188"/>
    <w:qFormat/>
    <w:uiPriority w:val="0"/>
    <w:pPr>
      <w:spacing w:beforeLines="50" w:afterLines="50" w:line="360" w:lineRule="auto"/>
      <w:jc w:val="left"/>
      <w:outlineLvl w:val="3"/>
    </w:pPr>
    <w:rPr>
      <w:rFonts w:ascii="华文细黑" w:hAnsi="华文细黑" w:eastAsia="华文细黑"/>
      <w:b/>
      <w:kern w:val="0"/>
      <w:sz w:val="28"/>
      <w:szCs w:val="20"/>
    </w:rPr>
  </w:style>
  <w:style w:type="paragraph" w:customStyle="1" w:styleId="284">
    <w:name w:val="样式 标题 7 +"/>
    <w:basedOn w:val="10"/>
    <w:qFormat/>
    <w:uiPriority w:val="0"/>
    <w:pPr>
      <w:numPr>
        <w:ilvl w:val="6"/>
        <w:numId w:val="13"/>
      </w:numPr>
      <w:spacing w:before="120" w:line="360" w:lineRule="auto"/>
      <w:ind w:firstLine="0" w:firstLineChars="0"/>
      <w:jc w:val="center"/>
    </w:pPr>
    <w:rPr>
      <w:rFonts w:ascii="Times New Roman" w:hAnsi="Times New Roman" w:cs="Times New Roman"/>
      <w:kern w:val="0"/>
      <w:lang w:val="zh-CN" w:eastAsia="en-US"/>
    </w:rPr>
  </w:style>
  <w:style w:type="paragraph" w:customStyle="1" w:styleId="285">
    <w:name w:val="正文1.25"/>
    <w:basedOn w:val="1"/>
    <w:qFormat/>
    <w:uiPriority w:val="0"/>
    <w:pPr>
      <w:spacing w:line="300" w:lineRule="auto"/>
      <w:ind w:firstLine="480" w:firstLineChars="200"/>
    </w:pPr>
    <w:rPr>
      <w:sz w:val="24"/>
      <w:szCs w:val="20"/>
    </w:rPr>
  </w:style>
  <w:style w:type="paragraph" w:customStyle="1" w:styleId="286">
    <w:name w:val="列表项目符号-其他2"/>
    <w:basedOn w:val="15"/>
    <w:qFormat/>
    <w:uiPriority w:val="0"/>
    <w:pPr>
      <w:spacing w:line="360" w:lineRule="auto"/>
      <w:ind w:left="0" w:firstLine="200" w:firstLineChars="200"/>
    </w:pPr>
    <w:rPr>
      <w:rFonts w:ascii="Times New Roman" w:hAnsi="Times New Roman"/>
      <w:szCs w:val="24"/>
    </w:rPr>
  </w:style>
  <w:style w:type="paragraph" w:customStyle="1" w:styleId="287">
    <w:name w:val="加点正文"/>
    <w:basedOn w:val="1"/>
    <w:qFormat/>
    <w:uiPriority w:val="0"/>
    <w:pPr>
      <w:widowControl/>
      <w:numPr>
        <w:ilvl w:val="0"/>
        <w:numId w:val="17"/>
      </w:numPr>
      <w:spacing w:beforeLines="50" w:afterLines="50"/>
      <w:jc w:val="left"/>
    </w:pPr>
    <w:rPr>
      <w:sz w:val="24"/>
      <w:szCs w:val="24"/>
    </w:rPr>
  </w:style>
  <w:style w:type="paragraph" w:customStyle="1" w:styleId="288">
    <w:name w:val="表格表头"/>
    <w:basedOn w:val="1"/>
    <w:qFormat/>
    <w:uiPriority w:val="99"/>
    <w:pPr>
      <w:spacing w:line="360" w:lineRule="auto"/>
      <w:jc w:val="center"/>
    </w:pPr>
    <w:rPr>
      <w:rFonts w:ascii="宋体" w:hAnsi="宋体" w:eastAsia="黑体"/>
      <w:sz w:val="24"/>
    </w:rPr>
  </w:style>
  <w:style w:type="paragraph" w:customStyle="1" w:styleId="289">
    <w:name w:val="罗列项目"/>
    <w:basedOn w:val="1"/>
    <w:qFormat/>
    <w:uiPriority w:val="0"/>
    <w:pPr>
      <w:widowControl/>
      <w:numPr>
        <w:ilvl w:val="0"/>
        <w:numId w:val="18"/>
      </w:numPr>
      <w:adjustRightInd w:val="0"/>
      <w:snapToGrid w:val="0"/>
      <w:spacing w:line="440" w:lineRule="exact"/>
      <w:ind w:firstLine="200" w:firstLineChars="200"/>
      <w:textAlignment w:val="baseline"/>
    </w:pPr>
    <w:rPr>
      <w:rFonts w:eastAsia="仿宋_GB2312"/>
      <w:kern w:val="0"/>
      <w:sz w:val="24"/>
      <w:szCs w:val="20"/>
    </w:rPr>
  </w:style>
  <w:style w:type="paragraph" w:customStyle="1" w:styleId="290">
    <w:name w:val="pan"/>
    <w:basedOn w:val="107"/>
    <w:qFormat/>
    <w:uiPriority w:val="0"/>
    <w:pPr>
      <w:numPr>
        <w:ilvl w:val="0"/>
        <w:numId w:val="16"/>
      </w:numPr>
      <w:tabs>
        <w:tab w:val="left" w:pos="360"/>
      </w:tabs>
      <w:spacing w:line="360" w:lineRule="auto"/>
      <w:ind w:firstLine="420" w:firstLineChars="0"/>
      <w:outlineLvl w:val="0"/>
    </w:pPr>
    <w:rPr>
      <w:rFonts w:ascii="黑体" w:hAnsi="黑体" w:eastAsia="黑体" w:cs="宋体"/>
      <w:sz w:val="32"/>
      <w:szCs w:val="32"/>
    </w:rPr>
  </w:style>
  <w:style w:type="paragraph" w:customStyle="1" w:styleId="291">
    <w:name w:val="GW-标题8"/>
    <w:basedOn w:val="264"/>
    <w:qFormat/>
    <w:uiPriority w:val="0"/>
    <w:pPr>
      <w:tabs>
        <w:tab w:val="left" w:pos="3360"/>
        <w:tab w:val="left" w:pos="3840"/>
        <w:tab w:val="clear" w:pos="360"/>
        <w:tab w:val="clear" w:pos="2940"/>
        <w:tab w:val="clear" w:pos="3000"/>
        <w:tab w:val="clear" w:pos="3420"/>
      </w:tabs>
      <w:ind w:left="3840"/>
    </w:pPr>
    <w:rPr>
      <w:b w:val="0"/>
    </w:rPr>
  </w:style>
  <w:style w:type="paragraph" w:customStyle="1" w:styleId="292">
    <w:name w:val="GP标题1"/>
    <w:basedOn w:val="1"/>
    <w:next w:val="188"/>
    <w:qFormat/>
    <w:uiPriority w:val="0"/>
    <w:pPr>
      <w:numPr>
        <w:ilvl w:val="0"/>
        <w:numId w:val="19"/>
      </w:numPr>
      <w:spacing w:beforeLines="100" w:afterLines="100" w:line="360" w:lineRule="auto"/>
      <w:jc w:val="center"/>
      <w:outlineLvl w:val="0"/>
    </w:pPr>
    <w:rPr>
      <w:rFonts w:ascii="黑体" w:hAnsi="黑体" w:eastAsia="黑体"/>
      <w:b/>
      <w:kern w:val="0"/>
      <w:sz w:val="36"/>
      <w:szCs w:val="20"/>
    </w:rPr>
  </w:style>
  <w:style w:type="paragraph" w:customStyle="1" w:styleId="293">
    <w:name w:val="GP标题5"/>
    <w:basedOn w:val="1"/>
    <w:next w:val="188"/>
    <w:qFormat/>
    <w:uiPriority w:val="0"/>
    <w:pPr>
      <w:spacing w:beforeLines="50" w:afterLines="50" w:line="360" w:lineRule="auto"/>
      <w:jc w:val="left"/>
      <w:outlineLvl w:val="4"/>
    </w:pPr>
    <w:rPr>
      <w:rFonts w:ascii="华文细黑" w:hAnsi="华文细黑" w:eastAsia="华文细黑"/>
      <w:b/>
      <w:kern w:val="0"/>
      <w:sz w:val="24"/>
      <w:szCs w:val="20"/>
    </w:rPr>
  </w:style>
  <w:style w:type="paragraph" w:customStyle="1" w:styleId="294">
    <w:name w:val="pan5"/>
    <w:basedOn w:val="107"/>
    <w:qFormat/>
    <w:uiPriority w:val="0"/>
    <w:pPr>
      <w:numPr>
        <w:ilvl w:val="4"/>
        <w:numId w:val="16"/>
      </w:numPr>
      <w:tabs>
        <w:tab w:val="left" w:pos="360"/>
      </w:tabs>
      <w:spacing w:line="360" w:lineRule="auto"/>
      <w:ind w:firstLine="420" w:firstLineChars="0"/>
      <w:outlineLvl w:val="4"/>
    </w:pPr>
    <w:rPr>
      <w:rFonts w:ascii="黑体" w:hAnsi="黑体" w:eastAsia="黑体" w:cs="宋体"/>
      <w:sz w:val="24"/>
      <w:szCs w:val="24"/>
    </w:rPr>
  </w:style>
  <w:style w:type="paragraph" w:customStyle="1" w:styleId="295">
    <w:name w:val="GW-标题9"/>
    <w:basedOn w:val="291"/>
    <w:qFormat/>
    <w:uiPriority w:val="0"/>
    <w:pPr>
      <w:tabs>
        <w:tab w:val="left" w:pos="3780"/>
        <w:tab w:val="left" w:pos="4260"/>
        <w:tab w:val="clear" w:pos="3360"/>
        <w:tab w:val="clear" w:pos="3840"/>
      </w:tabs>
      <w:ind w:left="4260"/>
    </w:pPr>
  </w:style>
  <w:style w:type="paragraph" w:customStyle="1" w:styleId="296">
    <w:name w:val="pan2"/>
    <w:basedOn w:val="107"/>
    <w:qFormat/>
    <w:uiPriority w:val="0"/>
    <w:pPr>
      <w:numPr>
        <w:ilvl w:val="1"/>
        <w:numId w:val="16"/>
      </w:numPr>
      <w:tabs>
        <w:tab w:val="left" w:pos="360"/>
      </w:tabs>
      <w:spacing w:line="360" w:lineRule="auto"/>
      <w:ind w:firstLine="420" w:firstLineChars="0"/>
      <w:outlineLvl w:val="1"/>
    </w:pPr>
    <w:rPr>
      <w:rFonts w:ascii="黑体" w:hAnsi="黑体" w:eastAsia="黑体" w:cs="宋体"/>
      <w:sz w:val="30"/>
      <w:szCs w:val="30"/>
    </w:rPr>
  </w:style>
  <w:style w:type="paragraph" w:customStyle="1" w:styleId="297">
    <w:name w:val="pan4"/>
    <w:basedOn w:val="107"/>
    <w:qFormat/>
    <w:uiPriority w:val="0"/>
    <w:pPr>
      <w:numPr>
        <w:ilvl w:val="3"/>
        <w:numId w:val="16"/>
      </w:numPr>
      <w:tabs>
        <w:tab w:val="left" w:pos="360"/>
      </w:tabs>
      <w:spacing w:line="360" w:lineRule="auto"/>
      <w:ind w:firstLine="420" w:firstLineChars="0"/>
      <w:outlineLvl w:val="3"/>
    </w:pPr>
    <w:rPr>
      <w:rFonts w:ascii="黑体" w:hAnsi="黑体" w:eastAsia="黑体" w:cs="宋体"/>
      <w:sz w:val="28"/>
      <w:szCs w:val="28"/>
    </w:rPr>
  </w:style>
  <w:style w:type="paragraph" w:customStyle="1" w:styleId="298">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9">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0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02">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rPr>
      <w:rFonts w:ascii="宋体" w:hAnsi="宋体" w:cs="宋体"/>
      <w:kern w:val="0"/>
      <w:sz w:val="24"/>
      <w:szCs w:val="24"/>
    </w:rPr>
  </w:style>
  <w:style w:type="paragraph" w:customStyle="1" w:styleId="303">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0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character" w:customStyle="1" w:styleId="308">
    <w:name w:val="标题 1 Char1"/>
    <w:basedOn w:val="62"/>
    <w:qFormat/>
    <w:uiPriority w:val="0"/>
    <w:rPr>
      <w:rFonts w:ascii="Times New Roman" w:hAnsi="Times New Roman" w:eastAsia="宋体" w:cs="Times New Roman"/>
      <w:b/>
      <w:bCs/>
      <w:kern w:val="44"/>
      <w:sz w:val="44"/>
      <w:szCs w:val="44"/>
    </w:rPr>
  </w:style>
  <w:style w:type="character" w:customStyle="1" w:styleId="309">
    <w:name w:val="标题 2 Char1"/>
    <w:basedOn w:val="62"/>
    <w:qFormat/>
    <w:uiPriority w:val="0"/>
    <w:rPr>
      <w:rFonts w:asciiTheme="majorHAnsi" w:hAnsiTheme="majorHAnsi" w:eastAsiaTheme="majorEastAsia" w:cstheme="majorBidi"/>
      <w:b/>
      <w:bCs/>
      <w:sz w:val="32"/>
      <w:szCs w:val="32"/>
    </w:rPr>
  </w:style>
  <w:style w:type="character" w:customStyle="1" w:styleId="310">
    <w:name w:val="C Sub-Sub/Italic Char"/>
    <w:basedOn w:val="62"/>
    <w:qFormat/>
    <w:uiPriority w:val="0"/>
    <w:rPr>
      <w:rFonts w:ascii="Times New Roman" w:hAnsi="Times New Roman" w:eastAsia="宋体" w:cs="Times New Roman"/>
      <w:b/>
      <w:bCs/>
      <w:sz w:val="32"/>
      <w:szCs w:val="32"/>
    </w:rPr>
  </w:style>
  <w:style w:type="character" w:customStyle="1" w:styleId="311">
    <w:name w:val="标题 5 Char1"/>
    <w:basedOn w:val="62"/>
    <w:qFormat/>
    <w:uiPriority w:val="0"/>
    <w:rPr>
      <w:rFonts w:ascii="Times New Roman" w:hAnsi="Times New Roman" w:eastAsia="宋体" w:cs="Times New Roman"/>
      <w:b/>
      <w:bCs/>
      <w:sz w:val="28"/>
      <w:szCs w:val="28"/>
    </w:rPr>
  </w:style>
  <w:style w:type="character" w:customStyle="1" w:styleId="312">
    <w:name w:val="标题 7 Char1"/>
    <w:basedOn w:val="62"/>
    <w:qFormat/>
    <w:uiPriority w:val="99"/>
    <w:rPr>
      <w:rFonts w:ascii="Times New Roman" w:hAnsi="Times New Roman" w:eastAsia="宋体" w:cs="Times New Roman"/>
      <w:b/>
      <w:bCs/>
      <w:sz w:val="24"/>
      <w:szCs w:val="24"/>
    </w:rPr>
  </w:style>
  <w:style w:type="character" w:customStyle="1" w:styleId="313">
    <w:name w:val="标题 8 Char1"/>
    <w:basedOn w:val="62"/>
    <w:qFormat/>
    <w:uiPriority w:val="99"/>
    <w:rPr>
      <w:rFonts w:ascii="Arial" w:hAnsi="Arial" w:eastAsia="黑体" w:cs="Times New Roman"/>
      <w:sz w:val="24"/>
      <w:szCs w:val="24"/>
    </w:rPr>
  </w:style>
  <w:style w:type="character" w:customStyle="1" w:styleId="314">
    <w:name w:val="标题 9 Char1"/>
    <w:basedOn w:val="62"/>
    <w:qFormat/>
    <w:uiPriority w:val="99"/>
    <w:rPr>
      <w:rFonts w:ascii="Arial" w:hAnsi="Arial" w:eastAsia="黑体" w:cs="Times New Roman"/>
      <w:sz w:val="24"/>
      <w:szCs w:val="21"/>
    </w:rPr>
  </w:style>
  <w:style w:type="character" w:customStyle="1" w:styleId="315">
    <w:name w:val="页眉 Char1"/>
    <w:basedOn w:val="62"/>
    <w:qFormat/>
    <w:uiPriority w:val="99"/>
    <w:rPr>
      <w:sz w:val="18"/>
      <w:szCs w:val="18"/>
    </w:rPr>
  </w:style>
  <w:style w:type="character" w:customStyle="1" w:styleId="316">
    <w:name w:val="页脚 Char1"/>
    <w:basedOn w:val="62"/>
    <w:qFormat/>
    <w:uiPriority w:val="99"/>
    <w:rPr>
      <w:sz w:val="18"/>
      <w:szCs w:val="18"/>
    </w:rPr>
  </w:style>
  <w:style w:type="character" w:customStyle="1" w:styleId="317">
    <w:name w:val="纯文本 Char"/>
    <w:basedOn w:val="62"/>
    <w:qFormat/>
    <w:uiPriority w:val="0"/>
    <w:rPr>
      <w:rFonts w:ascii="宋体" w:hAnsi="Courier New" w:eastAsia="宋体" w:cs="Courier New"/>
      <w:szCs w:val="21"/>
    </w:rPr>
  </w:style>
  <w:style w:type="character" w:customStyle="1" w:styleId="318">
    <w:name w:val="标题 Char2"/>
    <w:qFormat/>
    <w:uiPriority w:val="99"/>
    <w:rPr>
      <w:rFonts w:ascii="Cambria" w:hAnsi="Cambria" w:eastAsia="方正小标宋简体" w:cs="Times New Roman"/>
      <w:b/>
      <w:bCs/>
      <w:sz w:val="44"/>
      <w:szCs w:val="32"/>
    </w:rPr>
  </w:style>
  <w:style w:type="character" w:customStyle="1" w:styleId="319">
    <w:name w:val="正文文本缩进 Char2"/>
    <w:qFormat/>
    <w:uiPriority w:val="99"/>
    <w:rPr>
      <w:rFonts w:ascii="仿宋_GB2312" w:hAnsi="Times New Roman" w:eastAsia="仿宋_GB2312"/>
      <w:sz w:val="32"/>
    </w:rPr>
  </w:style>
  <w:style w:type="character" w:customStyle="1" w:styleId="320">
    <w:name w:val="纯文本 Char1"/>
    <w:basedOn w:val="62"/>
    <w:qFormat/>
    <w:uiPriority w:val="99"/>
    <w:rPr>
      <w:rFonts w:ascii="宋体" w:hAnsi="Courier New" w:eastAsia="宋体" w:cs="Courier New"/>
      <w:szCs w:val="21"/>
    </w:rPr>
  </w:style>
  <w:style w:type="character" w:customStyle="1" w:styleId="321">
    <w:name w:val="标题 Char1"/>
    <w:basedOn w:val="62"/>
    <w:qFormat/>
    <w:uiPriority w:val="10"/>
    <w:rPr>
      <w:rFonts w:eastAsia="宋体" w:asciiTheme="majorHAnsi" w:hAnsiTheme="majorHAnsi" w:cstheme="majorBidi"/>
      <w:b/>
      <w:bCs/>
      <w:sz w:val="32"/>
      <w:szCs w:val="32"/>
    </w:rPr>
  </w:style>
  <w:style w:type="character" w:customStyle="1" w:styleId="322">
    <w:name w:val="正文文本 Char3"/>
    <w:basedOn w:val="62"/>
    <w:qFormat/>
    <w:uiPriority w:val="99"/>
    <w:rPr>
      <w:rFonts w:ascii="Times New Roman" w:hAnsi="Times New Roman" w:eastAsia="宋体" w:cs="Times New Roman"/>
      <w:szCs w:val="24"/>
    </w:rPr>
  </w:style>
  <w:style w:type="character" w:customStyle="1" w:styleId="323">
    <w:name w:val="Table"/>
    <w:qFormat/>
    <w:uiPriority w:val="0"/>
    <w:rPr>
      <w:rFonts w:ascii="Arial" w:hAnsi="Arial"/>
      <w:sz w:val="20"/>
    </w:rPr>
  </w:style>
  <w:style w:type="character" w:customStyle="1" w:styleId="324">
    <w:name w:val="文档结构图 Char2"/>
    <w:basedOn w:val="62"/>
    <w:qFormat/>
    <w:uiPriority w:val="99"/>
    <w:rPr>
      <w:rFonts w:ascii="宋体" w:hAnsi="Times New Roman" w:eastAsia="宋体" w:cs="Times New Roman"/>
      <w:kern w:val="0"/>
      <w:sz w:val="18"/>
      <w:szCs w:val="18"/>
    </w:rPr>
  </w:style>
  <w:style w:type="character" w:customStyle="1" w:styleId="325">
    <w:name w:val="正文文本缩进 2 Char"/>
    <w:basedOn w:val="62"/>
    <w:qFormat/>
    <w:uiPriority w:val="0"/>
    <w:rPr>
      <w:rFonts w:ascii="宋体" w:eastAsia="宋体"/>
      <w:sz w:val="24"/>
    </w:rPr>
  </w:style>
  <w:style w:type="character" w:customStyle="1" w:styleId="326">
    <w:name w:val="副标题 Char"/>
    <w:basedOn w:val="62"/>
    <w:qFormat/>
    <w:uiPriority w:val="0"/>
    <w:rPr>
      <w:rFonts w:eastAsia="宋体" w:asciiTheme="majorHAnsi" w:hAnsiTheme="majorHAnsi" w:cstheme="majorBidi"/>
      <w:b/>
      <w:bCs/>
      <w:kern w:val="28"/>
      <w:sz w:val="32"/>
      <w:szCs w:val="32"/>
    </w:rPr>
  </w:style>
  <w:style w:type="character" w:customStyle="1" w:styleId="327">
    <w:name w:val="正文文本缩进 3 Char2"/>
    <w:basedOn w:val="62"/>
    <w:qFormat/>
    <w:uiPriority w:val="99"/>
    <w:rPr>
      <w:rFonts w:ascii="宋体" w:hAnsi="宋体" w:eastAsia="宋体" w:cs="Times New Roman"/>
      <w:kern w:val="0"/>
      <w:sz w:val="16"/>
      <w:szCs w:val="16"/>
    </w:rPr>
  </w:style>
  <w:style w:type="paragraph" w:customStyle="1" w:styleId="328">
    <w:name w:val="页眉1"/>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宋体" w:hAnsi="宋体" w:eastAsia="宋体" w:cs="Times New Roman"/>
      <w:kern w:val="1"/>
      <w:sz w:val="18"/>
      <w:lang w:val="en-US" w:eastAsia="zh-CN" w:bidi="ar-SA"/>
    </w:rPr>
  </w:style>
  <w:style w:type="paragraph" w:customStyle="1" w:styleId="329">
    <w:name w:val="subtitle 2"/>
    <w:qFormat/>
    <w:uiPriority w:val="99"/>
    <w:pPr>
      <w:overflowPunct w:val="0"/>
      <w:autoSpaceDE w:val="0"/>
      <w:autoSpaceDN w:val="0"/>
      <w:adjustRightInd w:val="0"/>
      <w:spacing w:before="240" w:after="240" w:line="312" w:lineRule="atLeast"/>
      <w:textAlignment w:val="baseline"/>
    </w:pPr>
    <w:rPr>
      <w:rFonts w:ascii="黑体" w:hAnsi="Times New Roman" w:eastAsia="黑体" w:cs="Times New Roman"/>
      <w:sz w:val="24"/>
      <w:lang w:val="en-US" w:eastAsia="zh-CN" w:bidi="ar-SA"/>
    </w:rPr>
  </w:style>
  <w:style w:type="paragraph" w:customStyle="1" w:styleId="330">
    <w:name w:val="页脚1"/>
    <w:qFormat/>
    <w:uiPriority w:val="99"/>
    <w:pPr>
      <w:tabs>
        <w:tab w:val="center" w:pos="4153"/>
        <w:tab w:val="right" w:pos="8306"/>
      </w:tabs>
    </w:pPr>
    <w:rPr>
      <w:rFonts w:ascii="宋体" w:hAnsi="宋体" w:eastAsia="宋体" w:cs="Times New Roman"/>
      <w:kern w:val="1"/>
      <w:sz w:val="18"/>
      <w:lang w:val="en-US" w:eastAsia="zh-CN" w:bidi="ar-SA"/>
    </w:rPr>
  </w:style>
  <w:style w:type="paragraph" w:customStyle="1" w:styleId="331">
    <w:name w:val="Q1"/>
    <w:basedOn w:val="3"/>
    <w:qFormat/>
    <w:uiPriority w:val="99"/>
    <w:pPr>
      <w:spacing w:beforeLines="80" w:afterLines="80" w:line="240" w:lineRule="auto"/>
      <w:jc w:val="center"/>
    </w:pPr>
    <w:rPr>
      <w:rFonts w:hint="default" w:ascii="Arial" w:hAnsi="Arial" w:eastAsia="黑体"/>
      <w:bCs/>
      <w:color w:val="auto"/>
      <w:kern w:val="44"/>
      <w:sz w:val="44"/>
      <w:szCs w:val="44"/>
    </w:rPr>
  </w:style>
  <w:style w:type="paragraph" w:customStyle="1" w:styleId="332">
    <w:name w:val="样式 正文文本缩进 2 + Century Gothic 四号 行距: 多倍行距 1.75 字行"/>
    <w:basedOn w:val="1"/>
    <w:qFormat/>
    <w:uiPriority w:val="99"/>
    <w:pPr>
      <w:adjustRightInd w:val="0"/>
      <w:snapToGrid w:val="0"/>
      <w:spacing w:line="396" w:lineRule="auto"/>
      <w:ind w:firstLine="207" w:firstLineChars="207"/>
    </w:pPr>
    <w:rPr>
      <w:rFonts w:ascii="Century Gothic" w:cs="宋体"/>
      <w:sz w:val="28"/>
      <w:szCs w:val="20"/>
    </w:rPr>
  </w:style>
  <w:style w:type="paragraph" w:customStyle="1" w:styleId="333">
    <w:name w:val="一级条标题"/>
    <w:next w:val="232"/>
    <w:qFormat/>
    <w:uiPriority w:val="99"/>
    <w:pPr>
      <w:spacing w:beforeLines="50" w:afterLines="50"/>
      <w:outlineLvl w:val="2"/>
    </w:pPr>
    <w:rPr>
      <w:rFonts w:ascii="黑体" w:hAnsi="Times New Roman" w:eastAsia="黑体" w:cs="Times New Roman"/>
      <w:sz w:val="21"/>
      <w:szCs w:val="21"/>
      <w:lang w:val="en-US" w:eastAsia="zh-CN" w:bidi="ar-SA"/>
    </w:rPr>
  </w:style>
  <w:style w:type="character" w:customStyle="1" w:styleId="334">
    <w:name w:val="段 Char"/>
    <w:qFormat/>
    <w:uiPriority w:val="99"/>
    <w:rPr>
      <w:rFonts w:ascii="宋体" w:hAnsi="Times New Roman" w:eastAsia="宋体" w:cs="Times New Roman"/>
      <w:kern w:val="0"/>
      <w:szCs w:val="20"/>
    </w:rPr>
  </w:style>
  <w:style w:type="paragraph" w:customStyle="1" w:styleId="335">
    <w:name w:val="样式8"/>
    <w:qFormat/>
    <w:uiPriority w:val="99"/>
    <w:pPr>
      <w:spacing w:line="480" w:lineRule="auto"/>
      <w:jc w:val="center"/>
    </w:pPr>
    <w:rPr>
      <w:rFonts w:ascii="宋体" w:hAnsi="宋体" w:eastAsia="宋体" w:cs="Times New Roman"/>
      <w:b/>
      <w:kern w:val="1"/>
      <w:sz w:val="32"/>
      <w:szCs w:val="32"/>
      <w:lang w:val="en-US" w:eastAsia="zh-CN" w:bidi="ar-SA"/>
    </w:rPr>
  </w:style>
  <w:style w:type="paragraph" w:customStyle="1" w:styleId="336">
    <w:name w:val="Q4"/>
    <w:basedOn w:val="7"/>
    <w:next w:val="337"/>
    <w:qFormat/>
    <w:uiPriority w:val="99"/>
    <w:pPr>
      <w:keepLines/>
      <w:spacing w:before="120" w:after="120"/>
      <w:ind w:left="0" w:firstLine="0"/>
    </w:pPr>
    <w:rPr>
      <w:rFonts w:ascii="Arial" w:hAnsi="Arial" w:eastAsia="黑体" w:cs="Times New Roman"/>
      <w:b w:val="0"/>
    </w:rPr>
  </w:style>
  <w:style w:type="paragraph" w:customStyle="1" w:styleId="337">
    <w:name w:val="Q"/>
    <w:link w:val="338"/>
    <w:qFormat/>
    <w:uiPriority w:val="99"/>
    <w:pPr>
      <w:spacing w:beforeLines="80" w:afterLines="80" w:line="360" w:lineRule="auto"/>
      <w:ind w:firstLine="200" w:firstLineChars="200"/>
    </w:pPr>
    <w:rPr>
      <w:rFonts w:ascii="Arial" w:hAnsi="Arial" w:eastAsia="宋体" w:cs="Times New Roman"/>
      <w:bCs/>
      <w:kern w:val="2"/>
      <w:sz w:val="24"/>
      <w:szCs w:val="28"/>
      <w:lang w:val="en-US" w:eastAsia="zh-CN" w:bidi="ar-SA"/>
    </w:rPr>
  </w:style>
  <w:style w:type="character" w:customStyle="1" w:styleId="338">
    <w:name w:val="Q Char"/>
    <w:link w:val="337"/>
    <w:qFormat/>
    <w:locked/>
    <w:uiPriority w:val="99"/>
    <w:rPr>
      <w:rFonts w:ascii="Arial" w:hAnsi="Arial"/>
      <w:bCs/>
      <w:kern w:val="2"/>
      <w:sz w:val="24"/>
      <w:szCs w:val="28"/>
    </w:rPr>
  </w:style>
  <w:style w:type="paragraph" w:customStyle="1" w:styleId="339">
    <w:name w:val="样式 标题 2SUR-需求定义-第2级H2Title2H21Heading 2 HiddenHeading 2 CC..."/>
    <w:basedOn w:val="4"/>
    <w:qFormat/>
    <w:uiPriority w:val="99"/>
    <w:pPr>
      <w:widowControl w:val="0"/>
      <w:tabs>
        <w:tab w:val="left" w:pos="525"/>
        <w:tab w:val="left" w:pos="576"/>
      </w:tabs>
      <w:spacing w:before="120" w:after="120" w:line="360" w:lineRule="auto"/>
      <w:ind w:left="576" w:hanging="576"/>
    </w:pPr>
    <w:rPr>
      <w:b w:val="0"/>
      <w:bCs w:val="0"/>
      <w:kern w:val="0"/>
      <w:sz w:val="24"/>
      <w:szCs w:val="24"/>
    </w:rPr>
  </w:style>
  <w:style w:type="paragraph" w:customStyle="1" w:styleId="340">
    <w:name w:val="章标题"/>
    <w:next w:val="232"/>
    <w:qFormat/>
    <w:uiPriority w:val="99"/>
    <w:pPr>
      <w:spacing w:beforeLines="100" w:afterLines="100"/>
      <w:jc w:val="both"/>
      <w:outlineLvl w:val="1"/>
    </w:pPr>
    <w:rPr>
      <w:rFonts w:ascii="黑体" w:hAnsi="Times New Roman" w:eastAsia="黑体" w:cs="Times New Roman"/>
      <w:sz w:val="21"/>
      <w:lang w:val="en-US" w:eastAsia="zh-CN" w:bidi="ar-SA"/>
    </w:rPr>
  </w:style>
  <w:style w:type="paragraph" w:customStyle="1" w:styleId="341">
    <w:name w:val="D标题一"/>
    <w:basedOn w:val="1"/>
    <w:qFormat/>
    <w:uiPriority w:val="99"/>
    <w:pPr>
      <w:spacing w:beforeLines="50" w:afterLines="50" w:line="360" w:lineRule="auto"/>
      <w:ind w:firstLine="200" w:firstLineChars="200"/>
    </w:pPr>
    <w:rPr>
      <w:rFonts w:eastAsia="黑体"/>
      <w:sz w:val="28"/>
      <w:szCs w:val="24"/>
    </w:rPr>
  </w:style>
  <w:style w:type="paragraph" w:customStyle="1" w:styleId="342">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4"/>
    </w:rPr>
  </w:style>
  <w:style w:type="paragraph" w:customStyle="1" w:styleId="343">
    <w:name w:val="表头文字"/>
    <w:basedOn w:val="1"/>
    <w:qFormat/>
    <w:uiPriority w:val="99"/>
    <w:pPr>
      <w:spacing w:line="360" w:lineRule="auto"/>
      <w:ind w:firstLine="200" w:firstLineChars="200"/>
      <w:jc w:val="center"/>
    </w:pPr>
    <w:rPr>
      <w:rFonts w:eastAsia="黑体"/>
      <w:kern w:val="0"/>
      <w:sz w:val="24"/>
      <w:szCs w:val="20"/>
    </w:rPr>
  </w:style>
  <w:style w:type="paragraph" w:customStyle="1" w:styleId="344">
    <w:name w:val="样式7"/>
    <w:basedOn w:val="200"/>
    <w:qFormat/>
    <w:uiPriority w:val="99"/>
    <w:pPr>
      <w:widowControl/>
      <w:spacing w:line="360" w:lineRule="auto"/>
      <w:ind w:firstLine="0"/>
      <w:jc w:val="center"/>
    </w:pPr>
    <w:rPr>
      <w:rFonts w:ascii="宋体" w:hAnsi="宋体"/>
      <w:bCs/>
      <w:kern w:val="1"/>
      <w:sz w:val="32"/>
      <w:szCs w:val="20"/>
      <w:lang w:val="en-US"/>
    </w:rPr>
  </w:style>
  <w:style w:type="paragraph" w:customStyle="1" w:styleId="345">
    <w:name w:val="Char Char Char Char Char Char Char Char Char Char"/>
    <w:basedOn w:val="1"/>
    <w:qFormat/>
    <w:uiPriority w:val="99"/>
    <w:pPr>
      <w:spacing w:line="360" w:lineRule="auto"/>
      <w:ind w:firstLine="200" w:firstLineChars="200"/>
    </w:pPr>
    <w:rPr>
      <w:rFonts w:ascii="Tahoma" w:hAnsi="Tahoma" w:eastAsia="楷体_GB2312"/>
      <w:spacing w:val="10"/>
      <w:sz w:val="24"/>
      <w:szCs w:val="20"/>
    </w:rPr>
  </w:style>
  <w:style w:type="paragraph" w:customStyle="1" w:styleId="346">
    <w:name w:val="Char11"/>
    <w:basedOn w:val="1"/>
    <w:qFormat/>
    <w:uiPriority w:val="99"/>
    <w:pPr>
      <w:spacing w:line="360" w:lineRule="auto"/>
      <w:ind w:firstLine="200" w:firstLineChars="200"/>
    </w:pPr>
    <w:rPr>
      <w:rFonts w:ascii="宋体"/>
      <w:kern w:val="0"/>
      <w:sz w:val="34"/>
      <w:szCs w:val="20"/>
    </w:rPr>
  </w:style>
  <w:style w:type="paragraph" w:customStyle="1" w:styleId="347">
    <w:name w:val="样式 宋体 11 磅 黑色 居中"/>
    <w:basedOn w:val="1"/>
    <w:qFormat/>
    <w:uiPriority w:val="99"/>
    <w:pPr>
      <w:spacing w:line="360" w:lineRule="auto"/>
      <w:ind w:firstLine="200" w:firstLineChars="200"/>
      <w:jc w:val="center"/>
    </w:pPr>
    <w:rPr>
      <w:rFonts w:ascii="宋体" w:hAnsi="宋体" w:cs="宋体"/>
      <w:color w:val="000000"/>
      <w:kern w:val="0"/>
      <w:sz w:val="24"/>
      <w:szCs w:val="20"/>
    </w:rPr>
  </w:style>
  <w:style w:type="paragraph" w:customStyle="1" w:styleId="348">
    <w:name w:val="列项——（一级）"/>
    <w:qFormat/>
    <w:uiPriority w:val="99"/>
    <w:pPr>
      <w:tabs>
        <w:tab w:val="left" w:pos="854"/>
        <w:tab w:val="left" w:pos="1260"/>
      </w:tabs>
      <w:ind w:left="1260" w:leftChars="200" w:hanging="420" w:hangingChars="200"/>
    </w:pPr>
    <w:rPr>
      <w:rFonts w:ascii="宋体" w:hAnsi="Times New Roman" w:eastAsia="宋体" w:cs="Times New Roman"/>
      <w:sz w:val="21"/>
      <w:lang w:val="en-US" w:eastAsia="zh-CN" w:bidi="ar-SA"/>
    </w:rPr>
  </w:style>
  <w:style w:type="paragraph" w:customStyle="1" w:styleId="349">
    <w:name w:val="图"/>
    <w:basedOn w:val="1"/>
    <w:qFormat/>
    <w:uiPriority w:val="99"/>
    <w:pPr>
      <w:keepNext/>
      <w:adjustRightInd w:val="0"/>
      <w:spacing w:before="60" w:after="60" w:line="300" w:lineRule="auto"/>
      <w:ind w:firstLine="200" w:firstLineChars="200"/>
      <w:jc w:val="center"/>
      <w:textAlignment w:val="center"/>
    </w:pPr>
    <w:rPr>
      <w:snapToGrid w:val="0"/>
      <w:spacing w:val="20"/>
      <w:kern w:val="0"/>
      <w:sz w:val="24"/>
      <w:szCs w:val="20"/>
    </w:rPr>
  </w:style>
  <w:style w:type="paragraph" w:customStyle="1" w:styleId="350">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0"/>
      <w:szCs w:val="20"/>
    </w:rPr>
  </w:style>
  <w:style w:type="paragraph" w:customStyle="1" w:styleId="351">
    <w:name w:val="方框下的123标题"/>
    <w:basedOn w:val="1"/>
    <w:link w:val="352"/>
    <w:qFormat/>
    <w:uiPriority w:val="0"/>
    <w:pPr>
      <w:spacing w:line="360" w:lineRule="auto"/>
      <w:ind w:firstLine="200" w:firstLineChars="200"/>
    </w:pPr>
    <w:rPr>
      <w:sz w:val="24"/>
      <w:szCs w:val="24"/>
      <w:lang w:eastAsia="en-US"/>
    </w:rPr>
  </w:style>
  <w:style w:type="character" w:customStyle="1" w:styleId="352">
    <w:name w:val="方框下的123标题 Char"/>
    <w:link w:val="351"/>
    <w:qFormat/>
    <w:uiPriority w:val="0"/>
    <w:rPr>
      <w:kern w:val="2"/>
      <w:sz w:val="24"/>
      <w:szCs w:val="24"/>
      <w:lang w:eastAsia="en-US"/>
    </w:rPr>
  </w:style>
  <w:style w:type="paragraph" w:customStyle="1" w:styleId="353">
    <w:name w:val="四级条标题"/>
    <w:basedOn w:val="354"/>
    <w:next w:val="232"/>
    <w:qFormat/>
    <w:uiPriority w:val="99"/>
    <w:pPr>
      <w:tabs>
        <w:tab w:val="left" w:pos="360"/>
      </w:tabs>
      <w:outlineLvl w:val="5"/>
    </w:pPr>
  </w:style>
  <w:style w:type="paragraph" w:customStyle="1" w:styleId="354">
    <w:name w:val="三级条标题"/>
    <w:basedOn w:val="355"/>
    <w:next w:val="232"/>
    <w:qFormat/>
    <w:uiPriority w:val="99"/>
    <w:pPr>
      <w:tabs>
        <w:tab w:val="left" w:pos="360"/>
      </w:tabs>
      <w:outlineLvl w:val="4"/>
    </w:pPr>
  </w:style>
  <w:style w:type="paragraph" w:customStyle="1" w:styleId="355">
    <w:name w:val="二级条标题"/>
    <w:basedOn w:val="333"/>
    <w:next w:val="232"/>
    <w:qFormat/>
    <w:uiPriority w:val="99"/>
    <w:pPr>
      <w:tabs>
        <w:tab w:val="left" w:pos="360"/>
      </w:tabs>
      <w:spacing w:before="50" w:after="50"/>
      <w:outlineLvl w:val="3"/>
    </w:pPr>
  </w:style>
  <w:style w:type="paragraph" w:customStyle="1" w:styleId="356">
    <w:name w:val="CM13"/>
    <w:basedOn w:val="172"/>
    <w:next w:val="172"/>
    <w:qFormat/>
    <w:uiPriority w:val="99"/>
    <w:pPr>
      <w:widowControl/>
      <w:spacing w:line="468" w:lineRule="atLeast"/>
    </w:pPr>
    <w:rPr>
      <w:rFonts w:ascii="宋体" w:hAnsi="Times New Roman" w:eastAsia="宋体" w:cs="Times New Roman"/>
      <w:color w:val="auto"/>
    </w:rPr>
  </w:style>
  <w:style w:type="character" w:customStyle="1" w:styleId="357">
    <w:name w:val="Default Char"/>
    <w:qFormat/>
    <w:uiPriority w:val="0"/>
    <w:rPr>
      <w:rFonts w:ascii="宋体" w:hAnsi="宋体" w:eastAsia="宋体" w:cs="Times New Roman"/>
      <w:color w:val="000000"/>
      <w:kern w:val="0"/>
      <w:sz w:val="24"/>
      <w:szCs w:val="24"/>
    </w:rPr>
  </w:style>
  <w:style w:type="paragraph" w:customStyle="1" w:styleId="358">
    <w:name w:val="楷体"/>
    <w:basedOn w:val="1"/>
    <w:qFormat/>
    <w:uiPriority w:val="99"/>
    <w:pPr>
      <w:spacing w:line="360" w:lineRule="auto"/>
      <w:ind w:firstLine="420" w:firstLineChars="200"/>
    </w:pPr>
    <w:rPr>
      <w:sz w:val="24"/>
      <w:szCs w:val="24"/>
    </w:rPr>
  </w:style>
  <w:style w:type="paragraph" w:customStyle="1" w:styleId="359">
    <w:name w:val="表内文字(同正文大小)"/>
    <w:basedOn w:val="1"/>
    <w:qFormat/>
    <w:uiPriority w:val="99"/>
    <w:pPr>
      <w:spacing w:line="264" w:lineRule="auto"/>
      <w:ind w:firstLine="200" w:firstLineChars="200"/>
      <w:jc w:val="left"/>
    </w:pPr>
    <w:rPr>
      <w:kern w:val="0"/>
      <w:sz w:val="24"/>
      <w:szCs w:val="20"/>
      <w:lang w:eastAsia="en-US"/>
    </w:rPr>
  </w:style>
  <w:style w:type="paragraph" w:customStyle="1" w:styleId="360">
    <w:name w:val="样式 标题 2H2Heading 2 HiddenHeading 2 CCBSheading 22nd levelh...1"/>
    <w:basedOn w:val="4"/>
    <w:qFormat/>
    <w:uiPriority w:val="99"/>
    <w:pPr>
      <w:widowControl w:val="0"/>
      <w:spacing w:before="240" w:after="240" w:line="240" w:lineRule="auto"/>
      <w:ind w:left="576" w:hanging="576"/>
      <w:jc w:val="both"/>
    </w:pPr>
    <w:rPr>
      <w:rFonts w:ascii="宋体" w:hAnsi="宋体" w:eastAsia="宋体"/>
      <w:b w:val="0"/>
      <w:bCs w:val="0"/>
      <w:kern w:val="0"/>
      <w:sz w:val="28"/>
      <w:szCs w:val="28"/>
    </w:rPr>
  </w:style>
  <w:style w:type="paragraph" w:customStyle="1" w:styleId="361">
    <w:name w:val="Char21"/>
    <w:basedOn w:val="1"/>
    <w:qFormat/>
    <w:uiPriority w:val="99"/>
    <w:pPr>
      <w:spacing w:line="360" w:lineRule="auto"/>
      <w:ind w:firstLine="200" w:firstLineChars="200"/>
    </w:pPr>
    <w:rPr>
      <w:rFonts w:ascii="宋体"/>
      <w:kern w:val="0"/>
      <w:sz w:val="34"/>
      <w:szCs w:val="20"/>
    </w:rPr>
  </w:style>
  <w:style w:type="paragraph" w:customStyle="1" w:styleId="362">
    <w:name w:val="列出段落2"/>
    <w:basedOn w:val="1"/>
    <w:qFormat/>
    <w:uiPriority w:val="99"/>
    <w:pPr>
      <w:spacing w:line="360" w:lineRule="auto"/>
      <w:ind w:firstLine="420" w:firstLineChars="200"/>
    </w:pPr>
    <w:rPr>
      <w:rFonts w:ascii="Calibri" w:hAnsi="Calibri"/>
      <w:sz w:val="24"/>
      <w:szCs w:val="22"/>
    </w:rPr>
  </w:style>
  <w:style w:type="paragraph" w:customStyle="1" w:styleId="363">
    <w:name w:val="响应内容"/>
    <w:basedOn w:val="26"/>
    <w:qFormat/>
    <w:uiPriority w:val="99"/>
    <w:pPr>
      <w:autoSpaceDE/>
      <w:autoSpaceDN/>
      <w:adjustRightInd/>
      <w:spacing w:after="120"/>
      <w:ind w:firstLine="480" w:firstLineChars="200"/>
    </w:pPr>
    <w:rPr>
      <w:rFonts w:eastAsia="楷体_GB2312"/>
      <w:b/>
      <w:sz w:val="28"/>
    </w:rPr>
  </w:style>
  <w:style w:type="paragraph" w:customStyle="1" w:styleId="364">
    <w:name w:val="写作说明 Char"/>
    <w:basedOn w:val="1"/>
    <w:next w:val="1"/>
    <w:link w:val="365"/>
    <w:qFormat/>
    <w:uiPriority w:val="0"/>
    <w:pPr>
      <w:spacing w:line="360" w:lineRule="auto"/>
      <w:ind w:firstLine="200" w:firstLineChars="200"/>
    </w:pPr>
    <w:rPr>
      <w:i/>
      <w:color w:val="0000FF"/>
      <w:kern w:val="0"/>
      <w:sz w:val="24"/>
      <w:szCs w:val="20"/>
      <w:lang w:eastAsia="en-US"/>
    </w:rPr>
  </w:style>
  <w:style w:type="character" w:customStyle="1" w:styleId="365">
    <w:name w:val="写作说明 Char Char"/>
    <w:link w:val="364"/>
    <w:qFormat/>
    <w:uiPriority w:val="0"/>
    <w:rPr>
      <w:i/>
      <w:color w:val="0000FF"/>
      <w:sz w:val="24"/>
      <w:lang w:eastAsia="en-US"/>
    </w:rPr>
  </w:style>
  <w:style w:type="paragraph" w:customStyle="1" w:styleId="366">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textAlignment w:val="center"/>
    </w:pPr>
    <w:rPr>
      <w:rFonts w:ascii="宋体" w:hAnsi="宋体"/>
      <w:kern w:val="0"/>
      <w:sz w:val="24"/>
    </w:rPr>
  </w:style>
  <w:style w:type="paragraph" w:customStyle="1" w:styleId="367">
    <w:name w:val="目錄標題"/>
    <w:basedOn w:val="3"/>
    <w:next w:val="1"/>
    <w:unhideWhenUsed/>
    <w:qFormat/>
    <w:uiPriority w:val="39"/>
    <w:pPr>
      <w:widowControl/>
      <w:spacing w:before="480" w:after="0" w:line="276" w:lineRule="auto"/>
      <w:jc w:val="left"/>
      <w:outlineLvl w:val="9"/>
    </w:pPr>
    <w:rPr>
      <w:rFonts w:hint="default" w:ascii="Cambria" w:hAnsi="Cambria"/>
      <w:bCs/>
      <w:color w:val="365F91"/>
      <w:sz w:val="28"/>
      <w:szCs w:val="28"/>
    </w:rPr>
  </w:style>
  <w:style w:type="paragraph" w:customStyle="1" w:styleId="368">
    <w:name w:val="paragraph1"/>
    <w:basedOn w:val="1"/>
    <w:link w:val="369"/>
    <w:qFormat/>
    <w:uiPriority w:val="0"/>
    <w:pPr>
      <w:spacing w:afterLines="30" w:line="360" w:lineRule="auto"/>
      <w:ind w:firstLine="480" w:firstLineChars="200"/>
    </w:pPr>
    <w:rPr>
      <w:rFonts w:ascii="宋体" w:hAnsi="宋体"/>
      <w:kern w:val="0"/>
      <w:sz w:val="24"/>
      <w:szCs w:val="24"/>
    </w:rPr>
  </w:style>
  <w:style w:type="character" w:customStyle="1" w:styleId="369">
    <w:name w:val="paragraph1 Char"/>
    <w:link w:val="368"/>
    <w:qFormat/>
    <w:uiPriority w:val="0"/>
    <w:rPr>
      <w:rFonts w:ascii="宋体" w:hAnsi="宋体"/>
      <w:sz w:val="24"/>
      <w:szCs w:val="24"/>
    </w:rPr>
  </w:style>
  <w:style w:type="paragraph" w:customStyle="1" w:styleId="370">
    <w:name w:val="表头文字(同正文大小)"/>
    <w:basedOn w:val="1"/>
    <w:qFormat/>
    <w:uiPriority w:val="99"/>
    <w:pPr>
      <w:spacing w:line="264" w:lineRule="auto"/>
      <w:ind w:firstLine="200" w:firstLineChars="200"/>
      <w:jc w:val="center"/>
    </w:pPr>
    <w:rPr>
      <w:rFonts w:eastAsia="黑体"/>
      <w:kern w:val="0"/>
      <w:sz w:val="24"/>
      <w:szCs w:val="20"/>
      <w:lang w:eastAsia="en-US"/>
    </w:rPr>
  </w:style>
  <w:style w:type="character" w:customStyle="1" w:styleId="371">
    <w:name w:val="def正文 Char"/>
    <w:qFormat/>
    <w:uiPriority w:val="0"/>
    <w:rPr>
      <w:rFonts w:ascii="宋体" w:hAnsi="宋体" w:eastAsia="宋体" w:cs="Times New Roman"/>
      <w:kern w:val="0"/>
      <w:sz w:val="20"/>
      <w:szCs w:val="21"/>
    </w:rPr>
  </w:style>
  <w:style w:type="paragraph" w:customStyle="1" w:styleId="372">
    <w:name w:val="样式 正文首行缩进 + (符号) 宋体"/>
    <w:basedOn w:val="1"/>
    <w:link w:val="373"/>
    <w:qFormat/>
    <w:uiPriority w:val="0"/>
    <w:pPr>
      <w:tabs>
        <w:tab w:val="left" w:pos="845"/>
      </w:tabs>
      <w:spacing w:line="360" w:lineRule="auto"/>
      <w:ind w:firstLine="424" w:firstLineChars="202"/>
      <w:jc w:val="left"/>
    </w:pPr>
    <w:rPr>
      <w:rFonts w:hAnsi="宋体"/>
      <w:kern w:val="0"/>
      <w:sz w:val="24"/>
      <w:szCs w:val="20"/>
    </w:rPr>
  </w:style>
  <w:style w:type="character" w:customStyle="1" w:styleId="373">
    <w:name w:val="样式 正文首行缩进 + (符号) 宋体 Char"/>
    <w:link w:val="372"/>
    <w:qFormat/>
    <w:uiPriority w:val="0"/>
    <w:rPr>
      <w:rFonts w:hAnsi="宋体"/>
      <w:sz w:val="24"/>
    </w:rPr>
  </w:style>
  <w:style w:type="paragraph" w:customStyle="1" w:styleId="374">
    <w:name w:val="number1"/>
    <w:basedOn w:val="1"/>
    <w:link w:val="375"/>
    <w:qFormat/>
    <w:uiPriority w:val="0"/>
    <w:pPr>
      <w:tabs>
        <w:tab w:val="left" w:pos="840"/>
      </w:tabs>
      <w:spacing w:afterLines="30" w:line="360" w:lineRule="auto"/>
      <w:ind w:left="840" w:hanging="420" w:firstLineChars="200"/>
    </w:pPr>
    <w:rPr>
      <w:rFonts w:ascii="宋体" w:hAnsi="宋体"/>
      <w:kern w:val="0"/>
      <w:sz w:val="24"/>
      <w:szCs w:val="24"/>
    </w:rPr>
  </w:style>
  <w:style w:type="character" w:customStyle="1" w:styleId="375">
    <w:name w:val="number1 Char"/>
    <w:link w:val="374"/>
    <w:qFormat/>
    <w:uiPriority w:val="0"/>
    <w:rPr>
      <w:rFonts w:ascii="宋体" w:hAnsi="宋体"/>
      <w:sz w:val="24"/>
      <w:szCs w:val="24"/>
    </w:rPr>
  </w:style>
  <w:style w:type="paragraph" w:customStyle="1" w:styleId="376">
    <w:name w:val="样式 number1 + (符号) 宋体"/>
    <w:basedOn w:val="374"/>
    <w:link w:val="377"/>
    <w:qFormat/>
    <w:uiPriority w:val="0"/>
    <w:pPr>
      <w:tabs>
        <w:tab w:val="left" w:pos="902"/>
        <w:tab w:val="clear" w:pos="840"/>
      </w:tabs>
      <w:spacing w:afterLines="0"/>
      <w:ind w:left="400" w:leftChars="200" w:hanging="200" w:hangingChars="200"/>
    </w:pPr>
  </w:style>
  <w:style w:type="character" w:customStyle="1" w:styleId="377">
    <w:name w:val="样式 number1 + (符号) 宋体 Char"/>
    <w:link w:val="376"/>
    <w:qFormat/>
    <w:uiPriority w:val="0"/>
    <w:rPr>
      <w:rFonts w:ascii="宋体" w:hAnsi="宋体"/>
      <w:sz w:val="24"/>
      <w:szCs w:val="24"/>
    </w:rPr>
  </w:style>
  <w:style w:type="paragraph" w:customStyle="1" w:styleId="378">
    <w:name w:val="文档正文"/>
    <w:basedOn w:val="1"/>
    <w:qFormat/>
    <w:uiPriority w:val="99"/>
    <w:pPr>
      <w:spacing w:after="120" w:line="360" w:lineRule="auto"/>
      <w:ind w:firstLine="200" w:firstLineChars="200"/>
    </w:pPr>
    <w:rPr>
      <w:rFonts w:ascii="Arial" w:hAnsi="Arial" w:cs="Arial"/>
      <w:bCs/>
      <w:sz w:val="24"/>
      <w:szCs w:val="24"/>
    </w:rPr>
  </w:style>
  <w:style w:type="paragraph" w:customStyle="1" w:styleId="379">
    <w:name w:val="图NEW"/>
    <w:basedOn w:val="1"/>
    <w:link w:val="380"/>
    <w:qFormat/>
    <w:uiPriority w:val="0"/>
    <w:pPr>
      <w:spacing w:line="360" w:lineRule="auto"/>
      <w:ind w:firstLine="200" w:firstLineChars="200"/>
      <w:jc w:val="center"/>
    </w:pPr>
    <w:rPr>
      <w:rFonts w:ascii="宋体" w:hAnsi="宋体"/>
      <w:kern w:val="0"/>
      <w:sz w:val="24"/>
      <w:szCs w:val="24"/>
    </w:rPr>
  </w:style>
  <w:style w:type="character" w:customStyle="1" w:styleId="380">
    <w:name w:val="图NEW Char"/>
    <w:link w:val="379"/>
    <w:qFormat/>
    <w:uiPriority w:val="0"/>
    <w:rPr>
      <w:rFonts w:ascii="宋体" w:hAnsi="宋体"/>
      <w:sz w:val="24"/>
      <w:szCs w:val="24"/>
    </w:rPr>
  </w:style>
  <w:style w:type="paragraph" w:customStyle="1" w:styleId="381">
    <w:name w:val="项目正文"/>
    <w:qFormat/>
    <w:uiPriority w:val="99"/>
    <w:pPr>
      <w:tabs>
        <w:tab w:val="left" w:pos="851"/>
      </w:tabs>
      <w:ind w:left="851" w:hanging="284"/>
    </w:pPr>
    <w:rPr>
      <w:rFonts w:ascii="Arial" w:hAnsi="Arial" w:eastAsia="宋体" w:cs="Times New Roman"/>
      <w:kern w:val="2"/>
      <w:sz w:val="18"/>
      <w:szCs w:val="24"/>
      <w:lang w:val="en-US" w:eastAsia="zh-CN" w:bidi="ar-SA"/>
    </w:rPr>
  </w:style>
  <w:style w:type="paragraph" w:customStyle="1" w:styleId="382">
    <w:name w:val="表内文字"/>
    <w:basedOn w:val="1"/>
    <w:link w:val="383"/>
    <w:qFormat/>
    <w:uiPriority w:val="0"/>
    <w:pPr>
      <w:spacing w:line="360" w:lineRule="auto"/>
      <w:ind w:firstLine="200" w:firstLineChars="200"/>
    </w:pPr>
    <w:rPr>
      <w:kern w:val="0"/>
      <w:sz w:val="24"/>
      <w:szCs w:val="20"/>
    </w:rPr>
  </w:style>
  <w:style w:type="character" w:customStyle="1" w:styleId="383">
    <w:name w:val="表内文字 Char"/>
    <w:link w:val="382"/>
    <w:qFormat/>
    <w:uiPriority w:val="0"/>
    <w:rPr>
      <w:sz w:val="24"/>
    </w:rPr>
  </w:style>
  <w:style w:type="paragraph" w:customStyle="1" w:styleId="384">
    <w:name w:val="暗色格線 2"/>
    <w:link w:val="385"/>
    <w:qFormat/>
    <w:uiPriority w:val="1"/>
    <w:rPr>
      <w:rFonts w:ascii="宋体" w:hAnsi="宋体" w:eastAsia="宋体" w:cs="Times New Roman"/>
      <w:sz w:val="22"/>
      <w:lang w:val="en-US" w:eastAsia="zh-CN" w:bidi="ar-SA"/>
    </w:rPr>
  </w:style>
  <w:style w:type="character" w:customStyle="1" w:styleId="385">
    <w:name w:val="暗色格線 2 Char"/>
    <w:link w:val="384"/>
    <w:qFormat/>
    <w:uiPriority w:val="1"/>
    <w:rPr>
      <w:rFonts w:ascii="宋体" w:hAnsi="宋体"/>
      <w:sz w:val="22"/>
    </w:rPr>
  </w:style>
  <w:style w:type="paragraph" w:customStyle="1" w:styleId="386">
    <w:name w:val="A缩进正文"/>
    <w:basedOn w:val="1"/>
    <w:qFormat/>
    <w:uiPriority w:val="99"/>
    <w:pPr>
      <w:adjustRightInd w:val="0"/>
      <w:snapToGrid w:val="0"/>
      <w:spacing w:before="100" w:beforeAutospacing="1" w:after="100" w:afterAutospacing="1" w:line="400" w:lineRule="exact"/>
      <w:ind w:firstLine="480" w:firstLineChars="200"/>
    </w:pPr>
    <w:rPr>
      <w:snapToGrid w:val="0"/>
      <w:kern w:val="0"/>
      <w:sz w:val="24"/>
      <w:szCs w:val="20"/>
    </w:rPr>
  </w:style>
  <w:style w:type="paragraph" w:customStyle="1" w:styleId="387">
    <w:name w:val="表身（左）"/>
    <w:qFormat/>
    <w:uiPriority w:val="99"/>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88">
    <w:name w:val="缺省文本"/>
    <w:basedOn w:val="1"/>
    <w:qFormat/>
    <w:uiPriority w:val="99"/>
    <w:pPr>
      <w:autoSpaceDE w:val="0"/>
      <w:autoSpaceDN w:val="0"/>
      <w:adjustRightInd w:val="0"/>
      <w:spacing w:line="360" w:lineRule="auto"/>
      <w:ind w:firstLine="200" w:firstLineChars="200"/>
      <w:jc w:val="left"/>
    </w:pPr>
    <w:rPr>
      <w:kern w:val="0"/>
      <w:sz w:val="24"/>
      <w:szCs w:val="24"/>
    </w:rPr>
  </w:style>
  <w:style w:type="paragraph" w:customStyle="1" w:styleId="389">
    <w:name w:val="xl31"/>
    <w:basedOn w:val="1"/>
    <w:qFormat/>
    <w:uiPriority w:val="99"/>
    <w:pPr>
      <w:widowControl/>
      <w:pBdr>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2"/>
      <w:szCs w:val="22"/>
    </w:rPr>
  </w:style>
  <w:style w:type="paragraph" w:customStyle="1" w:styleId="390">
    <w:name w:val="Q2"/>
    <w:basedOn w:val="4"/>
    <w:next w:val="337"/>
    <w:qFormat/>
    <w:uiPriority w:val="99"/>
    <w:pPr>
      <w:widowControl w:val="0"/>
      <w:spacing w:beforeLines="50" w:afterLines="50" w:line="240" w:lineRule="auto"/>
      <w:jc w:val="both"/>
    </w:pPr>
    <w:rPr>
      <w:kern w:val="0"/>
    </w:rPr>
  </w:style>
  <w:style w:type="paragraph" w:customStyle="1" w:styleId="391">
    <w:name w:val="附件(1)"/>
    <w:basedOn w:val="1"/>
    <w:qFormat/>
    <w:uiPriority w:val="99"/>
    <w:pPr>
      <w:tabs>
        <w:tab w:val="left" w:pos="840"/>
      </w:tabs>
      <w:spacing w:line="360" w:lineRule="auto"/>
      <w:ind w:left="840" w:hanging="420" w:firstLineChars="200"/>
    </w:pPr>
    <w:rPr>
      <w:sz w:val="24"/>
      <w:szCs w:val="24"/>
    </w:rPr>
  </w:style>
  <w:style w:type="paragraph" w:customStyle="1" w:styleId="392">
    <w:name w:val="正文（编号）"/>
    <w:basedOn w:val="230"/>
    <w:qFormat/>
    <w:uiPriority w:val="99"/>
    <w:pPr>
      <w:ind w:firstLine="0" w:firstLineChars="0"/>
    </w:pPr>
  </w:style>
  <w:style w:type="character" w:customStyle="1" w:styleId="393">
    <w:name w:val="正文（缩进） Char"/>
    <w:qFormat/>
    <w:uiPriority w:val="0"/>
    <w:rPr>
      <w:rFonts w:ascii="Times New Roman" w:hAnsi="Times New Roman" w:eastAsia="宋体" w:cs="Times New Roman"/>
      <w:sz w:val="24"/>
      <w:szCs w:val="24"/>
    </w:rPr>
  </w:style>
  <w:style w:type="paragraph" w:customStyle="1" w:styleId="394">
    <w:name w:val="CM12"/>
    <w:basedOn w:val="172"/>
    <w:next w:val="172"/>
    <w:qFormat/>
    <w:uiPriority w:val="99"/>
    <w:pPr>
      <w:widowControl/>
      <w:spacing w:line="468" w:lineRule="atLeast"/>
    </w:pPr>
    <w:rPr>
      <w:rFonts w:ascii="宋体" w:hAnsi="Times New Roman" w:eastAsia="宋体" w:cs="Times New Roman"/>
      <w:color w:val="auto"/>
    </w:rPr>
  </w:style>
  <w:style w:type="paragraph" w:customStyle="1" w:styleId="395">
    <w:name w:val="写作说明"/>
    <w:basedOn w:val="1"/>
    <w:next w:val="1"/>
    <w:qFormat/>
    <w:uiPriority w:val="99"/>
    <w:pPr>
      <w:tabs>
        <w:tab w:val="left" w:pos="420"/>
      </w:tabs>
      <w:spacing w:line="360" w:lineRule="auto"/>
      <w:ind w:left="420" w:hanging="420" w:firstLineChars="200"/>
    </w:pPr>
    <w:rPr>
      <w:i/>
      <w:color w:val="0000FF"/>
      <w:kern w:val="0"/>
      <w:sz w:val="24"/>
      <w:szCs w:val="20"/>
      <w:lang w:eastAsia="en-US"/>
    </w:rPr>
  </w:style>
  <w:style w:type="paragraph" w:customStyle="1" w:styleId="396">
    <w:name w:val="附件1."/>
    <w:basedOn w:val="3"/>
    <w:qFormat/>
    <w:uiPriority w:val="99"/>
    <w:pPr>
      <w:tabs>
        <w:tab w:val="left" w:pos="360"/>
        <w:tab w:val="left" w:pos="420"/>
      </w:tabs>
      <w:spacing w:before="0" w:after="0" w:line="360" w:lineRule="auto"/>
      <w:ind w:left="567" w:hanging="567"/>
    </w:pPr>
    <w:rPr>
      <w:rFonts w:hint="default" w:ascii="Times New Roman" w:hAnsi="Times New Roman"/>
      <w:b w:val="0"/>
      <w:bCs/>
      <w:color w:val="auto"/>
      <w:kern w:val="44"/>
      <w:sz w:val="24"/>
      <w:szCs w:val="44"/>
    </w:rPr>
  </w:style>
  <w:style w:type="paragraph" w:customStyle="1" w:styleId="397">
    <w:name w:val="TOC 标题11"/>
    <w:basedOn w:val="3"/>
    <w:next w:val="1"/>
    <w:unhideWhenUsed/>
    <w:qFormat/>
    <w:uiPriority w:val="39"/>
    <w:pPr>
      <w:widowControl/>
      <w:tabs>
        <w:tab w:val="center" w:pos="0"/>
        <w:tab w:val="left" w:pos="3402"/>
        <w:tab w:val="left" w:pos="3828"/>
      </w:tabs>
      <w:spacing w:before="480" w:after="0" w:line="276" w:lineRule="auto"/>
      <w:jc w:val="left"/>
      <w:outlineLvl w:val="9"/>
    </w:pPr>
    <w:rPr>
      <w:rFonts w:hint="default" w:ascii="Cambria" w:hAnsi="Cambria"/>
      <w:b w:val="0"/>
      <w:bCs/>
      <w:color w:val="365F91"/>
      <w:sz w:val="28"/>
      <w:szCs w:val="28"/>
    </w:rPr>
  </w:style>
  <w:style w:type="paragraph" w:customStyle="1" w:styleId="398">
    <w:name w:val="CM14"/>
    <w:basedOn w:val="172"/>
    <w:next w:val="172"/>
    <w:qFormat/>
    <w:uiPriority w:val="99"/>
    <w:pPr>
      <w:widowControl/>
      <w:spacing w:line="468" w:lineRule="atLeast"/>
    </w:pPr>
    <w:rPr>
      <w:rFonts w:ascii="宋体" w:hAnsi="Times New Roman" w:eastAsia="宋体" w:cs="Times New Roman"/>
      <w:color w:val="auto"/>
    </w:rPr>
  </w:style>
  <w:style w:type="paragraph" w:customStyle="1" w:styleId="399">
    <w:name w:val="技术报告表标题"/>
    <w:basedOn w:val="400"/>
    <w:next w:val="400"/>
    <w:qFormat/>
    <w:uiPriority w:val="99"/>
    <w:pPr>
      <w:tabs>
        <w:tab w:val="left" w:pos="0"/>
      </w:tabs>
      <w:spacing w:before="120"/>
      <w:ind w:left="2580" w:hanging="420" w:firstLineChars="0"/>
      <w:jc w:val="center"/>
    </w:pPr>
    <w:rPr>
      <w:rFonts w:ascii="楷体_GB2312" w:eastAsia="楷体_GB2312"/>
      <w:b/>
      <w:bCs/>
    </w:rPr>
  </w:style>
  <w:style w:type="paragraph" w:customStyle="1" w:styleId="400">
    <w:name w:val="技术报告正文"/>
    <w:basedOn w:val="1"/>
    <w:link w:val="401"/>
    <w:qFormat/>
    <w:uiPriority w:val="0"/>
    <w:pPr>
      <w:spacing w:beforeLines="50" w:line="440" w:lineRule="exact"/>
      <w:ind w:firstLine="200" w:firstLineChars="200"/>
    </w:pPr>
    <w:rPr>
      <w:sz w:val="28"/>
      <w:szCs w:val="24"/>
    </w:rPr>
  </w:style>
  <w:style w:type="character" w:customStyle="1" w:styleId="401">
    <w:name w:val="技术报告正文 Char"/>
    <w:link w:val="400"/>
    <w:qFormat/>
    <w:uiPriority w:val="0"/>
    <w:rPr>
      <w:kern w:val="2"/>
      <w:sz w:val="28"/>
      <w:szCs w:val="24"/>
    </w:rPr>
  </w:style>
  <w:style w:type="paragraph" w:customStyle="1" w:styleId="402">
    <w:name w:val="正文（黑体）"/>
    <w:basedOn w:val="1"/>
    <w:next w:val="1"/>
    <w:link w:val="403"/>
    <w:qFormat/>
    <w:uiPriority w:val="0"/>
    <w:pPr>
      <w:spacing w:beforeLines="50" w:afterLines="50" w:line="360" w:lineRule="auto"/>
      <w:ind w:firstLine="480" w:firstLineChars="200"/>
    </w:pPr>
    <w:rPr>
      <w:rFonts w:ascii="黑体" w:eastAsia="黑体"/>
      <w:color w:val="000080"/>
      <w:sz w:val="24"/>
      <w:szCs w:val="24"/>
    </w:rPr>
  </w:style>
  <w:style w:type="character" w:customStyle="1" w:styleId="403">
    <w:name w:val="正文（黑体） Char"/>
    <w:link w:val="402"/>
    <w:qFormat/>
    <w:uiPriority w:val="0"/>
    <w:rPr>
      <w:rFonts w:ascii="黑体" w:eastAsia="黑体"/>
      <w:color w:val="000080"/>
      <w:kern w:val="2"/>
      <w:sz w:val="24"/>
      <w:szCs w:val="24"/>
    </w:rPr>
  </w:style>
  <w:style w:type="paragraph" w:customStyle="1" w:styleId="404">
    <w:name w:val="表项"/>
    <w:next w:val="387"/>
    <w:qFormat/>
    <w:uiPriority w:val="99"/>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05">
    <w:name w:val="附件标题"/>
    <w:basedOn w:val="1"/>
    <w:qFormat/>
    <w:uiPriority w:val="99"/>
    <w:pPr>
      <w:spacing w:line="360" w:lineRule="auto"/>
      <w:ind w:firstLine="200" w:firstLineChars="200"/>
      <w:jc w:val="center"/>
    </w:pPr>
    <w:rPr>
      <w:rFonts w:ascii="Arial" w:hAnsi="Arial" w:eastAsia="黑体"/>
      <w:sz w:val="24"/>
      <w:szCs w:val="24"/>
    </w:rPr>
  </w:style>
  <w:style w:type="paragraph" w:customStyle="1" w:styleId="406">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kern w:val="0"/>
      <w:sz w:val="24"/>
    </w:rPr>
  </w:style>
  <w:style w:type="paragraph" w:customStyle="1" w:styleId="407">
    <w:name w:val="封面"/>
    <w:qFormat/>
    <w:uiPriority w:val="99"/>
    <w:pPr>
      <w:spacing w:line="412" w:lineRule="atLeast"/>
    </w:pPr>
    <w:rPr>
      <w:rFonts w:ascii="Times New Roman" w:hAnsi="Times New Roman" w:eastAsia="宋体" w:cs="Times New Roman"/>
      <w:kern w:val="2"/>
      <w:sz w:val="21"/>
      <w:lang w:val="en-US" w:eastAsia="zh-CN" w:bidi="ar-SA"/>
    </w:rPr>
  </w:style>
  <w:style w:type="paragraph" w:customStyle="1" w:styleId="408">
    <w:name w:val="普通正文"/>
    <w:basedOn w:val="1"/>
    <w:qFormat/>
    <w:uiPriority w:val="99"/>
    <w:pPr>
      <w:adjustRightInd w:val="0"/>
      <w:spacing w:before="120" w:after="120" w:line="360" w:lineRule="auto"/>
      <w:ind w:firstLine="480" w:firstLineChars="200"/>
      <w:jc w:val="left"/>
      <w:textAlignment w:val="baseline"/>
    </w:pPr>
    <w:rPr>
      <w:rFonts w:ascii="Arial" w:hAnsi="Arial"/>
      <w:kern w:val="0"/>
      <w:sz w:val="24"/>
      <w:szCs w:val="24"/>
    </w:rPr>
  </w:style>
  <w:style w:type="paragraph" w:customStyle="1" w:styleId="409">
    <w:name w:val="5"/>
    <w:basedOn w:val="1"/>
    <w:qFormat/>
    <w:uiPriority w:val="99"/>
    <w:pPr>
      <w:spacing w:line="360" w:lineRule="auto"/>
      <w:ind w:firstLine="200" w:firstLineChars="200"/>
    </w:pPr>
    <w:rPr>
      <w:sz w:val="24"/>
      <w:szCs w:val="24"/>
    </w:rPr>
  </w:style>
  <w:style w:type="paragraph" w:customStyle="1" w:styleId="410">
    <w:name w:val="文档-正文"/>
    <w:qFormat/>
    <w:uiPriority w:val="99"/>
    <w:pPr>
      <w:spacing w:afterLines="20" w:line="360" w:lineRule="auto"/>
      <w:ind w:firstLine="200" w:firstLineChars="200"/>
    </w:pPr>
    <w:rPr>
      <w:rFonts w:ascii="Times New Roman" w:hAnsi="Times New Roman" w:eastAsia="宋体" w:cs="Times New Roman"/>
      <w:sz w:val="24"/>
      <w:lang w:val="en-US" w:eastAsia="zh-CN" w:bidi="ar-SA"/>
    </w:rPr>
  </w:style>
  <w:style w:type="paragraph" w:customStyle="1" w:styleId="411">
    <w:name w:val="表格字"/>
    <w:basedOn w:val="1"/>
    <w:qFormat/>
    <w:uiPriority w:val="99"/>
    <w:pPr>
      <w:spacing w:line="360" w:lineRule="auto"/>
      <w:ind w:firstLine="200" w:firstLineChars="200"/>
    </w:pPr>
    <w:rPr>
      <w:sz w:val="28"/>
      <w:szCs w:val="20"/>
    </w:rPr>
  </w:style>
  <w:style w:type="paragraph" w:customStyle="1" w:styleId="412">
    <w:name w:val="pic-info"/>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szCs w:val="24"/>
    </w:rPr>
  </w:style>
  <w:style w:type="paragraph" w:customStyle="1" w:styleId="413">
    <w:name w:val="Char Char1 Char Char Char Char Char Char Char Char Char Char Char Char Char Char Char"/>
    <w:basedOn w:val="1"/>
    <w:qFormat/>
    <w:uiPriority w:val="99"/>
    <w:pPr>
      <w:widowControl/>
      <w:spacing w:after="160" w:line="240" w:lineRule="exact"/>
      <w:ind w:firstLine="200" w:firstLineChars="200"/>
      <w:jc w:val="left"/>
    </w:pPr>
    <w:rPr>
      <w:rFonts w:ascii="Verdana" w:hAnsi="Verdana"/>
      <w:kern w:val="0"/>
      <w:sz w:val="20"/>
      <w:szCs w:val="20"/>
      <w:lang w:eastAsia="en-US"/>
    </w:rPr>
  </w:style>
  <w:style w:type="paragraph" w:customStyle="1" w:styleId="414">
    <w:name w:val="附件圈"/>
    <w:basedOn w:val="391"/>
    <w:qFormat/>
    <w:uiPriority w:val="99"/>
    <w:pPr>
      <w:tabs>
        <w:tab w:val="left" w:pos="980"/>
        <w:tab w:val="clear" w:pos="840"/>
      </w:tabs>
      <w:ind w:left="980"/>
    </w:pPr>
  </w:style>
  <w:style w:type="paragraph" w:customStyle="1" w:styleId="415">
    <w:name w:val="Char1"/>
    <w:basedOn w:val="1"/>
    <w:qFormat/>
    <w:uiPriority w:val="99"/>
    <w:pPr>
      <w:spacing w:line="360" w:lineRule="auto"/>
      <w:ind w:firstLine="200" w:firstLineChars="200"/>
    </w:pPr>
    <w:rPr>
      <w:rFonts w:ascii="Tahoma" w:hAnsi="Tahoma"/>
      <w:sz w:val="24"/>
      <w:szCs w:val="20"/>
    </w:rPr>
  </w:style>
  <w:style w:type="paragraph" w:customStyle="1" w:styleId="416">
    <w:name w:val="示意图说明"/>
    <w:basedOn w:val="1"/>
    <w:next w:val="1"/>
    <w:qFormat/>
    <w:uiPriority w:val="99"/>
    <w:pPr>
      <w:spacing w:line="360" w:lineRule="auto"/>
      <w:ind w:firstLine="200" w:firstLineChars="200"/>
      <w:jc w:val="center"/>
    </w:pPr>
    <w:rPr>
      <w:rFonts w:eastAsia="黑体"/>
      <w:kern w:val="0"/>
      <w:sz w:val="24"/>
      <w:szCs w:val="20"/>
      <w:lang w:eastAsia="en-US"/>
    </w:rPr>
  </w:style>
  <w:style w:type="paragraph" w:customStyle="1" w:styleId="417">
    <w:name w:val="PDGInstructionsBullet"/>
    <w:basedOn w:val="1"/>
    <w:qFormat/>
    <w:uiPriority w:val="99"/>
    <w:pPr>
      <w:widowControl/>
      <w:tabs>
        <w:tab w:val="left" w:pos="720"/>
      </w:tabs>
      <w:spacing w:before="60" w:after="120" w:line="360" w:lineRule="auto"/>
      <w:ind w:left="720" w:right="360" w:hanging="360" w:firstLineChars="200"/>
      <w:jc w:val="left"/>
    </w:pPr>
    <w:rPr>
      <w:rFonts w:ascii="Garamond" w:hAnsi="Garamond"/>
      <w:color w:val="FF0000"/>
      <w:kern w:val="0"/>
      <w:sz w:val="24"/>
      <w:szCs w:val="20"/>
      <w:lang w:eastAsia="en-US"/>
    </w:rPr>
  </w:style>
  <w:style w:type="paragraph" w:customStyle="1" w:styleId="418">
    <w:name w:val="declear"/>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szCs w:val="24"/>
    </w:rPr>
  </w:style>
  <w:style w:type="paragraph" w:customStyle="1" w:styleId="419">
    <w:name w:val="Char Char Char Char Char Char1 Char"/>
    <w:basedOn w:val="1"/>
    <w:qFormat/>
    <w:uiPriority w:val="99"/>
    <w:pPr>
      <w:widowControl/>
      <w:spacing w:after="160" w:line="240" w:lineRule="exact"/>
      <w:ind w:firstLine="200" w:firstLineChars="200"/>
      <w:jc w:val="left"/>
    </w:pPr>
    <w:rPr>
      <w:rFonts w:ascii="Verdana" w:hAnsi="Verdana"/>
      <w:kern w:val="0"/>
      <w:sz w:val="24"/>
      <w:szCs w:val="20"/>
      <w:lang w:eastAsia="en-US"/>
    </w:rPr>
  </w:style>
  <w:style w:type="paragraph" w:customStyle="1" w:styleId="420">
    <w:name w:val="SUR-需求定义-第5级"/>
    <w:basedOn w:val="8"/>
    <w:next w:val="1"/>
    <w:qFormat/>
    <w:uiPriority w:val="99"/>
    <w:pPr>
      <w:keepLines/>
      <w:tabs>
        <w:tab w:val="left" w:pos="1260"/>
      </w:tabs>
      <w:spacing w:before="0" w:after="0"/>
      <w:ind w:left="900" w:hanging="900"/>
    </w:pPr>
    <w:rPr>
      <w:rFonts w:ascii="Arial" w:hAnsi="Arial" w:eastAsia="黑体" w:cs="Arial"/>
      <w:b w:val="0"/>
      <w:szCs w:val="24"/>
    </w:rPr>
  </w:style>
  <w:style w:type="paragraph" w:customStyle="1" w:styleId="421">
    <w:name w:val="font7"/>
    <w:basedOn w:val="1"/>
    <w:qFormat/>
    <w:uiPriority w:val="0"/>
    <w:pPr>
      <w:widowControl/>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22">
    <w:name w:val="font1"/>
    <w:basedOn w:val="1"/>
    <w:qFormat/>
    <w:uiPriority w:val="99"/>
    <w:pPr>
      <w:widowControl/>
      <w:spacing w:before="100" w:beforeAutospacing="1" w:after="100" w:afterAutospacing="1" w:line="360" w:lineRule="auto"/>
      <w:ind w:firstLine="200" w:firstLineChars="200"/>
      <w:jc w:val="left"/>
    </w:pPr>
    <w:rPr>
      <w:rFonts w:hint="eastAsia" w:ascii="宋体" w:hAnsi="宋体"/>
      <w:kern w:val="0"/>
      <w:sz w:val="24"/>
      <w:szCs w:val="24"/>
    </w:rPr>
  </w:style>
  <w:style w:type="paragraph" w:customStyle="1" w:styleId="423">
    <w:name w:val="test"/>
    <w:basedOn w:val="1"/>
    <w:qFormat/>
    <w:uiPriority w:val="99"/>
    <w:pPr>
      <w:spacing w:line="360" w:lineRule="auto"/>
      <w:ind w:left="420" w:firstLine="480" w:firstLineChars="200"/>
    </w:pPr>
    <w:rPr>
      <w:rFonts w:ascii="宋体" w:hAnsi="宋体"/>
      <w:color w:val="000000"/>
      <w:kern w:val="0"/>
      <w:sz w:val="24"/>
      <w:szCs w:val="24"/>
    </w:rPr>
  </w:style>
  <w:style w:type="paragraph" w:customStyle="1" w:styleId="424">
    <w:name w:val="表标题1"/>
    <w:basedOn w:val="1"/>
    <w:qFormat/>
    <w:uiPriority w:val="99"/>
    <w:pPr>
      <w:spacing w:line="360" w:lineRule="auto"/>
      <w:ind w:firstLine="200" w:firstLineChars="200"/>
      <w:jc w:val="center"/>
    </w:pPr>
    <w:rPr>
      <w:b/>
      <w:bCs/>
      <w:sz w:val="24"/>
      <w:szCs w:val="24"/>
    </w:rPr>
  </w:style>
  <w:style w:type="paragraph" w:customStyle="1" w:styleId="425">
    <w:name w:val="样式11"/>
    <w:link w:val="426"/>
    <w:qFormat/>
    <w:uiPriority w:val="0"/>
    <w:pPr>
      <w:spacing w:line="360" w:lineRule="auto"/>
      <w:ind w:left="1418"/>
    </w:pPr>
    <w:rPr>
      <w:rFonts w:ascii="Calibri" w:hAnsi="Calibri" w:eastAsia="宋体" w:cs="Times New Roman"/>
      <w:sz w:val="28"/>
      <w:lang w:val="en-US" w:eastAsia="en-US" w:bidi="ar-SA"/>
    </w:rPr>
  </w:style>
  <w:style w:type="character" w:customStyle="1" w:styleId="426">
    <w:name w:val="样式11 Char"/>
    <w:link w:val="425"/>
    <w:qFormat/>
    <w:uiPriority w:val="0"/>
    <w:rPr>
      <w:rFonts w:ascii="Calibri" w:hAnsi="Calibri"/>
      <w:sz w:val="28"/>
      <w:lang w:eastAsia="en-US"/>
    </w:rPr>
  </w:style>
  <w:style w:type="paragraph" w:customStyle="1" w:styleId="427">
    <w:name w:val="样式 标题 3 + (西文) Arial (中文) 黑体 四号 非加粗"/>
    <w:basedOn w:val="5"/>
    <w:qFormat/>
    <w:uiPriority w:val="99"/>
    <w:pPr>
      <w:tabs>
        <w:tab w:val="left" w:pos="720"/>
        <w:tab w:val="left" w:pos="798"/>
      </w:tabs>
      <w:spacing w:before="0" w:after="0" w:line="360" w:lineRule="auto"/>
      <w:ind w:left="720" w:hanging="720"/>
      <w:jc w:val="left"/>
    </w:pPr>
    <w:rPr>
      <w:rFonts w:ascii="Arial" w:hAnsi="Arial" w:eastAsia="黑体"/>
      <w:bCs w:val="0"/>
      <w:sz w:val="28"/>
      <w:szCs w:val="24"/>
      <w:lang w:eastAsia="en-US"/>
    </w:rPr>
  </w:style>
  <w:style w:type="paragraph" w:customStyle="1" w:styleId="428">
    <w:name w:val="写作样例"/>
    <w:basedOn w:val="1"/>
    <w:qFormat/>
    <w:uiPriority w:val="99"/>
    <w:pPr>
      <w:spacing w:line="360" w:lineRule="auto"/>
      <w:ind w:firstLine="200" w:firstLineChars="200"/>
      <w:jc w:val="left"/>
    </w:pPr>
    <w:rPr>
      <w:color w:val="800080"/>
      <w:kern w:val="0"/>
      <w:sz w:val="24"/>
    </w:rPr>
  </w:style>
  <w:style w:type="paragraph" w:customStyle="1" w:styleId="429">
    <w:name w:val="样式 标题 555标题 5 CharH5dashdsddh5PIM 5口一heading 5Table ...1"/>
    <w:basedOn w:val="8"/>
    <w:link w:val="430"/>
    <w:qFormat/>
    <w:uiPriority w:val="0"/>
    <w:pPr>
      <w:keepLines/>
      <w:tabs>
        <w:tab w:val="left" w:pos="1008"/>
      </w:tabs>
      <w:spacing w:before="0" w:after="0"/>
    </w:pPr>
    <w:rPr>
      <w:rFonts w:hAnsi="宋体" w:cs="Times New Roman"/>
      <w:b w:val="0"/>
      <w:color w:val="000000"/>
      <w:sz w:val="21"/>
      <w:szCs w:val="20"/>
    </w:rPr>
  </w:style>
  <w:style w:type="character" w:customStyle="1" w:styleId="430">
    <w:name w:val="样式 标题 555标题 5 CharH5dashdsddh5PIM 5口一heading 5Table ...1 Char"/>
    <w:link w:val="429"/>
    <w:qFormat/>
    <w:uiPriority w:val="0"/>
    <w:rPr>
      <w:rFonts w:ascii="宋体" w:hAnsi="宋体"/>
      <w:bCs/>
      <w:color w:val="000000"/>
      <w:kern w:val="2"/>
      <w:sz w:val="21"/>
    </w:rPr>
  </w:style>
  <w:style w:type="paragraph" w:customStyle="1" w:styleId="431">
    <w:name w:val="表身（中）"/>
    <w:basedOn w:val="387"/>
    <w:qFormat/>
    <w:uiPriority w:val="99"/>
    <w:pPr>
      <w:jc w:val="center"/>
    </w:pPr>
  </w:style>
  <w:style w:type="paragraph" w:customStyle="1" w:styleId="432">
    <w:name w:val="CM15"/>
    <w:basedOn w:val="172"/>
    <w:next w:val="172"/>
    <w:qFormat/>
    <w:uiPriority w:val="99"/>
    <w:pPr>
      <w:widowControl/>
      <w:spacing w:line="468" w:lineRule="atLeast"/>
    </w:pPr>
    <w:rPr>
      <w:rFonts w:ascii="宋体" w:hAnsi="Times New Roman" w:eastAsia="宋体" w:cs="Times New Roman"/>
      <w:color w:val="auto"/>
    </w:rPr>
  </w:style>
  <w:style w:type="paragraph" w:customStyle="1" w:styleId="433">
    <w:name w:val="样式 蓝色小标题"/>
    <w:next w:val="1"/>
    <w:qFormat/>
    <w:uiPriority w:val="99"/>
    <w:pPr>
      <w:ind w:firstLine="482"/>
    </w:pPr>
    <w:rPr>
      <w:rFonts w:ascii="宋体" w:hAnsi="宋体" w:eastAsia="宋体" w:cs="宋体"/>
      <w:b/>
      <w:bCs/>
      <w:i/>
      <w:color w:val="000080"/>
      <w:kern w:val="2"/>
      <w:sz w:val="24"/>
      <w:szCs w:val="24"/>
      <w:u w:val="single" w:color="000080"/>
      <w:lang w:val="en-US" w:eastAsia="zh-CN" w:bidi="ar-SA"/>
    </w:rPr>
  </w:style>
  <w:style w:type="paragraph" w:customStyle="1" w:styleId="434">
    <w:name w:val="number"/>
    <w:basedOn w:val="1"/>
    <w:qFormat/>
    <w:uiPriority w:val="99"/>
    <w:pPr>
      <w:tabs>
        <w:tab w:val="left" w:pos="360"/>
      </w:tabs>
      <w:spacing w:beforeLines="20" w:afterLines="30" w:line="360" w:lineRule="auto"/>
      <w:ind w:firstLine="200" w:firstLineChars="200"/>
    </w:pPr>
    <w:rPr>
      <w:rFonts w:ascii="Arial" w:hAnsi="Arial"/>
      <w:sz w:val="24"/>
      <w:szCs w:val="24"/>
    </w:rPr>
  </w:style>
  <w:style w:type="paragraph" w:customStyle="1" w:styleId="435">
    <w:name w:val="样式 标题 2H2Heading 2 HiddenHeading 2 CCBSheading 22nd levelh..."/>
    <w:basedOn w:val="4"/>
    <w:qFormat/>
    <w:uiPriority w:val="99"/>
    <w:pPr>
      <w:widowControl w:val="0"/>
      <w:spacing w:before="120" w:after="120" w:line="240" w:lineRule="auto"/>
      <w:ind w:left="576" w:hanging="576"/>
      <w:jc w:val="both"/>
    </w:pPr>
    <w:rPr>
      <w:rFonts w:cs="宋体"/>
      <w:b w:val="0"/>
      <w:bCs w:val="0"/>
      <w:kern w:val="0"/>
      <w:sz w:val="28"/>
      <w:szCs w:val="28"/>
    </w:rPr>
  </w:style>
  <w:style w:type="paragraph" w:customStyle="1" w:styleId="436">
    <w:name w:val="五级条标题"/>
    <w:basedOn w:val="353"/>
    <w:next w:val="232"/>
    <w:qFormat/>
    <w:uiPriority w:val="99"/>
    <w:pPr>
      <w:outlineLvl w:val="6"/>
    </w:pPr>
  </w:style>
  <w:style w:type="paragraph" w:customStyle="1" w:styleId="437">
    <w:name w:val="题注5"/>
    <w:basedOn w:val="1"/>
    <w:next w:val="19"/>
    <w:qFormat/>
    <w:uiPriority w:val="99"/>
    <w:pPr>
      <w:spacing w:line="360" w:lineRule="auto"/>
      <w:ind w:left="180" w:hanging="180" w:firstLineChars="200"/>
    </w:pPr>
    <w:rPr>
      <w:color w:val="FF0000"/>
      <w:sz w:val="24"/>
      <w:szCs w:val="24"/>
    </w:rPr>
  </w:style>
  <w:style w:type="paragraph" w:customStyle="1" w:styleId="438">
    <w:name w:val="方框标题"/>
    <w:basedOn w:val="1"/>
    <w:next w:val="1"/>
    <w:link w:val="439"/>
    <w:qFormat/>
    <w:uiPriority w:val="0"/>
    <w:pPr>
      <w:tabs>
        <w:tab w:val="left" w:pos="420"/>
      </w:tabs>
      <w:autoSpaceDE w:val="0"/>
      <w:autoSpaceDN w:val="0"/>
      <w:spacing w:line="360" w:lineRule="auto"/>
      <w:ind w:left="420" w:hanging="420" w:firstLineChars="200"/>
    </w:pPr>
    <w:rPr>
      <w:rFonts w:eastAsia="黑体"/>
      <w:sz w:val="24"/>
      <w:szCs w:val="24"/>
      <w:lang w:eastAsia="en-US"/>
    </w:rPr>
  </w:style>
  <w:style w:type="character" w:customStyle="1" w:styleId="439">
    <w:name w:val="方框标题 Char"/>
    <w:link w:val="438"/>
    <w:qFormat/>
    <w:uiPriority w:val="0"/>
    <w:rPr>
      <w:rFonts w:eastAsia="黑体"/>
      <w:kern w:val="2"/>
      <w:sz w:val="24"/>
      <w:szCs w:val="24"/>
      <w:lang w:eastAsia="en-US"/>
    </w:rPr>
  </w:style>
  <w:style w:type="paragraph" w:customStyle="1" w:styleId="440">
    <w:name w:val="文"/>
    <w:basedOn w:val="1"/>
    <w:link w:val="441"/>
    <w:qFormat/>
    <w:uiPriority w:val="0"/>
    <w:pPr>
      <w:spacing w:afterLines="50" w:line="460" w:lineRule="exact"/>
      <w:ind w:firstLine="200" w:firstLineChars="200"/>
    </w:pPr>
    <w:rPr>
      <w:rFonts w:ascii="宋体" w:hAnsi="宋体"/>
      <w:kern w:val="0"/>
      <w:sz w:val="28"/>
      <w:szCs w:val="20"/>
    </w:rPr>
  </w:style>
  <w:style w:type="character" w:customStyle="1" w:styleId="441">
    <w:name w:val="文 Char"/>
    <w:link w:val="440"/>
    <w:qFormat/>
    <w:uiPriority w:val="0"/>
    <w:rPr>
      <w:rFonts w:ascii="宋体" w:hAnsi="宋体"/>
      <w:sz w:val="28"/>
    </w:rPr>
  </w:style>
  <w:style w:type="paragraph" w:customStyle="1" w:styleId="442">
    <w:name w:val="正文 + 首行缩进:  2 字符"/>
    <w:basedOn w:val="1"/>
    <w:qFormat/>
    <w:uiPriority w:val="99"/>
    <w:pPr>
      <w:tabs>
        <w:tab w:val="left" w:pos="420"/>
        <w:tab w:val="left" w:pos="540"/>
      </w:tabs>
      <w:spacing w:line="360" w:lineRule="auto"/>
      <w:ind w:left="540" w:leftChars="86" w:hanging="359" w:hangingChars="171"/>
    </w:pPr>
    <w:rPr>
      <w:sz w:val="24"/>
      <w:szCs w:val="24"/>
    </w:rPr>
  </w:style>
  <w:style w:type="paragraph" w:customStyle="1" w:styleId="443">
    <w:name w:val="123标题下的小点"/>
    <w:basedOn w:val="1"/>
    <w:link w:val="444"/>
    <w:qFormat/>
    <w:uiPriority w:val="0"/>
    <w:pPr>
      <w:tabs>
        <w:tab w:val="left" w:pos="840"/>
      </w:tabs>
      <w:spacing w:line="360" w:lineRule="auto"/>
      <w:ind w:left="704" w:hanging="420" w:firstLineChars="200"/>
    </w:pPr>
    <w:rPr>
      <w:rFonts w:ascii="宋体" w:hAnsi="宋体"/>
      <w:kern w:val="0"/>
      <w:sz w:val="24"/>
      <w:szCs w:val="20"/>
      <w:lang w:eastAsia="en-US"/>
    </w:rPr>
  </w:style>
  <w:style w:type="character" w:customStyle="1" w:styleId="444">
    <w:name w:val="123标题下的小点 Char Char"/>
    <w:link w:val="443"/>
    <w:qFormat/>
    <w:uiPriority w:val="0"/>
    <w:rPr>
      <w:rFonts w:ascii="宋体" w:hAnsi="宋体"/>
      <w:sz w:val="24"/>
      <w:lang w:eastAsia="en-US"/>
    </w:rPr>
  </w:style>
  <w:style w:type="paragraph" w:customStyle="1" w:styleId="445">
    <w:name w:val="1）样式"/>
    <w:basedOn w:val="1"/>
    <w:link w:val="446"/>
    <w:qFormat/>
    <w:uiPriority w:val="0"/>
    <w:pPr>
      <w:spacing w:line="360" w:lineRule="auto"/>
      <w:ind w:left="900" w:hanging="420" w:firstLineChars="200"/>
    </w:pPr>
    <w:rPr>
      <w:sz w:val="24"/>
      <w:szCs w:val="24"/>
      <w:lang w:eastAsia="en-US"/>
    </w:rPr>
  </w:style>
  <w:style w:type="character" w:customStyle="1" w:styleId="446">
    <w:name w:val="1）样式 Char"/>
    <w:link w:val="445"/>
    <w:qFormat/>
    <w:uiPriority w:val="0"/>
    <w:rPr>
      <w:kern w:val="2"/>
      <w:sz w:val="24"/>
      <w:szCs w:val="24"/>
      <w:lang w:eastAsia="en-US"/>
    </w:rPr>
  </w:style>
  <w:style w:type="paragraph" w:customStyle="1" w:styleId="447">
    <w:name w:val="样式 标题 1first class Charfirst classTitle1H1章PIM 1h1卷标题Le..."/>
    <w:basedOn w:val="3"/>
    <w:qFormat/>
    <w:uiPriority w:val="99"/>
    <w:pPr>
      <w:tabs>
        <w:tab w:val="left" w:pos="840"/>
      </w:tabs>
      <w:spacing w:before="200" w:after="160" w:line="360" w:lineRule="auto"/>
      <w:ind w:left="840" w:hanging="420"/>
      <w:jc w:val="left"/>
    </w:pPr>
    <w:rPr>
      <w:rFonts w:hint="default" w:ascii="Arial" w:hAnsi="Arial" w:eastAsia="黑体"/>
      <w:b w:val="0"/>
      <w:bCs/>
      <w:color w:val="auto"/>
      <w:sz w:val="28"/>
      <w:szCs w:val="44"/>
      <w:lang w:eastAsia="en-US"/>
    </w:rPr>
  </w:style>
  <w:style w:type="paragraph" w:customStyle="1" w:styleId="448">
    <w:name w:val="带编号正文"/>
    <w:basedOn w:val="449"/>
    <w:qFormat/>
    <w:uiPriority w:val="99"/>
    <w:pPr>
      <w:tabs>
        <w:tab w:val="left" w:pos="739"/>
      </w:tabs>
      <w:ind w:left="739" w:firstLine="0" w:firstLineChars="0"/>
    </w:pPr>
    <w:rPr>
      <w:rFonts w:ascii="黑体" w:eastAsia="黑体"/>
      <w:sz w:val="21"/>
      <w:szCs w:val="21"/>
    </w:rPr>
  </w:style>
  <w:style w:type="paragraph" w:customStyle="1" w:styleId="449">
    <w:name w:val="标书正文"/>
    <w:basedOn w:val="1"/>
    <w:qFormat/>
    <w:uiPriority w:val="99"/>
    <w:pPr>
      <w:adjustRightInd w:val="0"/>
      <w:snapToGrid w:val="0"/>
      <w:spacing w:line="360" w:lineRule="auto"/>
      <w:ind w:firstLine="480" w:firstLineChars="200"/>
      <w:jc w:val="left"/>
    </w:pPr>
    <w:rPr>
      <w:sz w:val="24"/>
      <w:szCs w:val="24"/>
    </w:rPr>
  </w:style>
  <w:style w:type="paragraph" w:customStyle="1" w:styleId="450">
    <w:name w:val="技术报告小节标题"/>
    <w:basedOn w:val="1"/>
    <w:next w:val="400"/>
    <w:qFormat/>
    <w:uiPriority w:val="99"/>
    <w:pPr>
      <w:tabs>
        <w:tab w:val="left" w:pos="1080"/>
      </w:tabs>
      <w:spacing w:beforeLines="50" w:afterLines="50" w:line="440" w:lineRule="exact"/>
      <w:ind w:firstLine="200" w:firstLineChars="200"/>
      <w:outlineLvl w:val="2"/>
    </w:pPr>
    <w:rPr>
      <w:rFonts w:ascii="Arial" w:hAnsi="Arial" w:eastAsia="黑体" w:cs="Arial"/>
      <w:bCs/>
      <w:sz w:val="28"/>
      <w:szCs w:val="24"/>
    </w:rPr>
  </w:style>
  <w:style w:type="paragraph" w:customStyle="1" w:styleId="45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center"/>
    </w:pPr>
    <w:rPr>
      <w:rFonts w:ascii="宋体" w:hAnsi="宋体"/>
      <w:kern w:val="0"/>
      <w:sz w:val="24"/>
    </w:rPr>
  </w:style>
  <w:style w:type="paragraph" w:customStyle="1" w:styleId="452">
    <w:name w:val="中文正文"/>
    <w:basedOn w:val="1"/>
    <w:qFormat/>
    <w:uiPriority w:val="99"/>
    <w:pPr>
      <w:spacing w:beforeLines="50" w:afterLines="50" w:line="360" w:lineRule="auto"/>
      <w:ind w:firstLine="425" w:firstLineChars="200"/>
    </w:pPr>
    <w:rPr>
      <w:sz w:val="24"/>
      <w:szCs w:val="20"/>
    </w:rPr>
  </w:style>
  <w:style w:type="paragraph" w:customStyle="1" w:styleId="453">
    <w:name w:val="写作提示"/>
    <w:basedOn w:val="1"/>
    <w:qFormat/>
    <w:uiPriority w:val="99"/>
    <w:pPr>
      <w:spacing w:line="360" w:lineRule="auto"/>
      <w:ind w:firstLine="200" w:firstLineChars="200"/>
      <w:jc w:val="left"/>
    </w:pPr>
    <w:rPr>
      <w:i/>
      <w:color w:val="0000FF"/>
      <w:kern w:val="0"/>
      <w:sz w:val="24"/>
      <w:szCs w:val="20"/>
      <w:lang w:eastAsia="en-US"/>
    </w:rPr>
  </w:style>
  <w:style w:type="paragraph" w:customStyle="1" w:styleId="454">
    <w:name w:val="样式 首行缩进:  2 字符"/>
    <w:basedOn w:val="1"/>
    <w:qFormat/>
    <w:uiPriority w:val="0"/>
    <w:pPr>
      <w:spacing w:before="100" w:beforeAutospacing="1" w:after="100" w:afterAutospacing="1" w:line="360" w:lineRule="auto"/>
      <w:ind w:firstLine="480" w:firstLineChars="200"/>
    </w:pPr>
    <w:rPr>
      <w:sz w:val="24"/>
      <w:szCs w:val="20"/>
    </w:rPr>
  </w:style>
  <w:style w:type="paragraph" w:customStyle="1" w:styleId="455">
    <w:name w:val="正文（居中）"/>
    <w:basedOn w:val="1"/>
    <w:link w:val="456"/>
    <w:qFormat/>
    <w:uiPriority w:val="0"/>
    <w:pPr>
      <w:spacing w:beforeLines="50" w:afterLines="50" w:line="360" w:lineRule="auto"/>
      <w:ind w:firstLine="200" w:firstLineChars="200"/>
      <w:jc w:val="center"/>
    </w:pPr>
    <w:rPr>
      <w:sz w:val="24"/>
      <w:szCs w:val="24"/>
    </w:rPr>
  </w:style>
  <w:style w:type="character" w:customStyle="1" w:styleId="456">
    <w:name w:val="正文（居中） Char"/>
    <w:link w:val="455"/>
    <w:qFormat/>
    <w:uiPriority w:val="0"/>
    <w:rPr>
      <w:kern w:val="2"/>
      <w:sz w:val="24"/>
      <w:szCs w:val="24"/>
    </w:rPr>
  </w:style>
  <w:style w:type="paragraph" w:customStyle="1" w:styleId="457">
    <w:name w:val="点对点应答文字"/>
    <w:basedOn w:val="1"/>
    <w:qFormat/>
    <w:uiPriority w:val="99"/>
    <w:pPr>
      <w:spacing w:line="360" w:lineRule="auto"/>
      <w:ind w:firstLine="200" w:firstLineChars="200"/>
      <w:jc w:val="left"/>
    </w:pPr>
    <w:rPr>
      <w:i/>
      <w:color w:val="0000FF"/>
      <w:kern w:val="0"/>
      <w:sz w:val="24"/>
      <w:szCs w:val="20"/>
      <w:lang w:eastAsia="en-US"/>
    </w:rPr>
  </w:style>
  <w:style w:type="paragraph" w:customStyle="1" w:styleId="458">
    <w:name w:val="font8"/>
    <w:basedOn w:val="1"/>
    <w:qFormat/>
    <w:uiPriority w:val="99"/>
    <w:pPr>
      <w:widowControl/>
      <w:spacing w:before="100" w:beforeAutospacing="1" w:after="100" w:afterAutospacing="1" w:line="360" w:lineRule="auto"/>
      <w:ind w:firstLine="200" w:firstLineChars="200"/>
      <w:jc w:val="left"/>
    </w:pPr>
    <w:rPr>
      <w:kern w:val="0"/>
      <w:sz w:val="20"/>
      <w:szCs w:val="20"/>
    </w:rPr>
  </w:style>
  <w:style w:type="paragraph" w:customStyle="1" w:styleId="459">
    <w:name w:val="正文样式"/>
    <w:basedOn w:val="1"/>
    <w:qFormat/>
    <w:uiPriority w:val="99"/>
    <w:pPr>
      <w:spacing w:before="100" w:beforeAutospacing="1" w:after="100" w:afterAutospacing="1" w:line="360" w:lineRule="auto"/>
      <w:ind w:firstLine="480" w:firstLineChars="200"/>
    </w:pPr>
    <w:rPr>
      <w:sz w:val="24"/>
      <w:szCs w:val="24"/>
    </w:rPr>
  </w:style>
  <w:style w:type="paragraph" w:customStyle="1" w:styleId="460">
    <w:name w:val="示意图标题"/>
    <w:basedOn w:val="1"/>
    <w:qFormat/>
    <w:uiPriority w:val="99"/>
    <w:pPr>
      <w:spacing w:line="360" w:lineRule="auto"/>
      <w:ind w:firstLine="200" w:firstLineChars="200"/>
      <w:jc w:val="center"/>
    </w:pPr>
    <w:rPr>
      <w:rFonts w:eastAsia="黑体"/>
      <w:sz w:val="24"/>
      <w:szCs w:val="24"/>
    </w:rPr>
  </w:style>
  <w:style w:type="paragraph" w:customStyle="1" w:styleId="461">
    <w:name w:val="D正文"/>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62">
    <w:name w:val="xl24"/>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4"/>
    </w:rPr>
  </w:style>
  <w:style w:type="paragraph" w:customStyle="1" w:styleId="463">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4"/>
    </w:rPr>
  </w:style>
  <w:style w:type="paragraph" w:customStyle="1" w:styleId="464">
    <w:name w:val="一级大纲"/>
    <w:basedOn w:val="3"/>
    <w:next w:val="1"/>
    <w:qFormat/>
    <w:uiPriority w:val="99"/>
    <w:pPr>
      <w:tabs>
        <w:tab w:val="left" w:pos="360"/>
        <w:tab w:val="left" w:pos="616"/>
      </w:tabs>
      <w:spacing w:beforeLines="200" w:afterLines="200" w:line="360" w:lineRule="auto"/>
      <w:jc w:val="center"/>
    </w:pPr>
    <w:rPr>
      <w:rFonts w:hint="default" w:ascii="Arial" w:hAnsi="Arial" w:eastAsia="黑体"/>
      <w:color w:val="auto"/>
      <w:kern w:val="44"/>
      <w:sz w:val="44"/>
      <w:szCs w:val="36"/>
      <w:lang w:eastAsia="en-US"/>
    </w:rPr>
  </w:style>
  <w:style w:type="paragraph" w:customStyle="1" w:styleId="465">
    <w:name w:val="样式 样式 正文首行缩进 + (符号) 宋体 + 左侧:  2 字符 首行缩进:  2 字符"/>
    <w:basedOn w:val="1"/>
    <w:qFormat/>
    <w:uiPriority w:val="99"/>
    <w:pPr>
      <w:spacing w:line="360" w:lineRule="auto"/>
      <w:ind w:firstLine="200" w:firstLineChars="200"/>
      <w:jc w:val="left"/>
    </w:pPr>
    <w:rPr>
      <w:rFonts w:hAnsi="宋体" w:cs="宋体"/>
      <w:kern w:val="0"/>
      <w:sz w:val="24"/>
      <w:szCs w:val="20"/>
      <w:lang w:eastAsia="en-US"/>
    </w:rPr>
  </w:style>
  <w:style w:type="paragraph" w:customStyle="1" w:styleId="466">
    <w:name w:val="方框下的ABC标题"/>
    <w:basedOn w:val="1"/>
    <w:next w:val="1"/>
    <w:link w:val="467"/>
    <w:qFormat/>
    <w:uiPriority w:val="0"/>
    <w:pPr>
      <w:spacing w:line="360" w:lineRule="auto"/>
      <w:ind w:firstLine="200" w:firstLineChars="200"/>
    </w:pPr>
    <w:rPr>
      <w:rFonts w:hAnsi="宋体"/>
      <w:sz w:val="24"/>
      <w:szCs w:val="24"/>
    </w:rPr>
  </w:style>
  <w:style w:type="character" w:customStyle="1" w:styleId="467">
    <w:name w:val="方框下的ABC标题 Char"/>
    <w:link w:val="466"/>
    <w:qFormat/>
    <w:uiPriority w:val="0"/>
    <w:rPr>
      <w:rFonts w:hAnsi="宋体"/>
      <w:kern w:val="2"/>
      <w:sz w:val="24"/>
      <w:szCs w:val="24"/>
    </w:rPr>
  </w:style>
  <w:style w:type="paragraph" w:customStyle="1" w:styleId="468">
    <w:name w:val="album-div"/>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szCs w:val="24"/>
    </w:rPr>
  </w:style>
  <w:style w:type="paragraph" w:customStyle="1" w:styleId="469">
    <w:name w:val="正文文字缩进"/>
    <w:basedOn w:val="1"/>
    <w:next w:val="1"/>
    <w:qFormat/>
    <w:uiPriority w:val="99"/>
    <w:pPr>
      <w:autoSpaceDE w:val="0"/>
      <w:autoSpaceDN w:val="0"/>
      <w:adjustRightInd w:val="0"/>
      <w:spacing w:line="360" w:lineRule="auto"/>
      <w:ind w:firstLine="200" w:firstLineChars="200"/>
      <w:jc w:val="left"/>
    </w:pPr>
    <w:rPr>
      <w:kern w:val="0"/>
      <w:sz w:val="24"/>
      <w:szCs w:val="24"/>
    </w:rPr>
  </w:style>
  <w:style w:type="paragraph" w:customStyle="1" w:styleId="470">
    <w:name w:val="正文2 Char Char Char Char Char Char Char Char Char Char Char Char1 Char Char Char Char Char Char Char Char1 Char Char Char Char Char Char"/>
    <w:basedOn w:val="1"/>
    <w:qFormat/>
    <w:uiPriority w:val="99"/>
    <w:pPr>
      <w:widowControl/>
      <w:spacing w:line="400" w:lineRule="exact"/>
      <w:ind w:firstLine="200" w:firstLineChars="200"/>
      <w:jc w:val="center"/>
    </w:pPr>
    <w:rPr>
      <w:rFonts w:ascii="Verdana" w:hAnsi="Verdana"/>
      <w:kern w:val="0"/>
      <w:sz w:val="24"/>
      <w:szCs w:val="20"/>
      <w:lang w:eastAsia="en-US"/>
    </w:rPr>
  </w:style>
  <w:style w:type="paragraph" w:customStyle="1" w:styleId="471">
    <w:name w:val="样式 样式 A缩进正文 + (西文) 宋体 黑色 段前: 5 磅 段后: 5 磅 首行缩进:  2.18 字符 + 首行缩进: ..."/>
    <w:basedOn w:val="1"/>
    <w:qFormat/>
    <w:uiPriority w:val="99"/>
    <w:pPr>
      <w:tabs>
        <w:tab w:val="left" w:pos="480"/>
        <w:tab w:val="left" w:pos="960"/>
      </w:tabs>
      <w:adjustRightInd w:val="0"/>
      <w:snapToGrid w:val="0"/>
      <w:spacing w:afterLines="50" w:line="360" w:lineRule="auto"/>
      <w:ind w:firstLine="200" w:firstLineChars="200"/>
    </w:pPr>
    <w:rPr>
      <w:rFonts w:ascii="宋体" w:hAnsi="宋体"/>
      <w:snapToGrid w:val="0"/>
      <w:color w:val="000000"/>
      <w:kern w:val="0"/>
      <w:sz w:val="24"/>
      <w:szCs w:val="20"/>
    </w:rPr>
  </w:style>
  <w:style w:type="paragraph" w:customStyle="1" w:styleId="472">
    <w:name w:val="D4"/>
    <w:basedOn w:val="7"/>
    <w:link w:val="473"/>
    <w:semiHidden/>
    <w:qFormat/>
    <w:uiPriority w:val="0"/>
    <w:pPr>
      <w:keepLines/>
      <w:widowControl/>
      <w:tabs>
        <w:tab w:val="left" w:pos="360"/>
        <w:tab w:val="left" w:pos="1680"/>
      </w:tabs>
      <w:spacing w:before="280" w:after="290" w:line="376" w:lineRule="auto"/>
      <w:ind w:left="360" w:hanging="420"/>
    </w:pPr>
    <w:rPr>
      <w:rFonts w:ascii="Cambria" w:hAnsi="Cambria" w:cs="宋体"/>
      <w:kern w:val="0"/>
      <w:lang w:eastAsia="en-US" w:bidi="en-US"/>
    </w:rPr>
  </w:style>
  <w:style w:type="character" w:customStyle="1" w:styleId="473">
    <w:name w:val="D4 Char"/>
    <w:link w:val="472"/>
    <w:semiHidden/>
    <w:qFormat/>
    <w:uiPriority w:val="0"/>
    <w:rPr>
      <w:rFonts w:ascii="Cambria" w:hAnsi="Cambria" w:cs="宋体"/>
      <w:b/>
      <w:bCs/>
      <w:sz w:val="28"/>
      <w:szCs w:val="28"/>
      <w:lang w:eastAsia="en-US" w:bidi="en-US"/>
    </w:rPr>
  </w:style>
  <w:style w:type="paragraph" w:customStyle="1" w:styleId="474">
    <w:name w:val="样式 标题 3SUR-需求定义-第3级H3l3CTTitle3h3MapH313rd levelHeadin..."/>
    <w:basedOn w:val="5"/>
    <w:qFormat/>
    <w:uiPriority w:val="99"/>
    <w:pPr>
      <w:tabs>
        <w:tab w:val="left" w:pos="2160"/>
      </w:tabs>
      <w:spacing w:before="160" w:after="120" w:line="360" w:lineRule="auto"/>
      <w:ind w:left="2160" w:hanging="360"/>
      <w:jc w:val="left"/>
    </w:pPr>
    <w:rPr>
      <w:rFonts w:ascii="Arial" w:hAnsi="Arial" w:eastAsia="黑体"/>
      <w:b w:val="0"/>
      <w:bCs w:val="0"/>
      <w:kern w:val="0"/>
      <w:sz w:val="28"/>
      <w:szCs w:val="28"/>
      <w:lang w:eastAsia="en-US"/>
    </w:rPr>
  </w:style>
  <w:style w:type="paragraph" w:customStyle="1" w:styleId="475">
    <w:name w:val="ABC标题下的小点"/>
    <w:basedOn w:val="1"/>
    <w:link w:val="476"/>
    <w:qFormat/>
    <w:uiPriority w:val="0"/>
    <w:pPr>
      <w:tabs>
        <w:tab w:val="left" w:pos="1260"/>
      </w:tabs>
      <w:spacing w:line="360" w:lineRule="auto"/>
      <w:ind w:left="1260" w:hanging="420" w:firstLineChars="200"/>
    </w:pPr>
    <w:rPr>
      <w:rFonts w:ascii="宋体" w:hAnsi="宋体"/>
      <w:kern w:val="0"/>
      <w:sz w:val="24"/>
      <w:szCs w:val="20"/>
    </w:rPr>
  </w:style>
  <w:style w:type="character" w:customStyle="1" w:styleId="476">
    <w:name w:val="ABC标题下的小点 Char"/>
    <w:link w:val="475"/>
    <w:qFormat/>
    <w:uiPriority w:val="0"/>
    <w:rPr>
      <w:rFonts w:ascii="宋体" w:hAnsi="宋体"/>
      <w:sz w:val="24"/>
    </w:rPr>
  </w:style>
  <w:style w:type="paragraph" w:customStyle="1" w:styleId="477">
    <w:name w:val="样式 标题 2 + 非加粗"/>
    <w:basedOn w:val="4"/>
    <w:qFormat/>
    <w:uiPriority w:val="99"/>
    <w:pPr>
      <w:widowControl w:val="0"/>
      <w:tabs>
        <w:tab w:val="left" w:pos="525"/>
        <w:tab w:val="left" w:pos="1262"/>
      </w:tabs>
      <w:ind w:left="1262" w:hanging="420"/>
      <w:jc w:val="both"/>
    </w:pPr>
    <w:rPr>
      <w:b w:val="0"/>
      <w:bCs w:val="0"/>
      <w:kern w:val="0"/>
      <w:sz w:val="24"/>
    </w:rPr>
  </w:style>
  <w:style w:type="paragraph" w:customStyle="1" w:styleId="478">
    <w:name w:val="样式 标题 4标题 4 CharChar Char CharChar Char1bullet Char1bl Char..."/>
    <w:basedOn w:val="7"/>
    <w:link w:val="479"/>
    <w:qFormat/>
    <w:uiPriority w:val="0"/>
    <w:pPr>
      <w:keepLines/>
      <w:tabs>
        <w:tab w:val="left" w:pos="2880"/>
      </w:tabs>
      <w:spacing w:before="160" w:after="120"/>
      <w:ind w:left="2880" w:hanging="360"/>
    </w:pPr>
    <w:rPr>
      <w:rFonts w:ascii="Arial" w:hAnsi="Arial" w:eastAsia="黑体" w:cs="Times New Roman"/>
      <w:kern w:val="0"/>
      <w:sz w:val="24"/>
      <w:szCs w:val="24"/>
      <w:lang w:eastAsia="en-US"/>
    </w:rPr>
  </w:style>
  <w:style w:type="character" w:customStyle="1" w:styleId="479">
    <w:name w:val="样式 标题 4标题 4 CharChar Char CharChar Char1bullet Char1bl Char... Char"/>
    <w:link w:val="478"/>
    <w:qFormat/>
    <w:uiPriority w:val="0"/>
    <w:rPr>
      <w:rFonts w:ascii="Arial" w:hAnsi="Arial" w:eastAsia="黑体"/>
      <w:b/>
      <w:bCs/>
      <w:sz w:val="24"/>
      <w:szCs w:val="24"/>
      <w:lang w:eastAsia="en-US"/>
    </w:rPr>
  </w:style>
  <w:style w:type="paragraph" w:customStyle="1" w:styleId="480">
    <w:name w:val="样式 A缩进正文 + (西文) 宋体 黑色 首行缩进:  2.18 字符"/>
    <w:basedOn w:val="386"/>
    <w:qFormat/>
    <w:uiPriority w:val="99"/>
    <w:pPr>
      <w:tabs>
        <w:tab w:val="left" w:pos="480"/>
        <w:tab w:val="left" w:pos="960"/>
      </w:tabs>
      <w:spacing w:line="360" w:lineRule="auto"/>
      <w:ind w:firstLine="523" w:firstLineChars="218"/>
    </w:pPr>
    <w:rPr>
      <w:rFonts w:ascii="宋体" w:hAnsi="宋体"/>
      <w:color w:val="000000"/>
    </w:rPr>
  </w:style>
  <w:style w:type="paragraph" w:customStyle="1" w:styleId="481">
    <w:name w:val="正文（小标题）"/>
    <w:basedOn w:val="1"/>
    <w:next w:val="1"/>
    <w:link w:val="482"/>
    <w:qFormat/>
    <w:uiPriority w:val="0"/>
    <w:pPr>
      <w:spacing w:beforeLines="50" w:afterLines="50" w:line="360" w:lineRule="auto"/>
      <w:ind w:firstLine="200" w:firstLineChars="200"/>
    </w:pPr>
    <w:rPr>
      <w:rFonts w:ascii="黑体" w:eastAsia="黑体"/>
      <w:color w:val="0000FF"/>
      <w:sz w:val="24"/>
      <w:szCs w:val="24"/>
    </w:rPr>
  </w:style>
  <w:style w:type="character" w:customStyle="1" w:styleId="482">
    <w:name w:val="正文（小标题） Char"/>
    <w:link w:val="481"/>
    <w:qFormat/>
    <w:uiPriority w:val="0"/>
    <w:rPr>
      <w:rFonts w:ascii="黑体" w:eastAsia="黑体"/>
      <w:color w:val="0000FF"/>
      <w:kern w:val="2"/>
      <w:sz w:val="24"/>
      <w:szCs w:val="24"/>
    </w:rPr>
  </w:style>
  <w:style w:type="paragraph" w:customStyle="1" w:styleId="483">
    <w:name w:val="正文（标记）"/>
    <w:basedOn w:val="1"/>
    <w:link w:val="484"/>
    <w:qFormat/>
    <w:uiPriority w:val="0"/>
    <w:pPr>
      <w:tabs>
        <w:tab w:val="left" w:pos="840"/>
      </w:tabs>
      <w:spacing w:beforeLines="50" w:afterLines="50" w:line="360" w:lineRule="auto"/>
      <w:ind w:left="840" w:hanging="420" w:firstLineChars="200"/>
    </w:pPr>
    <w:rPr>
      <w:sz w:val="24"/>
      <w:szCs w:val="24"/>
    </w:rPr>
  </w:style>
  <w:style w:type="character" w:customStyle="1" w:styleId="484">
    <w:name w:val="正文（标记） Char2"/>
    <w:link w:val="483"/>
    <w:qFormat/>
    <w:uiPriority w:val="0"/>
    <w:rPr>
      <w:kern w:val="2"/>
      <w:sz w:val="24"/>
      <w:szCs w:val="24"/>
    </w:rPr>
  </w:style>
  <w:style w:type="paragraph" w:customStyle="1" w:styleId="485">
    <w:name w:val="SUR-方框标题"/>
    <w:basedOn w:val="1"/>
    <w:next w:val="1"/>
    <w:link w:val="486"/>
    <w:qFormat/>
    <w:uiPriority w:val="0"/>
    <w:pPr>
      <w:tabs>
        <w:tab w:val="left" w:pos="420"/>
      </w:tabs>
      <w:autoSpaceDE w:val="0"/>
      <w:autoSpaceDN w:val="0"/>
      <w:adjustRightInd w:val="0"/>
      <w:spacing w:line="360" w:lineRule="auto"/>
      <w:ind w:left="420" w:hanging="420" w:firstLineChars="200"/>
    </w:pPr>
    <w:rPr>
      <w:rFonts w:eastAsia="黑体"/>
      <w:sz w:val="24"/>
      <w:szCs w:val="24"/>
    </w:rPr>
  </w:style>
  <w:style w:type="character" w:customStyle="1" w:styleId="486">
    <w:name w:val="SUR-方框标题 Char"/>
    <w:link w:val="485"/>
    <w:qFormat/>
    <w:uiPriority w:val="0"/>
    <w:rPr>
      <w:rFonts w:eastAsia="黑体"/>
      <w:kern w:val="2"/>
      <w:sz w:val="24"/>
      <w:szCs w:val="24"/>
    </w:rPr>
  </w:style>
  <w:style w:type="paragraph" w:customStyle="1" w:styleId="487">
    <w:name w:val="Q0"/>
    <w:basedOn w:val="337"/>
    <w:qFormat/>
    <w:uiPriority w:val="99"/>
    <w:pPr>
      <w:tabs>
        <w:tab w:val="left" w:pos="360"/>
        <w:tab w:val="left" w:pos="420"/>
        <w:tab w:val="left" w:pos="851"/>
        <w:tab w:val="left" w:pos="929"/>
      </w:tabs>
      <w:spacing w:beforeLines="50" w:afterLines="50"/>
      <w:ind w:firstLine="0" w:firstLineChars="0"/>
    </w:pPr>
  </w:style>
  <w:style w:type="paragraph" w:customStyle="1" w:styleId="488">
    <w:name w:val="Char Char Char1"/>
    <w:basedOn w:val="1"/>
    <w:qFormat/>
    <w:uiPriority w:val="99"/>
    <w:pPr>
      <w:spacing w:line="360" w:lineRule="auto"/>
      <w:ind w:firstLine="200" w:firstLineChars="200"/>
    </w:pPr>
    <w:rPr>
      <w:rFonts w:ascii="Tahoma" w:hAnsi="Tahoma"/>
      <w:sz w:val="24"/>
      <w:szCs w:val="20"/>
    </w:rPr>
  </w:style>
  <w:style w:type="paragraph" w:customStyle="1" w:styleId="489">
    <w:name w:val="xl32"/>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color w:val="FF0000"/>
      <w:kern w:val="0"/>
      <w:sz w:val="24"/>
    </w:rPr>
  </w:style>
  <w:style w:type="paragraph" w:customStyle="1" w:styleId="490">
    <w:name w:val="样式目录三"/>
    <w:basedOn w:val="33"/>
    <w:qFormat/>
    <w:uiPriority w:val="99"/>
    <w:pPr>
      <w:tabs>
        <w:tab w:val="left" w:pos="851"/>
        <w:tab w:val="right" w:leader="dot" w:pos="9402"/>
      </w:tabs>
      <w:ind w:left="0" w:leftChars="0" w:firstLine="86" w:firstLineChars="43"/>
    </w:pPr>
    <w:rPr>
      <w:rFonts w:ascii="Calibri" w:hAnsi="Calibri" w:cstheme="minorHAnsi"/>
      <w:iCs/>
      <w:smallCaps w:val="0"/>
      <w:sz w:val="20"/>
    </w:rPr>
  </w:style>
  <w:style w:type="paragraph" w:customStyle="1" w:styleId="491">
    <w:name w:val="1d"/>
    <w:basedOn w:val="1"/>
    <w:qFormat/>
    <w:uiPriority w:val="99"/>
    <w:pPr>
      <w:spacing w:line="360" w:lineRule="auto"/>
      <w:ind w:left="420" w:leftChars="200" w:firstLine="420" w:firstLineChars="200"/>
    </w:pPr>
    <w:rPr>
      <w:rFonts w:ascii="宋体" w:hAnsi="宋体"/>
      <w:sz w:val="24"/>
      <w:szCs w:val="24"/>
    </w:rPr>
  </w:style>
  <w:style w:type="paragraph" w:customStyle="1" w:styleId="492">
    <w:name w:val="SUR-方框下的ABC标题"/>
    <w:basedOn w:val="1"/>
    <w:next w:val="1"/>
    <w:link w:val="493"/>
    <w:qFormat/>
    <w:uiPriority w:val="0"/>
    <w:pPr>
      <w:tabs>
        <w:tab w:val="left" w:pos="720"/>
      </w:tabs>
      <w:spacing w:line="360" w:lineRule="auto"/>
      <w:ind w:left="720" w:hanging="360" w:firstLineChars="200"/>
    </w:pPr>
    <w:rPr>
      <w:rFonts w:hAnsi="宋体"/>
      <w:sz w:val="24"/>
      <w:szCs w:val="24"/>
    </w:rPr>
  </w:style>
  <w:style w:type="character" w:customStyle="1" w:styleId="493">
    <w:name w:val="SUR-方框下的ABC标题 Char"/>
    <w:link w:val="492"/>
    <w:qFormat/>
    <w:uiPriority w:val="0"/>
    <w:rPr>
      <w:rFonts w:hAnsi="宋体"/>
      <w:kern w:val="2"/>
      <w:sz w:val="24"/>
      <w:szCs w:val="24"/>
    </w:rPr>
  </w:style>
  <w:style w:type="paragraph" w:customStyle="1" w:styleId="494">
    <w:name w:val="Char3"/>
    <w:basedOn w:val="1"/>
    <w:qFormat/>
    <w:uiPriority w:val="99"/>
    <w:pPr>
      <w:spacing w:line="360" w:lineRule="auto"/>
      <w:ind w:firstLine="200" w:firstLineChars="200"/>
    </w:pPr>
    <w:rPr>
      <w:rFonts w:ascii="宋体"/>
      <w:kern w:val="0"/>
      <w:sz w:val="34"/>
      <w:szCs w:val="20"/>
    </w:rPr>
  </w:style>
  <w:style w:type="paragraph" w:customStyle="1" w:styleId="495">
    <w:name w:val="SUR-需求定义-第4级"/>
    <w:basedOn w:val="7"/>
    <w:next w:val="1"/>
    <w:link w:val="496"/>
    <w:qFormat/>
    <w:uiPriority w:val="0"/>
    <w:pPr>
      <w:keepLines/>
      <w:tabs>
        <w:tab w:val="left" w:pos="1080"/>
      </w:tabs>
      <w:spacing w:before="0" w:after="0"/>
      <w:ind w:left="-283" w:firstLine="283"/>
    </w:pPr>
    <w:rPr>
      <w:rFonts w:ascii="Arial" w:hAnsi="Arial" w:eastAsia="黑体" w:cs="Times New Roman"/>
      <w:b w:val="0"/>
      <w:sz w:val="24"/>
      <w:szCs w:val="24"/>
    </w:rPr>
  </w:style>
  <w:style w:type="character" w:customStyle="1" w:styleId="496">
    <w:name w:val="SUR-需求定义-第4级 Char Char1"/>
    <w:link w:val="495"/>
    <w:qFormat/>
    <w:uiPriority w:val="0"/>
    <w:rPr>
      <w:rFonts w:ascii="Arial" w:hAnsi="Arial" w:eastAsia="黑体"/>
      <w:bCs/>
      <w:kern w:val="2"/>
      <w:sz w:val="24"/>
      <w:szCs w:val="24"/>
    </w:rPr>
  </w:style>
  <w:style w:type="paragraph" w:customStyle="1" w:styleId="497">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宋体" w:hAnsi="宋体"/>
      <w:kern w:val="0"/>
      <w:sz w:val="24"/>
    </w:rPr>
  </w:style>
  <w:style w:type="paragraph" w:customStyle="1" w:styleId="498">
    <w:name w:val="技术报告图标题"/>
    <w:basedOn w:val="400"/>
    <w:next w:val="400"/>
    <w:qFormat/>
    <w:uiPriority w:val="99"/>
    <w:pPr>
      <w:tabs>
        <w:tab w:val="left" w:pos="1008"/>
      </w:tabs>
      <w:spacing w:before="156"/>
      <w:ind w:left="1008" w:hanging="1008" w:firstLineChars="0"/>
      <w:jc w:val="center"/>
    </w:pPr>
    <w:rPr>
      <w:rFonts w:ascii="楷体_GB2312" w:eastAsia="楷体_GB2312"/>
      <w:b/>
    </w:rPr>
  </w:style>
  <w:style w:type="paragraph" w:customStyle="1" w:styleId="499">
    <w:name w:val="contentlabel"/>
    <w:basedOn w:val="1"/>
    <w:qFormat/>
    <w:uiPriority w:val="99"/>
    <w:pPr>
      <w:widowControl/>
      <w:spacing w:before="30" w:after="100" w:afterAutospacing="1" w:line="360" w:lineRule="auto"/>
      <w:ind w:left="90" w:firstLine="200" w:firstLineChars="200"/>
      <w:jc w:val="left"/>
    </w:pPr>
    <w:rPr>
      <w:rFonts w:ascii="宋体" w:hAnsi="宋体" w:cs="宋体"/>
      <w:color w:val="336666"/>
      <w:kern w:val="0"/>
      <w:sz w:val="18"/>
      <w:szCs w:val="18"/>
    </w:rPr>
  </w:style>
  <w:style w:type="paragraph" w:customStyle="1" w:styleId="500">
    <w:name w:val="SUR-需求定义-第1级"/>
    <w:basedOn w:val="3"/>
    <w:next w:val="1"/>
    <w:qFormat/>
    <w:uiPriority w:val="99"/>
    <w:pPr>
      <w:tabs>
        <w:tab w:val="left" w:pos="360"/>
        <w:tab w:val="left" w:pos="616"/>
      </w:tabs>
      <w:spacing w:beforeLines="200" w:afterLines="200" w:line="360" w:lineRule="auto"/>
      <w:jc w:val="center"/>
    </w:pPr>
    <w:rPr>
      <w:rFonts w:hint="default" w:ascii="Arial" w:hAnsi="Arial" w:eastAsia="黑体"/>
      <w:b w:val="0"/>
      <w:color w:val="auto"/>
      <w:kern w:val="44"/>
      <w:sz w:val="44"/>
      <w:szCs w:val="36"/>
      <w:lang w:eastAsia="en-US"/>
    </w:rPr>
  </w:style>
  <w:style w:type="paragraph" w:customStyle="1" w:styleId="501">
    <w:name w:val="xl39"/>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2"/>
      <w:szCs w:val="22"/>
    </w:rPr>
  </w:style>
  <w:style w:type="paragraph" w:customStyle="1" w:styleId="502">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center"/>
    </w:pPr>
    <w:rPr>
      <w:rFonts w:ascii="宋体" w:hAnsi="宋体"/>
      <w:kern w:val="0"/>
      <w:sz w:val="20"/>
      <w:szCs w:val="20"/>
    </w:rPr>
  </w:style>
  <w:style w:type="paragraph" w:customStyle="1" w:styleId="503">
    <w:name w:val="表格"/>
    <w:basedOn w:val="1"/>
    <w:qFormat/>
    <w:uiPriority w:val="99"/>
    <w:pPr>
      <w:widowControl/>
      <w:spacing w:line="360" w:lineRule="auto"/>
      <w:ind w:firstLine="200" w:firstLineChars="200"/>
      <w:jc w:val="center"/>
    </w:pPr>
    <w:rPr>
      <w:rFonts w:ascii="宋体" w:cs="宋体"/>
      <w:bCs/>
      <w:kern w:val="0"/>
      <w:sz w:val="24"/>
      <w:szCs w:val="24"/>
    </w:rPr>
  </w:style>
  <w:style w:type="paragraph" w:customStyle="1" w:styleId="504">
    <w:name w:val="居中"/>
    <w:basedOn w:val="1"/>
    <w:qFormat/>
    <w:uiPriority w:val="99"/>
    <w:pPr>
      <w:widowControl/>
      <w:spacing w:line="360" w:lineRule="auto"/>
      <w:ind w:left="482" w:firstLine="200" w:firstLineChars="200"/>
      <w:jc w:val="center"/>
    </w:pPr>
    <w:rPr>
      <w:rFonts w:ascii="宋体" w:hAnsi="宋体" w:cs="宋体"/>
      <w:kern w:val="0"/>
      <w:sz w:val="24"/>
      <w:szCs w:val="24"/>
    </w:rPr>
  </w:style>
  <w:style w:type="paragraph" w:customStyle="1" w:styleId="505">
    <w:name w:val="123标题下的小点 Char Char Char Char Char"/>
    <w:basedOn w:val="1"/>
    <w:link w:val="506"/>
    <w:qFormat/>
    <w:uiPriority w:val="0"/>
    <w:pPr>
      <w:tabs>
        <w:tab w:val="left" w:pos="1260"/>
      </w:tabs>
      <w:spacing w:line="360" w:lineRule="auto"/>
      <w:ind w:left="1260" w:hanging="420" w:firstLineChars="200"/>
    </w:pPr>
    <w:rPr>
      <w:rFonts w:ascii="宋体" w:hAnsi="宋体"/>
      <w:kern w:val="0"/>
      <w:sz w:val="24"/>
      <w:szCs w:val="20"/>
    </w:rPr>
  </w:style>
  <w:style w:type="character" w:customStyle="1" w:styleId="506">
    <w:name w:val="123标题下的小点 Char Char Char Char Char Char"/>
    <w:link w:val="505"/>
    <w:qFormat/>
    <w:uiPriority w:val="0"/>
    <w:rPr>
      <w:rFonts w:ascii="宋体" w:hAnsi="宋体"/>
      <w:sz w:val="24"/>
    </w:rPr>
  </w:style>
  <w:style w:type="paragraph" w:customStyle="1" w:styleId="507">
    <w:name w:val="标题 3 + 行距: 多倍行距 1.73 字行"/>
    <w:basedOn w:val="5"/>
    <w:qFormat/>
    <w:uiPriority w:val="99"/>
    <w:pPr>
      <w:widowControl/>
      <w:tabs>
        <w:tab w:val="left" w:pos="420"/>
      </w:tabs>
      <w:spacing w:before="0" w:after="0" w:line="360" w:lineRule="auto"/>
      <w:ind w:left="420" w:hanging="420"/>
      <w:outlineLvl w:val="3"/>
    </w:pPr>
    <w:rPr>
      <w:rFonts w:ascii="黑体" w:hAnsi="宋体" w:eastAsia="黑体" w:cs="宋体"/>
      <w:b w:val="0"/>
      <w:kern w:val="0"/>
      <w:sz w:val="21"/>
      <w:szCs w:val="21"/>
      <w:lang w:eastAsia="en-US"/>
    </w:rPr>
  </w:style>
  <w:style w:type="paragraph" w:customStyle="1" w:styleId="508">
    <w:name w:val="中等深浅网格 1 - 强调文字颜色 21"/>
    <w:basedOn w:val="1"/>
    <w:qFormat/>
    <w:uiPriority w:val="34"/>
    <w:pPr>
      <w:spacing w:line="360" w:lineRule="auto"/>
      <w:ind w:firstLine="420" w:firstLineChars="200"/>
    </w:pPr>
    <w:rPr>
      <w:rFonts w:ascii="Calibri" w:hAnsi="Calibri"/>
      <w:sz w:val="24"/>
      <w:szCs w:val="22"/>
    </w:rPr>
  </w:style>
  <w:style w:type="paragraph" w:customStyle="1" w:styleId="509">
    <w:name w:val="技术报告章标题"/>
    <w:basedOn w:val="1"/>
    <w:next w:val="510"/>
    <w:qFormat/>
    <w:uiPriority w:val="99"/>
    <w:pPr>
      <w:pageBreakBefore/>
      <w:spacing w:beforeLines="200" w:afterLines="50" w:line="440" w:lineRule="exact"/>
      <w:ind w:firstLine="200" w:firstLineChars="200"/>
      <w:jc w:val="center"/>
      <w:outlineLvl w:val="0"/>
    </w:pPr>
    <w:rPr>
      <w:rFonts w:ascii="Arial" w:hAnsi="Arial" w:eastAsia="黑体"/>
      <w:sz w:val="36"/>
      <w:szCs w:val="24"/>
    </w:rPr>
  </w:style>
  <w:style w:type="paragraph" w:customStyle="1" w:styleId="510">
    <w:name w:val="技术报告节标题"/>
    <w:basedOn w:val="1"/>
    <w:next w:val="450"/>
    <w:qFormat/>
    <w:uiPriority w:val="99"/>
    <w:pPr>
      <w:spacing w:beforeLines="50" w:afterLines="50" w:line="440" w:lineRule="exact"/>
      <w:ind w:firstLine="200" w:firstLineChars="200"/>
      <w:outlineLvl w:val="0"/>
    </w:pPr>
    <w:rPr>
      <w:rFonts w:ascii="Arial" w:hAnsi="Arial" w:eastAsia="黑体" w:cs="Arial"/>
      <w:sz w:val="30"/>
      <w:szCs w:val="24"/>
    </w:rPr>
  </w:style>
  <w:style w:type="paragraph" w:customStyle="1" w:styleId="511">
    <w:name w:val="CM24"/>
    <w:basedOn w:val="172"/>
    <w:next w:val="172"/>
    <w:qFormat/>
    <w:uiPriority w:val="99"/>
    <w:pPr>
      <w:widowControl/>
      <w:spacing w:after="478"/>
    </w:pPr>
    <w:rPr>
      <w:rFonts w:ascii="宋体" w:hAnsi="宋体" w:eastAsia="宋体" w:cs="Times New Roman"/>
      <w:color w:val="auto"/>
    </w:rPr>
  </w:style>
  <w:style w:type="paragraph" w:customStyle="1" w:styleId="512">
    <w:name w:val="一级"/>
    <w:basedOn w:val="1"/>
    <w:qFormat/>
    <w:uiPriority w:val="99"/>
    <w:pPr>
      <w:spacing w:beforeLines="50" w:afterLines="100" w:line="460" w:lineRule="exact"/>
      <w:ind w:firstLine="200" w:firstLineChars="200"/>
      <w:jc w:val="center"/>
    </w:pPr>
    <w:rPr>
      <w:rFonts w:eastAsia="黑体"/>
      <w:sz w:val="32"/>
      <w:szCs w:val="20"/>
    </w:rPr>
  </w:style>
  <w:style w:type="paragraph" w:customStyle="1" w:styleId="513">
    <w:name w:val="样式 普通(网站) + 仿宋_GB2312 三号 段前: 自动 段后: 自动"/>
    <w:basedOn w:val="55"/>
    <w:qFormat/>
    <w:uiPriority w:val="99"/>
    <w:pPr>
      <w:spacing w:before="0" w:after="0"/>
      <w:ind w:firstLine="640" w:firstLineChars="200"/>
    </w:pPr>
    <w:rPr>
      <w:rFonts w:ascii="仿宋_GB2312" w:hAnsi="仿宋_GB2312" w:eastAsia="仿宋_GB2312"/>
      <w:sz w:val="28"/>
      <w:szCs w:val="20"/>
    </w:rPr>
  </w:style>
  <w:style w:type="paragraph" w:customStyle="1" w:styleId="514">
    <w:name w:val="Char1 Char Char Char"/>
    <w:basedOn w:val="1"/>
    <w:qFormat/>
    <w:uiPriority w:val="0"/>
    <w:pPr>
      <w:tabs>
        <w:tab w:val="left" w:pos="2701"/>
      </w:tabs>
      <w:spacing w:line="360" w:lineRule="auto"/>
      <w:ind w:left="2701" w:hanging="432" w:firstLineChars="200"/>
    </w:pPr>
    <w:rPr>
      <w:sz w:val="24"/>
      <w:szCs w:val="24"/>
    </w:rPr>
  </w:style>
  <w:style w:type="paragraph" w:customStyle="1" w:styleId="515">
    <w:name w:val="正文段落"/>
    <w:basedOn w:val="1"/>
    <w:qFormat/>
    <w:uiPriority w:val="99"/>
    <w:pPr>
      <w:adjustRightInd w:val="0"/>
      <w:snapToGrid w:val="0"/>
      <w:spacing w:line="420" w:lineRule="atLeast"/>
      <w:ind w:firstLine="200" w:firstLineChars="200"/>
    </w:pPr>
    <w:rPr>
      <w:sz w:val="24"/>
      <w:szCs w:val="24"/>
    </w:rPr>
  </w:style>
  <w:style w:type="paragraph" w:customStyle="1" w:styleId="516">
    <w:name w:val="样式10"/>
    <w:basedOn w:val="1"/>
    <w:link w:val="517"/>
    <w:qFormat/>
    <w:uiPriority w:val="0"/>
    <w:pPr>
      <w:spacing w:line="360" w:lineRule="auto"/>
      <w:ind w:firstLine="200" w:firstLineChars="200"/>
      <w:jc w:val="left"/>
    </w:pPr>
    <w:rPr>
      <w:rFonts w:ascii="宋体" w:hAnsi="宋体"/>
      <w:sz w:val="24"/>
      <w:szCs w:val="24"/>
      <w:lang w:eastAsia="en-US"/>
    </w:rPr>
  </w:style>
  <w:style w:type="character" w:customStyle="1" w:styleId="517">
    <w:name w:val="样式10 Char"/>
    <w:link w:val="516"/>
    <w:qFormat/>
    <w:uiPriority w:val="0"/>
    <w:rPr>
      <w:rFonts w:ascii="宋体" w:hAnsi="宋体"/>
      <w:kern w:val="2"/>
      <w:sz w:val="24"/>
      <w:szCs w:val="24"/>
      <w:lang w:eastAsia="en-US"/>
    </w:rPr>
  </w:style>
  <w:style w:type="paragraph" w:customStyle="1" w:styleId="518">
    <w:name w:val="스타일2"/>
    <w:basedOn w:val="1"/>
    <w:qFormat/>
    <w:uiPriority w:val="99"/>
    <w:pPr>
      <w:wordWrap w:val="0"/>
      <w:autoSpaceDE w:val="0"/>
      <w:autoSpaceDN w:val="0"/>
      <w:spacing w:line="120" w:lineRule="auto"/>
      <w:ind w:left="1257" w:leftChars="453" w:hanging="170" w:hangingChars="47"/>
    </w:pPr>
    <w:rPr>
      <w:rFonts w:ascii="宋体" w:hAnsi="宋体"/>
      <w:b/>
      <w:bCs/>
      <w:sz w:val="52"/>
      <w:szCs w:val="32"/>
    </w:rPr>
  </w:style>
  <w:style w:type="paragraph" w:customStyle="1" w:styleId="519">
    <w:name w:val="居 中"/>
    <w:basedOn w:val="1"/>
    <w:link w:val="520"/>
    <w:qFormat/>
    <w:uiPriority w:val="0"/>
    <w:pPr>
      <w:spacing w:line="360" w:lineRule="auto"/>
      <w:ind w:firstLine="420" w:firstLineChars="200"/>
      <w:jc w:val="center"/>
    </w:pPr>
    <w:rPr>
      <w:sz w:val="22"/>
      <w:szCs w:val="24"/>
      <w:lang w:eastAsia="en-US"/>
    </w:rPr>
  </w:style>
  <w:style w:type="character" w:customStyle="1" w:styleId="520">
    <w:name w:val="居 中 Char"/>
    <w:link w:val="519"/>
    <w:qFormat/>
    <w:uiPriority w:val="0"/>
    <w:rPr>
      <w:kern w:val="2"/>
      <w:sz w:val="22"/>
      <w:szCs w:val="24"/>
      <w:lang w:eastAsia="en-US"/>
    </w:rPr>
  </w:style>
  <w:style w:type="paragraph" w:customStyle="1" w:styleId="521">
    <w:name w:val="KX正文"/>
    <w:basedOn w:val="1"/>
    <w:qFormat/>
    <w:uiPriority w:val="99"/>
    <w:pPr>
      <w:spacing w:line="440" w:lineRule="exact"/>
      <w:ind w:firstLine="200" w:firstLineChars="200"/>
      <w:jc w:val="left"/>
    </w:pPr>
    <w:rPr>
      <w:rFonts w:ascii="仿宋_GB2312" w:eastAsia="仿宋_GB2312"/>
      <w:kern w:val="0"/>
      <w:sz w:val="28"/>
      <w:szCs w:val="20"/>
    </w:rPr>
  </w:style>
  <w:style w:type="paragraph" w:customStyle="1" w:styleId="522">
    <w:name w:val="CM25"/>
    <w:basedOn w:val="172"/>
    <w:next w:val="172"/>
    <w:qFormat/>
    <w:uiPriority w:val="99"/>
    <w:pPr>
      <w:widowControl/>
      <w:spacing w:after="198"/>
    </w:pPr>
    <w:rPr>
      <w:rFonts w:ascii="宋体" w:hAnsi="宋体" w:eastAsia="宋体" w:cs="Times New Roman"/>
      <w:color w:val="auto"/>
    </w:rPr>
  </w:style>
  <w:style w:type="paragraph" w:customStyle="1" w:styleId="523">
    <w:name w:val="无缩进正文"/>
    <w:basedOn w:val="1"/>
    <w:qFormat/>
    <w:uiPriority w:val="99"/>
    <w:pPr>
      <w:spacing w:line="360" w:lineRule="auto"/>
      <w:ind w:firstLine="200" w:firstLineChars="200"/>
      <w:jc w:val="left"/>
    </w:pPr>
    <w:rPr>
      <w:sz w:val="22"/>
      <w:szCs w:val="24"/>
    </w:rPr>
  </w:style>
  <w:style w:type="paragraph" w:customStyle="1" w:styleId="524">
    <w:name w:val="Q3"/>
    <w:basedOn w:val="5"/>
    <w:next w:val="337"/>
    <w:qFormat/>
    <w:uiPriority w:val="99"/>
    <w:pPr>
      <w:spacing w:before="120" w:after="120" w:line="360" w:lineRule="auto"/>
    </w:pPr>
    <w:rPr>
      <w:rFonts w:ascii="Arial" w:hAnsi="Arial" w:eastAsia="黑体"/>
    </w:rPr>
  </w:style>
  <w:style w:type="character" w:customStyle="1" w:styleId="525">
    <w:name w:val="apple-converted-space"/>
    <w:basedOn w:val="62"/>
    <w:qFormat/>
    <w:uiPriority w:val="0"/>
  </w:style>
  <w:style w:type="character" w:customStyle="1" w:styleId="526">
    <w:name w:val="v-split3"/>
    <w:qFormat/>
    <w:uiPriority w:val="0"/>
    <w:rPr>
      <w:color w:val="C1C1C1"/>
    </w:rPr>
  </w:style>
  <w:style w:type="character" w:customStyle="1" w:styleId="527">
    <w:name w:val="區別強調"/>
    <w:qFormat/>
    <w:uiPriority w:val="19"/>
    <w:rPr>
      <w:i/>
      <w:iCs/>
      <w:color w:val="808080"/>
    </w:rPr>
  </w:style>
  <w:style w:type="character" w:customStyle="1" w:styleId="528">
    <w:name w:val="SUR-方框标题 Char Char"/>
    <w:qFormat/>
    <w:uiPriority w:val="0"/>
    <w:rPr>
      <w:rFonts w:ascii="Times New Roman" w:hAnsi="Times New Roman" w:eastAsia="黑体" w:cs="Times New Roman"/>
      <w:szCs w:val="24"/>
    </w:rPr>
  </w:style>
  <w:style w:type="character" w:customStyle="1" w:styleId="529">
    <w:name w:val="标题 3 Char Char1"/>
    <w:qFormat/>
    <w:uiPriority w:val="0"/>
    <w:rPr>
      <w:rFonts w:ascii="Arial" w:hAnsi="Arial" w:eastAsia="黑体"/>
      <w:sz w:val="24"/>
      <w:szCs w:val="44"/>
      <w:lang w:val="en-US" w:eastAsia="en-US" w:bidi="ar-SA"/>
    </w:rPr>
  </w:style>
  <w:style w:type="character" w:customStyle="1" w:styleId="530">
    <w:name w:val="txt"/>
    <w:basedOn w:val="62"/>
    <w:qFormat/>
    <w:uiPriority w:val="0"/>
  </w:style>
  <w:style w:type="character" w:customStyle="1" w:styleId="531">
    <w:name w:val="样式 加粗"/>
    <w:qFormat/>
    <w:uiPriority w:val="0"/>
    <w:rPr>
      <w:rFonts w:eastAsia="黑体"/>
      <w:b/>
      <w:bCs/>
      <w:sz w:val="24"/>
      <w:szCs w:val="24"/>
    </w:rPr>
  </w:style>
  <w:style w:type="character" w:customStyle="1" w:styleId="532">
    <w:name w:val="Char Char5"/>
    <w:qFormat/>
    <w:uiPriority w:val="0"/>
    <w:rPr>
      <w:rFonts w:ascii="Arial" w:hAnsi="Arial" w:eastAsia="黑体"/>
      <w:sz w:val="44"/>
      <w:lang w:val="en-US" w:eastAsia="en-US" w:bidi="ar-SA"/>
    </w:rPr>
  </w:style>
  <w:style w:type="character" w:customStyle="1" w:styleId="533">
    <w:name w:val="頁首 Char"/>
    <w:qFormat/>
    <w:uiPriority w:val="0"/>
    <w:rPr>
      <w:rFonts w:ascii="宋体" w:hAnsi="宋体" w:eastAsia="宋体" w:cs="Times New Roman"/>
      <w:kern w:val="0"/>
      <w:sz w:val="18"/>
      <w:szCs w:val="20"/>
    </w:rPr>
  </w:style>
  <w:style w:type="character" w:customStyle="1" w:styleId="534">
    <w:name w:val="Char Char"/>
    <w:qFormat/>
    <w:uiPriority w:val="0"/>
    <w:rPr>
      <w:rFonts w:ascii="Arial" w:hAnsi="Arial" w:eastAsia="黑体"/>
      <w:sz w:val="28"/>
      <w:lang w:val="en-US" w:eastAsia="en-US" w:bidi="ar-SA"/>
    </w:rPr>
  </w:style>
  <w:style w:type="character" w:customStyle="1" w:styleId="535">
    <w:name w:val="Char Char4"/>
    <w:qFormat/>
    <w:uiPriority w:val="0"/>
    <w:rPr>
      <w:rFonts w:ascii="Arial" w:hAnsi="Arial" w:eastAsia="黑体"/>
      <w:sz w:val="44"/>
      <w:lang w:val="en-US" w:eastAsia="en-US" w:bidi="ar-SA"/>
    </w:rPr>
  </w:style>
  <w:style w:type="character" w:customStyle="1" w:styleId="536">
    <w:name w:val="SUR-需求定义-第3级 Char2"/>
    <w:qFormat/>
    <w:uiPriority w:val="0"/>
    <w:rPr>
      <w:rFonts w:ascii="Arial" w:hAnsi="Arial" w:eastAsia="黑体"/>
      <w:sz w:val="28"/>
      <w:lang w:val="en-US" w:eastAsia="en-US" w:bidi="ar-SA"/>
    </w:rPr>
  </w:style>
  <w:style w:type="character" w:customStyle="1" w:styleId="537">
    <w:name w:val="正文文本 Char1"/>
    <w:qFormat/>
    <w:uiPriority w:val="0"/>
    <w:rPr>
      <w:rFonts w:ascii="宋体"/>
      <w:kern w:val="2"/>
      <w:sz w:val="24"/>
      <w:szCs w:val="24"/>
    </w:rPr>
  </w:style>
  <w:style w:type="character" w:customStyle="1" w:styleId="538">
    <w:name w:val="comment-link1"/>
    <w:qFormat/>
    <w:uiPriority w:val="0"/>
    <w:rPr>
      <w:rFonts w:hint="default" w:ascii="Arial" w:hAnsi="Arial" w:cs="Arial"/>
      <w:color w:val="133DB6"/>
    </w:rPr>
  </w:style>
  <w:style w:type="character" w:customStyle="1" w:styleId="539">
    <w:name w:val="正文文本 Char2"/>
    <w:qFormat/>
    <w:uiPriority w:val="0"/>
    <w:rPr>
      <w:rFonts w:ascii="Calibri" w:hAnsi="Calibri"/>
      <w:kern w:val="2"/>
      <w:sz w:val="24"/>
      <w:szCs w:val="22"/>
    </w:rPr>
  </w:style>
  <w:style w:type="character" w:customStyle="1" w:styleId="540">
    <w:name w:val="first class Char Char"/>
    <w:qFormat/>
    <w:uiPriority w:val="0"/>
    <w:rPr>
      <w:rFonts w:ascii="Arial" w:hAnsi="Arial" w:eastAsia="黑体"/>
      <w:sz w:val="32"/>
      <w:szCs w:val="44"/>
      <w:lang w:val="en-US" w:eastAsia="en-US" w:bidi="ar-SA"/>
    </w:rPr>
  </w:style>
  <w:style w:type="character" w:customStyle="1" w:styleId="541">
    <w:name w:val="apple-style-span"/>
    <w:qFormat/>
    <w:uiPriority w:val="0"/>
  </w:style>
  <w:style w:type="character" w:customStyle="1" w:styleId="542">
    <w:name w:val="中等深浅网格 2 - 强调文字颜色 2 Char"/>
    <w:qFormat/>
    <w:uiPriority w:val="29"/>
    <w:rPr>
      <w:i/>
      <w:iCs/>
      <w:color w:val="000000"/>
      <w:sz w:val="24"/>
    </w:rPr>
  </w:style>
  <w:style w:type="character" w:customStyle="1" w:styleId="543">
    <w:name w:val="頁尾 Char"/>
    <w:qFormat/>
    <w:uiPriority w:val="0"/>
    <w:rPr>
      <w:rFonts w:ascii="宋体" w:hAnsi="宋体" w:eastAsia="宋体" w:cs="Times New Roman"/>
      <w:kern w:val="0"/>
      <w:sz w:val="18"/>
      <w:szCs w:val="20"/>
    </w:rPr>
  </w:style>
  <w:style w:type="character" w:customStyle="1" w:styleId="544">
    <w:name w:val="wm"/>
    <w:qFormat/>
    <w:uiPriority w:val="0"/>
  </w:style>
  <w:style w:type="character" w:customStyle="1" w:styleId="545">
    <w:name w:val="123标题下的小点 Char"/>
    <w:qFormat/>
    <w:uiPriority w:val="0"/>
    <w:rPr>
      <w:rFonts w:ascii="宋体" w:hAnsi="宋体" w:eastAsia="宋体"/>
      <w:sz w:val="21"/>
      <w:lang w:val="en-US" w:eastAsia="zh-CN" w:bidi="ar-SA"/>
    </w:rPr>
  </w:style>
  <w:style w:type="character" w:customStyle="1" w:styleId="546">
    <w:name w:val="tpc_content1"/>
    <w:qFormat/>
    <w:uiPriority w:val="0"/>
    <w:rPr>
      <w:sz w:val="20"/>
      <w:szCs w:val="20"/>
    </w:rPr>
  </w:style>
  <w:style w:type="character" w:customStyle="1" w:styleId="547">
    <w:name w:val="a1"/>
    <w:basedOn w:val="62"/>
    <w:qFormat/>
    <w:uiPriority w:val="0"/>
  </w:style>
  <w:style w:type="character" w:customStyle="1" w:styleId="548">
    <w:name w:val="style91"/>
    <w:qFormat/>
    <w:uiPriority w:val="0"/>
    <w:rPr>
      <w:color w:val="000000"/>
    </w:rPr>
  </w:style>
  <w:style w:type="character" w:customStyle="1" w:styleId="549">
    <w:name w:val="純文字 Char"/>
    <w:qFormat/>
    <w:uiPriority w:val="0"/>
    <w:rPr>
      <w:rFonts w:ascii="宋体" w:hAnsi="宋体" w:eastAsia="宋体" w:cs="Times New Roman"/>
      <w:sz w:val="21"/>
      <w:szCs w:val="20"/>
    </w:rPr>
  </w:style>
  <w:style w:type="character" w:customStyle="1" w:styleId="550">
    <w:name w:val="方框下的ABC标题 Char Char"/>
    <w:qFormat/>
    <w:uiPriority w:val="0"/>
    <w:rPr>
      <w:rFonts w:ascii="Arial" w:hAnsi="Times New Roman" w:eastAsia="宋体" w:cs="Times New Roman"/>
      <w:szCs w:val="24"/>
    </w:rPr>
  </w:style>
  <w:style w:type="character" w:customStyle="1" w:styleId="551">
    <w:name w:val="p11"/>
    <w:basedOn w:val="62"/>
    <w:qFormat/>
    <w:uiPriority w:val="0"/>
  </w:style>
  <w:style w:type="character" w:customStyle="1" w:styleId="552">
    <w:name w:val="style11"/>
    <w:qFormat/>
    <w:uiPriority w:val="0"/>
    <w:rPr>
      <w:sz w:val="21"/>
      <w:szCs w:val="21"/>
    </w:rPr>
  </w:style>
  <w:style w:type="character" w:customStyle="1" w:styleId="553">
    <w:name w:val="中等深浅网格 3 - 强调文字颜色 2 Char"/>
    <w:qFormat/>
    <w:uiPriority w:val="30"/>
    <w:rPr>
      <w:b/>
      <w:bCs/>
      <w:i/>
      <w:iCs/>
      <w:color w:val="4F81BD"/>
      <w:sz w:val="24"/>
    </w:rPr>
  </w:style>
  <w:style w:type="character" w:customStyle="1" w:styleId="554">
    <w:name w:val="3zw1"/>
    <w:qFormat/>
    <w:uiPriority w:val="0"/>
    <w:rPr>
      <w:color w:val="000000"/>
      <w:sz w:val="21"/>
      <w:szCs w:val="21"/>
    </w:rPr>
  </w:style>
  <w:style w:type="character" w:customStyle="1" w:styleId="555">
    <w:name w:val="方框下的123标题 Char Char"/>
    <w:qFormat/>
    <w:uiPriority w:val="0"/>
    <w:rPr>
      <w:rFonts w:eastAsia="宋体"/>
      <w:kern w:val="2"/>
      <w:sz w:val="21"/>
      <w:szCs w:val="24"/>
      <w:lang w:val="en-US" w:eastAsia="zh-CN" w:bidi="ar-SA"/>
    </w:rPr>
  </w:style>
  <w:style w:type="character" w:customStyle="1" w:styleId="556">
    <w:name w:val="正文无缩进 Char Char"/>
    <w:qFormat/>
    <w:uiPriority w:val="0"/>
    <w:rPr>
      <w:rFonts w:ascii="宋体" w:hAnsi="宋体" w:eastAsia="宋体" w:cs="宋体"/>
      <w:sz w:val="24"/>
      <w:szCs w:val="24"/>
      <w:lang w:val="en-US" w:eastAsia="zh-CN" w:bidi="ar-SA"/>
    </w:rPr>
  </w:style>
  <w:style w:type="character" w:customStyle="1" w:styleId="557">
    <w:name w:val="标题 1 Char Char"/>
    <w:qFormat/>
    <w:uiPriority w:val="0"/>
    <w:rPr>
      <w:rFonts w:ascii="Arial" w:hAnsi="Arial" w:eastAsia="黑体"/>
      <w:sz w:val="44"/>
      <w:lang w:val="en-US" w:eastAsia="en-US" w:bidi="ar-SA"/>
    </w:rPr>
  </w:style>
  <w:style w:type="character" w:customStyle="1" w:styleId="558">
    <w:name w:val="页码1"/>
    <w:qFormat/>
    <w:uiPriority w:val="0"/>
  </w:style>
  <w:style w:type="character" w:customStyle="1" w:styleId="559">
    <w:name w:val="鮮明參考"/>
    <w:qFormat/>
    <w:uiPriority w:val="32"/>
    <w:rPr>
      <w:b/>
      <w:bCs/>
      <w:smallCaps/>
      <w:color w:val="C0504D"/>
      <w:spacing w:val="5"/>
      <w:u w:val="single"/>
    </w:rPr>
  </w:style>
  <w:style w:type="character" w:customStyle="1" w:styleId="560">
    <w:name w:val="访问过的超链接1"/>
    <w:qFormat/>
    <w:uiPriority w:val="0"/>
    <w:rPr>
      <w:color w:val="800080"/>
      <w:u w:val="single"/>
    </w:rPr>
  </w:style>
  <w:style w:type="character" w:customStyle="1" w:styleId="561">
    <w:name w:val="c-gap-right-small2"/>
    <w:basedOn w:val="62"/>
    <w:qFormat/>
    <w:uiPriority w:val="0"/>
  </w:style>
  <w:style w:type="character" w:customStyle="1" w:styleId="562">
    <w:name w:val="wh"/>
    <w:qFormat/>
    <w:uiPriority w:val="0"/>
  </w:style>
  <w:style w:type="character" w:customStyle="1" w:styleId="563">
    <w:name w:val="Char Char3"/>
    <w:qFormat/>
    <w:uiPriority w:val="0"/>
    <w:rPr>
      <w:rFonts w:ascii="Arial" w:hAnsi="Arial" w:eastAsia="黑体"/>
      <w:sz w:val="28"/>
      <w:lang w:val="en-US" w:eastAsia="zh-CN" w:bidi="ar-SA"/>
    </w:rPr>
  </w:style>
  <w:style w:type="character" w:customStyle="1" w:styleId="564">
    <w:name w:val="param-name"/>
    <w:basedOn w:val="62"/>
    <w:qFormat/>
    <w:uiPriority w:val="0"/>
  </w:style>
  <w:style w:type="character" w:customStyle="1" w:styleId="565">
    <w:name w:val="count3"/>
    <w:qFormat/>
    <w:uiPriority w:val="0"/>
  </w:style>
  <w:style w:type="character" w:customStyle="1" w:styleId="566">
    <w:name w:val="鮮明強調"/>
    <w:qFormat/>
    <w:uiPriority w:val="21"/>
    <w:rPr>
      <w:b/>
      <w:bCs/>
      <w:i/>
      <w:iCs/>
      <w:color w:val="4F81BD"/>
    </w:rPr>
  </w:style>
  <w:style w:type="character" w:customStyle="1" w:styleId="567">
    <w:name w:val="title10"/>
    <w:qFormat/>
    <w:uiPriority w:val="0"/>
  </w:style>
  <w:style w:type="character" w:customStyle="1" w:styleId="568">
    <w:name w:val="區別參考"/>
    <w:qFormat/>
    <w:uiPriority w:val="31"/>
    <w:rPr>
      <w:smallCaps/>
      <w:color w:val="C0504D"/>
      <w:u w:val="single"/>
    </w:rPr>
  </w:style>
  <w:style w:type="character" w:customStyle="1" w:styleId="569">
    <w:name w:val="style51"/>
    <w:qFormat/>
    <w:uiPriority w:val="0"/>
    <w:rPr>
      <w:color w:val="000000"/>
      <w:sz w:val="18"/>
    </w:rPr>
  </w:style>
  <w:style w:type="character" w:customStyle="1" w:styleId="570">
    <w:name w:val="bt Char"/>
    <w:qFormat/>
    <w:uiPriority w:val="0"/>
    <w:rPr>
      <w:rFonts w:eastAsia="宋体"/>
      <w:kern w:val="2"/>
      <w:sz w:val="21"/>
      <w:szCs w:val="24"/>
      <w:lang w:val="en-US" w:eastAsia="zh-CN" w:bidi="ar-SA"/>
    </w:rPr>
  </w:style>
  <w:style w:type="character" w:customStyle="1" w:styleId="571">
    <w:name w:val="註解方塊文字 Char"/>
    <w:qFormat/>
    <w:uiPriority w:val="0"/>
    <w:rPr>
      <w:rFonts w:ascii="Heiti SC Light" w:hAnsi="Heiti SC Light" w:eastAsia="Heiti SC Light" w:cs="Times New Roman"/>
      <w:kern w:val="0"/>
      <w:sz w:val="18"/>
      <w:szCs w:val="18"/>
    </w:rPr>
  </w:style>
  <w:style w:type="character" w:customStyle="1" w:styleId="572">
    <w:name w:val="中等深浅网格 1 - 强调文字颜色 2 Char"/>
    <w:qFormat/>
    <w:uiPriority w:val="34"/>
    <w:rPr>
      <w:rFonts w:cs="黑体"/>
      <w:kern w:val="2"/>
      <w:sz w:val="24"/>
      <w:szCs w:val="22"/>
    </w:rPr>
  </w:style>
  <w:style w:type="character" w:customStyle="1" w:styleId="573">
    <w:name w:val="標題 2 Char"/>
    <w:qFormat/>
    <w:uiPriority w:val="0"/>
    <w:rPr>
      <w:rFonts w:ascii="Arial" w:hAnsi="Arial" w:eastAsia="黑体" w:cs="Times New Roman"/>
      <w:b/>
      <w:kern w:val="0"/>
      <w:sz w:val="36"/>
      <w:szCs w:val="20"/>
    </w:rPr>
  </w:style>
  <w:style w:type="character" w:customStyle="1" w:styleId="574">
    <w:name w:val="Char Char7"/>
    <w:qFormat/>
    <w:uiPriority w:val="0"/>
    <w:rPr>
      <w:rFonts w:ascii="Cambria" w:hAnsi="Cambria" w:eastAsia="黑体"/>
      <w:color w:val="000000"/>
      <w:lang w:val="en-US" w:eastAsia="zh-CN" w:bidi="ar-SA"/>
    </w:rPr>
  </w:style>
  <w:style w:type="character" w:customStyle="1" w:styleId="575">
    <w:name w:val="書名"/>
    <w:qFormat/>
    <w:uiPriority w:val="33"/>
    <w:rPr>
      <w:b/>
      <w:bCs/>
      <w:smallCaps/>
      <w:spacing w:val="5"/>
    </w:rPr>
  </w:style>
  <w:style w:type="character" w:customStyle="1" w:styleId="576">
    <w:name w:val="样式 宋体 11 磅 黑色"/>
    <w:qFormat/>
    <w:uiPriority w:val="0"/>
    <w:rPr>
      <w:rFonts w:ascii="宋体" w:hAnsi="宋体" w:eastAsia="宋体"/>
      <w:color w:val="000000"/>
      <w:kern w:val="0"/>
      <w:sz w:val="21"/>
    </w:rPr>
  </w:style>
  <w:style w:type="character" w:customStyle="1" w:styleId="577">
    <w:name w:val="明显参考11"/>
    <w:qFormat/>
    <w:uiPriority w:val="32"/>
    <w:rPr>
      <w:b/>
      <w:bCs/>
      <w:smallCaps/>
      <w:color w:val="DA1F28"/>
      <w:spacing w:val="5"/>
      <w:u w:val="single"/>
    </w:rPr>
  </w:style>
  <w:style w:type="character" w:customStyle="1" w:styleId="578">
    <w:name w:val="fl"/>
    <w:qFormat/>
    <w:uiPriority w:val="0"/>
  </w:style>
  <w:style w:type="character" w:customStyle="1" w:styleId="579">
    <w:name w:val="Char Char1"/>
    <w:qFormat/>
    <w:uiPriority w:val="0"/>
    <w:rPr>
      <w:rFonts w:eastAsia="宋体"/>
      <w:sz w:val="21"/>
      <w:lang w:val="en-US" w:eastAsia="en-US" w:bidi="ar-SA"/>
    </w:rPr>
  </w:style>
  <w:style w:type="character" w:customStyle="1" w:styleId="580">
    <w:name w:val="ABC标题下的小点 Char Char"/>
    <w:qFormat/>
    <w:uiPriority w:val="0"/>
    <w:rPr>
      <w:rFonts w:ascii="宋体" w:hAnsi="宋体" w:eastAsia="宋体" w:cs="Times New Roman"/>
      <w:kern w:val="0"/>
      <w:szCs w:val="20"/>
    </w:rPr>
  </w:style>
  <w:style w:type="paragraph" w:customStyle="1" w:styleId="581">
    <w:name w:val="Figure Description"/>
    <w:next w:val="1"/>
    <w:qFormat/>
    <w:uiPriority w:val="99"/>
    <w:pPr>
      <w:adjustRightInd w:val="0"/>
      <w:snapToGrid w:val="0"/>
      <w:spacing w:after="200" w:line="240" w:lineRule="atLeast"/>
      <w:jc w:val="center"/>
    </w:pPr>
    <w:rPr>
      <w:rFonts w:ascii="Times New Roman" w:hAnsi="Times New Roman" w:eastAsia="华文细黑" w:cs="Arial"/>
      <w:spacing w:val="-4"/>
      <w:kern w:val="2"/>
      <w:sz w:val="13"/>
      <w:szCs w:val="21"/>
      <w:lang w:val="en-US" w:eastAsia="zh-CN" w:bidi="ar-SA"/>
    </w:rPr>
  </w:style>
  <w:style w:type="paragraph" w:customStyle="1" w:styleId="582">
    <w:name w:val="Item List"/>
    <w:basedOn w:val="107"/>
    <w:qFormat/>
    <w:uiPriority w:val="99"/>
    <w:pPr>
      <w:widowControl/>
      <w:numPr>
        <w:ilvl w:val="0"/>
        <w:numId w:val="20"/>
      </w:numPr>
      <w:tabs>
        <w:tab w:val="left" w:pos="13"/>
        <w:tab w:val="left" w:pos="360"/>
      </w:tabs>
      <w:topLinePunct/>
      <w:adjustRightInd w:val="0"/>
      <w:snapToGrid w:val="0"/>
      <w:spacing w:before="40" w:after="40" w:line="120" w:lineRule="atLeast"/>
      <w:ind w:left="0" w:firstLine="0" w:firstLineChars="0"/>
      <w:jc w:val="left"/>
    </w:pPr>
    <w:rPr>
      <w:rFonts w:ascii="Times New Roman" w:hAnsi="Times New Roman" w:eastAsia="华文细黑" w:cs="Arial"/>
      <w:sz w:val="13"/>
    </w:rPr>
  </w:style>
  <w:style w:type="paragraph" w:customStyle="1" w:styleId="583">
    <w:name w:val="Table Heading"/>
    <w:basedOn w:val="1"/>
    <w:qFormat/>
    <w:uiPriority w:val="99"/>
    <w:pPr>
      <w:topLinePunct/>
      <w:adjustRightInd w:val="0"/>
      <w:snapToGrid w:val="0"/>
      <w:spacing w:line="120" w:lineRule="atLeast"/>
      <w:jc w:val="left"/>
    </w:pPr>
    <w:rPr>
      <w:rFonts w:ascii="Book Antiqua" w:hAnsi="Book Antiqua" w:eastAsia="黑体" w:cs="Book Antiqua"/>
      <w:bCs/>
      <w:snapToGrid w:val="0"/>
      <w:kern w:val="0"/>
      <w:sz w:val="13"/>
    </w:rPr>
  </w:style>
  <w:style w:type="paragraph" w:customStyle="1" w:styleId="584">
    <w:name w:val="Table Text"/>
    <w:basedOn w:val="1"/>
    <w:qFormat/>
    <w:uiPriority w:val="99"/>
    <w:pPr>
      <w:topLinePunct/>
      <w:adjustRightInd w:val="0"/>
      <w:snapToGrid w:val="0"/>
      <w:spacing w:line="120" w:lineRule="atLeast"/>
      <w:jc w:val="left"/>
    </w:pPr>
    <w:rPr>
      <w:rFonts w:eastAsia="华文细黑" w:cs="Arial"/>
      <w:snapToGrid w:val="0"/>
      <w:kern w:val="0"/>
      <w:sz w:val="13"/>
    </w:rPr>
  </w:style>
  <w:style w:type="paragraph" w:customStyle="1" w:styleId="585">
    <w:name w:val="z-注意"/>
    <w:next w:val="586"/>
    <w:qFormat/>
    <w:uiPriority w:val="99"/>
    <w:pPr>
      <w:keepNext/>
      <w:numPr>
        <w:ilvl w:val="0"/>
        <w:numId w:val="21"/>
      </w:numPr>
      <w:pBdr>
        <w:top w:val="single" w:color="auto" w:sz="8" w:space="1"/>
      </w:pBdr>
      <w:spacing w:line="120" w:lineRule="atLeast"/>
      <w:ind w:left="0" w:firstLine="0"/>
    </w:pPr>
    <w:rPr>
      <w:rFonts w:ascii="Times New Roman" w:hAnsi="Times New Roman" w:eastAsia="华文细黑" w:cs="宋体"/>
      <w:color w:val="FF0000"/>
      <w:kern w:val="2"/>
      <w:sz w:val="13"/>
      <w:lang w:val="en-US" w:eastAsia="zh-CN" w:bidi="ar-SA"/>
    </w:rPr>
  </w:style>
  <w:style w:type="paragraph" w:customStyle="1" w:styleId="586">
    <w:name w:val="z-注意 文字"/>
    <w:basedOn w:val="585"/>
    <w:qFormat/>
    <w:uiPriority w:val="99"/>
    <w:pPr>
      <w:keepNext w:val="0"/>
      <w:keepLines/>
      <w:numPr>
        <w:numId w:val="0"/>
      </w:numPr>
      <w:pBdr>
        <w:top w:val="none" w:color="auto" w:sz="0" w:space="0"/>
        <w:bottom w:val="single" w:color="auto" w:sz="8" w:space="1"/>
      </w:pBdr>
    </w:pPr>
    <w:rPr>
      <w:color w:val="000000"/>
    </w:rPr>
  </w:style>
  <w:style w:type="paragraph" w:customStyle="1" w:styleId="587">
    <w:name w:val="03 版权与信息"/>
    <w:basedOn w:val="1"/>
    <w:qFormat/>
    <w:uiPriority w:val="99"/>
    <w:pPr>
      <w:pageBreakBefore/>
      <w:widowControl/>
      <w:spacing w:before="240" w:after="64" w:line="319" w:lineRule="auto"/>
      <w:ind w:left="1151" w:hanging="1151" w:firstLineChars="200"/>
      <w:jc w:val="left"/>
    </w:pPr>
    <w:rPr>
      <w:rFonts w:ascii="Arial" w:hAnsi="Arial" w:eastAsia="黑体" w:cs="Arial"/>
      <w:b/>
      <w:bCs/>
      <w:color w:val="4D4D4D"/>
      <w:kern w:val="28"/>
      <w:sz w:val="36"/>
      <w:szCs w:val="32"/>
    </w:rPr>
  </w:style>
  <w:style w:type="paragraph" w:customStyle="1" w:styleId="588">
    <w:name w:val="01 标题-封面"/>
    <w:next w:val="34"/>
    <w:qFormat/>
    <w:uiPriority w:val="99"/>
    <w:pPr>
      <w:spacing w:before="240" w:after="64" w:line="319" w:lineRule="auto"/>
      <w:ind w:left="1151" w:hanging="1151"/>
      <w:jc w:val="right"/>
    </w:pPr>
    <w:rPr>
      <w:rFonts w:ascii="Arial" w:hAnsi="Arial" w:eastAsia="黑体" w:cs="Arial"/>
      <w:b/>
      <w:bCs/>
      <w:color w:val="800000"/>
      <w:kern w:val="2"/>
      <w:sz w:val="72"/>
      <w:szCs w:val="32"/>
      <w:lang w:val="en-US" w:eastAsia="zh-CN" w:bidi="ar-SA"/>
    </w:rPr>
  </w:style>
  <w:style w:type="paragraph" w:customStyle="1" w:styleId="589">
    <w:name w:val="1-首行缩进2格 正文"/>
    <w:basedOn w:val="1"/>
    <w:qFormat/>
    <w:uiPriority w:val="99"/>
    <w:pPr>
      <w:spacing w:line="360" w:lineRule="auto"/>
      <w:ind w:firstLine="200" w:firstLineChars="200"/>
    </w:pPr>
    <w:rPr>
      <w:rFonts w:ascii="Calibri" w:hAnsi="Calibri"/>
      <w:sz w:val="24"/>
    </w:rPr>
  </w:style>
  <w:style w:type="paragraph" w:customStyle="1" w:styleId="590">
    <w:name w:val="Char Char Char Char Char Char Char Char Char Char1"/>
    <w:basedOn w:val="1"/>
    <w:qFormat/>
    <w:uiPriority w:val="0"/>
    <w:rPr>
      <w:rFonts w:ascii="Tahoma" w:hAnsi="Tahoma" w:eastAsia="楷体_GB2312"/>
      <w:spacing w:val="10"/>
      <w:sz w:val="24"/>
      <w:szCs w:val="20"/>
    </w:rPr>
  </w:style>
  <w:style w:type="paragraph" w:customStyle="1" w:styleId="591">
    <w:name w:val="正文2"/>
    <w:qFormat/>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character" w:customStyle="1" w:styleId="592">
    <w:name w:val="正文四号 Char"/>
    <w:qFormat/>
    <w:uiPriority w:val="0"/>
    <w:rPr>
      <w:rFonts w:ascii="Times New Roman" w:hAnsi="Times New Roman" w:eastAsia="仿宋_GB2312" w:cs="宋体"/>
      <w:sz w:val="28"/>
      <w:szCs w:val="20"/>
    </w:rPr>
  </w:style>
  <w:style w:type="paragraph" w:styleId="593">
    <w:name w:val="Intense Quote"/>
    <w:basedOn w:val="1"/>
    <w:next w:val="1"/>
    <w:link w:val="594"/>
    <w:qFormat/>
    <w:uiPriority w:val="30"/>
    <w:pPr>
      <w:pBdr>
        <w:bottom w:val="single" w:color="4F81BD" w:sz="4" w:space="4"/>
      </w:pBdr>
      <w:spacing w:before="200" w:after="280" w:line="360" w:lineRule="auto"/>
      <w:ind w:left="936" w:right="936"/>
    </w:pPr>
    <w:rPr>
      <w:b/>
      <w:bCs/>
      <w:i/>
      <w:iCs/>
      <w:color w:val="4F81BD"/>
      <w:sz w:val="24"/>
      <w:szCs w:val="24"/>
      <w:lang w:val="zh-CN"/>
    </w:rPr>
  </w:style>
  <w:style w:type="character" w:customStyle="1" w:styleId="594">
    <w:name w:val="明显引用 字符1"/>
    <w:link w:val="593"/>
    <w:qFormat/>
    <w:uiPriority w:val="30"/>
    <w:rPr>
      <w:b/>
      <w:bCs/>
      <w:i/>
      <w:iCs/>
      <w:color w:val="4F81BD"/>
      <w:kern w:val="2"/>
      <w:sz w:val="24"/>
      <w:szCs w:val="24"/>
      <w:lang w:val="zh-CN" w:eastAsia="zh-CN"/>
    </w:rPr>
  </w:style>
  <w:style w:type="character" w:customStyle="1" w:styleId="595">
    <w:name w:val="明显引用 字符"/>
    <w:basedOn w:val="62"/>
    <w:qFormat/>
    <w:uiPriority w:val="30"/>
    <w:rPr>
      <w:i/>
      <w:iCs/>
      <w:color w:val="4F81BD" w:themeColor="accent1"/>
      <w:kern w:val="2"/>
      <w:sz w:val="21"/>
      <w:szCs w:val="21"/>
    </w:rPr>
  </w:style>
  <w:style w:type="character" w:customStyle="1" w:styleId="596">
    <w:name w:val="明显引用 Char"/>
    <w:basedOn w:val="62"/>
    <w:qFormat/>
    <w:uiPriority w:val="30"/>
    <w:rPr>
      <w:rFonts w:ascii="宋体" w:eastAsia="宋体"/>
      <w:i/>
      <w:iCs/>
      <w:color w:val="4F81BD" w:themeColor="accent1"/>
      <w:sz w:val="24"/>
    </w:rPr>
  </w:style>
  <w:style w:type="character" w:customStyle="1" w:styleId="597">
    <w:name w:val="不明显强调1"/>
    <w:qFormat/>
    <w:uiPriority w:val="19"/>
    <w:rPr>
      <w:i/>
      <w:iCs/>
      <w:color w:val="808080"/>
    </w:rPr>
  </w:style>
  <w:style w:type="character" w:customStyle="1" w:styleId="598">
    <w:name w:val="明显强调1"/>
    <w:qFormat/>
    <w:uiPriority w:val="21"/>
    <w:rPr>
      <w:b/>
      <w:bCs/>
      <w:i/>
      <w:iCs/>
      <w:color w:val="4F81BD"/>
    </w:rPr>
  </w:style>
  <w:style w:type="character" w:customStyle="1" w:styleId="599">
    <w:name w:val="不明显参考1"/>
    <w:qFormat/>
    <w:uiPriority w:val="31"/>
    <w:rPr>
      <w:smallCaps/>
      <w:color w:val="C0504D"/>
      <w:u w:val="single"/>
    </w:rPr>
  </w:style>
  <w:style w:type="character" w:customStyle="1" w:styleId="600">
    <w:name w:val="书籍标题1"/>
    <w:qFormat/>
    <w:uiPriority w:val="33"/>
    <w:rPr>
      <w:b/>
      <w:bCs/>
      <w:smallCaps/>
      <w:spacing w:val="5"/>
    </w:rPr>
  </w:style>
  <w:style w:type="paragraph" w:customStyle="1" w:styleId="601">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02">
    <w:name w:val="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603">
    <w:name w:val="正文3"/>
    <w:qFormat/>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paragraph" w:customStyle="1" w:styleId="604">
    <w:name w:val="正文4"/>
    <w:qFormat/>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paragraph" w:customStyle="1" w:styleId="605">
    <w:name w:val="段落强调"/>
    <w:basedOn w:val="1"/>
    <w:link w:val="606"/>
    <w:qFormat/>
    <w:uiPriority w:val="0"/>
    <w:pPr>
      <w:numPr>
        <w:ilvl w:val="0"/>
        <w:numId w:val="22"/>
      </w:numPr>
      <w:adjustRightInd w:val="0"/>
      <w:spacing w:line="360" w:lineRule="auto"/>
      <w:ind w:left="0" w:firstLine="420"/>
      <w:jc w:val="left"/>
    </w:pPr>
    <w:rPr>
      <w:b/>
      <w:sz w:val="24"/>
      <w:szCs w:val="24"/>
    </w:rPr>
  </w:style>
  <w:style w:type="character" w:customStyle="1" w:styleId="606">
    <w:name w:val="段落强调 Char"/>
    <w:link w:val="605"/>
    <w:qFormat/>
    <w:uiPriority w:val="0"/>
    <w:rPr>
      <w:b/>
      <w:kern w:val="2"/>
      <w:sz w:val="24"/>
      <w:szCs w:val="24"/>
    </w:rPr>
  </w:style>
  <w:style w:type="paragraph" w:customStyle="1" w:styleId="607">
    <w:name w:val="图片注释新"/>
    <w:basedOn w:val="1"/>
    <w:link w:val="608"/>
    <w:qFormat/>
    <w:uiPriority w:val="0"/>
    <w:pPr>
      <w:spacing w:afterLines="25"/>
      <w:jc w:val="center"/>
    </w:pPr>
    <w:rPr>
      <w:rFonts w:ascii="宋体" w:hAnsi="宋体"/>
      <w:sz w:val="24"/>
      <w:szCs w:val="24"/>
      <w:u w:val="single"/>
    </w:rPr>
  </w:style>
  <w:style w:type="character" w:customStyle="1" w:styleId="608">
    <w:name w:val="图片注释新 Char"/>
    <w:link w:val="607"/>
    <w:qFormat/>
    <w:uiPriority w:val="0"/>
    <w:rPr>
      <w:rFonts w:ascii="宋体" w:hAnsi="宋体"/>
      <w:kern w:val="2"/>
      <w:sz w:val="24"/>
      <w:szCs w:val="24"/>
      <w:u w:val="single"/>
    </w:rPr>
  </w:style>
  <w:style w:type="paragraph" w:customStyle="1" w:styleId="609">
    <w:name w:val="正文内容"/>
    <w:basedOn w:val="107"/>
    <w:link w:val="610"/>
    <w:qFormat/>
    <w:uiPriority w:val="0"/>
    <w:pPr>
      <w:spacing w:beforeLines="25" w:afterLines="25" w:line="360" w:lineRule="auto"/>
      <w:ind w:firstLine="200"/>
      <w:jc w:val="left"/>
    </w:pPr>
    <w:rPr>
      <w:rFonts w:ascii="宋体" w:hAnsi="宋体" w:cs="Times New Roman"/>
      <w:sz w:val="28"/>
      <w:szCs w:val="28"/>
    </w:rPr>
  </w:style>
  <w:style w:type="character" w:customStyle="1" w:styleId="610">
    <w:name w:val="正文内容 Char"/>
    <w:link w:val="609"/>
    <w:qFormat/>
    <w:uiPriority w:val="0"/>
    <w:rPr>
      <w:rFonts w:ascii="宋体" w:hAnsi="宋体"/>
      <w:kern w:val="2"/>
      <w:sz w:val="28"/>
      <w:szCs w:val="28"/>
    </w:rPr>
  </w:style>
  <w:style w:type="paragraph" w:customStyle="1" w:styleId="611">
    <w:name w:val="段内主题"/>
    <w:basedOn w:val="1"/>
    <w:link w:val="612"/>
    <w:qFormat/>
    <w:uiPriority w:val="0"/>
    <w:pPr>
      <w:numPr>
        <w:ilvl w:val="1"/>
        <w:numId w:val="23"/>
      </w:numPr>
      <w:spacing w:line="360" w:lineRule="auto"/>
      <w:ind w:firstLine="0"/>
      <w:jc w:val="left"/>
    </w:pPr>
    <w:rPr>
      <w:rFonts w:ascii="宋体" w:hAnsi="宋体"/>
      <w:b/>
      <w:sz w:val="24"/>
      <w:szCs w:val="24"/>
    </w:rPr>
  </w:style>
  <w:style w:type="character" w:customStyle="1" w:styleId="612">
    <w:name w:val="段内主题 Char"/>
    <w:link w:val="611"/>
    <w:qFormat/>
    <w:uiPriority w:val="0"/>
    <w:rPr>
      <w:rFonts w:ascii="宋体" w:hAnsi="宋体"/>
      <w:b/>
      <w:kern w:val="2"/>
      <w:sz w:val="24"/>
      <w:szCs w:val="24"/>
    </w:rPr>
  </w:style>
  <w:style w:type="character" w:customStyle="1" w:styleId="613">
    <w:name w:val="列出段落 Char1"/>
    <w:qFormat/>
    <w:uiPriority w:val="34"/>
    <w:rPr>
      <w:rFonts w:ascii="Times New Roman" w:hAnsi="Times New Roman" w:eastAsia="宋体" w:cs="Times New Roman"/>
      <w:sz w:val="24"/>
      <w:szCs w:val="24"/>
    </w:rPr>
  </w:style>
  <w:style w:type="paragraph" w:customStyle="1" w:styleId="614">
    <w:name w:val="正文标题"/>
    <w:basedOn w:val="1"/>
    <w:link w:val="615"/>
    <w:qFormat/>
    <w:uiPriority w:val="0"/>
    <w:pPr>
      <w:numPr>
        <w:ilvl w:val="0"/>
        <w:numId w:val="24"/>
      </w:numPr>
      <w:ind w:firstLine="200" w:firstLineChars="200"/>
      <w:jc w:val="left"/>
    </w:pPr>
    <w:rPr>
      <w:rFonts w:ascii="Calibri" w:hAnsi="Calibri"/>
      <w:b/>
      <w:sz w:val="28"/>
      <w:szCs w:val="28"/>
    </w:rPr>
  </w:style>
  <w:style w:type="character" w:customStyle="1" w:styleId="615">
    <w:name w:val="正文标题 Char"/>
    <w:link w:val="614"/>
    <w:qFormat/>
    <w:uiPriority w:val="0"/>
    <w:rPr>
      <w:rFonts w:ascii="Calibri" w:hAnsi="Calibri"/>
      <w:b/>
      <w:kern w:val="2"/>
      <w:sz w:val="28"/>
      <w:szCs w:val="28"/>
    </w:rPr>
  </w:style>
  <w:style w:type="character" w:customStyle="1" w:styleId="616">
    <w:name w:val="正文文本 字符1"/>
    <w:qFormat/>
    <w:uiPriority w:val="0"/>
    <w:rPr>
      <w:rFonts w:ascii="Arial" w:hAnsi="Arial" w:eastAsia="宋体" w:cs="宋体"/>
      <w:sz w:val="24"/>
      <w:szCs w:val="20"/>
    </w:rPr>
  </w:style>
  <w:style w:type="character" w:customStyle="1" w:styleId="617">
    <w:name w:val="正文文本缩进 2 字符1"/>
    <w:qFormat/>
    <w:uiPriority w:val="0"/>
    <w:rPr>
      <w:rFonts w:ascii="Arial" w:hAnsi="Arial" w:eastAsia="宋体" w:cs="宋体"/>
      <w:sz w:val="24"/>
      <w:szCs w:val="20"/>
    </w:rPr>
  </w:style>
  <w:style w:type="character" w:customStyle="1" w:styleId="618">
    <w:name w:val="标题 字符1"/>
    <w:qFormat/>
    <w:uiPriority w:val="10"/>
    <w:rPr>
      <w:rFonts w:ascii="Cambria" w:hAnsi="Cambria" w:eastAsia="宋体" w:cs="Times New Roman"/>
      <w:b/>
      <w:bCs/>
      <w:sz w:val="32"/>
      <w:szCs w:val="32"/>
      <w:lang w:val="zh-CN" w:eastAsia="zh-CN"/>
    </w:rPr>
  </w:style>
  <w:style w:type="character" w:customStyle="1" w:styleId="619">
    <w:name w:val="副标题 字符1"/>
    <w:qFormat/>
    <w:uiPriority w:val="0"/>
    <w:rPr>
      <w:rFonts w:ascii="Cambria" w:hAnsi="Cambria" w:eastAsia="宋体" w:cs="Times New Roman"/>
      <w:b/>
      <w:bCs/>
      <w:kern w:val="28"/>
      <w:sz w:val="32"/>
      <w:szCs w:val="32"/>
      <w:lang w:val="zh-CN" w:eastAsia="zh-CN"/>
    </w:rPr>
  </w:style>
  <w:style w:type="character" w:customStyle="1" w:styleId="620">
    <w:name w:val="无间隔 Char1"/>
    <w:qFormat/>
    <w:uiPriority w:val="1"/>
    <w:rPr>
      <w:rFonts w:ascii="Calibri" w:hAnsi="Calibri" w:eastAsia="宋体" w:cs="Times New Roman"/>
      <w:sz w:val="24"/>
    </w:rPr>
  </w:style>
  <w:style w:type="character" w:customStyle="1" w:styleId="621">
    <w:name w:val="font_notice"/>
    <w:qFormat/>
    <w:uiPriority w:val="0"/>
    <w:rPr>
      <w:color w:val="CC9999"/>
    </w:rPr>
  </w:style>
  <w:style w:type="character" w:customStyle="1" w:styleId="622">
    <w:name w:val="p141"/>
    <w:qFormat/>
    <w:uiPriority w:val="0"/>
    <w:rPr>
      <w:sz w:val="21"/>
      <w:szCs w:val="21"/>
    </w:rPr>
  </w:style>
  <w:style w:type="character" w:customStyle="1" w:styleId="623">
    <w:name w:val="font_notice2"/>
    <w:qFormat/>
    <w:uiPriority w:val="0"/>
    <w:rPr>
      <w:color w:val="CC9999"/>
    </w:rPr>
  </w:style>
  <w:style w:type="paragraph" w:customStyle="1" w:styleId="62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18"/>
      <w:szCs w:val="18"/>
    </w:rPr>
  </w:style>
  <w:style w:type="paragraph" w:customStyle="1" w:styleId="625">
    <w:name w:val="xl140"/>
    <w:basedOn w:val="1"/>
    <w:qFormat/>
    <w:uiPriority w:val="0"/>
    <w:pPr>
      <w:widowControl/>
      <w:pBdr>
        <w:bottom w:val="single" w:color="auto" w:sz="4" w:space="0"/>
      </w:pBdr>
      <w:spacing w:before="100" w:beforeAutospacing="1" w:after="100" w:afterAutospacing="1"/>
    </w:pPr>
    <w:rPr>
      <w:rFonts w:ascii="微软雅黑" w:hAnsi="微软雅黑" w:eastAsia="微软雅黑" w:cs="宋体"/>
      <w:b/>
      <w:bCs/>
      <w:kern w:val="0"/>
    </w:rPr>
  </w:style>
  <w:style w:type="paragraph" w:customStyle="1" w:styleId="626">
    <w:name w:val="xl152"/>
    <w:basedOn w:val="1"/>
    <w:qFormat/>
    <w:uiPriority w:val="0"/>
    <w:pPr>
      <w:widowControl/>
      <w:pBdr>
        <w:bottom w:val="single" w:color="auto" w:sz="4" w:space="0"/>
      </w:pBdr>
      <w:spacing w:before="100" w:beforeAutospacing="1" w:after="100" w:afterAutospacing="1"/>
      <w:jc w:val="center"/>
    </w:pPr>
    <w:rPr>
      <w:kern w:val="0"/>
      <w:sz w:val="32"/>
      <w:szCs w:val="32"/>
    </w:rPr>
  </w:style>
  <w:style w:type="paragraph" w:customStyle="1" w:styleId="627">
    <w:name w:val="xl132"/>
    <w:basedOn w:val="1"/>
    <w:qFormat/>
    <w:uiPriority w:val="0"/>
    <w:pPr>
      <w:widowControl/>
      <w:pBdr>
        <w:top w:val="single" w:color="auto" w:sz="4" w:space="0"/>
      </w:pBdr>
      <w:spacing w:before="100" w:beforeAutospacing="1" w:after="100" w:afterAutospacing="1"/>
      <w:textAlignment w:val="bottom"/>
    </w:pPr>
    <w:rPr>
      <w:rFonts w:ascii="宋体" w:hAnsi="宋体" w:cs="宋体"/>
      <w:b/>
      <w:bCs/>
      <w:kern w:val="0"/>
    </w:rPr>
  </w:style>
  <w:style w:type="paragraph" w:customStyle="1" w:styleId="628">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62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30">
    <w:name w:val="xl12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微软雅黑" w:hAnsi="微软雅黑" w:eastAsia="微软雅黑" w:cs="宋体"/>
      <w:b/>
      <w:bCs/>
      <w:kern w:val="0"/>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18"/>
      <w:szCs w:val="18"/>
    </w:rPr>
  </w:style>
  <w:style w:type="paragraph" w:customStyle="1" w:styleId="632">
    <w:name w:val="xl147"/>
    <w:basedOn w:val="1"/>
    <w:qFormat/>
    <w:uiPriority w:val="0"/>
    <w:pPr>
      <w:widowControl/>
      <w:pBdr>
        <w:bottom w:val="single" w:color="auto" w:sz="4" w:space="0"/>
      </w:pBdr>
      <w:spacing w:before="100" w:beforeAutospacing="1" w:after="100" w:afterAutospacing="1"/>
    </w:pPr>
    <w:rPr>
      <w:rFonts w:ascii="微软雅黑" w:hAnsi="微软雅黑" w:eastAsia="微软雅黑" w:cs="宋体"/>
      <w:b/>
      <w:bCs/>
      <w:kern w:val="0"/>
      <w:sz w:val="18"/>
      <w:szCs w:val="18"/>
    </w:rPr>
  </w:style>
  <w:style w:type="paragraph" w:customStyle="1" w:styleId="633">
    <w:name w:val="xl139"/>
    <w:basedOn w:val="1"/>
    <w:qFormat/>
    <w:uiPriority w:val="0"/>
    <w:pPr>
      <w:widowControl/>
      <w:pBdr>
        <w:bottom w:val="single" w:color="auto" w:sz="4" w:space="0"/>
      </w:pBdr>
      <w:spacing w:before="100" w:beforeAutospacing="1" w:after="100" w:afterAutospacing="1"/>
    </w:pPr>
    <w:rPr>
      <w:rFonts w:ascii="微软雅黑" w:hAnsi="微软雅黑" w:eastAsia="微软雅黑" w:cs="宋体"/>
      <w:b/>
      <w:bCs/>
      <w:kern w:val="0"/>
    </w:rPr>
  </w:style>
  <w:style w:type="paragraph" w:customStyle="1" w:styleId="634">
    <w:name w:val="xl11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bottom"/>
    </w:pPr>
    <w:rPr>
      <w:kern w:val="0"/>
      <w:sz w:val="40"/>
      <w:szCs w:val="40"/>
    </w:rPr>
  </w:style>
  <w:style w:type="paragraph" w:customStyle="1" w:styleId="635">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18"/>
      <w:szCs w:val="18"/>
    </w:rPr>
  </w:style>
  <w:style w:type="paragraph" w:customStyle="1" w:styleId="63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3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kern w:val="0"/>
      <w:sz w:val="18"/>
      <w:szCs w:val="18"/>
    </w:rPr>
  </w:style>
  <w:style w:type="paragraph" w:customStyle="1" w:styleId="638">
    <w:name w:val="xl151"/>
    <w:basedOn w:val="1"/>
    <w:qFormat/>
    <w:uiPriority w:val="0"/>
    <w:pPr>
      <w:widowControl/>
      <w:pBdr>
        <w:bottom w:val="single" w:color="auto" w:sz="4" w:space="0"/>
      </w:pBdr>
      <w:spacing w:before="100" w:beforeAutospacing="1" w:after="100" w:afterAutospacing="1"/>
      <w:jc w:val="center"/>
    </w:pPr>
    <w:rPr>
      <w:kern w:val="0"/>
      <w:sz w:val="32"/>
      <w:szCs w:val="32"/>
    </w:rPr>
  </w:style>
  <w:style w:type="paragraph" w:customStyle="1" w:styleId="639">
    <w:name w:val="xl122"/>
    <w:basedOn w:val="1"/>
    <w:qFormat/>
    <w:uiPriority w:val="0"/>
    <w:pPr>
      <w:widowControl/>
      <w:pBdr>
        <w:top w:val="single" w:color="auto" w:sz="4" w:space="0"/>
        <w:bottom w:val="single" w:color="auto" w:sz="4" w:space="0"/>
      </w:pBdr>
      <w:spacing w:before="100" w:beforeAutospacing="1" w:after="100" w:afterAutospacing="1"/>
      <w:jc w:val="left"/>
    </w:pPr>
    <w:rPr>
      <w:rFonts w:ascii="微软雅黑" w:hAnsi="微软雅黑" w:eastAsia="微软雅黑" w:cs="宋体"/>
      <w:b/>
      <w:bCs/>
      <w:kern w:val="0"/>
    </w:rPr>
  </w:style>
  <w:style w:type="paragraph" w:customStyle="1" w:styleId="640">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4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42">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643">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4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b/>
      <w:bCs/>
      <w:kern w:val="0"/>
      <w:sz w:val="18"/>
      <w:szCs w:val="18"/>
    </w:rPr>
  </w:style>
  <w:style w:type="paragraph" w:customStyle="1" w:styleId="645">
    <w:name w:val="xl133"/>
    <w:basedOn w:val="1"/>
    <w:qFormat/>
    <w:uiPriority w:val="0"/>
    <w:pPr>
      <w:widowControl/>
      <w:pBdr>
        <w:top w:val="single" w:color="auto" w:sz="4" w:space="0"/>
      </w:pBdr>
      <w:spacing w:before="100" w:beforeAutospacing="1" w:after="100" w:afterAutospacing="1"/>
      <w:textAlignment w:val="bottom"/>
    </w:pPr>
    <w:rPr>
      <w:rFonts w:ascii="宋体" w:hAnsi="宋体" w:cs="宋体"/>
      <w:b/>
      <w:bCs/>
      <w:kern w:val="0"/>
    </w:rPr>
  </w:style>
  <w:style w:type="paragraph" w:customStyle="1" w:styleId="646">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微软雅黑" w:hAnsi="微软雅黑" w:eastAsia="微软雅黑" w:cs="宋体"/>
      <w:kern w:val="0"/>
      <w:sz w:val="18"/>
      <w:szCs w:val="18"/>
    </w:rPr>
  </w:style>
  <w:style w:type="paragraph" w:customStyle="1" w:styleId="64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微软雅黑" w:hAnsi="微软雅黑" w:eastAsia="微软雅黑" w:cs="宋体"/>
      <w:kern w:val="0"/>
      <w:sz w:val="18"/>
      <w:szCs w:val="18"/>
    </w:rPr>
  </w:style>
  <w:style w:type="paragraph" w:customStyle="1" w:styleId="648">
    <w:name w:val="xl138"/>
    <w:basedOn w:val="1"/>
    <w:qFormat/>
    <w:uiPriority w:val="0"/>
    <w:pPr>
      <w:widowControl/>
      <w:pBdr>
        <w:left w:val="single" w:color="auto" w:sz="4" w:space="0"/>
        <w:bottom w:val="single" w:color="auto" w:sz="4" w:space="0"/>
      </w:pBdr>
      <w:spacing w:before="100" w:beforeAutospacing="1" w:after="100" w:afterAutospacing="1"/>
    </w:pPr>
    <w:rPr>
      <w:rFonts w:ascii="微软雅黑" w:hAnsi="微软雅黑" w:eastAsia="微软雅黑" w:cs="宋体"/>
      <w:b/>
      <w:bCs/>
      <w:kern w:val="0"/>
    </w:rPr>
  </w:style>
  <w:style w:type="paragraph" w:customStyle="1" w:styleId="64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b/>
      <w:bCs/>
      <w:kern w:val="0"/>
    </w:rPr>
  </w:style>
  <w:style w:type="paragraph" w:customStyle="1" w:styleId="650">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4"/>
    </w:rPr>
  </w:style>
  <w:style w:type="paragraph" w:customStyle="1" w:styleId="651">
    <w:name w:val="xl126"/>
    <w:basedOn w:val="1"/>
    <w:qFormat/>
    <w:uiPriority w:val="0"/>
    <w:pPr>
      <w:widowControl/>
      <w:pBdr>
        <w:top w:val="single" w:color="auto" w:sz="4" w:space="0"/>
      </w:pBdr>
      <w:spacing w:before="100" w:beforeAutospacing="1" w:after="100" w:afterAutospacing="1"/>
      <w:jc w:val="left"/>
    </w:pPr>
    <w:rPr>
      <w:rFonts w:ascii="宋体" w:hAnsi="宋体" w:cs="宋体"/>
      <w:kern w:val="0"/>
      <w:sz w:val="24"/>
      <w:szCs w:val="24"/>
    </w:rPr>
  </w:style>
  <w:style w:type="paragraph" w:customStyle="1" w:styleId="652">
    <w:name w:val="xl142"/>
    <w:basedOn w:val="1"/>
    <w:qFormat/>
    <w:uiPriority w:val="0"/>
    <w:pPr>
      <w:widowControl/>
      <w:pBdr>
        <w:top w:val="single" w:color="auto" w:sz="4" w:space="0"/>
        <w:left w:val="single" w:color="auto" w:sz="4" w:space="0"/>
      </w:pBdr>
      <w:spacing w:before="100" w:beforeAutospacing="1" w:after="100" w:afterAutospacing="1"/>
      <w:textAlignment w:val="bottom"/>
    </w:pPr>
    <w:rPr>
      <w:rFonts w:ascii="微软雅黑" w:hAnsi="微软雅黑" w:eastAsia="微软雅黑" w:cs="宋体"/>
      <w:b/>
      <w:bCs/>
      <w:kern w:val="0"/>
    </w:rPr>
  </w:style>
  <w:style w:type="paragraph" w:customStyle="1" w:styleId="653">
    <w:name w:val="xl145"/>
    <w:basedOn w:val="1"/>
    <w:qFormat/>
    <w:uiPriority w:val="0"/>
    <w:pPr>
      <w:widowControl/>
      <w:pBdr>
        <w:top w:val="single" w:color="auto" w:sz="4" w:space="0"/>
        <w:right w:val="single" w:color="auto" w:sz="4" w:space="0"/>
      </w:pBdr>
      <w:spacing w:before="100" w:beforeAutospacing="1" w:after="100" w:afterAutospacing="1"/>
      <w:textAlignment w:val="bottom"/>
    </w:pPr>
    <w:rPr>
      <w:rFonts w:ascii="微软雅黑" w:hAnsi="微软雅黑" w:eastAsia="微软雅黑" w:cs="宋体"/>
      <w:b/>
      <w:bCs/>
      <w:kern w:val="0"/>
    </w:rPr>
  </w:style>
  <w:style w:type="paragraph" w:customStyle="1" w:styleId="654">
    <w:name w:val="xl117"/>
    <w:basedOn w:val="1"/>
    <w:qFormat/>
    <w:uiPriority w:val="0"/>
    <w:pPr>
      <w:widowControl/>
      <w:pBdr>
        <w:left w:val="single" w:color="auto" w:sz="4" w:space="0"/>
        <w:bottom w:val="single" w:color="auto" w:sz="4" w:space="0"/>
      </w:pBdr>
      <w:shd w:val="clear" w:color="000000" w:fill="99CCFF"/>
      <w:spacing w:before="100" w:beforeAutospacing="1" w:after="100" w:afterAutospacing="1"/>
      <w:jc w:val="center"/>
    </w:pPr>
    <w:rPr>
      <w:rFonts w:ascii="宋体" w:hAnsi="宋体" w:cs="宋体"/>
      <w:b/>
      <w:bCs/>
      <w:color w:val="FF0000"/>
      <w:kern w:val="0"/>
      <w:sz w:val="28"/>
      <w:szCs w:val="28"/>
    </w:rPr>
  </w:style>
  <w:style w:type="paragraph" w:customStyle="1" w:styleId="655">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kern w:val="0"/>
      <w:sz w:val="18"/>
      <w:szCs w:val="18"/>
    </w:rPr>
  </w:style>
  <w:style w:type="paragraph" w:customStyle="1" w:styleId="65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18"/>
      <w:szCs w:val="18"/>
    </w:rPr>
  </w:style>
  <w:style w:type="paragraph" w:customStyle="1" w:styleId="657">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sz w:val="20"/>
      <w:szCs w:val="20"/>
    </w:rPr>
  </w:style>
  <w:style w:type="paragraph" w:customStyle="1" w:styleId="658">
    <w:name w:val="xl134"/>
    <w:basedOn w:val="1"/>
    <w:qFormat/>
    <w:uiPriority w:val="0"/>
    <w:pPr>
      <w:widowControl/>
      <w:pBdr>
        <w:top w:val="single" w:color="auto" w:sz="4" w:space="0"/>
        <w:right w:val="single" w:color="auto" w:sz="4" w:space="0"/>
      </w:pBdr>
      <w:spacing w:before="100" w:beforeAutospacing="1" w:after="100" w:afterAutospacing="1"/>
      <w:textAlignment w:val="bottom"/>
    </w:pPr>
    <w:rPr>
      <w:rFonts w:ascii="宋体" w:hAnsi="宋体" w:cs="宋体"/>
      <w:b/>
      <w:bCs/>
      <w:kern w:val="0"/>
    </w:rPr>
  </w:style>
  <w:style w:type="paragraph" w:customStyle="1" w:styleId="659">
    <w:name w:val="xl118"/>
    <w:basedOn w:val="1"/>
    <w:qFormat/>
    <w:uiPriority w:val="0"/>
    <w:pPr>
      <w:widowControl/>
      <w:pBdr>
        <w:bottom w:val="single" w:color="auto" w:sz="4" w:space="0"/>
      </w:pBdr>
      <w:spacing w:before="100" w:beforeAutospacing="1" w:after="100" w:afterAutospacing="1"/>
      <w:jc w:val="center"/>
    </w:pPr>
    <w:rPr>
      <w:kern w:val="0"/>
      <w:sz w:val="28"/>
      <w:szCs w:val="28"/>
    </w:rPr>
  </w:style>
  <w:style w:type="paragraph" w:customStyle="1" w:styleId="660">
    <w:name w:val="xl99"/>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b/>
      <w:bCs/>
      <w:kern w:val="0"/>
      <w:sz w:val="18"/>
      <w:szCs w:val="18"/>
    </w:rPr>
  </w:style>
  <w:style w:type="paragraph" w:customStyle="1" w:styleId="661">
    <w:name w:val="xl143"/>
    <w:basedOn w:val="1"/>
    <w:qFormat/>
    <w:uiPriority w:val="0"/>
    <w:pPr>
      <w:widowControl/>
      <w:pBdr>
        <w:top w:val="single" w:color="auto" w:sz="4" w:space="0"/>
      </w:pBdr>
      <w:spacing w:before="100" w:beforeAutospacing="1" w:after="100" w:afterAutospacing="1"/>
      <w:textAlignment w:val="bottom"/>
    </w:pPr>
    <w:rPr>
      <w:rFonts w:ascii="微软雅黑" w:hAnsi="微软雅黑" w:eastAsia="微软雅黑" w:cs="宋体"/>
      <w:b/>
      <w:bCs/>
      <w:kern w:val="0"/>
    </w:rPr>
  </w:style>
  <w:style w:type="paragraph" w:customStyle="1" w:styleId="662">
    <w:name w:val="xl131"/>
    <w:basedOn w:val="1"/>
    <w:qFormat/>
    <w:uiPriority w:val="0"/>
    <w:pPr>
      <w:widowControl/>
      <w:pBdr>
        <w:top w:val="single" w:color="auto" w:sz="4" w:space="0"/>
        <w:left w:val="single" w:color="auto" w:sz="4" w:space="0"/>
      </w:pBdr>
      <w:spacing w:before="100" w:beforeAutospacing="1" w:after="100" w:afterAutospacing="1"/>
      <w:textAlignment w:val="bottom"/>
    </w:pPr>
    <w:rPr>
      <w:rFonts w:ascii="宋体" w:hAnsi="宋体" w:cs="宋体"/>
      <w:b/>
      <w:bCs/>
      <w:kern w:val="0"/>
    </w:rPr>
  </w:style>
  <w:style w:type="paragraph" w:customStyle="1" w:styleId="663">
    <w:name w:val="xl104"/>
    <w:basedOn w:val="1"/>
    <w:qFormat/>
    <w:uiPriority w:val="0"/>
    <w:pPr>
      <w:widowControl/>
      <w:spacing w:before="100" w:beforeAutospacing="1" w:after="100" w:afterAutospacing="1"/>
      <w:jc w:val="center"/>
    </w:pPr>
    <w:rPr>
      <w:kern w:val="0"/>
      <w:sz w:val="28"/>
      <w:szCs w:val="28"/>
    </w:rPr>
  </w:style>
  <w:style w:type="paragraph" w:customStyle="1" w:styleId="664">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4"/>
      <w:szCs w:val="24"/>
    </w:rPr>
  </w:style>
  <w:style w:type="paragraph" w:customStyle="1" w:styleId="665">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6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b/>
      <w:bCs/>
      <w:kern w:val="0"/>
    </w:rPr>
  </w:style>
  <w:style w:type="paragraph" w:customStyle="1" w:styleId="667">
    <w:name w:val="xl148"/>
    <w:basedOn w:val="1"/>
    <w:qFormat/>
    <w:uiPriority w:val="0"/>
    <w:pPr>
      <w:widowControl/>
      <w:pBdr>
        <w:bottom w:val="single" w:color="auto" w:sz="4" w:space="0"/>
      </w:pBdr>
      <w:spacing w:before="100" w:beforeAutospacing="1" w:after="100" w:afterAutospacing="1"/>
    </w:pPr>
    <w:rPr>
      <w:rFonts w:ascii="微软雅黑" w:hAnsi="微软雅黑" w:eastAsia="微软雅黑" w:cs="宋体"/>
      <w:b/>
      <w:bCs/>
      <w:kern w:val="0"/>
      <w:sz w:val="18"/>
      <w:szCs w:val="18"/>
    </w:rPr>
  </w:style>
  <w:style w:type="paragraph" w:customStyle="1" w:styleId="66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18"/>
      <w:szCs w:val="18"/>
    </w:rPr>
  </w:style>
  <w:style w:type="paragraph" w:customStyle="1" w:styleId="66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18"/>
      <w:szCs w:val="18"/>
    </w:rPr>
  </w:style>
  <w:style w:type="paragraph" w:customStyle="1" w:styleId="670">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sz w:val="20"/>
      <w:szCs w:val="20"/>
    </w:rPr>
  </w:style>
  <w:style w:type="paragraph" w:customStyle="1" w:styleId="671">
    <w:name w:val="xl150"/>
    <w:basedOn w:val="1"/>
    <w:qFormat/>
    <w:uiPriority w:val="0"/>
    <w:pPr>
      <w:widowControl/>
      <w:pBdr>
        <w:left w:val="single" w:color="auto" w:sz="4" w:space="0"/>
        <w:bottom w:val="single" w:color="auto" w:sz="4" w:space="0"/>
      </w:pBdr>
      <w:shd w:val="clear" w:color="000000" w:fill="99CCFF"/>
      <w:spacing w:before="100" w:beforeAutospacing="1" w:after="100" w:afterAutospacing="1"/>
      <w:jc w:val="center"/>
    </w:pPr>
    <w:rPr>
      <w:rFonts w:ascii="宋体" w:hAnsi="宋体" w:cs="宋体"/>
      <w:b/>
      <w:bCs/>
      <w:color w:val="FF0000"/>
      <w:kern w:val="0"/>
      <w:sz w:val="32"/>
      <w:szCs w:val="32"/>
    </w:rPr>
  </w:style>
  <w:style w:type="paragraph" w:customStyle="1" w:styleId="672">
    <w:name w:val="xl98"/>
    <w:basedOn w:val="1"/>
    <w:qFormat/>
    <w:uiPriority w:val="0"/>
    <w:pPr>
      <w:widowControl/>
      <w:pBdr>
        <w:top w:val="single" w:color="auto" w:sz="4" w:space="0"/>
        <w:bottom w:val="single" w:color="auto" w:sz="4" w:space="0"/>
      </w:pBdr>
      <w:spacing w:before="100" w:beforeAutospacing="1" w:after="100" w:afterAutospacing="1"/>
      <w:jc w:val="left"/>
    </w:pPr>
    <w:rPr>
      <w:rFonts w:ascii="微软雅黑" w:hAnsi="微软雅黑" w:eastAsia="微软雅黑" w:cs="宋体"/>
      <w:b/>
      <w:bCs/>
      <w:kern w:val="0"/>
      <w:sz w:val="18"/>
      <w:szCs w:val="18"/>
    </w:rPr>
  </w:style>
  <w:style w:type="paragraph" w:customStyle="1" w:styleId="673">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74">
    <w:name w:val="xl125"/>
    <w:basedOn w:val="1"/>
    <w:qFormat/>
    <w:uiPriority w:val="0"/>
    <w:pPr>
      <w:widowControl/>
      <w:pBdr>
        <w:top w:val="single" w:color="auto" w:sz="4" w:space="0"/>
      </w:pBdr>
      <w:spacing w:before="100" w:beforeAutospacing="1" w:after="100" w:afterAutospacing="1"/>
      <w:jc w:val="left"/>
    </w:pPr>
    <w:rPr>
      <w:rFonts w:ascii="宋体" w:hAnsi="宋体" w:cs="宋体"/>
      <w:kern w:val="0"/>
      <w:sz w:val="24"/>
      <w:szCs w:val="24"/>
    </w:rPr>
  </w:style>
  <w:style w:type="paragraph" w:customStyle="1" w:styleId="67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676">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bottom"/>
    </w:pPr>
    <w:rPr>
      <w:kern w:val="0"/>
      <w:sz w:val="40"/>
      <w:szCs w:val="40"/>
    </w:rPr>
  </w:style>
  <w:style w:type="paragraph" w:customStyle="1" w:styleId="67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b/>
      <w:bCs/>
      <w:kern w:val="0"/>
      <w:sz w:val="18"/>
      <w:szCs w:val="18"/>
    </w:rPr>
  </w:style>
  <w:style w:type="paragraph" w:customStyle="1" w:styleId="678">
    <w:name w:val="默认段落字体 Para Char Char Char Char Char Char Char Char Char Char"/>
    <w:basedOn w:val="1"/>
    <w:qFormat/>
    <w:uiPriority w:val="0"/>
    <w:rPr>
      <w:rFonts w:ascii="Tahoma" w:hAnsi="Tahoma"/>
      <w:sz w:val="24"/>
      <w:szCs w:val="20"/>
    </w:rPr>
  </w:style>
  <w:style w:type="paragraph" w:customStyle="1" w:styleId="679">
    <w:name w:val="xl120"/>
    <w:basedOn w:val="1"/>
    <w:qFormat/>
    <w:uiPriority w:val="0"/>
    <w:pPr>
      <w:widowControl/>
      <w:pBdr>
        <w:bottom w:val="single" w:color="auto" w:sz="4" w:space="0"/>
        <w:right w:val="single" w:color="auto" w:sz="4" w:space="0"/>
      </w:pBdr>
      <w:spacing w:before="100" w:beforeAutospacing="1" w:after="100" w:afterAutospacing="1"/>
      <w:jc w:val="center"/>
    </w:pPr>
    <w:rPr>
      <w:kern w:val="0"/>
      <w:sz w:val="28"/>
      <w:szCs w:val="28"/>
    </w:rPr>
  </w:style>
  <w:style w:type="paragraph" w:customStyle="1" w:styleId="680">
    <w:name w:val="xl103"/>
    <w:basedOn w:val="1"/>
    <w:qFormat/>
    <w:uiPriority w:val="0"/>
    <w:pPr>
      <w:widowControl/>
      <w:spacing w:before="100" w:beforeAutospacing="1" w:after="100" w:afterAutospacing="1"/>
      <w:jc w:val="center"/>
    </w:pPr>
    <w:rPr>
      <w:kern w:val="0"/>
      <w:sz w:val="28"/>
      <w:szCs w:val="28"/>
    </w:rPr>
  </w:style>
  <w:style w:type="paragraph" w:customStyle="1" w:styleId="681">
    <w:name w:val="xl114"/>
    <w:basedOn w:val="1"/>
    <w:qFormat/>
    <w:uiPriority w:val="0"/>
    <w:pPr>
      <w:widowControl/>
      <w:pBdr>
        <w:top w:val="single" w:color="auto" w:sz="4" w:space="0"/>
        <w:left w:val="single" w:color="auto" w:sz="4" w:space="0"/>
        <w:right w:val="single" w:color="auto" w:sz="4" w:space="0"/>
      </w:pBdr>
      <w:shd w:val="clear" w:color="000000" w:fill="99CCFF"/>
      <w:spacing w:before="100" w:beforeAutospacing="1" w:after="100" w:afterAutospacing="1"/>
      <w:jc w:val="center"/>
      <w:textAlignment w:val="bottom"/>
    </w:pPr>
    <w:rPr>
      <w:rFonts w:ascii="宋体" w:hAnsi="宋体" w:cs="宋体"/>
      <w:b/>
      <w:bCs/>
      <w:color w:val="FF0000"/>
      <w:kern w:val="0"/>
      <w:sz w:val="40"/>
      <w:szCs w:val="40"/>
    </w:rPr>
  </w:style>
  <w:style w:type="paragraph" w:customStyle="1" w:styleId="682">
    <w:name w:val="xl149"/>
    <w:basedOn w:val="1"/>
    <w:qFormat/>
    <w:uiPriority w:val="0"/>
    <w:pPr>
      <w:widowControl/>
      <w:pBdr>
        <w:bottom w:val="single" w:color="auto" w:sz="4" w:space="0"/>
        <w:right w:val="single" w:color="auto" w:sz="4" w:space="0"/>
      </w:pBdr>
      <w:spacing w:before="100" w:beforeAutospacing="1" w:after="100" w:afterAutospacing="1"/>
    </w:pPr>
    <w:rPr>
      <w:rFonts w:ascii="微软雅黑" w:hAnsi="微软雅黑" w:eastAsia="微软雅黑" w:cs="宋体"/>
      <w:b/>
      <w:bCs/>
      <w:kern w:val="0"/>
      <w:sz w:val="18"/>
      <w:szCs w:val="18"/>
    </w:rPr>
  </w:style>
  <w:style w:type="paragraph" w:customStyle="1" w:styleId="683">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18"/>
      <w:szCs w:val="18"/>
    </w:rPr>
  </w:style>
  <w:style w:type="paragraph" w:customStyle="1" w:styleId="68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68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686">
    <w:name w:val="xl146"/>
    <w:basedOn w:val="1"/>
    <w:qFormat/>
    <w:uiPriority w:val="0"/>
    <w:pPr>
      <w:widowControl/>
      <w:pBdr>
        <w:left w:val="single" w:color="auto" w:sz="4" w:space="0"/>
        <w:bottom w:val="single" w:color="auto" w:sz="4" w:space="0"/>
      </w:pBdr>
      <w:spacing w:before="100" w:beforeAutospacing="1" w:after="100" w:afterAutospacing="1"/>
    </w:pPr>
    <w:rPr>
      <w:rFonts w:ascii="微软雅黑" w:hAnsi="微软雅黑" w:eastAsia="微软雅黑" w:cs="宋体"/>
      <w:b/>
      <w:bCs/>
      <w:kern w:val="0"/>
      <w:sz w:val="18"/>
      <w:szCs w:val="18"/>
    </w:rPr>
  </w:style>
  <w:style w:type="paragraph" w:customStyle="1" w:styleId="687">
    <w:name w:val="xl128"/>
    <w:basedOn w:val="1"/>
    <w:qFormat/>
    <w:uiPriority w:val="0"/>
    <w:pPr>
      <w:widowControl/>
      <w:spacing w:before="100" w:beforeAutospacing="1" w:after="100" w:afterAutospacing="1"/>
      <w:jc w:val="center"/>
    </w:pPr>
    <w:rPr>
      <w:rFonts w:ascii="宋体" w:hAnsi="宋体" w:cs="宋体"/>
      <w:kern w:val="0"/>
      <w:sz w:val="28"/>
      <w:szCs w:val="28"/>
    </w:rPr>
  </w:style>
  <w:style w:type="paragraph" w:customStyle="1" w:styleId="688">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kern w:val="0"/>
      <w:sz w:val="20"/>
      <w:szCs w:val="20"/>
    </w:rPr>
  </w:style>
  <w:style w:type="paragraph" w:customStyle="1" w:styleId="689">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4"/>
    </w:rPr>
  </w:style>
  <w:style w:type="paragraph" w:customStyle="1" w:styleId="690">
    <w:name w:val="xl141"/>
    <w:basedOn w:val="1"/>
    <w:qFormat/>
    <w:uiPriority w:val="0"/>
    <w:pPr>
      <w:widowControl/>
      <w:pBdr>
        <w:bottom w:val="single" w:color="auto" w:sz="4" w:space="0"/>
        <w:right w:val="single" w:color="auto" w:sz="4" w:space="0"/>
      </w:pBdr>
      <w:spacing w:before="100" w:beforeAutospacing="1" w:after="100" w:afterAutospacing="1"/>
    </w:pPr>
    <w:rPr>
      <w:rFonts w:ascii="微软雅黑" w:hAnsi="微软雅黑" w:eastAsia="微软雅黑" w:cs="宋体"/>
      <w:b/>
      <w:bCs/>
      <w:kern w:val="0"/>
    </w:rPr>
  </w:style>
  <w:style w:type="paragraph" w:customStyle="1" w:styleId="69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b/>
      <w:bCs/>
      <w:kern w:val="0"/>
    </w:rPr>
  </w:style>
  <w:style w:type="paragraph" w:customStyle="1" w:styleId="692">
    <w:name w:val="xl71"/>
    <w:basedOn w:val="1"/>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sz w:val="20"/>
      <w:szCs w:val="20"/>
    </w:rPr>
  </w:style>
  <w:style w:type="paragraph" w:customStyle="1" w:styleId="693">
    <w:name w:val="xl119"/>
    <w:basedOn w:val="1"/>
    <w:qFormat/>
    <w:uiPriority w:val="0"/>
    <w:pPr>
      <w:widowControl/>
      <w:pBdr>
        <w:bottom w:val="single" w:color="auto" w:sz="4" w:space="0"/>
      </w:pBdr>
      <w:spacing w:before="100" w:beforeAutospacing="1" w:after="100" w:afterAutospacing="1"/>
      <w:jc w:val="center"/>
    </w:pPr>
    <w:rPr>
      <w:kern w:val="0"/>
      <w:sz w:val="28"/>
      <w:szCs w:val="28"/>
    </w:rPr>
  </w:style>
  <w:style w:type="paragraph" w:customStyle="1" w:styleId="694">
    <w:name w:val="xl127"/>
    <w:basedOn w:val="1"/>
    <w:qFormat/>
    <w:uiPriority w:val="0"/>
    <w:pPr>
      <w:widowControl/>
      <w:spacing w:before="100" w:beforeAutospacing="1" w:after="100" w:afterAutospacing="1"/>
      <w:jc w:val="center"/>
    </w:pPr>
    <w:rPr>
      <w:rFonts w:ascii="宋体" w:hAnsi="宋体" w:cs="宋体"/>
      <w:kern w:val="0"/>
      <w:sz w:val="28"/>
      <w:szCs w:val="28"/>
    </w:rPr>
  </w:style>
  <w:style w:type="paragraph" w:customStyle="1" w:styleId="695">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kern w:val="0"/>
      <w:sz w:val="18"/>
      <w:szCs w:val="18"/>
    </w:rPr>
  </w:style>
  <w:style w:type="paragraph" w:customStyle="1" w:styleId="696">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20"/>
      <w:szCs w:val="20"/>
    </w:rPr>
  </w:style>
  <w:style w:type="paragraph" w:customStyle="1" w:styleId="697">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微软雅黑" w:hAnsi="微软雅黑" w:eastAsia="微软雅黑" w:cs="宋体"/>
      <w:kern w:val="0"/>
      <w:sz w:val="18"/>
      <w:szCs w:val="18"/>
    </w:rPr>
  </w:style>
  <w:style w:type="paragraph" w:customStyle="1" w:styleId="69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699">
    <w:name w:val="xl9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70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微软雅黑" w:hAnsi="微软雅黑" w:eastAsia="微软雅黑" w:cs="宋体"/>
      <w:kern w:val="0"/>
      <w:sz w:val="18"/>
      <w:szCs w:val="18"/>
    </w:rPr>
  </w:style>
  <w:style w:type="paragraph" w:customStyle="1" w:styleId="701">
    <w:name w:val="xl153"/>
    <w:basedOn w:val="1"/>
    <w:qFormat/>
    <w:uiPriority w:val="0"/>
    <w:pPr>
      <w:widowControl/>
      <w:pBdr>
        <w:bottom w:val="single" w:color="auto" w:sz="4" w:space="0"/>
        <w:right w:val="single" w:color="auto" w:sz="4" w:space="0"/>
      </w:pBdr>
      <w:spacing w:before="100" w:beforeAutospacing="1" w:after="100" w:afterAutospacing="1"/>
      <w:jc w:val="center"/>
    </w:pPr>
    <w:rPr>
      <w:kern w:val="0"/>
      <w:sz w:val="32"/>
      <w:szCs w:val="32"/>
    </w:rPr>
  </w:style>
  <w:style w:type="paragraph" w:customStyle="1" w:styleId="702">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703">
    <w:name w:val="xl144"/>
    <w:basedOn w:val="1"/>
    <w:qFormat/>
    <w:uiPriority w:val="0"/>
    <w:pPr>
      <w:widowControl/>
      <w:pBdr>
        <w:top w:val="single" w:color="auto" w:sz="4" w:space="0"/>
      </w:pBdr>
      <w:spacing w:before="100" w:beforeAutospacing="1" w:after="100" w:afterAutospacing="1"/>
      <w:textAlignment w:val="bottom"/>
    </w:pPr>
    <w:rPr>
      <w:rFonts w:ascii="微软雅黑" w:hAnsi="微软雅黑" w:eastAsia="微软雅黑" w:cs="宋体"/>
      <w:b/>
      <w:bCs/>
      <w:kern w:val="0"/>
    </w:rPr>
  </w:style>
  <w:style w:type="paragraph" w:customStyle="1" w:styleId="704">
    <w:name w:val="xl129"/>
    <w:basedOn w:val="1"/>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sz w:val="20"/>
      <w:szCs w:val="20"/>
    </w:rPr>
  </w:style>
  <w:style w:type="paragraph" w:customStyle="1" w:styleId="705">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szCs w:val="24"/>
    </w:rPr>
  </w:style>
  <w:style w:type="paragraph" w:customStyle="1" w:styleId="706">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18"/>
      <w:szCs w:val="18"/>
    </w:rPr>
  </w:style>
  <w:style w:type="paragraph" w:customStyle="1" w:styleId="707">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szCs w:val="24"/>
    </w:rPr>
  </w:style>
  <w:style w:type="character" w:customStyle="1" w:styleId="708">
    <w:name w:val="标题 1 字符1"/>
    <w:basedOn w:val="62"/>
    <w:qFormat/>
    <w:uiPriority w:val="0"/>
    <w:rPr>
      <w:rFonts w:ascii="Times New Roman" w:hAnsi="Times New Roman" w:eastAsia="宋体" w:cs="Times New Roman"/>
      <w:b/>
      <w:bCs/>
      <w:kern w:val="44"/>
      <w:sz w:val="44"/>
      <w:szCs w:val="44"/>
    </w:rPr>
  </w:style>
  <w:style w:type="character" w:customStyle="1" w:styleId="709">
    <w:name w:val="标题 2 字符1"/>
    <w:basedOn w:val="62"/>
    <w:semiHidden/>
    <w:qFormat/>
    <w:uiPriority w:val="0"/>
    <w:rPr>
      <w:rFonts w:asciiTheme="majorHAnsi" w:hAnsiTheme="majorHAnsi" w:eastAsiaTheme="majorEastAsia" w:cstheme="majorBidi"/>
      <w:b/>
      <w:bCs/>
      <w:kern w:val="2"/>
      <w:sz w:val="32"/>
      <w:szCs w:val="32"/>
    </w:rPr>
  </w:style>
  <w:style w:type="character" w:customStyle="1" w:styleId="710">
    <w:name w:val="标题 3 字符1"/>
    <w:basedOn w:val="62"/>
    <w:semiHidden/>
    <w:qFormat/>
    <w:uiPriority w:val="0"/>
    <w:rPr>
      <w:rFonts w:ascii="Times New Roman" w:hAnsi="Times New Roman" w:eastAsia="宋体" w:cs="Times New Roman"/>
      <w:b/>
      <w:bCs/>
      <w:kern w:val="2"/>
      <w:sz w:val="32"/>
      <w:szCs w:val="32"/>
    </w:rPr>
  </w:style>
  <w:style w:type="character" w:customStyle="1" w:styleId="711">
    <w:name w:val="标题 4 字符1"/>
    <w:basedOn w:val="62"/>
    <w:semiHidden/>
    <w:qFormat/>
    <w:uiPriority w:val="0"/>
    <w:rPr>
      <w:rFonts w:asciiTheme="majorHAnsi" w:hAnsiTheme="majorHAnsi" w:eastAsiaTheme="majorEastAsia" w:cstheme="majorBidi"/>
      <w:b/>
      <w:bCs/>
      <w:kern w:val="2"/>
      <w:sz w:val="28"/>
      <w:szCs w:val="28"/>
    </w:rPr>
  </w:style>
  <w:style w:type="character" w:customStyle="1" w:styleId="712">
    <w:name w:val="标题 5 字符1"/>
    <w:basedOn w:val="62"/>
    <w:semiHidden/>
    <w:qFormat/>
    <w:uiPriority w:val="0"/>
    <w:rPr>
      <w:rFonts w:ascii="Times New Roman" w:hAnsi="Times New Roman" w:eastAsia="宋体" w:cs="Times New Roman"/>
      <w:b/>
      <w:bCs/>
      <w:kern w:val="2"/>
      <w:sz w:val="28"/>
      <w:szCs w:val="28"/>
    </w:rPr>
  </w:style>
  <w:style w:type="character" w:customStyle="1" w:styleId="713">
    <w:name w:val="标题 6 字符1"/>
    <w:basedOn w:val="62"/>
    <w:semiHidden/>
    <w:qFormat/>
    <w:uiPriority w:val="0"/>
    <w:rPr>
      <w:rFonts w:asciiTheme="majorHAnsi" w:hAnsiTheme="majorHAnsi" w:eastAsiaTheme="majorEastAsia" w:cstheme="majorBidi"/>
      <w:b/>
      <w:bCs/>
      <w:kern w:val="2"/>
      <w:sz w:val="24"/>
      <w:szCs w:val="24"/>
    </w:rPr>
  </w:style>
  <w:style w:type="character" w:customStyle="1" w:styleId="714">
    <w:name w:val="标题 7 字符1"/>
    <w:basedOn w:val="62"/>
    <w:semiHidden/>
    <w:qFormat/>
    <w:uiPriority w:val="0"/>
    <w:rPr>
      <w:rFonts w:ascii="Times New Roman" w:hAnsi="Times New Roman" w:eastAsia="宋体" w:cs="Times New Roman"/>
      <w:b/>
      <w:bCs/>
      <w:kern w:val="2"/>
      <w:sz w:val="24"/>
      <w:szCs w:val="24"/>
    </w:rPr>
  </w:style>
  <w:style w:type="character" w:customStyle="1" w:styleId="715">
    <w:name w:val="标题 8 字符1"/>
    <w:basedOn w:val="62"/>
    <w:semiHidden/>
    <w:qFormat/>
    <w:uiPriority w:val="0"/>
    <w:rPr>
      <w:rFonts w:asciiTheme="majorHAnsi" w:hAnsiTheme="majorHAnsi" w:eastAsiaTheme="majorEastAsia" w:cstheme="majorBidi"/>
      <w:kern w:val="2"/>
      <w:sz w:val="24"/>
      <w:szCs w:val="24"/>
    </w:rPr>
  </w:style>
  <w:style w:type="character" w:customStyle="1" w:styleId="716">
    <w:name w:val="标题 9 字符1"/>
    <w:basedOn w:val="62"/>
    <w:semiHidden/>
    <w:qFormat/>
    <w:uiPriority w:val="0"/>
    <w:rPr>
      <w:rFonts w:asciiTheme="majorHAnsi" w:hAnsiTheme="majorHAnsi" w:eastAsiaTheme="majorEastAsia" w:cstheme="majorBidi"/>
      <w:kern w:val="2"/>
      <w:sz w:val="21"/>
      <w:szCs w:val="21"/>
    </w:rPr>
  </w:style>
  <w:style w:type="character" w:customStyle="1" w:styleId="717">
    <w:name w:val="纯文本 字符1"/>
    <w:basedOn w:val="62"/>
    <w:semiHidden/>
    <w:qFormat/>
    <w:uiPriority w:val="99"/>
    <w:rPr>
      <w:rFonts w:hAnsi="Courier New" w:cs="Courier New" w:asciiTheme="minorEastAsia"/>
      <w:sz w:val="24"/>
      <w:szCs w:val="24"/>
    </w:rPr>
  </w:style>
  <w:style w:type="character" w:customStyle="1" w:styleId="718">
    <w:name w:val="info"/>
    <w:basedOn w:val="62"/>
    <w:qFormat/>
    <w:uiPriority w:val="0"/>
  </w:style>
  <w:style w:type="paragraph" w:customStyle="1" w:styleId="719">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20">
    <w:name w:val="正文 首行缩进:  2 字符 Char Char Char Char Char"/>
    <w:basedOn w:val="1"/>
    <w:link w:val="721"/>
    <w:qFormat/>
    <w:uiPriority w:val="0"/>
    <w:pPr>
      <w:spacing w:line="360" w:lineRule="auto"/>
      <w:ind w:firstLine="480" w:firstLineChars="200"/>
      <w:jc w:val="left"/>
    </w:pPr>
    <w:rPr>
      <w:rFonts w:asciiTheme="minorEastAsia" w:hAnsiTheme="minorEastAsia" w:eastAsiaTheme="minorEastAsia"/>
      <w:sz w:val="24"/>
      <w:szCs w:val="28"/>
    </w:rPr>
  </w:style>
  <w:style w:type="character" w:customStyle="1" w:styleId="721">
    <w:name w:val="正文 首行缩进:  2 字符 Char Char Char Char Char Char"/>
    <w:link w:val="720"/>
    <w:qFormat/>
    <w:uiPriority w:val="0"/>
    <w:rPr>
      <w:rFonts w:asciiTheme="minorEastAsia" w:hAnsiTheme="minorEastAsia" w:eastAsiaTheme="minorEastAsia"/>
      <w:kern w:val="2"/>
      <w:sz w:val="24"/>
      <w:szCs w:val="28"/>
    </w:rPr>
  </w:style>
  <w:style w:type="character" w:customStyle="1" w:styleId="722">
    <w:name w:val="font11"/>
    <w:basedOn w:val="62"/>
    <w:qFormat/>
    <w:uiPriority w:val="0"/>
    <w:rPr>
      <w:rFonts w:ascii="Arial" w:hAnsi="Arial" w:cs="Arial"/>
      <w:color w:val="000000"/>
      <w:sz w:val="20"/>
      <w:szCs w:val="20"/>
      <w:u w:val="none"/>
    </w:rPr>
  </w:style>
  <w:style w:type="paragraph" w:customStyle="1" w:styleId="723">
    <w:name w:val="hik1"/>
    <w:basedOn w:val="3"/>
    <w:next w:val="1"/>
    <w:link w:val="724"/>
    <w:qFormat/>
    <w:uiPriority w:val="0"/>
    <w:pPr>
      <w:numPr>
        <w:ilvl w:val="0"/>
        <w:numId w:val="25"/>
      </w:numPr>
      <w:spacing w:line="578" w:lineRule="auto"/>
      <w:ind w:left="420" w:hanging="420" w:firstLineChars="200"/>
      <w:jc w:val="center"/>
    </w:pPr>
    <w:rPr>
      <w:rFonts w:hint="default" w:hAnsiTheme="minorHAnsi" w:cstheme="minorBidi"/>
      <w:bCs/>
      <w:color w:val="4A452A" w:themeColor="background2" w:themeShade="40"/>
      <w:kern w:val="44"/>
      <w:szCs w:val="44"/>
    </w:rPr>
  </w:style>
  <w:style w:type="character" w:customStyle="1" w:styleId="724">
    <w:name w:val="hik1 Char"/>
    <w:basedOn w:val="72"/>
    <w:link w:val="723"/>
    <w:qFormat/>
    <w:uiPriority w:val="0"/>
    <w:rPr>
      <w:rFonts w:ascii="宋体" w:hAnsiTheme="minorHAnsi" w:cstheme="minorBidi"/>
      <w:bCs/>
      <w:color w:val="4A452A" w:themeColor="background2" w:themeShade="40"/>
      <w:kern w:val="44"/>
      <w:sz w:val="36"/>
      <w:szCs w:val="44"/>
    </w:rPr>
  </w:style>
  <w:style w:type="paragraph" w:customStyle="1" w:styleId="725">
    <w:name w:val="hik2"/>
    <w:basedOn w:val="4"/>
    <w:next w:val="1"/>
    <w:link w:val="726"/>
    <w:qFormat/>
    <w:uiPriority w:val="0"/>
    <w:pPr>
      <w:widowControl w:val="0"/>
      <w:tabs>
        <w:tab w:val="left" w:pos="720"/>
      </w:tabs>
      <w:ind w:left="420" w:hanging="420" w:firstLineChars="200"/>
      <w:jc w:val="both"/>
    </w:pPr>
    <w:rPr>
      <w:rFonts w:asciiTheme="majorHAnsi" w:hAnsiTheme="majorHAnsi" w:eastAsiaTheme="majorEastAsia" w:cstheme="majorBidi"/>
    </w:rPr>
  </w:style>
  <w:style w:type="character" w:customStyle="1" w:styleId="726">
    <w:name w:val="hik2 Char"/>
    <w:basedOn w:val="73"/>
    <w:link w:val="725"/>
    <w:qFormat/>
    <w:uiPriority w:val="0"/>
    <w:rPr>
      <w:rFonts w:asciiTheme="majorHAnsi" w:hAnsiTheme="majorHAnsi" w:eastAsiaTheme="majorEastAsia" w:cstheme="majorBidi"/>
      <w:kern w:val="2"/>
      <w:sz w:val="32"/>
      <w:szCs w:val="32"/>
    </w:rPr>
  </w:style>
  <w:style w:type="paragraph" w:customStyle="1" w:styleId="727">
    <w:name w:val="bgg"/>
    <w:basedOn w:val="1"/>
    <w:qFormat/>
    <w:uiPriority w:val="0"/>
    <w:pPr>
      <w:snapToGrid w:val="0"/>
      <w:ind w:left="52" w:leftChars="25" w:right="25" w:rightChars="25"/>
      <w:jc w:val="center"/>
    </w:pPr>
    <w:rPr>
      <w:rFonts w:ascii="宋体" w:hAnsi="Calibri"/>
      <w:b/>
      <w:color w:val="000000"/>
      <w:sz w:val="18"/>
      <w:szCs w:val="20"/>
    </w:rPr>
  </w:style>
  <w:style w:type="paragraph" w:customStyle="1" w:styleId="728">
    <w:name w:val="正文 w"/>
    <w:basedOn w:val="1"/>
    <w:link w:val="729"/>
    <w:qFormat/>
    <w:uiPriority w:val="0"/>
    <w:pPr>
      <w:spacing w:line="360" w:lineRule="auto"/>
      <w:ind w:firstLine="480" w:firstLineChars="200"/>
      <w:jc w:val="left"/>
    </w:pPr>
    <w:rPr>
      <w:rFonts w:ascii="Calibri" w:hAnsi="Calibri"/>
      <w:kern w:val="0"/>
      <w:sz w:val="24"/>
      <w:szCs w:val="24"/>
      <w:lang w:val="zh-CN"/>
    </w:rPr>
  </w:style>
  <w:style w:type="character" w:customStyle="1" w:styleId="729">
    <w:name w:val="正文 w Char"/>
    <w:link w:val="728"/>
    <w:qFormat/>
    <w:uiPriority w:val="0"/>
    <w:rPr>
      <w:rFonts w:ascii="Calibri" w:hAnsi="Calibri"/>
      <w:sz w:val="24"/>
      <w:szCs w:val="24"/>
      <w:lang w:val="zh-CN" w:eastAsia="zh-CN"/>
    </w:rPr>
  </w:style>
  <w:style w:type="paragraph" w:customStyle="1" w:styleId="730">
    <w:name w:val="hik-正文"/>
    <w:basedOn w:val="1"/>
    <w:link w:val="731"/>
    <w:qFormat/>
    <w:uiPriority w:val="0"/>
    <w:pPr>
      <w:spacing w:line="360" w:lineRule="auto"/>
      <w:ind w:firstLine="420" w:firstLineChars="200"/>
      <w:jc w:val="left"/>
    </w:pPr>
    <w:rPr>
      <w:rFonts w:ascii="Arial" w:hAnsi="Arial" w:cs="宋体"/>
      <w:szCs w:val="22"/>
    </w:rPr>
  </w:style>
  <w:style w:type="character" w:customStyle="1" w:styleId="731">
    <w:name w:val="hik-正文 Char"/>
    <w:link w:val="730"/>
    <w:qFormat/>
    <w:uiPriority w:val="0"/>
    <w:rPr>
      <w:rFonts w:ascii="Arial" w:hAnsi="Arial" w:cs="宋体"/>
      <w:kern w:val="2"/>
      <w:sz w:val="21"/>
      <w:szCs w:val="22"/>
    </w:rPr>
  </w:style>
  <w:style w:type="paragraph" w:customStyle="1" w:styleId="732">
    <w:name w:val="hik"/>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33">
    <w:name w:val="xl7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34">
    <w:name w:val="拓扑图1"/>
    <w:basedOn w:val="11"/>
    <w:qFormat/>
    <w:uiPriority w:val="0"/>
    <w:pPr>
      <w:adjustRightInd w:val="0"/>
      <w:spacing w:line="240" w:lineRule="auto"/>
      <w:ind w:left="1440" w:firstLine="200"/>
      <w:textAlignment w:val="baseline"/>
    </w:pPr>
    <w:rPr>
      <w:rFonts w:ascii="宋体" w:hAnsi="Times New Roman" w:eastAsia="宋体" w:cs="Times New Roman"/>
      <w:b/>
      <w:color w:val="000000"/>
      <w:sz w:val="11"/>
      <w:szCs w:val="20"/>
    </w:rPr>
  </w:style>
  <w:style w:type="paragraph" w:customStyle="1" w:styleId="735">
    <w:name w:val="修订2"/>
    <w:hidden/>
    <w:semiHidden/>
    <w:qFormat/>
    <w:uiPriority w:val="99"/>
    <w:rPr>
      <w:rFonts w:ascii="Times New Roman" w:hAnsi="Times New Roman" w:eastAsia="宋体" w:cs="Times New Roman"/>
      <w:kern w:val="2"/>
      <w:sz w:val="21"/>
      <w:szCs w:val="21"/>
      <w:lang w:val="en-US" w:eastAsia="zh-CN" w:bidi="ar-SA"/>
    </w:rPr>
  </w:style>
  <w:style w:type="paragraph" w:customStyle="1" w:styleId="736">
    <w:name w:val="首行缩进"/>
    <w:basedOn w:val="1"/>
    <w:qFormat/>
    <w:uiPriority w:val="0"/>
    <w:pPr>
      <w:spacing w:line="360" w:lineRule="auto"/>
      <w:ind w:firstLine="480" w:firstLineChars="200"/>
    </w:pPr>
    <w:rPr>
      <w:sz w:val="24"/>
      <w:lang w:val="zh-CN"/>
    </w:rPr>
  </w:style>
  <w:style w:type="paragraph" w:customStyle="1" w:styleId="737">
    <w:name w:val="表格内容"/>
    <w:basedOn w:val="1"/>
    <w:qFormat/>
    <w:uiPriority w:val="0"/>
    <w:pPr>
      <w:spacing w:beforeLines="25" w:afterLines="25" w:line="300" w:lineRule="exact"/>
    </w:pPr>
    <w:rPr>
      <w:rFonts w:ascii="华文宋体" w:hAnsi="华文宋体" w:eastAsia="华文宋体"/>
      <w:bCs/>
      <w:szCs w:val="20"/>
    </w:rPr>
  </w:style>
  <w:style w:type="paragraph" w:customStyle="1" w:styleId="738">
    <w:name w:val="表格小项"/>
    <w:basedOn w:val="737"/>
    <w:qFormat/>
    <w:uiPriority w:val="0"/>
    <w:pPr>
      <w:jc w:val="center"/>
    </w:pPr>
  </w:style>
  <w:style w:type="paragraph" w:customStyle="1" w:styleId="739">
    <w:name w:val="样式 标题 4 + 宋体 左侧:  0.74 厘米 行距: 1.5 倍行距"/>
    <w:basedOn w:val="7"/>
    <w:qFormat/>
    <w:uiPriority w:val="0"/>
    <w:pPr>
      <w:ind w:firstLine="200" w:firstLineChars="200"/>
    </w:pPr>
    <w:rPr>
      <w:rFonts w:hAnsi="宋体" w:cs="Times New Roman"/>
      <w:sz w:val="24"/>
      <w:szCs w:val="20"/>
    </w:rPr>
  </w:style>
  <w:style w:type="paragraph" w:customStyle="1" w:styleId="740">
    <w:name w:val="样式 标题 3 + 宋体 四号 左侧:  0.74 厘米 行距: 单倍行距"/>
    <w:basedOn w:val="5"/>
    <w:qFormat/>
    <w:uiPriority w:val="0"/>
    <w:pPr>
      <w:tabs>
        <w:tab w:val="left" w:pos="425"/>
        <w:tab w:val="left" w:pos="1275"/>
      </w:tabs>
      <w:spacing w:line="360" w:lineRule="auto"/>
      <w:ind w:firstLine="200" w:firstLineChars="200"/>
    </w:pPr>
    <w:rPr>
      <w:sz w:val="24"/>
    </w:rPr>
  </w:style>
  <w:style w:type="paragraph" w:customStyle="1" w:styleId="741">
    <w:name w:val="样式 标题 2 + 宋体 左侧:  0.74 厘米 行距: 1.5 倍行距"/>
    <w:basedOn w:val="4"/>
    <w:qFormat/>
    <w:uiPriority w:val="0"/>
    <w:pPr>
      <w:spacing w:line="360" w:lineRule="auto"/>
      <w:ind w:firstLine="200" w:firstLineChars="200"/>
    </w:pPr>
    <w:rPr>
      <w:rFonts w:ascii="宋体" w:hAnsi="宋体"/>
      <w:sz w:val="24"/>
      <w:szCs w:val="20"/>
    </w:rPr>
  </w:style>
  <w:style w:type="paragraph" w:customStyle="1" w:styleId="742">
    <w:name w:val="列出段落3"/>
    <w:basedOn w:val="1"/>
    <w:qFormat/>
    <w:uiPriority w:val="0"/>
    <w:pPr>
      <w:ind w:firstLine="420" w:firstLineChars="200"/>
    </w:pPr>
  </w:style>
  <w:style w:type="paragraph" w:customStyle="1" w:styleId="743">
    <w:name w:val="Char Char Char Char"/>
    <w:basedOn w:val="1"/>
    <w:qFormat/>
    <w:uiPriority w:val="0"/>
    <w:rPr>
      <w:rFonts w:ascii="黑体" w:eastAsia="黑体"/>
      <w:kern w:val="0"/>
      <w:sz w:val="24"/>
      <w:szCs w:val="20"/>
    </w:rPr>
  </w:style>
  <w:style w:type="paragraph" w:customStyle="1" w:styleId="744">
    <w:name w:val="1"/>
    <w:basedOn w:val="1"/>
    <w:qFormat/>
    <w:uiPriority w:val="0"/>
    <w:rPr>
      <w:szCs w:val="24"/>
    </w:rPr>
  </w:style>
  <w:style w:type="paragraph" w:customStyle="1" w:styleId="745">
    <w:name w:val="Normal Indent1"/>
    <w:basedOn w:val="1"/>
    <w:qFormat/>
    <w:uiPriority w:val="0"/>
    <w:pPr>
      <w:ind w:firstLine="420" w:firstLineChars="200"/>
    </w:pPr>
  </w:style>
  <w:style w:type="paragraph" w:customStyle="1" w:styleId="746">
    <w:name w:val="Heading1"/>
    <w:basedOn w:val="1"/>
    <w:next w:val="1"/>
    <w:qFormat/>
    <w:uiPriority w:val="0"/>
    <w:pPr>
      <w:keepNext/>
      <w:keepLines/>
      <w:spacing w:before="340" w:after="330" w:line="576" w:lineRule="auto"/>
      <w:textAlignment w:val="baseline"/>
    </w:pPr>
    <w:rPr>
      <w:rFonts w:ascii="宋体" w:hAnsi="宋体"/>
      <w:b/>
      <w:color w:val="000000"/>
      <w:kern w:val="0"/>
      <w:sz w:val="36"/>
    </w:rPr>
  </w:style>
  <w:style w:type="paragraph" w:customStyle="1" w:styleId="747">
    <w:name w:val="BodyText"/>
    <w:basedOn w:val="1"/>
    <w:next w:val="748"/>
    <w:qFormat/>
    <w:uiPriority w:val="0"/>
    <w:pPr>
      <w:spacing w:line="360" w:lineRule="exact"/>
      <w:textAlignment w:val="baseline"/>
    </w:pPr>
    <w:rPr>
      <w:sz w:val="24"/>
      <w:szCs w:val="24"/>
    </w:rPr>
  </w:style>
  <w:style w:type="paragraph" w:customStyle="1" w:styleId="748">
    <w:name w:val="BodyText1I"/>
    <w:basedOn w:val="747"/>
    <w:next w:val="1"/>
    <w:qFormat/>
    <w:locked/>
    <w:uiPriority w:val="0"/>
    <w:pPr>
      <w:ind w:firstLine="420"/>
    </w:pPr>
    <w:rPr>
      <w:sz w:val="21"/>
    </w:rPr>
  </w:style>
  <w:style w:type="paragraph" w:customStyle="1" w:styleId="749">
    <w:name w:val="179"/>
    <w:basedOn w:val="1"/>
    <w:qFormat/>
    <w:uiPriority w:val="0"/>
    <w:pPr>
      <w:ind w:firstLine="420" w:firstLineChars="200"/>
      <w:textAlignment w:val="baseline"/>
    </w:pPr>
    <w:rPr>
      <w:rFonts w:ascii="Calibri" w:hAnsi="Calibri"/>
    </w:rPr>
  </w:style>
  <w:style w:type="paragraph" w:customStyle="1" w:styleId="750">
    <w:name w:val="UserStyle_38"/>
    <w:basedOn w:val="751"/>
    <w:qFormat/>
    <w:uiPriority w:val="0"/>
    <w:pPr>
      <w:jc w:val="left"/>
    </w:pPr>
    <w:rPr>
      <w:rFonts w:ascii="宋体" w:hAnsi="Courier New"/>
    </w:rPr>
  </w:style>
  <w:style w:type="paragraph" w:customStyle="1" w:styleId="751">
    <w:name w:val="UserStyle_32"/>
    <w:qFormat/>
    <w:uiPriority w:val="0"/>
    <w:pPr>
      <w:jc w:val="both"/>
      <w:textAlignment w:val="baseline"/>
    </w:pPr>
    <w:rPr>
      <w:rFonts w:ascii="Calibri" w:hAnsi="Calibri" w:eastAsia="宋体" w:cstheme="minorBidi"/>
      <w:kern w:val="2"/>
      <w:sz w:val="21"/>
      <w:lang w:val="en-US" w:eastAsia="zh-CN" w:bidi="ar-SA"/>
    </w:rPr>
  </w:style>
  <w:style w:type="paragraph" w:customStyle="1" w:styleId="752">
    <w:name w:val="章正文"/>
    <w:basedOn w:val="1"/>
    <w:qFormat/>
    <w:uiPriority w:val="99"/>
    <w:pPr>
      <w:spacing w:beforeLines="50" w:after="120" w:line="300" w:lineRule="auto"/>
      <w:ind w:firstLine="480"/>
    </w:pPr>
    <w:rPr>
      <w:rFonts w:hint="eastAsia" w:ascii="Helvetica" w:hAnsi="Helvetica"/>
      <w:kern w:val="0"/>
      <w:sz w:val="24"/>
      <w:szCs w:val="20"/>
    </w:rPr>
  </w:style>
  <w:style w:type="paragraph" w:customStyle="1" w:styleId="753">
    <w:name w:val="_Style 7"/>
    <w:next w:val="1"/>
    <w:qFormat/>
    <w:uiPriority w:val="0"/>
    <w:pPr>
      <w:wordWrap w:val="0"/>
    </w:pPr>
    <w:rPr>
      <w:rFonts w:ascii="Calibri" w:hAnsi="Calibri" w:eastAsia="宋体" w:cs="Times New Roman"/>
      <w:sz w:val="32"/>
      <w:lang w:val="en-US" w:eastAsia="zh-CN" w:bidi="ar-SA"/>
    </w:rPr>
  </w:style>
  <w:style w:type="paragraph" w:customStyle="1" w:styleId="754">
    <w:name w:val="hea"/>
    <w:basedOn w:val="1"/>
    <w:next w:val="1"/>
    <w:qFormat/>
    <w:uiPriority w:val="0"/>
    <w:pPr>
      <w:keepNext/>
      <w:keepLines/>
      <w:numPr>
        <w:ilvl w:val="0"/>
        <w:numId w:val="26"/>
      </w:numPr>
      <w:spacing w:before="340" w:after="330" w:line="576" w:lineRule="auto"/>
      <w:outlineLvl w:val="0"/>
    </w:pPr>
    <w:rPr>
      <w:rFonts w:hint="eastAsia" w:ascii="宋体"/>
      <w:b/>
      <w:kern w:val="44"/>
      <w:sz w:val="44"/>
      <w:szCs w:val="44"/>
    </w:rPr>
  </w:style>
  <w:style w:type="paragraph" w:customStyle="1" w:styleId="755">
    <w:name w:val="列出段落11"/>
    <w:basedOn w:val="1"/>
    <w:qFormat/>
    <w:uiPriority w:val="34"/>
    <w:pPr>
      <w:ind w:firstLine="420" w:firstLineChars="200"/>
    </w:pPr>
    <w:rPr>
      <w:rFonts w:hint="eastAsia"/>
      <w:szCs w:val="24"/>
    </w:rPr>
  </w:style>
  <w:style w:type="paragraph" w:customStyle="1" w:styleId="756">
    <w:name w:val="正文12"/>
    <w:basedOn w:val="1"/>
    <w:qFormat/>
    <w:uiPriority w:val="0"/>
    <w:pPr>
      <w:ind w:firstLine="480"/>
    </w:pPr>
    <w:rPr>
      <w:rFonts w:hint="eastAsia"/>
      <w:szCs w:val="20"/>
    </w:rPr>
  </w:style>
  <w:style w:type="character" w:customStyle="1" w:styleId="757">
    <w:name w:val="bjh-strong"/>
    <w:basedOn w:val="62"/>
    <w:qFormat/>
    <w:uiPriority w:val="0"/>
  </w:style>
  <w:style w:type="paragraph" w:customStyle="1" w:styleId="758">
    <w:name w:val="样式 列出段落 + 首行缩进:  2 字符"/>
    <w:basedOn w:val="110"/>
    <w:qFormat/>
    <w:uiPriority w:val="0"/>
    <w:pPr>
      <w:ind w:firstLine="200"/>
    </w:pPr>
    <w:rPr>
      <w:rFonts w:hint="eastAsia" w:cs="宋体"/>
      <w:szCs w:val="20"/>
    </w:rPr>
  </w:style>
  <w:style w:type="character" w:customStyle="1" w:styleId="759">
    <w:name w:val="font101"/>
    <w:basedOn w:val="62"/>
    <w:qFormat/>
    <w:uiPriority w:val="0"/>
    <w:rPr>
      <w:rFonts w:hint="eastAsia" w:ascii="等线" w:hAnsi="等线" w:eastAsia="等线" w:cs="等线"/>
      <w:color w:val="000000"/>
      <w:sz w:val="18"/>
      <w:szCs w:val="18"/>
      <w:u w:val="none"/>
    </w:rPr>
  </w:style>
  <w:style w:type="character" w:customStyle="1" w:styleId="760">
    <w:name w:val="font71"/>
    <w:basedOn w:val="62"/>
    <w:qFormat/>
    <w:uiPriority w:val="0"/>
    <w:rPr>
      <w:rFonts w:hint="eastAsia" w:ascii="等线" w:hAnsi="等线" w:eastAsia="等线" w:cs="等线"/>
      <w:color w:val="000000"/>
      <w:sz w:val="18"/>
      <w:szCs w:val="18"/>
      <w:u w:val="none"/>
    </w:rPr>
  </w:style>
  <w:style w:type="character" w:customStyle="1" w:styleId="761">
    <w:name w:val="font31"/>
    <w:basedOn w:val="62"/>
    <w:qFormat/>
    <w:uiPriority w:val="0"/>
    <w:rPr>
      <w:rFonts w:hint="eastAsia" w:ascii="等线" w:hAnsi="等线" w:eastAsia="等线" w:cs="等线"/>
      <w:color w:val="000000"/>
      <w:sz w:val="18"/>
      <w:szCs w:val="18"/>
      <w:u w:val="none"/>
    </w:rPr>
  </w:style>
  <w:style w:type="character" w:customStyle="1" w:styleId="762">
    <w:name w:val="font81"/>
    <w:basedOn w:val="62"/>
    <w:qFormat/>
    <w:uiPriority w:val="0"/>
    <w:rPr>
      <w:rFonts w:hint="eastAsia" w:ascii="等线" w:hAnsi="等线" w:eastAsia="等线" w:cs="等线"/>
      <w:color w:val="000000"/>
      <w:sz w:val="18"/>
      <w:szCs w:val="18"/>
      <w:u w:val="none"/>
    </w:rPr>
  </w:style>
  <w:style w:type="character" w:customStyle="1" w:styleId="763">
    <w:name w:val="font51"/>
    <w:basedOn w:val="62"/>
    <w:qFormat/>
    <w:uiPriority w:val="0"/>
    <w:rPr>
      <w:rFonts w:hint="eastAsia" w:ascii="等线" w:hAnsi="等线" w:eastAsia="等线" w:cs="等线"/>
      <w:color w:val="000000"/>
      <w:sz w:val="18"/>
      <w:szCs w:val="18"/>
      <w:u w:val="none"/>
    </w:rPr>
  </w:style>
  <w:style w:type="character" w:customStyle="1" w:styleId="764">
    <w:name w:val="font21"/>
    <w:basedOn w:val="62"/>
    <w:qFormat/>
    <w:uiPriority w:val="0"/>
    <w:rPr>
      <w:rFonts w:hint="eastAsia" w:ascii="等线" w:hAnsi="等线" w:eastAsia="等线" w:cs="等线"/>
      <w:color w:val="000000"/>
      <w:sz w:val="18"/>
      <w:szCs w:val="18"/>
      <w:u w:val="none"/>
    </w:rPr>
  </w:style>
  <w:style w:type="character" w:customStyle="1" w:styleId="765">
    <w:name w:val="font61"/>
    <w:basedOn w:val="62"/>
    <w:qFormat/>
    <w:uiPriority w:val="0"/>
    <w:rPr>
      <w:rFonts w:hint="eastAsia" w:ascii="等线" w:hAnsi="等线" w:eastAsia="等线" w:cs="等线"/>
      <w:b/>
      <w:bCs/>
      <w:color w:val="000000"/>
      <w:sz w:val="18"/>
      <w:szCs w:val="18"/>
      <w:u w:val="none"/>
    </w:rPr>
  </w:style>
  <w:style w:type="paragraph" w:customStyle="1" w:styleId="766">
    <w:name w:val="普通(网站)_0"/>
    <w:basedOn w:val="1"/>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767">
    <w:name w:val="Basistekst Batenburg"/>
    <w:basedOn w:val="768"/>
    <w:qFormat/>
    <w:uiPriority w:val="0"/>
  </w:style>
  <w:style w:type="paragraph" w:customStyle="1" w:styleId="768">
    <w:name w:val="Zsysbasis Batenburg"/>
    <w:next w:val="767"/>
    <w:qFormat/>
    <w:uiPriority w:val="0"/>
    <w:pPr>
      <w:spacing w:line="300" w:lineRule="atLeast"/>
    </w:pPr>
    <w:rPr>
      <w:rFonts w:ascii="Calibri" w:hAnsi="Calibri" w:eastAsia="宋体" w:cs="Times New Roman"/>
      <w:sz w:val="22"/>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8"/>
    <customShpInfo spid="_x0000_s2057"/>
    <customShpInfo spid="_x0000_s2056"/>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103</Pages>
  <Words>12612</Words>
  <Characters>71889</Characters>
  <Lines>599</Lines>
  <Paragraphs>168</Paragraphs>
  <TotalTime>10</TotalTime>
  <ScaleCrop>false</ScaleCrop>
  <LinksUpToDate>false</LinksUpToDate>
  <CharactersWithSpaces>84333</CharactersWithSpaces>
  <Application>WPS Office_11.8.2.11653_F1E327BC-269C-435d-A152-05C5408002CA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2023-10-12T11:48:00Z</dcterms:created>
  <dc:creator>S-mile</dc:creator>
  <cp:lastModifiedBy>JLX</cp:lastModifiedBy>
  <cp:lastPrinted>2023-10-12T11:04:00Z</cp:lastPrinted>
  <dcterms:modified xsi:type="dcterms:W3CDTF">2023-10-12T14:46:31Z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2052-11.8.2.11653</vt:lpwstr>
  </property>
  <property fmtid="{D5CDD505-2E9C-101B-9397-08002B2CF9AE}" pid="3" name="ICV">
    <vt:lpwstr>505E212203B2480A9F9040749095EECF_13</vt:lpwstr>
  </property>
</Properties>
</file>