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台州市中西医结合医院物业管理</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政府采购项目</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p>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84"/>
          <w:szCs w:val="84"/>
        </w:rPr>
      </w:pPr>
      <w:r>
        <w:rPr>
          <w:rFonts w:hint="eastAsia" w:ascii="宋体"/>
          <w:b/>
          <w:kern w:val="0"/>
          <w:sz w:val="84"/>
          <w:szCs w:val="84"/>
        </w:rPr>
        <w:t>招标文件</w:t>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kern w:val="0"/>
          <w:sz w:val="52"/>
          <w:szCs w:val="52"/>
        </w:rPr>
      </w:pPr>
      <w:r>
        <w:rPr>
          <w:rFonts w:hint="eastAsia" w:ascii="宋体"/>
          <w:kern w:val="0"/>
          <w:sz w:val="52"/>
          <w:szCs w:val="52"/>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r>
        <w:rPr>
          <w:rFonts w:hint="eastAsia" w:ascii="宋体" w:cs="宋体"/>
          <w:color w:val="000000" w:themeColor="text1"/>
          <w:kern w:val="0"/>
          <w:sz w:val="32"/>
          <w:szCs w:val="32"/>
        </w:rPr>
        <w:t>项目编号：WLCG-2022-17-GK</w:t>
      </w: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cs="宋体"/>
          <w:kern w:val="0"/>
          <w:sz w:val="32"/>
          <w:szCs w:val="32"/>
        </w:rPr>
      </w:pPr>
      <w:r>
        <w:rPr>
          <w:rFonts w:hint="eastAsia" w:ascii="宋体" w:cs="宋体"/>
          <w:kern w:val="0"/>
          <w:sz w:val="32"/>
          <w:szCs w:val="32"/>
        </w:rPr>
        <w:t>采购人（章）：台州市中西医结合医院</w:t>
      </w:r>
    </w:p>
    <w:p>
      <w:pPr>
        <w:autoSpaceDE w:val="0"/>
        <w:autoSpaceDN w:val="0"/>
        <w:adjustRightInd w:val="0"/>
        <w:spacing w:line="360" w:lineRule="auto"/>
        <w:jc w:val="center"/>
        <w:rPr>
          <w:rFonts w:ascii="宋体" w:cs="宋体"/>
          <w:kern w:val="0"/>
          <w:sz w:val="32"/>
          <w:szCs w:val="32"/>
        </w:rPr>
      </w:pPr>
      <w:r>
        <w:rPr>
          <w:rFonts w:hint="eastAsia" w:ascii="宋体" w:cs="宋体"/>
          <w:kern w:val="0"/>
          <w:sz w:val="32"/>
          <w:szCs w:val="32"/>
        </w:rPr>
        <w:t>采购代理机构（章）：温岭市政府采购中心</w:t>
      </w:r>
    </w:p>
    <w:p>
      <w:pPr>
        <w:autoSpaceDE w:val="0"/>
        <w:autoSpaceDN w:val="0"/>
        <w:adjustRightInd w:val="0"/>
        <w:spacing w:line="360" w:lineRule="auto"/>
        <w:jc w:val="center"/>
        <w:rPr>
          <w:rFonts w:ascii="宋体" w:cs="宋体"/>
          <w:b/>
          <w:bCs/>
          <w:kern w:val="0"/>
          <w:sz w:val="32"/>
          <w:szCs w:val="32"/>
        </w:rPr>
      </w:pPr>
      <w:r>
        <w:rPr>
          <w:rFonts w:hint="eastAsia" w:ascii="宋体" w:cs="宋体"/>
          <w:kern w:val="0"/>
          <w:sz w:val="32"/>
          <w:szCs w:val="32"/>
        </w:rPr>
        <w:t>备案单位：温岭市财政局政府采购监管科</w:t>
      </w:r>
    </w:p>
    <w:p>
      <w:pPr>
        <w:jc w:val="center"/>
        <w:rPr>
          <w:rFonts w:ascii="宋体"/>
          <w:kern w:val="0"/>
          <w:sz w:val="32"/>
        </w:rPr>
      </w:pPr>
      <w:r>
        <w:rPr>
          <w:rFonts w:hint="eastAsia" w:ascii="宋体" w:hAnsi="宋体" w:cs="宋体"/>
          <w:sz w:val="30"/>
          <w:szCs w:val="30"/>
        </w:rPr>
        <w:t>2022</w:t>
      </w:r>
      <w:r>
        <w:rPr>
          <w:rFonts w:hint="eastAsia" w:ascii="宋体" w:hAnsi="宋体" w:cs="宋体"/>
          <w:kern w:val="0"/>
          <w:sz w:val="30"/>
          <w:szCs w:val="30"/>
        </w:rPr>
        <w:t>年8月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pStyle w:val="4"/>
        <w:numPr>
          <w:ilvl w:val="0"/>
          <w:numId w:val="0"/>
        </w:numPr>
        <w:ind w:left="425"/>
        <w:jc w:val="both"/>
      </w:pPr>
    </w:p>
    <w:sdt>
      <w:sdtPr>
        <w:rPr>
          <w:rFonts w:ascii="宋体" w:hAnsi="宋体"/>
          <w:kern w:val="0"/>
          <w:sz w:val="28"/>
          <w:szCs w:val="28"/>
        </w:rPr>
        <w:id w:val="147471336"/>
        <w:docPartObj>
          <w:docPartGallery w:val="Table of Contents"/>
          <w:docPartUnique/>
        </w:docPartObj>
      </w:sdtPr>
      <w:sdtEndPr>
        <w:rPr>
          <w:rFonts w:ascii="宋体" w:hAnsi="宋体"/>
          <w:color w:val="000000" w:themeColor="text1"/>
          <w:kern w:val="0"/>
          <w:sz w:val="20"/>
          <w:szCs w:val="20"/>
        </w:rPr>
      </w:sdtEndPr>
      <w:sdtContent>
        <w:p>
          <w:pPr>
            <w:pStyle w:val="2"/>
          </w:pPr>
          <w:bookmarkStart w:id="0" w:name="_Toc25017_WPSOffice_Type1"/>
        </w:p>
        <w:p>
          <w:pPr>
            <w:spacing w:line="480" w:lineRule="auto"/>
            <w:jc w:val="center"/>
            <w:rPr>
              <w:rFonts w:ascii="宋体" w:hAnsi="宋体"/>
              <w:b/>
              <w:bCs/>
              <w:sz w:val="36"/>
              <w:szCs w:val="36"/>
            </w:rPr>
          </w:pPr>
          <w:r>
            <w:rPr>
              <w:rFonts w:hint="eastAsia" w:ascii="宋体" w:hAnsi="宋体"/>
              <w:b/>
              <w:bCs/>
              <w:sz w:val="36"/>
              <w:szCs w:val="36"/>
            </w:rPr>
            <w:t>目  录</w:t>
          </w:r>
        </w:p>
        <w:p>
          <w:pPr>
            <w:pStyle w:val="18"/>
            <w:tabs>
              <w:tab w:val="right" w:leader="dot" w:pos="8620"/>
            </w:tabs>
            <w:rPr>
              <w:rFonts w:eastAsiaTheme="minorEastAsia" w:cstheme="minorBidi"/>
              <w:color w:val="000000" w:themeColor="text1"/>
              <w:sz w:val="28"/>
              <w:szCs w:val="28"/>
            </w:rPr>
          </w:pPr>
          <w:r>
            <w:fldChar w:fldCharType="begin"/>
          </w:r>
          <w:r>
            <w:instrText xml:space="preserve"> HYPERLINK \l "_Toc4350_WPSOffice_Level1" </w:instrText>
          </w:r>
          <w:r>
            <w:fldChar w:fldCharType="separate"/>
          </w:r>
          <w:r>
            <w:rPr>
              <w:rFonts w:hint="eastAsia" w:eastAsiaTheme="minorEastAsia" w:cstheme="minorBidi"/>
              <w:color w:val="000000" w:themeColor="text1"/>
              <w:sz w:val="28"/>
              <w:szCs w:val="28"/>
            </w:rPr>
            <w:t>第一章 投标邀请</w:t>
          </w:r>
          <w:r>
            <w:rPr>
              <w:rFonts w:hint="eastAsia" w:eastAsiaTheme="minorEastAsia" w:cstheme="minorBidi"/>
              <w:color w:val="000000" w:themeColor="text1"/>
              <w:sz w:val="28"/>
              <w:szCs w:val="28"/>
            </w:rPr>
            <w:tab/>
          </w:r>
          <w:bookmarkStart w:id="1" w:name="_Toc4350_WPSOffice_Level1Page"/>
          <w:r>
            <w:rPr>
              <w:rFonts w:hint="eastAsia" w:eastAsiaTheme="minorEastAsia" w:cstheme="minorBidi"/>
              <w:color w:val="000000" w:themeColor="text1"/>
              <w:sz w:val="28"/>
              <w:szCs w:val="28"/>
            </w:rPr>
            <w:t>3</w:t>
          </w:r>
          <w:bookmarkEnd w:id="1"/>
          <w:r>
            <w:rPr>
              <w:rFonts w:hint="eastAsia" w:eastAsiaTheme="minorEastAsia" w:cstheme="minorBidi"/>
              <w:color w:val="000000" w:themeColor="text1"/>
              <w:sz w:val="28"/>
              <w:szCs w:val="28"/>
            </w:rPr>
            <w:fldChar w:fldCharType="end"/>
          </w:r>
        </w:p>
        <w:p>
          <w:pPr>
            <w:pStyle w:val="18"/>
            <w:tabs>
              <w:tab w:val="right" w:leader="dot" w:pos="8620"/>
            </w:tabs>
            <w:rPr>
              <w:rFonts w:eastAsiaTheme="minorEastAsia" w:cstheme="minorBidi"/>
              <w:color w:val="000000" w:themeColor="text1"/>
              <w:sz w:val="28"/>
              <w:szCs w:val="28"/>
            </w:rPr>
          </w:pPr>
          <w:r>
            <w:fldChar w:fldCharType="begin"/>
          </w:r>
          <w:r>
            <w:instrText xml:space="preserve"> HYPERLINK \l "_Toc25017_WPSOffice_Level1" </w:instrText>
          </w:r>
          <w:r>
            <w:fldChar w:fldCharType="separate"/>
          </w:r>
          <w:r>
            <w:rPr>
              <w:rFonts w:hint="eastAsia" w:eastAsiaTheme="minorEastAsia" w:cstheme="minorBidi"/>
              <w:color w:val="000000" w:themeColor="text1"/>
              <w:sz w:val="28"/>
              <w:szCs w:val="28"/>
            </w:rPr>
            <w:t>第二章 投标人须知</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6</w:t>
          </w:r>
          <w:r>
            <w:rPr>
              <w:rFonts w:hint="eastAsia" w:eastAsiaTheme="minorEastAsia" w:cstheme="minorBidi"/>
              <w:color w:val="000000" w:themeColor="text1"/>
              <w:sz w:val="28"/>
              <w:szCs w:val="28"/>
            </w:rPr>
            <w:fldChar w:fldCharType="end"/>
          </w:r>
        </w:p>
        <w:p>
          <w:pPr>
            <w:pStyle w:val="18"/>
            <w:tabs>
              <w:tab w:val="right" w:leader="dot" w:pos="8620"/>
            </w:tabs>
            <w:rPr>
              <w:rFonts w:eastAsiaTheme="minorEastAsia" w:cstheme="minorBidi"/>
              <w:color w:val="000000" w:themeColor="text1"/>
              <w:sz w:val="28"/>
              <w:szCs w:val="28"/>
            </w:rPr>
          </w:pPr>
          <w:r>
            <w:fldChar w:fldCharType="begin"/>
          </w:r>
          <w:r>
            <w:instrText xml:space="preserve"> HYPERLINK \l "_Toc13072_WPSOffice_Level1" </w:instrText>
          </w:r>
          <w:r>
            <w:fldChar w:fldCharType="separate"/>
          </w:r>
          <w:r>
            <w:rPr>
              <w:rFonts w:hint="eastAsia" w:eastAsiaTheme="minorEastAsia" w:cstheme="minorBidi"/>
              <w:color w:val="000000" w:themeColor="text1"/>
              <w:sz w:val="28"/>
              <w:szCs w:val="28"/>
            </w:rPr>
            <w:t>第三章 招标需求</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t>1</w:t>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6</w:t>
          </w:r>
        </w:p>
        <w:p>
          <w:pPr>
            <w:pStyle w:val="18"/>
            <w:tabs>
              <w:tab w:val="right" w:leader="dot" w:pos="8620"/>
            </w:tabs>
            <w:rPr>
              <w:rFonts w:eastAsiaTheme="minorEastAsia" w:cstheme="minorBidi"/>
              <w:color w:val="000000" w:themeColor="text1"/>
              <w:sz w:val="28"/>
              <w:szCs w:val="28"/>
            </w:rPr>
          </w:pPr>
          <w:r>
            <w:fldChar w:fldCharType="begin"/>
          </w:r>
          <w:r>
            <w:instrText xml:space="preserve"> HYPERLINK \l "_Toc31173_WPSOffice_Level1" </w:instrText>
          </w:r>
          <w:r>
            <w:fldChar w:fldCharType="separate"/>
          </w:r>
          <w:r>
            <w:rPr>
              <w:rFonts w:hint="eastAsia" w:eastAsiaTheme="minorEastAsia" w:cstheme="minorBidi"/>
              <w:color w:val="000000" w:themeColor="text1"/>
              <w:sz w:val="28"/>
              <w:szCs w:val="28"/>
            </w:rPr>
            <w:t>第四章 评标</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33</w:t>
          </w:r>
        </w:p>
        <w:p>
          <w:pPr>
            <w:pStyle w:val="18"/>
            <w:tabs>
              <w:tab w:val="right" w:leader="dot" w:pos="8620"/>
            </w:tabs>
            <w:rPr>
              <w:rFonts w:eastAsiaTheme="minorEastAsia" w:cstheme="minorBidi"/>
              <w:color w:val="000000" w:themeColor="text1"/>
              <w:sz w:val="28"/>
              <w:szCs w:val="28"/>
            </w:rPr>
          </w:pPr>
          <w:r>
            <w:fldChar w:fldCharType="begin"/>
          </w:r>
          <w:r>
            <w:instrText xml:space="preserve"> HYPERLINK \l "_Toc27944_WPSOffice_Level1" </w:instrText>
          </w:r>
          <w:r>
            <w:fldChar w:fldCharType="separate"/>
          </w:r>
          <w:r>
            <w:rPr>
              <w:rFonts w:hint="eastAsia" w:eastAsiaTheme="minorEastAsia" w:cstheme="minorBidi"/>
              <w:color w:val="000000" w:themeColor="text1"/>
              <w:sz w:val="28"/>
              <w:szCs w:val="28"/>
            </w:rPr>
            <w:t>第五章 拟签订的合同文本</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rPr>
            <w:t>41</w:t>
          </w:r>
        </w:p>
        <w:p>
          <w:pPr>
            <w:pStyle w:val="18"/>
            <w:tabs>
              <w:tab w:val="right" w:leader="dot" w:pos="8620"/>
            </w:tabs>
            <w:rPr>
              <w:color w:val="000000" w:themeColor="text1"/>
            </w:rPr>
          </w:pPr>
          <w:r>
            <w:fldChar w:fldCharType="begin"/>
          </w:r>
          <w:r>
            <w:instrText xml:space="preserve"> HYPERLINK \l "_Toc5481_WPSOffice_Level1" </w:instrText>
          </w:r>
          <w:r>
            <w:fldChar w:fldCharType="separate"/>
          </w:r>
          <w:r>
            <w:rPr>
              <w:rFonts w:hint="eastAsia" w:eastAsiaTheme="minorEastAsia" w:cstheme="minorBidi"/>
              <w:color w:val="000000" w:themeColor="text1"/>
              <w:sz w:val="28"/>
              <w:szCs w:val="28"/>
            </w:rPr>
            <w:t>第六章 投标文件格式</w:t>
          </w:r>
          <w:r>
            <w:rPr>
              <w:rFonts w:hint="eastAsia" w:eastAsiaTheme="minorEastAsia" w:cstheme="minorBidi"/>
              <w:color w:val="000000" w:themeColor="text1"/>
              <w:sz w:val="28"/>
              <w:szCs w:val="28"/>
            </w:rPr>
            <w:tab/>
          </w:r>
          <w:r>
            <w:rPr>
              <w:rFonts w:hint="eastAsia" w:eastAsiaTheme="minorEastAsia" w:cstheme="minorBidi"/>
              <w:color w:val="000000" w:themeColor="text1"/>
              <w:sz w:val="28"/>
              <w:szCs w:val="28"/>
            </w:rPr>
            <w:fldChar w:fldCharType="end"/>
          </w:r>
          <w:r>
            <w:rPr>
              <w:rFonts w:hint="eastAsia" w:eastAsiaTheme="minorEastAsia" w:cstheme="minorBidi"/>
              <w:color w:val="000000" w:themeColor="text1"/>
              <w:sz w:val="28"/>
              <w:szCs w:val="28"/>
              <w:lang w:val="en-US" w:eastAsia="zh-CN"/>
            </w:rPr>
            <w:t>50</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p>
    <w:p>
      <w:pPr>
        <w:pStyle w:val="5"/>
        <w:ind w:firstLine="480" w:firstLineChars="200"/>
        <w:rPr>
          <w:rFonts w:cs="宋体"/>
          <w:b w:val="0"/>
          <w:sz w:val="24"/>
          <w:szCs w:val="24"/>
        </w:rPr>
      </w:pPr>
      <w:bookmarkStart w:id="3" w:name="_Toc28359002"/>
      <w:bookmarkStart w:id="4" w:name="_Toc35393621"/>
      <w:bookmarkStart w:id="5" w:name="_Toc35393790"/>
      <w:bookmarkStart w:id="6" w:name="_Toc28359079"/>
      <w:bookmarkStart w:id="7" w:name="_Hlk24379207"/>
      <w:r>
        <w:rPr>
          <w:rFonts w:hint="eastAsia" w:cs="宋体"/>
          <w:b w:val="0"/>
          <w:sz w:val="24"/>
          <w:szCs w:val="24"/>
        </w:rPr>
        <w:t>温岭市政府采购中心受台州市中西医结合医院委托，就台州市中西医结合医院物业管理项目进行公开招标，欢迎符合资格条件的国内投标人参加投标。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项目编号：WLCG-2022-17-GK</w:t>
      </w:r>
    </w:p>
    <w:bookmarkEnd w:id="7"/>
    <w:p>
      <w:pPr>
        <w:spacing w:line="360" w:lineRule="auto"/>
        <w:ind w:firstLine="480" w:firstLineChars="200"/>
        <w:rPr>
          <w:rFonts w:cs="宋体"/>
          <w:sz w:val="24"/>
        </w:rPr>
      </w:pPr>
      <w:r>
        <w:rPr>
          <w:rFonts w:hint="eastAsia" w:ascii="宋体" w:hAnsi="宋体" w:cs="宋体"/>
          <w:sz w:val="24"/>
        </w:rPr>
        <w:t>项目名称：</w:t>
      </w:r>
      <w:r>
        <w:rPr>
          <w:rFonts w:hint="eastAsia" w:cs="宋体"/>
          <w:sz w:val="24"/>
        </w:rPr>
        <w:t>台州市中西医结合医院物业管理项目</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237"/>
        <w:gridCol w:w="3894"/>
        <w:gridCol w:w="86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48" w:type="pct"/>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标段</w:t>
            </w:r>
          </w:p>
        </w:tc>
        <w:tc>
          <w:tcPr>
            <w:tcW w:w="1204" w:type="pct"/>
            <w:vAlign w:val="center"/>
          </w:tcPr>
          <w:p>
            <w:pPr>
              <w:tabs>
                <w:tab w:val="left" w:pos="8280"/>
              </w:tabs>
              <w:autoSpaceDE w:val="0"/>
              <w:autoSpaceDN w:val="0"/>
              <w:adjustRightInd w:val="0"/>
              <w:ind w:right="23" w:firstLine="120" w:firstLineChars="50"/>
              <w:jc w:val="center"/>
              <w:rPr>
                <w:rFonts w:ascii="宋体" w:hAnsi="宋体" w:cs="宋体"/>
                <w:sz w:val="24"/>
              </w:rPr>
            </w:pPr>
            <w:r>
              <w:rPr>
                <w:rFonts w:hint="eastAsia" w:ascii="宋体" w:hAnsi="宋体" w:cs="宋体"/>
                <w:sz w:val="24"/>
              </w:rPr>
              <w:t>项目名称</w:t>
            </w:r>
          </w:p>
        </w:tc>
        <w:tc>
          <w:tcPr>
            <w:tcW w:w="2096" w:type="pct"/>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kern w:val="0"/>
                <w:sz w:val="24"/>
              </w:rPr>
              <w:t>简要技术要求</w:t>
            </w:r>
          </w:p>
        </w:tc>
        <w:tc>
          <w:tcPr>
            <w:tcW w:w="465" w:type="pct"/>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仿宋"/>
                <w:sz w:val="24"/>
              </w:rPr>
              <w:t>服务期</w:t>
            </w:r>
          </w:p>
        </w:tc>
        <w:tc>
          <w:tcPr>
            <w:tcW w:w="784" w:type="pct"/>
            <w:vAlign w:val="center"/>
          </w:tcPr>
          <w:p>
            <w:pPr>
              <w:tabs>
                <w:tab w:val="left" w:pos="8280"/>
              </w:tabs>
              <w:autoSpaceDE w:val="0"/>
              <w:autoSpaceDN w:val="0"/>
              <w:adjustRightInd w:val="0"/>
              <w:ind w:right="23"/>
              <w:jc w:val="center"/>
              <w:rPr>
                <w:rFonts w:ascii="宋体" w:hAnsi="宋体" w:cs="宋体"/>
                <w:sz w:val="24"/>
              </w:rPr>
            </w:pPr>
            <w:r>
              <w:rPr>
                <w:rFonts w:hint="eastAsia" w:ascii="宋体" w:hAnsi="宋体" w:cs="宋体"/>
                <w:sz w:val="24"/>
              </w:rPr>
              <w:t>上限金额（万元）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48" w:type="pct"/>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宋体"/>
                <w:sz w:val="24"/>
              </w:rPr>
              <w:t>1</w:t>
            </w:r>
          </w:p>
        </w:tc>
        <w:tc>
          <w:tcPr>
            <w:tcW w:w="1204" w:type="pct"/>
            <w:vAlign w:val="center"/>
          </w:tcPr>
          <w:p>
            <w:pPr>
              <w:widowControl/>
              <w:spacing w:line="440" w:lineRule="exact"/>
              <w:jc w:val="center"/>
              <w:rPr>
                <w:rFonts w:ascii="宋体" w:hAnsi="宋体" w:cs="宋体"/>
                <w:sz w:val="24"/>
              </w:rPr>
            </w:pPr>
            <w:r>
              <w:rPr>
                <w:rFonts w:hint="eastAsia" w:cs="宋体"/>
                <w:sz w:val="24"/>
              </w:rPr>
              <w:t>台州市中西医结合医院物业管理项目</w:t>
            </w:r>
          </w:p>
        </w:tc>
        <w:tc>
          <w:tcPr>
            <w:tcW w:w="2096" w:type="pct"/>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仿宋"/>
                <w:sz w:val="24"/>
              </w:rPr>
              <w:t>服务期三年，合同一年一签。第一年服务期限自合同签订之日起计算。后续年度合同的签订以采购人根据中标人在上一年度的合同履约、考核情况决定是否续签。其他要求详见招标文件。</w:t>
            </w:r>
          </w:p>
        </w:tc>
        <w:tc>
          <w:tcPr>
            <w:tcW w:w="465" w:type="pct"/>
            <w:vAlign w:val="center"/>
          </w:tcPr>
          <w:p>
            <w:pPr>
              <w:widowControl/>
              <w:jc w:val="center"/>
              <w:rPr>
                <w:rFonts w:ascii="宋体" w:hAnsi="宋体" w:cs="宋体"/>
                <w:sz w:val="24"/>
              </w:rPr>
            </w:pPr>
            <w:r>
              <w:rPr>
                <w:rFonts w:hint="eastAsia" w:ascii="宋体" w:hAnsi="宋体" w:cs="宋体"/>
                <w:sz w:val="24"/>
              </w:rPr>
              <w:t>3年</w:t>
            </w:r>
          </w:p>
        </w:tc>
        <w:tc>
          <w:tcPr>
            <w:tcW w:w="784" w:type="pct"/>
            <w:vAlign w:val="center"/>
          </w:tcPr>
          <w:p>
            <w:pPr>
              <w:tabs>
                <w:tab w:val="left" w:pos="8280"/>
              </w:tabs>
              <w:autoSpaceDE w:val="0"/>
              <w:autoSpaceDN w:val="0"/>
              <w:adjustRightInd w:val="0"/>
              <w:spacing w:line="440" w:lineRule="exact"/>
              <w:ind w:right="25"/>
              <w:jc w:val="center"/>
              <w:rPr>
                <w:rFonts w:ascii="宋体" w:hAnsi="宋体" w:cs="宋体"/>
                <w:sz w:val="24"/>
              </w:rPr>
            </w:pPr>
            <w:r>
              <w:rPr>
                <w:rFonts w:hint="eastAsia" w:ascii="宋体" w:hAnsi="宋体" w:cs="宋体"/>
                <w:sz w:val="24"/>
              </w:rPr>
              <w:t>1172</w:t>
            </w:r>
          </w:p>
        </w:tc>
      </w:tr>
    </w:tbl>
    <w:p/>
    <w:p>
      <w:pPr>
        <w:pStyle w:val="5"/>
        <w:ind w:right="0" w:firstLine="482" w:firstLineChars="200"/>
        <w:rPr>
          <w:rFonts w:cs="宋体"/>
          <w:bCs/>
          <w:sz w:val="24"/>
          <w:szCs w:val="24"/>
        </w:rPr>
      </w:pPr>
      <w:bookmarkStart w:id="8" w:name="_Toc28359080"/>
      <w:bookmarkStart w:id="9" w:name="_Toc28359003"/>
      <w:bookmarkStart w:id="10" w:name="_Toc35393791"/>
      <w:bookmarkStart w:id="11" w:name="_Toc35393622"/>
      <w:r>
        <w:rPr>
          <w:rFonts w:hint="eastAsia" w:cs="宋体"/>
          <w:bCs/>
          <w:sz w:val="24"/>
          <w:szCs w:val="24"/>
        </w:rPr>
        <w:t>二、投标人的资格要求</w:t>
      </w:r>
      <w:bookmarkEnd w:id="8"/>
      <w:bookmarkEnd w:id="9"/>
      <w:bookmarkEnd w:id="10"/>
      <w:bookmarkEnd w:id="11"/>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2" w:name="_Toc35393623"/>
      <w:bookmarkStart w:id="13" w:name="_Toc28359081"/>
      <w:bookmarkStart w:id="14" w:name="_Toc35393792"/>
      <w:bookmarkStart w:id="15"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（二）本项目的特定资格要求：无。</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spacing w:line="360" w:lineRule="auto"/>
        <w:ind w:firstLine="480" w:firstLineChars="200"/>
        <w:rPr>
          <w:rFonts w:ascii="宋体" w:hAnsi="宋体" w:cs="宋体"/>
          <w:sz w:val="24"/>
        </w:rPr>
      </w:pPr>
      <w:r>
        <w:rPr>
          <w:rFonts w:hint="eastAsia" w:ascii="宋体" w:hAnsi="宋体" w:cs="宋体"/>
          <w:sz w:val="24"/>
        </w:rPr>
        <w:t>（五）落实政府采购政策需满足的资格要求：本项目按照《政府采购促进中小企业发展管理办法》【财库（2020）46号】第七条规定：专门面向中小微企业采购。</w:t>
      </w:r>
    </w:p>
    <w:p>
      <w:pPr>
        <w:pStyle w:val="2"/>
      </w:pPr>
    </w:p>
    <w:p>
      <w:pPr>
        <w:pStyle w:val="5"/>
        <w:ind w:right="0" w:firstLine="482" w:firstLineChars="200"/>
        <w:rPr>
          <w:rFonts w:cs="宋体"/>
          <w:bCs/>
          <w:sz w:val="24"/>
          <w:szCs w:val="24"/>
        </w:rPr>
      </w:pPr>
      <w:r>
        <w:rPr>
          <w:rFonts w:hint="eastAsia" w:cs="宋体"/>
          <w:bCs/>
          <w:sz w:val="24"/>
          <w:szCs w:val="24"/>
        </w:rPr>
        <w:t>三、获取招标文件</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（一）</w:t>
      </w:r>
      <w:r>
        <w:rPr>
          <w:rFonts w:hint="eastAsia" w:cs="宋体"/>
          <w:bCs/>
          <w:sz w:val="24"/>
        </w:rPr>
        <w:t>获取招标文件截止</w:t>
      </w:r>
      <w:r>
        <w:rPr>
          <w:rFonts w:hint="eastAsia" w:ascii="宋体" w:hAnsi="宋体" w:cs="宋体"/>
          <w:sz w:val="24"/>
        </w:rPr>
        <w:t>时间：</w:t>
      </w:r>
      <w:r>
        <w:rPr>
          <w:rFonts w:hint="eastAsia" w:ascii="宋体" w:hAnsi="宋体" w:cs="宋体"/>
          <w:color w:val="auto"/>
          <w:sz w:val="24"/>
          <w:u w:val="single"/>
        </w:rPr>
        <w:t>2022年9月</w:t>
      </w:r>
      <w:r>
        <w:rPr>
          <w:rFonts w:hint="eastAsia" w:ascii="宋体" w:hAnsi="宋体" w:cs="宋体"/>
          <w:color w:val="auto"/>
          <w:sz w:val="24"/>
          <w:u w:val="single"/>
          <w:lang w:val="en-US" w:eastAsia="zh-CN"/>
        </w:rPr>
        <w:t>6</w:t>
      </w:r>
      <w:r>
        <w:rPr>
          <w:rFonts w:hint="eastAsia" w:ascii="宋体" w:hAnsi="宋体" w:cs="宋体"/>
          <w:color w:val="auto"/>
          <w:sz w:val="24"/>
          <w:u w:val="single"/>
        </w:rPr>
        <w:t>日9：00止</w:t>
      </w:r>
      <w:r>
        <w:rPr>
          <w:rFonts w:hint="eastAsia" w:ascii="宋体" w:hAnsi="宋体" w:cs="宋体"/>
          <w:color w:val="000000" w:themeColor="text1"/>
          <w:sz w:val="24"/>
          <w:u w:val="single"/>
        </w:rPr>
        <w:t>。</w:t>
      </w:r>
    </w:p>
    <w:p>
      <w:pPr>
        <w:pStyle w:val="3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5"/>
        <w:ind w:right="0" w:firstLine="482" w:firstLineChars="200"/>
        <w:rPr>
          <w:rFonts w:cs="宋体"/>
          <w:bCs/>
          <w:sz w:val="24"/>
          <w:szCs w:val="24"/>
        </w:rPr>
      </w:pPr>
      <w:bookmarkStart w:id="16" w:name="_Toc35393624"/>
      <w:bookmarkStart w:id="17" w:name="_Toc28359005"/>
      <w:bookmarkStart w:id="18" w:name="_Toc35393793"/>
      <w:bookmarkStart w:id="19" w:name="_Toc28359082"/>
      <w:r>
        <w:rPr>
          <w:rFonts w:hint="eastAsia" w:cs="宋体"/>
          <w:bCs/>
          <w:sz w:val="24"/>
          <w:szCs w:val="24"/>
        </w:rPr>
        <w:t>四、提交投标文件</w:t>
      </w:r>
      <w:bookmarkEnd w:id="16"/>
      <w:bookmarkEnd w:id="17"/>
      <w:bookmarkEnd w:id="18"/>
      <w:bookmarkEnd w:id="19"/>
    </w:p>
    <w:p>
      <w:pPr>
        <w:spacing w:line="360" w:lineRule="auto"/>
        <w:ind w:firstLine="480" w:firstLineChars="200"/>
        <w:rPr>
          <w:rFonts w:ascii="宋体" w:hAnsi="宋体" w:cs="宋体"/>
          <w:iCs/>
          <w:sz w:val="24"/>
          <w:u w:val="single"/>
        </w:rPr>
      </w:pPr>
      <w:bookmarkStart w:id="20" w:name="_Toc35393625"/>
      <w:bookmarkStart w:id="21" w:name="_Toc28359007"/>
      <w:bookmarkStart w:id="22" w:name="_Toc35393794"/>
      <w:bookmarkStart w:id="23" w:name="_Toc28359084"/>
      <w:r>
        <w:rPr>
          <w:rFonts w:hint="eastAsia" w:ascii="宋体" w:hAnsi="宋体" w:cs="宋体"/>
          <w:sz w:val="24"/>
        </w:rPr>
        <w:t>（一）截止时间（开标时间）：</w:t>
      </w:r>
      <w:r>
        <w:rPr>
          <w:rFonts w:hint="eastAsia" w:ascii="宋体" w:hAnsi="宋体" w:cs="宋体"/>
          <w:color w:val="auto"/>
          <w:sz w:val="24"/>
          <w:u w:val="single"/>
        </w:rPr>
        <w:t>2022年9月</w:t>
      </w:r>
      <w:r>
        <w:rPr>
          <w:rFonts w:hint="eastAsia" w:ascii="宋体" w:hAnsi="宋体" w:cs="宋体"/>
          <w:color w:val="auto"/>
          <w:sz w:val="24"/>
          <w:u w:val="single"/>
          <w:lang w:val="en-US" w:eastAsia="zh-CN"/>
        </w:rPr>
        <w:t>6</w:t>
      </w:r>
      <w:r>
        <w:rPr>
          <w:rFonts w:hint="eastAsia" w:ascii="宋体" w:hAnsi="宋体" w:cs="宋体"/>
          <w:color w:val="auto"/>
          <w:sz w:val="24"/>
          <w:u w:val="single"/>
        </w:rPr>
        <w:t>日</w:t>
      </w:r>
      <w:r>
        <w:rPr>
          <w:rFonts w:hint="eastAsia" w:ascii="宋体" w:hAnsi="宋体" w:cs="宋体"/>
          <w:bCs/>
          <w:color w:val="auto"/>
          <w:sz w:val="24"/>
          <w:u w:val="single"/>
        </w:rPr>
        <w:t>9：00</w:t>
      </w:r>
      <w:r>
        <w:rPr>
          <w:rFonts w:hint="eastAsia" w:ascii="宋体" w:hAnsi="宋体" w:cs="宋体"/>
          <w:bCs/>
          <w:sz w:val="24"/>
        </w:rPr>
        <w:t>（北京时间）</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0"/>
    <w:bookmarkEnd w:id="21"/>
    <w:bookmarkEnd w:id="22"/>
    <w:bookmarkEnd w:id="23"/>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），温岭市公共资源交易网（http://www.wl.gov.cn/col/col1402172/index.html）。</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ind w:right="0" w:firstLine="482" w:firstLineChars="200"/>
        <w:rPr>
          <w:rFonts w:cs="宋体"/>
          <w:bCs/>
          <w:sz w:val="24"/>
          <w:szCs w:val="24"/>
        </w:rPr>
      </w:pPr>
      <w:bookmarkStart w:id="24" w:name="_Toc35393626"/>
      <w:bookmarkStart w:id="25" w:name="_Toc35393795"/>
      <w:r>
        <w:rPr>
          <w:rFonts w:hint="eastAsia" w:cs="宋体"/>
          <w:bCs/>
          <w:sz w:val="24"/>
          <w:szCs w:val="24"/>
        </w:rPr>
        <w:t>六、</w:t>
      </w:r>
      <w:bookmarkEnd w:id="24"/>
      <w:bookmarkEnd w:id="25"/>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5"/>
        <w:ind w:right="0" w:firstLine="482" w:firstLineChars="200"/>
        <w:rPr>
          <w:rFonts w:cs="宋体"/>
          <w:bCs/>
          <w:sz w:val="24"/>
          <w:szCs w:val="24"/>
        </w:rPr>
      </w:pPr>
      <w:bookmarkStart w:id="26" w:name="_Toc28359085"/>
      <w:bookmarkStart w:id="27" w:name="_Toc35393796"/>
      <w:bookmarkStart w:id="28" w:name="_Toc35393627"/>
      <w:bookmarkStart w:id="29" w:name="_Toc28359008"/>
      <w:r>
        <w:rPr>
          <w:rFonts w:hint="eastAsia" w:cs="宋体"/>
          <w:bCs/>
          <w:sz w:val="24"/>
          <w:szCs w:val="24"/>
        </w:rPr>
        <w:t>七、联系</w:t>
      </w:r>
      <w:bookmarkEnd w:id="26"/>
      <w:bookmarkEnd w:id="27"/>
      <w:bookmarkEnd w:id="28"/>
      <w:bookmarkEnd w:id="29"/>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　台州市中西医结合医院  　</w:t>
      </w:r>
    </w:p>
    <w:p>
      <w:pPr>
        <w:spacing w:line="360" w:lineRule="auto"/>
        <w:ind w:firstLine="480" w:firstLineChars="200"/>
        <w:jc w:val="lef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浙江省台州市商城大道350号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江</w:t>
      </w:r>
      <w:r>
        <w:rPr>
          <w:rFonts w:hint="eastAsia" w:ascii="宋体" w:hAnsi="宋体" w:cs="宋体"/>
          <w:sz w:val="24"/>
          <w:u w:val="single"/>
          <w:lang w:val="en-US" w:eastAsia="zh-CN"/>
        </w:rPr>
        <w:t xml:space="preserve">先生               </w:t>
      </w:r>
      <w:r>
        <w:rPr>
          <w:rFonts w:hint="eastAsia" w:ascii="宋体" w:hAnsi="宋体" w:cs="宋体"/>
          <w:sz w:val="24"/>
          <w:u w:val="single"/>
        </w:rPr>
        <w:t xml:space="preserve"> 　</w:t>
      </w:r>
      <w:bookmarkStart w:id="30" w:name="_Toc28359009"/>
      <w:bookmarkStart w:id="31" w:name="_Toc28359086"/>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18858695251</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bookmarkEnd w:id="30"/>
    <w:bookmarkEnd w:id="31"/>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温岭市政府采购中心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温岭市九龙大道555号行政服务中心608室 　</w:t>
      </w:r>
    </w:p>
    <w:p>
      <w:pPr>
        <w:spacing w:line="360" w:lineRule="auto"/>
        <w:ind w:firstLine="480" w:firstLineChars="200"/>
        <w:jc w:val="left"/>
        <w:rPr>
          <w:rFonts w:ascii="宋体" w:hAnsi="宋体" w:cs="宋体"/>
          <w:sz w:val="24"/>
          <w:u w:val="single"/>
        </w:rPr>
      </w:pPr>
      <w:r>
        <w:rPr>
          <w:rFonts w:hint="eastAsia" w:ascii="宋体" w:hAnsi="宋体" w:cs="宋体"/>
          <w:sz w:val="24"/>
        </w:rPr>
        <w:t>项目联系人：</w:t>
      </w:r>
      <w:bookmarkStart w:id="32" w:name="_Toc28359087"/>
      <w:bookmarkStart w:id="33" w:name="_Toc28359010"/>
      <w:r>
        <w:rPr>
          <w:rFonts w:hint="eastAsia" w:ascii="宋体" w:hAnsi="宋体" w:cs="宋体"/>
          <w:sz w:val="24"/>
          <w:u w:val="single"/>
        </w:rPr>
        <w:t xml:space="preserve">谢女士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0576-86109763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李先生（受理注册、中标结果相关质疑及答复）</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0576-86107306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温岭市财政局政府采购监管科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浙江省温岭市太平街道中华路</w:t>
      </w:r>
      <w:r>
        <w:rPr>
          <w:rFonts w:ascii="宋体" w:hAnsi="宋体" w:cs="宋体"/>
          <w:sz w:val="24"/>
          <w:u w:val="single"/>
        </w:rPr>
        <w:t>29</w:t>
      </w:r>
      <w:r>
        <w:rPr>
          <w:rFonts w:hint="eastAsia" w:ascii="宋体" w:hAnsi="宋体" w:cs="宋体"/>
          <w:sz w:val="24"/>
          <w:u w:val="single"/>
        </w:rPr>
        <w:t>号</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冯女士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0576-86086511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pPr>
      <w:r>
        <w:rPr>
          <w:rFonts w:hint="eastAsia" w:ascii="宋体" w:hAnsi="宋体" w:cs="宋体"/>
          <w:sz w:val="24"/>
        </w:rPr>
        <w:t>联系电话：</w:t>
      </w:r>
      <w:r>
        <w:rPr>
          <w:rFonts w:hint="eastAsia" w:ascii="宋体" w:hAnsi="宋体" w:cs="宋体"/>
          <w:sz w:val="24"/>
          <w:u w:val="single"/>
        </w:rPr>
        <w:t xml:space="preserve">4008817190      </w:t>
      </w:r>
    </w:p>
    <w:p>
      <w:pPr>
        <w:snapToGrid w:val="0"/>
        <w:spacing w:line="4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八、其它</w:t>
      </w:r>
    </w:p>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中标供应商如有融资需求，可使用以下银行的政采贷服务。</w:t>
      </w:r>
    </w:p>
    <w:tbl>
      <w:tblPr>
        <w:tblStyle w:val="21"/>
        <w:tblW w:w="9519" w:type="dxa"/>
        <w:tblInd w:w="0" w:type="dxa"/>
        <w:tblLayout w:type="fixed"/>
        <w:tblCellMar>
          <w:top w:w="0" w:type="dxa"/>
          <w:left w:w="30" w:type="dxa"/>
          <w:bottom w:w="0" w:type="dxa"/>
          <w:right w:w="30" w:type="dxa"/>
        </w:tblCellMar>
      </w:tblPr>
      <w:tblGrid>
        <w:gridCol w:w="29"/>
        <w:gridCol w:w="2545"/>
        <w:gridCol w:w="616"/>
        <w:gridCol w:w="1647"/>
        <w:gridCol w:w="693"/>
        <w:gridCol w:w="1717"/>
        <w:gridCol w:w="109"/>
        <w:gridCol w:w="2150"/>
        <w:gridCol w:w="6"/>
        <w:gridCol w:w="7"/>
      </w:tblGrid>
      <w:tr>
        <w:tblPrEx>
          <w:tblCellMar>
            <w:top w:w="0" w:type="dxa"/>
            <w:left w:w="30" w:type="dxa"/>
            <w:bottom w:w="0" w:type="dxa"/>
            <w:right w:w="30" w:type="dxa"/>
          </w:tblCellMar>
        </w:tblPrEx>
        <w:trPr>
          <w:gridAfter w:val="2"/>
          <w:wAfter w:w="13" w:type="dxa"/>
          <w:trHeight w:val="471"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贷款年利率</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联系人</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联系电话</w:t>
            </w:r>
          </w:p>
        </w:tc>
      </w:tr>
      <w:tr>
        <w:tblPrEx>
          <w:tblCellMar>
            <w:top w:w="0" w:type="dxa"/>
            <w:left w:w="30" w:type="dxa"/>
            <w:bottom w:w="0" w:type="dxa"/>
            <w:right w:w="30" w:type="dxa"/>
          </w:tblCellMar>
        </w:tblPrEx>
        <w:trPr>
          <w:gridAfter w:val="2"/>
          <w:wAfter w:w="13" w:type="dxa"/>
          <w:trHeight w:val="332"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中国农业银行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3.8%</w:t>
            </w:r>
            <w:r>
              <w:rPr>
                <w:rFonts w:hint="eastAsia" w:ascii="宋体" w:hAnsi="宋体" w:cs="宋体"/>
                <w:color w:val="000000" w:themeColor="text1"/>
                <w:sz w:val="24"/>
              </w:rPr>
              <w:t>起</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赵莉鹏</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15267630808</w:t>
            </w:r>
          </w:p>
        </w:tc>
      </w:tr>
      <w:tr>
        <w:tblPrEx>
          <w:tblCellMar>
            <w:top w:w="0" w:type="dxa"/>
            <w:left w:w="30" w:type="dxa"/>
            <w:bottom w:w="0" w:type="dxa"/>
            <w:right w:w="30" w:type="dxa"/>
          </w:tblCellMar>
        </w:tblPrEx>
        <w:trPr>
          <w:gridAfter w:val="2"/>
          <w:wAfter w:w="13" w:type="dxa"/>
          <w:trHeight w:val="461"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中国交通银行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3.8%</w:t>
            </w:r>
            <w:r>
              <w:rPr>
                <w:rFonts w:hint="eastAsia" w:ascii="宋体" w:hAnsi="宋体" w:cs="宋体"/>
                <w:color w:val="000000" w:themeColor="text1"/>
                <w:sz w:val="24"/>
              </w:rPr>
              <w:t>起</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王培洁</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13819666299</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中国建设银行</w:t>
            </w:r>
          </w:p>
        </w:tc>
        <w:tc>
          <w:tcPr>
            <w:tcW w:w="2263"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基准利率</w:t>
            </w:r>
          </w:p>
        </w:tc>
        <w:tc>
          <w:tcPr>
            <w:tcW w:w="2410"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范融</w:t>
            </w:r>
          </w:p>
        </w:tc>
        <w:tc>
          <w:tcPr>
            <w:tcW w:w="2259" w:type="dxa"/>
            <w:gridSpan w:val="2"/>
            <w:tcBorders>
              <w:top w:val="single" w:color="auto" w:sz="6" w:space="0"/>
              <w:left w:val="single" w:color="auto" w:sz="6" w:space="0"/>
              <w:bottom w:val="single" w:color="auto" w:sz="6" w:space="0"/>
              <w:right w:val="single" w:color="auto" w:sz="6" w:space="0"/>
            </w:tcBorders>
          </w:tcPr>
          <w:p>
            <w:pPr>
              <w:snapToGrid w:val="0"/>
              <w:spacing w:line="440" w:lineRule="exact"/>
              <w:ind w:firstLine="480" w:firstLineChars="200"/>
              <w:rPr>
                <w:rFonts w:ascii="宋体" w:hAnsi="宋体" w:cs="宋体"/>
                <w:color w:val="000000" w:themeColor="text1"/>
                <w:sz w:val="24"/>
              </w:rPr>
            </w:pPr>
            <w:r>
              <w:rPr>
                <w:rFonts w:ascii="宋体" w:hAnsi="宋体" w:cs="宋体"/>
                <w:color w:val="000000" w:themeColor="text1"/>
                <w:sz w:val="24"/>
              </w:rPr>
              <w:t>13958680866</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中国工商银行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王晨晓</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18858658025</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3.85%起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朱  虹</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13806588208</w:t>
            </w:r>
          </w:p>
        </w:tc>
      </w:tr>
      <w:tr>
        <w:tblPrEx>
          <w:tblCellMar>
            <w:top w:w="0" w:type="dxa"/>
            <w:left w:w="30" w:type="dxa"/>
            <w:bottom w:w="0" w:type="dxa"/>
            <w:right w:w="30" w:type="dxa"/>
          </w:tblCellMar>
        </w:tblPrEx>
        <w:trPr>
          <w:gridAfter w:val="2"/>
          <w:wAfter w:w="13" w:type="dxa"/>
          <w:trHeight w:val="374" w:hRule="atLeast"/>
        </w:trPr>
        <w:tc>
          <w:tcPr>
            <w:tcW w:w="2574"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中国邮政储蓄银行</w:t>
            </w:r>
          </w:p>
        </w:tc>
        <w:tc>
          <w:tcPr>
            <w:tcW w:w="2263"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3.85%起</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王彬彬</w:t>
            </w:r>
          </w:p>
        </w:tc>
        <w:tc>
          <w:tcPr>
            <w:tcW w:w="2259" w:type="dxa"/>
            <w:gridSpan w:val="2"/>
            <w:tcBorders>
              <w:top w:val="single" w:color="auto" w:sz="6" w:space="0"/>
              <w:left w:val="single" w:color="auto" w:sz="6" w:space="0"/>
              <w:bottom w:val="single" w:color="auto" w:sz="6" w:space="0"/>
              <w:right w:val="single" w:color="auto" w:sz="6" w:space="0"/>
            </w:tcBorders>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13173718881</w:t>
            </w:r>
          </w:p>
        </w:tc>
      </w:tr>
      <w:tr>
        <w:tblPrEx>
          <w:tblCellMar>
            <w:top w:w="0" w:type="dxa"/>
            <w:left w:w="108" w:type="dxa"/>
            <w:bottom w:w="0" w:type="dxa"/>
            <w:right w:w="108" w:type="dxa"/>
          </w:tblCellMar>
        </w:tblPrEx>
        <w:trPr>
          <w:gridBefore w:val="1"/>
          <w:wBefore w:w="29" w:type="dxa"/>
          <w:trHeight w:val="676" w:hRule="atLeast"/>
        </w:trPr>
        <w:tc>
          <w:tcPr>
            <w:tcW w:w="9490" w:type="dxa"/>
            <w:gridSpan w:val="9"/>
            <w:tcBorders>
              <w:top w:val="nil"/>
              <w:left w:val="nil"/>
              <w:bottom w:val="nil"/>
              <w:right w:val="nil"/>
            </w:tcBorders>
            <w:shd w:val="clear" w:color="auto" w:fill="auto"/>
            <w:noWrap/>
            <w:vAlign w:val="center"/>
          </w:tcPr>
          <w:p>
            <w:pPr>
              <w:snapToGrid w:val="0"/>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政采保联系方式</w:t>
            </w:r>
          </w:p>
        </w:tc>
      </w:tr>
      <w:tr>
        <w:tblPrEx>
          <w:tblCellMar>
            <w:top w:w="0" w:type="dxa"/>
            <w:left w:w="108" w:type="dxa"/>
            <w:bottom w:w="0" w:type="dxa"/>
            <w:right w:w="108" w:type="dxa"/>
          </w:tblCellMar>
        </w:tblPrEx>
        <w:trPr>
          <w:gridBefore w:val="1"/>
          <w:gridAfter w:val="1"/>
          <w:wBefore w:w="29" w:type="dxa"/>
          <w:wAfter w:w="7" w:type="dxa"/>
          <w:trHeight w:val="332" w:hRule="atLeast"/>
        </w:trPr>
        <w:tc>
          <w:tcPr>
            <w:tcW w:w="31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中国人民财产保险股份有限公司温岭市支公司</w:t>
            </w:r>
          </w:p>
        </w:tc>
        <w:tc>
          <w:tcPr>
            <w:tcW w:w="23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合同（质量）履约按履约保证金年费率1%（1.5%），每单保函最低保险费为500元（300元）</w:t>
            </w:r>
          </w:p>
        </w:tc>
        <w:tc>
          <w:tcPr>
            <w:tcW w:w="182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李微微</w:t>
            </w:r>
          </w:p>
        </w:tc>
        <w:tc>
          <w:tcPr>
            <w:tcW w:w="215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13605861319</w:t>
            </w:r>
          </w:p>
        </w:tc>
      </w:tr>
      <w:tr>
        <w:tblPrEx>
          <w:tblCellMar>
            <w:top w:w="0" w:type="dxa"/>
            <w:left w:w="108" w:type="dxa"/>
            <w:bottom w:w="0" w:type="dxa"/>
            <w:right w:w="108" w:type="dxa"/>
          </w:tblCellMar>
        </w:tblPrEx>
        <w:trPr>
          <w:gridBefore w:val="1"/>
          <w:gridAfter w:val="1"/>
          <w:wBefore w:w="29" w:type="dxa"/>
          <w:wAfter w:w="7" w:type="dxa"/>
          <w:trHeight w:val="303" w:hRule="atLeast"/>
        </w:trPr>
        <w:tc>
          <w:tcPr>
            <w:tcW w:w="3161"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中国平安财产保险股份有限公司温岭支公司</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80" w:firstLineChars="200"/>
              <w:jc w:val="left"/>
              <w:rPr>
                <w:rFonts w:ascii="宋体" w:hAnsi="宋体" w:cs="宋体"/>
                <w:color w:val="000000" w:themeColor="text1"/>
                <w:sz w:val="24"/>
              </w:rPr>
            </w:pPr>
          </w:p>
        </w:tc>
        <w:tc>
          <w:tcPr>
            <w:tcW w:w="182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郑海珍</w:t>
            </w:r>
          </w:p>
        </w:tc>
        <w:tc>
          <w:tcPr>
            <w:tcW w:w="215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13906560678</w:t>
            </w:r>
          </w:p>
        </w:tc>
      </w:tr>
      <w:tr>
        <w:tblPrEx>
          <w:tblCellMar>
            <w:top w:w="0" w:type="dxa"/>
            <w:left w:w="108" w:type="dxa"/>
            <w:bottom w:w="0" w:type="dxa"/>
            <w:right w:w="108" w:type="dxa"/>
          </w:tblCellMar>
        </w:tblPrEx>
        <w:trPr>
          <w:gridBefore w:val="1"/>
          <w:gridAfter w:val="1"/>
          <w:wBefore w:w="29" w:type="dxa"/>
          <w:wAfter w:w="7" w:type="dxa"/>
          <w:trHeight w:val="116" w:hRule="atLeast"/>
        </w:trPr>
        <w:tc>
          <w:tcPr>
            <w:tcW w:w="3161" w:type="dxa"/>
            <w:gridSpan w:val="2"/>
            <w:tcBorders>
              <w:top w:val="nil"/>
              <w:left w:val="single" w:color="auto" w:sz="4" w:space="0"/>
              <w:bottom w:val="single" w:color="auto" w:sz="4" w:space="0"/>
              <w:right w:val="single" w:color="auto" w:sz="4" w:space="0"/>
            </w:tcBorders>
            <w:shd w:val="clear" w:color="auto" w:fill="auto"/>
            <w:vAlign w:val="center"/>
          </w:tcPr>
          <w:p>
            <w:pPr>
              <w:snapToGrid w:val="0"/>
              <w:spacing w:line="440" w:lineRule="exact"/>
              <w:jc w:val="left"/>
              <w:rPr>
                <w:rFonts w:ascii="宋体" w:hAnsi="宋体" w:cs="宋体"/>
                <w:color w:val="000000" w:themeColor="text1"/>
                <w:sz w:val="24"/>
              </w:rPr>
            </w:pPr>
            <w:r>
              <w:rPr>
                <w:rFonts w:hint="eastAsia" w:ascii="宋体" w:hAnsi="宋体" w:cs="宋体"/>
                <w:color w:val="000000" w:themeColor="text1"/>
                <w:sz w:val="24"/>
              </w:rPr>
              <w:t>阳光财产保险股份有限公司温岭支公司</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80" w:firstLineChars="200"/>
              <w:jc w:val="left"/>
              <w:rPr>
                <w:rFonts w:ascii="宋体" w:hAnsi="宋体" w:cs="宋体"/>
                <w:color w:val="000000" w:themeColor="text1"/>
                <w:sz w:val="24"/>
              </w:rPr>
            </w:pPr>
          </w:p>
        </w:tc>
        <w:tc>
          <w:tcPr>
            <w:tcW w:w="182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王巧萍</w:t>
            </w:r>
          </w:p>
        </w:tc>
        <w:tc>
          <w:tcPr>
            <w:tcW w:w="2156" w:type="dxa"/>
            <w:gridSpan w:val="2"/>
            <w:tcBorders>
              <w:top w:val="nil"/>
              <w:left w:val="nil"/>
              <w:bottom w:val="single" w:color="auto" w:sz="4" w:space="0"/>
              <w:right w:val="single" w:color="auto" w:sz="4" w:space="0"/>
            </w:tcBorders>
            <w:shd w:val="clear" w:color="auto" w:fill="auto"/>
            <w:vAlign w:val="center"/>
          </w:tcPr>
          <w:p>
            <w:pPr>
              <w:snapToGrid w:val="0"/>
              <w:spacing w:line="44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13967691616</w:t>
            </w:r>
          </w:p>
        </w:tc>
      </w:tr>
    </w:tbl>
    <w:p>
      <w:pPr>
        <w:pStyle w:val="2"/>
        <w:ind w:left="0" w:leftChars="0" w:firstLine="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pPr>
    </w:p>
    <w:p>
      <w:r>
        <w:br w:type="page"/>
      </w:r>
    </w:p>
    <w:p>
      <w:pPr>
        <w:pStyle w:val="2"/>
        <w:ind w:left="0" w:leftChars="0" w:firstLine="0"/>
      </w:pPr>
    </w:p>
    <w:bookmarkEnd w:id="32"/>
    <w:bookmarkEnd w:id="33"/>
    <w:p>
      <w:pPr>
        <w:numPr>
          <w:ilvl w:val="0"/>
          <w:numId w:val="4"/>
        </w:numPr>
        <w:spacing w:line="360" w:lineRule="auto"/>
        <w:jc w:val="center"/>
        <w:rPr>
          <w:rFonts w:asciiTheme="minorEastAsia" w:hAnsiTheme="minorEastAsia" w:eastAsiaTheme="minorEastAsia"/>
          <w:b/>
          <w:sz w:val="36"/>
          <w:szCs w:val="36"/>
        </w:rPr>
      </w:pPr>
      <w:bookmarkStart w:id="34" w:name="_Toc25017_WPSOffice_Level1"/>
      <w:r>
        <w:rPr>
          <w:rFonts w:hint="eastAsia" w:asciiTheme="minorEastAsia" w:hAnsiTheme="minorEastAsia" w:eastAsiaTheme="minorEastAsia"/>
          <w:b/>
          <w:sz w:val="36"/>
          <w:szCs w:val="36"/>
        </w:rPr>
        <w:t>投标人须知</w:t>
      </w:r>
      <w:bookmarkEnd w:id="34"/>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1"/>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b/>
                <w:bCs/>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sz w:val="24"/>
              </w:rPr>
              <w:t>□是 /</w:t>
            </w:r>
            <w:r>
              <w:rPr>
                <w:rFonts w:hint="eastAsia"/>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sz w:val="24"/>
              </w:rPr>
            </w:pPr>
            <w:r>
              <w:rPr>
                <w:rFonts w:hint="eastAsia"/>
                <w:sz w:val="24"/>
              </w:rPr>
              <w:t>□是（但主体部分不得分包，详见招标需求内容）/</w:t>
            </w:r>
            <w:r>
              <w:rPr>
                <w:rFonts w:hint="eastAsia"/>
              </w:rPr>
              <w:t>☑</w:t>
            </w:r>
            <w:r>
              <w:rPr>
                <w:rFonts w:hint="eastAsia"/>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kern w:val="0"/>
                <w:sz w:val="24"/>
              </w:rPr>
            </w:pPr>
            <w:r>
              <w:rPr>
                <w:rFonts w:hint="eastAsia" w:ascii="宋体" w:hAnsi="宋体" w:cs="宋体"/>
                <w:color w:val="000000" w:themeColor="text1"/>
                <w:kern w:val="0"/>
                <w:sz w:val="24"/>
              </w:rPr>
              <w:t>答疑会或</w:t>
            </w:r>
          </w:p>
          <w:p>
            <w:pPr>
              <w:spacing w:line="300" w:lineRule="auto"/>
              <w:jc w:val="center"/>
              <w:rPr>
                <w:rFonts w:ascii="宋体" w:hAnsi="宋体" w:cs="宋体"/>
                <w:color w:val="000000" w:themeColor="text1"/>
                <w:kern w:val="0"/>
                <w:sz w:val="24"/>
              </w:rPr>
            </w:pPr>
            <w:r>
              <w:rPr>
                <w:rFonts w:hint="eastAsia" w:ascii="宋体" w:hAnsi="宋体" w:cs="宋体"/>
                <w:color w:val="000000" w:themeColor="text1"/>
                <w:sz w:val="24"/>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jc w:val="left"/>
              <w:rPr>
                <w:rFonts w:ascii="宋体" w:cs="宋体"/>
                <w:color w:val="000000" w:themeColor="text1"/>
                <w:kern w:val="0"/>
                <w:sz w:val="22"/>
                <w:szCs w:val="22"/>
              </w:rPr>
            </w:pPr>
            <w:r>
              <w:rPr>
                <w:rFonts w:hint="eastAsia" w:ascii="宋体" w:cs="宋体"/>
                <w:color w:val="000000" w:themeColor="text1"/>
                <w:kern w:val="0"/>
                <w:sz w:val="22"/>
                <w:szCs w:val="22"/>
              </w:rPr>
              <w:t>□组织（详细内容）</w:t>
            </w:r>
          </w:p>
          <w:p>
            <w:pPr>
              <w:spacing w:line="300" w:lineRule="auto"/>
              <w:rPr>
                <w:rFonts w:ascii="宋体" w:hAnsi="宋体" w:cs="宋体"/>
                <w:color w:val="000000" w:themeColor="text1"/>
                <w:kern w:val="0"/>
                <w:sz w:val="24"/>
              </w:rPr>
            </w:pPr>
            <w:r>
              <w:rPr>
                <w:rFonts w:hint="eastAsia" w:ascii="MS Mincho" w:hAnsi="MS Mincho" w:eastAsia="MS Mincho" w:cs="MS Mincho"/>
                <w:color w:val="000000" w:themeColor="text1"/>
                <w:kern w:val="0"/>
                <w:sz w:val="22"/>
                <w:szCs w:val="22"/>
              </w:rPr>
              <w:t>☑</w:t>
            </w:r>
            <w:r>
              <w:rPr>
                <w:rFonts w:hint="eastAsia" w:ascii="宋体" w:cs="宋体"/>
                <w:color w:val="000000" w:themeColor="text1"/>
                <w:kern w:val="0"/>
                <w:sz w:val="22"/>
                <w:szCs w:val="22"/>
              </w:rPr>
              <w:t>不组织（如有需要，投标人可自行前往）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请投标人在投标前仔细阅读“政府采购项目电子交易操作指南”。</w:t>
            </w:r>
          </w:p>
          <w:p>
            <w:pPr>
              <w:spacing w:line="300" w:lineRule="auto"/>
              <w:ind w:firstLine="480" w:firstLineChars="200"/>
              <w:rPr>
                <w:rFonts w:ascii="宋体" w:hAnsi="宋体" w:cs="宋体"/>
                <w:sz w:val="24"/>
              </w:rPr>
            </w:pPr>
            <w:r>
              <w:rPr>
                <w:rFonts w:hint="eastAsia" w:ascii="宋体" w:hAnsi="宋体" w:cs="宋体"/>
                <w:sz w:val="24"/>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sz w:val="24"/>
              </w:rPr>
              <w:t>https://zfcg.czt.zj.gov.cn/download/index.html）。</w:t>
            </w:r>
            <w:r>
              <w:rPr>
                <w:rFonts w:hint="eastAsia" w:ascii="宋体" w:hAnsi="宋体" w:cs="宋体"/>
                <w:sz w:val="24"/>
              </w:rPr>
              <w:fldChar w:fldCharType="end"/>
            </w:r>
          </w:p>
          <w:p>
            <w:pPr>
              <w:spacing w:line="300" w:lineRule="auto"/>
              <w:ind w:firstLine="480" w:firstLineChars="200"/>
              <w:rPr>
                <w:rFonts w:ascii="宋体" w:hAnsi="宋体" w:cs="宋体"/>
                <w:sz w:val="24"/>
              </w:rPr>
            </w:pPr>
            <w:r>
              <w:rPr>
                <w:rFonts w:hint="eastAsia" w:ascii="宋体" w:hAnsi="宋体" w:cs="宋体"/>
                <w:sz w:val="24"/>
              </w:rPr>
              <w:t>2.投标：投标人应当在投标截止时间前（开标当天北京时间</w:t>
            </w:r>
            <w:r>
              <w:rPr>
                <w:rFonts w:hint="eastAsia" w:ascii="宋体" w:hAnsi="宋体" w:cs="宋体"/>
                <w:sz w:val="24"/>
                <w:u w:val="single"/>
              </w:rPr>
              <w:t>9：00</w:t>
            </w:r>
            <w:r>
              <w:rPr>
                <w:rFonts w:hint="eastAsia" w:ascii="宋体" w:hAnsi="宋体" w:cs="宋体"/>
                <w:sz w:val="24"/>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80" w:firstLineChars="200"/>
              <w:rPr>
                <w:rFonts w:ascii="宋体" w:hAnsi="宋体" w:cs="宋体"/>
                <w:kern w:val="0"/>
                <w:sz w:val="24"/>
              </w:rPr>
            </w:pPr>
            <w:r>
              <w:rPr>
                <w:rFonts w:hint="eastAsia" w:ascii="宋体" w:hAnsi="宋体" w:cs="宋体"/>
                <w:sz w:val="24"/>
              </w:rPr>
              <w:t>3.投标文件解密：</w:t>
            </w:r>
            <w:r>
              <w:rPr>
                <w:rFonts w:hint="eastAsia" w:ascii="宋体" w:hAnsi="宋体" w:cs="宋体"/>
                <w:sz w:val="24"/>
                <w:lang w:val="zh-CN"/>
              </w:rPr>
              <w:t>各投标供应商代表应当在接到解密通知后</w:t>
            </w:r>
            <w:r>
              <w:rPr>
                <w:rFonts w:hint="eastAsia" w:ascii="宋体" w:hAnsi="宋体" w:cs="宋体"/>
                <w:b/>
                <w:bCs/>
                <w:sz w:val="24"/>
                <w:u w:val="single"/>
                <w:lang w:val="zh-CN"/>
              </w:rPr>
              <w:t>30分钟</w:t>
            </w:r>
            <w:r>
              <w:rPr>
                <w:rFonts w:hint="eastAsia" w:ascii="宋体" w:hAnsi="宋体" w:cs="宋体"/>
                <w:sz w:val="24"/>
                <w:lang w:val="zh-CN"/>
              </w:rPr>
              <w:t>内自行完成“电子加密投标文件”的在线解密。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sz w:val="24"/>
              </w:rPr>
            </w:pPr>
            <w:r>
              <w:rPr>
                <w:rFonts w:hint="eastAsia" w:ascii="宋体" w:hAnsi="宋体" w:cs="宋体"/>
                <w:color w:val="000000" w:themeColor="text1"/>
                <w:sz w:val="24"/>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 w:val="24"/>
              </w:rPr>
            </w:pPr>
            <w:r>
              <w:rPr>
                <w:rFonts w:hint="eastAsia" w:ascii="宋体" w:hAnsi="宋体" w:cs="宋体"/>
                <w:sz w:val="24"/>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ascii="宋体" w:hAnsi="宋体" w:cs="宋体"/>
                <w:sz w:val="24"/>
              </w:rPr>
            </w:pPr>
            <w:r>
              <w:rPr>
                <w:rFonts w:hint="eastAsia" w:ascii="宋体" w:hAnsi="宋体" w:cs="宋体"/>
                <w:sz w:val="24"/>
              </w:rPr>
              <w:t>备份投标文件是通过政采云电子交易客户端制作投标文件产生的备份文件，请投标人自行妥善保管。</w:t>
            </w:r>
          </w:p>
          <w:p>
            <w:pPr>
              <w:spacing w:line="300" w:lineRule="auto"/>
              <w:ind w:firstLine="480" w:firstLineChars="200"/>
              <w:rPr>
                <w:rFonts w:ascii="宋体" w:hAnsi="宋体" w:cs="宋体"/>
                <w:sz w:val="24"/>
              </w:rPr>
            </w:pPr>
            <w:r>
              <w:rPr>
                <w:rFonts w:hint="eastAsia" w:ascii="宋体" w:hAnsi="宋体" w:cs="宋体"/>
                <w:sz w:val="24"/>
              </w:rPr>
              <w:t>1.使用前提：在解密截止时间前，投标人自行在线解密操作失败,又未能及时联系技术人员帮助解密，或者投标人寻求技术人员帮助仍无法完成解密。</w:t>
            </w:r>
          </w:p>
          <w:p>
            <w:pPr>
              <w:spacing w:line="300" w:lineRule="auto"/>
              <w:ind w:firstLine="480" w:firstLineChars="200"/>
              <w:rPr>
                <w:rFonts w:ascii="宋体" w:hAnsi="宋体" w:cs="宋体"/>
                <w:sz w:val="24"/>
              </w:rPr>
            </w:pPr>
            <w:r>
              <w:rPr>
                <w:rFonts w:hint="eastAsia" w:ascii="宋体" w:hAnsi="宋体" w:cs="宋体"/>
                <w:sz w:val="24"/>
              </w:rPr>
              <w:t>2.递交截止时间：开标当天</w:t>
            </w:r>
            <w:r>
              <w:rPr>
                <w:rFonts w:hint="eastAsia" w:ascii="宋体" w:hAnsi="宋体" w:cs="宋体"/>
                <w:sz w:val="24"/>
                <w:u w:val="single"/>
              </w:rPr>
              <w:t>9：00</w:t>
            </w:r>
            <w:r>
              <w:rPr>
                <w:rFonts w:hint="eastAsia" w:ascii="宋体" w:hAnsi="宋体" w:cs="宋体"/>
                <w:sz w:val="24"/>
              </w:rPr>
              <w:t>（北京时间）。</w:t>
            </w:r>
          </w:p>
          <w:p>
            <w:pPr>
              <w:spacing w:line="300" w:lineRule="auto"/>
              <w:ind w:firstLine="480" w:firstLineChars="200"/>
              <w:rPr>
                <w:rFonts w:ascii="宋体" w:hAnsi="宋体" w:cs="宋体"/>
                <w:sz w:val="24"/>
              </w:rPr>
            </w:pPr>
            <w:r>
              <w:rPr>
                <w:rFonts w:hint="eastAsia" w:ascii="宋体" w:hAnsi="宋体" w:cs="宋体"/>
                <w:sz w:val="24"/>
              </w:rPr>
              <w:t>3.投递邮箱：</w:t>
            </w:r>
            <w:r>
              <w:rPr>
                <w:rFonts w:hint="eastAsia" w:ascii="宋体" w:hAnsi="Courier New" w:cstheme="minorBidi"/>
                <w:sz w:val="24"/>
              </w:rPr>
              <w:t>1142193036@qq.com</w:t>
            </w:r>
          </w:p>
          <w:p>
            <w:pPr>
              <w:spacing w:line="300" w:lineRule="auto"/>
              <w:ind w:firstLine="480" w:firstLineChars="200"/>
              <w:rPr>
                <w:rFonts w:ascii="宋体" w:hAnsi="宋体" w:cs="宋体"/>
                <w:sz w:val="24"/>
              </w:rPr>
            </w:pPr>
            <w:r>
              <w:rPr>
                <w:rFonts w:hint="eastAsia" w:ascii="宋体" w:hAnsi="宋体" w:cs="宋体"/>
                <w:sz w:val="24"/>
              </w:rPr>
              <w:t>4.未按上述要求递交备份投标文件或所提供的备份投标文件不符合要求的视同放弃投标，仅提交备份投标文件的，投标无效。</w:t>
            </w:r>
          </w:p>
          <w:p>
            <w:pPr>
              <w:spacing w:line="300" w:lineRule="auto"/>
              <w:ind w:firstLine="480" w:firstLineChars="200"/>
              <w:rPr>
                <w:rFonts w:ascii="宋体" w:hAnsi="宋体" w:cs="宋体"/>
                <w:sz w:val="24"/>
              </w:rPr>
            </w:pPr>
            <w:r>
              <w:rPr>
                <w:rFonts w:hint="eastAsia" w:ascii="宋体" w:hAnsi="宋体" w:cs="宋体"/>
                <w:sz w:val="24"/>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pacing w:line="300" w:lineRule="auto"/>
              <w:ind w:firstLine="480" w:firstLineChars="200"/>
              <w:rPr>
                <w:sz w:val="24"/>
              </w:rPr>
            </w:pPr>
            <w:r>
              <w:rPr>
                <w:rFonts w:hint="eastAsia"/>
                <w:sz w:val="24"/>
              </w:rPr>
              <w:t>1.本项目实行电子投标，投标人自行承担投标一切费用。</w:t>
            </w:r>
          </w:p>
          <w:p>
            <w:pPr>
              <w:pStyle w:val="13"/>
              <w:spacing w:line="300" w:lineRule="auto"/>
              <w:ind w:firstLine="480" w:firstLineChars="200"/>
              <w:rPr>
                <w:sz w:val="24"/>
              </w:rPr>
            </w:pPr>
            <w:r>
              <w:rPr>
                <w:rFonts w:hint="eastAsia"/>
                <w:sz w:val="24"/>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pPr>
              <w:pStyle w:val="14"/>
              <w:ind w:left="0" w:leftChars="0" w:firstLine="480" w:firstLineChars="200"/>
              <w:rPr>
                <w:sz w:val="24"/>
                <w:szCs w:val="24"/>
              </w:rPr>
            </w:pPr>
            <w:r>
              <w:rPr>
                <w:rFonts w:hint="eastAsia" w:ascii="宋体" w:hAnsi="Courier New" w:eastAsia="宋体"/>
                <w:sz w:val="24"/>
                <w:szCs w:val="24"/>
              </w:rPr>
              <w:t>3.</w:t>
            </w:r>
            <w:r>
              <w:rPr>
                <w:rFonts w:hint="eastAsia" w:ascii="宋体" w:hAnsi="Courier New" w:eastAsia="宋体"/>
                <w:sz w:val="24"/>
                <w:szCs w:val="24"/>
                <w:lang w:val="zh-CN"/>
              </w:rPr>
              <w:t>投标文件结束解密后</w:t>
            </w:r>
            <w:r>
              <w:rPr>
                <w:rFonts w:hint="eastAsia" w:ascii="宋体" w:hAnsi="Courier New" w:eastAsia="宋体"/>
                <w:sz w:val="24"/>
                <w:szCs w:val="24"/>
              </w:rPr>
              <w:t>，</w:t>
            </w:r>
            <w:r>
              <w:rPr>
                <w:rFonts w:hint="eastAsia" w:ascii="宋体" w:hAnsi="Courier New" w:eastAsia="宋体"/>
                <w:sz w:val="24"/>
                <w:szCs w:val="24"/>
                <w:lang w:val="zh-CN"/>
              </w:rPr>
              <w:t>供应商应当通过邮件形式</w:t>
            </w:r>
            <w:r>
              <w:rPr>
                <w:rFonts w:hint="eastAsia" w:ascii="宋体" w:hAnsi="Courier New" w:eastAsia="宋体"/>
                <w:sz w:val="24"/>
                <w:szCs w:val="24"/>
              </w:rPr>
              <w:t>，</w:t>
            </w:r>
            <w:r>
              <w:rPr>
                <w:rFonts w:hint="eastAsia" w:ascii="宋体" w:hAnsi="Courier New" w:eastAsia="宋体"/>
                <w:sz w:val="24"/>
                <w:szCs w:val="24"/>
                <w:lang w:val="zh-CN"/>
              </w:rPr>
              <w:t>将经授权代表签署的《政府采购活动现场确认声明书》</w:t>
            </w:r>
            <w:r>
              <w:rPr>
                <w:rFonts w:hint="eastAsia" w:ascii="宋体" w:hAnsi="Courier New" w:eastAsia="宋体"/>
                <w:sz w:val="24"/>
                <w:szCs w:val="24"/>
              </w:rPr>
              <w:t>（</w:t>
            </w:r>
            <w:r>
              <w:rPr>
                <w:rFonts w:hint="eastAsia" w:ascii="宋体" w:hAnsi="Courier New" w:eastAsia="宋体"/>
                <w:sz w:val="24"/>
                <w:szCs w:val="24"/>
                <w:lang w:val="zh-CN"/>
              </w:rPr>
              <w:t>格式见附件最后一页</w:t>
            </w:r>
            <w:r>
              <w:rPr>
                <w:rFonts w:hint="eastAsia" w:ascii="宋体" w:hAnsi="Courier New" w:eastAsia="宋体"/>
                <w:sz w:val="24"/>
                <w:szCs w:val="24"/>
              </w:rPr>
              <w:t>）</w:t>
            </w:r>
            <w:r>
              <w:rPr>
                <w:rFonts w:hint="eastAsia" w:ascii="宋体" w:hAnsi="Courier New" w:eastAsia="宋体"/>
                <w:sz w:val="24"/>
                <w:szCs w:val="24"/>
                <w:lang w:val="zh-CN"/>
              </w:rPr>
              <w:t>扫描件发至代理机构邮箱</w:t>
            </w:r>
            <w:r>
              <w:rPr>
                <w:rFonts w:hint="eastAsia" w:ascii="宋体" w:hAnsi="Courier New" w:eastAsia="宋体"/>
                <w:sz w:val="24"/>
                <w:szCs w:val="24"/>
              </w:rPr>
              <w:t>（1142193036@qq.com）,</w:t>
            </w:r>
            <w:r>
              <w:rPr>
                <w:rFonts w:hint="eastAsia" w:ascii="宋体" w:hAnsi="Courier New" w:eastAsia="宋体"/>
                <w:sz w:val="24"/>
                <w:szCs w:val="24"/>
                <w:lang w:val="zh-CN"/>
              </w:rPr>
              <w:t>联系人</w:t>
            </w:r>
            <w:r>
              <w:rPr>
                <w:rFonts w:hint="eastAsia" w:ascii="宋体" w:hAnsi="Courier New" w:eastAsia="宋体"/>
                <w:sz w:val="24"/>
                <w:szCs w:val="24"/>
              </w:rPr>
              <w:t>：谢倩倩，</w:t>
            </w:r>
            <w:r>
              <w:rPr>
                <w:rFonts w:hint="eastAsia" w:ascii="宋体" w:hAnsi="Courier New" w:eastAsia="宋体"/>
                <w:sz w:val="24"/>
                <w:szCs w:val="24"/>
                <w:lang w:val="zh-CN"/>
              </w:rPr>
              <w:t>电话</w:t>
            </w:r>
            <w:r>
              <w:rPr>
                <w:rFonts w:hint="eastAsia" w:ascii="宋体" w:hAnsi="Courier New" w:eastAsia="宋体"/>
                <w:sz w:val="24"/>
                <w:szCs w:val="24"/>
              </w:rPr>
              <w:t>：13750603472</w:t>
            </w:r>
            <w:r>
              <w:rPr>
                <w:rFonts w:hint="eastAsia" w:ascii="宋体" w:hAnsi="Courier New" w:eastAsia="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 w:val="24"/>
              </w:rPr>
            </w:pPr>
            <w:r>
              <w:rPr>
                <w:rFonts w:hint="eastAsia" w:cs="Arial" w:asciiTheme="minorEastAsia" w:hAnsiTheme="minorEastAsia" w:eastAsiaTheme="minorEastAsia"/>
                <w:sz w:val="24"/>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 w:val="24"/>
              </w:rPr>
              <w:t>http://www.creditchina.gov.cn</w:t>
            </w:r>
            <w:r>
              <w:rPr>
                <w:rFonts w:cs="Arial" w:asciiTheme="minorEastAsia" w:hAnsiTheme="minorEastAsia" w:eastAsiaTheme="minorEastAsia"/>
                <w:sz w:val="24"/>
              </w:rPr>
              <w:fldChar w:fldCharType="end"/>
            </w:r>
            <w:r>
              <w:rPr>
                <w:rFonts w:hint="eastAsia" w:cs="Arial" w:asciiTheme="minorEastAsia" w:hAnsiTheme="minorEastAsia" w:eastAsiaTheme="minorEastAsia"/>
                <w:sz w:val="24"/>
              </w:rPr>
              <w:t>)</w:t>
            </w:r>
          </w:p>
          <w:p>
            <w:pPr>
              <w:spacing w:line="300" w:lineRule="auto"/>
              <w:rPr>
                <w:rFonts w:ascii="宋体" w:hAnsi="宋体" w:cs="宋体"/>
                <w:sz w:val="24"/>
              </w:rPr>
            </w:pPr>
            <w:r>
              <w:rPr>
                <w:rFonts w:hint="eastAsia" w:cs="Arial" w:asciiTheme="minorEastAsia" w:hAnsiTheme="minorEastAsia" w:eastAsiaTheme="minorEastAsia"/>
                <w:sz w:val="24"/>
              </w:rPr>
              <w:t>中国政府采购网（网址：</w:t>
            </w:r>
            <w:r>
              <w:rPr>
                <w:rFonts w:cs="Arial" w:asciiTheme="minorEastAsia" w:hAnsiTheme="minorEastAsia" w:eastAsiaTheme="minorEastAsia"/>
                <w:sz w:val="24"/>
              </w:rPr>
              <w:t>http://www.ccgp.gov.cn</w:t>
            </w:r>
            <w:r>
              <w:rPr>
                <w:rFonts w:hint="eastAsia" w:cs="Arial"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sz w:val="24"/>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黑体" w:hAnsi="黑体" w:eastAsia="黑体" w:cs="黑体"/>
                <w:color w:val="111F2C"/>
                <w:sz w:val="24"/>
                <w:shd w:val="clear" w:color="auto" w:fill="FFFFFF"/>
              </w:rPr>
            </w:pPr>
            <w:r>
              <w:rPr>
                <w:rFonts w:hint="eastAsia" w:cs="Arial" w:asciiTheme="minorEastAsia" w:hAnsiTheme="minorEastAsia" w:eastAsiaTheme="minorEastAsia"/>
                <w:sz w:val="24"/>
              </w:rPr>
              <w:t>根据《政府采购促进中小企业发展管理办法》财库〔2020〕46号文件的规定，本项目(</w:t>
            </w:r>
            <w:r>
              <w:rPr>
                <w:rFonts w:hint="eastAsia" w:ascii="宋体" w:hAnsi="宋体" w:cs="宋体"/>
                <w:sz w:val="24"/>
              </w:rPr>
              <w:t>☑是 /</w:t>
            </w:r>
            <w:r>
              <w:rPr>
                <w:rFonts w:hint="eastAsia"/>
              </w:rPr>
              <w:t>□</w:t>
            </w:r>
            <w:r>
              <w:rPr>
                <w:rFonts w:hint="eastAsia" w:ascii="宋体" w:hAnsi="宋体" w:cs="宋体"/>
                <w:sz w:val="24"/>
              </w:rPr>
              <w:t xml:space="preserve"> 否</w:t>
            </w:r>
            <w:r>
              <w:rPr>
                <w:rFonts w:hint="eastAsia" w:ascii="黑体" w:hAnsi="黑体" w:eastAsia="黑体" w:cs="黑体"/>
                <w:sz w:val="24"/>
                <w:shd w:val="clear" w:color="auto" w:fill="FFFFFF"/>
              </w:rPr>
              <w:t>)</w:t>
            </w:r>
            <w:r>
              <w:rPr>
                <w:rFonts w:hint="eastAsia" w:cs="Arial" w:asciiTheme="minorEastAsia" w:hAnsiTheme="minorEastAsia" w:eastAsiaTheme="minorEastAsia"/>
                <w:sz w:val="24"/>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1.项目属性（服务类）</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2.中小企业划分标准所属行业（具体根据《中小企业划型标准规定》执行）。</w:t>
            </w:r>
          </w:p>
          <w:p>
            <w:pPr>
              <w:adjustRightInd w:val="0"/>
              <w:snapToGrid w:val="0"/>
              <w:spacing w:line="312" w:lineRule="auto"/>
              <w:ind w:firstLine="480" w:firstLineChars="200"/>
              <w:rPr>
                <w:rFonts w:ascii="宋体" w:hAnsi="宋体"/>
                <w:b/>
                <w:color w:val="000000" w:themeColor="text1"/>
                <w:sz w:val="24"/>
              </w:rPr>
            </w:pPr>
            <w:r>
              <w:rPr>
                <w:rFonts w:hint="eastAsia" w:cs="Arial" w:asciiTheme="minorEastAsia" w:hAnsiTheme="minorEastAsia" w:eastAsiaTheme="minorEastAsia"/>
                <w:color w:val="000000" w:themeColor="text1"/>
                <w:sz w:val="24"/>
              </w:rPr>
              <w:t>采购标的：</w:t>
            </w:r>
            <w:r>
              <w:rPr>
                <w:rFonts w:hint="eastAsia" w:cs="宋体" w:eastAsiaTheme="minorEastAsia"/>
                <w:sz w:val="24"/>
                <w:u w:val="single"/>
              </w:rPr>
              <w:t>台州市中西医结合医院物业管理</w:t>
            </w:r>
            <w:r>
              <w:rPr>
                <w:rFonts w:hint="eastAsia" w:cs="Arial" w:asciiTheme="minorEastAsia" w:hAnsiTheme="minorEastAsia" w:eastAsiaTheme="minorEastAsia"/>
                <w:color w:val="000000" w:themeColor="text1"/>
                <w:sz w:val="24"/>
              </w:rPr>
              <w:t>，所属行业：</w:t>
            </w:r>
            <w:r>
              <w:rPr>
                <w:rFonts w:hint="eastAsia" w:cs="宋体" w:eastAsiaTheme="minorEastAsia"/>
                <w:sz w:val="24"/>
                <w:u w:val="single"/>
              </w:rPr>
              <w:t>物业管理</w:t>
            </w:r>
            <w:r>
              <w:rPr>
                <w:rFonts w:hint="eastAsia" w:cs="Arial" w:asciiTheme="minorEastAsia" w:hAnsiTheme="minorEastAsia" w:eastAsiaTheme="minorEastAsia"/>
                <w:color w:val="000000" w:themeColor="text1"/>
                <w:sz w:val="24"/>
                <w:u w:val="single"/>
              </w:rPr>
              <w:t xml:space="preserve">  。</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3.根据财库[2017]141号的相关规定，在政府采购活动中，残疾人福利性单位的视同小型、微型企业。属于享受政府采购支持政策的残疾人福利性单位，应满足财库[2017]141号文件规定，并在投标文件中提供残疾人福利性单位声明函（见附件6）。</w:t>
            </w:r>
          </w:p>
          <w:p>
            <w:pPr>
              <w:spacing w:line="30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4.根据财库[2014]68号的相关规定，在政府采购活动中，监狱企业的视同小型、微型企业，并在投标文件中提供由省级以上监狱管理局、戒毒管理局（含新疆生产建设兵团）出具的属于监狱企业的证明文件（格式自拟）。</w:t>
            </w:r>
          </w:p>
          <w:p>
            <w:pPr>
              <w:spacing w:line="300" w:lineRule="auto"/>
              <w:rPr>
                <w:rFonts w:ascii="宋体" w:hAnsi="宋体" w:cs="宋体"/>
                <w:dstrike/>
                <w:color w:val="FF0000"/>
                <w:sz w:val="24"/>
              </w:rPr>
            </w:pPr>
            <w:r>
              <w:rPr>
                <w:rFonts w:hint="eastAsia" w:ascii="宋体" w:hAnsi="宋体" w:cs="宋体"/>
                <w:b/>
                <w:bCs/>
                <w:sz w:val="24"/>
                <w:u w:val="single"/>
              </w:rPr>
              <w:t>本项目为专门面向中小企业采购的项目，不再执行价格评审优惠的扶持政策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询问、质疑、投诉渠道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sz w:val="24"/>
              </w:rPr>
            </w:pPr>
            <w:r>
              <w:rPr>
                <w:rFonts w:hint="eastAsia" w:ascii="宋体" w:hAnsi="宋体" w:cs="宋体"/>
                <w:color w:val="000000" w:themeColor="text1"/>
                <w:sz w:val="24"/>
              </w:rPr>
              <w:t>询问：政采云-项目采购-询问质疑投诉-询问列表；</w:t>
            </w:r>
          </w:p>
          <w:p>
            <w:pPr>
              <w:spacing w:line="300" w:lineRule="auto"/>
              <w:rPr>
                <w:rFonts w:ascii="宋体" w:hAnsi="宋体" w:cs="宋体"/>
                <w:color w:val="000000" w:themeColor="text1"/>
                <w:sz w:val="24"/>
              </w:rPr>
            </w:pPr>
            <w:r>
              <w:rPr>
                <w:rFonts w:hint="eastAsia" w:ascii="宋体" w:hAnsi="宋体" w:cs="宋体"/>
                <w:color w:val="000000" w:themeColor="text1"/>
                <w:sz w:val="24"/>
              </w:rPr>
              <w:t>质疑：政采云-项目采购-询问 质疑投诉-质疑列表；</w:t>
            </w:r>
          </w:p>
          <w:p>
            <w:pPr>
              <w:spacing w:line="300" w:lineRule="auto"/>
              <w:rPr>
                <w:rFonts w:ascii="宋体" w:hAnsi="宋体" w:cs="宋体"/>
                <w:color w:val="000000" w:themeColor="text1"/>
                <w:sz w:val="24"/>
              </w:rPr>
            </w:pPr>
            <w:r>
              <w:rPr>
                <w:rFonts w:hint="eastAsia" w:ascii="宋体" w:hAnsi="宋体" w:cs="宋体"/>
                <w:color w:val="000000" w:themeColor="text1"/>
                <w:sz w:val="24"/>
              </w:rPr>
              <w:t>投诉：浙江政府服务网-政府采购投诉处理-在线办理；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color w:val="000000" w:themeColor="text1"/>
                <w:sz w:val="24"/>
              </w:rPr>
            </w:pPr>
            <w:r>
              <w:rPr>
                <w:rFonts w:hint="eastAsia" w:ascii="宋体" w:hAnsi="宋体" w:cs="宋体"/>
                <w:color w:val="000000" w:themeColor="text1"/>
                <w:sz w:val="24"/>
              </w:rPr>
              <w:t>澄清问题的形式</w:t>
            </w:r>
          </w:p>
          <w:p>
            <w:pPr>
              <w:autoSpaceDE w:val="0"/>
              <w:autoSpaceDN w:val="0"/>
              <w:spacing w:line="300" w:lineRule="auto"/>
              <w:jc w:val="center"/>
              <w:rPr>
                <w:rFonts w:ascii="宋体" w:hAnsi="宋体" w:cs="宋体"/>
                <w:sz w:val="24"/>
                <w:lang w:val="zh-CN"/>
              </w:rPr>
            </w:pP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3"/>
              <w:snapToGrid w:val="0"/>
              <w:spacing w:line="420" w:lineRule="exact"/>
              <w:ind w:firstLine="480" w:firstLineChars="200"/>
              <w:rPr>
                <w:rFonts w:hAnsi="宋体"/>
                <w:b/>
                <w:bCs/>
                <w:u w:val="single"/>
                <w:shd w:val="pct10" w:color="auto" w:fill="FFFFFF"/>
              </w:rPr>
            </w:pPr>
            <w:r>
              <w:rPr>
                <w:rFonts w:hint="eastAsia" w:hAnsi="宋体" w:cs="宋体"/>
                <w:color w:val="000000" w:themeColor="text1"/>
                <w:sz w:val="24"/>
              </w:rPr>
              <w:t>对投标文件中含义不明确、同类问题表述不一致或者有明显文字和计算错误的内容，评标委员会可要求投标人作出必要的</w:t>
            </w:r>
            <w:bookmarkStart w:id="35" w:name="_Hlk59372079"/>
            <w:r>
              <w:rPr>
                <w:rFonts w:hint="eastAsia" w:hAnsi="宋体" w:cs="宋体"/>
                <w:color w:val="000000" w:themeColor="text1"/>
                <w:sz w:val="24"/>
              </w:rPr>
              <w:t>澄清、说明</w:t>
            </w:r>
            <w:bookmarkEnd w:id="35"/>
            <w:r>
              <w:rPr>
                <w:rFonts w:hint="eastAsia" w:hAnsi="宋体" w:cs="宋体"/>
                <w:color w:val="000000" w:themeColor="text1"/>
                <w:sz w:val="24"/>
              </w:rPr>
              <w:t>或者补正。评标委员会的澄清内容及投标人的澄清、说明或者补正均通过</w:t>
            </w:r>
            <w:bookmarkStart w:id="36" w:name="_Hlk59371846"/>
            <w:r>
              <w:rPr>
                <w:rFonts w:hint="eastAsia" w:hAnsi="宋体" w:cs="宋体"/>
                <w:color w:val="000000" w:themeColor="text1"/>
                <w:sz w:val="24"/>
              </w:rPr>
              <w:t>政采云电子交易平台交换数据电文。</w:t>
            </w:r>
            <w:bookmarkEnd w:id="36"/>
            <w:bookmarkStart w:id="37" w:name="_Hlk59700505"/>
            <w:r>
              <w:rPr>
                <w:rFonts w:hint="eastAsia" w:hAnsi="宋体"/>
                <w:b/>
                <w:bCs/>
                <w:sz w:val="22"/>
                <w:szCs w:val="28"/>
              </w:rPr>
              <w:t>同时采购代理机构也将通过</w:t>
            </w:r>
            <w:bookmarkStart w:id="38" w:name="_Hlk59371920"/>
            <w:r>
              <w:rPr>
                <w:rFonts w:hint="eastAsia" w:hAnsi="宋体"/>
                <w:b/>
                <w:bCs/>
                <w:sz w:val="22"/>
                <w:szCs w:val="28"/>
              </w:rPr>
              <w:t>政采云视频询</w:t>
            </w:r>
            <w:r>
              <w:rPr>
                <w:rFonts w:hint="eastAsia" w:hAnsi="宋体"/>
                <w:b/>
                <w:bCs/>
                <w:sz w:val="22"/>
                <w:szCs w:val="28"/>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37"/>
          </w:p>
          <w:bookmarkEnd w:id="38"/>
          <w:p>
            <w:pPr>
              <w:autoSpaceDE w:val="0"/>
              <w:autoSpaceDN w:val="0"/>
              <w:spacing w:line="300" w:lineRule="auto"/>
              <w:rPr>
                <w:rFonts w:ascii="宋体" w:hAnsi="宋体" w:cs="宋体"/>
                <w:kern w:val="0"/>
                <w:sz w:val="24"/>
                <w:lang w:val="zh-CN"/>
              </w:rPr>
            </w:pPr>
            <w:r>
              <w:rPr>
                <w:rFonts w:hint="eastAsia" w:ascii="宋体" w:hAnsi="宋体"/>
                <w:sz w:val="24"/>
              </w:rPr>
              <w:t>评标委员会发出澄清内容后，投标人应当在采购代理机构及政采云平台上</w:t>
            </w:r>
            <w:r>
              <w:rPr>
                <w:rFonts w:hint="eastAsia" w:ascii="宋体" w:hAnsi="宋体"/>
                <w:b/>
                <w:bCs/>
                <w:sz w:val="24"/>
                <w:u w:val="single"/>
              </w:rPr>
              <w:t>规定的时间内（30分钟，具体时间以政采云系统上显示的时间为准）</w:t>
            </w:r>
            <w:r>
              <w:rPr>
                <w:rFonts w:hint="eastAsia" w:ascii="宋体" w:hAnsi="宋体"/>
                <w:b/>
                <w:bCs/>
                <w:sz w:val="24"/>
              </w:rPr>
              <w:t>，</w:t>
            </w:r>
            <w:r>
              <w:rPr>
                <w:rFonts w:hint="eastAsia" w:ascii="宋体" w:hAnsi="宋体" w:cs="宋体"/>
                <w:color w:val="000000" w:themeColor="text1"/>
                <w:sz w:val="24"/>
              </w:rPr>
              <w:t>提交澄清说明或补正，否则视为投标人放弃答复，并自行承担因此而产生的不利后果。澄清、说明或者补正不得超出投标文件的范围或者改变投标文件的实质性内容。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kern w:val="0"/>
                <w:sz w:val="24"/>
                <w:lang w:val="zh-CN"/>
              </w:rPr>
              <w:t>带“</w:t>
            </w:r>
            <w:r>
              <w:rPr>
                <w:rFonts w:hint="eastAsia" w:ascii="宋体" w:hAnsi="宋体" w:cs="宋体"/>
                <w:bCs/>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asciiTheme="minorEastAsia" w:hAnsiTheme="minorEastAsia" w:eastAsiaTheme="minorEastAsia"/>
                <w:sz w:val="24"/>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cs="宋体"/>
                <w:sz w:val="24"/>
              </w:rPr>
            </w:pPr>
            <w:r>
              <w:rPr>
                <w:rFonts w:hint="eastAsia" w:ascii="宋体" w:hAnsi="宋体" w:cs="宋体"/>
                <w:sz w:val="24"/>
              </w:rPr>
              <w:t>带“★”的条款是</w:t>
            </w:r>
            <w:r>
              <w:rPr>
                <w:rFonts w:asciiTheme="minorEastAsia" w:hAnsiTheme="minorEastAsia" w:eastAsiaTheme="minorEastAsia"/>
                <w:sz w:val="24"/>
              </w:rPr>
              <w:t>主要性能参数</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 w:val="24"/>
              </w:rPr>
            </w:pPr>
            <w:r>
              <w:rPr>
                <w:rFonts w:hint="eastAsia" w:ascii="宋体" w:hAnsi="宋体" w:cs="宋体"/>
                <w:sz w:val="24"/>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 w:val="24"/>
              </w:rPr>
            </w:pPr>
            <w:r>
              <w:rPr>
                <w:rFonts w:hint="eastAsia" w:ascii="宋体" w:hAnsi="宋体" w:cs="宋体"/>
                <w:sz w:val="24"/>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 w:val="24"/>
              </w:rPr>
            </w:pPr>
            <w:r>
              <w:rPr>
                <w:rFonts w:hint="eastAsia" w:ascii="宋体" w:hAnsi="宋体" w:cs="宋体"/>
                <w:sz w:val="24"/>
              </w:rPr>
              <w:t>本招标文件解释权属于采购人和采购组织机构。</w:t>
            </w:r>
          </w:p>
        </w:tc>
      </w:tr>
    </w:tbl>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2" w:firstLineChars="200"/>
        <w:rPr>
          <w:rFonts w:ascii="宋体" w:hAnsi="宋体" w:cs="宋体"/>
          <w:b/>
          <w:bCs/>
          <w:sz w:val="24"/>
        </w:rPr>
      </w:pPr>
      <w:r>
        <w:rPr>
          <w:rFonts w:hint="eastAsia" w:ascii="宋体" w:hAnsi="宋体" w:cs="宋体"/>
          <w:b/>
          <w:bCs/>
          <w:sz w:val="24"/>
        </w:rPr>
        <w:t>（四）语言文字以及度量衡单位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31"/>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（五）现场踏勘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3"/>
        <w:snapToGrid w:val="0"/>
        <w:spacing w:line="360" w:lineRule="auto"/>
        <w:ind w:firstLine="482" w:firstLineChars="200"/>
        <w:rPr>
          <w:rFonts w:hAnsi="宋体" w:cs="宋体"/>
          <w:b/>
          <w:sz w:val="24"/>
        </w:rPr>
      </w:pPr>
      <w:r>
        <w:rPr>
          <w:rFonts w:hint="eastAsia" w:hAnsi="宋体" w:cs="宋体"/>
          <w:b/>
          <w:sz w:val="24"/>
        </w:rPr>
        <w:t>（六）特别说明</w:t>
      </w:r>
    </w:p>
    <w:p>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31"/>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pStyle w:val="31"/>
        <w:snapToGrid w:val="0"/>
        <w:spacing w:line="360" w:lineRule="auto"/>
        <w:ind w:firstLine="480"/>
        <w:rPr>
          <w:rFonts w:ascii="宋体" w:hAnsi="宋体" w:cs="宋体"/>
          <w:sz w:val="24"/>
          <w:szCs w:val="24"/>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9"/>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tbl>
      <w:tblPr>
        <w:tblStyle w:val="21"/>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408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4394"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ascii="宋体" w:hAnsi="宋体" w:cs="宋体"/>
                <w:sz w:val="24"/>
              </w:rPr>
              <w:t>1</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法人或者其他组织的营业执照等证明文件，自然人的身份证明</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4</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符合参与政府采购活动的资格条件并且没有税收缴纳、社会保障等方面的失信记录</w:t>
            </w:r>
          </w:p>
        </w:tc>
        <w:tc>
          <w:tcPr>
            <w:tcW w:w="4394" w:type="dxa"/>
            <w:vAlign w:val="center"/>
          </w:tcPr>
          <w:p>
            <w:pPr>
              <w:widowControl/>
              <w:snapToGrid w:val="0"/>
              <w:spacing w:line="340" w:lineRule="exact"/>
              <w:rPr>
                <w:rFonts w:ascii="宋体" w:cs="宋体"/>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具备履行合同所必需的设备和专业技术能力的证明材料</w:t>
            </w:r>
          </w:p>
        </w:tc>
        <w:tc>
          <w:tcPr>
            <w:tcW w:w="4394" w:type="dxa"/>
            <w:vAlign w:val="center"/>
          </w:tcPr>
          <w:p>
            <w:pPr>
              <w:widowControl/>
              <w:snapToGrid w:val="0"/>
              <w:spacing w:line="340" w:lineRule="exact"/>
              <w:rPr>
                <w:rFonts w:ascii="宋体" w:cs="宋体"/>
                <w:kern w:val="0"/>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6</w:t>
            </w:r>
          </w:p>
        </w:tc>
        <w:tc>
          <w:tcPr>
            <w:tcW w:w="4087" w:type="dxa"/>
            <w:vAlign w:val="center"/>
          </w:tcPr>
          <w:p>
            <w:pPr>
              <w:widowControl/>
              <w:snapToGrid w:val="0"/>
              <w:spacing w:line="340" w:lineRule="exact"/>
              <w:rPr>
                <w:rFonts w:ascii="宋体" w:hAnsi="宋体" w:cs="宋体"/>
                <w:b/>
                <w:sz w:val="24"/>
              </w:rPr>
            </w:pPr>
            <w:r>
              <w:rPr>
                <w:rFonts w:hint="eastAsia" w:ascii="宋体" w:hAnsi="宋体" w:cs="宋体"/>
                <w:b/>
                <w:sz w:val="24"/>
              </w:rPr>
              <w:t>▲</w:t>
            </w:r>
            <w:r>
              <w:rPr>
                <w:rFonts w:hint="eastAsia" w:ascii="宋体" w:hAnsi="宋体" w:cs="宋体"/>
                <w:kern w:val="0"/>
                <w:sz w:val="24"/>
              </w:rPr>
              <w:t>投标人的《中小企业声明函》</w:t>
            </w:r>
          </w:p>
        </w:tc>
        <w:tc>
          <w:tcPr>
            <w:tcW w:w="4394" w:type="dxa"/>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w:t>
            </w:r>
            <w:r>
              <w:rPr>
                <w:rFonts w:hint="eastAsia" w:ascii="宋体" w:cs="宋体"/>
                <w:kern w:val="0"/>
                <w:sz w:val="24"/>
                <w:lang w:eastAsia="zh-CN"/>
              </w:rPr>
              <w:t>》</w:t>
            </w:r>
            <w:r>
              <w:rPr>
                <w:rFonts w:hint="eastAsia" w:ascii="宋体" w:cs="宋体"/>
                <w:kern w:val="0"/>
                <w:sz w:val="24"/>
              </w:rPr>
              <w:t>(格式见附件4))等相关证明材料。</w:t>
            </w:r>
          </w:p>
          <w:p>
            <w:pPr>
              <w:autoSpaceDE w:val="0"/>
              <w:autoSpaceDN w:val="0"/>
              <w:adjustRightInd w:val="0"/>
              <w:jc w:val="left"/>
              <w:rPr>
                <w:rFonts w:ascii="宋体" w:cs="宋体"/>
                <w:sz w:val="24"/>
              </w:rPr>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p>
        </w:tc>
      </w:tr>
    </w:tbl>
    <w:p>
      <w:pPr>
        <w:numPr>
          <w:ilvl w:val="0"/>
          <w:numId w:val="5"/>
        </w:numPr>
        <w:snapToGrid w:val="0"/>
        <w:spacing w:line="360" w:lineRule="auto"/>
        <w:ind w:firstLine="482" w:firstLineChars="200"/>
        <w:rPr>
          <w:rFonts w:ascii="宋体" w:hAnsi="宋体"/>
          <w:b/>
          <w:sz w:val="24"/>
        </w:rPr>
      </w:pPr>
      <w:r>
        <w:rPr>
          <w:rFonts w:hint="eastAsia" w:ascii="宋体" w:hAnsi="宋体"/>
          <w:b/>
          <w:sz w:val="24"/>
        </w:rPr>
        <w:t>商务与技术文件的组成：</w:t>
      </w:r>
    </w:p>
    <w:tbl>
      <w:tblPr>
        <w:tblStyle w:val="21"/>
        <w:tblpPr w:leftFromText="180" w:rightFromText="180" w:vertAnchor="text" w:horzAnchor="page" w:tblpX="1427" w:tblpY="6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895"/>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序号</w:t>
            </w:r>
          </w:p>
        </w:tc>
        <w:tc>
          <w:tcPr>
            <w:tcW w:w="5895"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目录内容</w:t>
            </w:r>
          </w:p>
        </w:tc>
        <w:tc>
          <w:tcPr>
            <w:tcW w:w="2296"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ascii="宋体" w:hAnsi="宋体" w:cs="宋体"/>
                <w:color w:val="44546A" w:themeColor="text2"/>
                <w:sz w:val="24"/>
              </w:rPr>
              <w:t>1</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投标人自评表</w:t>
            </w:r>
          </w:p>
        </w:tc>
        <w:tc>
          <w:tcPr>
            <w:tcW w:w="2296"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hint="eastAsia" w:ascii="宋体" w:hAnsi="宋体" w:cs="宋体"/>
                <w:color w:val="44546A" w:themeColor="text2"/>
                <w:sz w:val="24"/>
              </w:rPr>
              <w:t>2</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投标人情况介绍</w:t>
            </w:r>
          </w:p>
        </w:tc>
        <w:tc>
          <w:tcPr>
            <w:tcW w:w="2296" w:type="dxa"/>
            <w:vAlign w:val="center"/>
          </w:tcPr>
          <w:p>
            <w:pPr>
              <w:spacing w:line="360" w:lineRule="exact"/>
              <w:rPr>
                <w:rFonts w:ascii="宋体" w:hAnsi="宋体"/>
                <w:bCs/>
                <w:color w:val="44546A" w:themeColor="text2"/>
                <w:sz w:val="24"/>
              </w:rPr>
            </w:pPr>
            <w:r>
              <w:rPr>
                <w:rFonts w:hint="eastAsia" w:ascii="宋体" w:hAnsi="宋体"/>
                <w:bCs/>
                <w:color w:val="44546A" w:themeColor="text2"/>
                <w:sz w:val="24"/>
              </w:rPr>
              <w:t>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hint="eastAsia" w:ascii="宋体" w:hAnsi="宋体" w:cs="宋体"/>
                <w:color w:val="44546A" w:themeColor="text2"/>
                <w:sz w:val="24"/>
              </w:rPr>
              <w:t>3</w:t>
            </w:r>
          </w:p>
        </w:tc>
        <w:tc>
          <w:tcPr>
            <w:tcW w:w="5895" w:type="dxa"/>
            <w:vAlign w:val="center"/>
          </w:tcPr>
          <w:p>
            <w:pPr>
              <w:spacing w:line="340" w:lineRule="exact"/>
              <w:rPr>
                <w:rFonts w:ascii="宋体" w:hAnsi="宋体" w:cs="仿宋_GB2312"/>
                <w:color w:val="44546A" w:themeColor="text2"/>
                <w:sz w:val="24"/>
              </w:rPr>
            </w:pPr>
            <w:r>
              <w:rPr>
                <w:rFonts w:hint="eastAsia" w:ascii="宋体" w:hAnsi="宋体" w:cs="仿宋_GB2312"/>
                <w:color w:val="44546A" w:themeColor="text2"/>
                <w:sz w:val="24"/>
              </w:rPr>
              <w:t>服务方案（医院保洁服务方案、医院运送服务方案、防止交叉感染、消毒隔离制度、应急方案、各类地面养护）</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pacing w:line="280" w:lineRule="exact"/>
              <w:ind w:right="-107" w:rightChars="-51"/>
              <w:jc w:val="center"/>
              <w:rPr>
                <w:rFonts w:ascii="宋体" w:hAnsi="宋体"/>
                <w:color w:val="44546A" w:themeColor="text2"/>
                <w:kern w:val="0"/>
                <w:sz w:val="24"/>
              </w:rPr>
            </w:pPr>
            <w:r>
              <w:rPr>
                <w:rFonts w:hint="eastAsia" w:ascii="宋体" w:hAnsi="宋体"/>
                <w:color w:val="44546A" w:themeColor="text2"/>
                <w:kern w:val="0"/>
                <w:sz w:val="24"/>
              </w:rPr>
              <w:t>4</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s="仿宋_GB2312"/>
                <w:color w:val="44546A" w:themeColor="text2"/>
                <w:sz w:val="24"/>
              </w:rPr>
              <w:t>配合医院等级评审（复审）经验</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5</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sz w:val="24"/>
              </w:rPr>
              <w:t>设备、设施配置一览表</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6</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项目负责人资格情况表</w:t>
            </w:r>
          </w:p>
        </w:tc>
        <w:tc>
          <w:tcPr>
            <w:tcW w:w="2296" w:type="dxa"/>
            <w:vAlign w:val="center"/>
          </w:tcPr>
          <w:p>
            <w:pPr>
              <w:ind w:right="-107" w:rightChars="-51"/>
              <w:rPr>
                <w:rFonts w:ascii="宋体" w:hAnsi="宋体"/>
                <w:color w:val="44546A" w:themeColor="text2"/>
                <w:sz w:val="24"/>
              </w:rPr>
            </w:pPr>
            <w:r>
              <w:rPr>
                <w:rFonts w:hint="eastAsia" w:ascii="宋体" w:hAnsi="宋体"/>
                <w:color w:val="44546A" w:themeColor="text2"/>
                <w:sz w:val="24"/>
              </w:rPr>
              <w:t>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7</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项目实施人员一览表</w:t>
            </w:r>
          </w:p>
        </w:tc>
        <w:tc>
          <w:tcPr>
            <w:tcW w:w="2296" w:type="dxa"/>
            <w:vAlign w:val="center"/>
          </w:tcPr>
          <w:p>
            <w:pPr>
              <w:ind w:right="-107" w:rightChars="-51"/>
              <w:rPr>
                <w:rFonts w:ascii="宋体" w:hAnsi="宋体"/>
                <w:color w:val="44546A" w:themeColor="text2"/>
                <w:sz w:val="24"/>
              </w:rPr>
            </w:pPr>
            <w:r>
              <w:rPr>
                <w:rFonts w:hint="eastAsia" w:ascii="宋体" w:hAnsi="宋体"/>
                <w:color w:val="44546A" w:themeColor="text2"/>
                <w:sz w:val="24"/>
              </w:rPr>
              <w:t>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8</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管理制度</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9</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sz w:val="24"/>
              </w:rPr>
              <w:t>服务实施情况表</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10</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信息化服务</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11</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kern w:val="0"/>
                <w:sz w:val="24"/>
              </w:rPr>
              <w:t>证书一览表</w:t>
            </w:r>
          </w:p>
        </w:tc>
        <w:tc>
          <w:tcPr>
            <w:tcW w:w="2296" w:type="dxa"/>
            <w:vAlign w:val="center"/>
          </w:tcPr>
          <w:p>
            <w:pPr>
              <w:spacing w:line="360" w:lineRule="exact"/>
              <w:rPr>
                <w:rFonts w:ascii="宋体" w:hAnsi="宋体"/>
                <w:color w:val="44546A" w:themeColor="text2"/>
                <w:sz w:val="24"/>
              </w:rPr>
            </w:pPr>
            <w:r>
              <w:rPr>
                <w:rFonts w:hint="eastAsia" w:ascii="宋体" w:hAnsi="宋体"/>
                <w:color w:val="44546A" w:themeColor="text2"/>
                <w:sz w:val="24"/>
              </w:rPr>
              <w:t>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12</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kern w:val="0"/>
                <w:sz w:val="24"/>
              </w:rPr>
              <w:t>投标人类似项目实施情况一览表</w:t>
            </w:r>
          </w:p>
        </w:tc>
        <w:tc>
          <w:tcPr>
            <w:tcW w:w="2296" w:type="dxa"/>
            <w:vAlign w:val="center"/>
          </w:tcPr>
          <w:p>
            <w:pPr>
              <w:spacing w:line="360" w:lineRule="exact"/>
              <w:rPr>
                <w:rFonts w:ascii="宋体" w:hAnsi="宋体"/>
                <w:color w:val="44546A" w:themeColor="text2"/>
                <w:sz w:val="24"/>
              </w:rPr>
            </w:pPr>
            <w:r>
              <w:rPr>
                <w:rFonts w:hint="eastAsia" w:ascii="宋体" w:hAnsi="宋体"/>
                <w:color w:val="44546A" w:themeColor="text2"/>
                <w:kern w:val="0"/>
                <w:sz w:val="24"/>
              </w:rPr>
              <w:t>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13</w:t>
            </w:r>
          </w:p>
        </w:tc>
        <w:tc>
          <w:tcPr>
            <w:tcW w:w="5895" w:type="dxa"/>
            <w:vAlign w:val="center"/>
          </w:tcPr>
          <w:p>
            <w:pPr>
              <w:rPr>
                <w:rFonts w:ascii="宋体" w:hAnsi="宋体"/>
                <w:color w:val="44546A" w:themeColor="text2"/>
                <w:sz w:val="24"/>
              </w:rPr>
            </w:pPr>
            <w:r>
              <w:rPr>
                <w:rFonts w:hint="eastAsia" w:ascii="宋体" w:hAnsi="宋体" w:cs="仿宋_GB2312"/>
                <w:color w:val="44546A" w:themeColor="text2"/>
                <w:sz w:val="24"/>
              </w:rPr>
              <w:t>商务需求响应表</w:t>
            </w:r>
          </w:p>
        </w:tc>
        <w:tc>
          <w:tcPr>
            <w:tcW w:w="2296" w:type="dxa"/>
            <w:vAlign w:val="center"/>
          </w:tcPr>
          <w:p>
            <w:pPr>
              <w:rPr>
                <w:rFonts w:ascii="宋体" w:hAnsi="宋体"/>
                <w:color w:val="44546A" w:themeColor="text2"/>
                <w:sz w:val="24"/>
              </w:rPr>
            </w:pPr>
            <w:r>
              <w:rPr>
                <w:rFonts w:hint="eastAsia" w:ascii="宋体" w:hAnsi="宋体"/>
                <w:color w:val="44546A" w:themeColor="text2"/>
                <w:sz w:val="24"/>
              </w:rPr>
              <w:t>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14</w:t>
            </w:r>
          </w:p>
        </w:tc>
        <w:tc>
          <w:tcPr>
            <w:tcW w:w="5895" w:type="dxa"/>
            <w:vAlign w:val="center"/>
          </w:tcPr>
          <w:p>
            <w:pPr>
              <w:rPr>
                <w:rFonts w:ascii="宋体" w:hAnsi="宋体"/>
                <w:color w:val="44546A" w:themeColor="text2"/>
                <w:sz w:val="24"/>
              </w:rPr>
            </w:pPr>
            <w:r>
              <w:rPr>
                <w:rFonts w:hint="eastAsia" w:ascii="宋体" w:hAnsi="宋体"/>
                <w:color w:val="44546A" w:themeColor="text2"/>
                <w:sz w:val="24"/>
              </w:rPr>
              <w:t>投标人需要说明的其他内容（包括可能影响投标人技术性能评分项的各类证明材料）</w:t>
            </w:r>
          </w:p>
        </w:tc>
        <w:tc>
          <w:tcPr>
            <w:tcW w:w="2296" w:type="dxa"/>
            <w:vAlign w:val="center"/>
          </w:tcPr>
          <w:p>
            <w:pPr>
              <w:rPr>
                <w:rFonts w:ascii="宋体" w:hAnsi="宋体"/>
                <w:color w:val="44546A" w:themeColor="text2"/>
                <w:sz w:val="24"/>
              </w:rPr>
            </w:pPr>
            <w:r>
              <w:rPr>
                <w:rFonts w:hint="eastAsia" w:ascii="宋体" w:hAnsi="宋体"/>
                <w:color w:val="44546A" w:themeColor="text2"/>
                <w:sz w:val="24"/>
              </w:rPr>
              <w:t>格式、内容自拟</w:t>
            </w:r>
          </w:p>
        </w:tc>
      </w:tr>
    </w:tbl>
    <w:p>
      <w:pPr>
        <w:pStyle w:val="29"/>
      </w:pPr>
    </w:p>
    <w:p>
      <w:pPr>
        <w:snapToGrid w:val="0"/>
        <w:spacing w:line="360" w:lineRule="auto"/>
        <w:ind w:firstLine="482" w:firstLineChars="200"/>
        <w:rPr>
          <w:b/>
          <w:bCs/>
          <w:sz w:val="24"/>
        </w:rPr>
      </w:pPr>
      <w:r>
        <w:rPr>
          <w:rFonts w:hint="eastAsia"/>
          <w:b/>
          <w:bCs/>
          <w:sz w:val="24"/>
        </w:rPr>
        <w:t>3.报价文件的组成</w:t>
      </w:r>
    </w:p>
    <w:tbl>
      <w:tblPr>
        <w:tblStyle w:val="21"/>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报价明细表</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附件17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pStyle w:val="9"/>
        <w:spacing w:line="360" w:lineRule="auto"/>
        <w:ind w:firstLine="482" w:firstLineChars="200"/>
        <w:rPr>
          <w:rFonts w:asciiTheme="minorEastAsia" w:hAnsiTheme="minorEastAsia" w:eastAsiaTheme="minorEastAsia"/>
          <w:b/>
          <w:kern w:val="0"/>
          <w:sz w:val="24"/>
        </w:rPr>
      </w:pP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2.投标报价包括本项目采购需求和投入使用的所有费用，包括但不限于主件、标准附件、备品备件、施工、服务、专用工具、安装、调试、检验、培训、运输、保险、税款、售后服务等。</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9"/>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9"/>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9"/>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9"/>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9"/>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9"/>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9"/>
        <w:spacing w:line="360" w:lineRule="auto"/>
        <w:ind w:firstLine="482" w:firstLineChars="200"/>
        <w:rPr>
          <w:b/>
          <w:bCs/>
          <w:sz w:val="24"/>
          <w:szCs w:val="22"/>
        </w:rPr>
      </w:pPr>
      <w:r>
        <w:rPr>
          <w:rFonts w:hint="eastAsia"/>
          <w:b/>
          <w:bCs/>
          <w:sz w:val="24"/>
          <w:szCs w:val="22"/>
        </w:rPr>
        <w:t>（二）开标异议</w:t>
      </w:r>
    </w:p>
    <w:p>
      <w:pPr>
        <w:pStyle w:val="9"/>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9"/>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评标委员会根据采购人的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0"/>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9"/>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9"/>
        <w:spacing w:before="0" w:beforeAutospacing="0" w:after="0" w:afterAutospacing="0" w:line="360" w:lineRule="auto"/>
        <w:ind w:firstLine="480" w:firstLineChars="200"/>
        <w:jc w:val="both"/>
        <w:rPr>
          <w:rFonts w:hint="default"/>
        </w:rPr>
      </w:pPr>
      <w:r>
        <w:t>3.中标人无故拖延、拒签合同的,将取消中标资格。</w:t>
      </w:r>
    </w:p>
    <w:p>
      <w:pPr>
        <w:pStyle w:val="19"/>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9"/>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9"/>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sz w:val="24"/>
        </w:rPr>
        <w:t>（1）</w:t>
      </w:r>
      <w:r>
        <w:rPr>
          <w:rFonts w:hint="eastAsia"/>
          <w:sz w:val="23"/>
          <w:szCs w:val="23"/>
        </w:rPr>
        <w:t>投标人</w:t>
      </w:r>
      <w:r>
        <w:rPr>
          <w:sz w:val="23"/>
          <w:szCs w:val="23"/>
        </w:rPr>
        <w:t>认为招标文件使自己的权益受到损害的，可以自获取采购文件之日或者采购文件公告期限届满之日（公告期限届满后获取采购文件的，以公告期限届满之日为准）起7个工作日内，以书面形式提出质疑。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9" w:name="_Toc13072_WPSOffice_Level1"/>
      <w:r>
        <w:rPr>
          <w:rFonts w:hint="eastAsia" w:asciiTheme="minorEastAsia" w:hAnsiTheme="minorEastAsia" w:eastAsiaTheme="minorEastAsia"/>
          <w:b/>
          <w:sz w:val="36"/>
          <w:szCs w:val="36"/>
        </w:rPr>
        <w:t>招标需求</w:t>
      </w:r>
      <w:bookmarkEnd w:id="39"/>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一、招标项目一览表</w:t>
      </w:r>
    </w:p>
    <w:p>
      <w:pPr>
        <w:spacing w:line="340" w:lineRule="atLeast"/>
        <w:ind w:firstLine="221" w:firstLineChars="100"/>
      </w:pPr>
      <w:r>
        <w:rPr>
          <w:rFonts w:hint="eastAsia" w:ascii="宋体" w:hAnsi="宋体"/>
          <w:b/>
          <w:sz w:val="22"/>
        </w:rPr>
        <w:t>项目名称：</w:t>
      </w:r>
      <w:r>
        <w:rPr>
          <w:rFonts w:hint="eastAsia" w:cs="宋体"/>
          <w:sz w:val="24"/>
        </w:rPr>
        <w:t>台州市中西医结合医院物业管理项目项目</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956"/>
        <w:gridCol w:w="3896"/>
        <w:gridCol w:w="927"/>
        <w:gridCol w:w="64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95" w:type="pct"/>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标段号</w:t>
            </w:r>
          </w:p>
        </w:tc>
        <w:tc>
          <w:tcPr>
            <w:tcW w:w="1053" w:type="pct"/>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项目名称</w:t>
            </w:r>
          </w:p>
        </w:tc>
        <w:tc>
          <w:tcPr>
            <w:tcW w:w="2097" w:type="pct"/>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kern w:val="0"/>
                <w:sz w:val="24"/>
              </w:rPr>
              <w:t>简要技术要求</w:t>
            </w:r>
          </w:p>
        </w:tc>
        <w:tc>
          <w:tcPr>
            <w:tcW w:w="499" w:type="pct"/>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数量</w:t>
            </w:r>
          </w:p>
        </w:tc>
        <w:tc>
          <w:tcPr>
            <w:tcW w:w="346" w:type="pct"/>
            <w:vAlign w:val="center"/>
          </w:tcPr>
          <w:p>
            <w:pPr>
              <w:tabs>
                <w:tab w:val="left" w:pos="8280"/>
              </w:tabs>
              <w:autoSpaceDE w:val="0"/>
              <w:autoSpaceDN w:val="0"/>
              <w:adjustRightInd w:val="0"/>
              <w:jc w:val="center"/>
              <w:rPr>
                <w:rFonts w:ascii="宋体" w:cs="宋体"/>
                <w:b/>
                <w:bCs/>
                <w:sz w:val="24"/>
              </w:rPr>
            </w:pPr>
            <w:r>
              <w:rPr>
                <w:rFonts w:hint="eastAsia" w:ascii="宋体" w:hAnsi="宋体" w:cs="宋体"/>
                <w:b/>
                <w:bCs/>
                <w:sz w:val="24"/>
              </w:rPr>
              <w:t>单位</w:t>
            </w:r>
          </w:p>
        </w:tc>
        <w:tc>
          <w:tcPr>
            <w:tcW w:w="606" w:type="pct"/>
            <w:vAlign w:val="center"/>
          </w:tcPr>
          <w:p>
            <w:pPr>
              <w:tabs>
                <w:tab w:val="left" w:pos="8280"/>
              </w:tabs>
              <w:autoSpaceDE w:val="0"/>
              <w:autoSpaceDN w:val="0"/>
              <w:adjustRightInd w:val="0"/>
              <w:jc w:val="center"/>
              <w:rPr>
                <w:rFonts w:ascii="宋体" w:hAnsi="宋体" w:cs="宋体"/>
                <w:b/>
                <w:bCs/>
                <w:sz w:val="24"/>
              </w:rPr>
            </w:pPr>
            <w:r>
              <w:rPr>
                <w:rFonts w:hint="eastAsia" w:ascii="宋体" w:hAnsi="宋体" w:cs="宋体"/>
                <w:b/>
                <w:bCs/>
                <w:sz w:val="24"/>
              </w:rPr>
              <w:t>预算</w:t>
            </w:r>
          </w:p>
          <w:p>
            <w:pPr>
              <w:tabs>
                <w:tab w:val="left" w:pos="8280"/>
              </w:tabs>
              <w:autoSpaceDE w:val="0"/>
              <w:autoSpaceDN w:val="0"/>
              <w:adjustRightInd w:val="0"/>
              <w:jc w:val="center"/>
              <w:rPr>
                <w:rFonts w:ascii="宋体" w:cs="宋体"/>
                <w:b/>
                <w:bCs/>
                <w:sz w:val="24"/>
              </w:rPr>
            </w:pPr>
            <w:r>
              <w:rPr>
                <w:rFonts w:hint="eastAsia" w:ascii="宋体" w:hAnsi="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395" w:type="pct"/>
            <w:vAlign w:val="center"/>
          </w:tcPr>
          <w:p>
            <w:pPr>
              <w:tabs>
                <w:tab w:val="left" w:pos="8280"/>
              </w:tabs>
              <w:autoSpaceDE w:val="0"/>
              <w:autoSpaceDN w:val="0"/>
              <w:adjustRightInd w:val="0"/>
              <w:jc w:val="center"/>
              <w:rPr>
                <w:rFonts w:ascii="宋体" w:cs="宋体"/>
                <w:sz w:val="24"/>
              </w:rPr>
            </w:pPr>
            <w:r>
              <w:rPr>
                <w:rFonts w:hint="eastAsia" w:ascii="宋体" w:cs="宋体"/>
                <w:sz w:val="24"/>
              </w:rPr>
              <w:t>1</w:t>
            </w:r>
          </w:p>
        </w:tc>
        <w:tc>
          <w:tcPr>
            <w:tcW w:w="1053" w:type="pct"/>
            <w:vAlign w:val="center"/>
          </w:tcPr>
          <w:p>
            <w:pPr>
              <w:widowControl/>
              <w:jc w:val="left"/>
              <w:rPr>
                <w:rFonts w:ascii="宋体" w:cs="宋体"/>
                <w:sz w:val="24"/>
              </w:rPr>
            </w:pPr>
            <w:r>
              <w:rPr>
                <w:rFonts w:hint="eastAsia" w:ascii="宋体" w:hAnsi="宋体" w:cs="宋体"/>
                <w:sz w:val="24"/>
              </w:rPr>
              <w:t>台州市中西医结合医院物业管理项目</w:t>
            </w:r>
          </w:p>
        </w:tc>
        <w:tc>
          <w:tcPr>
            <w:tcW w:w="2097" w:type="pct"/>
            <w:vAlign w:val="center"/>
          </w:tcPr>
          <w:p>
            <w:pPr>
              <w:widowControl/>
              <w:jc w:val="center"/>
              <w:rPr>
                <w:rFonts w:ascii="宋体" w:hAnsi="宋体" w:cs="宋体"/>
                <w:sz w:val="24"/>
              </w:rPr>
            </w:pPr>
            <w:r>
              <w:rPr>
                <w:rFonts w:hint="eastAsia" w:ascii="宋体" w:hAnsi="宋体" w:cs="仿宋"/>
                <w:sz w:val="24"/>
              </w:rPr>
              <w:t>服务期三年，合同一年一签。第一年服务期限自合同签订之日起计算。后续年度合同的签订以采购人根据中标人在上一年度的合同履约、考核情况决定是否续签。其他要求详见招标文件。</w:t>
            </w:r>
          </w:p>
        </w:tc>
        <w:tc>
          <w:tcPr>
            <w:tcW w:w="499" w:type="pct"/>
            <w:vAlign w:val="center"/>
          </w:tcPr>
          <w:p>
            <w:pPr>
              <w:widowControl/>
              <w:jc w:val="center"/>
              <w:rPr>
                <w:rFonts w:ascii="宋体" w:hAnsi="宋体" w:cs="宋体"/>
                <w:sz w:val="24"/>
              </w:rPr>
            </w:pPr>
            <w:r>
              <w:rPr>
                <w:rFonts w:hint="eastAsia" w:ascii="宋体" w:hAnsi="宋体" w:cs="宋体"/>
                <w:sz w:val="24"/>
              </w:rPr>
              <w:t>3</w:t>
            </w:r>
          </w:p>
        </w:tc>
        <w:tc>
          <w:tcPr>
            <w:tcW w:w="346" w:type="pct"/>
            <w:vAlign w:val="center"/>
          </w:tcPr>
          <w:p>
            <w:pPr>
              <w:widowControl/>
              <w:jc w:val="center"/>
              <w:rPr>
                <w:rFonts w:ascii="宋体" w:hAnsi="宋体" w:cs="宋体"/>
                <w:sz w:val="24"/>
              </w:rPr>
            </w:pPr>
            <w:r>
              <w:rPr>
                <w:rFonts w:hint="eastAsia" w:ascii="宋体" w:hAnsi="宋体" w:cs="宋体"/>
                <w:sz w:val="24"/>
              </w:rPr>
              <w:t>年</w:t>
            </w:r>
          </w:p>
        </w:tc>
        <w:tc>
          <w:tcPr>
            <w:tcW w:w="606" w:type="pct"/>
            <w:vAlign w:val="center"/>
          </w:tcPr>
          <w:p>
            <w:pPr>
              <w:widowControl/>
              <w:jc w:val="center"/>
              <w:rPr>
                <w:rFonts w:ascii="宋体" w:hAnsi="宋体" w:cs="宋体"/>
                <w:sz w:val="24"/>
              </w:rPr>
            </w:pPr>
            <w:r>
              <w:rPr>
                <w:rFonts w:hint="eastAsia" w:ascii="宋体" w:hAnsi="宋体" w:cs="仿宋"/>
                <w:sz w:val="24"/>
              </w:rPr>
              <w:t>1172</w:t>
            </w:r>
          </w:p>
        </w:tc>
      </w:tr>
    </w:tbl>
    <w:p>
      <w:pPr>
        <w:pStyle w:val="29"/>
      </w:pPr>
    </w:p>
    <w:p>
      <w:pPr>
        <w:numPr>
          <w:ilvl w:val="0"/>
          <w:numId w:val="6"/>
        </w:num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采购货物清单及要求</w:t>
      </w:r>
    </w:p>
    <w:p>
      <w:pPr>
        <w:numPr>
          <w:ilvl w:val="0"/>
          <w:numId w:val="7"/>
        </w:numPr>
        <w:spacing w:line="360" w:lineRule="auto"/>
        <w:rPr>
          <w:rFonts w:ascii="宋体" w:hAnsi="宋体"/>
          <w:b/>
          <w:sz w:val="24"/>
        </w:rPr>
      </w:pPr>
      <w:bookmarkStart w:id="40" w:name="_Toc481247033"/>
      <w:bookmarkStart w:id="41" w:name="_Toc481247036"/>
      <w:r>
        <w:rPr>
          <w:rFonts w:hint="eastAsia" w:ascii="宋体" w:hAnsi="宋体"/>
          <w:b/>
          <w:sz w:val="24"/>
        </w:rPr>
        <w:t>概述</w:t>
      </w:r>
    </w:p>
    <w:p>
      <w:pPr>
        <w:pStyle w:val="10"/>
        <w:spacing w:line="360" w:lineRule="auto"/>
        <w:ind w:firstLine="480" w:firstLineChars="200"/>
        <w:jc w:val="both"/>
        <w:rPr>
          <w:rFonts w:ascii="宋体" w:hAnsi="宋体"/>
          <w:sz w:val="24"/>
        </w:rPr>
      </w:pPr>
      <w:r>
        <w:rPr>
          <w:rFonts w:hint="eastAsia" w:ascii="宋体" w:hAnsi="宋体"/>
          <w:sz w:val="24"/>
        </w:rPr>
        <w:t>1、医院概况</w:t>
      </w:r>
    </w:p>
    <w:p>
      <w:pPr>
        <w:pStyle w:val="10"/>
        <w:spacing w:line="360" w:lineRule="auto"/>
        <w:ind w:firstLine="480" w:firstLineChars="200"/>
        <w:jc w:val="both"/>
        <w:rPr>
          <w:rFonts w:ascii="宋体" w:hAnsi="宋体"/>
          <w:sz w:val="24"/>
        </w:rPr>
      </w:pPr>
      <w:r>
        <w:rPr>
          <w:rFonts w:hint="eastAsia" w:ascii="宋体" w:hAnsi="宋体"/>
          <w:sz w:val="24"/>
        </w:rPr>
        <w:t>台州市中西医结合医院是一家集医疗、教学、科研为一体的综合性公立医院。现为浙江省中医院台州分院，江西九江学院医学院、台州学院医学院教学医院。医院先后荣获全国百姓放心医院、浙江省文明医院、浙江省先进基层党组织等荣誉称号。</w:t>
      </w:r>
    </w:p>
    <w:p>
      <w:pPr>
        <w:pStyle w:val="10"/>
        <w:spacing w:line="360" w:lineRule="auto"/>
        <w:ind w:firstLine="480" w:firstLineChars="200"/>
        <w:jc w:val="both"/>
        <w:rPr>
          <w:rFonts w:ascii="宋体" w:hAnsi="宋体"/>
          <w:sz w:val="24"/>
        </w:rPr>
      </w:pPr>
      <w:r>
        <w:rPr>
          <w:rFonts w:hint="eastAsia" w:ascii="宋体" w:hAnsi="宋体"/>
          <w:sz w:val="24"/>
        </w:rPr>
        <w:t>2、项目概况</w:t>
      </w:r>
    </w:p>
    <w:p>
      <w:pPr>
        <w:pStyle w:val="10"/>
        <w:spacing w:line="360" w:lineRule="auto"/>
        <w:ind w:firstLine="480" w:firstLineChars="200"/>
        <w:jc w:val="both"/>
        <w:rPr>
          <w:rFonts w:ascii="宋体" w:hAnsi="宋体"/>
          <w:sz w:val="24"/>
        </w:rPr>
      </w:pPr>
      <w:r>
        <w:rPr>
          <w:rFonts w:hint="eastAsia" w:ascii="宋体" w:hAnsi="宋体"/>
          <w:sz w:val="24"/>
          <w:lang w:val="zh-CN"/>
        </w:rPr>
        <w:t>本次招标的服务内容是台州市中西医结合医院保洁、运送服务。要求供应商具有丰富的同类医院保洁、运送等服务工作经验，有科学合理的组织架构、严格的管理细则和岗位责任制度，能为采购人提供完善的保洁、运送服务和保障管理能力。需要供应商在购买采购文件后自行组织现场踏勘，详细了解医院具体情况：如：建构筑物分布、面积、走向、空间位置；医院各科室、诊室、候诊室、手术室、病房、医疗辅助用房、设备用房、公共区域（公共走廊、电梯厅、电梯、楼梯、门厅、过道、卫生间、连廊、地下停车场等）的分布及人员流量、日常保洁及运送需求等。在此基础上，并结合采购人的基本需求，凭借各供应商管理服务的体系和类似服务的经验，以三甲医院的标准构建科学合理、组织结构精简高效、管理手段先进、节约采购人的管理成本、适</w:t>
      </w:r>
      <w:r>
        <w:rPr>
          <w:rFonts w:hint="eastAsia" w:ascii="宋体" w:hAnsi="宋体"/>
          <w:sz w:val="24"/>
        </w:rPr>
        <w:t>合采购人具体情况，并能良好运作的保洁运送服务体系。</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3、总体要求概要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要求供应商具有采用先进的技术手段及管理能力，以领先的医院服务理念和方式提供科学、先进的保洁、运送服务，以信息化、高科技装备提升管理水平，做到工作交接记录完整、可查，具有追溯性，各种日报表、月或季报表随时可调用、年报表汇总情况分列内容齐全完整，并在服务期满时向采购人移交全部数据的电子文档和书面存档资料。</w:t>
      </w:r>
    </w:p>
    <w:p>
      <w:pPr>
        <w:numPr>
          <w:ilvl w:val="0"/>
          <w:numId w:val="7"/>
        </w:numPr>
        <w:spacing w:line="360" w:lineRule="auto"/>
        <w:rPr>
          <w:rFonts w:ascii="宋体" w:hAnsi="宋体"/>
          <w:b/>
          <w:sz w:val="24"/>
          <w:lang w:val="zh-CN"/>
        </w:rPr>
      </w:pPr>
      <w:r>
        <w:rPr>
          <w:rFonts w:hint="eastAsia" w:ascii="宋体" w:hAnsi="宋体"/>
          <w:b/>
          <w:sz w:val="24"/>
          <w:lang w:val="zh-CN"/>
        </w:rPr>
        <w:t>服务期</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1、服务期为3年，合同一年一签。具体起止时间在签订合同时由采购人确定。</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2、合同约定的服务期内，供应商能严格履行合同，并通过采购人定期或不定期考评，如考评满意度达85%以上的，可以续签下一年合同。</w:t>
      </w:r>
    </w:p>
    <w:p>
      <w:pPr>
        <w:numPr>
          <w:ilvl w:val="0"/>
          <w:numId w:val="7"/>
        </w:numPr>
        <w:spacing w:line="360" w:lineRule="auto"/>
        <w:rPr>
          <w:rFonts w:ascii="宋体" w:hAnsi="宋体"/>
          <w:b/>
          <w:sz w:val="24"/>
          <w:lang w:val="zh-CN"/>
        </w:rPr>
      </w:pPr>
      <w:r>
        <w:rPr>
          <w:rFonts w:hint="eastAsia" w:ascii="宋体" w:hAnsi="宋体"/>
          <w:b/>
          <w:sz w:val="24"/>
          <w:lang w:val="zh-CN"/>
        </w:rPr>
        <w:t>服务范围及服务人员岗位要求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 xml:space="preserve">1、台州市中西医结合医院位于浙江省温岭市泽国镇商城大道，医院总建筑面积约7.8万平米，院区范围内的全部建筑物、构筑物的面积、分布、功能及与本项目投标相关的内容等均需要各供应商自行踏勘现场并详细了解和测算。 </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2、服务人员要求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fldChar w:fldCharType="begin"/>
      </w:r>
      <w:r>
        <w:rPr>
          <w:rFonts w:hint="eastAsia" w:ascii="宋体" w:hAnsi="宋体"/>
          <w:sz w:val="24"/>
          <w:lang w:val="zh-CN"/>
        </w:rPr>
        <w:instrText xml:space="preserve"> = 1 \* GB3 </w:instrText>
      </w:r>
      <w:r>
        <w:rPr>
          <w:rFonts w:hint="eastAsia" w:ascii="宋体" w:hAnsi="宋体"/>
          <w:sz w:val="24"/>
          <w:lang w:val="zh-CN"/>
        </w:rPr>
        <w:fldChar w:fldCharType="separate"/>
      </w:r>
      <w:r>
        <w:rPr>
          <w:rFonts w:hint="eastAsia" w:ascii="宋体" w:hAnsi="宋体"/>
          <w:sz w:val="24"/>
          <w:lang w:val="zh-CN"/>
        </w:rPr>
        <w:t>①</w:t>
      </w:r>
      <w:r>
        <w:rPr>
          <w:rFonts w:hint="eastAsia" w:ascii="宋体" w:hAnsi="宋体"/>
          <w:sz w:val="24"/>
          <w:lang w:val="zh-CN"/>
        </w:rPr>
        <w:fldChar w:fldCharType="end"/>
      </w:r>
      <w:r>
        <w:rPr>
          <w:rFonts w:hint="eastAsia" w:ascii="宋体" w:hAnsi="宋体"/>
          <w:sz w:val="24"/>
          <w:lang w:val="zh-CN"/>
        </w:rPr>
        <w:t>依据目前医院内各科室、部门的情况，服务人员要求至少配置89人（含管理人员），具体服务人员岗位安排要求各供应商根据实地勘测了解医院各岗位服务内容及要求，并结合各企业的管理水平和服务人员的能力等在投标文件中做出具体响应。</w:t>
      </w:r>
    </w:p>
    <w:p>
      <w:pPr>
        <w:pStyle w:val="10"/>
        <w:spacing w:line="360" w:lineRule="auto"/>
        <w:ind w:firstLine="480" w:firstLineChars="200"/>
        <w:jc w:val="both"/>
        <w:rPr>
          <w:rFonts w:ascii="宋体" w:hAnsi="宋体"/>
          <w:sz w:val="24"/>
          <w:lang w:val="zh-CN"/>
        </w:rPr>
      </w:pPr>
      <w:r>
        <w:rPr>
          <w:rFonts w:hint="eastAsia" w:ascii="宋体" w:hAnsi="宋体"/>
          <w:sz w:val="24"/>
          <w:lang w:val="zh-CN"/>
        </w:rPr>
        <w:fldChar w:fldCharType="begin"/>
      </w:r>
      <w:r>
        <w:rPr>
          <w:rFonts w:hint="eastAsia" w:ascii="宋体" w:hAnsi="宋体"/>
          <w:sz w:val="24"/>
          <w:lang w:val="zh-CN"/>
        </w:rPr>
        <w:instrText xml:space="preserve"> = 2 \* GB3 </w:instrText>
      </w:r>
      <w:r>
        <w:rPr>
          <w:rFonts w:hint="eastAsia" w:ascii="宋体" w:hAnsi="宋体"/>
          <w:sz w:val="24"/>
          <w:lang w:val="zh-CN"/>
        </w:rPr>
        <w:fldChar w:fldCharType="separate"/>
      </w:r>
      <w:r>
        <w:rPr>
          <w:rFonts w:hint="eastAsia" w:ascii="宋体" w:hAnsi="宋体"/>
          <w:sz w:val="24"/>
          <w:lang w:val="zh-CN"/>
        </w:rPr>
        <w:t>②</w:t>
      </w:r>
      <w:r>
        <w:rPr>
          <w:rFonts w:hint="eastAsia" w:ascii="宋体" w:hAnsi="宋体"/>
          <w:sz w:val="24"/>
          <w:lang w:val="zh-CN"/>
        </w:rPr>
        <w:fldChar w:fldCharType="end"/>
      </w:r>
      <w:r>
        <w:rPr>
          <w:rFonts w:hint="eastAsia" w:ascii="宋体" w:hAnsi="宋体"/>
          <w:sz w:val="24"/>
          <w:lang w:val="zh-CN"/>
        </w:rPr>
        <w:t>配备的管理人员中需有一成员具有配合业主成功创建二级甲等及以上医院的经验。</w:t>
      </w:r>
    </w:p>
    <w:p>
      <w:pPr>
        <w:numPr>
          <w:ilvl w:val="0"/>
          <w:numId w:val="7"/>
        </w:numPr>
        <w:spacing w:line="360" w:lineRule="auto"/>
        <w:rPr>
          <w:rFonts w:ascii="宋体" w:hAnsi="宋体"/>
          <w:b/>
          <w:color w:val="44546A" w:themeColor="text2"/>
          <w:sz w:val="24"/>
          <w:lang w:val="zh-CN"/>
        </w:rPr>
      </w:pPr>
      <w:r>
        <w:rPr>
          <w:rFonts w:hint="eastAsia" w:ascii="宋体" w:hAnsi="宋体"/>
          <w:b/>
          <w:color w:val="44546A" w:themeColor="text2"/>
          <w:sz w:val="24"/>
          <w:lang w:val="zh-CN"/>
        </w:rPr>
        <w:t>岗位服务内容及要求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1、保洁岗位服务内容及要求：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（1）负责服务区域内和室内所有放置的家具物品设施等清洁卫生和消毒。（如墙面、地面、门、窗、窗帘、桌、椅、床单元、车、柜、洗手间、电梯间、开水间、工具间、污物间、楼梯、公共通道等）。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（2）保持服务范围内环境卫生，垃圾达3/4满随时更换，并有效封口，及时处理，防止院内传播和交叉感染发生；</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（3）对不同区域的清洁工具按医院感染科的要求及消毒隔离原则，实行严格分类摆放和使用，用颜色、字标等方式进行区分；保洁用具，每次按照规定配置消毒液，浓度准确；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（4）按医院感染科的要求，定点定期进行环境消毒；负责各科室、病区的物品表面、地面、厕所等清洁和消毒工作。特殊病房按具体要求实施消毒隔离措施；</w:t>
      </w:r>
    </w:p>
    <w:p>
      <w:pPr>
        <w:pStyle w:val="10"/>
        <w:spacing w:line="360" w:lineRule="auto"/>
        <w:ind w:firstLine="480" w:firstLineChars="200"/>
        <w:jc w:val="both"/>
        <w:rPr>
          <w:rFonts w:ascii="宋体" w:hAnsi="宋体"/>
          <w:sz w:val="24"/>
          <w:lang w:val="zh-CN"/>
        </w:rPr>
      </w:pPr>
      <w:r>
        <w:rPr>
          <w:rFonts w:hint="eastAsia" w:ascii="宋体" w:hAnsi="宋体"/>
          <w:sz w:val="24"/>
          <w:lang w:val="zh-CN"/>
        </w:rPr>
        <w:t xml:space="preserve">（5）负责巡视、清洁各楼层公共洗手间，保持洗手间清洁、干燥、无异味，必要时点香祛味； </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（6）负责对生活垃圾和医疗垃圾进行收集、交接、转运；</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（7）每日上、下午清洁、湿拖地面各一次，随脏随拖；</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（8）负责水池、微波炉清洁，随脏随抹；</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（9）负责清洁门、窗、玻璃、宣传栏、公示栏、输液架、晾衣架、电视机、电话机等物品；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（10）负责保持办公桌、椅清洁；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（11）负责擦拭消毒平车、轮椅、陪客椅、床栏等，随脏随擦；</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（12）做好出院病人的终末消毒，床单元终末处置符合消毒规范；</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（13）保持病房整洁、物品定点定位放置；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（14）听从护士长或部门负责人安排；做好所在部门的勤杂工作；</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（15）负责电梯保洁，不锈钢电梯门、轿箱、不锈钢门框等保养；</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（16）外环境、绿化带、屋顶平台、地下车库、车棚等垃圾清理，做好门前三包；</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（17）其他保洁任务服从医院安排：如宿舍、闲置房卫生等。如未详尽事宜以实际操作情况为准。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2、配送岗位服务内容和要求：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负责服务区域内标本、药品、物品、预约检查、送会诊单、检查护送、特殊病人院内检查的陪送服务、搬运物资、协助完成患者转科、迁床及加床工作等。严禁进行任何护理专业技术操作。严格执行各项规章制度和操作规程，做好陪检过程的安全和沟通工作，做到及时、安全、无误；严防差错事故发生；危重病人必须和医生或护士共同陪同，要密切观察病情变化，发生异常及时报告、处理；呼吸道传染病外出检查时督促病人带好口罩。遇有应急情况或突击性任务服从全院调配。</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3、急诊值班岗位服务内容及要求：服从急诊科护士长的管理和工作安排，包括各诊室卫生、护送急诊病人、值班期间全院的标本运送、借取物品、协助夜间陪检等。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4、手术室岗位服务内容及要求：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（1）负责生活区（包括卫生间）、清洗间、消毒间的清洁； （2）每台手术结束后的手术间清洁及垃圾清运；每日手术全部结束后的手术间彻底清洁； （3）送手术间病理标本；手术间取药、物资领取等； （4）空调风口清洁； （5）接送手术病人； （6）拖鞋清洗消毒； （7）每日一次：清洁擦拭所有接送病人的平车；污物桶清洗；水槽清洗；（8）服从手术室护士长的管理和其他工作安排。</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5、专项服务内容及要求：地下停车场及设备层等公共区域卫生；公共区域PVC地面、地砖、花岗岩、水磨石地面的清洁和保养， PVC 地面起蜡、落蜡一年一次（特殊科室）。墙面、台级、玻璃及其他手够及处高空作业方面的保洁；每周清洁楼层平台；每二月清洗3米下外墙；每月擦天花板、应急灯、消毒灯、排气扇、中央空调通风口等高处物品，随脏随清洁；每月进行蛛网清除；负责全院应急任务、物资搬运工作。要求人员身强体壮，认真负责及时应对。</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6、ICU护工岗位服务内容及要求：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（1）在护士长的领导下，提供24 小时服务，配合护士做好病区相关护理工作。</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（2）协助护士做好晨、晚间护理如洗脸、洗脚、翻身、拍背。</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（3）负责病人生活用品管理；协助完成喂水、喂饭、准备鼻饲液。</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（4）协助完成病人生活护理：如头发、胡须、口腔、肛门卫生，负责递送便器、倾倒、清洗、消毒便器。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（5）出院病床及用具消毒。</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（6）进行医疗垃圾和生活垃圾分类与回收、转交。</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（7）床头柜一桌一巾、一床一巾擦拭消毒。</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（8）负责窗、灯、门的开关。</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7、医疗废弃物暂存处工作内容：负责医疗废物的交接、暂存处清洁、消毒、登记工作，其他未尽事宜服从总务科的管理。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8、垃圾收集工工作内容及要求：负责医疗废物的收集、交接、转运。生活垃圾收集工参照此要求。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（1）严格执行医院医疗废弃物管理的有关制度及消毒隔离措施；</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（2）工作人员做好自身防护，戴口罩、手套、帽子、围裙、护袖等；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（3）每日使用带盖车对生活垃圾、医疗垃圾进行清运1-2次；特殊情况增加清运次数；</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（4）生活垃圾、医疗垃圾按规定路线运送到指定地点，确保垃圾无二次污染等；做到人车不分离。</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（5）垃圾车应每天清洗消毒；</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（6）做好医疗废弃物的暂存、登记台帐资料。</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9、服务范围和服务内容如有重大调整，由双方共同协商解决。</w:t>
      </w:r>
    </w:p>
    <w:p>
      <w:pPr>
        <w:numPr>
          <w:ilvl w:val="0"/>
          <w:numId w:val="7"/>
        </w:numPr>
        <w:spacing w:line="360" w:lineRule="auto"/>
        <w:rPr>
          <w:rFonts w:ascii="宋体" w:hAnsi="宋体"/>
          <w:b/>
          <w:sz w:val="24"/>
          <w:lang w:val="zh-CN"/>
        </w:rPr>
      </w:pPr>
      <w:r>
        <w:rPr>
          <w:rFonts w:hint="eastAsia" w:ascii="宋体" w:hAnsi="宋体"/>
          <w:b/>
          <w:sz w:val="24"/>
          <w:lang w:val="zh-CN"/>
        </w:rPr>
        <w:t>保洁服务频率与要求</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3"/>
        <w:gridCol w:w="597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4" w:type="dxa"/>
            <w:vAlign w:val="center"/>
          </w:tcPr>
          <w:p>
            <w:pPr>
              <w:snapToGrid w:val="0"/>
              <w:jc w:val="center"/>
              <w:rPr>
                <w:rFonts w:ascii="宋体" w:hAnsi="宋体"/>
                <w:szCs w:val="21"/>
              </w:rPr>
            </w:pPr>
            <w:r>
              <w:rPr>
                <w:rFonts w:ascii="宋体" w:hAnsi="宋体"/>
                <w:szCs w:val="21"/>
              </w:rPr>
              <w:t>区域</w:t>
            </w:r>
          </w:p>
        </w:tc>
        <w:tc>
          <w:tcPr>
            <w:tcW w:w="853" w:type="dxa"/>
            <w:vAlign w:val="center"/>
          </w:tcPr>
          <w:p>
            <w:pPr>
              <w:snapToGrid w:val="0"/>
              <w:jc w:val="center"/>
              <w:rPr>
                <w:rFonts w:ascii="宋体" w:hAnsi="宋体"/>
                <w:szCs w:val="21"/>
              </w:rPr>
            </w:pPr>
            <w:r>
              <w:rPr>
                <w:rFonts w:ascii="宋体" w:hAnsi="宋体"/>
                <w:szCs w:val="21"/>
              </w:rPr>
              <w:t>序号</w:t>
            </w:r>
          </w:p>
        </w:tc>
        <w:tc>
          <w:tcPr>
            <w:tcW w:w="5973" w:type="dxa"/>
            <w:vAlign w:val="center"/>
          </w:tcPr>
          <w:p>
            <w:pPr>
              <w:snapToGrid w:val="0"/>
              <w:jc w:val="center"/>
              <w:rPr>
                <w:rFonts w:ascii="宋体" w:hAnsi="宋体"/>
                <w:szCs w:val="21"/>
              </w:rPr>
            </w:pPr>
            <w:r>
              <w:rPr>
                <w:rFonts w:ascii="宋体" w:hAnsi="宋体"/>
                <w:szCs w:val="21"/>
              </w:rPr>
              <w:t>工 作 内 容</w:t>
            </w:r>
          </w:p>
        </w:tc>
        <w:tc>
          <w:tcPr>
            <w:tcW w:w="1564" w:type="dxa"/>
            <w:vAlign w:val="center"/>
          </w:tcPr>
          <w:p>
            <w:pPr>
              <w:snapToGrid w:val="0"/>
              <w:jc w:val="center"/>
              <w:rPr>
                <w:rFonts w:ascii="宋体" w:hAnsi="宋体"/>
                <w:szCs w:val="21"/>
              </w:rPr>
            </w:pPr>
            <w:r>
              <w:rPr>
                <w:rFonts w:ascii="宋体" w:hAnsi="宋体"/>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4" w:type="dxa"/>
            <w:vMerge w:val="restart"/>
            <w:vAlign w:val="center"/>
          </w:tcPr>
          <w:p>
            <w:pPr>
              <w:snapToGrid w:val="0"/>
              <w:jc w:val="center"/>
              <w:rPr>
                <w:rFonts w:ascii="宋体" w:hAnsi="宋体"/>
                <w:szCs w:val="21"/>
              </w:rPr>
            </w:pPr>
            <w:r>
              <w:rPr>
                <w:rFonts w:ascii="宋体" w:hAnsi="宋体"/>
                <w:szCs w:val="21"/>
              </w:rPr>
              <w:t>门</w:t>
            </w:r>
          </w:p>
          <w:p>
            <w:pPr>
              <w:snapToGrid w:val="0"/>
              <w:jc w:val="center"/>
              <w:rPr>
                <w:rFonts w:ascii="宋体" w:hAnsi="宋体"/>
                <w:szCs w:val="21"/>
              </w:rPr>
            </w:pPr>
            <w:r>
              <w:rPr>
                <w:rFonts w:ascii="宋体" w:hAnsi="宋体"/>
                <w:szCs w:val="21"/>
              </w:rPr>
              <w:t>诊</w:t>
            </w:r>
          </w:p>
          <w:p>
            <w:pPr>
              <w:snapToGrid w:val="0"/>
              <w:jc w:val="center"/>
              <w:rPr>
                <w:rFonts w:ascii="宋体" w:hAnsi="宋体"/>
                <w:b/>
                <w:szCs w:val="21"/>
              </w:rPr>
            </w:pPr>
            <w:r>
              <w:rPr>
                <w:rFonts w:ascii="宋体" w:hAnsi="宋体"/>
                <w:szCs w:val="21"/>
              </w:rPr>
              <w:t>楼</w:t>
            </w: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收集区域内垃圾、更换垃圾袋、锐器盒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2</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区域内地面吸尘（均不可以干扫）</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3</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区域内地面湿拖（进行地面清洁、消毒）（清洁2次以上，消毒在下午工作结束后消毒1次）</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4</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区域内家具（桌椅、橱柜等）、台面擦拭消毒；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5</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区域内电脑、电话、仪器（特殊仪器在医院人员指导下进行）、低处电器表面清洗或擦拭消毒；诊室内电脑桌、就诊椅、电话擦拭消毒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6</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区域内洗手池、水池、水龙头、皂盒、清洗擦拭消毒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hint="eastAsia" w:ascii="宋体" w:hAnsi="宋体"/>
                <w:sz w:val="21"/>
                <w:szCs w:val="21"/>
              </w:rPr>
              <w:t>7</w:t>
            </w:r>
          </w:p>
        </w:tc>
        <w:tc>
          <w:tcPr>
            <w:tcW w:w="5973"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诊间内诊查床床罩更换</w:t>
            </w:r>
          </w:p>
        </w:tc>
        <w:tc>
          <w:tcPr>
            <w:tcW w:w="1564"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hint="eastAsia" w:ascii="宋体" w:hAnsi="宋体"/>
                <w:sz w:val="21"/>
                <w:szCs w:val="21"/>
              </w:rPr>
              <w:t>8</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卫生间（含水龙头、洗手池、台面、马桶、地面）冲洗、擦拭消毒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hint="eastAsia" w:ascii="宋体" w:hAnsi="宋体"/>
                <w:sz w:val="21"/>
                <w:szCs w:val="21"/>
              </w:rPr>
              <w:t>9</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区域内窗台、阳台、把手、栏杆、花盆、开关盒、接线盒、各类低处标牌、垃圾桶擦拭消毒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hint="eastAsia" w:ascii="宋体" w:hAnsi="宋体"/>
                <w:sz w:val="21"/>
                <w:szCs w:val="21"/>
              </w:rPr>
              <w:t>10</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开水机、冰箱（如有）外表面清洁消毒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1</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门、门框、低处窗框擦拭消毒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2</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玻璃及窗框擦拭消毒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3</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低处墙面除尘、落地瓷砖、踢脚板、地角、低处管道擦拭消毒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4</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非医疗不锈钢物体表面闪钢保养</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5</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高处标牌、壁挂物擦拭消毒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6</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高处除尘</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7</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灯具、烟感、监视器、通风口、风扇等高处设备擦拭消毒</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8</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地面机洗、打蜡、晶面处理或保养</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每2月1次以上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4" w:type="dxa"/>
            <w:vMerge w:val="continue"/>
            <w:vAlign w:val="center"/>
          </w:tcPr>
          <w:p>
            <w:pPr>
              <w:pStyle w:val="62"/>
              <w:spacing w:before="0"/>
              <w:ind w:firstLine="0" w:firstLineChars="0"/>
              <w:rPr>
                <w:rFonts w:ascii="宋体" w:hAnsi="宋体"/>
                <w:sz w:val="21"/>
                <w:szCs w:val="21"/>
              </w:rPr>
            </w:pPr>
          </w:p>
        </w:tc>
        <w:tc>
          <w:tcPr>
            <w:tcW w:w="853" w:type="dxa"/>
            <w:vAlign w:val="center"/>
          </w:tcPr>
          <w:p>
            <w:pPr>
              <w:pStyle w:val="62"/>
              <w:spacing w:before="0"/>
              <w:ind w:firstLine="0" w:firstLineChars="0"/>
              <w:jc w:val="center"/>
              <w:rPr>
                <w:rFonts w:ascii="宋体" w:hAnsi="宋体"/>
                <w:sz w:val="21"/>
                <w:szCs w:val="21"/>
              </w:rPr>
            </w:pPr>
            <w:r>
              <w:rPr>
                <w:rFonts w:hint="eastAsia" w:ascii="宋体" w:hAnsi="宋体"/>
                <w:sz w:val="21"/>
                <w:szCs w:val="21"/>
              </w:rPr>
              <w:t>19</w:t>
            </w:r>
          </w:p>
        </w:tc>
        <w:tc>
          <w:tcPr>
            <w:tcW w:w="597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巡视保洁</w:t>
            </w:r>
          </w:p>
        </w:tc>
        <w:tc>
          <w:tcPr>
            <w:tcW w:w="156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  时</w:t>
            </w:r>
          </w:p>
        </w:tc>
      </w:tr>
    </w:tbl>
    <w:p>
      <w:pPr>
        <w:tabs>
          <w:tab w:val="left" w:pos="308"/>
        </w:tabs>
        <w:adjustRightInd w:val="0"/>
        <w:snapToGrid w:val="0"/>
        <w:spacing w:line="360" w:lineRule="auto"/>
        <w:outlineLvl w:val="0"/>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595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1" w:type="dxa"/>
            <w:vAlign w:val="center"/>
          </w:tcPr>
          <w:p>
            <w:pPr>
              <w:pStyle w:val="62"/>
              <w:spacing w:before="0"/>
              <w:ind w:firstLine="0" w:firstLineChars="0"/>
              <w:jc w:val="center"/>
              <w:rPr>
                <w:rFonts w:ascii="宋体" w:hAnsi="宋体"/>
                <w:sz w:val="21"/>
                <w:szCs w:val="21"/>
              </w:rPr>
            </w:pPr>
            <w:r>
              <w:rPr>
                <w:rFonts w:ascii="宋体" w:hAnsi="宋体"/>
                <w:sz w:val="21"/>
                <w:szCs w:val="21"/>
              </w:rPr>
              <w:t>区域</w:t>
            </w: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序号</w:t>
            </w:r>
          </w:p>
        </w:tc>
        <w:tc>
          <w:tcPr>
            <w:tcW w:w="5954" w:type="dxa"/>
            <w:vAlign w:val="center"/>
          </w:tcPr>
          <w:p>
            <w:pPr>
              <w:pStyle w:val="62"/>
              <w:spacing w:before="0"/>
              <w:ind w:firstLine="0" w:firstLineChars="0"/>
              <w:jc w:val="center"/>
              <w:rPr>
                <w:rFonts w:ascii="宋体" w:hAnsi="宋体"/>
                <w:sz w:val="21"/>
                <w:szCs w:val="21"/>
              </w:rPr>
            </w:pPr>
            <w:r>
              <w:rPr>
                <w:rFonts w:ascii="宋体" w:hAnsi="宋体"/>
                <w:sz w:val="21"/>
                <w:szCs w:val="21"/>
              </w:rPr>
              <w:t>工 作 内 容</w:t>
            </w:r>
          </w:p>
        </w:tc>
        <w:tc>
          <w:tcPr>
            <w:tcW w:w="1559" w:type="dxa"/>
            <w:vAlign w:val="center"/>
          </w:tcPr>
          <w:p>
            <w:pPr>
              <w:pStyle w:val="62"/>
              <w:spacing w:before="0"/>
              <w:ind w:firstLine="0" w:firstLineChars="0"/>
              <w:jc w:val="center"/>
              <w:rPr>
                <w:rFonts w:ascii="宋体" w:hAnsi="宋体"/>
                <w:sz w:val="21"/>
                <w:szCs w:val="21"/>
              </w:rPr>
            </w:pPr>
            <w:r>
              <w:rPr>
                <w:rFonts w:ascii="宋体" w:hAnsi="宋体"/>
                <w:sz w:val="21"/>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1" w:type="dxa"/>
            <w:vMerge w:val="restart"/>
            <w:vAlign w:val="center"/>
          </w:tcPr>
          <w:p>
            <w:pPr>
              <w:pStyle w:val="63"/>
              <w:spacing w:line="240" w:lineRule="exact"/>
              <w:jc w:val="center"/>
              <w:rPr>
                <w:rFonts w:ascii="宋体" w:hAnsi="宋体"/>
                <w:b w:val="0"/>
              </w:rPr>
            </w:pPr>
            <w:r>
              <w:rPr>
                <w:rFonts w:ascii="宋体" w:hAnsi="宋体"/>
                <w:b w:val="0"/>
              </w:rPr>
              <w:t>住</w:t>
            </w:r>
          </w:p>
          <w:p>
            <w:pPr>
              <w:pStyle w:val="63"/>
              <w:spacing w:line="240" w:lineRule="exact"/>
              <w:jc w:val="center"/>
              <w:rPr>
                <w:rFonts w:ascii="宋体" w:hAnsi="宋体"/>
                <w:b w:val="0"/>
              </w:rPr>
            </w:pPr>
            <w:r>
              <w:rPr>
                <w:rFonts w:ascii="宋体" w:hAnsi="宋体"/>
                <w:b w:val="0"/>
              </w:rPr>
              <w:t>院</w:t>
            </w:r>
          </w:p>
          <w:p>
            <w:pPr>
              <w:pStyle w:val="63"/>
              <w:spacing w:line="240" w:lineRule="exact"/>
              <w:jc w:val="center"/>
              <w:rPr>
                <w:rFonts w:ascii="宋体" w:hAnsi="宋体"/>
                <w:b w:val="0"/>
              </w:rPr>
            </w:pPr>
            <w:r>
              <w:rPr>
                <w:rFonts w:ascii="宋体" w:hAnsi="宋体"/>
                <w:b w:val="0"/>
              </w:rPr>
              <w:t>病</w:t>
            </w:r>
          </w:p>
          <w:p>
            <w:pPr>
              <w:pStyle w:val="63"/>
              <w:spacing w:line="240" w:lineRule="exact"/>
              <w:jc w:val="center"/>
              <w:rPr>
                <w:rFonts w:ascii="宋体" w:hAnsi="宋体"/>
              </w:rPr>
            </w:pPr>
            <w:r>
              <w:rPr>
                <w:rFonts w:hint="eastAsia" w:ascii="宋体" w:hAnsi="宋体"/>
                <w:b w:val="0"/>
              </w:rPr>
              <w:t xml:space="preserve"> 房</w:t>
            </w:r>
          </w:p>
          <w:p>
            <w:pPr>
              <w:pStyle w:val="62"/>
              <w:spacing w:before="0" w:line="240" w:lineRule="exact"/>
              <w:ind w:firstLine="0" w:firstLineChars="0"/>
              <w:jc w:val="center"/>
              <w:rPr>
                <w:rFonts w:ascii="宋体" w:hAnsi="宋体"/>
                <w:sz w:val="21"/>
                <w:szCs w:val="21"/>
              </w:rPr>
            </w:pPr>
            <w:r>
              <w:rPr>
                <w:rFonts w:ascii="宋体" w:hAnsi="宋体"/>
                <w:sz w:val="21"/>
                <w:szCs w:val="21"/>
              </w:rPr>
              <w:t>区</w:t>
            </w:r>
          </w:p>
          <w:p>
            <w:pPr>
              <w:pStyle w:val="62"/>
              <w:spacing w:before="0" w:line="240" w:lineRule="exact"/>
              <w:ind w:firstLine="0" w:firstLineChars="0"/>
              <w:jc w:val="center"/>
              <w:rPr>
                <w:rFonts w:ascii="宋体" w:hAnsi="宋体"/>
                <w:sz w:val="21"/>
                <w:szCs w:val="21"/>
              </w:rPr>
            </w:pPr>
            <w:r>
              <w:rPr>
                <w:rFonts w:ascii="宋体" w:hAnsi="宋体"/>
                <w:sz w:val="21"/>
                <w:szCs w:val="21"/>
              </w:rPr>
              <w:t>域</w:t>
            </w: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收集区域内垃圾、更换垃圾袋（包含污物污洗间）、锐器盒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2</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区域内地面牵尘（均不可干扫）</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3</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区域内地面湿拖（进行地面清洁、消毒、）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4</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区域内家具（床栏、桌椅、橱柜等）、办公用品（含病历牌）、台面擦拭消毒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5</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区域内电脑、电话、仪器（特殊仪器在医院人员指导下进行）、器械（治疗车、病历架等）、床单位、低处电器表面的清洗或擦拭消毒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6</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区域内洗手池、水池、水龙头、皂盒清洗、擦拭消毒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7</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卫生间（含镜子、水龙头、脸盆、台面、毛巾架、马桶、沐浴器、地面）</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8</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开水间冲洗、擦拭消毒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9</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区域内窗台、阳台、把手、栏杆、花瓶、花盆、开关盒、接线盒、各类低处标牌、垃圾桶擦拭消毒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10</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床单位终末消毒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11</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开水机、冰箱外表面清洁消毒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12</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门、门框、窗框、玻璃</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13</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低处墙面除尘、落地瓷砖、踢脚板、地角、低处管道擦拭消毒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14</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非医疗不锈钢物体表面闪钢保养</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15</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高处标牌、壁挂物擦拭消毒</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16</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高处除尘</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17</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灯具、音响、烟感、监视器、通风口、排气扇、风扇等高处设备擦洗</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18</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地面机洗、打蜡、晶面处理或保养</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19</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石材地面的日常维护保养</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2</w:t>
            </w:r>
            <w:r>
              <w:rPr>
                <w:rFonts w:hint="eastAsia" w:ascii="宋体" w:hAnsi="宋体"/>
                <w:sz w:val="21"/>
                <w:szCs w:val="21"/>
              </w:rPr>
              <w:t>0</w:t>
            </w:r>
          </w:p>
        </w:tc>
        <w:tc>
          <w:tcPr>
            <w:tcW w:w="5954"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各类平车轮椅车轮上油、去污，保证正常运行</w:t>
            </w:r>
          </w:p>
        </w:tc>
        <w:tc>
          <w:tcPr>
            <w:tcW w:w="1559"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vMerge w:val="continue"/>
            <w:vAlign w:val="center"/>
          </w:tcPr>
          <w:p>
            <w:pPr>
              <w:pStyle w:val="62"/>
              <w:spacing w:before="0" w:line="240" w:lineRule="exact"/>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21</w:t>
            </w:r>
          </w:p>
        </w:tc>
        <w:tc>
          <w:tcPr>
            <w:tcW w:w="5954"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给所有病人打开水</w:t>
            </w:r>
          </w:p>
        </w:tc>
        <w:tc>
          <w:tcPr>
            <w:tcW w:w="1559"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每天2次</w:t>
            </w:r>
          </w:p>
        </w:tc>
      </w:tr>
    </w:tbl>
    <w:p>
      <w:pPr>
        <w:tabs>
          <w:tab w:val="left" w:pos="308"/>
        </w:tabs>
        <w:adjustRightInd w:val="0"/>
        <w:snapToGrid w:val="0"/>
        <w:spacing w:line="240" w:lineRule="exact"/>
        <w:outlineLvl w:val="0"/>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51" w:type="dxa"/>
            <w:vAlign w:val="center"/>
          </w:tcPr>
          <w:p>
            <w:pPr>
              <w:pStyle w:val="62"/>
              <w:spacing w:before="0"/>
              <w:ind w:firstLine="0" w:firstLineChars="0"/>
              <w:jc w:val="center"/>
              <w:rPr>
                <w:rFonts w:ascii="宋体" w:hAnsi="宋体"/>
                <w:bCs/>
                <w:sz w:val="21"/>
                <w:szCs w:val="21"/>
              </w:rPr>
            </w:pPr>
            <w:r>
              <w:rPr>
                <w:rFonts w:ascii="宋体" w:hAnsi="宋体"/>
                <w:bCs/>
                <w:sz w:val="21"/>
                <w:szCs w:val="21"/>
              </w:rPr>
              <w:t>区域</w:t>
            </w:r>
          </w:p>
        </w:tc>
        <w:tc>
          <w:tcPr>
            <w:tcW w:w="850" w:type="dxa"/>
            <w:vAlign w:val="center"/>
          </w:tcPr>
          <w:p>
            <w:pPr>
              <w:pStyle w:val="62"/>
              <w:spacing w:before="0"/>
              <w:ind w:firstLine="0" w:firstLineChars="0"/>
              <w:jc w:val="center"/>
              <w:rPr>
                <w:rFonts w:ascii="宋体" w:hAnsi="宋体"/>
                <w:bCs/>
                <w:sz w:val="21"/>
                <w:szCs w:val="21"/>
              </w:rPr>
            </w:pPr>
            <w:r>
              <w:rPr>
                <w:rFonts w:ascii="宋体" w:hAnsi="宋体"/>
                <w:bCs/>
                <w:sz w:val="21"/>
                <w:szCs w:val="21"/>
              </w:rPr>
              <w:t>序号</w:t>
            </w:r>
          </w:p>
        </w:tc>
        <w:tc>
          <w:tcPr>
            <w:tcW w:w="5670" w:type="dxa"/>
            <w:vAlign w:val="center"/>
          </w:tcPr>
          <w:p>
            <w:pPr>
              <w:pStyle w:val="62"/>
              <w:spacing w:before="0"/>
              <w:ind w:firstLine="0" w:firstLineChars="0"/>
              <w:jc w:val="center"/>
              <w:rPr>
                <w:rFonts w:ascii="宋体" w:hAnsi="宋体"/>
                <w:bCs/>
                <w:sz w:val="21"/>
                <w:szCs w:val="21"/>
              </w:rPr>
            </w:pPr>
            <w:r>
              <w:rPr>
                <w:rFonts w:ascii="宋体" w:hAnsi="宋体"/>
                <w:bCs/>
                <w:sz w:val="21"/>
                <w:szCs w:val="21"/>
              </w:rPr>
              <w:t>工 作 内 容</w:t>
            </w:r>
          </w:p>
        </w:tc>
        <w:tc>
          <w:tcPr>
            <w:tcW w:w="1843" w:type="dxa"/>
            <w:vAlign w:val="center"/>
          </w:tcPr>
          <w:p>
            <w:pPr>
              <w:pStyle w:val="62"/>
              <w:spacing w:before="0"/>
              <w:ind w:firstLine="0" w:firstLineChars="0"/>
              <w:jc w:val="center"/>
              <w:rPr>
                <w:rFonts w:ascii="宋体" w:hAnsi="宋体"/>
                <w:bCs/>
                <w:sz w:val="21"/>
                <w:szCs w:val="21"/>
              </w:rPr>
            </w:pPr>
            <w:r>
              <w:rPr>
                <w:rFonts w:ascii="宋体" w:hAnsi="宋体"/>
                <w:bCs/>
                <w:sz w:val="21"/>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Merge w:val="restart"/>
            <w:vAlign w:val="center"/>
          </w:tcPr>
          <w:p>
            <w:pPr>
              <w:pStyle w:val="62"/>
              <w:spacing w:before="0"/>
              <w:ind w:firstLine="0" w:firstLineChars="0"/>
              <w:jc w:val="center"/>
              <w:rPr>
                <w:rFonts w:ascii="宋体" w:hAnsi="宋体"/>
                <w:bCs/>
                <w:sz w:val="21"/>
                <w:szCs w:val="21"/>
              </w:rPr>
            </w:pPr>
            <w:r>
              <w:rPr>
                <w:rFonts w:ascii="宋体" w:hAnsi="宋体"/>
                <w:bCs/>
                <w:sz w:val="21"/>
                <w:szCs w:val="21"/>
              </w:rPr>
              <w:t>ICU</w:t>
            </w:r>
          </w:p>
          <w:p>
            <w:pPr>
              <w:pStyle w:val="62"/>
              <w:spacing w:before="0"/>
              <w:ind w:firstLine="0" w:firstLineChars="0"/>
              <w:jc w:val="center"/>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收集区域内垃圾、更换垃圾袋、锐器盒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2</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区域内地面吸尘（均不能干扫）</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3</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区域内地面湿拖（进行地面清洁、消毒、）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4</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区域内家具（桌椅、橱柜等）、台面擦拭消毒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5</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区域内电脑、键盘、电话、仪器（特殊仪器在医院人员指导下进行）、低处电器表面清洗、擦拭消毒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6</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区域内洗手池、水池、水龙头、皂盒、清洗、擦拭消毒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7</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卫生间（含水龙头、洗手池、台面、马桶、地面）冲洗、擦拭消毒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8</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区域内窗台、阳台、把手、栏杆、花盆、开关盒、接线盒、各类低处标牌、垃圾桶擦拭消毒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9</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开水机、冰箱（如有）外表面清洁消毒（龙头）</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每天1~2次以上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10</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门、门框、低处窗框擦拭消毒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hint="eastAsia" w:ascii="宋体" w:hAnsi="宋体"/>
                <w:bCs/>
                <w:sz w:val="21"/>
                <w:szCs w:val="21"/>
              </w:rPr>
              <w:t>11</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床单位终末消毒</w:t>
            </w:r>
            <w:r>
              <w:rPr>
                <w:rFonts w:hint="eastAsia" w:ascii="宋体" w:hAnsi="宋体"/>
                <w:bCs/>
                <w:sz w:val="21"/>
                <w:szCs w:val="21"/>
              </w:rPr>
              <w:t>及消毒后的铺床</w:t>
            </w:r>
          </w:p>
        </w:tc>
        <w:tc>
          <w:tcPr>
            <w:tcW w:w="1843" w:type="dxa"/>
            <w:vAlign w:val="center"/>
          </w:tcPr>
          <w:p>
            <w:pPr>
              <w:pStyle w:val="62"/>
              <w:spacing w:before="0"/>
              <w:ind w:firstLine="0" w:firstLineChars="0"/>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2</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玻璃及窗框擦拭消毒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3</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低处墙面除尘、落地瓷砖、踢脚板、地角、低处管道擦拭消毒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4</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非医疗不锈钢物体表面闪钢保养</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5</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高处标牌、壁挂物擦拭消毒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6</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高处除尘</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7</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灯具、烟感、监视器、通风口、管道、风扇等高处设备擦拭消毒</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ascii="宋体" w:hAnsi="宋体"/>
                <w:bCs/>
                <w:sz w:val="21"/>
                <w:szCs w:val="21"/>
              </w:rPr>
              <w:t>1</w:t>
            </w:r>
            <w:r>
              <w:rPr>
                <w:rFonts w:hint="eastAsia" w:ascii="宋体" w:hAnsi="宋体"/>
                <w:bCs/>
                <w:sz w:val="21"/>
                <w:szCs w:val="21"/>
              </w:rPr>
              <w:t>8</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地面机洗、打蜡、晶面处理或保养</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每2月1次以上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1" w:type="dxa"/>
            <w:vMerge w:val="continue"/>
            <w:vAlign w:val="center"/>
          </w:tcPr>
          <w:p>
            <w:pPr>
              <w:pStyle w:val="62"/>
              <w:spacing w:before="0"/>
              <w:ind w:firstLine="0" w:firstLineChars="0"/>
              <w:rPr>
                <w:rFonts w:ascii="宋体" w:hAnsi="宋体"/>
                <w:bCs/>
                <w:sz w:val="21"/>
                <w:szCs w:val="21"/>
              </w:rPr>
            </w:pPr>
          </w:p>
        </w:tc>
        <w:tc>
          <w:tcPr>
            <w:tcW w:w="850" w:type="dxa"/>
            <w:vAlign w:val="center"/>
          </w:tcPr>
          <w:p>
            <w:pPr>
              <w:pStyle w:val="62"/>
              <w:spacing w:before="0" w:line="240" w:lineRule="auto"/>
              <w:ind w:firstLine="0" w:firstLineChars="0"/>
              <w:jc w:val="center"/>
              <w:rPr>
                <w:rFonts w:ascii="宋体" w:hAnsi="宋体"/>
                <w:bCs/>
                <w:sz w:val="21"/>
                <w:szCs w:val="21"/>
              </w:rPr>
            </w:pPr>
            <w:r>
              <w:rPr>
                <w:rFonts w:hint="eastAsia" w:ascii="宋体" w:hAnsi="宋体"/>
                <w:bCs/>
                <w:sz w:val="21"/>
                <w:szCs w:val="21"/>
              </w:rPr>
              <w:t>19</w:t>
            </w:r>
          </w:p>
        </w:tc>
        <w:tc>
          <w:tcPr>
            <w:tcW w:w="5670" w:type="dxa"/>
            <w:vAlign w:val="center"/>
          </w:tcPr>
          <w:p>
            <w:pPr>
              <w:pStyle w:val="62"/>
              <w:spacing w:before="0" w:line="240" w:lineRule="auto"/>
              <w:ind w:firstLine="0" w:firstLineChars="0"/>
              <w:rPr>
                <w:rFonts w:ascii="宋体" w:hAnsi="宋体"/>
                <w:bCs/>
                <w:sz w:val="21"/>
                <w:szCs w:val="21"/>
              </w:rPr>
            </w:pPr>
            <w:r>
              <w:rPr>
                <w:rFonts w:ascii="宋体" w:hAnsi="宋体"/>
                <w:bCs/>
                <w:sz w:val="21"/>
                <w:szCs w:val="21"/>
              </w:rPr>
              <w:t>巡视保洁</w:t>
            </w:r>
          </w:p>
        </w:tc>
        <w:tc>
          <w:tcPr>
            <w:tcW w:w="1843" w:type="dxa"/>
            <w:vAlign w:val="center"/>
          </w:tcPr>
          <w:p>
            <w:pPr>
              <w:pStyle w:val="62"/>
              <w:spacing w:before="0"/>
              <w:ind w:firstLine="0" w:firstLineChars="0"/>
              <w:rPr>
                <w:rFonts w:ascii="宋体" w:hAnsi="宋体"/>
                <w:bCs/>
                <w:sz w:val="21"/>
                <w:szCs w:val="21"/>
              </w:rPr>
            </w:pPr>
            <w:r>
              <w:rPr>
                <w:rFonts w:ascii="宋体" w:hAnsi="宋体"/>
                <w:bCs/>
                <w:sz w:val="21"/>
                <w:szCs w:val="21"/>
              </w:rPr>
              <w:t>随  时</w:t>
            </w:r>
          </w:p>
        </w:tc>
      </w:tr>
    </w:tbl>
    <w:p>
      <w:pPr>
        <w:spacing w:line="360" w:lineRule="auto"/>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63"/>
              <w:jc w:val="center"/>
              <w:rPr>
                <w:rFonts w:ascii="宋体" w:hAnsi="宋体"/>
                <w:b w:val="0"/>
              </w:rPr>
            </w:pPr>
            <w:r>
              <w:rPr>
                <w:rFonts w:ascii="宋体" w:hAnsi="宋体"/>
                <w:b w:val="0"/>
              </w:rPr>
              <w:t>区域</w:t>
            </w: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序号</w:t>
            </w:r>
          </w:p>
        </w:tc>
        <w:tc>
          <w:tcPr>
            <w:tcW w:w="5670" w:type="dxa"/>
            <w:vAlign w:val="center"/>
          </w:tcPr>
          <w:p>
            <w:pPr>
              <w:pStyle w:val="62"/>
              <w:spacing w:before="0"/>
              <w:ind w:firstLine="0" w:firstLineChars="0"/>
              <w:jc w:val="center"/>
              <w:rPr>
                <w:rFonts w:ascii="宋体" w:hAnsi="宋体"/>
                <w:sz w:val="21"/>
                <w:szCs w:val="21"/>
              </w:rPr>
            </w:pPr>
            <w:r>
              <w:rPr>
                <w:rFonts w:ascii="宋体" w:hAnsi="宋体"/>
                <w:sz w:val="21"/>
                <w:szCs w:val="21"/>
              </w:rPr>
              <w:t>工 作 内 容</w:t>
            </w:r>
          </w:p>
        </w:tc>
        <w:tc>
          <w:tcPr>
            <w:tcW w:w="1843" w:type="dxa"/>
            <w:vAlign w:val="center"/>
          </w:tcPr>
          <w:p>
            <w:pPr>
              <w:pStyle w:val="62"/>
              <w:spacing w:before="0"/>
              <w:ind w:firstLine="0" w:firstLineChars="0"/>
              <w:jc w:val="center"/>
              <w:rPr>
                <w:rFonts w:ascii="宋体" w:hAnsi="宋体"/>
                <w:sz w:val="21"/>
                <w:szCs w:val="21"/>
              </w:rPr>
            </w:pPr>
            <w:r>
              <w:rPr>
                <w:rFonts w:ascii="宋体" w:hAnsi="宋体"/>
                <w:sz w:val="21"/>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851" w:type="dxa"/>
            <w:vMerge w:val="restart"/>
            <w:vAlign w:val="center"/>
          </w:tcPr>
          <w:p>
            <w:pPr>
              <w:pStyle w:val="62"/>
              <w:spacing w:before="0"/>
              <w:ind w:firstLine="0" w:firstLineChars="0"/>
              <w:jc w:val="center"/>
              <w:rPr>
                <w:rFonts w:ascii="宋体" w:hAnsi="宋体"/>
                <w:sz w:val="21"/>
                <w:szCs w:val="21"/>
              </w:rPr>
            </w:pPr>
            <w:r>
              <w:rPr>
                <w:rFonts w:ascii="宋体" w:hAnsi="宋体"/>
                <w:sz w:val="21"/>
                <w:szCs w:val="21"/>
              </w:rPr>
              <w:t>手</w:t>
            </w:r>
          </w:p>
          <w:p>
            <w:pPr>
              <w:pStyle w:val="62"/>
              <w:spacing w:before="0"/>
              <w:ind w:firstLine="0" w:firstLineChars="0"/>
              <w:jc w:val="center"/>
              <w:rPr>
                <w:rFonts w:ascii="宋体" w:hAnsi="宋体"/>
                <w:sz w:val="21"/>
                <w:szCs w:val="21"/>
              </w:rPr>
            </w:pPr>
            <w:r>
              <w:rPr>
                <w:rFonts w:ascii="宋体" w:hAnsi="宋体"/>
                <w:sz w:val="21"/>
                <w:szCs w:val="21"/>
              </w:rPr>
              <w:t>术</w:t>
            </w:r>
          </w:p>
          <w:p>
            <w:pPr>
              <w:pStyle w:val="62"/>
              <w:spacing w:before="0"/>
              <w:ind w:firstLine="0" w:firstLineChars="0"/>
              <w:jc w:val="center"/>
              <w:rPr>
                <w:rFonts w:ascii="宋体" w:hAnsi="宋体"/>
                <w:sz w:val="21"/>
                <w:szCs w:val="21"/>
              </w:rPr>
            </w:pPr>
            <w:r>
              <w:rPr>
                <w:rFonts w:ascii="宋体" w:hAnsi="宋体"/>
                <w:sz w:val="21"/>
                <w:szCs w:val="21"/>
              </w:rPr>
              <w:t>室</w:t>
            </w: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收集区域内垃圾、更换垃圾袋、锐器盒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2</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区域内地面湿拖（进行地面消毒、清洁）</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3</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区域内家具（桌椅、橱柜等）、办公用品、台面擦拭消毒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4</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区域内电脑、电话、仪器（特殊仪器在医院人员指导下进行）、低处电器表面清洗、擦拭消毒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5</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区域内洗手池、水池、水龙头、皂盒、隔拦处清洗、擦拭消毒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每日2次以上(洁净区域随时保持保洁)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6</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卫生间（含镜子、水龙头、脸盆、台面、毛巾架、马桶、沐浴器、地面）冲洗、擦拭消毒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7</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区域内窗台、阳台、把手、扶手、栏杆、开关盒、接线盒、各类低处标牌、垃圾桶擦拭消毒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8</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术后手术间整理、清洁、消毒(含手术床)</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9</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开水机、空气消毒机、设备外表面的清洁与消毒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每天2次以上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10</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门、门框、窗框、玻璃、高处标牌、壁挂物擦拭消毒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11</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低处墙面除尘、落地瓷砖、踢脚板、地角、低处管道擦拭消毒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每周1次以上(洁净区域随时保持保洁)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12</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非医疗不锈钢物体表面闪钢保养</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13</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高处除尘</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14</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灯具、音响、烟感、监视器、通风口、排气扇、风扇等高处设备擦洗消毒</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15</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地面机洗、打蜡、晶面处理或保养</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16</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巡视保洁</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Pr>
          <w:p>
            <w:pPr>
              <w:pStyle w:val="62"/>
              <w:spacing w:before="0"/>
              <w:ind w:firstLine="0" w:firstLineChars="0"/>
              <w:rPr>
                <w:rFonts w:ascii="宋体" w:hAnsi="宋体"/>
                <w:sz w:val="21"/>
                <w:szCs w:val="21"/>
              </w:rPr>
            </w:pP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7</w:t>
            </w:r>
          </w:p>
        </w:tc>
        <w:tc>
          <w:tcPr>
            <w:tcW w:w="5670"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库房的打扫</w:t>
            </w:r>
          </w:p>
        </w:tc>
        <w:tc>
          <w:tcPr>
            <w:tcW w:w="1843" w:type="dxa"/>
            <w:vAlign w:val="center"/>
          </w:tcPr>
          <w:p>
            <w:pPr>
              <w:pStyle w:val="62"/>
              <w:spacing w:before="0" w:line="240" w:lineRule="exact"/>
              <w:ind w:firstLine="0" w:firstLineChars="0"/>
              <w:jc w:val="left"/>
              <w:rPr>
                <w:rFonts w:ascii="宋体" w:hAnsi="宋体"/>
                <w:sz w:val="21"/>
                <w:szCs w:val="21"/>
              </w:rPr>
            </w:pPr>
            <w:r>
              <w:rPr>
                <w:rFonts w:ascii="宋体" w:hAnsi="宋体"/>
                <w:sz w:val="21"/>
                <w:szCs w:val="21"/>
              </w:rPr>
              <w:t>每月1次以上(洁净区域每日1次以上)</w:t>
            </w:r>
          </w:p>
        </w:tc>
      </w:tr>
    </w:tbl>
    <w:p>
      <w:pPr>
        <w:spacing w:line="360" w:lineRule="auto"/>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62"/>
              <w:spacing w:before="0"/>
              <w:ind w:firstLine="0" w:firstLineChars="0"/>
              <w:jc w:val="center"/>
              <w:rPr>
                <w:rFonts w:ascii="宋体" w:hAnsi="宋体"/>
                <w:sz w:val="21"/>
                <w:szCs w:val="21"/>
              </w:rPr>
            </w:pPr>
            <w:r>
              <w:rPr>
                <w:rFonts w:ascii="宋体" w:hAnsi="宋体"/>
                <w:sz w:val="21"/>
                <w:szCs w:val="21"/>
              </w:rPr>
              <w:t>区域</w:t>
            </w:r>
          </w:p>
        </w:tc>
        <w:tc>
          <w:tcPr>
            <w:tcW w:w="850" w:type="dxa"/>
            <w:vAlign w:val="center"/>
          </w:tcPr>
          <w:p>
            <w:pPr>
              <w:pStyle w:val="62"/>
              <w:spacing w:before="0"/>
              <w:ind w:firstLine="0" w:firstLineChars="0"/>
              <w:jc w:val="center"/>
              <w:rPr>
                <w:rFonts w:ascii="宋体" w:hAnsi="宋体"/>
                <w:sz w:val="21"/>
                <w:szCs w:val="21"/>
              </w:rPr>
            </w:pPr>
            <w:r>
              <w:rPr>
                <w:rFonts w:ascii="宋体" w:hAnsi="宋体"/>
                <w:sz w:val="21"/>
                <w:szCs w:val="21"/>
              </w:rPr>
              <w:t>序号</w:t>
            </w:r>
          </w:p>
        </w:tc>
        <w:tc>
          <w:tcPr>
            <w:tcW w:w="5670" w:type="dxa"/>
            <w:vAlign w:val="center"/>
          </w:tcPr>
          <w:p>
            <w:pPr>
              <w:pStyle w:val="62"/>
              <w:spacing w:before="0"/>
              <w:ind w:firstLine="0" w:firstLineChars="0"/>
              <w:jc w:val="center"/>
              <w:rPr>
                <w:rFonts w:ascii="宋体" w:hAnsi="宋体"/>
                <w:sz w:val="21"/>
                <w:szCs w:val="21"/>
              </w:rPr>
            </w:pPr>
            <w:r>
              <w:rPr>
                <w:rFonts w:ascii="宋体" w:hAnsi="宋体"/>
                <w:sz w:val="21"/>
                <w:szCs w:val="21"/>
              </w:rPr>
              <w:t>工 作 内 容</w:t>
            </w:r>
          </w:p>
        </w:tc>
        <w:tc>
          <w:tcPr>
            <w:tcW w:w="1843" w:type="dxa"/>
            <w:vAlign w:val="center"/>
          </w:tcPr>
          <w:p>
            <w:pPr>
              <w:pStyle w:val="62"/>
              <w:spacing w:before="0"/>
              <w:ind w:firstLine="0" w:firstLineChars="0"/>
              <w:jc w:val="center"/>
              <w:rPr>
                <w:rFonts w:ascii="宋体" w:hAnsi="宋体"/>
                <w:sz w:val="21"/>
                <w:szCs w:val="21"/>
              </w:rPr>
            </w:pPr>
            <w:r>
              <w:rPr>
                <w:rFonts w:ascii="宋体" w:hAnsi="宋体"/>
                <w:sz w:val="21"/>
                <w:szCs w:val="21"/>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1" w:type="dxa"/>
            <w:vMerge w:val="restart"/>
            <w:vAlign w:val="center"/>
          </w:tcPr>
          <w:p>
            <w:pPr>
              <w:pStyle w:val="62"/>
              <w:spacing w:before="0"/>
              <w:ind w:firstLine="0" w:firstLineChars="0"/>
              <w:jc w:val="center"/>
              <w:rPr>
                <w:rFonts w:ascii="宋体" w:hAnsi="宋体"/>
                <w:sz w:val="21"/>
                <w:szCs w:val="21"/>
              </w:rPr>
            </w:pPr>
            <w:r>
              <w:rPr>
                <w:rFonts w:hint="eastAsia" w:ascii="宋体" w:hAnsi="宋体"/>
                <w:sz w:val="21"/>
                <w:szCs w:val="21"/>
              </w:rPr>
              <w:t>急</w:t>
            </w:r>
          </w:p>
          <w:p>
            <w:pPr>
              <w:pStyle w:val="62"/>
              <w:spacing w:before="0"/>
              <w:ind w:firstLine="0" w:firstLineChars="0"/>
              <w:jc w:val="center"/>
              <w:rPr>
                <w:rFonts w:ascii="宋体" w:hAnsi="宋体"/>
                <w:sz w:val="21"/>
                <w:szCs w:val="21"/>
              </w:rPr>
            </w:pPr>
            <w:r>
              <w:rPr>
                <w:rFonts w:hint="eastAsia" w:ascii="宋体" w:hAnsi="宋体"/>
                <w:sz w:val="21"/>
                <w:szCs w:val="21"/>
              </w:rPr>
              <w:t>诊</w:t>
            </w:r>
          </w:p>
          <w:p>
            <w:pPr>
              <w:pStyle w:val="62"/>
              <w:spacing w:before="0"/>
              <w:ind w:firstLine="0" w:firstLineChars="0"/>
              <w:jc w:val="center"/>
              <w:rPr>
                <w:rFonts w:ascii="宋体" w:hAnsi="宋体"/>
                <w:sz w:val="21"/>
                <w:szCs w:val="21"/>
              </w:rPr>
            </w:pPr>
            <w:r>
              <w:rPr>
                <w:rFonts w:ascii="宋体" w:hAnsi="宋体"/>
                <w:sz w:val="21"/>
                <w:szCs w:val="21"/>
              </w:rPr>
              <w:t>室</w:t>
            </w: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收集区域内垃圾、更换垃圾袋、锐器盒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2</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区域内地面吸尘（均不能干扫）</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3</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区域内地面湿拖（进行地面清洁、消毒、）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4</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区域内家具（桌椅、橱柜等）、台面擦拭消毒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5</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区域内电脑、键盘、电话、仪器（特殊仪器在医院人员指导下进行）、低处电器表面清洗、消擦拭毒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6</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区域内洗手池、水池、水龙头、皂盒、清洗、擦拭消毒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7</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卫生间（含水龙头、洗手池、台面、马桶、地面）冲洗、擦拭消毒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8</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区域内窗台、阳台、把手、栏杆、花盆、开关盒、接线盒、各类低处标牌、垃圾桶擦拭消毒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9</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开水机、冰箱外表面清洁消毒（龙头）</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10</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门、门框、低处窗框擦拭消毒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11</w:t>
            </w:r>
          </w:p>
        </w:tc>
        <w:tc>
          <w:tcPr>
            <w:tcW w:w="5670"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平车上布类整理、更换，床上用品拆换</w:t>
            </w:r>
          </w:p>
        </w:tc>
        <w:tc>
          <w:tcPr>
            <w:tcW w:w="1843" w:type="dxa"/>
            <w:vAlign w:val="center"/>
          </w:tcPr>
          <w:p>
            <w:pPr>
              <w:pStyle w:val="62"/>
              <w:spacing w:before="0" w:line="240" w:lineRule="exact"/>
              <w:ind w:firstLine="0" w:firstLineChars="0"/>
              <w:rPr>
                <w:rFonts w:ascii="宋体" w:hAnsi="宋体"/>
                <w:sz w:val="21"/>
                <w:szCs w:val="21"/>
              </w:rPr>
            </w:pPr>
            <w:r>
              <w:rPr>
                <w:rFonts w:hint="eastAsia" w:ascii="宋体" w:hAnsi="宋体"/>
                <w:sz w:val="21"/>
                <w:szCs w:val="21"/>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12</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床单位终末消毒</w:t>
            </w:r>
            <w:r>
              <w:rPr>
                <w:rFonts w:hint="eastAsia" w:ascii="宋体" w:hAnsi="宋体"/>
                <w:sz w:val="21"/>
                <w:szCs w:val="21"/>
              </w:rPr>
              <w:t>及消毒后的铺床</w:t>
            </w:r>
          </w:p>
        </w:tc>
        <w:tc>
          <w:tcPr>
            <w:tcW w:w="1843" w:type="dxa"/>
            <w:vAlign w:val="center"/>
          </w:tcPr>
          <w:p>
            <w:pPr>
              <w:pStyle w:val="63"/>
              <w:spacing w:line="240" w:lineRule="exact"/>
              <w:rPr>
                <w:rFonts w:ascii="宋体" w:hAnsi="宋体"/>
              </w:rPr>
            </w:pPr>
            <w:r>
              <w:rPr>
                <w:rFonts w:hint="eastAsia" w:ascii="宋体" w:hAnsi="宋体"/>
                <w:b w:val="0"/>
              </w:rPr>
              <w:t xml:space="preserve"> 随</w:t>
            </w:r>
            <w:r>
              <w:rPr>
                <w:rFonts w:ascii="宋体" w:hAnsi="宋体"/>
                <w:b w:val="0"/>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13</w:t>
            </w:r>
          </w:p>
        </w:tc>
        <w:tc>
          <w:tcPr>
            <w:tcW w:w="5670" w:type="dxa"/>
            <w:vAlign w:val="center"/>
          </w:tcPr>
          <w:p>
            <w:pPr>
              <w:pStyle w:val="63"/>
              <w:spacing w:line="240" w:lineRule="exact"/>
              <w:rPr>
                <w:rFonts w:ascii="宋体" w:hAnsi="宋体"/>
                <w:b w:val="0"/>
              </w:rPr>
            </w:pPr>
            <w:r>
              <w:rPr>
                <w:rFonts w:ascii="宋体" w:hAnsi="宋体"/>
                <w:b w:val="0"/>
              </w:rPr>
              <w:t>各类平车轮椅车轮上油、去污，保证正常运行</w:t>
            </w:r>
          </w:p>
        </w:tc>
        <w:tc>
          <w:tcPr>
            <w:tcW w:w="1843" w:type="dxa"/>
            <w:vAlign w:val="center"/>
          </w:tcPr>
          <w:p>
            <w:pPr>
              <w:pStyle w:val="63"/>
              <w:spacing w:line="240" w:lineRule="exact"/>
              <w:rPr>
                <w:rFonts w:ascii="宋体" w:hAnsi="宋体"/>
                <w:b w:val="0"/>
              </w:rPr>
            </w:pPr>
            <w:r>
              <w:rPr>
                <w:rFonts w:hint="eastAsia" w:ascii="宋体" w:hAnsi="宋体"/>
                <w:b w:val="0"/>
              </w:rPr>
              <w:t>每周1次及以上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14</w:t>
            </w:r>
          </w:p>
        </w:tc>
        <w:tc>
          <w:tcPr>
            <w:tcW w:w="5670" w:type="dxa"/>
            <w:vAlign w:val="center"/>
          </w:tcPr>
          <w:p>
            <w:pPr>
              <w:pStyle w:val="63"/>
              <w:spacing w:line="240" w:lineRule="exact"/>
              <w:rPr>
                <w:rFonts w:ascii="宋体" w:hAnsi="宋体"/>
                <w:b w:val="0"/>
              </w:rPr>
            </w:pPr>
            <w:r>
              <w:rPr>
                <w:rFonts w:hint="eastAsia" w:ascii="宋体" w:hAnsi="宋体"/>
                <w:b w:val="0"/>
              </w:rPr>
              <w:t>库房</w:t>
            </w:r>
            <w:r>
              <w:rPr>
                <w:rFonts w:ascii="宋体" w:hAnsi="宋体"/>
                <w:b w:val="0"/>
              </w:rPr>
              <w:t>的整理，打扫</w:t>
            </w:r>
          </w:p>
        </w:tc>
        <w:tc>
          <w:tcPr>
            <w:tcW w:w="1843" w:type="dxa"/>
            <w:vAlign w:val="center"/>
          </w:tcPr>
          <w:p>
            <w:pPr>
              <w:pStyle w:val="63"/>
              <w:spacing w:line="240" w:lineRule="exact"/>
              <w:rPr>
                <w:rFonts w:ascii="宋体" w:hAnsi="宋体"/>
                <w:b w:val="0"/>
              </w:rPr>
            </w:pPr>
            <w:r>
              <w:rPr>
                <w:rFonts w:hint="eastAsia" w:ascii="宋体" w:hAnsi="宋体"/>
                <w:b w:val="0"/>
              </w:rPr>
              <w:t>每周1次及以上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5</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玻璃及窗框擦拭消毒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6</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低处墙面除尘、落地瓷砖、踢脚板、地角、低处管道擦拭消毒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7</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非医疗不锈钢物体表面闪钢保养</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ascii="宋体" w:hAnsi="宋体"/>
                <w:sz w:val="21"/>
                <w:szCs w:val="21"/>
              </w:rPr>
              <w:t>1</w:t>
            </w:r>
            <w:r>
              <w:rPr>
                <w:rFonts w:hint="eastAsia" w:ascii="宋体" w:hAnsi="宋体"/>
                <w:sz w:val="21"/>
                <w:szCs w:val="21"/>
              </w:rPr>
              <w:t>8</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高处标牌、壁挂物擦拭消毒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19</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高处除尘</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20</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灯具、烟感、监视器、通风口、管道、风扇等高处设备擦拭消毒</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21</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地面机洗、打蜡、晶面处理或保养</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每2月1次以上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vMerge w:val="continue"/>
            <w:vAlign w:val="center"/>
          </w:tcPr>
          <w:p>
            <w:pPr>
              <w:pStyle w:val="62"/>
              <w:spacing w:before="0"/>
              <w:ind w:firstLine="0" w:firstLineChars="0"/>
              <w:rPr>
                <w:rFonts w:ascii="宋体" w:hAnsi="宋体"/>
                <w:sz w:val="21"/>
                <w:szCs w:val="21"/>
              </w:rPr>
            </w:pPr>
          </w:p>
        </w:tc>
        <w:tc>
          <w:tcPr>
            <w:tcW w:w="850" w:type="dxa"/>
            <w:vAlign w:val="center"/>
          </w:tcPr>
          <w:p>
            <w:pPr>
              <w:pStyle w:val="62"/>
              <w:spacing w:before="0" w:line="240" w:lineRule="exact"/>
              <w:ind w:firstLine="0" w:firstLineChars="0"/>
              <w:jc w:val="center"/>
              <w:rPr>
                <w:rFonts w:ascii="宋体" w:hAnsi="宋体"/>
                <w:sz w:val="21"/>
                <w:szCs w:val="21"/>
              </w:rPr>
            </w:pPr>
            <w:r>
              <w:rPr>
                <w:rFonts w:hint="eastAsia" w:ascii="宋体" w:hAnsi="宋体"/>
                <w:sz w:val="21"/>
                <w:szCs w:val="21"/>
              </w:rPr>
              <w:t>22</w:t>
            </w:r>
          </w:p>
        </w:tc>
        <w:tc>
          <w:tcPr>
            <w:tcW w:w="5670"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巡视保洁</w:t>
            </w:r>
          </w:p>
        </w:tc>
        <w:tc>
          <w:tcPr>
            <w:tcW w:w="1843" w:type="dxa"/>
            <w:vAlign w:val="center"/>
          </w:tcPr>
          <w:p>
            <w:pPr>
              <w:pStyle w:val="62"/>
              <w:spacing w:before="0" w:line="240" w:lineRule="exact"/>
              <w:ind w:firstLine="0" w:firstLineChars="0"/>
              <w:rPr>
                <w:rFonts w:ascii="宋体" w:hAnsi="宋体"/>
                <w:sz w:val="21"/>
                <w:szCs w:val="21"/>
              </w:rPr>
            </w:pPr>
            <w:r>
              <w:rPr>
                <w:rFonts w:ascii="宋体" w:hAnsi="宋体"/>
                <w:sz w:val="21"/>
                <w:szCs w:val="21"/>
              </w:rPr>
              <w:t>随  时</w:t>
            </w:r>
          </w:p>
        </w:tc>
      </w:tr>
    </w:tbl>
    <w:p>
      <w:pPr>
        <w:spacing w:line="360" w:lineRule="auto"/>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18"/>
        <w:gridCol w:w="57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区 域</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5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工作内容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会</w:t>
            </w:r>
          </w:p>
          <w:p>
            <w:pPr>
              <w:spacing w:line="360" w:lineRule="auto"/>
              <w:jc w:val="center"/>
              <w:rPr>
                <w:rFonts w:ascii="宋体" w:hAnsi="宋体"/>
                <w:szCs w:val="21"/>
              </w:rPr>
            </w:pPr>
            <w:r>
              <w:rPr>
                <w:rFonts w:hint="eastAsia" w:ascii="宋体" w:hAnsi="宋体"/>
                <w:szCs w:val="21"/>
              </w:rPr>
              <w:t>议</w:t>
            </w:r>
          </w:p>
          <w:p>
            <w:pPr>
              <w:spacing w:line="360" w:lineRule="auto"/>
              <w:jc w:val="center"/>
              <w:rPr>
                <w:rFonts w:ascii="宋体" w:hAnsi="宋体"/>
                <w:szCs w:val="21"/>
              </w:rPr>
            </w:pPr>
            <w:r>
              <w:rPr>
                <w:rFonts w:hint="eastAsia" w:ascii="宋体" w:hAnsi="宋体"/>
                <w:szCs w:val="21"/>
              </w:rPr>
              <w:t>室</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收集区域内垃圾、更换垃圾袋</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区域内地面扫尘（无扬尘干扫）</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区域内地面湿拖（进行地面消毒、清洁）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区域内家具（桌椅、橱柜等）、台面擦拭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区域内电脑、电话、仪器、低处电器表面清洗或擦拭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区域内洗手池、水池、水龙头、皂盒清洗、擦拭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卫生间（含镜子、水龙头、脸盆、台面、毛巾架、马桶、沐浴器、地面）、开水间冲洗、擦拭、消毒</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区域内窗台、花瓶、花盆、开关盒、接线盒、各类低处标牌、垃圾桶擦拭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开水机、冰箱外表面清洁消毒</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门、门框、窗框、玻璃</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低处墙面除尘、落地瓷砖、踢脚板、地角、低处管道擦拭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非医疗不锈钢物体表面闪钢保养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高处标牌、壁挂物擦拭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高处除尘</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灯具、音响、烟感、通风口、排气扇、风扇等高处设备擦洗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地面机洗、打蜡、晶面处理和保养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每3月1次以上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地毯吸尘</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570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供应开水</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每天2次以上，并保证会议期间的供应</w:t>
            </w:r>
          </w:p>
        </w:tc>
      </w:tr>
    </w:tbl>
    <w:p>
      <w:pPr>
        <w:spacing w:line="360" w:lineRule="auto"/>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区域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 号</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工作内容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室</w:t>
            </w:r>
          </w:p>
          <w:p>
            <w:pPr>
              <w:spacing w:line="360" w:lineRule="auto"/>
              <w:jc w:val="center"/>
              <w:rPr>
                <w:rFonts w:ascii="宋体" w:hAnsi="宋体"/>
                <w:szCs w:val="21"/>
              </w:rPr>
            </w:pPr>
            <w:r>
              <w:rPr>
                <w:rFonts w:hint="eastAsia" w:ascii="宋体" w:hAnsi="宋体"/>
                <w:szCs w:val="21"/>
              </w:rPr>
              <w:t>内</w:t>
            </w:r>
          </w:p>
          <w:p>
            <w:pPr>
              <w:spacing w:line="360" w:lineRule="auto"/>
              <w:jc w:val="center"/>
              <w:rPr>
                <w:rFonts w:ascii="宋体" w:hAnsi="宋体"/>
                <w:szCs w:val="21"/>
              </w:rPr>
            </w:pPr>
            <w:r>
              <w:rPr>
                <w:rFonts w:hint="eastAsia" w:ascii="宋体" w:hAnsi="宋体"/>
                <w:szCs w:val="21"/>
              </w:rPr>
              <w:t>公</w:t>
            </w:r>
          </w:p>
          <w:p>
            <w:pPr>
              <w:spacing w:line="360" w:lineRule="auto"/>
              <w:jc w:val="center"/>
              <w:rPr>
                <w:rFonts w:ascii="宋体" w:hAnsi="宋体"/>
                <w:szCs w:val="21"/>
              </w:rPr>
            </w:pPr>
            <w:r>
              <w:rPr>
                <w:rFonts w:hint="eastAsia" w:ascii="宋体" w:hAnsi="宋体"/>
                <w:szCs w:val="21"/>
              </w:rPr>
              <w:t>共</w:t>
            </w:r>
          </w:p>
          <w:p>
            <w:pPr>
              <w:spacing w:line="360" w:lineRule="auto"/>
              <w:jc w:val="center"/>
              <w:rPr>
                <w:rFonts w:ascii="宋体" w:hAnsi="宋体"/>
                <w:szCs w:val="21"/>
              </w:rPr>
            </w:pPr>
            <w:r>
              <w:rPr>
                <w:rFonts w:hint="eastAsia" w:ascii="宋体" w:hAnsi="宋体"/>
                <w:szCs w:val="21"/>
              </w:rPr>
              <w:t>区</w:t>
            </w:r>
          </w:p>
          <w:p>
            <w:pPr>
              <w:spacing w:line="360" w:lineRule="auto"/>
              <w:jc w:val="center"/>
              <w:rPr>
                <w:rFonts w:ascii="宋体" w:hAnsi="宋体"/>
                <w:szCs w:val="21"/>
              </w:rPr>
            </w:pPr>
            <w:r>
              <w:rPr>
                <w:rFonts w:hint="eastAsia" w:ascii="宋体" w:hAnsi="宋体"/>
                <w:szCs w:val="21"/>
              </w:rPr>
              <w:t>域</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收集区域内垃圾、更换垃圾袋</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2</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区域内地面扫尘并地面湿拖（进行地面消毒、清洁）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3</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区域内洗手池、水池、水龙头清洗、擦拭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卫生间（含镜子、水龙头、脸盆、台面、马桶、地面）、开水间冲洗、擦拭、消毒</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5</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区域内把手、栏杆、花瓶、花盆、开关盒、接线盒、各类低处标牌、垃圾桶擦拭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6</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公共座椅的清洁擦拭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7</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玻璃清洁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8</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非医疗不锈钢物体表面闪钢保养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9</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高处标牌、壁挂物擦拭</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10</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高处除尘</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11</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灯具、音响、烟感、监视器等高处设备擦洗</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12</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各材质地面的保养</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每2月1次以上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13</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地毯、踏垫保持地毯干净、松软、无污渍斑点，洗后无色差</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每日清扫，每周吸尘清洁，每周局部使用清洁剂清洁，每月一次用清洁剂清洗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14</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大厅内玻璃除尘、清洗，无尘，光亮</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每季度全面清尘一次以上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15</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巡逻保洁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bl>
    <w:p>
      <w:pPr>
        <w:spacing w:line="360" w:lineRule="auto"/>
        <w:rPr>
          <w:rFonts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4962"/>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区域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工作内容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室</w:t>
            </w:r>
          </w:p>
          <w:p>
            <w:pPr>
              <w:spacing w:line="360" w:lineRule="auto"/>
              <w:jc w:val="center"/>
              <w:rPr>
                <w:rFonts w:ascii="宋体" w:hAnsi="宋体"/>
                <w:szCs w:val="21"/>
              </w:rPr>
            </w:pPr>
            <w:r>
              <w:rPr>
                <w:rFonts w:hint="eastAsia" w:ascii="宋体" w:hAnsi="宋体"/>
                <w:szCs w:val="21"/>
              </w:rPr>
              <w:t>外</w:t>
            </w:r>
          </w:p>
          <w:p>
            <w:pPr>
              <w:spacing w:line="360" w:lineRule="auto"/>
              <w:jc w:val="center"/>
              <w:rPr>
                <w:rFonts w:ascii="宋体" w:hAnsi="宋体"/>
                <w:szCs w:val="21"/>
              </w:rPr>
            </w:pPr>
            <w:r>
              <w:rPr>
                <w:rFonts w:hint="eastAsia" w:ascii="宋体" w:hAnsi="宋体"/>
                <w:szCs w:val="21"/>
              </w:rPr>
              <w:t>公</w:t>
            </w:r>
          </w:p>
          <w:p>
            <w:pPr>
              <w:spacing w:line="360" w:lineRule="auto"/>
              <w:jc w:val="center"/>
              <w:rPr>
                <w:rFonts w:ascii="宋体" w:hAnsi="宋体"/>
                <w:szCs w:val="21"/>
              </w:rPr>
            </w:pPr>
            <w:r>
              <w:rPr>
                <w:rFonts w:hint="eastAsia" w:ascii="宋体" w:hAnsi="宋体"/>
                <w:szCs w:val="21"/>
              </w:rPr>
              <w:t>共</w:t>
            </w:r>
          </w:p>
          <w:p>
            <w:pPr>
              <w:spacing w:line="360" w:lineRule="auto"/>
              <w:jc w:val="center"/>
              <w:rPr>
                <w:rFonts w:ascii="宋体" w:hAnsi="宋体"/>
                <w:szCs w:val="21"/>
              </w:rPr>
            </w:pPr>
            <w:r>
              <w:rPr>
                <w:rFonts w:hint="eastAsia" w:ascii="宋体" w:hAnsi="宋体"/>
                <w:szCs w:val="21"/>
              </w:rPr>
              <w:t>区</w:t>
            </w:r>
          </w:p>
          <w:p>
            <w:pPr>
              <w:spacing w:line="360" w:lineRule="auto"/>
              <w:jc w:val="center"/>
              <w:rPr>
                <w:rFonts w:ascii="宋体" w:hAnsi="宋体"/>
                <w:b/>
                <w:szCs w:val="21"/>
              </w:rPr>
            </w:pPr>
            <w:r>
              <w:rPr>
                <w:rFonts w:hint="eastAsia" w:ascii="宋体" w:hAnsi="宋体"/>
                <w:szCs w:val="21"/>
              </w:rPr>
              <w:t>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收集区域内垃圾、更换垃圾袋</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区域内垃圾桶刷洗</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明沟、暗沟月彻底清理，如有堵塞情况，及时上报，随时清理</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路灯除尘</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各出入口地面清扫、收集垃圾、水力冲洗</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广场及道路清扫、收集垃圾、水力冲洗</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循环清扫，每周冲洗1次以上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外墙及外露管道（二米以下）除尘，无积灰、污渍</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屋顶及周边清扫、收集垃圾、刷洗、清洁堵塞物</w:t>
            </w:r>
          </w:p>
        </w:tc>
        <w:tc>
          <w:tcPr>
            <w:tcW w:w="18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Cs w:val="21"/>
              </w:rPr>
            </w:pPr>
            <w:r>
              <w:rPr>
                <w:rFonts w:hint="eastAsia" w:ascii="宋体" w:hAnsi="宋体"/>
                <w:szCs w:val="21"/>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公共座椅保洁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玻璃清洁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外墙金属嵌条、标志牌除尘无积灰、污渍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外立面幕墙玻璃</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每月清洗1次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监控探头除尘</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每半年清洗1次以上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14</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室外绿地清扫，无垃圾、无杂物</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szCs w:val="21"/>
              </w:rPr>
            </w:pPr>
            <w:r>
              <w:rPr>
                <w:rFonts w:hint="eastAsia" w:ascii="宋体" w:hAnsi="宋体"/>
                <w:szCs w:val="21"/>
              </w:rPr>
              <w:t>15</w:t>
            </w:r>
          </w:p>
        </w:tc>
        <w:tc>
          <w:tcPr>
            <w:tcW w:w="56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巡逻保洁</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区域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4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工作内容</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其</w:t>
            </w:r>
          </w:p>
          <w:p>
            <w:pPr>
              <w:spacing w:line="360" w:lineRule="auto"/>
              <w:jc w:val="center"/>
              <w:rPr>
                <w:rFonts w:ascii="宋体" w:hAnsi="宋体"/>
                <w:szCs w:val="21"/>
              </w:rPr>
            </w:pPr>
            <w:r>
              <w:rPr>
                <w:rFonts w:hint="eastAsia" w:ascii="宋体" w:hAnsi="宋体"/>
                <w:szCs w:val="21"/>
              </w:rPr>
              <w:t>他</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1</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地下车库、地面清扫、冲洗，无垃圾、无杂物</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循环保洁，每天清洁1次以上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2</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标线清洁，保证清晰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按需描线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3</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图书馆书架、书橱除尘、抹净</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4</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垃圾收集及暂存点保洁</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医院内部垃圾存放区域每天清洗、消毒1次，每周全面清洗消毒1次；每天对垃圾的收集情况进行及时登记，以备检查。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5</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上级部门和重要嘉宾参观或检查，根据院方要求进行突击性服务。</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6</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如遇火警、水管爆裂、台风袭击、突发传染病等特殊情况，要有应急预案和机动人员配合院方搞好特殊保洁及服务工作。</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7</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医疗垃圾、生活垃圾的院内运输暂存管理；</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8</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维护承包范围内院容、院貌的整洁，劝阻病人及家属在病房窗外或公共通道晾挂衣服、杂物；冷暖气开放时，劝阻病人自觉关闭窗户，关灯。</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rPr>
                <w:rFonts w:ascii="宋体" w:hAnsi="宋体"/>
                <w:szCs w:val="21"/>
              </w:rPr>
            </w:pPr>
            <w:r>
              <w:rPr>
                <w:rFonts w:hint="eastAsia" w:ascii="宋体" w:hAnsi="宋体"/>
                <w:szCs w:val="21"/>
              </w:rPr>
              <w:t>按医院要求</w:t>
            </w:r>
          </w:p>
        </w:tc>
      </w:tr>
    </w:tbl>
    <w:p>
      <w:pPr>
        <w:spacing w:line="360" w:lineRule="auto"/>
        <w:rPr>
          <w:rFonts w:ascii="宋体" w:hAnsi="宋体"/>
          <w:b/>
          <w:sz w:val="24"/>
        </w:rPr>
      </w:pPr>
    </w:p>
    <w:p>
      <w:pPr>
        <w:numPr>
          <w:ilvl w:val="0"/>
          <w:numId w:val="7"/>
        </w:numPr>
        <w:spacing w:line="360" w:lineRule="auto"/>
        <w:rPr>
          <w:rFonts w:ascii="宋体" w:hAnsi="宋体"/>
          <w:b/>
          <w:sz w:val="24"/>
          <w:lang w:val="zh-CN"/>
        </w:rPr>
      </w:pPr>
      <w:r>
        <w:rPr>
          <w:rFonts w:hint="eastAsia" w:ascii="宋体" w:hAnsi="宋体"/>
          <w:b/>
          <w:sz w:val="24"/>
          <w:lang w:val="zh-CN"/>
        </w:rPr>
        <w:t>运送服务</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6.1本条款所列为运送服务基本要求，要求各供应商制定针对台州市中西医结合医院的、详细的、标准化的工作程序和作业计划，并开展服务，以便用最精简的方案高效完成运送服务，并确保医院各科室和部门之间运送工作按时、准确、无误。</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6.2运送服务主要工作内容</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（1）收送化验标本、会诊单、检查预约单、手术通知单、资料或文件。</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（2）取检查结果、化验单。</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（3）送病人院内做检查。</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（4）送资料、复印、感染报告、送物品申领单。</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（5）送手术通知单。</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（6）领办公用品、医疗用品、医疗消耗疗品、设备总务库房等物品的运送。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（7）临时去供应室取送消毒物品。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（8）取药/借药（临时）设备借用、设备送报修。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（9）棉织品被服更换、工作衣的更换，窗帘和床帘更换清洗,并与洗衣房交接点数。</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（10）加床运送等。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（11）协助医护人员送危重住院患者做检查、转科。</w:t>
      </w:r>
      <w:r>
        <w:rPr>
          <w:rFonts w:hint="eastAsia" w:ascii="宋体" w:hAnsi="宋体"/>
          <w:sz w:val="24"/>
          <w:lang w:val="zh-CN"/>
        </w:rPr>
        <w:tab/>
      </w:r>
    </w:p>
    <w:p>
      <w:pPr>
        <w:pStyle w:val="10"/>
        <w:spacing w:line="360" w:lineRule="auto"/>
        <w:ind w:firstLine="480" w:firstLineChars="200"/>
        <w:jc w:val="both"/>
        <w:rPr>
          <w:rFonts w:ascii="宋体" w:hAnsi="宋体"/>
          <w:sz w:val="24"/>
          <w:lang w:val="zh-CN"/>
        </w:rPr>
      </w:pPr>
      <w:r>
        <w:rPr>
          <w:rFonts w:hint="eastAsia" w:ascii="宋体" w:hAnsi="宋体"/>
          <w:sz w:val="24"/>
          <w:lang w:val="zh-CN"/>
        </w:rPr>
        <w:t>（12）负责协助带领住院患者做各项检查,负责运送无助、不能行走病人、重症病人及急诊抢救病人的检查、手术等。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（13）床、椅、柜、办公桌、病案、病历归档、档案资料、图书期刊等办公用品、医疗设备及瓶装医用气体的搬运。</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(14）其他未提及的医院需要的运送工作。</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6.3中央运送服务主要工作要求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（1）设立24小时的调度中心，保证24小时/天，365天/年的连续服务，相关人员配置相关设备。</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（2）医院负责提供运送用工具，中标人应合理调配并负责管理与保养。</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（3）要求对运送的数据进行定期汇总和统计，能随时提供相应的数据，为院方的决策进行支持。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（4）运送准确率、及时率不低于99%。</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（5）统一工作服、劳动防护用品（如：一次性手套、口罩）。</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（6）定期给医院后勤及相关科室提供相关工作报表等，并对相关工作流程等及时与院方沟通并调整，提出合理化建议，并顺应医院的管理和运行模式。</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（7）送各种检查申请单及会诊单要实行专人接收签收制度，不可顺带运送，以防漏送或遗失。</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（8）为了确保运送工作的正常开展，防止小车物流系统发生故障，成立应急小组，制定可行的应急方案。</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（9）各种运送具体服务要求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A、严格执行“三查七对”制度，防止差错发生。</w:t>
      </w:r>
    </w:p>
    <w:p>
      <w:pPr>
        <w:pStyle w:val="10"/>
        <w:spacing w:line="360" w:lineRule="auto"/>
        <w:ind w:firstLine="480" w:firstLineChars="200"/>
        <w:jc w:val="both"/>
        <w:rPr>
          <w:rFonts w:ascii="宋体" w:hAnsi="宋体"/>
          <w:sz w:val="24"/>
          <w:lang w:val="zh-CN"/>
        </w:rPr>
      </w:pPr>
      <w:r>
        <w:rPr>
          <w:rFonts w:hint="eastAsia" w:ascii="宋体" w:hAnsi="宋体"/>
          <w:sz w:val="24"/>
          <w:lang w:val="zh-CN"/>
        </w:rPr>
        <w:t>B、严格执行感染控制要求和消毒隔离制度，防止交叉感染。</w:t>
      </w:r>
    </w:p>
    <w:p>
      <w:pPr>
        <w:pStyle w:val="10"/>
        <w:spacing w:line="360" w:lineRule="auto"/>
        <w:ind w:firstLine="480" w:firstLineChars="200"/>
        <w:jc w:val="both"/>
        <w:rPr>
          <w:rFonts w:ascii="宋体" w:hAnsi="宋体"/>
          <w:sz w:val="24"/>
          <w:lang w:val="zh-CN"/>
        </w:rPr>
      </w:pPr>
      <w:r>
        <w:rPr>
          <w:rFonts w:hint="eastAsia" w:ascii="宋体" w:hAnsi="宋体"/>
          <w:sz w:val="24"/>
          <w:lang w:val="zh-CN"/>
        </w:rPr>
        <w:t>C、严格执行急事急办的工作原则。</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D、标本</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D1、 按时收集各科室各种标本。</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D2、 认真查对清单与条码要相符。</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D3、 执行急、平、常规的收集流程并跟踪报告单，特别是急查要及时跟踪到位。</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D4 、登记、签收：做到准确、及时、完整。</w:t>
      </w:r>
    </w:p>
    <w:p>
      <w:pPr>
        <w:pStyle w:val="10"/>
        <w:spacing w:line="360" w:lineRule="auto"/>
        <w:ind w:firstLine="480" w:firstLineChars="200"/>
        <w:jc w:val="both"/>
        <w:rPr>
          <w:rFonts w:ascii="宋体" w:hAnsi="宋体"/>
          <w:sz w:val="24"/>
          <w:lang w:val="zh-CN"/>
        </w:rPr>
      </w:pPr>
      <w:r>
        <w:rPr>
          <w:rFonts w:hint="eastAsia" w:ascii="宋体" w:hAnsi="宋体"/>
          <w:sz w:val="24"/>
          <w:lang w:val="zh-CN"/>
        </w:rPr>
        <w:t>D5、并按各种标本的性质进行必要的保护，如保温等，并查视标本存放容器不得有破损、脏污、或标本量不足等特殊情况，并按医生嘱咐办理，以免影响结果。</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E、陪检</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E1 、对病重、一级、卧床、生活不能自理或特殊病人进行陪检。</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E2 、认真查对病区、床号、姓名、检查项目、检查治疗前的准备情况及病人的病情。</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E3、 一般情况按急诊、空腹、预约、普通的顺序进行，要做好相关的准备工作，以缩短病人等候时间。</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E4、重病人必须有医护人员陪同。</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E5、检查运输工具，保持良好功能，注意工具的清洁、消毒、防止交叉感染。</w:t>
      </w:r>
    </w:p>
    <w:p>
      <w:pPr>
        <w:pStyle w:val="10"/>
        <w:spacing w:line="360" w:lineRule="auto"/>
        <w:ind w:firstLine="480" w:firstLineChars="200"/>
        <w:jc w:val="both"/>
        <w:rPr>
          <w:rFonts w:ascii="宋体" w:hAnsi="宋体"/>
          <w:sz w:val="24"/>
          <w:lang w:val="zh-CN"/>
        </w:rPr>
      </w:pPr>
      <w:r>
        <w:rPr>
          <w:rFonts w:hint="eastAsia" w:ascii="宋体" w:hAnsi="宋体"/>
          <w:sz w:val="24"/>
          <w:lang w:val="zh-CN"/>
        </w:rPr>
        <w:t>E6、注意病人的安全。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F、领物、送物</w:t>
      </w:r>
    </w:p>
    <w:p>
      <w:pPr>
        <w:pStyle w:val="10"/>
        <w:spacing w:line="360" w:lineRule="auto"/>
        <w:ind w:firstLine="480" w:firstLineChars="200"/>
        <w:jc w:val="both"/>
        <w:rPr>
          <w:rFonts w:ascii="宋体" w:hAnsi="宋体"/>
          <w:sz w:val="24"/>
          <w:lang w:val="zh-CN"/>
        </w:rPr>
      </w:pPr>
      <w:r>
        <w:rPr>
          <w:rFonts w:hint="eastAsia" w:ascii="宋体" w:hAnsi="宋体"/>
          <w:sz w:val="24"/>
          <w:lang w:val="zh-CN"/>
        </w:rPr>
        <w:t>F1、计划性领物要提前提交计划单，按时间规定请领物品。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F2、要与科室对接，签收。</w:t>
      </w:r>
    </w:p>
    <w:p>
      <w:pPr>
        <w:pStyle w:val="10"/>
        <w:spacing w:line="360" w:lineRule="auto"/>
        <w:ind w:firstLine="480" w:firstLineChars="200"/>
        <w:jc w:val="both"/>
        <w:rPr>
          <w:rFonts w:ascii="宋体" w:hAnsi="宋体"/>
          <w:sz w:val="24"/>
          <w:lang w:val="zh-CN"/>
        </w:rPr>
      </w:pPr>
      <w:r>
        <w:rPr>
          <w:rFonts w:hint="eastAsia" w:ascii="宋体" w:hAnsi="宋体"/>
          <w:sz w:val="24"/>
          <w:lang w:val="zh-CN"/>
        </w:rPr>
        <w:t>G、文书</w:t>
      </w:r>
    </w:p>
    <w:p>
      <w:pPr>
        <w:pStyle w:val="10"/>
        <w:spacing w:line="360" w:lineRule="auto"/>
        <w:ind w:firstLine="480" w:firstLineChars="200"/>
        <w:jc w:val="both"/>
        <w:rPr>
          <w:rFonts w:ascii="宋体" w:hAnsi="宋体"/>
          <w:sz w:val="24"/>
          <w:lang w:val="zh-CN"/>
        </w:rPr>
      </w:pPr>
      <w:r>
        <w:rPr>
          <w:rFonts w:hint="eastAsia" w:ascii="宋体" w:hAnsi="宋体"/>
          <w:sz w:val="24"/>
          <w:lang w:val="zh-CN"/>
        </w:rPr>
        <w:t>G1、如有需要，按要求、按流程将需要收集各科室的文书，分别送到相应的科室。</w:t>
      </w:r>
    </w:p>
    <w:p>
      <w:pPr>
        <w:pStyle w:val="10"/>
        <w:spacing w:line="360" w:lineRule="auto"/>
        <w:ind w:firstLine="480" w:firstLineChars="200"/>
        <w:jc w:val="both"/>
        <w:rPr>
          <w:rFonts w:ascii="宋体" w:hAnsi="宋体"/>
          <w:sz w:val="24"/>
          <w:lang w:val="zh-CN"/>
        </w:rPr>
      </w:pPr>
      <w:r>
        <w:rPr>
          <w:rFonts w:hint="eastAsia" w:ascii="宋体" w:hAnsi="宋体"/>
          <w:sz w:val="24"/>
          <w:lang w:val="zh-CN"/>
        </w:rPr>
        <w:t>G2、要查对报表的时间，有误的要与科室及时对接，明确责任。</w:t>
      </w:r>
    </w:p>
    <w:p>
      <w:pPr>
        <w:pStyle w:val="10"/>
        <w:spacing w:line="360" w:lineRule="auto"/>
        <w:ind w:firstLine="480" w:firstLineChars="200"/>
        <w:jc w:val="both"/>
        <w:rPr>
          <w:rFonts w:ascii="宋体" w:hAnsi="宋体"/>
          <w:sz w:val="24"/>
          <w:lang w:val="zh-CN"/>
        </w:rPr>
      </w:pPr>
      <w:r>
        <w:rPr>
          <w:rFonts w:hint="eastAsia" w:ascii="宋体" w:hAnsi="宋体"/>
          <w:sz w:val="24"/>
          <w:lang w:val="zh-CN"/>
        </w:rPr>
        <w:t>G3、做好记录和签名</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H、接送手术</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H1、按手术通知单，按规定时间到对应科室接病人。</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H2、向当班护士了解术前准备及需带的资料。</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H3、到病房查对病人床号、姓名、诊断等项目。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H4、准确无误后送到手术室，与手术室护士交接。</w:t>
      </w:r>
    </w:p>
    <w:p>
      <w:pPr>
        <w:pStyle w:val="10"/>
        <w:spacing w:line="360" w:lineRule="auto"/>
        <w:ind w:firstLine="480" w:firstLineChars="200"/>
        <w:jc w:val="both"/>
        <w:rPr>
          <w:rFonts w:ascii="宋体" w:hAnsi="宋体"/>
          <w:sz w:val="24"/>
          <w:lang w:val="zh-CN"/>
        </w:rPr>
      </w:pPr>
      <w:r>
        <w:rPr>
          <w:rFonts w:hint="eastAsia" w:ascii="宋体" w:hAnsi="宋体"/>
          <w:sz w:val="24"/>
          <w:lang w:val="zh-CN"/>
        </w:rPr>
        <w:t>H5、术后病人必须有医护人员陪同送回病房。无医护人员陪同，运输人员有权拒绝，要保证病人安全。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I、取送无菌物品时，核对科室、名称、消毒日期、干燥情况、数量、有效日期等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J、送各种报表时要查对取表科室、送表到达科室、取送日期、时间，报表要求（急、缓），对接人员签名。</w:t>
      </w:r>
    </w:p>
    <w:p>
      <w:pPr>
        <w:pStyle w:val="10"/>
        <w:spacing w:line="360" w:lineRule="auto"/>
        <w:ind w:firstLine="480" w:firstLineChars="200"/>
        <w:jc w:val="both"/>
        <w:rPr>
          <w:rFonts w:ascii="宋体" w:hAnsi="宋体"/>
          <w:sz w:val="24"/>
          <w:lang w:val="zh-CN"/>
        </w:rPr>
      </w:pPr>
      <w:r>
        <w:rPr>
          <w:rFonts w:hint="eastAsia" w:ascii="宋体" w:hAnsi="宋体"/>
          <w:sz w:val="24"/>
          <w:lang w:val="zh-CN"/>
        </w:rPr>
        <w:t>K、上岗员工培训通过率100%，培训资料可查。</w:t>
      </w:r>
    </w:p>
    <w:p>
      <w:pPr>
        <w:numPr>
          <w:ilvl w:val="0"/>
          <w:numId w:val="7"/>
        </w:numPr>
        <w:spacing w:line="360" w:lineRule="auto"/>
        <w:rPr>
          <w:rFonts w:ascii="宋体" w:hAnsi="宋体"/>
          <w:b/>
          <w:sz w:val="24"/>
          <w:lang w:val="zh-CN"/>
        </w:rPr>
      </w:pPr>
      <w:r>
        <w:rPr>
          <w:rFonts w:hint="eastAsia" w:ascii="宋体" w:hAnsi="宋体"/>
          <w:b/>
          <w:sz w:val="24"/>
          <w:lang w:val="zh-CN"/>
        </w:rPr>
        <w:t>对供应商拟派保洁、运送服务人员的基本要求：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人员要求：拟派本项目服务人员（包括管理人员、保洁人员、运送人员等）须相对固定，由各供应商仔细了解并现场察看医院的具体情况后，在投标文件中做出详细的定人定岗计划表，服务人员上岗率必须达到总人数的80%，中标后不得自行更换。</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2、服务人员需统一着装上岗，并佩戴胸牌。</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3、服务人员具有与承担的服务工作相符的文化程度或工作能力，身体健康，提供体检证明或健康证。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4、服务人员100%经过岗前培训合格才上岗。</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5、年龄结构:65周岁以上比例不超过10%。</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6、项目负责人要求：年龄45周岁以下、大专及以上学历、有相关工作经验三年及以上；</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7、主管以上管理人员年龄45周岁以下，具有中专以上学历，从事行业经验≥3年，管理经验≥2年。</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8、如果甲方基于适当的理由确认乙方的任何人员为甲方所不能接受，甲方可以书面形式要求撤换该人员。乙方在收到该要求后，将在必需的时间内向甲方提供其可接受的替换人员。</w:t>
      </w:r>
    </w:p>
    <w:p>
      <w:pPr>
        <w:numPr>
          <w:ilvl w:val="0"/>
          <w:numId w:val="7"/>
        </w:numPr>
        <w:spacing w:line="360" w:lineRule="auto"/>
        <w:rPr>
          <w:rFonts w:ascii="宋体" w:hAnsi="宋体"/>
          <w:b/>
          <w:sz w:val="24"/>
          <w:lang w:val="zh-CN"/>
        </w:rPr>
      </w:pPr>
      <w:r>
        <w:rPr>
          <w:rFonts w:hint="eastAsia" w:ascii="宋体" w:hAnsi="宋体"/>
          <w:b/>
          <w:sz w:val="24"/>
          <w:lang w:val="zh-CN"/>
        </w:rPr>
        <w:t>其他要求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1、所使用的</w:t>
      </w:r>
      <w:r>
        <w:rPr>
          <w:rFonts w:hint="eastAsia" w:ascii="宋体" w:hAnsi="宋体"/>
          <w:color w:val="44546A" w:themeColor="text2"/>
          <w:sz w:val="24"/>
          <w:u w:val="none"/>
          <w:lang w:val="zh-CN"/>
        </w:rPr>
        <w:t>保洁设备工器具</w:t>
      </w:r>
      <w:r>
        <w:rPr>
          <w:rFonts w:hint="eastAsia" w:ascii="宋体" w:hAnsi="宋体"/>
          <w:sz w:val="24"/>
          <w:lang w:val="zh-CN"/>
        </w:rPr>
        <w:t>须先进、高效、适用。保洁设备清单（保洁设备要求使用美国坦能、德国威霸品牌或同等档次以上的）；保洁药剂清单（保洁药剂要求使用庄臣、3M系列或同等档次以上的）。</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w:t>
      </w:r>
      <w:r>
        <w:rPr>
          <w:rFonts w:hint="eastAsia"/>
          <w:sz w:val="24"/>
        </w:rPr>
        <w:t>▲</w:t>
      </w:r>
      <w:r>
        <w:rPr>
          <w:rFonts w:hint="eastAsia" w:ascii="宋体" w:hAnsi="宋体"/>
          <w:sz w:val="24"/>
          <w:lang w:val="zh-CN"/>
        </w:rPr>
        <w:t>保洁设备至少提供自动工业洗衣机（容量20公斤以上）1台、自动工业烘干机（容量20公斤以上）1台、驾驶式洗地机1台、驾驶式扫地车1台、手推式洗地机2台、吸尘吸水机2台、保洁车40台以上</w:t>
      </w:r>
      <w:r>
        <w:rPr>
          <w:rFonts w:hint="eastAsia" w:ascii="宋体" w:hAnsi="宋体"/>
          <w:color w:val="44546A" w:themeColor="text2"/>
          <w:sz w:val="24"/>
          <w:lang w:val="zh-CN"/>
        </w:rPr>
        <w:t>、高压水枪1台、</w:t>
      </w:r>
      <w:r>
        <w:rPr>
          <w:rFonts w:hint="eastAsia" w:ascii="宋体" w:hAnsi="宋体"/>
          <w:sz w:val="24"/>
          <w:lang w:val="zh-CN"/>
        </w:rPr>
        <w:t>吹干机2台、高压清洗机1台、大功率晶面翻新机1台、抛光机1台及电脑、对讲机若干。</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w:t>
      </w:r>
      <w:r>
        <w:rPr>
          <w:rFonts w:hint="eastAsia"/>
          <w:sz w:val="24"/>
        </w:rPr>
        <w:t>▲</w:t>
      </w:r>
      <w:r>
        <w:rPr>
          <w:rFonts w:hint="eastAsia" w:ascii="宋体" w:hAnsi="宋体"/>
          <w:sz w:val="24"/>
          <w:lang w:val="zh-CN"/>
        </w:rPr>
        <w:t>中标人在中标后须对医院大楼内全部花岗岩地面做一次晶面抛光处理及保养维护，面积约一万平米。</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4、中标人在服务期内须对医院大楼外面玻璃幕墙做一次清洗，具体时间由采购人决定。</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4、采用信息化手段开展相关工作。</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5、提供使用的保洁、洗涤剂、地面保养产品，必须是通过国家相关部门审批并予以使用的优质环保产品。</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6、所用消毒剂必须是通过国家卫生部审批准予使用的，并符合医院院感科的要求。</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7、工作过程中因供应商责任所造成的经济损失由供应商按实际金额赔偿。</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8、采购人有权利对供应商的工作进行定期或不定期实施考核，具体考核方案由甲方制定。</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9、合同终止条款：如出现以下情况之一，本合同将无条件终止，乙方应赔偿甲方因合同终止带来的各种损失：</w:t>
      </w:r>
    </w:p>
    <w:p>
      <w:pPr>
        <w:pStyle w:val="10"/>
        <w:spacing w:line="360" w:lineRule="auto"/>
        <w:ind w:firstLine="480" w:firstLineChars="200"/>
        <w:jc w:val="both"/>
        <w:rPr>
          <w:rFonts w:ascii="宋体" w:hAnsi="宋体"/>
          <w:sz w:val="24"/>
          <w:lang w:val="zh-CN"/>
        </w:rPr>
      </w:pPr>
      <w:r>
        <w:rPr>
          <w:rFonts w:hint="eastAsia" w:ascii="宋体" w:hAnsi="宋体"/>
          <w:sz w:val="24"/>
          <w:lang w:val="zh-CN"/>
        </w:rPr>
        <w:t>员工季度流失率≥20%。</w:t>
      </w:r>
    </w:p>
    <w:p>
      <w:pPr>
        <w:pStyle w:val="10"/>
        <w:spacing w:line="360" w:lineRule="auto"/>
        <w:ind w:firstLine="480" w:firstLineChars="200"/>
        <w:jc w:val="both"/>
        <w:rPr>
          <w:rFonts w:ascii="宋体" w:hAnsi="宋体"/>
          <w:sz w:val="24"/>
          <w:lang w:val="zh-CN"/>
        </w:rPr>
      </w:pPr>
      <w:r>
        <w:rPr>
          <w:rFonts w:hint="eastAsia" w:ascii="宋体" w:hAnsi="宋体"/>
          <w:sz w:val="24"/>
          <w:lang w:val="zh-CN"/>
        </w:rPr>
        <w:t>员工最低工资低于国家标准。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乙方不愿意承担员工的工资津贴、奖金和与其工作相关的、国家或地方法规所征收的其他税收、费用、社会福利和加班费。</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10、中标人每年应将保洁人员、运送人员档案及所有管理及培训资料交一份给医院后勤管理部门，每月将保洁人员，运送人员的考勤考核资料交一份给医院后勤管理部门。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11、每月定期召开甲乙双方的联席会议，乙方向甲方汇报每月工作总结、投诉处理等工作情况，及时联系沟通日常工作情况、研究协调有关问题、讨论和提出保洁、运送、电梯、医辅等工作的意见建议。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12、中标人有责任配合医院接受上级领导部门的监督、检查，提供必须的资料。每个月双方对服务的各项条款进行综合满意度的调查和现场督查。</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13、合同履行完毕时，中标人应将包含保洁、运送服务的全部资料移交给医院。</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14、中标人应保证在承包期内其员工最低月工资不低于台州市最低工资标准。在合同期内，若台州市最低保障工资上调，则人员费用调高部分由中标人自行承担,医院不再另行支付任何费用。</w:t>
      </w:r>
    </w:p>
    <w:p>
      <w:pPr>
        <w:numPr>
          <w:ilvl w:val="0"/>
          <w:numId w:val="7"/>
        </w:numPr>
        <w:spacing w:line="360" w:lineRule="auto"/>
        <w:rPr>
          <w:rFonts w:ascii="宋体" w:hAnsi="宋体"/>
          <w:b/>
          <w:sz w:val="24"/>
          <w:lang w:val="zh-CN"/>
        </w:rPr>
      </w:pPr>
      <w:r>
        <w:rPr>
          <w:rFonts w:hint="eastAsia"/>
          <w:sz w:val="24"/>
        </w:rPr>
        <w:t>▲</w:t>
      </w:r>
      <w:r>
        <w:rPr>
          <w:rFonts w:hint="eastAsia" w:ascii="宋体" w:hAnsi="宋体"/>
          <w:b/>
          <w:sz w:val="24"/>
          <w:lang w:val="zh-CN"/>
        </w:rPr>
        <w:t>供应商需承担的配套费用：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1、保洁设备、器具、耗材；保洁工作所需全部设备和工器具及其清洁剂、洗涤剂、消毒剂、垃圾袋、地板蜡、抹布等耗材。</w:t>
      </w:r>
    </w:p>
    <w:p>
      <w:pPr>
        <w:pStyle w:val="10"/>
        <w:spacing w:line="360" w:lineRule="auto"/>
        <w:ind w:firstLine="480" w:firstLineChars="200"/>
        <w:jc w:val="both"/>
        <w:rPr>
          <w:rFonts w:ascii="宋体" w:hAnsi="宋体"/>
          <w:sz w:val="24"/>
          <w:lang w:val="zh-CN"/>
        </w:rPr>
      </w:pPr>
      <w:r>
        <w:rPr>
          <w:rFonts w:hint="eastAsia" w:ascii="宋体" w:hAnsi="宋体"/>
          <w:sz w:val="24"/>
          <w:lang w:val="zh-CN"/>
        </w:rPr>
        <w:t xml:space="preserve">    2、自备办公电脑、考勤设备和打印机等办公设备、设施和耗材；自行负责桌椅等办公家私和员工更衣柜等；自备工作装备（包括对讲机以及对讲机公共频道占用费及维修费用等）。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3、保洁管理人员、保洁人员统一配置工制服、并定期清洗、消毒，保持洁净。</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4、保洁人员的住宿、交通、通讯费用等。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5、中标人自行负责其员工的一切工资、福利；如发生工伤、疾病乃至死亡的一切责任及费用。</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6、如因中标人原因造成第三方损失的，一切责任及费用由中标人全部负责。</w:t>
      </w:r>
    </w:p>
    <w:p>
      <w:pPr>
        <w:pStyle w:val="10"/>
        <w:spacing w:line="360" w:lineRule="auto"/>
        <w:ind w:firstLine="482" w:firstLineChars="200"/>
        <w:jc w:val="both"/>
        <w:rPr>
          <w:rFonts w:ascii="宋体" w:hAnsi="宋体"/>
          <w:b/>
          <w:bCs/>
          <w:sz w:val="24"/>
          <w:u w:val="single"/>
          <w:lang w:val="zh-CN"/>
        </w:rPr>
      </w:pPr>
      <w:r>
        <w:rPr>
          <w:rFonts w:hint="eastAsia" w:ascii="宋体" w:hAnsi="宋体"/>
          <w:b/>
          <w:bCs/>
          <w:sz w:val="24"/>
          <w:u w:val="single"/>
          <w:lang w:val="zh-CN"/>
        </w:rPr>
        <w:t>7、全部服务人员劳动合同的执行严格按照《中华人民共和国劳动法》的规定。服务人员应严格按国家有关法律、法规的标准、基数和比例缴纳养老保险、医疗保险、失业保险、工伤、生育险和住房公积金等。</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8、员工培训教育费用。</w:t>
      </w:r>
    </w:p>
    <w:p>
      <w:pPr>
        <w:pStyle w:val="10"/>
        <w:spacing w:line="360" w:lineRule="auto"/>
        <w:ind w:firstLine="482" w:firstLineChars="200"/>
        <w:jc w:val="both"/>
        <w:rPr>
          <w:rFonts w:ascii="宋体" w:hAnsi="宋体"/>
          <w:sz w:val="24"/>
          <w:lang w:val="zh-CN"/>
        </w:rPr>
      </w:pPr>
      <w:r>
        <w:rPr>
          <w:rFonts w:hint="eastAsia" w:ascii="宋体" w:hAnsi="宋体"/>
          <w:b/>
          <w:bCs/>
          <w:sz w:val="24"/>
          <w:u w:val="single"/>
          <w:lang w:val="zh-CN"/>
        </w:rPr>
        <w:t>9、采购人不接受中标人任何因遗漏报价而发生的费用追加，因中标人违反《劳动法》等法律法规而造成院方的连带责任和损失全部由中标人承担。</w:t>
      </w:r>
    </w:p>
    <w:bookmarkEnd w:id="40"/>
    <w:bookmarkEnd w:id="41"/>
    <w:p>
      <w:pPr>
        <w:spacing w:line="360" w:lineRule="auto"/>
        <w:rPr>
          <w:rFonts w:ascii="宋体" w:hAnsi="宋体"/>
          <w:b/>
          <w:sz w:val="24"/>
          <w:lang w:val="zh-CN"/>
        </w:rPr>
      </w:pPr>
      <w:r>
        <w:rPr>
          <w:rFonts w:hint="eastAsia" w:ascii="宋体" w:hAnsi="宋体"/>
          <w:b/>
          <w:sz w:val="24"/>
          <w:lang w:val="zh-CN"/>
        </w:rPr>
        <w:t>（</w:t>
      </w:r>
      <w:r>
        <w:rPr>
          <w:rFonts w:hint="eastAsia" w:ascii="宋体" w:hAnsi="宋体"/>
          <w:b/>
          <w:sz w:val="24"/>
        </w:rPr>
        <w:t>十</w:t>
      </w:r>
      <w:r>
        <w:rPr>
          <w:rFonts w:hint="eastAsia" w:ascii="宋体" w:hAnsi="宋体"/>
          <w:b/>
          <w:sz w:val="24"/>
          <w:lang w:val="zh-CN"/>
        </w:rPr>
        <w:t>）服务考核</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1、采购人定期或不定期对服务质量进行考评，考核采用扣分制，满分100分。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（1）人员年龄、资质等不符合要求的，每发现一起扣 1 分，供应商在7日内未调换人员的，视为违约行为，按违约处置。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（2）服务人员到岗率未达到采购人要求的，每发现一起扣 1 分，供应商未及时安排增加人员的，视为违约行为，按违约处置。</w:t>
      </w:r>
    </w:p>
    <w:p>
      <w:pPr>
        <w:pStyle w:val="10"/>
        <w:spacing w:line="360" w:lineRule="auto"/>
        <w:ind w:firstLine="480" w:firstLineChars="200"/>
        <w:jc w:val="both"/>
        <w:rPr>
          <w:rFonts w:ascii="宋体" w:hAnsi="宋体"/>
          <w:sz w:val="24"/>
          <w:lang w:val="zh-CN"/>
        </w:rPr>
      </w:pPr>
      <w:r>
        <w:rPr>
          <w:rFonts w:hint="eastAsia" w:ascii="宋体" w:hAnsi="宋体"/>
          <w:sz w:val="24"/>
          <w:lang w:val="zh-CN"/>
        </w:rPr>
        <w:t>（3）环境卫生达不到采购人要求，清洁卫生、消毒工作不规范、垃圾没有随时更换处理的，每发现一起扣 0.5 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（4）服务人员不履行好职责、非因公事而缺岗、擅离岗位，发现一次扣0.5分。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（5）未严格执行医院医疗废弃物管理的有关制度及消毒隔离措施，造成二次污染的，发现一次扣2分；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（6）未及时做好各类登记台帐工作，台账资料混乱不实的，发现一次扣2分。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（7）经提醒、催办未及时整改、办理的，发现一次扣1分。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（8）运送服务未实行专人接收签收制度，有顺带运送现象，造成漏送、差错或遗失的，发现一次扣3分。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（9）与病人发生争吵或被病人投诉经采购人查实有过错的，一次扣3分。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（10）服务人员未着装上岗或未佩戴胸牌的，发现一次扣0.2分。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（11）未按要求使用优质环保的保洁、洗涤剂、地面保养产品或未按要求使用符合医院院感科要求的消毒剂，每发现一次扣2分。</w:t>
      </w:r>
    </w:p>
    <w:p>
      <w:pPr>
        <w:pStyle w:val="10"/>
        <w:spacing w:line="360" w:lineRule="auto"/>
        <w:ind w:firstLine="480" w:firstLineChars="200"/>
        <w:jc w:val="both"/>
        <w:rPr>
          <w:rFonts w:ascii="宋体" w:hAnsi="宋体"/>
          <w:sz w:val="24"/>
          <w:lang w:val="zh-CN"/>
        </w:rPr>
      </w:pPr>
      <w:r>
        <w:rPr>
          <w:rFonts w:hint="eastAsia" w:ascii="宋体" w:hAnsi="宋体"/>
          <w:sz w:val="24"/>
          <w:lang w:val="zh-CN"/>
        </w:rPr>
        <w:t>2、年度满意率计算：</w:t>
      </w:r>
    </w:p>
    <w:p>
      <w:pPr>
        <w:pStyle w:val="10"/>
        <w:spacing w:line="360" w:lineRule="auto"/>
        <w:ind w:firstLine="480" w:firstLineChars="200"/>
        <w:jc w:val="both"/>
        <w:rPr>
          <w:rFonts w:ascii="宋体" w:hAnsi="宋体"/>
          <w:sz w:val="24"/>
          <w:lang w:val="zh-CN"/>
        </w:rPr>
      </w:pPr>
      <w:r>
        <w:rPr>
          <w:rFonts w:hint="eastAsia" w:ascii="宋体" w:hAnsi="宋体"/>
          <w:sz w:val="24"/>
          <w:lang w:val="zh-CN"/>
        </w:rPr>
        <w:t>1）续签满意度要求：甲方考核满意度达到85%（含）以上，即合同期内年累计扣分15分（含）以下，则双方续签下一年承包合同。</w:t>
      </w:r>
    </w:p>
    <w:p>
      <w:pPr>
        <w:pStyle w:val="10"/>
        <w:spacing w:line="360" w:lineRule="auto"/>
        <w:jc w:val="both"/>
        <w:rPr>
          <w:rFonts w:ascii="宋体" w:hAnsi="宋体"/>
          <w:sz w:val="24"/>
          <w:lang w:val="zh-CN"/>
        </w:rPr>
      </w:pPr>
    </w:p>
    <w:p>
      <w:pPr>
        <w:pStyle w:val="10"/>
        <w:spacing w:line="360" w:lineRule="auto"/>
        <w:ind w:firstLine="480" w:firstLineChars="200"/>
        <w:jc w:val="both"/>
        <w:rPr>
          <w:rFonts w:ascii="宋体" w:hAnsi="宋体"/>
          <w:sz w:val="24"/>
          <w:lang w:val="zh-CN"/>
        </w:rPr>
      </w:pPr>
      <w:r>
        <w:rPr>
          <w:rFonts w:hint="eastAsia" w:ascii="宋体" w:hAnsi="宋体"/>
          <w:sz w:val="24"/>
          <w:lang w:val="zh-CN"/>
        </w:rPr>
        <w:t>说明：其中打</w:t>
      </w:r>
      <w:r>
        <w:rPr>
          <w:rFonts w:hint="eastAsia"/>
          <w:sz w:val="24"/>
        </w:rPr>
        <w:t>▲</w:t>
      </w:r>
      <w:r>
        <w:rPr>
          <w:rFonts w:hint="eastAsia" w:ascii="宋体" w:hAnsi="宋体"/>
          <w:sz w:val="24"/>
          <w:lang w:val="zh-CN"/>
        </w:rPr>
        <w:t>号内容为实质性要求，若有带“</w:t>
      </w:r>
      <w:r>
        <w:rPr>
          <w:rFonts w:hint="eastAsia"/>
          <w:sz w:val="24"/>
        </w:rPr>
        <w:t>▲</w:t>
      </w:r>
      <w:r>
        <w:rPr>
          <w:rFonts w:hint="eastAsia" w:ascii="宋体" w:hAnsi="宋体"/>
          <w:sz w:val="24"/>
          <w:lang w:val="zh-CN"/>
        </w:rPr>
        <w:t>”的要求不响应或不满足，则视为重大偏离,将按无效标处理。</w:t>
      </w:r>
    </w:p>
    <w:p>
      <w:pPr>
        <w:pStyle w:val="7"/>
        <w:ind w:left="0" w:firstLine="482" w:firstLineChars="200"/>
      </w:pPr>
    </w:p>
    <w:p>
      <w:pPr>
        <w:pStyle w:val="7"/>
        <w:ind w:left="0" w:firstLine="482" w:firstLineChars="200"/>
        <w:rPr>
          <w:color w:val="44546A" w:themeColor="text2"/>
        </w:rPr>
      </w:pPr>
      <w:r>
        <w:rPr>
          <w:rFonts w:hint="eastAsia"/>
          <w:color w:val="44546A" w:themeColor="text2"/>
        </w:rPr>
        <w:t>三、商务需求</w:t>
      </w:r>
    </w:p>
    <w:p>
      <w:pPr>
        <w:rPr>
          <w:color w:val="44546A" w:themeColor="text2"/>
        </w:rPr>
      </w:pPr>
    </w:p>
    <w:p>
      <w:pPr>
        <w:pStyle w:val="13"/>
        <w:snapToGrid w:val="0"/>
        <w:spacing w:line="360" w:lineRule="auto"/>
        <w:ind w:firstLine="482" w:firstLineChars="200"/>
        <w:outlineLvl w:val="0"/>
        <w:rPr>
          <w:rFonts w:asciiTheme="minorEastAsia" w:hAnsiTheme="minorEastAsia" w:eastAsiaTheme="minorEastAsia"/>
          <w:color w:val="44546A" w:themeColor="text2"/>
          <w:kern w:val="0"/>
          <w:sz w:val="24"/>
        </w:rPr>
      </w:pPr>
      <w:bookmarkStart w:id="42" w:name="_Toc10989"/>
      <w:bookmarkStart w:id="43" w:name="_Toc31173_WPSOffice_Level1"/>
      <w:r>
        <w:rPr>
          <w:rFonts w:hint="eastAsia" w:asciiTheme="minorEastAsia" w:hAnsiTheme="minorEastAsia" w:eastAsiaTheme="minorEastAsia"/>
          <w:b/>
          <w:color w:val="44546A" w:themeColor="text2"/>
          <w:sz w:val="24"/>
        </w:rPr>
        <w:t>（一）</w:t>
      </w:r>
      <w:r>
        <w:rPr>
          <w:rFonts w:hint="eastAsia"/>
          <w:color w:val="44546A" w:themeColor="text2"/>
          <w:sz w:val="24"/>
        </w:rPr>
        <w:t>▲</w:t>
      </w:r>
      <w:r>
        <w:rPr>
          <w:rFonts w:hint="eastAsia" w:asciiTheme="minorEastAsia" w:hAnsiTheme="minorEastAsia" w:eastAsiaTheme="minorEastAsia"/>
          <w:b/>
          <w:color w:val="44546A" w:themeColor="text2"/>
          <w:sz w:val="24"/>
        </w:rPr>
        <w:t>服务期：</w:t>
      </w:r>
      <w:r>
        <w:rPr>
          <w:rFonts w:hint="eastAsia" w:asciiTheme="minorEastAsia" w:hAnsiTheme="minorEastAsia" w:eastAsiaTheme="minorEastAsia"/>
          <w:bCs/>
          <w:color w:val="44546A" w:themeColor="text2"/>
          <w:sz w:val="24"/>
        </w:rPr>
        <w:t>3年</w:t>
      </w:r>
      <w:bookmarkEnd w:id="42"/>
      <w:r>
        <w:rPr>
          <w:rFonts w:hint="eastAsia" w:asciiTheme="minorEastAsia" w:hAnsiTheme="minorEastAsia" w:eastAsiaTheme="minorEastAsia"/>
          <w:bCs/>
          <w:color w:val="44546A" w:themeColor="text2"/>
          <w:sz w:val="24"/>
        </w:rPr>
        <w:t>，</w:t>
      </w:r>
      <w:r>
        <w:rPr>
          <w:rFonts w:hint="eastAsia" w:hAnsi="宋体" w:cs="Times New Roman"/>
          <w:color w:val="44546A" w:themeColor="text2"/>
          <w:sz w:val="24"/>
          <w:lang w:val="zh-CN"/>
        </w:rPr>
        <w:t>合同一年一签。第一年的合同价按中标承诺报价的年平均服务费的97%计算，第二年合同价按中标承诺报价的年平均服务费计算，第三年合同价按中标承诺报价的年平均服务费的103%计算。</w:t>
      </w:r>
    </w:p>
    <w:p>
      <w:pPr>
        <w:pStyle w:val="13"/>
        <w:snapToGrid w:val="0"/>
        <w:spacing w:line="360" w:lineRule="auto"/>
        <w:ind w:firstLine="482" w:firstLineChars="200"/>
        <w:rPr>
          <w:rFonts w:asciiTheme="minorEastAsia" w:hAnsiTheme="minorEastAsia" w:eastAsiaTheme="minorEastAsia"/>
          <w:color w:val="44546A" w:themeColor="text2"/>
          <w:kern w:val="0"/>
          <w:sz w:val="24"/>
        </w:rPr>
      </w:pPr>
      <w:bookmarkStart w:id="44" w:name="_Toc30973"/>
      <w:r>
        <w:rPr>
          <w:rFonts w:hint="eastAsia" w:asciiTheme="minorEastAsia" w:hAnsiTheme="minorEastAsia" w:eastAsiaTheme="minorEastAsia"/>
          <w:b/>
          <w:color w:val="44546A" w:themeColor="text2"/>
          <w:kern w:val="0"/>
          <w:sz w:val="24"/>
        </w:rPr>
        <w:t>（</w:t>
      </w:r>
      <w:r>
        <w:rPr>
          <w:rFonts w:hint="eastAsia" w:asciiTheme="minorEastAsia" w:hAnsiTheme="minorEastAsia" w:eastAsiaTheme="minorEastAsia"/>
          <w:b/>
          <w:color w:val="44546A" w:themeColor="text2"/>
          <w:kern w:val="0"/>
          <w:sz w:val="24"/>
          <w:lang w:val="en-US" w:eastAsia="zh-CN"/>
        </w:rPr>
        <w:t>二</w:t>
      </w:r>
      <w:r>
        <w:rPr>
          <w:rFonts w:hint="eastAsia" w:asciiTheme="minorEastAsia" w:hAnsiTheme="minorEastAsia" w:eastAsiaTheme="minorEastAsia"/>
          <w:b/>
          <w:color w:val="44546A" w:themeColor="text2"/>
          <w:kern w:val="0"/>
          <w:sz w:val="24"/>
        </w:rPr>
        <w:t>）</w:t>
      </w:r>
      <w:r>
        <w:rPr>
          <w:rFonts w:hint="eastAsia"/>
          <w:color w:val="44546A" w:themeColor="text2"/>
          <w:sz w:val="24"/>
        </w:rPr>
        <w:t>▲</w:t>
      </w:r>
      <w:r>
        <w:rPr>
          <w:rFonts w:hint="eastAsia" w:asciiTheme="minorEastAsia" w:hAnsiTheme="minorEastAsia" w:eastAsiaTheme="minorEastAsia"/>
          <w:b/>
          <w:color w:val="44546A" w:themeColor="text2"/>
          <w:sz w:val="24"/>
        </w:rPr>
        <w:t>付款条件：</w:t>
      </w:r>
      <w:bookmarkEnd w:id="44"/>
      <w:r>
        <w:rPr>
          <w:rFonts w:hint="eastAsia" w:hAnsi="宋体" w:cs="Times New Roman"/>
          <w:color w:val="44546A" w:themeColor="text2"/>
          <w:sz w:val="24"/>
          <w:lang w:val="zh-CN"/>
        </w:rPr>
        <w:t>按月支付，次月上旬乙方向甲方办理结算手续</w:t>
      </w:r>
    </w:p>
    <w:p>
      <w:pPr>
        <w:snapToGrid w:val="0"/>
        <w:spacing w:line="360" w:lineRule="auto"/>
        <w:ind w:firstLine="482" w:firstLineChars="200"/>
        <w:rPr>
          <w:rFonts w:asciiTheme="minorEastAsia" w:hAnsiTheme="minorEastAsia" w:eastAsiaTheme="minorEastAsia"/>
          <w:b/>
          <w:color w:val="44546A" w:themeColor="text2"/>
          <w:sz w:val="24"/>
        </w:rPr>
      </w:pPr>
      <w:r>
        <w:rPr>
          <w:rFonts w:hint="eastAsia" w:asciiTheme="minorEastAsia" w:hAnsiTheme="minorEastAsia" w:eastAsiaTheme="minorEastAsia"/>
          <w:b/>
          <w:color w:val="44546A" w:themeColor="text2"/>
          <w:sz w:val="24"/>
        </w:rPr>
        <w:t>（</w:t>
      </w:r>
      <w:r>
        <w:rPr>
          <w:rFonts w:hint="eastAsia" w:asciiTheme="minorEastAsia" w:hAnsiTheme="minorEastAsia" w:eastAsiaTheme="minorEastAsia"/>
          <w:b/>
          <w:color w:val="44546A" w:themeColor="text2"/>
          <w:sz w:val="24"/>
          <w:lang w:val="en-US" w:eastAsia="zh-CN"/>
        </w:rPr>
        <w:t>三</w:t>
      </w:r>
      <w:r>
        <w:rPr>
          <w:rFonts w:hint="eastAsia" w:asciiTheme="minorEastAsia" w:hAnsiTheme="minorEastAsia" w:eastAsiaTheme="minorEastAsia"/>
          <w:b/>
          <w:color w:val="44546A" w:themeColor="text2"/>
          <w:sz w:val="24"/>
        </w:rPr>
        <w:t>）履约保证金：</w:t>
      </w:r>
    </w:p>
    <w:p>
      <w:pPr>
        <w:pStyle w:val="19"/>
        <w:tabs>
          <w:tab w:val="left" w:pos="6930"/>
        </w:tabs>
        <w:spacing w:before="0" w:beforeAutospacing="0" w:after="0" w:afterAutospacing="0" w:line="360" w:lineRule="exact"/>
        <w:ind w:firstLine="480" w:firstLineChars="200"/>
        <w:rPr>
          <w:rFonts w:hint="default" w:asciiTheme="minorEastAsia" w:hAnsiTheme="minorEastAsia" w:eastAsiaTheme="minorEastAsia"/>
          <w:color w:val="44546A" w:themeColor="text2"/>
          <w:kern w:val="2"/>
        </w:rPr>
      </w:pPr>
      <w:r>
        <w:rPr>
          <w:rFonts w:cs="宋体" w:asciiTheme="minorEastAsia" w:hAnsiTheme="minorEastAsia" w:eastAsiaTheme="minorEastAsia"/>
          <w:bCs/>
          <w:color w:val="44546A" w:themeColor="text2"/>
        </w:rPr>
        <w:t>1）</w:t>
      </w:r>
      <w:r>
        <w:rPr>
          <w:rFonts w:asciiTheme="minorEastAsia" w:hAnsiTheme="minorEastAsia" w:eastAsiaTheme="minorEastAsia"/>
          <w:color w:val="44546A" w:themeColor="text2"/>
          <w:kern w:val="2"/>
          <w:lang w:val="zh-CN"/>
        </w:rPr>
        <w:t>金额：</w:t>
      </w:r>
      <w:r>
        <w:rPr>
          <w:rFonts w:hint="eastAsia" w:asciiTheme="minorEastAsia" w:hAnsiTheme="minorEastAsia" w:eastAsiaTheme="minorEastAsia"/>
          <w:color w:val="44546A" w:themeColor="text2"/>
          <w:kern w:val="2"/>
          <w:lang w:val="en-US" w:eastAsia="zh-CN"/>
        </w:rPr>
        <w:t>合同</w:t>
      </w:r>
      <w:r>
        <w:rPr>
          <w:rFonts w:asciiTheme="minorEastAsia" w:hAnsiTheme="minorEastAsia" w:eastAsiaTheme="minorEastAsia"/>
          <w:color w:val="44546A" w:themeColor="text2"/>
          <w:kern w:val="2"/>
          <w:lang w:val="zh-CN"/>
        </w:rPr>
        <w:t>价</w:t>
      </w:r>
      <w:r>
        <w:rPr>
          <w:rFonts w:asciiTheme="minorEastAsia" w:hAnsiTheme="minorEastAsia" w:eastAsiaTheme="minorEastAsia"/>
          <w:color w:val="44546A" w:themeColor="text2"/>
          <w:kern w:val="2"/>
        </w:rPr>
        <w:t>1%</w:t>
      </w:r>
    </w:p>
    <w:p>
      <w:pPr>
        <w:pStyle w:val="19"/>
        <w:tabs>
          <w:tab w:val="left" w:pos="6930"/>
        </w:tabs>
        <w:spacing w:before="0" w:beforeAutospacing="0" w:after="0" w:afterAutospacing="0" w:line="360" w:lineRule="exact"/>
        <w:ind w:firstLine="480" w:firstLineChars="200"/>
        <w:rPr>
          <w:rFonts w:hint="default" w:asciiTheme="minorEastAsia" w:hAnsiTheme="minorEastAsia" w:eastAsiaTheme="minorEastAsia"/>
          <w:color w:val="44546A" w:themeColor="text2"/>
          <w:kern w:val="2"/>
          <w:lang w:val="zh-CN"/>
        </w:rPr>
      </w:pPr>
      <w:r>
        <w:rPr>
          <w:rFonts w:cs="宋体" w:asciiTheme="minorEastAsia" w:hAnsiTheme="minorEastAsia" w:eastAsiaTheme="minorEastAsia"/>
          <w:bCs/>
          <w:color w:val="44546A" w:themeColor="text2"/>
        </w:rPr>
        <w:t>2）</w:t>
      </w:r>
      <w:r>
        <w:rPr>
          <w:rFonts w:asciiTheme="minorEastAsia" w:hAnsiTheme="minorEastAsia" w:eastAsiaTheme="minorEastAsia"/>
          <w:color w:val="44546A" w:themeColor="text2"/>
          <w:kern w:val="2"/>
          <w:lang w:val="zh-CN"/>
        </w:rPr>
        <w:t>收取方式：网银、汇票、电汇、转账支付等非现金方式或银行、保险公司出具的保函形式；</w:t>
      </w:r>
    </w:p>
    <w:p>
      <w:pPr>
        <w:ind w:firstLine="480" w:firstLineChars="200"/>
        <w:rPr>
          <w:color w:val="44546A" w:themeColor="text2"/>
        </w:rPr>
      </w:pPr>
      <w:r>
        <w:rPr>
          <w:rFonts w:hint="eastAsia" w:cs="宋体" w:asciiTheme="minorEastAsia" w:hAnsiTheme="minorEastAsia" w:eastAsiaTheme="minorEastAsia"/>
          <w:bCs/>
          <w:color w:val="44546A" w:themeColor="text2"/>
          <w:sz w:val="24"/>
        </w:rPr>
        <w:t>3）</w:t>
      </w:r>
      <w:r>
        <w:rPr>
          <w:rFonts w:hint="eastAsia"/>
          <w:color w:val="44546A" w:themeColor="text2"/>
          <w:sz w:val="24"/>
        </w:rPr>
        <w:t>合同生效后3天内存入甲方指定账户，在合同项目履约完毕满一个月之日起5个工作日内无息退还。</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pStyle w:val="13"/>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43"/>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9"/>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9"/>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9"/>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（六）投标参数未如实填写；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9"/>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（九）</w:t>
      </w:r>
      <w:r>
        <w:rPr>
          <w:rFonts w:cs="宋体"/>
        </w:rPr>
        <w:t>实质性要求（招标文件中打“▲”内容）不响应的；</w:t>
      </w:r>
    </w:p>
    <w:p>
      <w:pPr>
        <w:pStyle w:val="9"/>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（十）商务</w:t>
      </w:r>
      <w:r>
        <w:rPr>
          <w:rFonts w:hint="eastAsia" w:ascii="宋体" w:hAnsi="宋体" w:cs="宋体"/>
          <w:sz w:val="24"/>
          <w:szCs w:val="24"/>
        </w:rPr>
        <w:t>条款不响应的；</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（十一）投标文件有效期不足的；</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（十二）逾期或未按要求提交投标文件的；</w:t>
      </w:r>
    </w:p>
    <w:p>
      <w:pPr>
        <w:pStyle w:val="9"/>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（十三）其他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9"/>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9"/>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pPr>
        <w:pStyle w:val="19"/>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3"/>
        <w:snapToGrid w:val="0"/>
        <w:spacing w:line="360" w:lineRule="auto"/>
        <w:ind w:firstLine="482" w:firstLineChars="200"/>
        <w:rPr>
          <w:b/>
          <w:bCs/>
          <w:dstrike/>
          <w:color w:val="FF0000"/>
          <w:sz w:val="24"/>
          <w:lang w:val="zh-CN"/>
        </w:rPr>
      </w:pPr>
      <w:r>
        <w:rPr>
          <w:rFonts w:hint="eastAsia" w:hAnsi="宋体" w:cs="宋体"/>
          <w:b/>
          <w:bCs/>
          <w:sz w:val="24"/>
        </w:rPr>
        <w:t>七、政府采购政策落实</w:t>
      </w:r>
    </w:p>
    <w:p>
      <w:pPr>
        <w:pStyle w:val="19"/>
        <w:spacing w:before="0" w:beforeAutospacing="0" w:after="0" w:afterAutospacing="0" w:line="360" w:lineRule="auto"/>
        <w:ind w:firstLine="480" w:firstLineChars="200"/>
        <w:jc w:val="both"/>
        <w:rPr>
          <w:rFonts w:hint="default" w:cs="宋体"/>
          <w:color w:val="000000" w:themeColor="text1"/>
        </w:rPr>
      </w:pPr>
      <w:r>
        <w:rPr>
          <w:rFonts w:cs="宋体"/>
          <w:color w:val="000000" w:themeColor="text1"/>
        </w:rPr>
        <w:t>1、关于中型、小型、微型企业（简称中小企业）投标：中小企业是指在中华人民共和国境内依法设立，依据国务院批准的中小企业划分标准确定的中型企业、小型企业和微型企业（但与大企业的负责人为同一人，或者与大企业存在直接控股、管理关系的除外）的投标人。符合下述情形，按中小微企业认定。</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w:t>
      </w:r>
      <w:r>
        <w:rPr>
          <w:rFonts w:hint="eastAsia" w:ascii="宋体"/>
          <w:sz w:val="24"/>
        </w:rPr>
        <w:t>格式内容自拟</w:t>
      </w:r>
      <w:r>
        <w:rPr>
          <w:rFonts w:hint="eastAsia" w:ascii="宋体"/>
          <w:sz w:val="24"/>
          <w:lang w:val="zh-CN"/>
        </w:rPr>
        <w:t>），视同小型、微型企业；</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w:t>
      </w:r>
      <w:r>
        <w:rPr>
          <w:rFonts w:hint="eastAsia" w:ascii="宋体"/>
          <w:color w:val="000000" w:themeColor="text1"/>
          <w:sz w:val="24"/>
          <w:lang w:val="zh-CN"/>
        </w:rPr>
        <w:t>《残疾人福利性单位声明函》</w:t>
      </w:r>
      <w:r>
        <w:rPr>
          <w:rFonts w:hint="eastAsia" w:ascii="宋体"/>
          <w:sz w:val="24"/>
          <w:lang w:val="zh-CN"/>
        </w:rPr>
        <w:t>（见附件</w:t>
      </w:r>
      <w:r>
        <w:rPr>
          <w:rFonts w:hint="eastAsia" w:ascii="宋体"/>
          <w:sz w:val="24"/>
        </w:rPr>
        <w:t>6</w:t>
      </w:r>
      <w:r>
        <w:rPr>
          <w:rFonts w:hint="eastAsia" w:ascii="宋体"/>
          <w:sz w:val="24"/>
          <w:lang w:val="zh-CN"/>
        </w:rPr>
        <w:t>），视同小型、微型企业；</w:t>
      </w:r>
    </w:p>
    <w:p>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0"/>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w:t>
      </w:r>
    </w:p>
    <w:tbl>
      <w:tblPr>
        <w:tblStyle w:val="21"/>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具有独立承担民事责任的能力</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在中华人民共和国境内注册的法人或其他组织或自然人，投标时提交有效的营业执照</w:t>
            </w:r>
            <w:r>
              <w:rPr>
                <w:rFonts w:hint="eastAsia"/>
                <w:color w:val="000000" w:themeColor="text1"/>
                <w:sz w:val="24"/>
              </w:rPr>
              <w:t>（或事业法人登记证或身份证等相关证明）扫描件。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ascii="宋体" w:cs="宋体"/>
                <w:sz w:val="24"/>
              </w:rPr>
              <w:t>承诺书</w:t>
            </w:r>
          </w:p>
        </w:tc>
        <w:tc>
          <w:tcPr>
            <w:tcW w:w="6954"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供应商书面承诺符合参与政府采购活动资格条件的，不需要再提供财务状况报告、依法缴纳税收和社会保障资金记录、无重大违法记录、信用记录、履行合同所必需的设备和专业技术能力等证明材料</w:t>
            </w:r>
            <w:r>
              <w:rPr>
                <w:rFonts w:hint="eastAsia" w:ascii="宋体" w:cs="宋体"/>
                <w:sz w:val="24"/>
              </w:rPr>
              <w:t>（</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参加采购活动前3年内，在经营活动中没有重大违法记录</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参照《投标声明书》相关承诺内容。重大违法记录，是指投标人因违法经营受到刑事处罚或者责令停产停业、吊销许可证或者执照、较大数额罚款等行政处罚。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35" w:type="dxa"/>
            <w:shd w:val="clear" w:color="auto" w:fill="auto"/>
            <w:tcMar>
              <w:top w:w="57" w:type="dxa"/>
              <w:left w:w="108" w:type="dxa"/>
              <w:bottom w:w="0" w:type="dxa"/>
              <w:right w:w="108" w:type="dxa"/>
            </w:tcMar>
            <w:vAlign w:val="center"/>
          </w:tcPr>
          <w:p>
            <w:pPr>
              <w:spacing w:line="300" w:lineRule="auto"/>
              <w:rPr>
                <w:sz w:val="24"/>
              </w:rPr>
            </w:pPr>
            <w:r>
              <w:rPr>
                <w:rFonts w:hint="eastAsia"/>
                <w:sz w:val="24"/>
              </w:rPr>
              <w:t>必须符合法律、行政法规规定的其他条件</w:t>
            </w:r>
          </w:p>
        </w:tc>
        <w:tc>
          <w:tcPr>
            <w:tcW w:w="6954" w:type="dxa"/>
            <w:shd w:val="clear" w:color="auto" w:fill="auto"/>
            <w:tcMar>
              <w:top w:w="57" w:type="dxa"/>
              <w:left w:w="108" w:type="dxa"/>
              <w:bottom w:w="0" w:type="dxa"/>
              <w:right w:w="108" w:type="dxa"/>
            </w:tcMar>
            <w:vAlign w:val="center"/>
          </w:tcPr>
          <w:p>
            <w:pPr>
              <w:spacing w:line="300" w:lineRule="auto"/>
              <w:ind w:firstLine="480" w:firstLineChars="200"/>
              <w:rPr>
                <w:sz w:val="24"/>
              </w:rPr>
            </w:pPr>
            <w:r>
              <w:rPr>
                <w:rFonts w:hint="eastAsia"/>
                <w:sz w:val="24"/>
              </w:rPr>
              <w:t>1.单位负责人为同一人或者存在直接控股、管理关系的不同供应商，不得同时参加本项目投标。</w:t>
            </w:r>
          </w:p>
          <w:p>
            <w:pPr>
              <w:spacing w:line="300" w:lineRule="auto"/>
              <w:ind w:firstLine="480" w:firstLineChars="200"/>
              <w:rPr>
                <w:sz w:val="24"/>
              </w:rPr>
            </w:pPr>
            <w:r>
              <w:rPr>
                <w:rFonts w:hint="eastAsia"/>
                <w:sz w:val="24"/>
              </w:rPr>
              <w:t>2.为本项目提供整体设计、规范编制或者项目管理、监理、检测等服务的供应商，不得再参与本项目投标。</w:t>
            </w:r>
          </w:p>
          <w:p>
            <w:pPr>
              <w:spacing w:line="300" w:lineRule="auto"/>
              <w:ind w:firstLine="480" w:firstLineChars="200"/>
              <w:rPr>
                <w:sz w:val="24"/>
              </w:rPr>
            </w:pPr>
            <w:r>
              <w:rPr>
                <w:rFonts w:hint="eastAsia"/>
                <w:sz w:val="24"/>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235" w:type="dxa"/>
            <w:shd w:val="clear" w:color="auto" w:fill="auto"/>
            <w:tcMar>
              <w:top w:w="57" w:type="dxa"/>
              <w:left w:w="108" w:type="dxa"/>
              <w:bottom w:w="0" w:type="dxa"/>
              <w:right w:w="108" w:type="dxa"/>
            </w:tcMar>
            <w:vAlign w:val="center"/>
          </w:tcPr>
          <w:p>
            <w:pPr>
              <w:widowControl/>
              <w:snapToGrid w:val="0"/>
              <w:spacing w:line="340" w:lineRule="exact"/>
              <w:rPr>
                <w:rFonts w:ascii="宋体" w:hAnsi="宋体" w:cs="宋体"/>
                <w:b/>
                <w:sz w:val="24"/>
              </w:rPr>
            </w:pPr>
            <w:r>
              <w:rPr>
                <w:rFonts w:hint="eastAsia" w:ascii="宋体" w:hAnsi="宋体" w:cs="宋体"/>
                <w:color w:val="000000" w:themeColor="text1"/>
                <w:kern w:val="0"/>
                <w:sz w:val="24"/>
              </w:rPr>
              <w:t>投标人的《中小企业声明函》</w:t>
            </w:r>
          </w:p>
        </w:tc>
        <w:tc>
          <w:tcPr>
            <w:tcW w:w="6954" w:type="dxa"/>
            <w:shd w:val="clear" w:color="auto" w:fill="auto"/>
            <w:tcMar>
              <w:top w:w="57" w:type="dxa"/>
              <w:left w:w="108" w:type="dxa"/>
              <w:bottom w:w="0" w:type="dxa"/>
              <w:right w:w="108" w:type="dxa"/>
            </w:tcMar>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w:t>
            </w:r>
            <w:r>
              <w:rPr>
                <w:rFonts w:hint="eastAsia" w:ascii="宋体" w:cs="宋体"/>
                <w:kern w:val="0"/>
                <w:sz w:val="24"/>
                <w:lang w:eastAsia="zh-CN"/>
              </w:rPr>
              <w:t>》</w:t>
            </w:r>
            <w:r>
              <w:rPr>
                <w:rFonts w:hint="eastAsia" w:ascii="宋体" w:cs="宋体"/>
                <w:kern w:val="0"/>
                <w:sz w:val="24"/>
              </w:rPr>
              <w:t>(格式见附件4)等相关证明材料。</w:t>
            </w:r>
          </w:p>
          <w:p>
            <w:pPr>
              <w:autoSpaceDE w:val="0"/>
              <w:autoSpaceDN w:val="0"/>
              <w:adjustRightInd w:val="0"/>
              <w:jc w:val="left"/>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r>
              <w:rPr>
                <w:rFonts w:hint="eastAsia" w:ascii="宋体" w:cs="宋体"/>
                <w:color w:val="000000" w:themeColor="text1"/>
                <w:kern w:val="0"/>
                <w:sz w:val="24"/>
              </w:rPr>
              <w:t>。</w:t>
            </w:r>
          </w:p>
        </w:tc>
      </w:tr>
    </w:tbl>
    <w:p>
      <w:pPr>
        <w:pStyle w:val="10"/>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p>
    <w:tbl>
      <w:tblPr>
        <w:tblStyle w:val="21"/>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5"/>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0"/>
              <w:spacing w:line="300" w:lineRule="auto"/>
              <w:ind w:right="146"/>
              <w:jc w:val="center"/>
              <w:rPr>
                <w:color w:val="000000" w:themeColor="text1"/>
                <w:sz w:val="24"/>
              </w:rPr>
            </w:pPr>
            <w:r>
              <w:rPr>
                <w:rFonts w:hint="eastAsia"/>
                <w:color w:val="000000" w:themeColor="text1"/>
                <w:sz w:val="24"/>
              </w:rPr>
              <w:t>法定代表人/负责人授权委托书</w:t>
            </w:r>
          </w:p>
        </w:tc>
        <w:tc>
          <w:tcPr>
            <w:tcW w:w="6943" w:type="dxa"/>
            <w:shd w:val="clear" w:color="auto" w:fill="auto"/>
            <w:tcMar>
              <w:top w:w="57" w:type="dxa"/>
              <w:left w:w="108" w:type="dxa"/>
              <w:bottom w:w="0" w:type="dxa"/>
              <w:right w:w="108" w:type="dxa"/>
            </w:tcMar>
            <w:vAlign w:val="center"/>
          </w:tcPr>
          <w:p>
            <w:pPr>
              <w:pStyle w:val="10"/>
              <w:spacing w:line="300" w:lineRule="auto"/>
              <w:ind w:left="15" w:leftChars="7" w:right="-17" w:rightChars="-8" w:firstLine="460" w:firstLineChars="192"/>
              <w:jc w:val="center"/>
              <w:rPr>
                <w:rFonts w:ascii="宋体" w:hAnsi="宋体" w:cs="宋体"/>
                <w:color w:val="000000" w:themeColor="text1"/>
                <w:sz w:val="24"/>
              </w:rPr>
            </w:pPr>
            <w:r>
              <w:rPr>
                <w:rFonts w:hint="eastAsia" w:ascii="宋体" w:hAnsi="宋体" w:cs="宋体"/>
                <w:color w:val="000000" w:themeColor="text1"/>
                <w:sz w:val="24"/>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0"/>
              <w:spacing w:line="300" w:lineRule="auto"/>
              <w:ind w:right="146"/>
              <w:jc w:val="center"/>
              <w:rPr>
                <w:sz w:val="24"/>
              </w:rPr>
            </w:pPr>
            <w:r>
              <w:rPr>
                <w:rFonts w:hint="eastAsia"/>
                <w:sz w:val="24"/>
              </w:rPr>
              <w:t>“▲”实质性条款</w:t>
            </w:r>
          </w:p>
        </w:tc>
        <w:tc>
          <w:tcPr>
            <w:tcW w:w="6943" w:type="dxa"/>
            <w:shd w:val="clear" w:color="auto" w:fill="auto"/>
            <w:tcMar>
              <w:top w:w="57" w:type="dxa"/>
              <w:left w:w="108" w:type="dxa"/>
              <w:bottom w:w="0" w:type="dxa"/>
              <w:right w:w="108" w:type="dxa"/>
            </w:tcMar>
            <w:vAlign w:val="center"/>
          </w:tcPr>
          <w:p>
            <w:pPr>
              <w:pStyle w:val="50"/>
              <w:spacing w:before="48" w:line="300" w:lineRule="auto"/>
              <w:ind w:firstLine="480" w:firstLineChars="200"/>
              <w:rPr>
                <w:sz w:val="24"/>
              </w:rPr>
            </w:pPr>
            <w:r>
              <w:rPr>
                <w:rFonts w:hint="eastAsia"/>
                <w:sz w:val="24"/>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0"/>
              <w:spacing w:line="300" w:lineRule="auto"/>
              <w:ind w:right="146"/>
              <w:jc w:val="center"/>
              <w:rPr>
                <w:sz w:val="24"/>
              </w:rPr>
            </w:pPr>
            <w:r>
              <w:rPr>
                <w:rFonts w:hint="eastAsia"/>
                <w:sz w:val="24"/>
              </w:rPr>
              <w:t>串通投标</w:t>
            </w:r>
          </w:p>
        </w:tc>
        <w:tc>
          <w:tcPr>
            <w:tcW w:w="6943" w:type="dxa"/>
            <w:shd w:val="clear" w:color="auto" w:fill="auto"/>
            <w:tcMar>
              <w:top w:w="57" w:type="dxa"/>
              <w:left w:w="108" w:type="dxa"/>
              <w:bottom w:w="0" w:type="dxa"/>
              <w:right w:w="108" w:type="dxa"/>
            </w:tcMar>
            <w:vAlign w:val="center"/>
          </w:tcPr>
          <w:p>
            <w:pPr>
              <w:pStyle w:val="50"/>
              <w:spacing w:before="48" w:line="300" w:lineRule="auto"/>
              <w:ind w:firstLine="480" w:firstLineChars="200"/>
              <w:rPr>
                <w:sz w:val="24"/>
              </w:rPr>
            </w:pPr>
            <w:r>
              <w:rPr>
                <w:rFonts w:hint="eastAsia"/>
                <w:sz w:val="24"/>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235" w:type="dxa"/>
            <w:shd w:val="clear" w:color="auto" w:fill="auto"/>
            <w:tcMar>
              <w:top w:w="57" w:type="dxa"/>
              <w:left w:w="108" w:type="dxa"/>
              <w:bottom w:w="0" w:type="dxa"/>
              <w:right w:w="108" w:type="dxa"/>
            </w:tcMar>
            <w:vAlign w:val="center"/>
          </w:tcPr>
          <w:p>
            <w:pPr>
              <w:pStyle w:val="50"/>
              <w:spacing w:line="300" w:lineRule="auto"/>
              <w:ind w:right="146"/>
              <w:jc w:val="center"/>
              <w:rPr>
                <w:sz w:val="24"/>
              </w:rPr>
            </w:pPr>
            <w:r>
              <w:rPr>
                <w:rFonts w:hint="eastAsia"/>
                <w:sz w:val="24"/>
              </w:rPr>
              <w:t>附加条件</w:t>
            </w:r>
          </w:p>
        </w:tc>
        <w:tc>
          <w:tcPr>
            <w:tcW w:w="6943" w:type="dxa"/>
            <w:shd w:val="clear" w:color="auto" w:fill="auto"/>
            <w:tcMar>
              <w:top w:w="57" w:type="dxa"/>
              <w:left w:w="108" w:type="dxa"/>
              <w:bottom w:w="0" w:type="dxa"/>
              <w:right w:w="108" w:type="dxa"/>
            </w:tcMar>
            <w:vAlign w:val="center"/>
          </w:tcPr>
          <w:p>
            <w:pPr>
              <w:pStyle w:val="50"/>
              <w:spacing w:before="48" w:line="300" w:lineRule="auto"/>
              <w:ind w:firstLine="480" w:firstLineChars="200"/>
              <w:rPr>
                <w:sz w:val="24"/>
              </w:rPr>
            </w:pPr>
            <w:r>
              <w:rPr>
                <w:rFonts w:hint="eastAsia"/>
                <w:sz w:val="24"/>
              </w:rPr>
              <w:t>投标文件未含有采购人不可接受的附加条件。</w:t>
            </w:r>
          </w:p>
        </w:tc>
      </w:tr>
    </w:tbl>
    <w:p>
      <w:pPr>
        <w:pStyle w:val="10"/>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（三）商务技术及价格评审</w:t>
      </w:r>
    </w:p>
    <w:p>
      <w:pPr>
        <w:autoSpaceDE w:val="0"/>
        <w:autoSpaceDN w:val="0"/>
        <w:spacing w:line="360" w:lineRule="auto"/>
        <w:ind w:firstLine="480" w:firstLineChars="200"/>
        <w:rPr>
          <w:rFonts w:asciiTheme="minorEastAsia" w:hAnsiTheme="minorEastAsia" w:eastAsiaTheme="minorEastAsia"/>
          <w:kern w:val="0"/>
          <w:sz w:val="24"/>
        </w:rPr>
      </w:pPr>
      <w:r>
        <w:rPr>
          <w:rFonts w:hint="eastAsia" w:ascii="宋体" w:hAnsi="宋体" w:cs="宋体"/>
          <w:sz w:val="24"/>
        </w:rPr>
        <w:t>1.</w:t>
      </w:r>
      <w:r>
        <w:rPr>
          <w:rFonts w:hint="eastAsia" w:asciiTheme="minorEastAsia" w:hAnsiTheme="minorEastAsia" w:eastAsiaTheme="minorEastAsia"/>
          <w:kern w:val="0"/>
          <w:sz w:val="24"/>
        </w:rPr>
        <w:t>标项项目评标方法为综合评分法，总计100分，评标按以下标准及要求进行：</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170"/>
        <w:gridCol w:w="1529"/>
        <w:gridCol w:w="5598"/>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46" w:type="pct"/>
            <w:shd w:val="clear" w:color="auto" w:fill="BFBFBF"/>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序号</w:t>
            </w:r>
          </w:p>
        </w:tc>
        <w:tc>
          <w:tcPr>
            <w:tcW w:w="1453" w:type="pct"/>
            <w:gridSpan w:val="2"/>
            <w:shd w:val="clear" w:color="auto" w:fill="BFBFBF"/>
            <w:vAlign w:val="center"/>
          </w:tcPr>
          <w:p>
            <w:pPr>
              <w:spacing w:line="300" w:lineRule="auto"/>
              <w:jc w:val="center"/>
              <w:rPr>
                <w:rFonts w:ascii="Calibri" w:hAnsi="Calibri" w:cs="宋体"/>
                <w:b/>
                <w:bCs/>
                <w:color w:val="000000"/>
                <w:sz w:val="24"/>
              </w:rPr>
            </w:pPr>
            <w:r>
              <w:rPr>
                <w:rFonts w:hint="eastAsia" w:ascii="宋体" w:hAnsi="宋体" w:cs="宋体"/>
                <w:b/>
                <w:bCs/>
                <w:color w:val="000000"/>
                <w:sz w:val="24"/>
              </w:rPr>
              <w:t>评分项目</w:t>
            </w:r>
          </w:p>
        </w:tc>
        <w:tc>
          <w:tcPr>
            <w:tcW w:w="3013" w:type="pct"/>
            <w:shd w:val="clear" w:color="auto" w:fill="BFBFBF"/>
            <w:vAlign w:val="center"/>
          </w:tcPr>
          <w:p>
            <w:pPr>
              <w:spacing w:line="300" w:lineRule="auto"/>
              <w:jc w:val="center"/>
              <w:rPr>
                <w:b/>
                <w:bCs/>
                <w:color w:val="000000"/>
                <w:sz w:val="24"/>
              </w:rPr>
            </w:pPr>
            <w:r>
              <w:rPr>
                <w:rFonts w:hint="eastAsia" w:ascii="Calibri" w:hAnsi="Calibri" w:cs="宋体"/>
                <w:b/>
                <w:bCs/>
                <w:color w:val="000000"/>
                <w:sz w:val="24"/>
              </w:rPr>
              <w:t>评分细则</w:t>
            </w:r>
          </w:p>
        </w:tc>
        <w:tc>
          <w:tcPr>
            <w:tcW w:w="286" w:type="pct"/>
            <w:shd w:val="clear" w:color="auto" w:fill="BFBFBF"/>
            <w:vAlign w:val="center"/>
          </w:tcPr>
          <w:p>
            <w:pPr>
              <w:spacing w:line="300" w:lineRule="auto"/>
              <w:jc w:val="center"/>
              <w:rPr>
                <w:b/>
                <w:bCs/>
                <w:color w:val="000000"/>
                <w:sz w:val="24"/>
              </w:rPr>
            </w:pPr>
            <w:r>
              <w:rPr>
                <w:rFonts w:hint="eastAsia" w:ascii="Calibri" w:hAnsi="Calibri" w:cs="宋体"/>
                <w:b/>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1</w:t>
            </w:r>
          </w:p>
        </w:tc>
        <w:tc>
          <w:tcPr>
            <w:tcW w:w="1453" w:type="pct"/>
            <w:gridSpan w:val="2"/>
            <w:shd w:val="clear" w:color="auto" w:fill="auto"/>
            <w:vAlign w:val="center"/>
          </w:tcPr>
          <w:p>
            <w:pPr>
              <w:rPr>
                <w:b/>
                <w:bCs/>
              </w:rPr>
            </w:pPr>
            <w:r>
              <w:rPr>
                <w:rFonts w:hint="eastAsia" w:ascii="宋体" w:hAnsi="宋体"/>
                <w:b/>
                <w:bCs/>
                <w:szCs w:val="21"/>
              </w:rPr>
              <w:t>服务总体方案</w:t>
            </w:r>
          </w:p>
        </w:tc>
        <w:tc>
          <w:tcPr>
            <w:tcW w:w="3013" w:type="pct"/>
            <w:shd w:val="clear" w:color="auto" w:fill="auto"/>
            <w:vAlign w:val="center"/>
          </w:tcPr>
          <w:p>
            <w:pPr>
              <w:rPr>
                <w:b/>
                <w:bCs/>
              </w:rPr>
            </w:pPr>
            <w:r>
              <w:rPr>
                <w:rFonts w:hint="eastAsia"/>
                <w:b/>
                <w:bCs/>
              </w:rPr>
              <w:t>供应商服务方案整体构想的创新性、充分性和符合性；方案策划思路清晰、针对性强、独特超前；管理目标明确，设置合理，对服务质量有相应的控制措施，（0-5分）</w:t>
            </w:r>
          </w:p>
          <w:p>
            <w:pPr>
              <w:spacing w:line="300" w:lineRule="auto"/>
              <w:rPr>
                <w:rFonts w:ascii="Calibri" w:hAnsi="Calibri" w:cs="宋体"/>
                <w:color w:val="000000"/>
              </w:rPr>
            </w:pPr>
            <w:r>
              <w:rPr>
                <w:rFonts w:hint="eastAsia" w:ascii="Calibri" w:hAnsi="Calibri" w:cs="宋体"/>
                <w:color w:val="000000"/>
              </w:rPr>
              <w:t>1.服务方案整体构想创新、充分、符合；方案策划思路清晰、针对性强、独特超前；管理目标明确，设置合理，对服务质量有详细的控制措施；得3.5-5.0分；</w:t>
            </w:r>
          </w:p>
          <w:p>
            <w:pPr>
              <w:spacing w:line="300" w:lineRule="auto"/>
              <w:rPr>
                <w:rFonts w:ascii="Calibri" w:hAnsi="Calibri" w:cs="宋体"/>
                <w:color w:val="000000"/>
              </w:rPr>
            </w:pPr>
            <w:r>
              <w:rPr>
                <w:rFonts w:hint="eastAsia" w:ascii="Calibri" w:hAnsi="Calibri" w:cs="宋体"/>
                <w:color w:val="000000"/>
              </w:rPr>
              <w:t>2.服务方案整体构想较为创新、充分、符合；方案策划思路较为清晰、针对性较强、较为独特超前；管理目标较为明确，设置较为合理，对服务质量有相应的控制措施，得1.7-3.4分；</w:t>
            </w:r>
          </w:p>
          <w:p>
            <w:pPr>
              <w:pStyle w:val="2"/>
              <w:ind w:left="0" w:leftChars="0" w:firstLine="0"/>
            </w:pPr>
            <w:r>
              <w:rPr>
                <w:rFonts w:hint="eastAsia" w:ascii="Calibri" w:hAnsi="Calibri" w:cs="宋体"/>
                <w:color w:val="000000"/>
              </w:rPr>
              <w:t>3.服务方案整体构想不够创新、充分、符合；方案策划思路不够清晰、针对性不强；管理目标不明确，设置不合理，对服务质量有简要的控制措施，得0-1.6分；</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6" w:type="pct"/>
            <w:vMerge w:val="restar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2</w:t>
            </w:r>
          </w:p>
        </w:tc>
        <w:tc>
          <w:tcPr>
            <w:tcW w:w="630" w:type="pct"/>
            <w:vMerge w:val="restart"/>
            <w:shd w:val="clear" w:color="auto" w:fill="auto"/>
            <w:vAlign w:val="center"/>
          </w:tcPr>
          <w:p>
            <w:pPr>
              <w:spacing w:line="300" w:lineRule="auto"/>
              <w:jc w:val="left"/>
              <w:rPr>
                <w:rFonts w:ascii="Calibri" w:hAnsi="Calibri" w:cs="宋体"/>
                <w:b/>
                <w:bCs/>
                <w:color w:val="000000"/>
              </w:rPr>
            </w:pPr>
            <w:r>
              <w:rPr>
                <w:rFonts w:hint="eastAsia" w:ascii="宋体" w:hAnsi="宋体" w:cs="宋体"/>
                <w:b/>
                <w:bCs/>
                <w:szCs w:val="21"/>
              </w:rPr>
              <w:t>服务方案</w:t>
            </w:r>
          </w:p>
        </w:tc>
        <w:tc>
          <w:tcPr>
            <w:tcW w:w="822" w:type="pct"/>
            <w:shd w:val="clear" w:color="auto" w:fill="auto"/>
            <w:vAlign w:val="center"/>
          </w:tcPr>
          <w:p>
            <w:pPr>
              <w:pStyle w:val="65"/>
              <w:spacing w:line="240" w:lineRule="exact"/>
              <w:rPr>
                <w:rFonts w:cs="Calibri"/>
                <w:kern w:val="2"/>
                <w:sz w:val="21"/>
                <w:szCs w:val="21"/>
              </w:rPr>
            </w:pPr>
            <w:r>
              <w:rPr>
                <w:rFonts w:hint="eastAsia" w:cs="Calibri"/>
                <w:kern w:val="2"/>
                <w:sz w:val="21"/>
                <w:szCs w:val="21"/>
              </w:rPr>
              <w:t>医院保洁服务方案</w:t>
            </w:r>
            <w:r>
              <w:rPr>
                <w:rFonts w:hint="eastAsia" w:ascii="Times New Roman" w:hAnsi="Times New Roman" w:cs="Times New Roman"/>
                <w:kern w:val="2"/>
                <w:sz w:val="21"/>
                <w:szCs w:val="21"/>
              </w:rPr>
              <w:t>（5分）</w:t>
            </w:r>
          </w:p>
        </w:tc>
        <w:tc>
          <w:tcPr>
            <w:tcW w:w="3013" w:type="pct"/>
            <w:shd w:val="clear" w:color="auto" w:fill="auto"/>
            <w:vAlign w:val="center"/>
          </w:tcPr>
          <w:p>
            <w:pPr>
              <w:rPr>
                <w:b/>
                <w:bCs/>
              </w:rPr>
            </w:pPr>
            <w:r>
              <w:rPr>
                <w:rFonts w:hint="eastAsia"/>
                <w:b/>
                <w:bCs/>
              </w:rPr>
              <w:t>保洁管理服务方案：保洁管理工作服务方案的针对性、组织设置、岗位人员配置的合理性、服务标准设计的合理性及与采购人保洁要求的符合性。（0-5分）</w:t>
            </w:r>
          </w:p>
          <w:p>
            <w:pPr>
              <w:spacing w:line="300" w:lineRule="auto"/>
              <w:rPr>
                <w:rFonts w:ascii="Calibri" w:hAnsi="Calibri" w:cs="宋体"/>
                <w:color w:val="000000"/>
              </w:rPr>
            </w:pPr>
            <w:r>
              <w:rPr>
                <w:rFonts w:hint="eastAsia" w:ascii="Calibri" w:hAnsi="Calibri" w:cs="宋体"/>
                <w:color w:val="000000"/>
              </w:rPr>
              <w:t>1.</w:t>
            </w:r>
            <w:r>
              <w:rPr>
                <w:rFonts w:hint="eastAsia"/>
              </w:rPr>
              <w:t>保洁管理工作服务方案针对性强</w:t>
            </w:r>
            <w:r>
              <w:rPr>
                <w:rFonts w:hint="eastAsia" w:ascii="Calibri" w:hAnsi="Calibri" w:cs="宋体"/>
                <w:color w:val="000000"/>
              </w:rPr>
              <w:t>，</w:t>
            </w:r>
            <w:r>
              <w:rPr>
                <w:rFonts w:hint="eastAsia"/>
              </w:rPr>
              <w:t>组织设置、岗位人员配置合理，服务标准设计合理</w:t>
            </w:r>
            <w:r>
              <w:rPr>
                <w:rFonts w:hint="eastAsia" w:ascii="Calibri" w:hAnsi="Calibri" w:cs="宋体"/>
                <w:color w:val="000000"/>
              </w:rPr>
              <w:t>，符合</w:t>
            </w:r>
            <w:r>
              <w:rPr>
                <w:rFonts w:hint="eastAsia"/>
              </w:rPr>
              <w:t>采购人保洁要求</w:t>
            </w:r>
            <w:r>
              <w:rPr>
                <w:rFonts w:hint="eastAsia" w:ascii="Calibri" w:hAnsi="Calibri" w:cs="宋体"/>
                <w:color w:val="000000"/>
              </w:rPr>
              <w:t>的，得3.5-5.0分；</w:t>
            </w:r>
          </w:p>
          <w:p>
            <w:pPr>
              <w:spacing w:line="300" w:lineRule="auto"/>
              <w:rPr>
                <w:rFonts w:ascii="Calibri" w:hAnsi="Calibri" w:cs="宋体"/>
                <w:color w:val="000000"/>
              </w:rPr>
            </w:pPr>
            <w:r>
              <w:rPr>
                <w:rFonts w:hint="eastAsia" w:ascii="Calibri" w:hAnsi="Calibri" w:cs="宋体"/>
                <w:color w:val="000000"/>
              </w:rPr>
              <w:t>2.</w:t>
            </w:r>
            <w:r>
              <w:rPr>
                <w:rFonts w:hint="eastAsia"/>
              </w:rPr>
              <w:t>保洁管理工作服务方案较有针对性</w:t>
            </w:r>
            <w:r>
              <w:rPr>
                <w:rFonts w:hint="eastAsia" w:ascii="Calibri" w:hAnsi="Calibri" w:cs="宋体"/>
                <w:color w:val="000000"/>
              </w:rPr>
              <w:t>，</w:t>
            </w:r>
            <w:r>
              <w:rPr>
                <w:rFonts w:hint="eastAsia"/>
              </w:rPr>
              <w:t>组织设置、岗位人员配置较为合理，服务标准设计较为合理</w:t>
            </w:r>
            <w:r>
              <w:rPr>
                <w:rFonts w:hint="eastAsia" w:ascii="Calibri" w:hAnsi="Calibri" w:cs="宋体"/>
                <w:color w:val="000000"/>
              </w:rPr>
              <w:t>，较为符合</w:t>
            </w:r>
            <w:r>
              <w:rPr>
                <w:rFonts w:hint="eastAsia"/>
              </w:rPr>
              <w:t>采购人保洁要求</w:t>
            </w:r>
            <w:r>
              <w:rPr>
                <w:rFonts w:hint="eastAsia" w:ascii="Calibri" w:hAnsi="Calibri" w:cs="宋体"/>
                <w:color w:val="000000"/>
              </w:rPr>
              <w:t>的，得1.7-3.4分；</w:t>
            </w:r>
          </w:p>
          <w:p>
            <w:pPr>
              <w:pStyle w:val="2"/>
              <w:ind w:left="0" w:leftChars="0" w:firstLine="0"/>
            </w:pPr>
            <w:r>
              <w:rPr>
                <w:rFonts w:hint="eastAsia" w:ascii="Calibri" w:hAnsi="Calibri" w:cs="宋体"/>
                <w:color w:val="000000"/>
              </w:rPr>
              <w:t>3.</w:t>
            </w:r>
            <w:r>
              <w:rPr>
                <w:rFonts w:hint="eastAsia"/>
              </w:rPr>
              <w:t>保洁管理工作服务方案针对性有待提高</w:t>
            </w:r>
            <w:r>
              <w:rPr>
                <w:rFonts w:hint="eastAsia" w:ascii="Calibri" w:hAnsi="Calibri" w:cs="宋体"/>
                <w:color w:val="000000"/>
              </w:rPr>
              <w:t>，</w:t>
            </w:r>
            <w:r>
              <w:rPr>
                <w:rFonts w:hint="eastAsia"/>
              </w:rPr>
              <w:t>组织设置、岗位人员配置合理性有待提高，服务标准设计较为合理</w:t>
            </w:r>
            <w:r>
              <w:rPr>
                <w:rFonts w:hint="eastAsia" w:ascii="Calibri" w:hAnsi="Calibri" w:cs="宋体"/>
                <w:color w:val="000000"/>
              </w:rPr>
              <w:t>，基本符合</w:t>
            </w:r>
            <w:r>
              <w:rPr>
                <w:rFonts w:hint="eastAsia"/>
              </w:rPr>
              <w:t>采购人保洁要求</w:t>
            </w:r>
            <w:r>
              <w:rPr>
                <w:rFonts w:hint="eastAsia" w:ascii="Calibri" w:hAnsi="Calibri" w:cs="宋体"/>
                <w:color w:val="000000"/>
              </w:rPr>
              <w:t>的，得0-1.6分。</w:t>
            </w:r>
          </w:p>
        </w:tc>
        <w:tc>
          <w:tcPr>
            <w:tcW w:w="286" w:type="pct"/>
            <w:shd w:val="clear" w:color="auto" w:fill="auto"/>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widowControl/>
              <w:spacing w:line="240" w:lineRule="exact"/>
              <w:rPr>
                <w:rFonts w:ascii="宋体" w:hAnsi="宋体"/>
                <w:szCs w:val="21"/>
              </w:rPr>
            </w:pPr>
            <w:r>
              <w:rPr>
                <w:rFonts w:hint="eastAsia" w:ascii="宋体" w:hAnsi="宋体"/>
                <w:szCs w:val="21"/>
              </w:rPr>
              <w:t>医院运送服务方案</w:t>
            </w:r>
            <w:r>
              <w:rPr>
                <w:rFonts w:hint="eastAsia"/>
                <w:szCs w:val="21"/>
              </w:rPr>
              <w:t>（5分）</w:t>
            </w:r>
          </w:p>
        </w:tc>
        <w:tc>
          <w:tcPr>
            <w:tcW w:w="3013" w:type="pct"/>
            <w:shd w:val="clear" w:color="auto" w:fill="auto"/>
            <w:vAlign w:val="center"/>
          </w:tcPr>
          <w:p>
            <w:pPr>
              <w:rPr>
                <w:b/>
                <w:bCs/>
              </w:rPr>
            </w:pPr>
            <w:r>
              <w:rPr>
                <w:rFonts w:hint="eastAsia"/>
                <w:b/>
                <w:bCs/>
              </w:rPr>
              <w:t>运送管理服务方案：根据本项目运送服务特点，提供详细的运送服务方案。（0-5分）</w:t>
            </w:r>
          </w:p>
          <w:p>
            <w:pPr>
              <w:numPr>
                <w:ilvl w:val="0"/>
                <w:numId w:val="8"/>
              </w:numPr>
              <w:spacing w:line="300" w:lineRule="auto"/>
              <w:rPr>
                <w:rFonts w:ascii="Calibri" w:hAnsi="Calibri" w:cs="宋体"/>
                <w:color w:val="000000"/>
              </w:rPr>
            </w:pPr>
            <w:r>
              <w:rPr>
                <w:rFonts w:hint="eastAsia" w:ascii="Calibri" w:hAnsi="Calibri" w:cs="宋体"/>
                <w:color w:val="000000"/>
              </w:rPr>
              <w:t>根据本项目运送服务特点，提供的运送服务方案详细具体，得3.5-5.0分；</w:t>
            </w:r>
          </w:p>
          <w:p>
            <w:pPr>
              <w:pStyle w:val="2"/>
              <w:numPr>
                <w:ilvl w:val="0"/>
                <w:numId w:val="8"/>
              </w:numPr>
              <w:ind w:left="0" w:leftChars="0" w:firstLine="0"/>
              <w:rPr>
                <w:rFonts w:ascii="Calibri" w:hAnsi="Calibri" w:cs="宋体"/>
                <w:color w:val="000000"/>
              </w:rPr>
            </w:pPr>
            <w:r>
              <w:rPr>
                <w:rFonts w:hint="eastAsia" w:ascii="Calibri" w:hAnsi="Calibri" w:cs="宋体"/>
                <w:color w:val="000000"/>
              </w:rPr>
              <w:t>根据本项目运送服务特点，提供的运送服务方案较为详细具体，得1.7-3.4分；</w:t>
            </w:r>
          </w:p>
          <w:p>
            <w:pPr>
              <w:numPr>
                <w:ilvl w:val="0"/>
                <w:numId w:val="8"/>
              </w:numPr>
            </w:pPr>
            <w:r>
              <w:rPr>
                <w:rFonts w:hint="eastAsia" w:ascii="Calibri" w:hAnsi="Calibri" w:cs="宋体"/>
                <w:color w:val="000000"/>
              </w:rPr>
              <w:t>根据本项目运送服务特点，提供的运送服务方案不够详细具体，得0-1.6分</w:t>
            </w:r>
          </w:p>
        </w:tc>
        <w:tc>
          <w:tcPr>
            <w:tcW w:w="286" w:type="pct"/>
            <w:shd w:val="clear" w:color="auto" w:fill="auto"/>
            <w:vAlign w:val="center"/>
          </w:tcPr>
          <w:p>
            <w:pPr>
              <w:widowControl/>
              <w:spacing w:line="240" w:lineRule="exact"/>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widowControl/>
              <w:spacing w:line="240" w:lineRule="exact"/>
              <w:rPr>
                <w:rFonts w:ascii="宋体" w:hAnsi="宋体"/>
                <w:szCs w:val="21"/>
              </w:rPr>
            </w:pPr>
            <w:r>
              <w:rPr>
                <w:rFonts w:hint="eastAsia" w:ascii="宋体" w:hAnsi="宋体"/>
                <w:szCs w:val="21"/>
              </w:rPr>
              <w:t>防止交叉感染、消毒隔离制度</w:t>
            </w:r>
            <w:r>
              <w:rPr>
                <w:rFonts w:hint="eastAsia" w:ascii="宋体" w:hAnsi="宋体"/>
                <w:color w:val="44546A" w:themeColor="text2"/>
                <w:szCs w:val="21"/>
              </w:rPr>
              <w:t>（5分）</w:t>
            </w:r>
          </w:p>
        </w:tc>
        <w:tc>
          <w:tcPr>
            <w:tcW w:w="3013" w:type="pct"/>
            <w:shd w:val="clear" w:color="auto" w:fill="auto"/>
            <w:vAlign w:val="center"/>
          </w:tcPr>
          <w:p>
            <w:pPr>
              <w:rPr>
                <w:b/>
                <w:bCs/>
              </w:rPr>
            </w:pPr>
            <w:r>
              <w:rPr>
                <w:rFonts w:hint="eastAsia"/>
                <w:b/>
                <w:bCs/>
              </w:rPr>
              <w:t>防止交叉感染措施方案：防止交叉感染、消毒隔离措施方案是否符</w:t>
            </w:r>
            <w:r>
              <w:rPr>
                <w:rFonts w:hint="eastAsia"/>
                <w:b/>
                <w:bCs/>
                <w:u w:val="none"/>
              </w:rPr>
              <w:t>合</w:t>
            </w:r>
            <w:r>
              <w:rPr>
                <w:rFonts w:hint="eastAsia"/>
                <w:b/>
                <w:bCs/>
                <w:color w:val="44546A" w:themeColor="text2"/>
                <w:u w:val="none"/>
              </w:rPr>
              <w:t>医院感染科</w:t>
            </w:r>
            <w:r>
              <w:rPr>
                <w:rFonts w:hint="eastAsia"/>
                <w:b/>
                <w:bCs/>
              </w:rPr>
              <w:t>要求。（0-5分）</w:t>
            </w:r>
          </w:p>
          <w:p>
            <w:pPr>
              <w:spacing w:line="300" w:lineRule="auto"/>
              <w:rPr>
                <w:rFonts w:ascii="Calibri" w:hAnsi="Calibri" w:cs="宋体"/>
                <w:color w:val="000000"/>
              </w:rPr>
            </w:pPr>
            <w:r>
              <w:rPr>
                <w:rFonts w:hint="eastAsia" w:ascii="Calibri" w:hAnsi="Calibri" w:cs="宋体"/>
                <w:color w:val="000000"/>
              </w:rPr>
              <w:t>1.防止交叉感染措施方案的合理性高，可行性高；</w:t>
            </w:r>
            <w:r>
              <w:rPr>
                <w:rFonts w:hint="eastAsia"/>
              </w:rPr>
              <w:t>消毒隔离措施方案符合医院感染科要求</w:t>
            </w:r>
            <w:r>
              <w:rPr>
                <w:rFonts w:hint="eastAsia" w:ascii="Calibri" w:hAnsi="Calibri" w:cs="宋体"/>
                <w:color w:val="000000"/>
              </w:rPr>
              <w:t>的，得3.5-5.0分；</w:t>
            </w:r>
          </w:p>
          <w:p>
            <w:pPr>
              <w:spacing w:line="300" w:lineRule="auto"/>
              <w:rPr>
                <w:rFonts w:ascii="Calibri" w:hAnsi="Calibri" w:cs="宋体"/>
                <w:color w:val="000000"/>
              </w:rPr>
            </w:pPr>
            <w:r>
              <w:rPr>
                <w:rFonts w:hint="eastAsia" w:ascii="Calibri" w:hAnsi="Calibri" w:cs="宋体"/>
                <w:color w:val="000000"/>
              </w:rPr>
              <w:t>2.防止交叉感染措施方案的合理性较高，可行性较高；</w:t>
            </w:r>
            <w:r>
              <w:rPr>
                <w:rFonts w:hint="eastAsia"/>
              </w:rPr>
              <w:t>消毒隔离措施方案较为符合医院感染科要求</w:t>
            </w:r>
            <w:r>
              <w:rPr>
                <w:rFonts w:hint="eastAsia" w:ascii="Calibri" w:hAnsi="Calibri" w:cs="宋体"/>
                <w:color w:val="000000"/>
              </w:rPr>
              <w:t>的，得1.7-3.4分；</w:t>
            </w:r>
          </w:p>
          <w:p>
            <w:pPr>
              <w:pStyle w:val="2"/>
              <w:ind w:left="0" w:leftChars="0" w:firstLine="0"/>
            </w:pPr>
            <w:r>
              <w:rPr>
                <w:rFonts w:hint="eastAsia" w:ascii="Calibri" w:hAnsi="Calibri" w:cs="宋体"/>
                <w:color w:val="000000"/>
              </w:rPr>
              <w:t>3.防止交叉感染措施方案的合理性有待提高，可行性有待提高；</w:t>
            </w:r>
            <w:r>
              <w:rPr>
                <w:rFonts w:hint="eastAsia"/>
              </w:rPr>
              <w:t>消毒隔离措施方案基本符合医院感染科要求</w:t>
            </w:r>
            <w:r>
              <w:rPr>
                <w:rFonts w:hint="eastAsia" w:ascii="Calibri" w:hAnsi="Calibri" w:cs="宋体"/>
                <w:color w:val="000000"/>
              </w:rPr>
              <w:t>的，得0-1.6分。</w:t>
            </w:r>
          </w:p>
        </w:tc>
        <w:tc>
          <w:tcPr>
            <w:tcW w:w="286" w:type="pct"/>
            <w:shd w:val="clear" w:color="auto" w:fill="auto"/>
            <w:vAlign w:val="center"/>
          </w:tcPr>
          <w:p>
            <w:pPr>
              <w:widowControl/>
              <w:spacing w:line="240" w:lineRule="exact"/>
              <w:jc w:val="center"/>
              <w:rPr>
                <w:rFonts w:ascii="宋体" w:hAnsi="宋体" w:cs="宋体"/>
                <w:szCs w:val="21"/>
              </w:rPr>
            </w:pPr>
            <w:r>
              <w:rPr>
                <w:rFonts w:hint="eastAsia" w:ascii="宋体" w:hAnsi="宋体" w:cs="宋体"/>
                <w:color w:val="44546A" w:themeColor="text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widowControl/>
              <w:spacing w:line="240" w:lineRule="exact"/>
              <w:rPr>
                <w:rFonts w:ascii="宋体" w:hAnsi="宋体"/>
                <w:szCs w:val="21"/>
              </w:rPr>
            </w:pPr>
            <w:r>
              <w:rPr>
                <w:rFonts w:hint="eastAsia" w:ascii="宋体" w:hAnsi="宋体"/>
                <w:szCs w:val="21"/>
              </w:rPr>
              <w:t>应急方案</w:t>
            </w:r>
            <w:r>
              <w:rPr>
                <w:rFonts w:hint="eastAsia" w:ascii="宋体" w:hAnsi="宋体"/>
                <w:color w:val="44546A" w:themeColor="text2"/>
                <w:szCs w:val="21"/>
              </w:rPr>
              <w:t>（5分）</w:t>
            </w:r>
          </w:p>
        </w:tc>
        <w:tc>
          <w:tcPr>
            <w:tcW w:w="3013" w:type="pct"/>
            <w:shd w:val="clear" w:color="auto" w:fill="auto"/>
            <w:vAlign w:val="center"/>
          </w:tcPr>
          <w:p>
            <w:pPr>
              <w:rPr>
                <w:b/>
                <w:bCs/>
              </w:rPr>
            </w:pPr>
            <w:r>
              <w:rPr>
                <w:rFonts w:hint="eastAsia"/>
                <w:b/>
                <w:bCs/>
              </w:rPr>
              <w:t>突发事件的应急措施方案：处理重大突发传染病疫情及各类突发事件有详细的措施预案；针对重大突发传染病疫情及突发事件所制定的预案完善、周密、可行，人员职责到位等方面内容进行评议。（0-5分）</w:t>
            </w:r>
          </w:p>
          <w:p>
            <w:pPr>
              <w:numPr>
                <w:ilvl w:val="0"/>
                <w:numId w:val="9"/>
              </w:numPr>
              <w:spacing w:line="300" w:lineRule="auto"/>
              <w:rPr>
                <w:rFonts w:ascii="Calibri" w:hAnsi="Calibri" w:cs="宋体"/>
                <w:color w:val="000000"/>
              </w:rPr>
            </w:pPr>
            <w:r>
              <w:rPr>
                <w:rFonts w:hint="eastAsia" w:ascii="Calibri" w:hAnsi="Calibri" w:cs="宋体"/>
                <w:color w:val="000000"/>
              </w:rPr>
              <w:t>处理重大突发传染病疫情及各类突发事件有详细的措施预案；针对重大突发传染病疫情及突发事件所制定的预案完善、周密、可行，人员职责到位的，得3.5-5.0分；</w:t>
            </w:r>
          </w:p>
          <w:p>
            <w:pPr>
              <w:numPr>
                <w:ilvl w:val="0"/>
                <w:numId w:val="9"/>
              </w:numPr>
              <w:spacing w:line="300" w:lineRule="auto"/>
              <w:rPr>
                <w:rFonts w:ascii="Calibri" w:hAnsi="Calibri" w:cs="宋体"/>
                <w:color w:val="000000"/>
              </w:rPr>
            </w:pPr>
            <w:r>
              <w:rPr>
                <w:rFonts w:hint="eastAsia" w:ascii="Calibri" w:hAnsi="Calibri" w:cs="宋体"/>
                <w:color w:val="000000"/>
              </w:rPr>
              <w:t>处理重大突发传染病疫情及各类突发事件有较为详细的措施预案；针对重大突发传染病疫情及突发事件所制定的预案较为完善、较为周密、较为可行，人员职责基本到位的，得1.7-3.4分；</w:t>
            </w:r>
          </w:p>
          <w:p>
            <w:pPr>
              <w:numPr>
                <w:ilvl w:val="0"/>
                <w:numId w:val="9"/>
              </w:numPr>
              <w:spacing w:line="300" w:lineRule="auto"/>
            </w:pPr>
            <w:r>
              <w:rPr>
                <w:rFonts w:hint="eastAsia" w:ascii="Calibri" w:hAnsi="Calibri" w:cs="宋体"/>
                <w:color w:val="000000"/>
              </w:rPr>
              <w:t>处理重大突发传染病疫情及各类突发事件的措施预案不够详细；针对重大突发传染病疫情及突发事件所制定的预案不够完善、不够周密、可行性有待提高，人员职责基本到位的，得0-1.6分；</w:t>
            </w:r>
          </w:p>
        </w:tc>
        <w:tc>
          <w:tcPr>
            <w:tcW w:w="286" w:type="pct"/>
            <w:shd w:val="clear" w:color="auto" w:fill="auto"/>
            <w:vAlign w:val="center"/>
          </w:tcPr>
          <w:p>
            <w:pPr>
              <w:jc w:val="center"/>
            </w:pPr>
            <w:r>
              <w:rPr>
                <w:rFonts w:hint="eastAsia" w:ascii="宋体" w:hAnsi="宋体" w:cs="宋体"/>
                <w:color w:val="44546A" w:themeColor="text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widowControl/>
              <w:spacing w:line="240" w:lineRule="exact"/>
              <w:rPr>
                <w:rFonts w:ascii="宋体" w:hAnsi="宋体"/>
                <w:szCs w:val="21"/>
              </w:rPr>
            </w:pPr>
            <w:r>
              <w:rPr>
                <w:rFonts w:hint="eastAsia" w:ascii="宋体" w:hAnsi="宋体"/>
                <w:szCs w:val="21"/>
              </w:rPr>
              <w:t>各类地面养护</w:t>
            </w:r>
            <w:r>
              <w:rPr>
                <w:rFonts w:hint="eastAsia"/>
                <w:szCs w:val="21"/>
              </w:rPr>
              <w:t>（2分）</w:t>
            </w:r>
          </w:p>
        </w:tc>
        <w:tc>
          <w:tcPr>
            <w:tcW w:w="3013" w:type="pct"/>
            <w:shd w:val="clear" w:color="auto" w:fill="auto"/>
            <w:vAlign w:val="center"/>
          </w:tcPr>
          <w:p>
            <w:pPr>
              <w:rPr>
                <w:rFonts w:ascii="宋体" w:hAnsi="宋体"/>
                <w:szCs w:val="21"/>
              </w:rPr>
            </w:pPr>
            <w:r>
              <w:rPr>
                <w:rFonts w:hint="eastAsia" w:ascii="宋体" w:hAnsi="宋体"/>
                <w:szCs w:val="21"/>
              </w:rPr>
              <w:t>根据投标人针对院内各类地面（PVC地胶板地面、地砖石材地面及其他地面）清洁、保养方案</w:t>
            </w:r>
          </w:p>
        </w:tc>
        <w:tc>
          <w:tcPr>
            <w:tcW w:w="286" w:type="pct"/>
            <w:shd w:val="clear" w:color="auto" w:fill="auto"/>
            <w:vAlign w:val="center"/>
          </w:tcPr>
          <w:p>
            <w:pPr>
              <w:spacing w:line="240" w:lineRule="exact"/>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3</w:t>
            </w:r>
          </w:p>
        </w:tc>
        <w:tc>
          <w:tcPr>
            <w:tcW w:w="1453" w:type="pct"/>
            <w:gridSpan w:val="2"/>
            <w:shd w:val="clear" w:color="auto" w:fill="auto"/>
            <w:vAlign w:val="center"/>
          </w:tcPr>
          <w:p>
            <w:r>
              <w:rPr>
                <w:rFonts w:hint="eastAsia" w:ascii="宋体" w:hAnsi="宋体"/>
                <w:b/>
                <w:bCs/>
                <w:szCs w:val="21"/>
              </w:rPr>
              <w:t>配合医院等级评审（复审）经验</w:t>
            </w:r>
            <w:r>
              <w:rPr>
                <w:rFonts w:hint="eastAsia"/>
                <w:b/>
                <w:bCs/>
                <w:szCs w:val="21"/>
              </w:rPr>
              <w:t>（</w:t>
            </w:r>
            <w:r>
              <w:rPr>
                <w:rFonts w:hint="eastAsia"/>
                <w:b/>
                <w:bCs/>
                <w:color w:val="44546A" w:themeColor="text2"/>
                <w:szCs w:val="21"/>
              </w:rPr>
              <w:t>4</w:t>
            </w:r>
            <w:r>
              <w:rPr>
                <w:rFonts w:hint="eastAsia"/>
                <w:b/>
                <w:bCs/>
                <w:szCs w:val="21"/>
              </w:rPr>
              <w:t>分）</w:t>
            </w:r>
          </w:p>
        </w:tc>
        <w:tc>
          <w:tcPr>
            <w:tcW w:w="3013" w:type="pct"/>
            <w:shd w:val="clear" w:color="auto" w:fill="auto"/>
            <w:vAlign w:val="center"/>
          </w:tcPr>
          <w:p>
            <w:pPr>
              <w:rPr>
                <w:color w:val="FF0000"/>
              </w:rPr>
            </w:pPr>
            <w:r>
              <w:rPr>
                <w:rFonts w:hint="eastAsia" w:ascii="Calibri" w:hAnsi="Calibri" w:cs="宋体"/>
                <w:color w:val="000000"/>
              </w:rPr>
              <w:t>针对医院各类等级评定及认证工作的理解和相关服务工作经验的阐述。近三年有协助三级及以上医院完成等级医院评审(复审）的经验（须提供医院证明），每提供1例得</w:t>
            </w:r>
            <w:r>
              <w:rPr>
                <w:rFonts w:hint="eastAsia" w:ascii="Calibri" w:hAnsi="Calibri" w:cs="宋体"/>
                <w:color w:val="000000"/>
                <w:lang w:val="en-US" w:eastAsia="zh-CN"/>
              </w:rPr>
              <w:t>1</w:t>
            </w:r>
            <w:r>
              <w:rPr>
                <w:rFonts w:hint="eastAsia" w:ascii="Calibri" w:hAnsi="Calibri" w:cs="宋体"/>
                <w:color w:val="000000"/>
              </w:rPr>
              <w:t>分，最高得</w:t>
            </w:r>
            <w:r>
              <w:rPr>
                <w:rFonts w:hint="eastAsia" w:ascii="Calibri" w:hAnsi="Calibri" w:cs="宋体"/>
                <w:color w:val="44546A" w:themeColor="text2"/>
              </w:rPr>
              <w:t>4</w:t>
            </w:r>
            <w:r>
              <w:rPr>
                <w:rFonts w:hint="eastAsia" w:ascii="Calibri" w:hAnsi="Calibri" w:cs="宋体"/>
                <w:color w:val="000000"/>
              </w:rPr>
              <w:t xml:space="preserve">分； </w:t>
            </w:r>
          </w:p>
        </w:tc>
        <w:tc>
          <w:tcPr>
            <w:tcW w:w="286" w:type="pct"/>
            <w:shd w:val="clear" w:color="auto" w:fill="auto"/>
            <w:vAlign w:val="center"/>
          </w:tcPr>
          <w:p>
            <w:pPr>
              <w:ind w:right="-136" w:rightChars="-65" w:firstLine="210" w:firstLineChars="100"/>
              <w:rPr>
                <w:rFonts w:ascii="Calibri" w:hAnsi="Calibri" w:cs="宋体"/>
                <w:color w:val="44546A" w:themeColor="text2"/>
              </w:rPr>
            </w:pPr>
            <w:r>
              <w:rPr>
                <w:rFonts w:hint="eastAsia" w:ascii="Calibri" w:hAnsi="Calibri" w:cs="宋体"/>
                <w:color w:val="44546A" w:themeColor="text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restar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4</w:t>
            </w:r>
          </w:p>
        </w:tc>
        <w:tc>
          <w:tcPr>
            <w:tcW w:w="630" w:type="pct"/>
            <w:vMerge w:val="restart"/>
            <w:shd w:val="clear" w:color="auto" w:fill="auto"/>
            <w:vAlign w:val="center"/>
          </w:tcPr>
          <w:p>
            <w:pPr>
              <w:spacing w:line="300" w:lineRule="auto"/>
              <w:jc w:val="left"/>
              <w:rPr>
                <w:rFonts w:ascii="Calibri" w:hAnsi="Calibri" w:cs="宋体"/>
                <w:b/>
                <w:bCs/>
                <w:color w:val="000000"/>
              </w:rPr>
            </w:pPr>
            <w:r>
              <w:rPr>
                <w:rFonts w:hint="eastAsia" w:ascii="宋体" w:hAnsi="宋体" w:cs="宋体"/>
                <w:b/>
                <w:bCs/>
                <w:szCs w:val="21"/>
              </w:rPr>
              <w:t>拟投入本项目的设备、工具、消耗品</w:t>
            </w:r>
          </w:p>
        </w:tc>
        <w:tc>
          <w:tcPr>
            <w:tcW w:w="822" w:type="pct"/>
            <w:shd w:val="clear" w:color="auto" w:fill="auto"/>
            <w:vAlign w:val="center"/>
          </w:tcPr>
          <w:p>
            <w:pPr>
              <w:widowControl/>
              <w:spacing w:line="240" w:lineRule="exact"/>
              <w:rPr>
                <w:rFonts w:ascii="宋体" w:hAnsi="宋体" w:cs="宋体"/>
                <w:b/>
                <w:bCs/>
                <w:szCs w:val="21"/>
                <w:highlight w:val="yellow"/>
              </w:rPr>
            </w:pPr>
            <w:r>
              <w:rPr>
                <w:rFonts w:hint="eastAsia" w:ascii="宋体" w:hAnsi="宋体" w:cs="宋体"/>
                <w:b/>
                <w:bCs/>
                <w:szCs w:val="21"/>
              </w:rPr>
              <w:t>设备、设施</w:t>
            </w:r>
            <w:r>
              <w:rPr>
                <w:rFonts w:hint="eastAsia"/>
                <w:b/>
                <w:bCs/>
                <w:szCs w:val="21"/>
              </w:rPr>
              <w:t>（7分）</w:t>
            </w:r>
          </w:p>
        </w:tc>
        <w:tc>
          <w:tcPr>
            <w:tcW w:w="3013" w:type="pct"/>
            <w:shd w:val="clear" w:color="auto" w:fill="auto"/>
            <w:vAlign w:val="center"/>
          </w:tcPr>
          <w:p>
            <w:pPr>
              <w:widowControl/>
              <w:spacing w:line="240" w:lineRule="exact"/>
              <w:rPr>
                <w:b/>
                <w:bCs/>
              </w:rPr>
            </w:pPr>
            <w:r>
              <w:rPr>
                <w:rFonts w:hint="eastAsia"/>
                <w:b/>
                <w:bCs/>
              </w:rPr>
              <w:t>根据提供的资料，对拟投入本项目的设备、设施情况</w:t>
            </w:r>
            <w:r>
              <w:rPr>
                <w:rFonts w:hint="eastAsia"/>
                <w:b/>
                <w:bCs/>
                <w:lang w:val="zh-CN"/>
              </w:rPr>
              <w:t>酌情</w:t>
            </w:r>
            <w:r>
              <w:rPr>
                <w:rFonts w:hint="eastAsia"/>
                <w:b/>
                <w:bCs/>
              </w:rPr>
              <w:t>评分；</w:t>
            </w:r>
          </w:p>
          <w:p>
            <w:pPr>
              <w:spacing w:line="300" w:lineRule="auto"/>
              <w:rPr>
                <w:rFonts w:ascii="Calibri" w:hAnsi="Calibri" w:cs="宋体"/>
                <w:color w:val="000000"/>
              </w:rPr>
            </w:pPr>
            <w:r>
              <w:rPr>
                <w:rFonts w:hint="eastAsia" w:ascii="Calibri" w:hAnsi="Calibri" w:cs="宋体"/>
                <w:color w:val="000000"/>
              </w:rPr>
              <w:t>1.拟投入设备配置合理，设备器具先进、高效、适用，符合招标文件要求的，得4.8-7分；</w:t>
            </w:r>
          </w:p>
          <w:p>
            <w:pPr>
              <w:spacing w:line="300" w:lineRule="auto"/>
              <w:rPr>
                <w:rFonts w:ascii="Calibri" w:hAnsi="Calibri" w:cs="宋体"/>
                <w:color w:val="000000"/>
              </w:rPr>
            </w:pPr>
            <w:r>
              <w:rPr>
                <w:rFonts w:hint="eastAsia" w:ascii="Calibri" w:hAnsi="Calibri" w:cs="宋体"/>
                <w:color w:val="000000"/>
              </w:rPr>
              <w:t>2.拟投入设备配置较为合理，设备器具较为先进、较为高效、较为适用，基本符合招标文件要求的，得2.4-4.7分；</w:t>
            </w:r>
          </w:p>
          <w:p>
            <w:pPr>
              <w:pStyle w:val="2"/>
              <w:ind w:left="0" w:leftChars="0" w:firstLine="0"/>
            </w:pPr>
            <w:r>
              <w:rPr>
                <w:rFonts w:hint="eastAsia" w:ascii="Calibri" w:hAnsi="Calibri" w:cs="宋体"/>
                <w:color w:val="000000"/>
              </w:rPr>
              <w:t>3.拟投入设备配置合理性有待提高，设备器具落后、低效、不适用，不满足招标文件要求的，得0-2.3分；</w:t>
            </w:r>
          </w:p>
        </w:tc>
        <w:tc>
          <w:tcPr>
            <w:tcW w:w="286" w:type="pct"/>
            <w:shd w:val="clear" w:color="auto" w:fill="auto"/>
            <w:vAlign w:val="center"/>
          </w:tcPr>
          <w:p>
            <w:pPr>
              <w:widowControl/>
              <w:spacing w:line="360" w:lineRule="auto"/>
              <w:jc w:val="center"/>
              <w:rPr>
                <w:rFonts w:ascii="宋体" w:hAnsi="宋体" w:cs="宋体"/>
                <w:szCs w:val="21"/>
                <w:highlight w:val="yellow"/>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widowControl/>
              <w:spacing w:line="240" w:lineRule="exact"/>
              <w:rPr>
                <w:rFonts w:ascii="宋体" w:hAnsi="宋体" w:cs="宋体"/>
                <w:b/>
                <w:bCs/>
                <w:szCs w:val="21"/>
              </w:rPr>
            </w:pPr>
            <w:r>
              <w:rPr>
                <w:rFonts w:hint="eastAsia" w:ascii="宋体" w:hAnsi="宋体" w:cs="宋体"/>
                <w:b/>
                <w:bCs/>
                <w:szCs w:val="21"/>
              </w:rPr>
              <w:t>保洁、耗材</w:t>
            </w:r>
            <w:r>
              <w:rPr>
                <w:rFonts w:hint="eastAsia"/>
                <w:b/>
                <w:bCs/>
                <w:szCs w:val="21"/>
              </w:rPr>
              <w:t>（2分）</w:t>
            </w:r>
          </w:p>
        </w:tc>
        <w:tc>
          <w:tcPr>
            <w:tcW w:w="3013" w:type="pct"/>
            <w:shd w:val="clear" w:color="auto" w:fill="auto"/>
            <w:vAlign w:val="center"/>
          </w:tcPr>
          <w:p>
            <w:pPr>
              <w:widowControl/>
              <w:spacing w:line="240" w:lineRule="exact"/>
              <w:rPr>
                <w:rFonts w:ascii="宋体" w:hAnsi="宋体" w:cs="宋体"/>
                <w:szCs w:val="21"/>
              </w:rPr>
            </w:pPr>
            <w:r>
              <w:rPr>
                <w:rFonts w:hint="eastAsia" w:ascii="宋体" w:hAnsi="宋体" w:cs="宋体"/>
                <w:szCs w:val="21"/>
              </w:rPr>
              <w:t>使用的保洁、洗涤剂、消毒剂、地面保养产品酌情评分；</w:t>
            </w:r>
          </w:p>
        </w:tc>
        <w:tc>
          <w:tcPr>
            <w:tcW w:w="286" w:type="pct"/>
            <w:shd w:val="clear" w:color="auto" w:fill="auto"/>
            <w:vAlign w:val="center"/>
          </w:tcPr>
          <w:p>
            <w:pPr>
              <w:widowControl/>
              <w:spacing w:line="360" w:lineRule="auto"/>
              <w:jc w:val="center"/>
              <w:rPr>
                <w:rFonts w:ascii="宋体" w:hAnsi="宋体" w:cs="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restar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5</w:t>
            </w:r>
          </w:p>
        </w:tc>
        <w:tc>
          <w:tcPr>
            <w:tcW w:w="630" w:type="pct"/>
            <w:vMerge w:val="restart"/>
            <w:shd w:val="clear" w:color="auto" w:fill="auto"/>
            <w:vAlign w:val="center"/>
          </w:tcPr>
          <w:p>
            <w:pPr>
              <w:spacing w:line="300" w:lineRule="auto"/>
              <w:jc w:val="left"/>
              <w:rPr>
                <w:rFonts w:ascii="Calibri" w:hAnsi="Calibri" w:cs="宋体"/>
                <w:b/>
                <w:bCs/>
                <w:color w:val="000000"/>
              </w:rPr>
            </w:pPr>
            <w:r>
              <w:rPr>
                <w:rFonts w:hint="eastAsia" w:ascii="宋体" w:hAnsi="宋体" w:cs="宋体"/>
                <w:b/>
                <w:bCs/>
                <w:szCs w:val="21"/>
              </w:rPr>
              <w:t>拟投入本项目的人员保障计划</w:t>
            </w:r>
          </w:p>
        </w:tc>
        <w:tc>
          <w:tcPr>
            <w:tcW w:w="822" w:type="pct"/>
            <w:shd w:val="clear" w:color="auto" w:fill="auto"/>
            <w:vAlign w:val="center"/>
          </w:tcPr>
          <w:p>
            <w:pPr>
              <w:widowControl/>
              <w:spacing w:line="240" w:lineRule="exact"/>
              <w:rPr>
                <w:rFonts w:ascii="宋体" w:hAnsi="宋体" w:cs="宋体"/>
                <w:b/>
                <w:bCs/>
                <w:szCs w:val="21"/>
              </w:rPr>
            </w:pPr>
            <w:r>
              <w:rPr>
                <w:rFonts w:hint="eastAsia" w:ascii="宋体" w:hAnsi="宋体" w:cs="宋体"/>
                <w:b/>
                <w:bCs/>
                <w:szCs w:val="21"/>
              </w:rPr>
              <w:t>从业人员配备情况</w:t>
            </w:r>
            <w:r>
              <w:rPr>
                <w:rFonts w:hint="eastAsia"/>
                <w:b/>
                <w:bCs/>
                <w:szCs w:val="21"/>
              </w:rPr>
              <w:t>（3分）</w:t>
            </w:r>
          </w:p>
        </w:tc>
        <w:tc>
          <w:tcPr>
            <w:tcW w:w="3013" w:type="pct"/>
            <w:shd w:val="clear" w:color="auto" w:fill="auto"/>
            <w:vAlign w:val="center"/>
          </w:tcPr>
          <w:p>
            <w:pPr>
              <w:widowControl/>
              <w:spacing w:line="240" w:lineRule="exact"/>
              <w:rPr>
                <w:rFonts w:ascii="宋体" w:hAnsi="宋体" w:cs="宋体"/>
                <w:kern w:val="0"/>
                <w:szCs w:val="21"/>
              </w:rPr>
            </w:pPr>
            <w:r>
              <w:rPr>
                <w:rFonts w:hint="eastAsia" w:ascii="宋体" w:hAnsi="宋体" w:cs="宋体"/>
                <w:kern w:val="0"/>
                <w:szCs w:val="21"/>
              </w:rPr>
              <w:t>根据配置人员相关工作经验，有相关服务证书如保洁类、石材保养类等相关技能证书等</w:t>
            </w:r>
            <w:r>
              <w:rPr>
                <w:rFonts w:hint="eastAsia" w:ascii="宋体" w:hAnsi="宋体" w:cs="宋体"/>
                <w:kern w:val="0"/>
                <w:szCs w:val="21"/>
                <w:lang w:val="zh-CN"/>
              </w:rPr>
              <w:t>酌情评分</w:t>
            </w:r>
            <w:r>
              <w:rPr>
                <w:rFonts w:hint="eastAsia" w:ascii="宋体" w:hAnsi="宋体" w:cs="宋体"/>
                <w:kern w:val="0"/>
                <w:szCs w:val="21"/>
              </w:rPr>
              <w:t>；</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pStyle w:val="65"/>
              <w:spacing w:line="240" w:lineRule="exact"/>
              <w:rPr>
                <w:b/>
                <w:bCs/>
                <w:kern w:val="2"/>
                <w:sz w:val="21"/>
                <w:szCs w:val="21"/>
              </w:rPr>
            </w:pPr>
            <w:r>
              <w:rPr>
                <w:rFonts w:hint="eastAsia"/>
                <w:b/>
                <w:bCs/>
                <w:kern w:val="2"/>
                <w:sz w:val="21"/>
                <w:szCs w:val="21"/>
              </w:rPr>
              <w:t>主要管理人员</w:t>
            </w:r>
            <w:r>
              <w:rPr>
                <w:rFonts w:hint="eastAsia"/>
                <w:b/>
                <w:bCs/>
                <w:sz w:val="21"/>
                <w:szCs w:val="21"/>
              </w:rPr>
              <w:t>（4分）</w:t>
            </w:r>
          </w:p>
        </w:tc>
        <w:tc>
          <w:tcPr>
            <w:tcW w:w="3013" w:type="pct"/>
            <w:shd w:val="clear" w:color="auto" w:fill="auto"/>
            <w:vAlign w:val="center"/>
          </w:tcPr>
          <w:p>
            <w:pPr>
              <w:pStyle w:val="65"/>
              <w:spacing w:line="240" w:lineRule="exact"/>
              <w:rPr>
                <w:sz w:val="21"/>
                <w:szCs w:val="21"/>
              </w:rPr>
            </w:pPr>
            <w:r>
              <w:rPr>
                <w:rFonts w:hint="eastAsia"/>
                <w:sz w:val="21"/>
                <w:szCs w:val="21"/>
              </w:rPr>
              <w:t>主要管理人员的文化程度、专业技能、资历、配备情况酌情评分；</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pStyle w:val="65"/>
              <w:spacing w:line="240" w:lineRule="exact"/>
              <w:rPr>
                <w:b/>
                <w:bCs/>
                <w:kern w:val="2"/>
                <w:sz w:val="21"/>
                <w:szCs w:val="21"/>
              </w:rPr>
            </w:pPr>
            <w:r>
              <w:rPr>
                <w:rFonts w:hint="eastAsia"/>
                <w:b/>
                <w:bCs/>
                <w:kern w:val="2"/>
                <w:sz w:val="21"/>
                <w:szCs w:val="21"/>
              </w:rPr>
              <w:t>服务相关措施、培训计划</w:t>
            </w:r>
            <w:r>
              <w:rPr>
                <w:rFonts w:hint="eastAsia"/>
                <w:b/>
                <w:bCs/>
                <w:color w:val="44546A" w:themeColor="text2"/>
                <w:sz w:val="21"/>
                <w:szCs w:val="21"/>
              </w:rPr>
              <w:t>（3分</w:t>
            </w:r>
            <w:r>
              <w:rPr>
                <w:rFonts w:hint="eastAsia"/>
                <w:b/>
                <w:bCs/>
                <w:sz w:val="21"/>
                <w:szCs w:val="21"/>
              </w:rPr>
              <w:t>）</w:t>
            </w:r>
          </w:p>
        </w:tc>
        <w:tc>
          <w:tcPr>
            <w:tcW w:w="3013" w:type="pct"/>
            <w:shd w:val="clear" w:color="auto" w:fill="auto"/>
            <w:vAlign w:val="center"/>
          </w:tcPr>
          <w:p>
            <w:pPr>
              <w:pStyle w:val="65"/>
              <w:spacing w:line="240" w:lineRule="exact"/>
              <w:rPr>
                <w:sz w:val="21"/>
                <w:szCs w:val="21"/>
              </w:rPr>
            </w:pPr>
            <w:r>
              <w:rPr>
                <w:rFonts w:hint="eastAsia"/>
                <w:sz w:val="21"/>
                <w:szCs w:val="21"/>
              </w:rPr>
              <w:t>人员培训方案，具有严格的人员</w:t>
            </w:r>
            <w:r>
              <w:rPr>
                <w:rFonts w:hint="eastAsia"/>
                <w:kern w:val="2"/>
                <w:sz w:val="21"/>
                <w:szCs w:val="21"/>
              </w:rPr>
              <w:t>培训制度，培训师资需具备物业管理相关资质，针对所提供服务有相关培训计划、稳定员工队伍的措施、承诺等</w:t>
            </w:r>
            <w:r>
              <w:rPr>
                <w:rFonts w:hint="eastAsia"/>
                <w:sz w:val="21"/>
                <w:szCs w:val="21"/>
              </w:rPr>
              <w:t>。</w:t>
            </w:r>
          </w:p>
        </w:tc>
        <w:tc>
          <w:tcPr>
            <w:tcW w:w="286" w:type="pct"/>
            <w:shd w:val="clear" w:color="auto" w:fill="auto"/>
            <w:vAlign w:val="center"/>
          </w:tcPr>
          <w:p>
            <w:pPr>
              <w:jc w:val="center"/>
              <w:rPr>
                <w:rFonts w:ascii="Calibri" w:hAnsi="Calibri" w:cs="宋体"/>
                <w:color w:val="44546A" w:themeColor="text2"/>
              </w:rPr>
            </w:pPr>
            <w:r>
              <w:rPr>
                <w:rFonts w:hint="eastAsia" w:ascii="Calibri" w:hAnsi="Calibri" w:cs="宋体"/>
                <w:color w:val="44546A" w:themeColor="text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6</w:t>
            </w:r>
          </w:p>
        </w:tc>
        <w:tc>
          <w:tcPr>
            <w:tcW w:w="1453" w:type="pct"/>
            <w:gridSpan w:val="2"/>
            <w:shd w:val="clear" w:color="auto" w:fill="auto"/>
            <w:vAlign w:val="center"/>
          </w:tcPr>
          <w:p>
            <w:pPr>
              <w:pStyle w:val="65"/>
              <w:spacing w:line="240" w:lineRule="exact"/>
              <w:rPr>
                <w:b/>
                <w:bCs/>
                <w:kern w:val="2"/>
                <w:sz w:val="21"/>
                <w:szCs w:val="21"/>
              </w:rPr>
            </w:pPr>
            <w:r>
              <w:rPr>
                <w:rFonts w:hint="eastAsia"/>
                <w:b/>
                <w:bCs/>
                <w:sz w:val="21"/>
                <w:szCs w:val="21"/>
              </w:rPr>
              <w:t>管理制度（</w:t>
            </w:r>
            <w:r>
              <w:rPr>
                <w:rFonts w:hint="eastAsia"/>
                <w:b/>
                <w:bCs/>
                <w:color w:val="44546A" w:themeColor="text2"/>
                <w:sz w:val="21"/>
                <w:szCs w:val="21"/>
              </w:rPr>
              <w:t>3分</w:t>
            </w:r>
            <w:r>
              <w:rPr>
                <w:rFonts w:hint="eastAsia"/>
                <w:b/>
                <w:bCs/>
                <w:sz w:val="21"/>
                <w:szCs w:val="21"/>
              </w:rPr>
              <w:t>）</w:t>
            </w:r>
          </w:p>
        </w:tc>
        <w:tc>
          <w:tcPr>
            <w:tcW w:w="3013" w:type="pct"/>
            <w:shd w:val="clear" w:color="auto" w:fill="auto"/>
          </w:tcPr>
          <w:p>
            <w:pPr>
              <w:rPr>
                <w:rFonts w:ascii="宋体" w:hAnsi="宋体"/>
                <w:szCs w:val="21"/>
              </w:rPr>
            </w:pPr>
            <w:r>
              <w:rPr>
                <w:rFonts w:hint="eastAsia" w:ascii="宋体" w:hAnsi="宋体" w:cs="宋体"/>
                <w:kern w:val="0"/>
                <w:szCs w:val="21"/>
              </w:rPr>
              <w:t>人员具有基本福利、社会保险、职业安全等保障措施和方案，内部管理、激励、监督、考核、奖惩等规章制度健全规范；具有安全保障及质量保障体系和措施，体系和措施可行、可靠、具体。</w:t>
            </w:r>
          </w:p>
        </w:tc>
        <w:tc>
          <w:tcPr>
            <w:tcW w:w="286" w:type="pct"/>
            <w:shd w:val="clear" w:color="auto" w:fill="auto"/>
            <w:vAlign w:val="center"/>
          </w:tcPr>
          <w:p>
            <w:pPr>
              <w:jc w:val="center"/>
              <w:rPr>
                <w:rFonts w:ascii="Calibri" w:hAnsi="Calibri" w:cs="宋体"/>
                <w:color w:val="44546A" w:themeColor="text2"/>
              </w:rPr>
            </w:pPr>
            <w:r>
              <w:rPr>
                <w:rFonts w:hint="eastAsia" w:ascii="Calibri" w:hAnsi="Calibri" w:cs="宋体"/>
                <w:color w:val="44546A" w:themeColor="text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7</w:t>
            </w:r>
          </w:p>
        </w:tc>
        <w:tc>
          <w:tcPr>
            <w:tcW w:w="1453" w:type="pct"/>
            <w:gridSpan w:val="2"/>
            <w:shd w:val="clear" w:color="auto" w:fill="auto"/>
            <w:vAlign w:val="center"/>
          </w:tcPr>
          <w:p>
            <w:pPr>
              <w:pStyle w:val="65"/>
              <w:spacing w:line="240" w:lineRule="exact"/>
              <w:rPr>
                <w:b/>
                <w:bCs/>
                <w:kern w:val="2"/>
                <w:sz w:val="21"/>
                <w:szCs w:val="21"/>
              </w:rPr>
            </w:pPr>
            <w:r>
              <w:rPr>
                <w:rFonts w:hint="eastAsia"/>
                <w:b/>
                <w:bCs/>
                <w:sz w:val="21"/>
                <w:szCs w:val="21"/>
              </w:rPr>
              <w:t>配合医院提升服务的投标人的各项服务承诺（4分）</w:t>
            </w:r>
          </w:p>
        </w:tc>
        <w:tc>
          <w:tcPr>
            <w:tcW w:w="3013" w:type="pct"/>
            <w:shd w:val="clear" w:color="auto" w:fill="auto"/>
            <w:vAlign w:val="center"/>
          </w:tcPr>
          <w:p>
            <w:pPr>
              <w:widowControl/>
              <w:spacing w:line="240" w:lineRule="exact"/>
              <w:rPr>
                <w:rFonts w:ascii="宋体" w:hAnsi="宋体" w:cs="宋体"/>
                <w:szCs w:val="21"/>
              </w:rPr>
            </w:pPr>
            <w:r>
              <w:rPr>
                <w:rFonts w:hint="eastAsia" w:ascii="宋体" w:hAnsi="宋体" w:cs="宋体"/>
                <w:kern w:val="0"/>
                <w:szCs w:val="21"/>
              </w:rPr>
              <w:t>根据各投标人配合医院提升服务的投标人的各项服务承诺</w:t>
            </w:r>
            <w:r>
              <w:rPr>
                <w:rFonts w:hint="eastAsia" w:ascii="宋体" w:hAnsi="宋体" w:cs="宋体"/>
                <w:kern w:val="0"/>
                <w:szCs w:val="21"/>
                <w:lang w:val="zh-CN"/>
              </w:rPr>
              <w:t>酌情评分</w:t>
            </w:r>
            <w:r>
              <w:rPr>
                <w:rFonts w:hint="eastAsia" w:ascii="宋体" w:hAnsi="宋体" w:cs="宋体"/>
                <w:kern w:val="0"/>
                <w:szCs w:val="21"/>
              </w:rPr>
              <w:t>；</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8</w:t>
            </w:r>
          </w:p>
        </w:tc>
        <w:tc>
          <w:tcPr>
            <w:tcW w:w="1453" w:type="pct"/>
            <w:gridSpan w:val="2"/>
            <w:shd w:val="clear" w:color="auto" w:fill="auto"/>
            <w:vAlign w:val="center"/>
          </w:tcPr>
          <w:p>
            <w:r>
              <w:rPr>
                <w:rFonts w:hint="eastAsia"/>
                <w:b/>
                <w:bCs/>
                <w:szCs w:val="21"/>
              </w:rPr>
              <w:t>信息化服务（3分）</w:t>
            </w:r>
          </w:p>
        </w:tc>
        <w:tc>
          <w:tcPr>
            <w:tcW w:w="3013" w:type="pct"/>
            <w:shd w:val="clear" w:color="auto" w:fill="auto"/>
            <w:vAlign w:val="center"/>
          </w:tcPr>
          <w:p>
            <w:pPr>
              <w:rPr>
                <w:rFonts w:ascii="宋体" w:hAnsi="宋体"/>
                <w:b/>
                <w:bCs/>
                <w:szCs w:val="21"/>
              </w:rPr>
            </w:pPr>
            <w:r>
              <w:rPr>
                <w:rFonts w:hint="eastAsia" w:ascii="宋体" w:hAnsi="宋体"/>
                <w:b/>
                <w:bCs/>
                <w:szCs w:val="21"/>
              </w:rPr>
              <w:t>供应商拥有信息化智慧服务系统（供应商自主开发或向第三方购买均可）该软件应具有对运送服务各工种响应工作流程的追踪管理、工作量考核、数据统计、提高效率等功能。评委综合评价该管理软件系统设计合理性、科学性和可操作性。</w:t>
            </w:r>
          </w:p>
          <w:p>
            <w:pPr>
              <w:pStyle w:val="31"/>
              <w:numPr>
                <w:ilvl w:val="0"/>
                <w:numId w:val="10"/>
              </w:numPr>
              <w:ind w:firstLineChars="0"/>
              <w:rPr>
                <w:rFonts w:ascii="宋体" w:hAnsi="宋体"/>
                <w:szCs w:val="21"/>
              </w:rPr>
            </w:pPr>
            <w:r>
              <w:rPr>
                <w:rFonts w:hint="eastAsia" w:ascii="宋体" w:hAnsi="宋体"/>
                <w:szCs w:val="21"/>
              </w:rPr>
              <w:t>该管理软件需具备软件著作权，须包含：物业管理平台</w:t>
            </w:r>
          </w:p>
          <w:p>
            <w:pPr>
              <w:pStyle w:val="31"/>
              <w:ind w:firstLine="0" w:firstLineChars="0"/>
              <w:rPr>
                <w:rFonts w:ascii="宋体" w:hAnsi="宋体"/>
                <w:szCs w:val="21"/>
              </w:rPr>
            </w:pPr>
            <w:r>
              <w:rPr>
                <w:rFonts w:hint="eastAsia" w:ascii="宋体" w:hAnsi="宋体"/>
                <w:szCs w:val="21"/>
              </w:rPr>
              <w:t>软件著作权、保洁服务平台软件著作权、医疗后勤系统平台软件著作权、物业物料管理软件著作权、保洁监控系统软件管理著作权、设施维护管理软件著作权。（如果为授权使用的需提供相应授权书），以上著作权须提供盖章文件，本项最高得1分。</w:t>
            </w:r>
          </w:p>
          <w:p>
            <w:pPr>
              <w:pStyle w:val="65"/>
              <w:spacing w:line="240" w:lineRule="exact"/>
              <w:rPr>
                <w:rFonts w:cs="Times New Roman"/>
                <w:kern w:val="2"/>
                <w:sz w:val="21"/>
                <w:szCs w:val="21"/>
              </w:rPr>
            </w:pPr>
            <w:r>
              <w:rPr>
                <w:rFonts w:hint="eastAsia" w:cs="Times New Roman"/>
                <w:kern w:val="2"/>
                <w:sz w:val="21"/>
                <w:szCs w:val="21"/>
              </w:rPr>
              <w:t>2.该管理软件在医院管理服务项目中成功运行案例，每提供一个案例得1分，最高得2分。（需提供医院证明资料，不提供不得分）</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restar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9</w:t>
            </w:r>
          </w:p>
        </w:tc>
        <w:tc>
          <w:tcPr>
            <w:tcW w:w="630" w:type="pct"/>
            <w:vMerge w:val="restart"/>
            <w:shd w:val="clear" w:color="auto" w:fill="auto"/>
            <w:vAlign w:val="center"/>
          </w:tcPr>
          <w:p>
            <w:pPr>
              <w:spacing w:line="300" w:lineRule="auto"/>
              <w:jc w:val="left"/>
              <w:rPr>
                <w:rFonts w:ascii="Calibri" w:hAnsi="Calibri" w:cs="宋体"/>
                <w:b/>
                <w:bCs/>
                <w:color w:val="000000"/>
              </w:rPr>
            </w:pPr>
            <w:r>
              <w:rPr>
                <w:rFonts w:hint="eastAsia" w:ascii="宋体" w:hAnsi="宋体" w:cs="宋体"/>
                <w:b/>
                <w:bCs/>
                <w:szCs w:val="21"/>
              </w:rPr>
              <w:t>投标人的综合实力、履约能力</w:t>
            </w:r>
          </w:p>
        </w:tc>
        <w:tc>
          <w:tcPr>
            <w:tcW w:w="822" w:type="pct"/>
            <w:vMerge w:val="restart"/>
            <w:shd w:val="clear" w:color="auto" w:fill="auto"/>
            <w:vAlign w:val="center"/>
          </w:tcPr>
          <w:p>
            <w:pPr>
              <w:adjustRightInd w:val="0"/>
              <w:snapToGrid w:val="0"/>
              <w:spacing w:line="240" w:lineRule="exact"/>
              <w:jc w:val="center"/>
              <w:rPr>
                <w:b/>
                <w:bCs/>
              </w:rPr>
            </w:pPr>
            <w:r>
              <w:rPr>
                <w:rFonts w:hint="eastAsia" w:ascii="宋体" w:hAnsi="宋体" w:cs="宋体"/>
                <w:b/>
                <w:bCs/>
                <w:szCs w:val="21"/>
              </w:rPr>
              <w:t>综合实力</w:t>
            </w:r>
            <w:r>
              <w:rPr>
                <w:rFonts w:hint="eastAsia"/>
                <w:b/>
                <w:bCs/>
                <w:szCs w:val="21"/>
              </w:rPr>
              <w:t>（4分）</w:t>
            </w:r>
          </w:p>
        </w:tc>
        <w:tc>
          <w:tcPr>
            <w:tcW w:w="3013" w:type="pct"/>
            <w:shd w:val="clear" w:color="auto" w:fill="auto"/>
            <w:vAlign w:val="center"/>
          </w:tcPr>
          <w:p>
            <w:pPr>
              <w:adjustRightInd w:val="0"/>
              <w:snapToGrid w:val="0"/>
              <w:spacing w:line="240" w:lineRule="exact"/>
              <w:jc w:val="left"/>
              <w:rPr>
                <w:rFonts w:ascii="宋体" w:hAnsi="宋体" w:cs="宋体"/>
                <w:szCs w:val="21"/>
              </w:rPr>
            </w:pPr>
            <w:r>
              <w:rPr>
                <w:rFonts w:hint="eastAsia" w:ascii="宋体" w:hAnsi="宋体"/>
                <w:szCs w:val="21"/>
              </w:rPr>
              <w:t>投标人获得过政府部门颁发的省级（含直辖市）及以上荣誉的每个得</w:t>
            </w:r>
            <w:r>
              <w:rPr>
                <w:rFonts w:ascii="宋体" w:hAnsi="宋体"/>
                <w:szCs w:val="21"/>
              </w:rPr>
              <w:t>2</w:t>
            </w:r>
            <w:r>
              <w:rPr>
                <w:rFonts w:hint="eastAsia" w:ascii="宋体" w:hAnsi="宋体"/>
                <w:szCs w:val="21"/>
              </w:rPr>
              <w:t>分，最多得</w:t>
            </w:r>
            <w:r>
              <w:rPr>
                <w:rFonts w:ascii="宋体" w:hAnsi="宋体"/>
                <w:szCs w:val="21"/>
              </w:rPr>
              <w:t>2</w:t>
            </w:r>
            <w:r>
              <w:rPr>
                <w:rFonts w:hint="eastAsia" w:ascii="宋体" w:hAnsi="宋体"/>
                <w:szCs w:val="21"/>
              </w:rPr>
              <w:t>分。获得过区级（含县级）及以上荣誉的每个得1分，最多得2分。本项最多得2分，不重复得分，按高的计分。投标文件中提供证书或表彰文件复印件，同时开标时提供原件，否则不得分。</w:t>
            </w:r>
          </w:p>
        </w:tc>
        <w:tc>
          <w:tcPr>
            <w:tcW w:w="286" w:type="pct"/>
            <w:shd w:val="clear" w:color="auto" w:fill="auto"/>
            <w:vAlign w:val="center"/>
          </w:tcPr>
          <w:p>
            <w:pPr>
              <w:spacing w:line="240" w:lineRule="exact"/>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vMerge w:val="continue"/>
            <w:shd w:val="clear" w:color="auto" w:fill="auto"/>
            <w:vAlign w:val="center"/>
          </w:tcPr>
          <w:p>
            <w:pPr>
              <w:spacing w:line="240" w:lineRule="exact"/>
              <w:rPr>
                <w:rFonts w:ascii="宋体" w:hAnsi="宋体" w:cs="宋体"/>
                <w:b/>
                <w:bCs/>
                <w:szCs w:val="21"/>
              </w:rPr>
            </w:pPr>
          </w:p>
        </w:tc>
        <w:tc>
          <w:tcPr>
            <w:tcW w:w="3013" w:type="pct"/>
            <w:shd w:val="clear" w:color="auto" w:fill="auto"/>
            <w:vAlign w:val="center"/>
          </w:tcPr>
          <w:p>
            <w:pPr>
              <w:autoSpaceDE w:val="0"/>
              <w:autoSpaceDN w:val="0"/>
              <w:adjustRightInd w:val="0"/>
              <w:spacing w:before="48" w:after="48"/>
              <w:rPr>
                <w:rFonts w:ascii="宋体" w:hAnsi="宋体"/>
                <w:szCs w:val="21"/>
              </w:rPr>
            </w:pPr>
            <w:r>
              <w:rPr>
                <w:rFonts w:ascii="宋体" w:hAnsi="宋体"/>
                <w:szCs w:val="21"/>
              </w:rPr>
              <w:t>201</w:t>
            </w:r>
            <w:r>
              <w:rPr>
                <w:rFonts w:hint="eastAsia" w:ascii="宋体" w:hAnsi="宋体"/>
                <w:szCs w:val="21"/>
              </w:rPr>
              <w:t>9年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日以来，物业服务项目获住建部、房管部门或相关管理协会示范（优秀）项目称号的，省级及以上得</w:t>
            </w:r>
            <w:r>
              <w:rPr>
                <w:rFonts w:ascii="宋体" w:hAnsi="宋体"/>
                <w:szCs w:val="21"/>
              </w:rPr>
              <w:t>2</w:t>
            </w:r>
            <w:r>
              <w:rPr>
                <w:rFonts w:hint="eastAsia" w:ascii="宋体" w:hAnsi="宋体"/>
                <w:szCs w:val="21"/>
              </w:rPr>
              <w:t>分，市级得</w:t>
            </w:r>
            <w:r>
              <w:rPr>
                <w:rFonts w:ascii="宋体" w:hAnsi="宋体"/>
                <w:szCs w:val="21"/>
              </w:rPr>
              <w:t>1</w:t>
            </w:r>
            <w:r>
              <w:rPr>
                <w:rFonts w:hint="eastAsia" w:ascii="宋体" w:hAnsi="宋体"/>
                <w:szCs w:val="21"/>
              </w:rPr>
              <w:t>分。不重复累计，按最高荣誉计分。（投标文件中需提供服务合同及荣誉证明材料复印件）。</w:t>
            </w:r>
          </w:p>
        </w:tc>
        <w:tc>
          <w:tcPr>
            <w:tcW w:w="286" w:type="pct"/>
            <w:shd w:val="clear" w:color="auto" w:fill="auto"/>
            <w:vAlign w:val="center"/>
          </w:tcPr>
          <w:p>
            <w:pPr>
              <w:spacing w:line="240" w:lineRule="exact"/>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vMerge w:val="continue"/>
            <w:shd w:val="clear" w:color="auto" w:fill="auto"/>
            <w:vAlign w:val="center"/>
          </w:tcPr>
          <w:p>
            <w:pPr>
              <w:spacing w:line="300" w:lineRule="auto"/>
              <w:jc w:val="center"/>
              <w:rPr>
                <w:rFonts w:ascii="宋体" w:hAnsi="宋体" w:cs="宋体"/>
                <w:b/>
                <w:bCs/>
                <w:color w:val="000000"/>
                <w:sz w:val="24"/>
              </w:rPr>
            </w:pPr>
          </w:p>
        </w:tc>
        <w:tc>
          <w:tcPr>
            <w:tcW w:w="630" w:type="pct"/>
            <w:vMerge w:val="continue"/>
            <w:shd w:val="clear" w:color="auto" w:fill="auto"/>
            <w:vAlign w:val="center"/>
          </w:tcPr>
          <w:p>
            <w:pPr>
              <w:spacing w:line="300" w:lineRule="auto"/>
              <w:jc w:val="left"/>
              <w:rPr>
                <w:rFonts w:ascii="Calibri" w:hAnsi="Calibri" w:cs="宋体"/>
                <w:b/>
                <w:bCs/>
                <w:color w:val="000000"/>
              </w:rPr>
            </w:pPr>
          </w:p>
        </w:tc>
        <w:tc>
          <w:tcPr>
            <w:tcW w:w="822" w:type="pct"/>
            <w:shd w:val="clear" w:color="auto" w:fill="auto"/>
            <w:vAlign w:val="center"/>
          </w:tcPr>
          <w:p>
            <w:pPr>
              <w:spacing w:line="240" w:lineRule="exact"/>
              <w:rPr>
                <w:b/>
                <w:bCs/>
              </w:rPr>
            </w:pPr>
            <w:r>
              <w:rPr>
                <w:rFonts w:hint="eastAsia" w:ascii="宋体" w:hAnsi="宋体" w:cs="宋体"/>
                <w:b/>
                <w:bCs/>
                <w:szCs w:val="21"/>
              </w:rPr>
              <w:t>认证证书</w:t>
            </w:r>
            <w:r>
              <w:rPr>
                <w:rFonts w:hint="eastAsia"/>
                <w:b/>
                <w:bCs/>
                <w:szCs w:val="21"/>
              </w:rPr>
              <w:t>（3分）</w:t>
            </w:r>
          </w:p>
        </w:tc>
        <w:tc>
          <w:tcPr>
            <w:tcW w:w="3013" w:type="pct"/>
            <w:shd w:val="clear" w:color="auto" w:fill="auto"/>
            <w:vAlign w:val="center"/>
          </w:tcPr>
          <w:p>
            <w:pPr>
              <w:spacing w:line="240" w:lineRule="exact"/>
              <w:rPr>
                <w:rFonts w:ascii="宋体" w:hAnsi="宋体" w:cs="宋体"/>
                <w:szCs w:val="21"/>
              </w:rPr>
            </w:pPr>
            <w:r>
              <w:rPr>
                <w:rFonts w:hint="eastAsia" w:ascii="宋体" w:hAnsi="宋体" w:cs="宋体"/>
                <w:szCs w:val="21"/>
              </w:rPr>
              <w:t>投标人通过质量管理体系认证、环境管理体系认证、职业健康安全管理体系认证的，每有一个得1分；</w:t>
            </w:r>
          </w:p>
        </w:tc>
        <w:tc>
          <w:tcPr>
            <w:tcW w:w="286" w:type="pct"/>
            <w:shd w:val="clear" w:color="auto" w:fill="auto"/>
            <w:vAlign w:val="center"/>
          </w:tcPr>
          <w:p>
            <w:pPr>
              <w:spacing w:line="24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6"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10</w:t>
            </w:r>
          </w:p>
        </w:tc>
        <w:tc>
          <w:tcPr>
            <w:tcW w:w="1453" w:type="pct"/>
            <w:gridSpan w:val="2"/>
            <w:shd w:val="clear" w:color="auto" w:fill="auto"/>
            <w:vAlign w:val="center"/>
          </w:tcPr>
          <w:p>
            <w:r>
              <w:rPr>
                <w:rFonts w:hint="eastAsia" w:ascii="宋体" w:hAnsi="宋体" w:cs="宋体"/>
                <w:b/>
                <w:bCs/>
                <w:szCs w:val="21"/>
              </w:rPr>
              <w:t>同类项目业绩</w:t>
            </w:r>
            <w:r>
              <w:rPr>
                <w:rFonts w:hint="eastAsia"/>
                <w:b/>
                <w:bCs/>
                <w:color w:val="44546A" w:themeColor="text2"/>
                <w:szCs w:val="21"/>
              </w:rPr>
              <w:t>（3分）</w:t>
            </w:r>
          </w:p>
        </w:tc>
        <w:tc>
          <w:tcPr>
            <w:tcW w:w="3013" w:type="pct"/>
            <w:shd w:val="clear" w:color="auto" w:fill="auto"/>
            <w:vAlign w:val="center"/>
          </w:tcPr>
          <w:p>
            <w:r>
              <w:rPr>
                <w:rFonts w:hint="eastAsia" w:ascii="宋体" w:hAnsi="宋体" w:cs="宋体"/>
                <w:szCs w:val="21"/>
              </w:rPr>
              <w:t>根据投标人提供的目前在做的三级医院以上物业管理（含保洁）同类项目服务合同，每个得1分，最高</w:t>
            </w:r>
            <w:r>
              <w:rPr>
                <w:rFonts w:hint="eastAsia" w:ascii="宋体" w:hAnsi="宋体" w:cs="宋体"/>
                <w:color w:val="44546A" w:themeColor="text2"/>
                <w:szCs w:val="21"/>
              </w:rPr>
              <w:t>得3</w:t>
            </w:r>
            <w:r>
              <w:rPr>
                <w:rFonts w:hint="eastAsia" w:ascii="宋体" w:hAnsi="宋体" w:cs="宋体"/>
                <w:szCs w:val="21"/>
              </w:rPr>
              <w:t>分；（需提供合同复印件，同一业主不同合同不重复计分</w:t>
            </w:r>
            <w:r>
              <w:rPr>
                <w:rFonts w:hint="eastAsia" w:ascii="宋体" w:hAnsi="宋体"/>
                <w:szCs w:val="21"/>
              </w:rPr>
              <w:t>。）</w:t>
            </w:r>
          </w:p>
        </w:tc>
        <w:tc>
          <w:tcPr>
            <w:tcW w:w="286" w:type="pct"/>
            <w:shd w:val="clear" w:color="auto" w:fill="auto"/>
            <w:vAlign w:val="center"/>
          </w:tcPr>
          <w:p>
            <w:pPr>
              <w:jc w:val="center"/>
              <w:rPr>
                <w:rFonts w:ascii="Calibri" w:hAnsi="Calibri" w:cs="宋体"/>
                <w:color w:val="000000"/>
              </w:rPr>
            </w:pPr>
            <w:r>
              <w:rPr>
                <w:rFonts w:hint="eastAsia" w:ascii="Calibri" w:hAnsi="Calibri" w:cs="宋体"/>
                <w:color w:val="44546A" w:themeColor="text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46" w:type="pct"/>
            <w:shd w:val="clear" w:color="auto" w:fill="auto"/>
            <w:vAlign w:val="center"/>
          </w:tcPr>
          <w:p>
            <w:pPr>
              <w:adjustRightInd w:val="0"/>
              <w:snapToGrid w:val="0"/>
              <w:spacing w:line="300" w:lineRule="auto"/>
              <w:jc w:val="center"/>
              <w:rPr>
                <w:rFonts w:ascii="宋体" w:hAnsi="宋体" w:cs="宋体"/>
                <w:color w:val="000000"/>
                <w:sz w:val="24"/>
              </w:rPr>
            </w:pPr>
            <w:r>
              <w:rPr>
                <w:rFonts w:hint="eastAsia" w:ascii="宋体" w:hAnsi="宋体" w:cs="宋体"/>
                <w:color w:val="000000"/>
                <w:sz w:val="24"/>
              </w:rPr>
              <w:t>11</w:t>
            </w:r>
          </w:p>
        </w:tc>
        <w:tc>
          <w:tcPr>
            <w:tcW w:w="1453" w:type="pct"/>
            <w:gridSpan w:val="2"/>
            <w:shd w:val="clear" w:color="auto" w:fill="auto"/>
            <w:vAlign w:val="center"/>
          </w:tcPr>
          <w:p>
            <w:pPr>
              <w:spacing w:line="300" w:lineRule="auto"/>
              <w:rPr>
                <w:rFonts w:ascii="宋体" w:hAnsi="宋体" w:cs="宋体"/>
                <w:color w:val="000000"/>
                <w:szCs w:val="21"/>
              </w:rPr>
            </w:pPr>
            <w:r>
              <w:rPr>
                <w:rFonts w:hint="eastAsia" w:ascii="宋体" w:hAnsi="宋体" w:cs="宋体"/>
                <w:b/>
                <w:bCs/>
                <w:color w:val="000000"/>
                <w:sz w:val="24"/>
              </w:rPr>
              <w:t>价格</w:t>
            </w:r>
          </w:p>
        </w:tc>
        <w:tc>
          <w:tcPr>
            <w:tcW w:w="3013" w:type="pct"/>
            <w:shd w:val="clear" w:color="auto" w:fill="auto"/>
            <w:vAlign w:val="center"/>
          </w:tcPr>
          <w:p>
            <w:pPr>
              <w:spacing w:line="300" w:lineRule="auto"/>
              <w:rPr>
                <w:color w:val="000000"/>
              </w:rPr>
            </w:pPr>
            <w:r>
              <w:rPr>
                <w:rFonts w:hint="eastAsia" w:ascii="宋体" w:hAnsi="宋体" w:cs="宋体"/>
                <w:color w:val="000000"/>
                <w:szCs w:val="21"/>
              </w:rPr>
              <w:t>以合格投标人/供应商有效总报价中的最低价为基准价，基准价为</w:t>
            </w:r>
            <w:r>
              <w:rPr>
                <w:rFonts w:hint="eastAsia" w:ascii="宋体" w:hAnsi="宋体" w:cs="宋体"/>
                <w:color w:val="000000"/>
                <w:szCs w:val="21"/>
                <w:u w:val="single"/>
              </w:rPr>
              <w:t xml:space="preserve">30 </w:t>
            </w:r>
            <w:r>
              <w:rPr>
                <w:rFonts w:hint="eastAsia" w:ascii="宋体" w:hAnsi="宋体" w:cs="宋体"/>
                <w:color w:val="000000"/>
                <w:szCs w:val="21"/>
              </w:rPr>
              <w:t>分。报价得分＝（评标基准价/最终报价）</w:t>
            </w:r>
            <w:r>
              <w:rPr>
                <w:rFonts w:hint="eastAsia" w:ascii="宋体" w:hAnsi="宋体" w:cs="宋体"/>
                <w:bCs/>
                <w:color w:val="000000"/>
                <w:szCs w:val="21"/>
              </w:rPr>
              <w:t>×</w:t>
            </w:r>
            <w:r>
              <w:rPr>
                <w:rFonts w:hint="eastAsia" w:ascii="宋体" w:hAnsi="宋体" w:cs="宋体"/>
                <w:bCs/>
                <w:szCs w:val="21"/>
              </w:rPr>
              <w:t>30</w:t>
            </w:r>
            <w:r>
              <w:rPr>
                <w:rFonts w:hint="eastAsia" w:ascii="宋体" w:hAnsi="宋体" w:cs="宋体"/>
                <w:kern w:val="0"/>
                <w:szCs w:val="21"/>
              </w:rPr>
              <w:t xml:space="preserve"> %</w:t>
            </w:r>
            <w:r>
              <w:rPr>
                <w:rFonts w:hint="eastAsia" w:ascii="宋体" w:hAnsi="宋体" w:cs="宋体"/>
                <w:bCs/>
                <w:color w:val="000000"/>
                <w:szCs w:val="21"/>
              </w:rPr>
              <w:t>×</w:t>
            </w:r>
            <w:r>
              <w:rPr>
                <w:rFonts w:hint="eastAsia" w:ascii="宋体" w:hAnsi="宋体" w:cs="宋体"/>
                <w:color w:val="000000"/>
                <w:kern w:val="0"/>
                <w:szCs w:val="21"/>
              </w:rPr>
              <w:t>100</w:t>
            </w:r>
            <w:r>
              <w:rPr>
                <w:rFonts w:hint="eastAsia" w:ascii="宋体" w:hAnsi="宋体" w:cs="宋体"/>
                <w:color w:val="000000"/>
                <w:szCs w:val="21"/>
              </w:rPr>
              <w:t>（小数点后保留2位小数）。</w:t>
            </w:r>
          </w:p>
        </w:tc>
        <w:tc>
          <w:tcPr>
            <w:tcW w:w="286" w:type="pct"/>
            <w:shd w:val="clear" w:color="auto" w:fill="auto"/>
            <w:vAlign w:val="center"/>
          </w:tcPr>
          <w:p>
            <w:pPr>
              <w:spacing w:line="300" w:lineRule="auto"/>
              <w:jc w:val="center"/>
              <w:rPr>
                <w:color w:val="000000"/>
              </w:rPr>
            </w:pPr>
            <w:r>
              <w:rPr>
                <w:rFonts w:hint="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46" w:type="pct"/>
            <w:shd w:val="clear" w:color="auto" w:fill="auto"/>
            <w:vAlign w:val="center"/>
          </w:tcPr>
          <w:p>
            <w:pPr>
              <w:adjustRightInd w:val="0"/>
              <w:snapToGrid w:val="0"/>
              <w:spacing w:line="300" w:lineRule="auto"/>
              <w:jc w:val="center"/>
              <w:rPr>
                <w:rFonts w:ascii="宋体" w:hAnsi="宋体" w:cs="宋体"/>
                <w:b/>
                <w:bCs/>
                <w:color w:val="000000"/>
                <w:sz w:val="24"/>
              </w:rPr>
            </w:pPr>
          </w:p>
        </w:tc>
        <w:tc>
          <w:tcPr>
            <w:tcW w:w="1453" w:type="pct"/>
            <w:gridSpan w:val="2"/>
            <w:shd w:val="clear" w:color="auto" w:fill="auto"/>
            <w:vAlign w:val="center"/>
          </w:tcPr>
          <w:p>
            <w:pPr>
              <w:spacing w:line="300" w:lineRule="auto"/>
              <w:rPr>
                <w:rFonts w:ascii="宋体" w:hAnsi="宋体" w:cs="宋体"/>
                <w:color w:val="000000"/>
                <w:szCs w:val="21"/>
              </w:rPr>
            </w:pPr>
          </w:p>
        </w:tc>
        <w:tc>
          <w:tcPr>
            <w:tcW w:w="3013" w:type="pct"/>
            <w:shd w:val="clear" w:color="auto" w:fill="auto"/>
            <w:vAlign w:val="center"/>
          </w:tcPr>
          <w:p>
            <w:pPr>
              <w:spacing w:line="300" w:lineRule="auto"/>
              <w:rPr>
                <w:rFonts w:ascii="宋体" w:hAnsi="宋体" w:cs="宋体"/>
                <w:color w:val="000000"/>
                <w:szCs w:val="21"/>
              </w:rPr>
            </w:pPr>
            <w:r>
              <w:rPr>
                <w:rFonts w:hint="eastAsia" w:ascii="宋体" w:hAnsi="宋体" w:cs="宋体"/>
                <w:color w:val="000000"/>
                <w:szCs w:val="21"/>
              </w:rPr>
              <w:t>合计</w:t>
            </w:r>
          </w:p>
        </w:tc>
        <w:tc>
          <w:tcPr>
            <w:tcW w:w="286" w:type="pct"/>
            <w:shd w:val="clear" w:color="auto" w:fill="auto"/>
            <w:vAlign w:val="center"/>
          </w:tcPr>
          <w:p>
            <w:pPr>
              <w:spacing w:line="300" w:lineRule="auto"/>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rPr>
              <w:t>100</w:t>
            </w:r>
            <w:r>
              <w:rPr>
                <w:color w:val="000000"/>
              </w:rPr>
              <w:fldChar w:fldCharType="end"/>
            </w:r>
          </w:p>
        </w:tc>
      </w:tr>
    </w:tbl>
    <w:p>
      <w:pPr>
        <w:pStyle w:val="29"/>
      </w:pPr>
    </w:p>
    <w:p>
      <w:pPr>
        <w:pStyle w:val="29"/>
      </w:pPr>
    </w:p>
    <w:p>
      <w:pPr>
        <w:autoSpaceDE w:val="0"/>
        <w:autoSpaceDN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widowControl/>
        <w:jc w:val="left"/>
        <w:rPr>
          <w:rFonts w:ascii="宋体" w:hAnsi="宋体" w:cs="宋体"/>
          <w:sz w:val="24"/>
        </w:rPr>
      </w:pPr>
      <w:r>
        <w:rPr>
          <w:rFonts w:hint="eastAsia" w:ascii="宋体" w:hAnsi="宋体" w:cs="宋体"/>
          <w:sz w:val="24"/>
        </w:rPr>
        <w:t>评标委员会根据全体评标成员签字的原始评标记录和评标结果编写评标报告。</w:t>
      </w:r>
      <w:bookmarkStart w:id="45" w:name="_Toc27944_WPSOffice_Level1"/>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color w:val="44546A" w:themeColor="text2"/>
          <w:sz w:val="36"/>
          <w:szCs w:val="36"/>
        </w:rPr>
      </w:pPr>
      <w:r>
        <w:rPr>
          <w:rFonts w:hint="eastAsia" w:asciiTheme="minorEastAsia" w:hAnsiTheme="minorEastAsia" w:eastAsiaTheme="minorEastAsia"/>
          <w:b/>
          <w:color w:val="44546A" w:themeColor="text2"/>
          <w:sz w:val="36"/>
          <w:szCs w:val="36"/>
        </w:rPr>
        <w:t xml:space="preserve">第五章 </w:t>
      </w:r>
      <w:bookmarkEnd w:id="45"/>
      <w:r>
        <w:rPr>
          <w:rFonts w:hint="eastAsia" w:asciiTheme="minorEastAsia" w:hAnsiTheme="minorEastAsia" w:eastAsiaTheme="minorEastAsia"/>
          <w:b/>
          <w:color w:val="44546A" w:themeColor="text2"/>
          <w:sz w:val="36"/>
          <w:szCs w:val="36"/>
        </w:rPr>
        <w:t>拟签订的合同文本</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以下为成交后签订本项目合同的通用条款，中标人不得提出实质性的修改，关于专用条款将由采购人与中标人结合本项目具体情况协商后签订。</w:t>
      </w:r>
    </w:p>
    <w:p>
      <w:pPr>
        <w:spacing w:line="460" w:lineRule="exact"/>
        <w:ind w:firstLine="480" w:firstLineChars="200"/>
        <w:rPr>
          <w:color w:val="44546A" w:themeColor="text2"/>
          <w:sz w:val="24"/>
        </w:rPr>
      </w:pPr>
      <w:r>
        <w:rPr>
          <w:rFonts w:hint="eastAsia"/>
          <w:color w:val="44546A" w:themeColor="text2"/>
          <w:sz w:val="24"/>
        </w:rPr>
        <w:t>项目名称：                                   项目编号：</w:t>
      </w:r>
    </w:p>
    <w:p>
      <w:pPr>
        <w:spacing w:line="460" w:lineRule="exact"/>
        <w:ind w:firstLine="480" w:firstLineChars="200"/>
        <w:rPr>
          <w:color w:val="44546A" w:themeColor="text2"/>
          <w:sz w:val="24"/>
        </w:rPr>
      </w:pPr>
      <w:r>
        <w:rPr>
          <w:rFonts w:hint="eastAsia"/>
          <w:color w:val="44546A" w:themeColor="text2"/>
          <w:sz w:val="24"/>
        </w:rPr>
        <w:t xml:space="preserve">甲方：（采购单位）                            所在地：                              </w:t>
      </w:r>
    </w:p>
    <w:p>
      <w:pPr>
        <w:spacing w:line="460" w:lineRule="exact"/>
        <w:ind w:firstLine="480" w:firstLineChars="200"/>
        <w:rPr>
          <w:color w:val="44546A" w:themeColor="text2"/>
          <w:sz w:val="24"/>
        </w:rPr>
      </w:pPr>
      <w:r>
        <w:rPr>
          <w:rFonts w:hint="eastAsia"/>
          <w:color w:val="44546A" w:themeColor="text2"/>
          <w:sz w:val="24"/>
        </w:rPr>
        <w:t>乙方：（中标供应商）                          所在地：</w:t>
      </w:r>
    </w:p>
    <w:p>
      <w:pPr>
        <w:spacing w:line="460" w:lineRule="exact"/>
        <w:ind w:firstLine="480" w:firstLineChars="200"/>
        <w:rPr>
          <w:color w:val="44546A" w:themeColor="text2"/>
          <w:sz w:val="24"/>
        </w:rPr>
      </w:pPr>
      <w:r>
        <w:rPr>
          <w:rFonts w:hint="eastAsia"/>
          <w:color w:val="44546A" w:themeColor="text2"/>
          <w:sz w:val="24"/>
        </w:rPr>
        <w:t>甲、乙双方根据</w:t>
      </w:r>
      <w:r>
        <w:rPr>
          <w:rFonts w:hint="eastAsia"/>
          <w:color w:val="44546A" w:themeColor="text2"/>
          <w:sz w:val="24"/>
          <w:u w:val="single"/>
        </w:rPr>
        <w:t>温岭市政府采购中心</w:t>
      </w:r>
      <w:r>
        <w:rPr>
          <w:rFonts w:hint="eastAsia"/>
          <w:color w:val="44546A" w:themeColor="text2"/>
          <w:sz w:val="24"/>
        </w:rPr>
        <w:t>关于台州市中西医结合医院物业管理项目公开招标的结果，签署本合同。</w:t>
      </w:r>
    </w:p>
    <w:p>
      <w:pPr>
        <w:spacing w:line="460" w:lineRule="exact"/>
        <w:ind w:firstLine="482" w:firstLineChars="200"/>
        <w:rPr>
          <w:color w:val="44546A" w:themeColor="text2"/>
          <w:sz w:val="24"/>
        </w:rPr>
      </w:pPr>
      <w:r>
        <w:rPr>
          <w:rFonts w:hint="eastAsia"/>
          <w:b/>
          <w:bCs/>
          <w:color w:val="44546A" w:themeColor="text2"/>
          <w:sz w:val="24"/>
        </w:rPr>
        <w:t>一、合同文件：</w:t>
      </w:r>
    </w:p>
    <w:p>
      <w:pPr>
        <w:spacing w:line="460" w:lineRule="exact"/>
        <w:ind w:firstLine="480" w:firstLineChars="200"/>
        <w:rPr>
          <w:color w:val="44546A" w:themeColor="text2"/>
          <w:sz w:val="24"/>
        </w:rPr>
      </w:pPr>
      <w:r>
        <w:rPr>
          <w:rFonts w:hint="eastAsia"/>
          <w:color w:val="44546A" w:themeColor="text2"/>
          <w:sz w:val="24"/>
        </w:rPr>
        <w:t>1.合同条款。</w:t>
      </w:r>
    </w:p>
    <w:p>
      <w:pPr>
        <w:spacing w:line="460" w:lineRule="exact"/>
        <w:ind w:firstLine="480" w:firstLineChars="200"/>
        <w:rPr>
          <w:color w:val="44546A" w:themeColor="text2"/>
          <w:sz w:val="24"/>
        </w:rPr>
      </w:pPr>
      <w:r>
        <w:rPr>
          <w:rFonts w:hint="eastAsia"/>
          <w:color w:val="44546A" w:themeColor="text2"/>
          <w:sz w:val="24"/>
        </w:rPr>
        <w:t>2.中标通知书。</w:t>
      </w:r>
    </w:p>
    <w:p>
      <w:pPr>
        <w:spacing w:line="460" w:lineRule="exact"/>
        <w:ind w:firstLine="480" w:firstLineChars="200"/>
        <w:rPr>
          <w:color w:val="44546A" w:themeColor="text2"/>
          <w:sz w:val="24"/>
        </w:rPr>
      </w:pPr>
      <w:r>
        <w:rPr>
          <w:rFonts w:hint="eastAsia"/>
          <w:color w:val="44546A" w:themeColor="text2"/>
          <w:sz w:val="24"/>
        </w:rPr>
        <w:t>3.更正补充文件。</w:t>
      </w:r>
    </w:p>
    <w:p>
      <w:pPr>
        <w:spacing w:line="460" w:lineRule="exact"/>
        <w:ind w:firstLine="480" w:firstLineChars="200"/>
        <w:rPr>
          <w:color w:val="44546A" w:themeColor="text2"/>
          <w:sz w:val="24"/>
        </w:rPr>
      </w:pPr>
      <w:r>
        <w:rPr>
          <w:rFonts w:hint="eastAsia"/>
          <w:color w:val="44546A" w:themeColor="text2"/>
          <w:sz w:val="24"/>
        </w:rPr>
        <w:t>4.招标文件。</w:t>
      </w:r>
    </w:p>
    <w:p>
      <w:pPr>
        <w:spacing w:line="460" w:lineRule="exact"/>
        <w:ind w:firstLine="480" w:firstLineChars="200"/>
        <w:rPr>
          <w:color w:val="44546A" w:themeColor="text2"/>
          <w:sz w:val="24"/>
        </w:rPr>
      </w:pPr>
      <w:r>
        <w:rPr>
          <w:rFonts w:hint="eastAsia"/>
          <w:color w:val="44546A" w:themeColor="text2"/>
          <w:sz w:val="24"/>
        </w:rPr>
        <w:t>5.中标供应商投标文件。</w:t>
      </w:r>
    </w:p>
    <w:p>
      <w:pPr>
        <w:spacing w:line="460" w:lineRule="exact"/>
        <w:ind w:firstLine="480" w:firstLineChars="200"/>
        <w:rPr>
          <w:color w:val="44546A" w:themeColor="text2"/>
          <w:sz w:val="24"/>
        </w:rPr>
      </w:pPr>
      <w:r>
        <w:rPr>
          <w:rFonts w:hint="eastAsia"/>
          <w:color w:val="44546A" w:themeColor="text2"/>
          <w:sz w:val="24"/>
        </w:rPr>
        <w:t>6.其他。</w:t>
      </w:r>
    </w:p>
    <w:p>
      <w:pPr>
        <w:spacing w:line="460" w:lineRule="exact"/>
        <w:ind w:firstLine="480" w:firstLineChars="200"/>
        <w:rPr>
          <w:color w:val="44546A" w:themeColor="text2"/>
          <w:sz w:val="24"/>
        </w:rPr>
      </w:pPr>
      <w:r>
        <w:rPr>
          <w:rFonts w:hint="eastAsia"/>
          <w:color w:val="44546A" w:themeColor="text2"/>
          <w:sz w:val="24"/>
        </w:rPr>
        <w:t>上述所指合同文件应认为是互相补充和解释的，但是有模棱两可或互相矛盾之处，以其所列内容顺序为准。</w:t>
      </w:r>
    </w:p>
    <w:p>
      <w:pPr>
        <w:spacing w:line="460" w:lineRule="exact"/>
        <w:ind w:firstLine="482" w:firstLineChars="200"/>
        <w:rPr>
          <w:b/>
          <w:bCs/>
          <w:color w:val="44546A" w:themeColor="text2"/>
          <w:sz w:val="24"/>
        </w:rPr>
      </w:pPr>
      <w:r>
        <w:rPr>
          <w:rFonts w:hint="eastAsia"/>
          <w:b/>
          <w:bCs/>
          <w:color w:val="44546A" w:themeColor="text2"/>
          <w:sz w:val="24"/>
        </w:rPr>
        <w:t>二、合同内容及服务标准</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fldChar w:fldCharType="begin"/>
      </w:r>
      <w:r>
        <w:rPr>
          <w:rFonts w:hint="eastAsia" w:ascii="宋体" w:hAnsi="宋体"/>
          <w:color w:val="44546A" w:themeColor="text2"/>
          <w:sz w:val="24"/>
          <w:lang w:val="zh-CN"/>
        </w:rPr>
        <w:instrText xml:space="preserve"> = 1 \* GB3 </w:instrText>
      </w:r>
      <w:r>
        <w:rPr>
          <w:rFonts w:hint="eastAsia" w:ascii="宋体" w:hAnsi="宋体"/>
          <w:color w:val="44546A" w:themeColor="text2"/>
          <w:sz w:val="24"/>
          <w:lang w:val="zh-CN"/>
        </w:rPr>
        <w:fldChar w:fldCharType="separate"/>
      </w:r>
      <w:r>
        <w:rPr>
          <w:rFonts w:hint="eastAsia" w:ascii="宋体" w:hAnsi="宋体"/>
          <w:color w:val="44546A" w:themeColor="text2"/>
          <w:sz w:val="24"/>
          <w:lang w:val="zh-CN"/>
        </w:rPr>
        <w:t>①</w:t>
      </w:r>
      <w:r>
        <w:rPr>
          <w:rFonts w:hint="eastAsia" w:ascii="宋体" w:hAnsi="宋体"/>
          <w:color w:val="44546A" w:themeColor="text2"/>
          <w:sz w:val="24"/>
          <w:lang w:val="zh-CN"/>
        </w:rPr>
        <w:fldChar w:fldCharType="end"/>
      </w:r>
      <w:r>
        <w:rPr>
          <w:rFonts w:hint="eastAsia" w:ascii="宋体" w:hAnsi="宋体"/>
          <w:color w:val="44546A" w:themeColor="text2"/>
          <w:sz w:val="24"/>
          <w:lang w:val="zh-CN"/>
        </w:rPr>
        <w:t>依据目前医院内各科室、部门的情况，服务人员要求至少配置89人（含管理人员），具体服务人员岗位安排要求各供应商根据实地勘测了解医院各岗位服务内容及要求，并结合各企业的管理水平和服务人员的能力等在投标文件中做出具体响应。</w:t>
      </w:r>
    </w:p>
    <w:p>
      <w:pPr>
        <w:pStyle w:val="10"/>
        <w:spacing w:line="360" w:lineRule="auto"/>
        <w:ind w:firstLine="480" w:firstLineChars="200"/>
        <w:jc w:val="both"/>
        <w:rPr>
          <w:rFonts w:hint="eastAsia" w:ascii="宋体" w:hAnsi="宋体"/>
          <w:color w:val="44546A" w:themeColor="text2"/>
          <w:sz w:val="24"/>
          <w:lang w:val="zh-CN"/>
        </w:rPr>
      </w:pPr>
      <w:r>
        <w:rPr>
          <w:rFonts w:hint="eastAsia" w:ascii="宋体" w:hAnsi="宋体"/>
          <w:color w:val="44546A" w:themeColor="text2"/>
          <w:sz w:val="24"/>
          <w:lang w:val="zh-CN"/>
        </w:rPr>
        <w:fldChar w:fldCharType="begin"/>
      </w:r>
      <w:r>
        <w:rPr>
          <w:rFonts w:hint="eastAsia" w:ascii="宋体" w:hAnsi="宋体"/>
          <w:color w:val="44546A" w:themeColor="text2"/>
          <w:sz w:val="24"/>
          <w:lang w:val="zh-CN"/>
        </w:rPr>
        <w:instrText xml:space="preserve"> = 2 \* GB3 </w:instrText>
      </w:r>
      <w:r>
        <w:rPr>
          <w:rFonts w:hint="eastAsia" w:ascii="宋体" w:hAnsi="宋体"/>
          <w:color w:val="44546A" w:themeColor="text2"/>
          <w:sz w:val="24"/>
          <w:lang w:val="zh-CN"/>
        </w:rPr>
        <w:fldChar w:fldCharType="separate"/>
      </w:r>
      <w:r>
        <w:rPr>
          <w:rFonts w:hint="eastAsia" w:ascii="宋体" w:hAnsi="宋体"/>
          <w:color w:val="44546A" w:themeColor="text2"/>
          <w:sz w:val="24"/>
          <w:lang w:val="zh-CN"/>
        </w:rPr>
        <w:t>②</w:t>
      </w:r>
      <w:r>
        <w:rPr>
          <w:rFonts w:hint="eastAsia" w:ascii="宋体" w:hAnsi="宋体"/>
          <w:color w:val="44546A" w:themeColor="text2"/>
          <w:sz w:val="24"/>
          <w:lang w:val="zh-CN"/>
        </w:rPr>
        <w:fldChar w:fldCharType="end"/>
      </w:r>
      <w:r>
        <w:rPr>
          <w:rFonts w:hint="eastAsia" w:ascii="宋体" w:hAnsi="宋体"/>
          <w:color w:val="44546A" w:themeColor="text2"/>
          <w:sz w:val="24"/>
          <w:lang w:val="zh-CN"/>
        </w:rPr>
        <w:t>配备的管理人员中需有一成员具有配合业主成功创建二级甲等及以上医院的经验。</w:t>
      </w:r>
    </w:p>
    <w:p>
      <w:pPr>
        <w:pStyle w:val="10"/>
        <w:spacing w:line="360" w:lineRule="auto"/>
        <w:ind w:firstLine="480" w:firstLineChars="200"/>
        <w:jc w:val="both"/>
        <w:rPr>
          <w:rFonts w:hint="eastAsia" w:ascii="宋体" w:hAnsi="宋体"/>
          <w:color w:val="44546A" w:themeColor="text2"/>
          <w:sz w:val="24"/>
          <w:lang w:val="zh-CN"/>
        </w:rPr>
      </w:pPr>
    </w:p>
    <w:p>
      <w:pPr>
        <w:pStyle w:val="10"/>
        <w:spacing w:line="360" w:lineRule="auto"/>
        <w:ind w:firstLine="482" w:firstLineChars="200"/>
        <w:jc w:val="both"/>
        <w:rPr>
          <w:rFonts w:hint="eastAsia" w:ascii="宋体" w:hAnsi="宋体"/>
          <w:color w:val="44546A" w:themeColor="text2"/>
          <w:sz w:val="24"/>
          <w:lang w:val="zh-CN"/>
        </w:rPr>
      </w:pPr>
      <w:r>
        <w:rPr>
          <w:rFonts w:hint="eastAsia" w:ascii="宋体" w:hAnsi="宋体"/>
          <w:b/>
          <w:bCs/>
          <w:color w:val="44546A" w:themeColor="text2"/>
          <w:sz w:val="24"/>
          <w:lang w:val="zh-CN"/>
        </w:rPr>
        <w:t>对乙方拟派保洁、运送服务人员的基本要求：</w:t>
      </w:r>
      <w:r>
        <w:rPr>
          <w:rFonts w:hint="eastAsia" w:ascii="宋体" w:hAnsi="宋体"/>
          <w:color w:val="44546A" w:themeColor="text2"/>
          <w:sz w:val="24"/>
          <w:lang w:val="zh-CN"/>
        </w:rPr>
        <w:cr/>
      </w:r>
      <w:r>
        <w:rPr>
          <w:rFonts w:hint="eastAsia" w:ascii="宋体" w:hAnsi="宋体"/>
          <w:color w:val="44546A" w:themeColor="text2"/>
          <w:sz w:val="24"/>
          <w:lang w:val="zh-CN"/>
        </w:rPr>
        <w:t>1、人员要求：拟派本项目服务人员（包括管理人员、保洁人员、运送人员等）须相对固定，由各供应商仔细了解并现场察看医院的具体情况后，在投标文件中做出详细的定人定岗计划表，服务人员上岗率必须达到总人数的90%，中标后不得自行更换。</w:t>
      </w:r>
      <w:r>
        <w:rPr>
          <w:rFonts w:hint="eastAsia" w:ascii="宋体" w:hAnsi="宋体"/>
          <w:color w:val="44546A" w:themeColor="text2"/>
          <w:sz w:val="24"/>
          <w:lang w:val="zh-CN"/>
        </w:rPr>
        <w:cr/>
      </w:r>
      <w:r>
        <w:rPr>
          <w:rFonts w:hint="eastAsia" w:ascii="宋体" w:hAnsi="宋体"/>
          <w:color w:val="44546A" w:themeColor="text2"/>
          <w:sz w:val="24"/>
          <w:lang w:val="zh-CN"/>
        </w:rPr>
        <w:t>2、服务人员需统一着装上岗，并佩戴胸牌。</w:t>
      </w:r>
      <w:r>
        <w:rPr>
          <w:rFonts w:hint="eastAsia" w:ascii="宋体" w:hAnsi="宋体"/>
          <w:color w:val="44546A" w:themeColor="text2"/>
          <w:sz w:val="24"/>
          <w:lang w:val="zh-CN"/>
        </w:rPr>
        <w:cr/>
      </w:r>
      <w:r>
        <w:rPr>
          <w:rFonts w:hint="eastAsia" w:ascii="宋体" w:hAnsi="宋体"/>
          <w:color w:val="44546A" w:themeColor="text2"/>
          <w:sz w:val="24"/>
          <w:lang w:val="zh-CN"/>
        </w:rPr>
        <w:t>3、服务人员具有与承担的服务工作相符的文化程度或工作能力，身体健康，提供体检证明或健康证。</w:t>
      </w:r>
      <w:r>
        <w:rPr>
          <w:rFonts w:hint="eastAsia" w:ascii="宋体" w:hAnsi="宋体"/>
          <w:color w:val="44546A" w:themeColor="text2"/>
          <w:sz w:val="24"/>
          <w:lang w:val="zh-CN"/>
        </w:rPr>
        <w:cr/>
      </w:r>
      <w:r>
        <w:rPr>
          <w:rFonts w:hint="eastAsia" w:ascii="宋体" w:hAnsi="宋体"/>
          <w:color w:val="44546A" w:themeColor="text2"/>
          <w:sz w:val="24"/>
          <w:lang w:val="zh-CN"/>
        </w:rPr>
        <w:t>4、服务人员100%经过岗前培训合格才上岗。</w:t>
      </w:r>
      <w:r>
        <w:rPr>
          <w:rFonts w:hint="eastAsia" w:ascii="宋体" w:hAnsi="宋体"/>
          <w:color w:val="44546A" w:themeColor="text2"/>
          <w:sz w:val="24"/>
          <w:lang w:val="zh-CN"/>
        </w:rPr>
        <w:cr/>
      </w:r>
      <w:r>
        <w:rPr>
          <w:rFonts w:hint="eastAsia" w:ascii="宋体" w:hAnsi="宋体"/>
          <w:color w:val="44546A" w:themeColor="text2"/>
          <w:sz w:val="24"/>
          <w:lang w:val="zh-CN"/>
        </w:rPr>
        <w:t>5、年龄结构:65周岁以上比例不超过10%。</w:t>
      </w:r>
      <w:r>
        <w:rPr>
          <w:rFonts w:hint="eastAsia" w:ascii="宋体" w:hAnsi="宋体"/>
          <w:color w:val="44546A" w:themeColor="text2"/>
          <w:sz w:val="24"/>
          <w:lang w:val="zh-CN"/>
        </w:rPr>
        <w:cr/>
      </w:r>
      <w:r>
        <w:rPr>
          <w:rFonts w:hint="eastAsia" w:ascii="宋体" w:hAnsi="宋体"/>
          <w:color w:val="44546A" w:themeColor="text2"/>
          <w:sz w:val="24"/>
          <w:lang w:val="zh-CN"/>
        </w:rPr>
        <w:t>6、项目负责人要求：年龄45周岁以下、大专及以上学历、有相关工作经验三年及以上；</w:t>
      </w:r>
      <w:r>
        <w:rPr>
          <w:rFonts w:hint="eastAsia" w:ascii="宋体" w:hAnsi="宋体"/>
          <w:color w:val="44546A" w:themeColor="text2"/>
          <w:sz w:val="24"/>
          <w:lang w:val="zh-CN"/>
        </w:rPr>
        <w:cr/>
      </w:r>
      <w:r>
        <w:rPr>
          <w:rFonts w:hint="eastAsia" w:ascii="宋体" w:hAnsi="宋体"/>
          <w:color w:val="44546A" w:themeColor="text2"/>
          <w:sz w:val="24"/>
          <w:lang w:val="zh-CN"/>
        </w:rPr>
        <w:t>7、主管以上管理人员年龄45周岁以下，具有中专以上学历，从事行业经验≥3年，管理经验≥2年。</w:t>
      </w:r>
      <w:r>
        <w:rPr>
          <w:rFonts w:hint="eastAsia" w:ascii="宋体" w:hAnsi="宋体"/>
          <w:color w:val="44546A" w:themeColor="text2"/>
          <w:sz w:val="24"/>
          <w:lang w:val="zh-CN"/>
        </w:rPr>
        <w:cr/>
      </w:r>
      <w:r>
        <w:rPr>
          <w:rFonts w:hint="eastAsia" w:ascii="宋体" w:hAnsi="宋体"/>
          <w:color w:val="44546A" w:themeColor="text2"/>
          <w:sz w:val="24"/>
          <w:lang w:val="zh-CN"/>
        </w:rPr>
        <w:t>8、如果甲方基于适当的理由确认乙方的任何人员为甲方所不能接受，甲方可以书面形式要求撤换该人员。乙方在收到该要求后，将在必需的时间内向甲方提供其可接受的替换人员。</w:t>
      </w:r>
      <w:r>
        <w:rPr>
          <w:rFonts w:hint="eastAsia" w:ascii="宋体" w:hAnsi="宋体"/>
          <w:color w:val="44546A" w:themeColor="text2"/>
          <w:sz w:val="24"/>
          <w:lang w:val="zh-CN"/>
        </w:rPr>
        <w:cr/>
      </w:r>
      <w:r>
        <w:rPr>
          <w:rFonts w:hint="eastAsia" w:ascii="宋体" w:hAnsi="宋体"/>
          <w:color w:val="44546A" w:themeColor="text2"/>
          <w:sz w:val="24"/>
          <w:lang w:val="zh-CN"/>
        </w:rPr>
        <w:t xml:space="preserve"> </w:t>
      </w:r>
      <w:r>
        <w:rPr>
          <w:rFonts w:hint="eastAsia" w:ascii="宋体" w:hAnsi="宋体"/>
          <w:b/>
          <w:bCs/>
          <w:color w:val="44546A" w:themeColor="text2"/>
          <w:sz w:val="24"/>
          <w:lang w:val="zh-CN"/>
        </w:rPr>
        <w:t>其他要求：</w:t>
      </w:r>
    </w:p>
    <w:p>
      <w:pPr>
        <w:pStyle w:val="10"/>
        <w:numPr>
          <w:ilvl w:val="0"/>
          <w:numId w:val="11"/>
        </w:numPr>
        <w:spacing w:line="360" w:lineRule="auto"/>
        <w:ind w:firstLine="480" w:firstLineChars="200"/>
        <w:jc w:val="both"/>
        <w:rPr>
          <w:rFonts w:hint="eastAsia" w:ascii="宋体" w:hAnsi="宋体"/>
          <w:color w:val="44546A" w:themeColor="text2"/>
          <w:sz w:val="24"/>
          <w:lang w:val="zh-CN"/>
        </w:rPr>
      </w:pPr>
      <w:r>
        <w:rPr>
          <w:rFonts w:hint="eastAsia" w:ascii="宋体" w:hAnsi="宋体"/>
          <w:color w:val="44546A" w:themeColor="text2"/>
          <w:sz w:val="24"/>
          <w:lang w:val="zh-CN"/>
        </w:rPr>
        <w:t>所使用的保洁设备工器具须先进、高效、适用。保洁设备清单（保洁设备要求使用美国坦能、德国威霸品牌或同等档次以上的）；保洁药剂清单（保洁药剂要求使用庄臣、3M系列或同等档次以上的）。</w:t>
      </w:r>
      <w:r>
        <w:rPr>
          <w:rFonts w:hint="eastAsia" w:ascii="宋体" w:hAnsi="宋体"/>
          <w:color w:val="44546A" w:themeColor="text2"/>
          <w:sz w:val="24"/>
          <w:lang w:val="zh-CN"/>
        </w:rPr>
        <w:cr/>
      </w:r>
      <w:r>
        <w:rPr>
          <w:rFonts w:hint="eastAsia" w:ascii="宋体" w:hAnsi="宋体"/>
          <w:color w:val="44546A" w:themeColor="text2"/>
          <w:sz w:val="24"/>
          <w:lang w:val="zh-CN"/>
        </w:rPr>
        <w:t>2、保洁设备至少提供自动工业洗衣机（容量20公斤以上）1台、自动工业烘干机（容量20公斤以上）1台、驾驶式洗地机1台、驾驶式扫地车1台、手推式洗地机2台、吸尘吸水机2台、保洁车40台以上、吹干机2台、高压清洗机1台、大功率晶面翻新机1台、抛光机1台及电脑、对讲机若干。</w:t>
      </w:r>
      <w:r>
        <w:rPr>
          <w:rFonts w:hint="eastAsia" w:ascii="宋体" w:hAnsi="宋体"/>
          <w:color w:val="44546A" w:themeColor="text2"/>
          <w:sz w:val="24"/>
          <w:lang w:val="zh-CN"/>
        </w:rPr>
        <w:cr/>
      </w:r>
      <w:r>
        <w:rPr>
          <w:rFonts w:hint="eastAsia" w:ascii="宋体" w:hAnsi="宋体"/>
          <w:color w:val="44546A" w:themeColor="text2"/>
          <w:sz w:val="24"/>
          <w:lang w:val="zh-CN"/>
        </w:rPr>
        <w:t xml:space="preserve"> 乙方在中标后须对医院大楼内全部花岗岩地面做一次晶面抛光处理及保养维护，面积约一万平米。</w:t>
      </w:r>
      <w:r>
        <w:rPr>
          <w:rFonts w:hint="eastAsia" w:ascii="宋体" w:hAnsi="宋体"/>
          <w:color w:val="44546A" w:themeColor="text2"/>
          <w:sz w:val="24"/>
          <w:lang w:val="zh-CN"/>
        </w:rPr>
        <w:cr/>
      </w:r>
      <w:r>
        <w:rPr>
          <w:rFonts w:hint="eastAsia" w:ascii="宋体" w:hAnsi="宋体"/>
          <w:color w:val="44546A" w:themeColor="text2"/>
          <w:sz w:val="24"/>
          <w:lang w:val="zh-CN"/>
        </w:rPr>
        <w:t>4、乙方在服务期内须对医院大楼外面玻璃幕墙做一次清洗，具体时间由采购人决定。</w:t>
      </w:r>
      <w:r>
        <w:rPr>
          <w:rFonts w:hint="eastAsia" w:ascii="宋体" w:hAnsi="宋体"/>
          <w:color w:val="44546A" w:themeColor="text2"/>
          <w:sz w:val="24"/>
          <w:lang w:val="zh-CN"/>
        </w:rPr>
        <w:cr/>
      </w:r>
      <w:r>
        <w:rPr>
          <w:rFonts w:hint="eastAsia" w:ascii="宋体" w:hAnsi="宋体"/>
          <w:color w:val="44546A" w:themeColor="text2"/>
          <w:sz w:val="24"/>
          <w:lang w:val="zh-CN"/>
        </w:rPr>
        <w:t>4、采用信息化手段开展相关工作。</w:t>
      </w:r>
      <w:r>
        <w:rPr>
          <w:rFonts w:hint="eastAsia" w:ascii="宋体" w:hAnsi="宋体"/>
          <w:color w:val="44546A" w:themeColor="text2"/>
          <w:sz w:val="24"/>
          <w:lang w:val="zh-CN"/>
        </w:rPr>
        <w:cr/>
      </w:r>
      <w:r>
        <w:rPr>
          <w:rFonts w:hint="eastAsia" w:ascii="宋体" w:hAnsi="宋体"/>
          <w:color w:val="44546A" w:themeColor="text2"/>
          <w:sz w:val="24"/>
          <w:lang w:val="zh-CN"/>
        </w:rPr>
        <w:t>5、提供使用的保洁、洗涤剂、地面保养产品，必须是通过国家相关部门审批并予以使用的优质环保产品。</w:t>
      </w:r>
      <w:r>
        <w:rPr>
          <w:rFonts w:hint="eastAsia" w:ascii="宋体" w:hAnsi="宋体"/>
          <w:color w:val="44546A" w:themeColor="text2"/>
          <w:sz w:val="24"/>
          <w:lang w:val="zh-CN"/>
        </w:rPr>
        <w:cr/>
      </w:r>
      <w:r>
        <w:rPr>
          <w:rFonts w:hint="eastAsia" w:ascii="宋体" w:hAnsi="宋体"/>
          <w:color w:val="44546A" w:themeColor="text2"/>
          <w:sz w:val="24"/>
          <w:lang w:val="zh-CN"/>
        </w:rPr>
        <w:t>6、所用消毒剂必须是通过国家卫生部审批准予使用的，并符合医院院感科的要求。</w:t>
      </w:r>
      <w:r>
        <w:rPr>
          <w:rFonts w:hint="eastAsia" w:ascii="宋体" w:hAnsi="宋体"/>
          <w:color w:val="44546A" w:themeColor="text2"/>
          <w:sz w:val="24"/>
          <w:lang w:val="zh-CN"/>
        </w:rPr>
        <w:cr/>
      </w:r>
      <w:r>
        <w:rPr>
          <w:rFonts w:hint="eastAsia" w:ascii="宋体" w:hAnsi="宋体"/>
          <w:color w:val="44546A" w:themeColor="text2"/>
          <w:sz w:val="24"/>
          <w:lang w:val="zh-CN"/>
        </w:rPr>
        <w:t>7、工作过程中因供应商责任所造成的经济损失由供应商按实际金额赔偿。</w:t>
      </w:r>
      <w:r>
        <w:rPr>
          <w:rFonts w:hint="eastAsia" w:ascii="宋体" w:hAnsi="宋体"/>
          <w:color w:val="44546A" w:themeColor="text2"/>
          <w:sz w:val="24"/>
          <w:lang w:val="zh-CN"/>
        </w:rPr>
        <w:cr/>
      </w:r>
      <w:r>
        <w:rPr>
          <w:rFonts w:hint="eastAsia" w:ascii="宋体" w:hAnsi="宋体"/>
          <w:color w:val="44546A" w:themeColor="text2"/>
          <w:sz w:val="24"/>
          <w:lang w:val="zh-CN"/>
        </w:rPr>
        <w:t>8、采购人有权利对供应商的工作进行定期或不定期实施考核，具体考核方案由甲方制定。</w:t>
      </w:r>
      <w:r>
        <w:rPr>
          <w:rFonts w:hint="eastAsia" w:ascii="宋体" w:hAnsi="宋体"/>
          <w:color w:val="44546A" w:themeColor="text2"/>
          <w:sz w:val="24"/>
          <w:lang w:val="zh-CN"/>
        </w:rPr>
        <w:cr/>
      </w:r>
      <w:r>
        <w:rPr>
          <w:rFonts w:hint="eastAsia" w:ascii="宋体" w:hAnsi="宋体"/>
          <w:color w:val="44546A" w:themeColor="text2"/>
          <w:sz w:val="24"/>
          <w:lang w:val="zh-CN"/>
        </w:rPr>
        <w:t>9、合同终止条款：如出现以下情况之一，本合同将无条件终止，乙方应赔偿甲方因合同终止带来的各种损失：</w:t>
      </w:r>
      <w:r>
        <w:rPr>
          <w:rFonts w:hint="eastAsia" w:ascii="宋体" w:hAnsi="宋体"/>
          <w:color w:val="44546A" w:themeColor="text2"/>
          <w:sz w:val="24"/>
          <w:lang w:val="zh-CN"/>
        </w:rPr>
        <w:cr/>
      </w:r>
      <w:r>
        <w:rPr>
          <w:rFonts w:hint="eastAsia" w:ascii="宋体" w:hAnsi="宋体"/>
          <w:color w:val="44546A" w:themeColor="text2"/>
          <w:sz w:val="24"/>
          <w:lang w:val="zh-CN"/>
        </w:rPr>
        <w:t>员工季度流失率≥20%。</w:t>
      </w:r>
      <w:r>
        <w:rPr>
          <w:rFonts w:hint="eastAsia" w:ascii="宋体" w:hAnsi="宋体"/>
          <w:color w:val="44546A" w:themeColor="text2"/>
          <w:sz w:val="24"/>
          <w:lang w:val="zh-CN"/>
        </w:rPr>
        <w:cr/>
      </w:r>
      <w:r>
        <w:rPr>
          <w:rFonts w:hint="eastAsia" w:ascii="宋体" w:hAnsi="宋体"/>
          <w:color w:val="44546A" w:themeColor="text2"/>
          <w:sz w:val="24"/>
          <w:lang w:val="zh-CN"/>
        </w:rPr>
        <w:t>员工最低工资低于国家标准。</w:t>
      </w:r>
      <w:r>
        <w:rPr>
          <w:rFonts w:hint="eastAsia" w:ascii="宋体" w:hAnsi="宋体"/>
          <w:color w:val="44546A" w:themeColor="text2"/>
          <w:sz w:val="24"/>
          <w:lang w:val="zh-CN"/>
        </w:rPr>
        <w:cr/>
      </w:r>
      <w:r>
        <w:rPr>
          <w:rFonts w:hint="eastAsia" w:ascii="宋体" w:hAnsi="宋体"/>
          <w:color w:val="44546A" w:themeColor="text2"/>
          <w:sz w:val="24"/>
          <w:lang w:val="zh-CN"/>
        </w:rPr>
        <w:t>乙方不愿意承担员工的工资津贴、奖金和与其工作相关的、国家或地方法规所征收的其他税收、费用、社会福利和加班费。</w:t>
      </w:r>
      <w:r>
        <w:rPr>
          <w:rFonts w:hint="eastAsia" w:ascii="宋体" w:hAnsi="宋体"/>
          <w:color w:val="44546A" w:themeColor="text2"/>
          <w:sz w:val="24"/>
          <w:lang w:val="zh-CN"/>
        </w:rPr>
        <w:cr/>
      </w:r>
      <w:r>
        <w:rPr>
          <w:rFonts w:hint="eastAsia" w:ascii="宋体" w:hAnsi="宋体"/>
          <w:color w:val="44546A" w:themeColor="text2"/>
          <w:sz w:val="24"/>
          <w:lang w:val="zh-CN"/>
        </w:rPr>
        <w:t>10、乙方每年应将保洁人员、运送人员档案及所有管理及培训资料交一份给医院后勤管理部门，每月将保洁人员，运送人员的考勤考核资料交一份给医院后勤管理部门。</w:t>
      </w:r>
      <w:r>
        <w:rPr>
          <w:rFonts w:hint="eastAsia" w:ascii="宋体" w:hAnsi="宋体"/>
          <w:color w:val="44546A" w:themeColor="text2"/>
          <w:sz w:val="24"/>
          <w:lang w:val="zh-CN"/>
        </w:rPr>
        <w:cr/>
      </w:r>
      <w:r>
        <w:rPr>
          <w:rFonts w:hint="eastAsia" w:ascii="宋体" w:hAnsi="宋体"/>
          <w:color w:val="44546A" w:themeColor="text2"/>
          <w:sz w:val="24"/>
          <w:lang w:val="zh-CN"/>
        </w:rPr>
        <w:t>11、每月定期召开甲乙双方的联席会议，乙方向甲方汇报每月工作总结、投诉处理等工作情况，及时联系沟通日常工作情况、研究协调有关问题、讨论和提出保洁、运送、电梯、医辅等工作的意见建议。</w:t>
      </w:r>
      <w:r>
        <w:rPr>
          <w:rFonts w:hint="eastAsia" w:ascii="宋体" w:hAnsi="宋体"/>
          <w:color w:val="44546A" w:themeColor="text2"/>
          <w:sz w:val="24"/>
          <w:lang w:val="zh-CN"/>
        </w:rPr>
        <w:cr/>
      </w:r>
      <w:r>
        <w:rPr>
          <w:rFonts w:hint="eastAsia" w:ascii="宋体" w:hAnsi="宋体"/>
          <w:color w:val="44546A" w:themeColor="text2"/>
          <w:sz w:val="24"/>
          <w:lang w:val="zh-CN"/>
        </w:rPr>
        <w:t>12、乙方有责任配合医院接受上级领导部门的监督、检查，提供必须的资料。每个月双方对服务的各项条款进行综合满意度的调查和现场督查。</w:t>
      </w:r>
      <w:r>
        <w:rPr>
          <w:rFonts w:hint="eastAsia" w:ascii="宋体" w:hAnsi="宋体"/>
          <w:color w:val="44546A" w:themeColor="text2"/>
          <w:sz w:val="24"/>
          <w:lang w:val="zh-CN"/>
        </w:rPr>
        <w:cr/>
      </w:r>
      <w:r>
        <w:rPr>
          <w:rFonts w:hint="eastAsia" w:ascii="宋体" w:hAnsi="宋体"/>
          <w:color w:val="44546A" w:themeColor="text2"/>
          <w:sz w:val="24"/>
          <w:lang w:val="zh-CN"/>
        </w:rPr>
        <w:t>13、合同履行完毕时，乙方应将包含保洁、运送服务的全部资料移交给医院。</w:t>
      </w:r>
      <w:r>
        <w:rPr>
          <w:rFonts w:hint="eastAsia" w:ascii="宋体" w:hAnsi="宋体"/>
          <w:color w:val="44546A" w:themeColor="text2"/>
          <w:sz w:val="24"/>
          <w:lang w:val="zh-CN"/>
        </w:rPr>
        <w:cr/>
      </w:r>
      <w:r>
        <w:rPr>
          <w:rFonts w:hint="eastAsia" w:ascii="宋体" w:hAnsi="宋体"/>
          <w:color w:val="44546A" w:themeColor="text2"/>
          <w:sz w:val="24"/>
          <w:lang w:val="zh-CN"/>
        </w:rPr>
        <w:t>14、乙方应保证在承包期内其员工最低月工资不低于台州市最低工资标准。在合同期内，若台州市最低保障工资上调，则人员费用调高部分由乙方自行承担,医院不再另行支付任何费用。</w:t>
      </w:r>
      <w:r>
        <w:rPr>
          <w:rFonts w:hint="eastAsia" w:ascii="宋体" w:hAnsi="宋体"/>
          <w:color w:val="44546A" w:themeColor="text2"/>
          <w:sz w:val="24"/>
          <w:lang w:val="zh-CN"/>
        </w:rPr>
        <w:cr/>
      </w:r>
      <w:r>
        <w:rPr>
          <w:rFonts w:hint="eastAsia" w:ascii="宋体" w:hAnsi="宋体"/>
          <w:color w:val="44546A" w:themeColor="text2"/>
          <w:sz w:val="24"/>
          <w:lang w:val="zh-CN"/>
        </w:rPr>
        <w:t xml:space="preserve"> 乙方需承担的配套费用：</w:t>
      </w:r>
      <w:r>
        <w:rPr>
          <w:rFonts w:hint="eastAsia" w:ascii="宋体" w:hAnsi="宋体"/>
          <w:color w:val="44546A" w:themeColor="text2"/>
          <w:sz w:val="24"/>
          <w:lang w:val="zh-CN"/>
        </w:rPr>
        <w:cr/>
      </w:r>
      <w:r>
        <w:rPr>
          <w:rFonts w:hint="eastAsia" w:ascii="宋体" w:hAnsi="宋体"/>
          <w:color w:val="44546A" w:themeColor="text2"/>
          <w:sz w:val="24"/>
          <w:lang w:val="zh-CN"/>
        </w:rPr>
        <w:t>1、保洁设备、器具、耗材；保洁工作所需全部设备和工器具及其清洁剂、洗涤剂、消毒剂、垃圾袋、地板蜡、抹布等耗材。</w:t>
      </w:r>
      <w:r>
        <w:rPr>
          <w:rFonts w:hint="eastAsia" w:ascii="宋体" w:hAnsi="宋体"/>
          <w:color w:val="44546A" w:themeColor="text2"/>
          <w:sz w:val="24"/>
          <w:lang w:val="zh-CN"/>
        </w:rPr>
        <w:cr/>
      </w:r>
      <w:r>
        <w:rPr>
          <w:rFonts w:hint="eastAsia" w:ascii="宋体" w:hAnsi="宋体"/>
          <w:color w:val="44546A" w:themeColor="text2"/>
          <w:sz w:val="24"/>
          <w:lang w:val="zh-CN"/>
        </w:rPr>
        <w:t xml:space="preserve">    2、自备办公电脑、考勤设备和打印机等办公设备、设施和耗材；自行负责桌椅等办公家私和员工更衣柜等；自备工作装备（包括对讲机以及对讲机公共频道占用费及维修费用等）。</w:t>
      </w:r>
      <w:r>
        <w:rPr>
          <w:rFonts w:hint="eastAsia" w:ascii="宋体" w:hAnsi="宋体"/>
          <w:color w:val="44546A" w:themeColor="text2"/>
          <w:sz w:val="24"/>
          <w:lang w:val="zh-CN"/>
        </w:rPr>
        <w:cr/>
      </w:r>
      <w:r>
        <w:rPr>
          <w:rFonts w:hint="eastAsia" w:ascii="宋体" w:hAnsi="宋体"/>
          <w:color w:val="44546A" w:themeColor="text2"/>
          <w:sz w:val="24"/>
          <w:lang w:val="zh-CN"/>
        </w:rPr>
        <w:t>3、保洁管理人员、保洁人员统一配置工制服、并定期清洗、消毒，保持洁净。</w:t>
      </w:r>
      <w:r>
        <w:rPr>
          <w:rFonts w:hint="eastAsia" w:ascii="宋体" w:hAnsi="宋体"/>
          <w:color w:val="44546A" w:themeColor="text2"/>
          <w:sz w:val="24"/>
          <w:lang w:val="zh-CN"/>
        </w:rPr>
        <w:cr/>
      </w:r>
      <w:r>
        <w:rPr>
          <w:rFonts w:hint="eastAsia" w:ascii="宋体" w:hAnsi="宋体"/>
          <w:color w:val="44546A" w:themeColor="text2"/>
          <w:sz w:val="24"/>
          <w:lang w:val="zh-CN"/>
        </w:rPr>
        <w:t>4、保洁人员的住宿、交通、通讯费用等。</w:t>
      </w:r>
      <w:r>
        <w:rPr>
          <w:rFonts w:hint="eastAsia" w:ascii="宋体" w:hAnsi="宋体"/>
          <w:color w:val="44546A" w:themeColor="text2"/>
          <w:sz w:val="24"/>
          <w:lang w:val="zh-CN"/>
        </w:rPr>
        <w:cr/>
      </w:r>
      <w:r>
        <w:rPr>
          <w:rFonts w:hint="eastAsia" w:ascii="宋体" w:hAnsi="宋体"/>
          <w:color w:val="44546A" w:themeColor="text2"/>
          <w:sz w:val="24"/>
          <w:lang w:val="zh-CN"/>
        </w:rPr>
        <w:t>5、乙方自行负责其员工的一切工资、福利；如发生工伤、疾病乃至死亡的一切责任及费用。</w:t>
      </w:r>
      <w:r>
        <w:rPr>
          <w:rFonts w:hint="eastAsia" w:ascii="宋体" w:hAnsi="宋体"/>
          <w:color w:val="44546A" w:themeColor="text2"/>
          <w:sz w:val="24"/>
          <w:lang w:val="zh-CN"/>
        </w:rPr>
        <w:cr/>
      </w:r>
      <w:r>
        <w:rPr>
          <w:rFonts w:hint="eastAsia" w:ascii="宋体" w:hAnsi="宋体"/>
          <w:color w:val="44546A" w:themeColor="text2"/>
          <w:sz w:val="24"/>
          <w:lang w:val="zh-CN"/>
        </w:rPr>
        <w:t>6、如因乙方原因造成第三方损失的，一切责任及费用由乙方全部负责。</w:t>
      </w:r>
      <w:r>
        <w:rPr>
          <w:rFonts w:hint="eastAsia" w:ascii="宋体" w:hAnsi="宋体"/>
          <w:color w:val="44546A" w:themeColor="text2"/>
          <w:sz w:val="24"/>
          <w:lang w:val="zh-CN"/>
        </w:rPr>
        <w:cr/>
      </w:r>
      <w:r>
        <w:rPr>
          <w:rFonts w:hint="eastAsia" w:ascii="宋体" w:hAnsi="宋体"/>
          <w:color w:val="44546A" w:themeColor="text2"/>
          <w:sz w:val="24"/>
          <w:lang w:val="zh-CN"/>
        </w:rPr>
        <w:t>7、全部服务人员劳动合同的执行严格按照《中华人民共和国劳动法》的规定。服务人员应严格按国家有关法律、法规的标准、基数和比例缴纳养老保险、医疗保险、失业保险、工伤、生育险和住房公积金等。</w:t>
      </w:r>
      <w:r>
        <w:rPr>
          <w:rFonts w:hint="eastAsia" w:ascii="宋体" w:hAnsi="宋体"/>
          <w:color w:val="44546A" w:themeColor="text2"/>
          <w:sz w:val="24"/>
          <w:lang w:val="zh-CN"/>
        </w:rPr>
        <w:cr/>
      </w:r>
      <w:r>
        <w:rPr>
          <w:rFonts w:hint="eastAsia" w:ascii="宋体" w:hAnsi="宋体"/>
          <w:color w:val="44546A" w:themeColor="text2"/>
          <w:sz w:val="24"/>
          <w:lang w:val="zh-CN"/>
        </w:rPr>
        <w:t>8、员工培训教育费用。</w:t>
      </w:r>
      <w:r>
        <w:rPr>
          <w:rFonts w:hint="eastAsia" w:ascii="宋体" w:hAnsi="宋体"/>
          <w:color w:val="44546A" w:themeColor="text2"/>
          <w:sz w:val="24"/>
          <w:lang w:val="zh-CN"/>
        </w:rPr>
        <w:cr/>
      </w:r>
      <w:r>
        <w:rPr>
          <w:rFonts w:hint="eastAsia" w:ascii="宋体" w:hAnsi="宋体"/>
          <w:color w:val="44546A" w:themeColor="text2"/>
          <w:sz w:val="24"/>
          <w:lang w:val="zh-CN"/>
        </w:rPr>
        <w:t>9、采购人不接受乙方任何因遗漏报价而发生的费用追加，因乙方违反《劳动法》等法律法规而造成院方的连带责任和损失全部由乙方承担。</w:t>
      </w:r>
    </w:p>
    <w:p>
      <w:pPr>
        <w:pStyle w:val="10"/>
        <w:spacing w:line="360" w:lineRule="auto"/>
        <w:ind w:firstLine="482" w:firstLineChars="200"/>
        <w:jc w:val="both"/>
        <w:rPr>
          <w:rFonts w:hint="eastAsia" w:ascii="宋体" w:hAnsi="宋体" w:cs="Times New Roman"/>
          <w:b/>
          <w:bCs/>
          <w:color w:val="44546A" w:themeColor="text2"/>
          <w:sz w:val="24"/>
          <w:lang w:val="zh-CN"/>
        </w:rPr>
      </w:pPr>
      <w:r>
        <w:rPr>
          <w:rFonts w:hint="eastAsia" w:ascii="宋体" w:hAnsi="宋体" w:cs="Times New Roman"/>
          <w:b/>
          <w:bCs/>
          <w:color w:val="44546A" w:themeColor="text2"/>
          <w:sz w:val="24"/>
          <w:lang w:val="zh-CN"/>
        </w:rPr>
        <w:t>岗位服务内容及要求：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1、保洁岗位服务内容及要求：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（1）负责服务区域内和室内所有放置的家具物品设施等清洁卫生和消毒。（如墙面、地面、门、窗、窗帘、桌、椅、床单元、车、柜、洗手间、电梯间、开水间、工具间、污物间、楼梯、公共通道等）。</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（2）保持服务范围内环境卫生，垃圾达3/4满随时更换，并有效封口，及时处理，防止院内传播和交叉感染发生；</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（3）对不同区域的清洁工具按医院感染科的要求及消毒隔离原则，实行严格分类摆放和使用，用颜色、字标等方式进行区分；保洁用具，每次按照规定配置消毒液，浓度准确；</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（4）按医院感染科的要求，定点定期进行环境消毒；负责各科室、病区的物品表面、地面、厕所等清洁和消毒工作。特殊病房按具体要求实施消毒隔离措施；</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 xml:space="preserve">（5）负责巡视、清洁各楼层公共洗手间，保持洗手间清洁、干燥、无异味，必要时点香祛味； </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（6）负责对生活垃圾和医疗垃圾进行收集、交接、转运；</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（7）每日上、下午清洁、湿拖地面各一次，随脏随拖；</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（8）负责水池、微波炉清洁，随脏随抹；</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（9）负责清洁门、窗、玻璃、宣传栏、公示栏、输液架、晾衣架、电视机、电话机等物品；</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（10）负责保持办公桌、椅清洁；</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（11）负责擦拭消毒平车、轮椅、陪客椅、床栏等，随脏随擦；</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（12）做好出院病人的终末消毒，床单元终末处置符合消毒规范；</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（13）保持病房整洁、物品定点定位放置；</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（14）听从护士长或部门负责人安排；做好所在部门的勤杂工作；</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（15）负责电梯保洁，不锈钢电梯门、轿箱、不锈钢门框等保养；</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（16）外环境、绿化带、屋顶平台、地下车库、车棚等垃圾清理，做好门前三包；</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（17）其他保洁任务服从医院安排：如宿舍、闲置房卫生等。如未详尽事宜以实际操作情况为准。</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2、配送岗位服务内容和要求：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负责服务区域内标本、药品、物品、预约检查、送会诊单、检查护送、特殊病人院内检查的陪送服务、搬运物资、协助完成患者转科、迁床及加床工作等。严禁进行任何护理专业技术操作。严格执行各项规章制度和操作规程，做好陪检过程的安全和沟通工作，做到及时、安全、无误；严防差错事故发生；危重病人必须和医生或护士共同陪同，要密切观察病情变化，发生异常及时报告、处理；呼吸道传染病外出检查时督促病人带好口罩。遇有应急情况或突击性任务服从全院调配。</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3、急诊值班岗位服务内容及要求：服从急诊科护士长的管理和工作安排，包括各诊室卫生、护送急诊病人、值班期间全院的标本运送、借取物品、协助夜间陪检等。</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4、手术室岗位服务内容及要求：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（1）负责生活区（包括卫生间）、清洗间、消毒间的清洁； （2）每台手术结束后的手术间清洁及垃圾清运；每日手术全部结束后的手术间彻底清洁； （3）送手术间病理标本；手术间取药、物资领取等； （4）空调风口清洁； （5）接送手术病人； （6）拖鞋清洗消毒； （7）每日一次：清洁擦拭所有接送病人的平车；污物桶清洗；水槽清洗；（8）服从手术室护士长的管理和其他工作安排。</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5、专项服务内容及要求：地下停车场及设备层等公共区域卫生；公共区域PVC地面、地砖、花岗岩、水磨石地面的清洁和保养， PVC 地面起蜡、落蜡一年一次（特殊科室）。墙面、台级、玻璃及其他手够及处高空作业方面的保洁；每周清洁楼层平台；每二月清洗3米下外墙；每月擦天花板、应急灯、消毒灯、排气扇、中央空调通风口等高处物品，随脏随清洁；每月进行蛛网清除；负责全院应急任务、物资搬运工作。要求人员身强体壮，认真负责及时应对。</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6、ICU护工岗位服务内容及要求：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（1）在护士长的领导下，提供24 小时服务，配合护士做好病区相关护理工作。</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（2）协助护士做好晨、晚间护理如洗脸、洗脚、翻身、拍背。</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（3）负责病人生活用品管理；协助完成喂水、喂饭、准备鼻饲液。</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（4）协助完成病人生活护理：如头发、胡须、口腔、肛门卫生，负责递送便器、倾倒、清洗、消毒便器。</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（5）出院病床及用具消毒。</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（6）进行医疗垃圾和生活垃圾分类与回收、转交。</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（7）床头柜一桌一巾、一床一巾擦拭消毒。</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（8）负责窗、灯、门的开关。</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7、医疗废弃物暂存处工作内容：负责医疗废物的交接、暂存处清洁、消毒、登记工作，其他未尽事宜服从总务科的管理。</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8、垃圾收集工工作内容及要求：负责医疗废物的收集、交接、转运。生活垃圾收集工参照此要求。</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（1）严格执行医院医疗废弃物管理的有关制度及消毒隔离措施；</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（2）工作人员做好自身防护，戴口罩、手套、帽子、围裙、护袖等；</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（3）每日使用带盖车对生活垃圾、医疗垃圾进行清运1-2次；特殊情况增加清运次数；</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（4）生活垃圾、医疗垃圾按规定路线运送到指定地点，确保垃圾无二次污染等；做到人车不分离。</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（5）垃圾车应每天清洗消毒；</w:t>
      </w:r>
    </w:p>
    <w:p>
      <w:pPr>
        <w:pStyle w:val="10"/>
        <w:spacing w:line="360" w:lineRule="auto"/>
        <w:ind w:firstLine="480" w:firstLineChars="200"/>
        <w:jc w:val="both"/>
        <w:rPr>
          <w:rFonts w:ascii="宋体" w:hAnsi="宋体"/>
          <w:color w:val="44546A" w:themeColor="text2"/>
          <w:sz w:val="24"/>
          <w:lang w:val="zh-CN"/>
        </w:rPr>
      </w:pPr>
      <w:r>
        <w:rPr>
          <w:rFonts w:hint="eastAsia" w:ascii="宋体" w:hAnsi="宋体"/>
          <w:color w:val="44546A" w:themeColor="text2"/>
          <w:sz w:val="24"/>
          <w:lang w:val="zh-CN"/>
        </w:rPr>
        <w:t>（6）做好医疗废弃物的暂存、登记台帐资料。</w:t>
      </w:r>
    </w:p>
    <w:p>
      <w:pPr>
        <w:pStyle w:val="10"/>
        <w:spacing w:line="360" w:lineRule="auto"/>
        <w:ind w:firstLine="480" w:firstLineChars="200"/>
        <w:jc w:val="both"/>
        <w:rPr>
          <w:rFonts w:hint="eastAsia" w:ascii="宋体" w:hAnsi="宋体"/>
          <w:color w:val="44546A" w:themeColor="text2"/>
          <w:sz w:val="24"/>
          <w:lang w:val="zh-CN"/>
        </w:rPr>
      </w:pPr>
      <w:r>
        <w:rPr>
          <w:rFonts w:hint="eastAsia" w:ascii="宋体" w:hAnsi="宋体"/>
          <w:color w:val="44546A" w:themeColor="text2"/>
          <w:sz w:val="24"/>
          <w:lang w:val="zh-CN"/>
        </w:rPr>
        <w:t>9、服务范围和服务内容如有重大调整，由双方共同协商解决。</w:t>
      </w:r>
    </w:p>
    <w:p>
      <w:pPr>
        <w:spacing w:line="460" w:lineRule="exact"/>
        <w:ind w:firstLine="482" w:firstLineChars="200"/>
        <w:rPr>
          <w:b/>
          <w:bCs/>
          <w:color w:val="44546A" w:themeColor="text2"/>
          <w:sz w:val="24"/>
        </w:rPr>
      </w:pPr>
      <w:r>
        <w:rPr>
          <w:rFonts w:hint="eastAsia"/>
          <w:b/>
          <w:bCs/>
          <w:color w:val="44546A" w:themeColor="text2"/>
          <w:sz w:val="24"/>
        </w:rPr>
        <w:t>三、合同金额</w:t>
      </w:r>
    </w:p>
    <w:p>
      <w:pPr>
        <w:spacing w:line="460" w:lineRule="exact"/>
        <w:ind w:firstLine="480" w:firstLineChars="200"/>
        <w:rPr>
          <w:color w:val="44546A" w:themeColor="text2"/>
          <w:sz w:val="24"/>
        </w:rPr>
      </w:pPr>
      <w:r>
        <w:rPr>
          <w:rFonts w:hint="eastAsia"/>
          <w:color w:val="44546A" w:themeColor="text2"/>
          <w:sz w:val="24"/>
        </w:rPr>
        <w:t>本合同金额为（大写）：____________________________________元（￥_______________元）人民币。</w:t>
      </w:r>
    </w:p>
    <w:p>
      <w:pPr>
        <w:spacing w:line="460" w:lineRule="exact"/>
        <w:ind w:firstLine="482" w:firstLineChars="200"/>
        <w:rPr>
          <w:b/>
          <w:bCs/>
          <w:color w:val="44546A" w:themeColor="text2"/>
          <w:sz w:val="24"/>
        </w:rPr>
      </w:pPr>
      <w:r>
        <w:rPr>
          <w:rFonts w:hint="eastAsia"/>
          <w:b/>
          <w:bCs/>
          <w:color w:val="44546A" w:themeColor="text2"/>
          <w:sz w:val="24"/>
        </w:rPr>
        <w:t>四、甲乙双方责任</w:t>
      </w:r>
    </w:p>
    <w:p>
      <w:pPr>
        <w:spacing w:line="460" w:lineRule="exact"/>
        <w:ind w:firstLine="480" w:firstLineChars="200"/>
        <w:rPr>
          <w:color w:val="44546A" w:themeColor="text2"/>
          <w:sz w:val="24"/>
        </w:rPr>
      </w:pPr>
      <w:r>
        <w:rPr>
          <w:rFonts w:hint="eastAsia"/>
          <w:color w:val="44546A" w:themeColor="text2"/>
          <w:sz w:val="24"/>
        </w:rPr>
        <w:t>（一）甲方责任</w:t>
      </w:r>
    </w:p>
    <w:p>
      <w:pPr>
        <w:spacing w:line="460" w:lineRule="exact"/>
        <w:ind w:firstLine="480" w:firstLineChars="200"/>
        <w:rPr>
          <w:color w:val="44546A" w:themeColor="text2"/>
          <w:sz w:val="24"/>
        </w:rPr>
      </w:pPr>
      <w:r>
        <w:rPr>
          <w:rFonts w:hint="eastAsia"/>
          <w:color w:val="44546A" w:themeColor="text2"/>
          <w:sz w:val="24"/>
        </w:rPr>
        <w:t>（根据招标结果确定）</w:t>
      </w:r>
    </w:p>
    <w:p>
      <w:pPr>
        <w:spacing w:line="460" w:lineRule="exact"/>
        <w:ind w:firstLine="480" w:firstLineChars="200"/>
        <w:rPr>
          <w:color w:val="44546A" w:themeColor="text2"/>
          <w:sz w:val="24"/>
        </w:rPr>
      </w:pPr>
      <w:r>
        <w:rPr>
          <w:rFonts w:hint="eastAsia"/>
          <w:color w:val="44546A" w:themeColor="text2"/>
          <w:sz w:val="24"/>
        </w:rPr>
        <w:t>（二）乙方责任</w:t>
      </w:r>
    </w:p>
    <w:p>
      <w:pPr>
        <w:spacing w:line="460" w:lineRule="exact"/>
        <w:ind w:firstLine="480" w:firstLineChars="200"/>
        <w:rPr>
          <w:color w:val="44546A" w:themeColor="text2"/>
          <w:sz w:val="24"/>
        </w:rPr>
      </w:pPr>
      <w:r>
        <w:rPr>
          <w:rFonts w:hint="eastAsia"/>
          <w:color w:val="44546A" w:themeColor="text2"/>
          <w:sz w:val="24"/>
        </w:rPr>
        <w:t>（根据招标结果确定）</w:t>
      </w:r>
    </w:p>
    <w:p>
      <w:pPr>
        <w:spacing w:line="460" w:lineRule="exact"/>
        <w:ind w:firstLine="482" w:firstLineChars="200"/>
        <w:rPr>
          <w:color w:val="44546A" w:themeColor="text2"/>
          <w:sz w:val="24"/>
        </w:rPr>
      </w:pPr>
      <w:r>
        <w:rPr>
          <w:rFonts w:hint="eastAsia" w:ascii="宋体" w:hAnsi="宋体" w:cstheme="minorBidi"/>
          <w:b/>
          <w:color w:val="44546A" w:themeColor="text2"/>
          <w:sz w:val="24"/>
        </w:rPr>
        <w:t>五、技术资料</w:t>
      </w:r>
    </w:p>
    <w:p>
      <w:pPr>
        <w:spacing w:line="460" w:lineRule="exact"/>
        <w:ind w:firstLine="480" w:firstLineChars="200"/>
        <w:rPr>
          <w:color w:val="44546A" w:themeColor="text2"/>
          <w:sz w:val="24"/>
        </w:rPr>
      </w:pPr>
      <w:r>
        <w:rPr>
          <w:rFonts w:hint="eastAsia"/>
          <w:color w:val="44546A" w:themeColor="text2"/>
          <w:sz w:val="24"/>
        </w:rPr>
        <w:t>1. 乙方应按招标文件规定的时间向甲方提供有关技术资料。</w:t>
      </w:r>
    </w:p>
    <w:p>
      <w:pPr>
        <w:spacing w:line="460" w:lineRule="exact"/>
        <w:ind w:firstLine="480" w:firstLineChars="200"/>
        <w:rPr>
          <w:color w:val="44546A" w:themeColor="text2"/>
          <w:sz w:val="24"/>
        </w:rPr>
      </w:pPr>
      <w:r>
        <w:rPr>
          <w:rFonts w:hint="eastAsia"/>
          <w:color w:val="44546A" w:themeColor="text2"/>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60" w:lineRule="exact"/>
        <w:ind w:firstLine="482" w:firstLineChars="200"/>
        <w:rPr>
          <w:color w:val="44546A" w:themeColor="text2"/>
          <w:sz w:val="24"/>
        </w:rPr>
      </w:pPr>
      <w:r>
        <w:rPr>
          <w:rFonts w:hint="eastAsia" w:ascii="宋体" w:hAnsi="宋体" w:cstheme="minorBidi"/>
          <w:b/>
          <w:color w:val="44546A" w:themeColor="text2"/>
          <w:sz w:val="24"/>
        </w:rPr>
        <w:t>六、知识产权</w:t>
      </w:r>
    </w:p>
    <w:p>
      <w:pPr>
        <w:spacing w:line="460" w:lineRule="exact"/>
        <w:ind w:firstLine="480" w:firstLineChars="200"/>
        <w:rPr>
          <w:color w:val="44546A" w:themeColor="text2"/>
          <w:sz w:val="24"/>
        </w:rPr>
      </w:pPr>
      <w:r>
        <w:rPr>
          <w:rFonts w:hint="eastAsia"/>
          <w:color w:val="44546A" w:themeColor="text2"/>
          <w:sz w:val="24"/>
        </w:rPr>
        <w:t>乙方应保证提供服务过程中不会侵犯任何第三方的知识产权。</w:t>
      </w:r>
    </w:p>
    <w:p>
      <w:pPr>
        <w:spacing w:line="460" w:lineRule="exact"/>
        <w:ind w:firstLine="482" w:firstLineChars="200"/>
        <w:rPr>
          <w:b/>
          <w:bCs/>
          <w:color w:val="44546A" w:themeColor="text2"/>
          <w:sz w:val="24"/>
        </w:rPr>
      </w:pPr>
      <w:r>
        <w:rPr>
          <w:rFonts w:hint="eastAsia"/>
          <w:b/>
          <w:bCs/>
          <w:color w:val="44546A" w:themeColor="text2"/>
          <w:sz w:val="24"/>
        </w:rPr>
        <w:t>七、履约保证金</w:t>
      </w:r>
    </w:p>
    <w:p>
      <w:pPr>
        <w:spacing w:line="460" w:lineRule="exact"/>
        <w:ind w:firstLine="480" w:firstLineChars="200"/>
        <w:rPr>
          <w:color w:val="44546A" w:themeColor="text2"/>
          <w:sz w:val="24"/>
        </w:rPr>
      </w:pPr>
      <w:r>
        <w:rPr>
          <w:rFonts w:hint="eastAsia"/>
          <w:color w:val="44546A" w:themeColor="text2"/>
          <w:sz w:val="24"/>
        </w:rPr>
        <w:t>1.本项目履约保证金为合同金额的</w:t>
      </w:r>
      <w:r>
        <w:rPr>
          <w:rFonts w:hint="eastAsia"/>
          <w:color w:val="44546A" w:themeColor="text2"/>
          <w:sz w:val="24"/>
          <w:u w:val="single"/>
        </w:rPr>
        <w:t>1%</w:t>
      </w:r>
      <w:r>
        <w:rPr>
          <w:rFonts w:hint="eastAsia"/>
          <w:color w:val="44546A" w:themeColor="text2"/>
          <w:sz w:val="24"/>
        </w:rPr>
        <w:t>。</w:t>
      </w:r>
    </w:p>
    <w:p>
      <w:pPr>
        <w:spacing w:line="460" w:lineRule="exact"/>
        <w:ind w:firstLine="480" w:firstLineChars="200"/>
        <w:rPr>
          <w:color w:val="44546A" w:themeColor="text2"/>
          <w:sz w:val="24"/>
        </w:rPr>
      </w:pPr>
      <w:r>
        <w:rPr>
          <w:rFonts w:hint="eastAsia"/>
          <w:color w:val="44546A" w:themeColor="text2"/>
          <w:sz w:val="24"/>
        </w:rPr>
        <w:t>2.收取方式：</w:t>
      </w:r>
      <w:r>
        <w:rPr>
          <w:rFonts w:hint="eastAsia"/>
          <w:color w:val="44546A" w:themeColor="text2"/>
          <w:sz w:val="24"/>
          <w:lang w:val="zh-CN"/>
        </w:rPr>
        <w:t>网银、汇票、电汇、转账支付等非现金方式或银行、保险公司出具的保函形式</w:t>
      </w:r>
      <w:r>
        <w:rPr>
          <w:rFonts w:hint="eastAsia"/>
          <w:color w:val="44546A" w:themeColor="text2"/>
          <w:sz w:val="24"/>
        </w:rPr>
        <w:t>。</w:t>
      </w:r>
    </w:p>
    <w:p>
      <w:pPr>
        <w:spacing w:line="460" w:lineRule="exact"/>
        <w:ind w:firstLine="480" w:firstLineChars="200"/>
        <w:rPr>
          <w:color w:val="44546A" w:themeColor="text2"/>
        </w:rPr>
      </w:pPr>
      <w:r>
        <w:rPr>
          <w:rFonts w:hint="eastAsia"/>
          <w:color w:val="44546A" w:themeColor="text2"/>
          <w:sz w:val="24"/>
        </w:rPr>
        <w:t>3.合同生效后3天内存入甲方指定账户，在合同项目履约完毕满一个月之日起5个工作日内无息退还。</w:t>
      </w:r>
    </w:p>
    <w:p>
      <w:pPr>
        <w:spacing w:line="460" w:lineRule="exact"/>
        <w:ind w:firstLine="482" w:firstLineChars="200"/>
        <w:rPr>
          <w:b/>
          <w:bCs/>
          <w:color w:val="44546A" w:themeColor="text2"/>
          <w:sz w:val="24"/>
        </w:rPr>
      </w:pPr>
      <w:r>
        <w:rPr>
          <w:rFonts w:hint="eastAsia"/>
          <w:b/>
          <w:bCs/>
          <w:color w:val="44546A" w:themeColor="text2"/>
          <w:sz w:val="24"/>
        </w:rPr>
        <w:t>八、转包或分包</w:t>
      </w:r>
    </w:p>
    <w:p>
      <w:pPr>
        <w:spacing w:line="460" w:lineRule="exact"/>
        <w:ind w:firstLine="480" w:firstLineChars="200"/>
        <w:rPr>
          <w:color w:val="44546A" w:themeColor="text2"/>
          <w:sz w:val="24"/>
        </w:rPr>
      </w:pPr>
      <w:r>
        <w:rPr>
          <w:rFonts w:hint="eastAsia"/>
          <w:color w:val="44546A" w:themeColor="text2"/>
          <w:sz w:val="24"/>
        </w:rPr>
        <w:t>1. 本合同范围的服务，应由乙方直接供应，不得转让他人供应；</w:t>
      </w:r>
    </w:p>
    <w:p>
      <w:pPr>
        <w:spacing w:line="460" w:lineRule="exact"/>
        <w:ind w:firstLine="480" w:firstLineChars="200"/>
        <w:rPr>
          <w:color w:val="44546A" w:themeColor="text2"/>
          <w:sz w:val="24"/>
        </w:rPr>
      </w:pPr>
      <w:r>
        <w:rPr>
          <w:rFonts w:hint="eastAsia"/>
          <w:color w:val="44546A" w:themeColor="text2"/>
          <w:sz w:val="24"/>
        </w:rPr>
        <w:t>2. 除非得到甲方的书面同意，乙方不得将本合同范围的服务全部或部分分包给他人供应；</w:t>
      </w:r>
    </w:p>
    <w:p>
      <w:pPr>
        <w:spacing w:line="460" w:lineRule="exact"/>
        <w:ind w:firstLine="480" w:firstLineChars="200"/>
        <w:rPr>
          <w:color w:val="44546A" w:themeColor="text2"/>
          <w:sz w:val="24"/>
        </w:rPr>
      </w:pPr>
      <w:r>
        <w:rPr>
          <w:rFonts w:hint="eastAsia"/>
          <w:color w:val="44546A" w:themeColor="text2"/>
          <w:sz w:val="24"/>
        </w:rPr>
        <w:t>3.如有转让和未经甲方同意的分包行为，甲方有权解除合同，没收履约保证金并追究乙方的违约责任。</w:t>
      </w:r>
    </w:p>
    <w:p>
      <w:pPr>
        <w:spacing w:line="460" w:lineRule="exact"/>
        <w:ind w:firstLine="482" w:firstLineChars="200"/>
        <w:rPr>
          <w:b/>
          <w:bCs/>
          <w:color w:val="44546A" w:themeColor="text2"/>
          <w:sz w:val="24"/>
        </w:rPr>
      </w:pPr>
      <w:r>
        <w:rPr>
          <w:rFonts w:hint="eastAsia"/>
          <w:b/>
          <w:bCs/>
          <w:color w:val="44546A" w:themeColor="text2"/>
          <w:sz w:val="24"/>
        </w:rPr>
        <w:t xml:space="preserve">九、服务期 </w:t>
      </w:r>
    </w:p>
    <w:p>
      <w:pPr>
        <w:spacing w:line="460" w:lineRule="exact"/>
        <w:ind w:firstLine="480" w:firstLineChars="200"/>
        <w:rPr>
          <w:color w:val="44546A" w:themeColor="text2"/>
          <w:sz w:val="24"/>
        </w:rPr>
      </w:pPr>
      <w:r>
        <w:rPr>
          <w:rFonts w:hint="eastAsia"/>
          <w:color w:val="44546A" w:themeColor="text2"/>
          <w:sz w:val="24"/>
        </w:rPr>
        <w:t>（一）服务期为3年，合同一年一签。具体起止时间在签订合同时由采购人确定。</w:t>
      </w:r>
    </w:p>
    <w:p>
      <w:pPr>
        <w:spacing w:line="460" w:lineRule="exact"/>
        <w:ind w:firstLine="480" w:firstLineChars="200"/>
        <w:rPr>
          <w:color w:val="44546A" w:themeColor="text2"/>
          <w:sz w:val="24"/>
        </w:rPr>
      </w:pPr>
      <w:r>
        <w:rPr>
          <w:rFonts w:hint="eastAsia"/>
          <w:color w:val="44546A" w:themeColor="text2"/>
          <w:sz w:val="24"/>
        </w:rPr>
        <w:t>（二）合同约定的服务期内，供应商能严格履行合同，并通过采购人定期或不定期考评，如考评满意度达85%以上的，可以续签下一年合同。第一年的合同价按中标承诺报价的年平均服务费的97%计算，第二年合同价按中标承诺报价的年平均服务费计算，第三年合同价按中标承诺报价的年平均服务费的103%计算 。</w:t>
      </w:r>
    </w:p>
    <w:p>
      <w:pPr>
        <w:spacing w:line="460" w:lineRule="exact"/>
        <w:ind w:firstLine="482" w:firstLineChars="200"/>
        <w:rPr>
          <w:b/>
          <w:bCs/>
          <w:color w:val="44546A" w:themeColor="text2"/>
          <w:sz w:val="24"/>
        </w:rPr>
      </w:pPr>
      <w:r>
        <w:rPr>
          <w:rFonts w:hint="eastAsia"/>
          <w:b/>
          <w:bCs/>
          <w:color w:val="44546A" w:themeColor="text2"/>
          <w:sz w:val="24"/>
        </w:rPr>
        <w:t>十、合同履行时间、履行方式及履行地点</w:t>
      </w:r>
    </w:p>
    <w:p>
      <w:pPr>
        <w:spacing w:line="460" w:lineRule="exact"/>
        <w:ind w:firstLine="480" w:firstLineChars="200"/>
        <w:rPr>
          <w:color w:val="44546A" w:themeColor="text2"/>
          <w:sz w:val="24"/>
        </w:rPr>
      </w:pPr>
      <w:r>
        <w:rPr>
          <w:rFonts w:hint="eastAsia"/>
          <w:color w:val="44546A" w:themeColor="text2"/>
          <w:sz w:val="24"/>
        </w:rPr>
        <w:t>1. 履行时间：</w:t>
      </w:r>
    </w:p>
    <w:p>
      <w:pPr>
        <w:spacing w:line="460" w:lineRule="exact"/>
        <w:ind w:firstLine="480" w:firstLineChars="200"/>
        <w:rPr>
          <w:color w:val="44546A" w:themeColor="text2"/>
          <w:sz w:val="24"/>
        </w:rPr>
      </w:pPr>
      <w:r>
        <w:rPr>
          <w:rFonts w:hint="eastAsia"/>
          <w:color w:val="44546A" w:themeColor="text2"/>
          <w:sz w:val="24"/>
        </w:rPr>
        <w:t>2. 履行方式：</w:t>
      </w:r>
    </w:p>
    <w:p>
      <w:pPr>
        <w:spacing w:line="460" w:lineRule="exact"/>
        <w:ind w:firstLine="480" w:firstLineChars="200"/>
        <w:rPr>
          <w:color w:val="44546A" w:themeColor="text2"/>
          <w:sz w:val="24"/>
        </w:rPr>
      </w:pPr>
      <w:r>
        <w:rPr>
          <w:rFonts w:hint="eastAsia"/>
          <w:color w:val="44546A" w:themeColor="text2"/>
          <w:sz w:val="24"/>
        </w:rPr>
        <w:t>3. 履行地点：</w:t>
      </w:r>
    </w:p>
    <w:p>
      <w:pPr>
        <w:spacing w:line="460" w:lineRule="exact"/>
        <w:ind w:firstLine="482" w:firstLineChars="200"/>
        <w:rPr>
          <w:b/>
          <w:bCs/>
          <w:color w:val="44546A" w:themeColor="text2"/>
          <w:sz w:val="24"/>
        </w:rPr>
      </w:pPr>
      <w:r>
        <w:rPr>
          <w:rFonts w:hint="eastAsia"/>
          <w:b/>
          <w:bCs/>
          <w:color w:val="44546A" w:themeColor="text2"/>
          <w:sz w:val="24"/>
        </w:rPr>
        <w:t>十一、款项支付</w:t>
      </w:r>
    </w:p>
    <w:p>
      <w:pPr>
        <w:spacing w:line="460" w:lineRule="exact"/>
        <w:ind w:firstLine="480" w:firstLineChars="200"/>
        <w:rPr>
          <w:color w:val="44546A" w:themeColor="text2"/>
          <w:sz w:val="24"/>
        </w:rPr>
      </w:pPr>
      <w:r>
        <w:rPr>
          <w:rFonts w:hint="eastAsia"/>
          <w:color w:val="44546A" w:themeColor="text2"/>
          <w:sz w:val="24"/>
        </w:rPr>
        <w:t>付款方式：按月支付，次月上旬乙方向甲方办理结算手续。</w:t>
      </w:r>
    </w:p>
    <w:p>
      <w:pPr>
        <w:spacing w:line="460" w:lineRule="exact"/>
        <w:ind w:firstLine="482" w:firstLineChars="200"/>
        <w:rPr>
          <w:b/>
          <w:bCs/>
          <w:color w:val="44546A" w:themeColor="text2"/>
          <w:sz w:val="24"/>
        </w:rPr>
      </w:pPr>
      <w:r>
        <w:rPr>
          <w:rFonts w:hint="eastAsia"/>
          <w:b/>
          <w:bCs/>
          <w:color w:val="44546A" w:themeColor="text2"/>
          <w:sz w:val="24"/>
        </w:rPr>
        <w:t>十二、税费</w:t>
      </w:r>
    </w:p>
    <w:p>
      <w:pPr>
        <w:spacing w:line="460" w:lineRule="exact"/>
        <w:ind w:firstLine="480" w:firstLineChars="200"/>
        <w:rPr>
          <w:color w:val="44546A" w:themeColor="text2"/>
          <w:sz w:val="24"/>
        </w:rPr>
      </w:pPr>
      <w:r>
        <w:rPr>
          <w:rFonts w:hint="eastAsia"/>
          <w:color w:val="44546A" w:themeColor="text2"/>
          <w:sz w:val="24"/>
        </w:rPr>
        <w:t>本合同执行中相关的一切税费均由乙方负担。</w:t>
      </w:r>
    </w:p>
    <w:p>
      <w:pPr>
        <w:spacing w:line="460" w:lineRule="exact"/>
        <w:ind w:firstLine="482" w:firstLineChars="200"/>
        <w:rPr>
          <w:b/>
          <w:bCs/>
          <w:color w:val="44546A" w:themeColor="text2"/>
          <w:sz w:val="24"/>
        </w:rPr>
      </w:pPr>
      <w:r>
        <w:rPr>
          <w:rFonts w:hint="eastAsia"/>
          <w:b/>
          <w:bCs/>
          <w:color w:val="44546A" w:themeColor="text2"/>
          <w:sz w:val="24"/>
        </w:rPr>
        <w:t>十三、质量保证及后续服务</w:t>
      </w:r>
    </w:p>
    <w:p>
      <w:pPr>
        <w:spacing w:line="460" w:lineRule="exact"/>
        <w:ind w:firstLine="480" w:firstLineChars="200"/>
        <w:rPr>
          <w:color w:val="44546A" w:themeColor="text2"/>
          <w:sz w:val="24"/>
        </w:rPr>
      </w:pPr>
      <w:r>
        <w:rPr>
          <w:rFonts w:hint="eastAsia"/>
          <w:color w:val="44546A" w:themeColor="text2"/>
          <w:sz w:val="24"/>
        </w:rPr>
        <w:t>1． 乙方应按招标文件规定向甲方提供服务。</w:t>
      </w:r>
    </w:p>
    <w:p>
      <w:pPr>
        <w:spacing w:line="460" w:lineRule="exact"/>
        <w:ind w:firstLine="480" w:firstLineChars="200"/>
        <w:rPr>
          <w:color w:val="44546A" w:themeColor="text2"/>
          <w:sz w:val="24"/>
        </w:rPr>
      </w:pPr>
      <w:r>
        <w:rPr>
          <w:rFonts w:hint="eastAsia"/>
          <w:color w:val="44546A" w:themeColor="text2"/>
          <w:sz w:val="24"/>
        </w:rPr>
        <w:t>2． 乙方提供的服务成果在服务质量保证期内发生故障，乙方应负责免费提供后续服务。对达不到要求者，根据实际情况，经双方协商，可按以下办法处理：</w:t>
      </w:r>
    </w:p>
    <w:p>
      <w:pPr>
        <w:spacing w:line="460" w:lineRule="exact"/>
        <w:ind w:firstLine="480" w:firstLineChars="200"/>
        <w:rPr>
          <w:color w:val="44546A" w:themeColor="text2"/>
          <w:sz w:val="24"/>
        </w:rPr>
      </w:pPr>
      <w:r>
        <w:rPr>
          <w:rFonts w:hint="eastAsia"/>
          <w:color w:val="44546A" w:themeColor="text2"/>
          <w:sz w:val="24"/>
        </w:rPr>
        <w:t>⑴重做：由乙方承担所发生的全部费用。</w:t>
      </w:r>
    </w:p>
    <w:p>
      <w:pPr>
        <w:spacing w:line="460" w:lineRule="exact"/>
        <w:ind w:firstLine="480" w:firstLineChars="200"/>
        <w:rPr>
          <w:color w:val="44546A" w:themeColor="text2"/>
          <w:sz w:val="24"/>
        </w:rPr>
      </w:pPr>
      <w:r>
        <w:rPr>
          <w:rFonts w:hint="eastAsia"/>
          <w:color w:val="44546A" w:themeColor="text2"/>
          <w:sz w:val="24"/>
        </w:rPr>
        <w:t>⑵贬值处理：由甲乙双方合议定价。</w:t>
      </w:r>
    </w:p>
    <w:p>
      <w:pPr>
        <w:spacing w:line="460" w:lineRule="exact"/>
        <w:ind w:firstLine="480" w:firstLineChars="200"/>
        <w:rPr>
          <w:color w:val="44546A" w:themeColor="text2"/>
          <w:sz w:val="24"/>
        </w:rPr>
      </w:pPr>
      <w:r>
        <w:rPr>
          <w:rFonts w:hint="eastAsia"/>
          <w:color w:val="44546A" w:themeColor="text2"/>
          <w:sz w:val="24"/>
        </w:rPr>
        <w:t>⑶解除合同。</w:t>
      </w:r>
    </w:p>
    <w:p>
      <w:pPr>
        <w:spacing w:line="460" w:lineRule="exact"/>
        <w:ind w:firstLine="480" w:firstLineChars="200"/>
        <w:rPr>
          <w:color w:val="44546A" w:themeColor="text2"/>
          <w:sz w:val="24"/>
        </w:rPr>
      </w:pPr>
      <w:r>
        <w:rPr>
          <w:rFonts w:hint="eastAsia"/>
          <w:color w:val="44546A" w:themeColor="text2"/>
          <w:sz w:val="24"/>
        </w:rPr>
        <w:t>3．如在使用过程中发生问题，乙方在接到甲方通知后在小时内到达甲方现场。</w:t>
      </w:r>
    </w:p>
    <w:p>
      <w:pPr>
        <w:spacing w:line="460" w:lineRule="exact"/>
        <w:ind w:firstLine="480" w:firstLineChars="200"/>
        <w:rPr>
          <w:color w:val="44546A" w:themeColor="text2"/>
          <w:sz w:val="24"/>
        </w:rPr>
      </w:pPr>
      <w:r>
        <w:rPr>
          <w:rFonts w:hint="eastAsia"/>
          <w:color w:val="44546A" w:themeColor="text2"/>
          <w:sz w:val="24"/>
        </w:rPr>
        <w:t>4．在服务质量保证期内，乙方应对出现的质量及安全问题负责处理解决并承担一切费用。</w:t>
      </w:r>
    </w:p>
    <w:p>
      <w:pPr>
        <w:spacing w:line="460" w:lineRule="exact"/>
        <w:ind w:firstLine="482" w:firstLineChars="200"/>
        <w:rPr>
          <w:b/>
          <w:bCs/>
          <w:color w:val="44546A" w:themeColor="text2"/>
          <w:sz w:val="24"/>
        </w:rPr>
      </w:pPr>
      <w:r>
        <w:rPr>
          <w:rFonts w:hint="eastAsia"/>
          <w:b/>
          <w:bCs/>
          <w:color w:val="44546A" w:themeColor="text2"/>
          <w:sz w:val="24"/>
        </w:rPr>
        <w:t>十四、违约责任</w:t>
      </w:r>
    </w:p>
    <w:p>
      <w:pPr>
        <w:spacing w:line="460" w:lineRule="exact"/>
        <w:ind w:firstLine="480" w:firstLineChars="200"/>
        <w:rPr>
          <w:color w:val="44546A" w:themeColor="text2"/>
          <w:sz w:val="24"/>
        </w:rPr>
      </w:pPr>
      <w:r>
        <w:rPr>
          <w:rFonts w:hint="eastAsia"/>
          <w:color w:val="44546A" w:themeColor="text2"/>
          <w:sz w:val="24"/>
        </w:rPr>
        <w:t>1．甲方无正当理由拒收接受服务的，甲方向乙方偿付合同款项</w:t>
      </w:r>
      <w:r>
        <w:rPr>
          <w:rFonts w:hint="eastAsia"/>
          <w:color w:val="44546A" w:themeColor="text2"/>
          <w:sz w:val="24"/>
          <w:u w:val="single"/>
        </w:rPr>
        <w:t>百分之五</w:t>
      </w:r>
      <w:r>
        <w:rPr>
          <w:rFonts w:hint="eastAsia"/>
          <w:color w:val="44546A" w:themeColor="text2"/>
          <w:sz w:val="24"/>
        </w:rPr>
        <w:t>作为违约金。</w:t>
      </w:r>
    </w:p>
    <w:p>
      <w:pPr>
        <w:spacing w:line="460" w:lineRule="exact"/>
        <w:ind w:firstLine="480" w:firstLineChars="200"/>
        <w:rPr>
          <w:color w:val="44546A" w:themeColor="text2"/>
          <w:sz w:val="24"/>
        </w:rPr>
      </w:pPr>
      <w:r>
        <w:rPr>
          <w:rFonts w:hint="eastAsia"/>
          <w:color w:val="44546A" w:themeColor="text2"/>
          <w:sz w:val="24"/>
        </w:rPr>
        <w:t>2．甲方无故逾期验收和办理款项支付手续的,甲方应按逾期付款总额</w:t>
      </w:r>
      <w:r>
        <w:rPr>
          <w:rFonts w:hint="eastAsia"/>
          <w:color w:val="44546A" w:themeColor="text2"/>
          <w:sz w:val="24"/>
          <w:u w:val="single"/>
        </w:rPr>
        <w:t>每日万分之五</w:t>
      </w:r>
      <w:r>
        <w:rPr>
          <w:rFonts w:hint="eastAsia"/>
          <w:color w:val="44546A" w:themeColor="text2"/>
          <w:sz w:val="24"/>
        </w:rPr>
        <w:t>向乙方支付违约金。</w:t>
      </w:r>
    </w:p>
    <w:p>
      <w:pPr>
        <w:spacing w:line="460" w:lineRule="exact"/>
        <w:ind w:firstLine="480" w:firstLineChars="200"/>
        <w:rPr>
          <w:color w:val="44546A" w:themeColor="text2"/>
          <w:sz w:val="24"/>
        </w:rPr>
      </w:pPr>
      <w:r>
        <w:rPr>
          <w:rFonts w:hint="eastAsia"/>
          <w:color w:val="44546A" w:themeColor="text2"/>
          <w:sz w:val="24"/>
        </w:rPr>
        <w:t>3． 乙方未能如期提供服务的，每日向甲方支付合同款项的</w:t>
      </w:r>
      <w:r>
        <w:rPr>
          <w:rFonts w:hint="eastAsia"/>
          <w:color w:val="44546A" w:themeColor="text2"/>
          <w:sz w:val="24"/>
          <w:u w:val="single"/>
        </w:rPr>
        <w:t>千分之六</w:t>
      </w:r>
      <w:r>
        <w:rPr>
          <w:rFonts w:hint="eastAsia"/>
          <w:color w:val="44546A" w:themeColor="text2"/>
          <w:sz w:val="24"/>
        </w:rPr>
        <w:t>作为违约金。乙方超过约定日期</w:t>
      </w:r>
      <w:r>
        <w:rPr>
          <w:rFonts w:hint="eastAsia"/>
          <w:color w:val="44546A" w:themeColor="text2"/>
          <w:sz w:val="24"/>
          <w:u w:val="single"/>
        </w:rPr>
        <w:t>10个</w:t>
      </w:r>
      <w:r>
        <w:rPr>
          <w:rFonts w:hint="eastAsia"/>
          <w:color w:val="44546A" w:themeColor="text2"/>
          <w:sz w:val="24"/>
        </w:rPr>
        <w:t>工作日仍不能提供服务的，甲方可解除本合同。乙方因未能如期提供服务或因其他违约行为导致甲方解除合同的，乙方应向甲方支付合同总值</w:t>
      </w:r>
      <w:r>
        <w:rPr>
          <w:rFonts w:hint="eastAsia"/>
          <w:color w:val="44546A" w:themeColor="text2"/>
          <w:sz w:val="24"/>
          <w:u w:val="single"/>
        </w:rPr>
        <w:t>5%</w:t>
      </w:r>
      <w:r>
        <w:rPr>
          <w:rFonts w:hint="eastAsia"/>
          <w:color w:val="44546A" w:themeColor="text2"/>
          <w:sz w:val="24"/>
        </w:rPr>
        <w:t xml:space="preserve">的违约金，如造成甲方损失超过违约金的，超出部分由乙方继续承担赔偿责任。 </w:t>
      </w:r>
    </w:p>
    <w:p>
      <w:pPr>
        <w:spacing w:line="460" w:lineRule="exact"/>
        <w:ind w:firstLine="482" w:firstLineChars="200"/>
        <w:rPr>
          <w:b/>
          <w:bCs/>
          <w:color w:val="44546A" w:themeColor="text2"/>
          <w:sz w:val="24"/>
        </w:rPr>
      </w:pPr>
      <w:r>
        <w:rPr>
          <w:rFonts w:hint="eastAsia"/>
          <w:b/>
          <w:bCs/>
          <w:color w:val="44546A" w:themeColor="text2"/>
          <w:sz w:val="24"/>
        </w:rPr>
        <w:t>十五、不可抗力事件处理</w:t>
      </w:r>
    </w:p>
    <w:p>
      <w:pPr>
        <w:spacing w:line="460" w:lineRule="exact"/>
        <w:ind w:firstLine="480" w:firstLineChars="200"/>
        <w:rPr>
          <w:color w:val="44546A" w:themeColor="text2"/>
          <w:sz w:val="24"/>
        </w:rPr>
      </w:pPr>
      <w:r>
        <w:rPr>
          <w:rFonts w:hint="eastAsia"/>
          <w:color w:val="44546A" w:themeColor="text2"/>
          <w:sz w:val="24"/>
        </w:rPr>
        <w:t>1．在合同有效期内，任何一方因不可抗力事件导致不能履行合同，则合同履行期可延长，其延长期与不可抗力影响期相同。</w:t>
      </w:r>
    </w:p>
    <w:p>
      <w:pPr>
        <w:spacing w:line="460" w:lineRule="exact"/>
        <w:ind w:firstLine="480" w:firstLineChars="200"/>
        <w:rPr>
          <w:color w:val="44546A" w:themeColor="text2"/>
          <w:sz w:val="24"/>
        </w:rPr>
      </w:pPr>
      <w:r>
        <w:rPr>
          <w:rFonts w:hint="eastAsia"/>
          <w:color w:val="44546A" w:themeColor="text2"/>
          <w:sz w:val="24"/>
        </w:rPr>
        <w:t>2．不可抗力事件发生后，应立即通知对方，并寄送有关权威机构出具的证明。</w:t>
      </w:r>
    </w:p>
    <w:p>
      <w:pPr>
        <w:spacing w:line="460" w:lineRule="exact"/>
        <w:ind w:firstLine="480" w:firstLineChars="200"/>
        <w:rPr>
          <w:color w:val="44546A" w:themeColor="text2"/>
          <w:sz w:val="24"/>
        </w:rPr>
      </w:pPr>
      <w:r>
        <w:rPr>
          <w:rFonts w:hint="eastAsia"/>
          <w:color w:val="44546A" w:themeColor="text2"/>
          <w:sz w:val="24"/>
        </w:rPr>
        <w:t>3．不可抗力事件延续120天以上，双方应通过友好协商，确定是否继续履行合同。</w:t>
      </w:r>
    </w:p>
    <w:p>
      <w:pPr>
        <w:spacing w:line="460" w:lineRule="exact"/>
        <w:ind w:firstLine="482" w:firstLineChars="200"/>
        <w:rPr>
          <w:b/>
          <w:bCs/>
          <w:color w:val="44546A" w:themeColor="text2"/>
          <w:sz w:val="24"/>
        </w:rPr>
      </w:pPr>
      <w:r>
        <w:rPr>
          <w:rFonts w:hint="eastAsia"/>
          <w:b/>
          <w:bCs/>
          <w:color w:val="44546A" w:themeColor="text2"/>
          <w:sz w:val="24"/>
        </w:rPr>
        <w:t>十六、解决争议的方法</w:t>
      </w:r>
    </w:p>
    <w:p>
      <w:pPr>
        <w:spacing w:line="460" w:lineRule="exact"/>
        <w:ind w:firstLine="480" w:firstLineChars="200"/>
        <w:rPr>
          <w:color w:val="44546A" w:themeColor="text2"/>
          <w:sz w:val="24"/>
        </w:rPr>
      </w:pPr>
      <w:r>
        <w:rPr>
          <w:rFonts w:hint="eastAsia"/>
          <w:color w:val="44546A" w:themeColor="text2"/>
          <w:sz w:val="24"/>
        </w:rPr>
        <w:t>1. 如双方在履行合同时发生纠纷，应协商解决；协商不成时，可提请政府采购管理部门调解；调解不成的依法向甲方所在地人民法院提起诉讼。</w:t>
      </w:r>
    </w:p>
    <w:p>
      <w:pPr>
        <w:spacing w:line="460" w:lineRule="exact"/>
        <w:ind w:firstLine="482" w:firstLineChars="200"/>
        <w:rPr>
          <w:b/>
          <w:bCs/>
          <w:color w:val="44546A" w:themeColor="text2"/>
          <w:sz w:val="24"/>
        </w:rPr>
      </w:pPr>
      <w:r>
        <w:rPr>
          <w:rFonts w:hint="eastAsia"/>
          <w:b/>
          <w:bCs/>
          <w:color w:val="44546A" w:themeColor="text2"/>
          <w:sz w:val="24"/>
        </w:rPr>
        <w:t>十七、合同生效及其它</w:t>
      </w:r>
    </w:p>
    <w:p>
      <w:pPr>
        <w:spacing w:line="460" w:lineRule="exact"/>
        <w:ind w:firstLine="480" w:firstLineChars="200"/>
        <w:rPr>
          <w:color w:val="44546A" w:themeColor="text2"/>
          <w:sz w:val="24"/>
        </w:rPr>
      </w:pPr>
      <w:r>
        <w:rPr>
          <w:rFonts w:hint="eastAsia"/>
          <w:color w:val="44546A" w:themeColor="text2"/>
          <w:sz w:val="24"/>
        </w:rPr>
        <w:t>1. 合同经双方法定代表人或授权代表签字并加盖单位公章后生效。</w:t>
      </w:r>
    </w:p>
    <w:p>
      <w:pPr>
        <w:spacing w:line="460" w:lineRule="exact"/>
        <w:ind w:firstLine="480" w:firstLineChars="200"/>
        <w:rPr>
          <w:color w:val="44546A" w:themeColor="text2"/>
          <w:sz w:val="24"/>
        </w:rPr>
      </w:pPr>
      <w:r>
        <w:rPr>
          <w:rFonts w:hint="eastAsia"/>
          <w:color w:val="44546A" w:themeColor="text2"/>
          <w:sz w:val="24"/>
        </w:rPr>
        <w:t>2. 本合同未尽事宜，遵照《中华人民共和国民法典》有关条文执行。</w:t>
      </w:r>
    </w:p>
    <w:p>
      <w:pPr>
        <w:spacing w:line="460" w:lineRule="exact"/>
        <w:ind w:firstLine="480" w:firstLineChars="200"/>
        <w:rPr>
          <w:color w:val="44546A" w:themeColor="text2"/>
          <w:sz w:val="24"/>
        </w:rPr>
      </w:pPr>
      <w:r>
        <w:rPr>
          <w:rFonts w:hint="eastAsia"/>
          <w:color w:val="44546A" w:themeColor="text2"/>
          <w:sz w:val="24"/>
        </w:rPr>
        <w:t>3. 本合同一式陆份。甲、乙双方各执贰份，采购组织机构及同级人民政府财政部门各执一份。本项目未尽事宜以招标文件、投标文件及澄清文件等为准。</w:t>
      </w:r>
    </w:p>
    <w:p>
      <w:pPr>
        <w:spacing w:line="360" w:lineRule="auto"/>
        <w:ind w:firstLine="480" w:firstLineChars="200"/>
        <w:rPr>
          <w:rFonts w:ascii="宋体" w:hAnsi="宋体" w:cs="宋体"/>
          <w:color w:val="44546A" w:themeColor="text2"/>
          <w:sz w:val="24"/>
        </w:rPr>
      </w:pP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甲方（公章）</w:t>
      </w:r>
      <w:r>
        <w:rPr>
          <w:rFonts w:ascii="宋体" w:hAnsi="宋体" w:cs="宋体"/>
          <w:color w:val="44546A" w:themeColor="text2"/>
          <w:sz w:val="24"/>
        </w:rPr>
        <w:t xml:space="preserve">                               </w:t>
      </w:r>
      <w:r>
        <w:rPr>
          <w:rFonts w:hint="eastAsia" w:ascii="宋体" w:hAnsi="宋体" w:cs="宋体"/>
          <w:color w:val="44546A" w:themeColor="text2"/>
          <w:sz w:val="24"/>
        </w:rPr>
        <w:t>乙方（公章）</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法定代表人：</w:t>
      </w:r>
      <w:r>
        <w:rPr>
          <w:rFonts w:ascii="宋体" w:hAnsi="宋体" w:cs="宋体"/>
          <w:color w:val="44546A" w:themeColor="text2"/>
          <w:sz w:val="24"/>
        </w:rPr>
        <w:t xml:space="preserve">                               </w:t>
      </w:r>
      <w:r>
        <w:rPr>
          <w:rFonts w:hint="eastAsia" w:ascii="宋体" w:hAnsi="宋体" w:cs="宋体"/>
          <w:color w:val="44546A" w:themeColor="text2"/>
          <w:sz w:val="24"/>
        </w:rPr>
        <w:t>法定代表人：</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委托代理人：</w:t>
      </w:r>
      <w:r>
        <w:rPr>
          <w:rFonts w:ascii="宋体" w:hAnsi="宋体" w:cs="宋体"/>
          <w:color w:val="44546A" w:themeColor="text2"/>
          <w:sz w:val="24"/>
        </w:rPr>
        <w:t xml:space="preserve">                               </w:t>
      </w:r>
      <w:r>
        <w:rPr>
          <w:rFonts w:hint="eastAsia" w:ascii="宋体" w:hAnsi="宋体" w:cs="宋体"/>
          <w:color w:val="44546A" w:themeColor="text2"/>
          <w:sz w:val="24"/>
        </w:rPr>
        <w:t>委托代理人：</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联系电话：</w:t>
      </w:r>
      <w:r>
        <w:rPr>
          <w:rFonts w:ascii="宋体" w:hAnsi="宋体" w:cs="宋体"/>
          <w:color w:val="44546A" w:themeColor="text2"/>
          <w:sz w:val="24"/>
        </w:rPr>
        <w:t xml:space="preserve">                                 </w:t>
      </w:r>
      <w:r>
        <w:rPr>
          <w:rFonts w:hint="eastAsia" w:ascii="宋体" w:hAnsi="宋体" w:cs="宋体"/>
          <w:color w:val="44546A" w:themeColor="text2"/>
          <w:sz w:val="24"/>
        </w:rPr>
        <w:t>联系电话：</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开户银行：</w:t>
      </w:r>
      <w:r>
        <w:rPr>
          <w:rFonts w:ascii="宋体" w:hAnsi="宋体" w:cs="宋体"/>
          <w:color w:val="44546A" w:themeColor="text2"/>
          <w:sz w:val="24"/>
        </w:rPr>
        <w:t xml:space="preserve">                                 </w:t>
      </w:r>
      <w:r>
        <w:rPr>
          <w:rFonts w:hint="eastAsia" w:ascii="宋体" w:hAnsi="宋体" w:cs="宋体"/>
          <w:color w:val="44546A" w:themeColor="text2"/>
          <w:sz w:val="24"/>
        </w:rPr>
        <w:t>开户银行：</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账号：</w:t>
      </w:r>
      <w:r>
        <w:rPr>
          <w:rFonts w:ascii="宋体" w:hAnsi="宋体" w:cs="宋体"/>
          <w:color w:val="44546A" w:themeColor="text2"/>
          <w:sz w:val="24"/>
        </w:rPr>
        <w:t xml:space="preserve">                                     </w:t>
      </w:r>
      <w:r>
        <w:rPr>
          <w:rFonts w:hint="eastAsia" w:ascii="宋体" w:hAnsi="宋体" w:cs="宋体"/>
          <w:color w:val="44546A" w:themeColor="text2"/>
          <w:sz w:val="24"/>
        </w:rPr>
        <w:t>账号：</w:t>
      </w: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地址及邮编：</w:t>
      </w:r>
      <w:r>
        <w:rPr>
          <w:rFonts w:ascii="宋体" w:hAnsi="宋体" w:cs="宋体"/>
          <w:color w:val="44546A" w:themeColor="text2"/>
          <w:sz w:val="24"/>
        </w:rPr>
        <w:t xml:space="preserve">                               </w:t>
      </w:r>
      <w:r>
        <w:rPr>
          <w:rFonts w:hint="eastAsia" w:ascii="宋体" w:hAnsi="宋体" w:cs="宋体"/>
          <w:color w:val="44546A" w:themeColor="text2"/>
          <w:sz w:val="24"/>
        </w:rPr>
        <w:t>地址及邮编：</w:t>
      </w:r>
    </w:p>
    <w:p>
      <w:pPr>
        <w:spacing w:line="360" w:lineRule="auto"/>
        <w:ind w:firstLine="480" w:firstLineChars="200"/>
        <w:rPr>
          <w:rFonts w:ascii="宋体" w:hAnsi="宋体" w:cs="宋体"/>
          <w:color w:val="44546A" w:themeColor="text2"/>
          <w:sz w:val="24"/>
        </w:rPr>
      </w:pPr>
    </w:p>
    <w:p>
      <w:pPr>
        <w:spacing w:line="360" w:lineRule="auto"/>
        <w:ind w:firstLine="480" w:firstLineChars="200"/>
        <w:rPr>
          <w:rFonts w:ascii="宋体" w:hAnsi="宋体" w:cs="宋体"/>
          <w:color w:val="44546A" w:themeColor="text2"/>
          <w:sz w:val="24"/>
        </w:rPr>
      </w:pPr>
      <w:r>
        <w:rPr>
          <w:rFonts w:hint="eastAsia" w:ascii="宋体" w:hAnsi="宋体" w:cs="宋体"/>
          <w:color w:val="44546A" w:themeColor="text2"/>
          <w:sz w:val="24"/>
        </w:rPr>
        <w:t>签订时间：</w:t>
      </w:r>
      <w:r>
        <w:rPr>
          <w:rFonts w:ascii="宋体" w:hAnsi="宋体" w:cs="宋体"/>
          <w:color w:val="44546A" w:themeColor="text2"/>
          <w:sz w:val="24"/>
        </w:rPr>
        <w:t xml:space="preserve">    </w:t>
      </w:r>
      <w:r>
        <w:rPr>
          <w:rFonts w:hint="eastAsia" w:ascii="宋体" w:hAnsi="宋体" w:cs="宋体"/>
          <w:color w:val="44546A" w:themeColor="text2"/>
          <w:sz w:val="24"/>
        </w:rPr>
        <w:t>年</w:t>
      </w:r>
      <w:r>
        <w:rPr>
          <w:rFonts w:ascii="宋体" w:hAnsi="宋体" w:cs="宋体"/>
          <w:color w:val="44546A" w:themeColor="text2"/>
          <w:sz w:val="24"/>
        </w:rPr>
        <w:t xml:space="preserve">   </w:t>
      </w:r>
      <w:r>
        <w:rPr>
          <w:rFonts w:hint="eastAsia" w:ascii="宋体" w:hAnsi="宋体" w:cs="宋体"/>
          <w:color w:val="44546A" w:themeColor="text2"/>
          <w:sz w:val="24"/>
        </w:rPr>
        <w:t>月</w:t>
      </w:r>
      <w:r>
        <w:rPr>
          <w:rFonts w:ascii="宋体" w:hAnsi="宋体" w:cs="宋体"/>
          <w:color w:val="44546A" w:themeColor="text2"/>
          <w:sz w:val="24"/>
        </w:rPr>
        <w:t xml:space="preserve">    </w:t>
      </w:r>
      <w:r>
        <w:rPr>
          <w:rFonts w:hint="eastAsia" w:ascii="宋体" w:hAnsi="宋体" w:cs="宋体"/>
          <w:color w:val="44546A" w:themeColor="text2"/>
          <w:sz w:val="24"/>
        </w:rPr>
        <w:t>日</w:t>
      </w:r>
    </w:p>
    <w:p>
      <w:pPr>
        <w:spacing w:line="360" w:lineRule="auto"/>
        <w:ind w:firstLine="480" w:firstLineChars="200"/>
        <w:rPr>
          <w:rFonts w:asciiTheme="minorEastAsia" w:hAnsiTheme="minorEastAsia" w:eastAsiaTheme="minorEastAsia"/>
          <w:color w:val="44546A" w:themeColor="text2"/>
          <w:sz w:val="24"/>
        </w:rPr>
      </w:pPr>
    </w:p>
    <w:p>
      <w:pPr>
        <w:spacing w:line="360" w:lineRule="auto"/>
        <w:jc w:val="center"/>
        <w:rPr>
          <w:rFonts w:asciiTheme="majorEastAsia" w:hAnsiTheme="majorEastAsia" w:eastAsiaTheme="majorEastAsia"/>
          <w:b/>
          <w:color w:val="44546A" w:themeColor="text2"/>
          <w:sz w:val="32"/>
          <w:szCs w:val="32"/>
        </w:rPr>
      </w:pPr>
      <w:r>
        <w:rPr>
          <w:rFonts w:hint="eastAsia" w:asciiTheme="majorEastAsia" w:hAnsiTheme="majorEastAsia" w:eastAsiaTheme="majorEastAsia"/>
          <w:b/>
          <w:color w:val="44546A" w:themeColor="text2"/>
          <w:sz w:val="32"/>
          <w:szCs w:val="32"/>
        </w:rPr>
        <w:t>专用条款</w:t>
      </w:r>
    </w:p>
    <w:p>
      <w:pPr>
        <w:spacing w:line="360" w:lineRule="auto"/>
        <w:ind w:firstLine="560" w:firstLineChars="200"/>
        <w:rPr>
          <w:rFonts w:asciiTheme="majorEastAsia" w:hAnsiTheme="majorEastAsia" w:eastAsiaTheme="majorEastAsia"/>
          <w:color w:val="44546A" w:themeColor="text2"/>
          <w:sz w:val="28"/>
          <w:szCs w:val="28"/>
        </w:rPr>
      </w:pPr>
      <w:r>
        <w:rPr>
          <w:rFonts w:hint="eastAsia" w:asciiTheme="majorEastAsia" w:hAnsiTheme="majorEastAsia" w:eastAsiaTheme="majorEastAsia"/>
          <w:color w:val="44546A" w:themeColor="text2"/>
          <w:sz w:val="28"/>
          <w:szCs w:val="28"/>
        </w:rPr>
        <w:t>（如果项目性质特殊，采购人认为需要制定专用条款的，须在提交项目采购需求时一并提供，但条款内容应合法、合理，并符合项目实际需求，且不得与通用条款冲突）</w:t>
      </w:r>
    </w:p>
    <w:p>
      <w:pPr>
        <w:pStyle w:val="30"/>
        <w:rPr>
          <w:rFonts w:asciiTheme="majorEastAsia" w:hAnsiTheme="majorEastAsia" w:eastAsiaTheme="majorEastAsia"/>
          <w:sz w:val="28"/>
          <w:szCs w:val="28"/>
        </w:rPr>
      </w:pPr>
    </w:p>
    <w:p>
      <w:pPr>
        <w:pStyle w:val="30"/>
        <w:rPr>
          <w:rFonts w:asciiTheme="majorEastAsia" w:hAnsiTheme="majorEastAsia" w:eastAsiaTheme="majorEastAsia"/>
          <w:sz w:val="28"/>
          <w:szCs w:val="28"/>
        </w:rPr>
      </w:pPr>
    </w:p>
    <w:p>
      <w:pPr>
        <w:pStyle w:val="30"/>
        <w:rPr>
          <w:rFonts w:asciiTheme="majorEastAsia" w:hAnsiTheme="majorEastAsia" w:eastAsiaTheme="majorEastAsia"/>
          <w:sz w:val="28"/>
          <w:szCs w:val="28"/>
        </w:rPr>
      </w:pPr>
    </w:p>
    <w:p>
      <w:pPr>
        <w:pStyle w:val="30"/>
        <w:rPr>
          <w:rFonts w:asciiTheme="majorEastAsia" w:hAnsiTheme="majorEastAsia" w:eastAsiaTheme="majorEastAsia"/>
          <w:sz w:val="28"/>
          <w:szCs w:val="28"/>
        </w:rPr>
      </w:pPr>
    </w:p>
    <w:p>
      <w:pPr>
        <w:pStyle w:val="30"/>
        <w:rPr>
          <w:rFonts w:asciiTheme="majorEastAsia" w:hAnsiTheme="majorEastAsia" w:eastAsiaTheme="majorEastAsia"/>
          <w:sz w:val="28"/>
          <w:szCs w:val="28"/>
        </w:rPr>
      </w:pPr>
    </w:p>
    <w:p>
      <w:pPr>
        <w:rPr>
          <w:rFonts w:asciiTheme="minorEastAsia" w:hAnsiTheme="minorEastAsia" w:eastAsiaTheme="minorEastAsia"/>
          <w:b/>
          <w:sz w:val="36"/>
          <w:szCs w:val="36"/>
        </w:rPr>
      </w:pPr>
      <w:bookmarkStart w:id="46" w:name="_Toc5481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6"/>
    </w:p>
    <w:p>
      <w:pPr>
        <w:rPr>
          <w:rFonts w:ascii="宋体" w:hAnsi="宋体"/>
          <w:b/>
          <w:kern w:val="0"/>
          <w:sz w:val="28"/>
          <w:szCs w:val="28"/>
        </w:rPr>
      </w:pPr>
    </w:p>
    <w:p>
      <w:pPr>
        <w:rPr>
          <w:rFonts w:ascii="宋体" w:hAnsi="宋体"/>
          <w:b/>
          <w:kern w:val="0"/>
          <w:sz w:val="28"/>
          <w:szCs w:val="28"/>
        </w:rPr>
      </w:pPr>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7" w:name="_Toc32372_WPSOffice_Level1"/>
      <w:bookmarkStart w:id="48" w:name="_Toc19093_WPSOffice_Level1"/>
      <w:bookmarkStart w:id="49" w:name="_Toc4956_WPSOffice_Level1"/>
      <w:r>
        <w:rPr>
          <w:rFonts w:hint="eastAsia"/>
          <w:sz w:val="52"/>
          <w:szCs w:val="52"/>
        </w:rPr>
        <w:t>项目名称</w:t>
      </w:r>
      <w:bookmarkEnd w:id="47"/>
      <w:bookmarkEnd w:id="48"/>
      <w:bookmarkEnd w:id="4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
      <w:pPr>
        <w:rPr>
          <w:b/>
          <w:bCs/>
          <w:sz w:val="36"/>
          <w:szCs w:val="36"/>
        </w:rPr>
      </w:pPr>
      <w:r>
        <w:rPr>
          <w:rFonts w:hint="eastAsia"/>
          <w:b/>
          <w:bCs/>
          <w:sz w:val="36"/>
          <w:szCs w:val="36"/>
        </w:rPr>
        <w:br w:type="page"/>
      </w:r>
    </w:p>
    <w:p>
      <w:pPr>
        <w:spacing w:line="360" w:lineRule="auto"/>
        <w:jc w:val="center"/>
        <w:rPr>
          <w:b/>
          <w:bCs/>
          <w:sz w:val="36"/>
          <w:szCs w:val="36"/>
        </w:rPr>
      </w:pPr>
      <w:r>
        <w:rPr>
          <w:rFonts w:hint="eastAsia"/>
          <w:b/>
          <w:bCs/>
          <w:sz w:val="36"/>
          <w:szCs w:val="36"/>
        </w:rPr>
        <w:t>资格证明文件目录</w:t>
      </w:r>
    </w:p>
    <w:p>
      <w:pPr>
        <w:spacing w:line="360" w:lineRule="auto"/>
        <w:jc w:val="center"/>
      </w:pPr>
    </w:p>
    <w:tbl>
      <w:tblPr>
        <w:tblStyle w:val="21"/>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序号</w:t>
            </w:r>
          </w:p>
        </w:tc>
        <w:tc>
          <w:tcPr>
            <w:tcW w:w="4087"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内容</w:t>
            </w:r>
          </w:p>
        </w:tc>
        <w:tc>
          <w:tcPr>
            <w:tcW w:w="4394" w:type="dxa"/>
            <w:vAlign w:val="center"/>
          </w:tcPr>
          <w:p>
            <w:pPr>
              <w:widowControl/>
              <w:snapToGrid w:val="0"/>
              <w:spacing w:line="340" w:lineRule="exact"/>
              <w:jc w:val="center"/>
              <w:rPr>
                <w:rFonts w:asci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ascii="宋体" w:hAnsi="宋体" w:cs="宋体"/>
                <w:sz w:val="24"/>
              </w:rPr>
              <w:t>1</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投标声明书（若没有重大违法记录，请承诺）</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授权委托书（法定代表人办理投标事宜的，则无需提交）</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如授权委托代理人的则需按照格式提供此项，格式见附件2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法人或者其他组织的营业执照等证明文件，自然人的身份证明</w:t>
            </w:r>
          </w:p>
        </w:tc>
        <w:tc>
          <w:tcPr>
            <w:tcW w:w="4394" w:type="dxa"/>
            <w:vAlign w:val="center"/>
          </w:tcPr>
          <w:p>
            <w:pPr>
              <w:widowControl/>
              <w:snapToGrid w:val="0"/>
              <w:spacing w:line="340" w:lineRule="exact"/>
              <w:rPr>
                <w:rFonts w:ascii="宋体" w:cs="宋体"/>
                <w:sz w:val="24"/>
              </w:rPr>
            </w:pPr>
            <w:r>
              <w:rPr>
                <w:rFonts w:hint="eastAsia" w:ascii="宋体" w:hAnsi="宋体" w:cs="宋体"/>
                <w:kern w:val="0"/>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4</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符合参与政府采购活动的资格条件并且没有税收缴纳、社会保障等方面的失信记录</w:t>
            </w:r>
          </w:p>
        </w:tc>
        <w:tc>
          <w:tcPr>
            <w:tcW w:w="4394" w:type="dxa"/>
            <w:vAlign w:val="center"/>
          </w:tcPr>
          <w:p>
            <w:pPr>
              <w:widowControl/>
              <w:snapToGrid w:val="0"/>
              <w:spacing w:line="340" w:lineRule="exact"/>
              <w:rPr>
                <w:rFonts w:ascii="宋体" w:cs="宋体"/>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5</w:t>
            </w:r>
          </w:p>
        </w:tc>
        <w:tc>
          <w:tcPr>
            <w:tcW w:w="4087" w:type="dxa"/>
            <w:vAlign w:val="center"/>
          </w:tcPr>
          <w:p>
            <w:pPr>
              <w:widowControl/>
              <w:snapToGrid w:val="0"/>
              <w:spacing w:line="340" w:lineRule="exact"/>
              <w:rPr>
                <w:rFonts w:ascii="宋体" w:cs="宋体"/>
                <w:kern w:val="0"/>
                <w:sz w:val="24"/>
              </w:rPr>
            </w:pPr>
            <w:r>
              <w:rPr>
                <w:rFonts w:hint="eastAsia" w:ascii="宋体" w:hAnsi="宋体" w:cs="宋体"/>
                <w:b/>
                <w:sz w:val="24"/>
              </w:rPr>
              <w:t>▲</w:t>
            </w:r>
            <w:r>
              <w:rPr>
                <w:rFonts w:hint="eastAsia" w:ascii="宋体" w:hAnsi="宋体" w:cs="宋体"/>
                <w:kern w:val="0"/>
                <w:sz w:val="24"/>
              </w:rPr>
              <w:t>具备履行合同所必需的设备和专业技术能力的证明材料</w:t>
            </w:r>
          </w:p>
        </w:tc>
        <w:tc>
          <w:tcPr>
            <w:tcW w:w="4394" w:type="dxa"/>
            <w:vAlign w:val="center"/>
          </w:tcPr>
          <w:p>
            <w:pPr>
              <w:widowControl/>
              <w:snapToGrid w:val="0"/>
              <w:spacing w:line="340" w:lineRule="exact"/>
              <w:rPr>
                <w:rFonts w:ascii="宋体" w:cs="宋体"/>
                <w:kern w:val="0"/>
                <w:sz w:val="24"/>
              </w:rPr>
            </w:pPr>
            <w:r>
              <w:rPr>
                <w:rFonts w:hint="eastAsia" w:ascii="宋体" w:cs="宋体"/>
                <w:sz w:val="24"/>
              </w:rPr>
              <w:t>提供承诺书（</w:t>
            </w:r>
            <w:r>
              <w:rPr>
                <w:rFonts w:hint="eastAsia" w:ascii="宋体" w:hAnsi="宋体" w:cs="宋体"/>
                <w:kern w:val="0"/>
                <w:sz w:val="24"/>
              </w:rPr>
              <w:t>格式见附件3</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pPr>
              <w:widowControl/>
              <w:snapToGrid w:val="0"/>
              <w:spacing w:line="340" w:lineRule="exact"/>
              <w:jc w:val="center"/>
              <w:rPr>
                <w:rFonts w:ascii="宋体" w:hAnsi="宋体" w:cs="宋体"/>
                <w:sz w:val="24"/>
              </w:rPr>
            </w:pPr>
            <w:r>
              <w:rPr>
                <w:rFonts w:hint="eastAsia" w:ascii="宋体" w:hAnsi="宋体" w:cs="宋体"/>
                <w:sz w:val="24"/>
              </w:rPr>
              <w:t>6</w:t>
            </w:r>
          </w:p>
        </w:tc>
        <w:tc>
          <w:tcPr>
            <w:tcW w:w="4087" w:type="dxa"/>
            <w:vAlign w:val="center"/>
          </w:tcPr>
          <w:p>
            <w:pPr>
              <w:widowControl/>
              <w:snapToGrid w:val="0"/>
              <w:spacing w:line="340" w:lineRule="exact"/>
              <w:rPr>
                <w:rFonts w:ascii="宋体" w:hAnsi="宋体" w:cs="宋体"/>
                <w:b/>
                <w:sz w:val="24"/>
              </w:rPr>
            </w:pPr>
            <w:r>
              <w:rPr>
                <w:rFonts w:hint="eastAsia" w:ascii="宋体" w:hAnsi="宋体" w:cs="宋体"/>
                <w:b/>
                <w:sz w:val="24"/>
              </w:rPr>
              <w:t>▲</w:t>
            </w:r>
            <w:r>
              <w:rPr>
                <w:rFonts w:hint="eastAsia" w:ascii="宋体" w:hAnsi="宋体" w:cs="宋体"/>
                <w:kern w:val="0"/>
                <w:sz w:val="24"/>
              </w:rPr>
              <w:t>投标人的《</w:t>
            </w:r>
            <w:bookmarkStart w:id="96" w:name="_GoBack"/>
            <w:r>
              <w:rPr>
                <w:rFonts w:hint="eastAsia" w:ascii="宋体" w:hAnsi="宋体" w:cs="宋体"/>
                <w:kern w:val="0"/>
                <w:sz w:val="24"/>
              </w:rPr>
              <w:t>中小企业声明函</w:t>
            </w:r>
            <w:bookmarkEnd w:id="96"/>
            <w:r>
              <w:rPr>
                <w:rFonts w:hint="eastAsia" w:ascii="宋体" w:hAnsi="宋体" w:cs="宋体"/>
                <w:kern w:val="0"/>
                <w:sz w:val="24"/>
              </w:rPr>
              <w:t>》</w:t>
            </w:r>
          </w:p>
        </w:tc>
        <w:tc>
          <w:tcPr>
            <w:tcW w:w="4394" w:type="dxa"/>
            <w:vAlign w:val="center"/>
          </w:tcPr>
          <w:p>
            <w:pPr>
              <w:autoSpaceDE w:val="0"/>
              <w:autoSpaceDN w:val="0"/>
              <w:adjustRightInd w:val="0"/>
              <w:jc w:val="left"/>
              <w:rPr>
                <w:rFonts w:ascii="宋体" w:cs="宋体"/>
                <w:kern w:val="0"/>
                <w:sz w:val="24"/>
              </w:rPr>
            </w:pPr>
            <w:r>
              <w:rPr>
                <w:rFonts w:hint="eastAsia" w:ascii="宋体" w:cs="宋体"/>
                <w:kern w:val="0"/>
                <w:sz w:val="24"/>
              </w:rPr>
              <w:t>投标人的《中小企业声明函</w:t>
            </w:r>
            <w:r>
              <w:rPr>
                <w:rFonts w:hint="eastAsia" w:ascii="宋体" w:cs="宋体"/>
                <w:kern w:val="0"/>
                <w:sz w:val="24"/>
                <w:lang w:eastAsia="zh-CN"/>
              </w:rPr>
              <w:t>》</w:t>
            </w:r>
            <w:r>
              <w:rPr>
                <w:rFonts w:hint="eastAsia" w:ascii="宋体" w:cs="宋体"/>
                <w:kern w:val="0"/>
                <w:sz w:val="24"/>
              </w:rPr>
              <w:t>(格式见附件4))等相关证明材料。</w:t>
            </w:r>
          </w:p>
          <w:p>
            <w:pPr>
              <w:autoSpaceDE w:val="0"/>
              <w:autoSpaceDN w:val="0"/>
              <w:adjustRightInd w:val="0"/>
              <w:jc w:val="left"/>
              <w:rPr>
                <w:rFonts w:ascii="宋体" w:cs="宋体"/>
                <w:sz w:val="24"/>
              </w:rPr>
            </w:pPr>
            <w:r>
              <w:rPr>
                <w:rFonts w:hint="eastAsia" w:ascii="宋体" w:cs="宋体"/>
                <w:kern w:val="0"/>
                <w:sz w:val="24"/>
              </w:rPr>
              <w:t>监狱企业、残疾人福利性单位视同中小型企业，若为残疾人福利性单位请提供残疾人福利性单位声明函（格式见附件6）；若为监狱企业，请提供省级以上监狱管理局、戒毒管理局（含新疆生产建设兵团）开具的属于监狱企业的证明文件（格式内容自拟）。</w:t>
            </w:r>
          </w:p>
        </w:tc>
      </w:tr>
    </w:tbl>
    <w:p>
      <w:pPr>
        <w:pStyle w:val="4"/>
        <w:numPr>
          <w:ilvl w:val="0"/>
          <w:numId w:val="0"/>
        </w:numPr>
        <w:ind w:left="425"/>
        <w:jc w:val="both"/>
      </w:pPr>
    </w:p>
    <w:p>
      <w:pPr>
        <w:pStyle w:val="9"/>
      </w:pPr>
    </w:p>
    <w:p/>
    <w:p>
      <w:pPr>
        <w:spacing w:line="360" w:lineRule="auto"/>
        <w:rPr>
          <w:rFonts w:ascii="宋体" w:hAnsi="宋体"/>
          <w:b/>
          <w:sz w:val="24"/>
        </w:rPr>
      </w:pPr>
    </w:p>
    <w:p>
      <w:pPr>
        <w:spacing w:line="360" w:lineRule="auto"/>
        <w:ind w:left="420"/>
        <w:rPr>
          <w:rFonts w:ascii="宋体" w:hAnsi="宋体"/>
          <w:b/>
          <w:sz w:val="28"/>
        </w:rPr>
      </w:pPr>
    </w:p>
    <w:p>
      <w:pPr>
        <w:pStyle w:val="30"/>
        <w:rPr>
          <w:rFonts w:ascii="宋体" w:hAnsi="宋体"/>
          <w:b/>
          <w:sz w:val="28"/>
        </w:rPr>
      </w:pPr>
    </w:p>
    <w:p>
      <w:pPr>
        <w:widowControl/>
        <w:jc w:val="left"/>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0" w:name="_Toc31708_WPSOffice_Level1"/>
      <w:bookmarkStart w:id="51" w:name="_Toc30723_WPSOffice_Level1"/>
      <w:r>
        <w:rPr>
          <w:rFonts w:hint="eastAsia" w:ascii="宋体" w:hAnsi="宋体"/>
          <w:b/>
          <w:kern w:val="0"/>
          <w:sz w:val="32"/>
          <w:szCs w:val="32"/>
          <w:lang w:val="zh-CN"/>
        </w:rPr>
        <w:t>投标声明书</w:t>
      </w:r>
      <w:bookmarkEnd w:id="50"/>
      <w:bookmarkEnd w:id="51"/>
    </w:p>
    <w:p>
      <w:pPr>
        <w:spacing w:line="360" w:lineRule="auto"/>
        <w:ind w:firstLine="240" w:firstLineChars="100"/>
        <w:rPr>
          <w:rFonts w:ascii="宋体" w:hAnsi="宋体" w:cstheme="minorBidi"/>
          <w:sz w:val="24"/>
          <w:u w:val="single"/>
        </w:rPr>
      </w:pPr>
      <w:r>
        <w:rPr>
          <w:rFonts w:hint="eastAsia" w:ascii="宋体" w:hAnsi="宋体" w:cstheme="minorBidi"/>
          <w:sz w:val="24"/>
          <w:u w:val="single"/>
        </w:rPr>
        <w:t>温岭市政府采购中心：</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    系</w:t>
      </w:r>
      <w:r>
        <w:rPr>
          <w:rFonts w:hint="eastAsia" w:ascii="宋体" w:hAnsi="宋体" w:cs="宋体"/>
          <w:kern w:val="0"/>
          <w:sz w:val="24"/>
        </w:rPr>
        <w:t>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 的投标，为此，我公司就本次投标有关事项郑重声明如下：</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2"/>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2"/>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2"/>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2"/>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2"/>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52" w:name="_Toc6870_WPSOffice_Level1"/>
      <w:bookmarkStart w:id="53" w:name="_Toc24373_WPSOffice_Level1"/>
      <w:r>
        <w:rPr>
          <w:b/>
          <w:sz w:val="32"/>
          <w:szCs w:val="32"/>
        </w:rPr>
        <w:t>授权</w:t>
      </w:r>
      <w:r>
        <w:rPr>
          <w:rFonts w:hint="eastAsia"/>
          <w:b/>
          <w:sz w:val="32"/>
          <w:szCs w:val="32"/>
        </w:rPr>
        <w:t>委托</w:t>
      </w:r>
      <w:r>
        <w:rPr>
          <w:b/>
          <w:sz w:val="32"/>
          <w:szCs w:val="32"/>
        </w:rPr>
        <w:t>书</w:t>
      </w:r>
      <w:bookmarkEnd w:id="52"/>
      <w:bookmarkEnd w:id="53"/>
    </w:p>
    <w:p>
      <w:pPr>
        <w:spacing w:line="360" w:lineRule="auto"/>
        <w:ind w:firstLine="240" w:firstLineChars="100"/>
        <w:rPr>
          <w:rFonts w:ascii="宋体" w:hAnsi="宋体" w:cs="宋体"/>
          <w:kern w:val="0"/>
          <w:sz w:val="24"/>
        </w:rPr>
      </w:pPr>
      <w:r>
        <w:rPr>
          <w:rFonts w:hint="eastAsia" w:ascii="宋体" w:hAnsi="宋体" w:cstheme="minorBidi"/>
          <w:sz w:val="24"/>
          <w:u w:val="single"/>
        </w:rPr>
        <w:t>温岭市政府采购中心：</w:t>
      </w:r>
    </w:p>
    <w:p>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sz w:val="52"/>
          <w:szCs w:val="52"/>
        </w:rPr>
      </w:pPr>
      <w:r>
        <w:rPr>
          <w:rFonts w:hint="eastAsia" w:ascii="宋体" w:hAnsi="宋体"/>
          <w:b/>
          <w:sz w:val="28"/>
        </w:rPr>
        <w:br w:type="page"/>
      </w:r>
      <w:bookmarkStart w:id="54" w:name="_Toc12331_WPSOffice_Level1"/>
      <w:bookmarkStart w:id="55" w:name="_Toc16825_WPSOffice_Level1"/>
      <w:bookmarkStart w:id="56" w:name="_Toc26389_WPSOffice_Level1"/>
    </w:p>
    <w:p>
      <w:pPr>
        <w:adjustRightInd w:val="0"/>
        <w:snapToGrid w:val="0"/>
        <w:spacing w:line="360" w:lineRule="auto"/>
        <w:ind w:right="480"/>
        <w:rPr>
          <w:rFonts w:ascii="宋体" w:hAnsi="宋体"/>
          <w:b/>
          <w:sz w:val="28"/>
        </w:rPr>
      </w:pPr>
      <w:r>
        <w:rPr>
          <w:rFonts w:hint="eastAsia" w:ascii="宋体" w:hAnsi="宋体"/>
          <w:b/>
          <w:sz w:val="28"/>
        </w:rPr>
        <w:t>附件3</w:t>
      </w:r>
    </w:p>
    <w:p>
      <w:pPr>
        <w:spacing w:line="360" w:lineRule="auto"/>
        <w:ind w:firstLine="321" w:firstLineChars="100"/>
        <w:jc w:val="center"/>
        <w:rPr>
          <w:b/>
          <w:sz w:val="32"/>
          <w:szCs w:val="32"/>
        </w:rPr>
      </w:pPr>
    </w:p>
    <w:p>
      <w:pPr>
        <w:spacing w:line="360" w:lineRule="auto"/>
        <w:ind w:firstLine="321" w:firstLineChars="100"/>
        <w:jc w:val="center"/>
        <w:rPr>
          <w:b/>
          <w:sz w:val="32"/>
          <w:szCs w:val="32"/>
        </w:rPr>
      </w:pPr>
      <w:r>
        <w:rPr>
          <w:rFonts w:hint="eastAsia"/>
          <w:b/>
          <w:sz w:val="32"/>
          <w:szCs w:val="32"/>
        </w:rPr>
        <w:t>承诺书</w:t>
      </w:r>
    </w:p>
    <w:p>
      <w:pPr>
        <w:spacing w:line="360" w:lineRule="auto"/>
        <w:ind w:firstLine="240" w:firstLineChars="100"/>
        <w:rPr>
          <w:rFonts w:ascii="宋体" w:hAnsi="宋体" w:cstheme="minorBidi"/>
          <w:sz w:val="24"/>
          <w:u w:val="single"/>
        </w:rPr>
      </w:pPr>
    </w:p>
    <w:p>
      <w:pPr>
        <w:spacing w:line="360" w:lineRule="auto"/>
        <w:ind w:firstLine="240" w:firstLineChars="100"/>
        <w:rPr>
          <w:rFonts w:ascii="宋体" w:hAnsi="宋体" w:cstheme="minorBidi"/>
          <w:sz w:val="24"/>
          <w:u w:val="single"/>
        </w:rPr>
      </w:pPr>
      <w:r>
        <w:rPr>
          <w:rFonts w:hint="eastAsia" w:ascii="宋体" w:hAnsi="宋体" w:cstheme="minorBidi"/>
          <w:sz w:val="24"/>
          <w:u w:val="single"/>
        </w:rPr>
        <w:t>温岭市政府采购中心：</w:t>
      </w:r>
    </w:p>
    <w:p>
      <w:pPr>
        <w:rPr>
          <w:color w:val="FF0000"/>
        </w:rPr>
      </w:pP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（投标人名称）      </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    ） 的投标，为此，我公司就本次投标有关事项承诺如下：</w:t>
      </w:r>
    </w:p>
    <w:p>
      <w:pPr>
        <w:pStyle w:val="31"/>
        <w:numPr>
          <w:ilvl w:val="0"/>
          <w:numId w:val="13"/>
        </w:numPr>
        <w:snapToGrid w:val="0"/>
        <w:spacing w:line="360" w:lineRule="auto"/>
        <w:ind w:firstLineChars="0"/>
        <w:rPr>
          <w:rFonts w:ascii="宋体" w:hAnsi="宋体"/>
          <w:sz w:val="24"/>
        </w:rPr>
      </w:pPr>
      <w:r>
        <w:rPr>
          <w:rFonts w:hint="eastAsia" w:ascii="宋体" w:hAnsi="宋体" w:cs="宋体"/>
          <w:kern w:val="0"/>
          <w:sz w:val="24"/>
        </w:rPr>
        <w:t>我公司</w:t>
      </w:r>
      <w:r>
        <w:rPr>
          <w:rFonts w:ascii="宋体" w:hAnsi="宋体" w:cs="宋体"/>
          <w:kern w:val="0"/>
          <w:sz w:val="24"/>
        </w:rPr>
        <w:t>承诺符合参与政府采购活动资格条件</w:t>
      </w:r>
      <w:r>
        <w:rPr>
          <w:rFonts w:hint="eastAsia" w:ascii="宋体" w:hAnsi="宋体" w:cs="宋体"/>
          <w:kern w:val="0"/>
          <w:sz w:val="24"/>
        </w:rPr>
        <w:t>。即符合参与政府采购活动的资格条件并且没有税收缴纳、社会保障等方面的失信记录</w:t>
      </w:r>
      <w:r>
        <w:rPr>
          <w:rFonts w:ascii="宋体" w:hAnsi="宋体" w:cs="宋体"/>
          <w:kern w:val="0"/>
          <w:sz w:val="24"/>
        </w:rPr>
        <w:t>。</w:t>
      </w:r>
    </w:p>
    <w:p>
      <w:pPr>
        <w:pStyle w:val="31"/>
        <w:numPr>
          <w:ilvl w:val="0"/>
          <w:numId w:val="13"/>
        </w:numPr>
        <w:snapToGrid w:val="0"/>
        <w:spacing w:line="360" w:lineRule="auto"/>
        <w:ind w:firstLineChars="0"/>
        <w:rPr>
          <w:rFonts w:ascii="宋体" w:hAnsi="宋体"/>
          <w:sz w:val="24"/>
        </w:rPr>
      </w:pPr>
      <w:r>
        <w:rPr>
          <w:rFonts w:hint="eastAsia" w:ascii="宋体" w:hAnsi="宋体" w:cs="宋体"/>
          <w:kern w:val="0"/>
          <w:sz w:val="24"/>
        </w:rPr>
        <w:t>我公司承诺具备履行合同所必需的设备和专业技术能力。</w:t>
      </w:r>
    </w:p>
    <w:p>
      <w:pPr>
        <w:pStyle w:val="31"/>
        <w:numPr>
          <w:ilvl w:val="0"/>
          <w:numId w:val="13"/>
        </w:numPr>
        <w:snapToGrid w:val="0"/>
        <w:spacing w:line="360" w:lineRule="auto"/>
        <w:ind w:firstLineChars="0"/>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napToGrid w:val="0"/>
        <w:spacing w:line="360" w:lineRule="auto"/>
        <w:rPr>
          <w:rFonts w:ascii="宋体" w:hAnsi="宋体"/>
          <w:sz w:val="24"/>
        </w:rPr>
      </w:pPr>
    </w:p>
    <w:p>
      <w:pPr>
        <w:pStyle w:val="20"/>
      </w:pP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20"/>
        <w:rPr>
          <w:lang w:val="zh-CN"/>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rPr>
          <w:sz w:val="52"/>
          <w:szCs w:val="52"/>
        </w:rPr>
      </w:pPr>
      <w:r>
        <w:rPr>
          <w:sz w:val="52"/>
          <w:szCs w:val="52"/>
        </w:rPr>
        <w:br w:type="page"/>
      </w:r>
    </w:p>
    <w:p>
      <w:pPr>
        <w:snapToGrid w:val="0"/>
        <w:spacing w:beforeLines="50" w:after="50" w:line="360" w:lineRule="auto"/>
        <w:rPr>
          <w:rFonts w:ascii="宋体" w:hAnsi="宋体"/>
          <w:b/>
          <w:sz w:val="28"/>
          <w:szCs w:val="28"/>
        </w:rPr>
      </w:pPr>
      <w:r>
        <w:rPr>
          <w:rFonts w:hint="eastAsia" w:ascii="宋体" w:hAnsi="宋体"/>
          <w:b/>
          <w:sz w:val="28"/>
        </w:rPr>
        <w:t>附件4</w:t>
      </w:r>
    </w:p>
    <w:p>
      <w:pPr>
        <w:pStyle w:val="44"/>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4"/>
        <w:spacing w:line="360" w:lineRule="auto"/>
        <w:jc w:val="center"/>
        <w:rPr>
          <w:rFonts w:ascii="宋体" w:hAnsi="宋体"/>
          <w:b/>
          <w:sz w:val="24"/>
          <w:lang w:val="en-GB"/>
        </w:rPr>
      </w:pPr>
    </w:p>
    <w:p>
      <w:pPr>
        <w:pStyle w:val="44"/>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4"/>
        <w:numPr>
          <w:ilvl w:val="0"/>
          <w:numId w:val="14"/>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4"/>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，从业人员人，营业收入为万元，资产总额为万元，属于（中型企业、小型企业、微型企业）；</w:t>
      </w:r>
    </w:p>
    <w:p>
      <w:pPr>
        <w:pStyle w:val="44"/>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4"/>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4"/>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4"/>
        <w:spacing w:line="360" w:lineRule="auto"/>
        <w:ind w:firstLine="480" w:firstLineChars="200"/>
        <w:rPr>
          <w:rFonts w:ascii="宋体" w:hAnsi="宋体" w:cs="Arial"/>
          <w:bCs/>
          <w:sz w:val="24"/>
        </w:rPr>
      </w:pPr>
    </w:p>
    <w:p>
      <w:pPr>
        <w:pStyle w:val="44"/>
        <w:spacing w:line="360" w:lineRule="auto"/>
        <w:rPr>
          <w:rFonts w:ascii="宋体" w:hAnsi="宋体"/>
          <w:sz w:val="24"/>
        </w:rPr>
      </w:pPr>
    </w:p>
    <w:p>
      <w:pPr>
        <w:pStyle w:val="44"/>
        <w:spacing w:line="360" w:lineRule="auto"/>
        <w:ind w:firstLine="4800" w:firstLineChars="2000"/>
        <w:rPr>
          <w:rFonts w:ascii="宋体" w:hAnsi="宋体"/>
          <w:sz w:val="24"/>
        </w:rPr>
      </w:pPr>
      <w:r>
        <w:rPr>
          <w:rFonts w:hint="eastAsia" w:ascii="宋体" w:hAnsi="宋体"/>
          <w:sz w:val="24"/>
        </w:rPr>
        <w:t xml:space="preserve">企业名称（盖章）：              </w:t>
      </w:r>
    </w:p>
    <w:p>
      <w:pPr>
        <w:pStyle w:val="44"/>
        <w:spacing w:line="360" w:lineRule="auto"/>
        <w:ind w:firstLine="4800" w:firstLineChars="2000"/>
        <w:rPr>
          <w:rFonts w:ascii="宋体" w:hAnsi="宋体"/>
          <w:sz w:val="24"/>
        </w:rPr>
      </w:pPr>
      <w:r>
        <w:rPr>
          <w:rFonts w:hint="eastAsia" w:ascii="宋体" w:hAnsi="宋体"/>
          <w:sz w:val="24"/>
        </w:rPr>
        <w:t>日 期：</w:t>
      </w:r>
    </w:p>
    <w:p>
      <w:pPr>
        <w:wordWrap w:val="0"/>
        <w:spacing w:line="360" w:lineRule="auto"/>
        <w:ind w:firstLine="480" w:firstLineChars="200"/>
        <w:jc w:val="center"/>
        <w:rPr>
          <w:rFonts w:ascii="宋体" w:hAnsi="宋体" w:cs="宋体"/>
          <w:sz w:val="24"/>
        </w:rPr>
      </w:pPr>
    </w:p>
    <w:p>
      <w:pPr>
        <w:pStyle w:val="2"/>
      </w:pPr>
    </w:p>
    <w:p>
      <w:pPr>
        <w:wordWrap w:val="0"/>
        <w:spacing w:line="360" w:lineRule="auto"/>
        <w:ind w:firstLine="480" w:firstLineChars="200"/>
        <w:jc w:val="center"/>
        <w:rPr>
          <w:rFonts w:ascii="宋体" w:hAnsi="宋体" w:cs="宋体"/>
          <w:sz w:val="24"/>
        </w:rPr>
      </w:pPr>
    </w:p>
    <w:p>
      <w:pPr>
        <w:spacing w:line="360" w:lineRule="auto"/>
      </w:pPr>
      <w:r>
        <w:rPr>
          <w:rFonts w:ascii="宋体" w:hAnsi="宋体" w:cs="宋体"/>
          <w:sz w:val="24"/>
        </w:rPr>
        <w:pict>
          <v:line id="_x0000_s2050" o:spid="_x0000_s2050" o:spt="20" style="position:absolute;left:0pt;margin-left:0.4pt;margin-top:16.5pt;height:0pt;width:235pt;z-index:251661312;mso-width-relative:page;mso-height-relative:page;"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path arrowok="t"/>
            <v:fill focussize="0,0"/>
            <v:stroke weight="1.25pt" joinstyle="miter"/>
            <v:imagedata o:title=""/>
            <o:lock v:ext="edit"/>
          </v:line>
        </w:pict>
      </w:r>
    </w:p>
    <w:p>
      <w:pPr>
        <w:widowControl/>
        <w:jc w:val="left"/>
      </w:pPr>
      <w:r>
        <w:rPr>
          <w:rFonts w:hint="eastAsia"/>
        </w:rPr>
        <w:t>注：1、</w:t>
      </w:r>
      <w:r>
        <w:t>从业人员、营业收入、资产总额填报上一年度数据，无上一年度数据的新成立企业可不填报。</w:t>
      </w:r>
    </w:p>
    <w:p>
      <w:pPr>
        <w:widowControl/>
        <w:numPr>
          <w:ilvl w:val="0"/>
          <w:numId w:val="15"/>
        </w:numPr>
        <w:jc w:val="left"/>
      </w:pPr>
      <w:r>
        <w:rPr>
          <w:rFonts w:hint="eastAsia"/>
        </w:rPr>
        <w:t>本项目专门面向中小企业，本声明函将随中标结果同时公告，接受社会监督。</w:t>
      </w:r>
    </w:p>
    <w:p>
      <w:pPr>
        <w:rPr>
          <w:rFonts w:ascii="宋体" w:hAnsi="宋体"/>
          <w:b/>
          <w:sz w:val="28"/>
        </w:rPr>
      </w:pPr>
      <w:r>
        <w:rPr>
          <w:rFonts w:hint="eastAsia" w:ascii="宋体" w:hAnsi="宋体"/>
          <w:b/>
          <w:sz w:val="28"/>
        </w:rPr>
        <w:br w:type="page"/>
      </w:r>
    </w:p>
    <w:p>
      <w:pPr>
        <w:snapToGrid w:val="0"/>
        <w:spacing w:beforeLines="50" w:after="50" w:line="360" w:lineRule="auto"/>
        <w:outlineLvl w:val="0"/>
      </w:pPr>
      <w:r>
        <w:rPr>
          <w:rFonts w:hint="eastAsia" w:ascii="宋体" w:hAnsi="宋体"/>
          <w:b/>
          <w:sz w:val="28"/>
        </w:rPr>
        <w:t>附件5</w:t>
      </w:r>
    </w:p>
    <w:tbl>
      <w:tblPr>
        <w:tblStyle w:val="21"/>
        <w:tblW w:w="10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869"/>
        <w:gridCol w:w="477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50"/>
              <w:spacing w:before="26"/>
              <w:ind w:left="3868"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中小企业划型标准规定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vAlign w:val="center"/>
          </w:tcPr>
          <w:p>
            <w:pPr>
              <w:pStyle w:val="50"/>
              <w:spacing w:before="52"/>
              <w:ind w:left="3869" w:right="386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工信部联企业【2011】300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pStyle w:val="50"/>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59" w:type="dxa"/>
            <w:tcBorders>
              <w:top w:val="single" w:color="auto" w:sz="4" w:space="0"/>
              <w:left w:val="single" w:color="auto" w:sz="4" w:space="0"/>
              <w:bottom w:val="single" w:color="auto" w:sz="4" w:space="0"/>
              <w:right w:val="single" w:color="auto" w:sz="4" w:space="0"/>
            </w:tcBorders>
            <w:vAlign w:val="center"/>
          </w:tcPr>
          <w:p>
            <w:pPr>
              <w:pStyle w:val="50"/>
              <w:spacing w:before="54"/>
              <w:ind w:left="22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行业</w:t>
            </w:r>
          </w:p>
        </w:tc>
        <w:tc>
          <w:tcPr>
            <w:tcW w:w="2163" w:type="dxa"/>
            <w:tcBorders>
              <w:top w:val="single" w:color="auto" w:sz="4" w:space="0"/>
              <w:left w:val="single" w:color="auto" w:sz="4" w:space="0"/>
              <w:bottom w:val="single" w:color="auto" w:sz="4" w:space="0"/>
              <w:right w:val="single" w:color="auto" w:sz="4" w:space="0"/>
            </w:tcBorders>
            <w:vAlign w:val="center"/>
          </w:tcPr>
          <w:p>
            <w:pPr>
              <w:pStyle w:val="50"/>
              <w:spacing w:before="54"/>
              <w:ind w:left="859" w:right="85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原则</w:t>
            </w:r>
          </w:p>
        </w:tc>
        <w:tc>
          <w:tcPr>
            <w:tcW w:w="5644" w:type="dxa"/>
            <w:gridSpan w:val="2"/>
            <w:tcBorders>
              <w:top w:val="single" w:color="auto" w:sz="4" w:space="0"/>
              <w:left w:val="single" w:color="auto" w:sz="4" w:space="0"/>
              <w:bottom w:val="single" w:color="auto" w:sz="4" w:space="0"/>
              <w:right w:val="single" w:color="auto" w:sz="4" w:space="0"/>
            </w:tcBorders>
            <w:vAlign w:val="center"/>
          </w:tcPr>
          <w:p>
            <w:pPr>
              <w:pStyle w:val="50"/>
              <w:spacing w:before="54"/>
              <w:ind w:left="3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具体规定</w:t>
            </w:r>
          </w:p>
        </w:tc>
        <w:tc>
          <w:tcPr>
            <w:tcW w:w="1193" w:type="dxa"/>
            <w:tcBorders>
              <w:top w:val="single" w:color="auto" w:sz="4" w:space="0"/>
              <w:left w:val="single" w:color="auto" w:sz="4" w:space="0"/>
              <w:bottom w:val="single" w:color="auto" w:sz="4" w:space="0"/>
              <w:right w:val="single" w:color="auto" w:sz="4" w:space="0"/>
            </w:tcBorders>
            <w:vAlign w:val="center"/>
          </w:tcPr>
          <w:p>
            <w:pPr>
              <w:pStyle w:val="50"/>
              <w:spacing w:before="54"/>
              <w:ind w:left="59"/>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59" w:type="dxa"/>
            <w:vMerge w:val="restart"/>
            <w:tcBorders>
              <w:top w:val="single" w:color="auto" w:sz="4" w:space="0"/>
              <w:left w:val="single" w:color="auto" w:sz="4" w:space="0"/>
              <w:right w:val="single" w:color="auto" w:sz="4" w:space="0"/>
            </w:tcBorders>
            <w:vAlign w:val="center"/>
          </w:tcPr>
          <w:p>
            <w:pPr>
              <w:pStyle w:val="50"/>
              <w:spacing w:line="242" w:lineRule="auto"/>
              <w:ind w:right="-29"/>
              <w:jc w:val="center"/>
              <w:rPr>
                <w:rFonts w:asciiTheme="minorEastAsia" w:hAnsiTheme="minorEastAsia" w:eastAsiaTheme="minorEastAsia" w:cstheme="minorEastAsia"/>
                <w:szCs w:val="21"/>
              </w:rPr>
            </w:pPr>
            <w:r>
              <w:rPr>
                <w:spacing w:val="16"/>
                <w:sz w:val="20"/>
              </w:rPr>
              <w:t>农、林、</w:t>
            </w:r>
            <w:r>
              <w:rPr>
                <w:sz w:val="20"/>
              </w:rPr>
              <w:t>牧、渔业</w:t>
            </w:r>
          </w:p>
        </w:tc>
        <w:tc>
          <w:tcPr>
            <w:tcW w:w="2163" w:type="dxa"/>
            <w:vMerge w:val="restart"/>
            <w:tcBorders>
              <w:top w:val="single" w:color="auto" w:sz="4" w:space="0"/>
              <w:left w:val="single" w:color="auto" w:sz="4" w:space="0"/>
              <w:right w:val="single" w:color="auto" w:sz="4" w:space="0"/>
            </w:tcBorders>
            <w:vAlign w:val="center"/>
          </w:tcPr>
          <w:p>
            <w:pPr>
              <w:pStyle w:val="50"/>
              <w:spacing w:before="52"/>
              <w:jc w:val="left"/>
              <w:rPr>
                <w:sz w:val="20"/>
              </w:rPr>
            </w:pPr>
            <w:r>
              <w:rPr>
                <w:sz w:val="20"/>
              </w:rPr>
              <w:t>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500</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4"/>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4"/>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bottom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0"/>
              </w:rPr>
              <w:t>营业收入</w:t>
            </w:r>
            <w:r>
              <w:rPr>
                <w:rFonts w:hint="eastAsia" w:asciiTheme="minorEastAsia" w:hAnsiTheme="minorEastAsia" w:eastAsiaTheme="minorEastAsia" w:cstheme="minorEastAsia"/>
                <w:position w:val="1"/>
                <w:sz w:val="20"/>
              </w:rPr>
              <w:t>50</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59" w:type="dxa"/>
            <w:vMerge w:val="restart"/>
            <w:tcBorders>
              <w:top w:val="single" w:color="auto" w:sz="4" w:space="0"/>
              <w:left w:val="single" w:color="auto" w:sz="4" w:space="0"/>
              <w:right w:val="single" w:color="auto" w:sz="4" w:space="0"/>
            </w:tcBorders>
            <w:vAlign w:val="center"/>
          </w:tcPr>
          <w:p>
            <w:pPr>
              <w:pStyle w:val="50"/>
              <w:spacing w:before="1"/>
              <w:jc w:val="center"/>
              <w:rPr>
                <w:rFonts w:asciiTheme="minorEastAsia" w:hAnsiTheme="minorEastAsia" w:eastAsiaTheme="minorEastAsia" w:cstheme="minorEastAsia"/>
                <w:szCs w:val="21"/>
              </w:rPr>
            </w:pPr>
            <w:r>
              <w:rPr>
                <w:sz w:val="20"/>
              </w:rPr>
              <w:t>工业</w:t>
            </w:r>
          </w:p>
        </w:tc>
        <w:tc>
          <w:tcPr>
            <w:tcW w:w="2163" w:type="dxa"/>
            <w:vMerge w:val="restart"/>
            <w:tcBorders>
              <w:top w:val="single" w:color="auto" w:sz="4" w:space="0"/>
              <w:left w:val="single" w:color="auto" w:sz="4" w:space="0"/>
              <w:right w:val="single" w:color="auto" w:sz="4" w:space="0"/>
            </w:tcBorders>
            <w:vAlign w:val="center"/>
          </w:tcPr>
          <w:p>
            <w:pPr>
              <w:pStyle w:val="50"/>
              <w:spacing w:before="52"/>
              <w:jc w:val="left"/>
              <w:rPr>
                <w:color w:val="FF0000"/>
                <w:sz w:val="20"/>
              </w:rPr>
            </w:pPr>
            <w:r>
              <w:rPr>
                <w:color w:val="000000" w:themeColor="text1"/>
                <w:sz w:val="20"/>
              </w:rPr>
              <w:t>从业人员1000人以下或营业收入40000万元以下的为中小微型企业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从业人员20人及以上且营业收入300万元及以上的</w:t>
            </w:r>
          </w:p>
        </w:tc>
        <w:tc>
          <w:tcPr>
            <w:tcW w:w="1193" w:type="dxa"/>
            <w:vMerge w:val="continue"/>
            <w:tcBorders>
              <w:left w:val="single" w:color="auto" w:sz="4" w:space="0"/>
              <w:right w:val="single" w:color="auto" w:sz="4" w:space="0"/>
            </w:tcBorders>
            <w:vAlign w:val="center"/>
          </w:tcPr>
          <w:p>
            <w:pPr>
              <w:pStyle w:val="50"/>
              <w:spacing w:before="52"/>
              <w:ind w:left="11"/>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从业人员20人以下或营业收入300万元以下的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建筑业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营业收入80000万元以下或资产总额80000万元以下的为中小微型企业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营业收入6</w:t>
            </w:r>
            <w:r>
              <w:rPr>
                <w:rFonts w:hint="eastAsia"/>
                <w:sz w:val="20"/>
              </w:rPr>
              <w:t>千</w:t>
            </w:r>
            <w:r>
              <w:rPr>
                <w:rFonts w:hint="eastAsia" w:asciiTheme="minorEastAsia" w:hAnsiTheme="minorEastAsia" w:eastAsiaTheme="minorEastAsia" w:cstheme="minorEastAsia"/>
                <w:sz w:val="20"/>
              </w:rPr>
              <w:t>万元及以上且资产总额5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营业收入</w:t>
            </w:r>
          </w:p>
          <w:p>
            <w:pPr>
              <w:pStyle w:val="50"/>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营业收入300万元及以上且资产总额300万元及以上的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批发业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从业人员200人以下或营业收入40000万元以下的为中小微型企业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从业人员20人及以上，且营业收入5</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从业人员5人以下或营业收入1</w:t>
            </w:r>
            <w:r>
              <w:rPr>
                <w:rFonts w:hint="eastAsia"/>
                <w:sz w:val="20"/>
              </w:rPr>
              <w:t>千</w:t>
            </w:r>
            <w:r>
              <w:rPr>
                <w:rFonts w:hint="eastAsia" w:asciiTheme="minorEastAsia" w:hAnsiTheme="minorEastAsia" w:eastAsiaTheme="minorEastAsia" w:cstheme="minorEastAsia"/>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零售业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从业人员300人以下或营业收入20000万元以下的为中小微型企业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59" w:type="dxa"/>
            <w:vMerge w:val="restart"/>
            <w:tcBorders>
              <w:left w:val="single" w:color="auto" w:sz="4" w:space="0"/>
              <w:right w:val="single" w:color="auto" w:sz="4" w:space="0"/>
            </w:tcBorders>
            <w:vAlign w:val="center"/>
          </w:tcPr>
          <w:p>
            <w:pPr>
              <w:pStyle w:val="50"/>
              <w:spacing w:line="242" w:lineRule="auto"/>
              <w:ind w:right="-29"/>
              <w:jc w:val="center"/>
              <w:rPr>
                <w:rFonts w:asciiTheme="minorEastAsia" w:hAnsiTheme="minorEastAsia" w:eastAsiaTheme="minorEastAsia" w:cstheme="minorEastAsia"/>
                <w:szCs w:val="21"/>
              </w:rPr>
            </w:pPr>
            <w:r>
              <w:rPr>
                <w:spacing w:val="16"/>
                <w:sz w:val="20"/>
              </w:rPr>
              <w:t>交通运输</w:t>
            </w:r>
            <w:r>
              <w:rPr>
                <w:sz w:val="20"/>
              </w:rPr>
              <w:t>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 3</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从业人员20人及以上且营业收入200万元及以上的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从业人员20人以下或营业收入200万元以下的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仓储业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从业人员200人以下或营业收入30000万元以下的为中小微型企业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20 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邮政业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从业人员1000人以下或营业收入30000万元以下的为中小微型企业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从业人员300人及以上，且营业收入2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从业人员20人以下或营业收入100万元以下的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住宿业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859" w:type="dxa"/>
            <w:vMerge w:val="restart"/>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餐饮业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从业人员300人以下或营业收入10000万元以下的为中小微型企业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从业人员100人及以上且营业收入2</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59" w:type="dxa"/>
            <w:vMerge w:val="restart"/>
            <w:tcBorders>
              <w:left w:val="single" w:color="auto" w:sz="4" w:space="0"/>
              <w:right w:val="single" w:color="auto" w:sz="4" w:space="0"/>
            </w:tcBorders>
            <w:vAlign w:val="center"/>
          </w:tcPr>
          <w:p>
            <w:pPr>
              <w:pStyle w:val="50"/>
              <w:spacing w:line="242" w:lineRule="auto"/>
              <w:ind w:right="-29"/>
              <w:jc w:val="center"/>
              <w:rPr>
                <w:rFonts w:asciiTheme="minorEastAsia" w:hAnsiTheme="minorEastAsia" w:eastAsiaTheme="minorEastAsia" w:cstheme="minorEastAsia"/>
                <w:szCs w:val="21"/>
              </w:rPr>
            </w:pPr>
            <w:r>
              <w:rPr>
                <w:spacing w:val="16"/>
                <w:sz w:val="20"/>
              </w:rPr>
              <w:t>信息传输</w:t>
            </w:r>
            <w:r>
              <w:rPr>
                <w:sz w:val="20"/>
              </w:rPr>
              <w:t>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从业人员2000人以下或营业收入100000万元以下的为中小微型企业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1"/>
              <w:ind w:left="1"/>
              <w:jc w:val="center"/>
              <w:rPr>
                <w:rFonts w:asciiTheme="minorEastAsia" w:hAnsiTheme="minorEastAsia" w:eastAsiaTheme="minorEastAsia" w:cstheme="minorEastAsia"/>
                <w:szCs w:val="21"/>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从业人员10人及以上且营业收入100万元及以上的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2163"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ind w:left="1"/>
              <w:jc w:val="center"/>
              <w:rPr>
                <w:rFonts w:asciiTheme="minorEastAsia" w:hAnsiTheme="minorEastAsia" w:eastAsiaTheme="minorEastAsia" w:cstheme="minorEastAsia"/>
                <w:szCs w:val="21"/>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从业人员10人以下或营业收入100万元以下的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59" w:type="dxa"/>
            <w:vMerge w:val="restart"/>
            <w:tcBorders>
              <w:left w:val="single" w:color="auto" w:sz="4" w:space="0"/>
              <w:right w:val="single" w:color="auto" w:sz="4" w:space="0"/>
            </w:tcBorders>
            <w:vAlign w:val="center"/>
          </w:tcPr>
          <w:p>
            <w:pPr>
              <w:pStyle w:val="50"/>
              <w:spacing w:before="52"/>
              <w:jc w:val="center"/>
              <w:rPr>
                <w:sz w:val="20"/>
              </w:rPr>
            </w:pPr>
            <w:r>
              <w:rPr>
                <w:sz w:val="20"/>
              </w:rPr>
              <w:t>软件和信息技术服务业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w:t>
            </w:r>
            <w:r>
              <w:rPr>
                <w:rFonts w:hint="eastAsia"/>
                <w:sz w:val="20"/>
              </w:rPr>
              <w:t>3</w:t>
            </w:r>
            <w:r>
              <w:rPr>
                <w:sz w:val="20"/>
              </w:rPr>
              <w:t>00人以下或</w:t>
            </w:r>
          </w:p>
          <w:p>
            <w:pPr>
              <w:pStyle w:val="50"/>
              <w:spacing w:before="52"/>
              <w:jc w:val="left"/>
              <w:rPr>
                <w:sz w:val="20"/>
              </w:rPr>
            </w:pPr>
            <w:r>
              <w:rPr>
                <w:sz w:val="20"/>
              </w:rPr>
              <w:t>营业收入10000万元以下的为中小微型企业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从业人员100人及以上且营业收入1</w:t>
            </w:r>
            <w:r>
              <w:rPr>
                <w:rFonts w:hint="eastAsia"/>
                <w:sz w:val="20"/>
              </w:rPr>
              <w:t>千</w:t>
            </w:r>
            <w:r>
              <w:rPr>
                <w:rFonts w:hint="eastAsia" w:asciiTheme="minorEastAsia" w:hAnsiTheme="minorEastAsia" w:eastAsiaTheme="minorEastAsia" w:cstheme="minorEastAsia"/>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人及以上且营业收入50万元及以上的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1"/>
              <w:jc w:val="left"/>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59" w:type="dxa"/>
            <w:vMerge w:val="restart"/>
            <w:tcBorders>
              <w:left w:val="single" w:color="auto" w:sz="4" w:space="0"/>
              <w:right w:val="single" w:color="auto" w:sz="4" w:space="0"/>
            </w:tcBorders>
            <w:vAlign w:val="center"/>
          </w:tcPr>
          <w:p>
            <w:pPr>
              <w:pStyle w:val="50"/>
              <w:spacing w:before="52"/>
              <w:jc w:val="center"/>
              <w:rPr>
                <w:sz w:val="20"/>
              </w:rPr>
            </w:pPr>
            <w:r>
              <w:rPr>
                <w:sz w:val="20"/>
              </w:rPr>
              <w:t>房地产开发经营</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营业收入200000万元以下或资产总额10000万元以下的为中小微型企业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营业收入1</w:t>
            </w:r>
            <w:r>
              <w:rPr>
                <w:rFonts w:hint="eastAsia"/>
                <w:sz w:val="20"/>
              </w:rPr>
              <w:t>千</w:t>
            </w:r>
            <w:r>
              <w:rPr>
                <w:sz w:val="20"/>
              </w:rPr>
              <w:t>万元及以上且资产总额</w:t>
            </w:r>
            <w:r>
              <w:rPr>
                <w:rFonts w:hint="eastAsia"/>
                <w:sz w:val="20"/>
              </w:rPr>
              <w:t>5千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营业收入</w:t>
            </w:r>
          </w:p>
          <w:p>
            <w:pPr>
              <w:pStyle w:val="50"/>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营业收入100万元及以上且资产总额2</w:t>
            </w:r>
            <w:r>
              <w:rPr>
                <w:rFonts w:hint="eastAsia"/>
                <w:sz w:val="20"/>
              </w:rPr>
              <w:t>千</w:t>
            </w:r>
            <w:r>
              <w:rPr>
                <w:sz w:val="20"/>
              </w:rPr>
              <w:t>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营业收入100万元以下或资产总额 2</w:t>
            </w:r>
            <w:r>
              <w:rPr>
                <w:rFonts w:hint="eastAsia"/>
                <w:sz w:val="20"/>
              </w:rPr>
              <w:t>千</w:t>
            </w:r>
            <w:r>
              <w:rPr>
                <w:sz w:val="20"/>
              </w:rPr>
              <w:t>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859" w:type="dxa"/>
            <w:vMerge w:val="restart"/>
            <w:tcBorders>
              <w:left w:val="single" w:color="auto" w:sz="4" w:space="0"/>
              <w:right w:val="single" w:color="auto" w:sz="4" w:space="0"/>
            </w:tcBorders>
            <w:vAlign w:val="center"/>
          </w:tcPr>
          <w:p>
            <w:pPr>
              <w:pStyle w:val="50"/>
              <w:spacing w:before="52"/>
              <w:jc w:val="center"/>
              <w:rPr>
                <w:sz w:val="20"/>
              </w:rPr>
            </w:pPr>
            <w:r>
              <w:rPr>
                <w:sz w:val="20"/>
              </w:rPr>
              <w:t>物业管理</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从业人员1000人以下或营业收入5000万元以下的为中小微型企业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从业人员30</w:t>
            </w:r>
            <w:r>
              <w:rPr>
                <w:rFonts w:hint="eastAsia"/>
                <w:sz w:val="20"/>
              </w:rPr>
              <w:t>0</w:t>
            </w:r>
            <w:r>
              <w:rPr>
                <w:sz w:val="20"/>
              </w:rPr>
              <w:t>人及以上且营业收入1</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从业人员100人及以上且营业收入 500万元及以上的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859" w:type="dxa"/>
            <w:vMerge w:val="restart"/>
            <w:tcBorders>
              <w:left w:val="single" w:color="auto" w:sz="4" w:space="0"/>
              <w:right w:val="single" w:color="auto" w:sz="4" w:space="0"/>
            </w:tcBorders>
            <w:vAlign w:val="center"/>
          </w:tcPr>
          <w:p>
            <w:pPr>
              <w:pStyle w:val="50"/>
              <w:spacing w:before="52"/>
              <w:jc w:val="center"/>
              <w:rPr>
                <w:sz w:val="20"/>
              </w:rPr>
            </w:pPr>
            <w:r>
              <w:rPr>
                <w:sz w:val="20"/>
              </w:rPr>
              <w:t>租赁和商务服务业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从业人员300人以下或</w:t>
            </w:r>
          </w:p>
          <w:p>
            <w:pPr>
              <w:pStyle w:val="50"/>
              <w:spacing w:before="52"/>
              <w:jc w:val="left"/>
              <w:rPr>
                <w:sz w:val="20"/>
              </w:rPr>
            </w:pPr>
            <w:r>
              <w:rPr>
                <w:sz w:val="20"/>
              </w:rPr>
              <w:t>资产总额120000万元以下的为中小微型企业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从业人员100人及以上且资产总额8</w:t>
            </w:r>
            <w:r>
              <w:rPr>
                <w:rFonts w:hint="eastAsia"/>
                <w:sz w:val="20"/>
              </w:rPr>
              <w:t>千</w:t>
            </w:r>
            <w:r>
              <w:rPr>
                <w:sz w:val="20"/>
              </w:rPr>
              <w:t>万元及以上的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sz w:val="20"/>
              </w:rPr>
            </w:pPr>
            <w:r>
              <w:rPr>
                <w:sz w:val="20"/>
              </w:rPr>
              <w:t>从业人员</w:t>
            </w:r>
          </w:p>
          <w:p>
            <w:pPr>
              <w:pStyle w:val="50"/>
              <w:jc w:val="center"/>
              <w:rPr>
                <w:rFonts w:asciiTheme="minorEastAsia" w:hAnsiTheme="minorEastAsia" w:eastAsiaTheme="minorEastAsia" w:cstheme="minorEastAsia"/>
                <w:szCs w:val="21"/>
              </w:rPr>
            </w:pPr>
            <w:r>
              <w:rPr>
                <w:sz w:val="20"/>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 10人及以上且资产总额 100万元及以上的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center"/>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859" w:type="dxa"/>
            <w:vMerge w:val="restart"/>
            <w:tcBorders>
              <w:left w:val="single" w:color="auto" w:sz="4" w:space="0"/>
              <w:right w:val="single" w:color="auto" w:sz="4" w:space="0"/>
            </w:tcBorders>
            <w:vAlign w:val="center"/>
          </w:tcPr>
          <w:p>
            <w:pPr>
              <w:pStyle w:val="50"/>
              <w:spacing w:before="52"/>
              <w:jc w:val="center"/>
              <w:rPr>
                <w:sz w:val="20"/>
              </w:rPr>
            </w:pPr>
            <w:r>
              <w:rPr>
                <w:sz w:val="20"/>
              </w:rPr>
              <w:t>其他未列明行业</w:t>
            </w:r>
          </w:p>
        </w:tc>
        <w:tc>
          <w:tcPr>
            <w:tcW w:w="2163" w:type="dxa"/>
            <w:vMerge w:val="restart"/>
            <w:tcBorders>
              <w:left w:val="single" w:color="auto" w:sz="4" w:space="0"/>
              <w:right w:val="single" w:color="auto" w:sz="4" w:space="0"/>
            </w:tcBorders>
            <w:vAlign w:val="center"/>
          </w:tcPr>
          <w:p>
            <w:pPr>
              <w:pStyle w:val="50"/>
              <w:spacing w:before="52"/>
              <w:jc w:val="left"/>
              <w:rPr>
                <w:sz w:val="20"/>
              </w:rPr>
            </w:pPr>
            <w:r>
              <w:rPr>
                <w:sz w:val="20"/>
              </w:rPr>
              <w:t>从业人员300人以下的为中小微型企业</w:t>
            </w: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中型企业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 100 人及以上的</w:t>
            </w:r>
          </w:p>
        </w:tc>
        <w:tc>
          <w:tcPr>
            <w:tcW w:w="1193" w:type="dxa"/>
            <w:vMerge w:val="restart"/>
            <w:tcBorders>
              <w:top w:val="single" w:color="auto" w:sz="4" w:space="0"/>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r>
              <w:rPr>
                <w:sz w:val="20"/>
              </w:rPr>
              <w:t>从业人员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left"/>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小型企业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 10 人及以上的</w:t>
            </w:r>
          </w:p>
        </w:tc>
        <w:tc>
          <w:tcPr>
            <w:tcW w:w="1193" w:type="dxa"/>
            <w:vMerge w:val="continue"/>
            <w:tcBorders>
              <w:left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524" w:type="dxa"/>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c>
          <w:tcPr>
            <w:tcW w:w="859" w:type="dxa"/>
            <w:vMerge w:val="continue"/>
            <w:tcBorders>
              <w:left w:val="single" w:color="auto" w:sz="4" w:space="0"/>
              <w:right w:val="single" w:color="auto" w:sz="4" w:space="0"/>
            </w:tcBorders>
            <w:vAlign w:val="center"/>
          </w:tcPr>
          <w:p>
            <w:pPr>
              <w:pStyle w:val="50"/>
              <w:spacing w:before="52"/>
              <w:jc w:val="left"/>
              <w:rPr>
                <w:sz w:val="20"/>
              </w:rPr>
            </w:pPr>
          </w:p>
        </w:tc>
        <w:tc>
          <w:tcPr>
            <w:tcW w:w="2163" w:type="dxa"/>
            <w:vMerge w:val="continue"/>
            <w:tcBorders>
              <w:left w:val="single" w:color="auto" w:sz="4" w:space="0"/>
              <w:right w:val="single" w:color="auto" w:sz="4" w:space="0"/>
            </w:tcBorders>
            <w:vAlign w:val="center"/>
          </w:tcPr>
          <w:p>
            <w:pPr>
              <w:pStyle w:val="50"/>
              <w:spacing w:before="52"/>
              <w:jc w:val="left"/>
              <w:rPr>
                <w:sz w:val="20"/>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微型企业</w:t>
            </w:r>
          </w:p>
        </w:tc>
        <w:tc>
          <w:tcPr>
            <w:tcW w:w="4775" w:type="dxa"/>
            <w:tcBorders>
              <w:top w:val="single" w:color="auto" w:sz="4" w:space="0"/>
              <w:left w:val="single" w:color="auto" w:sz="4" w:space="0"/>
              <w:bottom w:val="single" w:color="auto" w:sz="4" w:space="0"/>
              <w:right w:val="single" w:color="auto" w:sz="4" w:space="0"/>
            </w:tcBorders>
            <w:vAlign w:val="center"/>
          </w:tcPr>
          <w:p>
            <w:pPr>
              <w:pStyle w:val="50"/>
              <w:spacing w:before="52"/>
              <w:jc w:val="left"/>
              <w:rPr>
                <w:sz w:val="20"/>
              </w:rPr>
            </w:pPr>
            <w:r>
              <w:rPr>
                <w:sz w:val="20"/>
              </w:rPr>
              <w:t>从业人员 10 人以下的为微型企业</w:t>
            </w:r>
          </w:p>
        </w:tc>
        <w:tc>
          <w:tcPr>
            <w:tcW w:w="1193" w:type="dxa"/>
            <w:vMerge w:val="continue"/>
            <w:tcBorders>
              <w:left w:val="single" w:color="auto" w:sz="4" w:space="0"/>
              <w:bottom w:val="single" w:color="auto" w:sz="4" w:space="0"/>
              <w:right w:val="single" w:color="auto" w:sz="4" w:space="0"/>
            </w:tcBorders>
            <w:vAlign w:val="center"/>
          </w:tcPr>
          <w:p>
            <w:pPr>
              <w:pStyle w:val="50"/>
              <w:jc w:val="center"/>
              <w:rPr>
                <w:rFonts w:asciiTheme="minorEastAsia" w:hAnsiTheme="minorEastAsia" w:eastAsiaTheme="minorEastAsia" w:cstheme="minorEastAsia"/>
                <w:szCs w:val="21"/>
              </w:rPr>
            </w:pPr>
          </w:p>
        </w:tc>
      </w:tr>
    </w:tbl>
    <w:p>
      <w:pPr>
        <w:spacing w:line="374" w:lineRule="exact"/>
        <w:jc w:val="left"/>
        <w:rPr>
          <w:rFonts w:ascii="宋体" w:hAnsi="宋体" w:cs="宋体"/>
          <w:sz w:val="20"/>
        </w:rPr>
      </w:pPr>
      <w:r>
        <w:rPr>
          <w:rFonts w:hint="eastAsia" w:ascii="宋体" w:hAnsi="宋体" w:cs="宋体"/>
          <w:sz w:val="20"/>
        </w:rPr>
        <w:t>该附件可供投标人参考。</w:t>
      </w:r>
    </w:p>
    <w:p>
      <w:pPr>
        <w:spacing w:line="374" w:lineRule="exact"/>
        <w:jc w:val="left"/>
        <w:rPr>
          <w:rFonts w:ascii="宋体" w:hAnsi="宋体" w:cs="宋体"/>
          <w:sz w:val="20"/>
        </w:rPr>
      </w:pPr>
      <w:r>
        <w:rPr>
          <w:rFonts w:hint="eastAsia" w:ascii="宋体" w:hAnsi="宋体" w:cs="宋体"/>
          <w:sz w:val="20"/>
        </w:rPr>
        <w:t>中小企业声明函填写说明：</w:t>
      </w:r>
    </w:p>
    <w:p>
      <w:pPr>
        <w:spacing w:line="374" w:lineRule="exact"/>
        <w:jc w:val="left"/>
        <w:rPr>
          <w:rFonts w:ascii="宋体" w:hAnsi="宋体" w:cs="宋体"/>
          <w:sz w:val="20"/>
        </w:rPr>
      </w:pPr>
      <w:r>
        <w:rPr>
          <w:rFonts w:hint="eastAsia" w:ascii="宋体" w:hAnsi="宋体" w:cs="宋体"/>
          <w:sz w:val="20"/>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p>
    <w:p>
      <w:pPr>
        <w:snapToGrid w:val="0"/>
        <w:spacing w:beforeLines="50" w:after="50" w:line="360" w:lineRule="auto"/>
        <w:rPr>
          <w:rFonts w:ascii="宋体" w:hAnsi="宋体"/>
          <w:b/>
          <w:sz w:val="28"/>
        </w:rPr>
      </w:pPr>
      <w:r>
        <w:rPr>
          <w:rFonts w:hint="eastAsia" w:ascii="宋体" w:hAnsi="宋体"/>
          <w:b/>
          <w:sz w:val="28"/>
        </w:rPr>
        <w:t>附件6</w:t>
      </w:r>
    </w:p>
    <w:p>
      <w:pPr>
        <w:pStyle w:val="13"/>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p>
    <w:p>
      <w:pPr>
        <w:pStyle w:val="44"/>
        <w:spacing w:line="360" w:lineRule="auto"/>
        <w:ind w:left="4788" w:leftChars="2280"/>
        <w:rPr>
          <w:rFonts w:ascii="宋体" w:hAnsi="宋体"/>
          <w:sz w:val="24"/>
        </w:rPr>
      </w:pPr>
      <w:r>
        <w:rPr>
          <w:rFonts w:hint="eastAsia" w:ascii="宋体" w:hAnsi="宋体"/>
          <w:sz w:val="24"/>
        </w:rPr>
        <w:t>单位名称（盖章）：</w:t>
      </w:r>
    </w:p>
    <w:p>
      <w:pPr>
        <w:pStyle w:val="44"/>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4"/>
        <w:spacing w:line="360" w:lineRule="auto"/>
      </w:pPr>
    </w:p>
    <w:p/>
    <w:p>
      <w:pPr>
        <w:pStyle w:val="4"/>
        <w:numPr>
          <w:ilvl w:val="0"/>
          <w:numId w:val="0"/>
        </w:numPr>
        <w:ind w:left="425"/>
        <w:jc w:val="both"/>
      </w:pPr>
    </w:p>
    <w:p/>
    <w:p>
      <w:pPr>
        <w:pStyle w:val="4"/>
        <w:numPr>
          <w:ilvl w:val="0"/>
          <w:numId w:val="0"/>
        </w:numPr>
        <w:ind w:left="425"/>
        <w:jc w:val="both"/>
      </w:pPr>
    </w:p>
    <w:p/>
    <w:p>
      <w:pPr>
        <w:pStyle w:val="4"/>
        <w:numPr>
          <w:ilvl w:val="0"/>
          <w:numId w:val="0"/>
        </w:numPr>
        <w:ind w:left="425"/>
        <w:jc w:val="both"/>
      </w:pPr>
    </w:p>
    <w:p/>
    <w:p>
      <w:pPr>
        <w:pStyle w:val="4"/>
        <w:numPr>
          <w:ilvl w:val="0"/>
          <w:numId w:val="0"/>
        </w:numPr>
        <w:ind w:left="425"/>
        <w:jc w:val="both"/>
      </w:pPr>
    </w:p>
    <w:p/>
    <w:p>
      <w:pPr>
        <w:rPr>
          <w:rFonts w:ascii="宋体" w:hAnsi="宋体"/>
          <w:b/>
          <w:sz w:val="28"/>
        </w:rPr>
      </w:pPr>
      <w:r>
        <w:rPr>
          <w:rFonts w:hint="eastAsia" w:ascii="宋体" w:hAnsi="宋体"/>
          <w:b/>
          <w:sz w:val="28"/>
        </w:rPr>
        <w:br w:type="page"/>
      </w:r>
    </w:p>
    <w:p/>
    <w:p/>
    <w:p>
      <w:pPr>
        <w:jc w:val="center"/>
        <w:rPr>
          <w:sz w:val="52"/>
          <w:szCs w:val="52"/>
        </w:rPr>
      </w:pPr>
      <w:r>
        <w:rPr>
          <w:rFonts w:hint="eastAsia"/>
          <w:sz w:val="52"/>
          <w:szCs w:val="52"/>
        </w:rPr>
        <w:t>项目名称</w:t>
      </w:r>
      <w:bookmarkEnd w:id="54"/>
      <w:bookmarkEnd w:id="55"/>
      <w:bookmarkEnd w:id="56"/>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lang w:val="zh-CN"/>
        </w:rPr>
      </w:pPr>
      <w:bookmarkStart w:id="57" w:name="_Toc5889_WPSOffice_Level1"/>
      <w:bookmarkStart w:id="58" w:name="_Toc11308_WPSOffice_Level1"/>
      <w:r>
        <w:rPr>
          <w:rFonts w:hint="eastAsia"/>
          <w:b/>
          <w:bCs/>
          <w:sz w:val="36"/>
          <w:szCs w:val="36"/>
          <w:lang w:val="zh-CN"/>
        </w:rPr>
        <w:t>商务与技术文件目录</w:t>
      </w:r>
      <w:bookmarkEnd w:id="57"/>
      <w:bookmarkEnd w:id="58"/>
    </w:p>
    <w:p>
      <w:pPr>
        <w:pStyle w:val="29"/>
        <w:rPr>
          <w:b/>
          <w:bCs/>
          <w:sz w:val="36"/>
          <w:szCs w:val="36"/>
          <w:lang w:val="zh-CN"/>
        </w:rPr>
      </w:pPr>
    </w:p>
    <w:tbl>
      <w:tblPr>
        <w:tblStyle w:val="21"/>
        <w:tblpPr w:leftFromText="180" w:rightFromText="180" w:vertAnchor="text" w:horzAnchor="page" w:tblpX="1427" w:tblpY="6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895"/>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序号</w:t>
            </w:r>
          </w:p>
        </w:tc>
        <w:tc>
          <w:tcPr>
            <w:tcW w:w="5895"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目录内容</w:t>
            </w:r>
          </w:p>
        </w:tc>
        <w:tc>
          <w:tcPr>
            <w:tcW w:w="2296" w:type="dxa"/>
            <w:vAlign w:val="center"/>
          </w:tcPr>
          <w:p>
            <w:pPr>
              <w:widowControl/>
              <w:snapToGrid w:val="0"/>
              <w:spacing w:line="280" w:lineRule="exact"/>
              <w:jc w:val="center"/>
              <w:rPr>
                <w:rFonts w:ascii="宋体" w:cs="宋体"/>
                <w:color w:val="44546A" w:themeColor="text2"/>
                <w:sz w:val="24"/>
              </w:rPr>
            </w:pPr>
            <w:r>
              <w:rPr>
                <w:rFonts w:hint="eastAsia" w:ascii="宋体" w:hAnsi="宋体" w:cs="宋体"/>
                <w:color w:val="44546A" w:themeColor="text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ascii="宋体" w:hAnsi="宋体" w:cs="宋体"/>
                <w:color w:val="44546A" w:themeColor="text2"/>
                <w:sz w:val="24"/>
              </w:rPr>
              <w:t>1</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投标人自评表</w:t>
            </w:r>
          </w:p>
        </w:tc>
        <w:tc>
          <w:tcPr>
            <w:tcW w:w="2296"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hint="eastAsia" w:ascii="宋体" w:hAnsi="宋体" w:cs="宋体"/>
                <w:color w:val="44546A" w:themeColor="text2"/>
                <w:sz w:val="24"/>
              </w:rPr>
              <w:t>2</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kern w:val="0"/>
                <w:sz w:val="24"/>
              </w:rPr>
              <w:t>投标人情况介绍</w:t>
            </w:r>
          </w:p>
        </w:tc>
        <w:tc>
          <w:tcPr>
            <w:tcW w:w="2296" w:type="dxa"/>
            <w:vAlign w:val="center"/>
          </w:tcPr>
          <w:p>
            <w:pPr>
              <w:spacing w:line="360" w:lineRule="exact"/>
              <w:rPr>
                <w:rFonts w:ascii="宋体" w:hAnsi="宋体"/>
                <w:bCs/>
                <w:color w:val="44546A" w:themeColor="text2"/>
                <w:sz w:val="24"/>
              </w:rPr>
            </w:pPr>
            <w:r>
              <w:rPr>
                <w:rFonts w:hint="eastAsia" w:ascii="宋体" w:hAnsi="宋体"/>
                <w:bCs/>
                <w:color w:val="44546A" w:themeColor="text2"/>
                <w:sz w:val="24"/>
              </w:rPr>
              <w:t>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widowControl/>
              <w:snapToGrid w:val="0"/>
              <w:spacing w:line="280" w:lineRule="exact"/>
              <w:jc w:val="center"/>
              <w:rPr>
                <w:rFonts w:ascii="宋体" w:hAnsi="宋体" w:cs="宋体"/>
                <w:color w:val="44546A" w:themeColor="text2"/>
                <w:sz w:val="24"/>
              </w:rPr>
            </w:pPr>
            <w:r>
              <w:rPr>
                <w:rFonts w:hint="eastAsia" w:ascii="宋体" w:hAnsi="宋体" w:cs="宋体"/>
                <w:color w:val="44546A" w:themeColor="text2"/>
                <w:sz w:val="24"/>
              </w:rPr>
              <w:t>3</w:t>
            </w:r>
          </w:p>
        </w:tc>
        <w:tc>
          <w:tcPr>
            <w:tcW w:w="5895" w:type="dxa"/>
            <w:vAlign w:val="center"/>
          </w:tcPr>
          <w:p>
            <w:pPr>
              <w:spacing w:line="340" w:lineRule="exact"/>
              <w:rPr>
                <w:rFonts w:ascii="宋体" w:hAnsi="宋体" w:cs="仿宋_GB2312"/>
                <w:color w:val="44546A" w:themeColor="text2"/>
                <w:sz w:val="24"/>
              </w:rPr>
            </w:pPr>
            <w:r>
              <w:rPr>
                <w:rFonts w:hint="eastAsia" w:ascii="宋体" w:hAnsi="宋体" w:cs="仿宋_GB2312"/>
                <w:color w:val="44546A" w:themeColor="text2"/>
                <w:sz w:val="24"/>
              </w:rPr>
              <w:t>服务方案（医院保洁服务方案、医院运送服务方案、防止交叉感染、消毒隔离制度、应急方案、各类地面养护）</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pacing w:line="280" w:lineRule="exact"/>
              <w:ind w:right="-107" w:rightChars="-51"/>
              <w:jc w:val="center"/>
              <w:rPr>
                <w:rFonts w:ascii="宋体" w:hAnsi="宋体"/>
                <w:color w:val="44546A" w:themeColor="text2"/>
                <w:kern w:val="0"/>
                <w:sz w:val="24"/>
              </w:rPr>
            </w:pPr>
            <w:r>
              <w:rPr>
                <w:rFonts w:hint="eastAsia" w:ascii="宋体" w:hAnsi="宋体"/>
                <w:color w:val="44546A" w:themeColor="text2"/>
                <w:kern w:val="0"/>
                <w:sz w:val="24"/>
              </w:rPr>
              <w:t>4</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s="仿宋_GB2312"/>
                <w:color w:val="44546A" w:themeColor="text2"/>
                <w:sz w:val="24"/>
              </w:rPr>
              <w:t>配合医院等级评审（复审）经验</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5</w:t>
            </w:r>
          </w:p>
        </w:tc>
        <w:tc>
          <w:tcPr>
            <w:tcW w:w="5895" w:type="dxa"/>
            <w:vAlign w:val="center"/>
          </w:tcPr>
          <w:p>
            <w:pPr>
              <w:spacing w:line="280" w:lineRule="exact"/>
              <w:ind w:right="-107" w:rightChars="-51"/>
              <w:rPr>
                <w:rFonts w:ascii="宋体" w:hAnsi="宋体"/>
                <w:color w:val="44546A" w:themeColor="text2"/>
                <w:kern w:val="0"/>
                <w:sz w:val="24"/>
              </w:rPr>
            </w:pPr>
            <w:r>
              <w:rPr>
                <w:rFonts w:hint="eastAsia" w:ascii="宋体" w:hAnsi="宋体"/>
                <w:color w:val="44546A" w:themeColor="text2"/>
                <w:sz w:val="24"/>
              </w:rPr>
              <w:t>设备、设施配置一览表</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6</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项目负责人资格情况表</w:t>
            </w:r>
          </w:p>
        </w:tc>
        <w:tc>
          <w:tcPr>
            <w:tcW w:w="2296" w:type="dxa"/>
            <w:vAlign w:val="center"/>
          </w:tcPr>
          <w:p>
            <w:pPr>
              <w:ind w:right="-107" w:rightChars="-51"/>
              <w:rPr>
                <w:rFonts w:ascii="宋体" w:hAnsi="宋体"/>
                <w:color w:val="44546A" w:themeColor="text2"/>
                <w:sz w:val="24"/>
              </w:rPr>
            </w:pPr>
            <w:r>
              <w:rPr>
                <w:rFonts w:hint="eastAsia" w:ascii="宋体" w:hAnsi="宋体"/>
                <w:color w:val="44546A" w:themeColor="text2"/>
                <w:sz w:val="24"/>
              </w:rPr>
              <w:t>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7</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项目实施人员一览表</w:t>
            </w:r>
          </w:p>
        </w:tc>
        <w:tc>
          <w:tcPr>
            <w:tcW w:w="2296" w:type="dxa"/>
            <w:vAlign w:val="center"/>
          </w:tcPr>
          <w:p>
            <w:pPr>
              <w:ind w:right="-107" w:rightChars="-51"/>
              <w:rPr>
                <w:rFonts w:ascii="宋体" w:hAnsi="宋体"/>
                <w:color w:val="44546A" w:themeColor="text2"/>
                <w:sz w:val="24"/>
              </w:rPr>
            </w:pPr>
            <w:r>
              <w:rPr>
                <w:rFonts w:hint="eastAsia" w:ascii="宋体" w:hAnsi="宋体"/>
                <w:color w:val="44546A" w:themeColor="text2"/>
                <w:sz w:val="24"/>
              </w:rPr>
              <w:t>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8</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管理制度</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9</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sz w:val="24"/>
              </w:rPr>
              <w:t>服务实施情况表</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10</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s="仿宋_GB2312"/>
                <w:color w:val="44546A" w:themeColor="text2"/>
                <w:sz w:val="24"/>
              </w:rPr>
              <w:t>信息化服务</w:t>
            </w:r>
          </w:p>
        </w:tc>
        <w:tc>
          <w:tcPr>
            <w:tcW w:w="2296" w:type="dxa"/>
            <w:vAlign w:val="center"/>
          </w:tcPr>
          <w:p>
            <w:pPr>
              <w:spacing w:line="360" w:lineRule="exact"/>
              <w:rPr>
                <w:rFonts w:ascii="宋体" w:hAnsi="宋体"/>
                <w:bCs/>
                <w:color w:val="44546A" w:themeColor="text2"/>
                <w:sz w:val="24"/>
              </w:rPr>
            </w:pPr>
            <w:r>
              <w:rPr>
                <w:rFonts w:hint="eastAsia" w:ascii="宋体" w:hAnsi="宋体"/>
                <w:color w:val="44546A" w:themeColor="text2"/>
                <w:sz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11</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kern w:val="0"/>
                <w:sz w:val="24"/>
              </w:rPr>
              <w:t>证书一览表</w:t>
            </w:r>
          </w:p>
        </w:tc>
        <w:tc>
          <w:tcPr>
            <w:tcW w:w="2296" w:type="dxa"/>
            <w:vAlign w:val="center"/>
          </w:tcPr>
          <w:p>
            <w:pPr>
              <w:spacing w:line="360" w:lineRule="exact"/>
              <w:rPr>
                <w:rFonts w:ascii="宋体" w:hAnsi="宋体"/>
                <w:color w:val="44546A" w:themeColor="text2"/>
                <w:sz w:val="24"/>
              </w:rPr>
            </w:pPr>
            <w:r>
              <w:rPr>
                <w:rFonts w:hint="eastAsia" w:ascii="宋体" w:hAnsi="宋体"/>
                <w:color w:val="44546A" w:themeColor="text2"/>
                <w:sz w:val="24"/>
              </w:rPr>
              <w:t>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12</w:t>
            </w:r>
          </w:p>
        </w:tc>
        <w:tc>
          <w:tcPr>
            <w:tcW w:w="5895" w:type="dxa"/>
            <w:vAlign w:val="center"/>
          </w:tcPr>
          <w:p>
            <w:pPr>
              <w:spacing w:line="280" w:lineRule="exact"/>
              <w:ind w:right="-107" w:rightChars="-51"/>
              <w:rPr>
                <w:rFonts w:ascii="宋体" w:hAnsi="宋体" w:cs="仿宋_GB2312"/>
                <w:color w:val="44546A" w:themeColor="text2"/>
                <w:sz w:val="24"/>
              </w:rPr>
            </w:pPr>
            <w:r>
              <w:rPr>
                <w:rFonts w:hint="eastAsia" w:ascii="宋体" w:hAnsi="宋体"/>
                <w:color w:val="44546A" w:themeColor="text2"/>
                <w:kern w:val="0"/>
                <w:sz w:val="24"/>
              </w:rPr>
              <w:t>投标人类似项目实施情况一览表</w:t>
            </w:r>
          </w:p>
        </w:tc>
        <w:tc>
          <w:tcPr>
            <w:tcW w:w="2296" w:type="dxa"/>
            <w:vAlign w:val="center"/>
          </w:tcPr>
          <w:p>
            <w:pPr>
              <w:spacing w:line="360" w:lineRule="exact"/>
              <w:rPr>
                <w:rFonts w:ascii="宋体" w:hAnsi="宋体"/>
                <w:color w:val="44546A" w:themeColor="text2"/>
                <w:sz w:val="24"/>
              </w:rPr>
            </w:pPr>
            <w:r>
              <w:rPr>
                <w:rFonts w:hint="eastAsia" w:ascii="宋体" w:hAnsi="宋体"/>
                <w:color w:val="44546A" w:themeColor="text2"/>
                <w:kern w:val="0"/>
                <w:sz w:val="24"/>
              </w:rPr>
              <w:t>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13</w:t>
            </w:r>
          </w:p>
        </w:tc>
        <w:tc>
          <w:tcPr>
            <w:tcW w:w="5895" w:type="dxa"/>
            <w:vAlign w:val="center"/>
          </w:tcPr>
          <w:p>
            <w:pPr>
              <w:rPr>
                <w:rFonts w:ascii="宋体" w:hAnsi="宋体"/>
                <w:color w:val="44546A" w:themeColor="text2"/>
                <w:sz w:val="24"/>
              </w:rPr>
            </w:pPr>
            <w:r>
              <w:rPr>
                <w:rFonts w:hint="eastAsia" w:ascii="宋体" w:hAnsi="宋体" w:cs="仿宋_GB2312"/>
                <w:color w:val="44546A" w:themeColor="text2"/>
                <w:sz w:val="24"/>
              </w:rPr>
              <w:t>商务需求响应表</w:t>
            </w:r>
          </w:p>
        </w:tc>
        <w:tc>
          <w:tcPr>
            <w:tcW w:w="2296" w:type="dxa"/>
            <w:vAlign w:val="center"/>
          </w:tcPr>
          <w:p>
            <w:pPr>
              <w:rPr>
                <w:rFonts w:ascii="宋体" w:hAnsi="宋体"/>
                <w:color w:val="44546A" w:themeColor="text2"/>
                <w:sz w:val="24"/>
              </w:rPr>
            </w:pPr>
            <w:r>
              <w:rPr>
                <w:rFonts w:hint="eastAsia" w:ascii="宋体" w:hAnsi="宋体"/>
                <w:color w:val="44546A" w:themeColor="text2"/>
                <w:sz w:val="24"/>
              </w:rPr>
              <w:t>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2" w:type="dxa"/>
            <w:vAlign w:val="center"/>
          </w:tcPr>
          <w:p>
            <w:pPr>
              <w:snapToGrid w:val="0"/>
              <w:spacing w:line="280" w:lineRule="exact"/>
              <w:jc w:val="center"/>
              <w:rPr>
                <w:rFonts w:ascii="宋体" w:cs="宋体"/>
                <w:color w:val="44546A" w:themeColor="text2"/>
                <w:sz w:val="24"/>
              </w:rPr>
            </w:pPr>
            <w:r>
              <w:rPr>
                <w:rFonts w:hint="eastAsia" w:ascii="宋体" w:cs="宋体"/>
                <w:color w:val="44546A" w:themeColor="text2"/>
                <w:sz w:val="24"/>
              </w:rPr>
              <w:t>14</w:t>
            </w:r>
          </w:p>
        </w:tc>
        <w:tc>
          <w:tcPr>
            <w:tcW w:w="5895" w:type="dxa"/>
            <w:vAlign w:val="center"/>
          </w:tcPr>
          <w:p>
            <w:pPr>
              <w:rPr>
                <w:rFonts w:ascii="宋体" w:hAnsi="宋体"/>
                <w:color w:val="44546A" w:themeColor="text2"/>
                <w:sz w:val="24"/>
              </w:rPr>
            </w:pPr>
            <w:r>
              <w:rPr>
                <w:rFonts w:hint="eastAsia" w:ascii="宋体" w:hAnsi="宋体"/>
                <w:color w:val="44546A" w:themeColor="text2"/>
                <w:sz w:val="24"/>
              </w:rPr>
              <w:t>投标人需要说明的其他内容（包括可能影响投标人技术性能评分项的各类证明材料）</w:t>
            </w:r>
          </w:p>
        </w:tc>
        <w:tc>
          <w:tcPr>
            <w:tcW w:w="2296" w:type="dxa"/>
            <w:vAlign w:val="center"/>
          </w:tcPr>
          <w:p>
            <w:pPr>
              <w:rPr>
                <w:rFonts w:ascii="宋体" w:hAnsi="宋体"/>
                <w:color w:val="44546A" w:themeColor="text2"/>
                <w:sz w:val="24"/>
              </w:rPr>
            </w:pPr>
            <w:r>
              <w:rPr>
                <w:rFonts w:hint="eastAsia" w:ascii="宋体" w:hAnsi="宋体"/>
                <w:color w:val="44546A" w:themeColor="text2"/>
                <w:sz w:val="24"/>
              </w:rPr>
              <w:t>格式、内容自拟</w:t>
            </w:r>
          </w:p>
        </w:tc>
      </w:tr>
    </w:tbl>
    <w:p>
      <w:pPr>
        <w:pStyle w:val="29"/>
        <w:rPr>
          <w:b/>
          <w:bCs/>
          <w:sz w:val="36"/>
          <w:szCs w:val="36"/>
          <w:lang w:val="zh-CN"/>
        </w:rPr>
      </w:pPr>
    </w:p>
    <w:p>
      <w:pPr>
        <w:pStyle w:val="34"/>
        <w:spacing w:before="0" w:beforeAutospacing="0" w:after="0" w:afterAutospacing="0" w:line="360" w:lineRule="auto"/>
        <w:rPr>
          <w:b/>
          <w:sz w:val="28"/>
        </w:rPr>
      </w:pPr>
    </w:p>
    <w:p>
      <w:pPr>
        <w:rPr>
          <w:b/>
          <w:sz w:val="28"/>
        </w:rPr>
      </w:pPr>
      <w:r>
        <w:rPr>
          <w:b/>
          <w:sz w:val="28"/>
        </w:rPr>
        <w:br w:type="page"/>
      </w:r>
    </w:p>
    <w:p>
      <w:pPr>
        <w:pStyle w:val="34"/>
        <w:spacing w:before="0" w:beforeAutospacing="0" w:after="0" w:afterAutospacing="0" w:line="360" w:lineRule="auto"/>
        <w:rPr>
          <w:b/>
          <w:sz w:val="28"/>
        </w:rPr>
      </w:pPr>
      <w:r>
        <w:rPr>
          <w:rFonts w:hint="eastAsia"/>
          <w:b/>
          <w:sz w:val="28"/>
        </w:rPr>
        <w:t>附件7</w:t>
      </w:r>
    </w:p>
    <w:p>
      <w:pPr>
        <w:spacing w:line="360" w:lineRule="auto"/>
        <w:jc w:val="center"/>
        <w:rPr>
          <w:rFonts w:ascii="宋体" w:hAnsi="宋体" w:cs="宋体"/>
          <w:sz w:val="24"/>
        </w:rPr>
      </w:pPr>
      <w:r>
        <w:rPr>
          <w:rFonts w:hint="eastAsia" w:ascii="宋体" w:hAnsi="宋体"/>
          <w:b/>
          <w:sz w:val="36"/>
          <w:szCs w:val="36"/>
        </w:rPr>
        <w:t>投标人自评表</w:t>
      </w:r>
    </w:p>
    <w:p>
      <w:pPr>
        <w:widowControl/>
        <w:overflowPunct w:val="0"/>
        <w:autoSpaceDE w:val="0"/>
        <w:autoSpaceDN w:val="0"/>
        <w:adjustRightInd w:val="0"/>
        <w:spacing w:after="85"/>
        <w:jc w:val="left"/>
        <w:textAlignment w:val="baseline"/>
        <w:rPr>
          <w:rFonts w:ascii="宋体" w:hAnsi="宋体" w:cs="宋体"/>
          <w:sz w:val="24"/>
        </w:rPr>
      </w:pPr>
      <w:r>
        <w:rPr>
          <w:rFonts w:hint="eastAsia" w:ascii="宋体" w:hAnsi="宋体" w:cs="宋体"/>
          <w:sz w:val="24"/>
        </w:rPr>
        <w:t>项目名称：</w:t>
      </w:r>
      <w:r>
        <w:rPr>
          <w:rFonts w:hint="eastAsia" w:cs="宋体"/>
          <w:sz w:val="24"/>
        </w:rPr>
        <w:t>台州市中西医结合医院物业管理项目</w:t>
      </w:r>
    </w:p>
    <w:p>
      <w:pPr>
        <w:widowControl/>
        <w:overflowPunct w:val="0"/>
        <w:autoSpaceDE w:val="0"/>
        <w:autoSpaceDN w:val="0"/>
        <w:adjustRightInd w:val="0"/>
        <w:spacing w:after="85"/>
        <w:jc w:val="left"/>
        <w:textAlignment w:val="baseline"/>
        <w:rPr>
          <w:rFonts w:ascii="宋体" w:hAnsi="宋体" w:cs="宋体"/>
          <w:sz w:val="24"/>
        </w:rPr>
      </w:pPr>
      <w:r>
        <w:rPr>
          <w:rFonts w:hint="eastAsia" w:ascii="宋体" w:hAnsi="宋体" w:cs="宋体"/>
          <w:sz w:val="24"/>
        </w:rPr>
        <w:t>招标编号：WLCG-2022-17-GK</w:t>
      </w:r>
    </w:p>
    <w:tbl>
      <w:tblPr>
        <w:tblStyle w:val="21"/>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860"/>
        <w:gridCol w:w="882"/>
        <w:gridCol w:w="5801"/>
        <w:gridCol w:w="66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9" w:type="pct"/>
            <w:shd w:val="clear" w:color="auto" w:fill="auto"/>
            <w:vAlign w:val="center"/>
          </w:tcPr>
          <w:p>
            <w:pPr>
              <w:jc w:val="center"/>
              <w:rPr>
                <w:rFonts w:hAnsi="宋体"/>
                <w:b/>
                <w:bCs/>
              </w:rPr>
            </w:pPr>
            <w:r>
              <w:rPr>
                <w:rFonts w:hint="eastAsia" w:hAnsi="宋体"/>
                <w:b/>
                <w:bCs/>
              </w:rPr>
              <w:t>序号</w:t>
            </w:r>
          </w:p>
        </w:tc>
        <w:tc>
          <w:tcPr>
            <w:tcW w:w="895" w:type="pct"/>
            <w:gridSpan w:val="2"/>
            <w:shd w:val="clear" w:color="auto" w:fill="auto"/>
            <w:vAlign w:val="center"/>
          </w:tcPr>
          <w:p>
            <w:pPr>
              <w:jc w:val="center"/>
              <w:rPr>
                <w:rFonts w:hAnsi="宋体"/>
                <w:b/>
                <w:bCs/>
              </w:rPr>
            </w:pPr>
            <w:r>
              <w:rPr>
                <w:rFonts w:hint="eastAsia" w:hAnsi="宋体"/>
                <w:b/>
                <w:bCs/>
              </w:rPr>
              <w:t>项目</w:t>
            </w:r>
          </w:p>
        </w:tc>
        <w:tc>
          <w:tcPr>
            <w:tcW w:w="2978" w:type="pct"/>
            <w:shd w:val="clear" w:color="auto" w:fill="auto"/>
            <w:vAlign w:val="center"/>
          </w:tcPr>
          <w:p>
            <w:pPr>
              <w:jc w:val="center"/>
              <w:rPr>
                <w:rFonts w:hAnsi="宋体"/>
                <w:b/>
                <w:bCs/>
              </w:rPr>
            </w:pPr>
            <w:r>
              <w:rPr>
                <w:rFonts w:hint="eastAsia" w:hAnsi="宋体"/>
                <w:b/>
                <w:bCs/>
              </w:rPr>
              <w:t>评分内容</w:t>
            </w:r>
          </w:p>
        </w:tc>
        <w:tc>
          <w:tcPr>
            <w:tcW w:w="343" w:type="pct"/>
            <w:shd w:val="clear" w:color="auto" w:fill="auto"/>
            <w:vAlign w:val="center"/>
          </w:tcPr>
          <w:p>
            <w:pPr>
              <w:jc w:val="center"/>
              <w:rPr>
                <w:rFonts w:hAnsi="宋体"/>
                <w:b/>
                <w:bCs/>
              </w:rPr>
            </w:pPr>
            <w:r>
              <w:rPr>
                <w:rFonts w:hint="eastAsia" w:hAnsi="宋体"/>
                <w:b/>
                <w:bCs/>
              </w:rPr>
              <w:t>自评分值</w:t>
            </w:r>
          </w:p>
        </w:tc>
        <w:tc>
          <w:tcPr>
            <w:tcW w:w="562" w:type="pct"/>
            <w:shd w:val="clear" w:color="auto" w:fill="auto"/>
            <w:vAlign w:val="center"/>
          </w:tcPr>
          <w:p>
            <w:pPr>
              <w:jc w:val="center"/>
              <w:rPr>
                <w:rFonts w:hAnsi="宋体"/>
                <w:b/>
                <w:bCs/>
              </w:rPr>
            </w:pPr>
            <w:r>
              <w:rPr>
                <w:rFonts w:hint="eastAsia" w:hAnsi="宋体"/>
                <w:b/>
                <w:bCs/>
              </w:rPr>
              <w:t>评分依据对应页码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shd w:val="clear" w:color="auto" w:fill="auto"/>
            <w:vAlign w:val="center"/>
          </w:tcPr>
          <w:p>
            <w:pPr>
              <w:spacing w:line="300" w:lineRule="auto"/>
              <w:jc w:val="center"/>
              <w:rPr>
                <w:rFonts w:ascii="宋体" w:hAnsi="宋体" w:cs="宋体"/>
                <w:color w:val="000000"/>
                <w:kern w:val="0"/>
                <w:sz w:val="24"/>
              </w:rPr>
            </w:pPr>
            <w:r>
              <w:rPr>
                <w:rFonts w:hint="eastAsia" w:ascii="宋体" w:hAnsi="宋体" w:cs="宋体"/>
                <w:b/>
                <w:bCs/>
                <w:color w:val="000000"/>
                <w:sz w:val="24"/>
              </w:rPr>
              <w:t>3</w:t>
            </w:r>
          </w:p>
        </w:tc>
        <w:tc>
          <w:tcPr>
            <w:tcW w:w="895" w:type="pct"/>
            <w:gridSpan w:val="2"/>
            <w:shd w:val="clear" w:color="auto" w:fill="auto"/>
            <w:vAlign w:val="center"/>
          </w:tcPr>
          <w:p>
            <w:pPr>
              <w:rPr>
                <w:rFonts w:ascii="宋体" w:hAnsi="宋体" w:cs="宋体"/>
                <w:kern w:val="0"/>
                <w:sz w:val="24"/>
              </w:rPr>
            </w:pPr>
            <w:r>
              <w:rPr>
                <w:rFonts w:hint="eastAsia" w:ascii="宋体" w:hAnsi="宋体"/>
                <w:b/>
                <w:bCs/>
                <w:szCs w:val="21"/>
              </w:rPr>
              <w:t>配合医院等级评审（复审）经验</w:t>
            </w:r>
            <w:r>
              <w:rPr>
                <w:rFonts w:hint="eastAsia"/>
                <w:b/>
                <w:bCs/>
                <w:szCs w:val="21"/>
              </w:rPr>
              <w:t>（</w:t>
            </w:r>
            <w:r>
              <w:rPr>
                <w:rFonts w:hint="eastAsia"/>
                <w:b/>
                <w:bCs/>
                <w:szCs w:val="21"/>
                <w:lang w:val="en-US" w:eastAsia="zh-CN"/>
              </w:rPr>
              <w:t>4</w:t>
            </w:r>
            <w:r>
              <w:rPr>
                <w:rFonts w:hint="eastAsia"/>
                <w:b/>
                <w:bCs/>
                <w:szCs w:val="21"/>
              </w:rPr>
              <w:t>分）</w:t>
            </w:r>
          </w:p>
        </w:tc>
        <w:tc>
          <w:tcPr>
            <w:tcW w:w="2978" w:type="pct"/>
            <w:shd w:val="clear" w:color="auto" w:fill="auto"/>
            <w:vAlign w:val="center"/>
          </w:tcPr>
          <w:p>
            <w:pPr>
              <w:rPr>
                <w:rFonts w:ascii="宋体" w:hAnsi="宋体" w:cs="宋体"/>
                <w:kern w:val="0"/>
                <w:sz w:val="24"/>
              </w:rPr>
            </w:pPr>
            <w:r>
              <w:rPr>
                <w:rFonts w:hint="eastAsia" w:ascii="Calibri" w:hAnsi="Calibri" w:cs="宋体"/>
                <w:color w:val="000000"/>
              </w:rPr>
              <w:t>针对医院各类等级评定及认证工作的理解和相关服务工作经验的阐述。近三年有协助三级及以上医院完成等级医院评审(复审）的经验（须提供医院证明），每提供1例得</w:t>
            </w:r>
            <w:r>
              <w:rPr>
                <w:rFonts w:hint="eastAsia" w:ascii="Calibri" w:hAnsi="Calibri" w:cs="宋体"/>
                <w:color w:val="000000"/>
                <w:lang w:val="en-US" w:eastAsia="zh-CN"/>
              </w:rPr>
              <w:t>1</w:t>
            </w:r>
            <w:r>
              <w:rPr>
                <w:rFonts w:hint="eastAsia" w:ascii="Calibri" w:hAnsi="Calibri" w:cs="宋体"/>
                <w:color w:val="000000"/>
              </w:rPr>
              <w:t>分，最高得</w:t>
            </w:r>
            <w:r>
              <w:rPr>
                <w:rFonts w:hint="eastAsia" w:ascii="Calibri" w:hAnsi="Calibri" w:cs="宋体"/>
                <w:color w:val="000000"/>
                <w:lang w:val="en-US" w:eastAsia="zh-CN"/>
              </w:rPr>
              <w:t>4</w:t>
            </w:r>
            <w:r>
              <w:rPr>
                <w:rFonts w:hint="eastAsia" w:ascii="Calibri" w:hAnsi="Calibri" w:cs="宋体"/>
                <w:color w:val="000000"/>
              </w:rPr>
              <w:t xml:space="preserve">分； </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shd w:val="clear" w:color="auto" w:fill="auto"/>
            <w:vAlign w:val="center"/>
          </w:tcPr>
          <w:p>
            <w:pPr>
              <w:spacing w:line="300" w:lineRule="auto"/>
              <w:jc w:val="center"/>
              <w:rPr>
                <w:rFonts w:ascii="宋体" w:hAnsi="宋体" w:cs="宋体"/>
                <w:b/>
                <w:bCs/>
                <w:color w:val="000000"/>
                <w:sz w:val="24"/>
              </w:rPr>
            </w:pPr>
            <w:r>
              <w:rPr>
                <w:rFonts w:hint="eastAsia" w:ascii="宋体" w:hAnsi="宋体" w:cs="宋体"/>
                <w:b/>
                <w:bCs/>
                <w:color w:val="000000"/>
                <w:sz w:val="24"/>
              </w:rPr>
              <w:t>8</w:t>
            </w:r>
          </w:p>
        </w:tc>
        <w:tc>
          <w:tcPr>
            <w:tcW w:w="895" w:type="pct"/>
            <w:gridSpan w:val="2"/>
            <w:shd w:val="clear" w:color="auto" w:fill="auto"/>
            <w:vAlign w:val="center"/>
          </w:tcPr>
          <w:p>
            <w:r>
              <w:rPr>
                <w:rFonts w:hint="eastAsia"/>
                <w:b/>
                <w:bCs/>
                <w:szCs w:val="21"/>
              </w:rPr>
              <w:t>信息化服务（3分）</w:t>
            </w:r>
          </w:p>
        </w:tc>
        <w:tc>
          <w:tcPr>
            <w:tcW w:w="2978" w:type="pct"/>
            <w:shd w:val="clear" w:color="auto" w:fill="auto"/>
            <w:vAlign w:val="center"/>
          </w:tcPr>
          <w:p>
            <w:pPr>
              <w:rPr>
                <w:rFonts w:ascii="宋体" w:hAnsi="宋体"/>
                <w:szCs w:val="21"/>
              </w:rPr>
            </w:pPr>
            <w:r>
              <w:rPr>
                <w:rFonts w:hint="eastAsia" w:ascii="宋体" w:hAnsi="宋体"/>
                <w:szCs w:val="21"/>
              </w:rPr>
              <w:t>供应商拥有信息化智慧服务系统（供应商自主开发或向第三方购买均可）该软件应具有对运送服务各工种响应工作流程的追踪管理、工作量考核、数据统计、提高效率等功能。评委综合评价该管理软件系统设计合理性、科学性和可操作性。</w:t>
            </w:r>
          </w:p>
          <w:p>
            <w:pPr>
              <w:pStyle w:val="31"/>
              <w:numPr>
                <w:ilvl w:val="0"/>
                <w:numId w:val="10"/>
              </w:numPr>
              <w:ind w:firstLineChars="0"/>
              <w:rPr>
                <w:rFonts w:ascii="宋体" w:hAnsi="宋体"/>
                <w:szCs w:val="21"/>
              </w:rPr>
            </w:pPr>
            <w:r>
              <w:rPr>
                <w:rFonts w:hint="eastAsia" w:ascii="宋体" w:hAnsi="宋体"/>
                <w:szCs w:val="21"/>
              </w:rPr>
              <w:t>该管理软件需具备软件著作权，须包含：物业管理平台</w:t>
            </w:r>
          </w:p>
          <w:p>
            <w:pPr>
              <w:pStyle w:val="31"/>
              <w:ind w:firstLine="0" w:firstLineChars="0"/>
              <w:rPr>
                <w:rFonts w:ascii="宋体" w:hAnsi="宋体"/>
                <w:szCs w:val="21"/>
              </w:rPr>
            </w:pPr>
            <w:r>
              <w:rPr>
                <w:rFonts w:hint="eastAsia" w:ascii="宋体" w:hAnsi="宋体"/>
                <w:szCs w:val="21"/>
              </w:rPr>
              <w:t>软件著作权、保洁服务平台软件著作权、医疗后勤系统平台软件著作权、物业物料管理软件著作权、保洁监控系统软件管理著作权、设施维护管理软件著作权。（如果为授权使用的需提供相应授权书），以上著作权须提供盖章文件，本项最高得1分。</w:t>
            </w:r>
          </w:p>
          <w:p>
            <w:pPr>
              <w:pStyle w:val="65"/>
              <w:spacing w:line="240" w:lineRule="exact"/>
              <w:rPr>
                <w:rFonts w:cs="Times New Roman"/>
                <w:kern w:val="2"/>
                <w:sz w:val="21"/>
                <w:szCs w:val="21"/>
              </w:rPr>
            </w:pPr>
            <w:r>
              <w:rPr>
                <w:rFonts w:hint="eastAsia" w:cs="Times New Roman"/>
                <w:kern w:val="2"/>
                <w:sz w:val="21"/>
                <w:szCs w:val="21"/>
              </w:rPr>
              <w:t>2.该管理软件在医院管理服务项目中成功运行案例，每提供一个案例得1分，最高得2分。（需提供医院证明资料，不提供不得分）</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vMerge w:val="restart"/>
            <w:shd w:val="clear" w:color="auto" w:fill="auto"/>
            <w:vAlign w:val="center"/>
          </w:tcPr>
          <w:p>
            <w:pPr>
              <w:keepLines/>
              <w:jc w:val="center"/>
              <w:rPr>
                <w:rFonts w:ascii="宋体" w:hAnsi="宋体" w:cs="宋体"/>
                <w:color w:val="000000"/>
                <w:kern w:val="0"/>
                <w:sz w:val="24"/>
              </w:rPr>
            </w:pPr>
            <w:r>
              <w:rPr>
                <w:rFonts w:hint="eastAsia" w:ascii="宋体" w:hAnsi="宋体" w:cs="宋体"/>
                <w:b/>
                <w:bCs/>
                <w:szCs w:val="21"/>
              </w:rPr>
              <w:t>9</w:t>
            </w:r>
          </w:p>
        </w:tc>
        <w:tc>
          <w:tcPr>
            <w:tcW w:w="442" w:type="pct"/>
            <w:vMerge w:val="restart"/>
            <w:shd w:val="clear" w:color="auto" w:fill="auto"/>
            <w:vAlign w:val="center"/>
          </w:tcPr>
          <w:p>
            <w:pPr>
              <w:keepLines/>
              <w:rPr>
                <w:rFonts w:ascii="宋体" w:hAnsi="宋体" w:cs="宋体"/>
                <w:kern w:val="0"/>
                <w:sz w:val="24"/>
              </w:rPr>
            </w:pPr>
            <w:r>
              <w:rPr>
                <w:rFonts w:hint="eastAsia" w:ascii="宋体" w:hAnsi="宋体" w:cs="宋体"/>
                <w:b/>
                <w:bCs/>
                <w:szCs w:val="21"/>
              </w:rPr>
              <w:t>投标人的综合实力、履约能力</w:t>
            </w:r>
          </w:p>
        </w:tc>
        <w:tc>
          <w:tcPr>
            <w:tcW w:w="453" w:type="pct"/>
            <w:vMerge w:val="restart"/>
            <w:shd w:val="clear" w:color="auto" w:fill="auto"/>
            <w:vAlign w:val="center"/>
          </w:tcPr>
          <w:p>
            <w:pPr>
              <w:adjustRightInd w:val="0"/>
              <w:snapToGrid w:val="0"/>
              <w:spacing w:line="240" w:lineRule="exact"/>
              <w:jc w:val="center"/>
              <w:rPr>
                <w:b/>
                <w:bCs/>
              </w:rPr>
            </w:pPr>
            <w:r>
              <w:rPr>
                <w:rFonts w:hint="eastAsia" w:ascii="宋体" w:hAnsi="宋体" w:cs="宋体"/>
                <w:b/>
                <w:bCs/>
                <w:szCs w:val="21"/>
              </w:rPr>
              <w:t>综合实力</w:t>
            </w:r>
            <w:r>
              <w:rPr>
                <w:rFonts w:hint="eastAsia"/>
                <w:b/>
                <w:bCs/>
                <w:szCs w:val="21"/>
              </w:rPr>
              <w:t>（4分）</w:t>
            </w:r>
          </w:p>
          <w:p>
            <w:pPr>
              <w:keepLines/>
              <w:rPr>
                <w:rFonts w:ascii="宋体" w:hAnsi="宋体" w:cs="宋体"/>
                <w:kern w:val="0"/>
                <w:sz w:val="24"/>
              </w:rPr>
            </w:pPr>
          </w:p>
        </w:tc>
        <w:tc>
          <w:tcPr>
            <w:tcW w:w="2978" w:type="pct"/>
            <w:shd w:val="clear" w:color="auto" w:fill="auto"/>
            <w:vAlign w:val="center"/>
          </w:tcPr>
          <w:p>
            <w:pPr>
              <w:adjustRightInd w:val="0"/>
              <w:snapToGrid w:val="0"/>
              <w:spacing w:line="240" w:lineRule="exact"/>
              <w:jc w:val="left"/>
              <w:rPr>
                <w:rFonts w:ascii="宋体" w:hAnsi="宋体" w:cs="宋体"/>
                <w:szCs w:val="21"/>
              </w:rPr>
            </w:pPr>
            <w:r>
              <w:rPr>
                <w:rFonts w:hint="eastAsia" w:ascii="宋体" w:hAnsi="宋体"/>
                <w:szCs w:val="21"/>
              </w:rPr>
              <w:t>投标人获得过政府部门颁发的省级（含直辖市）及以上荣誉的每个得</w:t>
            </w:r>
            <w:r>
              <w:rPr>
                <w:rFonts w:ascii="宋体" w:hAnsi="宋体"/>
                <w:szCs w:val="21"/>
              </w:rPr>
              <w:t>2</w:t>
            </w:r>
            <w:r>
              <w:rPr>
                <w:rFonts w:hint="eastAsia" w:ascii="宋体" w:hAnsi="宋体"/>
                <w:szCs w:val="21"/>
              </w:rPr>
              <w:t>分，最多得</w:t>
            </w:r>
            <w:r>
              <w:rPr>
                <w:rFonts w:ascii="宋体" w:hAnsi="宋体"/>
                <w:szCs w:val="21"/>
              </w:rPr>
              <w:t>2</w:t>
            </w:r>
            <w:r>
              <w:rPr>
                <w:rFonts w:hint="eastAsia" w:ascii="宋体" w:hAnsi="宋体"/>
                <w:szCs w:val="21"/>
              </w:rPr>
              <w:t>分。获得过区级（含县级）及以上荣誉的每个得1分，最多得2分。本项最多得2分，不重复得分，按高的计分。投标文件中提供证书或表彰文件复印件，同时开标时提供原件，否则不得分。</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vMerge w:val="continue"/>
            <w:shd w:val="clear" w:color="auto" w:fill="auto"/>
            <w:vAlign w:val="center"/>
          </w:tcPr>
          <w:p>
            <w:pPr>
              <w:keepLines/>
              <w:jc w:val="center"/>
              <w:rPr>
                <w:rFonts w:ascii="宋体" w:hAnsi="宋体" w:cs="宋体"/>
                <w:color w:val="000000"/>
                <w:kern w:val="0"/>
                <w:sz w:val="24"/>
              </w:rPr>
            </w:pPr>
          </w:p>
        </w:tc>
        <w:tc>
          <w:tcPr>
            <w:tcW w:w="442" w:type="pct"/>
            <w:vMerge w:val="continue"/>
            <w:shd w:val="clear" w:color="auto" w:fill="auto"/>
            <w:vAlign w:val="center"/>
          </w:tcPr>
          <w:p>
            <w:pPr>
              <w:keepLines/>
              <w:rPr>
                <w:rFonts w:ascii="宋体" w:hAnsi="宋体" w:cs="宋体"/>
                <w:kern w:val="0"/>
                <w:sz w:val="24"/>
              </w:rPr>
            </w:pPr>
          </w:p>
        </w:tc>
        <w:tc>
          <w:tcPr>
            <w:tcW w:w="453" w:type="pct"/>
            <w:vMerge w:val="continue"/>
            <w:shd w:val="clear" w:color="auto" w:fill="auto"/>
            <w:vAlign w:val="center"/>
          </w:tcPr>
          <w:p>
            <w:pPr>
              <w:keepLines/>
              <w:rPr>
                <w:rFonts w:ascii="宋体" w:hAnsi="宋体" w:cs="宋体"/>
                <w:kern w:val="0"/>
                <w:sz w:val="24"/>
              </w:rPr>
            </w:pPr>
          </w:p>
        </w:tc>
        <w:tc>
          <w:tcPr>
            <w:tcW w:w="2978" w:type="pct"/>
            <w:shd w:val="clear" w:color="auto" w:fill="auto"/>
            <w:vAlign w:val="center"/>
          </w:tcPr>
          <w:p>
            <w:pPr>
              <w:autoSpaceDE w:val="0"/>
              <w:autoSpaceDN w:val="0"/>
              <w:adjustRightInd w:val="0"/>
              <w:spacing w:before="48" w:after="48"/>
              <w:rPr>
                <w:rFonts w:ascii="宋体" w:hAnsi="宋体"/>
                <w:szCs w:val="21"/>
              </w:rPr>
            </w:pPr>
            <w:r>
              <w:rPr>
                <w:rFonts w:ascii="宋体" w:hAnsi="宋体"/>
                <w:szCs w:val="21"/>
              </w:rPr>
              <w:t>201</w:t>
            </w:r>
            <w:r>
              <w:rPr>
                <w:rFonts w:hint="eastAsia" w:ascii="宋体" w:hAnsi="宋体"/>
                <w:szCs w:val="21"/>
              </w:rPr>
              <w:t>9年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日以来，物业服务项目获住建部、房管部门或相关管理协会示范（优秀）项目称号的，省级及以上得</w:t>
            </w:r>
            <w:r>
              <w:rPr>
                <w:rFonts w:ascii="宋体" w:hAnsi="宋体"/>
                <w:szCs w:val="21"/>
              </w:rPr>
              <w:t>2</w:t>
            </w:r>
            <w:r>
              <w:rPr>
                <w:rFonts w:hint="eastAsia" w:ascii="宋体" w:hAnsi="宋体"/>
                <w:szCs w:val="21"/>
              </w:rPr>
              <w:t>分，市级得</w:t>
            </w:r>
            <w:r>
              <w:rPr>
                <w:rFonts w:ascii="宋体" w:hAnsi="宋体"/>
                <w:szCs w:val="21"/>
              </w:rPr>
              <w:t>1</w:t>
            </w:r>
            <w:r>
              <w:rPr>
                <w:rFonts w:hint="eastAsia" w:ascii="宋体" w:hAnsi="宋体"/>
                <w:szCs w:val="21"/>
              </w:rPr>
              <w:t>分。不重复累计，按最高荣誉计分。（投标文件中需提供服务合同及荣誉证明材料复印件）。</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vMerge w:val="continue"/>
            <w:shd w:val="clear" w:color="auto" w:fill="auto"/>
            <w:vAlign w:val="center"/>
          </w:tcPr>
          <w:p>
            <w:pPr>
              <w:keepLines/>
              <w:jc w:val="center"/>
              <w:rPr>
                <w:rFonts w:ascii="宋体" w:hAnsi="宋体" w:cs="宋体"/>
                <w:color w:val="000000"/>
                <w:kern w:val="0"/>
                <w:sz w:val="24"/>
              </w:rPr>
            </w:pPr>
          </w:p>
        </w:tc>
        <w:tc>
          <w:tcPr>
            <w:tcW w:w="442" w:type="pct"/>
            <w:vMerge w:val="continue"/>
            <w:shd w:val="clear" w:color="auto" w:fill="auto"/>
            <w:vAlign w:val="center"/>
          </w:tcPr>
          <w:p>
            <w:pPr>
              <w:spacing w:line="240" w:lineRule="exact"/>
              <w:rPr>
                <w:rFonts w:ascii="宋体" w:hAnsi="宋体" w:cs="宋体"/>
                <w:b/>
                <w:bCs/>
                <w:szCs w:val="21"/>
              </w:rPr>
            </w:pPr>
          </w:p>
        </w:tc>
        <w:tc>
          <w:tcPr>
            <w:tcW w:w="453" w:type="pct"/>
            <w:shd w:val="clear" w:color="auto" w:fill="auto"/>
            <w:vAlign w:val="center"/>
          </w:tcPr>
          <w:p>
            <w:pPr>
              <w:spacing w:line="240" w:lineRule="exact"/>
              <w:rPr>
                <w:b/>
                <w:bCs/>
              </w:rPr>
            </w:pPr>
            <w:r>
              <w:rPr>
                <w:rFonts w:hint="eastAsia" w:ascii="宋体" w:hAnsi="宋体" w:cs="宋体"/>
                <w:b/>
                <w:bCs/>
                <w:szCs w:val="21"/>
              </w:rPr>
              <w:t>认证证书</w:t>
            </w:r>
            <w:r>
              <w:rPr>
                <w:rFonts w:hint="eastAsia"/>
                <w:b/>
                <w:bCs/>
                <w:szCs w:val="21"/>
              </w:rPr>
              <w:t>（3分）</w:t>
            </w:r>
          </w:p>
        </w:tc>
        <w:tc>
          <w:tcPr>
            <w:tcW w:w="2978" w:type="pct"/>
            <w:shd w:val="clear" w:color="auto" w:fill="auto"/>
            <w:vAlign w:val="center"/>
          </w:tcPr>
          <w:p>
            <w:pPr>
              <w:spacing w:line="240" w:lineRule="exact"/>
              <w:rPr>
                <w:rFonts w:ascii="宋体" w:hAnsi="宋体" w:cs="宋体"/>
                <w:szCs w:val="21"/>
              </w:rPr>
            </w:pPr>
            <w:r>
              <w:rPr>
                <w:rFonts w:hint="eastAsia" w:ascii="宋体" w:hAnsi="宋体" w:cs="宋体"/>
                <w:szCs w:val="21"/>
              </w:rPr>
              <w:t>投标人通过质量管理体系认证、环境管理体系认证、职业健康安全管理体系认证的，每有一个得1分；</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19" w:type="pct"/>
            <w:shd w:val="clear" w:color="auto" w:fill="auto"/>
            <w:vAlign w:val="center"/>
          </w:tcPr>
          <w:p>
            <w:pPr>
              <w:keepLines/>
              <w:jc w:val="center"/>
              <w:rPr>
                <w:rFonts w:ascii="宋体" w:hAnsi="宋体" w:cs="宋体"/>
                <w:color w:val="000000"/>
                <w:kern w:val="0"/>
                <w:sz w:val="24"/>
              </w:rPr>
            </w:pPr>
            <w:r>
              <w:rPr>
                <w:rFonts w:hint="eastAsia" w:ascii="宋体" w:hAnsi="宋体" w:cs="宋体"/>
                <w:b/>
                <w:bCs/>
                <w:szCs w:val="21"/>
              </w:rPr>
              <w:t>10</w:t>
            </w:r>
          </w:p>
        </w:tc>
        <w:tc>
          <w:tcPr>
            <w:tcW w:w="895" w:type="pct"/>
            <w:gridSpan w:val="2"/>
            <w:shd w:val="clear" w:color="auto" w:fill="auto"/>
            <w:vAlign w:val="center"/>
          </w:tcPr>
          <w:p>
            <w:pPr>
              <w:keepLines/>
              <w:rPr>
                <w:rFonts w:ascii="宋体" w:hAnsi="宋体" w:cs="宋体"/>
                <w:kern w:val="0"/>
                <w:sz w:val="24"/>
              </w:rPr>
            </w:pPr>
            <w:r>
              <w:rPr>
                <w:rFonts w:hint="eastAsia" w:ascii="宋体" w:hAnsi="宋体" w:cs="宋体"/>
                <w:b/>
                <w:bCs/>
                <w:szCs w:val="21"/>
              </w:rPr>
              <w:t>同类项目业绩（3分）</w:t>
            </w:r>
          </w:p>
        </w:tc>
        <w:tc>
          <w:tcPr>
            <w:tcW w:w="2978" w:type="pct"/>
            <w:shd w:val="clear" w:color="auto" w:fill="auto"/>
            <w:vAlign w:val="center"/>
          </w:tcPr>
          <w:p>
            <w:r>
              <w:rPr>
                <w:rFonts w:hint="eastAsia" w:ascii="宋体" w:hAnsi="宋体" w:cs="宋体"/>
                <w:szCs w:val="21"/>
              </w:rPr>
              <w:t>根据投标人提供的目前在做的三级医院以上物业管理（含保洁）同类项目服务合同，每个得1分，最高得3分；（需提供合同复印件，同一业主不同合同不重复计分</w:t>
            </w:r>
            <w:r>
              <w:rPr>
                <w:rFonts w:hint="eastAsia" w:ascii="宋体" w:hAnsi="宋体"/>
                <w:szCs w:val="21"/>
              </w:rPr>
              <w:t>。）</w:t>
            </w:r>
          </w:p>
        </w:tc>
        <w:tc>
          <w:tcPr>
            <w:tcW w:w="343" w:type="pct"/>
            <w:shd w:val="clear" w:color="auto" w:fill="auto"/>
            <w:vAlign w:val="center"/>
          </w:tcPr>
          <w:p>
            <w:pPr>
              <w:spacing w:line="360" w:lineRule="exact"/>
              <w:rPr>
                <w:rFonts w:ascii="宋体" w:hAnsi="宋体" w:cs="宋体"/>
                <w:sz w:val="22"/>
                <w:szCs w:val="22"/>
              </w:rPr>
            </w:pPr>
          </w:p>
        </w:tc>
        <w:tc>
          <w:tcPr>
            <w:tcW w:w="562" w:type="pct"/>
            <w:shd w:val="clear" w:color="auto" w:fill="auto"/>
            <w:vAlign w:val="center"/>
          </w:tcPr>
          <w:p>
            <w:pPr>
              <w:jc w:val="center"/>
              <w:rPr>
                <w:rFonts w:hAnsi="宋体"/>
              </w:rPr>
            </w:pPr>
          </w:p>
        </w:tc>
      </w:tr>
    </w:tbl>
    <w:p>
      <w:pPr>
        <w:rPr>
          <w:rFonts w:hAnsi="宋体" w:cs="宋体"/>
          <w:sz w:val="24"/>
        </w:rPr>
      </w:pPr>
      <w:r>
        <w:rPr>
          <w:rFonts w:hint="eastAsia" w:hAnsi="宋体"/>
          <w:sz w:val="24"/>
        </w:rPr>
        <w:t>注：本表可在不更改格式的情况下由投标人自行增减。</w:t>
      </w:r>
    </w:p>
    <w:p>
      <w:pPr>
        <w:tabs>
          <w:tab w:val="left" w:pos="5792"/>
        </w:tabs>
        <w:spacing w:line="460" w:lineRule="exact"/>
        <w:jc w:val="left"/>
        <w:rPr>
          <w:rFonts w:hAnsi="宋体" w:cs="宋体"/>
          <w:sz w:val="24"/>
        </w:rPr>
      </w:pPr>
      <w:r>
        <w:rPr>
          <w:rFonts w:hint="eastAsia" w:hAnsi="宋体" w:cs="宋体"/>
          <w:sz w:val="24"/>
        </w:rPr>
        <w:t>投标人名称（单位公章）：</w:t>
      </w:r>
    </w:p>
    <w:p>
      <w:pPr>
        <w:tabs>
          <w:tab w:val="left" w:pos="4525"/>
        </w:tabs>
        <w:spacing w:line="460" w:lineRule="exact"/>
        <w:jc w:val="left"/>
        <w:rPr>
          <w:rFonts w:hAnsi="宋体" w:cs="宋体"/>
          <w:sz w:val="24"/>
        </w:rPr>
      </w:pPr>
      <w:r>
        <w:rPr>
          <w:rFonts w:hint="eastAsia" w:hAnsi="宋体" w:cs="宋体"/>
          <w:sz w:val="24"/>
        </w:rPr>
        <w:t>法定代表人或委托代理人（盖章或签字）：</w:t>
      </w:r>
    </w:p>
    <w:p>
      <w:pPr>
        <w:ind w:firstLine="5400" w:firstLineChars="2250"/>
        <w:jc w:val="left"/>
        <w:rPr>
          <w:rFonts w:hAnsi="宋体" w:cs="宋体"/>
          <w:sz w:val="24"/>
        </w:rPr>
      </w:pPr>
    </w:p>
    <w:p>
      <w:pPr>
        <w:widowControl/>
        <w:jc w:val="left"/>
        <w:rPr>
          <w:b/>
          <w:bCs/>
          <w:color w:val="000000" w:themeColor="text1"/>
          <w:sz w:val="28"/>
          <w:szCs w:val="28"/>
        </w:rPr>
      </w:pPr>
      <w:r>
        <w:rPr>
          <w:rFonts w:hint="eastAsia" w:hAnsi="宋体" w:cs="宋体"/>
          <w:sz w:val="24"/>
        </w:rPr>
        <w:t>日  期：</w:t>
      </w:r>
    </w:p>
    <w:p>
      <w:pPr>
        <w:pStyle w:val="34"/>
        <w:shd w:val="clear" w:color="auto" w:fill="FFFFFF"/>
        <w:spacing w:before="0" w:beforeAutospacing="0" w:after="0" w:afterAutospacing="0" w:line="360" w:lineRule="auto"/>
        <w:rPr>
          <w:b/>
          <w:bCs/>
          <w:color w:val="000000" w:themeColor="text1"/>
          <w:kern w:val="2"/>
        </w:rPr>
      </w:pPr>
    </w:p>
    <w:p>
      <w:pPr>
        <w:rPr>
          <w:b/>
          <w:sz w:val="28"/>
        </w:rPr>
      </w:pPr>
      <w:r>
        <w:rPr>
          <w:rFonts w:hint="eastAsia"/>
          <w:b/>
          <w:sz w:val="28"/>
        </w:rPr>
        <w:t>附件8</w:t>
      </w:r>
    </w:p>
    <w:p>
      <w:pPr>
        <w:pStyle w:val="34"/>
        <w:spacing w:before="0" w:beforeAutospacing="0" w:after="0" w:afterAutospacing="0" w:line="360" w:lineRule="auto"/>
        <w:jc w:val="center"/>
        <w:rPr>
          <w:b/>
          <w:sz w:val="32"/>
          <w:szCs w:val="32"/>
        </w:rPr>
      </w:pPr>
    </w:p>
    <w:p>
      <w:pPr>
        <w:pStyle w:val="34"/>
        <w:spacing w:before="0" w:beforeAutospacing="0" w:after="0" w:afterAutospacing="0" w:line="360" w:lineRule="auto"/>
        <w:jc w:val="center"/>
        <w:rPr>
          <w:rFonts w:eastAsia="微软雅黑"/>
          <w:sz w:val="36"/>
          <w:szCs w:val="36"/>
        </w:rPr>
      </w:pPr>
      <w:bookmarkStart w:id="59" w:name="_Toc14261_WPSOffice_Level1"/>
      <w:bookmarkStart w:id="60" w:name="_Toc13307_WPSOffice_Level1"/>
      <w:r>
        <w:rPr>
          <w:rFonts w:hint="eastAsia"/>
          <w:b/>
          <w:sz w:val="32"/>
          <w:szCs w:val="32"/>
        </w:rPr>
        <w:t>投标</w:t>
      </w:r>
      <w:r>
        <w:rPr>
          <w:rFonts w:hint="eastAsia"/>
          <w:b/>
          <w:bCs/>
          <w:sz w:val="32"/>
          <w:szCs w:val="32"/>
        </w:rPr>
        <w:t>人基本情况表</w:t>
      </w:r>
      <w:bookmarkEnd w:id="59"/>
      <w:bookmarkEnd w:id="60"/>
    </w:p>
    <w:tbl>
      <w:tblPr>
        <w:tblStyle w:val="21"/>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4"/>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4"/>
              <w:spacing w:before="0" w:beforeAutospacing="0" w:after="0" w:afterAutospacing="0"/>
              <w:jc w:val="center"/>
              <w:rPr>
                <w:rFonts w:asciiTheme="minorEastAsia" w:hAnsiTheme="minorEastAsia" w:eastAsiaTheme="minorEastAsia" w:cstheme="minorEastAsia"/>
                <w:bCs/>
                <w:sz w:val="21"/>
                <w:szCs w:val="21"/>
              </w:rPr>
            </w:pPr>
          </w:p>
        </w:tc>
      </w:tr>
    </w:tbl>
    <w:p>
      <w:pPr>
        <w:pStyle w:val="34"/>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4"/>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Theme="minorEastAsia" w:hAnsiTheme="minorEastAsia" w:eastAsiaTheme="minorEastAsia" w:cstheme="minorEastAsia"/>
          <w:color w:val="FF0000"/>
          <w:kern w:val="0"/>
          <w:szCs w:val="21"/>
          <w:u w:val="single"/>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napToGrid w:val="0"/>
        <w:spacing w:before="50" w:after="50" w:line="360" w:lineRule="auto"/>
        <w:rPr>
          <w:rFonts w:ascii="宋体" w:hAnsi="宋体"/>
          <w:b/>
          <w:sz w:val="28"/>
        </w:rPr>
        <w:sectPr>
          <w:headerReference r:id="rId4" w:type="first"/>
          <w:headerReference r:id="rId3" w:type="default"/>
          <w:footerReference r:id="rId5" w:type="default"/>
          <w:pgSz w:w="11906" w:h="16838"/>
          <w:pgMar w:top="1701" w:right="1418" w:bottom="1588" w:left="1418" w:header="851" w:footer="851" w:gutter="0"/>
          <w:cols w:space="720" w:num="1"/>
          <w:docGrid w:linePitch="312" w:charSpace="0"/>
        </w:sectPr>
      </w:pPr>
    </w:p>
    <w:p>
      <w:pPr>
        <w:pStyle w:val="34"/>
        <w:shd w:val="clear" w:color="auto" w:fill="FFFFFF"/>
        <w:spacing w:before="0" w:beforeAutospacing="0" w:after="0" w:afterAutospacing="0" w:line="360" w:lineRule="auto"/>
        <w:rPr>
          <w:b/>
          <w:sz w:val="28"/>
        </w:rPr>
      </w:pPr>
      <w:r>
        <w:rPr>
          <w:rFonts w:hint="eastAsia"/>
          <w:b/>
          <w:sz w:val="28"/>
        </w:rPr>
        <w:t>附件9</w:t>
      </w:r>
    </w:p>
    <w:p>
      <w:pPr>
        <w:spacing w:line="360" w:lineRule="auto"/>
        <w:ind w:left="480"/>
        <w:jc w:val="center"/>
        <w:rPr>
          <w:rFonts w:ascii="宋体" w:hAnsi="宋体" w:cs="宋体"/>
          <w:b/>
          <w:bCs/>
          <w:spacing w:val="21"/>
          <w:kern w:val="0"/>
          <w:sz w:val="32"/>
          <w:szCs w:val="32"/>
        </w:rPr>
      </w:pPr>
      <w:r>
        <w:rPr>
          <w:rFonts w:hint="eastAsia" w:ascii="宋体" w:hAnsi="宋体" w:cs="宋体"/>
          <w:b/>
          <w:bCs/>
          <w:spacing w:val="21"/>
          <w:kern w:val="0"/>
          <w:sz w:val="32"/>
          <w:szCs w:val="32"/>
        </w:rPr>
        <w:t>设备、设施配置一览表</w:t>
      </w:r>
    </w:p>
    <w:p>
      <w:pPr>
        <w:spacing w:line="360" w:lineRule="auto"/>
        <w:ind w:left="480"/>
        <w:rPr>
          <w:rFonts w:ascii="宋体"/>
        </w:rPr>
      </w:pPr>
    </w:p>
    <w:p>
      <w:pPr>
        <w:spacing w:line="360" w:lineRule="auto"/>
        <w:rPr>
          <w:rFonts w:ascii="宋体"/>
          <w:sz w:val="24"/>
        </w:rPr>
      </w:pPr>
      <w:r>
        <w:rPr>
          <w:rFonts w:hint="eastAsia" w:ascii="宋体" w:hAnsi="宋体" w:cs="宋体"/>
          <w:sz w:val="24"/>
        </w:rPr>
        <w:t>项目名称：                          项目编号：</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987"/>
        <w:gridCol w:w="999"/>
        <w:gridCol w:w="1494"/>
        <w:gridCol w:w="1354"/>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13" w:type="pct"/>
            <w:noWrap/>
            <w:vAlign w:val="center"/>
          </w:tcPr>
          <w:p>
            <w:pPr>
              <w:jc w:val="center"/>
              <w:rPr>
                <w:rFonts w:ascii="宋体" w:hAnsi="宋体"/>
                <w:color w:val="000000"/>
                <w:sz w:val="28"/>
              </w:rPr>
            </w:pPr>
            <w:r>
              <w:rPr>
                <w:rFonts w:hint="eastAsia" w:ascii="宋体" w:hAnsi="宋体"/>
                <w:color w:val="000000"/>
                <w:sz w:val="28"/>
              </w:rPr>
              <w:t>序号</w:t>
            </w:r>
          </w:p>
        </w:tc>
        <w:tc>
          <w:tcPr>
            <w:tcW w:w="1126" w:type="pct"/>
            <w:noWrap/>
            <w:vAlign w:val="center"/>
          </w:tcPr>
          <w:p>
            <w:pPr>
              <w:jc w:val="center"/>
              <w:rPr>
                <w:rFonts w:ascii="宋体" w:hAnsi="宋体"/>
                <w:color w:val="000000"/>
                <w:sz w:val="28"/>
              </w:rPr>
            </w:pPr>
            <w:r>
              <w:rPr>
                <w:rFonts w:hint="eastAsia" w:ascii="宋体" w:hAnsi="宋体"/>
                <w:color w:val="000000"/>
                <w:sz w:val="28"/>
              </w:rPr>
              <w:t>设备名称</w:t>
            </w:r>
          </w:p>
        </w:tc>
        <w:tc>
          <w:tcPr>
            <w:tcW w:w="594" w:type="pct"/>
            <w:noWrap/>
            <w:vAlign w:val="center"/>
          </w:tcPr>
          <w:p>
            <w:pPr>
              <w:jc w:val="center"/>
              <w:rPr>
                <w:rFonts w:ascii="宋体" w:hAnsi="宋体"/>
                <w:color w:val="000000"/>
                <w:sz w:val="28"/>
              </w:rPr>
            </w:pPr>
            <w:r>
              <w:rPr>
                <w:rFonts w:hint="eastAsia" w:ascii="宋体" w:hAnsi="宋体"/>
                <w:color w:val="000000"/>
                <w:sz w:val="28"/>
              </w:rPr>
              <w:t>数 量</w:t>
            </w:r>
          </w:p>
        </w:tc>
        <w:tc>
          <w:tcPr>
            <w:tcW w:w="860" w:type="pct"/>
            <w:noWrap/>
            <w:vAlign w:val="center"/>
          </w:tcPr>
          <w:p>
            <w:pPr>
              <w:jc w:val="center"/>
              <w:rPr>
                <w:rFonts w:ascii="宋体" w:hAnsi="宋体"/>
                <w:color w:val="000000"/>
                <w:sz w:val="28"/>
              </w:rPr>
            </w:pPr>
            <w:r>
              <w:rPr>
                <w:rFonts w:hint="eastAsia" w:ascii="宋体" w:hAnsi="宋体"/>
                <w:color w:val="000000"/>
                <w:sz w:val="28"/>
              </w:rPr>
              <w:t>品牌型号</w:t>
            </w:r>
          </w:p>
        </w:tc>
        <w:tc>
          <w:tcPr>
            <w:tcW w:w="785" w:type="pct"/>
            <w:noWrap/>
            <w:vAlign w:val="center"/>
          </w:tcPr>
          <w:p>
            <w:pPr>
              <w:jc w:val="center"/>
              <w:rPr>
                <w:rFonts w:ascii="宋体" w:hAnsi="宋体"/>
                <w:color w:val="000000"/>
                <w:sz w:val="28"/>
              </w:rPr>
            </w:pPr>
            <w:r>
              <w:rPr>
                <w:rFonts w:hint="eastAsia" w:ascii="宋体" w:hAnsi="宋体"/>
                <w:color w:val="000000"/>
                <w:sz w:val="28"/>
              </w:rPr>
              <w:t>技术参数</w:t>
            </w:r>
          </w:p>
        </w:tc>
        <w:tc>
          <w:tcPr>
            <w:tcW w:w="735" w:type="pct"/>
            <w:noWrap/>
            <w:vAlign w:val="center"/>
          </w:tcPr>
          <w:p>
            <w:pPr>
              <w:jc w:val="center"/>
              <w:rPr>
                <w:rFonts w:ascii="宋体" w:hAnsi="宋体"/>
                <w:color w:val="000000"/>
                <w:sz w:val="28"/>
              </w:rPr>
            </w:pPr>
            <w:r>
              <w:rPr>
                <w:rFonts w:hint="eastAsia" w:ascii="宋体" w:hAnsi="宋体"/>
                <w:color w:val="000000"/>
                <w:sz w:val="28"/>
              </w:rPr>
              <w:t>性能用途</w:t>
            </w:r>
          </w:p>
        </w:tc>
        <w:tc>
          <w:tcPr>
            <w:tcW w:w="484" w:type="pct"/>
            <w:noWrap/>
            <w:vAlign w:val="center"/>
          </w:tcPr>
          <w:p>
            <w:pPr>
              <w:jc w:val="center"/>
              <w:rPr>
                <w:rFonts w:ascii="宋体" w:hAnsi="宋体"/>
                <w:color w:val="000000"/>
                <w:sz w:val="28"/>
              </w:rPr>
            </w:pPr>
            <w:r>
              <w:rPr>
                <w:rFonts w:hint="eastAsia" w:ascii="宋体" w:hAnsi="宋体"/>
                <w:color w:val="000000"/>
                <w:sz w:val="28"/>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1</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2</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3</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4</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5</w:t>
            </w:r>
          </w:p>
        </w:tc>
        <w:tc>
          <w:tcPr>
            <w:tcW w:w="1126" w:type="pct"/>
            <w:noWrap/>
            <w:vAlign w:val="center"/>
          </w:tcPr>
          <w:p>
            <w:pPr>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6</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7</w:t>
            </w:r>
          </w:p>
        </w:tc>
        <w:tc>
          <w:tcPr>
            <w:tcW w:w="1126" w:type="pct"/>
            <w:noWrap/>
            <w:vAlign w:val="center"/>
          </w:tcPr>
          <w:p>
            <w:pPr>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13" w:type="pct"/>
            <w:noWrap/>
            <w:vAlign w:val="center"/>
          </w:tcPr>
          <w:p>
            <w:pPr>
              <w:spacing w:line="360" w:lineRule="auto"/>
              <w:jc w:val="center"/>
              <w:rPr>
                <w:rFonts w:ascii="宋体" w:hAnsi="宋体"/>
                <w:b/>
                <w:color w:val="000000"/>
              </w:rPr>
            </w:pPr>
            <w:r>
              <w:rPr>
                <w:rFonts w:hint="eastAsia" w:ascii="宋体" w:hAnsi="宋体"/>
                <w:b/>
                <w:color w:val="000000"/>
              </w:rPr>
              <w:t>8</w:t>
            </w:r>
          </w:p>
        </w:tc>
        <w:tc>
          <w:tcPr>
            <w:tcW w:w="1126" w:type="pct"/>
            <w:noWrap/>
            <w:vAlign w:val="center"/>
          </w:tcPr>
          <w:p>
            <w:pPr>
              <w:spacing w:line="360" w:lineRule="auto"/>
              <w:jc w:val="center"/>
              <w:rPr>
                <w:rFonts w:ascii="宋体" w:hAnsi="宋体"/>
                <w:b/>
                <w:color w:val="000000"/>
              </w:rPr>
            </w:pPr>
          </w:p>
        </w:tc>
        <w:tc>
          <w:tcPr>
            <w:tcW w:w="594" w:type="pct"/>
            <w:noWrap/>
            <w:vAlign w:val="center"/>
          </w:tcPr>
          <w:p>
            <w:pPr>
              <w:spacing w:line="360" w:lineRule="auto"/>
              <w:jc w:val="center"/>
              <w:rPr>
                <w:rFonts w:ascii="宋体" w:hAnsi="宋体"/>
                <w:b/>
                <w:color w:val="000000"/>
              </w:rPr>
            </w:pPr>
          </w:p>
        </w:tc>
        <w:tc>
          <w:tcPr>
            <w:tcW w:w="860" w:type="pct"/>
            <w:noWrap/>
            <w:vAlign w:val="center"/>
          </w:tcPr>
          <w:p>
            <w:pPr>
              <w:spacing w:line="360" w:lineRule="auto"/>
              <w:jc w:val="center"/>
              <w:rPr>
                <w:rFonts w:ascii="宋体" w:hAnsi="宋体"/>
                <w:b/>
                <w:color w:val="000000"/>
              </w:rPr>
            </w:pPr>
          </w:p>
        </w:tc>
        <w:tc>
          <w:tcPr>
            <w:tcW w:w="785" w:type="pct"/>
            <w:noWrap/>
            <w:vAlign w:val="center"/>
          </w:tcPr>
          <w:p>
            <w:pPr>
              <w:spacing w:line="360" w:lineRule="auto"/>
              <w:jc w:val="center"/>
              <w:rPr>
                <w:rFonts w:ascii="宋体" w:hAnsi="宋体"/>
                <w:b/>
                <w:color w:val="000000"/>
              </w:rPr>
            </w:pPr>
          </w:p>
        </w:tc>
        <w:tc>
          <w:tcPr>
            <w:tcW w:w="735" w:type="pct"/>
            <w:noWrap/>
            <w:vAlign w:val="center"/>
          </w:tcPr>
          <w:p>
            <w:pPr>
              <w:spacing w:line="360" w:lineRule="auto"/>
              <w:jc w:val="center"/>
              <w:rPr>
                <w:rFonts w:ascii="宋体" w:hAnsi="宋体"/>
                <w:b/>
                <w:color w:val="000000"/>
              </w:rPr>
            </w:pPr>
          </w:p>
        </w:tc>
        <w:tc>
          <w:tcPr>
            <w:tcW w:w="484" w:type="pct"/>
            <w:noWrap/>
            <w:vAlign w:val="center"/>
          </w:tcPr>
          <w:p>
            <w:pPr>
              <w:spacing w:line="360" w:lineRule="auto"/>
              <w:jc w:val="center"/>
              <w:rPr>
                <w:rFonts w:ascii="宋体" w:hAnsi="宋体"/>
                <w:b/>
                <w:color w:val="000000"/>
              </w:rPr>
            </w:pPr>
          </w:p>
        </w:tc>
      </w:tr>
    </w:tbl>
    <w:p>
      <w:pPr>
        <w:spacing w:line="360" w:lineRule="auto"/>
        <w:ind w:left="420"/>
        <w:rPr>
          <w:rFonts w:ascii="宋体"/>
          <w:sz w:val="24"/>
        </w:rPr>
      </w:pPr>
    </w:p>
    <w:p>
      <w:pPr>
        <w:tabs>
          <w:tab w:val="left" w:pos="4525"/>
        </w:tabs>
        <w:spacing w:line="460" w:lineRule="exact"/>
        <w:jc w:val="left"/>
        <w:rPr>
          <w:rFonts w:hAnsi="宋体"/>
          <w:sz w:val="24"/>
        </w:rPr>
      </w:pPr>
      <w:r>
        <w:rPr>
          <w:rFonts w:hint="eastAsia" w:hAnsi="宋体"/>
          <w:sz w:val="24"/>
        </w:rPr>
        <w:t>注：以上内容填写必须完整、真实，需提供</w:t>
      </w:r>
      <w:r>
        <w:rPr>
          <w:rFonts w:hint="eastAsia" w:ascii="宋体" w:hAnsi="宋体" w:cs="宋体"/>
          <w:sz w:val="24"/>
        </w:rPr>
        <w:t>具体设备图片及详细的技术参数。</w:t>
      </w:r>
    </w:p>
    <w:p>
      <w:pPr>
        <w:pStyle w:val="38"/>
        <w:tabs>
          <w:tab w:val="left" w:pos="1050"/>
        </w:tabs>
        <w:spacing w:line="360" w:lineRule="auto"/>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sz w:val="24"/>
          <w:u w:val="single"/>
        </w:rPr>
      </w:pPr>
      <w:r>
        <w:rPr>
          <w:rFonts w:hint="eastAsia" w:ascii="宋体" w:hAnsi="宋体" w:cs="宋体"/>
          <w:sz w:val="24"/>
        </w:rPr>
        <w:t>投标人名称（盖章）：</w:t>
      </w:r>
    </w:p>
    <w:p>
      <w:pPr>
        <w:spacing w:line="360" w:lineRule="auto"/>
        <w:ind w:firstLine="424" w:firstLineChars="177"/>
        <w:rPr>
          <w:rFonts w:ascii="宋体"/>
          <w:sz w:val="24"/>
        </w:rPr>
      </w:pPr>
      <w:r>
        <w:rPr>
          <w:rFonts w:hint="eastAsia" w:ascii="宋体" w:hAnsi="宋体" w:cs="宋体"/>
          <w:sz w:val="24"/>
        </w:rPr>
        <w:t>法定代表人或代理人（签字或盖章）：</w:t>
      </w:r>
    </w:p>
    <w:p>
      <w:pPr>
        <w:pStyle w:val="34"/>
        <w:shd w:val="clear" w:color="auto" w:fill="FFFFFF"/>
        <w:spacing w:before="0" w:beforeAutospacing="0" w:after="0" w:afterAutospacing="0" w:line="360" w:lineRule="auto"/>
        <w:ind w:firstLine="424" w:firstLineChars="177"/>
      </w:pPr>
      <w:r>
        <w:rPr>
          <w:rFonts w:hint="eastAsia"/>
        </w:rPr>
        <w:t>日期：：</w:t>
      </w:r>
    </w:p>
    <w:p>
      <w:pPr>
        <w:rPr>
          <w:rFonts w:ascii="宋体" w:hAnsi="宋体"/>
          <w:b/>
          <w:sz w:val="28"/>
        </w:rPr>
      </w:pPr>
      <w:r>
        <w:rPr>
          <w:rFonts w:hint="eastAsia" w:ascii="宋体" w:hAnsi="宋体"/>
          <w:b/>
          <w:sz w:val="28"/>
        </w:rPr>
        <w:br w:type="page"/>
      </w:r>
    </w:p>
    <w:p>
      <w:pPr>
        <w:spacing w:line="360" w:lineRule="auto"/>
        <w:rPr>
          <w:rFonts w:ascii="宋体" w:hAnsi="宋体"/>
        </w:rPr>
      </w:pPr>
      <w:r>
        <w:rPr>
          <w:rFonts w:hint="eastAsia" w:ascii="宋体" w:hAnsi="宋体"/>
          <w:b/>
          <w:sz w:val="28"/>
        </w:rPr>
        <w:t>附件10</w:t>
      </w:r>
    </w:p>
    <w:p>
      <w:pPr>
        <w:spacing w:beforeLines="50" w:afterLines="50" w:line="360" w:lineRule="auto"/>
        <w:ind w:right="-10"/>
        <w:jc w:val="center"/>
        <w:rPr>
          <w:rFonts w:ascii="宋体" w:hAnsi="宋体"/>
          <w:b/>
          <w:bCs/>
          <w:sz w:val="32"/>
          <w:szCs w:val="32"/>
        </w:rPr>
      </w:pPr>
      <w:bookmarkStart w:id="61" w:name="_Toc23055_WPSOffice_Level1"/>
      <w:bookmarkStart w:id="62" w:name="_Toc12710_WPSOffice_Level1"/>
      <w:r>
        <w:rPr>
          <w:rFonts w:hint="eastAsia" w:ascii="宋体" w:hAnsi="宋体"/>
          <w:b/>
          <w:bCs/>
          <w:sz w:val="32"/>
          <w:szCs w:val="32"/>
        </w:rPr>
        <w:t>项目负责人资格情况表</w:t>
      </w:r>
      <w:bookmarkEnd w:id="61"/>
      <w:bookmarkEnd w:id="62"/>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b/>
          <w:sz w:val="28"/>
        </w:rPr>
      </w:pPr>
      <w:r>
        <w:rPr>
          <w:rFonts w:hint="eastAsia" w:ascii="宋体" w:hAnsi="宋体"/>
          <w:b/>
          <w:sz w:val="28"/>
        </w:rPr>
        <w:br w:type="page"/>
      </w:r>
    </w:p>
    <w:p>
      <w:pPr>
        <w:spacing w:line="360" w:lineRule="auto"/>
        <w:rPr>
          <w:rFonts w:ascii="宋体" w:hAnsi="宋体"/>
          <w:sz w:val="24"/>
        </w:rPr>
      </w:pPr>
      <w:r>
        <w:rPr>
          <w:rFonts w:hint="eastAsia" w:ascii="宋体" w:hAnsi="宋体"/>
          <w:b/>
          <w:sz w:val="28"/>
        </w:rPr>
        <w:t>附件11</w:t>
      </w:r>
    </w:p>
    <w:p>
      <w:pPr>
        <w:snapToGrid w:val="0"/>
        <w:spacing w:beforeLines="50" w:after="50" w:line="360" w:lineRule="auto"/>
        <w:jc w:val="center"/>
        <w:rPr>
          <w:rFonts w:ascii="宋体" w:hAnsi="宋体"/>
          <w:b/>
          <w:sz w:val="36"/>
          <w:szCs w:val="36"/>
        </w:rPr>
      </w:pPr>
      <w:bookmarkStart w:id="63" w:name="_Toc23671_WPSOffice_Level1"/>
      <w:bookmarkStart w:id="64" w:name="_Toc20569_WPSOffice_Level1"/>
      <w:r>
        <w:rPr>
          <w:rFonts w:hint="eastAsia" w:ascii="宋体" w:hAnsi="宋体"/>
          <w:b/>
          <w:sz w:val="32"/>
          <w:szCs w:val="32"/>
        </w:rPr>
        <w:t>项目实施人员一览表</w:t>
      </w:r>
      <w:bookmarkEnd w:id="63"/>
      <w:bookmarkEnd w:id="64"/>
    </w:p>
    <w:p>
      <w:pPr>
        <w:snapToGrid w:val="0"/>
        <w:spacing w:beforeLines="50" w:after="50" w:line="360" w:lineRule="auto"/>
        <w:jc w:val="center"/>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napToGrid w:val="0"/>
              <w:spacing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4"/>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w:t>
      </w:r>
    </w:p>
    <w:p>
      <w:pPr>
        <w:pStyle w:val="35"/>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w:t>
      </w:r>
      <w:r>
        <w:rPr>
          <w:rFonts w:hint="eastAsia" w:ascii="宋体" w:hAnsi="宋体"/>
          <w:szCs w:val="21"/>
        </w:rPr>
        <w:t>3-6个月</w:t>
      </w:r>
      <w:r>
        <w:rPr>
          <w:rFonts w:ascii="宋体" w:hAnsi="宋体"/>
          <w:szCs w:val="21"/>
        </w:rPr>
        <w:t>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b/>
          <w:sz w:val="24"/>
          <w:szCs w:val="22"/>
        </w:rPr>
      </w:pPr>
      <w:r>
        <w:rPr>
          <w:rFonts w:hint="eastAsia" w:ascii="宋体" w:hAnsi="宋体"/>
          <w:b/>
          <w:sz w:val="24"/>
          <w:szCs w:val="22"/>
        </w:rPr>
        <w:br w:type="page"/>
      </w:r>
    </w:p>
    <w:p>
      <w:pPr>
        <w:rPr>
          <w:rFonts w:ascii="宋体" w:hAnsi="宋体"/>
          <w:b/>
          <w:sz w:val="28"/>
        </w:rPr>
      </w:pPr>
      <w:r>
        <w:rPr>
          <w:rFonts w:hint="eastAsia" w:ascii="宋体" w:hAnsi="宋体"/>
          <w:b/>
          <w:sz w:val="28"/>
        </w:rPr>
        <w:t>附件12</w:t>
      </w:r>
    </w:p>
    <w:p>
      <w:pPr>
        <w:spacing w:line="360" w:lineRule="auto"/>
        <w:jc w:val="center"/>
        <w:rPr>
          <w:rFonts w:ascii="宋体" w:hAnsi="宋体"/>
          <w:b/>
          <w:sz w:val="24"/>
        </w:rPr>
      </w:pPr>
      <w:r>
        <w:rPr>
          <w:rFonts w:hint="eastAsia" w:ascii="宋体" w:hAnsi="宋体"/>
          <w:b/>
          <w:sz w:val="32"/>
          <w:szCs w:val="32"/>
        </w:rPr>
        <w:t>服务实施情况表</w:t>
      </w:r>
    </w:p>
    <w:tbl>
      <w:tblPr>
        <w:tblStyle w:val="21"/>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9"/>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9"/>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9"/>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9"/>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9"/>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9"/>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9"/>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9"/>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60" w:hRule="exact"/>
          <w:jc w:val="center"/>
        </w:trPr>
        <w:tc>
          <w:tcPr>
            <w:tcW w:w="739" w:type="dxa"/>
            <w:tcMar>
              <w:top w:w="57" w:type="dxa"/>
              <w:left w:w="108" w:type="dxa"/>
              <w:bottom w:w="0" w:type="dxa"/>
              <w:right w:w="108" w:type="dxa"/>
            </w:tcMar>
            <w:vAlign w:val="center"/>
          </w:tcPr>
          <w:p>
            <w:pPr>
              <w:pStyle w:val="39"/>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9"/>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9"/>
              <w:widowControl/>
              <w:spacing w:line="360" w:lineRule="auto"/>
              <w:jc w:val="left"/>
              <w:rPr>
                <w:rFonts w:ascii="宋体" w:hAnsi="宋体" w:cs="Arial"/>
                <w:bCs/>
                <w:szCs w:val="21"/>
              </w:rPr>
            </w:pPr>
          </w:p>
          <w:p>
            <w:pPr>
              <w:pStyle w:val="39"/>
              <w:widowControl/>
              <w:spacing w:line="360" w:lineRule="auto"/>
              <w:jc w:val="left"/>
              <w:rPr>
                <w:rFonts w:ascii="宋体" w:hAnsi="宋体" w:cs="Arial"/>
                <w:bCs/>
                <w:szCs w:val="21"/>
              </w:rPr>
            </w:pPr>
          </w:p>
          <w:p>
            <w:pPr>
              <w:pStyle w:val="39"/>
              <w:spacing w:line="360" w:lineRule="auto"/>
              <w:rPr>
                <w:rFonts w:ascii="宋体" w:hAnsi="宋体" w:cs="Arial"/>
                <w:bCs/>
                <w:szCs w:val="21"/>
              </w:rPr>
            </w:pPr>
          </w:p>
        </w:tc>
        <w:tc>
          <w:tcPr>
            <w:tcW w:w="1301" w:type="dxa"/>
            <w:tcMar>
              <w:top w:w="57" w:type="dxa"/>
              <w:left w:w="108" w:type="dxa"/>
              <w:bottom w:w="0" w:type="dxa"/>
              <w:right w:w="108" w:type="dxa"/>
            </w:tcMar>
          </w:tcPr>
          <w:p>
            <w:pPr>
              <w:pStyle w:val="39"/>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9"/>
              <w:widowControl/>
              <w:spacing w:line="360" w:lineRule="auto"/>
              <w:jc w:val="left"/>
              <w:rPr>
                <w:rFonts w:ascii="宋体" w:hAnsi="宋体" w:cs="Arial"/>
                <w:bCs/>
                <w:i/>
                <w:szCs w:val="21"/>
              </w:rPr>
            </w:pPr>
          </w:p>
          <w:p>
            <w:pPr>
              <w:pStyle w:val="39"/>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9"/>
              <w:widowControl/>
              <w:spacing w:line="360" w:lineRule="auto"/>
              <w:jc w:val="left"/>
              <w:rPr>
                <w:rFonts w:ascii="宋体" w:hAnsi="宋体" w:cs="Arial"/>
                <w:bCs/>
                <w:i/>
                <w:szCs w:val="21"/>
              </w:rPr>
            </w:pPr>
          </w:p>
          <w:p>
            <w:pPr>
              <w:pStyle w:val="39"/>
              <w:widowControl/>
              <w:spacing w:line="360" w:lineRule="auto"/>
              <w:jc w:val="left"/>
              <w:rPr>
                <w:rFonts w:ascii="宋体" w:hAnsi="宋体" w:cs="Arial"/>
                <w:bCs/>
                <w:i/>
                <w:szCs w:val="21"/>
              </w:rPr>
            </w:pPr>
          </w:p>
          <w:p>
            <w:pPr>
              <w:pStyle w:val="39"/>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1" w:hRule="exact"/>
          <w:jc w:val="center"/>
        </w:trPr>
        <w:tc>
          <w:tcPr>
            <w:tcW w:w="739" w:type="dxa"/>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9"/>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9"/>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9"/>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pStyle w:val="9"/>
        <w:rPr>
          <w:rFonts w:ascii="宋体" w:hAnsi="宋体"/>
          <w:sz w:val="24"/>
          <w:u w:val="single"/>
        </w:rPr>
      </w:pPr>
    </w:p>
    <w:p>
      <w:pPr>
        <w:spacing w:line="360" w:lineRule="auto"/>
        <w:rPr>
          <w:rFonts w:ascii="宋体" w:hAnsi="宋体"/>
          <w:b/>
          <w:sz w:val="28"/>
        </w:rPr>
      </w:pPr>
      <w:r>
        <w:rPr>
          <w:rFonts w:hint="eastAsia" w:ascii="宋体" w:hAnsi="宋体"/>
          <w:b/>
          <w:sz w:val="28"/>
        </w:rPr>
        <w:t>附件13</w:t>
      </w:r>
    </w:p>
    <w:p>
      <w:pPr>
        <w:pStyle w:val="38"/>
        <w:spacing w:line="360" w:lineRule="auto"/>
        <w:jc w:val="center"/>
        <w:rPr>
          <w:rFonts w:ascii="宋体" w:hAnsi="宋体" w:cs="Arial"/>
          <w:sz w:val="28"/>
          <w:szCs w:val="28"/>
        </w:rPr>
      </w:pPr>
      <w:bookmarkStart w:id="65" w:name="_Toc11030_WPSOffice_Level1"/>
      <w:bookmarkStart w:id="66" w:name="_Toc17604_WPSOffice_Level1"/>
      <w:r>
        <w:rPr>
          <w:rFonts w:hint="eastAsia" w:ascii="宋体" w:hAnsi="宋体"/>
          <w:b/>
          <w:sz w:val="32"/>
          <w:szCs w:val="32"/>
        </w:rPr>
        <w:t>证书一览表</w:t>
      </w:r>
      <w:bookmarkEnd w:id="65"/>
      <w:bookmarkEnd w:id="66"/>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38"/>
              <w:spacing w:line="360" w:lineRule="auto"/>
              <w:jc w:val="center"/>
              <w:rPr>
                <w:rFonts w:ascii="宋体" w:hAnsi="宋体" w:cs="Arial"/>
                <w:szCs w:val="21"/>
              </w:rPr>
            </w:pPr>
          </w:p>
        </w:tc>
      </w:tr>
    </w:tbl>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8"/>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8"/>
        <w:tabs>
          <w:tab w:val="left" w:pos="1050"/>
        </w:tabs>
        <w:spacing w:line="360" w:lineRule="auto"/>
        <w:rPr>
          <w:rFonts w:ascii="仿宋_GB2312" w:hAnsi="宋体" w:eastAsia="仿宋_GB2312"/>
          <w:sz w:val="24"/>
        </w:rPr>
      </w:pPr>
    </w:p>
    <w:p>
      <w:pPr>
        <w:pStyle w:val="38"/>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sz w:val="28"/>
        </w:rPr>
        <w:sectPr>
          <w:pgSz w:w="11906" w:h="16838"/>
          <w:pgMar w:top="1701" w:right="1418" w:bottom="1588" w:left="1418" w:header="851" w:footer="851" w:gutter="0"/>
          <w:cols w:space="720" w:num="1"/>
          <w:docGrid w:linePitch="312" w:charSpace="0"/>
        </w:sectPr>
      </w:pPr>
      <w:r>
        <w:rPr>
          <w:rFonts w:hint="eastAsia"/>
        </w:rPr>
        <w:t xml:space="preserve">日        </w:t>
      </w:r>
    </w:p>
    <w:p>
      <w:pPr>
        <w:spacing w:line="360" w:lineRule="auto"/>
        <w:rPr>
          <w:rFonts w:ascii="宋体" w:hAnsi="宋体"/>
          <w:b/>
          <w:sz w:val="28"/>
        </w:rPr>
      </w:pPr>
      <w:r>
        <w:rPr>
          <w:rFonts w:hint="eastAsia" w:ascii="宋体" w:hAnsi="宋体"/>
          <w:b/>
          <w:sz w:val="28"/>
        </w:rPr>
        <w:t>附件14</w:t>
      </w:r>
    </w:p>
    <w:p>
      <w:pPr>
        <w:spacing w:line="360" w:lineRule="auto"/>
        <w:jc w:val="center"/>
        <w:rPr>
          <w:rFonts w:ascii="宋体" w:hAnsi="宋体"/>
          <w:b/>
          <w:bCs/>
          <w:kern w:val="0"/>
          <w:sz w:val="32"/>
          <w:szCs w:val="32"/>
        </w:rPr>
      </w:pPr>
      <w:bookmarkStart w:id="67" w:name="_Toc19231_WPSOffice_Level1"/>
      <w:bookmarkStart w:id="68" w:name="_Toc7134_WPSOffice_Level1"/>
      <w:r>
        <w:rPr>
          <w:rFonts w:hint="eastAsia" w:ascii="宋体" w:hAnsi="宋体"/>
          <w:b/>
          <w:bCs/>
          <w:kern w:val="0"/>
          <w:sz w:val="32"/>
          <w:szCs w:val="32"/>
        </w:rPr>
        <w:t>投标人类似项目实施情况一览表</w:t>
      </w:r>
      <w:bookmarkEnd w:id="67"/>
      <w:bookmarkEnd w:id="68"/>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7"/>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7"/>
              <w:spacing w:line="360" w:lineRule="auto"/>
              <w:rPr>
                <w:rFonts w:asciiTheme="minorEastAsia" w:hAnsiTheme="minorEastAsia" w:eastAsiaTheme="minorEastAsia" w:cstheme="minorEastAsia"/>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ind w:hanging="9"/>
        <w:jc w:val="center"/>
        <w:rPr>
          <w:rFonts w:ascii="宋体" w:hAnsi="宋体"/>
          <w:b/>
          <w:sz w:val="18"/>
          <w:szCs w:val="18"/>
        </w:rPr>
      </w:pPr>
      <w:bookmarkStart w:id="69" w:name="_Toc21582_WPSOffice_Level1"/>
      <w:bookmarkStart w:id="70" w:name="_Toc3068_WPSOffice_Level1"/>
      <w:r>
        <w:rPr>
          <w:rFonts w:hint="eastAsia" w:ascii="宋体" w:hAnsi="宋体"/>
          <w:b/>
          <w:sz w:val="32"/>
          <w:szCs w:val="32"/>
        </w:rPr>
        <w:t>商务需求响应表</w:t>
      </w:r>
      <w:bookmarkEnd w:id="69"/>
      <w:bookmarkEnd w:id="70"/>
    </w:p>
    <w:tbl>
      <w:tblPr>
        <w:tblStyle w:val="21"/>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2693"/>
        <w:gridCol w:w="111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192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2693"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119"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tcPr>
          <w:p>
            <w:pPr>
              <w:snapToGrid w:val="0"/>
              <w:rPr>
                <w:rFonts w:ascii="宋体" w:hAnsi="宋体"/>
                <w:sz w:val="24"/>
              </w:rPr>
            </w:pPr>
            <w:r>
              <w:rPr>
                <w:rFonts w:hint="eastAsia" w:ascii="宋体" w:hAnsi="宋体"/>
                <w:sz w:val="24"/>
              </w:rPr>
              <w:t>服务期</w:t>
            </w:r>
          </w:p>
        </w:tc>
        <w:tc>
          <w:tcPr>
            <w:tcW w:w="2693" w:type="dxa"/>
            <w:tcMar>
              <w:top w:w="57" w:type="dxa"/>
              <w:left w:w="108" w:type="dxa"/>
              <w:bottom w:w="0" w:type="dxa"/>
              <w:right w:w="108" w:type="dxa"/>
            </w:tcMar>
            <w:vAlign w:val="center"/>
          </w:tcPr>
          <w:p>
            <w:pPr>
              <w:snapToGrid w:val="0"/>
              <w:rPr>
                <w:rFonts w:ascii="宋体" w:hAnsi="宋体"/>
                <w:sz w:val="24"/>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top"/>
          </w:tcPr>
          <w:p>
            <w:pPr>
              <w:snapToGrid w:val="0"/>
              <w:rPr>
                <w:rFonts w:ascii="宋体" w:hAnsi="宋体" w:eastAsia="宋体" w:cs="Times New Roman"/>
                <w:kern w:val="2"/>
                <w:sz w:val="24"/>
                <w:szCs w:val="24"/>
                <w:lang w:val="en-US" w:eastAsia="zh-CN" w:bidi="ar-SA"/>
              </w:rPr>
            </w:pPr>
            <w:r>
              <w:rPr>
                <w:rFonts w:hint="eastAsia" w:ascii="宋体" w:hAnsi="宋体"/>
                <w:sz w:val="24"/>
              </w:rPr>
              <w:t>付款条件</w:t>
            </w:r>
          </w:p>
        </w:tc>
        <w:tc>
          <w:tcPr>
            <w:tcW w:w="2693" w:type="dxa"/>
            <w:tcMar>
              <w:top w:w="57" w:type="dxa"/>
              <w:left w:w="108" w:type="dxa"/>
              <w:bottom w:w="0" w:type="dxa"/>
              <w:right w:w="108" w:type="dxa"/>
            </w:tcMar>
            <w:vAlign w:val="center"/>
          </w:tcPr>
          <w:p>
            <w:pPr>
              <w:snapToGrid w:val="0"/>
              <w:rPr>
                <w:rFonts w:ascii="宋体" w:hAnsi="宋体"/>
                <w:sz w:val="24"/>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top"/>
          </w:tcPr>
          <w:p>
            <w:pPr>
              <w:snapToGrid w:val="0"/>
              <w:rPr>
                <w:rFonts w:ascii="宋体" w:hAnsi="宋体" w:eastAsia="宋体" w:cs="Times New Roman"/>
                <w:kern w:val="2"/>
                <w:sz w:val="24"/>
                <w:szCs w:val="24"/>
                <w:lang w:val="en-US" w:eastAsia="zh-CN" w:bidi="ar-SA"/>
              </w:rPr>
            </w:pPr>
            <w:r>
              <w:rPr>
                <w:rFonts w:hint="eastAsia" w:ascii="宋体" w:hAnsi="宋体"/>
                <w:sz w:val="24"/>
              </w:rPr>
              <w:t>履约保证金</w:t>
            </w:r>
          </w:p>
        </w:tc>
        <w:tc>
          <w:tcPr>
            <w:tcW w:w="2693" w:type="dxa"/>
            <w:tcMar>
              <w:top w:w="57" w:type="dxa"/>
              <w:left w:w="108" w:type="dxa"/>
              <w:bottom w:w="0" w:type="dxa"/>
              <w:right w:w="108" w:type="dxa"/>
            </w:tcMar>
            <w:vAlign w:val="center"/>
          </w:tcPr>
          <w:p>
            <w:pPr>
              <w:rPr>
                <w:rFonts w:ascii="宋体" w:hAnsi="宋体"/>
                <w:sz w:val="24"/>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top"/>
          </w:tcPr>
          <w:p>
            <w:pPr>
              <w:snapToGrid w:val="0"/>
              <w:rPr>
                <w:rFonts w:ascii="宋体" w:hAnsi="宋体" w:eastAsia="宋体" w:cs="Times New Roman"/>
                <w:kern w:val="2"/>
                <w:sz w:val="24"/>
                <w:szCs w:val="24"/>
                <w:lang w:val="en-US" w:eastAsia="zh-CN" w:bidi="ar-SA"/>
              </w:rPr>
            </w:pPr>
            <w:r>
              <w:rPr>
                <w:rFonts w:hint="eastAsia" w:ascii="宋体" w:hAnsi="宋体"/>
                <w:sz w:val="24"/>
                <w:lang w:val="zh-CN"/>
              </w:rPr>
              <w:t>其他要求</w:t>
            </w:r>
          </w:p>
        </w:tc>
        <w:tc>
          <w:tcPr>
            <w:tcW w:w="2693" w:type="dxa"/>
            <w:tcMar>
              <w:top w:w="57" w:type="dxa"/>
              <w:left w:w="108" w:type="dxa"/>
              <w:bottom w:w="0" w:type="dxa"/>
              <w:right w:w="108" w:type="dxa"/>
            </w:tcMar>
            <w:vAlign w:val="center"/>
          </w:tcPr>
          <w:p>
            <w:pPr>
              <w:rPr>
                <w:rFonts w:ascii="宋体" w:hAnsi="宋体"/>
                <w:sz w:val="24"/>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top"/>
          </w:tcPr>
          <w:p>
            <w:pPr>
              <w:snapToGrid w:val="0"/>
              <w:rPr>
                <w:rFonts w:ascii="宋体" w:hAnsi="宋体" w:eastAsia="宋体" w:cs="Times New Roman"/>
                <w:kern w:val="2"/>
                <w:sz w:val="24"/>
                <w:szCs w:val="24"/>
                <w:lang w:val="en-US" w:eastAsia="zh-CN" w:bidi="ar-SA"/>
              </w:rPr>
            </w:pPr>
            <w:r>
              <w:rPr>
                <w:rFonts w:hint="eastAsia" w:ascii="宋体" w:hAnsi="宋体"/>
                <w:sz w:val="24"/>
                <w:lang w:val="zh-CN"/>
              </w:rPr>
              <w:t>供应商需承担的配套费用</w:t>
            </w:r>
          </w:p>
        </w:tc>
        <w:tc>
          <w:tcPr>
            <w:tcW w:w="2693" w:type="dxa"/>
            <w:tcMar>
              <w:top w:w="57" w:type="dxa"/>
              <w:left w:w="108" w:type="dxa"/>
              <w:bottom w:w="0" w:type="dxa"/>
              <w:right w:w="108" w:type="dxa"/>
            </w:tcMar>
            <w:vAlign w:val="center"/>
          </w:tcPr>
          <w:p>
            <w:pPr>
              <w:rPr>
                <w:rFonts w:ascii="宋体" w:hAnsi="宋体"/>
                <w:sz w:val="24"/>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vAlign w:val="top"/>
          </w:tcPr>
          <w:p>
            <w:pPr>
              <w:snapToGrid w:val="0"/>
              <w:rPr>
                <w:rFonts w:ascii="宋体" w:hAnsi="宋体" w:eastAsia="宋体" w:cs="Times New Roman"/>
                <w:kern w:val="2"/>
                <w:sz w:val="24"/>
                <w:szCs w:val="24"/>
                <w:lang w:val="en-US" w:eastAsia="zh-CN" w:bidi="ar-SA"/>
              </w:rPr>
            </w:pPr>
            <w:r>
              <w:rPr>
                <w:rFonts w:hint="eastAsia" w:ascii="宋体" w:hAnsi="宋体"/>
                <w:sz w:val="24"/>
              </w:rPr>
              <w:t>……</w:t>
            </w:r>
          </w:p>
        </w:tc>
        <w:tc>
          <w:tcPr>
            <w:tcW w:w="2693" w:type="dxa"/>
            <w:tcMar>
              <w:top w:w="57" w:type="dxa"/>
              <w:left w:w="108" w:type="dxa"/>
              <w:bottom w:w="0" w:type="dxa"/>
              <w:right w:w="108" w:type="dxa"/>
            </w:tcMar>
          </w:tcPr>
          <w:p>
            <w:pPr>
              <w:snapToGrid w:val="0"/>
              <w:rPr>
                <w:rFonts w:ascii="宋体" w:hAnsi="宋体"/>
                <w:szCs w:val="21"/>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1925" w:type="dxa"/>
            <w:tcMar>
              <w:top w:w="57" w:type="dxa"/>
              <w:left w:w="108" w:type="dxa"/>
              <w:bottom w:w="0" w:type="dxa"/>
              <w:right w:w="108" w:type="dxa"/>
            </w:tcMar>
          </w:tcPr>
          <w:p>
            <w:pPr>
              <w:snapToGrid w:val="0"/>
              <w:rPr>
                <w:rFonts w:ascii="宋体" w:hAnsi="宋体"/>
                <w:sz w:val="24"/>
              </w:rPr>
            </w:pPr>
          </w:p>
        </w:tc>
        <w:tc>
          <w:tcPr>
            <w:tcW w:w="2693" w:type="dxa"/>
            <w:tcMar>
              <w:top w:w="57" w:type="dxa"/>
              <w:left w:w="108" w:type="dxa"/>
              <w:bottom w:w="0" w:type="dxa"/>
              <w:right w:w="108" w:type="dxa"/>
            </w:tcMar>
          </w:tcPr>
          <w:p>
            <w:pPr>
              <w:snapToGrid w:val="0"/>
              <w:rPr>
                <w:rFonts w:ascii="宋体" w:hAnsi="宋体"/>
                <w:szCs w:val="21"/>
              </w:rPr>
            </w:pPr>
          </w:p>
        </w:tc>
        <w:tc>
          <w:tcPr>
            <w:tcW w:w="1119"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Pr>
          <w:p>
            <w:pPr>
              <w:rPr>
                <w:rFonts w:ascii="宋体" w:hAnsi="宋体"/>
                <w:sz w:val="24"/>
              </w:rPr>
            </w:pPr>
          </w:p>
        </w:tc>
        <w:tc>
          <w:tcPr>
            <w:tcW w:w="1925" w:type="dxa"/>
          </w:tcPr>
          <w:p>
            <w:pPr>
              <w:snapToGrid w:val="0"/>
              <w:rPr>
                <w:rFonts w:ascii="宋体" w:hAnsi="宋体"/>
                <w:sz w:val="24"/>
              </w:rPr>
            </w:pPr>
          </w:p>
        </w:tc>
        <w:tc>
          <w:tcPr>
            <w:tcW w:w="2693" w:type="dxa"/>
          </w:tcPr>
          <w:p>
            <w:pPr>
              <w:snapToGrid w:val="0"/>
              <w:rPr>
                <w:rFonts w:ascii="宋体" w:hAnsi="宋体"/>
                <w:szCs w:val="21"/>
              </w:rPr>
            </w:pPr>
          </w:p>
        </w:tc>
        <w:tc>
          <w:tcPr>
            <w:tcW w:w="1119" w:type="dxa"/>
          </w:tcPr>
          <w:p>
            <w:pPr>
              <w:rPr>
                <w:rFonts w:ascii="宋体" w:hAnsi="宋体"/>
                <w:sz w:val="24"/>
              </w:rPr>
            </w:pPr>
          </w:p>
        </w:tc>
        <w:tc>
          <w:tcPr>
            <w:tcW w:w="263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Pr>
          <w:p>
            <w:pPr>
              <w:rPr>
                <w:rFonts w:ascii="宋体" w:hAnsi="宋体"/>
                <w:sz w:val="24"/>
              </w:rPr>
            </w:pPr>
          </w:p>
        </w:tc>
        <w:tc>
          <w:tcPr>
            <w:tcW w:w="1925" w:type="dxa"/>
          </w:tcPr>
          <w:p>
            <w:pPr>
              <w:snapToGrid w:val="0"/>
              <w:rPr>
                <w:rFonts w:ascii="宋体" w:hAnsi="宋体"/>
                <w:sz w:val="24"/>
              </w:rPr>
            </w:pPr>
          </w:p>
        </w:tc>
        <w:tc>
          <w:tcPr>
            <w:tcW w:w="2693" w:type="dxa"/>
          </w:tcPr>
          <w:p>
            <w:pPr>
              <w:snapToGrid w:val="0"/>
              <w:rPr>
                <w:rFonts w:ascii="宋体" w:hAnsi="宋体"/>
                <w:szCs w:val="21"/>
              </w:rPr>
            </w:pPr>
          </w:p>
        </w:tc>
        <w:tc>
          <w:tcPr>
            <w:tcW w:w="1119" w:type="dxa"/>
          </w:tcPr>
          <w:p>
            <w:pPr>
              <w:rPr>
                <w:rFonts w:ascii="宋体" w:hAnsi="宋体"/>
                <w:sz w:val="24"/>
              </w:rPr>
            </w:pPr>
          </w:p>
        </w:tc>
        <w:tc>
          <w:tcPr>
            <w:tcW w:w="2633" w:type="dxa"/>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b/>
          <w:sz w:val="28"/>
        </w:rPr>
      </w:pPr>
      <w:r>
        <w:rPr>
          <w:rFonts w:hint="eastAsia" w:ascii="宋体" w:hAnsi="宋体"/>
          <w:sz w:val="24"/>
        </w:rPr>
        <w:t>日        期：</w:t>
      </w:r>
    </w:p>
    <w:p>
      <w:pPr>
        <w:tabs>
          <w:tab w:val="left" w:pos="2460"/>
        </w:tabs>
        <w:spacing w:line="360" w:lineRule="auto"/>
        <w:ind w:firstLine="435"/>
        <w:rPr>
          <w:rFonts w:ascii="宋体" w:hAnsi="宋体"/>
          <w:b/>
          <w:sz w:val="28"/>
        </w:rPr>
      </w:pPr>
    </w:p>
    <w:p>
      <w:pPr>
        <w:pStyle w:val="9"/>
        <w:ind w:firstLine="0"/>
        <w:rPr>
          <w:rFonts w:ascii="宋体" w:hAnsi="宋体"/>
          <w:sz w:val="24"/>
          <w:u w:val="single"/>
        </w:rPr>
      </w:pPr>
      <w:r>
        <w:rPr>
          <w:rFonts w:ascii="宋体" w:hAnsi="宋体"/>
          <w:b/>
          <w:sz w:val="28"/>
        </w:rPr>
        <w:br w:type="page"/>
      </w:r>
    </w:p>
    <w:p>
      <w:pPr>
        <w:pStyle w:val="9"/>
        <w:ind w:firstLine="0"/>
        <w:rPr>
          <w:rFonts w:ascii="宋体" w:hAnsi="宋体"/>
          <w:sz w:val="24"/>
          <w:u w:val="single"/>
        </w:rPr>
      </w:pPr>
    </w:p>
    <w:p>
      <w:pPr>
        <w:pStyle w:val="9"/>
        <w:ind w:firstLine="0"/>
        <w:rPr>
          <w:rFonts w:ascii="宋体" w:hAnsi="宋体"/>
          <w:sz w:val="24"/>
          <w:u w:val="single"/>
        </w:rPr>
      </w:pPr>
    </w:p>
    <w:p>
      <w:pPr>
        <w:spacing w:line="360" w:lineRule="auto"/>
        <w:ind w:right="-110"/>
        <w:jc w:val="left"/>
        <w:rPr>
          <w:rFonts w:ascii="宋体" w:hAnsi="宋体"/>
          <w:b/>
          <w:sz w:val="28"/>
        </w:rPr>
      </w:pPr>
    </w:p>
    <w:p>
      <w:bookmarkStart w:id="71" w:name="_Toc21322_WPSOffice_Level1"/>
      <w:bookmarkStart w:id="72" w:name="_Toc30468_WPSOffice_Level1"/>
      <w:bookmarkStart w:id="73" w:name="_Toc4615_WPSOffice_Level1"/>
    </w:p>
    <w:p>
      <w:pPr>
        <w:jc w:val="center"/>
        <w:rPr>
          <w:sz w:val="52"/>
          <w:szCs w:val="52"/>
        </w:rPr>
      </w:pPr>
    </w:p>
    <w:p>
      <w:pPr>
        <w:jc w:val="center"/>
        <w:rPr>
          <w:sz w:val="52"/>
          <w:szCs w:val="52"/>
        </w:rPr>
      </w:pPr>
      <w:r>
        <w:rPr>
          <w:rFonts w:hint="eastAsia"/>
          <w:sz w:val="52"/>
          <w:szCs w:val="52"/>
        </w:rPr>
        <w:t>项目名称</w:t>
      </w:r>
      <w:bookmarkEnd w:id="71"/>
      <w:bookmarkEnd w:id="72"/>
      <w:bookmarkEnd w:id="73"/>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74" w:name="_Toc9453_WPSOffice_Level1"/>
      <w:bookmarkStart w:id="75" w:name="_Toc8885_WPSOffice_Level1"/>
      <w:r>
        <w:rPr>
          <w:rFonts w:hint="eastAsia"/>
          <w:sz w:val="84"/>
          <w:szCs w:val="84"/>
        </w:rPr>
        <w:t>报</w:t>
      </w:r>
      <w:bookmarkEnd w:id="74"/>
      <w:bookmarkEnd w:id="75"/>
    </w:p>
    <w:p>
      <w:pPr>
        <w:jc w:val="center"/>
        <w:rPr>
          <w:sz w:val="84"/>
          <w:szCs w:val="84"/>
        </w:rPr>
      </w:pPr>
      <w:bookmarkStart w:id="76" w:name="_Toc10910_WPSOffice_Level1"/>
      <w:bookmarkStart w:id="77" w:name="_Toc7485_WPSOffice_Level1"/>
      <w:r>
        <w:rPr>
          <w:rFonts w:hint="eastAsia"/>
          <w:sz w:val="84"/>
          <w:szCs w:val="84"/>
        </w:rPr>
        <w:t>价</w:t>
      </w:r>
      <w:bookmarkEnd w:id="76"/>
      <w:bookmarkEnd w:id="77"/>
    </w:p>
    <w:p>
      <w:pPr>
        <w:jc w:val="center"/>
        <w:rPr>
          <w:sz w:val="84"/>
          <w:szCs w:val="84"/>
        </w:rPr>
      </w:pPr>
      <w:bookmarkStart w:id="78" w:name="_Toc3932_WPSOffice_Level1"/>
      <w:bookmarkStart w:id="79" w:name="_Toc14572_WPSOffice_Level1"/>
      <w:r>
        <w:rPr>
          <w:rFonts w:hint="eastAsia"/>
          <w:sz w:val="84"/>
          <w:szCs w:val="84"/>
        </w:rPr>
        <w:t>文</w:t>
      </w:r>
      <w:bookmarkEnd w:id="78"/>
      <w:bookmarkEnd w:id="79"/>
    </w:p>
    <w:p>
      <w:pPr>
        <w:jc w:val="center"/>
        <w:rPr>
          <w:sz w:val="84"/>
          <w:szCs w:val="84"/>
        </w:rPr>
      </w:pPr>
      <w:bookmarkStart w:id="80" w:name="_Toc16973_WPSOffice_Level1"/>
      <w:bookmarkStart w:id="81" w:name="_Toc7562_WPSOffice_Level1"/>
      <w:r>
        <w:rPr>
          <w:rFonts w:hint="eastAsia"/>
          <w:sz w:val="84"/>
          <w:szCs w:val="84"/>
        </w:rPr>
        <w:t>件</w:t>
      </w:r>
      <w:bookmarkEnd w:id="80"/>
      <w:bookmarkEnd w:id="81"/>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2" w:name="_Toc26700_WPSOffice_Level1"/>
      <w:bookmarkStart w:id="83" w:name="_Toc4603_WPSOffice_Level1"/>
      <w:r>
        <w:rPr>
          <w:rFonts w:hint="eastAsia" w:ascii="宋体" w:hAnsi="宋体"/>
          <w:sz w:val="36"/>
          <w:szCs w:val="36"/>
        </w:rPr>
        <w:t>投标人全称（公章）：</w:t>
      </w:r>
      <w:bookmarkEnd w:id="82"/>
      <w:bookmarkEnd w:id="83"/>
    </w:p>
    <w:p>
      <w:pPr>
        <w:spacing w:line="360" w:lineRule="auto"/>
        <w:ind w:right="-108" w:firstLine="720" w:firstLineChars="200"/>
        <w:rPr>
          <w:rFonts w:ascii="宋体" w:hAnsi="宋体"/>
          <w:sz w:val="36"/>
          <w:szCs w:val="36"/>
        </w:rPr>
      </w:pPr>
      <w:bookmarkStart w:id="84" w:name="_Toc32593_WPSOffice_Level1"/>
      <w:bookmarkStart w:id="85" w:name="_Toc1391_WPSOffice_Level1"/>
      <w:r>
        <w:rPr>
          <w:rFonts w:hint="eastAsia" w:ascii="宋体" w:hAnsi="宋体"/>
          <w:sz w:val="36"/>
          <w:szCs w:val="36"/>
        </w:rPr>
        <w:t>地    址：</w:t>
      </w:r>
      <w:bookmarkEnd w:id="84"/>
      <w:bookmarkEnd w:id="85"/>
    </w:p>
    <w:p>
      <w:pPr>
        <w:spacing w:line="360" w:lineRule="auto"/>
        <w:ind w:right="-108" w:firstLine="720" w:firstLineChars="200"/>
        <w:rPr>
          <w:rFonts w:ascii="宋体" w:hAnsi="宋体"/>
          <w:sz w:val="36"/>
          <w:szCs w:val="36"/>
        </w:rPr>
      </w:pPr>
      <w:bookmarkStart w:id="86" w:name="_Toc20938_WPSOffice_Level1"/>
      <w:bookmarkStart w:id="87" w:name="_Toc3791_WPSOffice_Level1"/>
      <w:r>
        <w:rPr>
          <w:rFonts w:hint="eastAsia" w:ascii="宋体" w:hAnsi="宋体"/>
          <w:sz w:val="36"/>
          <w:szCs w:val="36"/>
        </w:rPr>
        <w:t>时    间：</w:t>
      </w:r>
      <w:bookmarkEnd w:id="86"/>
      <w:bookmarkEnd w:id="87"/>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9"/>
        <w:ind w:firstLine="0"/>
        <w:rPr>
          <w:rFonts w:ascii="仿宋_GB2312" w:hAnsi="宋体" w:eastAsia="仿宋_GB2312"/>
          <w:b/>
          <w:sz w:val="36"/>
          <w:szCs w:val="36"/>
        </w:rPr>
      </w:pPr>
    </w:p>
    <w:p>
      <w:pPr>
        <w:pStyle w:val="9"/>
        <w:ind w:firstLine="0"/>
        <w:rPr>
          <w:rFonts w:ascii="仿宋_GB2312" w:hAnsi="宋体" w:eastAsia="仿宋_GB2312"/>
          <w:b/>
          <w:sz w:val="36"/>
          <w:szCs w:val="36"/>
        </w:rPr>
      </w:pPr>
    </w:p>
    <w:p>
      <w:pPr>
        <w:spacing w:line="480" w:lineRule="auto"/>
        <w:jc w:val="center"/>
        <w:rPr>
          <w:rFonts w:ascii="宋体" w:hAnsi="宋体"/>
          <w:bCs/>
          <w:sz w:val="36"/>
          <w:szCs w:val="36"/>
        </w:rPr>
      </w:pPr>
      <w:bookmarkStart w:id="88" w:name="_Toc29537_WPSOffice_Level1"/>
      <w:bookmarkStart w:id="89" w:name="_Toc19972_WPSOffice_Level1"/>
      <w:r>
        <w:rPr>
          <w:rFonts w:hint="eastAsia" w:ascii="宋体" w:hAnsi="宋体"/>
          <w:b/>
          <w:bCs/>
          <w:sz w:val="36"/>
          <w:szCs w:val="36"/>
        </w:rPr>
        <w:t>报价文件目录</w:t>
      </w:r>
      <w:bookmarkEnd w:id="88"/>
      <w:bookmarkEnd w:id="89"/>
    </w:p>
    <w:tbl>
      <w:tblPr>
        <w:tblStyle w:val="21"/>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72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hint="eastAsia" w:ascii="宋体" w:hAnsi="宋体" w:cs="宋体"/>
                <w:sz w:val="24"/>
              </w:rPr>
              <w:t>序号</w:t>
            </w:r>
          </w:p>
        </w:tc>
        <w:tc>
          <w:tcPr>
            <w:tcW w:w="3724" w:type="dxa"/>
            <w:vAlign w:val="center"/>
          </w:tcPr>
          <w:p>
            <w:pPr>
              <w:widowControl/>
              <w:snapToGrid w:val="0"/>
              <w:spacing w:line="340" w:lineRule="exact"/>
              <w:jc w:val="center"/>
              <w:rPr>
                <w:rFonts w:ascii="宋体" w:cs="宋体"/>
                <w:sz w:val="24"/>
              </w:rPr>
            </w:pPr>
            <w:r>
              <w:rPr>
                <w:rFonts w:hint="eastAsia" w:ascii="宋体" w:hAnsi="宋体" w:cs="宋体"/>
                <w:sz w:val="24"/>
              </w:rPr>
              <w:t>内容</w:t>
            </w:r>
          </w:p>
        </w:tc>
        <w:tc>
          <w:tcPr>
            <w:tcW w:w="4728" w:type="dxa"/>
            <w:vAlign w:val="center"/>
          </w:tcPr>
          <w:p>
            <w:pPr>
              <w:widowControl/>
              <w:snapToGrid w:val="0"/>
              <w:spacing w:line="340" w:lineRule="exact"/>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4" w:type="dxa"/>
            <w:vAlign w:val="center"/>
          </w:tcPr>
          <w:p>
            <w:pPr>
              <w:widowControl/>
              <w:snapToGrid w:val="0"/>
              <w:spacing w:line="340" w:lineRule="exact"/>
              <w:jc w:val="center"/>
              <w:rPr>
                <w:rFonts w:ascii="宋体" w:cs="宋体"/>
                <w:sz w:val="24"/>
              </w:rPr>
            </w:pPr>
            <w:r>
              <w:rPr>
                <w:rFonts w:ascii="宋体" w:hAnsi="宋体" w:cs="宋体"/>
                <w:sz w:val="24"/>
              </w:rPr>
              <w:t>1</w:t>
            </w:r>
          </w:p>
        </w:tc>
        <w:tc>
          <w:tcPr>
            <w:tcW w:w="3724" w:type="dxa"/>
            <w:vAlign w:val="center"/>
          </w:tcPr>
          <w:p>
            <w:pPr>
              <w:widowControl/>
              <w:snapToGrid w:val="0"/>
              <w:spacing w:line="340" w:lineRule="exact"/>
              <w:rPr>
                <w:rFonts w:ascii="宋体" w:cs="宋体"/>
                <w:kern w:val="0"/>
                <w:sz w:val="24"/>
              </w:rPr>
            </w:pPr>
            <w:r>
              <w:rPr>
                <w:rFonts w:hint="eastAsia" w:ascii="宋体" w:hAnsi="宋体" w:cs="宋体"/>
                <w:kern w:val="0"/>
                <w:sz w:val="24"/>
              </w:rPr>
              <w:t>开标一览表</w:t>
            </w:r>
          </w:p>
        </w:tc>
        <w:tc>
          <w:tcPr>
            <w:tcW w:w="4728" w:type="dxa"/>
            <w:vAlign w:val="center"/>
          </w:tcPr>
          <w:p>
            <w:pPr>
              <w:widowControl/>
              <w:snapToGrid w:val="0"/>
              <w:spacing w:line="340" w:lineRule="exact"/>
              <w:rPr>
                <w:rFonts w:ascii="宋体" w:cs="宋体"/>
                <w:kern w:val="0"/>
                <w:sz w:val="24"/>
              </w:rPr>
            </w:pPr>
            <w:r>
              <w:rPr>
                <w:rFonts w:hint="eastAsia" w:ascii="宋体" w:hAnsi="宋体" w:cs="宋体"/>
                <w:kern w:val="0"/>
                <w:sz w:val="24"/>
              </w:rPr>
              <w:t>附件16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2</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报价明细表</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附件17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4" w:type="dxa"/>
            <w:vAlign w:val="center"/>
          </w:tcPr>
          <w:p>
            <w:pPr>
              <w:widowControl/>
              <w:snapToGrid w:val="0"/>
              <w:spacing w:line="340" w:lineRule="exact"/>
              <w:jc w:val="center"/>
              <w:rPr>
                <w:rFonts w:ascii="宋体" w:hAnsi="宋体" w:cs="宋体"/>
                <w:sz w:val="24"/>
              </w:rPr>
            </w:pPr>
            <w:r>
              <w:rPr>
                <w:rFonts w:hint="eastAsia" w:ascii="宋体" w:hAnsi="宋体" w:cs="宋体"/>
                <w:sz w:val="24"/>
              </w:rPr>
              <w:t>3</w:t>
            </w:r>
          </w:p>
        </w:tc>
        <w:tc>
          <w:tcPr>
            <w:tcW w:w="3724" w:type="dxa"/>
            <w:vAlign w:val="center"/>
          </w:tcPr>
          <w:p>
            <w:pPr>
              <w:widowControl/>
              <w:snapToGrid w:val="0"/>
              <w:spacing w:line="340" w:lineRule="exact"/>
              <w:rPr>
                <w:rFonts w:ascii="宋体" w:hAnsi="宋体" w:cs="宋体"/>
                <w:kern w:val="0"/>
                <w:sz w:val="24"/>
              </w:rPr>
            </w:pPr>
            <w:r>
              <w:rPr>
                <w:rFonts w:hint="eastAsia" w:ascii="宋体" w:hAnsi="宋体" w:cs="宋体"/>
                <w:kern w:val="0"/>
                <w:sz w:val="24"/>
              </w:rPr>
              <w:t>投标人认为需要提供的其它文件和资料</w:t>
            </w:r>
          </w:p>
        </w:tc>
        <w:tc>
          <w:tcPr>
            <w:tcW w:w="4728" w:type="dxa"/>
            <w:vAlign w:val="center"/>
          </w:tcPr>
          <w:p>
            <w:pPr>
              <w:widowControl/>
              <w:snapToGrid w:val="0"/>
              <w:spacing w:line="340" w:lineRule="exact"/>
              <w:rPr>
                <w:rFonts w:ascii="宋体" w:hAnsi="宋体" w:cs="宋体"/>
                <w:kern w:val="0"/>
                <w:sz w:val="24"/>
              </w:rPr>
            </w:pPr>
            <w:r>
              <w:rPr>
                <w:rFonts w:hint="eastAsia" w:ascii="宋体" w:hAnsi="宋体" w:cs="宋体"/>
                <w:sz w:val="24"/>
              </w:rPr>
              <w:t>自行提供</w:t>
            </w:r>
          </w:p>
        </w:tc>
      </w:tr>
    </w:tbl>
    <w:p>
      <w:pPr>
        <w:pStyle w:val="4"/>
        <w:numPr>
          <w:ilvl w:val="0"/>
          <w:numId w:val="0"/>
        </w:numPr>
        <w:ind w:left="425"/>
        <w:jc w:val="both"/>
        <w:rPr>
          <w:b w:val="0"/>
        </w:rPr>
      </w:pPr>
    </w:p>
    <w:p>
      <w:pPr>
        <w:pStyle w:val="2"/>
      </w:pPr>
    </w:p>
    <w:p>
      <w:pPr>
        <w:spacing w:line="360" w:lineRule="auto"/>
        <w:ind w:firstLine="480" w:firstLineChars="200"/>
        <w:rPr>
          <w:sz w:val="24"/>
        </w:rPr>
      </w:pP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rPr>
          <w:rFonts w:ascii="宋体" w:hAnsi="宋体"/>
          <w:b/>
          <w:sz w:val="28"/>
        </w:rPr>
      </w:pPr>
      <w:r>
        <w:rPr>
          <w:rFonts w:hint="eastAsia" w:ascii="宋体" w:hAnsi="宋体"/>
          <w:b/>
          <w:sz w:val="28"/>
        </w:rPr>
        <w:t>附件16</w:t>
      </w:r>
    </w:p>
    <w:p>
      <w:pPr>
        <w:spacing w:line="360" w:lineRule="auto"/>
        <w:ind w:left="-2" w:hanging="2"/>
        <w:jc w:val="center"/>
        <w:rPr>
          <w:rFonts w:ascii="宋体" w:hAnsi="宋体"/>
          <w:b/>
          <w:sz w:val="32"/>
          <w:szCs w:val="32"/>
        </w:rPr>
      </w:pPr>
      <w:bookmarkStart w:id="90" w:name="_Toc16144_WPSOffice_Level1"/>
      <w:bookmarkStart w:id="91" w:name="_Toc30363_WPSOffice_Level1"/>
      <w:r>
        <w:rPr>
          <w:rFonts w:hint="eastAsia" w:ascii="宋体" w:hAnsi="宋体"/>
          <w:b/>
          <w:sz w:val="32"/>
          <w:szCs w:val="32"/>
        </w:rPr>
        <w:t>开标一览表</w:t>
      </w:r>
      <w:bookmarkEnd w:id="90"/>
      <w:bookmarkEnd w:id="91"/>
    </w:p>
    <w:p>
      <w:pPr>
        <w:pStyle w:val="2"/>
      </w:pPr>
    </w:p>
    <w:p>
      <w:pPr>
        <w:pStyle w:val="13"/>
        <w:spacing w:line="360" w:lineRule="auto"/>
        <w:ind w:firstLine="482" w:firstLineChars="200"/>
        <w:rPr>
          <w:rFonts w:hAnsi="宋体"/>
          <w:b/>
          <w:sz w:val="24"/>
        </w:rPr>
      </w:pPr>
      <w:r>
        <w:rPr>
          <w:rFonts w:hAnsi="宋体"/>
          <w:b/>
          <w:sz w:val="24"/>
        </w:rPr>
        <w:t>项目编号：</w:t>
      </w:r>
    </w:p>
    <w:p>
      <w:pPr>
        <w:pStyle w:val="4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pStyle w:val="9"/>
        <w:spacing w:line="360" w:lineRule="exact"/>
        <w:ind w:firstLine="422" w:firstLineChars="200"/>
        <w:rPr>
          <w:rFonts w:ascii="宋体" w:hAnsi="宋体"/>
          <w:b/>
          <w:szCs w:val="21"/>
        </w:rPr>
      </w:pPr>
      <w:r>
        <w:rPr>
          <w:rFonts w:hint="eastAsia" w:ascii="宋体" w:hAnsi="宋体"/>
          <w:b/>
          <w:szCs w:val="21"/>
        </w:rPr>
        <w:t>填报要求：</w:t>
      </w:r>
    </w:p>
    <w:p>
      <w:pPr>
        <w:spacing w:line="360" w:lineRule="auto"/>
        <w:ind w:firstLine="420" w:firstLineChars="200"/>
        <w:rPr>
          <w:rFonts w:ascii="宋体" w:hAnsi="宋体"/>
          <w:sz w:val="24"/>
        </w:rPr>
      </w:pPr>
      <w:r>
        <w:rPr>
          <w:rFonts w:ascii="宋体" w:hAnsi="宋体" w:cs="宋体"/>
          <w:kern w:val="0"/>
        </w:rPr>
        <w:t>1.</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ind w:firstLine="420" w:firstLineChars="200"/>
        <w:rPr>
          <w:rFonts w:ascii="黑体" w:hAnsi="黑体" w:eastAsia="黑体" w:cs="黑体"/>
          <w:color w:val="111F2C"/>
          <w:szCs w:val="21"/>
          <w:shd w:val="clear" w:color="auto" w:fill="FFFFFF"/>
        </w:rPr>
      </w:pPr>
      <w:r>
        <w:rPr>
          <w:rFonts w:hint="eastAsia" w:ascii="黑体" w:hAnsi="黑体" w:eastAsia="黑体" w:cs="黑体"/>
          <w:color w:val="111F2C"/>
          <w:szCs w:val="21"/>
          <w:shd w:val="clear" w:color="auto" w:fill="FFFFFF"/>
        </w:rPr>
        <w:t>2.报价一经涂改，应在涂改处加盖单位公章，或者由法定代表人或授权代理人签字或盖章，否则其投标作无效标处理。</w:t>
      </w:r>
    </w:p>
    <w:p>
      <w:pPr>
        <w:spacing w:line="360" w:lineRule="auto"/>
        <w:ind w:firstLine="480" w:firstLineChars="200"/>
        <w:rPr>
          <w:rFonts w:ascii="宋体" w:hAnsi="宋体"/>
          <w:sz w:val="24"/>
        </w:rPr>
      </w:pP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附件17</w:t>
      </w:r>
    </w:p>
    <w:p>
      <w:pPr>
        <w:spacing w:line="360" w:lineRule="auto"/>
        <w:jc w:val="center"/>
        <w:rPr>
          <w:rFonts w:ascii="宋体" w:hAnsi="宋体"/>
          <w:sz w:val="24"/>
        </w:rPr>
      </w:pPr>
      <w:bookmarkStart w:id="92" w:name="_Toc8975_WPSOffice_Level1"/>
      <w:bookmarkStart w:id="93" w:name="_Toc22412_WPSOffice_Level1"/>
      <w:r>
        <w:rPr>
          <w:rFonts w:hint="eastAsia" w:ascii="宋体" w:hAnsi="宋体"/>
          <w:b/>
          <w:sz w:val="32"/>
          <w:szCs w:val="32"/>
        </w:rPr>
        <w:t>报价明细表</w:t>
      </w:r>
      <w:bookmarkEnd w:id="92"/>
      <w:bookmarkEnd w:id="93"/>
    </w:p>
    <w:p>
      <w:pPr>
        <w:spacing w:line="360" w:lineRule="auto"/>
        <w:rPr>
          <w:rFonts w:hAnsi="宋体"/>
          <w:b/>
          <w:sz w:val="24"/>
        </w:rPr>
      </w:pPr>
      <w:r>
        <w:rPr>
          <w:rFonts w:hAnsi="宋体"/>
          <w:b/>
          <w:sz w:val="24"/>
        </w:rPr>
        <w:t>项目编号：</w:t>
      </w:r>
    </w:p>
    <w:p>
      <w:pPr>
        <w:spacing w:line="360" w:lineRule="auto"/>
        <w:jc w:val="left"/>
        <w:rPr>
          <w:rFonts w:ascii="宋体" w:hAnsi="宋体"/>
          <w:b/>
          <w:szCs w:val="21"/>
        </w:rPr>
      </w:pPr>
      <w:r>
        <w:rPr>
          <w:rFonts w:hAnsi="宋体"/>
          <w:b/>
          <w:sz w:val="24"/>
        </w:rPr>
        <w:t>项目名称：</w:t>
      </w:r>
      <w:r>
        <w:rPr>
          <w:rFonts w:hint="eastAsia" w:ascii="宋体" w:hAnsi="宋体"/>
          <w:sz w:val="24"/>
        </w:rPr>
        <w:t>[货币单位：人民币元]</w:t>
      </w:r>
    </w:p>
    <w:tbl>
      <w:tblPr>
        <w:tblStyle w:val="21"/>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1921"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Cs w:val="21"/>
              </w:rPr>
            </w:pPr>
            <w:r>
              <w:rPr>
                <w:rFonts w:hint="eastAsia" w:ascii="宋体" w:hAnsi="宋体"/>
                <w:b/>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66"/>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66"/>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注：</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firstLine="420" w:firstLineChars="200"/>
      </w:pPr>
      <w:r>
        <w:rPr>
          <w:rFonts w:hint="eastAsia" w:ascii="宋体" w:hAnsi="宋体" w:cs="宋体"/>
          <w:color w:val="000000" w:themeColor="text1"/>
          <w:kern w:val="0"/>
          <w:szCs w:val="21"/>
        </w:rPr>
        <w:t>▲3、不提供《报价明细表》将视为没有实质性响应招标文件，其投标文件将作为无效标处理。</w:t>
      </w:r>
    </w:p>
    <w:p>
      <w:pPr>
        <w:spacing w:line="480" w:lineRule="auto"/>
        <w:ind w:left="420"/>
        <w:rPr>
          <w:rFonts w:ascii="宋体" w:hAnsi="宋体"/>
          <w:sz w:val="24"/>
          <w:u w:val="single"/>
        </w:rPr>
      </w:pPr>
      <w:r>
        <w:rPr>
          <w:rFonts w:hint="eastAsia" w:ascii="宋体" w:hAnsi="宋体"/>
          <w:sz w:val="24"/>
        </w:rPr>
        <w:t>投标人名称（公章）：</w:t>
      </w:r>
    </w:p>
    <w:p>
      <w:pPr>
        <w:spacing w:line="480" w:lineRule="auto"/>
        <w:ind w:firstLine="480" w:firstLineChars="200"/>
        <w:rPr>
          <w:rFonts w:ascii="宋体" w:hAnsi="宋体"/>
          <w:sz w:val="24"/>
        </w:rPr>
      </w:pPr>
      <w:r>
        <w:rPr>
          <w:rFonts w:hint="eastAsia" w:ascii="宋体" w:hAnsi="宋体"/>
          <w:sz w:val="24"/>
        </w:rPr>
        <w:t>投标人代表签字：</w:t>
      </w:r>
    </w:p>
    <w:p>
      <w:pPr>
        <w:spacing w:line="480" w:lineRule="auto"/>
        <w:ind w:firstLine="480" w:firstLineChars="200"/>
        <w:rPr>
          <w:rFonts w:ascii="宋体" w:hAnsi="宋体"/>
          <w:sz w:val="24"/>
        </w:rPr>
      </w:pPr>
      <w:r>
        <w:rPr>
          <w:rFonts w:hint="eastAsia" w:ascii="宋体" w:hAnsi="宋体"/>
          <w:sz w:val="24"/>
        </w:rPr>
        <w:t>日        期：</w:t>
      </w:r>
    </w:p>
    <w:p>
      <w:pPr>
        <w:pStyle w:val="29"/>
      </w:pPr>
    </w:p>
    <w:p>
      <w:pPr>
        <w:rPr>
          <w:rFonts w:ascii="宋体" w:hAnsi="宋体"/>
          <w:b/>
          <w:sz w:val="28"/>
        </w:rPr>
      </w:pPr>
      <w:r>
        <w:rPr>
          <w:rFonts w:hint="eastAsia" w:ascii="宋体" w:hAnsi="宋体"/>
          <w:b/>
          <w:sz w:val="28"/>
        </w:rPr>
        <w:br w:type="page"/>
      </w:r>
    </w:p>
    <w:p>
      <w:pPr>
        <w:snapToGrid w:val="0"/>
        <w:spacing w:beforeLines="50" w:after="50" w:line="360" w:lineRule="auto"/>
        <w:rPr>
          <w:rFonts w:ascii="宋体" w:hAnsi="宋体"/>
          <w:b/>
          <w:sz w:val="28"/>
        </w:rPr>
      </w:pPr>
      <w:r>
        <w:rPr>
          <w:rFonts w:hint="eastAsia" w:ascii="宋体" w:hAnsi="宋体"/>
          <w:b/>
          <w:sz w:val="28"/>
        </w:rPr>
        <w:t>附件18</w:t>
      </w:r>
    </w:p>
    <w:p>
      <w:pPr>
        <w:pStyle w:val="48"/>
        <w:widowControl w:val="0"/>
        <w:snapToGrid w:val="0"/>
        <w:spacing w:line="500" w:lineRule="exact"/>
        <w:ind w:firstLine="2520" w:firstLineChars="700"/>
        <w:jc w:val="both"/>
        <w:rPr>
          <w:rFonts w:hint="default"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6"/>
          <w:szCs w:val="36"/>
        </w:rPr>
        <w:t>政府采购活动现场确认声明书</w:t>
      </w:r>
    </w:p>
    <w:p>
      <w:pPr>
        <w:pStyle w:val="48"/>
        <w:widowControl w:val="0"/>
        <w:snapToGrid w:val="0"/>
        <w:spacing w:line="400" w:lineRule="exact"/>
        <w:jc w:val="both"/>
        <w:rPr>
          <w:rFonts w:hint="default" w:hAnsi="宋体" w:cs="宋体"/>
          <w:b/>
          <w:color w:val="000000" w:themeColor="text1"/>
          <w:sz w:val="24"/>
          <w:szCs w:val="24"/>
        </w:rPr>
      </w:pPr>
      <w:r>
        <w:rPr>
          <w:rFonts w:hAnsi="宋体" w:cs="宋体"/>
          <w:color w:val="000000" w:themeColor="text1"/>
          <w:kern w:val="0"/>
          <w:sz w:val="24"/>
          <w:szCs w:val="24"/>
          <w:u w:val="single"/>
        </w:rPr>
        <w:t xml:space="preserve">温岭市政府采购中心 </w:t>
      </w:r>
      <w:r>
        <w:rPr>
          <w:rFonts w:hAnsi="宋体" w:cs="宋体"/>
          <w:color w:val="000000" w:themeColor="text1"/>
          <w:kern w:val="0"/>
          <w:sz w:val="24"/>
          <w:szCs w:val="24"/>
        </w:rPr>
        <w:t>（采购组织机构名称）：</w:t>
      </w:r>
    </w:p>
    <w:p>
      <w:pPr>
        <w:pStyle w:val="48"/>
        <w:widowControl w:val="0"/>
        <w:snapToGrid w:val="0"/>
        <w:spacing w:line="480" w:lineRule="exact"/>
        <w:ind w:firstLine="504" w:firstLineChars="200"/>
        <w:jc w:val="both"/>
        <w:rPr>
          <w:rFonts w:hint="default" w:hAnsi="宋体" w:cs="宋体"/>
          <w:color w:val="000000" w:themeColor="text1"/>
          <w:spacing w:val="6"/>
          <w:sz w:val="24"/>
          <w:szCs w:val="24"/>
        </w:rPr>
      </w:pPr>
      <w:r>
        <w:rPr>
          <w:rFonts w:hAnsi="宋体" w:cs="宋体"/>
          <w:color w:val="000000" w:themeColor="text1"/>
          <w:spacing w:val="6"/>
          <w:sz w:val="24"/>
          <w:szCs w:val="24"/>
        </w:rPr>
        <w:t>本人经由</w:t>
      </w:r>
      <w:r>
        <w:rPr>
          <w:rFonts w:hAnsi="宋体" w:cs="宋体"/>
          <w:color w:val="000000" w:themeColor="text1"/>
          <w:spacing w:val="6"/>
          <w:sz w:val="24"/>
          <w:szCs w:val="24"/>
          <w:u w:val="single"/>
        </w:rPr>
        <w:t xml:space="preserve">                           （单位）</w:t>
      </w:r>
      <w:r>
        <w:rPr>
          <w:rFonts w:hAnsi="宋体" w:cs="宋体"/>
          <w:color w:val="000000" w:themeColor="text1"/>
          <w:spacing w:val="6"/>
          <w:sz w:val="24"/>
          <w:szCs w:val="24"/>
        </w:rPr>
        <w:t>负责人</w:t>
      </w:r>
      <w:r>
        <w:rPr>
          <w:rFonts w:hAnsi="宋体" w:cs="宋体"/>
          <w:color w:val="000000" w:themeColor="text1"/>
          <w:spacing w:val="6"/>
          <w:sz w:val="24"/>
          <w:szCs w:val="24"/>
          <w:u w:val="single"/>
        </w:rPr>
        <w:t xml:space="preserve">            （姓名）</w:t>
      </w:r>
      <w:r>
        <w:rPr>
          <w:rFonts w:hAnsi="宋体" w:cs="宋体"/>
          <w:color w:val="000000" w:themeColor="text1"/>
          <w:spacing w:val="6"/>
          <w:sz w:val="24"/>
          <w:szCs w:val="24"/>
        </w:rPr>
        <w:t xml:space="preserve">合法授权参加项目（项目编号：）政府采购活动，经与本单位法人代表（负责人）联系确认，现就有关公平竞争事项郑重声明如下： </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一、本单位与采购人之间 □不存在利害关系 □存在下列利害关系：</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A.投资关系    B.行政隶属关系    C.业务指导关系</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kern w:val="0"/>
          <w:sz w:val="24"/>
          <w:szCs w:val="24"/>
        </w:rPr>
        <w:t xml:space="preserve">  D.其他可能</w:t>
      </w:r>
      <w:r>
        <w:rPr>
          <w:rFonts w:ascii="宋体" w:hAnsi="宋体" w:cs="宋体"/>
          <w:color w:val="000000" w:themeColor="text1"/>
          <w:sz w:val="24"/>
          <w:szCs w:val="24"/>
        </w:rPr>
        <w:t>影响采购公正的</w:t>
      </w:r>
      <w:r>
        <w:rPr>
          <w:rFonts w:ascii="宋体" w:hAnsi="宋体" w:cs="宋体"/>
          <w:color w:val="000000" w:themeColor="text1"/>
          <w:kern w:val="0"/>
          <w:sz w:val="24"/>
          <w:szCs w:val="24"/>
        </w:rPr>
        <w:t>利害关系</w:t>
      </w:r>
      <w:r>
        <w:rPr>
          <w:rFonts w:ascii="宋体" w:hAnsi="宋体" w:cs="宋体"/>
          <w:color w:val="000000" w:themeColor="text1"/>
          <w:kern w:val="0"/>
          <w:sz w:val="24"/>
          <w:szCs w:val="24"/>
          <w:u w:val="single"/>
        </w:rPr>
        <w:t xml:space="preserve">（如有，请如实说明）                         </w:t>
      </w:r>
      <w:r>
        <w:rPr>
          <w:rFonts w:ascii="宋体" w:hAnsi="宋体" w:cs="宋体"/>
          <w:color w:val="000000" w:themeColor="text1"/>
          <w:kern w:val="0"/>
          <w:sz w:val="24"/>
          <w:szCs w:val="24"/>
        </w:rPr>
        <w:t>。</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pacing w:val="6"/>
          <w:sz w:val="24"/>
          <w:szCs w:val="24"/>
        </w:rPr>
        <w:t>二、</w:t>
      </w:r>
      <w:r>
        <w:rPr>
          <w:rFonts w:ascii="宋体" w:hAnsi="宋体" w:cs="宋体"/>
          <w:color w:val="000000" w:themeColor="text1"/>
          <w:kern w:val="0"/>
          <w:sz w:val="24"/>
          <w:szCs w:val="24"/>
        </w:rPr>
        <w:t>现已清楚知道参加本项目采购活动的其他所有供应商名称，本单位 □与其他所有供应商之间均不存在利害关系 □与</w:t>
      </w:r>
      <w:r>
        <w:rPr>
          <w:rFonts w:ascii="宋体" w:hAnsi="宋体" w:cs="宋体"/>
          <w:color w:val="000000" w:themeColor="text1"/>
          <w:kern w:val="0"/>
          <w:sz w:val="24"/>
          <w:szCs w:val="24"/>
          <w:u w:val="single"/>
        </w:rPr>
        <w:t xml:space="preserve">           （供应商名称）</w:t>
      </w:r>
      <w:r>
        <w:rPr>
          <w:rFonts w:ascii="宋体" w:hAnsi="宋体" w:cs="宋体"/>
          <w:color w:val="000000" w:themeColor="text1"/>
          <w:kern w:val="0"/>
          <w:sz w:val="24"/>
          <w:szCs w:val="24"/>
        </w:rPr>
        <w:t>之间存在下列利害关系：</w:t>
      </w:r>
    </w:p>
    <w:p>
      <w:pPr>
        <w:pStyle w:val="48"/>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A.法定代表人或负责人或实际控制人是同一人</w:t>
      </w:r>
    </w:p>
    <w:p>
      <w:pPr>
        <w:pStyle w:val="48"/>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B.法定代表人或负责人或实际控制人是夫妻关系</w:t>
      </w:r>
    </w:p>
    <w:p>
      <w:pPr>
        <w:pStyle w:val="48"/>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C.法定代表人或负责人或实际控制人是直系血亲关系</w:t>
      </w:r>
    </w:p>
    <w:p>
      <w:pPr>
        <w:pStyle w:val="48"/>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kern w:val="0"/>
          <w:sz w:val="24"/>
          <w:szCs w:val="24"/>
        </w:rPr>
        <w:t xml:space="preserve">  D.法定代表人或负责人或实际控制人存在三代以内旁系血亲关系</w:t>
      </w:r>
    </w:p>
    <w:p>
      <w:pPr>
        <w:pStyle w:val="48"/>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E.法定代表人或负责人或实际控制人存在近姻亲关系</w:t>
      </w:r>
    </w:p>
    <w:p>
      <w:pPr>
        <w:pStyle w:val="48"/>
        <w:widowControl w:val="0"/>
        <w:snapToGrid w:val="0"/>
        <w:spacing w:line="480" w:lineRule="exact"/>
        <w:jc w:val="both"/>
        <w:rPr>
          <w:rFonts w:hint="default" w:hAnsi="宋体" w:cs="宋体"/>
          <w:color w:val="000000" w:themeColor="text1"/>
          <w:kern w:val="0"/>
          <w:sz w:val="24"/>
          <w:szCs w:val="24"/>
        </w:rPr>
      </w:pPr>
      <w:r>
        <w:rPr>
          <w:rFonts w:hAnsi="宋体" w:cs="宋体"/>
          <w:color w:val="000000" w:themeColor="text1"/>
          <w:kern w:val="0"/>
          <w:sz w:val="24"/>
          <w:szCs w:val="24"/>
        </w:rPr>
        <w:t xml:space="preserve">  F.法定代表人或负责人或实际控制人存在股份控制或实际控制关系</w:t>
      </w:r>
    </w:p>
    <w:p>
      <w:pPr>
        <w:pStyle w:val="48"/>
        <w:widowControl w:val="0"/>
        <w:snapToGrid w:val="0"/>
        <w:spacing w:line="480" w:lineRule="exact"/>
        <w:jc w:val="both"/>
        <w:outlineLvl w:val="0"/>
        <w:rPr>
          <w:rFonts w:hint="default" w:hAnsi="宋体" w:cs="宋体"/>
          <w:color w:val="000000" w:themeColor="text1"/>
          <w:kern w:val="0"/>
          <w:sz w:val="24"/>
          <w:szCs w:val="24"/>
        </w:rPr>
      </w:pPr>
      <w:bookmarkStart w:id="94" w:name="_Toc86150075"/>
      <w:bookmarkStart w:id="95" w:name="_Toc86150016"/>
      <w:r>
        <w:rPr>
          <w:rFonts w:hAnsi="宋体" w:cs="宋体"/>
          <w:color w:val="000000" w:themeColor="text1"/>
          <w:kern w:val="0"/>
          <w:sz w:val="24"/>
          <w:szCs w:val="24"/>
        </w:rPr>
        <w:t>G.存在共同直接或间接投资设立子公司、联营企业和合营企业情况</w:t>
      </w:r>
      <w:bookmarkEnd w:id="94"/>
      <w:bookmarkEnd w:id="95"/>
    </w:p>
    <w:p>
      <w:pPr>
        <w:pStyle w:val="48"/>
        <w:widowControl w:val="0"/>
        <w:snapToGrid w:val="0"/>
        <w:spacing w:line="480" w:lineRule="exact"/>
        <w:jc w:val="both"/>
        <w:rPr>
          <w:rFonts w:hint="default" w:hAnsi="宋体" w:cs="宋体"/>
          <w:color w:val="000000" w:themeColor="text1"/>
          <w:sz w:val="24"/>
          <w:szCs w:val="24"/>
        </w:rPr>
      </w:pPr>
      <w:r>
        <w:rPr>
          <w:rFonts w:hAnsi="宋体" w:cs="宋体"/>
          <w:color w:val="000000" w:themeColor="text1"/>
          <w:kern w:val="0"/>
          <w:sz w:val="24"/>
          <w:szCs w:val="24"/>
        </w:rPr>
        <w:t xml:space="preserve">  H.存在分级代理或代销关系、同一生产制造商关系、</w:t>
      </w:r>
      <w:r>
        <w:rPr>
          <w:rFonts w:hAnsi="宋体" w:cs="宋体"/>
          <w:color w:val="000000" w:themeColor="text1"/>
          <w:sz w:val="24"/>
          <w:szCs w:val="24"/>
        </w:rPr>
        <w:t>管理关系、重要业务（占主营业务收入50%以上）或重要财务往来关系（如融资）等其他实质性控制关系</w:t>
      </w:r>
    </w:p>
    <w:p>
      <w:pPr>
        <w:pStyle w:val="48"/>
        <w:widowControl w:val="0"/>
        <w:snapToGrid w:val="0"/>
        <w:spacing w:line="480" w:lineRule="exact"/>
        <w:jc w:val="both"/>
        <w:rPr>
          <w:rFonts w:hint="default" w:hAnsi="宋体" w:cs="宋体"/>
          <w:color w:val="000000" w:themeColor="text1"/>
          <w:spacing w:val="6"/>
          <w:sz w:val="24"/>
          <w:szCs w:val="24"/>
        </w:rPr>
      </w:pPr>
      <w:r>
        <w:rPr>
          <w:rFonts w:hAnsi="宋体" w:cs="宋体"/>
          <w:color w:val="000000" w:themeColor="text1"/>
          <w:sz w:val="24"/>
          <w:szCs w:val="24"/>
        </w:rPr>
        <w:t xml:space="preserve">  I</w:t>
      </w:r>
      <w:r>
        <w:rPr>
          <w:rFonts w:hAnsi="宋体" w:cs="宋体"/>
          <w:color w:val="000000" w:themeColor="text1"/>
          <w:kern w:val="0"/>
          <w:sz w:val="24"/>
          <w:szCs w:val="24"/>
        </w:rPr>
        <w:t>.</w:t>
      </w:r>
      <w:r>
        <w:rPr>
          <w:rFonts w:hAnsi="宋体" w:cs="宋体"/>
          <w:color w:val="000000" w:themeColor="text1"/>
          <w:sz w:val="24"/>
          <w:szCs w:val="24"/>
        </w:rPr>
        <w:t>其他利害关系情况</w:t>
      </w:r>
      <w:r>
        <w:rPr>
          <w:rFonts w:hAnsi="宋体" w:cs="宋体"/>
          <w:color w:val="000000" w:themeColor="text1"/>
          <w:kern w:val="0"/>
          <w:sz w:val="24"/>
          <w:szCs w:val="24"/>
        </w:rPr>
        <w:t>。</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三、现已清楚知道并</w:t>
      </w:r>
      <w:r>
        <w:rPr>
          <w:rFonts w:ascii="宋体" w:hAnsi="宋体" w:cs="宋体"/>
          <w:color w:val="000000" w:themeColor="text1"/>
          <w:kern w:val="0"/>
          <w:sz w:val="24"/>
          <w:szCs w:val="24"/>
        </w:rPr>
        <w:t>严格遵守政府采购法律法规和现场纪律。</w:t>
      </w:r>
    </w:p>
    <w:p>
      <w:pPr>
        <w:pStyle w:val="49"/>
        <w:widowControl/>
        <w:snapToGrid w:val="0"/>
        <w:spacing w:line="480" w:lineRule="exact"/>
        <w:rPr>
          <w:rFonts w:hint="default" w:ascii="宋体" w:hAnsi="宋体" w:cs="宋体"/>
          <w:color w:val="000000" w:themeColor="text1"/>
          <w:kern w:val="0"/>
          <w:sz w:val="24"/>
          <w:szCs w:val="24"/>
        </w:rPr>
      </w:pPr>
      <w:r>
        <w:rPr>
          <w:rFonts w:ascii="宋体" w:hAnsi="宋体" w:cs="宋体"/>
          <w:color w:val="000000" w:themeColor="text1"/>
          <w:sz w:val="24"/>
          <w:szCs w:val="24"/>
        </w:rPr>
        <w:t>四、</w:t>
      </w:r>
      <w:r>
        <w:rPr>
          <w:rFonts w:ascii="宋体" w:hAnsi="宋体" w:cs="宋体"/>
          <w:color w:val="000000" w:themeColor="text1"/>
          <w:kern w:val="0"/>
          <w:sz w:val="24"/>
          <w:szCs w:val="24"/>
        </w:rPr>
        <w:t>我发现供应商之间存在或可能存在上述第二条第项利害关系。</w:t>
      </w:r>
    </w:p>
    <w:p>
      <w:pPr>
        <w:pStyle w:val="48"/>
        <w:widowControl w:val="0"/>
        <w:snapToGrid w:val="0"/>
        <w:spacing w:line="480" w:lineRule="auto"/>
        <w:ind w:firstLine="480" w:firstLineChars="200"/>
        <w:jc w:val="both"/>
        <w:rPr>
          <w:rFonts w:hint="default" w:hAnsi="宋体" w:cs="宋体"/>
          <w:color w:val="000000" w:themeColor="text1"/>
          <w:sz w:val="24"/>
          <w:szCs w:val="24"/>
        </w:rPr>
      </w:pPr>
      <w:r>
        <w:rPr>
          <w:rFonts w:hAnsi="宋体" w:cs="宋体"/>
          <w:color w:val="000000" w:themeColor="text1"/>
          <w:sz w:val="24"/>
          <w:szCs w:val="24"/>
        </w:rPr>
        <w:t xml:space="preserve">                            （供应商代表签名）：</w:t>
      </w:r>
    </w:p>
    <w:p>
      <w:pPr>
        <w:pStyle w:val="48"/>
        <w:widowControl w:val="0"/>
        <w:snapToGrid w:val="0"/>
        <w:spacing w:line="480" w:lineRule="auto"/>
        <w:ind w:firstLine="480" w:firstLineChars="200"/>
        <w:jc w:val="both"/>
        <w:rPr>
          <w:rFonts w:hint="default"/>
        </w:rPr>
      </w:pPr>
      <w:r>
        <w:rPr>
          <w:rFonts w:hAnsi="宋体" w:cs="宋体"/>
          <w:color w:val="000000" w:themeColor="text1"/>
          <w:sz w:val="24"/>
          <w:szCs w:val="24"/>
        </w:rPr>
        <w:t xml:space="preserve">                                日期：   年  月  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40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温岭市政府采购中心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40</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75</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rPr>
    </w:pPr>
    <w:r>
      <w:rPr>
        <w:rFonts w:hint="eastAsia"/>
        <w:b/>
        <w:i/>
        <w:color w:val="000000" w:themeColor="text1"/>
        <w:kern w:val="0"/>
        <w:sz w:val="18"/>
        <w:u w:val="single"/>
      </w:rPr>
      <w:t xml:space="preserve">温岭市政府采购中心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75</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75</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C4EB"/>
    <w:multiLevelType w:val="singleLevel"/>
    <w:tmpl w:val="8155C4EB"/>
    <w:lvl w:ilvl="0" w:tentative="0">
      <w:start w:val="1"/>
      <w:numFmt w:val="decimal"/>
      <w:lvlText w:val="%1."/>
      <w:lvlJc w:val="left"/>
      <w:pPr>
        <w:tabs>
          <w:tab w:val="left" w:pos="312"/>
        </w:tabs>
      </w:pPr>
    </w:lvl>
  </w:abstractNum>
  <w:abstractNum w:abstractNumId="1">
    <w:nsid w:val="950A7D64"/>
    <w:multiLevelType w:val="singleLevel"/>
    <w:tmpl w:val="950A7D64"/>
    <w:lvl w:ilvl="0" w:tentative="0">
      <w:start w:val="1"/>
      <w:numFmt w:val="decimal"/>
      <w:lvlText w:val="%1."/>
      <w:lvlJc w:val="left"/>
      <w:pPr>
        <w:tabs>
          <w:tab w:val="left" w:pos="312"/>
        </w:tabs>
      </w:pPr>
    </w:lvl>
  </w:abstractNum>
  <w:abstractNum w:abstractNumId="2">
    <w:nsid w:val="A0719042"/>
    <w:multiLevelType w:val="singleLevel"/>
    <w:tmpl w:val="A0719042"/>
    <w:lvl w:ilvl="0" w:tentative="0">
      <w:start w:val="1"/>
      <w:numFmt w:val="decimal"/>
      <w:suff w:val="nothing"/>
      <w:lvlText w:val="%1、"/>
      <w:lvlJc w:val="left"/>
    </w:lvl>
  </w:abstractNum>
  <w:abstractNum w:abstractNumId="3">
    <w:nsid w:val="B35EB463"/>
    <w:multiLevelType w:val="singleLevel"/>
    <w:tmpl w:val="B35EB463"/>
    <w:lvl w:ilvl="0" w:tentative="0">
      <w:start w:val="2"/>
      <w:numFmt w:val="decimal"/>
      <w:lvlText w:val="%1."/>
      <w:lvlJc w:val="left"/>
      <w:pPr>
        <w:tabs>
          <w:tab w:val="left" w:pos="312"/>
        </w:tabs>
      </w:pPr>
    </w:lvl>
  </w:abstractNum>
  <w:abstractNum w:abstractNumId="4">
    <w:nsid w:val="B37CA8E3"/>
    <w:multiLevelType w:val="singleLevel"/>
    <w:tmpl w:val="B37CA8E3"/>
    <w:lvl w:ilvl="0" w:tentative="0">
      <w:start w:val="2"/>
      <w:numFmt w:val="decimal"/>
      <w:suff w:val="nothing"/>
      <w:lvlText w:val="%1、"/>
      <w:lvlJc w:val="left"/>
    </w:lvl>
  </w:abstractNum>
  <w:abstractNum w:abstractNumId="5">
    <w:nsid w:val="C751BE37"/>
    <w:multiLevelType w:val="singleLevel"/>
    <w:tmpl w:val="C751BE37"/>
    <w:lvl w:ilvl="0" w:tentative="0">
      <w:start w:val="1"/>
      <w:numFmt w:val="chineseCounting"/>
      <w:suff w:val="space"/>
      <w:lvlText w:val="（%1）"/>
      <w:lvlJc w:val="left"/>
      <w:rPr>
        <w:rFonts w:hint="eastAsia"/>
      </w:rPr>
    </w:lvl>
  </w:abstractNum>
  <w:abstractNum w:abstractNumId="6">
    <w:nsid w:val="FF7426B5"/>
    <w:multiLevelType w:val="singleLevel"/>
    <w:tmpl w:val="FF7426B5"/>
    <w:lvl w:ilvl="0" w:tentative="0">
      <w:start w:val="2"/>
      <w:numFmt w:val="chineseCounting"/>
      <w:suff w:val="nothing"/>
      <w:lvlText w:val="%1、"/>
      <w:lvlJc w:val="left"/>
      <w:rPr>
        <w:rFonts w:hint="eastAsia"/>
      </w:rPr>
    </w:lvl>
  </w:abstractNum>
  <w:abstractNum w:abstractNumId="7">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F827419"/>
    <w:multiLevelType w:val="multilevel"/>
    <w:tmpl w:val="4F8274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3F985B4"/>
    <w:multiLevelType w:val="singleLevel"/>
    <w:tmpl w:val="53F985B4"/>
    <w:lvl w:ilvl="0" w:tentative="0">
      <w:start w:val="1"/>
      <w:numFmt w:val="decimal"/>
      <w:lvlText w:val="%1."/>
      <w:lvlJc w:val="left"/>
      <w:pPr>
        <w:tabs>
          <w:tab w:val="left" w:pos="312"/>
        </w:tabs>
      </w:pPr>
    </w:lvl>
  </w:abstractNum>
  <w:abstractNum w:abstractNumId="11">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6DDD653"/>
    <w:multiLevelType w:val="singleLevel"/>
    <w:tmpl w:val="66DDD653"/>
    <w:lvl w:ilvl="0" w:tentative="0">
      <w:start w:val="1"/>
      <w:numFmt w:val="chineseCounting"/>
      <w:suff w:val="space"/>
      <w:lvlText w:val="第%1章"/>
      <w:lvlJc w:val="left"/>
      <w:rPr>
        <w:rFonts w:hint="eastAsia"/>
      </w:rPr>
    </w:lvl>
  </w:abstractNum>
  <w:abstractNum w:abstractNumId="13">
    <w:nsid w:val="79B308E1"/>
    <w:multiLevelType w:val="multilevel"/>
    <w:tmpl w:val="79B308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E92F494"/>
    <w:multiLevelType w:val="singleLevel"/>
    <w:tmpl w:val="7E92F494"/>
    <w:lvl w:ilvl="0" w:tentative="0">
      <w:start w:val="1"/>
      <w:numFmt w:val="decimal"/>
      <w:lvlText w:val="%1."/>
      <w:lvlJc w:val="left"/>
      <w:pPr>
        <w:ind w:left="425" w:hanging="425"/>
      </w:pPr>
      <w:rPr>
        <w:rFonts w:hint="default"/>
      </w:rPr>
    </w:lvl>
  </w:abstractNum>
  <w:num w:numId="1">
    <w:abstractNumId w:val="11"/>
  </w:num>
  <w:num w:numId="2">
    <w:abstractNumId w:val="7"/>
  </w:num>
  <w:num w:numId="3">
    <w:abstractNumId w:val="12"/>
  </w:num>
  <w:num w:numId="4">
    <w:abstractNumId w:val="8"/>
  </w:num>
  <w:num w:numId="5">
    <w:abstractNumId w:val="3"/>
  </w:num>
  <w:num w:numId="6">
    <w:abstractNumId w:val="6"/>
  </w:num>
  <w:num w:numId="7">
    <w:abstractNumId w:val="5"/>
  </w:num>
  <w:num w:numId="8">
    <w:abstractNumId w:val="0"/>
  </w:num>
  <w:num w:numId="9">
    <w:abstractNumId w:val="1"/>
  </w:num>
  <w:num w:numId="10">
    <w:abstractNumId w:val="13"/>
  </w:num>
  <w:num w:numId="11">
    <w:abstractNumId w:val="2"/>
  </w:num>
  <w:num w:numId="12">
    <w:abstractNumId w:val="14"/>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yNjU0OWY3NzQ5NjM3MWZjODQyN2VmNmY0NDY1NWYifQ=="/>
  </w:docVars>
  <w:rsids>
    <w:rsidRoot w:val="685F2B0C"/>
    <w:rsid w:val="000009C2"/>
    <w:rsid w:val="00006E75"/>
    <w:rsid w:val="0002799D"/>
    <w:rsid w:val="00032084"/>
    <w:rsid w:val="00037F4A"/>
    <w:rsid w:val="00043EFE"/>
    <w:rsid w:val="00072A3F"/>
    <w:rsid w:val="000908BB"/>
    <w:rsid w:val="000A1860"/>
    <w:rsid w:val="000E538F"/>
    <w:rsid w:val="00107C05"/>
    <w:rsid w:val="00111374"/>
    <w:rsid w:val="001136A2"/>
    <w:rsid w:val="00115A07"/>
    <w:rsid w:val="0014233E"/>
    <w:rsid w:val="00176066"/>
    <w:rsid w:val="00185CEE"/>
    <w:rsid w:val="001B51C8"/>
    <w:rsid w:val="001C0882"/>
    <w:rsid w:val="001C25EF"/>
    <w:rsid w:val="001C4F91"/>
    <w:rsid w:val="001E6CF9"/>
    <w:rsid w:val="0020045D"/>
    <w:rsid w:val="00205274"/>
    <w:rsid w:val="00213464"/>
    <w:rsid w:val="00242A20"/>
    <w:rsid w:val="00251EA9"/>
    <w:rsid w:val="00263FC0"/>
    <w:rsid w:val="0028336F"/>
    <w:rsid w:val="002903C2"/>
    <w:rsid w:val="002A4418"/>
    <w:rsid w:val="002C26E7"/>
    <w:rsid w:val="002D45C6"/>
    <w:rsid w:val="00312C7C"/>
    <w:rsid w:val="00315916"/>
    <w:rsid w:val="003201FA"/>
    <w:rsid w:val="0032156F"/>
    <w:rsid w:val="00330F75"/>
    <w:rsid w:val="00331D98"/>
    <w:rsid w:val="00334827"/>
    <w:rsid w:val="003357D8"/>
    <w:rsid w:val="00337AD1"/>
    <w:rsid w:val="00364177"/>
    <w:rsid w:val="00380590"/>
    <w:rsid w:val="003A41AF"/>
    <w:rsid w:val="003B6939"/>
    <w:rsid w:val="003B6A7E"/>
    <w:rsid w:val="003B7A52"/>
    <w:rsid w:val="003C4BB8"/>
    <w:rsid w:val="003E2513"/>
    <w:rsid w:val="003E36E5"/>
    <w:rsid w:val="003E7404"/>
    <w:rsid w:val="00401AC8"/>
    <w:rsid w:val="0042060D"/>
    <w:rsid w:val="004213B7"/>
    <w:rsid w:val="004300FD"/>
    <w:rsid w:val="00462099"/>
    <w:rsid w:val="00471A66"/>
    <w:rsid w:val="00472C93"/>
    <w:rsid w:val="004902FA"/>
    <w:rsid w:val="00494691"/>
    <w:rsid w:val="004C7CD8"/>
    <w:rsid w:val="004E2DBD"/>
    <w:rsid w:val="004F32C7"/>
    <w:rsid w:val="00502E44"/>
    <w:rsid w:val="005240D4"/>
    <w:rsid w:val="005301AE"/>
    <w:rsid w:val="00540C48"/>
    <w:rsid w:val="00565663"/>
    <w:rsid w:val="005656E7"/>
    <w:rsid w:val="00565F77"/>
    <w:rsid w:val="0058069A"/>
    <w:rsid w:val="005920CE"/>
    <w:rsid w:val="005B39C4"/>
    <w:rsid w:val="005B7FA6"/>
    <w:rsid w:val="005C159A"/>
    <w:rsid w:val="005C2736"/>
    <w:rsid w:val="005F0D0D"/>
    <w:rsid w:val="005F45F5"/>
    <w:rsid w:val="006077BD"/>
    <w:rsid w:val="00613782"/>
    <w:rsid w:val="00623A21"/>
    <w:rsid w:val="00627077"/>
    <w:rsid w:val="00627D71"/>
    <w:rsid w:val="006343F9"/>
    <w:rsid w:val="0066350B"/>
    <w:rsid w:val="006729A5"/>
    <w:rsid w:val="0068341F"/>
    <w:rsid w:val="006911F9"/>
    <w:rsid w:val="006A37F9"/>
    <w:rsid w:val="006A551C"/>
    <w:rsid w:val="006B0DB5"/>
    <w:rsid w:val="006B31C3"/>
    <w:rsid w:val="006C6520"/>
    <w:rsid w:val="006D3A61"/>
    <w:rsid w:val="006F24A9"/>
    <w:rsid w:val="006F679D"/>
    <w:rsid w:val="00707E3B"/>
    <w:rsid w:val="00711AFB"/>
    <w:rsid w:val="007120C8"/>
    <w:rsid w:val="007175BB"/>
    <w:rsid w:val="0072317A"/>
    <w:rsid w:val="0072522D"/>
    <w:rsid w:val="007D2C49"/>
    <w:rsid w:val="007E4962"/>
    <w:rsid w:val="007F1255"/>
    <w:rsid w:val="007F35DC"/>
    <w:rsid w:val="00823504"/>
    <w:rsid w:val="008B0963"/>
    <w:rsid w:val="008B3112"/>
    <w:rsid w:val="008E5756"/>
    <w:rsid w:val="009049D8"/>
    <w:rsid w:val="00913883"/>
    <w:rsid w:val="0093255C"/>
    <w:rsid w:val="009343EB"/>
    <w:rsid w:val="009362CD"/>
    <w:rsid w:val="009516C9"/>
    <w:rsid w:val="0095333A"/>
    <w:rsid w:val="00960DA0"/>
    <w:rsid w:val="0096620B"/>
    <w:rsid w:val="00975FF7"/>
    <w:rsid w:val="00987EDA"/>
    <w:rsid w:val="009944D8"/>
    <w:rsid w:val="009C0E16"/>
    <w:rsid w:val="009C5ED1"/>
    <w:rsid w:val="009E5DD5"/>
    <w:rsid w:val="009F4C1B"/>
    <w:rsid w:val="00A045A2"/>
    <w:rsid w:val="00A05D18"/>
    <w:rsid w:val="00A11D26"/>
    <w:rsid w:val="00A130A5"/>
    <w:rsid w:val="00A1618F"/>
    <w:rsid w:val="00A51EEF"/>
    <w:rsid w:val="00A61963"/>
    <w:rsid w:val="00A66025"/>
    <w:rsid w:val="00A854CE"/>
    <w:rsid w:val="00A921FD"/>
    <w:rsid w:val="00A94EF6"/>
    <w:rsid w:val="00A97E75"/>
    <w:rsid w:val="00AA00BE"/>
    <w:rsid w:val="00AA020C"/>
    <w:rsid w:val="00AA0B13"/>
    <w:rsid w:val="00AB428E"/>
    <w:rsid w:val="00AB49B7"/>
    <w:rsid w:val="00AB755F"/>
    <w:rsid w:val="00AC1A60"/>
    <w:rsid w:val="00AC2E9A"/>
    <w:rsid w:val="00B023A2"/>
    <w:rsid w:val="00B163F3"/>
    <w:rsid w:val="00B4330A"/>
    <w:rsid w:val="00B44061"/>
    <w:rsid w:val="00B61C77"/>
    <w:rsid w:val="00B63E20"/>
    <w:rsid w:val="00B647C8"/>
    <w:rsid w:val="00B77E42"/>
    <w:rsid w:val="00B94C65"/>
    <w:rsid w:val="00BA3388"/>
    <w:rsid w:val="00BA5256"/>
    <w:rsid w:val="00BC41FE"/>
    <w:rsid w:val="00BD2FC4"/>
    <w:rsid w:val="00BD378A"/>
    <w:rsid w:val="00C267C2"/>
    <w:rsid w:val="00C4176B"/>
    <w:rsid w:val="00C4791F"/>
    <w:rsid w:val="00C6047B"/>
    <w:rsid w:val="00C7669C"/>
    <w:rsid w:val="00C85372"/>
    <w:rsid w:val="00C93A5F"/>
    <w:rsid w:val="00CC1C7C"/>
    <w:rsid w:val="00CE162E"/>
    <w:rsid w:val="00CF3329"/>
    <w:rsid w:val="00D00C48"/>
    <w:rsid w:val="00D03950"/>
    <w:rsid w:val="00D0546E"/>
    <w:rsid w:val="00D07E9B"/>
    <w:rsid w:val="00D172FB"/>
    <w:rsid w:val="00D2688A"/>
    <w:rsid w:val="00D3791E"/>
    <w:rsid w:val="00D44595"/>
    <w:rsid w:val="00D5484B"/>
    <w:rsid w:val="00D56D0A"/>
    <w:rsid w:val="00DA4E23"/>
    <w:rsid w:val="00DB1E3F"/>
    <w:rsid w:val="00DC1336"/>
    <w:rsid w:val="00DC516E"/>
    <w:rsid w:val="00DE080F"/>
    <w:rsid w:val="00E070B8"/>
    <w:rsid w:val="00E146FD"/>
    <w:rsid w:val="00E17A82"/>
    <w:rsid w:val="00E20116"/>
    <w:rsid w:val="00E32B23"/>
    <w:rsid w:val="00E406F4"/>
    <w:rsid w:val="00E41EBA"/>
    <w:rsid w:val="00E448AC"/>
    <w:rsid w:val="00E60A9C"/>
    <w:rsid w:val="00E66CDC"/>
    <w:rsid w:val="00E8064B"/>
    <w:rsid w:val="00EA447B"/>
    <w:rsid w:val="00EB1974"/>
    <w:rsid w:val="00EC04A9"/>
    <w:rsid w:val="00ED6827"/>
    <w:rsid w:val="00EF1CBF"/>
    <w:rsid w:val="00EF43FF"/>
    <w:rsid w:val="00EF5BA2"/>
    <w:rsid w:val="00F16753"/>
    <w:rsid w:val="00F26F1C"/>
    <w:rsid w:val="00F36577"/>
    <w:rsid w:val="00F41C33"/>
    <w:rsid w:val="00F87171"/>
    <w:rsid w:val="00F92F0D"/>
    <w:rsid w:val="00F96BA8"/>
    <w:rsid w:val="00FC2DE6"/>
    <w:rsid w:val="00FD2391"/>
    <w:rsid w:val="01011432"/>
    <w:rsid w:val="010742D5"/>
    <w:rsid w:val="01077B6C"/>
    <w:rsid w:val="011473B7"/>
    <w:rsid w:val="011C2867"/>
    <w:rsid w:val="011E4134"/>
    <w:rsid w:val="012355F0"/>
    <w:rsid w:val="012B6D61"/>
    <w:rsid w:val="0148165C"/>
    <w:rsid w:val="015C2A86"/>
    <w:rsid w:val="015F789E"/>
    <w:rsid w:val="016C0FA1"/>
    <w:rsid w:val="016D4D19"/>
    <w:rsid w:val="016F45ED"/>
    <w:rsid w:val="01772638"/>
    <w:rsid w:val="01851778"/>
    <w:rsid w:val="018F2444"/>
    <w:rsid w:val="01AE11E6"/>
    <w:rsid w:val="01B70CE3"/>
    <w:rsid w:val="01D10A61"/>
    <w:rsid w:val="01D61DCE"/>
    <w:rsid w:val="01D947AB"/>
    <w:rsid w:val="01EF572E"/>
    <w:rsid w:val="01F170ED"/>
    <w:rsid w:val="01F53A09"/>
    <w:rsid w:val="01F916C8"/>
    <w:rsid w:val="01FE6216"/>
    <w:rsid w:val="02040004"/>
    <w:rsid w:val="022115FB"/>
    <w:rsid w:val="02251150"/>
    <w:rsid w:val="02292E42"/>
    <w:rsid w:val="02362254"/>
    <w:rsid w:val="02375009"/>
    <w:rsid w:val="025114D9"/>
    <w:rsid w:val="02536BAE"/>
    <w:rsid w:val="0270686F"/>
    <w:rsid w:val="0277756A"/>
    <w:rsid w:val="02897931"/>
    <w:rsid w:val="0294584C"/>
    <w:rsid w:val="029A4E8A"/>
    <w:rsid w:val="029E162E"/>
    <w:rsid w:val="02BD7D6C"/>
    <w:rsid w:val="02C50B2F"/>
    <w:rsid w:val="02C60B85"/>
    <w:rsid w:val="02C672A2"/>
    <w:rsid w:val="02C73731"/>
    <w:rsid w:val="02EE4EA9"/>
    <w:rsid w:val="02FC39A8"/>
    <w:rsid w:val="032A675A"/>
    <w:rsid w:val="032C58C3"/>
    <w:rsid w:val="036059A4"/>
    <w:rsid w:val="036B7036"/>
    <w:rsid w:val="037628ED"/>
    <w:rsid w:val="03804F1D"/>
    <w:rsid w:val="03830824"/>
    <w:rsid w:val="038D3122"/>
    <w:rsid w:val="038D5F87"/>
    <w:rsid w:val="039842CF"/>
    <w:rsid w:val="03996F9E"/>
    <w:rsid w:val="03A72764"/>
    <w:rsid w:val="03A92BAF"/>
    <w:rsid w:val="03AD4EC4"/>
    <w:rsid w:val="03B4565A"/>
    <w:rsid w:val="03C055D4"/>
    <w:rsid w:val="03C54999"/>
    <w:rsid w:val="03D0147D"/>
    <w:rsid w:val="03DC5B25"/>
    <w:rsid w:val="03FE049E"/>
    <w:rsid w:val="041155D0"/>
    <w:rsid w:val="042E69E2"/>
    <w:rsid w:val="04303F0E"/>
    <w:rsid w:val="04315D2A"/>
    <w:rsid w:val="0438160E"/>
    <w:rsid w:val="04416325"/>
    <w:rsid w:val="04431C4F"/>
    <w:rsid w:val="044D523C"/>
    <w:rsid w:val="04604D98"/>
    <w:rsid w:val="046212F9"/>
    <w:rsid w:val="04663F34"/>
    <w:rsid w:val="04686D1E"/>
    <w:rsid w:val="04C6056D"/>
    <w:rsid w:val="04E050E9"/>
    <w:rsid w:val="04E746F0"/>
    <w:rsid w:val="04E87471"/>
    <w:rsid w:val="04F17C1F"/>
    <w:rsid w:val="04FC6AE0"/>
    <w:rsid w:val="050A0D5B"/>
    <w:rsid w:val="050D23B9"/>
    <w:rsid w:val="05162537"/>
    <w:rsid w:val="051701F7"/>
    <w:rsid w:val="05177D7E"/>
    <w:rsid w:val="051E7487"/>
    <w:rsid w:val="05367239"/>
    <w:rsid w:val="053E2C54"/>
    <w:rsid w:val="053F0EAC"/>
    <w:rsid w:val="053F23D3"/>
    <w:rsid w:val="05417DEF"/>
    <w:rsid w:val="055F2844"/>
    <w:rsid w:val="056B3DBF"/>
    <w:rsid w:val="05724CA1"/>
    <w:rsid w:val="057D6BFC"/>
    <w:rsid w:val="057E41A9"/>
    <w:rsid w:val="059565ED"/>
    <w:rsid w:val="0596483F"/>
    <w:rsid w:val="059C7A38"/>
    <w:rsid w:val="05B01B1D"/>
    <w:rsid w:val="05BC5BB6"/>
    <w:rsid w:val="05C70E9C"/>
    <w:rsid w:val="05CB2372"/>
    <w:rsid w:val="05CE0AF4"/>
    <w:rsid w:val="05D02051"/>
    <w:rsid w:val="05E337FC"/>
    <w:rsid w:val="05F17CC7"/>
    <w:rsid w:val="05FC06FE"/>
    <w:rsid w:val="05FD1629"/>
    <w:rsid w:val="061B46EB"/>
    <w:rsid w:val="06221E50"/>
    <w:rsid w:val="065F55F6"/>
    <w:rsid w:val="06653309"/>
    <w:rsid w:val="06653EC4"/>
    <w:rsid w:val="06710776"/>
    <w:rsid w:val="067544C8"/>
    <w:rsid w:val="06840FA6"/>
    <w:rsid w:val="0699402C"/>
    <w:rsid w:val="069C64C8"/>
    <w:rsid w:val="06A0112C"/>
    <w:rsid w:val="06AD7687"/>
    <w:rsid w:val="06B864B2"/>
    <w:rsid w:val="06D25D4A"/>
    <w:rsid w:val="06D3561E"/>
    <w:rsid w:val="06D372D6"/>
    <w:rsid w:val="06D64E56"/>
    <w:rsid w:val="06DB44D3"/>
    <w:rsid w:val="06E17D3B"/>
    <w:rsid w:val="06EF7967"/>
    <w:rsid w:val="06F061D6"/>
    <w:rsid w:val="0703081A"/>
    <w:rsid w:val="070C5153"/>
    <w:rsid w:val="070E2AFA"/>
    <w:rsid w:val="070E765D"/>
    <w:rsid w:val="071023CF"/>
    <w:rsid w:val="07157529"/>
    <w:rsid w:val="071747A0"/>
    <w:rsid w:val="071E2C8A"/>
    <w:rsid w:val="07347410"/>
    <w:rsid w:val="07425FC3"/>
    <w:rsid w:val="074273EB"/>
    <w:rsid w:val="07463A3E"/>
    <w:rsid w:val="074E4D14"/>
    <w:rsid w:val="07707311"/>
    <w:rsid w:val="077E1A2E"/>
    <w:rsid w:val="078D1C71"/>
    <w:rsid w:val="079923C4"/>
    <w:rsid w:val="079F3EE7"/>
    <w:rsid w:val="07A1571D"/>
    <w:rsid w:val="07AD40C1"/>
    <w:rsid w:val="07AE41DE"/>
    <w:rsid w:val="07B02042"/>
    <w:rsid w:val="07CE273E"/>
    <w:rsid w:val="07DF5164"/>
    <w:rsid w:val="07E50580"/>
    <w:rsid w:val="07F46C10"/>
    <w:rsid w:val="07F9224F"/>
    <w:rsid w:val="07FA589D"/>
    <w:rsid w:val="08055CAB"/>
    <w:rsid w:val="082E5DF2"/>
    <w:rsid w:val="0834033F"/>
    <w:rsid w:val="0849203C"/>
    <w:rsid w:val="08512C9F"/>
    <w:rsid w:val="085403A4"/>
    <w:rsid w:val="08585DDB"/>
    <w:rsid w:val="085E020A"/>
    <w:rsid w:val="08601134"/>
    <w:rsid w:val="086951C1"/>
    <w:rsid w:val="08696EDC"/>
    <w:rsid w:val="086C10FB"/>
    <w:rsid w:val="087075EB"/>
    <w:rsid w:val="087846CF"/>
    <w:rsid w:val="087B5F6E"/>
    <w:rsid w:val="088D6A54"/>
    <w:rsid w:val="08941B48"/>
    <w:rsid w:val="08A56F15"/>
    <w:rsid w:val="08B17BE1"/>
    <w:rsid w:val="08C60C4A"/>
    <w:rsid w:val="08C72312"/>
    <w:rsid w:val="08DC3175"/>
    <w:rsid w:val="08F0261B"/>
    <w:rsid w:val="08F81693"/>
    <w:rsid w:val="09020F35"/>
    <w:rsid w:val="09060203"/>
    <w:rsid w:val="090766B2"/>
    <w:rsid w:val="090A0832"/>
    <w:rsid w:val="091B20E6"/>
    <w:rsid w:val="0922463B"/>
    <w:rsid w:val="09271C52"/>
    <w:rsid w:val="095406F9"/>
    <w:rsid w:val="0955362C"/>
    <w:rsid w:val="09566590"/>
    <w:rsid w:val="09583EB5"/>
    <w:rsid w:val="095C18FB"/>
    <w:rsid w:val="095D7A37"/>
    <w:rsid w:val="09825397"/>
    <w:rsid w:val="09875848"/>
    <w:rsid w:val="099E1F14"/>
    <w:rsid w:val="09B565E4"/>
    <w:rsid w:val="09BB0BBA"/>
    <w:rsid w:val="09C77B1C"/>
    <w:rsid w:val="09D41DD9"/>
    <w:rsid w:val="09E70A54"/>
    <w:rsid w:val="09E77E14"/>
    <w:rsid w:val="09E9749A"/>
    <w:rsid w:val="09EF451D"/>
    <w:rsid w:val="09F232F3"/>
    <w:rsid w:val="09F46495"/>
    <w:rsid w:val="09F623EB"/>
    <w:rsid w:val="09FF3A0A"/>
    <w:rsid w:val="0A082AE0"/>
    <w:rsid w:val="0A0D5A3B"/>
    <w:rsid w:val="0A172426"/>
    <w:rsid w:val="0A1C72DC"/>
    <w:rsid w:val="0A2355D9"/>
    <w:rsid w:val="0A4573B3"/>
    <w:rsid w:val="0A467E78"/>
    <w:rsid w:val="0A486323"/>
    <w:rsid w:val="0A53599E"/>
    <w:rsid w:val="0A744A82"/>
    <w:rsid w:val="0A821835"/>
    <w:rsid w:val="0A8528D5"/>
    <w:rsid w:val="0A89037C"/>
    <w:rsid w:val="0A903A5E"/>
    <w:rsid w:val="0A904AA4"/>
    <w:rsid w:val="0A93374C"/>
    <w:rsid w:val="0A972E8D"/>
    <w:rsid w:val="0AAA5EAC"/>
    <w:rsid w:val="0AB40849"/>
    <w:rsid w:val="0ABB2280"/>
    <w:rsid w:val="0ABD0E47"/>
    <w:rsid w:val="0ABD7D5E"/>
    <w:rsid w:val="0ACF434F"/>
    <w:rsid w:val="0AD56F1F"/>
    <w:rsid w:val="0AD876A7"/>
    <w:rsid w:val="0AE129FE"/>
    <w:rsid w:val="0AE222D4"/>
    <w:rsid w:val="0AE24082"/>
    <w:rsid w:val="0AE946CC"/>
    <w:rsid w:val="0AEA3C8C"/>
    <w:rsid w:val="0AEB73DB"/>
    <w:rsid w:val="0AEE0D1E"/>
    <w:rsid w:val="0AF435EF"/>
    <w:rsid w:val="0AFC0782"/>
    <w:rsid w:val="0B064214"/>
    <w:rsid w:val="0B077F8D"/>
    <w:rsid w:val="0B1E0CF0"/>
    <w:rsid w:val="0B386ECE"/>
    <w:rsid w:val="0B422D73"/>
    <w:rsid w:val="0B460AB5"/>
    <w:rsid w:val="0B556C34"/>
    <w:rsid w:val="0B621946"/>
    <w:rsid w:val="0B6C389D"/>
    <w:rsid w:val="0B760351"/>
    <w:rsid w:val="0B846791"/>
    <w:rsid w:val="0B8709B1"/>
    <w:rsid w:val="0B8B536A"/>
    <w:rsid w:val="0BA47589"/>
    <w:rsid w:val="0BC3421A"/>
    <w:rsid w:val="0BCC7711"/>
    <w:rsid w:val="0BCD0049"/>
    <w:rsid w:val="0BE83010"/>
    <w:rsid w:val="0BEA0DB9"/>
    <w:rsid w:val="0BFE313E"/>
    <w:rsid w:val="0C061D9D"/>
    <w:rsid w:val="0C0B7609"/>
    <w:rsid w:val="0C0F3325"/>
    <w:rsid w:val="0C120997"/>
    <w:rsid w:val="0C1358B4"/>
    <w:rsid w:val="0C35472E"/>
    <w:rsid w:val="0C4551B9"/>
    <w:rsid w:val="0C480F3E"/>
    <w:rsid w:val="0C4813D5"/>
    <w:rsid w:val="0C4F5B12"/>
    <w:rsid w:val="0C547201"/>
    <w:rsid w:val="0C585BE0"/>
    <w:rsid w:val="0C600FF2"/>
    <w:rsid w:val="0C7E2237"/>
    <w:rsid w:val="0C945850"/>
    <w:rsid w:val="0C963376"/>
    <w:rsid w:val="0C9E047D"/>
    <w:rsid w:val="0C9F1CEA"/>
    <w:rsid w:val="0CA84DAD"/>
    <w:rsid w:val="0CBE1DF9"/>
    <w:rsid w:val="0CBF21B2"/>
    <w:rsid w:val="0CC9599A"/>
    <w:rsid w:val="0CE0341A"/>
    <w:rsid w:val="0CEF2A86"/>
    <w:rsid w:val="0CF4009D"/>
    <w:rsid w:val="0D10283C"/>
    <w:rsid w:val="0D352B8F"/>
    <w:rsid w:val="0D3F7F2E"/>
    <w:rsid w:val="0D494870"/>
    <w:rsid w:val="0D4F0152"/>
    <w:rsid w:val="0D5456F5"/>
    <w:rsid w:val="0D5955C7"/>
    <w:rsid w:val="0D705EC6"/>
    <w:rsid w:val="0D7C5049"/>
    <w:rsid w:val="0D7F3E0A"/>
    <w:rsid w:val="0D83675C"/>
    <w:rsid w:val="0D8B0A01"/>
    <w:rsid w:val="0D8C75B3"/>
    <w:rsid w:val="0D962F4D"/>
    <w:rsid w:val="0D9773A6"/>
    <w:rsid w:val="0D9E0018"/>
    <w:rsid w:val="0DB757B9"/>
    <w:rsid w:val="0DBC0BBA"/>
    <w:rsid w:val="0DE7555E"/>
    <w:rsid w:val="0DF46D02"/>
    <w:rsid w:val="0DF61959"/>
    <w:rsid w:val="0E042561"/>
    <w:rsid w:val="0E0979BF"/>
    <w:rsid w:val="0E0A074B"/>
    <w:rsid w:val="0E1455D3"/>
    <w:rsid w:val="0E15651D"/>
    <w:rsid w:val="0E2F37EE"/>
    <w:rsid w:val="0E4C540B"/>
    <w:rsid w:val="0E5A014C"/>
    <w:rsid w:val="0E5E4DB8"/>
    <w:rsid w:val="0E5F6E07"/>
    <w:rsid w:val="0E607B1B"/>
    <w:rsid w:val="0E611762"/>
    <w:rsid w:val="0E6126CF"/>
    <w:rsid w:val="0E635AF2"/>
    <w:rsid w:val="0E680D42"/>
    <w:rsid w:val="0E72571D"/>
    <w:rsid w:val="0E7476E7"/>
    <w:rsid w:val="0E7F77A7"/>
    <w:rsid w:val="0E8405CA"/>
    <w:rsid w:val="0E8D5133"/>
    <w:rsid w:val="0E8F4521"/>
    <w:rsid w:val="0E9E5970"/>
    <w:rsid w:val="0EB1236A"/>
    <w:rsid w:val="0EB538A5"/>
    <w:rsid w:val="0EC06BC5"/>
    <w:rsid w:val="0EF32D02"/>
    <w:rsid w:val="0EFE7804"/>
    <w:rsid w:val="0F1804FA"/>
    <w:rsid w:val="0F197C6F"/>
    <w:rsid w:val="0F270991"/>
    <w:rsid w:val="0F3E6F11"/>
    <w:rsid w:val="0F566DED"/>
    <w:rsid w:val="0F59068B"/>
    <w:rsid w:val="0F6F31A6"/>
    <w:rsid w:val="0F6F7789"/>
    <w:rsid w:val="0FA61347"/>
    <w:rsid w:val="0FB104C7"/>
    <w:rsid w:val="0FC27645"/>
    <w:rsid w:val="0FCD6BA8"/>
    <w:rsid w:val="0FDD23A2"/>
    <w:rsid w:val="0FF83408"/>
    <w:rsid w:val="1008126D"/>
    <w:rsid w:val="101F02CE"/>
    <w:rsid w:val="102D3FF1"/>
    <w:rsid w:val="10394744"/>
    <w:rsid w:val="104247DD"/>
    <w:rsid w:val="104430E9"/>
    <w:rsid w:val="104A4BA3"/>
    <w:rsid w:val="105964EA"/>
    <w:rsid w:val="105C5738"/>
    <w:rsid w:val="106A0DA2"/>
    <w:rsid w:val="107907CC"/>
    <w:rsid w:val="10843C5D"/>
    <w:rsid w:val="108A2161"/>
    <w:rsid w:val="108B778E"/>
    <w:rsid w:val="1092654A"/>
    <w:rsid w:val="109909D1"/>
    <w:rsid w:val="109F401B"/>
    <w:rsid w:val="10B73F1D"/>
    <w:rsid w:val="10BE1B05"/>
    <w:rsid w:val="10C84882"/>
    <w:rsid w:val="10CD7582"/>
    <w:rsid w:val="10D1178C"/>
    <w:rsid w:val="10E07EE2"/>
    <w:rsid w:val="10EC7A09"/>
    <w:rsid w:val="10F630E0"/>
    <w:rsid w:val="10FD1C16"/>
    <w:rsid w:val="10FE14EA"/>
    <w:rsid w:val="1111121D"/>
    <w:rsid w:val="11112CBE"/>
    <w:rsid w:val="11163418"/>
    <w:rsid w:val="111818B8"/>
    <w:rsid w:val="111E1B8C"/>
    <w:rsid w:val="11270A41"/>
    <w:rsid w:val="112E0021"/>
    <w:rsid w:val="113B439C"/>
    <w:rsid w:val="11537715"/>
    <w:rsid w:val="11565610"/>
    <w:rsid w:val="115B693C"/>
    <w:rsid w:val="11674F62"/>
    <w:rsid w:val="1171000D"/>
    <w:rsid w:val="118A244C"/>
    <w:rsid w:val="119105B0"/>
    <w:rsid w:val="11950BDB"/>
    <w:rsid w:val="119B1D85"/>
    <w:rsid w:val="119C5B20"/>
    <w:rsid w:val="11A2124C"/>
    <w:rsid w:val="11AC592C"/>
    <w:rsid w:val="11AD389E"/>
    <w:rsid w:val="11BD2408"/>
    <w:rsid w:val="11C20C82"/>
    <w:rsid w:val="11C768FF"/>
    <w:rsid w:val="11D675CB"/>
    <w:rsid w:val="11D81D3B"/>
    <w:rsid w:val="11E15093"/>
    <w:rsid w:val="12063740"/>
    <w:rsid w:val="120D5801"/>
    <w:rsid w:val="12101447"/>
    <w:rsid w:val="12275F24"/>
    <w:rsid w:val="123756C9"/>
    <w:rsid w:val="124B4C03"/>
    <w:rsid w:val="12500CE7"/>
    <w:rsid w:val="125735A8"/>
    <w:rsid w:val="125F1817"/>
    <w:rsid w:val="126161D4"/>
    <w:rsid w:val="12631B42"/>
    <w:rsid w:val="12655569"/>
    <w:rsid w:val="12695551"/>
    <w:rsid w:val="127F2662"/>
    <w:rsid w:val="128435EC"/>
    <w:rsid w:val="129643EF"/>
    <w:rsid w:val="12AF442E"/>
    <w:rsid w:val="12B83A98"/>
    <w:rsid w:val="12BB4641"/>
    <w:rsid w:val="12BF15E3"/>
    <w:rsid w:val="12BF6231"/>
    <w:rsid w:val="12CD4F26"/>
    <w:rsid w:val="12CE1F8E"/>
    <w:rsid w:val="12D60970"/>
    <w:rsid w:val="12D9220E"/>
    <w:rsid w:val="12E74E3B"/>
    <w:rsid w:val="13024F62"/>
    <w:rsid w:val="1307442E"/>
    <w:rsid w:val="130B3F40"/>
    <w:rsid w:val="13244721"/>
    <w:rsid w:val="13285985"/>
    <w:rsid w:val="133A1A09"/>
    <w:rsid w:val="133C703D"/>
    <w:rsid w:val="13494163"/>
    <w:rsid w:val="13497394"/>
    <w:rsid w:val="134C77A5"/>
    <w:rsid w:val="134D2BB6"/>
    <w:rsid w:val="135D3F89"/>
    <w:rsid w:val="135E6A8D"/>
    <w:rsid w:val="136968F4"/>
    <w:rsid w:val="13731B39"/>
    <w:rsid w:val="1381791C"/>
    <w:rsid w:val="138C102F"/>
    <w:rsid w:val="13A11F77"/>
    <w:rsid w:val="13A37476"/>
    <w:rsid w:val="13A75515"/>
    <w:rsid w:val="13B127AE"/>
    <w:rsid w:val="13B82628"/>
    <w:rsid w:val="13C30E6E"/>
    <w:rsid w:val="13F22E55"/>
    <w:rsid w:val="140769BE"/>
    <w:rsid w:val="141259D8"/>
    <w:rsid w:val="1413430F"/>
    <w:rsid w:val="141613F9"/>
    <w:rsid w:val="14203CB8"/>
    <w:rsid w:val="14243519"/>
    <w:rsid w:val="14314967"/>
    <w:rsid w:val="143A0B7C"/>
    <w:rsid w:val="143C354F"/>
    <w:rsid w:val="144646A7"/>
    <w:rsid w:val="14545F32"/>
    <w:rsid w:val="14596F4E"/>
    <w:rsid w:val="146B5819"/>
    <w:rsid w:val="146F011F"/>
    <w:rsid w:val="147632A2"/>
    <w:rsid w:val="14872049"/>
    <w:rsid w:val="1487309A"/>
    <w:rsid w:val="14936552"/>
    <w:rsid w:val="149C7998"/>
    <w:rsid w:val="14B03E95"/>
    <w:rsid w:val="14C272D2"/>
    <w:rsid w:val="14C34F24"/>
    <w:rsid w:val="14CB202B"/>
    <w:rsid w:val="14E463A0"/>
    <w:rsid w:val="14EA3450"/>
    <w:rsid w:val="14ED3D4F"/>
    <w:rsid w:val="14F767B6"/>
    <w:rsid w:val="14FB222F"/>
    <w:rsid w:val="14FF79DA"/>
    <w:rsid w:val="150F0D42"/>
    <w:rsid w:val="15113EE2"/>
    <w:rsid w:val="15194B44"/>
    <w:rsid w:val="151C2838"/>
    <w:rsid w:val="153D4B3A"/>
    <w:rsid w:val="153E582F"/>
    <w:rsid w:val="154F67B8"/>
    <w:rsid w:val="15593193"/>
    <w:rsid w:val="155B4D1B"/>
    <w:rsid w:val="156D6570"/>
    <w:rsid w:val="15793835"/>
    <w:rsid w:val="158A3AB7"/>
    <w:rsid w:val="159016BB"/>
    <w:rsid w:val="159E5049"/>
    <w:rsid w:val="15B41308"/>
    <w:rsid w:val="15E259F1"/>
    <w:rsid w:val="15E2762C"/>
    <w:rsid w:val="15E5000F"/>
    <w:rsid w:val="15E61B2E"/>
    <w:rsid w:val="15E72E94"/>
    <w:rsid w:val="15E770DE"/>
    <w:rsid w:val="16031113"/>
    <w:rsid w:val="16104199"/>
    <w:rsid w:val="161A400A"/>
    <w:rsid w:val="16213B9C"/>
    <w:rsid w:val="163A6417"/>
    <w:rsid w:val="16587FDE"/>
    <w:rsid w:val="165B2F3A"/>
    <w:rsid w:val="165F2A2B"/>
    <w:rsid w:val="16674FC6"/>
    <w:rsid w:val="16692CA6"/>
    <w:rsid w:val="16725D01"/>
    <w:rsid w:val="167E7043"/>
    <w:rsid w:val="168F227C"/>
    <w:rsid w:val="169052DA"/>
    <w:rsid w:val="16D451C7"/>
    <w:rsid w:val="16F45F36"/>
    <w:rsid w:val="16FC1D97"/>
    <w:rsid w:val="17011D34"/>
    <w:rsid w:val="17086B33"/>
    <w:rsid w:val="171F0861"/>
    <w:rsid w:val="172D2B29"/>
    <w:rsid w:val="17372639"/>
    <w:rsid w:val="173D243C"/>
    <w:rsid w:val="1740285C"/>
    <w:rsid w:val="174560C4"/>
    <w:rsid w:val="17463BEB"/>
    <w:rsid w:val="17534ECF"/>
    <w:rsid w:val="175F0E7A"/>
    <w:rsid w:val="1767434D"/>
    <w:rsid w:val="178967AE"/>
    <w:rsid w:val="179D1C95"/>
    <w:rsid w:val="17BA77C8"/>
    <w:rsid w:val="17C340E6"/>
    <w:rsid w:val="17C93C3F"/>
    <w:rsid w:val="17D2722C"/>
    <w:rsid w:val="17D71645"/>
    <w:rsid w:val="17DD1E28"/>
    <w:rsid w:val="17E01BB1"/>
    <w:rsid w:val="17E21891"/>
    <w:rsid w:val="17EC4792"/>
    <w:rsid w:val="17EF6030"/>
    <w:rsid w:val="180715CC"/>
    <w:rsid w:val="181011F1"/>
    <w:rsid w:val="181C38B0"/>
    <w:rsid w:val="181E053B"/>
    <w:rsid w:val="18205336"/>
    <w:rsid w:val="184F29B3"/>
    <w:rsid w:val="18574301"/>
    <w:rsid w:val="18810539"/>
    <w:rsid w:val="1886356D"/>
    <w:rsid w:val="18AA0A18"/>
    <w:rsid w:val="18B117B0"/>
    <w:rsid w:val="18DF40DC"/>
    <w:rsid w:val="18F45107"/>
    <w:rsid w:val="18F47AF6"/>
    <w:rsid w:val="18F500F1"/>
    <w:rsid w:val="190A522C"/>
    <w:rsid w:val="191915B7"/>
    <w:rsid w:val="191C0124"/>
    <w:rsid w:val="191D23BA"/>
    <w:rsid w:val="192349BD"/>
    <w:rsid w:val="19297C63"/>
    <w:rsid w:val="192A06DB"/>
    <w:rsid w:val="192C0B58"/>
    <w:rsid w:val="192D288C"/>
    <w:rsid w:val="19371ED7"/>
    <w:rsid w:val="194335B5"/>
    <w:rsid w:val="1945415A"/>
    <w:rsid w:val="19512494"/>
    <w:rsid w:val="196F11D7"/>
    <w:rsid w:val="197607B7"/>
    <w:rsid w:val="198218DD"/>
    <w:rsid w:val="198A4263"/>
    <w:rsid w:val="19960E59"/>
    <w:rsid w:val="19A01ECA"/>
    <w:rsid w:val="19A716A6"/>
    <w:rsid w:val="19BE3F0C"/>
    <w:rsid w:val="19BF2F9E"/>
    <w:rsid w:val="19C56581"/>
    <w:rsid w:val="19D43730"/>
    <w:rsid w:val="19EE41FA"/>
    <w:rsid w:val="19EF40C6"/>
    <w:rsid w:val="19F30839"/>
    <w:rsid w:val="19F349F4"/>
    <w:rsid w:val="1A002E3D"/>
    <w:rsid w:val="1A0B5269"/>
    <w:rsid w:val="1A0E78C9"/>
    <w:rsid w:val="1A134258"/>
    <w:rsid w:val="1A1A55E6"/>
    <w:rsid w:val="1A383CBF"/>
    <w:rsid w:val="1A3B37AF"/>
    <w:rsid w:val="1A442663"/>
    <w:rsid w:val="1A5A6066"/>
    <w:rsid w:val="1A777345"/>
    <w:rsid w:val="1A7A4184"/>
    <w:rsid w:val="1A7B506A"/>
    <w:rsid w:val="1A846F04"/>
    <w:rsid w:val="1A8707A2"/>
    <w:rsid w:val="1A8D59A2"/>
    <w:rsid w:val="1A8E3BCD"/>
    <w:rsid w:val="1A907657"/>
    <w:rsid w:val="1A9B5680"/>
    <w:rsid w:val="1AD15B84"/>
    <w:rsid w:val="1ADA6CD0"/>
    <w:rsid w:val="1AE13C5B"/>
    <w:rsid w:val="1AE23C2A"/>
    <w:rsid w:val="1AF47380"/>
    <w:rsid w:val="1B0C0005"/>
    <w:rsid w:val="1B0D166C"/>
    <w:rsid w:val="1B251F48"/>
    <w:rsid w:val="1B261D69"/>
    <w:rsid w:val="1B293607"/>
    <w:rsid w:val="1B3833FF"/>
    <w:rsid w:val="1B396BED"/>
    <w:rsid w:val="1B3F6913"/>
    <w:rsid w:val="1B486792"/>
    <w:rsid w:val="1B4C6CA1"/>
    <w:rsid w:val="1B52759D"/>
    <w:rsid w:val="1B586C8A"/>
    <w:rsid w:val="1B612ED3"/>
    <w:rsid w:val="1B662AAD"/>
    <w:rsid w:val="1B6A011C"/>
    <w:rsid w:val="1B705E15"/>
    <w:rsid w:val="1B75684C"/>
    <w:rsid w:val="1B8C242C"/>
    <w:rsid w:val="1B8C6B7B"/>
    <w:rsid w:val="1BA0571E"/>
    <w:rsid w:val="1BA72C10"/>
    <w:rsid w:val="1BB47375"/>
    <w:rsid w:val="1BB91038"/>
    <w:rsid w:val="1BBA1754"/>
    <w:rsid w:val="1BBF65FB"/>
    <w:rsid w:val="1BCB46BE"/>
    <w:rsid w:val="1BD162E3"/>
    <w:rsid w:val="1BDE64F1"/>
    <w:rsid w:val="1BEA1EEC"/>
    <w:rsid w:val="1BF657FB"/>
    <w:rsid w:val="1BF868AD"/>
    <w:rsid w:val="1C0503E8"/>
    <w:rsid w:val="1C126363"/>
    <w:rsid w:val="1C2023D8"/>
    <w:rsid w:val="1C3420A9"/>
    <w:rsid w:val="1C512E16"/>
    <w:rsid w:val="1C5B5BF8"/>
    <w:rsid w:val="1C766429"/>
    <w:rsid w:val="1C771298"/>
    <w:rsid w:val="1C786858"/>
    <w:rsid w:val="1C793881"/>
    <w:rsid w:val="1C800114"/>
    <w:rsid w:val="1C9A155D"/>
    <w:rsid w:val="1CB02232"/>
    <w:rsid w:val="1CB15134"/>
    <w:rsid w:val="1CC92F95"/>
    <w:rsid w:val="1CE21780"/>
    <w:rsid w:val="1CE26164"/>
    <w:rsid w:val="1CEB5018"/>
    <w:rsid w:val="1CF716BE"/>
    <w:rsid w:val="1CFA7EEF"/>
    <w:rsid w:val="1CFB1146"/>
    <w:rsid w:val="1D0E75B6"/>
    <w:rsid w:val="1D100F23"/>
    <w:rsid w:val="1D2331DE"/>
    <w:rsid w:val="1D312AFC"/>
    <w:rsid w:val="1D325ED3"/>
    <w:rsid w:val="1D37062D"/>
    <w:rsid w:val="1D3A77A0"/>
    <w:rsid w:val="1D3E15B3"/>
    <w:rsid w:val="1D4105A8"/>
    <w:rsid w:val="1D4110DC"/>
    <w:rsid w:val="1D442776"/>
    <w:rsid w:val="1D472342"/>
    <w:rsid w:val="1D487EB6"/>
    <w:rsid w:val="1D4D0670"/>
    <w:rsid w:val="1D525D67"/>
    <w:rsid w:val="1D74500E"/>
    <w:rsid w:val="1D7B204C"/>
    <w:rsid w:val="1D8000A3"/>
    <w:rsid w:val="1D8B495A"/>
    <w:rsid w:val="1D976F4E"/>
    <w:rsid w:val="1D9A07EC"/>
    <w:rsid w:val="1E0A3BC4"/>
    <w:rsid w:val="1E0F2F88"/>
    <w:rsid w:val="1E317170"/>
    <w:rsid w:val="1E331E3B"/>
    <w:rsid w:val="1E430E84"/>
    <w:rsid w:val="1E4914EC"/>
    <w:rsid w:val="1E561B49"/>
    <w:rsid w:val="1E5B5B74"/>
    <w:rsid w:val="1E84790D"/>
    <w:rsid w:val="1E925E44"/>
    <w:rsid w:val="1EA870D0"/>
    <w:rsid w:val="1EAD29D5"/>
    <w:rsid w:val="1EDB21B2"/>
    <w:rsid w:val="1EE21D29"/>
    <w:rsid w:val="1EEB57A3"/>
    <w:rsid w:val="1EF77EA4"/>
    <w:rsid w:val="1F036380"/>
    <w:rsid w:val="1F0B37C8"/>
    <w:rsid w:val="1F280F4B"/>
    <w:rsid w:val="1F344FD9"/>
    <w:rsid w:val="1F3E1D5D"/>
    <w:rsid w:val="1F441C9D"/>
    <w:rsid w:val="1F511C17"/>
    <w:rsid w:val="1F5F3A9B"/>
    <w:rsid w:val="1F603A69"/>
    <w:rsid w:val="1F6E3177"/>
    <w:rsid w:val="1F6F04BA"/>
    <w:rsid w:val="1F6F7A87"/>
    <w:rsid w:val="1F7312F5"/>
    <w:rsid w:val="1F740B37"/>
    <w:rsid w:val="1F74673D"/>
    <w:rsid w:val="1F7742A1"/>
    <w:rsid w:val="1F832B7E"/>
    <w:rsid w:val="1F8C15A6"/>
    <w:rsid w:val="1F9415B5"/>
    <w:rsid w:val="1F9445FD"/>
    <w:rsid w:val="1F986F45"/>
    <w:rsid w:val="1F9F6666"/>
    <w:rsid w:val="1FA374E6"/>
    <w:rsid w:val="1FB5210B"/>
    <w:rsid w:val="1FCD6552"/>
    <w:rsid w:val="1FD04999"/>
    <w:rsid w:val="1FD61FB0"/>
    <w:rsid w:val="1FE07634"/>
    <w:rsid w:val="1FF829ED"/>
    <w:rsid w:val="1FF83138"/>
    <w:rsid w:val="1FFC12EA"/>
    <w:rsid w:val="20016901"/>
    <w:rsid w:val="20027E74"/>
    <w:rsid w:val="201047BC"/>
    <w:rsid w:val="20176124"/>
    <w:rsid w:val="2019412B"/>
    <w:rsid w:val="201B0AD1"/>
    <w:rsid w:val="2024650C"/>
    <w:rsid w:val="204E5FD2"/>
    <w:rsid w:val="206D3F96"/>
    <w:rsid w:val="20703E6E"/>
    <w:rsid w:val="207A428C"/>
    <w:rsid w:val="20835E3C"/>
    <w:rsid w:val="208946C4"/>
    <w:rsid w:val="208F1332"/>
    <w:rsid w:val="209570A1"/>
    <w:rsid w:val="20AA71C2"/>
    <w:rsid w:val="20AD2C49"/>
    <w:rsid w:val="20B10A0D"/>
    <w:rsid w:val="20B9166B"/>
    <w:rsid w:val="20D02ECC"/>
    <w:rsid w:val="20DC2970"/>
    <w:rsid w:val="20E00C0C"/>
    <w:rsid w:val="20EA0AA7"/>
    <w:rsid w:val="20F46465"/>
    <w:rsid w:val="20FA7410"/>
    <w:rsid w:val="21076B87"/>
    <w:rsid w:val="21094E07"/>
    <w:rsid w:val="21105360"/>
    <w:rsid w:val="21110DC5"/>
    <w:rsid w:val="21113681"/>
    <w:rsid w:val="21250156"/>
    <w:rsid w:val="212B3666"/>
    <w:rsid w:val="212E5E1B"/>
    <w:rsid w:val="213276BA"/>
    <w:rsid w:val="21451A24"/>
    <w:rsid w:val="21523AD1"/>
    <w:rsid w:val="215C6880"/>
    <w:rsid w:val="216D19EE"/>
    <w:rsid w:val="21860B2C"/>
    <w:rsid w:val="218D2B42"/>
    <w:rsid w:val="218F0080"/>
    <w:rsid w:val="21BB2D65"/>
    <w:rsid w:val="21C20C05"/>
    <w:rsid w:val="21D536EF"/>
    <w:rsid w:val="21E13F03"/>
    <w:rsid w:val="21E9106C"/>
    <w:rsid w:val="21E949C3"/>
    <w:rsid w:val="21E96967"/>
    <w:rsid w:val="21F52495"/>
    <w:rsid w:val="22084595"/>
    <w:rsid w:val="220C2925"/>
    <w:rsid w:val="2225605D"/>
    <w:rsid w:val="222A72A4"/>
    <w:rsid w:val="222F1E4B"/>
    <w:rsid w:val="222F2404"/>
    <w:rsid w:val="22423882"/>
    <w:rsid w:val="225E003A"/>
    <w:rsid w:val="226650A3"/>
    <w:rsid w:val="227334E7"/>
    <w:rsid w:val="22734646"/>
    <w:rsid w:val="228850B7"/>
    <w:rsid w:val="22AC6FF8"/>
    <w:rsid w:val="22AE1EDE"/>
    <w:rsid w:val="22C23296"/>
    <w:rsid w:val="22DD6CC1"/>
    <w:rsid w:val="22E5250A"/>
    <w:rsid w:val="22F774F6"/>
    <w:rsid w:val="23005595"/>
    <w:rsid w:val="23007343"/>
    <w:rsid w:val="2307360A"/>
    <w:rsid w:val="230F0CC5"/>
    <w:rsid w:val="2322550C"/>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AB59E1"/>
    <w:rsid w:val="23BB34F7"/>
    <w:rsid w:val="23D167C1"/>
    <w:rsid w:val="23D16E12"/>
    <w:rsid w:val="23D81C86"/>
    <w:rsid w:val="23FE2934"/>
    <w:rsid w:val="24035EFC"/>
    <w:rsid w:val="24105169"/>
    <w:rsid w:val="24145543"/>
    <w:rsid w:val="2415164D"/>
    <w:rsid w:val="24207C9D"/>
    <w:rsid w:val="242853E9"/>
    <w:rsid w:val="24372605"/>
    <w:rsid w:val="24426206"/>
    <w:rsid w:val="244668E1"/>
    <w:rsid w:val="247921D2"/>
    <w:rsid w:val="249064A5"/>
    <w:rsid w:val="249B37C8"/>
    <w:rsid w:val="24A2179D"/>
    <w:rsid w:val="24A3012A"/>
    <w:rsid w:val="24A51F50"/>
    <w:rsid w:val="24AD52A9"/>
    <w:rsid w:val="24BB1774"/>
    <w:rsid w:val="24D40FD8"/>
    <w:rsid w:val="24DE5C48"/>
    <w:rsid w:val="24E51E80"/>
    <w:rsid w:val="24F64777"/>
    <w:rsid w:val="24FB1C59"/>
    <w:rsid w:val="24FE0E05"/>
    <w:rsid w:val="250A26FB"/>
    <w:rsid w:val="25341526"/>
    <w:rsid w:val="25382DC5"/>
    <w:rsid w:val="25517809"/>
    <w:rsid w:val="255F47F5"/>
    <w:rsid w:val="256C1BBD"/>
    <w:rsid w:val="256F2571"/>
    <w:rsid w:val="2576124C"/>
    <w:rsid w:val="257D4C7B"/>
    <w:rsid w:val="258130F7"/>
    <w:rsid w:val="259402E7"/>
    <w:rsid w:val="25A55F80"/>
    <w:rsid w:val="25AF3989"/>
    <w:rsid w:val="25B82D92"/>
    <w:rsid w:val="25BA5ED0"/>
    <w:rsid w:val="25BD25B4"/>
    <w:rsid w:val="25C73339"/>
    <w:rsid w:val="25C772BF"/>
    <w:rsid w:val="25D05B49"/>
    <w:rsid w:val="25D62822"/>
    <w:rsid w:val="25E94913"/>
    <w:rsid w:val="25FD1357"/>
    <w:rsid w:val="260B3061"/>
    <w:rsid w:val="26127ABA"/>
    <w:rsid w:val="26205FC9"/>
    <w:rsid w:val="262931EB"/>
    <w:rsid w:val="262E591A"/>
    <w:rsid w:val="263771C4"/>
    <w:rsid w:val="26400EA4"/>
    <w:rsid w:val="26455321"/>
    <w:rsid w:val="264D464E"/>
    <w:rsid w:val="265B4748"/>
    <w:rsid w:val="26622CD9"/>
    <w:rsid w:val="266372C2"/>
    <w:rsid w:val="267961DB"/>
    <w:rsid w:val="268C7D4E"/>
    <w:rsid w:val="26906C30"/>
    <w:rsid w:val="26A60A07"/>
    <w:rsid w:val="26B172D2"/>
    <w:rsid w:val="26B424FB"/>
    <w:rsid w:val="26B446CD"/>
    <w:rsid w:val="26CC1B59"/>
    <w:rsid w:val="26CF2874"/>
    <w:rsid w:val="26D10ECC"/>
    <w:rsid w:val="26EF57DC"/>
    <w:rsid w:val="26F80EDE"/>
    <w:rsid w:val="27083115"/>
    <w:rsid w:val="270D24DC"/>
    <w:rsid w:val="27142A2D"/>
    <w:rsid w:val="271B4881"/>
    <w:rsid w:val="27214C90"/>
    <w:rsid w:val="272414C7"/>
    <w:rsid w:val="272A2ED5"/>
    <w:rsid w:val="27554102"/>
    <w:rsid w:val="27685524"/>
    <w:rsid w:val="276959E0"/>
    <w:rsid w:val="276F555C"/>
    <w:rsid w:val="27702C8E"/>
    <w:rsid w:val="2771149D"/>
    <w:rsid w:val="277125BE"/>
    <w:rsid w:val="277327DA"/>
    <w:rsid w:val="27827E3D"/>
    <w:rsid w:val="27930786"/>
    <w:rsid w:val="27A028B7"/>
    <w:rsid w:val="27AB6605"/>
    <w:rsid w:val="27B70919"/>
    <w:rsid w:val="27BF3604"/>
    <w:rsid w:val="27D26786"/>
    <w:rsid w:val="27D33279"/>
    <w:rsid w:val="27EA6257"/>
    <w:rsid w:val="27EE1E60"/>
    <w:rsid w:val="27F82CDF"/>
    <w:rsid w:val="27FD29DE"/>
    <w:rsid w:val="27FD3CE9"/>
    <w:rsid w:val="280D0539"/>
    <w:rsid w:val="2831638E"/>
    <w:rsid w:val="283D14DA"/>
    <w:rsid w:val="284F457A"/>
    <w:rsid w:val="28503B39"/>
    <w:rsid w:val="28505402"/>
    <w:rsid w:val="285117F8"/>
    <w:rsid w:val="286D547B"/>
    <w:rsid w:val="288445F5"/>
    <w:rsid w:val="28883EBB"/>
    <w:rsid w:val="28885F5E"/>
    <w:rsid w:val="28901CD3"/>
    <w:rsid w:val="28907627"/>
    <w:rsid w:val="28A013AD"/>
    <w:rsid w:val="28A908AA"/>
    <w:rsid w:val="28AC7D8A"/>
    <w:rsid w:val="28C3120E"/>
    <w:rsid w:val="28D9203E"/>
    <w:rsid w:val="28DA4EB3"/>
    <w:rsid w:val="28F87F99"/>
    <w:rsid w:val="29043050"/>
    <w:rsid w:val="290851A4"/>
    <w:rsid w:val="290A1459"/>
    <w:rsid w:val="290D2770"/>
    <w:rsid w:val="292957C8"/>
    <w:rsid w:val="29312005"/>
    <w:rsid w:val="293430C2"/>
    <w:rsid w:val="29394DC3"/>
    <w:rsid w:val="293E4722"/>
    <w:rsid w:val="294D3F3D"/>
    <w:rsid w:val="295757E3"/>
    <w:rsid w:val="296A69AB"/>
    <w:rsid w:val="296E2E4C"/>
    <w:rsid w:val="297A28A9"/>
    <w:rsid w:val="29871168"/>
    <w:rsid w:val="299C610E"/>
    <w:rsid w:val="299F7580"/>
    <w:rsid w:val="299F78B6"/>
    <w:rsid w:val="29B24934"/>
    <w:rsid w:val="29B661A7"/>
    <w:rsid w:val="29C25DAC"/>
    <w:rsid w:val="29DA08EE"/>
    <w:rsid w:val="29EF59E7"/>
    <w:rsid w:val="29F869C7"/>
    <w:rsid w:val="29FA460F"/>
    <w:rsid w:val="29FE0F61"/>
    <w:rsid w:val="2A081208"/>
    <w:rsid w:val="2A1249CC"/>
    <w:rsid w:val="2A19132F"/>
    <w:rsid w:val="2A1E3A2B"/>
    <w:rsid w:val="2A3714C4"/>
    <w:rsid w:val="2A377AEF"/>
    <w:rsid w:val="2A3C40CC"/>
    <w:rsid w:val="2A3D4248"/>
    <w:rsid w:val="2A4E1459"/>
    <w:rsid w:val="2A4E6BE6"/>
    <w:rsid w:val="2A5E24DB"/>
    <w:rsid w:val="2A6F54DA"/>
    <w:rsid w:val="2A701253"/>
    <w:rsid w:val="2A926984"/>
    <w:rsid w:val="2AA908E7"/>
    <w:rsid w:val="2AB63109"/>
    <w:rsid w:val="2AC017A8"/>
    <w:rsid w:val="2AC36155"/>
    <w:rsid w:val="2AEE1CF8"/>
    <w:rsid w:val="2AF2488D"/>
    <w:rsid w:val="2B17347C"/>
    <w:rsid w:val="2B1C1A99"/>
    <w:rsid w:val="2B204A27"/>
    <w:rsid w:val="2B334F71"/>
    <w:rsid w:val="2B3E312A"/>
    <w:rsid w:val="2B481888"/>
    <w:rsid w:val="2B4D4BC5"/>
    <w:rsid w:val="2B50394A"/>
    <w:rsid w:val="2B603075"/>
    <w:rsid w:val="2B753191"/>
    <w:rsid w:val="2B7740E7"/>
    <w:rsid w:val="2B7D6E07"/>
    <w:rsid w:val="2B8D7781"/>
    <w:rsid w:val="2B9444D2"/>
    <w:rsid w:val="2BB4516F"/>
    <w:rsid w:val="2BDD48F1"/>
    <w:rsid w:val="2BE340CE"/>
    <w:rsid w:val="2BF437BD"/>
    <w:rsid w:val="2BFA7026"/>
    <w:rsid w:val="2BFC3479"/>
    <w:rsid w:val="2C1E1CA1"/>
    <w:rsid w:val="2C214447"/>
    <w:rsid w:val="2C22032B"/>
    <w:rsid w:val="2C232160"/>
    <w:rsid w:val="2C363019"/>
    <w:rsid w:val="2C44210E"/>
    <w:rsid w:val="2C4D6F1B"/>
    <w:rsid w:val="2C546BB6"/>
    <w:rsid w:val="2C587217"/>
    <w:rsid w:val="2C640943"/>
    <w:rsid w:val="2C680433"/>
    <w:rsid w:val="2C7B641F"/>
    <w:rsid w:val="2C7E3826"/>
    <w:rsid w:val="2C825683"/>
    <w:rsid w:val="2C8D63B1"/>
    <w:rsid w:val="2C9A6113"/>
    <w:rsid w:val="2CA174A1"/>
    <w:rsid w:val="2CA60F5C"/>
    <w:rsid w:val="2CBB44E5"/>
    <w:rsid w:val="2CBC77F6"/>
    <w:rsid w:val="2CC87124"/>
    <w:rsid w:val="2CDB55D6"/>
    <w:rsid w:val="2CF00429"/>
    <w:rsid w:val="2D00230F"/>
    <w:rsid w:val="2D0A773C"/>
    <w:rsid w:val="2D121A68"/>
    <w:rsid w:val="2D157E8F"/>
    <w:rsid w:val="2D1C2FCC"/>
    <w:rsid w:val="2D1D236A"/>
    <w:rsid w:val="2D26209C"/>
    <w:rsid w:val="2D2F5CDB"/>
    <w:rsid w:val="2D3622E0"/>
    <w:rsid w:val="2D656721"/>
    <w:rsid w:val="2D8063AA"/>
    <w:rsid w:val="2DAB174B"/>
    <w:rsid w:val="2DAC3053"/>
    <w:rsid w:val="2DB15E0A"/>
    <w:rsid w:val="2DB21AB3"/>
    <w:rsid w:val="2DC70AE2"/>
    <w:rsid w:val="2DC82F69"/>
    <w:rsid w:val="2DCA6026"/>
    <w:rsid w:val="2DCD4928"/>
    <w:rsid w:val="2DE96603"/>
    <w:rsid w:val="2DEE2BBA"/>
    <w:rsid w:val="2DF918E8"/>
    <w:rsid w:val="2E073C7C"/>
    <w:rsid w:val="2E0E6DB8"/>
    <w:rsid w:val="2E1729D6"/>
    <w:rsid w:val="2E1A0C6A"/>
    <w:rsid w:val="2E262354"/>
    <w:rsid w:val="2E2C5491"/>
    <w:rsid w:val="2E347EE6"/>
    <w:rsid w:val="2E374A38"/>
    <w:rsid w:val="2E3A1850"/>
    <w:rsid w:val="2E3C5510"/>
    <w:rsid w:val="2E5C5D76"/>
    <w:rsid w:val="2E6305D7"/>
    <w:rsid w:val="2E666BF4"/>
    <w:rsid w:val="2E690638"/>
    <w:rsid w:val="2E857DAE"/>
    <w:rsid w:val="2E875B98"/>
    <w:rsid w:val="2E8E614B"/>
    <w:rsid w:val="2EA37EAA"/>
    <w:rsid w:val="2EB23BE8"/>
    <w:rsid w:val="2EBD3CD6"/>
    <w:rsid w:val="2EBD7031"/>
    <w:rsid w:val="2ED434AD"/>
    <w:rsid w:val="2EE10029"/>
    <w:rsid w:val="2EF7109C"/>
    <w:rsid w:val="2EF73B32"/>
    <w:rsid w:val="2EFD3E5C"/>
    <w:rsid w:val="2F011E82"/>
    <w:rsid w:val="2F0470A1"/>
    <w:rsid w:val="2F115E43"/>
    <w:rsid w:val="2F193C67"/>
    <w:rsid w:val="2F240791"/>
    <w:rsid w:val="2F2B399A"/>
    <w:rsid w:val="2F492921"/>
    <w:rsid w:val="2F4C7446"/>
    <w:rsid w:val="2F546A4D"/>
    <w:rsid w:val="2F6858EF"/>
    <w:rsid w:val="2F6A0B1E"/>
    <w:rsid w:val="2F784161"/>
    <w:rsid w:val="2F7B48B5"/>
    <w:rsid w:val="2F853233"/>
    <w:rsid w:val="2F971030"/>
    <w:rsid w:val="2FAF333B"/>
    <w:rsid w:val="2FBE31AC"/>
    <w:rsid w:val="2FC27E67"/>
    <w:rsid w:val="2FCD2C96"/>
    <w:rsid w:val="2FCE058D"/>
    <w:rsid w:val="2FD75997"/>
    <w:rsid w:val="2FE66FC1"/>
    <w:rsid w:val="2FF678AF"/>
    <w:rsid w:val="30160CDB"/>
    <w:rsid w:val="301B2075"/>
    <w:rsid w:val="30243B4E"/>
    <w:rsid w:val="30287A71"/>
    <w:rsid w:val="30334092"/>
    <w:rsid w:val="3046030C"/>
    <w:rsid w:val="304C1E1A"/>
    <w:rsid w:val="304C3C74"/>
    <w:rsid w:val="304E7940"/>
    <w:rsid w:val="305079D9"/>
    <w:rsid w:val="30601421"/>
    <w:rsid w:val="30613F93"/>
    <w:rsid w:val="306162D4"/>
    <w:rsid w:val="30635A86"/>
    <w:rsid w:val="30797BE5"/>
    <w:rsid w:val="308146B4"/>
    <w:rsid w:val="308710A4"/>
    <w:rsid w:val="308B2942"/>
    <w:rsid w:val="309A41D3"/>
    <w:rsid w:val="309F27BB"/>
    <w:rsid w:val="30BA4FD6"/>
    <w:rsid w:val="30C01081"/>
    <w:rsid w:val="30C81567"/>
    <w:rsid w:val="30CC18E3"/>
    <w:rsid w:val="30CD46BC"/>
    <w:rsid w:val="30CE0A81"/>
    <w:rsid w:val="30CF1CBC"/>
    <w:rsid w:val="31013135"/>
    <w:rsid w:val="311763B6"/>
    <w:rsid w:val="31201479"/>
    <w:rsid w:val="3123065B"/>
    <w:rsid w:val="31257A15"/>
    <w:rsid w:val="31344D88"/>
    <w:rsid w:val="31404F70"/>
    <w:rsid w:val="31452A71"/>
    <w:rsid w:val="31527289"/>
    <w:rsid w:val="315471D8"/>
    <w:rsid w:val="31552377"/>
    <w:rsid w:val="315D5094"/>
    <w:rsid w:val="317A4765"/>
    <w:rsid w:val="3183186B"/>
    <w:rsid w:val="31834561"/>
    <w:rsid w:val="318F2514"/>
    <w:rsid w:val="3190424C"/>
    <w:rsid w:val="31AC658F"/>
    <w:rsid w:val="31B2519D"/>
    <w:rsid w:val="31B37BA1"/>
    <w:rsid w:val="31CB6D6E"/>
    <w:rsid w:val="31E00383"/>
    <w:rsid w:val="31EE6D68"/>
    <w:rsid w:val="31F241E6"/>
    <w:rsid w:val="31FD2600"/>
    <w:rsid w:val="32026C34"/>
    <w:rsid w:val="3207424B"/>
    <w:rsid w:val="32114B98"/>
    <w:rsid w:val="32127E75"/>
    <w:rsid w:val="321D581C"/>
    <w:rsid w:val="32210BD1"/>
    <w:rsid w:val="322658D9"/>
    <w:rsid w:val="322D17D7"/>
    <w:rsid w:val="32361B53"/>
    <w:rsid w:val="32400891"/>
    <w:rsid w:val="32493248"/>
    <w:rsid w:val="324C0B81"/>
    <w:rsid w:val="32516B04"/>
    <w:rsid w:val="326C730B"/>
    <w:rsid w:val="326E7E26"/>
    <w:rsid w:val="3272558C"/>
    <w:rsid w:val="327403EA"/>
    <w:rsid w:val="327A0EC0"/>
    <w:rsid w:val="3281224F"/>
    <w:rsid w:val="329A29DB"/>
    <w:rsid w:val="32BF68D3"/>
    <w:rsid w:val="32C25872"/>
    <w:rsid w:val="32D473D1"/>
    <w:rsid w:val="32DA51AD"/>
    <w:rsid w:val="32DC671C"/>
    <w:rsid w:val="32DC7485"/>
    <w:rsid w:val="32E220DE"/>
    <w:rsid w:val="32E67F06"/>
    <w:rsid w:val="330864CC"/>
    <w:rsid w:val="33091096"/>
    <w:rsid w:val="33232830"/>
    <w:rsid w:val="33247F6A"/>
    <w:rsid w:val="332D664F"/>
    <w:rsid w:val="33442827"/>
    <w:rsid w:val="33462AFF"/>
    <w:rsid w:val="336631F3"/>
    <w:rsid w:val="337E52FC"/>
    <w:rsid w:val="33843CA1"/>
    <w:rsid w:val="338604C2"/>
    <w:rsid w:val="338F2A0F"/>
    <w:rsid w:val="33996246"/>
    <w:rsid w:val="33AF3F49"/>
    <w:rsid w:val="33B0446E"/>
    <w:rsid w:val="33B839B6"/>
    <w:rsid w:val="33C323F3"/>
    <w:rsid w:val="33CD5A8C"/>
    <w:rsid w:val="33DC7649"/>
    <w:rsid w:val="33DE722D"/>
    <w:rsid w:val="340639D6"/>
    <w:rsid w:val="34105AD1"/>
    <w:rsid w:val="34125129"/>
    <w:rsid w:val="34360E17"/>
    <w:rsid w:val="34515C51"/>
    <w:rsid w:val="345254B5"/>
    <w:rsid w:val="34731AFC"/>
    <w:rsid w:val="347728F4"/>
    <w:rsid w:val="348B54C8"/>
    <w:rsid w:val="348C4EDB"/>
    <w:rsid w:val="34915550"/>
    <w:rsid w:val="349D49F2"/>
    <w:rsid w:val="349D56AC"/>
    <w:rsid w:val="349D6BA5"/>
    <w:rsid w:val="34A11B7B"/>
    <w:rsid w:val="34A6697A"/>
    <w:rsid w:val="34AF7E71"/>
    <w:rsid w:val="34B33A72"/>
    <w:rsid w:val="34BF1760"/>
    <w:rsid w:val="34C5219B"/>
    <w:rsid w:val="34D2072D"/>
    <w:rsid w:val="34D5280E"/>
    <w:rsid w:val="34DB19BE"/>
    <w:rsid w:val="34E20D20"/>
    <w:rsid w:val="34E46AC5"/>
    <w:rsid w:val="350C7DB7"/>
    <w:rsid w:val="355D6F36"/>
    <w:rsid w:val="3562042D"/>
    <w:rsid w:val="356608C9"/>
    <w:rsid w:val="35850AE6"/>
    <w:rsid w:val="35A90EA2"/>
    <w:rsid w:val="35DE1818"/>
    <w:rsid w:val="35E06871"/>
    <w:rsid w:val="35F20D1A"/>
    <w:rsid w:val="36146F55"/>
    <w:rsid w:val="362A49AB"/>
    <w:rsid w:val="36314CC3"/>
    <w:rsid w:val="36354C3E"/>
    <w:rsid w:val="364E3DD0"/>
    <w:rsid w:val="36511F38"/>
    <w:rsid w:val="365437D6"/>
    <w:rsid w:val="365B6913"/>
    <w:rsid w:val="366C6D72"/>
    <w:rsid w:val="366F6862"/>
    <w:rsid w:val="36785717"/>
    <w:rsid w:val="36787E34"/>
    <w:rsid w:val="367E4E3B"/>
    <w:rsid w:val="36853990"/>
    <w:rsid w:val="36997418"/>
    <w:rsid w:val="36B30CE8"/>
    <w:rsid w:val="36BF6341"/>
    <w:rsid w:val="36CC5071"/>
    <w:rsid w:val="36D974F7"/>
    <w:rsid w:val="36E03CF2"/>
    <w:rsid w:val="36E05B33"/>
    <w:rsid w:val="36E77649"/>
    <w:rsid w:val="36FC06E4"/>
    <w:rsid w:val="37002BA5"/>
    <w:rsid w:val="370C5E5F"/>
    <w:rsid w:val="372270BE"/>
    <w:rsid w:val="372413FB"/>
    <w:rsid w:val="372A57D1"/>
    <w:rsid w:val="372B7A8B"/>
    <w:rsid w:val="373006D6"/>
    <w:rsid w:val="373215AF"/>
    <w:rsid w:val="37395AAC"/>
    <w:rsid w:val="373A0C1E"/>
    <w:rsid w:val="37533A9C"/>
    <w:rsid w:val="37554C2A"/>
    <w:rsid w:val="37621D2F"/>
    <w:rsid w:val="376C2F8C"/>
    <w:rsid w:val="37726D74"/>
    <w:rsid w:val="37733C45"/>
    <w:rsid w:val="37985945"/>
    <w:rsid w:val="379E6E7B"/>
    <w:rsid w:val="37A34A15"/>
    <w:rsid w:val="37AF1900"/>
    <w:rsid w:val="37B45811"/>
    <w:rsid w:val="37B704C1"/>
    <w:rsid w:val="37C452B4"/>
    <w:rsid w:val="37CA01F4"/>
    <w:rsid w:val="37D723D8"/>
    <w:rsid w:val="37EA244F"/>
    <w:rsid w:val="3801691A"/>
    <w:rsid w:val="38053C44"/>
    <w:rsid w:val="3816564C"/>
    <w:rsid w:val="382A2A0E"/>
    <w:rsid w:val="382A2A41"/>
    <w:rsid w:val="383C5D00"/>
    <w:rsid w:val="383F5E4A"/>
    <w:rsid w:val="38622194"/>
    <w:rsid w:val="38684F32"/>
    <w:rsid w:val="387A7CA5"/>
    <w:rsid w:val="387E3BF1"/>
    <w:rsid w:val="388402C8"/>
    <w:rsid w:val="388A524D"/>
    <w:rsid w:val="388E0F50"/>
    <w:rsid w:val="38941E98"/>
    <w:rsid w:val="38983F5E"/>
    <w:rsid w:val="38A02D03"/>
    <w:rsid w:val="38B4055C"/>
    <w:rsid w:val="38C14584"/>
    <w:rsid w:val="38EC1118"/>
    <w:rsid w:val="38EE7F12"/>
    <w:rsid w:val="38EF3C8A"/>
    <w:rsid w:val="38F96580"/>
    <w:rsid w:val="38FD1A72"/>
    <w:rsid w:val="39056352"/>
    <w:rsid w:val="392F5095"/>
    <w:rsid w:val="39331DC9"/>
    <w:rsid w:val="393F42CA"/>
    <w:rsid w:val="39413193"/>
    <w:rsid w:val="39465433"/>
    <w:rsid w:val="395B6912"/>
    <w:rsid w:val="39750ACE"/>
    <w:rsid w:val="3980497D"/>
    <w:rsid w:val="398A61BC"/>
    <w:rsid w:val="399510E7"/>
    <w:rsid w:val="399B683C"/>
    <w:rsid w:val="399D3FE9"/>
    <w:rsid w:val="39B51F60"/>
    <w:rsid w:val="39BA6046"/>
    <w:rsid w:val="39BD13BD"/>
    <w:rsid w:val="39BE3B67"/>
    <w:rsid w:val="39DD3AE3"/>
    <w:rsid w:val="39E932D4"/>
    <w:rsid w:val="39EA0C0C"/>
    <w:rsid w:val="39FC665F"/>
    <w:rsid w:val="3A1C6D85"/>
    <w:rsid w:val="3A390376"/>
    <w:rsid w:val="3A3F6C87"/>
    <w:rsid w:val="3A463299"/>
    <w:rsid w:val="3A4D6EBA"/>
    <w:rsid w:val="3A531373"/>
    <w:rsid w:val="3A563FC1"/>
    <w:rsid w:val="3A5B021A"/>
    <w:rsid w:val="3A5C70FE"/>
    <w:rsid w:val="3A772970"/>
    <w:rsid w:val="3A7954E5"/>
    <w:rsid w:val="3A7D6D38"/>
    <w:rsid w:val="3A7E0E22"/>
    <w:rsid w:val="3A8521B0"/>
    <w:rsid w:val="3A903326"/>
    <w:rsid w:val="3A9C74FA"/>
    <w:rsid w:val="3AB40CE8"/>
    <w:rsid w:val="3AB971E4"/>
    <w:rsid w:val="3AC32CD9"/>
    <w:rsid w:val="3AD01660"/>
    <w:rsid w:val="3ADF78F0"/>
    <w:rsid w:val="3AE00107"/>
    <w:rsid w:val="3AE3337B"/>
    <w:rsid w:val="3AE428CE"/>
    <w:rsid w:val="3AED465B"/>
    <w:rsid w:val="3B023CD3"/>
    <w:rsid w:val="3B140F58"/>
    <w:rsid w:val="3B170940"/>
    <w:rsid w:val="3B2A2C19"/>
    <w:rsid w:val="3B376B70"/>
    <w:rsid w:val="3B641CC5"/>
    <w:rsid w:val="3B714496"/>
    <w:rsid w:val="3B7A7129"/>
    <w:rsid w:val="3B7D7576"/>
    <w:rsid w:val="3B7F1E8C"/>
    <w:rsid w:val="3B88391F"/>
    <w:rsid w:val="3B890DAC"/>
    <w:rsid w:val="3B911029"/>
    <w:rsid w:val="3B9823B7"/>
    <w:rsid w:val="3BA25DBC"/>
    <w:rsid w:val="3BA96F07"/>
    <w:rsid w:val="3BB6283D"/>
    <w:rsid w:val="3BC76E9C"/>
    <w:rsid w:val="3BCB467A"/>
    <w:rsid w:val="3BDD3907"/>
    <w:rsid w:val="3BE90506"/>
    <w:rsid w:val="3BEB6832"/>
    <w:rsid w:val="3BF53366"/>
    <w:rsid w:val="3BF72C69"/>
    <w:rsid w:val="3BFA06DC"/>
    <w:rsid w:val="3BFF41E4"/>
    <w:rsid w:val="3C010C01"/>
    <w:rsid w:val="3C08753D"/>
    <w:rsid w:val="3C0D6901"/>
    <w:rsid w:val="3C18362E"/>
    <w:rsid w:val="3C2E4B3E"/>
    <w:rsid w:val="3C2E5ED4"/>
    <w:rsid w:val="3C34309D"/>
    <w:rsid w:val="3C371BD0"/>
    <w:rsid w:val="3C40766B"/>
    <w:rsid w:val="3C4340D1"/>
    <w:rsid w:val="3C5938F5"/>
    <w:rsid w:val="3C6A5B02"/>
    <w:rsid w:val="3C7F621D"/>
    <w:rsid w:val="3C8B47EB"/>
    <w:rsid w:val="3C95088E"/>
    <w:rsid w:val="3CAD1E92"/>
    <w:rsid w:val="3CBB6AC9"/>
    <w:rsid w:val="3CBD35C8"/>
    <w:rsid w:val="3CE07B72"/>
    <w:rsid w:val="3CF278A5"/>
    <w:rsid w:val="3D1456AE"/>
    <w:rsid w:val="3D145DCC"/>
    <w:rsid w:val="3D1C0002"/>
    <w:rsid w:val="3D281519"/>
    <w:rsid w:val="3D2962ED"/>
    <w:rsid w:val="3D2D7B94"/>
    <w:rsid w:val="3D340B81"/>
    <w:rsid w:val="3D484A54"/>
    <w:rsid w:val="3D4E706F"/>
    <w:rsid w:val="3D4E790B"/>
    <w:rsid w:val="3D4F6AA6"/>
    <w:rsid w:val="3D516CC2"/>
    <w:rsid w:val="3D605157"/>
    <w:rsid w:val="3D636E37"/>
    <w:rsid w:val="3D65451B"/>
    <w:rsid w:val="3D6C0C85"/>
    <w:rsid w:val="3D6E6E59"/>
    <w:rsid w:val="3D8311E9"/>
    <w:rsid w:val="3D900FA9"/>
    <w:rsid w:val="3D9B1D3F"/>
    <w:rsid w:val="3DAA319C"/>
    <w:rsid w:val="3DAC2992"/>
    <w:rsid w:val="3DB53C5F"/>
    <w:rsid w:val="3DCE7522"/>
    <w:rsid w:val="3DD516A1"/>
    <w:rsid w:val="3DE805B0"/>
    <w:rsid w:val="3DEB2C72"/>
    <w:rsid w:val="3DF00289"/>
    <w:rsid w:val="3E036111"/>
    <w:rsid w:val="3E0B2530"/>
    <w:rsid w:val="3E10092B"/>
    <w:rsid w:val="3E1E4036"/>
    <w:rsid w:val="3E410AE4"/>
    <w:rsid w:val="3E5D6B5C"/>
    <w:rsid w:val="3E6F5651"/>
    <w:rsid w:val="3E755213"/>
    <w:rsid w:val="3E7E4756"/>
    <w:rsid w:val="3E8106B7"/>
    <w:rsid w:val="3E845265"/>
    <w:rsid w:val="3E881F78"/>
    <w:rsid w:val="3E9516E3"/>
    <w:rsid w:val="3E9A3719"/>
    <w:rsid w:val="3EAF5E07"/>
    <w:rsid w:val="3EC254C0"/>
    <w:rsid w:val="3ED07987"/>
    <w:rsid w:val="3EDC002C"/>
    <w:rsid w:val="3EE6343A"/>
    <w:rsid w:val="3EE935FA"/>
    <w:rsid w:val="3EEB3551"/>
    <w:rsid w:val="3EED10F8"/>
    <w:rsid w:val="3EFB6EE5"/>
    <w:rsid w:val="3EFE25BA"/>
    <w:rsid w:val="3F051B12"/>
    <w:rsid w:val="3F310FA6"/>
    <w:rsid w:val="3F337D20"/>
    <w:rsid w:val="3F3C00D6"/>
    <w:rsid w:val="3F506818"/>
    <w:rsid w:val="3F684E6E"/>
    <w:rsid w:val="3F6A3676"/>
    <w:rsid w:val="3F6F1681"/>
    <w:rsid w:val="3F710A6F"/>
    <w:rsid w:val="3F7E1F67"/>
    <w:rsid w:val="3F83420A"/>
    <w:rsid w:val="3F8F7315"/>
    <w:rsid w:val="3F93536F"/>
    <w:rsid w:val="3F9A203F"/>
    <w:rsid w:val="3FA67005"/>
    <w:rsid w:val="3FAE6184"/>
    <w:rsid w:val="3FD472D0"/>
    <w:rsid w:val="3FE31731"/>
    <w:rsid w:val="3FE36C1C"/>
    <w:rsid w:val="3FE72AEA"/>
    <w:rsid w:val="3FEB19D5"/>
    <w:rsid w:val="3FFD0A3B"/>
    <w:rsid w:val="402E5098"/>
    <w:rsid w:val="403B55F7"/>
    <w:rsid w:val="403D5505"/>
    <w:rsid w:val="404C5FC4"/>
    <w:rsid w:val="404E1296"/>
    <w:rsid w:val="405B4AD8"/>
    <w:rsid w:val="40632B44"/>
    <w:rsid w:val="406D6C79"/>
    <w:rsid w:val="40722850"/>
    <w:rsid w:val="407F4BE6"/>
    <w:rsid w:val="408853C4"/>
    <w:rsid w:val="409475F1"/>
    <w:rsid w:val="40B67D70"/>
    <w:rsid w:val="40D75E60"/>
    <w:rsid w:val="40F02F75"/>
    <w:rsid w:val="40F2437B"/>
    <w:rsid w:val="40FD48E0"/>
    <w:rsid w:val="40FE1BCF"/>
    <w:rsid w:val="40FE520F"/>
    <w:rsid w:val="410062A9"/>
    <w:rsid w:val="410F4ECA"/>
    <w:rsid w:val="411024E4"/>
    <w:rsid w:val="4115020A"/>
    <w:rsid w:val="414562FD"/>
    <w:rsid w:val="414C3B30"/>
    <w:rsid w:val="414E0433"/>
    <w:rsid w:val="41524DB6"/>
    <w:rsid w:val="41563B9A"/>
    <w:rsid w:val="41731331"/>
    <w:rsid w:val="41792343"/>
    <w:rsid w:val="417B7161"/>
    <w:rsid w:val="418579D7"/>
    <w:rsid w:val="418C6B85"/>
    <w:rsid w:val="418D4040"/>
    <w:rsid w:val="4196095F"/>
    <w:rsid w:val="41970A1B"/>
    <w:rsid w:val="419D72A2"/>
    <w:rsid w:val="41A0236E"/>
    <w:rsid w:val="41A96728"/>
    <w:rsid w:val="41AB6899"/>
    <w:rsid w:val="41B17D2F"/>
    <w:rsid w:val="41B707CE"/>
    <w:rsid w:val="41BF450A"/>
    <w:rsid w:val="41CA0DF1"/>
    <w:rsid w:val="41DD28D2"/>
    <w:rsid w:val="41E974C9"/>
    <w:rsid w:val="41F95353"/>
    <w:rsid w:val="42076836"/>
    <w:rsid w:val="420F1D94"/>
    <w:rsid w:val="423B1FA8"/>
    <w:rsid w:val="424E4424"/>
    <w:rsid w:val="4266350E"/>
    <w:rsid w:val="427625D2"/>
    <w:rsid w:val="428471F1"/>
    <w:rsid w:val="42894808"/>
    <w:rsid w:val="42925DB2"/>
    <w:rsid w:val="429325D1"/>
    <w:rsid w:val="429B53DF"/>
    <w:rsid w:val="429E3CF8"/>
    <w:rsid w:val="42AB29D0"/>
    <w:rsid w:val="42BC7452"/>
    <w:rsid w:val="42C85330"/>
    <w:rsid w:val="42D12138"/>
    <w:rsid w:val="42DC0DDB"/>
    <w:rsid w:val="42DD2F74"/>
    <w:rsid w:val="42E14644"/>
    <w:rsid w:val="42F06635"/>
    <w:rsid w:val="42F7079D"/>
    <w:rsid w:val="43016A94"/>
    <w:rsid w:val="430D4AC0"/>
    <w:rsid w:val="431C1B20"/>
    <w:rsid w:val="431E047F"/>
    <w:rsid w:val="431E65EF"/>
    <w:rsid w:val="43282273"/>
    <w:rsid w:val="43522956"/>
    <w:rsid w:val="43591DBB"/>
    <w:rsid w:val="43624EAD"/>
    <w:rsid w:val="436314FD"/>
    <w:rsid w:val="436551D5"/>
    <w:rsid w:val="437750CA"/>
    <w:rsid w:val="4383394D"/>
    <w:rsid w:val="438D45B9"/>
    <w:rsid w:val="43985D00"/>
    <w:rsid w:val="43986BA3"/>
    <w:rsid w:val="43A87A0A"/>
    <w:rsid w:val="43AB2F4E"/>
    <w:rsid w:val="43AC3F44"/>
    <w:rsid w:val="43B1210D"/>
    <w:rsid w:val="43D63A7D"/>
    <w:rsid w:val="43DE77F3"/>
    <w:rsid w:val="43EF7EFB"/>
    <w:rsid w:val="43F71113"/>
    <w:rsid w:val="43FA2050"/>
    <w:rsid w:val="4400649E"/>
    <w:rsid w:val="441910A9"/>
    <w:rsid w:val="442742D8"/>
    <w:rsid w:val="44437E74"/>
    <w:rsid w:val="44500782"/>
    <w:rsid w:val="446871A0"/>
    <w:rsid w:val="446A2417"/>
    <w:rsid w:val="4478624B"/>
    <w:rsid w:val="447B6681"/>
    <w:rsid w:val="4493367B"/>
    <w:rsid w:val="44961F17"/>
    <w:rsid w:val="44A84176"/>
    <w:rsid w:val="44AB74B4"/>
    <w:rsid w:val="44BB301C"/>
    <w:rsid w:val="44D0671E"/>
    <w:rsid w:val="44DF1057"/>
    <w:rsid w:val="44FC7D51"/>
    <w:rsid w:val="450A3185"/>
    <w:rsid w:val="450B1E4C"/>
    <w:rsid w:val="450E61CB"/>
    <w:rsid w:val="451037D6"/>
    <w:rsid w:val="451D1CC5"/>
    <w:rsid w:val="451D2988"/>
    <w:rsid w:val="45280575"/>
    <w:rsid w:val="452905F3"/>
    <w:rsid w:val="453A5E85"/>
    <w:rsid w:val="45433394"/>
    <w:rsid w:val="454F7F8B"/>
    <w:rsid w:val="45582FC6"/>
    <w:rsid w:val="4568103F"/>
    <w:rsid w:val="457B2B2E"/>
    <w:rsid w:val="45801D53"/>
    <w:rsid w:val="45864D26"/>
    <w:rsid w:val="458A2D71"/>
    <w:rsid w:val="458C4D3B"/>
    <w:rsid w:val="458F128E"/>
    <w:rsid w:val="45953C03"/>
    <w:rsid w:val="45AE2DF6"/>
    <w:rsid w:val="45BF0D92"/>
    <w:rsid w:val="45F459D1"/>
    <w:rsid w:val="46052F0A"/>
    <w:rsid w:val="460C379B"/>
    <w:rsid w:val="460C7C2A"/>
    <w:rsid w:val="461B1C1B"/>
    <w:rsid w:val="462B2635"/>
    <w:rsid w:val="462F2C65"/>
    <w:rsid w:val="462F56C6"/>
    <w:rsid w:val="463D7DE3"/>
    <w:rsid w:val="46401681"/>
    <w:rsid w:val="46405B25"/>
    <w:rsid w:val="464461A7"/>
    <w:rsid w:val="464A3711"/>
    <w:rsid w:val="46552058"/>
    <w:rsid w:val="466B4F4C"/>
    <w:rsid w:val="46753A21"/>
    <w:rsid w:val="469246C4"/>
    <w:rsid w:val="46935C55"/>
    <w:rsid w:val="46977D08"/>
    <w:rsid w:val="46997ED2"/>
    <w:rsid w:val="46AF3AB5"/>
    <w:rsid w:val="46E25CA4"/>
    <w:rsid w:val="46E37251"/>
    <w:rsid w:val="46F40267"/>
    <w:rsid w:val="47017932"/>
    <w:rsid w:val="470628CB"/>
    <w:rsid w:val="47144AEC"/>
    <w:rsid w:val="4716287B"/>
    <w:rsid w:val="47294A71"/>
    <w:rsid w:val="472D2C48"/>
    <w:rsid w:val="474A0BA8"/>
    <w:rsid w:val="474C71DB"/>
    <w:rsid w:val="475662DB"/>
    <w:rsid w:val="47642263"/>
    <w:rsid w:val="47665118"/>
    <w:rsid w:val="47756FD4"/>
    <w:rsid w:val="477D3B0A"/>
    <w:rsid w:val="479B7297"/>
    <w:rsid w:val="47A214C1"/>
    <w:rsid w:val="47A3636C"/>
    <w:rsid w:val="47C2529B"/>
    <w:rsid w:val="47C54534"/>
    <w:rsid w:val="47C80371"/>
    <w:rsid w:val="47D626EF"/>
    <w:rsid w:val="47DE0285"/>
    <w:rsid w:val="47E349BA"/>
    <w:rsid w:val="47E81AB8"/>
    <w:rsid w:val="47E85F39"/>
    <w:rsid w:val="47EA7AF7"/>
    <w:rsid w:val="47ED730F"/>
    <w:rsid w:val="47F3460E"/>
    <w:rsid w:val="47F77566"/>
    <w:rsid w:val="47F94BE6"/>
    <w:rsid w:val="48027536"/>
    <w:rsid w:val="48052B82"/>
    <w:rsid w:val="480C5CBF"/>
    <w:rsid w:val="481013F7"/>
    <w:rsid w:val="4812405E"/>
    <w:rsid w:val="481A3D49"/>
    <w:rsid w:val="481C1F20"/>
    <w:rsid w:val="48220E04"/>
    <w:rsid w:val="48225672"/>
    <w:rsid w:val="482454C6"/>
    <w:rsid w:val="48297C86"/>
    <w:rsid w:val="482B7905"/>
    <w:rsid w:val="48370969"/>
    <w:rsid w:val="483826FF"/>
    <w:rsid w:val="484065AE"/>
    <w:rsid w:val="4844625B"/>
    <w:rsid w:val="484755BE"/>
    <w:rsid w:val="48580F04"/>
    <w:rsid w:val="48621BF9"/>
    <w:rsid w:val="486434C4"/>
    <w:rsid w:val="486B4E85"/>
    <w:rsid w:val="48801F0A"/>
    <w:rsid w:val="488328B8"/>
    <w:rsid w:val="48861E49"/>
    <w:rsid w:val="488C6B30"/>
    <w:rsid w:val="48913C4F"/>
    <w:rsid w:val="489757F5"/>
    <w:rsid w:val="489C3512"/>
    <w:rsid w:val="489C7EA5"/>
    <w:rsid w:val="48AF592F"/>
    <w:rsid w:val="48DB5184"/>
    <w:rsid w:val="48DC4BB3"/>
    <w:rsid w:val="48E64762"/>
    <w:rsid w:val="48F11175"/>
    <w:rsid w:val="48F21359"/>
    <w:rsid w:val="48FC5916"/>
    <w:rsid w:val="48FD2B21"/>
    <w:rsid w:val="4900334A"/>
    <w:rsid w:val="49035E3C"/>
    <w:rsid w:val="49161A6F"/>
    <w:rsid w:val="491B567A"/>
    <w:rsid w:val="492819DC"/>
    <w:rsid w:val="492A39C9"/>
    <w:rsid w:val="49336FEA"/>
    <w:rsid w:val="49353B7E"/>
    <w:rsid w:val="493556E9"/>
    <w:rsid w:val="493E22D0"/>
    <w:rsid w:val="49415896"/>
    <w:rsid w:val="4953162D"/>
    <w:rsid w:val="495C3D14"/>
    <w:rsid w:val="496A4A80"/>
    <w:rsid w:val="496D6654"/>
    <w:rsid w:val="497C5511"/>
    <w:rsid w:val="497E0E3E"/>
    <w:rsid w:val="498E2725"/>
    <w:rsid w:val="499C6D01"/>
    <w:rsid w:val="49A3132A"/>
    <w:rsid w:val="49B65DC9"/>
    <w:rsid w:val="49BC3715"/>
    <w:rsid w:val="49C600F0"/>
    <w:rsid w:val="49C6524F"/>
    <w:rsid w:val="49C828D8"/>
    <w:rsid w:val="49C84FD7"/>
    <w:rsid w:val="49D94123"/>
    <w:rsid w:val="49E82B6B"/>
    <w:rsid w:val="49E970EA"/>
    <w:rsid w:val="49EE0415"/>
    <w:rsid w:val="49F20EE5"/>
    <w:rsid w:val="49F904C5"/>
    <w:rsid w:val="4A0805D0"/>
    <w:rsid w:val="4A1E1CDA"/>
    <w:rsid w:val="4A26545B"/>
    <w:rsid w:val="4A290AF9"/>
    <w:rsid w:val="4A3E1268"/>
    <w:rsid w:val="4A431740"/>
    <w:rsid w:val="4A560AA6"/>
    <w:rsid w:val="4A631F60"/>
    <w:rsid w:val="4A6F7034"/>
    <w:rsid w:val="4A7B659D"/>
    <w:rsid w:val="4A8F76FA"/>
    <w:rsid w:val="4AA754DC"/>
    <w:rsid w:val="4ACF1226"/>
    <w:rsid w:val="4AD018B4"/>
    <w:rsid w:val="4AD122F6"/>
    <w:rsid w:val="4AFB6678"/>
    <w:rsid w:val="4B12483C"/>
    <w:rsid w:val="4B182BCD"/>
    <w:rsid w:val="4B257098"/>
    <w:rsid w:val="4B281AD9"/>
    <w:rsid w:val="4B286964"/>
    <w:rsid w:val="4B3A6FE7"/>
    <w:rsid w:val="4B462533"/>
    <w:rsid w:val="4B497516"/>
    <w:rsid w:val="4B532A34"/>
    <w:rsid w:val="4B5F395F"/>
    <w:rsid w:val="4B614574"/>
    <w:rsid w:val="4B697684"/>
    <w:rsid w:val="4B8169C4"/>
    <w:rsid w:val="4B887ABD"/>
    <w:rsid w:val="4B927D05"/>
    <w:rsid w:val="4BA71700"/>
    <w:rsid w:val="4BBD5522"/>
    <w:rsid w:val="4BC40127"/>
    <w:rsid w:val="4BCF7C38"/>
    <w:rsid w:val="4BD1718E"/>
    <w:rsid w:val="4BD95ACE"/>
    <w:rsid w:val="4BF2341E"/>
    <w:rsid w:val="4C000F41"/>
    <w:rsid w:val="4C0554CB"/>
    <w:rsid w:val="4C1E38AF"/>
    <w:rsid w:val="4C1F09E8"/>
    <w:rsid w:val="4C3B2B4F"/>
    <w:rsid w:val="4C4520E1"/>
    <w:rsid w:val="4C493EAF"/>
    <w:rsid w:val="4C63431C"/>
    <w:rsid w:val="4C6A4F05"/>
    <w:rsid w:val="4C6B7BE3"/>
    <w:rsid w:val="4C771D65"/>
    <w:rsid w:val="4C783020"/>
    <w:rsid w:val="4C9743B6"/>
    <w:rsid w:val="4CCF375F"/>
    <w:rsid w:val="4CD104DB"/>
    <w:rsid w:val="4CEB4760"/>
    <w:rsid w:val="4CEE4DA0"/>
    <w:rsid w:val="4CFA5EBA"/>
    <w:rsid w:val="4D0050EE"/>
    <w:rsid w:val="4D0B09F5"/>
    <w:rsid w:val="4D243AE6"/>
    <w:rsid w:val="4D362180"/>
    <w:rsid w:val="4D3C4079"/>
    <w:rsid w:val="4D4152D2"/>
    <w:rsid w:val="4D420722"/>
    <w:rsid w:val="4D5D2973"/>
    <w:rsid w:val="4D670A85"/>
    <w:rsid w:val="4D743D70"/>
    <w:rsid w:val="4D7B7443"/>
    <w:rsid w:val="4D806473"/>
    <w:rsid w:val="4D950505"/>
    <w:rsid w:val="4DA27E03"/>
    <w:rsid w:val="4DB87F6B"/>
    <w:rsid w:val="4DBA61BD"/>
    <w:rsid w:val="4DC84A72"/>
    <w:rsid w:val="4DC86B2C"/>
    <w:rsid w:val="4DCD7C9F"/>
    <w:rsid w:val="4DD000A8"/>
    <w:rsid w:val="4DE22211"/>
    <w:rsid w:val="4DE72B20"/>
    <w:rsid w:val="4DEF40B9"/>
    <w:rsid w:val="4DEF590F"/>
    <w:rsid w:val="4DF85FC0"/>
    <w:rsid w:val="4E001052"/>
    <w:rsid w:val="4E0277A0"/>
    <w:rsid w:val="4E090518"/>
    <w:rsid w:val="4E231FB4"/>
    <w:rsid w:val="4E2B135E"/>
    <w:rsid w:val="4E3C4E24"/>
    <w:rsid w:val="4E3F2EE6"/>
    <w:rsid w:val="4E41243B"/>
    <w:rsid w:val="4E457068"/>
    <w:rsid w:val="4E4E4B6D"/>
    <w:rsid w:val="4E53374A"/>
    <w:rsid w:val="4E625DA3"/>
    <w:rsid w:val="4E6C1454"/>
    <w:rsid w:val="4E75605E"/>
    <w:rsid w:val="4E7740AE"/>
    <w:rsid w:val="4E7B029B"/>
    <w:rsid w:val="4E86609F"/>
    <w:rsid w:val="4E94139D"/>
    <w:rsid w:val="4ED36E10"/>
    <w:rsid w:val="4ED61833"/>
    <w:rsid w:val="4EDA18B9"/>
    <w:rsid w:val="4EEA1FB8"/>
    <w:rsid w:val="4F021BCA"/>
    <w:rsid w:val="4F1214F9"/>
    <w:rsid w:val="4F1F4C9E"/>
    <w:rsid w:val="4F295523"/>
    <w:rsid w:val="4F37236C"/>
    <w:rsid w:val="4F400F3C"/>
    <w:rsid w:val="4F573543"/>
    <w:rsid w:val="4F6271DE"/>
    <w:rsid w:val="4F781E8C"/>
    <w:rsid w:val="4F7A3E56"/>
    <w:rsid w:val="4FA24E56"/>
    <w:rsid w:val="4FA613D6"/>
    <w:rsid w:val="4FAE4B93"/>
    <w:rsid w:val="4FB43984"/>
    <w:rsid w:val="4FB80520"/>
    <w:rsid w:val="4FCE557D"/>
    <w:rsid w:val="4FCF67B8"/>
    <w:rsid w:val="4FDE6CDC"/>
    <w:rsid w:val="4FFE7F33"/>
    <w:rsid w:val="500E331C"/>
    <w:rsid w:val="500F7F8E"/>
    <w:rsid w:val="5010363B"/>
    <w:rsid w:val="501802EF"/>
    <w:rsid w:val="501A6EB3"/>
    <w:rsid w:val="501C4E89"/>
    <w:rsid w:val="50287B9A"/>
    <w:rsid w:val="502B33A2"/>
    <w:rsid w:val="50334005"/>
    <w:rsid w:val="50401C90"/>
    <w:rsid w:val="504A1A7A"/>
    <w:rsid w:val="50520469"/>
    <w:rsid w:val="50705EA7"/>
    <w:rsid w:val="508A00C9"/>
    <w:rsid w:val="508A0BD0"/>
    <w:rsid w:val="508E4B33"/>
    <w:rsid w:val="50A54F03"/>
    <w:rsid w:val="50CA6717"/>
    <w:rsid w:val="50CC06E1"/>
    <w:rsid w:val="50DD3BA3"/>
    <w:rsid w:val="50E61CAB"/>
    <w:rsid w:val="50EE7DC2"/>
    <w:rsid w:val="51092F4A"/>
    <w:rsid w:val="511D2CEB"/>
    <w:rsid w:val="51323F3D"/>
    <w:rsid w:val="51346692"/>
    <w:rsid w:val="514006DA"/>
    <w:rsid w:val="514136A1"/>
    <w:rsid w:val="5144296E"/>
    <w:rsid w:val="514A20B0"/>
    <w:rsid w:val="514E559A"/>
    <w:rsid w:val="515463AA"/>
    <w:rsid w:val="51616410"/>
    <w:rsid w:val="517843C5"/>
    <w:rsid w:val="517D1FD1"/>
    <w:rsid w:val="51820F0A"/>
    <w:rsid w:val="519711C4"/>
    <w:rsid w:val="51A258E6"/>
    <w:rsid w:val="51AA02F7"/>
    <w:rsid w:val="51B00924"/>
    <w:rsid w:val="51BF1CEA"/>
    <w:rsid w:val="51C370F3"/>
    <w:rsid w:val="51C55B60"/>
    <w:rsid w:val="51C720FB"/>
    <w:rsid w:val="51CC2DB1"/>
    <w:rsid w:val="51D2101C"/>
    <w:rsid w:val="51E441B2"/>
    <w:rsid w:val="51E878B5"/>
    <w:rsid w:val="51EE3F4A"/>
    <w:rsid w:val="520511F4"/>
    <w:rsid w:val="521045FE"/>
    <w:rsid w:val="52144845"/>
    <w:rsid w:val="522017C9"/>
    <w:rsid w:val="52291B63"/>
    <w:rsid w:val="522B4481"/>
    <w:rsid w:val="522E717A"/>
    <w:rsid w:val="523F3431"/>
    <w:rsid w:val="52433E33"/>
    <w:rsid w:val="52454FCC"/>
    <w:rsid w:val="52461D9B"/>
    <w:rsid w:val="52556F68"/>
    <w:rsid w:val="526131D0"/>
    <w:rsid w:val="527A0BC1"/>
    <w:rsid w:val="528E5F94"/>
    <w:rsid w:val="528F03DD"/>
    <w:rsid w:val="52B73817"/>
    <w:rsid w:val="52D64AD6"/>
    <w:rsid w:val="52F42171"/>
    <w:rsid w:val="53014F84"/>
    <w:rsid w:val="53081FE2"/>
    <w:rsid w:val="53163E96"/>
    <w:rsid w:val="532742F5"/>
    <w:rsid w:val="5338205E"/>
    <w:rsid w:val="533F0999"/>
    <w:rsid w:val="53757657"/>
    <w:rsid w:val="537A44F5"/>
    <w:rsid w:val="53836E13"/>
    <w:rsid w:val="5399393C"/>
    <w:rsid w:val="53A146DB"/>
    <w:rsid w:val="53A814E1"/>
    <w:rsid w:val="53BC34C4"/>
    <w:rsid w:val="53CE29B7"/>
    <w:rsid w:val="53D61877"/>
    <w:rsid w:val="53D958AA"/>
    <w:rsid w:val="53F1045F"/>
    <w:rsid w:val="540A23C9"/>
    <w:rsid w:val="54136627"/>
    <w:rsid w:val="5423339D"/>
    <w:rsid w:val="54283362"/>
    <w:rsid w:val="54310315"/>
    <w:rsid w:val="54451376"/>
    <w:rsid w:val="54456597"/>
    <w:rsid w:val="545B0024"/>
    <w:rsid w:val="54623CCF"/>
    <w:rsid w:val="54643283"/>
    <w:rsid w:val="54660E4D"/>
    <w:rsid w:val="54783F91"/>
    <w:rsid w:val="54C52C01"/>
    <w:rsid w:val="54D005DE"/>
    <w:rsid w:val="54DE257B"/>
    <w:rsid w:val="55197C6D"/>
    <w:rsid w:val="551B052F"/>
    <w:rsid w:val="551F503D"/>
    <w:rsid w:val="552E7B6C"/>
    <w:rsid w:val="55306D65"/>
    <w:rsid w:val="55356F21"/>
    <w:rsid w:val="553B1566"/>
    <w:rsid w:val="553D5A1E"/>
    <w:rsid w:val="554E66B4"/>
    <w:rsid w:val="555963EF"/>
    <w:rsid w:val="55623019"/>
    <w:rsid w:val="556718ED"/>
    <w:rsid w:val="556F788D"/>
    <w:rsid w:val="5572737D"/>
    <w:rsid w:val="55765352"/>
    <w:rsid w:val="55766E6E"/>
    <w:rsid w:val="559508F1"/>
    <w:rsid w:val="55A0704C"/>
    <w:rsid w:val="55A27C63"/>
    <w:rsid w:val="55BA1450"/>
    <w:rsid w:val="55CD2AA4"/>
    <w:rsid w:val="55CD5B20"/>
    <w:rsid w:val="55D32512"/>
    <w:rsid w:val="55DD38ED"/>
    <w:rsid w:val="55DE4C58"/>
    <w:rsid w:val="55E33C19"/>
    <w:rsid w:val="55E3492A"/>
    <w:rsid w:val="55E63D84"/>
    <w:rsid w:val="55E738C7"/>
    <w:rsid w:val="55FB5288"/>
    <w:rsid w:val="56040820"/>
    <w:rsid w:val="560C332E"/>
    <w:rsid w:val="560F5295"/>
    <w:rsid w:val="56292490"/>
    <w:rsid w:val="562F6037"/>
    <w:rsid w:val="563832BE"/>
    <w:rsid w:val="56444990"/>
    <w:rsid w:val="56511311"/>
    <w:rsid w:val="56536DD0"/>
    <w:rsid w:val="565847C5"/>
    <w:rsid w:val="56775AEE"/>
    <w:rsid w:val="56792E05"/>
    <w:rsid w:val="56A16CF1"/>
    <w:rsid w:val="56A8314F"/>
    <w:rsid w:val="56C34335"/>
    <w:rsid w:val="56C569E8"/>
    <w:rsid w:val="56C63E25"/>
    <w:rsid w:val="56D64DF5"/>
    <w:rsid w:val="56DB69E5"/>
    <w:rsid w:val="56E16569"/>
    <w:rsid w:val="56E96180"/>
    <w:rsid w:val="56EA1F97"/>
    <w:rsid w:val="56F3551F"/>
    <w:rsid w:val="56FE7B3D"/>
    <w:rsid w:val="57115A76"/>
    <w:rsid w:val="572E2E4A"/>
    <w:rsid w:val="57356CE5"/>
    <w:rsid w:val="57377577"/>
    <w:rsid w:val="57400691"/>
    <w:rsid w:val="57477A7D"/>
    <w:rsid w:val="574C5991"/>
    <w:rsid w:val="575651A9"/>
    <w:rsid w:val="575E0275"/>
    <w:rsid w:val="57650F48"/>
    <w:rsid w:val="57685E63"/>
    <w:rsid w:val="576E359C"/>
    <w:rsid w:val="57761A73"/>
    <w:rsid w:val="57803A91"/>
    <w:rsid w:val="57833AC4"/>
    <w:rsid w:val="5789732C"/>
    <w:rsid w:val="578F63E0"/>
    <w:rsid w:val="57974CC5"/>
    <w:rsid w:val="57AA5D1A"/>
    <w:rsid w:val="57B717AF"/>
    <w:rsid w:val="57C06BFC"/>
    <w:rsid w:val="57D0016E"/>
    <w:rsid w:val="57D46CDD"/>
    <w:rsid w:val="57DD461C"/>
    <w:rsid w:val="57DE15F7"/>
    <w:rsid w:val="57F052A5"/>
    <w:rsid w:val="57F56DA8"/>
    <w:rsid w:val="580F5DBC"/>
    <w:rsid w:val="5829466B"/>
    <w:rsid w:val="583136E9"/>
    <w:rsid w:val="58372026"/>
    <w:rsid w:val="584809DA"/>
    <w:rsid w:val="58501BF8"/>
    <w:rsid w:val="58585D05"/>
    <w:rsid w:val="587316C8"/>
    <w:rsid w:val="588A1881"/>
    <w:rsid w:val="588C1B3F"/>
    <w:rsid w:val="588C3DE2"/>
    <w:rsid w:val="58952B75"/>
    <w:rsid w:val="589870FB"/>
    <w:rsid w:val="589923E8"/>
    <w:rsid w:val="58A9755A"/>
    <w:rsid w:val="58AE4B70"/>
    <w:rsid w:val="58BA4DDE"/>
    <w:rsid w:val="58CF6781"/>
    <w:rsid w:val="58D3199A"/>
    <w:rsid w:val="58DA5821"/>
    <w:rsid w:val="58E146E6"/>
    <w:rsid w:val="58E862D4"/>
    <w:rsid w:val="59043E08"/>
    <w:rsid w:val="59162B91"/>
    <w:rsid w:val="591E5852"/>
    <w:rsid w:val="59215136"/>
    <w:rsid w:val="5934326C"/>
    <w:rsid w:val="5943350B"/>
    <w:rsid w:val="59471B28"/>
    <w:rsid w:val="594A55D4"/>
    <w:rsid w:val="596F0B08"/>
    <w:rsid w:val="59763E82"/>
    <w:rsid w:val="597F5245"/>
    <w:rsid w:val="59837DAB"/>
    <w:rsid w:val="59847464"/>
    <w:rsid w:val="598A3666"/>
    <w:rsid w:val="59A63822"/>
    <w:rsid w:val="59B8355B"/>
    <w:rsid w:val="59D35B1C"/>
    <w:rsid w:val="59FE08FA"/>
    <w:rsid w:val="59FE5684"/>
    <w:rsid w:val="5A032C9A"/>
    <w:rsid w:val="5A1455BF"/>
    <w:rsid w:val="5A221EDD"/>
    <w:rsid w:val="5A22506C"/>
    <w:rsid w:val="5A257E94"/>
    <w:rsid w:val="5A2A02BF"/>
    <w:rsid w:val="5A44753A"/>
    <w:rsid w:val="5A5106AE"/>
    <w:rsid w:val="5A60741A"/>
    <w:rsid w:val="5A6A4AC7"/>
    <w:rsid w:val="5A7A608F"/>
    <w:rsid w:val="5A861016"/>
    <w:rsid w:val="5A945878"/>
    <w:rsid w:val="5A976E36"/>
    <w:rsid w:val="5A9D694A"/>
    <w:rsid w:val="5AA2358A"/>
    <w:rsid w:val="5AA24080"/>
    <w:rsid w:val="5AAD1EF8"/>
    <w:rsid w:val="5AAE0E58"/>
    <w:rsid w:val="5ACF7403"/>
    <w:rsid w:val="5AD7215D"/>
    <w:rsid w:val="5ADE798F"/>
    <w:rsid w:val="5AE26D53"/>
    <w:rsid w:val="5AF07329"/>
    <w:rsid w:val="5B1C2265"/>
    <w:rsid w:val="5B365C08"/>
    <w:rsid w:val="5B370E4D"/>
    <w:rsid w:val="5B46719F"/>
    <w:rsid w:val="5B523ED9"/>
    <w:rsid w:val="5B5A2D8E"/>
    <w:rsid w:val="5B60313C"/>
    <w:rsid w:val="5B6D0D13"/>
    <w:rsid w:val="5B705B09"/>
    <w:rsid w:val="5B7200D7"/>
    <w:rsid w:val="5B7E224C"/>
    <w:rsid w:val="5B885B4D"/>
    <w:rsid w:val="5B9331F3"/>
    <w:rsid w:val="5B983712"/>
    <w:rsid w:val="5B997CCC"/>
    <w:rsid w:val="5B9D7438"/>
    <w:rsid w:val="5BA42A14"/>
    <w:rsid w:val="5BC52ADE"/>
    <w:rsid w:val="5BC76675"/>
    <w:rsid w:val="5BC85F49"/>
    <w:rsid w:val="5BE25AA2"/>
    <w:rsid w:val="5C317820"/>
    <w:rsid w:val="5C60141A"/>
    <w:rsid w:val="5C691962"/>
    <w:rsid w:val="5C8D4642"/>
    <w:rsid w:val="5C9A5B38"/>
    <w:rsid w:val="5CA70BEA"/>
    <w:rsid w:val="5CC55D17"/>
    <w:rsid w:val="5CCB3F43"/>
    <w:rsid w:val="5CE13766"/>
    <w:rsid w:val="5CEE7C31"/>
    <w:rsid w:val="5CFA70E0"/>
    <w:rsid w:val="5CFF3634"/>
    <w:rsid w:val="5D0905C7"/>
    <w:rsid w:val="5D0B0214"/>
    <w:rsid w:val="5D0E2082"/>
    <w:rsid w:val="5D1A0A42"/>
    <w:rsid w:val="5D282771"/>
    <w:rsid w:val="5D3223F6"/>
    <w:rsid w:val="5D386B0F"/>
    <w:rsid w:val="5D3A4C89"/>
    <w:rsid w:val="5D4100FE"/>
    <w:rsid w:val="5D417D61"/>
    <w:rsid w:val="5D42151C"/>
    <w:rsid w:val="5D426389"/>
    <w:rsid w:val="5D443CF5"/>
    <w:rsid w:val="5D4B0BE0"/>
    <w:rsid w:val="5D4C71F9"/>
    <w:rsid w:val="5D4F1710"/>
    <w:rsid w:val="5D5D43F4"/>
    <w:rsid w:val="5D616655"/>
    <w:rsid w:val="5D71045F"/>
    <w:rsid w:val="5D7D4797"/>
    <w:rsid w:val="5D8A3886"/>
    <w:rsid w:val="5D9A4060"/>
    <w:rsid w:val="5D9E0075"/>
    <w:rsid w:val="5DAB19D1"/>
    <w:rsid w:val="5DB27E28"/>
    <w:rsid w:val="5DBC1ADE"/>
    <w:rsid w:val="5DBC3EDB"/>
    <w:rsid w:val="5DBE340A"/>
    <w:rsid w:val="5DC97E04"/>
    <w:rsid w:val="5DCA4203"/>
    <w:rsid w:val="5DD263B9"/>
    <w:rsid w:val="5DD45079"/>
    <w:rsid w:val="5DDE10C7"/>
    <w:rsid w:val="5DE41D76"/>
    <w:rsid w:val="5DE555FC"/>
    <w:rsid w:val="5DEC2376"/>
    <w:rsid w:val="5DF27C61"/>
    <w:rsid w:val="5E4A015A"/>
    <w:rsid w:val="5E5E4943"/>
    <w:rsid w:val="5E5F1000"/>
    <w:rsid w:val="5E617327"/>
    <w:rsid w:val="5E772D56"/>
    <w:rsid w:val="5E7D74BF"/>
    <w:rsid w:val="5E843AB7"/>
    <w:rsid w:val="5E9A1FB9"/>
    <w:rsid w:val="5EB11CC9"/>
    <w:rsid w:val="5EB7165F"/>
    <w:rsid w:val="5EDA2E6C"/>
    <w:rsid w:val="5EDF49B6"/>
    <w:rsid w:val="5EE659E4"/>
    <w:rsid w:val="5EEF2D1B"/>
    <w:rsid w:val="5EF029BA"/>
    <w:rsid w:val="5EF2401E"/>
    <w:rsid w:val="5EF37A12"/>
    <w:rsid w:val="5F046904"/>
    <w:rsid w:val="5F19063B"/>
    <w:rsid w:val="5F1E1F19"/>
    <w:rsid w:val="5F2636B2"/>
    <w:rsid w:val="5F2A58BF"/>
    <w:rsid w:val="5F2D2E3D"/>
    <w:rsid w:val="5F3F28CF"/>
    <w:rsid w:val="5F4D6034"/>
    <w:rsid w:val="5F4E4E9B"/>
    <w:rsid w:val="5F7D704B"/>
    <w:rsid w:val="5F8A5284"/>
    <w:rsid w:val="5F906D7E"/>
    <w:rsid w:val="5F920D48"/>
    <w:rsid w:val="5FA41311"/>
    <w:rsid w:val="5FA81246"/>
    <w:rsid w:val="5FBE3FE5"/>
    <w:rsid w:val="5FC03792"/>
    <w:rsid w:val="5FC939D5"/>
    <w:rsid w:val="5FDA399F"/>
    <w:rsid w:val="5FDC1D7D"/>
    <w:rsid w:val="5FDC6467"/>
    <w:rsid w:val="5FEF1CF6"/>
    <w:rsid w:val="5FF22D36"/>
    <w:rsid w:val="5FF86B47"/>
    <w:rsid w:val="5FFA79ED"/>
    <w:rsid w:val="60075E39"/>
    <w:rsid w:val="600D0AF4"/>
    <w:rsid w:val="60273573"/>
    <w:rsid w:val="60276DC2"/>
    <w:rsid w:val="60292F48"/>
    <w:rsid w:val="602A54A3"/>
    <w:rsid w:val="60370997"/>
    <w:rsid w:val="60411174"/>
    <w:rsid w:val="604F40FC"/>
    <w:rsid w:val="605A259A"/>
    <w:rsid w:val="6060154E"/>
    <w:rsid w:val="60607E17"/>
    <w:rsid w:val="606D0EF6"/>
    <w:rsid w:val="6094289E"/>
    <w:rsid w:val="60AA20C1"/>
    <w:rsid w:val="60B07C9E"/>
    <w:rsid w:val="60CC028A"/>
    <w:rsid w:val="60D06270"/>
    <w:rsid w:val="60E32D07"/>
    <w:rsid w:val="60EA7F29"/>
    <w:rsid w:val="60F12B9F"/>
    <w:rsid w:val="60F2534F"/>
    <w:rsid w:val="61013040"/>
    <w:rsid w:val="6109328C"/>
    <w:rsid w:val="611128E5"/>
    <w:rsid w:val="61165FF0"/>
    <w:rsid w:val="611C35B8"/>
    <w:rsid w:val="611D6D37"/>
    <w:rsid w:val="61315EF6"/>
    <w:rsid w:val="61355E2F"/>
    <w:rsid w:val="613A0A49"/>
    <w:rsid w:val="61416958"/>
    <w:rsid w:val="614E56CB"/>
    <w:rsid w:val="615440FF"/>
    <w:rsid w:val="61646714"/>
    <w:rsid w:val="616710AC"/>
    <w:rsid w:val="616E368F"/>
    <w:rsid w:val="61834DEC"/>
    <w:rsid w:val="6184566A"/>
    <w:rsid w:val="619012C2"/>
    <w:rsid w:val="61A95B3C"/>
    <w:rsid w:val="61AE7556"/>
    <w:rsid w:val="61BC02FE"/>
    <w:rsid w:val="61BC3E5A"/>
    <w:rsid w:val="61D41854"/>
    <w:rsid w:val="61DC62AA"/>
    <w:rsid w:val="61E3363C"/>
    <w:rsid w:val="61EC5337"/>
    <w:rsid w:val="621243C2"/>
    <w:rsid w:val="62282B27"/>
    <w:rsid w:val="623743B3"/>
    <w:rsid w:val="623E7108"/>
    <w:rsid w:val="62514EEA"/>
    <w:rsid w:val="625A6442"/>
    <w:rsid w:val="625B7B17"/>
    <w:rsid w:val="626A1CE1"/>
    <w:rsid w:val="626C134E"/>
    <w:rsid w:val="629B22CB"/>
    <w:rsid w:val="62A3229B"/>
    <w:rsid w:val="62A45588"/>
    <w:rsid w:val="62A57C35"/>
    <w:rsid w:val="62B178DF"/>
    <w:rsid w:val="62B337E3"/>
    <w:rsid w:val="62B80AC5"/>
    <w:rsid w:val="62B952CA"/>
    <w:rsid w:val="62E07553"/>
    <w:rsid w:val="62F70A86"/>
    <w:rsid w:val="62F933BC"/>
    <w:rsid w:val="63081C9E"/>
    <w:rsid w:val="6333639E"/>
    <w:rsid w:val="633640E0"/>
    <w:rsid w:val="63382440"/>
    <w:rsid w:val="633C1069"/>
    <w:rsid w:val="63421845"/>
    <w:rsid w:val="634A387E"/>
    <w:rsid w:val="634E311E"/>
    <w:rsid w:val="6361478E"/>
    <w:rsid w:val="63624ED5"/>
    <w:rsid w:val="636E52EB"/>
    <w:rsid w:val="637F41CC"/>
    <w:rsid w:val="638B4892"/>
    <w:rsid w:val="639279AF"/>
    <w:rsid w:val="63944825"/>
    <w:rsid w:val="63D762DC"/>
    <w:rsid w:val="63D80CF3"/>
    <w:rsid w:val="63EC2A57"/>
    <w:rsid w:val="63FC70D8"/>
    <w:rsid w:val="63FE5C95"/>
    <w:rsid w:val="640E22EE"/>
    <w:rsid w:val="641222ED"/>
    <w:rsid w:val="64156B80"/>
    <w:rsid w:val="642B5582"/>
    <w:rsid w:val="642F3826"/>
    <w:rsid w:val="643B040A"/>
    <w:rsid w:val="644F7208"/>
    <w:rsid w:val="645C5272"/>
    <w:rsid w:val="645D1336"/>
    <w:rsid w:val="64643953"/>
    <w:rsid w:val="646709F5"/>
    <w:rsid w:val="6477675E"/>
    <w:rsid w:val="647B7FFD"/>
    <w:rsid w:val="649122E0"/>
    <w:rsid w:val="6491381F"/>
    <w:rsid w:val="64967B38"/>
    <w:rsid w:val="64A234C4"/>
    <w:rsid w:val="64B77EFF"/>
    <w:rsid w:val="64BB209D"/>
    <w:rsid w:val="64D4595F"/>
    <w:rsid w:val="64D83934"/>
    <w:rsid w:val="64D8577A"/>
    <w:rsid w:val="64E262CE"/>
    <w:rsid w:val="64FB2F8F"/>
    <w:rsid w:val="65023F39"/>
    <w:rsid w:val="65044496"/>
    <w:rsid w:val="65077676"/>
    <w:rsid w:val="65077AE2"/>
    <w:rsid w:val="651722E7"/>
    <w:rsid w:val="6518584B"/>
    <w:rsid w:val="65347231"/>
    <w:rsid w:val="655A2308"/>
    <w:rsid w:val="65740427"/>
    <w:rsid w:val="6577651D"/>
    <w:rsid w:val="657E201D"/>
    <w:rsid w:val="65864EAB"/>
    <w:rsid w:val="658C66C4"/>
    <w:rsid w:val="65A05658"/>
    <w:rsid w:val="65A944F1"/>
    <w:rsid w:val="65AC2EFD"/>
    <w:rsid w:val="65B46375"/>
    <w:rsid w:val="65D37A5B"/>
    <w:rsid w:val="65DD6A95"/>
    <w:rsid w:val="65F4511D"/>
    <w:rsid w:val="65F47DC0"/>
    <w:rsid w:val="65FF7596"/>
    <w:rsid w:val="66096B05"/>
    <w:rsid w:val="660B53B0"/>
    <w:rsid w:val="6627721E"/>
    <w:rsid w:val="662841B4"/>
    <w:rsid w:val="662A2B19"/>
    <w:rsid w:val="6635067F"/>
    <w:rsid w:val="66487296"/>
    <w:rsid w:val="66537DD0"/>
    <w:rsid w:val="6655119C"/>
    <w:rsid w:val="665B4AAC"/>
    <w:rsid w:val="6663337A"/>
    <w:rsid w:val="66753E2C"/>
    <w:rsid w:val="66815672"/>
    <w:rsid w:val="6687460E"/>
    <w:rsid w:val="66907027"/>
    <w:rsid w:val="66A146AB"/>
    <w:rsid w:val="66A34F7A"/>
    <w:rsid w:val="66A43DA7"/>
    <w:rsid w:val="66AE0D1C"/>
    <w:rsid w:val="66B56271"/>
    <w:rsid w:val="66BA3AE3"/>
    <w:rsid w:val="66C32061"/>
    <w:rsid w:val="66CA7019"/>
    <w:rsid w:val="66CE247E"/>
    <w:rsid w:val="66D103A8"/>
    <w:rsid w:val="66D1553B"/>
    <w:rsid w:val="66D678E5"/>
    <w:rsid w:val="66D87988"/>
    <w:rsid w:val="66E23A48"/>
    <w:rsid w:val="66E52AFE"/>
    <w:rsid w:val="66EF31C1"/>
    <w:rsid w:val="66F123D1"/>
    <w:rsid w:val="66F16A47"/>
    <w:rsid w:val="66F203EF"/>
    <w:rsid w:val="671A0D2D"/>
    <w:rsid w:val="67200F9C"/>
    <w:rsid w:val="672252C1"/>
    <w:rsid w:val="672901E4"/>
    <w:rsid w:val="67313F4D"/>
    <w:rsid w:val="67340A1D"/>
    <w:rsid w:val="673646AF"/>
    <w:rsid w:val="674A4FC0"/>
    <w:rsid w:val="674D101A"/>
    <w:rsid w:val="675249FA"/>
    <w:rsid w:val="67683CFC"/>
    <w:rsid w:val="676C1E7F"/>
    <w:rsid w:val="678B49FB"/>
    <w:rsid w:val="679C6C67"/>
    <w:rsid w:val="67B406DA"/>
    <w:rsid w:val="67BF6452"/>
    <w:rsid w:val="67C75EAB"/>
    <w:rsid w:val="67D13F82"/>
    <w:rsid w:val="67D47556"/>
    <w:rsid w:val="67E83BD3"/>
    <w:rsid w:val="67FE0A51"/>
    <w:rsid w:val="68152516"/>
    <w:rsid w:val="683021EA"/>
    <w:rsid w:val="6831292C"/>
    <w:rsid w:val="683A5F07"/>
    <w:rsid w:val="683D4EA1"/>
    <w:rsid w:val="68482B4B"/>
    <w:rsid w:val="6857517B"/>
    <w:rsid w:val="685A617B"/>
    <w:rsid w:val="685F2B0C"/>
    <w:rsid w:val="68615AEE"/>
    <w:rsid w:val="686465B8"/>
    <w:rsid w:val="68660FC4"/>
    <w:rsid w:val="68686AEA"/>
    <w:rsid w:val="686E2F1C"/>
    <w:rsid w:val="686E4CA0"/>
    <w:rsid w:val="686F3D4E"/>
    <w:rsid w:val="68892408"/>
    <w:rsid w:val="6892121B"/>
    <w:rsid w:val="689E473A"/>
    <w:rsid w:val="68A67612"/>
    <w:rsid w:val="68A772BD"/>
    <w:rsid w:val="68AD32C0"/>
    <w:rsid w:val="68B055E0"/>
    <w:rsid w:val="68C163CF"/>
    <w:rsid w:val="68D0643D"/>
    <w:rsid w:val="68DC4DE2"/>
    <w:rsid w:val="68F77559"/>
    <w:rsid w:val="692F2F5C"/>
    <w:rsid w:val="693053C2"/>
    <w:rsid w:val="69434E61"/>
    <w:rsid w:val="694C7DB4"/>
    <w:rsid w:val="69577852"/>
    <w:rsid w:val="697A46A8"/>
    <w:rsid w:val="69821E2D"/>
    <w:rsid w:val="69AA61FA"/>
    <w:rsid w:val="69AB1C1F"/>
    <w:rsid w:val="69B022B6"/>
    <w:rsid w:val="69B26BA6"/>
    <w:rsid w:val="69B72806"/>
    <w:rsid w:val="69B83AE8"/>
    <w:rsid w:val="69C21FC2"/>
    <w:rsid w:val="69C67F6C"/>
    <w:rsid w:val="69D05774"/>
    <w:rsid w:val="69DD68EF"/>
    <w:rsid w:val="69E55F18"/>
    <w:rsid w:val="69ED40C2"/>
    <w:rsid w:val="69F36887"/>
    <w:rsid w:val="69F431E5"/>
    <w:rsid w:val="6A0B12F9"/>
    <w:rsid w:val="6A1C5DDE"/>
    <w:rsid w:val="6A387A83"/>
    <w:rsid w:val="6A4E3481"/>
    <w:rsid w:val="6A6F038C"/>
    <w:rsid w:val="6A794FDE"/>
    <w:rsid w:val="6A7953B8"/>
    <w:rsid w:val="6AB0358F"/>
    <w:rsid w:val="6AB20EF0"/>
    <w:rsid w:val="6AB51D8E"/>
    <w:rsid w:val="6AB57FE0"/>
    <w:rsid w:val="6AC81DFB"/>
    <w:rsid w:val="6AC87FE6"/>
    <w:rsid w:val="6ACB7804"/>
    <w:rsid w:val="6ACC4B2B"/>
    <w:rsid w:val="6AD5470C"/>
    <w:rsid w:val="6B0845B4"/>
    <w:rsid w:val="6B156F01"/>
    <w:rsid w:val="6B1823F4"/>
    <w:rsid w:val="6B1D005F"/>
    <w:rsid w:val="6B204ECF"/>
    <w:rsid w:val="6B2111EB"/>
    <w:rsid w:val="6B302155"/>
    <w:rsid w:val="6B4866FC"/>
    <w:rsid w:val="6B4C26F3"/>
    <w:rsid w:val="6B5061B8"/>
    <w:rsid w:val="6B5541CC"/>
    <w:rsid w:val="6B594757"/>
    <w:rsid w:val="6B794694"/>
    <w:rsid w:val="6B8E11E7"/>
    <w:rsid w:val="6BA02A3F"/>
    <w:rsid w:val="6BA237A6"/>
    <w:rsid w:val="6BB10ECA"/>
    <w:rsid w:val="6BB80CD3"/>
    <w:rsid w:val="6BD75E7E"/>
    <w:rsid w:val="6BD97443"/>
    <w:rsid w:val="6BDF70C3"/>
    <w:rsid w:val="6BE154D6"/>
    <w:rsid w:val="6BF07522"/>
    <w:rsid w:val="6BFA34BF"/>
    <w:rsid w:val="6C150D37"/>
    <w:rsid w:val="6C1D4987"/>
    <w:rsid w:val="6C1E27AA"/>
    <w:rsid w:val="6C253A83"/>
    <w:rsid w:val="6C282E9B"/>
    <w:rsid w:val="6C35541B"/>
    <w:rsid w:val="6C4C1DDE"/>
    <w:rsid w:val="6C5937C5"/>
    <w:rsid w:val="6C60775B"/>
    <w:rsid w:val="6C731F01"/>
    <w:rsid w:val="6C787CBB"/>
    <w:rsid w:val="6C861C34"/>
    <w:rsid w:val="6C8A4E5F"/>
    <w:rsid w:val="6C8C5CC8"/>
    <w:rsid w:val="6C9165B6"/>
    <w:rsid w:val="6C9360FF"/>
    <w:rsid w:val="6C951E77"/>
    <w:rsid w:val="6C9E6F7E"/>
    <w:rsid w:val="6CA1699D"/>
    <w:rsid w:val="6CA87474"/>
    <w:rsid w:val="6CA87DFD"/>
    <w:rsid w:val="6CAE0CBE"/>
    <w:rsid w:val="6CB247D7"/>
    <w:rsid w:val="6CB703F7"/>
    <w:rsid w:val="6CBA4949"/>
    <w:rsid w:val="6D0A3B1E"/>
    <w:rsid w:val="6D1075E9"/>
    <w:rsid w:val="6D1F412E"/>
    <w:rsid w:val="6D2F4343"/>
    <w:rsid w:val="6D353D8C"/>
    <w:rsid w:val="6D382E4B"/>
    <w:rsid w:val="6D4D4500"/>
    <w:rsid w:val="6D4E6285"/>
    <w:rsid w:val="6D512242"/>
    <w:rsid w:val="6D5C18AC"/>
    <w:rsid w:val="6D6B1613"/>
    <w:rsid w:val="6D8141AA"/>
    <w:rsid w:val="6D886D51"/>
    <w:rsid w:val="6DAC56CB"/>
    <w:rsid w:val="6DC35F48"/>
    <w:rsid w:val="6DC76061"/>
    <w:rsid w:val="6DCC4C0D"/>
    <w:rsid w:val="6DD2674E"/>
    <w:rsid w:val="6DEA0A67"/>
    <w:rsid w:val="6DEC6437"/>
    <w:rsid w:val="6DFC561D"/>
    <w:rsid w:val="6DFF1C9E"/>
    <w:rsid w:val="6E027099"/>
    <w:rsid w:val="6E096679"/>
    <w:rsid w:val="6E0F76B0"/>
    <w:rsid w:val="6E3000AA"/>
    <w:rsid w:val="6E382FA7"/>
    <w:rsid w:val="6E395E9E"/>
    <w:rsid w:val="6E4341AC"/>
    <w:rsid w:val="6E46167B"/>
    <w:rsid w:val="6E5126B4"/>
    <w:rsid w:val="6E567C0C"/>
    <w:rsid w:val="6E5B49FB"/>
    <w:rsid w:val="6E5D4ED7"/>
    <w:rsid w:val="6E5D6868"/>
    <w:rsid w:val="6E683231"/>
    <w:rsid w:val="6E7C1EB5"/>
    <w:rsid w:val="6EB664D0"/>
    <w:rsid w:val="6ED36BB1"/>
    <w:rsid w:val="6EE110A6"/>
    <w:rsid w:val="6EF03BAE"/>
    <w:rsid w:val="6F155D21"/>
    <w:rsid w:val="6F1E3244"/>
    <w:rsid w:val="6F286746"/>
    <w:rsid w:val="6F2B2506"/>
    <w:rsid w:val="6F40431D"/>
    <w:rsid w:val="6F436F8F"/>
    <w:rsid w:val="6F451BBF"/>
    <w:rsid w:val="6F5C0A2B"/>
    <w:rsid w:val="6F5E29F5"/>
    <w:rsid w:val="6F634567"/>
    <w:rsid w:val="6F8D6B1D"/>
    <w:rsid w:val="6F9C52CB"/>
    <w:rsid w:val="6FA32AFD"/>
    <w:rsid w:val="6FAD361D"/>
    <w:rsid w:val="6FAE4748"/>
    <w:rsid w:val="6FB07119"/>
    <w:rsid w:val="6FB32DED"/>
    <w:rsid w:val="6FC211D5"/>
    <w:rsid w:val="6FD864AA"/>
    <w:rsid w:val="6FD91F90"/>
    <w:rsid w:val="6FE31AA8"/>
    <w:rsid w:val="70001CFE"/>
    <w:rsid w:val="70025A76"/>
    <w:rsid w:val="70045D42"/>
    <w:rsid w:val="701710A8"/>
    <w:rsid w:val="702F613F"/>
    <w:rsid w:val="7047792D"/>
    <w:rsid w:val="704D2ABA"/>
    <w:rsid w:val="705160B5"/>
    <w:rsid w:val="70542A5F"/>
    <w:rsid w:val="7065127C"/>
    <w:rsid w:val="706717CB"/>
    <w:rsid w:val="707200F0"/>
    <w:rsid w:val="70763D6E"/>
    <w:rsid w:val="707663A9"/>
    <w:rsid w:val="70781894"/>
    <w:rsid w:val="707A11F3"/>
    <w:rsid w:val="707F274F"/>
    <w:rsid w:val="708244C1"/>
    <w:rsid w:val="70877D29"/>
    <w:rsid w:val="708A5F5B"/>
    <w:rsid w:val="70950CE0"/>
    <w:rsid w:val="709D2458"/>
    <w:rsid w:val="70A02B99"/>
    <w:rsid w:val="70A24B63"/>
    <w:rsid w:val="70A2698B"/>
    <w:rsid w:val="70A73F27"/>
    <w:rsid w:val="70AA312E"/>
    <w:rsid w:val="70C24A2F"/>
    <w:rsid w:val="70CC0C4C"/>
    <w:rsid w:val="70E41087"/>
    <w:rsid w:val="70E65326"/>
    <w:rsid w:val="70E76A1A"/>
    <w:rsid w:val="70E80F60"/>
    <w:rsid w:val="70F07A7D"/>
    <w:rsid w:val="70F11D57"/>
    <w:rsid w:val="70F33611"/>
    <w:rsid w:val="71014D29"/>
    <w:rsid w:val="710A2B65"/>
    <w:rsid w:val="71191A27"/>
    <w:rsid w:val="711F713E"/>
    <w:rsid w:val="71217371"/>
    <w:rsid w:val="712E54D4"/>
    <w:rsid w:val="71321C7C"/>
    <w:rsid w:val="71461992"/>
    <w:rsid w:val="714A1780"/>
    <w:rsid w:val="715536AA"/>
    <w:rsid w:val="715A79E3"/>
    <w:rsid w:val="7170146E"/>
    <w:rsid w:val="71705776"/>
    <w:rsid w:val="717268C8"/>
    <w:rsid w:val="71802D0E"/>
    <w:rsid w:val="71880353"/>
    <w:rsid w:val="718F5890"/>
    <w:rsid w:val="71991A8D"/>
    <w:rsid w:val="71995E1D"/>
    <w:rsid w:val="71BB704F"/>
    <w:rsid w:val="71C16BD6"/>
    <w:rsid w:val="71C35830"/>
    <w:rsid w:val="71C363B8"/>
    <w:rsid w:val="71D14144"/>
    <w:rsid w:val="71E022A5"/>
    <w:rsid w:val="71E511AB"/>
    <w:rsid w:val="71E82A49"/>
    <w:rsid w:val="71EA4A14"/>
    <w:rsid w:val="72143089"/>
    <w:rsid w:val="72150CEA"/>
    <w:rsid w:val="721F1006"/>
    <w:rsid w:val="721F4F40"/>
    <w:rsid w:val="7227177D"/>
    <w:rsid w:val="72312642"/>
    <w:rsid w:val="723419F5"/>
    <w:rsid w:val="7235573F"/>
    <w:rsid w:val="72477BAC"/>
    <w:rsid w:val="724B0D87"/>
    <w:rsid w:val="7255330E"/>
    <w:rsid w:val="725B76BF"/>
    <w:rsid w:val="726639DF"/>
    <w:rsid w:val="726C56B8"/>
    <w:rsid w:val="72760CB0"/>
    <w:rsid w:val="7288771C"/>
    <w:rsid w:val="729326C7"/>
    <w:rsid w:val="72A458E1"/>
    <w:rsid w:val="72B13FB1"/>
    <w:rsid w:val="72B64306"/>
    <w:rsid w:val="72C13E7C"/>
    <w:rsid w:val="72CD388B"/>
    <w:rsid w:val="72CE592F"/>
    <w:rsid w:val="72D21B1B"/>
    <w:rsid w:val="72E95128"/>
    <w:rsid w:val="72F35B4A"/>
    <w:rsid w:val="72FA7EE0"/>
    <w:rsid w:val="73014E33"/>
    <w:rsid w:val="730770A2"/>
    <w:rsid w:val="73197AE0"/>
    <w:rsid w:val="73221860"/>
    <w:rsid w:val="732560BE"/>
    <w:rsid w:val="732B193A"/>
    <w:rsid w:val="732F2FC7"/>
    <w:rsid w:val="73357F10"/>
    <w:rsid w:val="733A4EF6"/>
    <w:rsid w:val="733D0234"/>
    <w:rsid w:val="734463A5"/>
    <w:rsid w:val="73467051"/>
    <w:rsid w:val="73522870"/>
    <w:rsid w:val="735C36EF"/>
    <w:rsid w:val="735F4C52"/>
    <w:rsid w:val="73613785"/>
    <w:rsid w:val="736305DA"/>
    <w:rsid w:val="73773239"/>
    <w:rsid w:val="7384777D"/>
    <w:rsid w:val="739C7F8F"/>
    <w:rsid w:val="739D4E7F"/>
    <w:rsid w:val="73A52CA9"/>
    <w:rsid w:val="73BC418E"/>
    <w:rsid w:val="73C82E30"/>
    <w:rsid w:val="73CF3EC1"/>
    <w:rsid w:val="73E16DAE"/>
    <w:rsid w:val="73F20825"/>
    <w:rsid w:val="73FA14E3"/>
    <w:rsid w:val="73FD29BB"/>
    <w:rsid w:val="74081181"/>
    <w:rsid w:val="740A7F35"/>
    <w:rsid w:val="740B686A"/>
    <w:rsid w:val="740D4ECA"/>
    <w:rsid w:val="74193434"/>
    <w:rsid w:val="7432542B"/>
    <w:rsid w:val="7436153F"/>
    <w:rsid w:val="74365CEE"/>
    <w:rsid w:val="74411C54"/>
    <w:rsid w:val="744401CE"/>
    <w:rsid w:val="74450F59"/>
    <w:rsid w:val="744875A1"/>
    <w:rsid w:val="74560DC5"/>
    <w:rsid w:val="74581611"/>
    <w:rsid w:val="745819FD"/>
    <w:rsid w:val="745D2AE8"/>
    <w:rsid w:val="746C366D"/>
    <w:rsid w:val="748200B4"/>
    <w:rsid w:val="7496678D"/>
    <w:rsid w:val="749C71E6"/>
    <w:rsid w:val="74AC77E0"/>
    <w:rsid w:val="74BB2697"/>
    <w:rsid w:val="74DE6D4A"/>
    <w:rsid w:val="74EB4D2A"/>
    <w:rsid w:val="75045F44"/>
    <w:rsid w:val="75062A71"/>
    <w:rsid w:val="75063912"/>
    <w:rsid w:val="75154170"/>
    <w:rsid w:val="751F2CCD"/>
    <w:rsid w:val="7521699E"/>
    <w:rsid w:val="75216CD9"/>
    <w:rsid w:val="75334F10"/>
    <w:rsid w:val="75410DEE"/>
    <w:rsid w:val="754937FF"/>
    <w:rsid w:val="754A3843"/>
    <w:rsid w:val="755E6626"/>
    <w:rsid w:val="756E5A5A"/>
    <w:rsid w:val="75714F21"/>
    <w:rsid w:val="757545F4"/>
    <w:rsid w:val="75801690"/>
    <w:rsid w:val="75841DF5"/>
    <w:rsid w:val="75883FFE"/>
    <w:rsid w:val="759118EE"/>
    <w:rsid w:val="75995495"/>
    <w:rsid w:val="759A0BFF"/>
    <w:rsid w:val="75A62B5C"/>
    <w:rsid w:val="75AD1FE0"/>
    <w:rsid w:val="75B660D9"/>
    <w:rsid w:val="75BB0EF4"/>
    <w:rsid w:val="75DA056C"/>
    <w:rsid w:val="75F145C2"/>
    <w:rsid w:val="75FA2F4D"/>
    <w:rsid w:val="76056CB1"/>
    <w:rsid w:val="76177C7F"/>
    <w:rsid w:val="761C0F14"/>
    <w:rsid w:val="761E4555"/>
    <w:rsid w:val="763E7C98"/>
    <w:rsid w:val="7645046A"/>
    <w:rsid w:val="7652518B"/>
    <w:rsid w:val="765661CE"/>
    <w:rsid w:val="766B1FE7"/>
    <w:rsid w:val="767737E8"/>
    <w:rsid w:val="76793BFD"/>
    <w:rsid w:val="7687321E"/>
    <w:rsid w:val="769C5380"/>
    <w:rsid w:val="769D2054"/>
    <w:rsid w:val="769D488D"/>
    <w:rsid w:val="76A648DB"/>
    <w:rsid w:val="76AA6FCA"/>
    <w:rsid w:val="76AD33AB"/>
    <w:rsid w:val="76AE1A33"/>
    <w:rsid w:val="76B645C9"/>
    <w:rsid w:val="76CB05E9"/>
    <w:rsid w:val="76F557EA"/>
    <w:rsid w:val="76FB601C"/>
    <w:rsid w:val="771E0B46"/>
    <w:rsid w:val="77243900"/>
    <w:rsid w:val="77444BC6"/>
    <w:rsid w:val="7745626C"/>
    <w:rsid w:val="774A218D"/>
    <w:rsid w:val="77534E7F"/>
    <w:rsid w:val="77765B6B"/>
    <w:rsid w:val="777D79D9"/>
    <w:rsid w:val="777F5BFE"/>
    <w:rsid w:val="7788271D"/>
    <w:rsid w:val="778A3CA6"/>
    <w:rsid w:val="779C5B8E"/>
    <w:rsid w:val="779C67B0"/>
    <w:rsid w:val="77AB127E"/>
    <w:rsid w:val="77B8759C"/>
    <w:rsid w:val="77C27899"/>
    <w:rsid w:val="77CA7AD8"/>
    <w:rsid w:val="77CD362A"/>
    <w:rsid w:val="77DF52DF"/>
    <w:rsid w:val="77F04589"/>
    <w:rsid w:val="780776F7"/>
    <w:rsid w:val="78370287"/>
    <w:rsid w:val="78390334"/>
    <w:rsid w:val="785D4AC2"/>
    <w:rsid w:val="78680440"/>
    <w:rsid w:val="78755AD9"/>
    <w:rsid w:val="787768D5"/>
    <w:rsid w:val="78867CFB"/>
    <w:rsid w:val="78880EFE"/>
    <w:rsid w:val="78910B18"/>
    <w:rsid w:val="7895518B"/>
    <w:rsid w:val="78B673FD"/>
    <w:rsid w:val="78B96EEE"/>
    <w:rsid w:val="78BB2C66"/>
    <w:rsid w:val="78C5288E"/>
    <w:rsid w:val="78DA375A"/>
    <w:rsid w:val="78EB7FBE"/>
    <w:rsid w:val="78EC1071"/>
    <w:rsid w:val="78EE77C5"/>
    <w:rsid w:val="78FB6861"/>
    <w:rsid w:val="79043BFC"/>
    <w:rsid w:val="790A7749"/>
    <w:rsid w:val="790C30F7"/>
    <w:rsid w:val="79182F94"/>
    <w:rsid w:val="791E6626"/>
    <w:rsid w:val="791F15A3"/>
    <w:rsid w:val="791F1ABD"/>
    <w:rsid w:val="79273E57"/>
    <w:rsid w:val="792A6014"/>
    <w:rsid w:val="792A77CA"/>
    <w:rsid w:val="792C1C9C"/>
    <w:rsid w:val="792C5912"/>
    <w:rsid w:val="79332AFC"/>
    <w:rsid w:val="7934454D"/>
    <w:rsid w:val="794B223C"/>
    <w:rsid w:val="794F33AE"/>
    <w:rsid w:val="79534836"/>
    <w:rsid w:val="795F47C4"/>
    <w:rsid w:val="796333A2"/>
    <w:rsid w:val="79865239"/>
    <w:rsid w:val="79880110"/>
    <w:rsid w:val="79894347"/>
    <w:rsid w:val="799447B2"/>
    <w:rsid w:val="79955265"/>
    <w:rsid w:val="79991DA1"/>
    <w:rsid w:val="79993DEC"/>
    <w:rsid w:val="799C1D55"/>
    <w:rsid w:val="79A91848"/>
    <w:rsid w:val="79B155D3"/>
    <w:rsid w:val="79C44E91"/>
    <w:rsid w:val="79C93160"/>
    <w:rsid w:val="79D75B18"/>
    <w:rsid w:val="79F9227E"/>
    <w:rsid w:val="79FD364E"/>
    <w:rsid w:val="79FF5B24"/>
    <w:rsid w:val="7A03141B"/>
    <w:rsid w:val="7A0D74F1"/>
    <w:rsid w:val="7A2F5A98"/>
    <w:rsid w:val="7A340EA4"/>
    <w:rsid w:val="7A3727C0"/>
    <w:rsid w:val="7A3F5F0E"/>
    <w:rsid w:val="7A402127"/>
    <w:rsid w:val="7A4153ED"/>
    <w:rsid w:val="7A48677B"/>
    <w:rsid w:val="7A505630"/>
    <w:rsid w:val="7A677819"/>
    <w:rsid w:val="7A74131E"/>
    <w:rsid w:val="7A75750A"/>
    <w:rsid w:val="7A7C3110"/>
    <w:rsid w:val="7A7F0743"/>
    <w:rsid w:val="7A8F6158"/>
    <w:rsid w:val="7A9E45ED"/>
    <w:rsid w:val="7A9E603E"/>
    <w:rsid w:val="7AA5799A"/>
    <w:rsid w:val="7AA977A4"/>
    <w:rsid w:val="7AAE7A48"/>
    <w:rsid w:val="7AB02603"/>
    <w:rsid w:val="7AD220EC"/>
    <w:rsid w:val="7AD65B35"/>
    <w:rsid w:val="7AF259C5"/>
    <w:rsid w:val="7B024B7C"/>
    <w:rsid w:val="7B0742B9"/>
    <w:rsid w:val="7B12265C"/>
    <w:rsid w:val="7B252618"/>
    <w:rsid w:val="7B4E1237"/>
    <w:rsid w:val="7B557668"/>
    <w:rsid w:val="7B5721B8"/>
    <w:rsid w:val="7B5A6766"/>
    <w:rsid w:val="7B5C6BFD"/>
    <w:rsid w:val="7B615D46"/>
    <w:rsid w:val="7B71585E"/>
    <w:rsid w:val="7B7B048A"/>
    <w:rsid w:val="7B7F244A"/>
    <w:rsid w:val="7B884D33"/>
    <w:rsid w:val="7B896ADD"/>
    <w:rsid w:val="7BA21EBB"/>
    <w:rsid w:val="7BA630A7"/>
    <w:rsid w:val="7BB67714"/>
    <w:rsid w:val="7BBB6A08"/>
    <w:rsid w:val="7BC65A52"/>
    <w:rsid w:val="7BCB5994"/>
    <w:rsid w:val="7BD06A28"/>
    <w:rsid w:val="7BEA3626"/>
    <w:rsid w:val="7BED154E"/>
    <w:rsid w:val="7BED6B05"/>
    <w:rsid w:val="7BF32451"/>
    <w:rsid w:val="7BF67A69"/>
    <w:rsid w:val="7BFA5853"/>
    <w:rsid w:val="7C1946E0"/>
    <w:rsid w:val="7C331689"/>
    <w:rsid w:val="7C42078B"/>
    <w:rsid w:val="7C566F9A"/>
    <w:rsid w:val="7C5D4489"/>
    <w:rsid w:val="7C7A158E"/>
    <w:rsid w:val="7C8021FC"/>
    <w:rsid w:val="7C953CBE"/>
    <w:rsid w:val="7C9712F4"/>
    <w:rsid w:val="7C9C6D51"/>
    <w:rsid w:val="7CA326C8"/>
    <w:rsid w:val="7CAA5F0D"/>
    <w:rsid w:val="7CD460A4"/>
    <w:rsid w:val="7CF03638"/>
    <w:rsid w:val="7CFC55FB"/>
    <w:rsid w:val="7D0C3A90"/>
    <w:rsid w:val="7D1D674F"/>
    <w:rsid w:val="7D207C50"/>
    <w:rsid w:val="7D25417D"/>
    <w:rsid w:val="7D423956"/>
    <w:rsid w:val="7D470375"/>
    <w:rsid w:val="7D5A124C"/>
    <w:rsid w:val="7D667BB3"/>
    <w:rsid w:val="7D6B3C9C"/>
    <w:rsid w:val="7D6C7837"/>
    <w:rsid w:val="7D827CD7"/>
    <w:rsid w:val="7D8408F4"/>
    <w:rsid w:val="7D87483A"/>
    <w:rsid w:val="7D886B89"/>
    <w:rsid w:val="7D8A3047"/>
    <w:rsid w:val="7D8E0949"/>
    <w:rsid w:val="7D92427A"/>
    <w:rsid w:val="7DA653E8"/>
    <w:rsid w:val="7DAB4450"/>
    <w:rsid w:val="7DAE4568"/>
    <w:rsid w:val="7DB04C5B"/>
    <w:rsid w:val="7DC3009F"/>
    <w:rsid w:val="7DC80DDA"/>
    <w:rsid w:val="7DD950D4"/>
    <w:rsid w:val="7DDC30D5"/>
    <w:rsid w:val="7DE95B7F"/>
    <w:rsid w:val="7DEF24D1"/>
    <w:rsid w:val="7E046E5D"/>
    <w:rsid w:val="7E0B16A2"/>
    <w:rsid w:val="7E12506E"/>
    <w:rsid w:val="7E1B5179"/>
    <w:rsid w:val="7E3610F8"/>
    <w:rsid w:val="7E4234E1"/>
    <w:rsid w:val="7E594E0B"/>
    <w:rsid w:val="7E5C3F56"/>
    <w:rsid w:val="7E7C766D"/>
    <w:rsid w:val="7E833262"/>
    <w:rsid w:val="7E8D00F2"/>
    <w:rsid w:val="7E932FC5"/>
    <w:rsid w:val="7E9B5F2D"/>
    <w:rsid w:val="7EB20667"/>
    <w:rsid w:val="7EB90D94"/>
    <w:rsid w:val="7ECE4E91"/>
    <w:rsid w:val="7ECE6209"/>
    <w:rsid w:val="7EDB5D8D"/>
    <w:rsid w:val="7EDD4604"/>
    <w:rsid w:val="7EE06F82"/>
    <w:rsid w:val="7EE626A2"/>
    <w:rsid w:val="7EE800E3"/>
    <w:rsid w:val="7EF51324"/>
    <w:rsid w:val="7F0A31ED"/>
    <w:rsid w:val="7F0D1D41"/>
    <w:rsid w:val="7F131B1E"/>
    <w:rsid w:val="7F165CD8"/>
    <w:rsid w:val="7F211349"/>
    <w:rsid w:val="7F2261B6"/>
    <w:rsid w:val="7F243837"/>
    <w:rsid w:val="7F2B17D8"/>
    <w:rsid w:val="7F3C05D3"/>
    <w:rsid w:val="7F4101B1"/>
    <w:rsid w:val="7F4622B8"/>
    <w:rsid w:val="7F4E60A4"/>
    <w:rsid w:val="7F676C28"/>
    <w:rsid w:val="7F751E64"/>
    <w:rsid w:val="7F7A4953"/>
    <w:rsid w:val="7F806C96"/>
    <w:rsid w:val="7F871AF4"/>
    <w:rsid w:val="7F8A3392"/>
    <w:rsid w:val="7F90721E"/>
    <w:rsid w:val="7F932719"/>
    <w:rsid w:val="7F961D37"/>
    <w:rsid w:val="7F990359"/>
    <w:rsid w:val="7FAC08C1"/>
    <w:rsid w:val="7FAD0277"/>
    <w:rsid w:val="7FAF6A49"/>
    <w:rsid w:val="7FB44E0C"/>
    <w:rsid w:val="7FBD17F6"/>
    <w:rsid w:val="7FC91D7A"/>
    <w:rsid w:val="7FCA435E"/>
    <w:rsid w:val="7FCF5193"/>
    <w:rsid w:val="7FD06104"/>
    <w:rsid w:val="7FF03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7">
    <w:name w:val="heading 5"/>
    <w:basedOn w:val="1"/>
    <w:next w:val="1"/>
    <w:unhideWhenUsed/>
    <w:qFormat/>
    <w:uiPriority w:val="9"/>
    <w:pPr>
      <w:keepNext/>
      <w:spacing w:before="60" w:after="60" w:line="360" w:lineRule="auto"/>
      <w:ind w:left="1008" w:hanging="1008"/>
      <w:outlineLvl w:val="4"/>
    </w:pPr>
    <w:rPr>
      <w:rFonts w:ascii="宋体" w:hAnsiTheme="minorHAnsi" w:cstheme="minorBidi"/>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link w:val="58"/>
    <w:qFormat/>
    <w:uiPriority w:val="0"/>
    <w:pPr>
      <w:spacing w:after="120"/>
      <w:ind w:left="420" w:leftChars="200"/>
    </w:pPr>
  </w:style>
  <w:style w:type="paragraph" w:styleId="8">
    <w:name w:val="List Number"/>
    <w:basedOn w:val="1"/>
    <w:qFormat/>
    <w:uiPriority w:val="0"/>
    <w:pPr>
      <w:numPr>
        <w:ilvl w:val="0"/>
        <w:numId w:val="2"/>
      </w:numPr>
    </w:pPr>
  </w:style>
  <w:style w:type="paragraph" w:styleId="9">
    <w:name w:val="Normal Indent"/>
    <w:basedOn w:val="1"/>
    <w:qFormat/>
    <w:uiPriority w:val="0"/>
    <w:pPr>
      <w:ind w:firstLine="420"/>
    </w:pPr>
    <w:rPr>
      <w:szCs w:val="20"/>
    </w:rPr>
  </w:style>
  <w:style w:type="paragraph" w:styleId="10">
    <w:name w:val="annotation text"/>
    <w:basedOn w:val="1"/>
    <w:link w:val="55"/>
    <w:qFormat/>
    <w:uiPriority w:val="99"/>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Plain Text"/>
    <w:basedOn w:val="1"/>
    <w:next w:val="14"/>
    <w:link w:val="59"/>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7"/>
    <w:qFormat/>
    <w:uiPriority w:val="10"/>
    <w:pPr>
      <w:autoSpaceDE w:val="0"/>
      <w:autoSpaceDN w:val="0"/>
      <w:adjustRightInd w:val="0"/>
      <w:spacing w:before="240" w:after="60"/>
      <w:jc w:val="center"/>
      <w:outlineLvl w:val="0"/>
    </w:pPr>
    <w:rPr>
      <w:rFonts w:ascii="Cambria" w:hAnsi="Cambria"/>
      <w:b/>
      <w:color w:val="000000"/>
      <w:kern w:val="0"/>
      <w:sz w:val="32"/>
      <w:szCs w:val="32"/>
    </w:r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link w:val="54"/>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3"/>
    <w:qFormat/>
    <w:uiPriority w:val="0"/>
    <w:rPr>
      <w:rFonts w:hint="default" w:ascii="Arial" w:hAnsi="Arial" w:cs="Arial"/>
      <w:color w:val="000000"/>
      <w:sz w:val="20"/>
      <w:szCs w:val="20"/>
      <w:u w:val="none"/>
    </w:rPr>
  </w:style>
  <w:style w:type="character" w:customStyle="1" w:styleId="47">
    <w:name w:val="font01"/>
    <w:basedOn w:val="23"/>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character" w:customStyle="1" w:styleId="52">
    <w:name w:val="标题 1 Char Char"/>
    <w:basedOn w:val="23"/>
    <w:qFormat/>
    <w:uiPriority w:val="0"/>
    <w:rPr>
      <w:rFonts w:eastAsia="宋体"/>
      <w:b/>
      <w:spacing w:val="-2"/>
      <w:sz w:val="24"/>
      <w:lang w:val="en-US" w:eastAsia="zh-CN" w:bidi="ar-SA"/>
    </w:rPr>
  </w:style>
  <w:style w:type="character" w:customStyle="1" w:styleId="53">
    <w:name w:val="批注框文本 Char"/>
    <w:basedOn w:val="23"/>
    <w:link w:val="15"/>
    <w:qFormat/>
    <w:uiPriority w:val="0"/>
    <w:rPr>
      <w:kern w:val="2"/>
      <w:sz w:val="18"/>
      <w:szCs w:val="18"/>
    </w:rPr>
  </w:style>
  <w:style w:type="character" w:customStyle="1" w:styleId="54">
    <w:name w:val="列出段落 Char"/>
    <w:link w:val="31"/>
    <w:qFormat/>
    <w:uiPriority w:val="0"/>
    <w:rPr>
      <w:rFonts w:ascii="Calibri" w:hAnsi="Calibri"/>
      <w:kern w:val="2"/>
      <w:sz w:val="21"/>
      <w:szCs w:val="22"/>
    </w:rPr>
  </w:style>
  <w:style w:type="character" w:customStyle="1" w:styleId="55">
    <w:name w:val="批注文字 Char"/>
    <w:basedOn w:val="23"/>
    <w:link w:val="10"/>
    <w:qFormat/>
    <w:uiPriority w:val="99"/>
    <w:rPr>
      <w:kern w:val="2"/>
      <w:sz w:val="21"/>
      <w:szCs w:val="24"/>
    </w:rPr>
  </w:style>
  <w:style w:type="paragraph" w:customStyle="1" w:styleId="56">
    <w:name w:val="表格文字"/>
    <w:basedOn w:val="3"/>
    <w:next w:val="11"/>
    <w:qFormat/>
    <w:uiPriority w:val="0"/>
    <w:pPr>
      <w:adjustRightInd w:val="0"/>
      <w:spacing w:line="420" w:lineRule="atLeast"/>
      <w:jc w:val="left"/>
      <w:textAlignment w:val="baseline"/>
    </w:pPr>
  </w:style>
  <w:style w:type="character" w:customStyle="1" w:styleId="57">
    <w:name w:val="标题 Char"/>
    <w:basedOn w:val="23"/>
    <w:link w:val="20"/>
    <w:qFormat/>
    <w:uiPriority w:val="10"/>
    <w:rPr>
      <w:rFonts w:ascii="Cambria" w:hAnsi="Cambria"/>
      <w:b/>
      <w:color w:val="000000"/>
      <w:sz w:val="32"/>
      <w:szCs w:val="32"/>
    </w:rPr>
  </w:style>
  <w:style w:type="character" w:customStyle="1" w:styleId="58">
    <w:name w:val="正文文本缩进 Char"/>
    <w:basedOn w:val="23"/>
    <w:link w:val="3"/>
    <w:qFormat/>
    <w:uiPriority w:val="0"/>
    <w:rPr>
      <w:kern w:val="2"/>
      <w:sz w:val="21"/>
      <w:szCs w:val="24"/>
    </w:rPr>
  </w:style>
  <w:style w:type="character" w:customStyle="1" w:styleId="59">
    <w:name w:val="纯文本 Char"/>
    <w:basedOn w:val="23"/>
    <w:link w:val="13"/>
    <w:qFormat/>
    <w:uiPriority w:val="0"/>
    <w:rPr>
      <w:rFonts w:ascii="宋体" w:hAnsi="Courier New" w:cstheme="minorBidi"/>
      <w:kern w:val="2"/>
      <w:sz w:val="21"/>
      <w:szCs w:val="24"/>
    </w:rPr>
  </w:style>
  <w:style w:type="paragraph" w:customStyle="1" w:styleId="60">
    <w:name w:val="表格内容"/>
    <w:basedOn w:val="61"/>
    <w:qFormat/>
    <w:uiPriority w:val="0"/>
    <w:pPr>
      <w:spacing w:beforeLines="25" w:afterLines="25" w:line="300" w:lineRule="exact"/>
    </w:pPr>
    <w:rPr>
      <w:rFonts w:ascii="华文宋体" w:hAnsi="华文宋体" w:eastAsia="华文宋体"/>
      <w:bCs/>
      <w:szCs w:val="24"/>
    </w:rPr>
  </w:style>
  <w:style w:type="paragraph" w:customStyle="1" w:styleId="61">
    <w:name w:val="列出段落1"/>
    <w:basedOn w:val="1"/>
    <w:qFormat/>
    <w:uiPriority w:val="0"/>
    <w:pPr>
      <w:widowControl/>
      <w:ind w:firstLine="420" w:firstLineChars="200"/>
      <w:jc w:val="left"/>
    </w:pPr>
    <w:rPr>
      <w:kern w:val="0"/>
      <w:sz w:val="24"/>
      <w:szCs w:val="20"/>
    </w:rPr>
  </w:style>
  <w:style w:type="paragraph" w:customStyle="1" w:styleId="62">
    <w:name w:val="正文2"/>
    <w:basedOn w:val="1"/>
    <w:qFormat/>
    <w:uiPriority w:val="0"/>
    <w:pPr>
      <w:spacing w:before="156" w:line="360" w:lineRule="auto"/>
      <w:ind w:firstLine="510" w:firstLineChars="200"/>
    </w:pPr>
    <w:rPr>
      <w:sz w:val="24"/>
    </w:rPr>
  </w:style>
  <w:style w:type="paragraph" w:customStyle="1" w:styleId="63">
    <w:name w:val="样式 正文2 + 仿宋_GB2312 黑色 段前: 0 磅 行距: 固定值 23 磅"/>
    <w:basedOn w:val="62"/>
    <w:qFormat/>
    <w:uiPriority w:val="0"/>
    <w:pPr>
      <w:spacing w:before="0"/>
      <w:ind w:left="-107" w:leftChars="-51" w:firstLine="0" w:firstLineChars="0"/>
    </w:pPr>
    <w:rPr>
      <w:rFonts w:ascii="Calibri" w:hAnsi="Calibri"/>
      <w:b/>
      <w:sz w:val="21"/>
      <w:szCs w:val="21"/>
    </w:rPr>
  </w:style>
  <w:style w:type="paragraph" w:customStyle="1" w:styleId="64">
    <w:name w:val="正文文字2"/>
    <w:basedOn w:val="11"/>
    <w:qFormat/>
    <w:uiPriority w:val="0"/>
    <w:pPr>
      <w:adjustRightInd w:val="0"/>
      <w:spacing w:after="60" w:line="360" w:lineRule="atLeast"/>
      <w:ind w:left="72" w:leftChars="30" w:right="72" w:rightChars="30"/>
      <w:jc w:val="center"/>
    </w:pPr>
    <w:rPr>
      <w:rFonts w:ascii="Arial" w:eastAsia="黑体"/>
      <w:kern w:val="0"/>
    </w:rPr>
  </w:style>
  <w:style w:type="paragraph" w:customStyle="1" w:styleId="65">
    <w:name w:val="p17"/>
    <w:basedOn w:val="1"/>
    <w:qFormat/>
    <w:uiPriority w:val="99"/>
    <w:pPr>
      <w:widowControl/>
      <w:snapToGrid w:val="0"/>
    </w:pPr>
    <w:rPr>
      <w:rFonts w:ascii="宋体" w:hAnsi="宋体" w:cs="宋体"/>
      <w:kern w:val="0"/>
      <w:sz w:val="26"/>
      <w:szCs w:val="26"/>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0E316-222A-4770-BC2C-42B146918BB1}">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75</Pages>
  <Words>39130</Words>
  <Characters>40569</Characters>
  <Lines>323</Lines>
  <Paragraphs>91</Paragraphs>
  <TotalTime>1</TotalTime>
  <ScaleCrop>false</ScaleCrop>
  <LinksUpToDate>false</LinksUpToDate>
  <CharactersWithSpaces>41786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2022-08-11T09:19:00Z</dcterms:created>
  <dc:creator>Thorpe521</dc:creator>
  <cp:lastModifiedBy>Administrator</cp:lastModifiedBy>
  <cp:lastPrinted>2022-02-18T02:06:00Z</cp:lastPrinted>
  <dcterms:modified xsi:type="dcterms:W3CDTF">2022-08-15T01:30:33Z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FE713D5500FF4B4BB63F2D79800AC2F9</vt:lpwstr>
  </property>
</Properties>
</file>